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A10D" w14:textId="77777777" w:rsidR="00412B55" w:rsidRPr="00EE1BB2" w:rsidRDefault="00BD2307" w:rsidP="00BD2307">
      <w:pPr>
        <w:jc w:val="center"/>
        <w:rPr>
          <w:b/>
          <w:bCs/>
        </w:rPr>
      </w:pPr>
      <w:r w:rsidRPr="00EE1BB2">
        <w:t>Minis</w:t>
      </w:r>
      <w:r w:rsidR="00CD4F9C" w:rsidRPr="00EE1BB2">
        <w:t>tru kabineta noteikumu projekta</w:t>
      </w:r>
    </w:p>
    <w:p w14:paraId="2FA64957" w14:textId="77777777" w:rsidR="00D80882" w:rsidRPr="00EE1BB2" w:rsidRDefault="004543A6" w:rsidP="004543A6">
      <w:pPr>
        <w:jc w:val="center"/>
        <w:rPr>
          <w:b/>
          <w:szCs w:val="28"/>
        </w:rPr>
      </w:pPr>
      <w:r w:rsidRPr="008B1AE3">
        <w:rPr>
          <w:b/>
          <w:szCs w:val="28"/>
        </w:rPr>
        <w:t>Grozījum</w:t>
      </w:r>
      <w:r>
        <w:rPr>
          <w:b/>
          <w:szCs w:val="28"/>
        </w:rPr>
        <w:t>s</w:t>
      </w:r>
      <w:r w:rsidRPr="008B1AE3">
        <w:rPr>
          <w:b/>
          <w:szCs w:val="28"/>
        </w:rPr>
        <w:t xml:space="preserve"> Ministru kabineta 2015.gada 24.novembra noteikumos Nr.656 „Noteikumi par minimālās mēneša darba algas apmēru normāl</w:t>
      </w:r>
      <w:r>
        <w:rPr>
          <w:b/>
          <w:szCs w:val="28"/>
        </w:rPr>
        <w:t>ā</w:t>
      </w:r>
      <w:r w:rsidRPr="008B1AE3">
        <w:rPr>
          <w:b/>
          <w:szCs w:val="28"/>
        </w:rPr>
        <w:t xml:space="preserve"> darba laika ietvaros un minimālās stundas tarifa likmes aprēķināšanu”</w:t>
      </w:r>
    </w:p>
    <w:p w14:paraId="19584B60" w14:textId="77777777" w:rsidR="00430DCC" w:rsidRPr="00EE1BB2" w:rsidRDefault="002F584F" w:rsidP="00167AE7">
      <w:pPr>
        <w:jc w:val="center"/>
        <w:rPr>
          <w:szCs w:val="28"/>
        </w:rPr>
      </w:pPr>
      <w:r w:rsidRPr="00EE1BB2">
        <w:t>sākotnējās ietekmes novērtējuma ziņojums (</w:t>
      </w:r>
      <w:r w:rsidR="00CD4F9C" w:rsidRPr="00EE1BB2">
        <w:rPr>
          <w:szCs w:val="28"/>
        </w:rPr>
        <w:t>anotācija</w:t>
      </w:r>
      <w:r w:rsidRPr="00EE1BB2">
        <w:rPr>
          <w:szCs w:val="28"/>
        </w:rPr>
        <w:t>)</w:t>
      </w:r>
    </w:p>
    <w:p w14:paraId="6B506143" w14:textId="77777777" w:rsidR="00CD4F9C" w:rsidRDefault="00CD4F9C" w:rsidP="00124129">
      <w:pPr>
        <w:rPr>
          <w:szCs w:val="28"/>
        </w:rPr>
      </w:pPr>
    </w:p>
    <w:p w14:paraId="05B03ACF" w14:textId="77777777" w:rsidR="00F24D71" w:rsidRDefault="00F24D71" w:rsidP="00124129">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06"/>
        <w:gridCol w:w="6049"/>
      </w:tblGrid>
      <w:tr w:rsidR="00F24D71" w:rsidRPr="00D42CC4" w14:paraId="4F03E678" w14:textId="77777777" w:rsidTr="00871E17">
        <w:trPr>
          <w:trHeight w:val="175"/>
        </w:trPr>
        <w:tc>
          <w:tcPr>
            <w:tcW w:w="0" w:type="auto"/>
            <w:gridSpan w:val="2"/>
            <w:tcBorders>
              <w:top w:val="outset" w:sz="6" w:space="0" w:color="auto"/>
              <w:bottom w:val="single" w:sz="4" w:space="0" w:color="auto"/>
            </w:tcBorders>
          </w:tcPr>
          <w:p w14:paraId="54CCC73A" w14:textId="7BF9E0C6" w:rsidR="00F24D71" w:rsidRPr="00D42CC4" w:rsidRDefault="00871E17" w:rsidP="00871E17">
            <w:pPr>
              <w:pStyle w:val="naisnod"/>
              <w:spacing w:before="0" w:after="0"/>
              <w:ind w:left="357"/>
            </w:pPr>
            <w:r w:rsidRPr="00F8738D">
              <w:t>Tiesību akta projekta anotācijas kopsavilkums</w:t>
            </w:r>
          </w:p>
        </w:tc>
      </w:tr>
      <w:tr w:rsidR="00871E17" w:rsidRPr="00D42CC4" w14:paraId="70009D77" w14:textId="77777777" w:rsidTr="00871E17">
        <w:tc>
          <w:tcPr>
            <w:tcW w:w="1660" w:type="pct"/>
            <w:tcBorders>
              <w:top w:val="single" w:sz="4" w:space="0" w:color="auto"/>
              <w:left w:val="single" w:sz="4" w:space="0" w:color="auto"/>
              <w:bottom w:val="single" w:sz="4" w:space="0" w:color="auto"/>
              <w:right w:val="single" w:sz="4" w:space="0" w:color="auto"/>
            </w:tcBorders>
          </w:tcPr>
          <w:p w14:paraId="0D64EFA8" w14:textId="436FC94E" w:rsidR="00871E17" w:rsidRPr="00871E17" w:rsidRDefault="00871E17" w:rsidP="00342C2B">
            <w:pPr>
              <w:pStyle w:val="naiskr"/>
              <w:ind w:left="180" w:hanging="10"/>
            </w:pPr>
            <w:r w:rsidRPr="00871E17">
              <w:rPr>
                <w:iCs/>
                <w:lang w:val="sv-SE"/>
              </w:rPr>
              <w:t>Mērķis, risinājums un projekta spēkā stāšanās laiks (500 zīmes bez atstarpēm)</w:t>
            </w:r>
          </w:p>
        </w:tc>
        <w:tc>
          <w:tcPr>
            <w:tcW w:w="3340" w:type="pct"/>
            <w:tcBorders>
              <w:top w:val="single" w:sz="4" w:space="0" w:color="auto"/>
              <w:left w:val="single" w:sz="4" w:space="0" w:color="auto"/>
              <w:bottom w:val="single" w:sz="4" w:space="0" w:color="auto"/>
              <w:right w:val="single" w:sz="4" w:space="0" w:color="auto"/>
            </w:tcBorders>
          </w:tcPr>
          <w:p w14:paraId="54F9C0B2" w14:textId="4C3085E6" w:rsidR="00871E17" w:rsidRDefault="00871E17" w:rsidP="002438A4">
            <w:pPr>
              <w:jc w:val="both"/>
              <w:rPr>
                <w:sz w:val="24"/>
              </w:rPr>
            </w:pPr>
            <w:r>
              <w:rPr>
                <w:sz w:val="24"/>
              </w:rPr>
              <w:t>Ministru kabineta noteikumu projekts „G</w:t>
            </w:r>
            <w:r w:rsidRPr="003317D9">
              <w:rPr>
                <w:sz w:val="24"/>
              </w:rPr>
              <w:t xml:space="preserve">rozījums </w:t>
            </w:r>
            <w:r>
              <w:rPr>
                <w:sz w:val="24"/>
              </w:rPr>
              <w:t xml:space="preserve">Ministru kabineta </w:t>
            </w:r>
            <w:r w:rsidRPr="00422743">
              <w:rPr>
                <w:sz w:val="24"/>
              </w:rPr>
              <w:t>2015.</w:t>
            </w:r>
            <w:r w:rsidR="00213E3B">
              <w:rPr>
                <w:sz w:val="24"/>
              </w:rPr>
              <w:t> </w:t>
            </w:r>
            <w:r w:rsidRPr="00422743">
              <w:rPr>
                <w:sz w:val="24"/>
              </w:rPr>
              <w:t>gada 24.</w:t>
            </w:r>
            <w:r w:rsidR="00213E3B">
              <w:rPr>
                <w:sz w:val="24"/>
              </w:rPr>
              <w:t> </w:t>
            </w:r>
            <w:r w:rsidRPr="00422743">
              <w:rPr>
                <w:sz w:val="24"/>
              </w:rPr>
              <w:t xml:space="preserve">novembra </w:t>
            </w:r>
            <w:r w:rsidRPr="003317D9">
              <w:rPr>
                <w:sz w:val="24"/>
              </w:rPr>
              <w:t>noteikum</w:t>
            </w:r>
            <w:r>
              <w:rPr>
                <w:sz w:val="24"/>
              </w:rPr>
              <w:t>os Nr.</w:t>
            </w:r>
            <w:r w:rsidR="00213E3B">
              <w:rPr>
                <w:sz w:val="24"/>
              </w:rPr>
              <w:t> </w:t>
            </w:r>
            <w:r>
              <w:rPr>
                <w:sz w:val="24"/>
              </w:rPr>
              <w:t xml:space="preserve">656 </w:t>
            </w:r>
            <w:r w:rsidRPr="00422743">
              <w:rPr>
                <w:sz w:val="24"/>
              </w:rPr>
              <w:t>„Noteikumi par minimālās mēneša darba algas apmēru normālā darba laika ietvaros un minimālās stundas tarifa likmes aprēķināšanu”</w:t>
            </w:r>
            <w:r>
              <w:rPr>
                <w:sz w:val="24"/>
              </w:rPr>
              <w:t>” (turpmāk – noteikumu projekts) izstrādāts saskaņā ar Ministru kabineta 2019.</w:t>
            </w:r>
            <w:r w:rsidR="00213E3B">
              <w:rPr>
                <w:sz w:val="24"/>
              </w:rPr>
              <w:t> </w:t>
            </w:r>
            <w:r>
              <w:rPr>
                <w:sz w:val="24"/>
              </w:rPr>
              <w:t>gada 13.</w:t>
            </w:r>
            <w:r w:rsidR="00213E3B">
              <w:rPr>
                <w:sz w:val="24"/>
              </w:rPr>
              <w:t> </w:t>
            </w:r>
            <w:r>
              <w:rPr>
                <w:sz w:val="24"/>
              </w:rPr>
              <w:t>septembra (prot. Nr.41, 1.</w:t>
            </w:r>
            <w:r w:rsidRPr="00F12954">
              <w:rPr>
                <w:sz w:val="24"/>
              </w:rPr>
              <w:t>§</w:t>
            </w:r>
            <w:r>
              <w:rPr>
                <w:sz w:val="24"/>
              </w:rPr>
              <w:t xml:space="preserve"> 19.p.) sēdē nolemto, ka </w:t>
            </w:r>
            <w:r w:rsidRPr="00EA2C1F">
              <w:rPr>
                <w:sz w:val="24"/>
              </w:rPr>
              <w:t>Labklājības ministrija</w:t>
            </w:r>
            <w:r>
              <w:rPr>
                <w:sz w:val="24"/>
              </w:rPr>
              <w:t>i</w:t>
            </w:r>
            <w:r w:rsidRPr="00EA2C1F">
              <w:rPr>
                <w:sz w:val="24"/>
              </w:rPr>
              <w:t xml:space="preserve"> </w:t>
            </w:r>
            <w:r>
              <w:rPr>
                <w:sz w:val="24"/>
              </w:rPr>
              <w:t xml:space="preserve">jāizstrādā </w:t>
            </w:r>
            <w:r w:rsidRPr="00EA2C1F">
              <w:rPr>
                <w:sz w:val="24"/>
              </w:rPr>
              <w:t xml:space="preserve">un noteiktā kārtībā </w:t>
            </w:r>
            <w:r>
              <w:rPr>
                <w:sz w:val="24"/>
              </w:rPr>
              <w:t>jāiesniedz</w:t>
            </w:r>
            <w:r w:rsidRPr="00EA2C1F">
              <w:rPr>
                <w:sz w:val="24"/>
              </w:rPr>
              <w:t xml:space="preserve"> Ministru kabinetā grozījum</w:t>
            </w:r>
            <w:r>
              <w:rPr>
                <w:sz w:val="24"/>
              </w:rPr>
              <w:t>i</w:t>
            </w:r>
            <w:r w:rsidRPr="00EA2C1F">
              <w:rPr>
                <w:sz w:val="24"/>
              </w:rPr>
              <w:t xml:space="preserve"> Ministru kabineta noteikumos par minimālās mēneša darba algas apmēru normāl</w:t>
            </w:r>
            <w:r>
              <w:rPr>
                <w:sz w:val="24"/>
              </w:rPr>
              <w:t>ā</w:t>
            </w:r>
            <w:r w:rsidRPr="00EA2C1F">
              <w:rPr>
                <w:sz w:val="24"/>
              </w:rPr>
              <w:t xml:space="preserve"> darba laika ietvaros un minimālās stundas tarifa likmes aprēķināšanu</w:t>
            </w:r>
            <w:r>
              <w:rPr>
                <w:sz w:val="24"/>
              </w:rPr>
              <w:t xml:space="preserve">, nosakot, ka </w:t>
            </w:r>
            <w:r w:rsidRPr="00B76F91">
              <w:rPr>
                <w:sz w:val="24"/>
              </w:rPr>
              <w:t xml:space="preserve">minimālā mēneša darba alga </w:t>
            </w:r>
            <w:r>
              <w:rPr>
                <w:sz w:val="24"/>
              </w:rPr>
              <w:t xml:space="preserve">tiek </w:t>
            </w:r>
            <w:r w:rsidRPr="00B76F91">
              <w:rPr>
                <w:sz w:val="24"/>
              </w:rPr>
              <w:t>paaugstinā</w:t>
            </w:r>
            <w:r>
              <w:rPr>
                <w:sz w:val="24"/>
              </w:rPr>
              <w:t xml:space="preserve">ta </w:t>
            </w:r>
            <w:r w:rsidRPr="00B76F91">
              <w:rPr>
                <w:sz w:val="24"/>
              </w:rPr>
              <w:t xml:space="preserve">no </w:t>
            </w:r>
            <w:r>
              <w:rPr>
                <w:sz w:val="24"/>
              </w:rPr>
              <w:t>430</w:t>
            </w:r>
            <w:r w:rsidRPr="00B76F91">
              <w:rPr>
                <w:sz w:val="24"/>
              </w:rPr>
              <w:t xml:space="preserve"> </w:t>
            </w:r>
            <w:proofErr w:type="spellStart"/>
            <w:r w:rsidRPr="007926A5">
              <w:rPr>
                <w:i/>
                <w:sz w:val="24"/>
              </w:rPr>
              <w:t>euro</w:t>
            </w:r>
            <w:proofErr w:type="spellEnd"/>
            <w:r w:rsidRPr="00B76F91">
              <w:rPr>
                <w:sz w:val="24"/>
              </w:rPr>
              <w:t xml:space="preserve"> līdz </w:t>
            </w:r>
            <w:r w:rsidRPr="00675F6F">
              <w:rPr>
                <w:sz w:val="24"/>
              </w:rPr>
              <w:t>500 </w:t>
            </w:r>
            <w:proofErr w:type="spellStart"/>
            <w:r w:rsidRPr="007926A5">
              <w:rPr>
                <w:i/>
                <w:sz w:val="24"/>
              </w:rPr>
              <w:t>euro</w:t>
            </w:r>
            <w:proofErr w:type="spellEnd"/>
            <w:r>
              <w:rPr>
                <w:i/>
                <w:sz w:val="24"/>
              </w:rPr>
              <w:t>,</w:t>
            </w:r>
            <w:r w:rsidRPr="00B76F91">
              <w:rPr>
                <w:sz w:val="24"/>
              </w:rPr>
              <w:t xml:space="preserve"> sākot ar 20</w:t>
            </w:r>
            <w:r>
              <w:rPr>
                <w:sz w:val="24"/>
              </w:rPr>
              <w:t>21</w:t>
            </w:r>
            <w:r w:rsidRPr="00B76F91">
              <w:rPr>
                <w:sz w:val="24"/>
              </w:rPr>
              <w:t>.</w:t>
            </w:r>
            <w:r>
              <w:rPr>
                <w:sz w:val="24"/>
              </w:rPr>
              <w:t> </w:t>
            </w:r>
            <w:r w:rsidRPr="00B76F91">
              <w:rPr>
                <w:sz w:val="24"/>
              </w:rPr>
              <w:t>gada 1.</w:t>
            </w:r>
            <w:r>
              <w:rPr>
                <w:sz w:val="24"/>
              </w:rPr>
              <w:t> </w:t>
            </w:r>
            <w:r w:rsidRPr="00B76F91">
              <w:rPr>
                <w:sz w:val="24"/>
              </w:rPr>
              <w:t>janvāri</w:t>
            </w:r>
            <w:r>
              <w:rPr>
                <w:sz w:val="24"/>
              </w:rPr>
              <w:t>.</w:t>
            </w:r>
          </w:p>
          <w:p w14:paraId="17C31BD2" w14:textId="334AD132" w:rsidR="00871E17" w:rsidRDefault="00871E17" w:rsidP="002438A4">
            <w:pPr>
              <w:jc w:val="both"/>
              <w:rPr>
                <w:sz w:val="24"/>
              </w:rPr>
            </w:pPr>
            <w:r>
              <w:rPr>
                <w:sz w:val="24"/>
              </w:rPr>
              <w:t>Noteikumu projekts stāsies spēkā 202</w:t>
            </w:r>
            <w:r w:rsidR="009831F8">
              <w:rPr>
                <w:sz w:val="24"/>
              </w:rPr>
              <w:t>1</w:t>
            </w:r>
            <w:r>
              <w:rPr>
                <w:sz w:val="24"/>
              </w:rPr>
              <w:t>. gada 1. janvārī.</w:t>
            </w:r>
          </w:p>
          <w:p w14:paraId="744AADF6" w14:textId="613E1CCC" w:rsidR="00CF0718" w:rsidRPr="004E5D19" w:rsidRDefault="00CF0718" w:rsidP="00CF0718">
            <w:pPr>
              <w:jc w:val="both"/>
              <w:rPr>
                <w:sz w:val="24"/>
              </w:rPr>
            </w:pPr>
            <w:r w:rsidRPr="00C13426">
              <w:rPr>
                <w:sz w:val="24"/>
              </w:rPr>
              <w:t xml:space="preserve">Noteikumi pēc to pieņemšanas tiks publicēti oficiālajā izdevumā „Latvijas Vēstnesis”, kā arī portālā </w:t>
            </w:r>
            <w:hyperlink r:id="rId8" w:history="1">
              <w:r w:rsidRPr="00C13426">
                <w:rPr>
                  <w:rStyle w:val="Hyperlink"/>
                  <w:color w:val="auto"/>
                  <w:sz w:val="24"/>
                </w:rPr>
                <w:t>www.likumi.lv</w:t>
              </w:r>
            </w:hyperlink>
            <w:r w:rsidRPr="00C13426">
              <w:rPr>
                <w:sz w:val="24"/>
              </w:rPr>
              <w:t>.</w:t>
            </w:r>
          </w:p>
        </w:tc>
      </w:tr>
    </w:tbl>
    <w:p w14:paraId="39D22DEC" w14:textId="77777777" w:rsidR="00834BAF" w:rsidRDefault="00834BAF" w:rsidP="00213E3B"/>
    <w:tbl>
      <w:tblPr>
        <w:tblW w:w="500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203"/>
        <w:gridCol w:w="6050"/>
      </w:tblGrid>
      <w:tr w:rsidR="00213E3B" w:rsidRPr="00524322" w14:paraId="3BF37A65" w14:textId="77777777" w:rsidTr="00213E3B">
        <w:tc>
          <w:tcPr>
            <w:tcW w:w="0" w:type="auto"/>
            <w:gridSpan w:val="3"/>
            <w:tcBorders>
              <w:top w:val="outset" w:sz="6" w:space="0" w:color="auto"/>
              <w:bottom w:val="single" w:sz="4" w:space="0" w:color="auto"/>
            </w:tcBorders>
            <w:vAlign w:val="center"/>
          </w:tcPr>
          <w:p w14:paraId="7B671091" w14:textId="77777777" w:rsidR="00213E3B" w:rsidRPr="00524322" w:rsidRDefault="00213E3B" w:rsidP="00213E3B">
            <w:pPr>
              <w:pStyle w:val="naisnod"/>
              <w:spacing w:before="0" w:after="0"/>
              <w:ind w:left="357"/>
            </w:pPr>
            <w:r w:rsidRPr="00524322">
              <w:t>I. Tiesību akta projekta izstrādes nepieciešamība</w:t>
            </w:r>
          </w:p>
        </w:tc>
      </w:tr>
      <w:tr w:rsidR="00F24D71" w:rsidRPr="00D42CC4" w14:paraId="38CEE721" w14:textId="77777777" w:rsidTr="00213E3B">
        <w:tc>
          <w:tcPr>
            <w:tcW w:w="444" w:type="pct"/>
            <w:tcBorders>
              <w:top w:val="single" w:sz="4" w:space="0" w:color="auto"/>
              <w:left w:val="single" w:sz="4" w:space="0" w:color="auto"/>
              <w:bottom w:val="single" w:sz="4" w:space="0" w:color="auto"/>
              <w:right w:val="single" w:sz="4" w:space="0" w:color="auto"/>
            </w:tcBorders>
            <w:vAlign w:val="center"/>
          </w:tcPr>
          <w:p w14:paraId="62A5DC09" w14:textId="2657F9E5" w:rsidR="00F24D71" w:rsidRPr="00D42CC4" w:rsidRDefault="00213E3B" w:rsidP="00342C2B">
            <w:pPr>
              <w:pStyle w:val="naiskr"/>
              <w:ind w:left="180" w:hanging="180"/>
              <w:jc w:val="center"/>
            </w:pPr>
            <w:r>
              <w:t>1.</w:t>
            </w:r>
          </w:p>
        </w:tc>
        <w:tc>
          <w:tcPr>
            <w:tcW w:w="1216" w:type="pct"/>
            <w:tcBorders>
              <w:top w:val="single" w:sz="4" w:space="0" w:color="auto"/>
              <w:left w:val="single" w:sz="4" w:space="0" w:color="auto"/>
              <w:bottom w:val="single" w:sz="4" w:space="0" w:color="auto"/>
              <w:right w:val="single" w:sz="4" w:space="0" w:color="auto"/>
            </w:tcBorders>
            <w:vAlign w:val="center"/>
          </w:tcPr>
          <w:p w14:paraId="0FF71E36" w14:textId="1DC432A4" w:rsidR="00F24D71" w:rsidRPr="00D42CC4" w:rsidRDefault="00213E3B" w:rsidP="00342C2B">
            <w:pPr>
              <w:pStyle w:val="naiskr"/>
              <w:ind w:left="180" w:hanging="10"/>
            </w:pPr>
            <w:r>
              <w:t>Pamatojums</w:t>
            </w:r>
          </w:p>
        </w:tc>
        <w:tc>
          <w:tcPr>
            <w:tcW w:w="3340" w:type="pct"/>
            <w:tcBorders>
              <w:top w:val="single" w:sz="4" w:space="0" w:color="auto"/>
              <w:left w:val="single" w:sz="4" w:space="0" w:color="auto"/>
              <w:bottom w:val="single" w:sz="4" w:space="0" w:color="auto"/>
              <w:right w:val="single" w:sz="4" w:space="0" w:color="auto"/>
            </w:tcBorders>
          </w:tcPr>
          <w:p w14:paraId="7E60C431" w14:textId="77777777" w:rsidR="00F24D71" w:rsidRPr="00A956DA" w:rsidRDefault="00213E3B" w:rsidP="00213E3B">
            <w:pPr>
              <w:jc w:val="both"/>
              <w:rPr>
                <w:sz w:val="24"/>
              </w:rPr>
            </w:pPr>
            <w:r w:rsidRPr="00A956DA">
              <w:rPr>
                <w:sz w:val="24"/>
              </w:rPr>
              <w:t xml:space="preserve">Ministru kabineta 2019. gada 13. septembra (prot. Nr.41, 1.§ 19.p.) sēdē nolemtais, ka Labklājības ministrijai pēc konsultācijām ar sociālajiem partneriem jāizstrādā un noteiktā kārtībā jāiesniedz Ministru kabinetā grozījumi Ministru kabineta noteikumos par minimālās mēneša darba algas apmēru normālā darba laika ietvaros un minimālās stundas tarifa likmes aprēķināšanu, nosakot, ka minimālā mēneša darba alga tiek paaugstināta no 430 </w:t>
            </w:r>
            <w:proofErr w:type="spellStart"/>
            <w:r w:rsidRPr="00A956DA">
              <w:rPr>
                <w:i/>
                <w:sz w:val="24"/>
              </w:rPr>
              <w:t>euro</w:t>
            </w:r>
            <w:proofErr w:type="spellEnd"/>
            <w:r w:rsidRPr="00A956DA">
              <w:rPr>
                <w:sz w:val="24"/>
              </w:rPr>
              <w:t xml:space="preserve"> līdz 500 </w:t>
            </w:r>
            <w:proofErr w:type="spellStart"/>
            <w:r w:rsidRPr="00A956DA">
              <w:rPr>
                <w:i/>
                <w:sz w:val="24"/>
              </w:rPr>
              <w:t>euro</w:t>
            </w:r>
            <w:proofErr w:type="spellEnd"/>
            <w:r w:rsidRPr="00A956DA">
              <w:rPr>
                <w:i/>
                <w:sz w:val="24"/>
              </w:rPr>
              <w:t>,</w:t>
            </w:r>
            <w:r w:rsidRPr="00A956DA">
              <w:rPr>
                <w:sz w:val="24"/>
              </w:rPr>
              <w:t xml:space="preserve"> sākot ar 2021. gada 1. janvāri.</w:t>
            </w:r>
          </w:p>
          <w:p w14:paraId="65B71C63" w14:textId="77777777" w:rsidR="00A956DA" w:rsidRDefault="00A956DA" w:rsidP="00A956DA">
            <w:pPr>
              <w:jc w:val="both"/>
              <w:rPr>
                <w:sz w:val="24"/>
              </w:rPr>
            </w:pPr>
          </w:p>
          <w:p w14:paraId="7C392F0C" w14:textId="0285E537" w:rsidR="00B65BC1" w:rsidRPr="00A956DA" w:rsidRDefault="00B65BC1" w:rsidP="00A956DA">
            <w:pPr>
              <w:jc w:val="both"/>
              <w:rPr>
                <w:sz w:val="24"/>
              </w:rPr>
            </w:pPr>
            <w:r w:rsidRPr="00A956DA">
              <w:rPr>
                <w:sz w:val="24"/>
              </w:rPr>
              <w:t>Ar Ministru kabineta 2019. gada 7. maija rīkojumu Nr. 210 "Par Valdības rīcības plānu Deklarācijas par Artura Krišjāņa Kariņa vadītā Ministru kabineta iecerēto darbību īstenošanai" apstiprinātais Valdības rīcības plāns Deklarācijas par Artura Krišjāņa Kariņa vadītā Ministru kabineta iecerēto darbību īstenošanai paredz šādu uzdevumu: "6.2. Turpināt nodokļu sloga pārnesi no darbaspēka nodokļiem uz netiešajiem nodokļiem, ceļot minimālo algu un tuvinot neapliekamo minimumu minimālajai algai, kā arī vienkāršojot darbaspēka nodokļu piemērošanu".</w:t>
            </w:r>
          </w:p>
        </w:tc>
      </w:tr>
      <w:tr w:rsidR="00213E3B" w:rsidRPr="00D42CC4" w14:paraId="5E9AAD00" w14:textId="77777777" w:rsidTr="00213E3B">
        <w:tc>
          <w:tcPr>
            <w:tcW w:w="444" w:type="pct"/>
            <w:tcBorders>
              <w:top w:val="single" w:sz="4" w:space="0" w:color="auto"/>
              <w:left w:val="single" w:sz="4" w:space="0" w:color="auto"/>
              <w:bottom w:val="single" w:sz="4" w:space="0" w:color="auto"/>
              <w:right w:val="single" w:sz="4" w:space="0" w:color="auto"/>
            </w:tcBorders>
            <w:vAlign w:val="center"/>
          </w:tcPr>
          <w:p w14:paraId="0876FCB4" w14:textId="221F1C42" w:rsidR="00213E3B" w:rsidRPr="00D42CC4" w:rsidRDefault="00213E3B" w:rsidP="00213E3B">
            <w:pPr>
              <w:pStyle w:val="naiskr"/>
              <w:ind w:left="180" w:hanging="180"/>
              <w:jc w:val="center"/>
            </w:pPr>
            <w:r w:rsidRPr="00D42CC4">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14:paraId="57C92CA7" w14:textId="53126266" w:rsidR="00213E3B" w:rsidRPr="00DD49B6" w:rsidRDefault="00C96AF2" w:rsidP="00213E3B">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14:paraId="762604A9" w14:textId="052E66C0" w:rsidR="00213E3B" w:rsidRPr="003317D9" w:rsidRDefault="00213E3B" w:rsidP="00213E3B">
            <w:pPr>
              <w:pStyle w:val="Footer"/>
              <w:tabs>
                <w:tab w:val="clear" w:pos="4153"/>
                <w:tab w:val="clear" w:pos="8306"/>
              </w:tabs>
              <w:jc w:val="both"/>
              <w:rPr>
                <w:sz w:val="24"/>
              </w:rPr>
            </w:pPr>
            <w:r w:rsidRPr="003317D9">
              <w:rPr>
                <w:sz w:val="24"/>
              </w:rPr>
              <w:t>Pašreiz Ministru kabineta 201</w:t>
            </w:r>
            <w:r>
              <w:rPr>
                <w:sz w:val="24"/>
              </w:rPr>
              <w:t>5</w:t>
            </w:r>
            <w:r w:rsidRPr="003317D9">
              <w:rPr>
                <w:sz w:val="24"/>
              </w:rPr>
              <w:t>.</w:t>
            </w:r>
            <w:r>
              <w:rPr>
                <w:sz w:val="24"/>
              </w:rPr>
              <w:t> </w:t>
            </w:r>
            <w:r w:rsidRPr="003317D9">
              <w:rPr>
                <w:sz w:val="24"/>
              </w:rPr>
              <w:t xml:space="preserve">gada </w:t>
            </w:r>
            <w:r>
              <w:rPr>
                <w:sz w:val="24"/>
              </w:rPr>
              <w:t>24. novembra</w:t>
            </w:r>
            <w:r w:rsidRPr="003317D9">
              <w:rPr>
                <w:sz w:val="24"/>
              </w:rPr>
              <w:t xml:space="preserve"> noteikumi Nr.</w:t>
            </w:r>
            <w:r>
              <w:rPr>
                <w:sz w:val="24"/>
              </w:rPr>
              <w:t> </w:t>
            </w:r>
            <w:r w:rsidRPr="007E240F">
              <w:rPr>
                <w:sz w:val="24"/>
              </w:rPr>
              <w:t xml:space="preserve">656 „Noteikumi par minimālās mēneša darba algas apmēru normālā darba laika ietvaros un minimālās stundas tarifa likmes aprēķināšanu” </w:t>
            </w:r>
            <w:r>
              <w:rPr>
                <w:sz w:val="24"/>
              </w:rPr>
              <w:t xml:space="preserve">(turpmāk – noteikumi Nr.656) </w:t>
            </w:r>
            <w:r w:rsidRPr="007E240F">
              <w:rPr>
                <w:sz w:val="24"/>
              </w:rPr>
              <w:t xml:space="preserve">nosaka, ka minimālā mēneša darba alga ir </w:t>
            </w:r>
            <w:r>
              <w:rPr>
                <w:sz w:val="24"/>
              </w:rPr>
              <w:t>430</w:t>
            </w:r>
            <w:r w:rsidRPr="007E240F">
              <w:rPr>
                <w:sz w:val="24"/>
              </w:rPr>
              <w:t xml:space="preserve"> </w:t>
            </w:r>
            <w:proofErr w:type="spellStart"/>
            <w:r w:rsidRPr="001D5D81">
              <w:rPr>
                <w:sz w:val="24"/>
              </w:rPr>
              <w:t>euro</w:t>
            </w:r>
            <w:proofErr w:type="spellEnd"/>
            <w:r w:rsidRPr="003317D9">
              <w:rPr>
                <w:sz w:val="24"/>
              </w:rPr>
              <w:t>.</w:t>
            </w:r>
          </w:p>
          <w:p w14:paraId="2B8DACB3" w14:textId="77777777" w:rsidR="00213E3B" w:rsidRDefault="00213E3B" w:rsidP="00213E3B">
            <w:pPr>
              <w:jc w:val="both"/>
              <w:rPr>
                <w:sz w:val="24"/>
              </w:rPr>
            </w:pPr>
          </w:p>
          <w:p w14:paraId="752718AE" w14:textId="020DBE06" w:rsidR="00213E3B" w:rsidRDefault="00213E3B" w:rsidP="001D5D81">
            <w:pPr>
              <w:jc w:val="both"/>
              <w:rPr>
                <w:sz w:val="24"/>
              </w:rPr>
            </w:pPr>
            <w:r>
              <w:rPr>
                <w:sz w:val="24"/>
              </w:rPr>
              <w:t>Ministru kabineta 2019.</w:t>
            </w:r>
            <w:r w:rsidRPr="001D5D81">
              <w:rPr>
                <w:sz w:val="24"/>
              </w:rPr>
              <w:t> </w:t>
            </w:r>
            <w:r>
              <w:rPr>
                <w:sz w:val="24"/>
              </w:rPr>
              <w:t>gada 13. septembra (prot. Nr.41, 1.</w:t>
            </w:r>
            <w:r w:rsidRPr="00F12954">
              <w:rPr>
                <w:sz w:val="24"/>
              </w:rPr>
              <w:t>§</w:t>
            </w:r>
            <w:r>
              <w:rPr>
                <w:sz w:val="24"/>
              </w:rPr>
              <w:t xml:space="preserve"> 19.p.) sēdē Finanšu ministrijas </w:t>
            </w:r>
            <w:r w:rsidRPr="009B69DD">
              <w:rPr>
                <w:sz w:val="24"/>
              </w:rPr>
              <w:t>Informatīv</w:t>
            </w:r>
            <w:r>
              <w:rPr>
                <w:sz w:val="24"/>
              </w:rPr>
              <w:t>ā</w:t>
            </w:r>
            <w:r w:rsidRPr="009B69DD">
              <w:rPr>
                <w:sz w:val="24"/>
              </w:rPr>
              <w:t xml:space="preserve"> ziņojum</w:t>
            </w:r>
            <w:r>
              <w:rPr>
                <w:sz w:val="24"/>
              </w:rPr>
              <w:t>a</w:t>
            </w:r>
            <w:r w:rsidRPr="009B69DD">
              <w:rPr>
                <w:sz w:val="24"/>
              </w:rPr>
              <w:t xml:space="preserve"> "Par fiskālās telpas pasākumiem un izdevumiem prioritārajiem pasākumiem valsts budžetam 2020.</w:t>
            </w:r>
            <w:r>
              <w:rPr>
                <w:sz w:val="24"/>
              </w:rPr>
              <w:t> </w:t>
            </w:r>
            <w:r w:rsidRPr="009B69DD">
              <w:rPr>
                <w:sz w:val="24"/>
              </w:rPr>
              <w:t>gadam un ietvaram 2020.–2022.gadam"</w:t>
            </w:r>
            <w:r>
              <w:rPr>
                <w:sz w:val="24"/>
              </w:rPr>
              <w:t xml:space="preserve"> ietvaros tika atbalstīta m</w:t>
            </w:r>
            <w:r w:rsidRPr="009B69DD">
              <w:rPr>
                <w:sz w:val="24"/>
              </w:rPr>
              <w:t>inimālās mēneša darba algas paaugstināšan</w:t>
            </w:r>
            <w:r>
              <w:rPr>
                <w:sz w:val="24"/>
              </w:rPr>
              <w:t>a</w:t>
            </w:r>
            <w:r w:rsidRPr="009B69DD">
              <w:rPr>
                <w:sz w:val="24"/>
              </w:rPr>
              <w:t xml:space="preserve"> – 500 </w:t>
            </w:r>
            <w:proofErr w:type="spellStart"/>
            <w:r w:rsidRPr="001D5D81">
              <w:rPr>
                <w:sz w:val="24"/>
              </w:rPr>
              <w:t>euro</w:t>
            </w:r>
            <w:proofErr w:type="spellEnd"/>
            <w:r w:rsidRPr="009B69DD">
              <w:rPr>
                <w:sz w:val="24"/>
              </w:rPr>
              <w:t xml:space="preserve"> ar 2021.</w:t>
            </w:r>
            <w:r>
              <w:rPr>
                <w:sz w:val="24"/>
              </w:rPr>
              <w:t> </w:t>
            </w:r>
            <w:r w:rsidRPr="009B69DD">
              <w:rPr>
                <w:sz w:val="24"/>
              </w:rPr>
              <w:t>gadu</w:t>
            </w:r>
            <w:r>
              <w:rPr>
                <w:sz w:val="24"/>
              </w:rPr>
              <w:t>.</w:t>
            </w:r>
          </w:p>
          <w:p w14:paraId="4FD86B4B" w14:textId="77777777" w:rsidR="001D5D81" w:rsidRDefault="001D5D81" w:rsidP="001D5D81">
            <w:pPr>
              <w:pStyle w:val="Heading4"/>
              <w:shd w:val="clear" w:color="auto" w:fill="FFFFFF"/>
              <w:jc w:val="both"/>
              <w:rPr>
                <w:rFonts w:ascii="Times New Roman" w:eastAsia="Times New Roman" w:hAnsi="Times New Roman" w:cs="Times New Roman"/>
                <w:i w:val="0"/>
                <w:iCs w:val="0"/>
                <w:color w:val="auto"/>
                <w:sz w:val="24"/>
              </w:rPr>
            </w:pPr>
          </w:p>
          <w:p w14:paraId="5BC2E366" w14:textId="433098E4" w:rsidR="00213E3B" w:rsidRPr="003317D9" w:rsidRDefault="00213E3B" w:rsidP="00213E3B">
            <w:pPr>
              <w:pStyle w:val="Footer"/>
              <w:tabs>
                <w:tab w:val="clear" w:pos="4153"/>
                <w:tab w:val="clear" w:pos="8306"/>
              </w:tabs>
              <w:jc w:val="both"/>
              <w:rPr>
                <w:sz w:val="24"/>
              </w:rPr>
            </w:pPr>
            <w:r w:rsidRPr="003317D9">
              <w:rPr>
                <w:sz w:val="24"/>
              </w:rPr>
              <w:t xml:space="preserve">Lai nodrošinātu tiesisku pamatu minimālās mēneša darba algas </w:t>
            </w:r>
            <w:r>
              <w:rPr>
                <w:sz w:val="24"/>
              </w:rPr>
              <w:t xml:space="preserve">apmēram </w:t>
            </w:r>
            <w:r w:rsidRPr="003317D9">
              <w:rPr>
                <w:sz w:val="24"/>
              </w:rPr>
              <w:t xml:space="preserve">un minimālās stundas tarifa likmes </w:t>
            </w:r>
            <w:r>
              <w:rPr>
                <w:sz w:val="24"/>
              </w:rPr>
              <w:t>aprēķināšanai,</w:t>
            </w:r>
            <w:r w:rsidRPr="003317D9">
              <w:rPr>
                <w:sz w:val="24"/>
              </w:rPr>
              <w:t xml:space="preserve"> </w:t>
            </w:r>
            <w:r>
              <w:rPr>
                <w:sz w:val="24"/>
              </w:rPr>
              <w:t>Labklājības ministrija ir izstrādājusi noteikumu</w:t>
            </w:r>
            <w:r w:rsidR="004E0818">
              <w:rPr>
                <w:sz w:val="24"/>
              </w:rPr>
              <w:t xml:space="preserve"> projektu</w:t>
            </w:r>
            <w:r w:rsidRPr="003317D9">
              <w:rPr>
                <w:sz w:val="24"/>
              </w:rPr>
              <w:t xml:space="preserve">, </w:t>
            </w:r>
            <w:r>
              <w:rPr>
                <w:sz w:val="24"/>
              </w:rPr>
              <w:t>kurā</w:t>
            </w:r>
            <w:r w:rsidRPr="003317D9">
              <w:rPr>
                <w:sz w:val="24"/>
              </w:rPr>
              <w:t xml:space="preserve"> noteik</w:t>
            </w:r>
            <w:r>
              <w:rPr>
                <w:sz w:val="24"/>
              </w:rPr>
              <w:t xml:space="preserve">ts, ka </w:t>
            </w:r>
            <w:r w:rsidRPr="003317D9">
              <w:rPr>
                <w:sz w:val="24"/>
              </w:rPr>
              <w:t>minimāl</w:t>
            </w:r>
            <w:r>
              <w:rPr>
                <w:sz w:val="24"/>
              </w:rPr>
              <w:t>ā</w:t>
            </w:r>
            <w:r w:rsidRPr="003317D9">
              <w:rPr>
                <w:sz w:val="24"/>
              </w:rPr>
              <w:t xml:space="preserve"> mēneša </w:t>
            </w:r>
            <w:r w:rsidRPr="00E75E11">
              <w:rPr>
                <w:sz w:val="24"/>
              </w:rPr>
              <w:t>darba alg</w:t>
            </w:r>
            <w:r>
              <w:rPr>
                <w:sz w:val="24"/>
              </w:rPr>
              <w:t>a</w:t>
            </w:r>
            <w:r w:rsidRPr="00E75E11">
              <w:rPr>
                <w:sz w:val="24"/>
              </w:rPr>
              <w:t xml:space="preserve"> </w:t>
            </w:r>
            <w:r>
              <w:rPr>
                <w:sz w:val="24"/>
              </w:rPr>
              <w:t>500</w:t>
            </w:r>
            <w:r w:rsidRPr="00E75E11">
              <w:rPr>
                <w:sz w:val="24"/>
              </w:rPr>
              <w:t xml:space="preserve"> </w:t>
            </w:r>
            <w:proofErr w:type="spellStart"/>
            <w:r w:rsidRPr="001D5D81">
              <w:rPr>
                <w:sz w:val="24"/>
              </w:rPr>
              <w:t>euro</w:t>
            </w:r>
            <w:proofErr w:type="spellEnd"/>
            <w:r w:rsidRPr="00E75E11">
              <w:rPr>
                <w:sz w:val="24"/>
              </w:rPr>
              <w:t xml:space="preserve"> apmērā</w:t>
            </w:r>
            <w:r>
              <w:rPr>
                <w:sz w:val="24"/>
              </w:rPr>
              <w:t xml:space="preserve"> ir sākot ar 2021.</w:t>
            </w:r>
            <w:r w:rsidR="00CF0718">
              <w:rPr>
                <w:sz w:val="24"/>
              </w:rPr>
              <w:t> </w:t>
            </w:r>
            <w:r>
              <w:rPr>
                <w:sz w:val="24"/>
              </w:rPr>
              <w:t>gada 1.</w:t>
            </w:r>
            <w:r w:rsidR="00CF0718">
              <w:rPr>
                <w:sz w:val="24"/>
              </w:rPr>
              <w:t> </w:t>
            </w:r>
            <w:r>
              <w:rPr>
                <w:sz w:val="24"/>
              </w:rPr>
              <w:t>janvāri.</w:t>
            </w:r>
          </w:p>
        </w:tc>
      </w:tr>
      <w:tr w:rsidR="00213E3B" w:rsidRPr="00D42CC4" w14:paraId="14A67B46" w14:textId="77777777" w:rsidTr="00213E3B">
        <w:tc>
          <w:tcPr>
            <w:tcW w:w="444" w:type="pct"/>
            <w:tcBorders>
              <w:top w:val="single" w:sz="4" w:space="0" w:color="auto"/>
              <w:left w:val="single" w:sz="4" w:space="0" w:color="auto"/>
              <w:bottom w:val="single" w:sz="4" w:space="0" w:color="auto"/>
              <w:right w:val="single" w:sz="4" w:space="0" w:color="auto"/>
            </w:tcBorders>
            <w:vAlign w:val="center"/>
          </w:tcPr>
          <w:p w14:paraId="7485BBEB" w14:textId="73F39475" w:rsidR="00213E3B" w:rsidRPr="00D80845" w:rsidRDefault="00213E3B" w:rsidP="00213E3B">
            <w:pPr>
              <w:pStyle w:val="naiskr"/>
              <w:ind w:left="180" w:hanging="180"/>
              <w:jc w:val="center"/>
            </w:pPr>
            <w:r w:rsidRPr="00D42CC4">
              <w:t>3.</w:t>
            </w:r>
          </w:p>
        </w:tc>
        <w:tc>
          <w:tcPr>
            <w:tcW w:w="1216" w:type="pct"/>
            <w:tcBorders>
              <w:top w:val="single" w:sz="4" w:space="0" w:color="auto"/>
              <w:left w:val="single" w:sz="4" w:space="0" w:color="auto"/>
              <w:bottom w:val="single" w:sz="4" w:space="0" w:color="auto"/>
              <w:right w:val="single" w:sz="4" w:space="0" w:color="auto"/>
            </w:tcBorders>
            <w:vAlign w:val="center"/>
          </w:tcPr>
          <w:p w14:paraId="49872BE5" w14:textId="49FEDC25" w:rsidR="00213E3B" w:rsidRPr="006047B8" w:rsidRDefault="00C96AF2" w:rsidP="00213E3B">
            <w:pPr>
              <w:pStyle w:val="naiskr"/>
              <w:ind w:left="180" w:hanging="10"/>
            </w:pPr>
            <w:r w:rsidRPr="00524322">
              <w:t>Projekta izstrādē iesaistītās institūcijas</w:t>
            </w:r>
            <w:r>
              <w:t xml:space="preserve"> un publiskas personas kapitālsabiedrības</w:t>
            </w:r>
          </w:p>
        </w:tc>
        <w:tc>
          <w:tcPr>
            <w:tcW w:w="3340" w:type="pct"/>
            <w:tcBorders>
              <w:top w:val="single" w:sz="4" w:space="0" w:color="auto"/>
              <w:left w:val="single" w:sz="4" w:space="0" w:color="auto"/>
              <w:bottom w:val="single" w:sz="4" w:space="0" w:color="auto"/>
              <w:right w:val="single" w:sz="4" w:space="0" w:color="auto"/>
            </w:tcBorders>
            <w:vAlign w:val="center"/>
          </w:tcPr>
          <w:p w14:paraId="686751C0" w14:textId="77777777" w:rsidR="00B65BC1" w:rsidRPr="00A956DA" w:rsidRDefault="00041642" w:rsidP="00213E3B">
            <w:pPr>
              <w:spacing w:after="60"/>
              <w:jc w:val="both"/>
              <w:rPr>
                <w:sz w:val="24"/>
                <w:lang w:eastAsia="lv-LV"/>
              </w:rPr>
            </w:pPr>
            <w:r w:rsidRPr="00A956DA">
              <w:rPr>
                <w:iCs/>
                <w:sz w:val="24"/>
              </w:rPr>
              <w:t>Noteikumu p</w:t>
            </w:r>
            <w:r w:rsidR="00213E3B" w:rsidRPr="00A956DA">
              <w:rPr>
                <w:iCs/>
                <w:sz w:val="24"/>
              </w:rPr>
              <w:t xml:space="preserve">rojekta izstrādē piedalījās </w:t>
            </w:r>
            <w:r w:rsidR="007B202D" w:rsidRPr="00A956DA">
              <w:rPr>
                <w:iCs/>
                <w:sz w:val="24"/>
              </w:rPr>
              <w:t xml:space="preserve">Valsts kanceleja, </w:t>
            </w:r>
            <w:r w:rsidR="007B202D" w:rsidRPr="00A956DA">
              <w:rPr>
                <w:sz w:val="24"/>
                <w:lang w:eastAsia="lv-LV"/>
              </w:rPr>
              <w:t>kas sagatavoja aprēķinus par papildu nepieciešamiem pamatbudžeta izdevumiem</w:t>
            </w:r>
            <w:r w:rsidR="00B65BC1" w:rsidRPr="00A956DA">
              <w:rPr>
                <w:sz w:val="24"/>
                <w:lang w:eastAsia="lv-LV"/>
              </w:rPr>
              <w:t xml:space="preserve"> valsts budžeta iestādēm. </w:t>
            </w:r>
          </w:p>
          <w:p w14:paraId="61ABBE0A" w14:textId="6CDDF1C7" w:rsidR="00213E3B" w:rsidRPr="007F0BB5" w:rsidRDefault="00B65BC1" w:rsidP="00213E3B">
            <w:pPr>
              <w:spacing w:after="60"/>
              <w:jc w:val="both"/>
              <w:rPr>
                <w:sz w:val="24"/>
              </w:rPr>
            </w:pPr>
            <w:r w:rsidRPr="00A956DA">
              <w:rPr>
                <w:iCs/>
                <w:sz w:val="24"/>
              </w:rPr>
              <w:t>A</w:t>
            </w:r>
            <w:r w:rsidR="007B202D" w:rsidRPr="00A956DA">
              <w:rPr>
                <w:iCs/>
                <w:sz w:val="24"/>
              </w:rPr>
              <w:t xml:space="preserve">prēķini par </w:t>
            </w:r>
            <w:r w:rsidR="007B202D" w:rsidRPr="00A956DA">
              <w:rPr>
                <w:sz w:val="24"/>
                <w:lang w:eastAsia="lv-LV"/>
              </w:rPr>
              <w:t>papildu budžeta ieņēmumiem</w:t>
            </w:r>
            <w:r w:rsidR="007B202D" w:rsidRPr="00A956DA">
              <w:rPr>
                <w:iCs/>
                <w:sz w:val="24"/>
              </w:rPr>
              <w:t xml:space="preserve"> balstīti uz </w:t>
            </w:r>
            <w:r w:rsidR="00213E3B" w:rsidRPr="00A956DA">
              <w:rPr>
                <w:iCs/>
                <w:sz w:val="24"/>
              </w:rPr>
              <w:t>Finanšu ministrija</w:t>
            </w:r>
            <w:r w:rsidR="007B202D" w:rsidRPr="00A956DA">
              <w:rPr>
                <w:iCs/>
                <w:sz w:val="24"/>
              </w:rPr>
              <w:t>s aprēķiniem, kas veikti 2019.</w:t>
            </w:r>
            <w:r w:rsidR="009661C7">
              <w:rPr>
                <w:iCs/>
                <w:sz w:val="24"/>
              </w:rPr>
              <w:t> </w:t>
            </w:r>
            <w:r w:rsidR="007B202D" w:rsidRPr="00A956DA">
              <w:rPr>
                <w:iCs/>
                <w:sz w:val="24"/>
              </w:rPr>
              <w:t>gadā</w:t>
            </w:r>
            <w:r w:rsidRPr="00A956DA">
              <w:rPr>
                <w:iCs/>
                <w:sz w:val="24"/>
              </w:rPr>
              <w:t>, bet nav aktualizēti 2020.</w:t>
            </w:r>
            <w:r w:rsidR="009661C7">
              <w:rPr>
                <w:iCs/>
                <w:sz w:val="24"/>
              </w:rPr>
              <w:t> </w:t>
            </w:r>
            <w:r w:rsidRPr="00A956DA">
              <w:rPr>
                <w:iCs/>
                <w:sz w:val="24"/>
              </w:rPr>
              <w:t>gadā</w:t>
            </w:r>
            <w:r w:rsidR="007B202D" w:rsidRPr="00A956DA">
              <w:rPr>
                <w:iCs/>
                <w:sz w:val="24"/>
              </w:rPr>
              <w:t>.</w:t>
            </w:r>
          </w:p>
        </w:tc>
      </w:tr>
      <w:tr w:rsidR="00213E3B" w:rsidRPr="00D42CC4" w14:paraId="0B4A0D62" w14:textId="77777777" w:rsidTr="00213E3B">
        <w:tc>
          <w:tcPr>
            <w:tcW w:w="444" w:type="pct"/>
            <w:tcBorders>
              <w:top w:val="single" w:sz="4" w:space="0" w:color="auto"/>
              <w:left w:val="single" w:sz="4" w:space="0" w:color="auto"/>
              <w:bottom w:val="single" w:sz="4" w:space="0" w:color="auto"/>
              <w:right w:val="single" w:sz="4" w:space="0" w:color="auto"/>
            </w:tcBorders>
            <w:vAlign w:val="center"/>
          </w:tcPr>
          <w:p w14:paraId="51D3E6A6" w14:textId="77777777" w:rsidR="00213E3B" w:rsidRPr="00D42CC4" w:rsidRDefault="00213E3B" w:rsidP="00213E3B">
            <w:pPr>
              <w:pStyle w:val="naiskr"/>
              <w:ind w:left="180" w:hanging="180"/>
              <w:jc w:val="center"/>
            </w:pPr>
            <w:r>
              <w:t>4</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14:paraId="49444D50" w14:textId="77777777" w:rsidR="00213E3B" w:rsidRPr="00D42CC4" w:rsidRDefault="00213E3B" w:rsidP="00213E3B">
            <w:pPr>
              <w:pStyle w:val="naiskr"/>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14:paraId="5C56DC30" w14:textId="77777777" w:rsidR="00213E3B" w:rsidRPr="00D42CC4" w:rsidRDefault="00213E3B" w:rsidP="00213E3B">
            <w:pPr>
              <w:jc w:val="both"/>
              <w:rPr>
                <w:iCs/>
                <w:sz w:val="24"/>
              </w:rPr>
            </w:pPr>
            <w:r>
              <w:rPr>
                <w:rFonts w:eastAsia="Batang"/>
                <w:color w:val="000000"/>
                <w:sz w:val="24"/>
                <w:lang w:eastAsia="ko-KR"/>
              </w:rPr>
              <w:t>Nav.</w:t>
            </w:r>
          </w:p>
        </w:tc>
      </w:tr>
    </w:tbl>
    <w:p w14:paraId="0657052B" w14:textId="77777777" w:rsidR="00834BAF" w:rsidRPr="00D42CC4" w:rsidRDefault="00834BAF" w:rsidP="00124F71">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204"/>
        <w:gridCol w:w="6053"/>
      </w:tblGrid>
      <w:tr w:rsidR="00124F71" w:rsidRPr="00D42CC4" w14:paraId="29871F23" w14:textId="77777777" w:rsidTr="00342C2B">
        <w:tc>
          <w:tcPr>
            <w:tcW w:w="5000" w:type="pct"/>
            <w:gridSpan w:val="3"/>
            <w:tcBorders>
              <w:top w:val="single" w:sz="4" w:space="0" w:color="auto"/>
              <w:left w:val="single" w:sz="4" w:space="0" w:color="auto"/>
              <w:bottom w:val="single" w:sz="4" w:space="0" w:color="auto"/>
              <w:right w:val="single" w:sz="4" w:space="0" w:color="auto"/>
            </w:tcBorders>
            <w:vAlign w:val="center"/>
          </w:tcPr>
          <w:p w14:paraId="4843F3CE" w14:textId="77777777" w:rsidR="00124F71" w:rsidRPr="0058204F" w:rsidRDefault="00124F71" w:rsidP="00342C2B">
            <w:pPr>
              <w:pStyle w:val="naisnod"/>
              <w:spacing w:before="0" w:after="0"/>
              <w:ind w:left="57" w:right="57"/>
            </w:pPr>
            <w:r w:rsidRPr="0058204F">
              <w:t>II</w:t>
            </w:r>
            <w:r>
              <w:t>.</w:t>
            </w:r>
            <w:r w:rsidRPr="0058204F">
              <w:t xml:space="preserve"> Tiesību akta projekta ietekme uz sabiedrību, tautsaimniecības attīstību</w:t>
            </w:r>
          </w:p>
          <w:p w14:paraId="71ECEE83" w14:textId="77777777" w:rsidR="00124F71" w:rsidRPr="00D42CC4" w:rsidRDefault="00124F71" w:rsidP="00342C2B">
            <w:pPr>
              <w:jc w:val="center"/>
              <w:rPr>
                <w:b/>
                <w:iCs/>
                <w:sz w:val="24"/>
              </w:rPr>
            </w:pPr>
            <w:r w:rsidRPr="0058204F">
              <w:rPr>
                <w:b/>
                <w:sz w:val="24"/>
              </w:rPr>
              <w:t>un administratīvo slogu</w:t>
            </w:r>
          </w:p>
        </w:tc>
      </w:tr>
      <w:tr w:rsidR="00124F71" w:rsidRPr="00D42CC4" w14:paraId="0FB6B270"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3FC24BD2" w14:textId="77777777" w:rsidR="00124F71" w:rsidRPr="00D42CC4" w:rsidRDefault="00124F71" w:rsidP="00342C2B">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14:paraId="1BE3836B" w14:textId="77777777" w:rsidR="00124F71" w:rsidRPr="00D42CC4" w:rsidRDefault="00124F71" w:rsidP="00342C2B">
            <w:pPr>
              <w:pStyle w:val="naiskr"/>
              <w:ind w:left="180" w:hanging="10"/>
            </w:pPr>
            <w:r w:rsidRPr="00DD49B6">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14:paraId="13D88B29" w14:textId="74A56F5F" w:rsidR="002E330C" w:rsidRPr="00E96874" w:rsidRDefault="002E330C" w:rsidP="002E330C">
            <w:pPr>
              <w:ind w:right="3"/>
              <w:jc w:val="both"/>
              <w:rPr>
                <w:sz w:val="24"/>
              </w:rPr>
            </w:pPr>
            <w:r w:rsidRPr="00E96874">
              <w:rPr>
                <w:sz w:val="24"/>
              </w:rPr>
              <w:t xml:space="preserve">Noteikumu projekts attiecas uz darba devējiem un darba ņēmējiem. Saskaņā ar </w:t>
            </w:r>
            <w:r w:rsidR="004B15BE" w:rsidRPr="00E96874">
              <w:rPr>
                <w:sz w:val="24"/>
              </w:rPr>
              <w:t>Centrālās statistikas pārvaldes (</w:t>
            </w:r>
            <w:r w:rsidRPr="00E96874">
              <w:rPr>
                <w:sz w:val="24"/>
              </w:rPr>
              <w:t>CSP</w:t>
            </w:r>
            <w:r w:rsidR="004B15BE" w:rsidRPr="00E96874">
              <w:rPr>
                <w:sz w:val="24"/>
              </w:rPr>
              <w:t>)</w:t>
            </w:r>
            <w:r w:rsidRPr="00E96874">
              <w:rPr>
                <w:sz w:val="24"/>
              </w:rPr>
              <w:t xml:space="preserve"> veiktā Darbaspēka </w:t>
            </w:r>
            <w:proofErr w:type="spellStart"/>
            <w:r w:rsidRPr="00E96874">
              <w:rPr>
                <w:sz w:val="24"/>
              </w:rPr>
              <w:t>apsekojuma</w:t>
            </w:r>
            <w:proofErr w:type="spellEnd"/>
            <w:r w:rsidRPr="00E96874">
              <w:rPr>
                <w:sz w:val="24"/>
              </w:rPr>
              <w:t xml:space="preserve"> datiem, 2020.</w:t>
            </w:r>
            <w:r w:rsidR="009661C7">
              <w:rPr>
                <w:sz w:val="24"/>
              </w:rPr>
              <w:t> </w:t>
            </w:r>
            <w:r w:rsidRPr="00E96874">
              <w:rPr>
                <w:sz w:val="24"/>
              </w:rPr>
              <w:t>gad</w:t>
            </w:r>
            <w:r w:rsidR="007F0BB5" w:rsidRPr="00E96874">
              <w:rPr>
                <w:sz w:val="24"/>
              </w:rPr>
              <w:t>a</w:t>
            </w:r>
            <w:r w:rsidRPr="00E96874">
              <w:rPr>
                <w:sz w:val="24"/>
              </w:rPr>
              <w:t xml:space="preserve"> 1.</w:t>
            </w:r>
            <w:r w:rsidR="009661C7">
              <w:rPr>
                <w:sz w:val="24"/>
              </w:rPr>
              <w:t> </w:t>
            </w:r>
            <w:r w:rsidRPr="00E96874">
              <w:rPr>
                <w:sz w:val="24"/>
              </w:rPr>
              <w:t>ceturksnī darba ņēmēju skaits bija 786,2 tūkst. un darba devēju skaits – 43,1 tūkst.</w:t>
            </w:r>
          </w:p>
          <w:p w14:paraId="001AC3C5" w14:textId="77777777" w:rsidR="009D53B5" w:rsidRPr="00E96874" w:rsidRDefault="009D53B5" w:rsidP="00342C2B">
            <w:pPr>
              <w:jc w:val="both"/>
              <w:rPr>
                <w:sz w:val="24"/>
              </w:rPr>
            </w:pPr>
          </w:p>
          <w:p w14:paraId="55F02ACB" w14:textId="03697784" w:rsidR="00124F71" w:rsidRPr="00E96874" w:rsidRDefault="00124F71" w:rsidP="00342C2B">
            <w:pPr>
              <w:jc w:val="both"/>
              <w:rPr>
                <w:sz w:val="24"/>
              </w:rPr>
            </w:pPr>
            <w:r w:rsidRPr="00E96874">
              <w:rPr>
                <w:sz w:val="24"/>
              </w:rPr>
              <w:t>Dati par darba ņēmēju skaita sadalījumu pēc darba ienākumiem iegūti, apkopojot Valsts ieņēmumu dienestā iesniegtos darba devēju ziņojumus par valsts sociālās apdrošināšanas obligātajām iemaksām no darba ņēmēju darba ienākumiem, iedzīvotāju ienākuma nodokli un uzņēmējdarbības riska valsts nodevu pārskata mēnesī „Ziņojums par valsts sociālās apdrošināšanas obligātajām iemaksām no darba ņēmēju darba ienākumiem, iedzīvotāju ienākuma nodokli un uzņēmējdarbības riska valsts nodevu pārskata mēnesī”</w:t>
            </w:r>
            <w:r w:rsidR="00DA3078" w:rsidRPr="00E96874">
              <w:rPr>
                <w:sz w:val="24"/>
              </w:rPr>
              <w:t xml:space="preserve"> (turpm</w:t>
            </w:r>
            <w:r w:rsidR="00825949" w:rsidRPr="00E96874">
              <w:rPr>
                <w:sz w:val="24"/>
              </w:rPr>
              <w:t>āk – Ziņojums)</w:t>
            </w:r>
            <w:r w:rsidRPr="00E96874">
              <w:rPr>
                <w:sz w:val="24"/>
              </w:rPr>
              <w:t xml:space="preserve">. Tā kā pēc darba devēju ikmēneša </w:t>
            </w:r>
            <w:r w:rsidR="00825949" w:rsidRPr="00E96874">
              <w:rPr>
                <w:sz w:val="24"/>
              </w:rPr>
              <w:t>Z</w:t>
            </w:r>
            <w:r w:rsidRPr="00E96874">
              <w:rPr>
                <w:sz w:val="24"/>
              </w:rPr>
              <w:t xml:space="preserve">iņojumiem par katru darba ņēmēju nevar noteikt, vai viņš strādā normālo vai nepilnu darba laiku, darba </w:t>
            </w:r>
            <w:r w:rsidRPr="00E96874">
              <w:rPr>
                <w:sz w:val="24"/>
              </w:rPr>
              <w:lastRenderedPageBreak/>
              <w:t xml:space="preserve">ņēmēju skaitā iekļauti visi darba ņēmēji, kuriem pārskata periodā aprēķināti darba ienākumi, neskatoties uz nostrādāto stundu skaitu. </w:t>
            </w:r>
            <w:r w:rsidR="00896FAA" w:rsidRPr="00E96874">
              <w:rPr>
                <w:sz w:val="24"/>
              </w:rPr>
              <w:t>Turklāt</w:t>
            </w:r>
            <w:r w:rsidRPr="00E96874">
              <w:rPr>
                <w:sz w:val="24"/>
              </w:rPr>
              <w:t>, viena persona iekļauta tikai vienu reizi, summējot ienākumus pie visiem darba devējiem.</w:t>
            </w:r>
          </w:p>
          <w:p w14:paraId="18F17D88" w14:textId="77777777" w:rsidR="009D53B5" w:rsidRPr="00E96874" w:rsidRDefault="009D53B5" w:rsidP="002E330C">
            <w:pPr>
              <w:jc w:val="both"/>
              <w:rPr>
                <w:sz w:val="24"/>
              </w:rPr>
            </w:pPr>
          </w:p>
          <w:p w14:paraId="1581195E" w14:textId="09AE8F58" w:rsidR="007F0BB5" w:rsidRPr="00E96874" w:rsidRDefault="00FF46E3" w:rsidP="002E330C">
            <w:pPr>
              <w:jc w:val="both"/>
              <w:rPr>
                <w:sz w:val="24"/>
              </w:rPr>
            </w:pPr>
            <w:r w:rsidRPr="00E96874">
              <w:rPr>
                <w:sz w:val="24"/>
              </w:rPr>
              <w:t xml:space="preserve">Pēdējie </w:t>
            </w:r>
            <w:r w:rsidR="004B15BE" w:rsidRPr="00E96874">
              <w:rPr>
                <w:sz w:val="24"/>
              </w:rPr>
              <w:t xml:space="preserve">pieejamie </w:t>
            </w:r>
            <w:r w:rsidRPr="00E96874">
              <w:rPr>
                <w:sz w:val="24"/>
              </w:rPr>
              <w:t xml:space="preserve">CSP statistikas dati </w:t>
            </w:r>
            <w:r w:rsidR="004B15BE" w:rsidRPr="00E96874">
              <w:rPr>
                <w:sz w:val="24"/>
              </w:rPr>
              <w:t xml:space="preserve">ir </w:t>
            </w:r>
            <w:r w:rsidRPr="00E96874">
              <w:rPr>
                <w:sz w:val="24"/>
              </w:rPr>
              <w:t>u</w:t>
            </w:r>
            <w:r w:rsidR="005C32ED" w:rsidRPr="00E96874">
              <w:rPr>
                <w:sz w:val="24"/>
              </w:rPr>
              <w:t xml:space="preserve">z </w:t>
            </w:r>
            <w:r w:rsidR="00C37224" w:rsidRPr="00E96874">
              <w:rPr>
                <w:sz w:val="24"/>
              </w:rPr>
              <w:t>2020.</w:t>
            </w:r>
            <w:r w:rsidR="009661C7">
              <w:rPr>
                <w:sz w:val="24"/>
              </w:rPr>
              <w:t> </w:t>
            </w:r>
            <w:r w:rsidR="005C32ED" w:rsidRPr="00E96874">
              <w:rPr>
                <w:sz w:val="24"/>
              </w:rPr>
              <w:t xml:space="preserve">gada </w:t>
            </w:r>
            <w:r w:rsidR="00C37224" w:rsidRPr="00E96874">
              <w:rPr>
                <w:sz w:val="24"/>
              </w:rPr>
              <w:t>februāri</w:t>
            </w:r>
            <w:r w:rsidRPr="00E96874">
              <w:rPr>
                <w:sz w:val="24"/>
              </w:rPr>
              <w:t>:</w:t>
            </w:r>
          </w:p>
          <w:p w14:paraId="05E8E12B" w14:textId="4B287DC2" w:rsidR="007F0BB5" w:rsidRPr="00E96874" w:rsidRDefault="00F8483A" w:rsidP="002E330C">
            <w:pPr>
              <w:jc w:val="both"/>
              <w:rPr>
                <w:sz w:val="24"/>
              </w:rPr>
            </w:pPr>
            <w:r w:rsidRPr="00E96874">
              <w:rPr>
                <w:sz w:val="24"/>
              </w:rPr>
              <w:t>– d</w:t>
            </w:r>
            <w:r w:rsidR="005C32ED" w:rsidRPr="00E96874">
              <w:rPr>
                <w:sz w:val="24"/>
              </w:rPr>
              <w:t xml:space="preserve">arba ņēmēju skaits, kuriem darba ienākumi ir minimālās mēneša darba algas apmērā </w:t>
            </w:r>
            <w:r w:rsidR="00C2122D" w:rsidRPr="00E96874">
              <w:rPr>
                <w:sz w:val="24"/>
              </w:rPr>
              <w:t>430</w:t>
            </w:r>
            <w:r w:rsidR="005C32ED" w:rsidRPr="00E96874">
              <w:rPr>
                <w:sz w:val="24"/>
              </w:rPr>
              <w:t xml:space="preserve"> </w:t>
            </w:r>
            <w:proofErr w:type="spellStart"/>
            <w:r w:rsidR="005C32ED" w:rsidRPr="00E96874">
              <w:rPr>
                <w:i/>
                <w:sz w:val="24"/>
              </w:rPr>
              <w:t>euro</w:t>
            </w:r>
            <w:proofErr w:type="spellEnd"/>
            <w:r w:rsidR="005C32ED" w:rsidRPr="00E96874">
              <w:rPr>
                <w:sz w:val="24"/>
              </w:rPr>
              <w:t xml:space="preserve"> un mazāk, bija </w:t>
            </w:r>
            <w:r w:rsidR="00FF46E3" w:rsidRPr="00E96874">
              <w:rPr>
                <w:sz w:val="24"/>
              </w:rPr>
              <w:t>1</w:t>
            </w:r>
            <w:r w:rsidR="00C2122D" w:rsidRPr="00E96874">
              <w:rPr>
                <w:sz w:val="24"/>
              </w:rPr>
              <w:t>4</w:t>
            </w:r>
            <w:r w:rsidR="00C37224" w:rsidRPr="00E96874">
              <w:rPr>
                <w:sz w:val="24"/>
              </w:rPr>
              <w:t>7</w:t>
            </w:r>
            <w:r w:rsidR="00FF46E3" w:rsidRPr="00E96874">
              <w:rPr>
                <w:sz w:val="24"/>
              </w:rPr>
              <w:t>,</w:t>
            </w:r>
            <w:r w:rsidR="00C37224" w:rsidRPr="00E96874">
              <w:rPr>
                <w:sz w:val="24"/>
              </w:rPr>
              <w:t>0</w:t>
            </w:r>
            <w:r w:rsidR="00FF46E3" w:rsidRPr="00E96874">
              <w:rPr>
                <w:sz w:val="24"/>
              </w:rPr>
              <w:t> </w:t>
            </w:r>
            <w:r w:rsidR="005C32ED" w:rsidRPr="00E96874">
              <w:rPr>
                <w:sz w:val="24"/>
              </w:rPr>
              <w:t>tūkst. cilvēku</w:t>
            </w:r>
            <w:r w:rsidR="005C32ED" w:rsidRPr="00E96874">
              <w:rPr>
                <w:bCs/>
                <w:sz w:val="24"/>
              </w:rPr>
              <w:t>,</w:t>
            </w:r>
            <w:r w:rsidR="005C32ED" w:rsidRPr="00E96874">
              <w:rPr>
                <w:sz w:val="24"/>
              </w:rPr>
              <w:t xml:space="preserve"> tai skaitā privātajā sektorā – </w:t>
            </w:r>
            <w:r w:rsidR="00FF46E3" w:rsidRPr="00E96874">
              <w:rPr>
                <w:sz w:val="24"/>
              </w:rPr>
              <w:t>1</w:t>
            </w:r>
            <w:r w:rsidR="00C2122D" w:rsidRPr="00E96874">
              <w:rPr>
                <w:sz w:val="24"/>
              </w:rPr>
              <w:t>1</w:t>
            </w:r>
            <w:r w:rsidR="00C37224" w:rsidRPr="00E96874">
              <w:rPr>
                <w:sz w:val="24"/>
              </w:rPr>
              <w:t>7</w:t>
            </w:r>
            <w:r w:rsidR="00FF46E3" w:rsidRPr="00E96874">
              <w:rPr>
                <w:sz w:val="24"/>
              </w:rPr>
              <w:t>,</w:t>
            </w:r>
            <w:r w:rsidR="00C37224" w:rsidRPr="00E96874">
              <w:rPr>
                <w:sz w:val="24"/>
              </w:rPr>
              <w:t>5</w:t>
            </w:r>
            <w:r w:rsidR="00FF46E3" w:rsidRPr="00E96874">
              <w:rPr>
                <w:sz w:val="24"/>
              </w:rPr>
              <w:t> </w:t>
            </w:r>
            <w:r w:rsidR="005C32ED" w:rsidRPr="00E96874">
              <w:rPr>
                <w:sz w:val="24"/>
              </w:rPr>
              <w:t xml:space="preserve">tūkst. </w:t>
            </w:r>
            <w:r w:rsidR="00FF46E3" w:rsidRPr="00E96874">
              <w:rPr>
                <w:sz w:val="24"/>
              </w:rPr>
              <w:t xml:space="preserve">cilvēku </w:t>
            </w:r>
            <w:r w:rsidR="005C32ED" w:rsidRPr="00E96874">
              <w:rPr>
                <w:sz w:val="24"/>
              </w:rPr>
              <w:t xml:space="preserve">un sabiedriskajā sektorā – </w:t>
            </w:r>
            <w:r w:rsidR="00E641C2" w:rsidRPr="00E96874">
              <w:rPr>
                <w:sz w:val="24"/>
              </w:rPr>
              <w:t>2</w:t>
            </w:r>
            <w:r w:rsidR="00C37224" w:rsidRPr="00E96874">
              <w:rPr>
                <w:sz w:val="24"/>
              </w:rPr>
              <w:t>6</w:t>
            </w:r>
            <w:r w:rsidR="00FF46E3" w:rsidRPr="00E96874">
              <w:rPr>
                <w:sz w:val="24"/>
              </w:rPr>
              <w:t>,</w:t>
            </w:r>
            <w:r w:rsidR="00C37224" w:rsidRPr="00E96874">
              <w:rPr>
                <w:sz w:val="24"/>
              </w:rPr>
              <w:t>5</w:t>
            </w:r>
            <w:r w:rsidR="005C32ED" w:rsidRPr="00E96874">
              <w:rPr>
                <w:sz w:val="24"/>
              </w:rPr>
              <w:t xml:space="preserve"> tūkst. </w:t>
            </w:r>
            <w:r w:rsidR="00FF46E3" w:rsidRPr="00E96874">
              <w:rPr>
                <w:sz w:val="24"/>
              </w:rPr>
              <w:t>cilvēku</w:t>
            </w:r>
            <w:r w:rsidR="007F0BB5" w:rsidRPr="00E96874">
              <w:rPr>
                <w:sz w:val="24"/>
              </w:rPr>
              <w:t>;</w:t>
            </w:r>
          </w:p>
          <w:p w14:paraId="6FEE91C7" w14:textId="5B9E4953" w:rsidR="00E15F32" w:rsidRPr="00E96874" w:rsidRDefault="007F0BB5" w:rsidP="002E330C">
            <w:pPr>
              <w:jc w:val="both"/>
              <w:rPr>
                <w:sz w:val="24"/>
              </w:rPr>
            </w:pPr>
            <w:r w:rsidRPr="00E96874">
              <w:rPr>
                <w:sz w:val="24"/>
              </w:rPr>
              <w:t xml:space="preserve">- </w:t>
            </w:r>
            <w:r w:rsidR="005C32ED" w:rsidRPr="00E96874">
              <w:rPr>
                <w:sz w:val="24"/>
              </w:rPr>
              <w:t>darba ņēmēju skaits, kuriem darba ienākumi bija tieši minimālās mēneša darba algas apmērā</w:t>
            </w:r>
            <w:r w:rsidRPr="00E96874">
              <w:rPr>
                <w:sz w:val="24"/>
              </w:rPr>
              <w:t xml:space="preserve">, </w:t>
            </w:r>
            <w:r w:rsidR="005C32ED" w:rsidRPr="00E96874">
              <w:rPr>
                <w:sz w:val="24"/>
              </w:rPr>
              <w:t xml:space="preserve">bija </w:t>
            </w:r>
            <w:r w:rsidR="00E641C2" w:rsidRPr="00E96874">
              <w:rPr>
                <w:sz w:val="24"/>
              </w:rPr>
              <w:t>2</w:t>
            </w:r>
            <w:r w:rsidR="00D90617" w:rsidRPr="00E96874">
              <w:rPr>
                <w:sz w:val="24"/>
              </w:rPr>
              <w:t>0</w:t>
            </w:r>
            <w:r w:rsidR="00FF46E3" w:rsidRPr="00E96874">
              <w:rPr>
                <w:sz w:val="24"/>
              </w:rPr>
              <w:t>,</w:t>
            </w:r>
            <w:r w:rsidR="00C37224" w:rsidRPr="00E96874">
              <w:rPr>
                <w:sz w:val="24"/>
              </w:rPr>
              <w:t>5</w:t>
            </w:r>
            <w:r w:rsidR="001E16F0" w:rsidRPr="00E96874">
              <w:rPr>
                <w:sz w:val="24"/>
              </w:rPr>
              <w:t> </w:t>
            </w:r>
            <w:r w:rsidR="005C32ED" w:rsidRPr="00E96874">
              <w:rPr>
                <w:sz w:val="24"/>
              </w:rPr>
              <w:t>tūkst</w:t>
            </w:r>
            <w:r w:rsidR="00FF46E3" w:rsidRPr="00E96874">
              <w:rPr>
                <w:sz w:val="24"/>
              </w:rPr>
              <w:t>. cilvēku</w:t>
            </w:r>
            <w:r w:rsidR="005C32ED" w:rsidRPr="00E96874">
              <w:rPr>
                <w:sz w:val="24"/>
              </w:rPr>
              <w:t xml:space="preserve">, tai skaitā privātajā sektorā – </w:t>
            </w:r>
            <w:r w:rsidR="00C2122D" w:rsidRPr="00E96874">
              <w:rPr>
                <w:sz w:val="24"/>
              </w:rPr>
              <w:t>1</w:t>
            </w:r>
            <w:r w:rsidR="00D90617" w:rsidRPr="00E96874">
              <w:rPr>
                <w:sz w:val="24"/>
              </w:rPr>
              <w:t>5</w:t>
            </w:r>
            <w:r w:rsidR="00FF46E3" w:rsidRPr="00E96874">
              <w:rPr>
                <w:sz w:val="24"/>
              </w:rPr>
              <w:t>,</w:t>
            </w:r>
            <w:r w:rsidR="00C37224" w:rsidRPr="00E96874">
              <w:rPr>
                <w:sz w:val="24"/>
              </w:rPr>
              <w:t>5</w:t>
            </w:r>
            <w:r w:rsidR="005C32ED" w:rsidRPr="00E96874">
              <w:rPr>
                <w:sz w:val="24"/>
              </w:rPr>
              <w:t xml:space="preserve"> tūkst.</w:t>
            </w:r>
            <w:r w:rsidR="00FF46E3" w:rsidRPr="00E96874">
              <w:rPr>
                <w:sz w:val="24"/>
              </w:rPr>
              <w:t xml:space="preserve"> cilvēku</w:t>
            </w:r>
            <w:r w:rsidR="005C32ED" w:rsidRPr="00E96874">
              <w:rPr>
                <w:sz w:val="24"/>
              </w:rPr>
              <w:t xml:space="preserve"> un sabiedriskajā sektorā – </w:t>
            </w:r>
            <w:r w:rsidR="00D90617" w:rsidRPr="00E96874">
              <w:rPr>
                <w:sz w:val="24"/>
              </w:rPr>
              <w:t>4</w:t>
            </w:r>
            <w:r w:rsidR="00FF46E3" w:rsidRPr="00E96874">
              <w:rPr>
                <w:sz w:val="24"/>
              </w:rPr>
              <w:t>,</w:t>
            </w:r>
            <w:r w:rsidR="00C37224" w:rsidRPr="00E96874">
              <w:rPr>
                <w:sz w:val="24"/>
              </w:rPr>
              <w:t>6</w:t>
            </w:r>
            <w:r w:rsidR="00FF46E3" w:rsidRPr="00E96874">
              <w:rPr>
                <w:sz w:val="24"/>
              </w:rPr>
              <w:t> </w:t>
            </w:r>
            <w:r w:rsidR="005C32ED" w:rsidRPr="00E96874">
              <w:rPr>
                <w:sz w:val="24"/>
              </w:rPr>
              <w:t>tūkst</w:t>
            </w:r>
            <w:r w:rsidR="00FF46E3" w:rsidRPr="00E96874">
              <w:rPr>
                <w:sz w:val="24"/>
              </w:rPr>
              <w:t xml:space="preserve"> cilvēku</w:t>
            </w:r>
            <w:r w:rsidR="005C32ED" w:rsidRPr="00E96874">
              <w:rPr>
                <w:sz w:val="24"/>
              </w:rPr>
              <w:t>.</w:t>
            </w:r>
          </w:p>
          <w:p w14:paraId="12849FC9" w14:textId="77777777" w:rsidR="009D53B5" w:rsidRPr="00E96874" w:rsidRDefault="009D53B5" w:rsidP="002E330C">
            <w:pPr>
              <w:jc w:val="both"/>
              <w:rPr>
                <w:iCs/>
                <w:sz w:val="24"/>
              </w:rPr>
            </w:pPr>
          </w:p>
          <w:p w14:paraId="68E9EFA8" w14:textId="76A1513E" w:rsidR="0033671A" w:rsidRDefault="0033671A" w:rsidP="002E330C">
            <w:pPr>
              <w:jc w:val="both"/>
              <w:rPr>
                <w:iCs/>
                <w:sz w:val="24"/>
              </w:rPr>
            </w:pPr>
            <w:r w:rsidRPr="00E96874">
              <w:rPr>
                <w:iCs/>
                <w:sz w:val="24"/>
              </w:rPr>
              <w:t>Ekonomikas ministrija prognozē, ka kopumā 2020.</w:t>
            </w:r>
            <w:r w:rsidR="00CF0718">
              <w:rPr>
                <w:iCs/>
                <w:sz w:val="24"/>
              </w:rPr>
              <w:t> </w:t>
            </w:r>
            <w:r w:rsidRPr="00E96874">
              <w:rPr>
                <w:iCs/>
                <w:sz w:val="24"/>
              </w:rPr>
              <w:t xml:space="preserve">gadā </w:t>
            </w:r>
            <w:r w:rsidR="00F92518">
              <w:rPr>
                <w:iCs/>
                <w:sz w:val="24"/>
              </w:rPr>
              <w:t>iekšzemes kopprodukts (</w:t>
            </w:r>
            <w:r w:rsidRPr="00E96874">
              <w:rPr>
                <w:iCs/>
                <w:sz w:val="24"/>
              </w:rPr>
              <w:t>IKP</w:t>
            </w:r>
            <w:r w:rsidR="00F92518">
              <w:rPr>
                <w:iCs/>
                <w:sz w:val="24"/>
              </w:rPr>
              <w:t>)</w:t>
            </w:r>
            <w:r w:rsidRPr="00E96874">
              <w:rPr>
                <w:iCs/>
                <w:sz w:val="24"/>
              </w:rPr>
              <w:t xml:space="preserve"> var sarukt par 8%, salīdzinot ar 2019.</w:t>
            </w:r>
            <w:r w:rsidR="00CF0718">
              <w:rPr>
                <w:iCs/>
                <w:sz w:val="24"/>
              </w:rPr>
              <w:t> </w:t>
            </w:r>
            <w:r w:rsidRPr="00E96874">
              <w:rPr>
                <w:iCs/>
                <w:sz w:val="24"/>
              </w:rPr>
              <w:t xml:space="preserve">gadu, bezdarba līmenim pieaugot līdz 12%. Darba vietu kvalitāte, kas ietver arī darba algas apmēru, ir būtisks elements </w:t>
            </w:r>
            <w:r w:rsidR="004101B2" w:rsidRPr="00E96874">
              <w:rPr>
                <w:iCs/>
                <w:sz w:val="24"/>
              </w:rPr>
              <w:t xml:space="preserve">izaugsmei </w:t>
            </w:r>
            <w:r w:rsidRPr="00E96874">
              <w:rPr>
                <w:iCs/>
                <w:sz w:val="24"/>
              </w:rPr>
              <w:t>augst</w:t>
            </w:r>
            <w:r w:rsidR="004101B2" w:rsidRPr="00E96874">
              <w:rPr>
                <w:iCs/>
                <w:sz w:val="24"/>
              </w:rPr>
              <w:t>ākas</w:t>
            </w:r>
            <w:r w:rsidRPr="00E96874">
              <w:rPr>
                <w:iCs/>
                <w:sz w:val="24"/>
              </w:rPr>
              <w:t xml:space="preserve"> produktivitātes </w:t>
            </w:r>
            <w:r w:rsidR="004101B2" w:rsidRPr="00E96874">
              <w:rPr>
                <w:iCs/>
                <w:sz w:val="24"/>
              </w:rPr>
              <w:t>tautsaimniecībās</w:t>
            </w:r>
            <w:r w:rsidRPr="00E96874">
              <w:rPr>
                <w:iCs/>
                <w:sz w:val="24"/>
              </w:rPr>
              <w:t xml:space="preserve">. </w:t>
            </w:r>
            <w:r w:rsidR="0066212B" w:rsidRPr="00E96874">
              <w:rPr>
                <w:iCs/>
                <w:sz w:val="24"/>
              </w:rPr>
              <w:t>Vienlaikus 2020.</w:t>
            </w:r>
            <w:r w:rsidR="00CF0718">
              <w:rPr>
                <w:iCs/>
                <w:sz w:val="24"/>
              </w:rPr>
              <w:t> </w:t>
            </w:r>
            <w:r w:rsidR="0066212B" w:rsidRPr="00E96874">
              <w:rPr>
                <w:iCs/>
                <w:sz w:val="24"/>
              </w:rPr>
              <w:t>gadā kā atbilde uz Covid-19 krīzi ir stiprināts sociālās drošības tīkls bez darba palikušajiem.</w:t>
            </w:r>
            <w:r w:rsidR="008801B2" w:rsidRPr="00E96874">
              <w:rPr>
                <w:iCs/>
                <w:sz w:val="24"/>
              </w:rPr>
              <w:t xml:space="preserve"> </w:t>
            </w:r>
            <w:r w:rsidR="00F62407" w:rsidRPr="00E96874">
              <w:rPr>
                <w:iCs/>
                <w:sz w:val="24"/>
              </w:rPr>
              <w:t>Gan bezdarba situācija ar nepietiekamu sociālo nodrošinājumu, gan nepietiekams ienākums no darba var būt iemesls emigrācijai, jo īpaši reģionos</w:t>
            </w:r>
            <w:r w:rsidR="00147B14" w:rsidRPr="00E96874">
              <w:rPr>
                <w:iCs/>
                <w:sz w:val="24"/>
              </w:rPr>
              <w:t>.</w:t>
            </w:r>
            <w:r w:rsidR="00F62407" w:rsidRPr="00E96874">
              <w:rPr>
                <w:iCs/>
                <w:sz w:val="24"/>
              </w:rPr>
              <w:t xml:space="preserve"> </w:t>
            </w:r>
            <w:r w:rsidR="00147B14" w:rsidRPr="00E96874">
              <w:rPr>
                <w:iCs/>
                <w:sz w:val="24"/>
              </w:rPr>
              <w:t>T</w:t>
            </w:r>
            <w:r w:rsidR="00F62407" w:rsidRPr="00E96874">
              <w:rPr>
                <w:iCs/>
                <w:sz w:val="24"/>
              </w:rPr>
              <w:t xml:space="preserve">ādēļ svarīgi turpināt radīt apstākļus, kas mazina </w:t>
            </w:r>
            <w:r w:rsidR="005B56F0" w:rsidRPr="00E96874">
              <w:rPr>
                <w:iCs/>
                <w:sz w:val="24"/>
              </w:rPr>
              <w:t xml:space="preserve">paaugstinātu </w:t>
            </w:r>
            <w:r w:rsidR="00F62407" w:rsidRPr="00E96874">
              <w:rPr>
                <w:iCs/>
                <w:sz w:val="24"/>
              </w:rPr>
              <w:t>emigrācijas risku</w:t>
            </w:r>
            <w:r w:rsidR="00A03F04" w:rsidRPr="00E96874">
              <w:rPr>
                <w:iCs/>
                <w:sz w:val="24"/>
              </w:rPr>
              <w:t xml:space="preserve"> un vienlaikus veicina tautsaimniecības produktivitātes izaugsmi</w:t>
            </w:r>
            <w:r w:rsidR="00F62407" w:rsidRPr="00E96874">
              <w:rPr>
                <w:iCs/>
                <w:sz w:val="24"/>
              </w:rPr>
              <w:t>.</w:t>
            </w:r>
            <w:r w:rsidR="005B56F0" w:rsidRPr="00E96874">
              <w:rPr>
                <w:iCs/>
                <w:sz w:val="24"/>
              </w:rPr>
              <w:t xml:space="preserve"> Tas ietver arī </w:t>
            </w:r>
            <w:r w:rsidR="00B462B6" w:rsidRPr="00E96874">
              <w:rPr>
                <w:iCs/>
                <w:sz w:val="24"/>
              </w:rPr>
              <w:t>samērīgu minimālās algas paaugstināšanu</w:t>
            </w:r>
            <w:r w:rsidR="005B56F0" w:rsidRPr="00E96874">
              <w:rPr>
                <w:iCs/>
                <w:sz w:val="24"/>
              </w:rPr>
              <w:t>.</w:t>
            </w:r>
          </w:p>
          <w:p w14:paraId="32B610C9" w14:textId="77777777" w:rsidR="00FE2094" w:rsidRDefault="00FE2094" w:rsidP="00583D03">
            <w:pPr>
              <w:jc w:val="both"/>
              <w:rPr>
                <w:iCs/>
                <w:sz w:val="24"/>
              </w:rPr>
            </w:pPr>
          </w:p>
          <w:p w14:paraId="79DC33A8" w14:textId="5947B99F" w:rsidR="00881A77" w:rsidRPr="00F92518" w:rsidRDefault="004471D8" w:rsidP="00583D03">
            <w:pPr>
              <w:jc w:val="both"/>
              <w:rPr>
                <w:iCs/>
                <w:sz w:val="24"/>
              </w:rPr>
            </w:pPr>
            <w:r>
              <w:rPr>
                <w:iCs/>
                <w:sz w:val="24"/>
              </w:rPr>
              <w:t>Finanšu ministrija prognozē, ka 2021. gadā ekonomikas izaugsme sasniegs 5,1%, IKP apjomam tomēr vēl neatgriežoties 2019. gada līmenī, bet 2022.</w:t>
            </w:r>
            <w:r w:rsidR="0080418A" w:rsidRPr="0080418A">
              <w:rPr>
                <w:iCs/>
                <w:sz w:val="24"/>
              </w:rPr>
              <w:t xml:space="preserve"> </w:t>
            </w:r>
            <w:r w:rsidR="0080418A">
              <w:rPr>
                <w:iCs/>
                <w:sz w:val="24"/>
              </w:rPr>
              <w:t>un 2023.</w:t>
            </w:r>
            <w:r>
              <w:rPr>
                <w:iCs/>
                <w:sz w:val="24"/>
              </w:rPr>
              <w:t>gadā</w:t>
            </w:r>
            <w:r w:rsidR="0080418A">
              <w:rPr>
                <w:iCs/>
                <w:sz w:val="24"/>
              </w:rPr>
              <w:t xml:space="preserve"> IKP pieaugums stabilizēsies 3,1% līmenī.</w:t>
            </w:r>
            <w:r w:rsidR="00F92518">
              <w:rPr>
                <w:iCs/>
                <w:sz w:val="24"/>
              </w:rPr>
              <w:t xml:space="preserve"> Prognoz</w:t>
            </w:r>
            <w:r w:rsidR="00A15782">
              <w:rPr>
                <w:iCs/>
                <w:sz w:val="24"/>
              </w:rPr>
              <w:t>ē</w:t>
            </w:r>
            <w:r w:rsidR="00F92518">
              <w:rPr>
                <w:iCs/>
                <w:sz w:val="24"/>
              </w:rPr>
              <w:t>s ņem</w:t>
            </w:r>
            <w:r w:rsidR="00A15782">
              <w:rPr>
                <w:iCs/>
                <w:sz w:val="24"/>
              </w:rPr>
              <w:t>t</w:t>
            </w:r>
            <w:r w:rsidR="00FE2094">
              <w:rPr>
                <w:iCs/>
                <w:sz w:val="24"/>
              </w:rPr>
              <w:t>a</w:t>
            </w:r>
            <w:r w:rsidR="00F92518">
              <w:rPr>
                <w:iCs/>
                <w:sz w:val="24"/>
              </w:rPr>
              <w:t xml:space="preserve"> vērā Covd-19 izraisītās krīzes ietekm</w:t>
            </w:r>
            <w:r w:rsidR="00A15782">
              <w:rPr>
                <w:iCs/>
                <w:sz w:val="24"/>
              </w:rPr>
              <w:t>e</w:t>
            </w:r>
            <w:r w:rsidR="00F92518">
              <w:rPr>
                <w:iCs/>
                <w:sz w:val="24"/>
              </w:rPr>
              <w:t xml:space="preserve"> uz ekonomiku un paredz</w:t>
            </w:r>
            <w:r w:rsidR="00A15782">
              <w:rPr>
                <w:iCs/>
                <w:sz w:val="24"/>
              </w:rPr>
              <w:t>ēts</w:t>
            </w:r>
            <w:r w:rsidR="00F92518">
              <w:rPr>
                <w:iCs/>
                <w:sz w:val="24"/>
              </w:rPr>
              <w:t>, ka IKP salīdzināmās cenās 2020. gadā samazināsies par 7%, bet 2021. gadā ekonomikas izaugsme atjaunosies, IKP pieaugumam veidojot 5,1%. Līdz ar valdības apstiprinātajiem nodarbinātības atbalsta pasākumiem tautsaimniecībā</w:t>
            </w:r>
            <w:r w:rsidR="00FE2094">
              <w:rPr>
                <w:iCs/>
                <w:sz w:val="24"/>
              </w:rPr>
              <w:t>,</w:t>
            </w:r>
            <w:r w:rsidR="00F92518">
              <w:rPr>
                <w:iCs/>
                <w:sz w:val="24"/>
              </w:rPr>
              <w:t xml:space="preserve"> nodarbināto iedzīvotāju skaita prognoze 2020.</w:t>
            </w:r>
            <w:r w:rsidR="00881A77">
              <w:rPr>
                <w:iCs/>
                <w:sz w:val="24"/>
              </w:rPr>
              <w:t> </w:t>
            </w:r>
            <w:r w:rsidR="00F92518" w:rsidRPr="00F92518">
              <w:rPr>
                <w:iCs/>
                <w:sz w:val="24"/>
              </w:rPr>
              <w:t>g</w:t>
            </w:r>
            <w:r w:rsidR="00F92518">
              <w:rPr>
                <w:iCs/>
                <w:sz w:val="24"/>
              </w:rPr>
              <w:t>adam ir nedaudz paaug</w:t>
            </w:r>
            <w:r w:rsidR="00881A77">
              <w:rPr>
                <w:iCs/>
                <w:sz w:val="24"/>
              </w:rPr>
              <w:t>s</w:t>
            </w:r>
            <w:r w:rsidR="00F92518">
              <w:rPr>
                <w:iCs/>
                <w:sz w:val="24"/>
              </w:rPr>
              <w:t>tin</w:t>
            </w:r>
            <w:r w:rsidR="00881A77" w:rsidRPr="00881A77">
              <w:rPr>
                <w:iCs/>
                <w:sz w:val="24"/>
              </w:rPr>
              <w:t>ā</w:t>
            </w:r>
            <w:r w:rsidR="00F92518">
              <w:rPr>
                <w:iCs/>
                <w:sz w:val="24"/>
              </w:rPr>
              <w:t>ta</w:t>
            </w:r>
            <w:r w:rsidR="00881A77">
              <w:rPr>
                <w:iCs/>
                <w:sz w:val="24"/>
              </w:rPr>
              <w:t>, sagaidot, ka strādājošo skaits 2020. gadā samazināsies par 4,4% līdz 870 tūkstošiem, iepriekš prognozētā 5% procenta krituma vietā. Attiecīgi bezdarba līmenis 2020. gadā veidos 10,5%, un salīdzinājumā ar iepriekšējām prognozēm bezdarba līmeņa prognoze ir samazināta par 0,7 procentpunktiem. 2021. gadā līdz ar ekonomiskās izaugsmes atjaunošanos nodarbināto skaits palielināsies par 0,6%, bet bezdarba līmenis samazināsies līdz 9,8%.</w:t>
            </w:r>
            <w:r w:rsidR="00395BA7">
              <w:rPr>
                <w:iCs/>
                <w:sz w:val="24"/>
              </w:rPr>
              <w:t xml:space="preserve"> 2020. gadā ir sagaidāms arī mazāks mēneša vidējās darba samaksas samazinājums – par 1,0% līdz</w:t>
            </w:r>
            <w:r w:rsidR="00FE2094">
              <w:rPr>
                <w:iCs/>
                <w:sz w:val="24"/>
              </w:rPr>
              <w:t xml:space="preserve"> </w:t>
            </w:r>
            <w:r w:rsidR="00395BA7">
              <w:rPr>
                <w:iCs/>
                <w:sz w:val="24"/>
              </w:rPr>
              <w:lastRenderedPageBreak/>
              <w:t>1065 </w:t>
            </w:r>
            <w:proofErr w:type="spellStart"/>
            <w:r w:rsidR="00395BA7" w:rsidRPr="00395BA7">
              <w:rPr>
                <w:i/>
                <w:iCs/>
                <w:sz w:val="24"/>
              </w:rPr>
              <w:t>euro</w:t>
            </w:r>
            <w:proofErr w:type="spellEnd"/>
            <w:r w:rsidR="00395BA7">
              <w:rPr>
                <w:iCs/>
                <w:sz w:val="24"/>
              </w:rPr>
              <w:t>, salīdzinājumā ar iepriekš prognozētajiem 1044 </w:t>
            </w:r>
            <w:proofErr w:type="spellStart"/>
            <w:r w:rsidR="00395BA7" w:rsidRPr="00395BA7">
              <w:rPr>
                <w:i/>
                <w:iCs/>
                <w:sz w:val="24"/>
              </w:rPr>
              <w:t>euro</w:t>
            </w:r>
            <w:proofErr w:type="spellEnd"/>
            <w:r w:rsidR="00395BA7">
              <w:rPr>
                <w:iCs/>
                <w:sz w:val="24"/>
              </w:rPr>
              <w:t>. Prognozēts, ka</w:t>
            </w:r>
            <w:r w:rsidR="00FE2094">
              <w:rPr>
                <w:iCs/>
                <w:sz w:val="24"/>
              </w:rPr>
              <w:t xml:space="preserve"> </w:t>
            </w:r>
            <w:r w:rsidR="00395BA7">
              <w:rPr>
                <w:iCs/>
                <w:sz w:val="24"/>
              </w:rPr>
              <w:t>2021. gadā mēneša vidējā darba samaksa palielinā</w:t>
            </w:r>
            <w:r w:rsidR="00583D03">
              <w:rPr>
                <w:iCs/>
                <w:sz w:val="24"/>
              </w:rPr>
              <w:t>s</w:t>
            </w:r>
            <w:r w:rsidR="00395BA7">
              <w:rPr>
                <w:iCs/>
                <w:sz w:val="24"/>
              </w:rPr>
              <w:t xml:space="preserve">ies par </w:t>
            </w:r>
            <w:r w:rsidR="00583D03">
              <w:rPr>
                <w:iCs/>
                <w:sz w:val="24"/>
              </w:rPr>
              <w:t>3,0%</w:t>
            </w:r>
            <w:r w:rsidR="00A15782">
              <w:rPr>
                <w:iCs/>
                <w:sz w:val="24"/>
              </w:rPr>
              <w:t xml:space="preserve"> </w:t>
            </w:r>
            <w:r w:rsidR="00583D03">
              <w:rPr>
                <w:iCs/>
                <w:sz w:val="24"/>
              </w:rPr>
              <w:t>un pēc tam palielinājums stabilizēsies līmenī, kas tuvs kopējam produktivitātes pieaugumam tautsaimniecībā.</w:t>
            </w:r>
          </w:p>
        </w:tc>
      </w:tr>
      <w:tr w:rsidR="00124F71" w:rsidRPr="00D42CC4" w14:paraId="3E69B311"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6EE836A5" w14:textId="77777777" w:rsidR="00124F71" w:rsidRPr="00D42CC4" w:rsidRDefault="00124F71" w:rsidP="00342C2B">
            <w:pPr>
              <w:pStyle w:val="naiskr"/>
              <w:spacing w:before="0" w:after="0"/>
              <w:ind w:left="180" w:hanging="180"/>
              <w:jc w:val="center"/>
            </w:pPr>
            <w:r w:rsidRPr="00D42CC4">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14:paraId="5D854E7A" w14:textId="77777777" w:rsidR="00124F71" w:rsidRPr="00D42CC4" w:rsidRDefault="00124F71" w:rsidP="00342C2B">
            <w:pPr>
              <w:pStyle w:val="naiskr"/>
              <w:spacing w:before="0" w:after="0"/>
              <w:ind w:left="180" w:hanging="10"/>
            </w:pPr>
            <w:r w:rsidRPr="00DD49B6">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14:paraId="5E2085F2" w14:textId="49EC91F7" w:rsidR="00212D76" w:rsidRPr="00A249A4" w:rsidRDefault="00212D76" w:rsidP="00212D76">
            <w:pPr>
              <w:jc w:val="both"/>
              <w:rPr>
                <w:sz w:val="24"/>
              </w:rPr>
            </w:pPr>
            <w:r w:rsidRPr="00A249A4">
              <w:rPr>
                <w:sz w:val="24"/>
              </w:rPr>
              <w:t xml:space="preserve">Paaugstinot minimālo mēneša darba algu, pieaugs darba devēju izdevumi darbinieku darba algas paaugstināšanai (no darbinieku darba algas </w:t>
            </w:r>
            <w:r w:rsidR="00C2122D">
              <w:rPr>
                <w:sz w:val="24"/>
              </w:rPr>
              <w:t>500</w:t>
            </w:r>
            <w:r w:rsidRPr="00A249A4">
              <w:rPr>
                <w:sz w:val="24"/>
              </w:rPr>
              <w:t xml:space="preserve"> </w:t>
            </w:r>
            <w:proofErr w:type="spellStart"/>
            <w:r w:rsidRPr="00A249A4">
              <w:rPr>
                <w:i/>
                <w:sz w:val="24"/>
              </w:rPr>
              <w:t>euro</w:t>
            </w:r>
            <w:proofErr w:type="spellEnd"/>
            <w:r w:rsidRPr="00A249A4">
              <w:rPr>
                <w:sz w:val="24"/>
              </w:rPr>
              <w:t xml:space="preserve"> apmērā darba devējam paaugstināsies sociālās apdrošināšanas iemaksas (24,09%) </w:t>
            </w:r>
            <w:r w:rsidR="005210D3">
              <w:rPr>
                <w:sz w:val="24"/>
              </w:rPr>
              <w:t>-</w:t>
            </w:r>
            <w:r w:rsidRPr="00A249A4">
              <w:rPr>
                <w:sz w:val="24"/>
              </w:rPr>
              <w:t>par 1</w:t>
            </w:r>
            <w:r w:rsidR="00C2122D">
              <w:rPr>
                <w:sz w:val="24"/>
              </w:rPr>
              <w:t>6</w:t>
            </w:r>
            <w:r w:rsidRPr="00A249A4">
              <w:rPr>
                <w:sz w:val="24"/>
              </w:rPr>
              <w:t>,</w:t>
            </w:r>
            <w:r w:rsidR="00C2122D">
              <w:rPr>
                <w:sz w:val="24"/>
              </w:rPr>
              <w:t>86</w:t>
            </w:r>
            <w:r w:rsidRPr="00A249A4">
              <w:rPr>
                <w:sz w:val="24"/>
              </w:rPr>
              <w:t xml:space="preserve"> </w:t>
            </w:r>
            <w:proofErr w:type="spellStart"/>
            <w:r w:rsidRPr="00A249A4">
              <w:rPr>
                <w:i/>
                <w:sz w:val="24"/>
              </w:rPr>
              <w:t>euro</w:t>
            </w:r>
            <w:proofErr w:type="spellEnd"/>
            <w:r w:rsidRPr="00A249A4">
              <w:rPr>
                <w:sz w:val="24"/>
              </w:rPr>
              <w:t xml:space="preserve"> un papildus darba algas izmaksas darbiniekam – par </w:t>
            </w:r>
            <w:r w:rsidR="00C2122D">
              <w:rPr>
                <w:sz w:val="24"/>
              </w:rPr>
              <w:t>7</w:t>
            </w:r>
            <w:r w:rsidRPr="00A249A4">
              <w:rPr>
                <w:sz w:val="24"/>
              </w:rPr>
              <w:t xml:space="preserve">0,00 </w:t>
            </w:r>
            <w:proofErr w:type="spellStart"/>
            <w:r w:rsidRPr="00A249A4">
              <w:rPr>
                <w:i/>
                <w:sz w:val="24"/>
              </w:rPr>
              <w:t>euro</w:t>
            </w:r>
            <w:proofErr w:type="spellEnd"/>
            <w:r w:rsidRPr="00A249A4">
              <w:rPr>
                <w:sz w:val="24"/>
              </w:rPr>
              <w:t>).</w:t>
            </w:r>
          </w:p>
          <w:p w14:paraId="20BF76C6" w14:textId="3BB87081" w:rsidR="00212D76" w:rsidRPr="00A249A4" w:rsidRDefault="00212D76" w:rsidP="00212D76">
            <w:pPr>
              <w:jc w:val="both"/>
              <w:rPr>
                <w:bCs/>
                <w:sz w:val="24"/>
                <w:lang w:eastAsia="lv-LV"/>
              </w:rPr>
            </w:pPr>
            <w:r w:rsidRPr="00A249A4">
              <w:rPr>
                <w:bCs/>
                <w:sz w:val="24"/>
                <w:lang w:eastAsia="lv-LV"/>
              </w:rPr>
              <w:t>Darba devēja darbaspēka izmaksas pieaugs par tiem darbiniekiem, kuriem pa</w:t>
            </w:r>
            <w:r w:rsidR="00E353BA">
              <w:rPr>
                <w:bCs/>
                <w:sz w:val="24"/>
                <w:lang w:eastAsia="lv-LV"/>
              </w:rPr>
              <w:t>š</w:t>
            </w:r>
            <w:r w:rsidRPr="00A249A4">
              <w:rPr>
                <w:bCs/>
                <w:sz w:val="24"/>
                <w:lang w:eastAsia="lv-LV"/>
              </w:rPr>
              <w:t>reiz ir minimālā mēneša darba alga (</w:t>
            </w:r>
            <w:r w:rsidR="00C2122D">
              <w:rPr>
                <w:bCs/>
                <w:sz w:val="24"/>
                <w:lang w:eastAsia="lv-LV"/>
              </w:rPr>
              <w:t>430</w:t>
            </w:r>
            <w:r w:rsidRPr="00A249A4">
              <w:rPr>
                <w:bCs/>
                <w:sz w:val="24"/>
                <w:lang w:eastAsia="lv-LV"/>
              </w:rPr>
              <w:t xml:space="preserve"> </w:t>
            </w:r>
            <w:proofErr w:type="spellStart"/>
            <w:r w:rsidRPr="00A249A4">
              <w:rPr>
                <w:bCs/>
                <w:i/>
                <w:sz w:val="24"/>
                <w:lang w:eastAsia="lv-LV"/>
              </w:rPr>
              <w:t>euro</w:t>
            </w:r>
            <w:proofErr w:type="spellEnd"/>
            <w:r w:rsidR="00E353BA">
              <w:rPr>
                <w:bCs/>
                <w:i/>
                <w:sz w:val="24"/>
                <w:lang w:eastAsia="lv-LV"/>
              </w:rPr>
              <w:t xml:space="preserve"> </w:t>
            </w:r>
            <w:r w:rsidRPr="00A249A4">
              <w:rPr>
                <w:bCs/>
                <w:sz w:val="24"/>
                <w:lang w:eastAsia="lv-LV"/>
              </w:rPr>
              <w:t>mēn</w:t>
            </w:r>
            <w:r w:rsidR="00E353BA">
              <w:rPr>
                <w:bCs/>
                <w:sz w:val="24"/>
                <w:lang w:eastAsia="lv-LV"/>
              </w:rPr>
              <w:t>esī</w:t>
            </w:r>
            <w:r w:rsidRPr="00A249A4">
              <w:rPr>
                <w:bCs/>
                <w:sz w:val="24"/>
                <w:lang w:eastAsia="lv-LV"/>
              </w:rPr>
              <w:t>) vai alga zemāka par noteikto minimālo mēneša darba algu (</w:t>
            </w:r>
            <w:r w:rsidR="00C2122D">
              <w:rPr>
                <w:bCs/>
                <w:sz w:val="24"/>
                <w:lang w:eastAsia="lv-LV"/>
              </w:rPr>
              <w:t>500</w:t>
            </w:r>
            <w:r w:rsidRPr="00A249A4">
              <w:rPr>
                <w:bCs/>
                <w:sz w:val="24"/>
                <w:lang w:eastAsia="lv-LV"/>
              </w:rPr>
              <w:t xml:space="preserve"> </w:t>
            </w:r>
            <w:proofErr w:type="spellStart"/>
            <w:r w:rsidRPr="00A249A4">
              <w:rPr>
                <w:bCs/>
                <w:i/>
                <w:sz w:val="24"/>
                <w:lang w:eastAsia="lv-LV"/>
              </w:rPr>
              <w:t>euro</w:t>
            </w:r>
            <w:proofErr w:type="spellEnd"/>
            <w:r w:rsidR="00E353BA">
              <w:rPr>
                <w:bCs/>
                <w:i/>
                <w:sz w:val="24"/>
                <w:lang w:eastAsia="lv-LV"/>
              </w:rPr>
              <w:t xml:space="preserve"> </w:t>
            </w:r>
            <w:r w:rsidRPr="00A249A4">
              <w:rPr>
                <w:bCs/>
                <w:sz w:val="24"/>
                <w:lang w:eastAsia="lv-LV"/>
              </w:rPr>
              <w:t>mēn</w:t>
            </w:r>
            <w:r w:rsidR="00E353BA">
              <w:rPr>
                <w:bCs/>
                <w:sz w:val="24"/>
                <w:lang w:eastAsia="lv-LV"/>
              </w:rPr>
              <w:t>esī</w:t>
            </w:r>
            <w:r w:rsidRPr="00A249A4">
              <w:rPr>
                <w:bCs/>
                <w:sz w:val="24"/>
                <w:lang w:eastAsia="lv-LV"/>
              </w:rPr>
              <w:t xml:space="preserve">). Savukārt darbinieks, kuram palielināsies darba alga no </w:t>
            </w:r>
            <w:r w:rsidR="00C2122D">
              <w:rPr>
                <w:bCs/>
                <w:sz w:val="24"/>
                <w:lang w:eastAsia="lv-LV"/>
              </w:rPr>
              <w:t>430</w:t>
            </w:r>
            <w:r w:rsidR="00D27F60">
              <w:rPr>
                <w:bCs/>
                <w:sz w:val="24"/>
                <w:lang w:eastAsia="lv-LV"/>
              </w:rPr>
              <w:t xml:space="preserve"> </w:t>
            </w:r>
            <w:proofErr w:type="spellStart"/>
            <w:r w:rsidRPr="00A249A4">
              <w:rPr>
                <w:bCs/>
                <w:i/>
                <w:sz w:val="24"/>
                <w:lang w:eastAsia="lv-LV"/>
              </w:rPr>
              <w:t>euro</w:t>
            </w:r>
            <w:proofErr w:type="spellEnd"/>
            <w:r w:rsidRPr="00A249A4">
              <w:rPr>
                <w:bCs/>
                <w:sz w:val="24"/>
                <w:lang w:eastAsia="lv-LV"/>
              </w:rPr>
              <w:t xml:space="preserve"> mēnesī līdz </w:t>
            </w:r>
            <w:r w:rsidR="00C2122D">
              <w:rPr>
                <w:bCs/>
                <w:sz w:val="24"/>
                <w:lang w:eastAsia="lv-LV"/>
              </w:rPr>
              <w:t>500</w:t>
            </w:r>
            <w:r w:rsidR="00D27F60">
              <w:rPr>
                <w:bCs/>
                <w:sz w:val="24"/>
                <w:lang w:eastAsia="lv-LV"/>
              </w:rPr>
              <w:t> </w:t>
            </w:r>
            <w:proofErr w:type="spellStart"/>
            <w:r w:rsidRPr="00A249A4">
              <w:rPr>
                <w:bCs/>
                <w:i/>
                <w:sz w:val="24"/>
                <w:lang w:eastAsia="lv-LV"/>
              </w:rPr>
              <w:t>euro</w:t>
            </w:r>
            <w:proofErr w:type="spellEnd"/>
            <w:r w:rsidRPr="00A249A4">
              <w:rPr>
                <w:bCs/>
                <w:sz w:val="24"/>
                <w:lang w:eastAsia="lv-LV"/>
              </w:rPr>
              <w:t xml:space="preserve"> mēnesī</w:t>
            </w:r>
            <w:r w:rsidR="0087693F">
              <w:rPr>
                <w:bCs/>
                <w:sz w:val="24"/>
                <w:lang w:eastAsia="lv-LV"/>
              </w:rPr>
              <w:t xml:space="preserve"> (</w:t>
            </w:r>
            <w:r w:rsidR="00B5538E">
              <w:rPr>
                <w:bCs/>
                <w:sz w:val="24"/>
                <w:lang w:eastAsia="lv-LV"/>
              </w:rPr>
              <w:t xml:space="preserve">pieaugums 70 </w:t>
            </w:r>
            <w:proofErr w:type="spellStart"/>
            <w:r w:rsidR="00B5538E" w:rsidRPr="00B5538E">
              <w:rPr>
                <w:bCs/>
                <w:i/>
                <w:sz w:val="24"/>
                <w:lang w:eastAsia="lv-LV"/>
              </w:rPr>
              <w:t>euro</w:t>
            </w:r>
            <w:proofErr w:type="spellEnd"/>
            <w:r w:rsidR="00B5538E">
              <w:rPr>
                <w:bCs/>
                <w:sz w:val="24"/>
                <w:lang w:eastAsia="lv-LV"/>
              </w:rPr>
              <w:t xml:space="preserve"> </w:t>
            </w:r>
            <w:r w:rsidR="0044132E">
              <w:rPr>
                <w:bCs/>
                <w:sz w:val="24"/>
                <w:lang w:eastAsia="lv-LV"/>
              </w:rPr>
              <w:t>jeb</w:t>
            </w:r>
            <w:r w:rsidR="00D27F60">
              <w:rPr>
                <w:bCs/>
                <w:sz w:val="24"/>
                <w:lang w:eastAsia="lv-LV"/>
              </w:rPr>
              <w:t xml:space="preserve"> </w:t>
            </w:r>
            <w:r w:rsidR="0087693F">
              <w:rPr>
                <w:bCs/>
                <w:sz w:val="24"/>
                <w:lang w:eastAsia="lv-LV"/>
              </w:rPr>
              <w:t>1</w:t>
            </w:r>
            <w:r w:rsidR="00B5538E">
              <w:rPr>
                <w:bCs/>
                <w:sz w:val="24"/>
                <w:lang w:eastAsia="lv-LV"/>
              </w:rPr>
              <w:t>6</w:t>
            </w:r>
            <w:r w:rsidR="0087693F">
              <w:rPr>
                <w:bCs/>
                <w:sz w:val="24"/>
                <w:lang w:eastAsia="lv-LV"/>
              </w:rPr>
              <w:t>%)</w:t>
            </w:r>
            <w:r w:rsidRPr="00A249A4">
              <w:rPr>
                <w:bCs/>
                <w:sz w:val="24"/>
                <w:lang w:eastAsia="lv-LV"/>
              </w:rPr>
              <w:t xml:space="preserve">, iegūs par </w:t>
            </w:r>
            <w:r w:rsidR="00120498">
              <w:rPr>
                <w:bCs/>
                <w:sz w:val="24"/>
                <w:lang w:eastAsia="lv-LV"/>
              </w:rPr>
              <w:t>49</w:t>
            </w:r>
            <w:r w:rsidRPr="00A249A4">
              <w:rPr>
                <w:bCs/>
                <w:sz w:val="24"/>
                <w:lang w:eastAsia="lv-LV"/>
              </w:rPr>
              <w:t>,8</w:t>
            </w:r>
            <w:r w:rsidR="00120498">
              <w:rPr>
                <w:bCs/>
                <w:sz w:val="24"/>
                <w:lang w:eastAsia="lv-LV"/>
              </w:rPr>
              <w:t>4</w:t>
            </w:r>
            <w:r w:rsidRPr="00A249A4">
              <w:rPr>
                <w:bCs/>
                <w:sz w:val="24"/>
                <w:lang w:eastAsia="lv-LV"/>
              </w:rPr>
              <w:t xml:space="preserve"> </w:t>
            </w:r>
            <w:proofErr w:type="spellStart"/>
            <w:r w:rsidRPr="00A249A4">
              <w:rPr>
                <w:bCs/>
                <w:i/>
                <w:sz w:val="24"/>
                <w:lang w:eastAsia="lv-LV"/>
              </w:rPr>
              <w:t>euro</w:t>
            </w:r>
            <w:proofErr w:type="spellEnd"/>
            <w:r w:rsidRPr="00A249A4">
              <w:rPr>
                <w:bCs/>
                <w:sz w:val="24"/>
                <w:lang w:eastAsia="lv-LV"/>
              </w:rPr>
              <w:t xml:space="preserve"> mēnesī vairāk (aprēķins strādājošajam bez apgādājamajām personām).</w:t>
            </w:r>
          </w:p>
          <w:p w14:paraId="6C3C45F2" w14:textId="77777777" w:rsidR="00A249A4" w:rsidRDefault="00A249A4" w:rsidP="00212D76">
            <w:pPr>
              <w:jc w:val="both"/>
              <w:rPr>
                <w:bCs/>
                <w:sz w:val="24"/>
                <w:lang w:eastAsia="lv-LV"/>
              </w:rPr>
            </w:pPr>
          </w:p>
          <w:p w14:paraId="5F5441B5" w14:textId="08BDD1F4" w:rsidR="00124F71" w:rsidRPr="00A249A4" w:rsidRDefault="00212D76" w:rsidP="00212D76">
            <w:pPr>
              <w:jc w:val="both"/>
              <w:rPr>
                <w:sz w:val="24"/>
              </w:rPr>
            </w:pPr>
            <w:r w:rsidRPr="00A249A4">
              <w:rPr>
                <w:sz w:val="24"/>
              </w:rPr>
              <w:t>Saskaņā ar Ministru kabineta 2010.</w:t>
            </w:r>
            <w:r w:rsidR="00607E8D">
              <w:rPr>
                <w:sz w:val="24"/>
              </w:rPr>
              <w:t> </w:t>
            </w:r>
            <w:r w:rsidRPr="00A249A4">
              <w:rPr>
                <w:sz w:val="24"/>
              </w:rPr>
              <w:t>gada 7.</w:t>
            </w:r>
            <w:r w:rsidR="00607E8D">
              <w:rPr>
                <w:sz w:val="24"/>
              </w:rPr>
              <w:t> </w:t>
            </w:r>
            <w:r w:rsidRPr="00A249A4">
              <w:rPr>
                <w:sz w:val="24"/>
              </w:rPr>
              <w:t>septembra noteikumu Nr.</w:t>
            </w:r>
            <w:r w:rsidR="00607E8D">
              <w:rPr>
                <w:sz w:val="24"/>
              </w:rPr>
              <w:t> </w:t>
            </w:r>
            <w:r w:rsidRPr="00A249A4">
              <w:rPr>
                <w:sz w:val="24"/>
              </w:rPr>
              <w:t xml:space="preserve">827 “Noteikumi par valsts sociālās apdrošināšanas obligāto iemaksu veicēju reģistrāciju un ziņojumiem par valsts sociālās apdrošināšanas obligātajām iemaksām un iedzīvotāju ienākuma nodokli” </w:t>
            </w:r>
            <w:r w:rsidR="004647FF">
              <w:rPr>
                <w:sz w:val="24"/>
              </w:rPr>
              <w:t xml:space="preserve">(turpmāk – noteikumi Nr.827) </w:t>
            </w:r>
            <w:r w:rsidRPr="00A249A4">
              <w:rPr>
                <w:sz w:val="24"/>
              </w:rPr>
              <w:t>21.</w:t>
            </w:r>
            <w:r w:rsidR="009661C7">
              <w:rPr>
                <w:sz w:val="24"/>
              </w:rPr>
              <w:t> </w:t>
            </w:r>
            <w:r w:rsidRPr="00A249A4">
              <w:rPr>
                <w:sz w:val="24"/>
              </w:rPr>
              <w:t xml:space="preserve">punktu darba devējs nākamajā mēnesī līdz datumam, kas noteikts kā ikmēneša obligāto iemaksu veikšanas termiņš, iesniedz Valsts ieņēmumu dienestā </w:t>
            </w:r>
            <w:r w:rsidR="00825949">
              <w:rPr>
                <w:sz w:val="24"/>
              </w:rPr>
              <w:t>Z</w:t>
            </w:r>
            <w:r w:rsidRPr="00A249A4">
              <w:rPr>
                <w:sz w:val="24"/>
              </w:rPr>
              <w:t>iņojumu. Tātad minimālās mēneša darba algas apmēra izmaiņas nevar uzskatīt par darba devēja administratīvā sloga palielinājumu, jo informācija par darba ņēmēja darba ienākumiem Valsts ieņēmumu dienestam ir jāsniedz katru mēnesi. Savukārt, pēc jaunās minimālās mēneša darba algas apmēra spēkā stāšanās, slēdzot darba līgumu ar jauno darba ņēmēju, darba devējam, kā par jebkuru citu darba ņēmēja darba ienākumi</w:t>
            </w:r>
            <w:r w:rsidR="00E353BA">
              <w:rPr>
                <w:sz w:val="24"/>
              </w:rPr>
              <w:t>,</w:t>
            </w:r>
            <w:r w:rsidRPr="00A249A4">
              <w:rPr>
                <w:sz w:val="24"/>
              </w:rPr>
              <w:t xml:space="preserve"> būs jāpaziņo Valsts ieņēmumu dienestam.</w:t>
            </w:r>
          </w:p>
        </w:tc>
      </w:tr>
      <w:tr w:rsidR="00124F71" w:rsidRPr="00D42CC4" w14:paraId="45E1F8E1" w14:textId="77777777" w:rsidTr="00D1464B">
        <w:trPr>
          <w:trHeight w:val="737"/>
        </w:trPr>
        <w:tc>
          <w:tcPr>
            <w:tcW w:w="444" w:type="pct"/>
            <w:tcBorders>
              <w:top w:val="single" w:sz="4" w:space="0" w:color="auto"/>
              <w:left w:val="single" w:sz="4" w:space="0" w:color="auto"/>
              <w:bottom w:val="single" w:sz="4" w:space="0" w:color="auto"/>
              <w:right w:val="single" w:sz="4" w:space="0" w:color="auto"/>
            </w:tcBorders>
            <w:vAlign w:val="center"/>
          </w:tcPr>
          <w:p w14:paraId="780765BE" w14:textId="77777777" w:rsidR="00124F71" w:rsidRPr="00D1464B" w:rsidRDefault="00124F71" w:rsidP="00342C2B">
            <w:pPr>
              <w:pStyle w:val="naiskr"/>
              <w:ind w:left="180" w:hanging="180"/>
              <w:jc w:val="center"/>
            </w:pPr>
            <w:r w:rsidRPr="00D1464B">
              <w:t>3.</w:t>
            </w:r>
          </w:p>
        </w:tc>
        <w:tc>
          <w:tcPr>
            <w:tcW w:w="1216" w:type="pct"/>
            <w:tcBorders>
              <w:top w:val="single" w:sz="4" w:space="0" w:color="auto"/>
              <w:left w:val="single" w:sz="4" w:space="0" w:color="auto"/>
              <w:bottom w:val="single" w:sz="4" w:space="0" w:color="auto"/>
              <w:right w:val="single" w:sz="4" w:space="0" w:color="auto"/>
            </w:tcBorders>
            <w:vAlign w:val="center"/>
          </w:tcPr>
          <w:p w14:paraId="4ED730AB" w14:textId="77777777" w:rsidR="00124F71" w:rsidRPr="00D1464B" w:rsidRDefault="00124F71" w:rsidP="00342C2B">
            <w:pPr>
              <w:pStyle w:val="naiskr"/>
              <w:ind w:left="180" w:hanging="10"/>
            </w:pPr>
            <w:r w:rsidRPr="00D1464B">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14:paraId="3072F9B2" w14:textId="02A215E5" w:rsidR="00124F71" w:rsidRPr="00D42CC4" w:rsidRDefault="00C96AF2" w:rsidP="00342C2B">
            <w:pPr>
              <w:jc w:val="both"/>
              <w:rPr>
                <w:iCs/>
                <w:sz w:val="24"/>
              </w:rPr>
            </w:pPr>
            <w:r>
              <w:rPr>
                <w:iCs/>
                <w:sz w:val="24"/>
              </w:rPr>
              <w:t>Noteikumu p</w:t>
            </w:r>
            <w:r w:rsidR="00124F71" w:rsidRPr="00D42CC4">
              <w:rPr>
                <w:iCs/>
                <w:sz w:val="24"/>
              </w:rPr>
              <w:t>rojekts šo jomu neskar.</w:t>
            </w:r>
          </w:p>
        </w:tc>
      </w:tr>
      <w:tr w:rsidR="00C96AF2" w:rsidRPr="00D42CC4" w14:paraId="432ED416"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0A22DC4E" w14:textId="1C02A89D" w:rsidR="00C96AF2" w:rsidRPr="00D1464B" w:rsidRDefault="00C96AF2" w:rsidP="00342C2B">
            <w:pPr>
              <w:pStyle w:val="naiskr"/>
              <w:ind w:left="180" w:hanging="180"/>
              <w:jc w:val="center"/>
            </w:pPr>
            <w:r w:rsidRPr="00D1464B">
              <w:t>4.</w:t>
            </w:r>
          </w:p>
        </w:tc>
        <w:tc>
          <w:tcPr>
            <w:tcW w:w="1216" w:type="pct"/>
            <w:tcBorders>
              <w:top w:val="single" w:sz="4" w:space="0" w:color="auto"/>
              <w:left w:val="single" w:sz="4" w:space="0" w:color="auto"/>
              <w:bottom w:val="single" w:sz="4" w:space="0" w:color="auto"/>
              <w:right w:val="single" w:sz="4" w:space="0" w:color="auto"/>
            </w:tcBorders>
            <w:vAlign w:val="center"/>
          </w:tcPr>
          <w:p w14:paraId="766A4864" w14:textId="4DAD94A7" w:rsidR="00C96AF2" w:rsidRPr="00D1464B" w:rsidRDefault="00607E8D" w:rsidP="00342C2B">
            <w:pPr>
              <w:pStyle w:val="naiskr"/>
              <w:ind w:left="180" w:hanging="10"/>
            </w:pPr>
            <w:r w:rsidRPr="00D1464B">
              <w:t>Atbilstības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14:paraId="66681D09" w14:textId="42F291AC" w:rsidR="00C96AF2" w:rsidRPr="00D42CC4" w:rsidRDefault="00607E8D" w:rsidP="00342C2B">
            <w:pPr>
              <w:jc w:val="both"/>
              <w:rPr>
                <w:iCs/>
                <w:sz w:val="24"/>
              </w:rPr>
            </w:pPr>
            <w:r>
              <w:rPr>
                <w:iCs/>
                <w:sz w:val="24"/>
              </w:rPr>
              <w:t>Noteikumu p</w:t>
            </w:r>
            <w:r w:rsidRPr="00D42CC4">
              <w:rPr>
                <w:iCs/>
                <w:sz w:val="24"/>
              </w:rPr>
              <w:t>rojekts šo jomu neskar.</w:t>
            </w:r>
          </w:p>
        </w:tc>
      </w:tr>
      <w:tr w:rsidR="00124F71" w:rsidRPr="00D42CC4" w14:paraId="7AA61819"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0915BA11" w14:textId="46E6B6E1" w:rsidR="00124F71" w:rsidRPr="00293B08" w:rsidRDefault="00C96AF2" w:rsidP="00342C2B">
            <w:pPr>
              <w:pStyle w:val="naiskr"/>
              <w:spacing w:before="0" w:after="0"/>
              <w:ind w:left="180" w:hanging="180"/>
              <w:jc w:val="center"/>
            </w:pPr>
            <w:r>
              <w:t>5</w:t>
            </w:r>
            <w:r w:rsidR="00124F71" w:rsidRPr="00293B08">
              <w:t>.</w:t>
            </w:r>
          </w:p>
        </w:tc>
        <w:tc>
          <w:tcPr>
            <w:tcW w:w="1216" w:type="pct"/>
            <w:tcBorders>
              <w:top w:val="single" w:sz="4" w:space="0" w:color="auto"/>
              <w:left w:val="single" w:sz="4" w:space="0" w:color="auto"/>
              <w:bottom w:val="single" w:sz="4" w:space="0" w:color="auto"/>
              <w:right w:val="single" w:sz="4" w:space="0" w:color="auto"/>
            </w:tcBorders>
            <w:vAlign w:val="center"/>
          </w:tcPr>
          <w:p w14:paraId="218FC7FD" w14:textId="77777777" w:rsidR="00124F71" w:rsidRPr="00293B08" w:rsidRDefault="00124F71" w:rsidP="00342C2B">
            <w:pPr>
              <w:pStyle w:val="naiskr"/>
              <w:spacing w:before="0" w:after="0"/>
              <w:ind w:left="180" w:hanging="10"/>
            </w:pPr>
            <w:r w:rsidRPr="00293B08">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14:paraId="23F7F606" w14:textId="77777777" w:rsidR="00124F71" w:rsidRPr="00D42CC4" w:rsidRDefault="00124F71" w:rsidP="00342C2B">
            <w:pPr>
              <w:rPr>
                <w:sz w:val="24"/>
              </w:rPr>
            </w:pPr>
            <w:r w:rsidRPr="00D42CC4">
              <w:rPr>
                <w:iCs/>
                <w:sz w:val="24"/>
              </w:rPr>
              <w:t>Nav.</w:t>
            </w:r>
          </w:p>
        </w:tc>
      </w:tr>
    </w:tbl>
    <w:p w14:paraId="06A41A7F" w14:textId="27D9F92B" w:rsidR="00A956DA" w:rsidRDefault="00A956DA">
      <w:bookmarkStart w:id="0" w:name="_Hlk33601923"/>
    </w:p>
    <w:p w14:paraId="0C86BBA9" w14:textId="77777777" w:rsidR="00CF0718" w:rsidRDefault="00A956DA">
      <w:r>
        <w:br w:type="column"/>
      </w:r>
    </w:p>
    <w:tbl>
      <w:tblPr>
        <w:tblStyle w:val="TableGrid"/>
        <w:tblW w:w="5160" w:type="pct"/>
        <w:tblLayout w:type="fixed"/>
        <w:tblLook w:val="04A0" w:firstRow="1" w:lastRow="0" w:firstColumn="1" w:lastColumn="0" w:noHBand="0" w:noVBand="1"/>
      </w:tblPr>
      <w:tblGrid>
        <w:gridCol w:w="1545"/>
        <w:gridCol w:w="915"/>
        <w:gridCol w:w="103"/>
        <w:gridCol w:w="892"/>
        <w:gridCol w:w="1135"/>
        <w:gridCol w:w="1251"/>
        <w:gridCol w:w="1247"/>
        <w:gridCol w:w="1133"/>
        <w:gridCol w:w="1130"/>
      </w:tblGrid>
      <w:tr w:rsidR="00696DE8" w:rsidRPr="00696DE8" w14:paraId="35CAC785" w14:textId="77777777" w:rsidTr="00E50EE0">
        <w:tc>
          <w:tcPr>
            <w:tcW w:w="5000" w:type="pct"/>
            <w:gridSpan w:val="9"/>
          </w:tcPr>
          <w:p w14:paraId="7874D98C" w14:textId="63651830" w:rsidR="00032E7D" w:rsidRPr="00696DE8" w:rsidRDefault="00032E7D" w:rsidP="00D6423D">
            <w:pPr>
              <w:jc w:val="center"/>
              <w:rPr>
                <w:b/>
                <w:sz w:val="24"/>
              </w:rPr>
            </w:pPr>
            <w:r w:rsidRPr="00696DE8">
              <w:rPr>
                <w:b/>
                <w:sz w:val="24"/>
              </w:rPr>
              <w:br w:type="page"/>
              <w:t>III</w:t>
            </w:r>
            <w:r w:rsidR="00CF0718">
              <w:rPr>
                <w:b/>
                <w:sz w:val="24"/>
              </w:rPr>
              <w:t>.</w:t>
            </w:r>
            <w:r w:rsidRPr="00696DE8">
              <w:rPr>
                <w:b/>
                <w:sz w:val="24"/>
              </w:rPr>
              <w:t xml:space="preserve"> Tiesību </w:t>
            </w:r>
            <w:smartTag w:uri="schemas-tilde-lv/tildestengine" w:element="veidnes">
              <w:smartTagPr>
                <w:attr w:name="text" w:val="akta"/>
                <w:attr w:name="id" w:val="-1"/>
                <w:attr w:name="baseform" w:val="akt|s"/>
              </w:smartTagPr>
              <w:r w:rsidRPr="00696DE8">
                <w:rPr>
                  <w:b/>
                  <w:sz w:val="24"/>
                </w:rPr>
                <w:t>akta</w:t>
              </w:r>
            </w:smartTag>
            <w:r w:rsidRPr="00696DE8">
              <w:rPr>
                <w:b/>
                <w:sz w:val="24"/>
              </w:rPr>
              <w:t xml:space="preserve"> projekta ietekme uz valsts budžetu un pašvaldību budžetiem</w:t>
            </w:r>
          </w:p>
        </w:tc>
      </w:tr>
      <w:tr w:rsidR="00D86588" w:rsidRPr="00EE1BB2" w14:paraId="092A7EB1" w14:textId="77777777" w:rsidTr="00DB1B0B">
        <w:tc>
          <w:tcPr>
            <w:tcW w:w="1847" w:type="pct"/>
            <w:gridSpan w:val="4"/>
          </w:tcPr>
          <w:p w14:paraId="3F55164E" w14:textId="77777777" w:rsidR="00032E7D" w:rsidRPr="00D86588" w:rsidRDefault="00032E7D" w:rsidP="00695C94">
            <w:pPr>
              <w:jc w:val="center"/>
              <w:rPr>
                <w:sz w:val="24"/>
              </w:rPr>
            </w:pPr>
          </w:p>
        </w:tc>
        <w:tc>
          <w:tcPr>
            <w:tcW w:w="3153" w:type="pct"/>
            <w:gridSpan w:val="5"/>
          </w:tcPr>
          <w:p w14:paraId="3E4571C6" w14:textId="452DA1EF" w:rsidR="00032E7D" w:rsidRPr="00D86588" w:rsidRDefault="00D86588" w:rsidP="007B53EB">
            <w:pPr>
              <w:jc w:val="center"/>
              <w:rPr>
                <w:i/>
                <w:sz w:val="24"/>
              </w:rPr>
            </w:pPr>
            <w:r w:rsidRPr="00D86588">
              <w:rPr>
                <w:sz w:val="24"/>
              </w:rPr>
              <w:t xml:space="preserve">Turpmākie trīs gadi </w:t>
            </w:r>
            <w:r w:rsidRPr="00D86588">
              <w:rPr>
                <w:i/>
                <w:sz w:val="24"/>
              </w:rPr>
              <w:t>(</w:t>
            </w:r>
            <w:proofErr w:type="spellStart"/>
            <w:r w:rsidRPr="00D86588">
              <w:rPr>
                <w:i/>
                <w:sz w:val="24"/>
              </w:rPr>
              <w:t>euro</w:t>
            </w:r>
            <w:proofErr w:type="spellEnd"/>
            <w:r w:rsidRPr="00D86588">
              <w:rPr>
                <w:i/>
                <w:sz w:val="24"/>
              </w:rPr>
              <w:t>)</w:t>
            </w:r>
          </w:p>
        </w:tc>
      </w:tr>
      <w:tr w:rsidR="00E50EE0" w14:paraId="727929BE" w14:textId="77777777" w:rsidTr="00DB1B0B">
        <w:tc>
          <w:tcPr>
            <w:tcW w:w="826" w:type="pct"/>
          </w:tcPr>
          <w:p w14:paraId="29DBCD2F" w14:textId="5BA8FCA5" w:rsidR="00D86588" w:rsidRPr="00FE2D54" w:rsidRDefault="00D86588">
            <w:pPr>
              <w:rPr>
                <w:sz w:val="20"/>
                <w:szCs w:val="20"/>
              </w:rPr>
            </w:pPr>
            <w:r w:rsidRPr="00FE2D54">
              <w:rPr>
                <w:b/>
                <w:sz w:val="20"/>
                <w:szCs w:val="20"/>
              </w:rPr>
              <w:t>Rādītāji</w:t>
            </w:r>
          </w:p>
        </w:tc>
        <w:tc>
          <w:tcPr>
            <w:tcW w:w="1021" w:type="pct"/>
            <w:gridSpan w:val="3"/>
          </w:tcPr>
          <w:p w14:paraId="7B73D415" w14:textId="3BA69290" w:rsidR="00D86588" w:rsidRPr="00FE2D54" w:rsidRDefault="00D86588" w:rsidP="00D86588">
            <w:pPr>
              <w:jc w:val="center"/>
              <w:rPr>
                <w:sz w:val="20"/>
                <w:szCs w:val="20"/>
              </w:rPr>
            </w:pPr>
            <w:r w:rsidRPr="00FE2D54">
              <w:rPr>
                <w:b/>
                <w:sz w:val="20"/>
                <w:szCs w:val="20"/>
              </w:rPr>
              <w:t>2020</w:t>
            </w:r>
          </w:p>
        </w:tc>
        <w:tc>
          <w:tcPr>
            <w:tcW w:w="1276" w:type="pct"/>
            <w:gridSpan w:val="2"/>
          </w:tcPr>
          <w:p w14:paraId="72D563EF" w14:textId="152E8F97" w:rsidR="00D86588" w:rsidRPr="00FE2D54" w:rsidRDefault="00D86588" w:rsidP="00D86588">
            <w:pPr>
              <w:jc w:val="center"/>
              <w:rPr>
                <w:sz w:val="20"/>
                <w:szCs w:val="20"/>
              </w:rPr>
            </w:pPr>
            <w:r w:rsidRPr="00FE2D54">
              <w:rPr>
                <w:b/>
                <w:bCs/>
                <w:sz w:val="20"/>
                <w:szCs w:val="20"/>
              </w:rPr>
              <w:t>2021</w:t>
            </w:r>
          </w:p>
        </w:tc>
        <w:tc>
          <w:tcPr>
            <w:tcW w:w="1273" w:type="pct"/>
            <w:gridSpan w:val="2"/>
          </w:tcPr>
          <w:p w14:paraId="49917BD0" w14:textId="1CE4F3D7" w:rsidR="00D86588" w:rsidRPr="00FE2D54" w:rsidRDefault="00D86588" w:rsidP="00D86588">
            <w:pPr>
              <w:jc w:val="center"/>
              <w:rPr>
                <w:sz w:val="20"/>
                <w:szCs w:val="20"/>
              </w:rPr>
            </w:pPr>
            <w:r w:rsidRPr="00FE2D54">
              <w:rPr>
                <w:b/>
                <w:bCs/>
                <w:sz w:val="20"/>
                <w:szCs w:val="20"/>
              </w:rPr>
              <w:t>2022</w:t>
            </w:r>
          </w:p>
        </w:tc>
        <w:tc>
          <w:tcPr>
            <w:tcW w:w="604" w:type="pct"/>
          </w:tcPr>
          <w:p w14:paraId="6D47B1B4" w14:textId="3A53EE57" w:rsidR="00D86588" w:rsidRPr="00FE2D54" w:rsidRDefault="00D86588" w:rsidP="00D86588">
            <w:pPr>
              <w:jc w:val="center"/>
              <w:rPr>
                <w:sz w:val="20"/>
                <w:szCs w:val="20"/>
              </w:rPr>
            </w:pPr>
            <w:r w:rsidRPr="00FE2D54">
              <w:rPr>
                <w:b/>
                <w:bCs/>
                <w:sz w:val="20"/>
                <w:szCs w:val="20"/>
              </w:rPr>
              <w:t>2023</w:t>
            </w:r>
          </w:p>
        </w:tc>
      </w:tr>
      <w:tr w:rsidR="00764931" w14:paraId="76030261" w14:textId="77777777" w:rsidTr="00DB1B0B">
        <w:tc>
          <w:tcPr>
            <w:tcW w:w="826" w:type="pct"/>
          </w:tcPr>
          <w:p w14:paraId="2D4358D5" w14:textId="77777777" w:rsidR="00D86588" w:rsidRPr="00FE2D54" w:rsidRDefault="00D86588" w:rsidP="00D86588">
            <w:pPr>
              <w:rPr>
                <w:sz w:val="20"/>
                <w:szCs w:val="20"/>
              </w:rPr>
            </w:pPr>
          </w:p>
        </w:tc>
        <w:tc>
          <w:tcPr>
            <w:tcW w:w="489" w:type="pct"/>
          </w:tcPr>
          <w:p w14:paraId="0BB3B222" w14:textId="3169CF59" w:rsidR="00D86588" w:rsidRPr="00FE2D54" w:rsidRDefault="00D86588" w:rsidP="00D86588">
            <w:pPr>
              <w:rPr>
                <w:sz w:val="20"/>
                <w:szCs w:val="20"/>
              </w:rPr>
            </w:pPr>
            <w:r w:rsidRPr="00FE2D54">
              <w:rPr>
                <w:sz w:val="20"/>
                <w:szCs w:val="20"/>
              </w:rPr>
              <w:t>Saskaņā ar valsts budžetu kārtējam gadam</w:t>
            </w:r>
          </w:p>
        </w:tc>
        <w:tc>
          <w:tcPr>
            <w:tcW w:w="532" w:type="pct"/>
            <w:gridSpan w:val="2"/>
          </w:tcPr>
          <w:p w14:paraId="07C57229" w14:textId="434445B9" w:rsidR="00D86588" w:rsidRPr="00FE2D54" w:rsidRDefault="00D86588" w:rsidP="00D86588">
            <w:pPr>
              <w:rPr>
                <w:sz w:val="20"/>
                <w:szCs w:val="20"/>
              </w:rPr>
            </w:pPr>
            <w:r w:rsidRPr="00FE2D54">
              <w:rPr>
                <w:sz w:val="20"/>
                <w:szCs w:val="20"/>
              </w:rPr>
              <w:t>Izmaiņas kārtējā gadā salīdzinot ar valsts budžetu kārtējam gadam</w:t>
            </w:r>
          </w:p>
        </w:tc>
        <w:tc>
          <w:tcPr>
            <w:tcW w:w="607" w:type="pct"/>
          </w:tcPr>
          <w:p w14:paraId="3CB93E06" w14:textId="30955C99" w:rsidR="00D86588" w:rsidRPr="00FE2D54" w:rsidRDefault="00D86588" w:rsidP="00D86588">
            <w:pPr>
              <w:rPr>
                <w:sz w:val="20"/>
                <w:szCs w:val="20"/>
              </w:rPr>
            </w:pPr>
            <w:r w:rsidRPr="00FE2D54">
              <w:rPr>
                <w:iCs/>
                <w:sz w:val="20"/>
                <w:szCs w:val="20"/>
                <w:lang w:eastAsia="lv-LV"/>
              </w:rPr>
              <w:t>Saskaņā ar vidēja termiņa budžeta ietvaru</w:t>
            </w:r>
          </w:p>
        </w:tc>
        <w:tc>
          <w:tcPr>
            <w:tcW w:w="669" w:type="pct"/>
          </w:tcPr>
          <w:p w14:paraId="298D4FB0" w14:textId="5453D626" w:rsidR="00D86588" w:rsidRPr="00FE2D54" w:rsidRDefault="00D86588" w:rsidP="00D86588">
            <w:pPr>
              <w:rPr>
                <w:sz w:val="20"/>
                <w:szCs w:val="20"/>
              </w:rPr>
            </w:pPr>
            <w:r w:rsidRPr="00FE2D54">
              <w:rPr>
                <w:iCs/>
                <w:sz w:val="20"/>
                <w:szCs w:val="20"/>
                <w:lang w:eastAsia="lv-LV"/>
              </w:rPr>
              <w:t>Izmaiņas, salīdzinot ar vidēja termiņa budžeta ietvaru 2021. gadam</w:t>
            </w:r>
          </w:p>
        </w:tc>
        <w:tc>
          <w:tcPr>
            <w:tcW w:w="667" w:type="pct"/>
          </w:tcPr>
          <w:p w14:paraId="2D36CECF" w14:textId="5392B685" w:rsidR="00D86588" w:rsidRPr="00FE2D54" w:rsidRDefault="00D86588" w:rsidP="00D86588">
            <w:pPr>
              <w:rPr>
                <w:sz w:val="20"/>
                <w:szCs w:val="20"/>
              </w:rPr>
            </w:pPr>
            <w:r w:rsidRPr="00FE2D54">
              <w:rPr>
                <w:iCs/>
                <w:sz w:val="20"/>
                <w:szCs w:val="20"/>
                <w:lang w:eastAsia="lv-LV"/>
              </w:rPr>
              <w:t>Saskaņā ar vidēja termiņa budžeta ietvaru</w:t>
            </w:r>
          </w:p>
        </w:tc>
        <w:tc>
          <w:tcPr>
            <w:tcW w:w="606" w:type="pct"/>
          </w:tcPr>
          <w:p w14:paraId="2AA893B2" w14:textId="416E0612" w:rsidR="00D86588" w:rsidRPr="00FE2D54" w:rsidRDefault="00D86588" w:rsidP="00D86588">
            <w:pPr>
              <w:rPr>
                <w:sz w:val="20"/>
                <w:szCs w:val="20"/>
              </w:rPr>
            </w:pPr>
            <w:r w:rsidRPr="00FE2D54">
              <w:rPr>
                <w:iCs/>
                <w:sz w:val="20"/>
                <w:szCs w:val="20"/>
                <w:lang w:eastAsia="lv-LV"/>
              </w:rPr>
              <w:t>Izmaiņas, salīdzinot ar vidēja termiņa budžeta ietvaru 2022. gadam</w:t>
            </w:r>
          </w:p>
        </w:tc>
        <w:tc>
          <w:tcPr>
            <w:tcW w:w="604" w:type="pct"/>
          </w:tcPr>
          <w:p w14:paraId="2036EBDB" w14:textId="5C492D95" w:rsidR="00D86588" w:rsidRPr="00FE2D54" w:rsidRDefault="00D86588" w:rsidP="00D86588">
            <w:pPr>
              <w:rPr>
                <w:sz w:val="20"/>
                <w:szCs w:val="20"/>
              </w:rPr>
            </w:pPr>
            <w:r w:rsidRPr="00FE2D54">
              <w:rPr>
                <w:iCs/>
                <w:sz w:val="20"/>
                <w:szCs w:val="20"/>
                <w:lang w:eastAsia="lv-LV"/>
              </w:rPr>
              <w:t>Izmaiņas, salīdzinot ar vidēja termiņa budžeta ietvaru 2022. gadam</w:t>
            </w:r>
          </w:p>
        </w:tc>
      </w:tr>
      <w:tr w:rsidR="00764931" w14:paraId="522EF475" w14:textId="77777777" w:rsidTr="00DB1B0B">
        <w:tc>
          <w:tcPr>
            <w:tcW w:w="826" w:type="pct"/>
          </w:tcPr>
          <w:p w14:paraId="5BD6FF41" w14:textId="4FC2FAED" w:rsidR="00764931" w:rsidRPr="00A956DA" w:rsidRDefault="00764931" w:rsidP="00764931">
            <w:pPr>
              <w:rPr>
                <w:sz w:val="20"/>
                <w:szCs w:val="20"/>
              </w:rPr>
            </w:pPr>
            <w:r w:rsidRPr="00A956DA">
              <w:rPr>
                <w:b/>
                <w:sz w:val="20"/>
                <w:szCs w:val="20"/>
              </w:rPr>
              <w:t>1. Budžeta ieņēmumi*</w:t>
            </w:r>
          </w:p>
        </w:tc>
        <w:tc>
          <w:tcPr>
            <w:tcW w:w="489" w:type="pct"/>
            <w:vAlign w:val="center"/>
          </w:tcPr>
          <w:p w14:paraId="620B3C06" w14:textId="77777777" w:rsidR="00764931" w:rsidRPr="00FE2D54" w:rsidRDefault="00764931" w:rsidP="00764931">
            <w:pPr>
              <w:rPr>
                <w:sz w:val="20"/>
                <w:szCs w:val="20"/>
              </w:rPr>
            </w:pPr>
          </w:p>
        </w:tc>
        <w:tc>
          <w:tcPr>
            <w:tcW w:w="532" w:type="pct"/>
            <w:gridSpan w:val="2"/>
            <w:vAlign w:val="center"/>
          </w:tcPr>
          <w:p w14:paraId="640AA318" w14:textId="77777777" w:rsidR="00764931" w:rsidRPr="00FE2D54" w:rsidRDefault="00764931" w:rsidP="00764931">
            <w:pPr>
              <w:rPr>
                <w:sz w:val="20"/>
                <w:szCs w:val="20"/>
              </w:rPr>
            </w:pPr>
          </w:p>
        </w:tc>
        <w:tc>
          <w:tcPr>
            <w:tcW w:w="607" w:type="pct"/>
            <w:vAlign w:val="center"/>
          </w:tcPr>
          <w:p w14:paraId="071FC5A9" w14:textId="15D43148" w:rsidR="00764931" w:rsidRPr="00121BA0" w:rsidRDefault="00764931" w:rsidP="00764931">
            <w:pPr>
              <w:rPr>
                <w:iCs/>
                <w:sz w:val="20"/>
                <w:szCs w:val="20"/>
                <w:lang w:eastAsia="lv-LV"/>
              </w:rPr>
            </w:pPr>
            <w:r w:rsidRPr="00121BA0">
              <w:rPr>
                <w:rFonts w:eastAsia="Calibri"/>
                <w:b/>
                <w:sz w:val="20"/>
                <w:szCs w:val="20"/>
              </w:rPr>
              <w:t>38 027 000</w:t>
            </w:r>
          </w:p>
        </w:tc>
        <w:tc>
          <w:tcPr>
            <w:tcW w:w="669" w:type="pct"/>
            <w:vAlign w:val="center"/>
          </w:tcPr>
          <w:p w14:paraId="68EE941F" w14:textId="56E6012E" w:rsidR="00764931" w:rsidRPr="00121BA0" w:rsidRDefault="00764931" w:rsidP="00764931">
            <w:pPr>
              <w:rPr>
                <w:iCs/>
                <w:sz w:val="20"/>
                <w:szCs w:val="20"/>
                <w:lang w:eastAsia="lv-LV"/>
              </w:rPr>
            </w:pPr>
            <w:r w:rsidRPr="00121BA0">
              <w:rPr>
                <w:rFonts w:eastAsia="Calibri"/>
                <w:b/>
                <w:sz w:val="20"/>
                <w:szCs w:val="20"/>
              </w:rPr>
              <w:t>0</w:t>
            </w:r>
          </w:p>
        </w:tc>
        <w:tc>
          <w:tcPr>
            <w:tcW w:w="667" w:type="pct"/>
            <w:vAlign w:val="center"/>
          </w:tcPr>
          <w:p w14:paraId="23B55E27" w14:textId="2F0D1E0B" w:rsidR="00764931" w:rsidRPr="00121BA0" w:rsidRDefault="00764931" w:rsidP="00764931">
            <w:pPr>
              <w:rPr>
                <w:iCs/>
                <w:sz w:val="20"/>
                <w:szCs w:val="20"/>
                <w:lang w:eastAsia="lv-LV"/>
              </w:rPr>
            </w:pPr>
            <w:r w:rsidRPr="00121BA0">
              <w:rPr>
                <w:rFonts w:eastAsia="Calibri"/>
                <w:b/>
                <w:sz w:val="20"/>
                <w:szCs w:val="20"/>
              </w:rPr>
              <w:t>38 027 000</w:t>
            </w:r>
          </w:p>
        </w:tc>
        <w:tc>
          <w:tcPr>
            <w:tcW w:w="606" w:type="pct"/>
            <w:vAlign w:val="center"/>
          </w:tcPr>
          <w:p w14:paraId="7FE9BF6D" w14:textId="7BDB5E90" w:rsidR="00764931" w:rsidRPr="00121BA0" w:rsidRDefault="00764931" w:rsidP="00764931">
            <w:pPr>
              <w:rPr>
                <w:iCs/>
                <w:sz w:val="20"/>
                <w:szCs w:val="20"/>
                <w:lang w:eastAsia="lv-LV"/>
              </w:rPr>
            </w:pPr>
            <w:r w:rsidRPr="00121BA0">
              <w:rPr>
                <w:rFonts w:eastAsia="Calibri"/>
                <w:b/>
                <w:sz w:val="20"/>
                <w:szCs w:val="20"/>
              </w:rPr>
              <w:t>0</w:t>
            </w:r>
          </w:p>
        </w:tc>
        <w:tc>
          <w:tcPr>
            <w:tcW w:w="604" w:type="pct"/>
            <w:vAlign w:val="center"/>
          </w:tcPr>
          <w:p w14:paraId="4561C0D1" w14:textId="4CE7EC2E" w:rsidR="00764931" w:rsidRPr="00121BA0" w:rsidRDefault="00764931" w:rsidP="00764931">
            <w:pPr>
              <w:rPr>
                <w:iCs/>
                <w:sz w:val="20"/>
                <w:szCs w:val="20"/>
                <w:lang w:eastAsia="lv-LV"/>
              </w:rPr>
            </w:pPr>
            <w:r w:rsidRPr="00121BA0">
              <w:rPr>
                <w:rFonts w:eastAsia="Calibri"/>
                <w:b/>
                <w:sz w:val="20"/>
                <w:szCs w:val="20"/>
              </w:rPr>
              <w:t>0</w:t>
            </w:r>
          </w:p>
        </w:tc>
      </w:tr>
      <w:tr w:rsidR="00764931" w14:paraId="24431F3B" w14:textId="77777777" w:rsidTr="00DB1B0B">
        <w:tc>
          <w:tcPr>
            <w:tcW w:w="826" w:type="pct"/>
          </w:tcPr>
          <w:p w14:paraId="6EED681B" w14:textId="3E11E4EA" w:rsidR="00764931" w:rsidRPr="00FE2D54" w:rsidRDefault="00764931" w:rsidP="00764931">
            <w:pPr>
              <w:rPr>
                <w:b/>
                <w:sz w:val="20"/>
                <w:szCs w:val="20"/>
              </w:rPr>
            </w:pPr>
            <w:r w:rsidRPr="00FE2D54">
              <w:rPr>
                <w:sz w:val="20"/>
                <w:szCs w:val="20"/>
              </w:rPr>
              <w:t>1.1. valsts pamatbudžets, tai skaitā ieņēmumi no maksas pakalpojumiem un citi pašu ieņēmumi</w:t>
            </w:r>
          </w:p>
        </w:tc>
        <w:tc>
          <w:tcPr>
            <w:tcW w:w="489" w:type="pct"/>
            <w:vAlign w:val="center"/>
          </w:tcPr>
          <w:p w14:paraId="24BFBFB5" w14:textId="77777777" w:rsidR="00764931" w:rsidRPr="00FE2D54" w:rsidRDefault="00764931" w:rsidP="00764931">
            <w:pPr>
              <w:rPr>
                <w:sz w:val="20"/>
                <w:szCs w:val="20"/>
              </w:rPr>
            </w:pPr>
          </w:p>
        </w:tc>
        <w:tc>
          <w:tcPr>
            <w:tcW w:w="532" w:type="pct"/>
            <w:gridSpan w:val="2"/>
            <w:vAlign w:val="center"/>
          </w:tcPr>
          <w:p w14:paraId="6B2A4BCF" w14:textId="77777777" w:rsidR="00764931" w:rsidRPr="00FE2D54" w:rsidRDefault="00764931" w:rsidP="00764931">
            <w:pPr>
              <w:rPr>
                <w:sz w:val="20"/>
                <w:szCs w:val="20"/>
              </w:rPr>
            </w:pPr>
          </w:p>
        </w:tc>
        <w:tc>
          <w:tcPr>
            <w:tcW w:w="607" w:type="pct"/>
            <w:vAlign w:val="center"/>
          </w:tcPr>
          <w:p w14:paraId="50AB21DC" w14:textId="08734DA2" w:rsidR="00764931" w:rsidRPr="00121BA0" w:rsidRDefault="00764931" w:rsidP="00764931">
            <w:pPr>
              <w:rPr>
                <w:iCs/>
                <w:sz w:val="20"/>
                <w:szCs w:val="20"/>
                <w:lang w:eastAsia="lv-LV"/>
              </w:rPr>
            </w:pPr>
            <w:r w:rsidRPr="00121BA0">
              <w:rPr>
                <w:rFonts w:eastAsia="Calibri"/>
                <w:sz w:val="20"/>
                <w:szCs w:val="20"/>
              </w:rPr>
              <w:t>6 913 000</w:t>
            </w:r>
          </w:p>
        </w:tc>
        <w:tc>
          <w:tcPr>
            <w:tcW w:w="669" w:type="pct"/>
            <w:vAlign w:val="center"/>
          </w:tcPr>
          <w:p w14:paraId="503ED0DC" w14:textId="27DE6182" w:rsidR="00764931" w:rsidRPr="00121BA0" w:rsidRDefault="00764931" w:rsidP="00764931">
            <w:pPr>
              <w:rPr>
                <w:rFonts w:eastAsia="Calibri"/>
                <w:b/>
                <w:sz w:val="20"/>
                <w:szCs w:val="20"/>
              </w:rPr>
            </w:pPr>
            <w:r w:rsidRPr="00121BA0">
              <w:rPr>
                <w:rFonts w:eastAsia="Calibri"/>
                <w:sz w:val="20"/>
                <w:szCs w:val="20"/>
              </w:rPr>
              <w:t>0</w:t>
            </w:r>
          </w:p>
        </w:tc>
        <w:tc>
          <w:tcPr>
            <w:tcW w:w="667" w:type="pct"/>
            <w:vAlign w:val="center"/>
          </w:tcPr>
          <w:p w14:paraId="14DF5CE5" w14:textId="25464DDC" w:rsidR="00764931" w:rsidRPr="00121BA0" w:rsidRDefault="00764931" w:rsidP="00764931">
            <w:pPr>
              <w:rPr>
                <w:iCs/>
                <w:sz w:val="20"/>
                <w:szCs w:val="20"/>
                <w:lang w:eastAsia="lv-LV"/>
              </w:rPr>
            </w:pPr>
            <w:r w:rsidRPr="00121BA0">
              <w:rPr>
                <w:rFonts w:eastAsia="Calibri"/>
                <w:sz w:val="20"/>
                <w:szCs w:val="20"/>
              </w:rPr>
              <w:t>6 913 000</w:t>
            </w:r>
          </w:p>
        </w:tc>
        <w:tc>
          <w:tcPr>
            <w:tcW w:w="606" w:type="pct"/>
            <w:vAlign w:val="center"/>
          </w:tcPr>
          <w:p w14:paraId="57FB6FEB" w14:textId="6E7089F1" w:rsidR="00764931" w:rsidRPr="00121BA0" w:rsidRDefault="00764931" w:rsidP="00764931">
            <w:pPr>
              <w:rPr>
                <w:rFonts w:eastAsia="Calibri"/>
                <w:b/>
                <w:sz w:val="20"/>
                <w:szCs w:val="20"/>
              </w:rPr>
            </w:pPr>
            <w:r w:rsidRPr="00121BA0">
              <w:rPr>
                <w:rFonts w:eastAsia="Calibri"/>
                <w:sz w:val="20"/>
                <w:szCs w:val="20"/>
              </w:rPr>
              <w:t>0</w:t>
            </w:r>
          </w:p>
        </w:tc>
        <w:tc>
          <w:tcPr>
            <w:tcW w:w="604" w:type="pct"/>
            <w:vAlign w:val="center"/>
          </w:tcPr>
          <w:p w14:paraId="64016316" w14:textId="5DBB64FF" w:rsidR="00764931" w:rsidRPr="00121BA0" w:rsidRDefault="00764931" w:rsidP="00764931">
            <w:pPr>
              <w:rPr>
                <w:rFonts w:eastAsia="Calibri"/>
                <w:b/>
                <w:sz w:val="20"/>
                <w:szCs w:val="20"/>
              </w:rPr>
            </w:pPr>
            <w:r w:rsidRPr="00121BA0">
              <w:rPr>
                <w:rFonts w:eastAsia="Calibri"/>
                <w:sz w:val="20"/>
                <w:szCs w:val="20"/>
              </w:rPr>
              <w:t>0</w:t>
            </w:r>
          </w:p>
        </w:tc>
      </w:tr>
      <w:tr w:rsidR="00764931" w14:paraId="2A03AC77" w14:textId="77777777" w:rsidTr="00DB1B0B">
        <w:tc>
          <w:tcPr>
            <w:tcW w:w="826" w:type="pct"/>
          </w:tcPr>
          <w:p w14:paraId="26C8F8AE" w14:textId="0997D793" w:rsidR="00764931" w:rsidRPr="00FE2D54" w:rsidRDefault="00764931" w:rsidP="00764931">
            <w:pPr>
              <w:rPr>
                <w:sz w:val="20"/>
                <w:szCs w:val="20"/>
              </w:rPr>
            </w:pPr>
            <w:r w:rsidRPr="00FE2D54">
              <w:rPr>
                <w:sz w:val="20"/>
                <w:szCs w:val="20"/>
              </w:rPr>
              <w:t>1.2. valsts speciālais budžets</w:t>
            </w:r>
            <w:r>
              <w:rPr>
                <w:sz w:val="20"/>
                <w:szCs w:val="20"/>
              </w:rPr>
              <w:t>**</w:t>
            </w:r>
          </w:p>
        </w:tc>
        <w:tc>
          <w:tcPr>
            <w:tcW w:w="489" w:type="pct"/>
            <w:vAlign w:val="center"/>
          </w:tcPr>
          <w:p w14:paraId="06F8F4A5" w14:textId="77777777" w:rsidR="00764931" w:rsidRPr="00FE2D54" w:rsidRDefault="00764931" w:rsidP="00764931">
            <w:pPr>
              <w:rPr>
                <w:sz w:val="20"/>
                <w:szCs w:val="20"/>
              </w:rPr>
            </w:pPr>
          </w:p>
        </w:tc>
        <w:tc>
          <w:tcPr>
            <w:tcW w:w="532" w:type="pct"/>
            <w:gridSpan w:val="2"/>
            <w:vAlign w:val="center"/>
          </w:tcPr>
          <w:p w14:paraId="17CE11B8" w14:textId="77777777" w:rsidR="00764931" w:rsidRPr="00FE2D54" w:rsidRDefault="00764931" w:rsidP="00764931">
            <w:pPr>
              <w:rPr>
                <w:sz w:val="20"/>
                <w:szCs w:val="20"/>
              </w:rPr>
            </w:pPr>
          </w:p>
        </w:tc>
        <w:tc>
          <w:tcPr>
            <w:tcW w:w="607" w:type="pct"/>
            <w:vAlign w:val="center"/>
          </w:tcPr>
          <w:p w14:paraId="578A8706" w14:textId="4A75F55A" w:rsidR="00764931" w:rsidRPr="00121BA0" w:rsidRDefault="00764931" w:rsidP="00764931">
            <w:pPr>
              <w:rPr>
                <w:iCs/>
                <w:sz w:val="20"/>
                <w:szCs w:val="20"/>
                <w:lang w:eastAsia="lv-LV"/>
              </w:rPr>
            </w:pPr>
            <w:r w:rsidRPr="00121BA0">
              <w:rPr>
                <w:rFonts w:eastAsia="Calibri"/>
                <w:sz w:val="20"/>
                <w:szCs w:val="20"/>
              </w:rPr>
              <w:t>21 633 000</w:t>
            </w:r>
          </w:p>
        </w:tc>
        <w:tc>
          <w:tcPr>
            <w:tcW w:w="669" w:type="pct"/>
            <w:vAlign w:val="center"/>
          </w:tcPr>
          <w:p w14:paraId="786AE072" w14:textId="1AB7DDF7" w:rsidR="00764931" w:rsidRPr="00121BA0" w:rsidRDefault="00764931" w:rsidP="00764931">
            <w:pPr>
              <w:rPr>
                <w:rFonts w:eastAsia="Calibri"/>
                <w:sz w:val="20"/>
                <w:szCs w:val="20"/>
              </w:rPr>
            </w:pPr>
            <w:r w:rsidRPr="00121BA0">
              <w:rPr>
                <w:rFonts w:eastAsia="Calibri"/>
                <w:sz w:val="20"/>
                <w:szCs w:val="20"/>
              </w:rPr>
              <w:t>0</w:t>
            </w:r>
          </w:p>
        </w:tc>
        <w:tc>
          <w:tcPr>
            <w:tcW w:w="667" w:type="pct"/>
            <w:vAlign w:val="center"/>
          </w:tcPr>
          <w:p w14:paraId="37316B80" w14:textId="1525BDCD" w:rsidR="00764931" w:rsidRPr="00121BA0" w:rsidRDefault="00764931" w:rsidP="00764931">
            <w:pPr>
              <w:rPr>
                <w:iCs/>
                <w:sz w:val="20"/>
                <w:szCs w:val="20"/>
                <w:lang w:eastAsia="lv-LV"/>
              </w:rPr>
            </w:pPr>
            <w:r w:rsidRPr="00121BA0">
              <w:rPr>
                <w:rFonts w:eastAsia="Calibri"/>
                <w:sz w:val="20"/>
                <w:szCs w:val="20"/>
              </w:rPr>
              <w:t>21 633 000</w:t>
            </w:r>
          </w:p>
        </w:tc>
        <w:tc>
          <w:tcPr>
            <w:tcW w:w="606" w:type="pct"/>
            <w:vAlign w:val="center"/>
          </w:tcPr>
          <w:p w14:paraId="7DF5F187" w14:textId="467712F7" w:rsidR="00764931" w:rsidRPr="00121BA0" w:rsidRDefault="00764931" w:rsidP="00764931">
            <w:pPr>
              <w:rPr>
                <w:rFonts w:eastAsia="Calibri"/>
                <w:sz w:val="20"/>
                <w:szCs w:val="20"/>
              </w:rPr>
            </w:pPr>
            <w:r w:rsidRPr="00121BA0">
              <w:rPr>
                <w:rFonts w:eastAsia="Calibri"/>
                <w:sz w:val="20"/>
                <w:szCs w:val="20"/>
              </w:rPr>
              <w:t>0</w:t>
            </w:r>
          </w:p>
        </w:tc>
        <w:tc>
          <w:tcPr>
            <w:tcW w:w="604" w:type="pct"/>
            <w:vAlign w:val="center"/>
          </w:tcPr>
          <w:p w14:paraId="5F3FB4B0" w14:textId="601F4EC6" w:rsidR="00764931" w:rsidRPr="00121BA0" w:rsidRDefault="00764931" w:rsidP="00764931">
            <w:pPr>
              <w:rPr>
                <w:rFonts w:eastAsia="Calibri"/>
                <w:sz w:val="20"/>
                <w:szCs w:val="20"/>
              </w:rPr>
            </w:pPr>
            <w:r w:rsidRPr="00121BA0">
              <w:rPr>
                <w:rFonts w:eastAsia="Calibri"/>
                <w:sz w:val="20"/>
                <w:szCs w:val="20"/>
              </w:rPr>
              <w:t>0</w:t>
            </w:r>
          </w:p>
        </w:tc>
      </w:tr>
      <w:tr w:rsidR="00764931" w14:paraId="7787610A" w14:textId="77777777" w:rsidTr="00DB1B0B">
        <w:tc>
          <w:tcPr>
            <w:tcW w:w="826" w:type="pct"/>
          </w:tcPr>
          <w:p w14:paraId="6B1308AF" w14:textId="1FA2C215" w:rsidR="00764931" w:rsidRPr="00FE2D54" w:rsidRDefault="00764931" w:rsidP="00764931">
            <w:pPr>
              <w:rPr>
                <w:sz w:val="20"/>
                <w:szCs w:val="20"/>
              </w:rPr>
            </w:pPr>
            <w:r w:rsidRPr="00FE2D54">
              <w:rPr>
                <w:sz w:val="20"/>
                <w:szCs w:val="20"/>
              </w:rPr>
              <w:t>1.3. pašvaldību budžets</w:t>
            </w:r>
          </w:p>
        </w:tc>
        <w:tc>
          <w:tcPr>
            <w:tcW w:w="489" w:type="pct"/>
            <w:vAlign w:val="center"/>
          </w:tcPr>
          <w:p w14:paraId="5441018E" w14:textId="77777777" w:rsidR="00764931" w:rsidRPr="00FE2D54" w:rsidRDefault="00764931" w:rsidP="00764931">
            <w:pPr>
              <w:rPr>
                <w:sz w:val="20"/>
                <w:szCs w:val="20"/>
              </w:rPr>
            </w:pPr>
          </w:p>
        </w:tc>
        <w:tc>
          <w:tcPr>
            <w:tcW w:w="532" w:type="pct"/>
            <w:gridSpan w:val="2"/>
            <w:vAlign w:val="center"/>
          </w:tcPr>
          <w:p w14:paraId="5CE598A6" w14:textId="77777777" w:rsidR="00764931" w:rsidRPr="00FE2D54" w:rsidRDefault="00764931" w:rsidP="00764931">
            <w:pPr>
              <w:rPr>
                <w:sz w:val="20"/>
                <w:szCs w:val="20"/>
              </w:rPr>
            </w:pPr>
          </w:p>
        </w:tc>
        <w:tc>
          <w:tcPr>
            <w:tcW w:w="607" w:type="pct"/>
            <w:vAlign w:val="center"/>
          </w:tcPr>
          <w:p w14:paraId="6F1E0001" w14:textId="2A524BB3" w:rsidR="00764931" w:rsidRPr="00121BA0" w:rsidRDefault="00764931" w:rsidP="00764931">
            <w:pPr>
              <w:rPr>
                <w:iCs/>
                <w:sz w:val="20"/>
                <w:szCs w:val="20"/>
                <w:lang w:eastAsia="lv-LV"/>
              </w:rPr>
            </w:pPr>
            <w:r w:rsidRPr="00121BA0">
              <w:rPr>
                <w:rFonts w:eastAsia="Calibri"/>
                <w:sz w:val="20"/>
                <w:szCs w:val="20"/>
              </w:rPr>
              <w:t>9 481 000</w:t>
            </w:r>
          </w:p>
        </w:tc>
        <w:tc>
          <w:tcPr>
            <w:tcW w:w="669" w:type="pct"/>
            <w:vAlign w:val="center"/>
          </w:tcPr>
          <w:p w14:paraId="6CF30F30" w14:textId="7AE1CB41" w:rsidR="00764931" w:rsidRPr="00121BA0" w:rsidRDefault="00764931" w:rsidP="00764931">
            <w:pPr>
              <w:rPr>
                <w:rFonts w:eastAsia="Calibri"/>
                <w:sz w:val="20"/>
                <w:szCs w:val="20"/>
              </w:rPr>
            </w:pPr>
            <w:r w:rsidRPr="00121BA0">
              <w:rPr>
                <w:rFonts w:eastAsia="Calibri"/>
                <w:sz w:val="20"/>
                <w:szCs w:val="20"/>
              </w:rPr>
              <w:t>0</w:t>
            </w:r>
          </w:p>
        </w:tc>
        <w:tc>
          <w:tcPr>
            <w:tcW w:w="667" w:type="pct"/>
            <w:vAlign w:val="center"/>
          </w:tcPr>
          <w:p w14:paraId="439A82C6" w14:textId="63EF22E2" w:rsidR="00764931" w:rsidRPr="00121BA0" w:rsidRDefault="00764931" w:rsidP="00764931">
            <w:pPr>
              <w:rPr>
                <w:iCs/>
                <w:sz w:val="20"/>
                <w:szCs w:val="20"/>
                <w:lang w:eastAsia="lv-LV"/>
              </w:rPr>
            </w:pPr>
            <w:r w:rsidRPr="00121BA0">
              <w:rPr>
                <w:rFonts w:eastAsia="Calibri"/>
                <w:sz w:val="20"/>
                <w:szCs w:val="20"/>
              </w:rPr>
              <w:t>9 481 000</w:t>
            </w:r>
          </w:p>
        </w:tc>
        <w:tc>
          <w:tcPr>
            <w:tcW w:w="606" w:type="pct"/>
            <w:vAlign w:val="center"/>
          </w:tcPr>
          <w:p w14:paraId="1997B3C8" w14:textId="0BB5AAA6" w:rsidR="00764931" w:rsidRPr="00121BA0" w:rsidRDefault="00764931" w:rsidP="00764931">
            <w:pPr>
              <w:rPr>
                <w:rFonts w:eastAsia="Calibri"/>
                <w:sz w:val="20"/>
                <w:szCs w:val="20"/>
              </w:rPr>
            </w:pPr>
            <w:r w:rsidRPr="00121BA0">
              <w:rPr>
                <w:rFonts w:eastAsia="Calibri"/>
                <w:sz w:val="20"/>
                <w:szCs w:val="20"/>
              </w:rPr>
              <w:t>0</w:t>
            </w:r>
          </w:p>
        </w:tc>
        <w:tc>
          <w:tcPr>
            <w:tcW w:w="604" w:type="pct"/>
            <w:vAlign w:val="center"/>
          </w:tcPr>
          <w:p w14:paraId="6BD8CEEE" w14:textId="6D814601" w:rsidR="00764931" w:rsidRPr="00121BA0" w:rsidRDefault="00764931" w:rsidP="00764931">
            <w:pPr>
              <w:rPr>
                <w:rFonts w:eastAsia="Calibri"/>
                <w:sz w:val="20"/>
                <w:szCs w:val="20"/>
              </w:rPr>
            </w:pPr>
            <w:r w:rsidRPr="00121BA0">
              <w:rPr>
                <w:rFonts w:eastAsia="Calibri"/>
                <w:sz w:val="20"/>
                <w:szCs w:val="20"/>
              </w:rPr>
              <w:t>0</w:t>
            </w:r>
          </w:p>
        </w:tc>
      </w:tr>
      <w:tr w:rsidR="00DB1B0B" w14:paraId="5781F2E1" w14:textId="77777777" w:rsidTr="00DB1B0B">
        <w:tc>
          <w:tcPr>
            <w:tcW w:w="826" w:type="pct"/>
          </w:tcPr>
          <w:p w14:paraId="1FFE9B1C" w14:textId="2F4F7AD4" w:rsidR="00DB1B0B" w:rsidRPr="00FE2D54" w:rsidRDefault="00DB1B0B" w:rsidP="00DB1B0B">
            <w:pPr>
              <w:rPr>
                <w:sz w:val="20"/>
                <w:szCs w:val="20"/>
              </w:rPr>
            </w:pPr>
            <w:r w:rsidRPr="00FE2D54">
              <w:rPr>
                <w:b/>
                <w:sz w:val="20"/>
                <w:szCs w:val="20"/>
              </w:rPr>
              <w:t>2. Budžeta izdevumi:</w:t>
            </w:r>
          </w:p>
        </w:tc>
        <w:tc>
          <w:tcPr>
            <w:tcW w:w="489" w:type="pct"/>
            <w:vAlign w:val="center"/>
          </w:tcPr>
          <w:p w14:paraId="05915013" w14:textId="77777777" w:rsidR="00DB1B0B" w:rsidRPr="00FE2D54" w:rsidRDefault="00DB1B0B" w:rsidP="00DB1B0B">
            <w:pPr>
              <w:rPr>
                <w:sz w:val="20"/>
                <w:szCs w:val="20"/>
              </w:rPr>
            </w:pPr>
          </w:p>
        </w:tc>
        <w:tc>
          <w:tcPr>
            <w:tcW w:w="532" w:type="pct"/>
            <w:gridSpan w:val="2"/>
            <w:vAlign w:val="center"/>
          </w:tcPr>
          <w:p w14:paraId="32B9A6A5" w14:textId="77777777" w:rsidR="00DB1B0B" w:rsidRPr="00FE2D54" w:rsidRDefault="00DB1B0B" w:rsidP="00DB1B0B">
            <w:pPr>
              <w:rPr>
                <w:sz w:val="20"/>
                <w:szCs w:val="20"/>
              </w:rPr>
            </w:pPr>
          </w:p>
        </w:tc>
        <w:tc>
          <w:tcPr>
            <w:tcW w:w="607" w:type="pct"/>
            <w:vAlign w:val="center"/>
          </w:tcPr>
          <w:p w14:paraId="173AD532" w14:textId="0CF866DF" w:rsidR="00DB1B0B" w:rsidRPr="00121BA0" w:rsidRDefault="00DB1B0B" w:rsidP="00DB1B0B">
            <w:pPr>
              <w:rPr>
                <w:iCs/>
                <w:sz w:val="20"/>
                <w:szCs w:val="20"/>
                <w:lang w:eastAsia="lv-LV"/>
              </w:rPr>
            </w:pPr>
            <w:r w:rsidRPr="00121BA0">
              <w:rPr>
                <w:rFonts w:eastAsia="Calibri"/>
                <w:b/>
                <w:sz w:val="20"/>
                <w:szCs w:val="20"/>
              </w:rPr>
              <w:t>11 574 195</w:t>
            </w:r>
          </w:p>
        </w:tc>
        <w:tc>
          <w:tcPr>
            <w:tcW w:w="669" w:type="pct"/>
            <w:vAlign w:val="center"/>
          </w:tcPr>
          <w:p w14:paraId="47119D0E" w14:textId="7789F9BD" w:rsidR="00DB1B0B" w:rsidRPr="00121BA0" w:rsidRDefault="00DB1B0B" w:rsidP="00DB1B0B">
            <w:pPr>
              <w:rPr>
                <w:rFonts w:eastAsia="Calibri"/>
                <w:sz w:val="20"/>
                <w:szCs w:val="20"/>
              </w:rPr>
            </w:pPr>
            <w:r w:rsidRPr="00121BA0">
              <w:rPr>
                <w:rFonts w:eastAsia="Calibri"/>
                <w:b/>
                <w:sz w:val="20"/>
                <w:szCs w:val="20"/>
              </w:rPr>
              <w:t>0</w:t>
            </w:r>
          </w:p>
        </w:tc>
        <w:tc>
          <w:tcPr>
            <w:tcW w:w="667" w:type="pct"/>
            <w:vAlign w:val="center"/>
          </w:tcPr>
          <w:p w14:paraId="09C2FD47" w14:textId="6C7C7AA1" w:rsidR="00DB1B0B" w:rsidRPr="00121BA0" w:rsidRDefault="00DB1B0B" w:rsidP="00DB1B0B">
            <w:pPr>
              <w:rPr>
                <w:iCs/>
                <w:sz w:val="20"/>
                <w:szCs w:val="20"/>
                <w:lang w:eastAsia="lv-LV"/>
              </w:rPr>
            </w:pPr>
            <w:r w:rsidRPr="00121BA0">
              <w:rPr>
                <w:rFonts w:eastAsia="Calibri"/>
                <w:b/>
                <w:sz w:val="20"/>
                <w:szCs w:val="20"/>
              </w:rPr>
              <w:t>11 574 195</w:t>
            </w:r>
          </w:p>
        </w:tc>
        <w:tc>
          <w:tcPr>
            <w:tcW w:w="606" w:type="pct"/>
            <w:vAlign w:val="center"/>
          </w:tcPr>
          <w:p w14:paraId="187B4272" w14:textId="303AFD2D" w:rsidR="00DB1B0B" w:rsidRPr="00121BA0" w:rsidRDefault="00DB1B0B" w:rsidP="00DB1B0B">
            <w:pPr>
              <w:rPr>
                <w:rFonts w:eastAsia="Calibri"/>
                <w:sz w:val="20"/>
                <w:szCs w:val="20"/>
              </w:rPr>
            </w:pPr>
            <w:r w:rsidRPr="00121BA0">
              <w:rPr>
                <w:rFonts w:eastAsia="Calibri"/>
                <w:b/>
                <w:sz w:val="20"/>
                <w:szCs w:val="20"/>
              </w:rPr>
              <w:t>0</w:t>
            </w:r>
          </w:p>
        </w:tc>
        <w:tc>
          <w:tcPr>
            <w:tcW w:w="604" w:type="pct"/>
            <w:vAlign w:val="center"/>
          </w:tcPr>
          <w:p w14:paraId="4BB0C4FD" w14:textId="63C27E63" w:rsidR="00DB1B0B" w:rsidRPr="00121BA0" w:rsidRDefault="00DB1B0B" w:rsidP="00DB1B0B">
            <w:pPr>
              <w:rPr>
                <w:rFonts w:eastAsia="Calibri"/>
                <w:sz w:val="20"/>
                <w:szCs w:val="20"/>
              </w:rPr>
            </w:pPr>
            <w:r w:rsidRPr="00121BA0">
              <w:rPr>
                <w:rFonts w:eastAsia="Calibri"/>
                <w:b/>
                <w:sz w:val="20"/>
                <w:szCs w:val="20"/>
              </w:rPr>
              <w:t>0</w:t>
            </w:r>
          </w:p>
        </w:tc>
      </w:tr>
      <w:tr w:rsidR="00DB1B0B" w14:paraId="0C003A09" w14:textId="77777777" w:rsidTr="00DB1B0B">
        <w:tc>
          <w:tcPr>
            <w:tcW w:w="826" w:type="pct"/>
          </w:tcPr>
          <w:p w14:paraId="4A177BD7" w14:textId="7FBF3239" w:rsidR="00DB1B0B" w:rsidRPr="00FE2D54" w:rsidRDefault="00DB1B0B" w:rsidP="00DB1B0B">
            <w:pPr>
              <w:rPr>
                <w:b/>
                <w:sz w:val="20"/>
                <w:szCs w:val="20"/>
              </w:rPr>
            </w:pPr>
            <w:r w:rsidRPr="00FE2D54">
              <w:rPr>
                <w:sz w:val="20"/>
                <w:szCs w:val="20"/>
              </w:rPr>
              <w:t>2.1. valsts pamatbudžets</w:t>
            </w:r>
          </w:p>
        </w:tc>
        <w:tc>
          <w:tcPr>
            <w:tcW w:w="489" w:type="pct"/>
            <w:vAlign w:val="center"/>
          </w:tcPr>
          <w:p w14:paraId="01F6BF13" w14:textId="77777777" w:rsidR="00DB1B0B" w:rsidRPr="00FE2D54" w:rsidRDefault="00DB1B0B" w:rsidP="00DB1B0B">
            <w:pPr>
              <w:rPr>
                <w:sz w:val="20"/>
                <w:szCs w:val="20"/>
              </w:rPr>
            </w:pPr>
          </w:p>
        </w:tc>
        <w:tc>
          <w:tcPr>
            <w:tcW w:w="532" w:type="pct"/>
            <w:gridSpan w:val="2"/>
            <w:vAlign w:val="center"/>
          </w:tcPr>
          <w:p w14:paraId="720CF8D1" w14:textId="77777777" w:rsidR="00DB1B0B" w:rsidRPr="00FE2D54" w:rsidRDefault="00DB1B0B" w:rsidP="00DB1B0B">
            <w:pPr>
              <w:rPr>
                <w:sz w:val="20"/>
                <w:szCs w:val="20"/>
              </w:rPr>
            </w:pPr>
          </w:p>
        </w:tc>
        <w:tc>
          <w:tcPr>
            <w:tcW w:w="607" w:type="pct"/>
            <w:vAlign w:val="center"/>
          </w:tcPr>
          <w:p w14:paraId="76B25D9D" w14:textId="5520E31C" w:rsidR="00DB1B0B" w:rsidRPr="00121BA0" w:rsidRDefault="00DB1B0B" w:rsidP="00DB1B0B">
            <w:pPr>
              <w:rPr>
                <w:iCs/>
                <w:sz w:val="20"/>
                <w:szCs w:val="20"/>
                <w:lang w:eastAsia="lv-LV"/>
              </w:rPr>
            </w:pPr>
            <w:r w:rsidRPr="00121BA0">
              <w:rPr>
                <w:bCs/>
                <w:sz w:val="20"/>
                <w:szCs w:val="20"/>
                <w:lang w:eastAsia="lv-LV"/>
              </w:rPr>
              <w:t>2 207 539</w:t>
            </w:r>
          </w:p>
        </w:tc>
        <w:tc>
          <w:tcPr>
            <w:tcW w:w="669" w:type="pct"/>
            <w:vAlign w:val="center"/>
          </w:tcPr>
          <w:p w14:paraId="33BE5256" w14:textId="1991E61A" w:rsidR="00DB1B0B" w:rsidRPr="00121BA0" w:rsidRDefault="00DB1B0B" w:rsidP="00DB1B0B">
            <w:pPr>
              <w:rPr>
                <w:rFonts w:eastAsia="Calibri"/>
                <w:sz w:val="20"/>
                <w:szCs w:val="20"/>
              </w:rPr>
            </w:pPr>
            <w:r w:rsidRPr="00121BA0">
              <w:rPr>
                <w:rFonts w:eastAsia="Calibri"/>
                <w:sz w:val="20"/>
                <w:szCs w:val="20"/>
              </w:rPr>
              <w:t>0</w:t>
            </w:r>
          </w:p>
        </w:tc>
        <w:tc>
          <w:tcPr>
            <w:tcW w:w="667" w:type="pct"/>
            <w:vAlign w:val="center"/>
          </w:tcPr>
          <w:p w14:paraId="2769824A" w14:textId="10D0890E" w:rsidR="00DB1B0B" w:rsidRPr="00121BA0" w:rsidRDefault="00DB1B0B" w:rsidP="00DB1B0B">
            <w:pPr>
              <w:rPr>
                <w:iCs/>
                <w:sz w:val="20"/>
                <w:szCs w:val="20"/>
                <w:lang w:eastAsia="lv-LV"/>
              </w:rPr>
            </w:pPr>
            <w:r w:rsidRPr="00121BA0">
              <w:rPr>
                <w:bCs/>
                <w:sz w:val="20"/>
                <w:szCs w:val="20"/>
                <w:lang w:eastAsia="lv-LV"/>
              </w:rPr>
              <w:t>2 207 539</w:t>
            </w:r>
          </w:p>
        </w:tc>
        <w:tc>
          <w:tcPr>
            <w:tcW w:w="606" w:type="pct"/>
            <w:vAlign w:val="center"/>
          </w:tcPr>
          <w:p w14:paraId="15B80A95" w14:textId="06C7EC87" w:rsidR="00DB1B0B" w:rsidRPr="00121BA0" w:rsidRDefault="00DB1B0B" w:rsidP="00DB1B0B">
            <w:pPr>
              <w:rPr>
                <w:rFonts w:eastAsia="Calibri"/>
                <w:b/>
                <w:sz w:val="20"/>
                <w:szCs w:val="20"/>
              </w:rPr>
            </w:pPr>
            <w:r w:rsidRPr="00121BA0">
              <w:rPr>
                <w:rFonts w:eastAsia="Calibri"/>
                <w:sz w:val="20"/>
                <w:szCs w:val="20"/>
              </w:rPr>
              <w:t>0</w:t>
            </w:r>
          </w:p>
        </w:tc>
        <w:tc>
          <w:tcPr>
            <w:tcW w:w="604" w:type="pct"/>
            <w:vAlign w:val="center"/>
          </w:tcPr>
          <w:p w14:paraId="507AA45C" w14:textId="66932EE8" w:rsidR="00DB1B0B" w:rsidRPr="00121BA0" w:rsidRDefault="00DB1B0B" w:rsidP="00DB1B0B">
            <w:pPr>
              <w:rPr>
                <w:rFonts w:eastAsia="Calibri"/>
                <w:b/>
                <w:sz w:val="20"/>
                <w:szCs w:val="20"/>
              </w:rPr>
            </w:pPr>
            <w:r w:rsidRPr="00121BA0">
              <w:rPr>
                <w:rFonts w:eastAsia="Calibri"/>
                <w:sz w:val="20"/>
                <w:szCs w:val="20"/>
              </w:rPr>
              <w:t>0</w:t>
            </w:r>
          </w:p>
        </w:tc>
      </w:tr>
      <w:tr w:rsidR="00764931" w14:paraId="4571B11C" w14:textId="77777777" w:rsidTr="00DB1B0B">
        <w:tc>
          <w:tcPr>
            <w:tcW w:w="826" w:type="pct"/>
          </w:tcPr>
          <w:p w14:paraId="3C1FA23E" w14:textId="35A446A8" w:rsidR="00764931" w:rsidRPr="00FE2D54" w:rsidRDefault="00764931" w:rsidP="00764931">
            <w:pPr>
              <w:rPr>
                <w:sz w:val="20"/>
                <w:szCs w:val="20"/>
              </w:rPr>
            </w:pPr>
            <w:r w:rsidRPr="00FE2D54">
              <w:rPr>
                <w:sz w:val="20"/>
                <w:szCs w:val="20"/>
              </w:rPr>
              <w:t>2.2. valsts speciālais budžets</w:t>
            </w:r>
          </w:p>
        </w:tc>
        <w:tc>
          <w:tcPr>
            <w:tcW w:w="489" w:type="pct"/>
            <w:vAlign w:val="center"/>
          </w:tcPr>
          <w:p w14:paraId="249FF29A" w14:textId="77777777" w:rsidR="00764931" w:rsidRPr="00FE2D54" w:rsidRDefault="00764931" w:rsidP="00764931">
            <w:pPr>
              <w:rPr>
                <w:sz w:val="20"/>
                <w:szCs w:val="20"/>
              </w:rPr>
            </w:pPr>
          </w:p>
        </w:tc>
        <w:tc>
          <w:tcPr>
            <w:tcW w:w="532" w:type="pct"/>
            <w:gridSpan w:val="2"/>
            <w:vAlign w:val="center"/>
          </w:tcPr>
          <w:p w14:paraId="272ABBC3" w14:textId="77777777" w:rsidR="00764931" w:rsidRPr="00FE2D54" w:rsidRDefault="00764931" w:rsidP="00764931">
            <w:pPr>
              <w:rPr>
                <w:sz w:val="20"/>
                <w:szCs w:val="20"/>
              </w:rPr>
            </w:pPr>
          </w:p>
        </w:tc>
        <w:tc>
          <w:tcPr>
            <w:tcW w:w="607" w:type="pct"/>
            <w:vAlign w:val="center"/>
          </w:tcPr>
          <w:p w14:paraId="2D71FC10" w14:textId="06FD793E" w:rsidR="00764931" w:rsidRPr="00121BA0" w:rsidRDefault="00764931" w:rsidP="00764931">
            <w:pPr>
              <w:rPr>
                <w:iCs/>
                <w:sz w:val="20"/>
                <w:szCs w:val="20"/>
                <w:lang w:eastAsia="lv-LV"/>
              </w:rPr>
            </w:pPr>
            <w:r w:rsidRPr="00121BA0">
              <w:rPr>
                <w:rFonts w:eastAsia="Calibri"/>
                <w:sz w:val="20"/>
                <w:szCs w:val="20"/>
              </w:rPr>
              <w:t>0</w:t>
            </w:r>
          </w:p>
        </w:tc>
        <w:tc>
          <w:tcPr>
            <w:tcW w:w="669" w:type="pct"/>
            <w:vAlign w:val="center"/>
          </w:tcPr>
          <w:p w14:paraId="08DFAB96" w14:textId="7A375971" w:rsidR="00764931" w:rsidRPr="00121BA0" w:rsidRDefault="00764931" w:rsidP="00764931">
            <w:pPr>
              <w:rPr>
                <w:rFonts w:eastAsia="Calibri"/>
                <w:sz w:val="20"/>
                <w:szCs w:val="20"/>
              </w:rPr>
            </w:pPr>
            <w:r w:rsidRPr="00121BA0">
              <w:rPr>
                <w:rFonts w:eastAsia="Calibri"/>
                <w:sz w:val="20"/>
                <w:szCs w:val="20"/>
              </w:rPr>
              <w:t>0</w:t>
            </w:r>
          </w:p>
        </w:tc>
        <w:tc>
          <w:tcPr>
            <w:tcW w:w="667" w:type="pct"/>
            <w:vAlign w:val="center"/>
          </w:tcPr>
          <w:p w14:paraId="07C64EB2" w14:textId="1FF1C210" w:rsidR="00764931" w:rsidRPr="00121BA0" w:rsidRDefault="00764931" w:rsidP="00764931">
            <w:pPr>
              <w:rPr>
                <w:iCs/>
                <w:sz w:val="20"/>
                <w:szCs w:val="20"/>
                <w:lang w:eastAsia="lv-LV"/>
              </w:rPr>
            </w:pPr>
            <w:r w:rsidRPr="00121BA0">
              <w:rPr>
                <w:rFonts w:eastAsia="Calibri"/>
                <w:sz w:val="20"/>
                <w:szCs w:val="20"/>
              </w:rPr>
              <w:t>0</w:t>
            </w:r>
          </w:p>
        </w:tc>
        <w:tc>
          <w:tcPr>
            <w:tcW w:w="606" w:type="pct"/>
            <w:vAlign w:val="center"/>
          </w:tcPr>
          <w:p w14:paraId="5DC5B4CA" w14:textId="5B5A2E12" w:rsidR="00764931" w:rsidRPr="00121BA0" w:rsidRDefault="00764931" w:rsidP="00764931">
            <w:pPr>
              <w:rPr>
                <w:rFonts w:eastAsia="Calibri"/>
                <w:sz w:val="20"/>
                <w:szCs w:val="20"/>
              </w:rPr>
            </w:pPr>
            <w:r w:rsidRPr="00121BA0">
              <w:rPr>
                <w:rFonts w:eastAsia="Calibri"/>
                <w:sz w:val="20"/>
                <w:szCs w:val="20"/>
              </w:rPr>
              <w:t>0</w:t>
            </w:r>
          </w:p>
        </w:tc>
        <w:tc>
          <w:tcPr>
            <w:tcW w:w="604" w:type="pct"/>
            <w:vAlign w:val="center"/>
          </w:tcPr>
          <w:p w14:paraId="04B59715" w14:textId="3FFD59EC" w:rsidR="00764931" w:rsidRPr="00121BA0" w:rsidRDefault="00764931" w:rsidP="00764931">
            <w:pPr>
              <w:rPr>
                <w:rFonts w:eastAsia="Calibri"/>
                <w:sz w:val="20"/>
                <w:szCs w:val="20"/>
              </w:rPr>
            </w:pPr>
            <w:r w:rsidRPr="00121BA0">
              <w:rPr>
                <w:rFonts w:eastAsia="Calibri"/>
                <w:sz w:val="20"/>
                <w:szCs w:val="20"/>
              </w:rPr>
              <w:t>0</w:t>
            </w:r>
          </w:p>
        </w:tc>
      </w:tr>
      <w:tr w:rsidR="00764931" w14:paraId="6419214C" w14:textId="77777777" w:rsidTr="00DB1B0B">
        <w:tc>
          <w:tcPr>
            <w:tcW w:w="826" w:type="pct"/>
          </w:tcPr>
          <w:p w14:paraId="28259276" w14:textId="331F5054" w:rsidR="00764931" w:rsidRPr="00FE2D54" w:rsidRDefault="00764931" w:rsidP="00764931">
            <w:pPr>
              <w:rPr>
                <w:sz w:val="20"/>
                <w:szCs w:val="20"/>
              </w:rPr>
            </w:pPr>
            <w:r w:rsidRPr="00FE2D54">
              <w:rPr>
                <w:sz w:val="20"/>
                <w:szCs w:val="20"/>
              </w:rPr>
              <w:t>2.3. pašvaldību budžets</w:t>
            </w:r>
          </w:p>
        </w:tc>
        <w:tc>
          <w:tcPr>
            <w:tcW w:w="489" w:type="pct"/>
            <w:vAlign w:val="center"/>
          </w:tcPr>
          <w:p w14:paraId="4470928E" w14:textId="77777777" w:rsidR="00764931" w:rsidRPr="00FE2D54" w:rsidRDefault="00764931" w:rsidP="00764931">
            <w:pPr>
              <w:rPr>
                <w:sz w:val="20"/>
                <w:szCs w:val="20"/>
              </w:rPr>
            </w:pPr>
          </w:p>
        </w:tc>
        <w:tc>
          <w:tcPr>
            <w:tcW w:w="532" w:type="pct"/>
            <w:gridSpan w:val="2"/>
            <w:vAlign w:val="center"/>
          </w:tcPr>
          <w:p w14:paraId="2DB33BB0" w14:textId="77777777" w:rsidR="00764931" w:rsidRPr="00FE2D54" w:rsidRDefault="00764931" w:rsidP="00764931">
            <w:pPr>
              <w:rPr>
                <w:sz w:val="20"/>
                <w:szCs w:val="20"/>
              </w:rPr>
            </w:pPr>
          </w:p>
        </w:tc>
        <w:tc>
          <w:tcPr>
            <w:tcW w:w="607" w:type="pct"/>
            <w:vAlign w:val="center"/>
          </w:tcPr>
          <w:p w14:paraId="50058A35" w14:textId="59C13D44" w:rsidR="00764931" w:rsidRPr="00121BA0" w:rsidRDefault="00764931" w:rsidP="00764931">
            <w:pPr>
              <w:rPr>
                <w:iCs/>
                <w:sz w:val="20"/>
                <w:szCs w:val="20"/>
                <w:lang w:eastAsia="lv-LV"/>
              </w:rPr>
            </w:pPr>
            <w:r w:rsidRPr="00121BA0">
              <w:rPr>
                <w:bCs/>
                <w:sz w:val="20"/>
                <w:szCs w:val="20"/>
                <w:lang w:eastAsia="lv-LV"/>
              </w:rPr>
              <w:t>9 366 656</w:t>
            </w:r>
          </w:p>
        </w:tc>
        <w:tc>
          <w:tcPr>
            <w:tcW w:w="669" w:type="pct"/>
            <w:vAlign w:val="center"/>
          </w:tcPr>
          <w:p w14:paraId="7F93E0BA" w14:textId="4DE91477" w:rsidR="00764931" w:rsidRPr="00121BA0" w:rsidRDefault="00764931" w:rsidP="00764931">
            <w:pPr>
              <w:rPr>
                <w:rFonts w:eastAsia="Calibri"/>
                <w:sz w:val="20"/>
                <w:szCs w:val="20"/>
              </w:rPr>
            </w:pPr>
            <w:r w:rsidRPr="00121BA0">
              <w:rPr>
                <w:rFonts w:eastAsia="Calibri"/>
                <w:sz w:val="20"/>
                <w:szCs w:val="20"/>
              </w:rPr>
              <w:t>0</w:t>
            </w:r>
          </w:p>
        </w:tc>
        <w:tc>
          <w:tcPr>
            <w:tcW w:w="667" w:type="pct"/>
            <w:vAlign w:val="center"/>
          </w:tcPr>
          <w:p w14:paraId="672138BA" w14:textId="18AEA8B8" w:rsidR="00764931" w:rsidRPr="00121BA0" w:rsidRDefault="00764931" w:rsidP="00764931">
            <w:pPr>
              <w:rPr>
                <w:iCs/>
                <w:sz w:val="20"/>
                <w:szCs w:val="20"/>
                <w:lang w:eastAsia="lv-LV"/>
              </w:rPr>
            </w:pPr>
            <w:r w:rsidRPr="00121BA0">
              <w:rPr>
                <w:bCs/>
                <w:sz w:val="20"/>
                <w:szCs w:val="20"/>
                <w:lang w:eastAsia="lv-LV"/>
              </w:rPr>
              <w:t>9 366 656</w:t>
            </w:r>
          </w:p>
        </w:tc>
        <w:tc>
          <w:tcPr>
            <w:tcW w:w="606" w:type="pct"/>
            <w:vAlign w:val="center"/>
          </w:tcPr>
          <w:p w14:paraId="008A2CD6" w14:textId="60DCB76C" w:rsidR="00764931" w:rsidRPr="00121BA0" w:rsidRDefault="00764931" w:rsidP="00764931">
            <w:pPr>
              <w:rPr>
                <w:rFonts w:eastAsia="Calibri"/>
                <w:sz w:val="20"/>
                <w:szCs w:val="20"/>
              </w:rPr>
            </w:pPr>
            <w:r w:rsidRPr="00121BA0">
              <w:rPr>
                <w:rFonts w:eastAsia="Calibri"/>
                <w:sz w:val="20"/>
                <w:szCs w:val="20"/>
              </w:rPr>
              <w:t>0</w:t>
            </w:r>
          </w:p>
        </w:tc>
        <w:tc>
          <w:tcPr>
            <w:tcW w:w="604" w:type="pct"/>
            <w:vAlign w:val="center"/>
          </w:tcPr>
          <w:p w14:paraId="4FE6CB7C" w14:textId="2633BCD5" w:rsidR="00764931" w:rsidRPr="00121BA0" w:rsidRDefault="00764931" w:rsidP="00764931">
            <w:pPr>
              <w:rPr>
                <w:rFonts w:eastAsia="Calibri"/>
                <w:sz w:val="20"/>
                <w:szCs w:val="20"/>
              </w:rPr>
            </w:pPr>
            <w:r w:rsidRPr="00121BA0">
              <w:rPr>
                <w:rFonts w:eastAsia="Calibri"/>
                <w:sz w:val="20"/>
                <w:szCs w:val="20"/>
              </w:rPr>
              <w:t>0</w:t>
            </w:r>
          </w:p>
        </w:tc>
      </w:tr>
      <w:tr w:rsidR="00DB1B0B" w14:paraId="7EA3CAE2" w14:textId="77777777" w:rsidTr="00DB1B0B">
        <w:tc>
          <w:tcPr>
            <w:tcW w:w="826" w:type="pct"/>
          </w:tcPr>
          <w:p w14:paraId="41BCA65C" w14:textId="6CAB38A9" w:rsidR="00DB1B0B" w:rsidRPr="00FE2D54" w:rsidRDefault="00DB1B0B" w:rsidP="00DB1B0B">
            <w:pPr>
              <w:rPr>
                <w:sz w:val="20"/>
                <w:szCs w:val="20"/>
              </w:rPr>
            </w:pPr>
            <w:r w:rsidRPr="00FE2D54">
              <w:rPr>
                <w:b/>
                <w:sz w:val="20"/>
                <w:szCs w:val="20"/>
              </w:rPr>
              <w:t>3. Finansiālā ietekme:</w:t>
            </w:r>
          </w:p>
        </w:tc>
        <w:tc>
          <w:tcPr>
            <w:tcW w:w="489" w:type="pct"/>
            <w:vAlign w:val="center"/>
          </w:tcPr>
          <w:p w14:paraId="7D46F321" w14:textId="77777777" w:rsidR="00DB1B0B" w:rsidRPr="00FE2D54" w:rsidRDefault="00DB1B0B" w:rsidP="00DB1B0B">
            <w:pPr>
              <w:rPr>
                <w:sz w:val="20"/>
                <w:szCs w:val="20"/>
              </w:rPr>
            </w:pPr>
          </w:p>
        </w:tc>
        <w:tc>
          <w:tcPr>
            <w:tcW w:w="532" w:type="pct"/>
            <w:gridSpan w:val="2"/>
            <w:vAlign w:val="center"/>
          </w:tcPr>
          <w:p w14:paraId="25EA45C8" w14:textId="77777777" w:rsidR="00DB1B0B" w:rsidRPr="00FE2D54" w:rsidRDefault="00DB1B0B" w:rsidP="00DB1B0B">
            <w:pPr>
              <w:rPr>
                <w:sz w:val="20"/>
                <w:szCs w:val="20"/>
              </w:rPr>
            </w:pPr>
          </w:p>
        </w:tc>
        <w:tc>
          <w:tcPr>
            <w:tcW w:w="607" w:type="pct"/>
            <w:vAlign w:val="center"/>
          </w:tcPr>
          <w:p w14:paraId="2783C8D3" w14:textId="3B3B80EF" w:rsidR="00DB1B0B" w:rsidRPr="00121BA0" w:rsidRDefault="00DB1B0B" w:rsidP="00DB1B0B">
            <w:pPr>
              <w:rPr>
                <w:iCs/>
                <w:sz w:val="20"/>
                <w:szCs w:val="20"/>
                <w:lang w:eastAsia="lv-LV"/>
              </w:rPr>
            </w:pPr>
            <w:r w:rsidRPr="00121BA0">
              <w:rPr>
                <w:rFonts w:eastAsia="Calibri"/>
                <w:b/>
                <w:sz w:val="20"/>
                <w:szCs w:val="20"/>
              </w:rPr>
              <w:t>26 452 805</w:t>
            </w:r>
          </w:p>
        </w:tc>
        <w:tc>
          <w:tcPr>
            <w:tcW w:w="669" w:type="pct"/>
            <w:vAlign w:val="center"/>
          </w:tcPr>
          <w:p w14:paraId="05BBFEDA" w14:textId="3035BCBA" w:rsidR="00DB1B0B" w:rsidRPr="00121BA0" w:rsidRDefault="00DB1B0B" w:rsidP="00DB1B0B">
            <w:pPr>
              <w:rPr>
                <w:rFonts w:eastAsia="Calibri"/>
                <w:sz w:val="20"/>
                <w:szCs w:val="20"/>
              </w:rPr>
            </w:pPr>
            <w:r w:rsidRPr="00121BA0">
              <w:rPr>
                <w:rFonts w:eastAsia="Calibri"/>
                <w:b/>
                <w:sz w:val="20"/>
                <w:szCs w:val="20"/>
              </w:rPr>
              <w:t>0</w:t>
            </w:r>
          </w:p>
        </w:tc>
        <w:tc>
          <w:tcPr>
            <w:tcW w:w="667" w:type="pct"/>
            <w:vAlign w:val="center"/>
          </w:tcPr>
          <w:p w14:paraId="182CAD84" w14:textId="666CCDC9" w:rsidR="00DB1B0B" w:rsidRPr="00121BA0" w:rsidRDefault="00DB1B0B" w:rsidP="00DB1B0B">
            <w:pPr>
              <w:rPr>
                <w:iCs/>
                <w:sz w:val="20"/>
                <w:szCs w:val="20"/>
                <w:lang w:eastAsia="lv-LV"/>
              </w:rPr>
            </w:pPr>
            <w:r w:rsidRPr="00121BA0">
              <w:rPr>
                <w:rFonts w:eastAsia="Calibri"/>
                <w:b/>
                <w:sz w:val="20"/>
                <w:szCs w:val="20"/>
              </w:rPr>
              <w:t>26 452 805</w:t>
            </w:r>
          </w:p>
        </w:tc>
        <w:tc>
          <w:tcPr>
            <w:tcW w:w="606" w:type="pct"/>
            <w:vAlign w:val="center"/>
          </w:tcPr>
          <w:p w14:paraId="05095CE6" w14:textId="5032BDBA" w:rsidR="00DB1B0B" w:rsidRPr="00121BA0" w:rsidRDefault="00DB1B0B" w:rsidP="00DB1B0B">
            <w:pPr>
              <w:rPr>
                <w:rFonts w:eastAsia="Calibri"/>
                <w:sz w:val="20"/>
                <w:szCs w:val="20"/>
              </w:rPr>
            </w:pPr>
            <w:r w:rsidRPr="00121BA0">
              <w:rPr>
                <w:rFonts w:eastAsia="Calibri"/>
                <w:b/>
                <w:sz w:val="20"/>
                <w:szCs w:val="20"/>
              </w:rPr>
              <w:t>0</w:t>
            </w:r>
          </w:p>
        </w:tc>
        <w:tc>
          <w:tcPr>
            <w:tcW w:w="604" w:type="pct"/>
            <w:vAlign w:val="center"/>
          </w:tcPr>
          <w:p w14:paraId="533DA305" w14:textId="470A5E99" w:rsidR="00DB1B0B" w:rsidRPr="00121BA0" w:rsidRDefault="00DB1B0B" w:rsidP="00DB1B0B">
            <w:pPr>
              <w:rPr>
                <w:rFonts w:eastAsia="Calibri"/>
                <w:sz w:val="20"/>
                <w:szCs w:val="20"/>
              </w:rPr>
            </w:pPr>
            <w:r w:rsidRPr="00121BA0">
              <w:rPr>
                <w:rFonts w:eastAsia="Calibri"/>
                <w:b/>
                <w:sz w:val="20"/>
                <w:szCs w:val="20"/>
              </w:rPr>
              <w:t>0</w:t>
            </w:r>
          </w:p>
        </w:tc>
      </w:tr>
      <w:tr w:rsidR="00DB1B0B" w14:paraId="534B2578" w14:textId="77777777" w:rsidTr="00DB1B0B">
        <w:tc>
          <w:tcPr>
            <w:tcW w:w="826" w:type="pct"/>
          </w:tcPr>
          <w:p w14:paraId="624BFF04" w14:textId="04E9538D" w:rsidR="00DB1B0B" w:rsidRPr="00FE2D54" w:rsidRDefault="00DB1B0B" w:rsidP="00DB1B0B">
            <w:pPr>
              <w:rPr>
                <w:b/>
                <w:sz w:val="20"/>
                <w:szCs w:val="20"/>
              </w:rPr>
            </w:pPr>
            <w:r w:rsidRPr="00FE2D54">
              <w:rPr>
                <w:sz w:val="20"/>
                <w:szCs w:val="20"/>
              </w:rPr>
              <w:t>3.1. valsts pamatbudžets</w:t>
            </w:r>
          </w:p>
        </w:tc>
        <w:tc>
          <w:tcPr>
            <w:tcW w:w="489" w:type="pct"/>
            <w:vAlign w:val="center"/>
          </w:tcPr>
          <w:p w14:paraId="18832E46" w14:textId="77777777" w:rsidR="00DB1B0B" w:rsidRPr="00FE2D54" w:rsidRDefault="00DB1B0B" w:rsidP="00DB1B0B">
            <w:pPr>
              <w:rPr>
                <w:sz w:val="20"/>
                <w:szCs w:val="20"/>
              </w:rPr>
            </w:pPr>
          </w:p>
        </w:tc>
        <w:tc>
          <w:tcPr>
            <w:tcW w:w="532" w:type="pct"/>
            <w:gridSpan w:val="2"/>
            <w:vAlign w:val="center"/>
          </w:tcPr>
          <w:p w14:paraId="7B92E388" w14:textId="77777777" w:rsidR="00DB1B0B" w:rsidRPr="00FE2D54" w:rsidRDefault="00DB1B0B" w:rsidP="00DB1B0B">
            <w:pPr>
              <w:rPr>
                <w:sz w:val="20"/>
                <w:szCs w:val="20"/>
              </w:rPr>
            </w:pPr>
          </w:p>
        </w:tc>
        <w:tc>
          <w:tcPr>
            <w:tcW w:w="607" w:type="pct"/>
            <w:vAlign w:val="center"/>
          </w:tcPr>
          <w:p w14:paraId="4D2FC9C6" w14:textId="11534EC0" w:rsidR="00DB1B0B" w:rsidRPr="00121BA0" w:rsidRDefault="00DB1B0B" w:rsidP="00DB1B0B">
            <w:pPr>
              <w:rPr>
                <w:iCs/>
                <w:sz w:val="20"/>
                <w:szCs w:val="20"/>
                <w:lang w:eastAsia="lv-LV"/>
              </w:rPr>
            </w:pPr>
            <w:r w:rsidRPr="00121BA0">
              <w:rPr>
                <w:rFonts w:eastAsia="Calibri"/>
                <w:sz w:val="20"/>
                <w:szCs w:val="20"/>
              </w:rPr>
              <w:t>4 705 461</w:t>
            </w:r>
          </w:p>
        </w:tc>
        <w:tc>
          <w:tcPr>
            <w:tcW w:w="669" w:type="pct"/>
            <w:vAlign w:val="center"/>
          </w:tcPr>
          <w:p w14:paraId="3D5C8407" w14:textId="4E1B38AA" w:rsidR="00DB1B0B" w:rsidRPr="00121BA0" w:rsidRDefault="00DB1B0B" w:rsidP="00DB1B0B">
            <w:pPr>
              <w:rPr>
                <w:rFonts w:eastAsia="Calibri"/>
                <w:b/>
                <w:sz w:val="20"/>
                <w:szCs w:val="20"/>
              </w:rPr>
            </w:pPr>
            <w:r w:rsidRPr="00121BA0">
              <w:rPr>
                <w:rFonts w:eastAsia="Calibri"/>
                <w:sz w:val="20"/>
                <w:szCs w:val="20"/>
              </w:rPr>
              <w:t>0</w:t>
            </w:r>
          </w:p>
        </w:tc>
        <w:tc>
          <w:tcPr>
            <w:tcW w:w="667" w:type="pct"/>
            <w:vAlign w:val="center"/>
          </w:tcPr>
          <w:p w14:paraId="2141C4E1" w14:textId="0F3FB57D" w:rsidR="00DB1B0B" w:rsidRPr="00121BA0" w:rsidRDefault="00DB1B0B" w:rsidP="00DB1B0B">
            <w:pPr>
              <w:rPr>
                <w:iCs/>
                <w:sz w:val="20"/>
                <w:szCs w:val="20"/>
                <w:lang w:eastAsia="lv-LV"/>
              </w:rPr>
            </w:pPr>
            <w:r w:rsidRPr="00121BA0">
              <w:rPr>
                <w:rFonts w:eastAsia="Calibri"/>
                <w:sz w:val="20"/>
                <w:szCs w:val="20"/>
              </w:rPr>
              <w:t>4 705 461</w:t>
            </w:r>
          </w:p>
        </w:tc>
        <w:tc>
          <w:tcPr>
            <w:tcW w:w="606" w:type="pct"/>
            <w:vAlign w:val="center"/>
          </w:tcPr>
          <w:p w14:paraId="732AB863" w14:textId="73083B79" w:rsidR="00DB1B0B" w:rsidRPr="00121BA0" w:rsidRDefault="00DB1B0B" w:rsidP="00DB1B0B">
            <w:pPr>
              <w:rPr>
                <w:rFonts w:eastAsia="Calibri"/>
                <w:b/>
                <w:sz w:val="20"/>
                <w:szCs w:val="20"/>
              </w:rPr>
            </w:pPr>
            <w:r w:rsidRPr="00121BA0">
              <w:rPr>
                <w:rFonts w:eastAsia="Calibri"/>
                <w:sz w:val="20"/>
                <w:szCs w:val="20"/>
              </w:rPr>
              <w:t>0</w:t>
            </w:r>
          </w:p>
        </w:tc>
        <w:tc>
          <w:tcPr>
            <w:tcW w:w="604" w:type="pct"/>
            <w:vAlign w:val="center"/>
          </w:tcPr>
          <w:p w14:paraId="48F0A733" w14:textId="1F39661F" w:rsidR="00DB1B0B" w:rsidRPr="00121BA0" w:rsidRDefault="00DB1B0B" w:rsidP="00DB1B0B">
            <w:pPr>
              <w:rPr>
                <w:rFonts w:eastAsia="Calibri"/>
                <w:b/>
                <w:sz w:val="20"/>
                <w:szCs w:val="20"/>
              </w:rPr>
            </w:pPr>
            <w:r w:rsidRPr="00121BA0">
              <w:rPr>
                <w:rFonts w:eastAsia="Calibri"/>
                <w:sz w:val="20"/>
                <w:szCs w:val="20"/>
              </w:rPr>
              <w:t>0</w:t>
            </w:r>
          </w:p>
        </w:tc>
      </w:tr>
      <w:tr w:rsidR="00764931" w14:paraId="73E48BDD" w14:textId="77777777" w:rsidTr="00DB1B0B">
        <w:tc>
          <w:tcPr>
            <w:tcW w:w="826" w:type="pct"/>
          </w:tcPr>
          <w:p w14:paraId="453D4E36" w14:textId="21D68297" w:rsidR="00764931" w:rsidRPr="00FE2D54" w:rsidRDefault="00764931" w:rsidP="00764931">
            <w:pPr>
              <w:rPr>
                <w:sz w:val="20"/>
                <w:szCs w:val="20"/>
              </w:rPr>
            </w:pPr>
            <w:r w:rsidRPr="00FE2D54">
              <w:rPr>
                <w:sz w:val="20"/>
                <w:szCs w:val="20"/>
              </w:rPr>
              <w:t>3.2. speciālais budžets</w:t>
            </w:r>
          </w:p>
        </w:tc>
        <w:tc>
          <w:tcPr>
            <w:tcW w:w="489" w:type="pct"/>
            <w:vAlign w:val="center"/>
          </w:tcPr>
          <w:p w14:paraId="5BEE4F2C" w14:textId="77777777" w:rsidR="00764931" w:rsidRPr="00FE2D54" w:rsidRDefault="00764931" w:rsidP="00764931">
            <w:pPr>
              <w:rPr>
                <w:sz w:val="20"/>
                <w:szCs w:val="20"/>
              </w:rPr>
            </w:pPr>
          </w:p>
        </w:tc>
        <w:tc>
          <w:tcPr>
            <w:tcW w:w="532" w:type="pct"/>
            <w:gridSpan w:val="2"/>
            <w:vAlign w:val="center"/>
          </w:tcPr>
          <w:p w14:paraId="606037DB" w14:textId="77777777" w:rsidR="00764931" w:rsidRPr="00FE2D54" w:rsidRDefault="00764931" w:rsidP="00764931">
            <w:pPr>
              <w:rPr>
                <w:sz w:val="20"/>
                <w:szCs w:val="20"/>
              </w:rPr>
            </w:pPr>
          </w:p>
        </w:tc>
        <w:tc>
          <w:tcPr>
            <w:tcW w:w="607" w:type="pct"/>
            <w:vAlign w:val="center"/>
          </w:tcPr>
          <w:p w14:paraId="664BA379" w14:textId="1DAC65F4" w:rsidR="00764931" w:rsidRPr="00121BA0" w:rsidRDefault="00764931" w:rsidP="00764931">
            <w:pPr>
              <w:rPr>
                <w:iCs/>
                <w:sz w:val="20"/>
                <w:szCs w:val="20"/>
                <w:lang w:eastAsia="lv-LV"/>
              </w:rPr>
            </w:pPr>
            <w:r w:rsidRPr="00121BA0">
              <w:rPr>
                <w:rFonts w:eastAsia="Calibri"/>
                <w:sz w:val="20"/>
                <w:szCs w:val="20"/>
              </w:rPr>
              <w:t>21 633 000</w:t>
            </w:r>
          </w:p>
        </w:tc>
        <w:tc>
          <w:tcPr>
            <w:tcW w:w="669" w:type="pct"/>
            <w:vAlign w:val="center"/>
          </w:tcPr>
          <w:p w14:paraId="7ECB4DC4" w14:textId="5CC2769F" w:rsidR="00764931" w:rsidRPr="00121BA0" w:rsidRDefault="00764931" w:rsidP="00764931">
            <w:pPr>
              <w:rPr>
                <w:rFonts w:eastAsia="Calibri"/>
                <w:sz w:val="20"/>
                <w:szCs w:val="20"/>
              </w:rPr>
            </w:pPr>
            <w:r w:rsidRPr="00121BA0">
              <w:rPr>
                <w:rFonts w:eastAsia="Calibri"/>
                <w:sz w:val="20"/>
                <w:szCs w:val="20"/>
              </w:rPr>
              <w:t>0</w:t>
            </w:r>
          </w:p>
        </w:tc>
        <w:tc>
          <w:tcPr>
            <w:tcW w:w="667" w:type="pct"/>
            <w:vAlign w:val="center"/>
          </w:tcPr>
          <w:p w14:paraId="58735F39" w14:textId="41E7861D" w:rsidR="00764931" w:rsidRPr="00121BA0" w:rsidRDefault="00764931" w:rsidP="00764931">
            <w:pPr>
              <w:rPr>
                <w:iCs/>
                <w:sz w:val="20"/>
                <w:szCs w:val="20"/>
                <w:lang w:eastAsia="lv-LV"/>
              </w:rPr>
            </w:pPr>
            <w:r w:rsidRPr="00121BA0">
              <w:rPr>
                <w:rFonts w:eastAsia="Calibri"/>
                <w:sz w:val="20"/>
                <w:szCs w:val="20"/>
              </w:rPr>
              <w:t>21 633 000</w:t>
            </w:r>
          </w:p>
        </w:tc>
        <w:tc>
          <w:tcPr>
            <w:tcW w:w="606" w:type="pct"/>
            <w:vAlign w:val="center"/>
          </w:tcPr>
          <w:p w14:paraId="5D18F3D5" w14:textId="7A8590E7" w:rsidR="00764931" w:rsidRPr="00121BA0" w:rsidRDefault="00764931" w:rsidP="00764931">
            <w:pPr>
              <w:rPr>
                <w:rFonts w:eastAsia="Calibri"/>
                <w:sz w:val="20"/>
                <w:szCs w:val="20"/>
              </w:rPr>
            </w:pPr>
            <w:r w:rsidRPr="00121BA0">
              <w:rPr>
                <w:rFonts w:eastAsia="Calibri"/>
                <w:sz w:val="20"/>
                <w:szCs w:val="20"/>
              </w:rPr>
              <w:t>0</w:t>
            </w:r>
          </w:p>
        </w:tc>
        <w:tc>
          <w:tcPr>
            <w:tcW w:w="604" w:type="pct"/>
            <w:vAlign w:val="center"/>
          </w:tcPr>
          <w:p w14:paraId="214F2253" w14:textId="1CB2724F" w:rsidR="00764931" w:rsidRPr="00121BA0" w:rsidRDefault="00764931" w:rsidP="00764931">
            <w:pPr>
              <w:rPr>
                <w:rFonts w:eastAsia="Calibri"/>
                <w:sz w:val="20"/>
                <w:szCs w:val="20"/>
              </w:rPr>
            </w:pPr>
            <w:r w:rsidRPr="00121BA0">
              <w:rPr>
                <w:rFonts w:eastAsia="Calibri"/>
                <w:sz w:val="20"/>
                <w:szCs w:val="20"/>
              </w:rPr>
              <w:t>0</w:t>
            </w:r>
          </w:p>
        </w:tc>
      </w:tr>
      <w:tr w:rsidR="00764931" w14:paraId="4F3E8351" w14:textId="77777777" w:rsidTr="00DB1B0B">
        <w:tc>
          <w:tcPr>
            <w:tcW w:w="826" w:type="pct"/>
          </w:tcPr>
          <w:p w14:paraId="23E52AB4" w14:textId="2C40A187" w:rsidR="00764931" w:rsidRPr="00FE2D54" w:rsidRDefault="00764931" w:rsidP="00764931">
            <w:pPr>
              <w:rPr>
                <w:sz w:val="20"/>
                <w:szCs w:val="20"/>
              </w:rPr>
            </w:pPr>
            <w:r w:rsidRPr="00FE2D54">
              <w:rPr>
                <w:sz w:val="20"/>
                <w:szCs w:val="20"/>
              </w:rPr>
              <w:t xml:space="preserve">3.3. pašvaldību budžets </w:t>
            </w:r>
          </w:p>
        </w:tc>
        <w:tc>
          <w:tcPr>
            <w:tcW w:w="489" w:type="pct"/>
            <w:vAlign w:val="center"/>
          </w:tcPr>
          <w:p w14:paraId="29A40785" w14:textId="77777777" w:rsidR="00764931" w:rsidRPr="00FE2D54" w:rsidRDefault="00764931" w:rsidP="00764931">
            <w:pPr>
              <w:rPr>
                <w:sz w:val="20"/>
                <w:szCs w:val="20"/>
              </w:rPr>
            </w:pPr>
          </w:p>
        </w:tc>
        <w:tc>
          <w:tcPr>
            <w:tcW w:w="532" w:type="pct"/>
            <w:gridSpan w:val="2"/>
            <w:vAlign w:val="center"/>
          </w:tcPr>
          <w:p w14:paraId="14C141C6" w14:textId="77777777" w:rsidR="00764931" w:rsidRPr="00FE2D54" w:rsidRDefault="00764931" w:rsidP="00764931">
            <w:pPr>
              <w:rPr>
                <w:sz w:val="20"/>
                <w:szCs w:val="20"/>
              </w:rPr>
            </w:pPr>
          </w:p>
        </w:tc>
        <w:tc>
          <w:tcPr>
            <w:tcW w:w="607" w:type="pct"/>
            <w:vAlign w:val="center"/>
          </w:tcPr>
          <w:p w14:paraId="55051535" w14:textId="01FA9588" w:rsidR="00764931" w:rsidRPr="00121BA0" w:rsidRDefault="00764931" w:rsidP="00764931">
            <w:pPr>
              <w:rPr>
                <w:iCs/>
                <w:sz w:val="20"/>
                <w:szCs w:val="20"/>
                <w:lang w:eastAsia="lv-LV"/>
              </w:rPr>
            </w:pPr>
            <w:r w:rsidRPr="00121BA0">
              <w:rPr>
                <w:rFonts w:eastAsia="Calibri"/>
                <w:sz w:val="20"/>
                <w:szCs w:val="20"/>
              </w:rPr>
              <w:t>114 344</w:t>
            </w:r>
          </w:p>
        </w:tc>
        <w:tc>
          <w:tcPr>
            <w:tcW w:w="669" w:type="pct"/>
            <w:vAlign w:val="center"/>
          </w:tcPr>
          <w:p w14:paraId="3F0B68A6" w14:textId="5CAE998D" w:rsidR="00764931" w:rsidRPr="00121BA0" w:rsidRDefault="00764931" w:rsidP="00764931">
            <w:pPr>
              <w:rPr>
                <w:rFonts w:eastAsia="Calibri"/>
                <w:sz w:val="20"/>
                <w:szCs w:val="20"/>
              </w:rPr>
            </w:pPr>
            <w:r w:rsidRPr="00121BA0">
              <w:rPr>
                <w:rFonts w:eastAsia="Calibri"/>
                <w:sz w:val="20"/>
                <w:szCs w:val="20"/>
              </w:rPr>
              <w:t>0</w:t>
            </w:r>
          </w:p>
        </w:tc>
        <w:tc>
          <w:tcPr>
            <w:tcW w:w="667" w:type="pct"/>
            <w:vAlign w:val="center"/>
          </w:tcPr>
          <w:p w14:paraId="33BA6C57" w14:textId="6A10CF83" w:rsidR="00764931" w:rsidRPr="00121BA0" w:rsidRDefault="00764931" w:rsidP="00764931">
            <w:pPr>
              <w:rPr>
                <w:iCs/>
                <w:sz w:val="20"/>
                <w:szCs w:val="20"/>
                <w:lang w:eastAsia="lv-LV"/>
              </w:rPr>
            </w:pPr>
            <w:r w:rsidRPr="00121BA0">
              <w:rPr>
                <w:rFonts w:eastAsia="Calibri"/>
                <w:sz w:val="20"/>
                <w:szCs w:val="20"/>
              </w:rPr>
              <w:t>114 344</w:t>
            </w:r>
          </w:p>
        </w:tc>
        <w:tc>
          <w:tcPr>
            <w:tcW w:w="606" w:type="pct"/>
            <w:vAlign w:val="center"/>
          </w:tcPr>
          <w:p w14:paraId="11DB1CC0" w14:textId="49A9DC53" w:rsidR="00764931" w:rsidRPr="00121BA0" w:rsidRDefault="00764931" w:rsidP="00764931">
            <w:pPr>
              <w:rPr>
                <w:rFonts w:eastAsia="Calibri"/>
                <w:sz w:val="20"/>
                <w:szCs w:val="20"/>
              </w:rPr>
            </w:pPr>
            <w:r w:rsidRPr="00121BA0">
              <w:rPr>
                <w:rFonts w:eastAsia="Calibri"/>
                <w:sz w:val="20"/>
                <w:szCs w:val="20"/>
              </w:rPr>
              <w:t>0</w:t>
            </w:r>
          </w:p>
        </w:tc>
        <w:tc>
          <w:tcPr>
            <w:tcW w:w="604" w:type="pct"/>
            <w:vAlign w:val="center"/>
          </w:tcPr>
          <w:p w14:paraId="1DEAAEBE" w14:textId="35988352" w:rsidR="00764931" w:rsidRPr="00121BA0" w:rsidRDefault="00764931" w:rsidP="00764931">
            <w:pPr>
              <w:rPr>
                <w:rFonts w:eastAsia="Calibri"/>
                <w:sz w:val="20"/>
                <w:szCs w:val="20"/>
              </w:rPr>
            </w:pPr>
            <w:r w:rsidRPr="00121BA0">
              <w:rPr>
                <w:rFonts w:eastAsia="Calibri"/>
                <w:sz w:val="20"/>
                <w:szCs w:val="20"/>
              </w:rPr>
              <w:t>0</w:t>
            </w:r>
          </w:p>
        </w:tc>
      </w:tr>
      <w:tr w:rsidR="00764931" w14:paraId="330AD4FA" w14:textId="77777777" w:rsidTr="00DB1B0B">
        <w:tc>
          <w:tcPr>
            <w:tcW w:w="826" w:type="pct"/>
          </w:tcPr>
          <w:p w14:paraId="2CBC2A88" w14:textId="41995B8E" w:rsidR="00764931" w:rsidRPr="00FE2D54" w:rsidRDefault="00764931" w:rsidP="00764931">
            <w:pPr>
              <w:rPr>
                <w:sz w:val="20"/>
                <w:szCs w:val="20"/>
              </w:rPr>
            </w:pPr>
            <w:r w:rsidRPr="00FE2D54">
              <w:rPr>
                <w:sz w:val="20"/>
                <w:szCs w:val="20"/>
              </w:rPr>
              <w:t>4. Finanšu līdzekļi papildu izdevumu finansēšanai (kompensējošu izdevumu samazinājumu norāda ar "+" zīmi)</w:t>
            </w:r>
          </w:p>
        </w:tc>
        <w:tc>
          <w:tcPr>
            <w:tcW w:w="489" w:type="pct"/>
            <w:vAlign w:val="center"/>
          </w:tcPr>
          <w:p w14:paraId="49B87767" w14:textId="335A1D2B" w:rsidR="00764931" w:rsidRPr="00FE2D54" w:rsidRDefault="00764931" w:rsidP="00764931">
            <w:pPr>
              <w:rPr>
                <w:sz w:val="20"/>
                <w:szCs w:val="20"/>
              </w:rPr>
            </w:pPr>
            <w:r w:rsidRPr="00FE2D54">
              <w:rPr>
                <w:b/>
                <w:sz w:val="20"/>
                <w:szCs w:val="20"/>
              </w:rPr>
              <w:t>x</w:t>
            </w:r>
          </w:p>
        </w:tc>
        <w:tc>
          <w:tcPr>
            <w:tcW w:w="532" w:type="pct"/>
            <w:gridSpan w:val="2"/>
            <w:vAlign w:val="center"/>
          </w:tcPr>
          <w:p w14:paraId="44C975A5" w14:textId="77777777" w:rsidR="00764931" w:rsidRPr="00FE2D54" w:rsidRDefault="00764931" w:rsidP="00764931">
            <w:pPr>
              <w:rPr>
                <w:sz w:val="20"/>
                <w:szCs w:val="20"/>
              </w:rPr>
            </w:pPr>
          </w:p>
        </w:tc>
        <w:tc>
          <w:tcPr>
            <w:tcW w:w="607" w:type="pct"/>
            <w:vAlign w:val="center"/>
          </w:tcPr>
          <w:p w14:paraId="7FB322DD" w14:textId="77777777" w:rsidR="00764931" w:rsidRPr="00121BA0" w:rsidRDefault="00764931" w:rsidP="00764931">
            <w:pPr>
              <w:rPr>
                <w:iCs/>
                <w:sz w:val="20"/>
                <w:szCs w:val="20"/>
                <w:lang w:eastAsia="lv-LV"/>
              </w:rPr>
            </w:pPr>
          </w:p>
        </w:tc>
        <w:tc>
          <w:tcPr>
            <w:tcW w:w="669" w:type="pct"/>
            <w:vAlign w:val="center"/>
          </w:tcPr>
          <w:p w14:paraId="164D7605" w14:textId="77777777" w:rsidR="00764931" w:rsidRPr="00121BA0" w:rsidRDefault="00764931" w:rsidP="00764931">
            <w:pPr>
              <w:rPr>
                <w:rFonts w:eastAsia="Calibri"/>
                <w:sz w:val="20"/>
                <w:szCs w:val="20"/>
              </w:rPr>
            </w:pPr>
          </w:p>
        </w:tc>
        <w:tc>
          <w:tcPr>
            <w:tcW w:w="667" w:type="pct"/>
            <w:vAlign w:val="center"/>
          </w:tcPr>
          <w:p w14:paraId="34B54980" w14:textId="77777777" w:rsidR="00764931" w:rsidRPr="00121BA0" w:rsidRDefault="00764931" w:rsidP="00764931">
            <w:pPr>
              <w:rPr>
                <w:iCs/>
                <w:sz w:val="20"/>
                <w:szCs w:val="20"/>
                <w:lang w:eastAsia="lv-LV"/>
              </w:rPr>
            </w:pPr>
          </w:p>
        </w:tc>
        <w:tc>
          <w:tcPr>
            <w:tcW w:w="606" w:type="pct"/>
            <w:vAlign w:val="center"/>
          </w:tcPr>
          <w:p w14:paraId="29D1895F" w14:textId="77777777" w:rsidR="00764931" w:rsidRPr="00121BA0" w:rsidRDefault="00764931" w:rsidP="00764931">
            <w:pPr>
              <w:rPr>
                <w:rFonts w:eastAsia="Calibri"/>
                <w:sz w:val="20"/>
                <w:szCs w:val="20"/>
              </w:rPr>
            </w:pPr>
          </w:p>
        </w:tc>
        <w:tc>
          <w:tcPr>
            <w:tcW w:w="604" w:type="pct"/>
            <w:vAlign w:val="center"/>
          </w:tcPr>
          <w:p w14:paraId="668FBB21" w14:textId="77777777" w:rsidR="00764931" w:rsidRPr="00121BA0" w:rsidRDefault="00764931" w:rsidP="00764931">
            <w:pPr>
              <w:rPr>
                <w:rFonts w:eastAsia="Calibri"/>
                <w:sz w:val="20"/>
                <w:szCs w:val="20"/>
              </w:rPr>
            </w:pPr>
          </w:p>
        </w:tc>
      </w:tr>
      <w:tr w:rsidR="00DB1B0B" w14:paraId="16186E31" w14:textId="77777777" w:rsidTr="00DB1B0B">
        <w:tc>
          <w:tcPr>
            <w:tcW w:w="826" w:type="pct"/>
          </w:tcPr>
          <w:p w14:paraId="6E3959B5" w14:textId="4098E085" w:rsidR="00DB1B0B" w:rsidRPr="00FE2D54" w:rsidRDefault="00DB1B0B" w:rsidP="00DB1B0B">
            <w:pPr>
              <w:rPr>
                <w:sz w:val="20"/>
                <w:szCs w:val="20"/>
              </w:rPr>
            </w:pPr>
            <w:r w:rsidRPr="00FE2D54">
              <w:rPr>
                <w:sz w:val="20"/>
                <w:szCs w:val="20"/>
              </w:rPr>
              <w:t>5. Precizēta finansiālā ietekme:</w:t>
            </w:r>
          </w:p>
        </w:tc>
        <w:tc>
          <w:tcPr>
            <w:tcW w:w="489" w:type="pct"/>
            <w:vMerge w:val="restart"/>
            <w:vAlign w:val="center"/>
          </w:tcPr>
          <w:p w14:paraId="29335E08" w14:textId="43EA1952" w:rsidR="00DB1B0B" w:rsidRPr="00FE2D54" w:rsidRDefault="00DB1B0B" w:rsidP="00DB1B0B">
            <w:pPr>
              <w:rPr>
                <w:b/>
                <w:sz w:val="20"/>
                <w:szCs w:val="20"/>
              </w:rPr>
            </w:pPr>
            <w:r w:rsidRPr="00FE2D54">
              <w:rPr>
                <w:rFonts w:eastAsia="Calibri"/>
                <w:b/>
                <w:sz w:val="20"/>
                <w:szCs w:val="20"/>
              </w:rPr>
              <w:t>x</w:t>
            </w:r>
          </w:p>
        </w:tc>
        <w:tc>
          <w:tcPr>
            <w:tcW w:w="532" w:type="pct"/>
            <w:gridSpan w:val="2"/>
            <w:vAlign w:val="center"/>
          </w:tcPr>
          <w:p w14:paraId="32AB1453" w14:textId="77777777" w:rsidR="00DB1B0B" w:rsidRPr="00FE2D54" w:rsidRDefault="00DB1B0B" w:rsidP="00DB1B0B">
            <w:pPr>
              <w:rPr>
                <w:sz w:val="20"/>
                <w:szCs w:val="20"/>
              </w:rPr>
            </w:pPr>
          </w:p>
        </w:tc>
        <w:tc>
          <w:tcPr>
            <w:tcW w:w="607" w:type="pct"/>
            <w:vAlign w:val="center"/>
          </w:tcPr>
          <w:p w14:paraId="68378F90" w14:textId="0F1642F7" w:rsidR="00DB1B0B" w:rsidRPr="00121BA0" w:rsidRDefault="00DB1B0B" w:rsidP="00DB1B0B">
            <w:pPr>
              <w:rPr>
                <w:iCs/>
                <w:sz w:val="20"/>
                <w:szCs w:val="20"/>
                <w:lang w:eastAsia="lv-LV"/>
              </w:rPr>
            </w:pPr>
            <w:r w:rsidRPr="00121BA0">
              <w:rPr>
                <w:rFonts w:eastAsia="Calibri"/>
                <w:b/>
                <w:sz w:val="20"/>
                <w:szCs w:val="20"/>
              </w:rPr>
              <w:t>26 452 805</w:t>
            </w:r>
          </w:p>
        </w:tc>
        <w:tc>
          <w:tcPr>
            <w:tcW w:w="669" w:type="pct"/>
            <w:vAlign w:val="center"/>
          </w:tcPr>
          <w:p w14:paraId="368B783B" w14:textId="55F39921" w:rsidR="00DB1B0B" w:rsidRPr="00121BA0" w:rsidRDefault="00DB1B0B" w:rsidP="00DB1B0B">
            <w:pPr>
              <w:rPr>
                <w:rFonts w:eastAsia="Calibri"/>
                <w:sz w:val="20"/>
                <w:szCs w:val="20"/>
              </w:rPr>
            </w:pPr>
            <w:r w:rsidRPr="00121BA0">
              <w:rPr>
                <w:rFonts w:eastAsia="Calibri"/>
                <w:b/>
                <w:sz w:val="20"/>
                <w:szCs w:val="20"/>
              </w:rPr>
              <w:t>0</w:t>
            </w:r>
          </w:p>
        </w:tc>
        <w:tc>
          <w:tcPr>
            <w:tcW w:w="667" w:type="pct"/>
            <w:vAlign w:val="center"/>
          </w:tcPr>
          <w:p w14:paraId="1F903F02" w14:textId="15333B4A" w:rsidR="00DB1B0B" w:rsidRPr="00121BA0" w:rsidRDefault="00DB1B0B" w:rsidP="00DB1B0B">
            <w:pPr>
              <w:rPr>
                <w:iCs/>
                <w:sz w:val="20"/>
                <w:szCs w:val="20"/>
                <w:lang w:eastAsia="lv-LV"/>
              </w:rPr>
            </w:pPr>
            <w:r w:rsidRPr="00121BA0">
              <w:rPr>
                <w:rFonts w:eastAsia="Calibri"/>
                <w:b/>
                <w:sz w:val="20"/>
                <w:szCs w:val="20"/>
              </w:rPr>
              <w:t>26 452 805</w:t>
            </w:r>
          </w:p>
        </w:tc>
        <w:tc>
          <w:tcPr>
            <w:tcW w:w="606" w:type="pct"/>
            <w:vAlign w:val="center"/>
          </w:tcPr>
          <w:p w14:paraId="7BCE05D1" w14:textId="14B4B1F3" w:rsidR="00DB1B0B" w:rsidRPr="00121BA0" w:rsidRDefault="00DB1B0B" w:rsidP="00DB1B0B">
            <w:pPr>
              <w:rPr>
                <w:rFonts w:eastAsia="Calibri"/>
                <w:sz w:val="20"/>
                <w:szCs w:val="20"/>
              </w:rPr>
            </w:pPr>
            <w:r w:rsidRPr="00121BA0">
              <w:rPr>
                <w:rFonts w:eastAsia="Calibri"/>
                <w:b/>
                <w:sz w:val="20"/>
                <w:szCs w:val="20"/>
              </w:rPr>
              <w:t>0</w:t>
            </w:r>
          </w:p>
        </w:tc>
        <w:tc>
          <w:tcPr>
            <w:tcW w:w="604" w:type="pct"/>
            <w:vAlign w:val="center"/>
          </w:tcPr>
          <w:p w14:paraId="29C217D1" w14:textId="6D836984" w:rsidR="00DB1B0B" w:rsidRPr="00121BA0" w:rsidRDefault="00DB1B0B" w:rsidP="00DB1B0B">
            <w:pPr>
              <w:rPr>
                <w:rFonts w:eastAsia="Calibri"/>
                <w:sz w:val="20"/>
                <w:szCs w:val="20"/>
              </w:rPr>
            </w:pPr>
            <w:r w:rsidRPr="00121BA0">
              <w:rPr>
                <w:rFonts w:eastAsia="Calibri"/>
                <w:b/>
                <w:sz w:val="20"/>
                <w:szCs w:val="20"/>
              </w:rPr>
              <w:t>0</w:t>
            </w:r>
          </w:p>
        </w:tc>
      </w:tr>
      <w:tr w:rsidR="00DB1B0B" w14:paraId="256A7B17" w14:textId="77777777" w:rsidTr="00DB1B0B">
        <w:tc>
          <w:tcPr>
            <w:tcW w:w="826" w:type="pct"/>
          </w:tcPr>
          <w:p w14:paraId="2C39932C" w14:textId="0100EB9D" w:rsidR="00DB1B0B" w:rsidRPr="00FE2D54" w:rsidRDefault="00DB1B0B" w:rsidP="00DB1B0B">
            <w:pPr>
              <w:rPr>
                <w:sz w:val="20"/>
                <w:szCs w:val="20"/>
              </w:rPr>
            </w:pPr>
            <w:r w:rsidRPr="00FE2D54">
              <w:rPr>
                <w:sz w:val="20"/>
                <w:szCs w:val="20"/>
              </w:rPr>
              <w:t>5.1. valsts pamatbudžets</w:t>
            </w:r>
          </w:p>
        </w:tc>
        <w:tc>
          <w:tcPr>
            <w:tcW w:w="489" w:type="pct"/>
            <w:vMerge/>
          </w:tcPr>
          <w:p w14:paraId="37CFBA41" w14:textId="77777777" w:rsidR="00DB1B0B" w:rsidRPr="00FE2D54" w:rsidRDefault="00DB1B0B" w:rsidP="00DB1B0B">
            <w:pPr>
              <w:rPr>
                <w:rFonts w:eastAsia="Calibri"/>
                <w:b/>
                <w:sz w:val="20"/>
                <w:szCs w:val="20"/>
              </w:rPr>
            </w:pPr>
          </w:p>
        </w:tc>
        <w:tc>
          <w:tcPr>
            <w:tcW w:w="532" w:type="pct"/>
            <w:gridSpan w:val="2"/>
            <w:vAlign w:val="center"/>
          </w:tcPr>
          <w:p w14:paraId="37291D17" w14:textId="77777777" w:rsidR="00DB1B0B" w:rsidRPr="00FE2D54" w:rsidRDefault="00DB1B0B" w:rsidP="00DB1B0B">
            <w:pPr>
              <w:rPr>
                <w:sz w:val="20"/>
                <w:szCs w:val="20"/>
              </w:rPr>
            </w:pPr>
          </w:p>
        </w:tc>
        <w:tc>
          <w:tcPr>
            <w:tcW w:w="607" w:type="pct"/>
            <w:vAlign w:val="center"/>
          </w:tcPr>
          <w:p w14:paraId="3F4DCE27" w14:textId="519F6294" w:rsidR="00DB1B0B" w:rsidRPr="00121BA0" w:rsidRDefault="00DB1B0B" w:rsidP="00DB1B0B">
            <w:pPr>
              <w:rPr>
                <w:iCs/>
                <w:sz w:val="20"/>
                <w:szCs w:val="20"/>
                <w:lang w:eastAsia="lv-LV"/>
              </w:rPr>
            </w:pPr>
            <w:r w:rsidRPr="00121BA0">
              <w:rPr>
                <w:rFonts w:eastAsia="Calibri"/>
                <w:sz w:val="20"/>
                <w:szCs w:val="20"/>
              </w:rPr>
              <w:t>4 705 461</w:t>
            </w:r>
          </w:p>
        </w:tc>
        <w:tc>
          <w:tcPr>
            <w:tcW w:w="669" w:type="pct"/>
            <w:vAlign w:val="center"/>
          </w:tcPr>
          <w:p w14:paraId="26EA7CFF" w14:textId="105C526C" w:rsidR="00DB1B0B" w:rsidRPr="00121BA0" w:rsidRDefault="00DB1B0B" w:rsidP="00DB1B0B">
            <w:pPr>
              <w:rPr>
                <w:rFonts w:eastAsia="Calibri"/>
                <w:b/>
                <w:sz w:val="20"/>
                <w:szCs w:val="20"/>
              </w:rPr>
            </w:pPr>
            <w:r w:rsidRPr="00121BA0">
              <w:rPr>
                <w:rFonts w:eastAsia="Calibri"/>
                <w:sz w:val="20"/>
                <w:szCs w:val="20"/>
              </w:rPr>
              <w:t>0</w:t>
            </w:r>
          </w:p>
        </w:tc>
        <w:tc>
          <w:tcPr>
            <w:tcW w:w="667" w:type="pct"/>
            <w:vAlign w:val="center"/>
          </w:tcPr>
          <w:p w14:paraId="0CC9F96A" w14:textId="7A99CC87" w:rsidR="00DB1B0B" w:rsidRPr="00121BA0" w:rsidRDefault="00DB1B0B" w:rsidP="00DB1B0B">
            <w:pPr>
              <w:rPr>
                <w:iCs/>
                <w:sz w:val="20"/>
                <w:szCs w:val="20"/>
                <w:lang w:eastAsia="lv-LV"/>
              </w:rPr>
            </w:pPr>
            <w:r w:rsidRPr="00121BA0">
              <w:rPr>
                <w:rFonts w:eastAsia="Calibri"/>
                <w:sz w:val="20"/>
                <w:szCs w:val="20"/>
              </w:rPr>
              <w:t>4 705 461</w:t>
            </w:r>
          </w:p>
        </w:tc>
        <w:tc>
          <w:tcPr>
            <w:tcW w:w="606" w:type="pct"/>
            <w:vAlign w:val="center"/>
          </w:tcPr>
          <w:p w14:paraId="3B720284" w14:textId="0070620B" w:rsidR="00DB1B0B" w:rsidRPr="00121BA0" w:rsidRDefault="00DB1B0B" w:rsidP="00DB1B0B">
            <w:pPr>
              <w:rPr>
                <w:rFonts w:eastAsia="Calibri"/>
                <w:b/>
                <w:sz w:val="20"/>
                <w:szCs w:val="20"/>
              </w:rPr>
            </w:pPr>
            <w:r w:rsidRPr="00121BA0">
              <w:rPr>
                <w:rFonts w:eastAsia="Calibri"/>
                <w:sz w:val="20"/>
                <w:szCs w:val="20"/>
              </w:rPr>
              <w:t>0</w:t>
            </w:r>
          </w:p>
        </w:tc>
        <w:tc>
          <w:tcPr>
            <w:tcW w:w="604" w:type="pct"/>
            <w:vAlign w:val="center"/>
          </w:tcPr>
          <w:p w14:paraId="1FD765D6" w14:textId="23C98F59" w:rsidR="00DB1B0B" w:rsidRPr="00121BA0" w:rsidRDefault="00DB1B0B" w:rsidP="00DB1B0B">
            <w:pPr>
              <w:rPr>
                <w:rFonts w:eastAsia="Calibri"/>
                <w:b/>
                <w:sz w:val="20"/>
                <w:szCs w:val="20"/>
              </w:rPr>
            </w:pPr>
            <w:r w:rsidRPr="00121BA0">
              <w:rPr>
                <w:rFonts w:eastAsia="Calibri"/>
                <w:sz w:val="20"/>
                <w:szCs w:val="20"/>
              </w:rPr>
              <w:t>0</w:t>
            </w:r>
          </w:p>
        </w:tc>
      </w:tr>
      <w:tr w:rsidR="00764931" w14:paraId="0D6C36AE" w14:textId="77777777" w:rsidTr="00DB1B0B">
        <w:tc>
          <w:tcPr>
            <w:tcW w:w="826" w:type="pct"/>
          </w:tcPr>
          <w:p w14:paraId="320631AD" w14:textId="0B7A6A16" w:rsidR="00764931" w:rsidRPr="00FE2D54" w:rsidRDefault="00764931" w:rsidP="00764931">
            <w:pPr>
              <w:rPr>
                <w:sz w:val="20"/>
                <w:szCs w:val="20"/>
              </w:rPr>
            </w:pPr>
            <w:r w:rsidRPr="00FE2D54">
              <w:rPr>
                <w:sz w:val="20"/>
                <w:szCs w:val="20"/>
              </w:rPr>
              <w:t>5.2. speciālais budžets</w:t>
            </w:r>
          </w:p>
        </w:tc>
        <w:tc>
          <w:tcPr>
            <w:tcW w:w="489" w:type="pct"/>
            <w:vMerge/>
          </w:tcPr>
          <w:p w14:paraId="32AC79B0" w14:textId="77777777" w:rsidR="00764931" w:rsidRPr="00FE2D54" w:rsidRDefault="00764931" w:rsidP="00764931">
            <w:pPr>
              <w:rPr>
                <w:rFonts w:eastAsia="Calibri"/>
                <w:b/>
                <w:sz w:val="20"/>
                <w:szCs w:val="20"/>
              </w:rPr>
            </w:pPr>
          </w:p>
        </w:tc>
        <w:tc>
          <w:tcPr>
            <w:tcW w:w="532" w:type="pct"/>
            <w:gridSpan w:val="2"/>
            <w:vAlign w:val="center"/>
          </w:tcPr>
          <w:p w14:paraId="1DC5257D" w14:textId="77777777" w:rsidR="00764931" w:rsidRPr="00FE2D54" w:rsidRDefault="00764931" w:rsidP="00764931">
            <w:pPr>
              <w:rPr>
                <w:sz w:val="20"/>
                <w:szCs w:val="20"/>
              </w:rPr>
            </w:pPr>
          </w:p>
        </w:tc>
        <w:tc>
          <w:tcPr>
            <w:tcW w:w="607" w:type="pct"/>
            <w:vAlign w:val="center"/>
          </w:tcPr>
          <w:p w14:paraId="2F3BEA01" w14:textId="36EA7C04" w:rsidR="00764931" w:rsidRPr="00121BA0" w:rsidRDefault="00764931" w:rsidP="00764931">
            <w:pPr>
              <w:rPr>
                <w:iCs/>
                <w:sz w:val="20"/>
                <w:szCs w:val="20"/>
                <w:lang w:eastAsia="lv-LV"/>
              </w:rPr>
            </w:pPr>
            <w:r w:rsidRPr="00121BA0">
              <w:rPr>
                <w:rFonts w:eastAsia="Calibri"/>
                <w:sz w:val="20"/>
                <w:szCs w:val="20"/>
              </w:rPr>
              <w:t>21 633 000</w:t>
            </w:r>
          </w:p>
        </w:tc>
        <w:tc>
          <w:tcPr>
            <w:tcW w:w="669" w:type="pct"/>
            <w:vAlign w:val="center"/>
          </w:tcPr>
          <w:p w14:paraId="288CE7AE" w14:textId="6FC7F64D" w:rsidR="00764931" w:rsidRPr="00121BA0" w:rsidRDefault="00764931" w:rsidP="00764931">
            <w:pPr>
              <w:rPr>
                <w:rFonts w:eastAsia="Calibri"/>
                <w:sz w:val="20"/>
                <w:szCs w:val="20"/>
              </w:rPr>
            </w:pPr>
            <w:r w:rsidRPr="00121BA0">
              <w:rPr>
                <w:rFonts w:eastAsia="Calibri"/>
                <w:sz w:val="20"/>
                <w:szCs w:val="20"/>
              </w:rPr>
              <w:t>0</w:t>
            </w:r>
          </w:p>
        </w:tc>
        <w:tc>
          <w:tcPr>
            <w:tcW w:w="667" w:type="pct"/>
            <w:vAlign w:val="center"/>
          </w:tcPr>
          <w:p w14:paraId="40A0C458" w14:textId="20DA1FDB" w:rsidR="00764931" w:rsidRPr="00121BA0" w:rsidRDefault="00764931" w:rsidP="00126C4E">
            <w:pPr>
              <w:jc w:val="center"/>
              <w:rPr>
                <w:iCs/>
                <w:sz w:val="20"/>
                <w:szCs w:val="20"/>
                <w:lang w:eastAsia="lv-LV"/>
              </w:rPr>
            </w:pPr>
            <w:r w:rsidRPr="00121BA0">
              <w:rPr>
                <w:rFonts w:eastAsia="Calibri"/>
                <w:sz w:val="20"/>
                <w:szCs w:val="20"/>
              </w:rPr>
              <w:t>21 633 000</w:t>
            </w:r>
          </w:p>
        </w:tc>
        <w:tc>
          <w:tcPr>
            <w:tcW w:w="606" w:type="pct"/>
            <w:vAlign w:val="center"/>
          </w:tcPr>
          <w:p w14:paraId="72993E68" w14:textId="00C02803" w:rsidR="00764931" w:rsidRPr="00121BA0" w:rsidRDefault="00764931" w:rsidP="00764931">
            <w:pPr>
              <w:rPr>
                <w:rFonts w:eastAsia="Calibri"/>
                <w:sz w:val="20"/>
                <w:szCs w:val="20"/>
              </w:rPr>
            </w:pPr>
            <w:r w:rsidRPr="00121BA0">
              <w:rPr>
                <w:rFonts w:eastAsia="Calibri"/>
                <w:sz w:val="20"/>
                <w:szCs w:val="20"/>
              </w:rPr>
              <w:t>0</w:t>
            </w:r>
          </w:p>
        </w:tc>
        <w:tc>
          <w:tcPr>
            <w:tcW w:w="604" w:type="pct"/>
            <w:vAlign w:val="center"/>
          </w:tcPr>
          <w:p w14:paraId="7BFBFED5" w14:textId="53C95531" w:rsidR="00764931" w:rsidRPr="00121BA0" w:rsidRDefault="00764931" w:rsidP="00764931">
            <w:pPr>
              <w:rPr>
                <w:rFonts w:eastAsia="Calibri"/>
                <w:sz w:val="20"/>
                <w:szCs w:val="20"/>
              </w:rPr>
            </w:pPr>
            <w:r w:rsidRPr="00121BA0">
              <w:rPr>
                <w:rFonts w:eastAsia="Calibri"/>
                <w:sz w:val="20"/>
                <w:szCs w:val="20"/>
              </w:rPr>
              <w:t>0</w:t>
            </w:r>
          </w:p>
        </w:tc>
      </w:tr>
      <w:tr w:rsidR="00764931" w14:paraId="0615E8BF" w14:textId="77777777" w:rsidTr="00DB1B0B">
        <w:tc>
          <w:tcPr>
            <w:tcW w:w="826" w:type="pct"/>
          </w:tcPr>
          <w:p w14:paraId="491A6AA6" w14:textId="118EA116" w:rsidR="00764931" w:rsidRPr="00FE2D54" w:rsidRDefault="00764931" w:rsidP="00764931">
            <w:pPr>
              <w:rPr>
                <w:sz w:val="20"/>
                <w:szCs w:val="20"/>
              </w:rPr>
            </w:pPr>
            <w:r w:rsidRPr="00FE2D54">
              <w:rPr>
                <w:sz w:val="20"/>
                <w:szCs w:val="20"/>
              </w:rPr>
              <w:lastRenderedPageBreak/>
              <w:t xml:space="preserve">5.3. pašvaldību budžets </w:t>
            </w:r>
          </w:p>
        </w:tc>
        <w:tc>
          <w:tcPr>
            <w:tcW w:w="489" w:type="pct"/>
            <w:vMerge/>
          </w:tcPr>
          <w:p w14:paraId="157A3135" w14:textId="77777777" w:rsidR="00764931" w:rsidRPr="00FE2D54" w:rsidRDefault="00764931" w:rsidP="00764931">
            <w:pPr>
              <w:rPr>
                <w:rFonts w:eastAsia="Calibri"/>
                <w:b/>
                <w:sz w:val="20"/>
                <w:szCs w:val="20"/>
              </w:rPr>
            </w:pPr>
          </w:p>
        </w:tc>
        <w:tc>
          <w:tcPr>
            <w:tcW w:w="532" w:type="pct"/>
            <w:gridSpan w:val="2"/>
            <w:vAlign w:val="center"/>
          </w:tcPr>
          <w:p w14:paraId="0BBE7C00" w14:textId="77777777" w:rsidR="00764931" w:rsidRPr="00FE2D54" w:rsidRDefault="00764931" w:rsidP="00764931">
            <w:pPr>
              <w:rPr>
                <w:sz w:val="20"/>
                <w:szCs w:val="20"/>
              </w:rPr>
            </w:pPr>
          </w:p>
        </w:tc>
        <w:tc>
          <w:tcPr>
            <w:tcW w:w="607" w:type="pct"/>
          </w:tcPr>
          <w:p w14:paraId="25A7B2E4" w14:textId="2336DBAC" w:rsidR="00764931" w:rsidRPr="00121BA0" w:rsidRDefault="00764931" w:rsidP="00764931">
            <w:pPr>
              <w:rPr>
                <w:iCs/>
                <w:sz w:val="20"/>
                <w:szCs w:val="20"/>
                <w:lang w:eastAsia="lv-LV"/>
              </w:rPr>
            </w:pPr>
            <w:r w:rsidRPr="00121BA0">
              <w:rPr>
                <w:iCs/>
                <w:sz w:val="20"/>
                <w:szCs w:val="20"/>
                <w:lang w:eastAsia="lv-LV"/>
              </w:rPr>
              <w:t>114 344</w:t>
            </w:r>
          </w:p>
        </w:tc>
        <w:tc>
          <w:tcPr>
            <w:tcW w:w="669" w:type="pct"/>
            <w:vAlign w:val="center"/>
          </w:tcPr>
          <w:p w14:paraId="2D8692B8" w14:textId="39DF8BA9" w:rsidR="00764931" w:rsidRPr="00121BA0" w:rsidRDefault="00764931" w:rsidP="00764931">
            <w:pPr>
              <w:rPr>
                <w:rFonts w:eastAsia="Calibri"/>
                <w:sz w:val="20"/>
                <w:szCs w:val="20"/>
              </w:rPr>
            </w:pPr>
            <w:r w:rsidRPr="00121BA0">
              <w:rPr>
                <w:rFonts w:eastAsia="Calibri"/>
                <w:sz w:val="20"/>
                <w:szCs w:val="20"/>
              </w:rPr>
              <w:t>0</w:t>
            </w:r>
          </w:p>
        </w:tc>
        <w:tc>
          <w:tcPr>
            <w:tcW w:w="667" w:type="pct"/>
          </w:tcPr>
          <w:p w14:paraId="1EB77809" w14:textId="10A920F6" w:rsidR="00764931" w:rsidRPr="00121BA0" w:rsidRDefault="000075C8" w:rsidP="00764931">
            <w:pPr>
              <w:rPr>
                <w:iCs/>
                <w:sz w:val="20"/>
                <w:szCs w:val="20"/>
                <w:lang w:eastAsia="lv-LV"/>
              </w:rPr>
            </w:pPr>
            <w:r w:rsidRPr="00121BA0">
              <w:rPr>
                <w:iCs/>
                <w:sz w:val="20"/>
                <w:szCs w:val="20"/>
                <w:lang w:eastAsia="lv-LV"/>
              </w:rPr>
              <w:t>114 344</w:t>
            </w:r>
          </w:p>
        </w:tc>
        <w:tc>
          <w:tcPr>
            <w:tcW w:w="606" w:type="pct"/>
            <w:vAlign w:val="center"/>
          </w:tcPr>
          <w:p w14:paraId="7F84A6EA" w14:textId="19891655" w:rsidR="00764931" w:rsidRPr="00121BA0" w:rsidRDefault="000075C8" w:rsidP="00764931">
            <w:pPr>
              <w:rPr>
                <w:rFonts w:eastAsia="Calibri"/>
                <w:sz w:val="20"/>
                <w:szCs w:val="20"/>
              </w:rPr>
            </w:pPr>
            <w:r w:rsidRPr="00121BA0">
              <w:rPr>
                <w:rFonts w:eastAsia="Calibri"/>
                <w:sz w:val="20"/>
                <w:szCs w:val="20"/>
              </w:rPr>
              <w:t>0</w:t>
            </w:r>
          </w:p>
        </w:tc>
        <w:tc>
          <w:tcPr>
            <w:tcW w:w="604" w:type="pct"/>
            <w:vAlign w:val="center"/>
          </w:tcPr>
          <w:p w14:paraId="1F04614F" w14:textId="32449290" w:rsidR="00764931" w:rsidRPr="00121BA0" w:rsidRDefault="000075C8" w:rsidP="00764931">
            <w:pPr>
              <w:rPr>
                <w:rFonts w:eastAsia="Calibri"/>
                <w:sz w:val="20"/>
                <w:szCs w:val="20"/>
              </w:rPr>
            </w:pPr>
            <w:r w:rsidRPr="00121BA0">
              <w:rPr>
                <w:rFonts w:eastAsia="Calibri"/>
                <w:sz w:val="20"/>
                <w:szCs w:val="20"/>
              </w:rPr>
              <w:t>0</w:t>
            </w:r>
          </w:p>
        </w:tc>
      </w:tr>
      <w:tr w:rsidR="00764931" w14:paraId="2F9EDDCF" w14:textId="77777777" w:rsidTr="00E50EE0">
        <w:tc>
          <w:tcPr>
            <w:tcW w:w="5000" w:type="pct"/>
            <w:gridSpan w:val="9"/>
          </w:tcPr>
          <w:p w14:paraId="65D8220B" w14:textId="77F7A4CF" w:rsidR="00764931" w:rsidRPr="00FE2D54" w:rsidRDefault="00764931" w:rsidP="00764931">
            <w:pPr>
              <w:rPr>
                <w:rFonts w:eastAsia="Calibri"/>
                <w:sz w:val="20"/>
                <w:szCs w:val="20"/>
              </w:rPr>
            </w:pPr>
            <w:r w:rsidRPr="00FE2D54">
              <w:rPr>
                <w:sz w:val="20"/>
                <w:szCs w:val="20"/>
              </w:rPr>
              <w:t>6. Detalizēts ieņēmumu un izdevumu aprēķins (ja nepieciešams, detalizētu ieņēmumu un izdevumu aprēķinu var pievienot anotācijas pielikumā):</w:t>
            </w:r>
          </w:p>
        </w:tc>
      </w:tr>
      <w:tr w:rsidR="00764931" w14:paraId="16DF5B6A" w14:textId="77777777" w:rsidTr="00DB1B0B">
        <w:tc>
          <w:tcPr>
            <w:tcW w:w="1370" w:type="pct"/>
            <w:gridSpan w:val="3"/>
          </w:tcPr>
          <w:p w14:paraId="22FF5E16" w14:textId="77777777" w:rsidR="00764931" w:rsidRPr="00FE2D54" w:rsidRDefault="00764931" w:rsidP="00764931">
            <w:pPr>
              <w:rPr>
                <w:rFonts w:eastAsia="Calibri"/>
                <w:sz w:val="20"/>
                <w:szCs w:val="20"/>
              </w:rPr>
            </w:pPr>
            <w:r w:rsidRPr="00FE2D54">
              <w:rPr>
                <w:rFonts w:eastAsia="Calibri"/>
                <w:sz w:val="20"/>
                <w:szCs w:val="20"/>
              </w:rPr>
              <w:t>6.1. Detalizēts ieņēmumu aprēķins:</w:t>
            </w:r>
          </w:p>
        </w:tc>
        <w:tc>
          <w:tcPr>
            <w:tcW w:w="3630" w:type="pct"/>
            <w:gridSpan w:val="6"/>
          </w:tcPr>
          <w:p w14:paraId="339FDC9E" w14:textId="363B7B8B" w:rsidR="00764931" w:rsidRPr="00FE2D54" w:rsidRDefault="00764931" w:rsidP="00764931">
            <w:pPr>
              <w:rPr>
                <w:rFonts w:eastAsia="Calibri"/>
                <w:sz w:val="20"/>
                <w:szCs w:val="20"/>
              </w:rPr>
            </w:pPr>
          </w:p>
        </w:tc>
      </w:tr>
      <w:tr w:rsidR="00764931" w14:paraId="4128CF94" w14:textId="77777777" w:rsidTr="00DB1B0B">
        <w:tc>
          <w:tcPr>
            <w:tcW w:w="1370" w:type="pct"/>
            <w:gridSpan w:val="3"/>
          </w:tcPr>
          <w:p w14:paraId="5D0CE910" w14:textId="77777777" w:rsidR="00764931" w:rsidRPr="00FE2D54" w:rsidRDefault="00764931" w:rsidP="00764931">
            <w:pPr>
              <w:rPr>
                <w:rFonts w:eastAsia="Calibri"/>
                <w:sz w:val="20"/>
                <w:szCs w:val="20"/>
              </w:rPr>
            </w:pPr>
            <w:r w:rsidRPr="00FE2D54">
              <w:rPr>
                <w:rFonts w:eastAsia="Calibri"/>
                <w:sz w:val="20"/>
                <w:szCs w:val="20"/>
              </w:rPr>
              <w:t>6.2. Detalizēts izdevumu aprēķins:</w:t>
            </w:r>
          </w:p>
        </w:tc>
        <w:tc>
          <w:tcPr>
            <w:tcW w:w="3630" w:type="pct"/>
            <w:gridSpan w:val="6"/>
          </w:tcPr>
          <w:p w14:paraId="3F191AE0" w14:textId="4B10C2C5" w:rsidR="00764931" w:rsidRPr="00FE2D54" w:rsidRDefault="00764931" w:rsidP="00764931">
            <w:pPr>
              <w:rPr>
                <w:rFonts w:eastAsia="Calibri"/>
                <w:sz w:val="20"/>
                <w:szCs w:val="20"/>
              </w:rPr>
            </w:pPr>
          </w:p>
        </w:tc>
      </w:tr>
      <w:tr w:rsidR="00764931" w14:paraId="4E699FB5" w14:textId="77777777" w:rsidTr="00DB1B0B">
        <w:tc>
          <w:tcPr>
            <w:tcW w:w="1370" w:type="pct"/>
            <w:gridSpan w:val="3"/>
          </w:tcPr>
          <w:p w14:paraId="0814C810" w14:textId="4520BDF1" w:rsidR="00764931" w:rsidRPr="00FE2D54" w:rsidRDefault="00764931" w:rsidP="00764931">
            <w:pPr>
              <w:rPr>
                <w:rFonts w:eastAsia="Calibri"/>
                <w:sz w:val="20"/>
                <w:szCs w:val="20"/>
              </w:rPr>
            </w:pPr>
            <w:r w:rsidRPr="00FE2D54">
              <w:rPr>
                <w:rFonts w:eastAsia="Calibri"/>
                <w:sz w:val="20"/>
                <w:szCs w:val="20"/>
                <w:lang w:eastAsia="lv-LV"/>
              </w:rPr>
              <w:t>7. Amata vietu skaita izmaiņas</w:t>
            </w:r>
          </w:p>
        </w:tc>
        <w:tc>
          <w:tcPr>
            <w:tcW w:w="3630" w:type="pct"/>
            <w:gridSpan w:val="6"/>
          </w:tcPr>
          <w:p w14:paraId="12868A05" w14:textId="02E018FF" w:rsidR="00764931" w:rsidRPr="00FE2D54" w:rsidRDefault="00764931" w:rsidP="00764931">
            <w:pPr>
              <w:rPr>
                <w:rFonts w:eastAsia="Calibri"/>
                <w:sz w:val="20"/>
                <w:szCs w:val="20"/>
              </w:rPr>
            </w:pPr>
            <w:r w:rsidRPr="00FE2D54">
              <w:rPr>
                <w:rFonts w:eastAsia="Calibri"/>
                <w:iCs/>
                <w:sz w:val="20"/>
                <w:szCs w:val="20"/>
              </w:rPr>
              <w:t>Noteikumu projekts neparedz amata vietu skaita izmaiņas.</w:t>
            </w:r>
          </w:p>
        </w:tc>
      </w:tr>
      <w:tr w:rsidR="00764931" w14:paraId="77F7E422" w14:textId="77777777" w:rsidTr="00DB1B0B">
        <w:tc>
          <w:tcPr>
            <w:tcW w:w="1370" w:type="pct"/>
            <w:gridSpan w:val="3"/>
          </w:tcPr>
          <w:p w14:paraId="3D4893D4" w14:textId="5232D333" w:rsidR="00764931" w:rsidRPr="00FE2D54" w:rsidRDefault="00764931" w:rsidP="00764931">
            <w:pPr>
              <w:rPr>
                <w:rFonts w:eastAsia="Calibri"/>
                <w:sz w:val="20"/>
                <w:szCs w:val="20"/>
                <w:lang w:eastAsia="lv-LV"/>
              </w:rPr>
            </w:pPr>
            <w:r w:rsidRPr="00FE2D54">
              <w:rPr>
                <w:rFonts w:eastAsia="Calibri"/>
                <w:sz w:val="20"/>
                <w:szCs w:val="20"/>
                <w:lang w:eastAsia="lv-LV"/>
              </w:rPr>
              <w:t>8. Cita informācija</w:t>
            </w:r>
          </w:p>
        </w:tc>
        <w:tc>
          <w:tcPr>
            <w:tcW w:w="3630" w:type="pct"/>
            <w:gridSpan w:val="6"/>
            <w:vAlign w:val="center"/>
          </w:tcPr>
          <w:p w14:paraId="6C71A4CC" w14:textId="547725E1" w:rsidR="00764931" w:rsidRPr="00E57FED" w:rsidRDefault="00764931" w:rsidP="00764931">
            <w:pPr>
              <w:jc w:val="both"/>
              <w:rPr>
                <w:sz w:val="24"/>
                <w:lang w:eastAsia="lv-LV"/>
              </w:rPr>
            </w:pPr>
            <w:r>
              <w:rPr>
                <w:sz w:val="24"/>
                <w:lang w:eastAsia="lv-LV"/>
              </w:rPr>
              <w:t>Saskaņā ar Valsts kancelejas sniegto informāciju a</w:t>
            </w:r>
            <w:r w:rsidRPr="00E57FED">
              <w:rPr>
                <w:sz w:val="24"/>
                <w:lang w:eastAsia="lv-LV"/>
              </w:rPr>
              <w:t>prēķini tiek veikti sadalījumā pa nodarbinātajām personām pēc saspiestās vērtības skalas (bez mēnešalgu paaugstināšanas virs plānotās minimālās mēneša darba algas) pa sektoriem.</w:t>
            </w:r>
          </w:p>
          <w:p w14:paraId="5ECC1381" w14:textId="77777777" w:rsidR="00764931" w:rsidRPr="00E57FED" w:rsidRDefault="00764931" w:rsidP="00764931">
            <w:pPr>
              <w:spacing w:after="60"/>
              <w:jc w:val="both"/>
              <w:rPr>
                <w:sz w:val="24"/>
                <w:lang w:eastAsia="lv-LV"/>
              </w:rPr>
            </w:pPr>
            <w:r w:rsidRPr="00E57FED">
              <w:rPr>
                <w:sz w:val="24"/>
                <w:lang w:eastAsia="lv-LV"/>
              </w:rPr>
              <w:t xml:space="preserve">Aprēķinos vidēji tiek palielināts darba algas apjoms </w:t>
            </w:r>
            <w:proofErr w:type="spellStart"/>
            <w:r w:rsidRPr="00E57FED">
              <w:rPr>
                <w:i/>
                <w:iCs/>
                <w:sz w:val="24"/>
                <w:lang w:eastAsia="lv-LV"/>
              </w:rPr>
              <w:t>euro</w:t>
            </w:r>
            <w:proofErr w:type="spellEnd"/>
            <w:r w:rsidRPr="00E57FED">
              <w:rPr>
                <w:sz w:val="24"/>
                <w:lang w:eastAsia="lv-LV"/>
              </w:rPr>
              <w:t xml:space="preserve"> vērtībā sadalījumā pa nodarbināto algu diapazoniem. Tiek samazināts strādājošo skaits darba algu diapazonā līdz pašreizējai minimālajai mēneša darba algai (</w:t>
            </w:r>
            <w:r>
              <w:rPr>
                <w:sz w:val="24"/>
                <w:lang w:eastAsia="lv-LV"/>
              </w:rPr>
              <w:t>430</w:t>
            </w:r>
            <w:r w:rsidRPr="00E57FED">
              <w:rPr>
                <w:sz w:val="24"/>
                <w:lang w:eastAsia="lv-LV"/>
              </w:rPr>
              <w:t xml:space="preserve"> </w:t>
            </w:r>
            <w:proofErr w:type="spellStart"/>
            <w:r w:rsidRPr="00E57FED">
              <w:rPr>
                <w:i/>
                <w:iCs/>
                <w:sz w:val="24"/>
                <w:lang w:eastAsia="lv-LV"/>
              </w:rPr>
              <w:t>euro</w:t>
            </w:r>
            <w:proofErr w:type="spellEnd"/>
            <w:r w:rsidRPr="00E57FED">
              <w:rPr>
                <w:sz w:val="24"/>
                <w:lang w:eastAsia="lv-LV"/>
              </w:rPr>
              <w:t xml:space="preserve"> mēnesī), jo šajā kategorijā liela daļa nodarbināto strādā uz pusslodzi, kā arī pastāv biežākas “aplokšņu algas” izmaksas risks, un privātajā sektorā un sabiedriskā sektora komercsabiedrībām līdz plānotajai minimālai algai atsevišķu reģionu uzņēmumu konkurētspējas dēļ.</w:t>
            </w:r>
          </w:p>
          <w:p w14:paraId="56151D32" w14:textId="77777777" w:rsidR="00764931" w:rsidRPr="00E57FED" w:rsidRDefault="00764931" w:rsidP="00764931">
            <w:pPr>
              <w:spacing w:after="60"/>
              <w:jc w:val="both"/>
              <w:rPr>
                <w:sz w:val="24"/>
                <w:lang w:eastAsia="lv-LV"/>
              </w:rPr>
            </w:pPr>
            <w:r w:rsidRPr="00E57FED">
              <w:rPr>
                <w:sz w:val="24"/>
                <w:lang w:eastAsia="lv-LV"/>
              </w:rPr>
              <w:t>Minimālās mēneša darba algas palielināšana rada mājsaimniecību rīcībā lielākus ieņēmumus, kā rezultātā tiek vairāk tērēts patēriņa precēm. Tādēļ aprēķinā tiek ņemts vērā iegūtais pozitīvais atgriezeniskais efekts budžetā no PVN.</w:t>
            </w:r>
          </w:p>
          <w:p w14:paraId="030DDF22" w14:textId="77777777" w:rsidR="00764931" w:rsidRDefault="00764931" w:rsidP="00764931">
            <w:pPr>
              <w:spacing w:after="60"/>
              <w:jc w:val="both"/>
              <w:rPr>
                <w:sz w:val="24"/>
                <w:lang w:eastAsia="lv-LV"/>
              </w:rPr>
            </w:pPr>
            <w:r w:rsidRPr="00E57FED">
              <w:rPr>
                <w:sz w:val="24"/>
                <w:lang w:eastAsia="lv-LV"/>
              </w:rPr>
              <w:t>IIN ieņēmumi tiek procentuāli sadalīti pa budžeta veidiem – pamatbudžetam 20% un pašvaldību budžetiem 80% apmērā.</w:t>
            </w:r>
          </w:p>
          <w:p w14:paraId="4635D845" w14:textId="3CFD544D" w:rsidR="00764931" w:rsidRDefault="00764931" w:rsidP="00764931">
            <w:pPr>
              <w:spacing w:after="60"/>
              <w:jc w:val="both"/>
              <w:rPr>
                <w:sz w:val="24"/>
                <w:lang w:eastAsia="lv-LV"/>
              </w:rPr>
            </w:pPr>
            <w:r>
              <w:rPr>
                <w:sz w:val="24"/>
                <w:lang w:eastAsia="lv-LV"/>
              </w:rPr>
              <w:t xml:space="preserve">CSP dati par </w:t>
            </w:r>
            <w:r w:rsidRPr="00E25CF7">
              <w:rPr>
                <w:sz w:val="24"/>
                <w:lang w:eastAsia="lv-LV"/>
              </w:rPr>
              <w:t>darba ņēmēju skait</w:t>
            </w:r>
            <w:r>
              <w:rPr>
                <w:sz w:val="24"/>
                <w:lang w:eastAsia="lv-LV"/>
              </w:rPr>
              <w:t>u</w:t>
            </w:r>
            <w:r w:rsidRPr="00E25CF7">
              <w:rPr>
                <w:sz w:val="24"/>
                <w:lang w:eastAsia="lv-LV"/>
              </w:rPr>
              <w:t xml:space="preserve"> pašvaldībās un pašvaldību padotības iestādēs</w:t>
            </w:r>
            <w:r>
              <w:rPr>
                <w:sz w:val="24"/>
                <w:lang w:eastAsia="lv-LV"/>
              </w:rPr>
              <w:t xml:space="preserve"> – </w:t>
            </w:r>
            <w:r w:rsidRPr="00293D2A">
              <w:rPr>
                <w:b/>
                <w:sz w:val="24"/>
                <w:lang w:eastAsia="lv-LV"/>
              </w:rPr>
              <w:t>13</w:t>
            </w:r>
            <w:r>
              <w:rPr>
                <w:b/>
                <w:sz w:val="24"/>
                <w:lang w:eastAsia="lv-LV"/>
              </w:rPr>
              <w:t xml:space="preserve">162 </w:t>
            </w:r>
            <w:proofErr w:type="spellStart"/>
            <w:r>
              <w:rPr>
                <w:b/>
                <w:sz w:val="24"/>
                <w:lang w:eastAsia="lv-LV"/>
              </w:rPr>
              <w:t>cilv</w:t>
            </w:r>
            <w:proofErr w:type="spellEnd"/>
            <w:r>
              <w:rPr>
                <w:b/>
                <w:sz w:val="24"/>
                <w:lang w:eastAsia="lv-LV"/>
              </w:rPr>
              <w:t xml:space="preserve">. </w:t>
            </w:r>
            <w:r w:rsidRPr="005D54A8">
              <w:rPr>
                <w:sz w:val="24"/>
                <w:lang w:eastAsia="lv-LV"/>
              </w:rPr>
              <w:t xml:space="preserve">(t.sk. 4127 </w:t>
            </w:r>
            <w:proofErr w:type="spellStart"/>
            <w:r w:rsidRPr="005D54A8">
              <w:rPr>
                <w:sz w:val="24"/>
                <w:lang w:eastAsia="lv-LV"/>
              </w:rPr>
              <w:t>cilv</w:t>
            </w:r>
            <w:proofErr w:type="spellEnd"/>
            <w:r w:rsidRPr="005D54A8">
              <w:rPr>
                <w:sz w:val="24"/>
                <w:lang w:eastAsia="lv-LV"/>
              </w:rPr>
              <w:t xml:space="preserve">. ar darba ienākumiem 430 </w:t>
            </w:r>
            <w:proofErr w:type="spellStart"/>
            <w:r w:rsidRPr="005D54A8">
              <w:rPr>
                <w:i/>
                <w:sz w:val="24"/>
                <w:lang w:eastAsia="lv-LV"/>
              </w:rPr>
              <w:t>euro</w:t>
            </w:r>
            <w:proofErr w:type="spellEnd"/>
            <w:r w:rsidRPr="005D54A8">
              <w:rPr>
                <w:sz w:val="24"/>
                <w:lang w:eastAsia="lv-LV"/>
              </w:rPr>
              <w:t>)</w:t>
            </w:r>
            <w:r>
              <w:rPr>
                <w:sz w:val="24"/>
                <w:lang w:eastAsia="lv-LV"/>
              </w:rPr>
              <w:t>.</w:t>
            </w:r>
            <w:r w:rsidRPr="00E25CF7">
              <w:rPr>
                <w:sz w:val="24"/>
                <w:lang w:eastAsia="lv-LV"/>
              </w:rPr>
              <w:t xml:space="preserve"> 2019.</w:t>
            </w:r>
            <w:r>
              <w:rPr>
                <w:sz w:val="24"/>
                <w:lang w:eastAsia="lv-LV"/>
              </w:rPr>
              <w:t> </w:t>
            </w:r>
            <w:r w:rsidRPr="00E25CF7">
              <w:rPr>
                <w:sz w:val="24"/>
                <w:lang w:eastAsia="lv-LV"/>
              </w:rPr>
              <w:t>gada oktobrī</w:t>
            </w:r>
            <w:r>
              <w:rPr>
                <w:sz w:val="24"/>
                <w:lang w:eastAsia="lv-LV"/>
              </w:rPr>
              <w:t xml:space="preserve"> (izvēlētais mēnesis gada griezumā, kad darba ienākumi nav palielināti ar papildus izmaksām (prēmijām)) </w:t>
            </w:r>
            <w:r w:rsidRPr="00E25CF7">
              <w:rPr>
                <w:sz w:val="24"/>
                <w:lang w:eastAsia="lv-LV"/>
              </w:rPr>
              <w:t>sadalījum</w:t>
            </w:r>
            <w:r>
              <w:rPr>
                <w:sz w:val="24"/>
                <w:lang w:eastAsia="lv-LV"/>
              </w:rPr>
              <w:t>s</w:t>
            </w:r>
            <w:r w:rsidRPr="00E25CF7">
              <w:rPr>
                <w:sz w:val="24"/>
                <w:lang w:eastAsia="lv-LV"/>
              </w:rPr>
              <w:t xml:space="preserve"> pēc darba ienākumiem iegūt</w:t>
            </w:r>
            <w:r>
              <w:rPr>
                <w:sz w:val="24"/>
                <w:lang w:eastAsia="lv-LV"/>
              </w:rPr>
              <w:t>s</w:t>
            </w:r>
            <w:r w:rsidRPr="00E25CF7">
              <w:rPr>
                <w:sz w:val="24"/>
                <w:lang w:eastAsia="lv-LV"/>
              </w:rPr>
              <w:t xml:space="preserve">, apkopojot Valsts ieņēmumu dienestā iesniegtos darba devēju </w:t>
            </w:r>
            <w:r>
              <w:rPr>
                <w:sz w:val="24"/>
                <w:lang w:eastAsia="lv-LV"/>
              </w:rPr>
              <w:t>Ziņojumus</w:t>
            </w:r>
            <w:r w:rsidRPr="00E25CF7">
              <w:rPr>
                <w:sz w:val="24"/>
                <w:lang w:eastAsia="lv-LV"/>
              </w:rPr>
              <w:t xml:space="preserve"> (noteikumu Nr.</w:t>
            </w:r>
            <w:r>
              <w:rPr>
                <w:sz w:val="24"/>
                <w:lang w:eastAsia="lv-LV"/>
              </w:rPr>
              <w:t> </w:t>
            </w:r>
            <w:r w:rsidRPr="00E25CF7">
              <w:rPr>
                <w:sz w:val="24"/>
                <w:lang w:eastAsia="lv-LV"/>
              </w:rPr>
              <w:t>827 3.</w:t>
            </w:r>
            <w:r>
              <w:rPr>
                <w:sz w:val="24"/>
                <w:lang w:eastAsia="lv-LV"/>
              </w:rPr>
              <w:t> </w:t>
            </w:r>
            <w:r w:rsidRPr="00E25CF7">
              <w:rPr>
                <w:sz w:val="24"/>
                <w:lang w:eastAsia="lv-LV"/>
              </w:rPr>
              <w:t>pielikums, 3.1</w:t>
            </w:r>
            <w:r>
              <w:rPr>
                <w:sz w:val="24"/>
                <w:lang w:eastAsia="lv-LV"/>
              </w:rPr>
              <w:t>. pielikums</w:t>
            </w:r>
            <w:r w:rsidRPr="00E25CF7">
              <w:rPr>
                <w:sz w:val="24"/>
                <w:lang w:eastAsia="lv-LV"/>
              </w:rPr>
              <w:t xml:space="preserve">) un </w:t>
            </w:r>
            <w:proofErr w:type="spellStart"/>
            <w:r w:rsidRPr="00E25CF7">
              <w:rPr>
                <w:sz w:val="24"/>
                <w:lang w:eastAsia="lv-LV"/>
              </w:rPr>
              <w:t>mikrouzņēmumu</w:t>
            </w:r>
            <w:proofErr w:type="spellEnd"/>
            <w:r w:rsidRPr="00E25CF7">
              <w:rPr>
                <w:sz w:val="24"/>
                <w:lang w:eastAsia="lv-LV"/>
              </w:rPr>
              <w:t xml:space="preserve"> nodokļa deklarācij</w:t>
            </w:r>
            <w:r>
              <w:rPr>
                <w:sz w:val="24"/>
                <w:lang w:eastAsia="lv-LV"/>
              </w:rPr>
              <w:t>as</w:t>
            </w:r>
            <w:r w:rsidRPr="00E25CF7">
              <w:rPr>
                <w:sz w:val="24"/>
                <w:lang w:eastAsia="lv-LV"/>
              </w:rPr>
              <w:t xml:space="preserve"> (Ministru kabineta 2014.</w:t>
            </w:r>
            <w:r>
              <w:rPr>
                <w:sz w:val="24"/>
                <w:lang w:eastAsia="lv-LV"/>
              </w:rPr>
              <w:t> </w:t>
            </w:r>
            <w:r w:rsidRPr="00E25CF7">
              <w:rPr>
                <w:sz w:val="24"/>
                <w:lang w:eastAsia="lv-LV"/>
              </w:rPr>
              <w:t>gada 8.</w:t>
            </w:r>
            <w:r>
              <w:rPr>
                <w:sz w:val="24"/>
                <w:lang w:eastAsia="lv-LV"/>
              </w:rPr>
              <w:t> </w:t>
            </w:r>
            <w:r w:rsidRPr="00E25CF7">
              <w:rPr>
                <w:sz w:val="24"/>
                <w:lang w:eastAsia="lv-LV"/>
              </w:rPr>
              <w:t>aprīļa noteikumi Nr.</w:t>
            </w:r>
            <w:r>
              <w:rPr>
                <w:sz w:val="24"/>
                <w:lang w:eastAsia="lv-LV"/>
              </w:rPr>
              <w:t> </w:t>
            </w:r>
            <w:r w:rsidRPr="00E25CF7">
              <w:rPr>
                <w:sz w:val="24"/>
                <w:lang w:eastAsia="lv-LV"/>
              </w:rPr>
              <w:t>190 „</w:t>
            </w:r>
            <w:proofErr w:type="spellStart"/>
            <w:r w:rsidRPr="00E25CF7">
              <w:rPr>
                <w:sz w:val="24"/>
                <w:lang w:eastAsia="lv-LV"/>
              </w:rPr>
              <w:t>Mikrouzņēmumu</w:t>
            </w:r>
            <w:proofErr w:type="spellEnd"/>
            <w:r w:rsidRPr="00E25CF7">
              <w:rPr>
                <w:sz w:val="24"/>
                <w:lang w:eastAsia="lv-LV"/>
              </w:rPr>
              <w:t xml:space="preserve"> nodokļa deklarācija").</w:t>
            </w:r>
            <w:r>
              <w:rPr>
                <w:sz w:val="24"/>
                <w:lang w:eastAsia="lv-LV"/>
              </w:rPr>
              <w:t xml:space="preserve"> </w:t>
            </w:r>
            <w:r w:rsidRPr="00E26B04">
              <w:rPr>
                <w:sz w:val="24"/>
                <w:lang w:eastAsia="lv-LV"/>
              </w:rPr>
              <w:t>Darba ņēmēju skaitā iekļauti visi darba ņēmēji, kuriem pārskata periodā aprēķināti darba ienākumi, neskatoties uz nostrādāto stundu skaitu. Turklāt, ja darba ņēmēju nodarbina vairāki darba devēji, tad darba ņēmēju skaitā viņu iekļauj tikai vienu reizi, summējot ienākumus, kas gūti no visiem darba devējiem. Pašvaldības un pašvaldību padotības iestādes, atbilstoši Ministru kabineta 2013.</w:t>
            </w:r>
            <w:r>
              <w:rPr>
                <w:sz w:val="24"/>
                <w:lang w:eastAsia="lv-LV"/>
              </w:rPr>
              <w:t> </w:t>
            </w:r>
            <w:r w:rsidRPr="00E26B04">
              <w:rPr>
                <w:sz w:val="24"/>
                <w:lang w:eastAsia="lv-LV"/>
              </w:rPr>
              <w:t>gada 10.</w:t>
            </w:r>
            <w:r>
              <w:rPr>
                <w:sz w:val="24"/>
                <w:lang w:eastAsia="lv-LV"/>
              </w:rPr>
              <w:t> </w:t>
            </w:r>
            <w:r w:rsidRPr="00E26B04">
              <w:rPr>
                <w:sz w:val="24"/>
                <w:lang w:eastAsia="lv-LV"/>
              </w:rPr>
              <w:t>decembra noteikumiem Nr.</w:t>
            </w:r>
            <w:r>
              <w:rPr>
                <w:sz w:val="24"/>
                <w:lang w:eastAsia="lv-LV"/>
              </w:rPr>
              <w:t> </w:t>
            </w:r>
            <w:r w:rsidRPr="00E26B04">
              <w:rPr>
                <w:sz w:val="24"/>
                <w:lang w:eastAsia="lv-LV"/>
              </w:rPr>
              <w:t>1456 "Noteikumi par institucionālo sektoru klasifikāciju (ISK)", atlasīt</w:t>
            </w:r>
            <w:r>
              <w:rPr>
                <w:sz w:val="24"/>
                <w:lang w:eastAsia="lv-LV"/>
              </w:rPr>
              <w:t>as</w:t>
            </w:r>
            <w:r w:rsidRPr="00E26B04">
              <w:rPr>
                <w:sz w:val="24"/>
                <w:lang w:eastAsia="lv-LV"/>
              </w:rPr>
              <w:t xml:space="preserve"> pēc sekojošiem ISK kodiem: S130310, S130320, S130340.</w:t>
            </w:r>
            <w:r>
              <w:rPr>
                <w:sz w:val="24"/>
                <w:lang w:eastAsia="lv-LV"/>
              </w:rPr>
              <w:t xml:space="preserve"> Papildus pašvaldību budžeta izdevumu finansējumā ieskaitītas darba devēja sociālās apdrošināšanas iemaksas 24,09%.</w:t>
            </w:r>
          </w:p>
          <w:p w14:paraId="329C43D1" w14:textId="2A86B135" w:rsidR="00764931" w:rsidRPr="00413457" w:rsidRDefault="00764931" w:rsidP="00764931">
            <w:pPr>
              <w:jc w:val="both"/>
              <w:rPr>
                <w:sz w:val="24"/>
                <w:lang w:eastAsia="lv-LV"/>
              </w:rPr>
            </w:pPr>
            <w:r w:rsidRPr="00F915D8">
              <w:rPr>
                <w:sz w:val="24"/>
                <w:lang w:eastAsia="lv-LV"/>
              </w:rPr>
              <w:t>Ministru kabineta 2019.</w:t>
            </w:r>
            <w:r>
              <w:rPr>
                <w:sz w:val="24"/>
                <w:lang w:eastAsia="lv-LV"/>
              </w:rPr>
              <w:t> </w:t>
            </w:r>
            <w:r w:rsidRPr="00F915D8">
              <w:rPr>
                <w:sz w:val="24"/>
                <w:lang w:eastAsia="lv-LV"/>
              </w:rPr>
              <w:t>gada 17.</w:t>
            </w:r>
            <w:r>
              <w:rPr>
                <w:sz w:val="24"/>
                <w:lang w:eastAsia="lv-LV"/>
              </w:rPr>
              <w:t> </w:t>
            </w:r>
            <w:r w:rsidRPr="00F915D8">
              <w:rPr>
                <w:sz w:val="24"/>
                <w:lang w:eastAsia="lv-LV"/>
              </w:rPr>
              <w:t xml:space="preserve">septembra sēdē (prot.Nr.42, </w:t>
            </w:r>
            <w:bookmarkStart w:id="1" w:name="34"/>
            <w:r w:rsidRPr="00F915D8">
              <w:rPr>
                <w:sz w:val="24"/>
                <w:lang w:eastAsia="lv-LV"/>
              </w:rPr>
              <w:t>34.§</w:t>
            </w:r>
            <w:bookmarkEnd w:id="1"/>
            <w:r w:rsidRPr="00F915D8">
              <w:rPr>
                <w:sz w:val="24"/>
                <w:lang w:eastAsia="lv-LV"/>
              </w:rPr>
              <w:t xml:space="preserve"> “Informatīvais ziņojums “Par prioritārajiem pasākumiem valsts budžetam 2020.</w:t>
            </w:r>
            <w:r>
              <w:rPr>
                <w:sz w:val="24"/>
                <w:lang w:eastAsia="lv-LV"/>
              </w:rPr>
              <w:t> </w:t>
            </w:r>
            <w:r w:rsidRPr="00F915D8">
              <w:rPr>
                <w:sz w:val="24"/>
                <w:lang w:eastAsia="lv-LV"/>
              </w:rPr>
              <w:t>gadam un ietvaram 2020.– 2022.</w:t>
            </w:r>
            <w:r>
              <w:rPr>
                <w:sz w:val="24"/>
                <w:lang w:eastAsia="lv-LV"/>
              </w:rPr>
              <w:t> </w:t>
            </w:r>
            <w:r w:rsidRPr="00F915D8">
              <w:rPr>
                <w:sz w:val="24"/>
                <w:lang w:eastAsia="lv-LV"/>
              </w:rPr>
              <w:t xml:space="preserve">gadam””, 2.punkts) tika pieņemts lēmums atbalstīt informatīvā ziņojuma </w:t>
            </w:r>
            <w:r w:rsidRPr="00F915D8">
              <w:rPr>
                <w:sz w:val="24"/>
                <w:lang w:eastAsia="lv-LV"/>
              </w:rPr>
              <w:lastRenderedPageBreak/>
              <w:t>pielikumā minētos prioritāros pasākumus ministrijām un citām centrālajām valsts iestādēm, tai skaitā neatkarīgajām institūcijām 2020.-2022.</w:t>
            </w:r>
            <w:r>
              <w:rPr>
                <w:sz w:val="24"/>
                <w:lang w:eastAsia="lv-LV"/>
              </w:rPr>
              <w:t> </w:t>
            </w:r>
            <w:r w:rsidRPr="00F915D8">
              <w:rPr>
                <w:sz w:val="24"/>
                <w:lang w:eastAsia="lv-LV"/>
              </w:rPr>
              <w:t>gadam, kas sagatavoti atbilstoši Ministru kabineta 2019.</w:t>
            </w:r>
            <w:r>
              <w:rPr>
                <w:sz w:val="24"/>
                <w:lang w:eastAsia="lv-LV"/>
              </w:rPr>
              <w:t> </w:t>
            </w:r>
            <w:r w:rsidRPr="00F915D8">
              <w:rPr>
                <w:sz w:val="24"/>
                <w:lang w:eastAsia="lv-LV"/>
              </w:rPr>
              <w:t>gada 13.</w:t>
            </w:r>
            <w:r>
              <w:rPr>
                <w:sz w:val="24"/>
                <w:lang w:eastAsia="lv-LV"/>
              </w:rPr>
              <w:t> </w:t>
            </w:r>
            <w:r w:rsidRPr="00F915D8">
              <w:rPr>
                <w:sz w:val="24"/>
                <w:lang w:eastAsia="lv-LV"/>
              </w:rPr>
              <w:t xml:space="preserve">septembra ārkārtas sēdē atbalstītajiem priekšlikumiem. Viens no šiem pasākumiem bija arī minimālās </w:t>
            </w:r>
            <w:r>
              <w:rPr>
                <w:sz w:val="24"/>
                <w:lang w:eastAsia="lv-LV"/>
              </w:rPr>
              <w:t>mēneša darba algas paaugstināšana</w:t>
            </w:r>
            <w:r w:rsidRPr="00F915D8">
              <w:rPr>
                <w:sz w:val="24"/>
                <w:lang w:eastAsia="lv-LV"/>
              </w:rPr>
              <w:t xml:space="preserve"> līdz 500 </w:t>
            </w:r>
            <w:proofErr w:type="spellStart"/>
            <w:r w:rsidRPr="00FE2094">
              <w:rPr>
                <w:i/>
                <w:sz w:val="24"/>
                <w:lang w:eastAsia="lv-LV"/>
              </w:rPr>
              <w:t>euro</w:t>
            </w:r>
            <w:proofErr w:type="spellEnd"/>
            <w:r w:rsidRPr="00F915D8">
              <w:rPr>
                <w:sz w:val="24"/>
                <w:lang w:eastAsia="lv-LV"/>
              </w:rPr>
              <w:t xml:space="preserve"> ar 2021.</w:t>
            </w:r>
            <w:r>
              <w:rPr>
                <w:sz w:val="24"/>
                <w:lang w:eastAsia="lv-LV"/>
              </w:rPr>
              <w:t> </w:t>
            </w:r>
            <w:r w:rsidRPr="00F915D8">
              <w:rPr>
                <w:sz w:val="24"/>
                <w:lang w:eastAsia="lv-LV"/>
              </w:rPr>
              <w:t>gada 1.</w:t>
            </w:r>
            <w:r>
              <w:rPr>
                <w:sz w:val="24"/>
                <w:lang w:eastAsia="lv-LV"/>
              </w:rPr>
              <w:t> </w:t>
            </w:r>
            <w:r w:rsidRPr="00F915D8">
              <w:rPr>
                <w:sz w:val="24"/>
                <w:lang w:eastAsia="lv-LV"/>
              </w:rPr>
              <w:t>janvāri.</w:t>
            </w:r>
            <w:r>
              <w:rPr>
                <w:sz w:val="24"/>
                <w:lang w:eastAsia="lv-LV"/>
              </w:rPr>
              <w:t xml:space="preserve"> </w:t>
            </w:r>
            <w:r w:rsidRPr="00413457">
              <w:rPr>
                <w:sz w:val="24"/>
                <w:lang w:eastAsia="lv-LV"/>
              </w:rPr>
              <w:t xml:space="preserve">Tātad likumā “Par vidēja termiņa budžeta ietvaru 2020., 2021. un 2022. gadam” ir jau paredzēts nepieciešamais finansējums sadalījumā pa resoriem un valsts budžeta iestādēm, palielinot minimālo mēneša darba algu no 430 </w:t>
            </w:r>
            <w:proofErr w:type="spellStart"/>
            <w:r w:rsidRPr="00FE2094">
              <w:rPr>
                <w:i/>
                <w:sz w:val="24"/>
                <w:lang w:eastAsia="lv-LV"/>
              </w:rPr>
              <w:t>euro</w:t>
            </w:r>
            <w:proofErr w:type="spellEnd"/>
            <w:r w:rsidRPr="00413457">
              <w:rPr>
                <w:sz w:val="24"/>
                <w:lang w:eastAsia="lv-LV"/>
              </w:rPr>
              <w:t xml:space="preserve"> līdz 500 </w:t>
            </w:r>
            <w:proofErr w:type="spellStart"/>
            <w:r w:rsidRPr="00FE2094">
              <w:rPr>
                <w:sz w:val="24"/>
                <w:u w:val="single"/>
                <w:lang w:eastAsia="lv-LV"/>
              </w:rPr>
              <w:t>euro</w:t>
            </w:r>
            <w:proofErr w:type="spellEnd"/>
            <w:r w:rsidRPr="00413457">
              <w:rPr>
                <w:sz w:val="24"/>
                <w:lang w:eastAsia="lv-LV"/>
              </w:rPr>
              <w:t>.</w:t>
            </w:r>
          </w:p>
          <w:p w14:paraId="1C473844" w14:textId="4329B89D" w:rsidR="00764931" w:rsidRDefault="00764931" w:rsidP="00764931">
            <w:pPr>
              <w:jc w:val="both"/>
              <w:rPr>
                <w:sz w:val="24"/>
                <w:lang w:eastAsia="lv-LV"/>
              </w:rPr>
            </w:pPr>
          </w:p>
          <w:p w14:paraId="245BFCA4" w14:textId="3D7C1790" w:rsidR="00764931" w:rsidRPr="00A44A7C" w:rsidRDefault="00764931" w:rsidP="00764931">
            <w:pPr>
              <w:jc w:val="both"/>
              <w:rPr>
                <w:rFonts w:eastAsia="Calibri"/>
                <w:iCs/>
                <w:sz w:val="24"/>
              </w:rPr>
            </w:pPr>
            <w:r w:rsidRPr="00121BA0">
              <w:rPr>
                <w:sz w:val="24"/>
                <w:lang w:eastAsia="lv-LV"/>
              </w:rPr>
              <w:t xml:space="preserve">Anotācijas pielikumā sniegta informācija par likumā “Par vidēja termiņa budžeta ietvaru 2020., 2021. un 2022. gadam” </w:t>
            </w:r>
            <w:r w:rsidR="00954CDC" w:rsidRPr="00121BA0">
              <w:rPr>
                <w:sz w:val="24"/>
                <w:lang w:eastAsia="lv-LV"/>
              </w:rPr>
              <w:t>plānoto</w:t>
            </w:r>
            <w:r w:rsidRPr="00121BA0">
              <w:rPr>
                <w:sz w:val="24"/>
                <w:lang w:eastAsia="lv-LV"/>
              </w:rPr>
              <w:t xml:space="preserve"> finansējum</w:t>
            </w:r>
            <w:bookmarkStart w:id="2" w:name="_GoBack"/>
            <w:bookmarkEnd w:id="2"/>
            <w:r w:rsidRPr="00121BA0">
              <w:rPr>
                <w:sz w:val="24"/>
                <w:lang w:eastAsia="lv-LV"/>
              </w:rPr>
              <w:t>u</w:t>
            </w:r>
            <w:r w:rsidR="00954CDC" w:rsidRPr="00121BA0">
              <w:rPr>
                <w:sz w:val="24"/>
                <w:lang w:eastAsia="lv-LV"/>
              </w:rPr>
              <w:t xml:space="preserve"> </w:t>
            </w:r>
            <w:r w:rsidRPr="00121BA0">
              <w:rPr>
                <w:sz w:val="24"/>
                <w:lang w:eastAsia="lv-LV"/>
              </w:rPr>
              <w:t xml:space="preserve"> minimāl</w:t>
            </w:r>
            <w:r w:rsidR="00954CDC" w:rsidRPr="00121BA0">
              <w:rPr>
                <w:sz w:val="24"/>
                <w:lang w:eastAsia="lv-LV"/>
              </w:rPr>
              <w:t>ās</w:t>
            </w:r>
            <w:r w:rsidRPr="00121BA0">
              <w:rPr>
                <w:sz w:val="24"/>
                <w:lang w:eastAsia="lv-LV"/>
              </w:rPr>
              <w:t xml:space="preserve"> mēneša darba alg</w:t>
            </w:r>
            <w:r w:rsidR="00954CDC" w:rsidRPr="00121BA0">
              <w:rPr>
                <w:sz w:val="24"/>
                <w:lang w:eastAsia="lv-LV"/>
              </w:rPr>
              <w:t>as</w:t>
            </w:r>
            <w:r w:rsidRPr="00121BA0">
              <w:rPr>
                <w:sz w:val="24"/>
                <w:lang w:eastAsia="lv-LV"/>
              </w:rPr>
              <w:t xml:space="preserve"> no 430 </w:t>
            </w:r>
            <w:proofErr w:type="spellStart"/>
            <w:r w:rsidRPr="00121BA0">
              <w:rPr>
                <w:i/>
                <w:sz w:val="24"/>
                <w:lang w:eastAsia="lv-LV"/>
              </w:rPr>
              <w:t>euro</w:t>
            </w:r>
            <w:proofErr w:type="spellEnd"/>
            <w:r w:rsidRPr="00121BA0">
              <w:rPr>
                <w:sz w:val="24"/>
                <w:lang w:eastAsia="lv-LV"/>
              </w:rPr>
              <w:t xml:space="preserve"> līdz 500 </w:t>
            </w:r>
            <w:proofErr w:type="spellStart"/>
            <w:r w:rsidRPr="00121BA0">
              <w:rPr>
                <w:i/>
                <w:sz w:val="24"/>
                <w:lang w:eastAsia="lv-LV"/>
              </w:rPr>
              <w:t>euro</w:t>
            </w:r>
            <w:proofErr w:type="spellEnd"/>
            <w:r w:rsidR="00954CDC" w:rsidRPr="00121BA0">
              <w:rPr>
                <w:i/>
                <w:sz w:val="24"/>
                <w:lang w:eastAsia="lv-LV"/>
              </w:rPr>
              <w:t xml:space="preserve"> </w:t>
            </w:r>
            <w:r w:rsidR="00954CDC" w:rsidRPr="00121BA0">
              <w:rPr>
                <w:sz w:val="24"/>
                <w:lang w:eastAsia="lv-LV"/>
              </w:rPr>
              <w:t>palielināšanai</w:t>
            </w:r>
            <w:r w:rsidRPr="00121BA0">
              <w:rPr>
                <w:sz w:val="24"/>
                <w:lang w:eastAsia="lv-LV"/>
              </w:rPr>
              <w:t xml:space="preserve">, sadalījumā pa resoriem un valsts budžeta iestādēm, un aprēķini par </w:t>
            </w:r>
            <w:r w:rsidR="00954CDC" w:rsidRPr="00121BA0">
              <w:rPr>
                <w:sz w:val="24"/>
                <w:lang w:eastAsia="lv-LV"/>
              </w:rPr>
              <w:t xml:space="preserve">plānoto </w:t>
            </w:r>
            <w:r w:rsidRPr="00121BA0">
              <w:rPr>
                <w:sz w:val="24"/>
                <w:lang w:eastAsia="lv-LV"/>
              </w:rPr>
              <w:t>finansējumu valsts un pašvaldību budžetā</w:t>
            </w:r>
            <w:r w:rsidR="00954CDC" w:rsidRPr="00121BA0">
              <w:rPr>
                <w:sz w:val="24"/>
                <w:lang w:eastAsia="lv-LV"/>
              </w:rPr>
              <w:t xml:space="preserve"> </w:t>
            </w:r>
            <w:r w:rsidRPr="00121BA0">
              <w:rPr>
                <w:sz w:val="24"/>
                <w:lang w:eastAsia="lv-LV"/>
              </w:rPr>
              <w:t>minimāl</w:t>
            </w:r>
            <w:r w:rsidR="00954CDC" w:rsidRPr="00121BA0">
              <w:rPr>
                <w:sz w:val="24"/>
                <w:lang w:eastAsia="lv-LV"/>
              </w:rPr>
              <w:t>ās</w:t>
            </w:r>
            <w:r w:rsidRPr="00121BA0">
              <w:rPr>
                <w:sz w:val="24"/>
                <w:lang w:eastAsia="lv-LV"/>
              </w:rPr>
              <w:t xml:space="preserve"> mēneša darba alg</w:t>
            </w:r>
            <w:r w:rsidR="00954CDC" w:rsidRPr="00121BA0">
              <w:rPr>
                <w:sz w:val="24"/>
                <w:lang w:eastAsia="lv-LV"/>
              </w:rPr>
              <w:t xml:space="preserve">as no 430 </w:t>
            </w:r>
            <w:proofErr w:type="spellStart"/>
            <w:r w:rsidR="00954CDC" w:rsidRPr="00121BA0">
              <w:rPr>
                <w:i/>
                <w:sz w:val="24"/>
                <w:lang w:eastAsia="lv-LV"/>
              </w:rPr>
              <w:t>euro</w:t>
            </w:r>
            <w:proofErr w:type="spellEnd"/>
            <w:r w:rsidR="00954CDC" w:rsidRPr="00121BA0">
              <w:rPr>
                <w:sz w:val="24"/>
                <w:lang w:eastAsia="lv-LV"/>
              </w:rPr>
              <w:t xml:space="preserve"> līdz 500 </w:t>
            </w:r>
            <w:proofErr w:type="spellStart"/>
            <w:r w:rsidR="00954CDC" w:rsidRPr="00121BA0">
              <w:rPr>
                <w:i/>
                <w:sz w:val="24"/>
                <w:lang w:eastAsia="lv-LV"/>
              </w:rPr>
              <w:t>euro</w:t>
            </w:r>
            <w:proofErr w:type="spellEnd"/>
            <w:r w:rsidR="00954CDC" w:rsidRPr="00121BA0">
              <w:rPr>
                <w:i/>
                <w:sz w:val="24"/>
                <w:lang w:eastAsia="lv-LV"/>
              </w:rPr>
              <w:t xml:space="preserve"> </w:t>
            </w:r>
            <w:r w:rsidR="00954CDC" w:rsidRPr="00121BA0">
              <w:rPr>
                <w:sz w:val="24"/>
                <w:lang w:eastAsia="lv-LV"/>
              </w:rPr>
              <w:t>palielināšanai.</w:t>
            </w:r>
          </w:p>
        </w:tc>
      </w:tr>
    </w:tbl>
    <w:bookmarkEnd w:id="0"/>
    <w:p w14:paraId="447D81BC" w14:textId="39BCC0B7" w:rsidR="00E334A0" w:rsidRPr="00A956DA" w:rsidRDefault="00E334A0" w:rsidP="0081170D">
      <w:pPr>
        <w:spacing w:after="120"/>
        <w:rPr>
          <w:i/>
          <w:sz w:val="20"/>
          <w:szCs w:val="20"/>
        </w:rPr>
      </w:pPr>
      <w:r w:rsidRPr="00A956DA">
        <w:rPr>
          <w:i/>
          <w:sz w:val="20"/>
          <w:szCs w:val="20"/>
        </w:rPr>
        <w:lastRenderedPageBreak/>
        <w:t xml:space="preserve">* budžeta ieņēmumi </w:t>
      </w:r>
      <w:r w:rsidR="00582DDE" w:rsidRPr="00A956DA">
        <w:rPr>
          <w:i/>
          <w:sz w:val="20"/>
          <w:szCs w:val="20"/>
        </w:rPr>
        <w:t>balstīti uz Finanšu ministrijas aprēķiniem, kas veikti 2019.gadā, bet nav aktualizēti 2020.gadā</w:t>
      </w:r>
    </w:p>
    <w:p w14:paraId="2C7A0676" w14:textId="021355E3" w:rsidR="00E334A0" w:rsidRPr="0081170D" w:rsidRDefault="00E334A0" w:rsidP="0081170D">
      <w:pPr>
        <w:spacing w:after="120"/>
        <w:rPr>
          <w:i/>
          <w:sz w:val="20"/>
          <w:szCs w:val="20"/>
        </w:rPr>
      </w:pPr>
      <w:r>
        <w:rPr>
          <w:i/>
          <w:sz w:val="20"/>
          <w:szCs w:val="20"/>
        </w:rPr>
        <w:t>*</w:t>
      </w:r>
      <w:r w:rsidR="0081170D" w:rsidRPr="0081170D">
        <w:rPr>
          <w:i/>
          <w:sz w:val="20"/>
          <w:szCs w:val="20"/>
        </w:rPr>
        <w:t xml:space="preserve">* iemaksas valsts </w:t>
      </w:r>
      <w:proofErr w:type="spellStart"/>
      <w:r w:rsidR="0081170D" w:rsidRPr="0081170D">
        <w:rPr>
          <w:i/>
          <w:sz w:val="20"/>
          <w:szCs w:val="20"/>
        </w:rPr>
        <w:t>fondēto</w:t>
      </w:r>
      <w:proofErr w:type="spellEnd"/>
      <w:r w:rsidR="0081170D" w:rsidRPr="0081170D">
        <w:rPr>
          <w:i/>
          <w:sz w:val="20"/>
          <w:szCs w:val="20"/>
        </w:rPr>
        <w:t xml:space="preserve"> pensiju shēmā netiek iekļautas budžeta ieņēmumos</w:t>
      </w:r>
    </w:p>
    <w:p w14:paraId="509C29B2" w14:textId="77777777" w:rsidR="00834BAF" w:rsidRDefault="00834BA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032"/>
        <w:gridCol w:w="6231"/>
      </w:tblGrid>
      <w:tr w:rsidR="005D7681" w:rsidRPr="00695C94" w14:paraId="5E217A82" w14:textId="77777777" w:rsidTr="00AC1F7D">
        <w:tc>
          <w:tcPr>
            <w:tcW w:w="9095" w:type="dxa"/>
            <w:gridSpan w:val="3"/>
            <w:shd w:val="clear" w:color="auto" w:fill="auto"/>
          </w:tcPr>
          <w:p w14:paraId="542707AE" w14:textId="77777777" w:rsidR="005D7681" w:rsidRDefault="005D7681" w:rsidP="00342C2B">
            <w:pPr>
              <w:jc w:val="center"/>
              <w:rPr>
                <w:b/>
                <w:sz w:val="24"/>
              </w:rPr>
            </w:pPr>
            <w:r w:rsidRPr="00695C94">
              <w:rPr>
                <w:b/>
                <w:sz w:val="24"/>
              </w:rPr>
              <w:t>IV</w:t>
            </w:r>
            <w:r>
              <w:rPr>
                <w:b/>
                <w:sz w:val="24"/>
              </w:rPr>
              <w:t>.</w:t>
            </w:r>
            <w:r w:rsidRPr="00695C94">
              <w:rPr>
                <w:b/>
                <w:sz w:val="24"/>
              </w:rPr>
              <w:t xml:space="preserve"> Tiesību akta projekta ietekme uz spēkā esošo tiesību normu sistēmu</w:t>
            </w:r>
          </w:p>
          <w:p w14:paraId="785E8BAE" w14:textId="77777777" w:rsidR="005D7681" w:rsidRPr="00695C94" w:rsidRDefault="005D7681" w:rsidP="00342C2B">
            <w:pPr>
              <w:jc w:val="center"/>
              <w:rPr>
                <w:b/>
                <w:sz w:val="24"/>
              </w:rPr>
            </w:pPr>
          </w:p>
        </w:tc>
      </w:tr>
      <w:tr w:rsidR="005D7681" w:rsidRPr="00695C94" w14:paraId="06EA25BA" w14:textId="77777777" w:rsidTr="00157F2C">
        <w:trPr>
          <w:trHeight w:val="983"/>
        </w:trPr>
        <w:tc>
          <w:tcPr>
            <w:tcW w:w="832" w:type="dxa"/>
            <w:shd w:val="clear" w:color="auto" w:fill="auto"/>
          </w:tcPr>
          <w:p w14:paraId="4565C76F" w14:textId="77777777" w:rsidR="005D7681" w:rsidRPr="00695C94" w:rsidRDefault="005D7681" w:rsidP="00293B08">
            <w:pPr>
              <w:jc w:val="center"/>
              <w:rPr>
                <w:sz w:val="24"/>
              </w:rPr>
            </w:pPr>
            <w:r w:rsidRPr="00695C94">
              <w:rPr>
                <w:sz w:val="24"/>
              </w:rPr>
              <w:t>1.</w:t>
            </w:r>
          </w:p>
        </w:tc>
        <w:tc>
          <w:tcPr>
            <w:tcW w:w="2032" w:type="dxa"/>
            <w:shd w:val="clear" w:color="auto" w:fill="auto"/>
          </w:tcPr>
          <w:p w14:paraId="6CA0D0FA" w14:textId="77777777" w:rsidR="005D7681" w:rsidRPr="00695C94" w:rsidRDefault="005D7681" w:rsidP="00342C2B">
            <w:pPr>
              <w:rPr>
                <w:sz w:val="24"/>
              </w:rPr>
            </w:pPr>
            <w:r w:rsidRPr="00695C94">
              <w:rPr>
                <w:sz w:val="24"/>
              </w:rPr>
              <w:t>Nepieciešamie saistītie tiesību akta projekti</w:t>
            </w:r>
          </w:p>
        </w:tc>
        <w:tc>
          <w:tcPr>
            <w:tcW w:w="6231" w:type="dxa"/>
            <w:shd w:val="clear" w:color="auto" w:fill="auto"/>
          </w:tcPr>
          <w:p w14:paraId="202A54DC" w14:textId="5B850EC2" w:rsidR="00D70DA5" w:rsidRDefault="00265833" w:rsidP="00265833">
            <w:pPr>
              <w:pStyle w:val="Footer"/>
              <w:tabs>
                <w:tab w:val="clear" w:pos="4153"/>
                <w:tab w:val="clear" w:pos="8306"/>
              </w:tabs>
              <w:jc w:val="both"/>
              <w:rPr>
                <w:spacing w:val="-2"/>
                <w:sz w:val="24"/>
              </w:rPr>
            </w:pPr>
            <w:r w:rsidRPr="00265833">
              <w:rPr>
                <w:sz w:val="24"/>
              </w:rPr>
              <w:t>Pēc šo noteikumu pieņemšanas Ministru kabinetā un saskaņā ar Ministru kabineta 2016.</w:t>
            </w:r>
            <w:r w:rsidR="00CF0718">
              <w:rPr>
                <w:sz w:val="24"/>
              </w:rPr>
              <w:t> </w:t>
            </w:r>
            <w:r w:rsidRPr="00265833">
              <w:rPr>
                <w:sz w:val="24"/>
              </w:rPr>
              <w:t>gada 18.</w:t>
            </w:r>
            <w:r w:rsidR="00CF0718">
              <w:rPr>
                <w:sz w:val="24"/>
              </w:rPr>
              <w:t> </w:t>
            </w:r>
            <w:r w:rsidRPr="00265833">
              <w:rPr>
                <w:sz w:val="24"/>
              </w:rPr>
              <w:t>augusta noteikumu Nr.563 „Minimālās mēneša darba algas noteikšanas un pārskatīšanas kārtība” 10.2.apakšpunktu</w:t>
            </w:r>
            <w:r w:rsidR="00EC589D">
              <w:rPr>
                <w:sz w:val="24"/>
              </w:rPr>
              <w:t xml:space="preserve">, </w:t>
            </w:r>
            <w:r w:rsidRPr="00265833">
              <w:rPr>
                <w:sz w:val="24"/>
              </w:rPr>
              <w:t>atbildīg</w:t>
            </w:r>
            <w:r w:rsidR="00EC589D">
              <w:rPr>
                <w:sz w:val="24"/>
              </w:rPr>
              <w:t>ajām</w:t>
            </w:r>
            <w:r w:rsidRPr="00265833">
              <w:rPr>
                <w:sz w:val="24"/>
              </w:rPr>
              <w:t xml:space="preserve"> ministrijām </w:t>
            </w:r>
            <w:r w:rsidRPr="00265833">
              <w:rPr>
                <w:spacing w:val="-2"/>
                <w:sz w:val="24"/>
              </w:rPr>
              <w:t xml:space="preserve">triju mēnešu laikā </w:t>
            </w:r>
            <w:r w:rsidR="00EC589D">
              <w:rPr>
                <w:spacing w:val="-2"/>
                <w:sz w:val="24"/>
              </w:rPr>
              <w:t>jāi</w:t>
            </w:r>
            <w:r w:rsidRPr="00265833">
              <w:rPr>
                <w:spacing w:val="-2"/>
                <w:sz w:val="24"/>
              </w:rPr>
              <w:t>zstrādā tiesību aktu projekt</w:t>
            </w:r>
            <w:r w:rsidR="00EC589D">
              <w:rPr>
                <w:spacing w:val="-2"/>
                <w:sz w:val="24"/>
              </w:rPr>
              <w:t>i</w:t>
            </w:r>
            <w:r w:rsidRPr="00265833">
              <w:rPr>
                <w:spacing w:val="-2"/>
                <w:sz w:val="24"/>
              </w:rPr>
              <w:t xml:space="preserve"> par grozījumiem Ministru kabineta noteikumos, kas saistīti ar minimālo mēneša darba algu, un, ja nepieciešams – par grozījumiem Ministru kabineta noteikumos saistībā ar mēnešalgas apmēra (skalas) izmaiņām un noteiktā kārtībā </w:t>
            </w:r>
            <w:r w:rsidR="00D70DA5">
              <w:rPr>
                <w:spacing w:val="-2"/>
                <w:sz w:val="24"/>
              </w:rPr>
              <w:t>jā</w:t>
            </w:r>
            <w:r w:rsidRPr="00265833">
              <w:rPr>
                <w:spacing w:val="-2"/>
                <w:sz w:val="24"/>
              </w:rPr>
              <w:t>iesnie</w:t>
            </w:r>
            <w:r w:rsidR="00D70DA5">
              <w:rPr>
                <w:spacing w:val="-2"/>
                <w:sz w:val="24"/>
              </w:rPr>
              <w:t xml:space="preserve">dz </w:t>
            </w:r>
            <w:r w:rsidRPr="00265833">
              <w:rPr>
                <w:spacing w:val="-2"/>
                <w:sz w:val="24"/>
              </w:rPr>
              <w:t>tos izskatīšanai Ministru kabinetā.</w:t>
            </w:r>
          </w:p>
          <w:p w14:paraId="707DF6FC" w14:textId="2D974B23" w:rsidR="00265833" w:rsidRDefault="00265833" w:rsidP="00265833">
            <w:pPr>
              <w:pStyle w:val="Footer"/>
              <w:tabs>
                <w:tab w:val="clear" w:pos="4153"/>
                <w:tab w:val="clear" w:pos="8306"/>
              </w:tabs>
              <w:jc w:val="both"/>
              <w:rPr>
                <w:sz w:val="24"/>
              </w:rPr>
            </w:pPr>
            <w:r w:rsidRPr="00265833">
              <w:rPr>
                <w:spacing w:val="-2"/>
                <w:sz w:val="24"/>
              </w:rPr>
              <w:t>Tādējādi</w:t>
            </w:r>
            <w:r w:rsidR="00E23F38">
              <w:rPr>
                <w:spacing w:val="-2"/>
                <w:sz w:val="24"/>
              </w:rPr>
              <w:t xml:space="preserve"> </w:t>
            </w:r>
            <w:r w:rsidR="00E23F38" w:rsidRPr="00D70DA5">
              <w:rPr>
                <w:b/>
                <w:spacing w:val="-2"/>
                <w:sz w:val="24"/>
              </w:rPr>
              <w:t>Valsts kancelejai</w:t>
            </w:r>
            <w:r w:rsidRPr="00265833">
              <w:rPr>
                <w:spacing w:val="-2"/>
                <w:sz w:val="24"/>
              </w:rPr>
              <w:t xml:space="preserve"> </w:t>
            </w:r>
            <w:r w:rsidRPr="00265833">
              <w:rPr>
                <w:b/>
                <w:sz w:val="24"/>
              </w:rPr>
              <w:t xml:space="preserve">ir jāizstrādā </w:t>
            </w:r>
            <w:r w:rsidR="00DD752D">
              <w:rPr>
                <w:b/>
                <w:sz w:val="24"/>
              </w:rPr>
              <w:t>divu</w:t>
            </w:r>
            <w:r w:rsidRPr="00265833">
              <w:rPr>
                <w:b/>
                <w:sz w:val="24"/>
              </w:rPr>
              <w:t xml:space="preserve"> tiesību aktu projekti</w:t>
            </w:r>
            <w:r w:rsidRPr="00265833">
              <w:rPr>
                <w:sz w:val="24"/>
              </w:rPr>
              <w:t xml:space="preserve"> par nepieciešamajiem grozījumiem </w:t>
            </w:r>
            <w:r w:rsidR="00E23F38">
              <w:rPr>
                <w:sz w:val="24"/>
              </w:rPr>
              <w:t xml:space="preserve">likumā un </w:t>
            </w:r>
            <w:r w:rsidRPr="00265833">
              <w:rPr>
                <w:sz w:val="24"/>
              </w:rPr>
              <w:t>Ministru kabineta noteikumos, kas saistīti ar darba samaksas jautājumiem</w:t>
            </w:r>
            <w:r w:rsidR="00E23F38">
              <w:rPr>
                <w:sz w:val="24"/>
              </w:rPr>
              <w:t xml:space="preserve"> valsts pārvaldē</w:t>
            </w:r>
            <w:r w:rsidRPr="00265833">
              <w:rPr>
                <w:sz w:val="24"/>
              </w:rPr>
              <w:t>:</w:t>
            </w:r>
          </w:p>
          <w:p w14:paraId="2B791E9B" w14:textId="615C252E" w:rsidR="00E23F38" w:rsidRPr="00265833" w:rsidRDefault="00E23F38" w:rsidP="00265833">
            <w:pPr>
              <w:pStyle w:val="Footer"/>
              <w:tabs>
                <w:tab w:val="clear" w:pos="4153"/>
                <w:tab w:val="clear" w:pos="8306"/>
              </w:tabs>
              <w:jc w:val="both"/>
              <w:rPr>
                <w:sz w:val="24"/>
              </w:rPr>
            </w:pPr>
            <w:r>
              <w:rPr>
                <w:sz w:val="24"/>
              </w:rPr>
              <w:t>1) Grozījumi 01.01.2010. likumā “</w:t>
            </w:r>
            <w:r w:rsidRPr="00E23F38">
              <w:rPr>
                <w:sz w:val="24"/>
              </w:rPr>
              <w:t>Valsts un pašvaldību institūciju amatpersonu un darbinieku atlīdzības likums</w:t>
            </w:r>
            <w:r>
              <w:rPr>
                <w:sz w:val="24"/>
              </w:rPr>
              <w:t>”</w:t>
            </w:r>
            <w:r w:rsidR="005D2C01">
              <w:rPr>
                <w:sz w:val="24"/>
              </w:rPr>
              <w:t xml:space="preserve">, paredzot, ka 3. un 4. pielikumā </w:t>
            </w:r>
            <w:r w:rsidR="00740D3A">
              <w:rPr>
                <w:sz w:val="24"/>
              </w:rPr>
              <w:t xml:space="preserve">1. mēnešalgu grupā </w:t>
            </w:r>
            <w:r w:rsidR="005D2C01">
              <w:rPr>
                <w:sz w:val="24"/>
              </w:rPr>
              <w:t xml:space="preserve">zemākais mēnešalgas maksimālais apmērs ir ne </w:t>
            </w:r>
            <w:r w:rsidR="002454F5">
              <w:rPr>
                <w:sz w:val="24"/>
              </w:rPr>
              <w:t>mazāk</w:t>
            </w:r>
            <w:r w:rsidR="005D2C01">
              <w:rPr>
                <w:sz w:val="24"/>
              </w:rPr>
              <w:t xml:space="preserve"> kā 500 </w:t>
            </w:r>
            <w:proofErr w:type="spellStart"/>
            <w:r w:rsidR="005D2C01" w:rsidRPr="005D2C01">
              <w:rPr>
                <w:i/>
                <w:sz w:val="24"/>
              </w:rPr>
              <w:t>euro</w:t>
            </w:r>
            <w:proofErr w:type="spellEnd"/>
            <w:r>
              <w:rPr>
                <w:sz w:val="24"/>
              </w:rPr>
              <w:t>;</w:t>
            </w:r>
          </w:p>
          <w:p w14:paraId="6097D9ED" w14:textId="067DC2B8" w:rsidR="00265833" w:rsidRPr="00103B85" w:rsidRDefault="00E23F38" w:rsidP="00265833">
            <w:pPr>
              <w:pStyle w:val="naiskr"/>
              <w:tabs>
                <w:tab w:val="left" w:pos="2628"/>
              </w:tabs>
              <w:spacing w:before="0" w:after="0"/>
              <w:jc w:val="both"/>
            </w:pPr>
            <w:r>
              <w:rPr>
                <w:iCs/>
              </w:rPr>
              <w:t>2</w:t>
            </w:r>
            <w:r w:rsidR="00265833" w:rsidRPr="00265833">
              <w:rPr>
                <w:iCs/>
              </w:rPr>
              <w:t>) Grozījumi Ministru kabineta 2013.</w:t>
            </w:r>
            <w:r w:rsidR="00CF0718">
              <w:rPr>
                <w:iCs/>
              </w:rPr>
              <w:t> </w:t>
            </w:r>
            <w:r w:rsidR="00265833" w:rsidRPr="00265833">
              <w:rPr>
                <w:iCs/>
              </w:rPr>
              <w:t>gada 29.</w:t>
            </w:r>
            <w:r w:rsidR="00CF0718">
              <w:rPr>
                <w:iCs/>
              </w:rPr>
              <w:t> </w:t>
            </w:r>
            <w:r w:rsidR="00265833" w:rsidRPr="00265833">
              <w:rPr>
                <w:iCs/>
              </w:rPr>
              <w:t>janvāra noteikumos Nr.</w:t>
            </w:r>
            <w:r w:rsidR="00CF0718">
              <w:rPr>
                <w:iCs/>
              </w:rPr>
              <w:t> </w:t>
            </w:r>
            <w:r w:rsidR="00265833" w:rsidRPr="00265833">
              <w:rPr>
                <w:iCs/>
              </w:rPr>
              <w:t>66 „</w:t>
            </w:r>
            <w:r w:rsidR="00265833" w:rsidRPr="00265833">
              <w:t>Noteikumi par valsts un pašvaldību institūciju amatpersonu un darbinieku darba samaksu un tās noteikšanas kārtību</w:t>
            </w:r>
            <w:r w:rsidR="00265833" w:rsidRPr="00265833">
              <w:rPr>
                <w:bCs/>
              </w:rPr>
              <w:t>”</w:t>
            </w:r>
            <w:r w:rsidR="00103B85">
              <w:rPr>
                <w:bCs/>
              </w:rPr>
              <w:t xml:space="preserve">, paredzot, ka 2. un 3. pielikumā mēnešalgu grupas skalā </w:t>
            </w:r>
            <w:r w:rsidR="00103B85" w:rsidRPr="00103B85">
              <w:t xml:space="preserve">amatpersonām un darbiniekiem </w:t>
            </w:r>
            <w:r w:rsidR="00103B85">
              <w:t xml:space="preserve">zemākā </w:t>
            </w:r>
            <w:r w:rsidR="00103B85" w:rsidRPr="00103B85">
              <w:t xml:space="preserve">mēnešalga ministrijās, Valsts kancelejā, </w:t>
            </w:r>
            <w:proofErr w:type="spellStart"/>
            <w:r w:rsidR="00103B85" w:rsidRPr="00103B85">
              <w:t>Pārresoru</w:t>
            </w:r>
            <w:proofErr w:type="spellEnd"/>
            <w:r w:rsidR="00103B85" w:rsidRPr="00103B85">
              <w:t xml:space="preserve"> koordinācijas centrā un Korupcijas novēršanas un apkarošanas birojā un amatpersonām un darbiniekiem </w:t>
            </w:r>
            <w:r w:rsidR="00103B85">
              <w:t xml:space="preserve">zemākā </w:t>
            </w:r>
            <w:r w:rsidR="00103B85" w:rsidRPr="00103B85">
              <w:t xml:space="preserve">mēnešalga ministriju padotībā esošajās iestādēs ir ne mazāka par 500 </w:t>
            </w:r>
            <w:proofErr w:type="spellStart"/>
            <w:r w:rsidR="00103B85" w:rsidRPr="00103B85">
              <w:rPr>
                <w:i/>
              </w:rPr>
              <w:t>euro</w:t>
            </w:r>
            <w:proofErr w:type="spellEnd"/>
            <w:r w:rsidR="00103B85">
              <w:t xml:space="preserve"> </w:t>
            </w:r>
            <w:r w:rsidR="00103B85" w:rsidRPr="00265833">
              <w:lastRenderedPageBreak/>
              <w:t>(kā arī mēnešalgu skalu izlīdzināšan</w:t>
            </w:r>
            <w:r w:rsidR="00103B85">
              <w:t>u</w:t>
            </w:r>
            <w:r w:rsidR="00103B85" w:rsidRPr="00265833">
              <w:t>)</w:t>
            </w:r>
            <w:r w:rsidR="00103B85" w:rsidRPr="00103B85">
              <w:t xml:space="preserve"> sadalījumā par 3</w:t>
            </w:r>
            <w:r w:rsidR="00103B85">
              <w:t> </w:t>
            </w:r>
            <w:r w:rsidR="00103B85" w:rsidRPr="00103B85">
              <w:t>kategorijām</w:t>
            </w:r>
            <w:r w:rsidRPr="00103B85">
              <w:t>,</w:t>
            </w:r>
          </w:p>
          <w:p w14:paraId="3C904D16" w14:textId="567C80ED" w:rsidR="005D7681" w:rsidRPr="00265833" w:rsidRDefault="00265833" w:rsidP="00265833">
            <w:pPr>
              <w:pStyle w:val="Footer"/>
              <w:tabs>
                <w:tab w:val="clear" w:pos="4153"/>
                <w:tab w:val="clear" w:pos="8306"/>
              </w:tabs>
              <w:jc w:val="both"/>
              <w:rPr>
                <w:iCs/>
                <w:sz w:val="24"/>
              </w:rPr>
            </w:pPr>
            <w:r w:rsidRPr="00265833">
              <w:rPr>
                <w:b/>
                <w:sz w:val="24"/>
              </w:rPr>
              <w:t>lai tie stātos spēkā ar 20</w:t>
            </w:r>
            <w:r w:rsidR="00DD752D">
              <w:rPr>
                <w:b/>
                <w:sz w:val="24"/>
              </w:rPr>
              <w:t>21</w:t>
            </w:r>
            <w:r w:rsidRPr="00265833">
              <w:rPr>
                <w:b/>
                <w:sz w:val="24"/>
              </w:rPr>
              <w:t>.</w:t>
            </w:r>
            <w:r w:rsidR="00CF0718">
              <w:rPr>
                <w:b/>
                <w:sz w:val="24"/>
              </w:rPr>
              <w:t> </w:t>
            </w:r>
            <w:r w:rsidRPr="00265833">
              <w:rPr>
                <w:b/>
                <w:sz w:val="24"/>
              </w:rPr>
              <w:t>gada 1.</w:t>
            </w:r>
            <w:r w:rsidR="00CF0718">
              <w:rPr>
                <w:b/>
                <w:sz w:val="24"/>
              </w:rPr>
              <w:t> </w:t>
            </w:r>
            <w:r w:rsidRPr="00265833">
              <w:rPr>
                <w:b/>
                <w:sz w:val="24"/>
              </w:rPr>
              <w:t>janvāri.</w:t>
            </w:r>
          </w:p>
        </w:tc>
      </w:tr>
      <w:tr w:rsidR="005D7681" w:rsidRPr="00695C94" w14:paraId="16CC938B" w14:textId="77777777" w:rsidTr="00AC1F7D">
        <w:tc>
          <w:tcPr>
            <w:tcW w:w="832" w:type="dxa"/>
            <w:shd w:val="clear" w:color="auto" w:fill="auto"/>
          </w:tcPr>
          <w:p w14:paraId="5FB61727" w14:textId="77777777" w:rsidR="005D7681" w:rsidRPr="00695C94" w:rsidRDefault="00293B08" w:rsidP="00293B08">
            <w:pPr>
              <w:jc w:val="center"/>
              <w:rPr>
                <w:sz w:val="24"/>
              </w:rPr>
            </w:pPr>
            <w:r>
              <w:rPr>
                <w:sz w:val="24"/>
              </w:rPr>
              <w:lastRenderedPageBreak/>
              <w:t>2.</w:t>
            </w:r>
          </w:p>
        </w:tc>
        <w:tc>
          <w:tcPr>
            <w:tcW w:w="2032" w:type="dxa"/>
            <w:shd w:val="clear" w:color="auto" w:fill="auto"/>
          </w:tcPr>
          <w:p w14:paraId="67A3110D" w14:textId="77777777" w:rsidR="005D7681" w:rsidRPr="00E17337" w:rsidRDefault="005D7681" w:rsidP="00342C2B">
            <w:pPr>
              <w:rPr>
                <w:sz w:val="24"/>
              </w:rPr>
            </w:pPr>
            <w:r w:rsidRPr="00E17337">
              <w:rPr>
                <w:sz w:val="24"/>
              </w:rPr>
              <w:t>Atbildīgā institūcija</w:t>
            </w:r>
          </w:p>
        </w:tc>
        <w:tc>
          <w:tcPr>
            <w:tcW w:w="6231" w:type="dxa"/>
            <w:shd w:val="clear" w:color="auto" w:fill="auto"/>
          </w:tcPr>
          <w:p w14:paraId="75D21069" w14:textId="3BF9A95C" w:rsidR="005D7681" w:rsidRPr="00E23F38" w:rsidRDefault="00E23F38" w:rsidP="002D3627">
            <w:pPr>
              <w:jc w:val="both"/>
              <w:rPr>
                <w:sz w:val="24"/>
              </w:rPr>
            </w:pPr>
            <w:r>
              <w:rPr>
                <w:sz w:val="24"/>
              </w:rPr>
              <w:t xml:space="preserve">Valsts kanceleja saskaņā ar </w:t>
            </w:r>
            <w:r w:rsidRPr="009D3481">
              <w:rPr>
                <w:bCs/>
                <w:sz w:val="24"/>
              </w:rPr>
              <w:t>M</w:t>
            </w:r>
            <w:r>
              <w:rPr>
                <w:bCs/>
                <w:sz w:val="24"/>
              </w:rPr>
              <w:t>inistru kabineta</w:t>
            </w:r>
            <w:r w:rsidRPr="009D3481">
              <w:rPr>
                <w:bCs/>
                <w:sz w:val="24"/>
              </w:rPr>
              <w:t xml:space="preserve"> 2018.</w:t>
            </w:r>
            <w:r w:rsidR="009661C7">
              <w:rPr>
                <w:bCs/>
                <w:sz w:val="24"/>
              </w:rPr>
              <w:t> </w:t>
            </w:r>
            <w:r w:rsidRPr="009D3481">
              <w:rPr>
                <w:bCs/>
                <w:sz w:val="24"/>
              </w:rPr>
              <w:t>gada 15.</w:t>
            </w:r>
            <w:r w:rsidR="009661C7">
              <w:rPr>
                <w:bCs/>
                <w:sz w:val="24"/>
              </w:rPr>
              <w:t> </w:t>
            </w:r>
            <w:r w:rsidRPr="009D3481">
              <w:rPr>
                <w:bCs/>
                <w:sz w:val="24"/>
              </w:rPr>
              <w:t>maija noteikumi</w:t>
            </w:r>
            <w:r>
              <w:rPr>
                <w:bCs/>
                <w:sz w:val="24"/>
              </w:rPr>
              <w:t>em</w:t>
            </w:r>
            <w:r w:rsidRPr="009D3481">
              <w:rPr>
                <w:bCs/>
                <w:sz w:val="24"/>
              </w:rPr>
              <w:t xml:space="preserve"> Nr.</w:t>
            </w:r>
            <w:r w:rsidR="009661C7">
              <w:rPr>
                <w:bCs/>
                <w:sz w:val="24"/>
              </w:rPr>
              <w:t> </w:t>
            </w:r>
            <w:r w:rsidRPr="009D3481">
              <w:rPr>
                <w:bCs/>
                <w:sz w:val="24"/>
              </w:rPr>
              <w:t>285 “Grozījumi Ministru kabineta 2003.</w:t>
            </w:r>
            <w:r w:rsidR="009661C7">
              <w:rPr>
                <w:bCs/>
                <w:sz w:val="24"/>
              </w:rPr>
              <w:t> </w:t>
            </w:r>
            <w:r w:rsidRPr="009D3481">
              <w:rPr>
                <w:bCs/>
                <w:sz w:val="24"/>
              </w:rPr>
              <w:t>gada 20.</w:t>
            </w:r>
            <w:r w:rsidR="009661C7">
              <w:rPr>
                <w:bCs/>
                <w:sz w:val="24"/>
              </w:rPr>
              <w:t> </w:t>
            </w:r>
            <w:r w:rsidRPr="009D3481">
              <w:rPr>
                <w:bCs/>
                <w:sz w:val="24"/>
              </w:rPr>
              <w:t>maija noteikumos Nr.</w:t>
            </w:r>
            <w:r w:rsidR="009661C7">
              <w:rPr>
                <w:bCs/>
                <w:sz w:val="24"/>
              </w:rPr>
              <w:t> </w:t>
            </w:r>
            <w:r w:rsidRPr="009D3481">
              <w:rPr>
                <w:bCs/>
                <w:sz w:val="24"/>
              </w:rPr>
              <w:t>263 Valsts kancelejas nolikums“</w:t>
            </w:r>
            <w:r>
              <w:rPr>
                <w:bCs/>
                <w:sz w:val="24"/>
              </w:rPr>
              <w:t>.</w:t>
            </w:r>
          </w:p>
        </w:tc>
      </w:tr>
      <w:tr w:rsidR="005D7681" w:rsidRPr="00695C94" w14:paraId="1907C5FD" w14:textId="77777777" w:rsidTr="00AC1F7D">
        <w:trPr>
          <w:trHeight w:val="535"/>
        </w:trPr>
        <w:tc>
          <w:tcPr>
            <w:tcW w:w="832" w:type="dxa"/>
            <w:shd w:val="clear" w:color="auto" w:fill="auto"/>
            <w:vAlign w:val="center"/>
          </w:tcPr>
          <w:p w14:paraId="4144F7AA" w14:textId="77777777" w:rsidR="005D7681" w:rsidRPr="00695C94" w:rsidRDefault="005D7681" w:rsidP="00293B08">
            <w:pPr>
              <w:jc w:val="center"/>
              <w:rPr>
                <w:sz w:val="24"/>
              </w:rPr>
            </w:pPr>
            <w:r>
              <w:rPr>
                <w:sz w:val="24"/>
              </w:rPr>
              <w:t>3.</w:t>
            </w:r>
          </w:p>
        </w:tc>
        <w:tc>
          <w:tcPr>
            <w:tcW w:w="2032" w:type="dxa"/>
            <w:shd w:val="clear" w:color="auto" w:fill="auto"/>
            <w:vAlign w:val="center"/>
          </w:tcPr>
          <w:p w14:paraId="0DDE0921" w14:textId="77777777" w:rsidR="005D7681" w:rsidRPr="00695C94" w:rsidRDefault="005D7681" w:rsidP="00CC5565">
            <w:pPr>
              <w:rPr>
                <w:sz w:val="24"/>
              </w:rPr>
            </w:pPr>
            <w:r w:rsidRPr="00695C94">
              <w:rPr>
                <w:sz w:val="24"/>
              </w:rPr>
              <w:t>Cita informācija</w:t>
            </w:r>
          </w:p>
        </w:tc>
        <w:tc>
          <w:tcPr>
            <w:tcW w:w="6231" w:type="dxa"/>
            <w:shd w:val="clear" w:color="auto" w:fill="auto"/>
            <w:vAlign w:val="center"/>
          </w:tcPr>
          <w:p w14:paraId="1A10FEB3" w14:textId="77777777" w:rsidR="005D7681" w:rsidRPr="00695C94" w:rsidRDefault="005D7681" w:rsidP="00CC5565">
            <w:pPr>
              <w:rPr>
                <w:sz w:val="24"/>
              </w:rPr>
            </w:pPr>
            <w:r w:rsidRPr="00695C94">
              <w:rPr>
                <w:sz w:val="24"/>
              </w:rPr>
              <w:t>Nav.</w:t>
            </w:r>
          </w:p>
        </w:tc>
      </w:tr>
    </w:tbl>
    <w:p w14:paraId="29D5D850" w14:textId="77777777" w:rsidR="00834BAF" w:rsidRPr="00EE1BB2" w:rsidRDefault="00834BAF" w:rsidP="00BD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239"/>
        <w:gridCol w:w="6021"/>
      </w:tblGrid>
      <w:tr w:rsidR="00032E7D" w:rsidRPr="00EE1BB2" w14:paraId="5AF0F9E9" w14:textId="77777777" w:rsidTr="00695C94">
        <w:tc>
          <w:tcPr>
            <w:tcW w:w="9287" w:type="dxa"/>
            <w:gridSpan w:val="3"/>
            <w:shd w:val="clear" w:color="auto" w:fill="auto"/>
          </w:tcPr>
          <w:p w14:paraId="667CC07A" w14:textId="44EB4188" w:rsidR="00032E7D" w:rsidRPr="00695C94" w:rsidRDefault="00032E7D" w:rsidP="00695C94">
            <w:pPr>
              <w:jc w:val="center"/>
              <w:rPr>
                <w:b/>
                <w:sz w:val="24"/>
              </w:rPr>
            </w:pPr>
            <w:r w:rsidRPr="00695C94">
              <w:rPr>
                <w:b/>
                <w:sz w:val="24"/>
              </w:rPr>
              <w:t>V</w:t>
            </w:r>
            <w:r w:rsidR="00CF0718">
              <w:rPr>
                <w:b/>
                <w:sz w:val="24"/>
              </w:rPr>
              <w:t>.</w:t>
            </w:r>
            <w:r w:rsidRPr="00695C94">
              <w:rPr>
                <w:b/>
                <w:sz w:val="24"/>
              </w:rPr>
              <w:t xml:space="preserve"> Tiesību akta projekta atbilstība Latvijas Republikas starptautiskajām saistībām</w:t>
            </w:r>
          </w:p>
        </w:tc>
      </w:tr>
      <w:tr w:rsidR="00032E7D" w:rsidRPr="00EE1BB2" w14:paraId="30C62125" w14:textId="77777777" w:rsidTr="00FB6A44">
        <w:tc>
          <w:tcPr>
            <w:tcW w:w="817" w:type="dxa"/>
            <w:shd w:val="clear" w:color="auto" w:fill="auto"/>
          </w:tcPr>
          <w:p w14:paraId="69B04791" w14:textId="77777777" w:rsidR="00032E7D" w:rsidRPr="00880901" w:rsidRDefault="00032E7D" w:rsidP="00293B08">
            <w:pPr>
              <w:jc w:val="center"/>
              <w:rPr>
                <w:sz w:val="24"/>
              </w:rPr>
            </w:pPr>
            <w:r w:rsidRPr="00880901">
              <w:rPr>
                <w:sz w:val="24"/>
              </w:rPr>
              <w:t>1.</w:t>
            </w:r>
          </w:p>
        </w:tc>
        <w:tc>
          <w:tcPr>
            <w:tcW w:w="2268" w:type="dxa"/>
            <w:shd w:val="clear" w:color="auto" w:fill="auto"/>
          </w:tcPr>
          <w:p w14:paraId="2AB68368" w14:textId="77777777" w:rsidR="00032E7D" w:rsidRPr="00880901" w:rsidRDefault="00032E7D" w:rsidP="00695C94">
            <w:pPr>
              <w:tabs>
                <w:tab w:val="left" w:pos="2628"/>
              </w:tabs>
              <w:rPr>
                <w:iCs/>
                <w:sz w:val="24"/>
              </w:rPr>
            </w:pPr>
            <w:r w:rsidRPr="00880901">
              <w:rPr>
                <w:sz w:val="24"/>
              </w:rPr>
              <w:t>Saistības pret Eiropas Savienību</w:t>
            </w:r>
          </w:p>
        </w:tc>
        <w:tc>
          <w:tcPr>
            <w:tcW w:w="6202" w:type="dxa"/>
            <w:shd w:val="clear" w:color="auto" w:fill="auto"/>
            <w:vAlign w:val="center"/>
          </w:tcPr>
          <w:p w14:paraId="36DBFEAE" w14:textId="77777777" w:rsidR="00FC198B" w:rsidRPr="00880901" w:rsidRDefault="00FC198B" w:rsidP="00FB6A44">
            <w:pPr>
              <w:pStyle w:val="naiskr"/>
              <w:tabs>
                <w:tab w:val="left" w:pos="2628"/>
              </w:tabs>
              <w:spacing w:before="0" w:after="0"/>
              <w:rPr>
                <w:iCs/>
              </w:rPr>
            </w:pPr>
            <w:r w:rsidRPr="00880901">
              <w:t>Nav.</w:t>
            </w:r>
          </w:p>
        </w:tc>
      </w:tr>
      <w:tr w:rsidR="00032E7D" w:rsidRPr="00EE1BB2" w14:paraId="7AB44D66" w14:textId="77777777" w:rsidTr="00BC420F">
        <w:tc>
          <w:tcPr>
            <w:tcW w:w="817" w:type="dxa"/>
            <w:shd w:val="clear" w:color="auto" w:fill="auto"/>
          </w:tcPr>
          <w:p w14:paraId="3BF24A4E" w14:textId="77777777" w:rsidR="00032E7D" w:rsidRPr="00880901" w:rsidRDefault="00032E7D" w:rsidP="00293B08">
            <w:pPr>
              <w:jc w:val="center"/>
              <w:rPr>
                <w:sz w:val="24"/>
              </w:rPr>
            </w:pPr>
            <w:r w:rsidRPr="00880901">
              <w:rPr>
                <w:sz w:val="24"/>
              </w:rPr>
              <w:t>2.</w:t>
            </w:r>
          </w:p>
        </w:tc>
        <w:tc>
          <w:tcPr>
            <w:tcW w:w="2268" w:type="dxa"/>
            <w:shd w:val="clear" w:color="auto" w:fill="auto"/>
          </w:tcPr>
          <w:p w14:paraId="59195F36" w14:textId="77777777" w:rsidR="00032E7D" w:rsidRPr="00880901" w:rsidRDefault="00032E7D" w:rsidP="00695C94">
            <w:pPr>
              <w:tabs>
                <w:tab w:val="left" w:pos="2628"/>
              </w:tabs>
              <w:rPr>
                <w:iCs/>
                <w:sz w:val="24"/>
              </w:rPr>
            </w:pPr>
            <w:r w:rsidRPr="00880901">
              <w:rPr>
                <w:sz w:val="24"/>
              </w:rPr>
              <w:t>Citas starptautiskās saistības</w:t>
            </w:r>
          </w:p>
        </w:tc>
        <w:tc>
          <w:tcPr>
            <w:tcW w:w="6202" w:type="dxa"/>
            <w:shd w:val="clear" w:color="auto" w:fill="auto"/>
          </w:tcPr>
          <w:p w14:paraId="20A52620" w14:textId="7A5F499D" w:rsidR="00FC198B" w:rsidRPr="00880901" w:rsidRDefault="00FC198B" w:rsidP="00EC7C50">
            <w:pPr>
              <w:pStyle w:val="naiskr"/>
              <w:tabs>
                <w:tab w:val="left" w:pos="2628"/>
              </w:tabs>
              <w:spacing w:before="0" w:after="0"/>
              <w:jc w:val="both"/>
              <w:rPr>
                <w:i/>
                <w:iCs/>
              </w:rPr>
            </w:pPr>
            <w:r w:rsidRPr="00880901">
              <w:t xml:space="preserve">Latvija </w:t>
            </w:r>
            <w:r w:rsidR="00EC7C50" w:rsidRPr="00880901">
              <w:t>ratificē</w:t>
            </w:r>
            <w:r w:rsidR="00EC7C50">
              <w:t>ja</w:t>
            </w:r>
            <w:r w:rsidR="00EC7C50" w:rsidRPr="00880901">
              <w:t xml:space="preserve"> Starptautiskās </w:t>
            </w:r>
            <w:r w:rsidR="00EC7C50">
              <w:t>D</w:t>
            </w:r>
            <w:r w:rsidR="00EC7C50" w:rsidRPr="00880901">
              <w:t>arba organizācijas 1970.</w:t>
            </w:r>
            <w:r w:rsidR="00D40EC5">
              <w:t> </w:t>
            </w:r>
            <w:r w:rsidR="00EC7C50" w:rsidRPr="00880901">
              <w:t>gada konvencij</w:t>
            </w:r>
            <w:r w:rsidR="00EC7C50">
              <w:t>u</w:t>
            </w:r>
            <w:r w:rsidR="00EC7C50" w:rsidRPr="00880901">
              <w:t xml:space="preserve"> Nr.</w:t>
            </w:r>
            <w:r w:rsidR="00D40EC5">
              <w:t> </w:t>
            </w:r>
            <w:r w:rsidR="00EC7C50" w:rsidRPr="00880901">
              <w:t>131 „Par minimālās darba algas noteikšanu” ar Augstākās Padomes 1993.</w:t>
            </w:r>
            <w:r w:rsidR="00D40EC5">
              <w:t> </w:t>
            </w:r>
            <w:r w:rsidR="00EC7C50" w:rsidRPr="00880901">
              <w:t>gada 12.</w:t>
            </w:r>
            <w:r w:rsidR="00D40EC5">
              <w:t> </w:t>
            </w:r>
            <w:r w:rsidR="00EC7C50" w:rsidRPr="00880901">
              <w:t>janvāra lēmumu „Par Starptautiskās darba organizācijas konvenciju ratifikāciju”</w:t>
            </w:r>
            <w:r w:rsidR="00EC7C50">
              <w:t>.</w:t>
            </w:r>
          </w:p>
        </w:tc>
      </w:tr>
      <w:tr w:rsidR="00032E7D" w:rsidRPr="00EE1BB2" w14:paraId="6FDFC80D" w14:textId="77777777" w:rsidTr="00FB6A44">
        <w:trPr>
          <w:trHeight w:val="419"/>
        </w:trPr>
        <w:tc>
          <w:tcPr>
            <w:tcW w:w="817" w:type="dxa"/>
            <w:shd w:val="clear" w:color="auto" w:fill="auto"/>
            <w:vAlign w:val="center"/>
          </w:tcPr>
          <w:p w14:paraId="720A2F99" w14:textId="77777777" w:rsidR="00032E7D" w:rsidRPr="00880901" w:rsidRDefault="00032E7D" w:rsidP="00293B08">
            <w:pPr>
              <w:jc w:val="center"/>
              <w:rPr>
                <w:sz w:val="24"/>
              </w:rPr>
            </w:pPr>
            <w:r w:rsidRPr="00880901">
              <w:rPr>
                <w:sz w:val="24"/>
              </w:rPr>
              <w:t>3.</w:t>
            </w:r>
          </w:p>
        </w:tc>
        <w:tc>
          <w:tcPr>
            <w:tcW w:w="2268" w:type="dxa"/>
            <w:shd w:val="clear" w:color="auto" w:fill="auto"/>
            <w:vAlign w:val="center"/>
          </w:tcPr>
          <w:p w14:paraId="0BD0F001" w14:textId="77777777" w:rsidR="00032E7D" w:rsidRPr="00880901" w:rsidRDefault="00032E7D" w:rsidP="00FB6A44">
            <w:pPr>
              <w:tabs>
                <w:tab w:val="left" w:pos="2628"/>
              </w:tabs>
              <w:rPr>
                <w:sz w:val="24"/>
              </w:rPr>
            </w:pPr>
            <w:r w:rsidRPr="00880901">
              <w:rPr>
                <w:sz w:val="24"/>
              </w:rPr>
              <w:t>Cita informācija</w:t>
            </w:r>
          </w:p>
        </w:tc>
        <w:tc>
          <w:tcPr>
            <w:tcW w:w="6202" w:type="dxa"/>
            <w:shd w:val="clear" w:color="auto" w:fill="auto"/>
            <w:vAlign w:val="center"/>
          </w:tcPr>
          <w:p w14:paraId="69940DBC" w14:textId="77777777" w:rsidR="00FC198B" w:rsidRPr="00880901" w:rsidRDefault="00FC198B" w:rsidP="00FB6A44">
            <w:pPr>
              <w:pStyle w:val="naiskr"/>
              <w:tabs>
                <w:tab w:val="left" w:pos="2628"/>
              </w:tabs>
              <w:spacing w:before="0" w:after="0"/>
              <w:rPr>
                <w:i/>
                <w:iCs/>
              </w:rPr>
            </w:pPr>
            <w:r w:rsidRPr="00880901">
              <w:t>Nav.</w:t>
            </w:r>
          </w:p>
        </w:tc>
      </w:tr>
    </w:tbl>
    <w:p w14:paraId="788154F0" w14:textId="77777777" w:rsidR="002166C4" w:rsidRDefault="002166C4"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D0CCF" w14:paraId="25C3705E" w14:textId="77777777" w:rsidTr="00695C94">
        <w:tc>
          <w:tcPr>
            <w:tcW w:w="9287" w:type="dxa"/>
            <w:shd w:val="clear" w:color="auto" w:fill="auto"/>
          </w:tcPr>
          <w:p w14:paraId="0934775D" w14:textId="77777777" w:rsidR="00ED0CCF" w:rsidRPr="00607C11" w:rsidRDefault="00ED0CCF" w:rsidP="00695C94">
            <w:pPr>
              <w:pStyle w:val="naisnod"/>
              <w:spacing w:before="0" w:after="0"/>
            </w:pPr>
            <w:r w:rsidRPr="00607C11">
              <w:t>1.tabula</w:t>
            </w:r>
          </w:p>
          <w:p w14:paraId="3CD3D5F2" w14:textId="77777777" w:rsidR="00ED0CCF" w:rsidRDefault="00ED0CCF" w:rsidP="00695C94">
            <w:pPr>
              <w:jc w:val="center"/>
            </w:pPr>
            <w:r w:rsidRPr="00695C94">
              <w:rPr>
                <w:b/>
                <w:sz w:val="24"/>
              </w:rPr>
              <w:t>Tiesību akta projekta atbilstība ES tiesību aktiem</w:t>
            </w:r>
          </w:p>
        </w:tc>
      </w:tr>
      <w:tr w:rsidR="00ED0CCF" w:rsidRPr="00695C94" w14:paraId="59DC5670" w14:textId="77777777" w:rsidTr="00695C94">
        <w:tc>
          <w:tcPr>
            <w:tcW w:w="9287" w:type="dxa"/>
            <w:shd w:val="clear" w:color="auto" w:fill="auto"/>
          </w:tcPr>
          <w:p w14:paraId="55BA9C9D" w14:textId="77777777" w:rsidR="00ED0CCF" w:rsidRPr="00695C94" w:rsidRDefault="00ED0CCF" w:rsidP="00695C94">
            <w:pPr>
              <w:jc w:val="center"/>
              <w:rPr>
                <w:sz w:val="24"/>
              </w:rPr>
            </w:pPr>
            <w:r w:rsidRPr="00695C94">
              <w:rPr>
                <w:sz w:val="24"/>
              </w:rPr>
              <w:t>Nav attiecināms.</w:t>
            </w:r>
          </w:p>
          <w:p w14:paraId="73172466" w14:textId="77777777" w:rsidR="00ED0CCF" w:rsidRPr="00607C11" w:rsidRDefault="00ED0CCF" w:rsidP="00695C94">
            <w:pPr>
              <w:pStyle w:val="naisnod"/>
              <w:spacing w:before="0" w:after="0"/>
            </w:pPr>
          </w:p>
        </w:tc>
      </w:tr>
    </w:tbl>
    <w:p w14:paraId="74ECEA6A" w14:textId="77777777" w:rsidR="00BD6C2C" w:rsidRPr="00EE1BB2" w:rsidRDefault="00BD6C2C"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016"/>
        <w:gridCol w:w="3016"/>
      </w:tblGrid>
      <w:tr w:rsidR="00032E7D" w:rsidRPr="00EE1BB2" w14:paraId="27E9CE67" w14:textId="77777777" w:rsidTr="00695C94">
        <w:tc>
          <w:tcPr>
            <w:tcW w:w="9287" w:type="dxa"/>
            <w:gridSpan w:val="3"/>
            <w:shd w:val="clear" w:color="auto" w:fill="auto"/>
          </w:tcPr>
          <w:p w14:paraId="3FE9DBA5" w14:textId="77777777" w:rsidR="00032E7D" w:rsidRPr="00EE1BB2" w:rsidRDefault="00FC198B" w:rsidP="00695C94">
            <w:pPr>
              <w:pStyle w:val="naisnod"/>
              <w:spacing w:before="0" w:after="0"/>
            </w:pPr>
            <w:r>
              <w:t>2.tabula</w:t>
            </w:r>
          </w:p>
          <w:p w14:paraId="099C1B97" w14:textId="77777777" w:rsidR="00032E7D" w:rsidRPr="00EE1BB2" w:rsidRDefault="00032E7D" w:rsidP="00695C94">
            <w:pPr>
              <w:pStyle w:val="naisnod"/>
              <w:spacing w:before="0" w:after="0"/>
            </w:pPr>
            <w:r w:rsidRPr="00EE1BB2">
              <w:t>Ar tiesību akta projektu uzņemtās saistības, kas izriet no starptautiskajiem tiesību aktiem vai starptautiskas institūcijas vai organizācijas dokumentiem</w:t>
            </w:r>
          </w:p>
          <w:p w14:paraId="44DB30BE" w14:textId="77777777" w:rsidR="00032E7D" w:rsidRPr="00695C94" w:rsidRDefault="00032E7D" w:rsidP="00695C94">
            <w:pPr>
              <w:jc w:val="center"/>
              <w:rPr>
                <w:b/>
                <w:sz w:val="24"/>
              </w:rPr>
            </w:pPr>
            <w:r w:rsidRPr="00695C94">
              <w:rPr>
                <w:b/>
                <w:sz w:val="24"/>
              </w:rPr>
              <w:t>Pasākumi šo saistību izpildei</w:t>
            </w:r>
          </w:p>
        </w:tc>
      </w:tr>
      <w:tr w:rsidR="00032E7D" w:rsidRPr="00EE1BB2" w14:paraId="4274DEF3" w14:textId="77777777" w:rsidTr="00695C94">
        <w:tc>
          <w:tcPr>
            <w:tcW w:w="3095" w:type="dxa"/>
            <w:shd w:val="clear" w:color="auto" w:fill="auto"/>
          </w:tcPr>
          <w:p w14:paraId="4FA0160A" w14:textId="77777777" w:rsidR="00032E7D" w:rsidRPr="00DB19A5" w:rsidRDefault="00032E7D" w:rsidP="00D6423D">
            <w:pPr>
              <w:rPr>
                <w:sz w:val="24"/>
              </w:rPr>
            </w:pPr>
            <w:r w:rsidRPr="00DB19A5">
              <w:rPr>
                <w:sz w:val="24"/>
              </w:rPr>
              <w:t>Attiecīgā starptautiskā tiesību akta vai starptautiskas institūcijas vai organizācijas dokumenta (turpmāk – starptautiskais dokuments) datums, numurs un nosaukums</w:t>
            </w:r>
          </w:p>
        </w:tc>
        <w:tc>
          <w:tcPr>
            <w:tcW w:w="6192" w:type="dxa"/>
            <w:gridSpan w:val="2"/>
            <w:shd w:val="clear" w:color="auto" w:fill="auto"/>
          </w:tcPr>
          <w:p w14:paraId="3209F125" w14:textId="2D6639EB" w:rsidR="00032E7D" w:rsidRPr="00695C94" w:rsidRDefault="00FC198B" w:rsidP="0022018D">
            <w:pPr>
              <w:tabs>
                <w:tab w:val="left" w:pos="325"/>
              </w:tabs>
              <w:jc w:val="both"/>
              <w:rPr>
                <w:i/>
                <w:sz w:val="24"/>
              </w:rPr>
            </w:pPr>
            <w:r w:rsidRPr="00695C94">
              <w:rPr>
                <w:sz w:val="24"/>
              </w:rPr>
              <w:t xml:space="preserve">Starptautiskās </w:t>
            </w:r>
            <w:r w:rsidR="0044132E">
              <w:rPr>
                <w:sz w:val="24"/>
              </w:rPr>
              <w:t>D</w:t>
            </w:r>
            <w:r w:rsidRPr="00695C94">
              <w:rPr>
                <w:sz w:val="24"/>
              </w:rPr>
              <w:t>arba organizācijas 1970.</w:t>
            </w:r>
            <w:r w:rsidR="00D40EC5">
              <w:rPr>
                <w:sz w:val="24"/>
              </w:rPr>
              <w:t> </w:t>
            </w:r>
            <w:r w:rsidRPr="00695C94">
              <w:rPr>
                <w:sz w:val="24"/>
              </w:rPr>
              <w:t xml:space="preserve">gada </w:t>
            </w:r>
            <w:r w:rsidR="003D3824">
              <w:rPr>
                <w:sz w:val="24"/>
              </w:rPr>
              <w:t>22.</w:t>
            </w:r>
            <w:r w:rsidR="00D40EC5">
              <w:rPr>
                <w:sz w:val="24"/>
              </w:rPr>
              <w:t> </w:t>
            </w:r>
            <w:r w:rsidR="003D3824">
              <w:rPr>
                <w:sz w:val="24"/>
              </w:rPr>
              <w:t xml:space="preserve">jūnija </w:t>
            </w:r>
            <w:r w:rsidRPr="00695C94">
              <w:rPr>
                <w:sz w:val="24"/>
              </w:rPr>
              <w:t>konvencija Nr.</w:t>
            </w:r>
            <w:r w:rsidR="00D40EC5">
              <w:rPr>
                <w:sz w:val="24"/>
              </w:rPr>
              <w:t> </w:t>
            </w:r>
            <w:r w:rsidRPr="00695C94">
              <w:rPr>
                <w:sz w:val="24"/>
              </w:rPr>
              <w:t xml:space="preserve">131 </w:t>
            </w:r>
            <w:r w:rsidR="00EC7C50" w:rsidRPr="00EC7C50">
              <w:rPr>
                <w:sz w:val="24"/>
              </w:rPr>
              <w:t>„</w:t>
            </w:r>
            <w:r w:rsidRPr="00695C94">
              <w:rPr>
                <w:sz w:val="24"/>
              </w:rPr>
              <w:t>Par minimālās algas noteikšanu”</w:t>
            </w:r>
            <w:r w:rsidR="00EC7C50">
              <w:rPr>
                <w:sz w:val="24"/>
              </w:rPr>
              <w:t>.</w:t>
            </w:r>
          </w:p>
        </w:tc>
      </w:tr>
      <w:tr w:rsidR="00032E7D" w:rsidRPr="00EE1BB2" w14:paraId="6E300647" w14:textId="77777777" w:rsidTr="00695C94">
        <w:tc>
          <w:tcPr>
            <w:tcW w:w="3095" w:type="dxa"/>
            <w:shd w:val="clear" w:color="auto" w:fill="auto"/>
          </w:tcPr>
          <w:p w14:paraId="1899E732" w14:textId="77777777" w:rsidR="00032E7D" w:rsidRPr="00EE1BB2" w:rsidRDefault="00032E7D" w:rsidP="00695C94">
            <w:pPr>
              <w:jc w:val="center"/>
            </w:pPr>
            <w:r w:rsidRPr="00EE1BB2">
              <w:t>A</w:t>
            </w:r>
          </w:p>
        </w:tc>
        <w:tc>
          <w:tcPr>
            <w:tcW w:w="3096" w:type="dxa"/>
            <w:shd w:val="clear" w:color="auto" w:fill="auto"/>
          </w:tcPr>
          <w:p w14:paraId="6347379D" w14:textId="77777777" w:rsidR="00032E7D" w:rsidRPr="00EE1BB2" w:rsidRDefault="00032E7D" w:rsidP="00695C94">
            <w:pPr>
              <w:jc w:val="center"/>
            </w:pPr>
            <w:r w:rsidRPr="00EE1BB2">
              <w:t>B</w:t>
            </w:r>
          </w:p>
        </w:tc>
        <w:tc>
          <w:tcPr>
            <w:tcW w:w="3096" w:type="dxa"/>
            <w:shd w:val="clear" w:color="auto" w:fill="auto"/>
          </w:tcPr>
          <w:p w14:paraId="3E2D62B1" w14:textId="77777777" w:rsidR="00032E7D" w:rsidRPr="00EE1BB2" w:rsidRDefault="00032E7D" w:rsidP="00695C94">
            <w:pPr>
              <w:jc w:val="center"/>
            </w:pPr>
            <w:r w:rsidRPr="00EE1BB2">
              <w:t>C</w:t>
            </w:r>
          </w:p>
        </w:tc>
      </w:tr>
      <w:tr w:rsidR="00032E7D" w:rsidRPr="00EE1BB2" w14:paraId="7292E076" w14:textId="77777777" w:rsidTr="00695C94">
        <w:tc>
          <w:tcPr>
            <w:tcW w:w="3095" w:type="dxa"/>
            <w:shd w:val="clear" w:color="auto" w:fill="auto"/>
          </w:tcPr>
          <w:p w14:paraId="436DB3CD" w14:textId="77777777" w:rsidR="00032E7D" w:rsidRPr="00DB19A5" w:rsidRDefault="00032E7D" w:rsidP="00695C94">
            <w:pPr>
              <w:pStyle w:val="naiskr"/>
              <w:spacing w:before="0" w:after="0"/>
            </w:pPr>
            <w:r w:rsidRPr="00DB19A5">
              <w:t>Starptautiskās saistības (pēc būtības), kas izriet no norādītā starptautiskā dokumenta.</w:t>
            </w:r>
          </w:p>
          <w:p w14:paraId="6297896D" w14:textId="77777777" w:rsidR="00032E7D" w:rsidRPr="00DB19A5" w:rsidRDefault="00032E7D" w:rsidP="00D6423D">
            <w:pPr>
              <w:rPr>
                <w:sz w:val="24"/>
              </w:rPr>
            </w:pPr>
            <w:r w:rsidRPr="00DB19A5">
              <w:rPr>
                <w:sz w:val="24"/>
              </w:rPr>
              <w:t>Konkrēti veicamie pasākumi vai uzdevumi, kas nepieciešami šo starptautisko saistību izpildei</w:t>
            </w:r>
          </w:p>
        </w:tc>
        <w:tc>
          <w:tcPr>
            <w:tcW w:w="3096" w:type="dxa"/>
            <w:shd w:val="clear" w:color="auto" w:fill="auto"/>
          </w:tcPr>
          <w:p w14:paraId="6A7FFF26" w14:textId="77777777" w:rsidR="00032E7D" w:rsidRPr="00DB19A5" w:rsidRDefault="00032E7D" w:rsidP="00695C94">
            <w:pPr>
              <w:pStyle w:val="naiskr"/>
              <w:spacing w:before="0" w:after="0"/>
            </w:pPr>
            <w:r w:rsidRPr="00DB19A5">
              <w:t>Ja pasākumi vai uzdevumi, ar ko tiks izpildītas starptautiskās saistības, tiek noteikti projektā, norāda attiecīgo projekta vienību.</w:t>
            </w:r>
          </w:p>
          <w:p w14:paraId="4B6C4BDE" w14:textId="77777777" w:rsidR="00032E7D" w:rsidRPr="00DB19A5" w:rsidRDefault="00032E7D" w:rsidP="00D6423D">
            <w:pPr>
              <w:rPr>
                <w:sz w:val="24"/>
              </w:rPr>
            </w:pPr>
            <w:r w:rsidRPr="00DB19A5">
              <w:rPr>
                <w:sz w:val="24"/>
              </w:rPr>
              <w:t>Vai arī norāda dokumentu, kurā sniegts izvērsts skaidrojums, kādā veidā tiks nodrošināta starptautisko saistību izpilde</w:t>
            </w:r>
          </w:p>
        </w:tc>
        <w:tc>
          <w:tcPr>
            <w:tcW w:w="3096" w:type="dxa"/>
            <w:shd w:val="clear" w:color="auto" w:fill="auto"/>
          </w:tcPr>
          <w:p w14:paraId="14A74F2E" w14:textId="77777777" w:rsidR="00032E7D" w:rsidRPr="00DB19A5" w:rsidRDefault="00032E7D" w:rsidP="00695C94">
            <w:pPr>
              <w:pStyle w:val="naiskr"/>
              <w:spacing w:before="0" w:after="0"/>
            </w:pPr>
            <w:r w:rsidRPr="00DB19A5">
              <w:t>Informācija par to, vai starptautiskās saistības, kas minētas šīs tabulas A ailē, tiek izpildītas pilnībā vai daļēji.</w:t>
            </w:r>
          </w:p>
          <w:p w14:paraId="71954EC8" w14:textId="77777777" w:rsidR="00032E7D" w:rsidRPr="00DB19A5" w:rsidRDefault="00032E7D" w:rsidP="00695C94">
            <w:pPr>
              <w:pStyle w:val="naiskr"/>
              <w:spacing w:before="0" w:after="0"/>
            </w:pPr>
            <w:r w:rsidRPr="00DB19A5">
              <w:t>Ja attiecīgās starptautiskās saistības tiek izpildītas daļēji, sniedz attiecīgu skaidrojumu, kā arī precīzi norāda, kad un kādā veidā starptautiskās saistības tiks izpildītas pilnībā.</w:t>
            </w:r>
          </w:p>
          <w:p w14:paraId="07FC3BE8" w14:textId="77777777" w:rsidR="00032E7D" w:rsidRPr="00DB19A5" w:rsidRDefault="00032E7D" w:rsidP="00D6423D">
            <w:pPr>
              <w:rPr>
                <w:sz w:val="24"/>
              </w:rPr>
            </w:pPr>
            <w:r w:rsidRPr="00DB19A5">
              <w:rPr>
                <w:sz w:val="24"/>
              </w:rPr>
              <w:lastRenderedPageBreak/>
              <w:t>Norāda institūciju, kas ir atbildīga par šo saistību izpildi pilnībā</w:t>
            </w:r>
          </w:p>
        </w:tc>
      </w:tr>
      <w:tr w:rsidR="006367CB" w:rsidRPr="00EE1BB2" w14:paraId="2FB8BADF" w14:textId="77777777" w:rsidTr="00695C94">
        <w:tc>
          <w:tcPr>
            <w:tcW w:w="3095" w:type="dxa"/>
            <w:shd w:val="clear" w:color="auto" w:fill="auto"/>
          </w:tcPr>
          <w:p w14:paraId="07B9FD04" w14:textId="187075EA" w:rsidR="006367CB" w:rsidRPr="00695C94" w:rsidRDefault="00146A94" w:rsidP="00D6423D">
            <w:pPr>
              <w:rPr>
                <w:sz w:val="24"/>
              </w:rPr>
            </w:pPr>
            <w:r w:rsidRPr="00695C94">
              <w:rPr>
                <w:sz w:val="24"/>
              </w:rPr>
              <w:lastRenderedPageBreak/>
              <w:t>Latvija</w:t>
            </w:r>
            <w:r w:rsidR="00D70DA5">
              <w:rPr>
                <w:sz w:val="24"/>
              </w:rPr>
              <w:t xml:space="preserve"> </w:t>
            </w:r>
            <w:r w:rsidRPr="00695C94">
              <w:rPr>
                <w:sz w:val="24"/>
              </w:rPr>
              <w:t xml:space="preserve">ir ratificējusi Starptautiskās </w:t>
            </w:r>
            <w:r w:rsidR="0044132E">
              <w:rPr>
                <w:sz w:val="24"/>
              </w:rPr>
              <w:t>D</w:t>
            </w:r>
            <w:r w:rsidRPr="00695C94">
              <w:rPr>
                <w:sz w:val="24"/>
              </w:rPr>
              <w:t>arba organizācijas, par kuras biedri kļuva 1921.gadā (darbību tajā atjaunojot 1991.gadā), 1970.gada konvenciju Nr.</w:t>
            </w:r>
            <w:r w:rsidRPr="00695C94" w:rsidDel="00526E30">
              <w:rPr>
                <w:sz w:val="24"/>
              </w:rPr>
              <w:t xml:space="preserve"> </w:t>
            </w:r>
            <w:r w:rsidRPr="00695C94">
              <w:rPr>
                <w:sz w:val="24"/>
              </w:rPr>
              <w:t>131 „Par minimālās algas noteikšanu”, kuras 1.pants paredz, ka dalībvalsts pienākums ir izveidot minimālās algas sistēmu, kas attiecas uz visiem darba algas saņēmējiem, savukārt 3.pants paredz, ka, nosakot minimālās algas līmeni, ir jāņem vērā darbinieku un viņu ģimeņu vajadzības, ievērojot vispārējo algu līmeni valstī, iztikšanai nepieciešamo minimumu, sociālās drošības pabalstus un citu sociālo grupu dzīves līmeni, kā arī ekonomiskos faktorus, tajā skaitā – ekonomikas attīstības rādītājus, darba ražīguma līmeni, kā arī vēlmi nodrošināt augstu nodarbinātības līmeni.</w:t>
            </w:r>
          </w:p>
        </w:tc>
        <w:tc>
          <w:tcPr>
            <w:tcW w:w="3096" w:type="dxa"/>
            <w:shd w:val="clear" w:color="auto" w:fill="auto"/>
          </w:tcPr>
          <w:p w14:paraId="052C3688" w14:textId="77777777" w:rsidR="006367CB" w:rsidRPr="00F60639" w:rsidRDefault="007C5780" w:rsidP="00D6423D">
            <w:pPr>
              <w:rPr>
                <w:sz w:val="24"/>
              </w:rPr>
            </w:pPr>
            <w:r w:rsidRPr="00F60639">
              <w:rPr>
                <w:sz w:val="24"/>
              </w:rPr>
              <w:t>Noteikumu 2.punkts.</w:t>
            </w:r>
          </w:p>
          <w:p w14:paraId="0C34BC1A" w14:textId="388753C4" w:rsidR="00146A94" w:rsidRPr="00F60639" w:rsidRDefault="00146A94" w:rsidP="005F1502">
            <w:pPr>
              <w:rPr>
                <w:sz w:val="24"/>
              </w:rPr>
            </w:pPr>
            <w:r w:rsidRPr="00F60639">
              <w:rPr>
                <w:sz w:val="24"/>
              </w:rPr>
              <w:t>Ministru kabineta 20</w:t>
            </w:r>
            <w:r w:rsidR="00C0142A" w:rsidRPr="00F60639">
              <w:rPr>
                <w:sz w:val="24"/>
              </w:rPr>
              <w:t>1</w:t>
            </w:r>
            <w:r w:rsidR="005F1502">
              <w:rPr>
                <w:sz w:val="24"/>
              </w:rPr>
              <w:t>6</w:t>
            </w:r>
            <w:r w:rsidRPr="00F60639">
              <w:rPr>
                <w:sz w:val="24"/>
              </w:rPr>
              <w:t>.</w:t>
            </w:r>
            <w:r w:rsidR="00D40EC5">
              <w:rPr>
                <w:sz w:val="24"/>
              </w:rPr>
              <w:t> </w:t>
            </w:r>
            <w:r w:rsidRPr="00F60639">
              <w:rPr>
                <w:sz w:val="24"/>
              </w:rPr>
              <w:t xml:space="preserve">gada </w:t>
            </w:r>
            <w:r w:rsidR="005F1502">
              <w:rPr>
                <w:sz w:val="24"/>
              </w:rPr>
              <w:t>18.</w:t>
            </w:r>
            <w:r w:rsidR="00D40EC5">
              <w:rPr>
                <w:sz w:val="24"/>
              </w:rPr>
              <w:t> </w:t>
            </w:r>
            <w:r w:rsidR="005F1502">
              <w:rPr>
                <w:sz w:val="24"/>
              </w:rPr>
              <w:t>augusta</w:t>
            </w:r>
            <w:r w:rsidRPr="00F60639">
              <w:rPr>
                <w:sz w:val="24"/>
              </w:rPr>
              <w:t xml:space="preserve"> noteikumi Nr.</w:t>
            </w:r>
            <w:r w:rsidR="00D40EC5">
              <w:rPr>
                <w:sz w:val="24"/>
              </w:rPr>
              <w:t> </w:t>
            </w:r>
            <w:r w:rsidR="005F1502">
              <w:rPr>
                <w:sz w:val="24"/>
              </w:rPr>
              <w:t>563</w:t>
            </w:r>
            <w:r w:rsidRPr="00F60639">
              <w:rPr>
                <w:sz w:val="24"/>
              </w:rPr>
              <w:t xml:space="preserve"> „</w:t>
            </w:r>
            <w:r w:rsidR="00FD463F" w:rsidRPr="00F60639">
              <w:rPr>
                <w:sz w:val="24"/>
              </w:rPr>
              <w:t>Minimālās mēneša darba algas noteikšanas un pārskatīšanas kārtība</w:t>
            </w:r>
            <w:r w:rsidRPr="00F60639">
              <w:rPr>
                <w:sz w:val="24"/>
              </w:rPr>
              <w:t>”.</w:t>
            </w:r>
          </w:p>
        </w:tc>
        <w:tc>
          <w:tcPr>
            <w:tcW w:w="3096" w:type="dxa"/>
            <w:shd w:val="clear" w:color="auto" w:fill="auto"/>
          </w:tcPr>
          <w:p w14:paraId="5E20E9DD" w14:textId="77777777" w:rsidR="006367CB" w:rsidRPr="00803D33" w:rsidRDefault="00D94347" w:rsidP="003D2DDC">
            <w:r w:rsidRPr="00695C94">
              <w:rPr>
                <w:sz w:val="24"/>
              </w:rPr>
              <w:t>P</w:t>
            </w:r>
            <w:r w:rsidR="007C5780" w:rsidRPr="00695C94">
              <w:rPr>
                <w:sz w:val="24"/>
              </w:rPr>
              <w:t>ilnībā ir pārņemta</w:t>
            </w:r>
            <w:r w:rsidRPr="00695C94">
              <w:rPr>
                <w:sz w:val="24"/>
              </w:rPr>
              <w:t>s starptautiskās saistības</w:t>
            </w:r>
            <w:r w:rsidRPr="003D2DDC">
              <w:rPr>
                <w:sz w:val="24"/>
              </w:rPr>
              <w:t>.</w:t>
            </w:r>
          </w:p>
        </w:tc>
      </w:tr>
      <w:tr w:rsidR="006367CB" w:rsidRPr="00EE1BB2" w14:paraId="1E41ADBA" w14:textId="77777777" w:rsidTr="00695C94">
        <w:tc>
          <w:tcPr>
            <w:tcW w:w="3095" w:type="dxa"/>
            <w:shd w:val="clear" w:color="auto" w:fill="auto"/>
          </w:tcPr>
          <w:p w14:paraId="5CE5D2F4" w14:textId="77777777" w:rsidR="006367CB" w:rsidRPr="00DB19A5" w:rsidRDefault="006367CB" w:rsidP="00D6423D">
            <w:pPr>
              <w:rPr>
                <w:sz w:val="24"/>
              </w:rPr>
            </w:pPr>
            <w:r w:rsidRPr="00DB19A5">
              <w:rPr>
                <w:sz w:val="24"/>
              </w:rPr>
              <w:t>Vai starptautiskajā dokumentā paredzētās saistības nav pretrunā ar jau esošajām Latvijas Republikas starptautiskajām saistībām</w:t>
            </w:r>
          </w:p>
        </w:tc>
        <w:tc>
          <w:tcPr>
            <w:tcW w:w="6192" w:type="dxa"/>
            <w:gridSpan w:val="2"/>
            <w:shd w:val="clear" w:color="auto" w:fill="auto"/>
          </w:tcPr>
          <w:p w14:paraId="77DAC197" w14:textId="58A6FB5D" w:rsidR="006367CB" w:rsidRPr="00DB19A5" w:rsidRDefault="00803D33" w:rsidP="0022018D">
            <w:pPr>
              <w:rPr>
                <w:i/>
                <w:sz w:val="24"/>
              </w:rPr>
            </w:pPr>
            <w:r w:rsidRPr="00DB19A5">
              <w:rPr>
                <w:sz w:val="24"/>
              </w:rPr>
              <w:t>No</w:t>
            </w:r>
            <w:r w:rsidR="004D3DFF" w:rsidRPr="00DB19A5">
              <w:rPr>
                <w:sz w:val="24"/>
              </w:rPr>
              <w:t xml:space="preserve">teikumi nav pretrunā ar Starptautiskās </w:t>
            </w:r>
            <w:r w:rsidR="00EC7C50">
              <w:rPr>
                <w:sz w:val="24"/>
              </w:rPr>
              <w:t>D</w:t>
            </w:r>
            <w:r w:rsidR="004D3DFF" w:rsidRPr="00DB19A5">
              <w:rPr>
                <w:sz w:val="24"/>
              </w:rPr>
              <w:t>arba organizācijas 1970.</w:t>
            </w:r>
            <w:r w:rsidR="00D40EC5">
              <w:rPr>
                <w:sz w:val="24"/>
              </w:rPr>
              <w:t> </w:t>
            </w:r>
            <w:r w:rsidR="004D3DFF" w:rsidRPr="00DB19A5">
              <w:rPr>
                <w:sz w:val="24"/>
              </w:rPr>
              <w:t>gada</w:t>
            </w:r>
            <w:r w:rsidR="00951A47">
              <w:rPr>
                <w:sz w:val="24"/>
              </w:rPr>
              <w:t xml:space="preserve"> 22.</w:t>
            </w:r>
            <w:r w:rsidR="00D40EC5">
              <w:rPr>
                <w:sz w:val="24"/>
              </w:rPr>
              <w:t> </w:t>
            </w:r>
            <w:r w:rsidR="00951A47">
              <w:rPr>
                <w:sz w:val="24"/>
              </w:rPr>
              <w:t xml:space="preserve">jūnija </w:t>
            </w:r>
            <w:r w:rsidR="004D3DFF" w:rsidRPr="00DB19A5">
              <w:rPr>
                <w:sz w:val="24"/>
              </w:rPr>
              <w:t>konvenciju Nr.</w:t>
            </w:r>
            <w:r w:rsidR="00D40EC5">
              <w:rPr>
                <w:sz w:val="24"/>
              </w:rPr>
              <w:t> </w:t>
            </w:r>
            <w:r w:rsidR="004D3DFF" w:rsidRPr="00DB19A5">
              <w:rPr>
                <w:sz w:val="24"/>
              </w:rPr>
              <w:t xml:space="preserve">131 </w:t>
            </w:r>
            <w:r w:rsidR="00454145" w:rsidRPr="00DB19A5">
              <w:rPr>
                <w:sz w:val="24"/>
              </w:rPr>
              <w:t>„</w:t>
            </w:r>
            <w:r w:rsidR="004D3DFF" w:rsidRPr="00DB19A5">
              <w:rPr>
                <w:sz w:val="24"/>
              </w:rPr>
              <w:t>Par minimālās algas noteikšanu”.</w:t>
            </w:r>
          </w:p>
        </w:tc>
      </w:tr>
      <w:tr w:rsidR="006367CB" w:rsidRPr="00EE1BB2" w14:paraId="4398C795" w14:textId="77777777" w:rsidTr="00DB19A5">
        <w:trPr>
          <w:trHeight w:val="343"/>
        </w:trPr>
        <w:tc>
          <w:tcPr>
            <w:tcW w:w="3095" w:type="dxa"/>
            <w:shd w:val="clear" w:color="auto" w:fill="auto"/>
          </w:tcPr>
          <w:p w14:paraId="58B27363" w14:textId="77777777" w:rsidR="006367CB" w:rsidRPr="00DB19A5" w:rsidRDefault="006367CB" w:rsidP="00D6423D">
            <w:pPr>
              <w:rPr>
                <w:sz w:val="24"/>
              </w:rPr>
            </w:pPr>
            <w:r w:rsidRPr="00DB19A5">
              <w:rPr>
                <w:sz w:val="24"/>
              </w:rPr>
              <w:t>Cita informācija</w:t>
            </w:r>
          </w:p>
        </w:tc>
        <w:tc>
          <w:tcPr>
            <w:tcW w:w="6192" w:type="dxa"/>
            <w:gridSpan w:val="2"/>
            <w:shd w:val="clear" w:color="auto" w:fill="auto"/>
          </w:tcPr>
          <w:p w14:paraId="51018D5B" w14:textId="77777777" w:rsidR="006367CB" w:rsidRPr="00DB19A5" w:rsidRDefault="006367CB" w:rsidP="005F347B">
            <w:pPr>
              <w:rPr>
                <w:sz w:val="24"/>
              </w:rPr>
            </w:pPr>
            <w:r w:rsidRPr="00DB19A5">
              <w:rPr>
                <w:sz w:val="24"/>
              </w:rPr>
              <w:t>Nav.</w:t>
            </w:r>
          </w:p>
        </w:tc>
      </w:tr>
    </w:tbl>
    <w:p w14:paraId="7F0DE280" w14:textId="77777777" w:rsidR="00834BAF" w:rsidRDefault="00834BAF" w:rsidP="00BC420F">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619"/>
        <w:gridCol w:w="5638"/>
      </w:tblGrid>
      <w:tr w:rsidR="00B615C7" w:rsidRPr="00524322" w14:paraId="5C8AD4AC" w14:textId="77777777" w:rsidTr="00B615C7">
        <w:tc>
          <w:tcPr>
            <w:tcW w:w="5000" w:type="pct"/>
            <w:gridSpan w:val="3"/>
            <w:tcBorders>
              <w:top w:val="single" w:sz="4" w:space="0" w:color="auto"/>
              <w:left w:val="single" w:sz="4" w:space="0" w:color="auto"/>
              <w:bottom w:val="single" w:sz="4" w:space="0" w:color="auto"/>
              <w:right w:val="single" w:sz="4" w:space="0" w:color="auto"/>
            </w:tcBorders>
            <w:vAlign w:val="center"/>
          </w:tcPr>
          <w:p w14:paraId="37D409DA" w14:textId="77777777" w:rsidR="00B615C7" w:rsidRPr="00524322" w:rsidRDefault="00B615C7" w:rsidP="00A44A7C">
            <w:pPr>
              <w:jc w:val="center"/>
              <w:rPr>
                <w:b/>
                <w:sz w:val="24"/>
              </w:rPr>
            </w:pPr>
            <w:r w:rsidRPr="00524322">
              <w:rPr>
                <w:b/>
                <w:sz w:val="24"/>
              </w:rPr>
              <w:t>VI. Sabiedrības līdzdalība un komunikācijas aktivitātes</w:t>
            </w:r>
          </w:p>
        </w:tc>
      </w:tr>
      <w:tr w:rsidR="00B615C7" w:rsidRPr="00524322" w14:paraId="322A1267" w14:textId="77777777" w:rsidTr="00A44A7C">
        <w:tc>
          <w:tcPr>
            <w:tcW w:w="444" w:type="pct"/>
            <w:tcBorders>
              <w:top w:val="single" w:sz="4" w:space="0" w:color="auto"/>
              <w:left w:val="single" w:sz="4" w:space="0" w:color="auto"/>
              <w:bottom w:val="single" w:sz="4" w:space="0" w:color="auto"/>
              <w:right w:val="single" w:sz="4" w:space="0" w:color="auto"/>
            </w:tcBorders>
            <w:vAlign w:val="center"/>
          </w:tcPr>
          <w:p w14:paraId="550DBA93" w14:textId="77777777" w:rsidR="00B615C7" w:rsidRPr="00524322" w:rsidRDefault="00B615C7" w:rsidP="00A44A7C">
            <w:pPr>
              <w:pStyle w:val="naiskr"/>
              <w:ind w:left="180" w:hanging="180"/>
              <w:jc w:val="center"/>
              <w:rPr>
                <w:sz w:val="22"/>
                <w:szCs w:val="22"/>
              </w:rPr>
            </w:pPr>
            <w:r w:rsidRPr="00524322">
              <w:t>1</w:t>
            </w:r>
            <w:r w:rsidRPr="00524322">
              <w:rPr>
                <w:sz w:val="22"/>
                <w:szCs w:val="22"/>
              </w:rPr>
              <w:t>.</w:t>
            </w:r>
          </w:p>
        </w:tc>
        <w:tc>
          <w:tcPr>
            <w:tcW w:w="1445" w:type="pct"/>
            <w:tcBorders>
              <w:top w:val="single" w:sz="4" w:space="0" w:color="auto"/>
              <w:left w:val="single" w:sz="4" w:space="0" w:color="auto"/>
              <w:bottom w:val="single" w:sz="4" w:space="0" w:color="auto"/>
              <w:right w:val="single" w:sz="4" w:space="0" w:color="auto"/>
            </w:tcBorders>
            <w:vAlign w:val="center"/>
          </w:tcPr>
          <w:p w14:paraId="0ABB8F6B" w14:textId="77777777" w:rsidR="00B615C7" w:rsidRPr="00524322" w:rsidRDefault="00B615C7" w:rsidP="00A44A7C">
            <w:pPr>
              <w:pStyle w:val="naiskr"/>
              <w:ind w:left="180" w:hanging="10"/>
            </w:pPr>
            <w:r w:rsidRPr="00524322">
              <w:t>Plānotās sabiedrības līdzdalības un komunikācijas aktivitātes saistībā ar projektu</w:t>
            </w:r>
          </w:p>
        </w:tc>
        <w:tc>
          <w:tcPr>
            <w:tcW w:w="3111" w:type="pct"/>
            <w:tcBorders>
              <w:top w:val="single" w:sz="4" w:space="0" w:color="auto"/>
              <w:left w:val="single" w:sz="4" w:space="0" w:color="auto"/>
              <w:bottom w:val="single" w:sz="4" w:space="0" w:color="auto"/>
              <w:right w:val="single" w:sz="4" w:space="0" w:color="auto"/>
            </w:tcBorders>
            <w:vAlign w:val="center"/>
          </w:tcPr>
          <w:p w14:paraId="7975A49A" w14:textId="1905F601" w:rsidR="00B615C7" w:rsidRPr="00A956DA" w:rsidRDefault="00B615C7" w:rsidP="00A44A7C">
            <w:pPr>
              <w:jc w:val="both"/>
              <w:rPr>
                <w:sz w:val="24"/>
              </w:rPr>
            </w:pPr>
            <w:r w:rsidRPr="00A956DA">
              <w:rPr>
                <w:sz w:val="24"/>
              </w:rPr>
              <w:t>Minimālās mēneša darba algas paaugstināšanas jautājums 2019. gadā</w:t>
            </w:r>
            <w:r w:rsidR="003F61D4" w:rsidRPr="00A956DA">
              <w:rPr>
                <w:sz w:val="24"/>
              </w:rPr>
              <w:t xml:space="preserve"> tika iekļauts</w:t>
            </w:r>
            <w:r w:rsidRPr="00A956DA">
              <w:rPr>
                <w:sz w:val="24"/>
              </w:rPr>
              <w:t xml:space="preserve"> Finanšu ministrijas </w:t>
            </w:r>
            <w:r w:rsidR="003F61D4" w:rsidRPr="00A956DA">
              <w:rPr>
                <w:sz w:val="24"/>
              </w:rPr>
              <w:t xml:space="preserve">izstrādātajā </w:t>
            </w:r>
            <w:r w:rsidRPr="00A956DA">
              <w:rPr>
                <w:sz w:val="24"/>
              </w:rPr>
              <w:t>Informatīv</w:t>
            </w:r>
            <w:r w:rsidR="003F61D4" w:rsidRPr="00A956DA">
              <w:rPr>
                <w:sz w:val="24"/>
              </w:rPr>
              <w:t>ajā</w:t>
            </w:r>
            <w:r w:rsidRPr="00A956DA">
              <w:rPr>
                <w:sz w:val="24"/>
              </w:rPr>
              <w:t xml:space="preserve"> ziņojum</w:t>
            </w:r>
            <w:r w:rsidR="003F61D4" w:rsidRPr="00A956DA">
              <w:rPr>
                <w:sz w:val="24"/>
              </w:rPr>
              <w:t>ā</w:t>
            </w:r>
            <w:r w:rsidRPr="00A956DA">
              <w:rPr>
                <w:sz w:val="24"/>
              </w:rPr>
              <w:t xml:space="preserve"> "Par fiskālās telpas pasākumiem un izdevumiem prioritārajiem pasākumiem valsts budžetam 2020. gadam un ietvaram 2020.–2022.</w:t>
            </w:r>
            <w:r w:rsidR="00D40EC5">
              <w:rPr>
                <w:sz w:val="24"/>
              </w:rPr>
              <w:t> </w:t>
            </w:r>
            <w:r w:rsidRPr="00A956DA">
              <w:rPr>
                <w:sz w:val="24"/>
              </w:rPr>
              <w:t>gadam"</w:t>
            </w:r>
            <w:r w:rsidR="002E40FA" w:rsidRPr="00A956DA">
              <w:rPr>
                <w:sz w:val="24"/>
              </w:rPr>
              <w:t xml:space="preserve"> un lēmums par minimālās mēneša darba </w:t>
            </w:r>
            <w:r w:rsidR="002E40FA" w:rsidRPr="00A956DA">
              <w:rPr>
                <w:sz w:val="24"/>
              </w:rPr>
              <w:lastRenderedPageBreak/>
              <w:t>algas paaugstināšanu pieņemts Ministru kabineta 2019.</w:t>
            </w:r>
            <w:r w:rsidR="00D40EC5">
              <w:rPr>
                <w:sz w:val="24"/>
              </w:rPr>
              <w:t> </w:t>
            </w:r>
            <w:r w:rsidR="002E40FA" w:rsidRPr="00A956DA">
              <w:rPr>
                <w:sz w:val="24"/>
              </w:rPr>
              <w:t>gada 13.</w:t>
            </w:r>
            <w:r w:rsidR="00D40EC5">
              <w:rPr>
                <w:sz w:val="24"/>
              </w:rPr>
              <w:t> </w:t>
            </w:r>
            <w:r w:rsidR="002E40FA" w:rsidRPr="00A956DA">
              <w:rPr>
                <w:sz w:val="24"/>
              </w:rPr>
              <w:t>septembra sēdē.</w:t>
            </w:r>
          </w:p>
          <w:p w14:paraId="6A0ADE2C" w14:textId="3A248276" w:rsidR="002E40FA" w:rsidRDefault="00FD5465" w:rsidP="00A44A7C">
            <w:pPr>
              <w:jc w:val="both"/>
              <w:rPr>
                <w:sz w:val="24"/>
              </w:rPr>
            </w:pPr>
            <w:r w:rsidRPr="00A956DA">
              <w:rPr>
                <w:sz w:val="24"/>
              </w:rPr>
              <w:t xml:space="preserve">Minimālās mēneša darba algas paaugstināšanas jautājums tika skatīts Nacionālās trīspusējās sadarbības padomes </w:t>
            </w:r>
            <w:r w:rsidR="002E40FA" w:rsidRPr="00A956DA">
              <w:rPr>
                <w:sz w:val="24"/>
              </w:rPr>
              <w:t xml:space="preserve">Sociālās drošības </w:t>
            </w:r>
            <w:proofErr w:type="spellStart"/>
            <w:r w:rsidR="002E40FA" w:rsidRPr="00A956DA">
              <w:rPr>
                <w:sz w:val="24"/>
              </w:rPr>
              <w:t>apakšpadomes</w:t>
            </w:r>
            <w:proofErr w:type="spellEnd"/>
            <w:r w:rsidR="002E40FA" w:rsidRPr="00A956DA">
              <w:rPr>
                <w:sz w:val="24"/>
              </w:rPr>
              <w:t xml:space="preserve"> 2020.</w:t>
            </w:r>
            <w:r w:rsidR="00D40EC5">
              <w:rPr>
                <w:sz w:val="24"/>
              </w:rPr>
              <w:t> </w:t>
            </w:r>
            <w:r w:rsidR="002E40FA" w:rsidRPr="00A956DA">
              <w:rPr>
                <w:sz w:val="24"/>
              </w:rPr>
              <w:t xml:space="preserve">gada </w:t>
            </w:r>
            <w:r w:rsidR="00821D3C" w:rsidRPr="00A956DA">
              <w:rPr>
                <w:sz w:val="24"/>
              </w:rPr>
              <w:t>4.</w:t>
            </w:r>
            <w:r w:rsidR="00D40EC5">
              <w:rPr>
                <w:sz w:val="24"/>
              </w:rPr>
              <w:t> </w:t>
            </w:r>
            <w:r w:rsidR="00821D3C" w:rsidRPr="00A956DA">
              <w:rPr>
                <w:sz w:val="24"/>
              </w:rPr>
              <w:t xml:space="preserve">marta </w:t>
            </w:r>
            <w:r w:rsidRPr="00A956DA">
              <w:rPr>
                <w:sz w:val="24"/>
              </w:rPr>
              <w:t>sēdē</w:t>
            </w:r>
            <w:r w:rsidR="00821D3C" w:rsidRPr="00A956DA">
              <w:rPr>
                <w:sz w:val="24"/>
              </w:rPr>
              <w:t>.</w:t>
            </w:r>
          </w:p>
          <w:p w14:paraId="34DBCDBD" w14:textId="77777777" w:rsidR="002E40FA" w:rsidRDefault="002E40FA" w:rsidP="00A44A7C">
            <w:pPr>
              <w:jc w:val="both"/>
              <w:rPr>
                <w:sz w:val="24"/>
              </w:rPr>
            </w:pPr>
          </w:p>
          <w:p w14:paraId="21BF15E2" w14:textId="08422AA7" w:rsidR="00B615C7" w:rsidRPr="00FD5465" w:rsidRDefault="00B17558" w:rsidP="00A44A7C">
            <w:pPr>
              <w:jc w:val="both"/>
              <w:rPr>
                <w:sz w:val="24"/>
              </w:rPr>
            </w:pPr>
            <w:r>
              <w:rPr>
                <w:sz w:val="24"/>
              </w:rPr>
              <w:t xml:space="preserve">Savā atzinumā par noteikumu projektu </w:t>
            </w:r>
            <w:r w:rsidR="00FD5465">
              <w:rPr>
                <w:sz w:val="24"/>
              </w:rPr>
              <w:t xml:space="preserve">Latvijas Darba devēju konfederācija neatbalsta minimālās mēneša darba algas paaugstināšanu </w:t>
            </w:r>
            <w:r w:rsidR="001229F3">
              <w:rPr>
                <w:sz w:val="24"/>
              </w:rPr>
              <w:t>2021.</w:t>
            </w:r>
            <w:r w:rsidR="00D40EC5">
              <w:rPr>
                <w:sz w:val="24"/>
              </w:rPr>
              <w:t> </w:t>
            </w:r>
            <w:r w:rsidR="001229F3">
              <w:rPr>
                <w:sz w:val="24"/>
              </w:rPr>
              <w:t xml:space="preserve">gadā </w:t>
            </w:r>
            <w:r w:rsidR="00FD5465">
              <w:rPr>
                <w:sz w:val="24"/>
              </w:rPr>
              <w:t xml:space="preserve">un </w:t>
            </w:r>
            <w:r w:rsidR="00EB6C41">
              <w:rPr>
                <w:sz w:val="24"/>
              </w:rPr>
              <w:t xml:space="preserve">uzskata, ka </w:t>
            </w:r>
            <w:r w:rsidR="00EB6C41" w:rsidRPr="00EB6C41">
              <w:rPr>
                <w:sz w:val="24"/>
              </w:rPr>
              <w:t xml:space="preserve">ir sevišķi svarīgi izvērtēt visus </w:t>
            </w:r>
            <w:r w:rsidR="00EB6C41" w:rsidRPr="00265833">
              <w:rPr>
                <w:sz w:val="24"/>
              </w:rPr>
              <w:t>Ministru kabineta 2016.</w:t>
            </w:r>
            <w:r w:rsidR="00EB6C41">
              <w:rPr>
                <w:sz w:val="24"/>
              </w:rPr>
              <w:t> </w:t>
            </w:r>
            <w:r w:rsidR="00EB6C41" w:rsidRPr="00265833">
              <w:rPr>
                <w:sz w:val="24"/>
              </w:rPr>
              <w:t>gada 18.</w:t>
            </w:r>
            <w:r w:rsidR="00EB6C41">
              <w:rPr>
                <w:sz w:val="24"/>
              </w:rPr>
              <w:t> </w:t>
            </w:r>
            <w:r w:rsidR="00EB6C41" w:rsidRPr="00265833">
              <w:rPr>
                <w:sz w:val="24"/>
              </w:rPr>
              <w:t>augusta noteikumu Nr.</w:t>
            </w:r>
            <w:r w:rsidR="00D40EC5">
              <w:rPr>
                <w:sz w:val="24"/>
              </w:rPr>
              <w:t> </w:t>
            </w:r>
            <w:r w:rsidR="00EB6C41" w:rsidRPr="00265833">
              <w:rPr>
                <w:sz w:val="24"/>
              </w:rPr>
              <w:t xml:space="preserve">563 „Minimālās mēneša darba algas noteikšanas un pārskatīšanas kārtība” </w:t>
            </w:r>
            <w:r w:rsidR="00EB6C41" w:rsidRPr="00EB6C41">
              <w:rPr>
                <w:sz w:val="24"/>
              </w:rPr>
              <w:t>otrajā punktā minētos faktorus</w:t>
            </w:r>
            <w:r w:rsidR="00EB6C41">
              <w:rPr>
                <w:sz w:val="24"/>
              </w:rPr>
              <w:t>.</w:t>
            </w:r>
            <w:r w:rsidR="00EB6C41" w:rsidRPr="00FD5465">
              <w:rPr>
                <w:sz w:val="24"/>
              </w:rPr>
              <w:t xml:space="preserve"> </w:t>
            </w:r>
            <w:r>
              <w:rPr>
                <w:sz w:val="24"/>
              </w:rPr>
              <w:t xml:space="preserve">Turpretī, </w:t>
            </w:r>
            <w:r w:rsidR="00FD5465" w:rsidRPr="00FD5465">
              <w:rPr>
                <w:sz w:val="24"/>
              </w:rPr>
              <w:t xml:space="preserve">Latvijas Brīvo arodbiedrību savienība uzskata, ja neapliekamais minimums un atvieglojums netiek celti, tad minimālā mēneša darba alga </w:t>
            </w:r>
            <w:r>
              <w:rPr>
                <w:sz w:val="24"/>
              </w:rPr>
              <w:t>2021.</w:t>
            </w:r>
            <w:r w:rsidR="00D40EC5">
              <w:rPr>
                <w:sz w:val="24"/>
              </w:rPr>
              <w:t> </w:t>
            </w:r>
            <w:r>
              <w:rPr>
                <w:sz w:val="24"/>
              </w:rPr>
              <w:t xml:space="preserve">gadā </w:t>
            </w:r>
            <w:r w:rsidR="00FD5465" w:rsidRPr="00FD5465">
              <w:rPr>
                <w:sz w:val="24"/>
              </w:rPr>
              <w:t>jāceļ vismaz līdz 530</w:t>
            </w:r>
            <w:r w:rsidR="00BB2E01">
              <w:rPr>
                <w:sz w:val="24"/>
              </w:rPr>
              <w:t> </w:t>
            </w:r>
            <w:proofErr w:type="spellStart"/>
            <w:r w:rsidR="00FD5465" w:rsidRPr="00FD5465">
              <w:rPr>
                <w:i/>
                <w:sz w:val="24"/>
              </w:rPr>
              <w:t>euro</w:t>
            </w:r>
            <w:proofErr w:type="spellEnd"/>
            <w:r w:rsidR="00FD5465" w:rsidRPr="00FD5465">
              <w:rPr>
                <w:sz w:val="24"/>
              </w:rPr>
              <w:t xml:space="preserve"> mēnesī</w:t>
            </w:r>
            <w:r w:rsidR="00FD5465">
              <w:rPr>
                <w:sz w:val="24"/>
              </w:rPr>
              <w:t>.</w:t>
            </w:r>
          </w:p>
          <w:p w14:paraId="1AF2341B" w14:textId="77777777" w:rsidR="002E40FA" w:rsidRDefault="002E40FA" w:rsidP="00A44A7C">
            <w:pPr>
              <w:jc w:val="both"/>
              <w:rPr>
                <w:sz w:val="24"/>
              </w:rPr>
            </w:pPr>
          </w:p>
          <w:p w14:paraId="5DDD7239" w14:textId="700C1799" w:rsidR="00B615C7" w:rsidRPr="00C13426" w:rsidRDefault="00B615C7" w:rsidP="00A44A7C">
            <w:pPr>
              <w:jc w:val="both"/>
              <w:rPr>
                <w:sz w:val="24"/>
              </w:rPr>
            </w:pPr>
            <w:r w:rsidRPr="00C13426">
              <w:rPr>
                <w:sz w:val="24"/>
              </w:rPr>
              <w:t xml:space="preserve">Noteikumi pēc to pieņemšanas tiks publicēti oficiālajā izdevumā „Latvijas Vēstnesis”, kā arī portālā </w:t>
            </w:r>
            <w:hyperlink r:id="rId9" w:history="1">
              <w:r w:rsidRPr="00C13426">
                <w:rPr>
                  <w:rStyle w:val="Hyperlink"/>
                  <w:color w:val="auto"/>
                  <w:sz w:val="24"/>
                </w:rPr>
                <w:t>www.likumi.lv</w:t>
              </w:r>
            </w:hyperlink>
            <w:r w:rsidRPr="00C13426">
              <w:rPr>
                <w:sz w:val="24"/>
              </w:rPr>
              <w:t>.</w:t>
            </w:r>
          </w:p>
          <w:p w14:paraId="5FE6BE94" w14:textId="413FDA01" w:rsidR="00B615C7" w:rsidRPr="008D30D6" w:rsidRDefault="00B615C7" w:rsidP="00B615C7">
            <w:pPr>
              <w:jc w:val="both"/>
              <w:rPr>
                <w:b/>
                <w:sz w:val="24"/>
                <w:lang w:eastAsia="lv-LV"/>
              </w:rPr>
            </w:pPr>
            <w:r w:rsidRPr="00C13426">
              <w:rPr>
                <w:sz w:val="24"/>
              </w:rPr>
              <w:t xml:space="preserve">Par noteikumiem tiks sagatavota preses </w:t>
            </w:r>
            <w:proofErr w:type="spellStart"/>
            <w:r w:rsidRPr="00C13426">
              <w:rPr>
                <w:sz w:val="24"/>
              </w:rPr>
              <w:t>relīze</w:t>
            </w:r>
            <w:proofErr w:type="spellEnd"/>
            <w:r w:rsidRPr="00C13426">
              <w:rPr>
                <w:sz w:val="24"/>
              </w:rPr>
              <w:t xml:space="preserve">, kas tiks nosūtīta medijiem un Labklājības ministrijas mājas lapā </w:t>
            </w:r>
            <w:r w:rsidR="00B3022A">
              <w:rPr>
                <w:sz w:val="24"/>
              </w:rPr>
              <w:t>(</w:t>
            </w:r>
            <w:r w:rsidRPr="00C13426">
              <w:rPr>
                <w:sz w:val="24"/>
              </w:rPr>
              <w:t>adrese:</w:t>
            </w:r>
            <w:r>
              <w:t xml:space="preserve"> </w:t>
            </w:r>
            <w:hyperlink r:id="rId10" w:history="1">
              <w:r w:rsidRPr="00B615C7">
                <w:rPr>
                  <w:rStyle w:val="Hyperlink"/>
                  <w:sz w:val="24"/>
                </w:rPr>
                <w:t>http://www.lm.gov.lv/lv/</w:t>
              </w:r>
            </w:hyperlink>
            <w:r w:rsidR="00B3022A">
              <w:rPr>
                <w:sz w:val="24"/>
              </w:rPr>
              <w:t>) tiks aktualizēta informācija par minimālo mēneša darba algu.</w:t>
            </w:r>
          </w:p>
        </w:tc>
      </w:tr>
      <w:tr w:rsidR="00B827DE" w:rsidRPr="00524322" w14:paraId="4BA36349" w14:textId="77777777" w:rsidTr="00834BAF">
        <w:tc>
          <w:tcPr>
            <w:tcW w:w="444" w:type="pct"/>
            <w:tcBorders>
              <w:top w:val="single" w:sz="4" w:space="0" w:color="auto"/>
              <w:left w:val="single" w:sz="4" w:space="0" w:color="auto"/>
              <w:bottom w:val="single" w:sz="4" w:space="0" w:color="auto"/>
              <w:right w:val="single" w:sz="4" w:space="0" w:color="auto"/>
            </w:tcBorders>
          </w:tcPr>
          <w:p w14:paraId="2EE14CD9" w14:textId="32997E22" w:rsidR="00B827DE" w:rsidRPr="00524322" w:rsidRDefault="00B827DE" w:rsidP="00B3022A">
            <w:pPr>
              <w:pStyle w:val="naiskr"/>
              <w:ind w:left="180" w:hanging="180"/>
              <w:jc w:val="center"/>
            </w:pPr>
            <w:r w:rsidRPr="00524322">
              <w:lastRenderedPageBreak/>
              <w:t>2.</w:t>
            </w:r>
          </w:p>
        </w:tc>
        <w:tc>
          <w:tcPr>
            <w:tcW w:w="1445" w:type="pct"/>
            <w:tcBorders>
              <w:top w:val="single" w:sz="4" w:space="0" w:color="auto"/>
              <w:left w:val="single" w:sz="4" w:space="0" w:color="auto"/>
              <w:bottom w:val="single" w:sz="4" w:space="0" w:color="auto"/>
              <w:right w:val="single" w:sz="4" w:space="0" w:color="auto"/>
            </w:tcBorders>
          </w:tcPr>
          <w:p w14:paraId="144DE94A" w14:textId="4588BE8F" w:rsidR="00B827DE" w:rsidRPr="00524322" w:rsidRDefault="00B827DE" w:rsidP="00B3022A">
            <w:pPr>
              <w:pStyle w:val="naiskr"/>
              <w:ind w:left="180" w:hanging="10"/>
            </w:pPr>
            <w:r w:rsidRPr="00524322">
              <w:t>Sabiedrības līdzdalība projekta izstrādē</w:t>
            </w:r>
          </w:p>
        </w:tc>
        <w:tc>
          <w:tcPr>
            <w:tcW w:w="3111" w:type="pct"/>
            <w:vMerge w:val="restart"/>
            <w:tcBorders>
              <w:top w:val="single" w:sz="4" w:space="0" w:color="auto"/>
              <w:left w:val="single" w:sz="4" w:space="0" w:color="auto"/>
              <w:right w:val="single" w:sz="4" w:space="0" w:color="auto"/>
            </w:tcBorders>
            <w:vAlign w:val="center"/>
          </w:tcPr>
          <w:p w14:paraId="0BFB882A" w14:textId="0BBEA76F" w:rsidR="00B827DE" w:rsidRDefault="00B827DE" w:rsidP="00B3022A">
            <w:pPr>
              <w:jc w:val="both"/>
              <w:rPr>
                <w:sz w:val="24"/>
              </w:rPr>
            </w:pPr>
            <w:r w:rsidRPr="002151B5">
              <w:rPr>
                <w:iCs/>
                <w:color w:val="000000" w:themeColor="text1"/>
                <w:sz w:val="24"/>
                <w:lang w:eastAsia="ar-SA"/>
              </w:rPr>
              <w:t>Individuālie sabiedrības</w:t>
            </w:r>
            <w:r w:rsidRPr="001620CE">
              <w:rPr>
                <w:iCs/>
                <w:color w:val="000000" w:themeColor="text1"/>
                <w:sz w:val="24"/>
                <w:lang w:eastAsia="ar-SA"/>
              </w:rPr>
              <w:t xml:space="preserve"> </w:t>
            </w:r>
            <w:r w:rsidRPr="002151B5">
              <w:rPr>
                <w:iCs/>
                <w:color w:val="000000" w:themeColor="text1"/>
                <w:sz w:val="24"/>
                <w:lang w:eastAsia="ar-SA"/>
              </w:rPr>
              <w:t xml:space="preserve">locekļu vērtējumi par noteikumu </w:t>
            </w:r>
            <w:r w:rsidRPr="00524322">
              <w:rPr>
                <w:iCs/>
                <w:sz w:val="24"/>
                <w:lang w:eastAsia="ar-SA"/>
              </w:rPr>
              <w:t xml:space="preserve">projektu </w:t>
            </w:r>
            <w:r w:rsidR="00A33FA9">
              <w:rPr>
                <w:iCs/>
                <w:sz w:val="24"/>
                <w:lang w:eastAsia="ar-SA"/>
              </w:rPr>
              <w:t>netika</w:t>
            </w:r>
            <w:r>
              <w:rPr>
                <w:iCs/>
                <w:sz w:val="24"/>
                <w:lang w:eastAsia="ar-SA"/>
              </w:rPr>
              <w:t xml:space="preserve"> saņemti.</w:t>
            </w:r>
          </w:p>
        </w:tc>
      </w:tr>
      <w:tr w:rsidR="00B827DE" w:rsidRPr="00524322" w14:paraId="1351400F" w14:textId="77777777" w:rsidTr="00834BAF">
        <w:tc>
          <w:tcPr>
            <w:tcW w:w="444" w:type="pct"/>
            <w:tcBorders>
              <w:top w:val="single" w:sz="4" w:space="0" w:color="auto"/>
              <w:left w:val="single" w:sz="4" w:space="0" w:color="auto"/>
              <w:bottom w:val="single" w:sz="4" w:space="0" w:color="auto"/>
              <w:right w:val="single" w:sz="4" w:space="0" w:color="auto"/>
            </w:tcBorders>
          </w:tcPr>
          <w:p w14:paraId="5074AD6A" w14:textId="2F134103" w:rsidR="00B827DE" w:rsidRPr="00524322" w:rsidRDefault="00B827DE" w:rsidP="00B3022A">
            <w:pPr>
              <w:pStyle w:val="naiskr"/>
              <w:ind w:left="180" w:hanging="180"/>
              <w:jc w:val="center"/>
            </w:pPr>
            <w:r w:rsidRPr="00524322">
              <w:t>3.</w:t>
            </w:r>
          </w:p>
        </w:tc>
        <w:tc>
          <w:tcPr>
            <w:tcW w:w="1445" w:type="pct"/>
            <w:tcBorders>
              <w:top w:val="single" w:sz="4" w:space="0" w:color="auto"/>
              <w:left w:val="single" w:sz="4" w:space="0" w:color="auto"/>
              <w:bottom w:val="single" w:sz="4" w:space="0" w:color="auto"/>
              <w:right w:val="single" w:sz="4" w:space="0" w:color="auto"/>
            </w:tcBorders>
          </w:tcPr>
          <w:p w14:paraId="272DA229" w14:textId="10B1E776" w:rsidR="00B827DE" w:rsidRPr="00524322" w:rsidRDefault="00B827DE" w:rsidP="00B3022A">
            <w:pPr>
              <w:pStyle w:val="naiskr"/>
              <w:ind w:left="180" w:hanging="10"/>
            </w:pPr>
            <w:r w:rsidRPr="00524322">
              <w:t>Sabiedrības līdzdalības rezultāti</w:t>
            </w:r>
          </w:p>
        </w:tc>
        <w:tc>
          <w:tcPr>
            <w:tcW w:w="3111" w:type="pct"/>
            <w:vMerge/>
            <w:tcBorders>
              <w:left w:val="single" w:sz="4" w:space="0" w:color="auto"/>
              <w:bottom w:val="single" w:sz="4" w:space="0" w:color="auto"/>
              <w:right w:val="single" w:sz="4" w:space="0" w:color="auto"/>
            </w:tcBorders>
            <w:vAlign w:val="center"/>
          </w:tcPr>
          <w:p w14:paraId="1CB2D2E4" w14:textId="77777777" w:rsidR="00B827DE" w:rsidRPr="002151B5" w:rsidRDefault="00B827DE" w:rsidP="00B3022A">
            <w:pPr>
              <w:jc w:val="both"/>
              <w:rPr>
                <w:iCs/>
                <w:color w:val="000000" w:themeColor="text1"/>
                <w:sz w:val="24"/>
                <w:lang w:eastAsia="ar-SA"/>
              </w:rPr>
            </w:pPr>
          </w:p>
        </w:tc>
      </w:tr>
      <w:tr w:rsidR="00B3022A" w:rsidRPr="00524322" w14:paraId="07B390F9" w14:textId="77777777" w:rsidTr="00834BAF">
        <w:trPr>
          <w:trHeight w:val="615"/>
        </w:trPr>
        <w:tc>
          <w:tcPr>
            <w:tcW w:w="444" w:type="pct"/>
            <w:tcBorders>
              <w:top w:val="single" w:sz="4" w:space="0" w:color="auto"/>
              <w:left w:val="single" w:sz="4" w:space="0" w:color="auto"/>
              <w:bottom w:val="single" w:sz="4" w:space="0" w:color="auto"/>
              <w:right w:val="single" w:sz="4" w:space="0" w:color="auto"/>
            </w:tcBorders>
          </w:tcPr>
          <w:p w14:paraId="00B748D4" w14:textId="0ECD4FED" w:rsidR="00B3022A" w:rsidRPr="00524322" w:rsidRDefault="00B3022A" w:rsidP="00B3022A">
            <w:pPr>
              <w:pStyle w:val="naiskr"/>
              <w:ind w:left="180" w:hanging="180"/>
              <w:jc w:val="center"/>
            </w:pPr>
            <w:r w:rsidRPr="00524322">
              <w:t>4.</w:t>
            </w:r>
          </w:p>
        </w:tc>
        <w:tc>
          <w:tcPr>
            <w:tcW w:w="1445" w:type="pct"/>
            <w:tcBorders>
              <w:top w:val="single" w:sz="4" w:space="0" w:color="auto"/>
              <w:left w:val="single" w:sz="4" w:space="0" w:color="auto"/>
              <w:bottom w:val="single" w:sz="4" w:space="0" w:color="auto"/>
              <w:right w:val="single" w:sz="4" w:space="0" w:color="auto"/>
            </w:tcBorders>
          </w:tcPr>
          <w:p w14:paraId="1271AE6E" w14:textId="75800069" w:rsidR="00B3022A" w:rsidRPr="00524322" w:rsidRDefault="00B3022A" w:rsidP="00B3022A">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tcPr>
          <w:p w14:paraId="2E3D7B65" w14:textId="4A9CC560" w:rsidR="00B3022A" w:rsidRPr="002151B5" w:rsidRDefault="00B3022A" w:rsidP="00B3022A">
            <w:pPr>
              <w:jc w:val="both"/>
              <w:rPr>
                <w:iCs/>
                <w:color w:val="000000" w:themeColor="text1"/>
                <w:sz w:val="24"/>
                <w:lang w:eastAsia="ar-SA"/>
              </w:rPr>
            </w:pPr>
            <w:r>
              <w:rPr>
                <w:sz w:val="24"/>
              </w:rPr>
              <w:t>Nav.</w:t>
            </w:r>
          </w:p>
        </w:tc>
      </w:tr>
    </w:tbl>
    <w:p w14:paraId="5A08AEC2" w14:textId="77777777" w:rsidR="00834BAF" w:rsidRDefault="00834BAF"/>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204"/>
        <w:gridCol w:w="6053"/>
      </w:tblGrid>
      <w:tr w:rsidR="00BC420F" w:rsidRPr="00D42CC4" w14:paraId="1D36E48F" w14:textId="77777777" w:rsidTr="00342C2B">
        <w:tc>
          <w:tcPr>
            <w:tcW w:w="5000" w:type="pct"/>
            <w:gridSpan w:val="3"/>
            <w:tcBorders>
              <w:top w:val="single" w:sz="4" w:space="0" w:color="auto"/>
              <w:left w:val="single" w:sz="4" w:space="0" w:color="auto"/>
              <w:bottom w:val="single" w:sz="4" w:space="0" w:color="auto"/>
              <w:right w:val="single" w:sz="4" w:space="0" w:color="auto"/>
            </w:tcBorders>
            <w:vAlign w:val="center"/>
          </w:tcPr>
          <w:p w14:paraId="353068F2" w14:textId="77777777" w:rsidR="00BC420F" w:rsidRPr="0058204F" w:rsidRDefault="00BC420F" w:rsidP="00342C2B">
            <w:pPr>
              <w:jc w:val="center"/>
              <w:rPr>
                <w:b/>
                <w:sz w:val="24"/>
              </w:rPr>
            </w:pPr>
            <w:r w:rsidRPr="0058204F">
              <w:rPr>
                <w:b/>
                <w:sz w:val="24"/>
              </w:rPr>
              <w:t>VII. Tiesību akta projekta izpildes nodrošināšana un tās ietekme uz institūcijām</w:t>
            </w:r>
          </w:p>
        </w:tc>
      </w:tr>
      <w:tr w:rsidR="00FB2140" w:rsidRPr="00D42CC4" w14:paraId="5729125C"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5DEAF0DA" w14:textId="77777777" w:rsidR="00FB2140" w:rsidRPr="00D42CC4" w:rsidRDefault="00FB2140" w:rsidP="00774EBA">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14:paraId="1926D029" w14:textId="77777777" w:rsidR="00FB2140" w:rsidRPr="00D42CC4" w:rsidRDefault="00FB2140" w:rsidP="00342C2B">
            <w:pPr>
              <w:pStyle w:val="naiskr"/>
              <w:spacing w:before="0" w:after="0"/>
              <w:ind w:hanging="10"/>
            </w:pPr>
            <w:r w:rsidRPr="00D42CC4">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14:paraId="010C7D21" w14:textId="77777777" w:rsidR="00FB2140" w:rsidRPr="00FF7639" w:rsidRDefault="00FB2140" w:rsidP="0084755A">
            <w:pPr>
              <w:jc w:val="both"/>
              <w:rPr>
                <w:sz w:val="24"/>
              </w:rPr>
            </w:pPr>
            <w:r w:rsidRPr="00FF7639">
              <w:rPr>
                <w:sz w:val="24"/>
              </w:rPr>
              <w:t>Noteikumu normu ievērošanu darba tiesisko attiecību jomā uzraudzīs Valsts darba inspekcija, bet darba ņēmēju darba algas norādīšanu darba devēja ziņojumā par valsts sociālās apdrošināšanas obligātajām iemaksām no darba ņēmēju darba ienākumiem, iedzīvotāju ienākuma nodokli un uzņēmējdarbības riska valsts nodevu pārskata mēnesī – Valsts ieņēmumu dienests.</w:t>
            </w:r>
          </w:p>
        </w:tc>
      </w:tr>
      <w:tr w:rsidR="00FB2140" w:rsidRPr="00D42CC4" w14:paraId="6E414354"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5DB2362D" w14:textId="77777777" w:rsidR="00FB2140" w:rsidRPr="00D42CC4" w:rsidRDefault="00FB2140" w:rsidP="00774EBA">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14:paraId="18D55117" w14:textId="77777777" w:rsidR="00FB2140" w:rsidRPr="00142DD9" w:rsidRDefault="00FB2140" w:rsidP="00342C2B">
            <w:pPr>
              <w:rPr>
                <w:sz w:val="24"/>
              </w:rPr>
            </w:pPr>
            <w:r w:rsidRPr="00142DD9">
              <w:rPr>
                <w:sz w:val="24"/>
              </w:rPr>
              <w:t xml:space="preserve">Projekta izpildes ietekme uz pārvaldes funkcijām </w:t>
            </w:r>
            <w:r w:rsidRPr="00142DD9">
              <w:rPr>
                <w:sz w:val="24"/>
              </w:rPr>
              <w:lastRenderedPageBreak/>
              <w:t>un institucionālo struktūru.</w:t>
            </w:r>
          </w:p>
          <w:p w14:paraId="4A9492AE" w14:textId="77777777" w:rsidR="00FB2140" w:rsidRPr="00142DD9" w:rsidRDefault="00FB2140" w:rsidP="00342C2B">
            <w:pPr>
              <w:pStyle w:val="naiskr"/>
              <w:spacing w:before="0" w:after="0"/>
              <w:ind w:hanging="10"/>
            </w:pPr>
            <w:r w:rsidRPr="00142DD9">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14:paraId="40CC074F" w14:textId="67CB4F67" w:rsidR="00FB2140" w:rsidRPr="00D42CC4" w:rsidRDefault="00E12524" w:rsidP="0084755A">
            <w:pPr>
              <w:jc w:val="both"/>
              <w:rPr>
                <w:sz w:val="24"/>
              </w:rPr>
            </w:pPr>
            <w:r>
              <w:rPr>
                <w:sz w:val="24"/>
              </w:rPr>
              <w:lastRenderedPageBreak/>
              <w:t>Noteikumu p</w:t>
            </w:r>
            <w:r w:rsidR="00FB2140" w:rsidRPr="00D42CC4">
              <w:rPr>
                <w:sz w:val="24"/>
              </w:rPr>
              <w:t xml:space="preserve">rojekts Valsts darba inspekcijas </w:t>
            </w:r>
            <w:r w:rsidR="00FB2140">
              <w:rPr>
                <w:sz w:val="24"/>
              </w:rPr>
              <w:t xml:space="preserve">un Valsts ieņēmumu dienesta </w:t>
            </w:r>
            <w:r w:rsidR="00FB2140" w:rsidRPr="00D42CC4">
              <w:rPr>
                <w:sz w:val="24"/>
              </w:rPr>
              <w:t xml:space="preserve">funkcijas neietekmēs, jo </w:t>
            </w:r>
            <w:r w:rsidR="00FB2140">
              <w:rPr>
                <w:sz w:val="24"/>
              </w:rPr>
              <w:t xml:space="preserve">minētās iestādes </w:t>
            </w:r>
            <w:r w:rsidR="00FB2140">
              <w:rPr>
                <w:sz w:val="24"/>
              </w:rPr>
              <w:lastRenderedPageBreak/>
              <w:t>šīs funkcijas veic jau pašreiz atbilstoši citiem normatīvajiem aktiem</w:t>
            </w:r>
            <w:r w:rsidR="00FB2140" w:rsidRPr="00D42CC4">
              <w:rPr>
                <w:sz w:val="24"/>
              </w:rPr>
              <w:t>.</w:t>
            </w:r>
          </w:p>
        </w:tc>
      </w:tr>
      <w:tr w:rsidR="00BC420F" w:rsidRPr="00D42CC4" w14:paraId="16AEC2AC"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58C0E15B" w14:textId="77777777" w:rsidR="00BC420F" w:rsidRPr="00D42CC4" w:rsidRDefault="00BC420F" w:rsidP="00774EBA">
            <w:pPr>
              <w:pStyle w:val="naiskr"/>
              <w:ind w:left="180" w:hanging="180"/>
              <w:jc w:val="center"/>
            </w:pPr>
            <w:r>
              <w:lastRenderedPageBreak/>
              <w:t>3</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14:paraId="7A923300" w14:textId="77777777" w:rsidR="00BC420F" w:rsidRPr="00D42CC4" w:rsidRDefault="00BC420F" w:rsidP="00342C2B">
            <w:pPr>
              <w:pStyle w:val="naisf"/>
              <w:ind w:left="170"/>
              <w:jc w:val="left"/>
              <w:rPr>
                <w:lang w:val="lv-LV"/>
              </w:rPr>
            </w:pPr>
            <w:r w:rsidRPr="00D42CC4">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14:paraId="55BB8A20" w14:textId="77777777" w:rsidR="00BC420F" w:rsidRPr="00D42CC4" w:rsidRDefault="00BC420F" w:rsidP="00342C2B">
            <w:pPr>
              <w:rPr>
                <w:sz w:val="24"/>
              </w:rPr>
            </w:pPr>
            <w:r w:rsidRPr="00D42CC4">
              <w:rPr>
                <w:sz w:val="24"/>
              </w:rPr>
              <w:t>Nav.</w:t>
            </w:r>
          </w:p>
        </w:tc>
      </w:tr>
    </w:tbl>
    <w:p w14:paraId="496EFA2E" w14:textId="77777777" w:rsidR="00A26246" w:rsidRDefault="00A26246" w:rsidP="00CF46BE">
      <w:pPr>
        <w:jc w:val="both"/>
        <w:rPr>
          <w:szCs w:val="28"/>
        </w:rPr>
      </w:pPr>
    </w:p>
    <w:p w14:paraId="7B6D0BF2" w14:textId="77777777" w:rsidR="00750481" w:rsidRDefault="00750481" w:rsidP="00CF46BE">
      <w:pPr>
        <w:jc w:val="both"/>
        <w:rPr>
          <w:szCs w:val="28"/>
        </w:rPr>
      </w:pPr>
    </w:p>
    <w:p w14:paraId="2170303D" w14:textId="77777777" w:rsidR="00750481" w:rsidRPr="003D2DDC" w:rsidRDefault="00750481" w:rsidP="00CF46BE">
      <w:pPr>
        <w:jc w:val="both"/>
        <w:rPr>
          <w:szCs w:val="28"/>
        </w:rPr>
      </w:pPr>
    </w:p>
    <w:p w14:paraId="67F7483C" w14:textId="77777777" w:rsidR="00CF6FAE" w:rsidRPr="00524322" w:rsidRDefault="00CF6FAE" w:rsidP="00CF6FAE">
      <w:pPr>
        <w:autoSpaceDE w:val="0"/>
        <w:autoSpaceDN w:val="0"/>
        <w:adjustRightInd w:val="0"/>
        <w:ind w:firstLine="720"/>
      </w:pPr>
      <w:r w:rsidRPr="00524322">
        <w:t>Labklājības ministr</w:t>
      </w:r>
      <w:r>
        <w:t>e</w:t>
      </w:r>
      <w:r w:rsidRPr="00524322">
        <w:tab/>
      </w:r>
      <w:r w:rsidRPr="00524322">
        <w:tab/>
      </w:r>
      <w:r w:rsidRPr="00524322">
        <w:tab/>
      </w:r>
      <w:r w:rsidRPr="00524322">
        <w:tab/>
      </w:r>
      <w:r>
        <w:tab/>
      </w:r>
      <w:r>
        <w:tab/>
      </w:r>
      <w:proofErr w:type="spellStart"/>
      <w:r>
        <w:t>R.Petraviča</w:t>
      </w:r>
      <w:proofErr w:type="spellEnd"/>
    </w:p>
    <w:p w14:paraId="149B08DB" w14:textId="77777777" w:rsidR="00CF6FAE" w:rsidRDefault="00CF6FAE" w:rsidP="00CF6FAE">
      <w:pPr>
        <w:jc w:val="both"/>
        <w:rPr>
          <w:szCs w:val="28"/>
        </w:rPr>
      </w:pPr>
    </w:p>
    <w:p w14:paraId="1AAF71FB" w14:textId="77777777" w:rsidR="00CF6FAE" w:rsidRDefault="00CF6FAE" w:rsidP="00CF6FAE">
      <w:pPr>
        <w:jc w:val="both"/>
        <w:rPr>
          <w:szCs w:val="28"/>
        </w:rPr>
      </w:pPr>
    </w:p>
    <w:p w14:paraId="57B47B68" w14:textId="77777777" w:rsidR="00CF6FAE" w:rsidRDefault="00CF6FAE" w:rsidP="00CF6FAE">
      <w:pPr>
        <w:jc w:val="both"/>
        <w:rPr>
          <w:szCs w:val="28"/>
        </w:rPr>
      </w:pPr>
    </w:p>
    <w:p w14:paraId="400F0DA5" w14:textId="1A252B3C" w:rsidR="007D37DD" w:rsidRDefault="007D37DD" w:rsidP="00CF6FAE">
      <w:pPr>
        <w:jc w:val="both"/>
        <w:rPr>
          <w:szCs w:val="28"/>
        </w:rPr>
      </w:pPr>
    </w:p>
    <w:p w14:paraId="1EF85FB6" w14:textId="397C8476" w:rsidR="00834BAF" w:rsidRDefault="00834BAF" w:rsidP="00CF6FAE">
      <w:pPr>
        <w:jc w:val="both"/>
        <w:rPr>
          <w:szCs w:val="28"/>
        </w:rPr>
      </w:pPr>
    </w:p>
    <w:p w14:paraId="78F2774F" w14:textId="08D806BE" w:rsidR="00834BAF" w:rsidRDefault="00834BAF" w:rsidP="00CF6FAE">
      <w:pPr>
        <w:jc w:val="both"/>
        <w:rPr>
          <w:szCs w:val="28"/>
        </w:rPr>
      </w:pPr>
    </w:p>
    <w:p w14:paraId="62875002" w14:textId="7C154446" w:rsidR="00834BAF" w:rsidRDefault="00834BAF" w:rsidP="00CF6FAE">
      <w:pPr>
        <w:jc w:val="both"/>
        <w:rPr>
          <w:szCs w:val="28"/>
        </w:rPr>
      </w:pPr>
    </w:p>
    <w:p w14:paraId="56E932AE" w14:textId="4B4A23CA" w:rsidR="00834BAF" w:rsidRDefault="00834BAF" w:rsidP="00CF6FAE">
      <w:pPr>
        <w:jc w:val="both"/>
        <w:rPr>
          <w:szCs w:val="28"/>
        </w:rPr>
      </w:pPr>
    </w:p>
    <w:p w14:paraId="764BC968" w14:textId="547A907E" w:rsidR="00834BAF" w:rsidRDefault="00834BAF" w:rsidP="00CF6FAE">
      <w:pPr>
        <w:jc w:val="both"/>
        <w:rPr>
          <w:szCs w:val="28"/>
        </w:rPr>
      </w:pPr>
    </w:p>
    <w:p w14:paraId="7D061965" w14:textId="6E093FE9" w:rsidR="00834BAF" w:rsidRDefault="00834BAF" w:rsidP="00CF6FAE">
      <w:pPr>
        <w:jc w:val="both"/>
        <w:rPr>
          <w:szCs w:val="28"/>
        </w:rPr>
      </w:pPr>
    </w:p>
    <w:p w14:paraId="73E5B02C" w14:textId="4DA482CB" w:rsidR="00834BAF" w:rsidRDefault="00834BAF" w:rsidP="00CF6FAE">
      <w:pPr>
        <w:jc w:val="both"/>
        <w:rPr>
          <w:szCs w:val="28"/>
        </w:rPr>
      </w:pPr>
    </w:p>
    <w:p w14:paraId="3B3A747F" w14:textId="4C94024E" w:rsidR="00834BAF" w:rsidRDefault="00834BAF" w:rsidP="00CF6FAE">
      <w:pPr>
        <w:jc w:val="both"/>
        <w:rPr>
          <w:szCs w:val="28"/>
        </w:rPr>
      </w:pPr>
    </w:p>
    <w:p w14:paraId="65293FD4" w14:textId="7A828B84" w:rsidR="00834BAF" w:rsidRDefault="00834BAF" w:rsidP="00CF6FAE">
      <w:pPr>
        <w:jc w:val="both"/>
        <w:rPr>
          <w:szCs w:val="28"/>
        </w:rPr>
      </w:pPr>
    </w:p>
    <w:p w14:paraId="7D2F4F8B" w14:textId="77777777" w:rsidR="00834BAF" w:rsidRDefault="00834BAF" w:rsidP="00CF6FAE">
      <w:pPr>
        <w:jc w:val="both"/>
        <w:rPr>
          <w:szCs w:val="28"/>
        </w:rPr>
      </w:pPr>
    </w:p>
    <w:p w14:paraId="1C8B5609" w14:textId="77777777" w:rsidR="007D37DD" w:rsidRDefault="007D37DD" w:rsidP="00CF6FAE">
      <w:pPr>
        <w:jc w:val="both"/>
        <w:rPr>
          <w:szCs w:val="28"/>
        </w:rPr>
      </w:pPr>
    </w:p>
    <w:p w14:paraId="28706665" w14:textId="77777777" w:rsidR="007D37DD" w:rsidRDefault="007D37DD" w:rsidP="00CF6FAE">
      <w:pPr>
        <w:jc w:val="both"/>
        <w:rPr>
          <w:szCs w:val="28"/>
        </w:rPr>
      </w:pPr>
    </w:p>
    <w:p w14:paraId="7B150356" w14:textId="77777777" w:rsidR="00CF6FAE" w:rsidRPr="00A944BE" w:rsidRDefault="00CF6FAE" w:rsidP="00CF6FAE">
      <w:pPr>
        <w:rPr>
          <w:bCs/>
          <w:sz w:val="20"/>
          <w:szCs w:val="20"/>
        </w:rPr>
      </w:pPr>
      <w:proofErr w:type="spellStart"/>
      <w:r w:rsidRPr="00A944BE">
        <w:rPr>
          <w:bCs/>
          <w:sz w:val="20"/>
          <w:szCs w:val="20"/>
        </w:rPr>
        <w:t>A.Liepiņa</w:t>
      </w:r>
      <w:proofErr w:type="spellEnd"/>
      <w:r w:rsidRPr="00A944BE">
        <w:rPr>
          <w:bCs/>
          <w:sz w:val="20"/>
          <w:szCs w:val="20"/>
        </w:rPr>
        <w:t>,</w:t>
      </w:r>
    </w:p>
    <w:p w14:paraId="702DE17E" w14:textId="77777777" w:rsidR="00BD2307" w:rsidRPr="00DB19A5" w:rsidRDefault="00CF6FAE" w:rsidP="00CF6FAE">
      <w:pPr>
        <w:rPr>
          <w:sz w:val="22"/>
          <w:szCs w:val="22"/>
        </w:rPr>
      </w:pPr>
      <w:r w:rsidRPr="00A944BE">
        <w:rPr>
          <w:sz w:val="20"/>
          <w:szCs w:val="20"/>
        </w:rPr>
        <w:t>67021519, Aina.Liepina@lm.gov.lv</w:t>
      </w:r>
    </w:p>
    <w:sectPr w:rsidR="00BD2307" w:rsidRPr="00DB19A5" w:rsidSect="00293D2A">
      <w:headerReference w:type="even" r:id="rId11"/>
      <w:headerReference w:type="default" r:id="rId12"/>
      <w:footerReference w:type="default" r:id="rId13"/>
      <w:footerReference w:type="first" r:id="rId14"/>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D3EC1" w14:textId="77777777" w:rsidR="007E61DF" w:rsidRDefault="007E61DF">
      <w:r>
        <w:separator/>
      </w:r>
    </w:p>
  </w:endnote>
  <w:endnote w:type="continuationSeparator" w:id="0">
    <w:p w14:paraId="3E8760FF" w14:textId="77777777" w:rsidR="007E61DF" w:rsidRDefault="007E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13D7" w14:textId="2EC5B7A9" w:rsidR="00A94A81" w:rsidRPr="00A94A81" w:rsidRDefault="00A94A81" w:rsidP="00A94A81">
    <w:pPr>
      <w:pStyle w:val="Subtitle"/>
      <w:spacing w:after="0"/>
      <w:jc w:val="both"/>
      <w:rPr>
        <w:sz w:val="18"/>
        <w:szCs w:val="18"/>
      </w:rPr>
    </w:pPr>
    <w:r w:rsidRPr="00830546">
      <w:rPr>
        <w:b w:val="0"/>
        <w:sz w:val="18"/>
        <w:szCs w:val="18"/>
      </w:rPr>
      <w:t>LMAnot_</w:t>
    </w:r>
    <w:r w:rsidR="00121BA0">
      <w:rPr>
        <w:b w:val="0"/>
        <w:sz w:val="18"/>
        <w:szCs w:val="18"/>
      </w:rPr>
      <w:t>0608</w:t>
    </w:r>
    <w:r w:rsidR="00093B32">
      <w:rPr>
        <w:b w:val="0"/>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BE8C" w14:textId="05674DE5" w:rsidR="00A94A81" w:rsidRPr="00A94A81" w:rsidRDefault="00A94A81" w:rsidP="00A94A81">
    <w:pPr>
      <w:pStyle w:val="Subtitle"/>
      <w:spacing w:after="0"/>
      <w:jc w:val="both"/>
      <w:rPr>
        <w:sz w:val="18"/>
        <w:szCs w:val="18"/>
      </w:rPr>
    </w:pPr>
    <w:r w:rsidRPr="00830546">
      <w:rPr>
        <w:b w:val="0"/>
        <w:sz w:val="18"/>
        <w:szCs w:val="18"/>
      </w:rPr>
      <w:t>LMAnot_</w:t>
    </w:r>
    <w:r w:rsidR="00121BA0">
      <w:rPr>
        <w:b w:val="0"/>
        <w:sz w:val="18"/>
        <w:szCs w:val="18"/>
      </w:rPr>
      <w:t>0608</w:t>
    </w:r>
    <w:r w:rsidR="00093B32">
      <w:rPr>
        <w:b w:val="0"/>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FD2B" w14:textId="77777777" w:rsidR="007E61DF" w:rsidRDefault="007E61DF">
      <w:r>
        <w:separator/>
      </w:r>
    </w:p>
  </w:footnote>
  <w:footnote w:type="continuationSeparator" w:id="0">
    <w:p w14:paraId="6721C3C7" w14:textId="77777777" w:rsidR="007E61DF" w:rsidRDefault="007E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CB24" w14:textId="77777777" w:rsidR="006F6006" w:rsidRDefault="006F600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AE1AB" w14:textId="77777777" w:rsidR="006F6006" w:rsidRDefault="006F6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789B" w14:textId="77777777" w:rsidR="006F6006" w:rsidRDefault="006F600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904">
      <w:rPr>
        <w:rStyle w:val="PageNumber"/>
        <w:noProof/>
      </w:rPr>
      <w:t>11</w:t>
    </w:r>
    <w:r>
      <w:rPr>
        <w:rStyle w:val="PageNumber"/>
      </w:rPr>
      <w:fldChar w:fldCharType="end"/>
    </w:r>
  </w:p>
  <w:p w14:paraId="3622ACBF" w14:textId="77777777" w:rsidR="006F6006" w:rsidRDefault="006F6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46032"/>
    <w:multiLevelType w:val="hybridMultilevel"/>
    <w:tmpl w:val="B27CF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BF2CD4"/>
    <w:multiLevelType w:val="hybridMultilevel"/>
    <w:tmpl w:val="07B279C8"/>
    <w:lvl w:ilvl="0" w:tplc="226629A4">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 w15:restartNumberingAfterBreak="0">
    <w:nsid w:val="6F101106"/>
    <w:multiLevelType w:val="multilevel"/>
    <w:tmpl w:val="470CF0FE"/>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2"/>
      </w:rPr>
    </w:lvl>
    <w:lvl w:ilvl="2">
      <w:start w:val="1"/>
      <w:numFmt w:val="decimal"/>
      <w:lvlText w:val="%1.%2.%3."/>
      <w:lvlJc w:val="left"/>
      <w:pPr>
        <w:ind w:left="1178" w:hanging="720"/>
      </w:pPr>
      <w:rPr>
        <w:rFonts w:hint="default"/>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3" w15:restartNumberingAfterBreak="0">
    <w:nsid w:val="75691F23"/>
    <w:multiLevelType w:val="hybridMultilevel"/>
    <w:tmpl w:val="3FB0CDE6"/>
    <w:lvl w:ilvl="0" w:tplc="79367BD0">
      <w:start w:val="4"/>
      <w:numFmt w:val="bullet"/>
      <w:lvlText w:val="–"/>
      <w:lvlJc w:val="left"/>
      <w:pPr>
        <w:ind w:left="1211" w:hanging="360"/>
      </w:pPr>
      <w:rPr>
        <w:rFonts w:ascii="Times New Roman" w:eastAsia="Calibr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7E8D36E2"/>
    <w:multiLevelType w:val="hybridMultilevel"/>
    <w:tmpl w:val="E1422848"/>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7"/>
    <w:rsid w:val="00000A9C"/>
    <w:rsid w:val="0000125E"/>
    <w:rsid w:val="00004205"/>
    <w:rsid w:val="00004D14"/>
    <w:rsid w:val="000075C8"/>
    <w:rsid w:val="00007A9D"/>
    <w:rsid w:val="00010EF3"/>
    <w:rsid w:val="0001150F"/>
    <w:rsid w:val="00012046"/>
    <w:rsid w:val="000131D4"/>
    <w:rsid w:val="00013542"/>
    <w:rsid w:val="00013687"/>
    <w:rsid w:val="0001451A"/>
    <w:rsid w:val="000155D7"/>
    <w:rsid w:val="0001753D"/>
    <w:rsid w:val="00022E55"/>
    <w:rsid w:val="0002351D"/>
    <w:rsid w:val="000235DC"/>
    <w:rsid w:val="00024D2B"/>
    <w:rsid w:val="00025CED"/>
    <w:rsid w:val="00030013"/>
    <w:rsid w:val="00031426"/>
    <w:rsid w:val="000329E7"/>
    <w:rsid w:val="00032E7D"/>
    <w:rsid w:val="00033476"/>
    <w:rsid w:val="000341A3"/>
    <w:rsid w:val="00035B67"/>
    <w:rsid w:val="00036F86"/>
    <w:rsid w:val="00037F87"/>
    <w:rsid w:val="0004039E"/>
    <w:rsid w:val="0004150E"/>
    <w:rsid w:val="00041642"/>
    <w:rsid w:val="00041B4A"/>
    <w:rsid w:val="00044E30"/>
    <w:rsid w:val="00045B2C"/>
    <w:rsid w:val="00053592"/>
    <w:rsid w:val="00061713"/>
    <w:rsid w:val="00062C56"/>
    <w:rsid w:val="000648DD"/>
    <w:rsid w:val="00064E71"/>
    <w:rsid w:val="00065397"/>
    <w:rsid w:val="00066392"/>
    <w:rsid w:val="000702BD"/>
    <w:rsid w:val="00070CCC"/>
    <w:rsid w:val="00071E26"/>
    <w:rsid w:val="00076F58"/>
    <w:rsid w:val="0008046F"/>
    <w:rsid w:val="000819C3"/>
    <w:rsid w:val="000825F3"/>
    <w:rsid w:val="00085D1A"/>
    <w:rsid w:val="00086251"/>
    <w:rsid w:val="00086ADC"/>
    <w:rsid w:val="000872B3"/>
    <w:rsid w:val="000917B9"/>
    <w:rsid w:val="00092F63"/>
    <w:rsid w:val="00093296"/>
    <w:rsid w:val="00093558"/>
    <w:rsid w:val="00093B32"/>
    <w:rsid w:val="00094C48"/>
    <w:rsid w:val="00094D3D"/>
    <w:rsid w:val="00096697"/>
    <w:rsid w:val="00097104"/>
    <w:rsid w:val="00097BB1"/>
    <w:rsid w:val="000A0445"/>
    <w:rsid w:val="000A0A96"/>
    <w:rsid w:val="000A100A"/>
    <w:rsid w:val="000A42FA"/>
    <w:rsid w:val="000A4A65"/>
    <w:rsid w:val="000A6DBE"/>
    <w:rsid w:val="000A73C1"/>
    <w:rsid w:val="000B19E1"/>
    <w:rsid w:val="000C2648"/>
    <w:rsid w:val="000C36E5"/>
    <w:rsid w:val="000C3805"/>
    <w:rsid w:val="000C3D1A"/>
    <w:rsid w:val="000C4CB8"/>
    <w:rsid w:val="000D0A5D"/>
    <w:rsid w:val="000D1FFE"/>
    <w:rsid w:val="000D4435"/>
    <w:rsid w:val="000D4A1E"/>
    <w:rsid w:val="000D53FA"/>
    <w:rsid w:val="000D6528"/>
    <w:rsid w:val="000D7DE8"/>
    <w:rsid w:val="000E01AA"/>
    <w:rsid w:val="000E17FF"/>
    <w:rsid w:val="000E1C7E"/>
    <w:rsid w:val="000E2E4E"/>
    <w:rsid w:val="000E53DA"/>
    <w:rsid w:val="000E7A5E"/>
    <w:rsid w:val="000F033F"/>
    <w:rsid w:val="000F16B2"/>
    <w:rsid w:val="000F31EE"/>
    <w:rsid w:val="000F322A"/>
    <w:rsid w:val="000F4B9A"/>
    <w:rsid w:val="000F515F"/>
    <w:rsid w:val="000F5DB0"/>
    <w:rsid w:val="000F6EB2"/>
    <w:rsid w:val="000F7EFB"/>
    <w:rsid w:val="00103030"/>
    <w:rsid w:val="00103B85"/>
    <w:rsid w:val="00105FA2"/>
    <w:rsid w:val="00106E2B"/>
    <w:rsid w:val="00106F9B"/>
    <w:rsid w:val="001071E2"/>
    <w:rsid w:val="00112F66"/>
    <w:rsid w:val="0011565C"/>
    <w:rsid w:val="001158F2"/>
    <w:rsid w:val="0011759A"/>
    <w:rsid w:val="00120498"/>
    <w:rsid w:val="00120BFC"/>
    <w:rsid w:val="00121BA0"/>
    <w:rsid w:val="00121FDE"/>
    <w:rsid w:val="001229F3"/>
    <w:rsid w:val="00122FA1"/>
    <w:rsid w:val="00124129"/>
    <w:rsid w:val="00124F71"/>
    <w:rsid w:val="00125BDF"/>
    <w:rsid w:val="00126C4E"/>
    <w:rsid w:val="00130445"/>
    <w:rsid w:val="00130509"/>
    <w:rsid w:val="00134C64"/>
    <w:rsid w:val="00135478"/>
    <w:rsid w:val="00136F66"/>
    <w:rsid w:val="001408C9"/>
    <w:rsid w:val="0014120F"/>
    <w:rsid w:val="00141FF9"/>
    <w:rsid w:val="00145737"/>
    <w:rsid w:val="00146A94"/>
    <w:rsid w:val="0014723C"/>
    <w:rsid w:val="00147B14"/>
    <w:rsid w:val="00147E05"/>
    <w:rsid w:val="00152613"/>
    <w:rsid w:val="00152786"/>
    <w:rsid w:val="00152A8A"/>
    <w:rsid w:val="001532EC"/>
    <w:rsid w:val="00153CD1"/>
    <w:rsid w:val="00155D75"/>
    <w:rsid w:val="00156BAB"/>
    <w:rsid w:val="0015732F"/>
    <w:rsid w:val="00157E52"/>
    <w:rsid w:val="00157F2C"/>
    <w:rsid w:val="001606C6"/>
    <w:rsid w:val="0016117B"/>
    <w:rsid w:val="00161459"/>
    <w:rsid w:val="00164ADD"/>
    <w:rsid w:val="00164DAB"/>
    <w:rsid w:val="0016742E"/>
    <w:rsid w:val="001675C5"/>
    <w:rsid w:val="00167AE7"/>
    <w:rsid w:val="00170B28"/>
    <w:rsid w:val="00171098"/>
    <w:rsid w:val="00172E2B"/>
    <w:rsid w:val="00175522"/>
    <w:rsid w:val="001756E3"/>
    <w:rsid w:val="00176AEA"/>
    <w:rsid w:val="001802CB"/>
    <w:rsid w:val="00182635"/>
    <w:rsid w:val="00182D5F"/>
    <w:rsid w:val="00183295"/>
    <w:rsid w:val="00183485"/>
    <w:rsid w:val="00187A95"/>
    <w:rsid w:val="00191701"/>
    <w:rsid w:val="00191DD6"/>
    <w:rsid w:val="001924E6"/>
    <w:rsid w:val="00194A10"/>
    <w:rsid w:val="00194B68"/>
    <w:rsid w:val="001A41B8"/>
    <w:rsid w:val="001A6C52"/>
    <w:rsid w:val="001B1F08"/>
    <w:rsid w:val="001B3263"/>
    <w:rsid w:val="001B373E"/>
    <w:rsid w:val="001C063B"/>
    <w:rsid w:val="001D06F5"/>
    <w:rsid w:val="001D13EC"/>
    <w:rsid w:val="001D5745"/>
    <w:rsid w:val="001D5D81"/>
    <w:rsid w:val="001E1301"/>
    <w:rsid w:val="001E16F0"/>
    <w:rsid w:val="001E30DF"/>
    <w:rsid w:val="001E48B1"/>
    <w:rsid w:val="001E6027"/>
    <w:rsid w:val="001E62D8"/>
    <w:rsid w:val="001E6CE3"/>
    <w:rsid w:val="001E7522"/>
    <w:rsid w:val="001F0022"/>
    <w:rsid w:val="001F201E"/>
    <w:rsid w:val="001F24E0"/>
    <w:rsid w:val="001F437A"/>
    <w:rsid w:val="001F4473"/>
    <w:rsid w:val="001F7D0C"/>
    <w:rsid w:val="0020276F"/>
    <w:rsid w:val="00203DB7"/>
    <w:rsid w:val="00203F69"/>
    <w:rsid w:val="002046E9"/>
    <w:rsid w:val="002053B6"/>
    <w:rsid w:val="00205A94"/>
    <w:rsid w:val="00205EA2"/>
    <w:rsid w:val="002067DA"/>
    <w:rsid w:val="00206DAB"/>
    <w:rsid w:val="00212896"/>
    <w:rsid w:val="00212D76"/>
    <w:rsid w:val="00213CC8"/>
    <w:rsid w:val="00213E3B"/>
    <w:rsid w:val="0021406A"/>
    <w:rsid w:val="00214CA8"/>
    <w:rsid w:val="00214F5C"/>
    <w:rsid w:val="00215414"/>
    <w:rsid w:val="00216007"/>
    <w:rsid w:val="00216516"/>
    <w:rsid w:val="002166C4"/>
    <w:rsid w:val="0022018D"/>
    <w:rsid w:val="00221D26"/>
    <w:rsid w:val="00223483"/>
    <w:rsid w:val="002234DC"/>
    <w:rsid w:val="00224F95"/>
    <w:rsid w:val="00227AC9"/>
    <w:rsid w:val="00230E52"/>
    <w:rsid w:val="00232FCC"/>
    <w:rsid w:val="00235116"/>
    <w:rsid w:val="0023678F"/>
    <w:rsid w:val="002420CB"/>
    <w:rsid w:val="00242563"/>
    <w:rsid w:val="00242D34"/>
    <w:rsid w:val="0024383A"/>
    <w:rsid w:val="002438A4"/>
    <w:rsid w:val="00243A2B"/>
    <w:rsid w:val="002454F5"/>
    <w:rsid w:val="00246E61"/>
    <w:rsid w:val="00247E55"/>
    <w:rsid w:val="00253E98"/>
    <w:rsid w:val="00254894"/>
    <w:rsid w:val="00255B43"/>
    <w:rsid w:val="00261C0B"/>
    <w:rsid w:val="00261E8B"/>
    <w:rsid w:val="0026274E"/>
    <w:rsid w:val="00262EE4"/>
    <w:rsid w:val="00263512"/>
    <w:rsid w:val="00265536"/>
    <w:rsid w:val="00265833"/>
    <w:rsid w:val="00265E05"/>
    <w:rsid w:val="00266C9D"/>
    <w:rsid w:val="00266EC9"/>
    <w:rsid w:val="002708D3"/>
    <w:rsid w:val="00270A94"/>
    <w:rsid w:val="0027173E"/>
    <w:rsid w:val="00274603"/>
    <w:rsid w:val="002749B5"/>
    <w:rsid w:val="00274C68"/>
    <w:rsid w:val="00275B14"/>
    <w:rsid w:val="00275C51"/>
    <w:rsid w:val="00276441"/>
    <w:rsid w:val="002764DA"/>
    <w:rsid w:val="00277168"/>
    <w:rsid w:val="00277794"/>
    <w:rsid w:val="00281973"/>
    <w:rsid w:val="00282644"/>
    <w:rsid w:val="00282DE9"/>
    <w:rsid w:val="00284916"/>
    <w:rsid w:val="00285D95"/>
    <w:rsid w:val="00293B08"/>
    <w:rsid w:val="00293D2A"/>
    <w:rsid w:val="00295DFA"/>
    <w:rsid w:val="0029617A"/>
    <w:rsid w:val="00296EB9"/>
    <w:rsid w:val="002A0815"/>
    <w:rsid w:val="002A0D84"/>
    <w:rsid w:val="002A13C0"/>
    <w:rsid w:val="002A39E3"/>
    <w:rsid w:val="002A4D30"/>
    <w:rsid w:val="002A7BDA"/>
    <w:rsid w:val="002B1999"/>
    <w:rsid w:val="002B2601"/>
    <w:rsid w:val="002B3F7A"/>
    <w:rsid w:val="002B5CC1"/>
    <w:rsid w:val="002C1610"/>
    <w:rsid w:val="002C1F2B"/>
    <w:rsid w:val="002C20D2"/>
    <w:rsid w:val="002C43CA"/>
    <w:rsid w:val="002C6694"/>
    <w:rsid w:val="002C7E44"/>
    <w:rsid w:val="002D3627"/>
    <w:rsid w:val="002D506F"/>
    <w:rsid w:val="002D6E56"/>
    <w:rsid w:val="002D7658"/>
    <w:rsid w:val="002E1B15"/>
    <w:rsid w:val="002E330C"/>
    <w:rsid w:val="002E40FA"/>
    <w:rsid w:val="002E5A2B"/>
    <w:rsid w:val="002F018A"/>
    <w:rsid w:val="002F166F"/>
    <w:rsid w:val="002F3690"/>
    <w:rsid w:val="002F5214"/>
    <w:rsid w:val="002F584F"/>
    <w:rsid w:val="002F5EF9"/>
    <w:rsid w:val="00301CE2"/>
    <w:rsid w:val="00307F74"/>
    <w:rsid w:val="00310E77"/>
    <w:rsid w:val="00311D84"/>
    <w:rsid w:val="00312CF1"/>
    <w:rsid w:val="00313904"/>
    <w:rsid w:val="00315358"/>
    <w:rsid w:val="00315D69"/>
    <w:rsid w:val="00316045"/>
    <w:rsid w:val="00321BE9"/>
    <w:rsid w:val="0032225B"/>
    <w:rsid w:val="00322B84"/>
    <w:rsid w:val="0032304B"/>
    <w:rsid w:val="00324469"/>
    <w:rsid w:val="003308B6"/>
    <w:rsid w:val="003317D9"/>
    <w:rsid w:val="00331EC9"/>
    <w:rsid w:val="00333772"/>
    <w:rsid w:val="00333B12"/>
    <w:rsid w:val="00334379"/>
    <w:rsid w:val="003345D1"/>
    <w:rsid w:val="003365E4"/>
    <w:rsid w:val="0033671A"/>
    <w:rsid w:val="00342C2B"/>
    <w:rsid w:val="00343382"/>
    <w:rsid w:val="003435CF"/>
    <w:rsid w:val="00344621"/>
    <w:rsid w:val="00344816"/>
    <w:rsid w:val="00347B0A"/>
    <w:rsid w:val="00350340"/>
    <w:rsid w:val="0035204A"/>
    <w:rsid w:val="003579BB"/>
    <w:rsid w:val="00357D0A"/>
    <w:rsid w:val="00362650"/>
    <w:rsid w:val="003630BE"/>
    <w:rsid w:val="00364F93"/>
    <w:rsid w:val="00364FB0"/>
    <w:rsid w:val="00365AF4"/>
    <w:rsid w:val="00374DAF"/>
    <w:rsid w:val="00375548"/>
    <w:rsid w:val="003763FF"/>
    <w:rsid w:val="00377942"/>
    <w:rsid w:val="0038454B"/>
    <w:rsid w:val="00387CA7"/>
    <w:rsid w:val="00387E0B"/>
    <w:rsid w:val="00391965"/>
    <w:rsid w:val="00391F90"/>
    <w:rsid w:val="00392EF8"/>
    <w:rsid w:val="00393D7E"/>
    <w:rsid w:val="00395772"/>
    <w:rsid w:val="00395BA7"/>
    <w:rsid w:val="00396891"/>
    <w:rsid w:val="003A34B4"/>
    <w:rsid w:val="003A7BBD"/>
    <w:rsid w:val="003B2A64"/>
    <w:rsid w:val="003B2FEC"/>
    <w:rsid w:val="003B318A"/>
    <w:rsid w:val="003B4917"/>
    <w:rsid w:val="003B601E"/>
    <w:rsid w:val="003B7107"/>
    <w:rsid w:val="003C052A"/>
    <w:rsid w:val="003C0E09"/>
    <w:rsid w:val="003C2D58"/>
    <w:rsid w:val="003C4606"/>
    <w:rsid w:val="003C4C0E"/>
    <w:rsid w:val="003C5196"/>
    <w:rsid w:val="003D0F4B"/>
    <w:rsid w:val="003D2A6C"/>
    <w:rsid w:val="003D2DDC"/>
    <w:rsid w:val="003D2E0F"/>
    <w:rsid w:val="003D3824"/>
    <w:rsid w:val="003D50B8"/>
    <w:rsid w:val="003D7BB6"/>
    <w:rsid w:val="003E0C21"/>
    <w:rsid w:val="003E185D"/>
    <w:rsid w:val="003E4ADB"/>
    <w:rsid w:val="003E67A8"/>
    <w:rsid w:val="003F01CB"/>
    <w:rsid w:val="003F1710"/>
    <w:rsid w:val="003F2313"/>
    <w:rsid w:val="003F51F3"/>
    <w:rsid w:val="003F61D4"/>
    <w:rsid w:val="004047AB"/>
    <w:rsid w:val="00404CE8"/>
    <w:rsid w:val="004101B2"/>
    <w:rsid w:val="00411427"/>
    <w:rsid w:val="0041198E"/>
    <w:rsid w:val="00412954"/>
    <w:rsid w:val="00412B55"/>
    <w:rsid w:val="0041317F"/>
    <w:rsid w:val="00413457"/>
    <w:rsid w:val="00413EE9"/>
    <w:rsid w:val="0041554D"/>
    <w:rsid w:val="00415C61"/>
    <w:rsid w:val="004171AE"/>
    <w:rsid w:val="00417BA6"/>
    <w:rsid w:val="00421C4C"/>
    <w:rsid w:val="00421CFC"/>
    <w:rsid w:val="00422C4B"/>
    <w:rsid w:val="00423EBD"/>
    <w:rsid w:val="00424F9B"/>
    <w:rsid w:val="00427908"/>
    <w:rsid w:val="00427A5B"/>
    <w:rsid w:val="00427B3D"/>
    <w:rsid w:val="0043022A"/>
    <w:rsid w:val="00430303"/>
    <w:rsid w:val="00430DCC"/>
    <w:rsid w:val="00430EB1"/>
    <w:rsid w:val="0043139E"/>
    <w:rsid w:val="004319BD"/>
    <w:rsid w:val="00431E41"/>
    <w:rsid w:val="00431F55"/>
    <w:rsid w:val="00432607"/>
    <w:rsid w:val="00434F35"/>
    <w:rsid w:val="00435494"/>
    <w:rsid w:val="00437CAD"/>
    <w:rsid w:val="004412DC"/>
    <w:rsid w:val="0044132E"/>
    <w:rsid w:val="00441430"/>
    <w:rsid w:val="00441E81"/>
    <w:rsid w:val="004445EE"/>
    <w:rsid w:val="00445279"/>
    <w:rsid w:val="00445A06"/>
    <w:rsid w:val="00445B0F"/>
    <w:rsid w:val="00445D5F"/>
    <w:rsid w:val="004471AA"/>
    <w:rsid w:val="004471D8"/>
    <w:rsid w:val="00452375"/>
    <w:rsid w:val="00452DF5"/>
    <w:rsid w:val="004538C6"/>
    <w:rsid w:val="00453DCE"/>
    <w:rsid w:val="00454145"/>
    <w:rsid w:val="004543A6"/>
    <w:rsid w:val="00454AB1"/>
    <w:rsid w:val="004569F5"/>
    <w:rsid w:val="00457DDD"/>
    <w:rsid w:val="00461501"/>
    <w:rsid w:val="0046284B"/>
    <w:rsid w:val="004647FF"/>
    <w:rsid w:val="004651BC"/>
    <w:rsid w:val="00471008"/>
    <w:rsid w:val="00474283"/>
    <w:rsid w:val="004762FB"/>
    <w:rsid w:val="0047672C"/>
    <w:rsid w:val="00476DE2"/>
    <w:rsid w:val="00477249"/>
    <w:rsid w:val="00490609"/>
    <w:rsid w:val="004948A2"/>
    <w:rsid w:val="00495A72"/>
    <w:rsid w:val="004A342B"/>
    <w:rsid w:val="004A3EB2"/>
    <w:rsid w:val="004A45D7"/>
    <w:rsid w:val="004A68C3"/>
    <w:rsid w:val="004A7DAA"/>
    <w:rsid w:val="004B009D"/>
    <w:rsid w:val="004B0AEA"/>
    <w:rsid w:val="004B15BE"/>
    <w:rsid w:val="004B1E26"/>
    <w:rsid w:val="004B2E92"/>
    <w:rsid w:val="004B3FB7"/>
    <w:rsid w:val="004B4C45"/>
    <w:rsid w:val="004B503C"/>
    <w:rsid w:val="004B73BB"/>
    <w:rsid w:val="004C0095"/>
    <w:rsid w:val="004C1BE6"/>
    <w:rsid w:val="004C1C6C"/>
    <w:rsid w:val="004C308F"/>
    <w:rsid w:val="004C3394"/>
    <w:rsid w:val="004C3E89"/>
    <w:rsid w:val="004C4C0A"/>
    <w:rsid w:val="004C5556"/>
    <w:rsid w:val="004C5FAD"/>
    <w:rsid w:val="004C71CA"/>
    <w:rsid w:val="004D0808"/>
    <w:rsid w:val="004D1510"/>
    <w:rsid w:val="004D2642"/>
    <w:rsid w:val="004D3CBD"/>
    <w:rsid w:val="004D3DFF"/>
    <w:rsid w:val="004D3F44"/>
    <w:rsid w:val="004D520B"/>
    <w:rsid w:val="004D7002"/>
    <w:rsid w:val="004D70CD"/>
    <w:rsid w:val="004D749D"/>
    <w:rsid w:val="004D7B8C"/>
    <w:rsid w:val="004E0818"/>
    <w:rsid w:val="004E15E4"/>
    <w:rsid w:val="004E36CF"/>
    <w:rsid w:val="004E3DFA"/>
    <w:rsid w:val="004E4D98"/>
    <w:rsid w:val="004E5CD0"/>
    <w:rsid w:val="004E5D19"/>
    <w:rsid w:val="004E6380"/>
    <w:rsid w:val="004F16F5"/>
    <w:rsid w:val="004F2B50"/>
    <w:rsid w:val="004F312D"/>
    <w:rsid w:val="004F43BC"/>
    <w:rsid w:val="004F50FA"/>
    <w:rsid w:val="004F6018"/>
    <w:rsid w:val="004F776E"/>
    <w:rsid w:val="00501A5C"/>
    <w:rsid w:val="00501D08"/>
    <w:rsid w:val="00502330"/>
    <w:rsid w:val="0050293B"/>
    <w:rsid w:val="00504AC1"/>
    <w:rsid w:val="00505C92"/>
    <w:rsid w:val="00507DF8"/>
    <w:rsid w:val="00510C5F"/>
    <w:rsid w:val="00510FA1"/>
    <w:rsid w:val="00511812"/>
    <w:rsid w:val="005131B0"/>
    <w:rsid w:val="00514D2D"/>
    <w:rsid w:val="00516DA0"/>
    <w:rsid w:val="005210D3"/>
    <w:rsid w:val="00521F10"/>
    <w:rsid w:val="00522738"/>
    <w:rsid w:val="00523D4E"/>
    <w:rsid w:val="0052497F"/>
    <w:rsid w:val="00525970"/>
    <w:rsid w:val="00526CA6"/>
    <w:rsid w:val="005326E0"/>
    <w:rsid w:val="00532C66"/>
    <w:rsid w:val="0053455C"/>
    <w:rsid w:val="00534F8D"/>
    <w:rsid w:val="005355DC"/>
    <w:rsid w:val="00537322"/>
    <w:rsid w:val="00537709"/>
    <w:rsid w:val="005418C1"/>
    <w:rsid w:val="00545BAC"/>
    <w:rsid w:val="00545D92"/>
    <w:rsid w:val="005462AA"/>
    <w:rsid w:val="00551F87"/>
    <w:rsid w:val="00552267"/>
    <w:rsid w:val="0055271A"/>
    <w:rsid w:val="0055418A"/>
    <w:rsid w:val="00554882"/>
    <w:rsid w:val="00555FB9"/>
    <w:rsid w:val="00556100"/>
    <w:rsid w:val="00561D91"/>
    <w:rsid w:val="00561DA2"/>
    <w:rsid w:val="0056273C"/>
    <w:rsid w:val="005627C6"/>
    <w:rsid w:val="00563727"/>
    <w:rsid w:val="005650F7"/>
    <w:rsid w:val="00567006"/>
    <w:rsid w:val="0057026B"/>
    <w:rsid w:val="00570F7F"/>
    <w:rsid w:val="00572727"/>
    <w:rsid w:val="00572876"/>
    <w:rsid w:val="00576F61"/>
    <w:rsid w:val="00577C3A"/>
    <w:rsid w:val="005816B3"/>
    <w:rsid w:val="00582A7F"/>
    <w:rsid w:val="00582DDE"/>
    <w:rsid w:val="005831DF"/>
    <w:rsid w:val="00583D03"/>
    <w:rsid w:val="005846B7"/>
    <w:rsid w:val="00585F33"/>
    <w:rsid w:val="0058643B"/>
    <w:rsid w:val="00586618"/>
    <w:rsid w:val="00587804"/>
    <w:rsid w:val="00587BA6"/>
    <w:rsid w:val="00587DFC"/>
    <w:rsid w:val="00590340"/>
    <w:rsid w:val="0059334D"/>
    <w:rsid w:val="00593432"/>
    <w:rsid w:val="0059589A"/>
    <w:rsid w:val="00595984"/>
    <w:rsid w:val="005961D0"/>
    <w:rsid w:val="00597D9E"/>
    <w:rsid w:val="00597E21"/>
    <w:rsid w:val="00597F15"/>
    <w:rsid w:val="00597F7E"/>
    <w:rsid w:val="005A0623"/>
    <w:rsid w:val="005A0BB4"/>
    <w:rsid w:val="005A1DA1"/>
    <w:rsid w:val="005A1DA3"/>
    <w:rsid w:val="005A302B"/>
    <w:rsid w:val="005A3479"/>
    <w:rsid w:val="005A39FD"/>
    <w:rsid w:val="005A448A"/>
    <w:rsid w:val="005A4EC8"/>
    <w:rsid w:val="005A5CFC"/>
    <w:rsid w:val="005A618A"/>
    <w:rsid w:val="005A6D01"/>
    <w:rsid w:val="005A726A"/>
    <w:rsid w:val="005B0D50"/>
    <w:rsid w:val="005B1F9B"/>
    <w:rsid w:val="005B2B0D"/>
    <w:rsid w:val="005B35FE"/>
    <w:rsid w:val="005B51E9"/>
    <w:rsid w:val="005B56F0"/>
    <w:rsid w:val="005C08A0"/>
    <w:rsid w:val="005C303F"/>
    <w:rsid w:val="005C32ED"/>
    <w:rsid w:val="005C4561"/>
    <w:rsid w:val="005C529B"/>
    <w:rsid w:val="005C6762"/>
    <w:rsid w:val="005C6891"/>
    <w:rsid w:val="005C7112"/>
    <w:rsid w:val="005D2C01"/>
    <w:rsid w:val="005D3AF3"/>
    <w:rsid w:val="005D3BF6"/>
    <w:rsid w:val="005D54A8"/>
    <w:rsid w:val="005D70A1"/>
    <w:rsid w:val="005D756E"/>
    <w:rsid w:val="005D7681"/>
    <w:rsid w:val="005D7B7D"/>
    <w:rsid w:val="005E05AB"/>
    <w:rsid w:val="005E2436"/>
    <w:rsid w:val="005E2BB0"/>
    <w:rsid w:val="005E41B3"/>
    <w:rsid w:val="005E6470"/>
    <w:rsid w:val="005E6FD6"/>
    <w:rsid w:val="005E7D93"/>
    <w:rsid w:val="005F1502"/>
    <w:rsid w:val="005F1DA4"/>
    <w:rsid w:val="005F25F9"/>
    <w:rsid w:val="005F2C55"/>
    <w:rsid w:val="005F347B"/>
    <w:rsid w:val="005F3EDB"/>
    <w:rsid w:val="005F631A"/>
    <w:rsid w:val="005F7441"/>
    <w:rsid w:val="005F7F32"/>
    <w:rsid w:val="00602991"/>
    <w:rsid w:val="00603139"/>
    <w:rsid w:val="00603DF4"/>
    <w:rsid w:val="00607128"/>
    <w:rsid w:val="00607C11"/>
    <w:rsid w:val="00607E8D"/>
    <w:rsid w:val="00612498"/>
    <w:rsid w:val="00612950"/>
    <w:rsid w:val="00612EE8"/>
    <w:rsid w:val="00613449"/>
    <w:rsid w:val="00613D8C"/>
    <w:rsid w:val="00617787"/>
    <w:rsid w:val="0061789D"/>
    <w:rsid w:val="00617C35"/>
    <w:rsid w:val="00620E5E"/>
    <w:rsid w:val="006230A3"/>
    <w:rsid w:val="00624B73"/>
    <w:rsid w:val="006271E2"/>
    <w:rsid w:val="00631D73"/>
    <w:rsid w:val="00631F51"/>
    <w:rsid w:val="00632F69"/>
    <w:rsid w:val="006335EF"/>
    <w:rsid w:val="006367CB"/>
    <w:rsid w:val="006368B6"/>
    <w:rsid w:val="006400F1"/>
    <w:rsid w:val="006428BE"/>
    <w:rsid w:val="00642A8E"/>
    <w:rsid w:val="00647A46"/>
    <w:rsid w:val="00647D07"/>
    <w:rsid w:val="0065016F"/>
    <w:rsid w:val="00651E84"/>
    <w:rsid w:val="00653E8D"/>
    <w:rsid w:val="006540C2"/>
    <w:rsid w:val="00654E07"/>
    <w:rsid w:val="006573CA"/>
    <w:rsid w:val="0066212B"/>
    <w:rsid w:val="006626E4"/>
    <w:rsid w:val="006665D0"/>
    <w:rsid w:val="006723EA"/>
    <w:rsid w:val="00675F6F"/>
    <w:rsid w:val="006762E5"/>
    <w:rsid w:val="0067712F"/>
    <w:rsid w:val="00677520"/>
    <w:rsid w:val="00685185"/>
    <w:rsid w:val="00687F89"/>
    <w:rsid w:val="006902A8"/>
    <w:rsid w:val="00691570"/>
    <w:rsid w:val="00693548"/>
    <w:rsid w:val="00695C1E"/>
    <w:rsid w:val="00695C94"/>
    <w:rsid w:val="00696DE8"/>
    <w:rsid w:val="006A681E"/>
    <w:rsid w:val="006A6E6D"/>
    <w:rsid w:val="006B4D2B"/>
    <w:rsid w:val="006B5940"/>
    <w:rsid w:val="006B79F7"/>
    <w:rsid w:val="006C05D0"/>
    <w:rsid w:val="006C061F"/>
    <w:rsid w:val="006C39E8"/>
    <w:rsid w:val="006C3F97"/>
    <w:rsid w:val="006C523C"/>
    <w:rsid w:val="006C5478"/>
    <w:rsid w:val="006C5676"/>
    <w:rsid w:val="006C7079"/>
    <w:rsid w:val="006C71E6"/>
    <w:rsid w:val="006D002F"/>
    <w:rsid w:val="006D1F12"/>
    <w:rsid w:val="006D1FC8"/>
    <w:rsid w:val="006D242B"/>
    <w:rsid w:val="006D2C49"/>
    <w:rsid w:val="006D459F"/>
    <w:rsid w:val="006D5199"/>
    <w:rsid w:val="006D60F7"/>
    <w:rsid w:val="006D7E20"/>
    <w:rsid w:val="006E0DE9"/>
    <w:rsid w:val="006E2C11"/>
    <w:rsid w:val="006E3677"/>
    <w:rsid w:val="006E3E1F"/>
    <w:rsid w:val="006F0E56"/>
    <w:rsid w:val="006F525B"/>
    <w:rsid w:val="006F550E"/>
    <w:rsid w:val="006F55AA"/>
    <w:rsid w:val="006F6006"/>
    <w:rsid w:val="006F686C"/>
    <w:rsid w:val="00700613"/>
    <w:rsid w:val="007010A5"/>
    <w:rsid w:val="007031B7"/>
    <w:rsid w:val="007037F8"/>
    <w:rsid w:val="00704167"/>
    <w:rsid w:val="00705E2D"/>
    <w:rsid w:val="007062FC"/>
    <w:rsid w:val="00706802"/>
    <w:rsid w:val="00711FAA"/>
    <w:rsid w:val="00713275"/>
    <w:rsid w:val="00713BE5"/>
    <w:rsid w:val="00714D9D"/>
    <w:rsid w:val="00720E0B"/>
    <w:rsid w:val="00722580"/>
    <w:rsid w:val="00722A4A"/>
    <w:rsid w:val="007248FC"/>
    <w:rsid w:val="0072740C"/>
    <w:rsid w:val="007301A8"/>
    <w:rsid w:val="00730D8C"/>
    <w:rsid w:val="00730F6A"/>
    <w:rsid w:val="007313FC"/>
    <w:rsid w:val="00731A28"/>
    <w:rsid w:val="007331E0"/>
    <w:rsid w:val="00733663"/>
    <w:rsid w:val="00734921"/>
    <w:rsid w:val="00735181"/>
    <w:rsid w:val="00735D0C"/>
    <w:rsid w:val="00735F1B"/>
    <w:rsid w:val="007364C7"/>
    <w:rsid w:val="00736C54"/>
    <w:rsid w:val="00737D6C"/>
    <w:rsid w:val="00740D3A"/>
    <w:rsid w:val="00740E81"/>
    <w:rsid w:val="007428D2"/>
    <w:rsid w:val="007452A2"/>
    <w:rsid w:val="00746B1F"/>
    <w:rsid w:val="00750481"/>
    <w:rsid w:val="00753561"/>
    <w:rsid w:val="007558DA"/>
    <w:rsid w:val="00760C12"/>
    <w:rsid w:val="00762C94"/>
    <w:rsid w:val="0076379D"/>
    <w:rsid w:val="00763E85"/>
    <w:rsid w:val="00764931"/>
    <w:rsid w:val="0076771B"/>
    <w:rsid w:val="00767D53"/>
    <w:rsid w:val="0077060B"/>
    <w:rsid w:val="0077262B"/>
    <w:rsid w:val="0077467F"/>
    <w:rsid w:val="00774EBA"/>
    <w:rsid w:val="007772F1"/>
    <w:rsid w:val="007777DD"/>
    <w:rsid w:val="00777C3F"/>
    <w:rsid w:val="00780169"/>
    <w:rsid w:val="00780381"/>
    <w:rsid w:val="007803CE"/>
    <w:rsid w:val="007808D9"/>
    <w:rsid w:val="00781DF0"/>
    <w:rsid w:val="007852AE"/>
    <w:rsid w:val="00785F78"/>
    <w:rsid w:val="00786685"/>
    <w:rsid w:val="00786F06"/>
    <w:rsid w:val="007877F5"/>
    <w:rsid w:val="00790689"/>
    <w:rsid w:val="007920A4"/>
    <w:rsid w:val="00792535"/>
    <w:rsid w:val="007926A5"/>
    <w:rsid w:val="00792ADA"/>
    <w:rsid w:val="00793573"/>
    <w:rsid w:val="00796EA0"/>
    <w:rsid w:val="007A1A4B"/>
    <w:rsid w:val="007A1B34"/>
    <w:rsid w:val="007A4D8B"/>
    <w:rsid w:val="007A59FE"/>
    <w:rsid w:val="007A5EF8"/>
    <w:rsid w:val="007A6556"/>
    <w:rsid w:val="007A6B3D"/>
    <w:rsid w:val="007A7296"/>
    <w:rsid w:val="007B202D"/>
    <w:rsid w:val="007B3ED7"/>
    <w:rsid w:val="007B495E"/>
    <w:rsid w:val="007B53EB"/>
    <w:rsid w:val="007B5DFC"/>
    <w:rsid w:val="007B5ED4"/>
    <w:rsid w:val="007B6906"/>
    <w:rsid w:val="007B6BF5"/>
    <w:rsid w:val="007C035F"/>
    <w:rsid w:val="007C22E5"/>
    <w:rsid w:val="007C35A5"/>
    <w:rsid w:val="007C4C57"/>
    <w:rsid w:val="007C54E7"/>
    <w:rsid w:val="007C5780"/>
    <w:rsid w:val="007C5D57"/>
    <w:rsid w:val="007C7377"/>
    <w:rsid w:val="007C7CF0"/>
    <w:rsid w:val="007D0C7C"/>
    <w:rsid w:val="007D10D6"/>
    <w:rsid w:val="007D277F"/>
    <w:rsid w:val="007D37DD"/>
    <w:rsid w:val="007D461F"/>
    <w:rsid w:val="007D5E7C"/>
    <w:rsid w:val="007D62CE"/>
    <w:rsid w:val="007D6658"/>
    <w:rsid w:val="007E0083"/>
    <w:rsid w:val="007E095B"/>
    <w:rsid w:val="007E214B"/>
    <w:rsid w:val="007E240F"/>
    <w:rsid w:val="007E507A"/>
    <w:rsid w:val="007E50BD"/>
    <w:rsid w:val="007E5467"/>
    <w:rsid w:val="007E61DF"/>
    <w:rsid w:val="007E7045"/>
    <w:rsid w:val="007E7A07"/>
    <w:rsid w:val="007E7DA6"/>
    <w:rsid w:val="007F0BB5"/>
    <w:rsid w:val="007F2A72"/>
    <w:rsid w:val="007F42E0"/>
    <w:rsid w:val="007F5D62"/>
    <w:rsid w:val="007F61D0"/>
    <w:rsid w:val="007F7760"/>
    <w:rsid w:val="00800102"/>
    <w:rsid w:val="0080339B"/>
    <w:rsid w:val="00803D33"/>
    <w:rsid w:val="0080418A"/>
    <w:rsid w:val="00805A6E"/>
    <w:rsid w:val="0081170D"/>
    <w:rsid w:val="00817D7B"/>
    <w:rsid w:val="00820D56"/>
    <w:rsid w:val="00821D3C"/>
    <w:rsid w:val="00822DE4"/>
    <w:rsid w:val="00823A49"/>
    <w:rsid w:val="00824941"/>
    <w:rsid w:val="00824DEB"/>
    <w:rsid w:val="00825112"/>
    <w:rsid w:val="00825949"/>
    <w:rsid w:val="008269F8"/>
    <w:rsid w:val="00827883"/>
    <w:rsid w:val="00827DB4"/>
    <w:rsid w:val="00831F81"/>
    <w:rsid w:val="0083248E"/>
    <w:rsid w:val="008342D7"/>
    <w:rsid w:val="00834BAF"/>
    <w:rsid w:val="00840487"/>
    <w:rsid w:val="00841B1E"/>
    <w:rsid w:val="00847499"/>
    <w:rsid w:val="0084755A"/>
    <w:rsid w:val="008476E7"/>
    <w:rsid w:val="00855A39"/>
    <w:rsid w:val="00855BBF"/>
    <w:rsid w:val="00856FB3"/>
    <w:rsid w:val="008602A4"/>
    <w:rsid w:val="00860930"/>
    <w:rsid w:val="00860D21"/>
    <w:rsid w:val="00861024"/>
    <w:rsid w:val="0086511D"/>
    <w:rsid w:val="00865340"/>
    <w:rsid w:val="00866E50"/>
    <w:rsid w:val="00871E17"/>
    <w:rsid w:val="008752B2"/>
    <w:rsid w:val="0087693F"/>
    <w:rsid w:val="008801B2"/>
    <w:rsid w:val="00880901"/>
    <w:rsid w:val="008811A2"/>
    <w:rsid w:val="00881A77"/>
    <w:rsid w:val="0088719B"/>
    <w:rsid w:val="00891A44"/>
    <w:rsid w:val="00894F0A"/>
    <w:rsid w:val="0089574E"/>
    <w:rsid w:val="00896FAA"/>
    <w:rsid w:val="00897928"/>
    <w:rsid w:val="008A182B"/>
    <w:rsid w:val="008A2020"/>
    <w:rsid w:val="008A228E"/>
    <w:rsid w:val="008A37F3"/>
    <w:rsid w:val="008A599D"/>
    <w:rsid w:val="008A628E"/>
    <w:rsid w:val="008B133A"/>
    <w:rsid w:val="008B1FC6"/>
    <w:rsid w:val="008B514B"/>
    <w:rsid w:val="008B7044"/>
    <w:rsid w:val="008C03C0"/>
    <w:rsid w:val="008C07E3"/>
    <w:rsid w:val="008C46CA"/>
    <w:rsid w:val="008C4C30"/>
    <w:rsid w:val="008C6101"/>
    <w:rsid w:val="008D27E7"/>
    <w:rsid w:val="008D30AD"/>
    <w:rsid w:val="008D3327"/>
    <w:rsid w:val="008D411F"/>
    <w:rsid w:val="008D4648"/>
    <w:rsid w:val="008D490D"/>
    <w:rsid w:val="008D53D2"/>
    <w:rsid w:val="008D590F"/>
    <w:rsid w:val="008D7C3B"/>
    <w:rsid w:val="008E23D6"/>
    <w:rsid w:val="008E2BC1"/>
    <w:rsid w:val="008E4334"/>
    <w:rsid w:val="008E52A6"/>
    <w:rsid w:val="008F250A"/>
    <w:rsid w:val="008F2EFB"/>
    <w:rsid w:val="008F35AA"/>
    <w:rsid w:val="008F3690"/>
    <w:rsid w:val="008F3924"/>
    <w:rsid w:val="008F6209"/>
    <w:rsid w:val="008F6BF0"/>
    <w:rsid w:val="0090143D"/>
    <w:rsid w:val="009019E6"/>
    <w:rsid w:val="009047EF"/>
    <w:rsid w:val="00904BE6"/>
    <w:rsid w:val="00907385"/>
    <w:rsid w:val="009136C7"/>
    <w:rsid w:val="00914575"/>
    <w:rsid w:val="00916F4D"/>
    <w:rsid w:val="00924897"/>
    <w:rsid w:val="00924B82"/>
    <w:rsid w:val="009252F1"/>
    <w:rsid w:val="009303BA"/>
    <w:rsid w:val="00931107"/>
    <w:rsid w:val="00931DB5"/>
    <w:rsid w:val="00933A8F"/>
    <w:rsid w:val="00935816"/>
    <w:rsid w:val="00937321"/>
    <w:rsid w:val="00937601"/>
    <w:rsid w:val="00940ED6"/>
    <w:rsid w:val="009419DF"/>
    <w:rsid w:val="009502BE"/>
    <w:rsid w:val="00951A47"/>
    <w:rsid w:val="0095461A"/>
    <w:rsid w:val="00954CDC"/>
    <w:rsid w:val="009555E1"/>
    <w:rsid w:val="00957959"/>
    <w:rsid w:val="00957C18"/>
    <w:rsid w:val="00965D88"/>
    <w:rsid w:val="009661C7"/>
    <w:rsid w:val="00967E0C"/>
    <w:rsid w:val="00974B7D"/>
    <w:rsid w:val="009765F2"/>
    <w:rsid w:val="00976ACB"/>
    <w:rsid w:val="00981590"/>
    <w:rsid w:val="0098207A"/>
    <w:rsid w:val="009831F8"/>
    <w:rsid w:val="009843A6"/>
    <w:rsid w:val="00984FB2"/>
    <w:rsid w:val="0098669A"/>
    <w:rsid w:val="009866FE"/>
    <w:rsid w:val="00986D24"/>
    <w:rsid w:val="009941F1"/>
    <w:rsid w:val="00994538"/>
    <w:rsid w:val="009946DE"/>
    <w:rsid w:val="009973B2"/>
    <w:rsid w:val="00997D03"/>
    <w:rsid w:val="00997FA6"/>
    <w:rsid w:val="009A2F1C"/>
    <w:rsid w:val="009A542D"/>
    <w:rsid w:val="009B2033"/>
    <w:rsid w:val="009B253D"/>
    <w:rsid w:val="009B339B"/>
    <w:rsid w:val="009B4F96"/>
    <w:rsid w:val="009B4FC0"/>
    <w:rsid w:val="009B5161"/>
    <w:rsid w:val="009C044F"/>
    <w:rsid w:val="009C0D1B"/>
    <w:rsid w:val="009C2401"/>
    <w:rsid w:val="009C318B"/>
    <w:rsid w:val="009C376D"/>
    <w:rsid w:val="009C5C9D"/>
    <w:rsid w:val="009C6665"/>
    <w:rsid w:val="009C670A"/>
    <w:rsid w:val="009D0DC5"/>
    <w:rsid w:val="009D1C12"/>
    <w:rsid w:val="009D334C"/>
    <w:rsid w:val="009D3B54"/>
    <w:rsid w:val="009D43A8"/>
    <w:rsid w:val="009D53B5"/>
    <w:rsid w:val="009D55B1"/>
    <w:rsid w:val="009D5F49"/>
    <w:rsid w:val="009D6028"/>
    <w:rsid w:val="009D61CB"/>
    <w:rsid w:val="009E0380"/>
    <w:rsid w:val="009E17A0"/>
    <w:rsid w:val="009E3C7A"/>
    <w:rsid w:val="009E4A4C"/>
    <w:rsid w:val="009F41E9"/>
    <w:rsid w:val="009F7938"/>
    <w:rsid w:val="00A01CEF"/>
    <w:rsid w:val="00A03F04"/>
    <w:rsid w:val="00A05076"/>
    <w:rsid w:val="00A07DB2"/>
    <w:rsid w:val="00A1074A"/>
    <w:rsid w:val="00A111DE"/>
    <w:rsid w:val="00A13B3B"/>
    <w:rsid w:val="00A15782"/>
    <w:rsid w:val="00A16196"/>
    <w:rsid w:val="00A16212"/>
    <w:rsid w:val="00A17155"/>
    <w:rsid w:val="00A21BE1"/>
    <w:rsid w:val="00A23158"/>
    <w:rsid w:val="00A23DDA"/>
    <w:rsid w:val="00A249A4"/>
    <w:rsid w:val="00A24A3E"/>
    <w:rsid w:val="00A25D97"/>
    <w:rsid w:val="00A26246"/>
    <w:rsid w:val="00A262A9"/>
    <w:rsid w:val="00A31FB3"/>
    <w:rsid w:val="00A32208"/>
    <w:rsid w:val="00A326E9"/>
    <w:rsid w:val="00A33FA9"/>
    <w:rsid w:val="00A35486"/>
    <w:rsid w:val="00A371BB"/>
    <w:rsid w:val="00A4104B"/>
    <w:rsid w:val="00A4253D"/>
    <w:rsid w:val="00A42986"/>
    <w:rsid w:val="00A4469D"/>
    <w:rsid w:val="00A45329"/>
    <w:rsid w:val="00A47556"/>
    <w:rsid w:val="00A47C0B"/>
    <w:rsid w:val="00A501F4"/>
    <w:rsid w:val="00A50961"/>
    <w:rsid w:val="00A557B1"/>
    <w:rsid w:val="00A56DCA"/>
    <w:rsid w:val="00A57ECC"/>
    <w:rsid w:val="00A601B6"/>
    <w:rsid w:val="00A65644"/>
    <w:rsid w:val="00A663DB"/>
    <w:rsid w:val="00A713D0"/>
    <w:rsid w:val="00A755C9"/>
    <w:rsid w:val="00A76A68"/>
    <w:rsid w:val="00A80253"/>
    <w:rsid w:val="00A82A0B"/>
    <w:rsid w:val="00A83650"/>
    <w:rsid w:val="00A90ABF"/>
    <w:rsid w:val="00A913EC"/>
    <w:rsid w:val="00A9390F"/>
    <w:rsid w:val="00A941B8"/>
    <w:rsid w:val="00A94A81"/>
    <w:rsid w:val="00A956DA"/>
    <w:rsid w:val="00A95820"/>
    <w:rsid w:val="00A96644"/>
    <w:rsid w:val="00A96C81"/>
    <w:rsid w:val="00AA0B7E"/>
    <w:rsid w:val="00AA7CF4"/>
    <w:rsid w:val="00AB0773"/>
    <w:rsid w:val="00AB0FC9"/>
    <w:rsid w:val="00AB21C3"/>
    <w:rsid w:val="00AB2790"/>
    <w:rsid w:val="00AB5CFA"/>
    <w:rsid w:val="00AB64A9"/>
    <w:rsid w:val="00AC02B5"/>
    <w:rsid w:val="00AC093F"/>
    <w:rsid w:val="00AC1F7D"/>
    <w:rsid w:val="00AC5F90"/>
    <w:rsid w:val="00AC62FD"/>
    <w:rsid w:val="00AC6C26"/>
    <w:rsid w:val="00AC6EE6"/>
    <w:rsid w:val="00AC7B55"/>
    <w:rsid w:val="00AC7DBA"/>
    <w:rsid w:val="00AD0028"/>
    <w:rsid w:val="00AD4C2C"/>
    <w:rsid w:val="00AD5080"/>
    <w:rsid w:val="00AD609C"/>
    <w:rsid w:val="00AD6A9B"/>
    <w:rsid w:val="00AD6EEA"/>
    <w:rsid w:val="00AD7AAE"/>
    <w:rsid w:val="00AE0146"/>
    <w:rsid w:val="00AE0ECD"/>
    <w:rsid w:val="00AE376B"/>
    <w:rsid w:val="00AE3ACA"/>
    <w:rsid w:val="00AE4A9F"/>
    <w:rsid w:val="00AE5558"/>
    <w:rsid w:val="00AE6799"/>
    <w:rsid w:val="00AE67F7"/>
    <w:rsid w:val="00AF2190"/>
    <w:rsid w:val="00AF26CD"/>
    <w:rsid w:val="00AF34A4"/>
    <w:rsid w:val="00AF42C7"/>
    <w:rsid w:val="00AF5608"/>
    <w:rsid w:val="00AF7755"/>
    <w:rsid w:val="00AF7C00"/>
    <w:rsid w:val="00B028E1"/>
    <w:rsid w:val="00B037BE"/>
    <w:rsid w:val="00B056FC"/>
    <w:rsid w:val="00B058A0"/>
    <w:rsid w:val="00B0633A"/>
    <w:rsid w:val="00B06842"/>
    <w:rsid w:val="00B07024"/>
    <w:rsid w:val="00B07F6B"/>
    <w:rsid w:val="00B11539"/>
    <w:rsid w:val="00B14177"/>
    <w:rsid w:val="00B167B1"/>
    <w:rsid w:val="00B16C42"/>
    <w:rsid w:val="00B17558"/>
    <w:rsid w:val="00B22183"/>
    <w:rsid w:val="00B22568"/>
    <w:rsid w:val="00B24627"/>
    <w:rsid w:val="00B2531B"/>
    <w:rsid w:val="00B27B78"/>
    <w:rsid w:val="00B3022A"/>
    <w:rsid w:val="00B33C26"/>
    <w:rsid w:val="00B3458C"/>
    <w:rsid w:val="00B36A98"/>
    <w:rsid w:val="00B371A8"/>
    <w:rsid w:val="00B3788B"/>
    <w:rsid w:val="00B422DB"/>
    <w:rsid w:val="00B42733"/>
    <w:rsid w:val="00B45428"/>
    <w:rsid w:val="00B45BF4"/>
    <w:rsid w:val="00B460A7"/>
    <w:rsid w:val="00B462B6"/>
    <w:rsid w:val="00B47476"/>
    <w:rsid w:val="00B47E7A"/>
    <w:rsid w:val="00B47EE5"/>
    <w:rsid w:val="00B500A0"/>
    <w:rsid w:val="00B507EE"/>
    <w:rsid w:val="00B50D85"/>
    <w:rsid w:val="00B52ABA"/>
    <w:rsid w:val="00B53423"/>
    <w:rsid w:val="00B5538E"/>
    <w:rsid w:val="00B60F7D"/>
    <w:rsid w:val="00B615C7"/>
    <w:rsid w:val="00B629C6"/>
    <w:rsid w:val="00B62CA5"/>
    <w:rsid w:val="00B633EF"/>
    <w:rsid w:val="00B63F17"/>
    <w:rsid w:val="00B65BC1"/>
    <w:rsid w:val="00B66F12"/>
    <w:rsid w:val="00B67019"/>
    <w:rsid w:val="00B67ED5"/>
    <w:rsid w:val="00B70219"/>
    <w:rsid w:val="00B74915"/>
    <w:rsid w:val="00B75342"/>
    <w:rsid w:val="00B76F8D"/>
    <w:rsid w:val="00B77EA7"/>
    <w:rsid w:val="00B81568"/>
    <w:rsid w:val="00B82592"/>
    <w:rsid w:val="00B827DE"/>
    <w:rsid w:val="00B82C3F"/>
    <w:rsid w:val="00B836B3"/>
    <w:rsid w:val="00B862D7"/>
    <w:rsid w:val="00B86F24"/>
    <w:rsid w:val="00B91D86"/>
    <w:rsid w:val="00B924D6"/>
    <w:rsid w:val="00B948A7"/>
    <w:rsid w:val="00B95232"/>
    <w:rsid w:val="00B9552E"/>
    <w:rsid w:val="00B97814"/>
    <w:rsid w:val="00BA0B52"/>
    <w:rsid w:val="00BA1FF2"/>
    <w:rsid w:val="00BA2DC0"/>
    <w:rsid w:val="00BA3253"/>
    <w:rsid w:val="00BA3958"/>
    <w:rsid w:val="00BA5FBC"/>
    <w:rsid w:val="00BA6849"/>
    <w:rsid w:val="00BA74C5"/>
    <w:rsid w:val="00BB2E01"/>
    <w:rsid w:val="00BB4140"/>
    <w:rsid w:val="00BB4874"/>
    <w:rsid w:val="00BB51FE"/>
    <w:rsid w:val="00BB5C32"/>
    <w:rsid w:val="00BB6E08"/>
    <w:rsid w:val="00BB7C45"/>
    <w:rsid w:val="00BC01CC"/>
    <w:rsid w:val="00BC01DD"/>
    <w:rsid w:val="00BC17A8"/>
    <w:rsid w:val="00BC238E"/>
    <w:rsid w:val="00BC32FB"/>
    <w:rsid w:val="00BC3AFB"/>
    <w:rsid w:val="00BC420F"/>
    <w:rsid w:val="00BC433A"/>
    <w:rsid w:val="00BC5AEB"/>
    <w:rsid w:val="00BD2046"/>
    <w:rsid w:val="00BD2307"/>
    <w:rsid w:val="00BD2499"/>
    <w:rsid w:val="00BD35D3"/>
    <w:rsid w:val="00BD4813"/>
    <w:rsid w:val="00BD618C"/>
    <w:rsid w:val="00BD6C2C"/>
    <w:rsid w:val="00BE32EE"/>
    <w:rsid w:val="00BE455A"/>
    <w:rsid w:val="00BE5296"/>
    <w:rsid w:val="00BE6DD5"/>
    <w:rsid w:val="00BF1E8E"/>
    <w:rsid w:val="00BF3A7C"/>
    <w:rsid w:val="00BF664A"/>
    <w:rsid w:val="00BF7B5F"/>
    <w:rsid w:val="00BF7E0A"/>
    <w:rsid w:val="00C0142A"/>
    <w:rsid w:val="00C02583"/>
    <w:rsid w:val="00C04AAD"/>
    <w:rsid w:val="00C1216C"/>
    <w:rsid w:val="00C12252"/>
    <w:rsid w:val="00C1233C"/>
    <w:rsid w:val="00C1358F"/>
    <w:rsid w:val="00C14200"/>
    <w:rsid w:val="00C20D75"/>
    <w:rsid w:val="00C2122D"/>
    <w:rsid w:val="00C219EA"/>
    <w:rsid w:val="00C24067"/>
    <w:rsid w:val="00C2709A"/>
    <w:rsid w:val="00C27D07"/>
    <w:rsid w:val="00C32691"/>
    <w:rsid w:val="00C34239"/>
    <w:rsid w:val="00C3464A"/>
    <w:rsid w:val="00C358B4"/>
    <w:rsid w:val="00C35C82"/>
    <w:rsid w:val="00C36B20"/>
    <w:rsid w:val="00C37224"/>
    <w:rsid w:val="00C37805"/>
    <w:rsid w:val="00C43A0A"/>
    <w:rsid w:val="00C459E9"/>
    <w:rsid w:val="00C467D0"/>
    <w:rsid w:val="00C51797"/>
    <w:rsid w:val="00C54EC7"/>
    <w:rsid w:val="00C54EE5"/>
    <w:rsid w:val="00C566FE"/>
    <w:rsid w:val="00C56A0B"/>
    <w:rsid w:val="00C6058D"/>
    <w:rsid w:val="00C62A49"/>
    <w:rsid w:val="00C64060"/>
    <w:rsid w:val="00C6462C"/>
    <w:rsid w:val="00C676F6"/>
    <w:rsid w:val="00C67A2C"/>
    <w:rsid w:val="00C70165"/>
    <w:rsid w:val="00C72439"/>
    <w:rsid w:val="00C73E4D"/>
    <w:rsid w:val="00C7475C"/>
    <w:rsid w:val="00C75AE4"/>
    <w:rsid w:val="00C7693B"/>
    <w:rsid w:val="00C76DE9"/>
    <w:rsid w:val="00C817CE"/>
    <w:rsid w:val="00C82F8C"/>
    <w:rsid w:val="00C8418C"/>
    <w:rsid w:val="00C85556"/>
    <w:rsid w:val="00C918AD"/>
    <w:rsid w:val="00C92608"/>
    <w:rsid w:val="00C943E2"/>
    <w:rsid w:val="00C945AB"/>
    <w:rsid w:val="00C96AF2"/>
    <w:rsid w:val="00CA0B38"/>
    <w:rsid w:val="00CA2440"/>
    <w:rsid w:val="00CA446D"/>
    <w:rsid w:val="00CA638F"/>
    <w:rsid w:val="00CA68C8"/>
    <w:rsid w:val="00CA77B5"/>
    <w:rsid w:val="00CB198C"/>
    <w:rsid w:val="00CB3A49"/>
    <w:rsid w:val="00CB5BAE"/>
    <w:rsid w:val="00CB66E4"/>
    <w:rsid w:val="00CC072A"/>
    <w:rsid w:val="00CC0C15"/>
    <w:rsid w:val="00CC1B05"/>
    <w:rsid w:val="00CC1EB2"/>
    <w:rsid w:val="00CC201E"/>
    <w:rsid w:val="00CC2F02"/>
    <w:rsid w:val="00CC5565"/>
    <w:rsid w:val="00CD00E7"/>
    <w:rsid w:val="00CD14DD"/>
    <w:rsid w:val="00CD4F9C"/>
    <w:rsid w:val="00CD6C43"/>
    <w:rsid w:val="00CE1058"/>
    <w:rsid w:val="00CE1285"/>
    <w:rsid w:val="00CE250E"/>
    <w:rsid w:val="00CE5DF3"/>
    <w:rsid w:val="00CE655C"/>
    <w:rsid w:val="00CE7462"/>
    <w:rsid w:val="00CF0718"/>
    <w:rsid w:val="00CF2A99"/>
    <w:rsid w:val="00CF3C8D"/>
    <w:rsid w:val="00CF46BE"/>
    <w:rsid w:val="00CF5D7A"/>
    <w:rsid w:val="00CF6FAE"/>
    <w:rsid w:val="00CF7EB7"/>
    <w:rsid w:val="00D01EEC"/>
    <w:rsid w:val="00D036E6"/>
    <w:rsid w:val="00D040A3"/>
    <w:rsid w:val="00D10259"/>
    <w:rsid w:val="00D103AE"/>
    <w:rsid w:val="00D114AF"/>
    <w:rsid w:val="00D11E44"/>
    <w:rsid w:val="00D127AB"/>
    <w:rsid w:val="00D1464B"/>
    <w:rsid w:val="00D1678D"/>
    <w:rsid w:val="00D16DB2"/>
    <w:rsid w:val="00D17BC0"/>
    <w:rsid w:val="00D17F93"/>
    <w:rsid w:val="00D20BB0"/>
    <w:rsid w:val="00D2203A"/>
    <w:rsid w:val="00D2211A"/>
    <w:rsid w:val="00D2236A"/>
    <w:rsid w:val="00D253F1"/>
    <w:rsid w:val="00D27C00"/>
    <w:rsid w:val="00D27F60"/>
    <w:rsid w:val="00D3066A"/>
    <w:rsid w:val="00D31204"/>
    <w:rsid w:val="00D32DA8"/>
    <w:rsid w:val="00D32FAD"/>
    <w:rsid w:val="00D34B89"/>
    <w:rsid w:val="00D34CCF"/>
    <w:rsid w:val="00D37991"/>
    <w:rsid w:val="00D40EC5"/>
    <w:rsid w:val="00D45442"/>
    <w:rsid w:val="00D459BC"/>
    <w:rsid w:val="00D45C19"/>
    <w:rsid w:val="00D4747A"/>
    <w:rsid w:val="00D52079"/>
    <w:rsid w:val="00D52101"/>
    <w:rsid w:val="00D5364C"/>
    <w:rsid w:val="00D54CF3"/>
    <w:rsid w:val="00D569AE"/>
    <w:rsid w:val="00D56BD2"/>
    <w:rsid w:val="00D572EB"/>
    <w:rsid w:val="00D60F55"/>
    <w:rsid w:val="00D6423D"/>
    <w:rsid w:val="00D64BC0"/>
    <w:rsid w:val="00D651BF"/>
    <w:rsid w:val="00D6536F"/>
    <w:rsid w:val="00D70DA5"/>
    <w:rsid w:val="00D71D9C"/>
    <w:rsid w:val="00D7228D"/>
    <w:rsid w:val="00D72552"/>
    <w:rsid w:val="00D73AC0"/>
    <w:rsid w:val="00D741F3"/>
    <w:rsid w:val="00D74CE6"/>
    <w:rsid w:val="00D76B1F"/>
    <w:rsid w:val="00D779C9"/>
    <w:rsid w:val="00D80845"/>
    <w:rsid w:val="00D80882"/>
    <w:rsid w:val="00D8090F"/>
    <w:rsid w:val="00D811EC"/>
    <w:rsid w:val="00D828EE"/>
    <w:rsid w:val="00D86588"/>
    <w:rsid w:val="00D90617"/>
    <w:rsid w:val="00D91AF7"/>
    <w:rsid w:val="00D9216D"/>
    <w:rsid w:val="00D9356A"/>
    <w:rsid w:val="00D94347"/>
    <w:rsid w:val="00D950F4"/>
    <w:rsid w:val="00D97C3A"/>
    <w:rsid w:val="00DA06FE"/>
    <w:rsid w:val="00DA13EF"/>
    <w:rsid w:val="00DA192B"/>
    <w:rsid w:val="00DA23E1"/>
    <w:rsid w:val="00DA245E"/>
    <w:rsid w:val="00DA2A6F"/>
    <w:rsid w:val="00DA3078"/>
    <w:rsid w:val="00DA7E93"/>
    <w:rsid w:val="00DA7F5A"/>
    <w:rsid w:val="00DB19A5"/>
    <w:rsid w:val="00DB1B0B"/>
    <w:rsid w:val="00DC0379"/>
    <w:rsid w:val="00DC27A4"/>
    <w:rsid w:val="00DD0A04"/>
    <w:rsid w:val="00DD2973"/>
    <w:rsid w:val="00DD739F"/>
    <w:rsid w:val="00DD752D"/>
    <w:rsid w:val="00DD7608"/>
    <w:rsid w:val="00DE16EB"/>
    <w:rsid w:val="00DE1B2D"/>
    <w:rsid w:val="00DE2539"/>
    <w:rsid w:val="00DE2CB3"/>
    <w:rsid w:val="00DE45D4"/>
    <w:rsid w:val="00DE5ED6"/>
    <w:rsid w:val="00DE624E"/>
    <w:rsid w:val="00DF0975"/>
    <w:rsid w:val="00DF11A1"/>
    <w:rsid w:val="00DF1A39"/>
    <w:rsid w:val="00DF2C4C"/>
    <w:rsid w:val="00DF3CE1"/>
    <w:rsid w:val="00DF4E5D"/>
    <w:rsid w:val="00E0291F"/>
    <w:rsid w:val="00E03E32"/>
    <w:rsid w:val="00E053F4"/>
    <w:rsid w:val="00E07342"/>
    <w:rsid w:val="00E0767C"/>
    <w:rsid w:val="00E1022F"/>
    <w:rsid w:val="00E1234D"/>
    <w:rsid w:val="00E12524"/>
    <w:rsid w:val="00E12850"/>
    <w:rsid w:val="00E12B5E"/>
    <w:rsid w:val="00E133E7"/>
    <w:rsid w:val="00E134FF"/>
    <w:rsid w:val="00E13768"/>
    <w:rsid w:val="00E15F32"/>
    <w:rsid w:val="00E164E5"/>
    <w:rsid w:val="00E204C4"/>
    <w:rsid w:val="00E23609"/>
    <w:rsid w:val="00E23F38"/>
    <w:rsid w:val="00E25CF7"/>
    <w:rsid w:val="00E262B7"/>
    <w:rsid w:val="00E26B04"/>
    <w:rsid w:val="00E27DB4"/>
    <w:rsid w:val="00E334A0"/>
    <w:rsid w:val="00E353BA"/>
    <w:rsid w:val="00E35961"/>
    <w:rsid w:val="00E4018E"/>
    <w:rsid w:val="00E4212E"/>
    <w:rsid w:val="00E42D5F"/>
    <w:rsid w:val="00E430D5"/>
    <w:rsid w:val="00E4526D"/>
    <w:rsid w:val="00E454F8"/>
    <w:rsid w:val="00E50EE0"/>
    <w:rsid w:val="00E52E02"/>
    <w:rsid w:val="00E55D35"/>
    <w:rsid w:val="00E563C5"/>
    <w:rsid w:val="00E56CE6"/>
    <w:rsid w:val="00E56D6B"/>
    <w:rsid w:val="00E57FED"/>
    <w:rsid w:val="00E60B8F"/>
    <w:rsid w:val="00E61158"/>
    <w:rsid w:val="00E61350"/>
    <w:rsid w:val="00E61702"/>
    <w:rsid w:val="00E61977"/>
    <w:rsid w:val="00E6213A"/>
    <w:rsid w:val="00E641C2"/>
    <w:rsid w:val="00E660F6"/>
    <w:rsid w:val="00E67740"/>
    <w:rsid w:val="00E67A91"/>
    <w:rsid w:val="00E70486"/>
    <w:rsid w:val="00E711A9"/>
    <w:rsid w:val="00E73893"/>
    <w:rsid w:val="00E74468"/>
    <w:rsid w:val="00E75E11"/>
    <w:rsid w:val="00E7754D"/>
    <w:rsid w:val="00E81E52"/>
    <w:rsid w:val="00E82D07"/>
    <w:rsid w:val="00E84128"/>
    <w:rsid w:val="00E8430A"/>
    <w:rsid w:val="00E84D9B"/>
    <w:rsid w:val="00E86C11"/>
    <w:rsid w:val="00E87B85"/>
    <w:rsid w:val="00E91D46"/>
    <w:rsid w:val="00E91D6A"/>
    <w:rsid w:val="00E9316B"/>
    <w:rsid w:val="00E94257"/>
    <w:rsid w:val="00E94480"/>
    <w:rsid w:val="00E94C71"/>
    <w:rsid w:val="00E9535B"/>
    <w:rsid w:val="00E96156"/>
    <w:rsid w:val="00E96874"/>
    <w:rsid w:val="00E97FB0"/>
    <w:rsid w:val="00EA355A"/>
    <w:rsid w:val="00EA6F8D"/>
    <w:rsid w:val="00EA7AB3"/>
    <w:rsid w:val="00EB06D1"/>
    <w:rsid w:val="00EB1673"/>
    <w:rsid w:val="00EB1B93"/>
    <w:rsid w:val="00EB69A1"/>
    <w:rsid w:val="00EB6C41"/>
    <w:rsid w:val="00EC1255"/>
    <w:rsid w:val="00EC1529"/>
    <w:rsid w:val="00EC43B2"/>
    <w:rsid w:val="00EC589D"/>
    <w:rsid w:val="00EC7C50"/>
    <w:rsid w:val="00ED0CCF"/>
    <w:rsid w:val="00ED33A9"/>
    <w:rsid w:val="00ED47F1"/>
    <w:rsid w:val="00ED7B73"/>
    <w:rsid w:val="00EE1BB2"/>
    <w:rsid w:val="00EE1C86"/>
    <w:rsid w:val="00EE22D5"/>
    <w:rsid w:val="00EE2752"/>
    <w:rsid w:val="00EE7BA1"/>
    <w:rsid w:val="00EF1345"/>
    <w:rsid w:val="00EF1ADD"/>
    <w:rsid w:val="00EF26A1"/>
    <w:rsid w:val="00EF2AF1"/>
    <w:rsid w:val="00EF3E88"/>
    <w:rsid w:val="00EF53DC"/>
    <w:rsid w:val="00EF7095"/>
    <w:rsid w:val="00EF7AE0"/>
    <w:rsid w:val="00F0345E"/>
    <w:rsid w:val="00F03DD9"/>
    <w:rsid w:val="00F06EBD"/>
    <w:rsid w:val="00F06F5F"/>
    <w:rsid w:val="00F1082B"/>
    <w:rsid w:val="00F12763"/>
    <w:rsid w:val="00F14190"/>
    <w:rsid w:val="00F160DC"/>
    <w:rsid w:val="00F22257"/>
    <w:rsid w:val="00F2369D"/>
    <w:rsid w:val="00F23720"/>
    <w:rsid w:val="00F24D71"/>
    <w:rsid w:val="00F26884"/>
    <w:rsid w:val="00F27DDE"/>
    <w:rsid w:val="00F326FF"/>
    <w:rsid w:val="00F327D9"/>
    <w:rsid w:val="00F329ED"/>
    <w:rsid w:val="00F335D1"/>
    <w:rsid w:val="00F336AA"/>
    <w:rsid w:val="00F34DF1"/>
    <w:rsid w:val="00F3565D"/>
    <w:rsid w:val="00F36FDF"/>
    <w:rsid w:val="00F41029"/>
    <w:rsid w:val="00F43BFF"/>
    <w:rsid w:val="00F44932"/>
    <w:rsid w:val="00F45906"/>
    <w:rsid w:val="00F46CEC"/>
    <w:rsid w:val="00F470C1"/>
    <w:rsid w:val="00F472C7"/>
    <w:rsid w:val="00F47AD6"/>
    <w:rsid w:val="00F47E33"/>
    <w:rsid w:val="00F50B22"/>
    <w:rsid w:val="00F5285C"/>
    <w:rsid w:val="00F52ED3"/>
    <w:rsid w:val="00F52F76"/>
    <w:rsid w:val="00F53643"/>
    <w:rsid w:val="00F5629F"/>
    <w:rsid w:val="00F5634B"/>
    <w:rsid w:val="00F5650E"/>
    <w:rsid w:val="00F60639"/>
    <w:rsid w:val="00F61081"/>
    <w:rsid w:val="00F61CD2"/>
    <w:rsid w:val="00F62407"/>
    <w:rsid w:val="00F63E2F"/>
    <w:rsid w:val="00F6558B"/>
    <w:rsid w:val="00F664EE"/>
    <w:rsid w:val="00F715CC"/>
    <w:rsid w:val="00F72645"/>
    <w:rsid w:val="00F741BE"/>
    <w:rsid w:val="00F77029"/>
    <w:rsid w:val="00F80540"/>
    <w:rsid w:val="00F812AE"/>
    <w:rsid w:val="00F8335D"/>
    <w:rsid w:val="00F83F90"/>
    <w:rsid w:val="00F8483A"/>
    <w:rsid w:val="00F85D04"/>
    <w:rsid w:val="00F85D08"/>
    <w:rsid w:val="00F862BE"/>
    <w:rsid w:val="00F86B6F"/>
    <w:rsid w:val="00F8713E"/>
    <w:rsid w:val="00F87947"/>
    <w:rsid w:val="00F91184"/>
    <w:rsid w:val="00F916F5"/>
    <w:rsid w:val="00F92518"/>
    <w:rsid w:val="00F92880"/>
    <w:rsid w:val="00F93632"/>
    <w:rsid w:val="00F93FDB"/>
    <w:rsid w:val="00F96E47"/>
    <w:rsid w:val="00F96EAC"/>
    <w:rsid w:val="00F97B3A"/>
    <w:rsid w:val="00FA142B"/>
    <w:rsid w:val="00FA27CF"/>
    <w:rsid w:val="00FA2B1B"/>
    <w:rsid w:val="00FA2C89"/>
    <w:rsid w:val="00FA2E0D"/>
    <w:rsid w:val="00FA33B2"/>
    <w:rsid w:val="00FA5EEC"/>
    <w:rsid w:val="00FB2140"/>
    <w:rsid w:val="00FB3E6D"/>
    <w:rsid w:val="00FB557C"/>
    <w:rsid w:val="00FB5911"/>
    <w:rsid w:val="00FB6A44"/>
    <w:rsid w:val="00FB7AE7"/>
    <w:rsid w:val="00FC198B"/>
    <w:rsid w:val="00FC36D9"/>
    <w:rsid w:val="00FC44CD"/>
    <w:rsid w:val="00FC4D4E"/>
    <w:rsid w:val="00FC571A"/>
    <w:rsid w:val="00FC7B6D"/>
    <w:rsid w:val="00FD0BD7"/>
    <w:rsid w:val="00FD15AB"/>
    <w:rsid w:val="00FD1617"/>
    <w:rsid w:val="00FD3244"/>
    <w:rsid w:val="00FD3F81"/>
    <w:rsid w:val="00FD463F"/>
    <w:rsid w:val="00FD5465"/>
    <w:rsid w:val="00FD6544"/>
    <w:rsid w:val="00FD6EAC"/>
    <w:rsid w:val="00FD7524"/>
    <w:rsid w:val="00FE002C"/>
    <w:rsid w:val="00FE0D1E"/>
    <w:rsid w:val="00FE2094"/>
    <w:rsid w:val="00FE2D54"/>
    <w:rsid w:val="00FE2D93"/>
    <w:rsid w:val="00FE76FA"/>
    <w:rsid w:val="00FE7D40"/>
    <w:rsid w:val="00FF2EA2"/>
    <w:rsid w:val="00FF4130"/>
    <w:rsid w:val="00FF46E3"/>
    <w:rsid w:val="00FF51CB"/>
    <w:rsid w:val="00FF7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99C899D"/>
  <w15:docId w15:val="{6EFE4F78-9EFE-420D-8C4A-1542125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paragraph" w:styleId="Heading4">
    <w:name w:val="heading 4"/>
    <w:basedOn w:val="Normal"/>
    <w:next w:val="Normal"/>
    <w:link w:val="Heading4Char"/>
    <w:unhideWhenUsed/>
    <w:qFormat/>
    <w:rsid w:val="001D5D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 w:type="paragraph" w:customStyle="1" w:styleId="h2">
    <w:name w:val="h2"/>
    <w:basedOn w:val="Normal"/>
    <w:uiPriority w:val="99"/>
    <w:rsid w:val="00265833"/>
    <w:pPr>
      <w:spacing w:before="100" w:beforeAutospacing="1" w:after="100" w:afterAutospacing="1"/>
    </w:pPr>
    <w:rPr>
      <w:color w:val="306060"/>
      <w:sz w:val="24"/>
      <w:lang w:eastAsia="lv-LV"/>
    </w:rPr>
  </w:style>
  <w:style w:type="paragraph" w:styleId="CommentSubject">
    <w:name w:val="annotation subject"/>
    <w:basedOn w:val="CommentText"/>
    <w:next w:val="CommentText"/>
    <w:link w:val="CommentSubjectChar"/>
    <w:semiHidden/>
    <w:unhideWhenUsed/>
    <w:rsid w:val="00035B67"/>
    <w:rPr>
      <w:b/>
      <w:bCs/>
    </w:rPr>
  </w:style>
  <w:style w:type="character" w:customStyle="1" w:styleId="CommentSubjectChar">
    <w:name w:val="Comment Subject Char"/>
    <w:basedOn w:val="CommentTextChar"/>
    <w:link w:val="CommentSubject"/>
    <w:semiHidden/>
    <w:rsid w:val="00035B67"/>
    <w:rPr>
      <w:b/>
      <w:bCs/>
      <w:lang w:val="lv-LV" w:eastAsia="en-US" w:bidi="ar-SA"/>
    </w:rPr>
  </w:style>
  <w:style w:type="character" w:customStyle="1" w:styleId="Heading4Char">
    <w:name w:val="Heading 4 Char"/>
    <w:basedOn w:val="DefaultParagraphFont"/>
    <w:link w:val="Heading4"/>
    <w:rsid w:val="001D5D81"/>
    <w:rPr>
      <w:rFonts w:asciiTheme="majorHAnsi" w:eastAsiaTheme="majorEastAsia" w:hAnsiTheme="majorHAnsi" w:cstheme="majorBidi"/>
      <w:i/>
      <w:iCs/>
      <w:color w:val="365F91" w:themeColor="accent1" w:themeShade="BF"/>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4148">
      <w:bodyDiv w:val="1"/>
      <w:marLeft w:val="0"/>
      <w:marRight w:val="0"/>
      <w:marTop w:val="0"/>
      <w:marBottom w:val="0"/>
      <w:divBdr>
        <w:top w:val="none" w:sz="0" w:space="0" w:color="auto"/>
        <w:left w:val="none" w:sz="0" w:space="0" w:color="auto"/>
        <w:bottom w:val="none" w:sz="0" w:space="0" w:color="auto"/>
        <w:right w:val="none" w:sz="0" w:space="0" w:color="auto"/>
      </w:divBdr>
    </w:div>
    <w:div w:id="127213628">
      <w:bodyDiv w:val="1"/>
      <w:marLeft w:val="0"/>
      <w:marRight w:val="0"/>
      <w:marTop w:val="0"/>
      <w:marBottom w:val="0"/>
      <w:divBdr>
        <w:top w:val="none" w:sz="0" w:space="0" w:color="auto"/>
        <w:left w:val="none" w:sz="0" w:space="0" w:color="auto"/>
        <w:bottom w:val="none" w:sz="0" w:space="0" w:color="auto"/>
        <w:right w:val="none" w:sz="0" w:space="0" w:color="auto"/>
      </w:divBdr>
    </w:div>
    <w:div w:id="545332691">
      <w:bodyDiv w:val="1"/>
      <w:marLeft w:val="0"/>
      <w:marRight w:val="0"/>
      <w:marTop w:val="0"/>
      <w:marBottom w:val="0"/>
      <w:divBdr>
        <w:top w:val="none" w:sz="0" w:space="0" w:color="auto"/>
        <w:left w:val="none" w:sz="0" w:space="0" w:color="auto"/>
        <w:bottom w:val="none" w:sz="0" w:space="0" w:color="auto"/>
        <w:right w:val="none" w:sz="0" w:space="0" w:color="auto"/>
      </w:divBdr>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055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m.gov.l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F65F-2F50-4A27-8FB2-95265966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3048</Words>
  <Characters>20100</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Noteikumi par minimālo mēneša darba algu un minimālo stundas tarifa likmi</vt:lpstr>
    </vt:vector>
  </TitlesOfParts>
  <Company>Labklājības ministrija</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minimālo mēneša darba algu un minimālo stundas tarifa likmi</dc:title>
  <dc:subject>Anotācija</dc:subject>
  <dc:creator>Aina Liepiņa</dc:creator>
  <dc:description>Aina.Liepina@lm.gov.lv
Tālr.67021519; fakss. 67021505</dc:description>
  <cp:lastModifiedBy>Aina Liepina</cp:lastModifiedBy>
  <cp:revision>26</cp:revision>
  <cp:lastPrinted>2017-07-13T07:06:00Z</cp:lastPrinted>
  <dcterms:created xsi:type="dcterms:W3CDTF">2020-07-29T07:50:00Z</dcterms:created>
  <dcterms:modified xsi:type="dcterms:W3CDTF">2020-08-06T08:41:00Z</dcterms:modified>
</cp:coreProperties>
</file>