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0601" w14:textId="77777777" w:rsidR="009B1558" w:rsidRPr="00501D2A" w:rsidRDefault="009B1558" w:rsidP="009B155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OLE_LINK2"/>
      <w:bookmarkStart w:id="1" w:name="OLE_LINK1"/>
      <w:bookmarkStart w:id="2" w:name="_Hlk29201727"/>
      <w:r w:rsidRPr="00501D2A">
        <w:rPr>
          <w:b/>
        </w:rPr>
        <w:t xml:space="preserve">Likumprojekta </w:t>
      </w:r>
      <w:r w:rsidRPr="00501D2A">
        <w:rPr>
          <w:rFonts w:eastAsiaTheme="minorHAnsi"/>
          <w:b/>
          <w:bCs/>
          <w:lang w:eastAsia="en-US"/>
        </w:rPr>
        <w:t>"</w:t>
      </w:r>
      <w:bookmarkStart w:id="3" w:name="_GoBack"/>
      <w:r w:rsidRPr="00501D2A">
        <w:rPr>
          <w:rFonts w:eastAsiaTheme="minorHAnsi"/>
          <w:b/>
          <w:bCs/>
          <w:lang w:eastAsia="en-US"/>
        </w:rPr>
        <w:t>Grozījumi likumā "Par apdrošināšanu bezdarba gadījumam"</w:t>
      </w:r>
      <w:bookmarkEnd w:id="3"/>
      <w:r w:rsidRPr="00501D2A">
        <w:rPr>
          <w:rFonts w:eastAsiaTheme="minorHAnsi"/>
          <w:b/>
          <w:bCs/>
          <w:lang w:eastAsia="en-US"/>
        </w:rPr>
        <w:t>"</w:t>
      </w:r>
      <w:r w:rsidRPr="00501D2A">
        <w:rPr>
          <w:b/>
        </w:rPr>
        <w:t xml:space="preserve"> sākotnējās ietekmes </w:t>
      </w:r>
    </w:p>
    <w:p w14:paraId="68341C98" w14:textId="77777777" w:rsidR="009B1558" w:rsidRPr="00501D2A" w:rsidRDefault="009B1558" w:rsidP="009B1558">
      <w:pPr>
        <w:jc w:val="center"/>
        <w:rPr>
          <w:b/>
        </w:rPr>
      </w:pPr>
      <w:r w:rsidRPr="00501D2A">
        <w:rPr>
          <w:b/>
        </w:rPr>
        <w:t>novērtējuma ziņojums (anotācija)</w:t>
      </w:r>
    </w:p>
    <w:p w14:paraId="3239D0F5" w14:textId="77777777" w:rsidR="009B1558" w:rsidRPr="000B7BBC" w:rsidRDefault="009B1558" w:rsidP="009B1558">
      <w:pPr>
        <w:pStyle w:val="naisc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9B1558" w:rsidRPr="000B7BBC" w14:paraId="211922F8" w14:textId="77777777" w:rsidTr="009B1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0365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Tiesību akta projekta anotācijas kopsavilkums</w:t>
            </w:r>
          </w:p>
        </w:tc>
      </w:tr>
      <w:tr w:rsidR="009B1558" w:rsidRPr="000B7BBC" w14:paraId="1FE55341" w14:textId="77777777" w:rsidTr="009B1558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3F83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6000" w14:textId="77777777" w:rsidR="00D156D5" w:rsidRDefault="00416316" w:rsidP="00D156D5">
            <w:pPr>
              <w:jc w:val="both"/>
            </w:pPr>
            <w:r w:rsidRPr="000B7BBC">
              <w:t xml:space="preserve">Likumprojekts “Grozījumi likumā “Par apdrošināšanu bezdarba gadījumam”” (turpmāk – likumprojekts) izstrādāts </w:t>
            </w:r>
            <w:r w:rsidR="00D156D5">
              <w:t xml:space="preserve">ar mērķi pagarināt </w:t>
            </w:r>
            <w:r w:rsidR="00DB1C41">
              <w:t>bezdarbnieka palīdzības pabalsta izmaksu, ņemot vērā Covid-19 straujo izplatības pieaugumu.</w:t>
            </w:r>
          </w:p>
          <w:p w14:paraId="21B3D0EB" w14:textId="77777777" w:rsidR="00AC4FDD" w:rsidRDefault="00AC4FDD" w:rsidP="00D156D5">
            <w:pPr>
              <w:jc w:val="both"/>
              <w:rPr>
                <w:iCs/>
              </w:rPr>
            </w:pPr>
          </w:p>
          <w:p w14:paraId="0A6296F3" w14:textId="31E045FB" w:rsidR="00AC4FDD" w:rsidRPr="006C4C44" w:rsidRDefault="00AC4FDD" w:rsidP="00D156D5">
            <w:pPr>
              <w:jc w:val="both"/>
              <w:rPr>
                <w:iCs/>
              </w:rPr>
            </w:pPr>
            <w:r w:rsidRPr="00A35929">
              <w:rPr>
                <w:iCs/>
              </w:rPr>
              <w:t>Likumprojekts stājas spēkā</w:t>
            </w:r>
            <w:r w:rsidR="0028546A" w:rsidRPr="00A35929">
              <w:rPr>
                <w:iCs/>
              </w:rPr>
              <w:t xml:space="preserve"> 2021.</w:t>
            </w:r>
            <w:r w:rsidR="00B15E97">
              <w:rPr>
                <w:iCs/>
              </w:rPr>
              <w:t> </w:t>
            </w:r>
            <w:r w:rsidR="0028546A" w:rsidRPr="00A35929">
              <w:rPr>
                <w:iCs/>
              </w:rPr>
              <w:t>gada 1.</w:t>
            </w:r>
            <w:r w:rsidR="00B15E97">
              <w:rPr>
                <w:iCs/>
              </w:rPr>
              <w:t> </w:t>
            </w:r>
            <w:r w:rsidR="0028546A" w:rsidRPr="00A35929">
              <w:rPr>
                <w:iCs/>
              </w:rPr>
              <w:t>janvārī.</w:t>
            </w:r>
          </w:p>
          <w:p w14:paraId="03459803" w14:textId="77777777" w:rsidR="009B1558" w:rsidRPr="006C4C44" w:rsidRDefault="009B1558" w:rsidP="000B7BBC">
            <w:pPr>
              <w:spacing w:after="120"/>
              <w:jc w:val="both"/>
              <w:rPr>
                <w:iCs/>
              </w:rPr>
            </w:pPr>
          </w:p>
        </w:tc>
      </w:tr>
    </w:tbl>
    <w:p w14:paraId="3BB7A5E1" w14:textId="77777777" w:rsidR="009B1558" w:rsidRPr="000B7BBC" w:rsidRDefault="009B1558" w:rsidP="009B1558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937"/>
        <w:gridCol w:w="5692"/>
      </w:tblGrid>
      <w:tr w:rsidR="009B1558" w:rsidRPr="000B7BBC" w14:paraId="767B861C" w14:textId="77777777" w:rsidTr="007D4EF0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7B3D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I. Tiesību akta projekta izstrādes nepieciešamība</w:t>
            </w:r>
          </w:p>
        </w:tc>
      </w:tr>
      <w:tr w:rsidR="009B1558" w:rsidRPr="000B7BBC" w14:paraId="3C1C34F3" w14:textId="77777777" w:rsidTr="007D4E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CDCA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B4B2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Pamatojums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E350" w14:textId="4CE464B6" w:rsidR="009B1558" w:rsidRPr="00DB1C41" w:rsidRDefault="00DB1C41" w:rsidP="00DB1C41">
            <w:pPr>
              <w:jc w:val="both"/>
              <w:rPr>
                <w:iCs/>
                <w:lang w:eastAsia="en-US"/>
              </w:rPr>
            </w:pPr>
            <w:r w:rsidRPr="00DB1C41">
              <w:rPr>
                <w:rFonts w:eastAsia="Calibri"/>
                <w:lang w:eastAsia="en-US"/>
              </w:rPr>
              <w:t>Projekts izstrādāts, ņemot vērā Covid-19 straujo izplatības pieaugumu un 2020.</w:t>
            </w:r>
            <w:r w:rsidR="00B15E97">
              <w:rPr>
                <w:rFonts w:eastAsia="Calibri"/>
                <w:lang w:eastAsia="en-US"/>
              </w:rPr>
              <w:t> </w:t>
            </w:r>
            <w:r w:rsidRPr="00DB1C41">
              <w:rPr>
                <w:rFonts w:eastAsia="Calibri"/>
                <w:lang w:eastAsia="en-US"/>
              </w:rPr>
              <w:t>gada 26.</w:t>
            </w:r>
            <w:r w:rsidR="00B15E97">
              <w:rPr>
                <w:rFonts w:eastAsia="Calibri"/>
                <w:lang w:eastAsia="en-US"/>
              </w:rPr>
              <w:t> </w:t>
            </w:r>
            <w:r w:rsidRPr="00DB1C41">
              <w:rPr>
                <w:rFonts w:eastAsia="Calibri"/>
                <w:lang w:eastAsia="en-US"/>
              </w:rPr>
              <w:t>novembrī finanšu ministra darba grupā pieņemto lēmumu.</w:t>
            </w:r>
          </w:p>
        </w:tc>
      </w:tr>
      <w:tr w:rsidR="00416316" w:rsidRPr="000B7BBC" w14:paraId="4E099CC3" w14:textId="77777777" w:rsidTr="007D4E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33A8" w14:textId="77777777" w:rsidR="00416316" w:rsidRPr="000B7BBC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84A8" w14:textId="77777777" w:rsidR="005606CE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Pašreizējā situācija un problēmas, kuru risināšanai tiesību akta projekts izstrādāts, tiesiskā regulējuma mērķis un būtība</w:t>
            </w:r>
          </w:p>
          <w:p w14:paraId="5EB7E597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4FEFB369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39C2B004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7CE7605E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5368EAF6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7B0AC019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66786C07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34D52694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7035D407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5C140FB2" w14:textId="77777777" w:rsidR="005606CE" w:rsidRPr="002C0B70" w:rsidRDefault="005606CE" w:rsidP="002C0B70">
            <w:pPr>
              <w:rPr>
                <w:lang w:eastAsia="en-US"/>
              </w:rPr>
            </w:pPr>
          </w:p>
          <w:p w14:paraId="08AB02F3" w14:textId="77777777" w:rsidR="005606CE" w:rsidRDefault="005606CE" w:rsidP="005606CE">
            <w:pPr>
              <w:rPr>
                <w:lang w:eastAsia="en-US"/>
              </w:rPr>
            </w:pPr>
          </w:p>
          <w:p w14:paraId="239CCB3E" w14:textId="77777777" w:rsidR="005606CE" w:rsidRPr="005606CE" w:rsidRDefault="005606CE">
            <w:pPr>
              <w:rPr>
                <w:lang w:eastAsia="en-US"/>
              </w:rPr>
            </w:pPr>
          </w:p>
          <w:p w14:paraId="512DCE62" w14:textId="77777777" w:rsidR="00416316" w:rsidRPr="002C0B70" w:rsidRDefault="00416316" w:rsidP="002C0B70">
            <w:pPr>
              <w:rPr>
                <w:lang w:eastAsia="en-US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35CAB" w14:textId="303F696C" w:rsidR="00416316" w:rsidRDefault="00D156D5" w:rsidP="00D156D5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t>Ievērojot straujo C</w:t>
            </w:r>
            <w:r w:rsidR="00B15E97">
              <w:rPr>
                <w:iCs/>
              </w:rPr>
              <w:t>ovid</w:t>
            </w:r>
            <w:r>
              <w:rPr>
                <w:iCs/>
              </w:rPr>
              <w:t xml:space="preserve">-19 izplatības pieaugumu un turpinot sniegt atbalstu </w:t>
            </w:r>
            <w:r>
              <w:rPr>
                <w:color w:val="000000"/>
                <w:shd w:val="clear" w:color="auto" w:fill="FFFFFF"/>
              </w:rPr>
              <w:t>personām, kuras pēc bezdarbnieka pabalsta izmaksas beigām sakarā ar Covid-19 izsludinātās ārkārtējās situācijas radītajām sekām nav atradušas darbu un neveic saimniecisko darbību, likumprojekts paredz:</w:t>
            </w:r>
          </w:p>
          <w:p w14:paraId="4A16E882" w14:textId="038A3398" w:rsidR="00DD66A3" w:rsidRDefault="00D156D5" w:rsidP="00D156D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pagarināt termiņu, kādā piešķir </w:t>
            </w:r>
            <w:r w:rsidR="00DD66A3">
              <w:rPr>
                <w:color w:val="000000"/>
                <w:shd w:val="clear" w:color="auto" w:fill="FFFFFF"/>
              </w:rPr>
              <w:t xml:space="preserve">un izmaksā </w:t>
            </w:r>
            <w:r>
              <w:rPr>
                <w:color w:val="000000"/>
                <w:shd w:val="clear" w:color="auto" w:fill="FFFFFF"/>
              </w:rPr>
              <w:t>bezdarbnieka</w:t>
            </w:r>
            <w:r w:rsidR="00DD66A3">
              <w:rPr>
                <w:color w:val="000000"/>
                <w:shd w:val="clear" w:color="auto" w:fill="FFFFFF"/>
              </w:rPr>
              <w:t xml:space="preserve"> palīdzības pabalst</w:t>
            </w:r>
            <w:r w:rsidR="000F6644">
              <w:rPr>
                <w:color w:val="000000"/>
                <w:shd w:val="clear" w:color="auto" w:fill="FFFFFF"/>
              </w:rPr>
              <w:t>u</w:t>
            </w:r>
            <w:r w:rsidR="00DD66A3">
              <w:rPr>
                <w:color w:val="000000"/>
                <w:shd w:val="clear" w:color="auto" w:fill="FFFFFF"/>
              </w:rPr>
              <w:t>, līdz 2021.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 w:rsidR="00DD66A3">
              <w:rPr>
                <w:color w:val="000000"/>
                <w:shd w:val="clear" w:color="auto" w:fill="FFFFFF"/>
              </w:rPr>
              <w:t>gada 30.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 w:rsidR="00DD66A3">
              <w:rPr>
                <w:color w:val="000000"/>
                <w:shd w:val="clear" w:color="auto" w:fill="FFFFFF"/>
              </w:rPr>
              <w:t>jūnijam (šobrīd – 2020.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 w:rsidR="00DD66A3">
              <w:rPr>
                <w:color w:val="000000"/>
                <w:shd w:val="clear" w:color="auto" w:fill="FFFFFF"/>
              </w:rPr>
              <w:t>gada 31.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 w:rsidR="00DD66A3">
              <w:rPr>
                <w:color w:val="000000"/>
                <w:shd w:val="clear" w:color="auto" w:fill="FFFFFF"/>
              </w:rPr>
              <w:t>decembris);</w:t>
            </w:r>
          </w:p>
          <w:p w14:paraId="6BE29BA4" w14:textId="6CF38CBD" w:rsidR="00D156D5" w:rsidRDefault="002F15F4" w:rsidP="00D156D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pagarināt termiņu, </w:t>
            </w:r>
            <w:r w:rsidR="00521828">
              <w:rPr>
                <w:color w:val="000000"/>
                <w:shd w:val="clear" w:color="auto" w:fill="FFFFFF"/>
              </w:rPr>
              <w:t xml:space="preserve">kādā aptur </w:t>
            </w:r>
            <w:r w:rsidR="00521828" w:rsidRPr="00521828">
              <w:rPr>
                <w:color w:val="000000"/>
                <w:shd w:val="clear" w:color="auto" w:fill="FFFFFF"/>
              </w:rPr>
              <w:t>bezdarbnieka pabalsta izmaksu</w:t>
            </w:r>
            <w:r w:rsidR="00521828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ja bezdarbnieks iegūst darba ņēmēja v</w:t>
            </w:r>
            <w:r w:rsidRPr="002F15F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i</w:t>
            </w:r>
            <w:r w:rsidRPr="002F15F4">
              <w:rPr>
                <w:color w:val="000000"/>
                <w:shd w:val="clear" w:color="auto" w:fill="FFFFFF"/>
              </w:rPr>
              <w:t xml:space="preserve"> pašnodarbinātā statusu saskaņā ar likumu "Par valsts sociālo apdrošināšanu" uz laiku līdz 120 dienām</w:t>
            </w:r>
            <w:r>
              <w:rPr>
                <w:color w:val="000000"/>
                <w:shd w:val="clear" w:color="auto" w:fill="FFFFFF"/>
              </w:rPr>
              <w:t>, līdz 2021.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gada 3</w:t>
            </w:r>
            <w:r w:rsidR="000D446F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 w:rsidR="000D446F">
              <w:rPr>
                <w:color w:val="000000"/>
                <w:shd w:val="clear" w:color="auto" w:fill="FFFFFF"/>
              </w:rPr>
              <w:t>decembrim</w:t>
            </w:r>
            <w:r>
              <w:rPr>
                <w:color w:val="000000"/>
                <w:shd w:val="clear" w:color="auto" w:fill="FFFFFF"/>
              </w:rPr>
              <w:t xml:space="preserve"> (šobrīd – 2020.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gada 31.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decembris);</w:t>
            </w:r>
          </w:p>
          <w:p w14:paraId="6F79C94D" w14:textId="77777777" w:rsidR="00521828" w:rsidRDefault="002F15F4" w:rsidP="00D156D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pagarināt termiņu,</w:t>
            </w:r>
            <w:r w:rsidR="00521828">
              <w:rPr>
                <w:color w:val="000000"/>
                <w:shd w:val="clear" w:color="auto" w:fill="FFFFFF"/>
              </w:rPr>
              <w:t xml:space="preserve"> kādā personai </w:t>
            </w:r>
            <w:r w:rsidR="00521828" w:rsidRPr="00521828">
              <w:rPr>
                <w:color w:val="000000"/>
                <w:shd w:val="clear" w:color="auto" w:fill="FFFFFF"/>
              </w:rPr>
              <w:t>bezdarbnieka pabalstu piešķir no dienas, kad tā iesniegusi iesniegumu par bezdarbnieka pabalsta piešķiršanu</w:t>
            </w:r>
            <w:r w:rsidR="00521828">
              <w:rPr>
                <w:color w:val="000000"/>
                <w:shd w:val="clear" w:color="auto" w:fill="FFFFFF"/>
              </w:rPr>
              <w:t>,</w:t>
            </w:r>
          </w:p>
          <w:p w14:paraId="2E2C9060" w14:textId="263A53C7" w:rsidR="002F15F4" w:rsidRDefault="002F15F4" w:rsidP="00521828">
            <w:pPr>
              <w:pStyle w:val="ListParagraph"/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ja</w:t>
            </w:r>
            <w:r w:rsidR="00521828">
              <w:rPr>
                <w:color w:val="000000"/>
                <w:shd w:val="clear" w:color="auto" w:fill="FFFFFF"/>
              </w:rPr>
              <w:t xml:space="preserve"> persona par</w:t>
            </w:r>
            <w:r w:rsidRPr="002F15F4">
              <w:rPr>
                <w:color w:val="000000"/>
                <w:shd w:val="clear" w:color="auto" w:fill="FFFFFF"/>
              </w:rPr>
              <w:t xml:space="preserve"> bezdarbnieku kļuvusi pēc darba vai dienesta attiecību izbeigšanas uz pašas uzteikuma pamata</w:t>
            </w:r>
            <w:r w:rsidR="00521828">
              <w:rPr>
                <w:color w:val="000000"/>
                <w:shd w:val="clear" w:color="auto" w:fill="FFFFFF"/>
              </w:rPr>
              <w:t xml:space="preserve">, </w:t>
            </w:r>
            <w:r w:rsidR="00521828" w:rsidRPr="00521828">
              <w:rPr>
                <w:color w:val="000000"/>
                <w:shd w:val="clear" w:color="auto" w:fill="FFFFFF"/>
              </w:rPr>
              <w:t>līdz 2021.</w:t>
            </w:r>
            <w:r w:rsidR="00427462">
              <w:rPr>
                <w:color w:val="000000"/>
                <w:shd w:val="clear" w:color="auto" w:fill="FFFFFF"/>
              </w:rPr>
              <w:t> </w:t>
            </w:r>
            <w:r w:rsidR="00521828" w:rsidRPr="00521828">
              <w:rPr>
                <w:color w:val="000000"/>
                <w:shd w:val="clear" w:color="auto" w:fill="FFFFFF"/>
              </w:rPr>
              <w:t>gada 30.</w:t>
            </w:r>
            <w:r w:rsidR="00427462">
              <w:rPr>
                <w:color w:val="000000"/>
                <w:shd w:val="clear" w:color="auto" w:fill="FFFFFF"/>
              </w:rPr>
              <w:t> </w:t>
            </w:r>
            <w:r w:rsidR="00521828" w:rsidRPr="00521828">
              <w:rPr>
                <w:color w:val="000000"/>
                <w:shd w:val="clear" w:color="auto" w:fill="FFFFFF"/>
              </w:rPr>
              <w:t>jūnijam (šobrīd – 2020.</w:t>
            </w:r>
            <w:r w:rsidR="00427462">
              <w:rPr>
                <w:color w:val="000000"/>
                <w:shd w:val="clear" w:color="auto" w:fill="FFFFFF"/>
              </w:rPr>
              <w:t> </w:t>
            </w:r>
            <w:r w:rsidR="00521828" w:rsidRPr="00521828">
              <w:rPr>
                <w:color w:val="000000"/>
                <w:shd w:val="clear" w:color="auto" w:fill="FFFFFF"/>
              </w:rPr>
              <w:t>gada 31.</w:t>
            </w:r>
            <w:r w:rsidR="00427462">
              <w:rPr>
                <w:color w:val="000000"/>
                <w:shd w:val="clear" w:color="auto" w:fill="FFFFFF"/>
              </w:rPr>
              <w:t> </w:t>
            </w:r>
            <w:r w:rsidR="00521828" w:rsidRPr="00521828">
              <w:rPr>
                <w:color w:val="000000"/>
                <w:shd w:val="clear" w:color="auto" w:fill="FFFFFF"/>
              </w:rPr>
              <w:t>decembris)</w:t>
            </w:r>
            <w:r w:rsidR="00521828">
              <w:rPr>
                <w:color w:val="000000"/>
                <w:shd w:val="clear" w:color="auto" w:fill="FFFFFF"/>
              </w:rPr>
              <w:t>.</w:t>
            </w:r>
          </w:p>
          <w:p w14:paraId="7EAB8106" w14:textId="77777777" w:rsidR="00A70283" w:rsidRPr="00A70283" w:rsidRDefault="00A70283" w:rsidP="00A70283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Bezdarbnieka </w:t>
            </w:r>
            <w:r w:rsidR="00AC4FDD">
              <w:rPr>
                <w:color w:val="000000"/>
                <w:shd w:val="clear" w:color="auto" w:fill="FFFFFF"/>
              </w:rPr>
              <w:t xml:space="preserve">palīdzības </w:t>
            </w:r>
            <w:r>
              <w:rPr>
                <w:color w:val="000000"/>
                <w:shd w:val="clear" w:color="auto" w:fill="FFFFFF"/>
              </w:rPr>
              <w:t>pabalsta apmērs ir 180</w:t>
            </w:r>
            <w:r w:rsidR="00CD28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D2851" w:rsidRPr="0028546A">
              <w:rPr>
                <w:i/>
                <w:color w:val="000000"/>
                <w:shd w:val="clear" w:color="auto" w:fill="FFFFFF"/>
              </w:rPr>
              <w:t>euro</w:t>
            </w:r>
            <w:proofErr w:type="spellEnd"/>
            <w:r w:rsidR="00CD2851">
              <w:rPr>
                <w:color w:val="000000"/>
                <w:shd w:val="clear" w:color="auto" w:fill="FFFFFF"/>
              </w:rPr>
              <w:t xml:space="preserve"> mēnesī.</w:t>
            </w:r>
          </w:p>
          <w:p w14:paraId="1481AE55" w14:textId="77777777" w:rsidR="00DD66A3" w:rsidRPr="00D156D5" w:rsidRDefault="00DD66A3" w:rsidP="00DD66A3">
            <w:pPr>
              <w:spacing w:after="120"/>
              <w:jc w:val="both"/>
              <w:rPr>
                <w:iCs/>
              </w:rPr>
            </w:pPr>
            <w:r w:rsidRPr="00DD66A3">
              <w:rPr>
                <w:iCs/>
              </w:rPr>
              <w:t>Izmaiņas nepieciešamas, lai mazinātu ekonomiskās situācijas pasliktināšanās radītās sekas un nodrošinātu iespēju personām, kas veikušas valsts sociālās apdrošināšanas iemaksas apdrošināšanai pret bezdarbu, saņemt atbalstu bezdarba gadījumā</w:t>
            </w:r>
            <w:r w:rsidR="00521828">
              <w:rPr>
                <w:iCs/>
              </w:rPr>
              <w:t>.</w:t>
            </w:r>
          </w:p>
        </w:tc>
      </w:tr>
      <w:tr w:rsidR="00416316" w:rsidRPr="000B7BBC" w14:paraId="08D5235E" w14:textId="77777777" w:rsidTr="007D4E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D348" w14:textId="77777777" w:rsidR="00416316" w:rsidRPr="000B7BBC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6751" w14:textId="77777777" w:rsidR="00A70283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izstrādē iesaistītās institūcijas un publiskas personas kapitālsabiedrības</w:t>
            </w:r>
          </w:p>
          <w:p w14:paraId="212D796D" w14:textId="77777777" w:rsidR="00A70283" w:rsidRDefault="00A70283" w:rsidP="00A70283">
            <w:pPr>
              <w:rPr>
                <w:lang w:eastAsia="en-US"/>
              </w:rPr>
            </w:pPr>
          </w:p>
          <w:p w14:paraId="68980CC2" w14:textId="77777777" w:rsidR="00416316" w:rsidRPr="00A70283" w:rsidRDefault="00416316" w:rsidP="00A70283">
            <w:pPr>
              <w:ind w:firstLine="720"/>
              <w:rPr>
                <w:lang w:eastAsia="en-US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573A" w14:textId="77777777" w:rsidR="00416316" w:rsidRPr="000B7BBC" w:rsidRDefault="005D32F1" w:rsidP="00416316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Valsts sociālās apdrošināšanas aģentūra (turpmāk – VSAA).</w:t>
            </w:r>
          </w:p>
        </w:tc>
      </w:tr>
      <w:tr w:rsidR="00416316" w:rsidRPr="000B7BBC" w14:paraId="40DF463F" w14:textId="77777777" w:rsidTr="007D4E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71B6" w14:textId="77777777" w:rsidR="00416316" w:rsidRPr="000B7BBC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4.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4588" w14:textId="77777777" w:rsidR="00416316" w:rsidRPr="000B7BBC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5A55" w14:textId="77777777" w:rsidR="00416316" w:rsidRPr="000B7BBC" w:rsidRDefault="00416316" w:rsidP="00416316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5096B0C8" w14:textId="77777777" w:rsidR="009B1558" w:rsidRPr="000B7BBC" w:rsidRDefault="009B1558" w:rsidP="009B1558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558" w:rsidRPr="000B7BBC" w14:paraId="2E2B1081" w14:textId="77777777" w:rsidTr="009B15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D6F3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9B1558" w:rsidRPr="000B7BBC" w14:paraId="3AACA20A" w14:textId="77777777" w:rsidTr="00D156D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F1BD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C770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DD1D" w14:textId="65BB8B04" w:rsidR="009B1558" w:rsidRPr="000B7BBC" w:rsidRDefault="00CD2851" w:rsidP="001E2DD6">
            <w:pPr>
              <w:shd w:val="clear" w:color="auto" w:fill="FFFFFF"/>
              <w:spacing w:after="120"/>
              <w:jc w:val="both"/>
              <w:rPr>
                <w:spacing w:val="-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Personas, kurām bezdarbnieka pabalsta izmaksas periods beidzas 202</w:t>
            </w:r>
            <w:r w:rsidR="0028546A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gada 12.</w:t>
            </w:r>
            <w:r w:rsidR="00B15E9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martā vai vēlāk un kuras sakarā ar Covid-19 izsludinātās ārkārtējās situācijas radītajām sekām nav atradušas darbu un neveic saimniecisko darbību.</w:t>
            </w:r>
          </w:p>
        </w:tc>
      </w:tr>
      <w:tr w:rsidR="009B1558" w:rsidRPr="000B7BBC" w14:paraId="404A7021" w14:textId="77777777" w:rsidTr="009B15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20E5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79AB3" w14:textId="77777777" w:rsidR="00D156D5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Tiesiskā regulējuma ietekme uz tautsaimniecību un administratīvo slogu</w:t>
            </w:r>
          </w:p>
          <w:p w14:paraId="0026B6FF" w14:textId="77777777" w:rsidR="00D156D5" w:rsidRPr="00D156D5" w:rsidRDefault="00D156D5" w:rsidP="00D156D5">
            <w:pPr>
              <w:rPr>
                <w:lang w:eastAsia="en-US"/>
              </w:rPr>
            </w:pPr>
          </w:p>
          <w:p w14:paraId="684712C0" w14:textId="77777777" w:rsidR="00D156D5" w:rsidRPr="00D156D5" w:rsidRDefault="00D156D5" w:rsidP="00D156D5">
            <w:pPr>
              <w:rPr>
                <w:lang w:eastAsia="en-US"/>
              </w:rPr>
            </w:pPr>
          </w:p>
          <w:p w14:paraId="09A73FD9" w14:textId="77777777" w:rsidR="009B1558" w:rsidRPr="00D156D5" w:rsidRDefault="009B1558" w:rsidP="00D156D5">
            <w:pPr>
              <w:rPr>
                <w:lang w:eastAsia="en-US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1F80" w14:textId="77777777" w:rsidR="009B1558" w:rsidRPr="000B7BBC" w:rsidRDefault="00CF7C86" w:rsidP="00063FB9">
            <w:pPr>
              <w:spacing w:after="120"/>
              <w:jc w:val="both"/>
              <w:rPr>
                <w:iCs/>
                <w:color w:val="FF0000"/>
                <w:lang w:eastAsia="en-US"/>
              </w:rPr>
            </w:pPr>
            <w:r>
              <w:rPr>
                <w:iCs/>
              </w:rPr>
              <w:t>Likumprojekta tiesiskais regulējums nemaina sabiedrības tiesības un pienākumus, kā arī veicamās darbības. Likumprojekts nerada papildus administratīvo slogu</w:t>
            </w:r>
            <w:r w:rsidR="00B62612">
              <w:rPr>
                <w:iCs/>
              </w:rPr>
              <w:t>.</w:t>
            </w:r>
          </w:p>
        </w:tc>
      </w:tr>
      <w:tr w:rsidR="009B1558" w:rsidRPr="000B7BBC" w14:paraId="7CC19B4F" w14:textId="77777777" w:rsidTr="009B15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7AEF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4C73E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53A3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Likumprojekts šo jomu neskar.</w:t>
            </w:r>
          </w:p>
        </w:tc>
      </w:tr>
      <w:tr w:rsidR="007433BA" w:rsidRPr="000B7BBC" w14:paraId="7B55A717" w14:textId="77777777" w:rsidTr="009B15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012B9" w14:textId="77777777" w:rsidR="007433BA" w:rsidRPr="000B7BBC" w:rsidRDefault="007433B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B01C6" w14:textId="77777777" w:rsidR="007433BA" w:rsidRPr="000B7BBC" w:rsidRDefault="007433B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color w:val="414142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D61A" w14:textId="77777777" w:rsidR="007433BA" w:rsidRPr="000B7BBC" w:rsidRDefault="007433BA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Likumprojekts šo jomu neskar.</w:t>
            </w:r>
          </w:p>
        </w:tc>
      </w:tr>
      <w:tr w:rsidR="009B1558" w:rsidRPr="000B7BBC" w14:paraId="4050204A" w14:textId="77777777" w:rsidTr="009B15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231B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77F21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D0EE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5CF38AF3" w14:textId="77777777" w:rsidR="009B1558" w:rsidRPr="000B7BBC" w:rsidRDefault="009B1558" w:rsidP="009B1558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495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694"/>
        <w:gridCol w:w="1222"/>
        <w:gridCol w:w="698"/>
        <w:gridCol w:w="951"/>
        <w:gridCol w:w="710"/>
        <w:gridCol w:w="861"/>
        <w:gridCol w:w="1887"/>
      </w:tblGrid>
      <w:tr w:rsidR="002F2679" w:rsidRPr="00925C92" w14:paraId="0EC2E98D" w14:textId="77777777" w:rsidTr="00A4046F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062684D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25C92">
              <w:rPr>
                <w:rFonts w:eastAsiaTheme="minorHAnsi" w:cstheme="minorBidi"/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2F2679" w:rsidRPr="00925C92" w14:paraId="3C11AE6B" w14:textId="77777777" w:rsidTr="00A4046F">
        <w:trPr>
          <w:cantSplit/>
        </w:trPr>
        <w:tc>
          <w:tcPr>
            <w:tcW w:w="1085" w:type="pct"/>
            <w:vMerge w:val="restart"/>
            <w:shd w:val="clear" w:color="auto" w:fill="FFFFFF"/>
            <w:vAlign w:val="center"/>
          </w:tcPr>
          <w:p w14:paraId="66867799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Rādītāji</w:t>
            </w:r>
          </w:p>
        </w:tc>
        <w:tc>
          <w:tcPr>
            <w:tcW w:w="1068" w:type="pct"/>
            <w:gridSpan w:val="2"/>
            <w:vMerge w:val="restart"/>
            <w:shd w:val="clear" w:color="auto" w:fill="FFFFFF"/>
            <w:vAlign w:val="center"/>
            <w:hideMark/>
          </w:tcPr>
          <w:p w14:paraId="4FA71D52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2020.gads</w:t>
            </w:r>
          </w:p>
        </w:tc>
        <w:tc>
          <w:tcPr>
            <w:tcW w:w="2847" w:type="pct"/>
            <w:gridSpan w:val="5"/>
            <w:shd w:val="clear" w:color="auto" w:fill="FFFFFF"/>
            <w:vAlign w:val="center"/>
            <w:hideMark/>
          </w:tcPr>
          <w:p w14:paraId="591CAC7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Turpmākie trīs gadi (</w:t>
            </w:r>
            <w:proofErr w:type="spellStart"/>
            <w:r w:rsidRPr="00DA570D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euro</w:t>
            </w:r>
            <w:proofErr w:type="spellEnd"/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)</w:t>
            </w:r>
          </w:p>
        </w:tc>
      </w:tr>
      <w:tr w:rsidR="002F2679" w:rsidRPr="00925C92" w14:paraId="05F0ABC5" w14:textId="77777777" w:rsidTr="00A4046F">
        <w:trPr>
          <w:cantSplit/>
        </w:trPr>
        <w:tc>
          <w:tcPr>
            <w:tcW w:w="1085" w:type="pct"/>
            <w:vMerge/>
            <w:shd w:val="clear" w:color="auto" w:fill="auto"/>
            <w:vAlign w:val="center"/>
            <w:hideMark/>
          </w:tcPr>
          <w:p w14:paraId="0D5D2082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  <w:hideMark/>
          </w:tcPr>
          <w:p w14:paraId="48B4C257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gridSpan w:val="2"/>
            <w:shd w:val="clear" w:color="auto" w:fill="FFFFFF"/>
            <w:vAlign w:val="center"/>
            <w:hideMark/>
          </w:tcPr>
          <w:p w14:paraId="5990566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76" w:type="pct"/>
            <w:gridSpan w:val="2"/>
            <w:shd w:val="clear" w:color="auto" w:fill="FFFFFF"/>
            <w:vAlign w:val="center"/>
            <w:hideMark/>
          </w:tcPr>
          <w:p w14:paraId="114F7C3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049" w:type="pct"/>
            <w:shd w:val="clear" w:color="auto" w:fill="FFFFFF"/>
            <w:vAlign w:val="center"/>
            <w:hideMark/>
          </w:tcPr>
          <w:p w14:paraId="315E33A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2023</w:t>
            </w:r>
          </w:p>
        </w:tc>
      </w:tr>
      <w:tr w:rsidR="002F2679" w:rsidRPr="00925C92" w14:paraId="733B941F" w14:textId="77777777" w:rsidTr="00A4046F">
        <w:trPr>
          <w:cantSplit/>
        </w:trPr>
        <w:tc>
          <w:tcPr>
            <w:tcW w:w="1085" w:type="pct"/>
            <w:vMerge/>
            <w:shd w:val="clear" w:color="auto" w:fill="auto"/>
            <w:vAlign w:val="center"/>
            <w:hideMark/>
          </w:tcPr>
          <w:p w14:paraId="7CFA6214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C919E57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saskaņā ar valsts budžetu kārtējam gadam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14:paraId="697439DB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389" w:type="pct"/>
            <w:shd w:val="clear" w:color="auto" w:fill="FFFFFF"/>
            <w:vAlign w:val="center"/>
            <w:hideMark/>
          </w:tcPr>
          <w:p w14:paraId="2ADC86FD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saskaņā ar vidēja termiņa budžeta ietvaru</w:t>
            </w:r>
          </w:p>
        </w:tc>
        <w:tc>
          <w:tcPr>
            <w:tcW w:w="529" w:type="pct"/>
            <w:shd w:val="clear" w:color="auto" w:fill="FFFFFF"/>
            <w:vAlign w:val="center"/>
            <w:hideMark/>
          </w:tcPr>
          <w:p w14:paraId="6933581F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izmaiņas, salīdzinot ar vidēja termiņa budžeta ietvaru 2021. gadam</w:t>
            </w:r>
          </w:p>
        </w:tc>
        <w:tc>
          <w:tcPr>
            <w:tcW w:w="396" w:type="pct"/>
            <w:shd w:val="clear" w:color="auto" w:fill="FFFFFF"/>
            <w:vAlign w:val="center"/>
            <w:hideMark/>
          </w:tcPr>
          <w:p w14:paraId="71C890A6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saskaņā ar vidēja termiņa budžeta ietvaru</w:t>
            </w:r>
          </w:p>
        </w:tc>
        <w:tc>
          <w:tcPr>
            <w:tcW w:w="480" w:type="pct"/>
            <w:shd w:val="clear" w:color="auto" w:fill="FFFFFF"/>
            <w:vAlign w:val="center"/>
            <w:hideMark/>
          </w:tcPr>
          <w:p w14:paraId="36622605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>izmaiņas, salīdzinot ar vidēja termiņa budžeta ietvaru 2022. gadam</w:t>
            </w:r>
          </w:p>
        </w:tc>
        <w:tc>
          <w:tcPr>
            <w:tcW w:w="1049" w:type="pct"/>
            <w:shd w:val="clear" w:color="auto" w:fill="FFFFFF"/>
            <w:vAlign w:val="center"/>
            <w:hideMark/>
          </w:tcPr>
          <w:p w14:paraId="6E594F14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izmaiņas, salīdzinot ar vidēja termiņa budžeta ietvaru </w:t>
            </w:r>
            <w:r w:rsidRPr="006E11E6">
              <w:rPr>
                <w:rFonts w:eastAsiaTheme="minorHAnsi" w:cstheme="minorBidi"/>
                <w:sz w:val="18"/>
                <w:szCs w:val="20"/>
                <w:lang w:eastAsia="en-US"/>
              </w:rPr>
              <w:br/>
              <w:t>2022. gadam</w:t>
            </w:r>
          </w:p>
        </w:tc>
      </w:tr>
      <w:tr w:rsidR="002F2679" w:rsidRPr="006E11E6" w14:paraId="79D7F277" w14:textId="77777777" w:rsidTr="00A4046F">
        <w:trPr>
          <w:cantSplit/>
        </w:trPr>
        <w:tc>
          <w:tcPr>
            <w:tcW w:w="1085" w:type="pct"/>
            <w:shd w:val="clear" w:color="auto" w:fill="FFFFFF"/>
            <w:vAlign w:val="center"/>
            <w:hideMark/>
          </w:tcPr>
          <w:p w14:paraId="4FAE4BCB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6C9E7F30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14:paraId="1782497A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  <w:hideMark/>
          </w:tcPr>
          <w:p w14:paraId="7C499CAB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  <w:hideMark/>
          </w:tcPr>
          <w:p w14:paraId="2F0C33AC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396" w:type="pct"/>
            <w:shd w:val="clear" w:color="auto" w:fill="FFFFFF"/>
            <w:vAlign w:val="center"/>
            <w:hideMark/>
          </w:tcPr>
          <w:p w14:paraId="02272887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  <w:hideMark/>
          </w:tcPr>
          <w:p w14:paraId="334A6AC2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049" w:type="pct"/>
            <w:shd w:val="clear" w:color="auto" w:fill="FFFFFF"/>
            <w:vAlign w:val="center"/>
            <w:hideMark/>
          </w:tcPr>
          <w:p w14:paraId="48EE524B" w14:textId="77777777" w:rsidR="002F2679" w:rsidRPr="006E11E6" w:rsidRDefault="002F2679" w:rsidP="00DA6FBE">
            <w:pPr>
              <w:jc w:val="center"/>
              <w:rPr>
                <w:rFonts w:eastAsiaTheme="minorHAnsi" w:cstheme="minorBidi"/>
                <w:sz w:val="16"/>
                <w:szCs w:val="20"/>
                <w:lang w:eastAsia="en-US"/>
              </w:rPr>
            </w:pPr>
            <w:r w:rsidRPr="006E11E6">
              <w:rPr>
                <w:rFonts w:eastAsiaTheme="minorHAnsi" w:cstheme="minorBidi"/>
                <w:sz w:val="16"/>
                <w:szCs w:val="20"/>
                <w:lang w:eastAsia="en-US"/>
              </w:rPr>
              <w:t>8</w:t>
            </w:r>
          </w:p>
        </w:tc>
      </w:tr>
      <w:tr w:rsidR="002F2679" w:rsidRPr="00925C92" w14:paraId="4D03B4B7" w14:textId="77777777" w:rsidTr="00A4046F">
        <w:trPr>
          <w:cantSplit/>
        </w:trPr>
        <w:tc>
          <w:tcPr>
            <w:tcW w:w="1085" w:type="pct"/>
            <w:shd w:val="clear" w:color="auto" w:fill="D9D9D9" w:themeFill="background1" w:themeFillShade="D9"/>
            <w:hideMark/>
          </w:tcPr>
          <w:p w14:paraId="6C7DBCA8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1. Budžeta ieņēmumi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  <w:hideMark/>
          </w:tcPr>
          <w:p w14:paraId="2EBB7BE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  <w:hideMark/>
          </w:tcPr>
          <w:p w14:paraId="698E3FE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1135CCE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  <w:hideMark/>
          </w:tcPr>
          <w:p w14:paraId="58032AF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  <w:hideMark/>
          </w:tcPr>
          <w:p w14:paraId="0C94062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  <w:hideMark/>
          </w:tcPr>
          <w:p w14:paraId="25BD818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  <w:hideMark/>
          </w:tcPr>
          <w:p w14:paraId="721FE792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393311BF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2238A0E1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180ADC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096B30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05F25B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D37391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A96367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FB470E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85B7F6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74BF42C2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773C8DDF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1.2. valsts speciālais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91B9AC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30D740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628D8B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80E590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979D050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139491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DB57110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5546950D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68710569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1.3. pašvaldību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2E96D9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01D97D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A56DB1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120B05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E1ACEE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5805C1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858E49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20897401" w14:textId="77777777" w:rsidTr="00A4046F">
        <w:trPr>
          <w:cantSplit/>
        </w:trPr>
        <w:tc>
          <w:tcPr>
            <w:tcW w:w="1085" w:type="pct"/>
            <w:shd w:val="clear" w:color="auto" w:fill="D9D9D9" w:themeFill="background1" w:themeFillShade="D9"/>
            <w:hideMark/>
          </w:tcPr>
          <w:p w14:paraId="0FD0FAE7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2. Budžeta izdevumi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  <w:hideMark/>
          </w:tcPr>
          <w:p w14:paraId="5F3627F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  <w:hideMark/>
          </w:tcPr>
          <w:p w14:paraId="3BA8037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379A2382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  <w:hideMark/>
          </w:tcPr>
          <w:p w14:paraId="2F50F0F1" w14:textId="77777777" w:rsidR="002F2679" w:rsidRPr="00A4046F" w:rsidRDefault="00A4046F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iCs/>
                <w:sz w:val="20"/>
                <w:szCs w:val="20"/>
              </w:rPr>
              <w:t>3 314 520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  <w:hideMark/>
          </w:tcPr>
          <w:p w14:paraId="4F3828A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  <w:hideMark/>
          </w:tcPr>
          <w:p w14:paraId="387CD6C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  <w:hideMark/>
          </w:tcPr>
          <w:p w14:paraId="2849568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0F170729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5434009C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bookmarkStart w:id="4" w:name="_Hlk42531261"/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2.1. valsts pamatbudžets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A084DF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BA4E3A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FBDC04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D872CE2" w14:textId="77777777" w:rsidR="002F2679" w:rsidRPr="00A4046F" w:rsidRDefault="00A4046F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iCs/>
                <w:sz w:val="20"/>
                <w:szCs w:val="20"/>
              </w:rPr>
              <w:t>3 314 520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5D1849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1D847F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14D573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bookmarkEnd w:id="4"/>
      <w:tr w:rsidR="002F2679" w:rsidRPr="00925C92" w14:paraId="5EDA27C6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017A7C40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2.2. valsts speciālais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2FD65B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E354550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B0F17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B2D4A09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37E1E40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85B552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2DE226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6A4CC6DB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7234C1C6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2.3. pašvaldību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CFAC9E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C1FADC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65B956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2802521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91D351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08B500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B89389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4638B27A" w14:textId="77777777" w:rsidTr="00A4046F">
        <w:trPr>
          <w:cantSplit/>
        </w:trPr>
        <w:tc>
          <w:tcPr>
            <w:tcW w:w="1085" w:type="pct"/>
            <w:shd w:val="clear" w:color="auto" w:fill="D9D9D9" w:themeFill="background1" w:themeFillShade="D9"/>
            <w:hideMark/>
          </w:tcPr>
          <w:p w14:paraId="1E759CC6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3. Finansiālā ietekme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  <w:hideMark/>
          </w:tcPr>
          <w:p w14:paraId="210C09E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  <w:hideMark/>
          </w:tcPr>
          <w:p w14:paraId="65E4E90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19CD03B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  <w:hideMark/>
          </w:tcPr>
          <w:p w14:paraId="69147093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iCs/>
                <w:sz w:val="20"/>
                <w:szCs w:val="20"/>
              </w:rPr>
              <w:t>-</w:t>
            </w:r>
            <w:r w:rsidR="00A4046F" w:rsidRPr="00A4046F">
              <w:rPr>
                <w:iCs/>
                <w:sz w:val="20"/>
                <w:szCs w:val="20"/>
              </w:rPr>
              <w:t>3 314 520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  <w:hideMark/>
          </w:tcPr>
          <w:p w14:paraId="502FA33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  <w:hideMark/>
          </w:tcPr>
          <w:p w14:paraId="4E95AA2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  <w:hideMark/>
          </w:tcPr>
          <w:p w14:paraId="5EADA250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480AA374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0823BCE1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3.1. valsts pamatbudžets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E11ACF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724BC5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75B570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626DBE5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iCs/>
                <w:sz w:val="20"/>
                <w:szCs w:val="20"/>
              </w:rPr>
              <w:t>-</w:t>
            </w:r>
            <w:r w:rsidR="00A4046F" w:rsidRPr="00A4046F">
              <w:rPr>
                <w:iCs/>
                <w:sz w:val="20"/>
                <w:szCs w:val="20"/>
              </w:rPr>
              <w:t>3 314 520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2BCEC20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5F728B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5E2C77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41B3C9E4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5B2D6BB6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3.2. speciālais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88A056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1FE038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8DB2ED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BA08FD3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9BA6174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E3963C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AB58B75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0F0F2A74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2955071F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3.3. pašvaldību budžets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3DFEFB3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9F752D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0325D0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72865E8" w14:textId="77777777" w:rsidR="002F2679" w:rsidRPr="00A4046F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3DA593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A9E387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2E9668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2626390C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53DC5CB6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47DD914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A1B1E7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D6DAF7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055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3F19DC9" w14:textId="77777777" w:rsidR="002F2679" w:rsidRPr="00A4046F" w:rsidRDefault="00A4046F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4046F">
              <w:rPr>
                <w:iCs/>
                <w:sz w:val="20"/>
                <w:szCs w:val="20"/>
              </w:rPr>
              <w:t>3 314 520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73EDFEB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221012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7370E2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406B4906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23675428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5. Precizēta finansiālā ietekme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E14515B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C81ED3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14:paraId="1F75688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63833C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14:paraId="652805C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B71A5A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1EC46F6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0156D33D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6EDD361B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5.1. valsts pamatbudžets</w:t>
            </w: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7719C3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C831EA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9" w:type="pct"/>
            <w:vMerge/>
            <w:shd w:val="clear" w:color="auto" w:fill="auto"/>
            <w:vAlign w:val="center"/>
            <w:hideMark/>
          </w:tcPr>
          <w:p w14:paraId="6D3B043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C1DAA3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14:paraId="6918D487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89E2E3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760A2EA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31264E0E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7AF271AC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5.2. speciālais budžets</w:t>
            </w: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FFBB4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ABFCE6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vMerge/>
            <w:shd w:val="clear" w:color="auto" w:fill="auto"/>
            <w:vAlign w:val="center"/>
            <w:hideMark/>
          </w:tcPr>
          <w:p w14:paraId="7B5D65A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911D8FD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14:paraId="4CBE3E9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9744182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C01EE78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925C92" w14:paraId="59AD06AA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258D4E79" w14:textId="77777777" w:rsidR="002F2679" w:rsidRPr="00925C92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C92">
              <w:rPr>
                <w:rFonts w:eastAsiaTheme="minorHAnsi" w:cstheme="minorBidi"/>
                <w:sz w:val="20"/>
                <w:szCs w:val="20"/>
                <w:lang w:eastAsia="en-US"/>
              </w:rPr>
              <w:t>5.3. pašvaldību budžets</w:t>
            </w: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083433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AC763D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vMerge/>
            <w:shd w:val="clear" w:color="auto" w:fill="auto"/>
            <w:vAlign w:val="center"/>
            <w:hideMark/>
          </w:tcPr>
          <w:p w14:paraId="1E4EFF3C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7A2747E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14:paraId="0E5BDB7F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50042D1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6104829" w14:textId="77777777" w:rsidR="002F2679" w:rsidRPr="00925C92" w:rsidRDefault="002F2679" w:rsidP="00DA6FB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E047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679" w:rsidRPr="002F2679" w14:paraId="5A33D377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5DE58352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15" w:type="pct"/>
            <w:gridSpan w:val="7"/>
            <w:vMerge w:val="restart"/>
            <w:shd w:val="clear" w:color="auto" w:fill="auto"/>
            <w:vAlign w:val="center"/>
            <w:hideMark/>
          </w:tcPr>
          <w:p w14:paraId="48EBB947" w14:textId="0992103A" w:rsidR="002F2679" w:rsidRPr="002F2679" w:rsidRDefault="002F2679" w:rsidP="00DA6FBE">
            <w:pPr>
              <w:jc w:val="both"/>
              <w:rPr>
                <w:iCs/>
                <w:sz w:val="20"/>
                <w:szCs w:val="20"/>
              </w:rPr>
            </w:pPr>
            <w:r w:rsidRPr="002F2679">
              <w:rPr>
                <w:iCs/>
                <w:sz w:val="20"/>
                <w:szCs w:val="20"/>
              </w:rPr>
              <w:t xml:space="preserve">Pēc </w:t>
            </w:r>
            <w:r w:rsidR="00D81B03">
              <w:rPr>
                <w:iCs/>
                <w:sz w:val="20"/>
                <w:szCs w:val="20"/>
              </w:rPr>
              <w:t>VSAA</w:t>
            </w:r>
            <w:r w:rsidRPr="002F2679">
              <w:rPr>
                <w:iCs/>
                <w:sz w:val="20"/>
                <w:szCs w:val="20"/>
              </w:rPr>
              <w:t xml:space="preserve"> datiem 2020.</w:t>
            </w:r>
            <w:r w:rsidR="00427462">
              <w:rPr>
                <w:iCs/>
                <w:sz w:val="20"/>
                <w:szCs w:val="20"/>
              </w:rPr>
              <w:t> </w:t>
            </w:r>
            <w:r w:rsidRPr="002F2679">
              <w:rPr>
                <w:iCs/>
                <w:sz w:val="20"/>
                <w:szCs w:val="20"/>
              </w:rPr>
              <w:t xml:space="preserve">gada </w:t>
            </w:r>
            <w:r>
              <w:rPr>
                <w:iCs/>
                <w:sz w:val="20"/>
                <w:szCs w:val="20"/>
              </w:rPr>
              <w:t>periodā maijs-oktobris bezdarbnieka palīdzības pabalsts piešķirts kopumā 7</w:t>
            </w:r>
            <w:r w:rsidR="00A22B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740 personām. </w:t>
            </w:r>
          </w:p>
          <w:p w14:paraId="162FC67E" w14:textId="6B48AD7B" w:rsidR="002F2679" w:rsidRPr="002F2679" w:rsidRDefault="002F2679" w:rsidP="00DA6FBE">
            <w:pPr>
              <w:jc w:val="both"/>
              <w:rPr>
                <w:i/>
                <w:iCs/>
                <w:sz w:val="20"/>
                <w:szCs w:val="20"/>
              </w:rPr>
            </w:pPr>
            <w:r w:rsidRPr="002F2679">
              <w:rPr>
                <w:iCs/>
                <w:sz w:val="20"/>
                <w:szCs w:val="20"/>
              </w:rPr>
              <w:t>Uz 2020.</w:t>
            </w:r>
            <w:r w:rsidR="00427462">
              <w:rPr>
                <w:iCs/>
                <w:sz w:val="20"/>
                <w:szCs w:val="20"/>
              </w:rPr>
              <w:t> </w:t>
            </w:r>
            <w:r w:rsidRPr="002F2679">
              <w:rPr>
                <w:iCs/>
                <w:sz w:val="20"/>
                <w:szCs w:val="20"/>
              </w:rPr>
              <w:t>gada 2</w:t>
            </w:r>
            <w:r>
              <w:rPr>
                <w:iCs/>
                <w:sz w:val="20"/>
                <w:szCs w:val="20"/>
              </w:rPr>
              <w:t>9</w:t>
            </w:r>
            <w:r w:rsidRPr="002F2679">
              <w:rPr>
                <w:iCs/>
                <w:sz w:val="20"/>
                <w:szCs w:val="20"/>
              </w:rPr>
              <w:t>.</w:t>
            </w:r>
            <w:r w:rsidR="00427462">
              <w:rPr>
                <w:iCs/>
                <w:sz w:val="20"/>
                <w:szCs w:val="20"/>
              </w:rPr>
              <w:t> </w:t>
            </w:r>
            <w:r w:rsidRPr="002F2679">
              <w:rPr>
                <w:iCs/>
                <w:sz w:val="20"/>
                <w:szCs w:val="20"/>
              </w:rPr>
              <w:t xml:space="preserve">novembri </w:t>
            </w:r>
            <w:r>
              <w:rPr>
                <w:iCs/>
                <w:sz w:val="20"/>
                <w:szCs w:val="20"/>
              </w:rPr>
              <w:t>b</w:t>
            </w:r>
            <w:r w:rsidRPr="002F2679">
              <w:rPr>
                <w:iCs/>
                <w:sz w:val="20"/>
                <w:szCs w:val="20"/>
              </w:rPr>
              <w:t>ezdarbnieka palīdzības pabalstiem izlietoti</w:t>
            </w:r>
            <w:r w:rsidRPr="002F2679">
              <w:t xml:space="preserve"> </w:t>
            </w:r>
            <w:r w:rsidR="00A22B81">
              <w:rPr>
                <w:iCs/>
                <w:sz w:val="20"/>
                <w:szCs w:val="20"/>
              </w:rPr>
              <w:t>4 208 294</w:t>
            </w:r>
            <w:r w:rsidRPr="002F267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F2679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2F2679">
              <w:rPr>
                <w:i/>
                <w:iCs/>
                <w:sz w:val="20"/>
                <w:szCs w:val="20"/>
              </w:rPr>
              <w:t>.</w:t>
            </w:r>
          </w:p>
          <w:p w14:paraId="41DE8041" w14:textId="77777777" w:rsidR="002F2679" w:rsidRPr="002F2679" w:rsidRDefault="002F2679" w:rsidP="00DA6FBE">
            <w:pPr>
              <w:jc w:val="both"/>
              <w:rPr>
                <w:sz w:val="20"/>
                <w:szCs w:val="20"/>
              </w:rPr>
            </w:pPr>
          </w:p>
          <w:p w14:paraId="0FEB0519" w14:textId="65E0E72F" w:rsidR="002F2679" w:rsidRDefault="002F2679" w:rsidP="00DA6FBE">
            <w:pPr>
              <w:jc w:val="both"/>
              <w:rPr>
                <w:iCs/>
                <w:sz w:val="20"/>
                <w:szCs w:val="20"/>
              </w:rPr>
            </w:pPr>
            <w:r w:rsidRPr="002F2679">
              <w:rPr>
                <w:sz w:val="20"/>
                <w:szCs w:val="20"/>
              </w:rPr>
              <w:t xml:space="preserve">Pagarinot </w:t>
            </w:r>
            <w:r w:rsidR="00A4046F">
              <w:rPr>
                <w:sz w:val="20"/>
                <w:szCs w:val="20"/>
              </w:rPr>
              <w:t>bezdarbnieka</w:t>
            </w:r>
            <w:r>
              <w:rPr>
                <w:sz w:val="20"/>
                <w:szCs w:val="20"/>
              </w:rPr>
              <w:t xml:space="preserve"> palīdzības</w:t>
            </w:r>
            <w:r w:rsidRPr="002F2679">
              <w:rPr>
                <w:sz w:val="20"/>
                <w:szCs w:val="20"/>
              </w:rPr>
              <w:t xml:space="preserve"> pabalsta izmaksu 2021.</w:t>
            </w:r>
            <w:r w:rsidR="00A2225E">
              <w:rPr>
                <w:sz w:val="20"/>
                <w:szCs w:val="20"/>
              </w:rPr>
              <w:t> </w:t>
            </w:r>
            <w:r w:rsidRPr="002F2679">
              <w:rPr>
                <w:sz w:val="20"/>
                <w:szCs w:val="20"/>
              </w:rPr>
              <w:t xml:space="preserve">gadā, plānotais saņēmēju skaits – </w:t>
            </w:r>
            <w:r>
              <w:rPr>
                <w:sz w:val="20"/>
                <w:szCs w:val="20"/>
              </w:rPr>
              <w:t>3</w:t>
            </w:r>
            <w:r w:rsidR="00A22B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Pr="002F2679">
              <w:rPr>
                <w:sz w:val="20"/>
                <w:szCs w:val="20"/>
              </w:rPr>
              <w:t xml:space="preserve"> personas vidēji mēnesī</w:t>
            </w:r>
            <w:r>
              <w:rPr>
                <w:sz w:val="20"/>
                <w:szCs w:val="20"/>
              </w:rPr>
              <w:t xml:space="preserve"> </w:t>
            </w:r>
            <w:r w:rsidRPr="002F2679">
              <w:rPr>
                <w:iCs/>
                <w:sz w:val="20"/>
                <w:szCs w:val="20"/>
              </w:rPr>
              <w:t xml:space="preserve">(ņemot vērā vidējos rādītājus periodā </w:t>
            </w:r>
            <w:r>
              <w:rPr>
                <w:iCs/>
                <w:sz w:val="20"/>
                <w:szCs w:val="20"/>
              </w:rPr>
              <w:t>maijs</w:t>
            </w:r>
            <w:r w:rsidRPr="002F2679">
              <w:rPr>
                <w:iCs/>
                <w:sz w:val="20"/>
                <w:szCs w:val="20"/>
              </w:rPr>
              <w:t xml:space="preserve"> – oktobris)</w:t>
            </w:r>
            <w:r w:rsidRPr="002F26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pabalsta</w:t>
            </w:r>
            <w:r w:rsidRPr="002F2679">
              <w:rPr>
                <w:sz w:val="20"/>
                <w:szCs w:val="20"/>
              </w:rPr>
              <w:t xml:space="preserve"> apmērs</w:t>
            </w:r>
            <w:r w:rsidR="00427462">
              <w:rPr>
                <w:sz w:val="20"/>
                <w:szCs w:val="20"/>
              </w:rPr>
              <w:t xml:space="preserve"> </w:t>
            </w:r>
            <w:r w:rsidRPr="002F267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180</w:t>
            </w:r>
            <w:r w:rsidRPr="002F2679">
              <w:rPr>
                <w:sz w:val="20"/>
                <w:szCs w:val="20"/>
              </w:rPr>
              <w:t xml:space="preserve"> </w:t>
            </w:r>
            <w:proofErr w:type="spellStart"/>
            <w:r w:rsidRPr="002F2679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2F2679">
              <w:rPr>
                <w:iCs/>
                <w:sz w:val="20"/>
                <w:szCs w:val="20"/>
              </w:rPr>
              <w:t xml:space="preserve">. </w:t>
            </w:r>
          </w:p>
          <w:p w14:paraId="462F4E7F" w14:textId="77777777" w:rsidR="002F2679" w:rsidRDefault="002F2679" w:rsidP="00DA6FBE">
            <w:pPr>
              <w:jc w:val="both"/>
              <w:rPr>
                <w:iCs/>
                <w:sz w:val="20"/>
                <w:szCs w:val="20"/>
              </w:rPr>
            </w:pPr>
            <w:r w:rsidRPr="002F2679">
              <w:rPr>
                <w:iCs/>
                <w:sz w:val="20"/>
                <w:szCs w:val="20"/>
              </w:rPr>
              <w:t>Plānotie izdevumi: 552</w:t>
            </w:r>
            <w:r>
              <w:rPr>
                <w:iCs/>
                <w:sz w:val="20"/>
                <w:szCs w:val="20"/>
              </w:rPr>
              <w:t> </w:t>
            </w:r>
            <w:r w:rsidRPr="002F2679">
              <w:rPr>
                <w:iCs/>
                <w:sz w:val="20"/>
                <w:szCs w:val="20"/>
              </w:rPr>
              <w:t>420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F2679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2F2679">
              <w:rPr>
                <w:i/>
                <w:iCs/>
                <w:sz w:val="20"/>
                <w:szCs w:val="20"/>
              </w:rPr>
              <w:t xml:space="preserve"> </w:t>
            </w:r>
            <w:r w:rsidRPr="002F2679">
              <w:rPr>
                <w:iCs/>
                <w:sz w:val="20"/>
                <w:szCs w:val="20"/>
              </w:rPr>
              <w:t xml:space="preserve">vidēji mēnesī, attiecīgi periodā 2021.gada janvāris – jūnijs – </w:t>
            </w:r>
            <w:r w:rsidR="00A4046F" w:rsidRPr="00A4046F">
              <w:rPr>
                <w:b/>
                <w:iCs/>
                <w:sz w:val="20"/>
                <w:szCs w:val="20"/>
              </w:rPr>
              <w:t>3 314 520</w:t>
            </w:r>
            <w:r w:rsidRPr="002F267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F2679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2F2679">
              <w:rPr>
                <w:iCs/>
                <w:sz w:val="20"/>
                <w:szCs w:val="20"/>
              </w:rPr>
              <w:t>.</w:t>
            </w:r>
          </w:p>
          <w:p w14:paraId="1FE343BE" w14:textId="77777777" w:rsidR="00A4046F" w:rsidRDefault="00A4046F" w:rsidP="00DA6FBE">
            <w:pPr>
              <w:jc w:val="both"/>
              <w:rPr>
                <w:iCs/>
                <w:sz w:val="20"/>
                <w:szCs w:val="20"/>
              </w:rPr>
            </w:pPr>
          </w:p>
          <w:p w14:paraId="6CAA8F30" w14:textId="77777777" w:rsidR="00A4046F" w:rsidRPr="002F2679" w:rsidRDefault="00A4046F" w:rsidP="00DA6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Bezdarbnieka palīdzības</w:t>
            </w:r>
            <w:r w:rsidRPr="002F2679">
              <w:rPr>
                <w:sz w:val="20"/>
                <w:szCs w:val="20"/>
              </w:rPr>
              <w:t xml:space="preserve"> pabalst</w:t>
            </w:r>
            <w:r>
              <w:rPr>
                <w:sz w:val="20"/>
                <w:szCs w:val="20"/>
              </w:rPr>
              <w:t>us</w:t>
            </w:r>
            <w:r w:rsidRPr="00A4046F">
              <w:rPr>
                <w:sz w:val="20"/>
                <w:szCs w:val="20"/>
              </w:rPr>
              <w:t xml:space="preserve"> plānots finansēt no valsts pamatbudžeta</w:t>
            </w:r>
            <w:r w:rsidR="00A70283">
              <w:rPr>
                <w:sz w:val="20"/>
                <w:szCs w:val="20"/>
              </w:rPr>
              <w:t>.</w:t>
            </w:r>
          </w:p>
          <w:p w14:paraId="664402FF" w14:textId="77777777" w:rsidR="002F2679" w:rsidRPr="002F2679" w:rsidRDefault="002F2679" w:rsidP="00DA6FBE">
            <w:pPr>
              <w:jc w:val="both"/>
              <w:rPr>
                <w:b/>
                <w:sz w:val="20"/>
              </w:rPr>
            </w:pPr>
          </w:p>
        </w:tc>
      </w:tr>
      <w:tr w:rsidR="002F2679" w:rsidRPr="002F2679" w14:paraId="35B31851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11446C7A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6.1. detalizēts ieņēmumu aprēķins</w:t>
            </w:r>
          </w:p>
        </w:tc>
        <w:tc>
          <w:tcPr>
            <w:tcW w:w="3915" w:type="pct"/>
            <w:gridSpan w:val="7"/>
            <w:vMerge/>
            <w:shd w:val="clear" w:color="auto" w:fill="auto"/>
            <w:vAlign w:val="center"/>
            <w:hideMark/>
          </w:tcPr>
          <w:p w14:paraId="09023B8C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2F2679" w:rsidRPr="002F2679" w14:paraId="2A8100B2" w14:textId="77777777" w:rsidTr="00A4046F">
        <w:trPr>
          <w:cantSplit/>
        </w:trPr>
        <w:tc>
          <w:tcPr>
            <w:tcW w:w="1085" w:type="pct"/>
            <w:shd w:val="clear" w:color="auto" w:fill="auto"/>
            <w:hideMark/>
          </w:tcPr>
          <w:p w14:paraId="32B8A694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6.2. detalizēts izdevumu aprēķins</w:t>
            </w:r>
          </w:p>
        </w:tc>
        <w:tc>
          <w:tcPr>
            <w:tcW w:w="3915" w:type="pct"/>
            <w:gridSpan w:val="7"/>
            <w:vMerge/>
            <w:shd w:val="clear" w:color="auto" w:fill="auto"/>
            <w:vAlign w:val="center"/>
            <w:hideMark/>
          </w:tcPr>
          <w:p w14:paraId="70DB5CB8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2F2679" w:rsidRPr="002F2679" w14:paraId="6FACE52F" w14:textId="77777777" w:rsidTr="00A4046F">
        <w:trPr>
          <w:cantSplit/>
        </w:trPr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2047E43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7. Amata vietu skaita izmaiņas</w:t>
            </w:r>
          </w:p>
        </w:tc>
        <w:tc>
          <w:tcPr>
            <w:tcW w:w="3915" w:type="pct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716CA2C2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Nav.</w:t>
            </w:r>
          </w:p>
        </w:tc>
      </w:tr>
      <w:tr w:rsidR="002F2679" w:rsidRPr="002F2679" w14:paraId="773A23F1" w14:textId="77777777" w:rsidTr="00A4046F">
        <w:trPr>
          <w:cantSplit/>
        </w:trPr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6E12DE4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2679">
              <w:rPr>
                <w:rFonts w:eastAsiaTheme="minorHAnsi" w:cstheme="minorBidi"/>
                <w:sz w:val="20"/>
                <w:szCs w:val="20"/>
                <w:lang w:eastAsia="en-US"/>
              </w:rPr>
              <w:t>8. Cita informācija</w:t>
            </w:r>
          </w:p>
        </w:tc>
        <w:tc>
          <w:tcPr>
            <w:tcW w:w="39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A5A60" w14:textId="09D34887" w:rsidR="00A4046F" w:rsidRDefault="002F2679" w:rsidP="00DA6FBE">
            <w:pPr>
              <w:jc w:val="both"/>
              <w:rPr>
                <w:sz w:val="20"/>
                <w:szCs w:val="20"/>
              </w:rPr>
            </w:pPr>
            <w:r w:rsidRPr="002F2679">
              <w:rPr>
                <w:sz w:val="20"/>
                <w:szCs w:val="20"/>
              </w:rPr>
              <w:t>Izdevumi tiks veikti Labklājības ministrijas pamatbudžeta programmas 99.00.00 “Līdzekļu neparedzētiem gadījumiem izlietojums” ietvaros, līdzekļus</w:t>
            </w:r>
            <w:r w:rsidR="003F797A">
              <w:rPr>
                <w:sz w:val="20"/>
                <w:szCs w:val="20"/>
              </w:rPr>
              <w:t xml:space="preserve"> 2021.</w:t>
            </w:r>
            <w:r w:rsidR="00427462">
              <w:rPr>
                <w:sz w:val="20"/>
                <w:szCs w:val="20"/>
              </w:rPr>
              <w:t> </w:t>
            </w:r>
            <w:r w:rsidR="003F797A">
              <w:rPr>
                <w:sz w:val="20"/>
                <w:szCs w:val="20"/>
              </w:rPr>
              <w:t>gadā</w:t>
            </w:r>
            <w:r w:rsidRPr="002F2679">
              <w:rPr>
                <w:sz w:val="20"/>
                <w:szCs w:val="20"/>
              </w:rPr>
              <w:t xml:space="preserve"> pārdalot no 74.</w:t>
            </w:r>
            <w:r w:rsidR="00427462">
              <w:rPr>
                <w:sz w:val="20"/>
                <w:szCs w:val="20"/>
              </w:rPr>
              <w:t> </w:t>
            </w:r>
            <w:r w:rsidRPr="002F2679">
              <w:rPr>
                <w:sz w:val="20"/>
                <w:szCs w:val="20"/>
              </w:rPr>
              <w:t xml:space="preserve">resora „Gadskārtējā valsts budžeta izpildes procesā pārdalāmais finansējums” programmas 02.00.00 „Līdzekļi neparedzētiem gadījumiem”. </w:t>
            </w:r>
          </w:p>
          <w:p w14:paraId="7D59C07B" w14:textId="77777777" w:rsidR="002F2679" w:rsidRPr="002F2679" w:rsidRDefault="002F2679" w:rsidP="00DA6FBE">
            <w:pPr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2F2679">
              <w:rPr>
                <w:sz w:val="20"/>
                <w:szCs w:val="20"/>
              </w:rPr>
              <w:t xml:space="preserve">Minētā pabalsta izmaksu nodrošinās </w:t>
            </w:r>
            <w:r w:rsidR="00A70283">
              <w:rPr>
                <w:sz w:val="20"/>
                <w:szCs w:val="20"/>
              </w:rPr>
              <w:t>VSAA</w:t>
            </w:r>
            <w:r w:rsidR="00A4046F">
              <w:rPr>
                <w:sz w:val="20"/>
                <w:szCs w:val="20"/>
              </w:rPr>
              <w:t>.</w:t>
            </w:r>
          </w:p>
        </w:tc>
      </w:tr>
    </w:tbl>
    <w:p w14:paraId="0C81DF19" w14:textId="788CECF4" w:rsidR="00692305" w:rsidRDefault="00692305" w:rsidP="009B1558">
      <w:pPr>
        <w:rPr>
          <w:iCs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63A3E" w:rsidRPr="00D63A3E" w14:paraId="17ADCF48" w14:textId="77777777" w:rsidTr="00A2225E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4899" w14:textId="77777777" w:rsidR="00D63A3E" w:rsidRPr="00A2225E" w:rsidRDefault="00D63A3E" w:rsidP="00D63A3E">
            <w:pPr>
              <w:spacing w:line="276" w:lineRule="auto"/>
              <w:jc w:val="center"/>
              <w:rPr>
                <w:b/>
                <w:bCs/>
                <w:iCs/>
                <w:noProof/>
                <w:lang w:eastAsia="en-US"/>
              </w:rPr>
            </w:pPr>
            <w:r w:rsidRPr="00A2225E">
              <w:rPr>
                <w:b/>
                <w:bCs/>
                <w:iCs/>
                <w:noProof/>
                <w:lang w:eastAsia="en-US"/>
              </w:rPr>
              <w:tab/>
            </w:r>
            <w:r w:rsidRPr="00A2225E">
              <w:rPr>
                <w:b/>
                <w:bCs/>
                <w:iCs/>
                <w:noProof/>
                <w:lang w:eastAsia="en-US"/>
              </w:rPr>
              <w:tab/>
              <w:t>IV. Tiesību akta projekta ietekme uz spēkā esošo tiesību normu sistēmu</w:t>
            </w:r>
          </w:p>
        </w:tc>
      </w:tr>
      <w:tr w:rsidR="00D63A3E" w:rsidRPr="00D63A3E" w14:paraId="48BCD193" w14:textId="77777777" w:rsidTr="00A2225E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AB64" w14:textId="3A764279" w:rsidR="00D63A3E" w:rsidRPr="00A2225E" w:rsidRDefault="00A2225E" w:rsidP="00D63A3E">
            <w:pPr>
              <w:spacing w:line="276" w:lineRule="auto"/>
              <w:jc w:val="center"/>
              <w:rPr>
                <w:bCs/>
                <w:iCs/>
                <w:noProof/>
                <w:lang w:eastAsia="en-US"/>
              </w:rPr>
            </w:pPr>
            <w:r>
              <w:rPr>
                <w:bCs/>
                <w:iCs/>
                <w:noProof/>
                <w:lang w:eastAsia="en-US"/>
              </w:rPr>
              <w:t>Likump</w:t>
            </w:r>
            <w:r w:rsidR="00D63A3E" w:rsidRPr="00A2225E">
              <w:rPr>
                <w:bCs/>
                <w:iCs/>
                <w:noProof/>
                <w:lang w:eastAsia="en-US"/>
              </w:rPr>
              <w:t>rojekts šo jomu neskar.</w:t>
            </w:r>
          </w:p>
        </w:tc>
      </w:tr>
    </w:tbl>
    <w:p w14:paraId="56B682C8" w14:textId="77777777" w:rsidR="009B1558" w:rsidRPr="000B7BBC" w:rsidRDefault="009B1558" w:rsidP="009B1558">
      <w:pPr>
        <w:rPr>
          <w:iCs/>
        </w:rPr>
      </w:pPr>
      <w:r w:rsidRPr="000B7B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558" w:rsidRPr="000B7BBC" w14:paraId="283F7D5E" w14:textId="77777777" w:rsidTr="009B1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1AA8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V. Tiesību akta projekta atbilstība Latvijas Republikas starptautiskajām saistībām</w:t>
            </w:r>
          </w:p>
        </w:tc>
      </w:tr>
      <w:tr w:rsidR="009B1558" w:rsidRPr="000B7BBC" w14:paraId="2DC8E868" w14:textId="77777777" w:rsidTr="009B1558">
        <w:trPr>
          <w:trHeight w:val="43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6B94CED" w14:textId="77777777" w:rsidR="009B1558" w:rsidRPr="000B7BBC" w:rsidRDefault="009B155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B7BBC">
              <w:rPr>
                <w:lang w:eastAsia="en-US"/>
              </w:rPr>
              <w:t>Likumprojekts šo jomu neskar.</w:t>
            </w:r>
          </w:p>
        </w:tc>
      </w:tr>
    </w:tbl>
    <w:p w14:paraId="0F889C20" w14:textId="77777777" w:rsidR="009B1558" w:rsidRPr="000B7BBC" w:rsidRDefault="009B1558" w:rsidP="009B1558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558" w:rsidRPr="000B7BBC" w14:paraId="7B6C4DD6" w14:textId="77777777" w:rsidTr="009B15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2FE6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lastRenderedPageBreak/>
              <w:t>VI. Sabiedrības līdzdalība un komunikācijas aktivitātes</w:t>
            </w:r>
          </w:p>
        </w:tc>
      </w:tr>
      <w:tr w:rsidR="009B1558" w:rsidRPr="000B7BBC" w14:paraId="5A8017FA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0F4B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7028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50F4" w14:textId="77777777" w:rsidR="002A685A" w:rsidRPr="002A685A" w:rsidRDefault="002A685A" w:rsidP="002A685A">
            <w:pPr>
              <w:jc w:val="both"/>
            </w:pPr>
            <w:r w:rsidRPr="002A685A">
              <w:t xml:space="preserve">Ievērojot ārkārtējās situācijas izsludināšanu un nepieciešamo izmaiņu steidzamību, sabiedrības līdzdalības un komunikācijas aktivitātes netiek plānotas. </w:t>
            </w:r>
          </w:p>
          <w:p w14:paraId="0841AC6A" w14:textId="1CF015A6" w:rsidR="009B1558" w:rsidRPr="00B62612" w:rsidRDefault="009B1558" w:rsidP="00B6261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B1558" w:rsidRPr="000B7BBC" w14:paraId="79E58ED2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B7DE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ECEFD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85D1" w14:textId="77777777" w:rsidR="009B1558" w:rsidRPr="000B7BBC" w:rsidRDefault="00A7028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</w:t>
            </w:r>
          </w:p>
        </w:tc>
      </w:tr>
      <w:tr w:rsidR="009B1558" w:rsidRPr="000B7BBC" w14:paraId="00161068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FDB4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E67E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82C3E" w14:textId="77777777" w:rsidR="009B1558" w:rsidRPr="000B7BBC" w:rsidRDefault="007433BA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9B1558" w:rsidRPr="000B7BBC" w14:paraId="09C21C92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1D00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842E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D7DD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76CEB400" w14:textId="77777777" w:rsidR="009B1558" w:rsidRPr="000B7BBC" w:rsidRDefault="009B1558" w:rsidP="009B1558">
      <w:pPr>
        <w:rPr>
          <w:iCs/>
        </w:rPr>
      </w:pPr>
      <w:r w:rsidRPr="000B7BBC">
        <w:rPr>
          <w:iCs/>
        </w:rPr>
        <w:t xml:space="preserve">  </w:t>
      </w:r>
    </w:p>
    <w:p w14:paraId="72DC4F38" w14:textId="77777777" w:rsidR="009B1558" w:rsidRPr="000B7BBC" w:rsidRDefault="009B1558" w:rsidP="009B1558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558" w:rsidRPr="000B7BBC" w14:paraId="64A4AC43" w14:textId="77777777" w:rsidTr="009B15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4DA" w14:textId="77777777" w:rsidR="009B1558" w:rsidRPr="000B7BBC" w:rsidRDefault="009B1558" w:rsidP="002A685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VII. Tiesību akta projekta izpildes nodrošināšana un tās ietekme uz institūcijām</w:t>
            </w:r>
          </w:p>
        </w:tc>
      </w:tr>
      <w:tr w:rsidR="009B1558" w:rsidRPr="000B7BBC" w14:paraId="241C005A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619B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33ED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E2EA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color w:val="000000"/>
                <w:spacing w:val="-4"/>
                <w:shd w:val="clear" w:color="auto" w:fill="FFFFFF"/>
                <w:lang w:eastAsia="en-US"/>
              </w:rPr>
              <w:t>VSAA.</w:t>
            </w:r>
          </w:p>
        </w:tc>
      </w:tr>
      <w:tr w:rsidR="009B1558" w:rsidRPr="000B7BBC" w14:paraId="331518B8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5243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bookmarkStart w:id="5" w:name="_Hlk48295597"/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BED0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izpildes ietekme uz pārvaldes funkcijām un institucionālo struktūru.</w:t>
            </w:r>
            <w:r w:rsidRPr="000B7BBC">
              <w:rPr>
                <w:iCs/>
                <w:lang w:eastAsia="en-US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0FAC" w14:textId="77777777" w:rsidR="009B1558" w:rsidRPr="000B7BBC" w:rsidRDefault="007433BA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noProof/>
              </w:rPr>
              <w:t>Nav plānota esošu institūciju likvidācija vai reorganizācija. Pēc likuma spēkā stāšanās tā īstenošana notiks, izmantojot esošos cilvēkresursus.</w:t>
            </w:r>
          </w:p>
        </w:tc>
      </w:tr>
      <w:bookmarkEnd w:id="5"/>
      <w:tr w:rsidR="009B1558" w:rsidRPr="000B7BBC" w14:paraId="086C0D08" w14:textId="77777777" w:rsidTr="009B155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1F83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C82C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02D3" w14:textId="77777777" w:rsidR="009B1558" w:rsidRPr="000B7BBC" w:rsidRDefault="009B1558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148A667A" w14:textId="32DD7DB4" w:rsidR="009B1558" w:rsidRDefault="009B1558" w:rsidP="009B1558">
      <w:pPr>
        <w:rPr>
          <w:sz w:val="28"/>
          <w:szCs w:val="28"/>
        </w:rPr>
      </w:pPr>
    </w:p>
    <w:p w14:paraId="762C2CCB" w14:textId="77777777" w:rsidR="002A685A" w:rsidRPr="000B7BBC" w:rsidRDefault="002A685A" w:rsidP="009B1558">
      <w:pPr>
        <w:rPr>
          <w:sz w:val="28"/>
          <w:szCs w:val="28"/>
        </w:rPr>
      </w:pPr>
    </w:p>
    <w:p w14:paraId="1C8A02AE" w14:textId="77777777" w:rsidR="009B1558" w:rsidRPr="000B7BBC" w:rsidRDefault="009B1558" w:rsidP="009B1558">
      <w:pPr>
        <w:ind w:firstLine="720"/>
      </w:pPr>
      <w:r w:rsidRPr="000B7BBC">
        <w:t>Labklājības ministre</w:t>
      </w:r>
      <w:r w:rsidRPr="000B7BBC">
        <w:tab/>
      </w:r>
      <w:r w:rsidRPr="000B7BBC">
        <w:tab/>
      </w:r>
      <w:r w:rsidRPr="000B7BBC">
        <w:tab/>
      </w:r>
      <w:r w:rsidRPr="000B7BBC">
        <w:tab/>
      </w:r>
      <w:r w:rsidRPr="000B7BBC">
        <w:tab/>
        <w:t xml:space="preserve">       </w:t>
      </w:r>
      <w:r w:rsidRPr="000B7BBC">
        <w:tab/>
        <w:t xml:space="preserve">    </w:t>
      </w:r>
      <w:r w:rsidR="00861554">
        <w:t xml:space="preserve"> </w:t>
      </w:r>
      <w:r w:rsidRPr="000B7BBC">
        <w:t xml:space="preserve">     </w:t>
      </w:r>
      <w:proofErr w:type="spellStart"/>
      <w:r w:rsidRPr="000B7BBC">
        <w:t>R.Petraviča</w:t>
      </w:r>
      <w:proofErr w:type="spellEnd"/>
      <w:r w:rsidRPr="000B7BBC">
        <w:tab/>
      </w:r>
      <w:r w:rsidRPr="000B7BBC">
        <w:tab/>
      </w:r>
    </w:p>
    <w:p w14:paraId="75959510" w14:textId="77777777" w:rsidR="009B1558" w:rsidRPr="000B7BBC" w:rsidRDefault="003A6827" w:rsidP="009B1558">
      <w:pPr>
        <w:ind w:firstLine="720"/>
      </w:pPr>
      <w:r>
        <w:t>Valsts sekretārs</w:t>
      </w:r>
      <w:r w:rsidR="00861554">
        <w:t xml:space="preserve">                                                                                       </w:t>
      </w:r>
      <w:proofErr w:type="spellStart"/>
      <w:r w:rsidR="00861554">
        <w:t>I.Alliks</w:t>
      </w:r>
      <w:proofErr w:type="spellEnd"/>
    </w:p>
    <w:p w14:paraId="06848E70" w14:textId="77777777" w:rsidR="009B1558" w:rsidRPr="000B7BBC" w:rsidRDefault="009B1558" w:rsidP="009B1558">
      <w:pPr>
        <w:rPr>
          <w:rFonts w:eastAsia="Arial"/>
          <w:kern w:val="2"/>
          <w:sz w:val="20"/>
          <w:szCs w:val="20"/>
          <w:lang w:eastAsia="ar-SA"/>
        </w:rPr>
      </w:pPr>
    </w:p>
    <w:p w14:paraId="26590979" w14:textId="0011DE01" w:rsidR="009B1558" w:rsidRDefault="009B1558" w:rsidP="009B1558">
      <w:pPr>
        <w:rPr>
          <w:rFonts w:eastAsia="Arial"/>
          <w:kern w:val="2"/>
          <w:sz w:val="20"/>
          <w:szCs w:val="20"/>
          <w:lang w:eastAsia="ar-SA"/>
        </w:rPr>
      </w:pPr>
    </w:p>
    <w:p w14:paraId="487E7D5E" w14:textId="77777777" w:rsidR="00A2225E" w:rsidRPr="000B7BBC" w:rsidRDefault="00A2225E" w:rsidP="009B1558">
      <w:pPr>
        <w:rPr>
          <w:rFonts w:eastAsia="Arial"/>
          <w:kern w:val="2"/>
          <w:sz w:val="20"/>
          <w:szCs w:val="20"/>
          <w:lang w:eastAsia="ar-SA"/>
        </w:rPr>
      </w:pPr>
    </w:p>
    <w:p w14:paraId="40CD35EF" w14:textId="77777777" w:rsidR="009B1558" w:rsidRPr="002A685A" w:rsidRDefault="008D32BE" w:rsidP="002A685A">
      <w:pPr>
        <w:rPr>
          <w:sz w:val="20"/>
          <w:szCs w:val="20"/>
        </w:rPr>
      </w:pPr>
      <w:proofErr w:type="spellStart"/>
      <w:r w:rsidRPr="002A685A">
        <w:rPr>
          <w:rFonts w:eastAsia="Arial"/>
          <w:kern w:val="2"/>
          <w:sz w:val="20"/>
          <w:szCs w:val="20"/>
          <w:lang w:eastAsia="ar-SA"/>
        </w:rPr>
        <w:t>I.</w:t>
      </w:r>
      <w:r w:rsidR="009B1558" w:rsidRPr="002A685A">
        <w:rPr>
          <w:rFonts w:eastAsia="Arial"/>
          <w:kern w:val="2"/>
          <w:sz w:val="20"/>
          <w:szCs w:val="20"/>
          <w:lang w:eastAsia="ar-SA"/>
        </w:rPr>
        <w:t>Salmane</w:t>
      </w:r>
      <w:proofErr w:type="spellEnd"/>
      <w:r w:rsidR="00501D2A" w:rsidRPr="002A685A">
        <w:rPr>
          <w:rFonts w:eastAsia="Arial"/>
          <w:kern w:val="2"/>
          <w:sz w:val="20"/>
          <w:szCs w:val="20"/>
          <w:lang w:eastAsia="ar-SA"/>
        </w:rPr>
        <w:t>,</w:t>
      </w:r>
      <w:r w:rsidR="009B1558" w:rsidRPr="002A685A">
        <w:rPr>
          <w:rFonts w:eastAsia="Arial"/>
          <w:kern w:val="2"/>
          <w:sz w:val="20"/>
          <w:szCs w:val="20"/>
          <w:lang w:eastAsia="ar-SA"/>
        </w:rPr>
        <w:t xml:space="preserve"> 67021556</w:t>
      </w:r>
    </w:p>
    <w:p w14:paraId="1B9AD689" w14:textId="77777777" w:rsidR="009B1558" w:rsidRPr="002A685A" w:rsidRDefault="007543A6" w:rsidP="002A685A">
      <w:pPr>
        <w:suppressAutoHyphens/>
        <w:rPr>
          <w:rStyle w:val="Hyperlink"/>
          <w:sz w:val="20"/>
          <w:szCs w:val="20"/>
          <w:lang w:eastAsia="ar-SA"/>
        </w:rPr>
      </w:pPr>
      <w:hyperlink r:id="rId7" w:history="1">
        <w:r w:rsidR="009B1558" w:rsidRPr="002A685A">
          <w:rPr>
            <w:rStyle w:val="Hyperlink"/>
            <w:sz w:val="20"/>
            <w:szCs w:val="20"/>
            <w:lang w:eastAsia="ar-SA"/>
          </w:rPr>
          <w:t>Irena.Salmane@lm.gov.lv</w:t>
        </w:r>
      </w:hyperlink>
    </w:p>
    <w:p w14:paraId="0EB97230" w14:textId="77777777" w:rsidR="00A32297" w:rsidRPr="002A685A" w:rsidRDefault="00A32297" w:rsidP="002A685A">
      <w:pPr>
        <w:suppressAutoHyphens/>
        <w:rPr>
          <w:rStyle w:val="Hyperlink"/>
          <w:color w:val="auto"/>
          <w:sz w:val="20"/>
          <w:szCs w:val="20"/>
          <w:u w:val="none"/>
          <w:lang w:eastAsia="ar-SA"/>
        </w:rPr>
      </w:pPr>
      <w:proofErr w:type="spellStart"/>
      <w:r w:rsidRPr="002A685A">
        <w:rPr>
          <w:rStyle w:val="Hyperlink"/>
          <w:color w:val="auto"/>
          <w:sz w:val="20"/>
          <w:szCs w:val="20"/>
          <w:u w:val="none"/>
          <w:lang w:eastAsia="ar-SA"/>
        </w:rPr>
        <w:t>K.Zirnīte</w:t>
      </w:r>
      <w:proofErr w:type="spellEnd"/>
      <w:r w:rsidRPr="002A685A">
        <w:rPr>
          <w:rStyle w:val="Hyperlink"/>
          <w:color w:val="auto"/>
          <w:sz w:val="20"/>
          <w:szCs w:val="20"/>
          <w:u w:val="none"/>
          <w:lang w:eastAsia="ar-SA"/>
        </w:rPr>
        <w:t>, 67021520</w:t>
      </w:r>
    </w:p>
    <w:p w14:paraId="7B5E4CBD" w14:textId="26A4432A" w:rsidR="00A32297" w:rsidRPr="002A685A" w:rsidRDefault="007543A6" w:rsidP="002A685A">
      <w:pPr>
        <w:suppressAutoHyphens/>
        <w:rPr>
          <w:rStyle w:val="Hyperlink"/>
          <w:color w:val="auto"/>
          <w:sz w:val="20"/>
          <w:szCs w:val="20"/>
          <w:u w:val="none"/>
          <w:lang w:eastAsia="ar-SA"/>
        </w:rPr>
      </w:pPr>
      <w:hyperlink r:id="rId8" w:history="1">
        <w:r w:rsidR="00A32297" w:rsidRPr="002A685A">
          <w:rPr>
            <w:rStyle w:val="Hyperlink"/>
            <w:sz w:val="20"/>
            <w:szCs w:val="20"/>
            <w:lang w:eastAsia="ar-SA"/>
          </w:rPr>
          <w:t>Kristine.Zirnite@lm.gov.lv</w:t>
        </w:r>
      </w:hyperlink>
    </w:p>
    <w:bookmarkEnd w:id="0"/>
    <w:bookmarkEnd w:id="1"/>
    <w:p w14:paraId="6BB2DC6E" w14:textId="77777777" w:rsidR="009B1558" w:rsidRPr="000B7BBC" w:rsidRDefault="009B1558" w:rsidP="009B1558">
      <w:pPr>
        <w:rPr>
          <w:vanish/>
          <w:sz w:val="22"/>
          <w:szCs w:val="22"/>
        </w:rPr>
      </w:pPr>
    </w:p>
    <w:p w14:paraId="47BF45D9" w14:textId="77777777" w:rsidR="009B1558" w:rsidRPr="000B7BBC" w:rsidRDefault="009B1558" w:rsidP="009B1558">
      <w:pPr>
        <w:rPr>
          <w:vanish/>
          <w:sz w:val="22"/>
          <w:szCs w:val="22"/>
        </w:rPr>
      </w:pPr>
    </w:p>
    <w:bookmarkEnd w:id="2"/>
    <w:p w14:paraId="0FE7603D" w14:textId="77777777" w:rsidR="00C07CA1" w:rsidRPr="000B7BBC" w:rsidRDefault="00C07CA1"/>
    <w:sectPr w:rsidR="00C07CA1" w:rsidRPr="000B7BBC" w:rsidSect="00D2586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B677" w14:textId="77777777" w:rsidR="007543A6" w:rsidRDefault="007543A6" w:rsidP="009B1558">
      <w:r>
        <w:separator/>
      </w:r>
    </w:p>
  </w:endnote>
  <w:endnote w:type="continuationSeparator" w:id="0">
    <w:p w14:paraId="7C12B5B5" w14:textId="77777777" w:rsidR="007543A6" w:rsidRDefault="007543A6" w:rsidP="009B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C1B4" w14:textId="58778D77" w:rsidR="00A70283" w:rsidRPr="009B1558" w:rsidRDefault="00A70283" w:rsidP="00A70283">
    <w:pPr>
      <w:pStyle w:val="Footer"/>
      <w:rPr>
        <w:sz w:val="20"/>
        <w:szCs w:val="20"/>
      </w:rPr>
    </w:pPr>
    <w:r w:rsidRPr="009B1558">
      <w:rPr>
        <w:sz w:val="20"/>
        <w:szCs w:val="20"/>
      </w:rPr>
      <w:t>LM</w:t>
    </w:r>
    <w:r>
      <w:rPr>
        <w:sz w:val="20"/>
        <w:szCs w:val="20"/>
      </w:rPr>
      <w:t>anot</w:t>
    </w:r>
    <w:r w:rsidRPr="009B1558">
      <w:rPr>
        <w:sz w:val="20"/>
        <w:szCs w:val="20"/>
      </w:rPr>
      <w:t>_</w:t>
    </w:r>
    <w:r>
      <w:rPr>
        <w:sz w:val="20"/>
        <w:szCs w:val="20"/>
      </w:rPr>
      <w:t>0</w:t>
    </w:r>
    <w:r w:rsidR="007A7B26">
      <w:rPr>
        <w:sz w:val="20"/>
        <w:szCs w:val="20"/>
      </w:rPr>
      <w:t>8</w:t>
    </w:r>
    <w:r>
      <w:rPr>
        <w:sz w:val="20"/>
        <w:szCs w:val="20"/>
      </w:rPr>
      <w:t>1220</w:t>
    </w:r>
    <w:r w:rsidRPr="009B1558">
      <w:rPr>
        <w:sz w:val="20"/>
        <w:szCs w:val="20"/>
      </w:rPr>
      <w:t>_BP</w:t>
    </w:r>
    <w:r>
      <w:rPr>
        <w:sz w:val="20"/>
        <w:szCs w:val="20"/>
      </w:rPr>
      <w:t>P</w:t>
    </w:r>
  </w:p>
  <w:p w14:paraId="6415F59F" w14:textId="77777777" w:rsidR="00A70283" w:rsidRDefault="00A70283" w:rsidP="00A70283">
    <w:pPr>
      <w:pStyle w:val="Footer"/>
    </w:pPr>
  </w:p>
  <w:p w14:paraId="397CCFCB" w14:textId="77777777" w:rsidR="00097687" w:rsidRPr="00A70283" w:rsidRDefault="00097687" w:rsidP="00A7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935B" w14:textId="63169AE4" w:rsidR="00097687" w:rsidRPr="009B1558" w:rsidRDefault="00097687" w:rsidP="00D678C0">
    <w:pPr>
      <w:pStyle w:val="Footer"/>
      <w:rPr>
        <w:sz w:val="20"/>
        <w:szCs w:val="20"/>
      </w:rPr>
    </w:pPr>
    <w:r w:rsidRPr="009B1558">
      <w:rPr>
        <w:sz w:val="20"/>
        <w:szCs w:val="20"/>
      </w:rPr>
      <w:t>LM</w:t>
    </w:r>
    <w:r>
      <w:rPr>
        <w:sz w:val="20"/>
        <w:szCs w:val="20"/>
      </w:rPr>
      <w:t>anot</w:t>
    </w:r>
    <w:r w:rsidRPr="009B1558">
      <w:rPr>
        <w:sz w:val="20"/>
        <w:szCs w:val="20"/>
      </w:rPr>
      <w:t>_</w:t>
    </w:r>
    <w:r w:rsidR="00A70283">
      <w:rPr>
        <w:sz w:val="20"/>
        <w:szCs w:val="20"/>
      </w:rPr>
      <w:t>0</w:t>
    </w:r>
    <w:r w:rsidR="007A7B26">
      <w:rPr>
        <w:sz w:val="20"/>
        <w:szCs w:val="20"/>
      </w:rPr>
      <w:t>8</w:t>
    </w:r>
    <w:r w:rsidR="00A70283">
      <w:rPr>
        <w:sz w:val="20"/>
        <w:szCs w:val="20"/>
      </w:rPr>
      <w:t>12</w:t>
    </w:r>
    <w:r w:rsidR="00D156D5">
      <w:rPr>
        <w:sz w:val="20"/>
        <w:szCs w:val="20"/>
      </w:rPr>
      <w:t>20</w:t>
    </w:r>
    <w:r w:rsidRPr="009B1558">
      <w:rPr>
        <w:sz w:val="20"/>
        <w:szCs w:val="20"/>
      </w:rPr>
      <w:t>_BP</w:t>
    </w:r>
    <w:r w:rsidR="00D156D5">
      <w:rPr>
        <w:sz w:val="20"/>
        <w:szCs w:val="20"/>
      </w:rPr>
      <w:t>P</w:t>
    </w:r>
  </w:p>
  <w:p w14:paraId="3401BE6F" w14:textId="77777777" w:rsidR="00097687" w:rsidRDefault="0009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71E3" w14:textId="77777777" w:rsidR="007543A6" w:rsidRDefault="007543A6" w:rsidP="009B1558">
      <w:r>
        <w:separator/>
      </w:r>
    </w:p>
  </w:footnote>
  <w:footnote w:type="continuationSeparator" w:id="0">
    <w:p w14:paraId="484E0249" w14:textId="77777777" w:rsidR="007543A6" w:rsidRDefault="007543A6" w:rsidP="009B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477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58FDF" w14:textId="77777777" w:rsidR="00097687" w:rsidRDefault="000976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D4A96" w14:textId="77777777" w:rsidR="00097687" w:rsidRDefault="00097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6B7"/>
    <w:multiLevelType w:val="hybridMultilevel"/>
    <w:tmpl w:val="9C7236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D07"/>
    <w:multiLevelType w:val="hybridMultilevel"/>
    <w:tmpl w:val="F454E9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5DD"/>
    <w:multiLevelType w:val="hybridMultilevel"/>
    <w:tmpl w:val="1CD811A8"/>
    <w:lvl w:ilvl="0" w:tplc="F61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37FF"/>
    <w:multiLevelType w:val="hybridMultilevel"/>
    <w:tmpl w:val="2320E3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064D"/>
    <w:multiLevelType w:val="multilevel"/>
    <w:tmpl w:val="E64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9E533FD"/>
    <w:multiLevelType w:val="hybridMultilevel"/>
    <w:tmpl w:val="A3FA2FAC"/>
    <w:lvl w:ilvl="0" w:tplc="768C45F8">
      <w:start w:val="3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43C1"/>
    <w:multiLevelType w:val="hybridMultilevel"/>
    <w:tmpl w:val="3B569B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6565"/>
    <w:multiLevelType w:val="hybridMultilevel"/>
    <w:tmpl w:val="5AA875F0"/>
    <w:lvl w:ilvl="0" w:tplc="F51A759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7760"/>
    <w:multiLevelType w:val="hybridMultilevel"/>
    <w:tmpl w:val="3D8E00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58"/>
    <w:rsid w:val="000057C1"/>
    <w:rsid w:val="00007D7C"/>
    <w:rsid w:val="00047B10"/>
    <w:rsid w:val="00063FB9"/>
    <w:rsid w:val="0007651A"/>
    <w:rsid w:val="00097687"/>
    <w:rsid w:val="000B7568"/>
    <w:rsid w:val="000B7BBC"/>
    <w:rsid w:val="000D446F"/>
    <w:rsid w:val="000D6731"/>
    <w:rsid w:val="000F6644"/>
    <w:rsid w:val="00101EAC"/>
    <w:rsid w:val="001172A7"/>
    <w:rsid w:val="001419C1"/>
    <w:rsid w:val="00155132"/>
    <w:rsid w:val="00177143"/>
    <w:rsid w:val="001A7577"/>
    <w:rsid w:val="001E2DD6"/>
    <w:rsid w:val="001E3B4D"/>
    <w:rsid w:val="00214469"/>
    <w:rsid w:val="00270D23"/>
    <w:rsid w:val="0027326E"/>
    <w:rsid w:val="0027690F"/>
    <w:rsid w:val="00284F52"/>
    <w:rsid w:val="0028546A"/>
    <w:rsid w:val="002A685A"/>
    <w:rsid w:val="002C0B70"/>
    <w:rsid w:val="002D0277"/>
    <w:rsid w:val="002F15F4"/>
    <w:rsid w:val="002F2679"/>
    <w:rsid w:val="00320C6C"/>
    <w:rsid w:val="00364F89"/>
    <w:rsid w:val="00372B89"/>
    <w:rsid w:val="0039359E"/>
    <w:rsid w:val="003A46D0"/>
    <w:rsid w:val="003A6827"/>
    <w:rsid w:val="003B5A92"/>
    <w:rsid w:val="003D2E03"/>
    <w:rsid w:val="003D4676"/>
    <w:rsid w:val="003D6E75"/>
    <w:rsid w:val="003F797A"/>
    <w:rsid w:val="00416316"/>
    <w:rsid w:val="00427462"/>
    <w:rsid w:val="00445CC4"/>
    <w:rsid w:val="004C2E47"/>
    <w:rsid w:val="004F5444"/>
    <w:rsid w:val="00501D2A"/>
    <w:rsid w:val="00505A75"/>
    <w:rsid w:val="0051149A"/>
    <w:rsid w:val="00521828"/>
    <w:rsid w:val="005606CE"/>
    <w:rsid w:val="005670F2"/>
    <w:rsid w:val="00580A03"/>
    <w:rsid w:val="00591902"/>
    <w:rsid w:val="005A7465"/>
    <w:rsid w:val="005B5660"/>
    <w:rsid w:val="005D32F1"/>
    <w:rsid w:val="005E4921"/>
    <w:rsid w:val="0062004A"/>
    <w:rsid w:val="006214FA"/>
    <w:rsid w:val="00636467"/>
    <w:rsid w:val="006460A3"/>
    <w:rsid w:val="0065655D"/>
    <w:rsid w:val="00692305"/>
    <w:rsid w:val="006C4C44"/>
    <w:rsid w:val="006D7F60"/>
    <w:rsid w:val="007178DB"/>
    <w:rsid w:val="007246A7"/>
    <w:rsid w:val="00741B40"/>
    <w:rsid w:val="007433BA"/>
    <w:rsid w:val="00745B94"/>
    <w:rsid w:val="007543A6"/>
    <w:rsid w:val="00760B6E"/>
    <w:rsid w:val="007A7B26"/>
    <w:rsid w:val="007D1AD8"/>
    <w:rsid w:val="007D4EF0"/>
    <w:rsid w:val="007F7A20"/>
    <w:rsid w:val="00811515"/>
    <w:rsid w:val="00861554"/>
    <w:rsid w:val="0087551D"/>
    <w:rsid w:val="00875547"/>
    <w:rsid w:val="00882576"/>
    <w:rsid w:val="00890CAC"/>
    <w:rsid w:val="008A5B0B"/>
    <w:rsid w:val="008D22DD"/>
    <w:rsid w:val="008D32BE"/>
    <w:rsid w:val="008E21B8"/>
    <w:rsid w:val="00947718"/>
    <w:rsid w:val="00952AF3"/>
    <w:rsid w:val="009712B7"/>
    <w:rsid w:val="00986468"/>
    <w:rsid w:val="009B1558"/>
    <w:rsid w:val="009C26DC"/>
    <w:rsid w:val="009E458C"/>
    <w:rsid w:val="00A1705B"/>
    <w:rsid w:val="00A2225E"/>
    <w:rsid w:val="00A22B81"/>
    <w:rsid w:val="00A32297"/>
    <w:rsid w:val="00A35929"/>
    <w:rsid w:val="00A4046F"/>
    <w:rsid w:val="00A70283"/>
    <w:rsid w:val="00A80C19"/>
    <w:rsid w:val="00AC4FDD"/>
    <w:rsid w:val="00AD08F8"/>
    <w:rsid w:val="00AE1777"/>
    <w:rsid w:val="00AE69B0"/>
    <w:rsid w:val="00B0425D"/>
    <w:rsid w:val="00B06967"/>
    <w:rsid w:val="00B15E97"/>
    <w:rsid w:val="00B225DE"/>
    <w:rsid w:val="00B26F7E"/>
    <w:rsid w:val="00B62612"/>
    <w:rsid w:val="00B84CA4"/>
    <w:rsid w:val="00BA7B43"/>
    <w:rsid w:val="00BD4FAD"/>
    <w:rsid w:val="00C07CA1"/>
    <w:rsid w:val="00C11A3A"/>
    <w:rsid w:val="00C74BAD"/>
    <w:rsid w:val="00C91E8B"/>
    <w:rsid w:val="00CC2A2F"/>
    <w:rsid w:val="00CD2851"/>
    <w:rsid w:val="00CD52AA"/>
    <w:rsid w:val="00CE0678"/>
    <w:rsid w:val="00CE5356"/>
    <w:rsid w:val="00CF7C86"/>
    <w:rsid w:val="00D156D5"/>
    <w:rsid w:val="00D21193"/>
    <w:rsid w:val="00D25861"/>
    <w:rsid w:val="00D316F6"/>
    <w:rsid w:val="00D3183E"/>
    <w:rsid w:val="00D354BC"/>
    <w:rsid w:val="00D63A3E"/>
    <w:rsid w:val="00D678C0"/>
    <w:rsid w:val="00D81B03"/>
    <w:rsid w:val="00DB17D4"/>
    <w:rsid w:val="00DB1C41"/>
    <w:rsid w:val="00DB5507"/>
    <w:rsid w:val="00DC4636"/>
    <w:rsid w:val="00DD66A3"/>
    <w:rsid w:val="00DE7D07"/>
    <w:rsid w:val="00E13156"/>
    <w:rsid w:val="00E430E0"/>
    <w:rsid w:val="00E53CE9"/>
    <w:rsid w:val="00E55964"/>
    <w:rsid w:val="00E60FDA"/>
    <w:rsid w:val="00E9609C"/>
    <w:rsid w:val="00EE3132"/>
    <w:rsid w:val="00EE79C9"/>
    <w:rsid w:val="00F54A3A"/>
    <w:rsid w:val="00F9031F"/>
    <w:rsid w:val="00F9094E"/>
    <w:rsid w:val="00FB6261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C42F9"/>
  <w15:chartTrackingRefBased/>
  <w15:docId w15:val="{A5CDE655-83F1-4F0A-9B6A-226156B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155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5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rsid w:val="009B1558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B15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15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Akapit z listą BS,H&amp;P List Paragraph,Strip,Saraksta rindkopa,Saraksta rindkopa1"/>
    <w:basedOn w:val="Normal"/>
    <w:link w:val="ListParagraphChar"/>
    <w:uiPriority w:val="34"/>
    <w:qFormat/>
    <w:rsid w:val="00811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316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Akapit z listą BS Char,H&amp;P List Paragraph Char,Strip Char,Saraksta rindkopa Char,Saraksta rindkopa1 Char"/>
    <w:link w:val="ListParagraph"/>
    <w:uiPriority w:val="34"/>
    <w:locked/>
    <w:rsid w:val="00063FB9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7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E9"/>
    <w:rPr>
      <w:rFonts w:ascii="Segoe UI" w:eastAsia="Times New Roman" w:hAnsi="Segoe UI" w:cs="Segoe UI"/>
      <w:sz w:val="18"/>
      <w:szCs w:val="18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C, Char"/>
    <w:basedOn w:val="Normal"/>
    <w:link w:val="FootnoteTextChar"/>
    <w:uiPriority w:val="99"/>
    <w:unhideWhenUsed/>
    <w:qFormat/>
    <w:rsid w:val="000976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C Char, Char Char"/>
    <w:basedOn w:val="DefaultParagraphFont"/>
    <w:link w:val="FootnoteText"/>
    <w:uiPriority w:val="99"/>
    <w:rsid w:val="00097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6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8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D6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Zirnite@l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a.Salmane@l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4659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apdrošināšanu bezdarba gadījumam"</vt:lpstr>
    </vt:vector>
  </TitlesOfParts>
  <Company>LM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apdrošināšanu bezdarba gadījumam"</dc:title>
  <dc:subject>Anotācija</dc:subject>
  <dc:creator>Irēna Salmane</dc:creator>
  <cp:keywords/>
  <dc:description>irena.salmane@lm.gov.lv, tel. 67021556</dc:description>
  <cp:lastModifiedBy>Irena Salmane</cp:lastModifiedBy>
  <cp:revision>13</cp:revision>
  <cp:lastPrinted>2020-10-07T06:31:00Z</cp:lastPrinted>
  <dcterms:created xsi:type="dcterms:W3CDTF">2020-12-02T09:02:00Z</dcterms:created>
  <dcterms:modified xsi:type="dcterms:W3CDTF">2020-12-08T14:49:00Z</dcterms:modified>
</cp:coreProperties>
</file>