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6067D" w:rsidR="00280AFA" w:rsidP="00280AFA" w:rsidRDefault="000A34E3" w14:paraId="43FCA7D7" w14:textId="59D7FEB3">
      <w:pPr>
        <w:jc w:val="center"/>
        <w:rPr>
          <w:b/>
          <w:bCs/>
        </w:rPr>
      </w:pPr>
      <w:r w:rsidRPr="0016067D">
        <w:rPr>
          <w:b/>
          <w:bCs/>
        </w:rPr>
        <w:t xml:space="preserve">Ministru kabineta rīkojuma projekta </w:t>
      </w:r>
    </w:p>
    <w:p w:rsidRPr="0016067D" w:rsidR="00FD7418" w:rsidP="0016067D" w:rsidRDefault="00280AFA" w14:paraId="189D70AF" w14:textId="5681C912">
      <w:pPr>
        <w:jc w:val="center"/>
        <w:rPr>
          <w:b/>
        </w:rPr>
      </w:pPr>
      <w:r w:rsidRPr="00A707E9">
        <w:rPr>
          <w:b/>
          <w:bCs/>
        </w:rPr>
        <w:t>“Par pievienotās vērtības nodokļa summas,</w:t>
      </w:r>
      <w:r w:rsidRPr="0016067D">
        <w:rPr>
          <w:b/>
          <w:bCs/>
        </w:rPr>
        <w:t xml:space="preserve"> kas nav atgūstama kā priekšnodoklis,</w:t>
      </w:r>
      <w:r w:rsidRPr="00265E92">
        <w:rPr>
          <w:b/>
        </w:rPr>
        <w:t xml:space="preserve"> kompensācij</w:t>
      </w:r>
      <w:r>
        <w:rPr>
          <w:b/>
        </w:rPr>
        <w:t xml:space="preserve">u </w:t>
      </w:r>
      <w:r w:rsidRPr="00265E92">
        <w:rPr>
          <w:b/>
        </w:rPr>
        <w:t xml:space="preserve">Igaunijas Republikai un Lietuvas Republikai </w:t>
      </w:r>
      <w:r w:rsidR="00A707E9">
        <w:rPr>
          <w:b/>
        </w:rPr>
        <w:t>akciju sabiedrības</w:t>
      </w:r>
      <w:r w:rsidRPr="00265E92" w:rsidR="00A707E9">
        <w:rPr>
          <w:b/>
        </w:rPr>
        <w:t xml:space="preserve"> </w:t>
      </w:r>
      <w:r w:rsidRPr="00265E92">
        <w:rPr>
          <w:b/>
        </w:rPr>
        <w:t xml:space="preserve">“RB Rail” veikto </w:t>
      </w:r>
      <w:r w:rsidRPr="0016067D">
        <w:rPr>
          <w:b/>
        </w:rPr>
        <w:t>aktivitāšu ietvaros</w:t>
      </w:r>
      <w:r w:rsidRPr="00A707E9">
        <w:rPr>
          <w:b/>
        </w:rPr>
        <w:t>”</w:t>
      </w:r>
      <w:r w:rsidRPr="00A707E9" w:rsidR="00A707E9">
        <w:rPr>
          <w:b/>
        </w:rPr>
        <w:t xml:space="preserve"> </w:t>
      </w:r>
      <w:r w:rsidRPr="0016067D" w:rsidR="00D47D98">
        <w:rPr>
          <w:b/>
        </w:rPr>
        <w:t>sākotnējās ietekmes novērtējuma ziņojums (anotācija)</w:t>
      </w:r>
    </w:p>
    <w:p w:rsidRPr="00265EEE" w:rsidR="00D02649" w:rsidP="00D47D98" w:rsidRDefault="00D02649" w14:paraId="6AF89973" w14:textId="77777777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5902"/>
      </w:tblGrid>
      <w:tr w:rsidRPr="00265EEE" w:rsidR="00F10CDA" w:rsidTr="006F59AA" w14:paraId="1F799A7B" w14:textId="77777777">
        <w:trPr>
          <w:trHeight w:val="419"/>
        </w:trPr>
        <w:tc>
          <w:tcPr>
            <w:tcW w:w="5000" w:type="pct"/>
            <w:gridSpan w:val="2"/>
            <w:vAlign w:val="center"/>
          </w:tcPr>
          <w:p w:rsidRPr="00265EEE" w:rsidR="00F10CDA" w:rsidP="006F59AA" w:rsidRDefault="00F10CDA" w14:paraId="5E23D39A" w14:textId="7777777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265EEE">
              <w:rPr>
                <w:b/>
              </w:rPr>
              <w:t xml:space="preserve">Tiesību akta projekta anotācijas </w:t>
            </w:r>
            <w:r w:rsidRPr="00265EEE">
              <w:rPr>
                <w:b/>
                <w:bCs/>
                <w:iCs/>
              </w:rPr>
              <w:t>kopsavilkums</w:t>
            </w:r>
          </w:p>
        </w:tc>
      </w:tr>
      <w:tr w:rsidRPr="00265EEE" w:rsidR="00F10CDA" w:rsidTr="00F10CDA" w14:paraId="781CFAEF" w14:textId="77777777">
        <w:trPr>
          <w:trHeight w:val="415"/>
        </w:trPr>
        <w:tc>
          <w:tcPr>
            <w:tcW w:w="1742" w:type="pct"/>
          </w:tcPr>
          <w:p w:rsidRPr="00265EEE" w:rsidR="00F10CDA" w:rsidP="00F10CDA" w:rsidRDefault="00F10CDA" w14:paraId="17282ADE" w14:textId="77777777">
            <w:pPr>
              <w:pStyle w:val="naiskr"/>
              <w:spacing w:before="0" w:beforeAutospacing="0" w:after="0" w:afterAutospacing="0"/>
              <w:ind w:left="57" w:right="57"/>
            </w:pPr>
            <w:r w:rsidRPr="00265EEE">
              <w:rPr>
                <w:iCs/>
              </w:rPr>
              <w:t>Mērķis, risinājums un projekta spēkā stāšanās laiks (500 zīmes bez atstarpēm)</w:t>
            </w:r>
          </w:p>
        </w:tc>
        <w:tc>
          <w:tcPr>
            <w:tcW w:w="3258" w:type="pct"/>
          </w:tcPr>
          <w:p w:rsidR="00BA2A96" w:rsidP="00854657" w:rsidRDefault="00817914" w14:paraId="02500569" w14:textId="77777777">
            <w:pPr>
              <w:ind w:right="130"/>
              <w:jc w:val="both"/>
            </w:pPr>
            <w:r>
              <w:t xml:space="preserve">Ministru kabineta rīkojuma projekts “Par pievienotās vērtības nodokļa summas, kas nav atgūstama kā priekšnodoklis, kompensāciju Igaunijas Republikai un Lietuvas Republikai akciju sabiedrības “RB Rail” veikto aktivitāšu ietvaros” (turpmāk – Rīkojuma projekts) </w:t>
            </w:r>
            <w:r w:rsidRPr="00A81DB1" w:rsidR="00F32255">
              <w:t xml:space="preserve">izstrādāts, lai </w:t>
            </w:r>
            <w:r w:rsidR="002C12B2">
              <w:t>Igaunijai un Lietuvai kompensētu pievienotās vērtības nodokli (turpmāk – PVN)</w:t>
            </w:r>
            <w:r w:rsidRPr="002C12B2" w:rsidR="002C12B2">
              <w:t>, kas nav atgūstama kā priekšnodoklis,</w:t>
            </w:r>
            <w:r w:rsidR="002C12B2">
              <w:t xml:space="preserve"> no </w:t>
            </w:r>
            <w:r w:rsidR="00A707E9">
              <w:t>akciju sabiedrības</w:t>
            </w:r>
            <w:r w:rsidR="00C007C7">
              <w:t xml:space="preserve"> </w:t>
            </w:r>
            <w:r w:rsidR="00A707E9">
              <w:t>“</w:t>
            </w:r>
            <w:r w:rsidRPr="00A81DB1" w:rsidR="005F5E0A">
              <w:t>RB Rail</w:t>
            </w:r>
            <w:r w:rsidR="00A707E9">
              <w:t>”</w:t>
            </w:r>
            <w:r w:rsidRPr="00A81DB1" w:rsidR="005F5E0A">
              <w:t xml:space="preserve"> (turpmāk – RBR)</w:t>
            </w:r>
            <w:r w:rsidR="00C007C7">
              <w:t xml:space="preserve"> </w:t>
            </w:r>
            <w:r w:rsidR="002C12B2">
              <w:t>darījumiem ar</w:t>
            </w:r>
            <w:r w:rsidR="00C007C7">
              <w:t xml:space="preserve"> Latvijā reģistrētiem PVN maksātājiem.</w:t>
            </w:r>
          </w:p>
          <w:p w:rsidRPr="00817914" w:rsidR="009B59E5" w:rsidP="00854657" w:rsidRDefault="00471FE3" w14:paraId="7B013361" w14:textId="407E86CF">
            <w:pPr>
              <w:ind w:right="13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Rīkojuma projekts stāsies spēkā </w:t>
            </w:r>
            <w:r w:rsidRPr="00471FE3">
              <w:rPr>
                <w:rFonts w:eastAsia="Calibri"/>
                <w:lang w:eastAsia="en-US"/>
              </w:rPr>
              <w:t>tā parakstīšanas brīdī.</w:t>
            </w:r>
          </w:p>
        </w:tc>
      </w:tr>
    </w:tbl>
    <w:p w:rsidRPr="00E40874" w:rsidR="00551A0F" w:rsidP="00696675" w:rsidRDefault="00551A0F" w14:paraId="0AD395D8" w14:textId="77777777">
      <w:pPr>
        <w:tabs>
          <w:tab w:val="left" w:pos="1125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9"/>
        <w:tblW w:w="499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2687"/>
        <w:gridCol w:w="5982"/>
      </w:tblGrid>
      <w:tr w:rsidRPr="00265EEE" w:rsidR="00551A0F" w:rsidTr="002259BB" w14:paraId="0A2ECB7D" w14:textId="77777777">
        <w:trPr>
          <w:trHeight w:val="419"/>
        </w:trPr>
        <w:tc>
          <w:tcPr>
            <w:tcW w:w="5000" w:type="pct"/>
            <w:gridSpan w:val="3"/>
            <w:vAlign w:val="center"/>
          </w:tcPr>
          <w:p w:rsidRPr="00265EEE" w:rsidR="00551A0F" w:rsidP="00017065" w:rsidRDefault="00551A0F" w14:paraId="72282C0C" w14:textId="7777777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265EEE">
              <w:rPr>
                <w:b/>
              </w:rPr>
              <w:t>I. Tiesību akta projekta izstrādes nepieciešamība</w:t>
            </w:r>
          </w:p>
        </w:tc>
      </w:tr>
      <w:tr w:rsidRPr="00265EEE" w:rsidR="00551A0F" w:rsidTr="002259BB" w14:paraId="26516C0F" w14:textId="77777777">
        <w:trPr>
          <w:trHeight w:val="415"/>
        </w:trPr>
        <w:tc>
          <w:tcPr>
            <w:tcW w:w="237" w:type="pct"/>
          </w:tcPr>
          <w:p w:rsidRPr="00265EEE" w:rsidR="00551A0F" w:rsidP="00017065" w:rsidRDefault="00551A0F" w14:paraId="40412917" w14:textId="7777777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265EEE">
              <w:t>1.</w:t>
            </w:r>
          </w:p>
        </w:tc>
        <w:tc>
          <w:tcPr>
            <w:tcW w:w="1504" w:type="pct"/>
          </w:tcPr>
          <w:p w:rsidRPr="00265EEE" w:rsidR="00551A0F" w:rsidP="00017065" w:rsidRDefault="00551A0F" w14:paraId="1ED2376A" w14:textId="77777777">
            <w:pPr>
              <w:pStyle w:val="naiskr"/>
              <w:spacing w:before="0" w:beforeAutospacing="0" w:after="0" w:afterAutospacing="0"/>
              <w:ind w:left="57" w:right="57"/>
            </w:pPr>
            <w:r w:rsidRPr="00265EEE">
              <w:t>Pamatojums</w:t>
            </w:r>
          </w:p>
        </w:tc>
        <w:tc>
          <w:tcPr>
            <w:tcW w:w="3257" w:type="pct"/>
          </w:tcPr>
          <w:p w:rsidR="00EE39A4" w:rsidP="00854657" w:rsidRDefault="00424A68" w14:paraId="26126B83" w14:textId="6BE608DF">
            <w:pPr>
              <w:ind w:right="13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Likuma </w:t>
            </w:r>
            <w:r w:rsidR="00F32255">
              <w:rPr>
                <w:szCs w:val="22"/>
              </w:rPr>
              <w:t>“</w:t>
            </w:r>
            <w:r>
              <w:rPr>
                <w:szCs w:val="22"/>
              </w:rPr>
              <w:t>Par valsts budžetu 2020.gadam</w:t>
            </w:r>
            <w:r w:rsidR="00F32255">
              <w:rPr>
                <w:szCs w:val="22"/>
              </w:rPr>
              <w:t>”</w:t>
            </w:r>
            <w:r>
              <w:rPr>
                <w:szCs w:val="22"/>
              </w:rPr>
              <w:t xml:space="preserve"> 55.pants.</w:t>
            </w:r>
          </w:p>
          <w:p w:rsidRPr="00BB3200" w:rsidR="002015B1" w:rsidP="00854657" w:rsidRDefault="002C12B2" w14:paraId="01A4B21B" w14:textId="620CEF6C">
            <w:pPr>
              <w:ind w:right="130"/>
              <w:jc w:val="both"/>
              <w:rPr>
                <w:szCs w:val="22"/>
              </w:rPr>
            </w:pPr>
            <w:r>
              <w:rPr>
                <w:szCs w:val="22"/>
              </w:rPr>
              <w:t>Ministru kabineta 2020.gada 14.aprīļa n</w:t>
            </w:r>
            <w:r w:rsidRPr="00194D1F" w:rsidR="00194D1F">
              <w:rPr>
                <w:szCs w:val="22"/>
              </w:rPr>
              <w:t>oteikum</w:t>
            </w:r>
            <w:r w:rsidR="00A707E9">
              <w:rPr>
                <w:szCs w:val="22"/>
              </w:rPr>
              <w:t>u</w:t>
            </w:r>
            <w:r w:rsidRPr="00194D1F" w:rsidR="00194D1F">
              <w:rPr>
                <w:szCs w:val="22"/>
              </w:rPr>
              <w:t xml:space="preserve"> Nr.218 </w:t>
            </w:r>
            <w:r w:rsidR="00194D1F">
              <w:rPr>
                <w:szCs w:val="22"/>
              </w:rPr>
              <w:t xml:space="preserve"> </w:t>
            </w:r>
            <w:r>
              <w:rPr>
                <w:szCs w:val="22"/>
              </w:rPr>
              <w:t>“</w:t>
            </w:r>
            <w:r w:rsidRPr="002C12B2">
              <w:rPr>
                <w:szCs w:val="22"/>
              </w:rPr>
              <w:t xml:space="preserve">Kārtība, kādā kompensē pievienotās vērtības nodokļa summas Igaunijai un Lietuvai par akciju sabiedrības </w:t>
            </w:r>
            <w:r w:rsidR="00845895">
              <w:rPr>
                <w:szCs w:val="22"/>
              </w:rPr>
              <w:t>“</w:t>
            </w:r>
            <w:r w:rsidRPr="002C12B2">
              <w:rPr>
                <w:szCs w:val="22"/>
              </w:rPr>
              <w:t>RB Rail</w:t>
            </w:r>
            <w:r w:rsidR="00845895">
              <w:rPr>
                <w:szCs w:val="22"/>
              </w:rPr>
              <w:t>”</w:t>
            </w:r>
            <w:r w:rsidRPr="002C12B2">
              <w:rPr>
                <w:szCs w:val="22"/>
              </w:rPr>
              <w:t xml:space="preserve"> veiktajām aktivitātēm</w:t>
            </w:r>
            <w:r>
              <w:rPr>
                <w:szCs w:val="22"/>
              </w:rPr>
              <w:t xml:space="preserve">” </w:t>
            </w:r>
            <w:r w:rsidR="000565F6">
              <w:rPr>
                <w:szCs w:val="22"/>
              </w:rPr>
              <w:t xml:space="preserve">(turpmāk – Noteikumi Nr.218) </w:t>
            </w:r>
            <w:r w:rsidR="00194D1F">
              <w:rPr>
                <w:szCs w:val="22"/>
              </w:rPr>
              <w:t>8.punkts.</w:t>
            </w:r>
          </w:p>
        </w:tc>
      </w:tr>
      <w:tr w:rsidRPr="00265EEE" w:rsidR="00D47D98" w:rsidTr="002259BB" w14:paraId="5589370A" w14:textId="77777777">
        <w:trPr>
          <w:trHeight w:val="472"/>
        </w:trPr>
        <w:tc>
          <w:tcPr>
            <w:tcW w:w="237" w:type="pct"/>
          </w:tcPr>
          <w:p w:rsidRPr="00265EEE" w:rsidR="00D47D98" w:rsidP="00D47D98" w:rsidRDefault="00D47D98" w14:paraId="1CAB4269" w14:textId="7777777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265EEE">
              <w:t>2.</w:t>
            </w:r>
          </w:p>
        </w:tc>
        <w:tc>
          <w:tcPr>
            <w:tcW w:w="1504" w:type="pct"/>
          </w:tcPr>
          <w:p w:rsidRPr="00265EEE" w:rsidR="00D47D98" w:rsidP="00D47D98" w:rsidRDefault="00D47D98" w14:paraId="711F75A5" w14:textId="7777777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265EEE">
              <w:t>Pašreizējā situācija un problēmas, kuru risināšanai tiesību akta projekts izstrādāts, tiesiskā regulējuma mērķis un būtība</w:t>
            </w:r>
          </w:p>
        </w:tc>
        <w:tc>
          <w:tcPr>
            <w:tcW w:w="3257" w:type="pct"/>
          </w:tcPr>
          <w:p w:rsidR="00932C3F" w:rsidP="00854657" w:rsidRDefault="00A707E9" w14:paraId="01617BAA" w14:textId="271D526D">
            <w:pPr>
              <w:ind w:right="130"/>
              <w:jc w:val="both"/>
            </w:pPr>
            <w:r>
              <w:t xml:space="preserve">Noteikumi Nr.218 </w:t>
            </w:r>
            <w:r w:rsidR="00194D1F">
              <w:t xml:space="preserve">paredz </w:t>
            </w:r>
            <w:r w:rsidR="00C87A6A">
              <w:t xml:space="preserve">no valsts budžeta kompensēt PVN, ko Baltijas valstu kopuzņēmums </w:t>
            </w:r>
            <w:r w:rsidRPr="00A81DB1" w:rsidR="000C2864">
              <w:t>RB</w:t>
            </w:r>
            <w:r w:rsidR="001C596E">
              <w:t xml:space="preserve">R </w:t>
            </w:r>
            <w:r w:rsidR="00C87A6A">
              <w:t xml:space="preserve">horizontālo aktivitāšu (vienlīdzīgās daļās līdzfinansē Igaunija, Latvija un Lietuva) </w:t>
            </w:r>
            <w:r w:rsidR="00CF08F2">
              <w:t xml:space="preserve">īstenošanas </w:t>
            </w:r>
            <w:r w:rsidR="00C87A6A">
              <w:t>ietvaros ir samaksāji</w:t>
            </w:r>
            <w:r w:rsidR="000565F6">
              <w:t>s</w:t>
            </w:r>
            <w:r w:rsidR="00C87A6A">
              <w:t xml:space="preserve"> </w:t>
            </w:r>
            <w:r w:rsidRPr="000565F6" w:rsidR="000565F6">
              <w:t xml:space="preserve">Valsts ieņēmumu dienesta </w:t>
            </w:r>
            <w:r w:rsidR="00EE5B1B">
              <w:t>PVN</w:t>
            </w:r>
            <w:r w:rsidRPr="000565F6" w:rsidR="000565F6">
              <w:t xml:space="preserve"> maksātāju reģistrā reģistrētiem nodokļu maksātājiem </w:t>
            </w:r>
            <w:r w:rsidR="00C87A6A">
              <w:t>par precēm un pakalpojumiem.</w:t>
            </w:r>
          </w:p>
          <w:p w:rsidR="000C2864" w:rsidP="00854657" w:rsidRDefault="00214A64" w14:paraId="282FC0C8" w14:textId="7BFD1EE9">
            <w:pPr>
              <w:ind w:right="13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Noteikumi Nr.218</w:t>
            </w:r>
            <w:r w:rsidRPr="00A81DB1">
              <w:rPr>
                <w:rFonts w:eastAsia="Calibri"/>
                <w:lang w:eastAsia="en-US"/>
              </w:rPr>
              <w:t xml:space="preserve"> </w:t>
            </w:r>
            <w:r w:rsidRPr="00A81DB1" w:rsidR="000C2864">
              <w:rPr>
                <w:rFonts w:eastAsia="Calibri"/>
                <w:lang w:eastAsia="en-US"/>
              </w:rPr>
              <w:t xml:space="preserve">paredz, ka RBR apkopo informāciju par PVN summu, </w:t>
            </w:r>
            <w:r w:rsidR="00882088">
              <w:rPr>
                <w:rFonts w:eastAsia="Calibri"/>
                <w:lang w:eastAsia="en-US"/>
              </w:rPr>
              <w:t xml:space="preserve">kas nav atgūstama kā priekšnodoklis un </w:t>
            </w:r>
            <w:r w:rsidRPr="00A81DB1" w:rsidR="000C2864">
              <w:rPr>
                <w:rFonts w:eastAsia="Calibri"/>
                <w:lang w:eastAsia="en-US"/>
              </w:rPr>
              <w:t>k</w:t>
            </w:r>
            <w:r w:rsidR="00882088">
              <w:rPr>
                <w:rFonts w:eastAsia="Calibri"/>
                <w:lang w:eastAsia="en-US"/>
              </w:rPr>
              <w:t xml:space="preserve">uru </w:t>
            </w:r>
            <w:r w:rsidRPr="00A81DB1" w:rsidR="000C2864">
              <w:rPr>
                <w:rFonts w:eastAsia="Calibri"/>
                <w:lang w:eastAsia="en-US"/>
              </w:rPr>
              <w:t>RBR ir faktiski samaksāj</w:t>
            </w:r>
            <w:r w:rsidR="00882088">
              <w:rPr>
                <w:rFonts w:eastAsia="Calibri"/>
                <w:lang w:eastAsia="en-US"/>
              </w:rPr>
              <w:t xml:space="preserve">is </w:t>
            </w:r>
            <w:r w:rsidRPr="00A81DB1" w:rsidR="000C2864">
              <w:rPr>
                <w:rFonts w:eastAsia="Calibri"/>
                <w:lang w:eastAsia="en-US"/>
              </w:rPr>
              <w:t xml:space="preserve">Valsts ieņēmuma dienesta PVN maksātāju reģistrā reģistrētiem nodokļu maksātājiem par preču piegādēm un pakalpojumiem, īstenojot Eiropas infrastruktūras savienošanas instrumenta finansētā Rail Baltica projekta (turpmāk – Projekta) aktivitātes, kuras ir noteiktas </w:t>
            </w:r>
            <w:r w:rsidR="000565F6">
              <w:rPr>
                <w:rFonts w:eastAsia="Calibri"/>
                <w:lang w:eastAsia="en-US"/>
              </w:rPr>
              <w:t>Projekta</w:t>
            </w:r>
            <w:r w:rsidRPr="00A81DB1" w:rsidR="000C2864">
              <w:rPr>
                <w:rFonts w:eastAsia="Calibri"/>
                <w:lang w:eastAsia="en-US"/>
              </w:rPr>
              <w:t xml:space="preserve"> finansēšanas līgumos un kuras vienlīdzīgās daļās līdzfinansē Igaunija, Latvija un Lietuva.</w:t>
            </w:r>
          </w:p>
          <w:p w:rsidR="00031E8A" w:rsidP="00854657" w:rsidRDefault="00031E8A" w14:paraId="624409F6" w14:textId="52BB6A64">
            <w:pPr>
              <w:ind w:right="13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F4248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.gada </w:t>
            </w:r>
            <w:r w:rsidR="00685248">
              <w:rPr>
                <w:rFonts w:eastAsia="Calibri"/>
                <w:lang w:eastAsia="en-US"/>
              </w:rPr>
              <w:t>3</w:t>
            </w:r>
            <w:r w:rsidR="00A157A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ceturksnī </w:t>
            </w:r>
            <w:r w:rsidR="00A1787D">
              <w:rPr>
                <w:rFonts w:eastAsia="Calibri"/>
                <w:lang w:eastAsia="en-US"/>
              </w:rPr>
              <w:t xml:space="preserve">RBR ir </w:t>
            </w:r>
            <w:r>
              <w:rPr>
                <w:rFonts w:eastAsia="Calibri"/>
                <w:lang w:eastAsia="en-US"/>
              </w:rPr>
              <w:t xml:space="preserve">turpinājis </w:t>
            </w:r>
            <w:r w:rsidR="00A1787D">
              <w:rPr>
                <w:rFonts w:eastAsia="Calibri"/>
                <w:lang w:eastAsia="en-US"/>
              </w:rPr>
              <w:t>īsteno</w:t>
            </w:r>
            <w:r>
              <w:rPr>
                <w:rFonts w:eastAsia="Calibri"/>
                <w:lang w:eastAsia="en-US"/>
              </w:rPr>
              <w:t>t</w:t>
            </w:r>
            <w:r w:rsidR="00A1787D">
              <w:rPr>
                <w:rFonts w:eastAsia="Calibri"/>
                <w:lang w:eastAsia="en-US"/>
              </w:rPr>
              <w:t xml:space="preserve"> sekojošas horizontālās aktivitātes: Infrastruktūras elementu iepirkumu izpēte, Izejmateriālu iepirkumu izpēte, Piegādātāju tirgus izpēte un konsolidēto iepirkumu </w:t>
            </w:r>
            <w:r>
              <w:rPr>
                <w:rFonts w:eastAsia="Calibri"/>
                <w:lang w:eastAsia="en-US"/>
              </w:rPr>
              <w:t xml:space="preserve">ekonomija, </w:t>
            </w:r>
            <w:r w:rsidR="0086411E">
              <w:rPr>
                <w:rFonts w:eastAsia="Calibri"/>
                <w:lang w:eastAsia="en-US"/>
              </w:rPr>
              <w:t xml:space="preserve">Komunikācija </w:t>
            </w:r>
            <w:r w:rsidR="00D92EA4">
              <w:rPr>
                <w:rFonts w:eastAsia="Calibri"/>
                <w:lang w:eastAsia="en-US"/>
              </w:rPr>
              <w:t xml:space="preserve">un </w:t>
            </w:r>
            <w:r w:rsidR="0086411E">
              <w:rPr>
                <w:rFonts w:eastAsia="Calibri"/>
                <w:lang w:eastAsia="en-US"/>
              </w:rPr>
              <w:t xml:space="preserve">projekta reklāma, </w:t>
            </w:r>
            <w:r>
              <w:rPr>
                <w:rFonts w:eastAsia="Calibri"/>
                <w:lang w:eastAsia="en-US"/>
              </w:rPr>
              <w:t>Dzelzceļš</w:t>
            </w:r>
            <w:r w:rsidR="00194D1F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gaiss pētījums, Rail Baltica līnijas elektroapgāde un apakšstacijas. </w:t>
            </w:r>
          </w:p>
          <w:p w:rsidR="00E77A10" w:rsidP="00854657" w:rsidRDefault="00031E8A" w14:paraId="583BE58B" w14:textId="5386CFB1">
            <w:pPr>
              <w:ind w:right="13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Informācija par minēto aktivitāšu </w:t>
            </w:r>
            <w:r w:rsidR="0086411E">
              <w:rPr>
                <w:rFonts w:eastAsia="Calibri"/>
                <w:lang w:eastAsia="en-US"/>
              </w:rPr>
              <w:t xml:space="preserve">īstenošanas </w:t>
            </w:r>
            <w:r>
              <w:rPr>
                <w:rFonts w:eastAsia="Calibri"/>
                <w:lang w:eastAsia="en-US"/>
              </w:rPr>
              <w:t>ietva</w:t>
            </w:r>
            <w:r w:rsidR="0086411E">
              <w:rPr>
                <w:rFonts w:eastAsia="Calibri"/>
                <w:lang w:eastAsia="en-US"/>
              </w:rPr>
              <w:t xml:space="preserve">ros </w:t>
            </w:r>
            <w:r>
              <w:rPr>
                <w:rFonts w:eastAsia="Calibri"/>
                <w:lang w:eastAsia="en-US"/>
              </w:rPr>
              <w:t xml:space="preserve">faktiski samaksātajām PVN </w:t>
            </w:r>
            <w:r w:rsidR="0086411E">
              <w:rPr>
                <w:rFonts w:eastAsia="Calibri"/>
                <w:lang w:eastAsia="en-US"/>
              </w:rPr>
              <w:t xml:space="preserve">summām ir iesniegta </w:t>
            </w:r>
            <w:r w:rsidR="00854657">
              <w:rPr>
                <w:rFonts w:eastAsia="Calibri"/>
                <w:lang w:eastAsia="en-US"/>
              </w:rPr>
              <w:t xml:space="preserve">Satiksmes ministrijā (turpmāk – </w:t>
            </w:r>
            <w:r w:rsidR="0086411E">
              <w:rPr>
                <w:rFonts w:eastAsia="Calibri"/>
                <w:lang w:eastAsia="en-US"/>
              </w:rPr>
              <w:t>Ministrij</w:t>
            </w:r>
            <w:r w:rsidR="00854657">
              <w:rPr>
                <w:rFonts w:eastAsia="Calibri"/>
                <w:lang w:eastAsia="en-US"/>
              </w:rPr>
              <w:t>a)</w:t>
            </w:r>
            <w:r w:rsidR="0086411E">
              <w:rPr>
                <w:rFonts w:eastAsia="Calibri"/>
                <w:lang w:eastAsia="en-US"/>
              </w:rPr>
              <w:t xml:space="preserve"> un apkopota tabulā</w:t>
            </w:r>
            <w:r w:rsidR="004D30EC">
              <w:rPr>
                <w:rFonts w:eastAsia="Calibri"/>
                <w:lang w:eastAsia="en-US"/>
              </w:rPr>
              <w:t>:</w:t>
            </w:r>
          </w:p>
          <w:p w:rsidR="00B90538" w:rsidP="00E40874" w:rsidRDefault="00B90538" w14:paraId="7058BE8C" w14:textId="77777777">
            <w:pPr>
              <w:jc w:val="both"/>
              <w:rPr>
                <w:rFonts w:eastAsia="Calibri"/>
                <w:lang w:eastAsia="en-US"/>
              </w:rPr>
            </w:pPr>
          </w:p>
          <w:p w:rsidR="004D30EC" w:rsidP="0016067D" w:rsidRDefault="00AC2AB3" w14:paraId="62AEDF00" w14:textId="5F22B4CE">
            <w:pPr>
              <w:ind w:firstLine="664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8208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RBR iesniegtie ar PVN apliekamie </w:t>
            </w:r>
            <w:r w:rsidRPr="00882088" w:rsidR="00A34682">
              <w:rPr>
                <w:rFonts w:eastAsia="Calibri"/>
                <w:sz w:val="22"/>
                <w:szCs w:val="22"/>
                <w:lang w:eastAsia="en-US"/>
              </w:rPr>
              <w:t xml:space="preserve">2020.gada </w:t>
            </w:r>
            <w:r w:rsidR="00685248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="00B3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94D1F">
              <w:rPr>
                <w:rFonts w:eastAsia="Calibri"/>
                <w:sz w:val="22"/>
                <w:szCs w:val="22"/>
                <w:lang w:eastAsia="en-US"/>
              </w:rPr>
              <w:t>ceturksnī</w:t>
            </w:r>
            <w:r w:rsidR="00B3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Pr="004D30EC" w:rsidR="00A34682" w:rsidP="0016067D" w:rsidRDefault="004D30EC" w14:paraId="619FCC79" w14:textId="10C25E9B">
            <w:pPr>
              <w:ind w:firstLine="664"/>
              <w:jc w:val="righ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4D30E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euro</w:t>
            </w:r>
            <w:r w:rsidRPr="004D30EC" w:rsidR="00A3468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4D30EC" w:rsidR="000565F6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tbl>
            <w:tblPr>
              <w:tblW w:w="5952" w:type="dxa"/>
              <w:tblLook w:val="04A0" w:firstRow="1" w:lastRow="0" w:firstColumn="1" w:lastColumn="0" w:noHBand="0" w:noVBand="1"/>
            </w:tblPr>
            <w:tblGrid>
              <w:gridCol w:w="3404"/>
              <w:gridCol w:w="2548"/>
            </w:tblGrid>
            <w:tr w:rsidR="00685248" w:rsidTr="00D47B13" w14:paraId="501F1055" w14:textId="77777777">
              <w:trPr>
                <w:divId w:val="1311248454"/>
                <w:trHeight w:val="529"/>
              </w:trPr>
              <w:tc>
                <w:tcPr>
                  <w:tcW w:w="3404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685248" w:rsidP="005F73D4" w:rsidRDefault="00685248" w14:paraId="50AA72E3" w14:textId="77777777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Maksājumi par ar PVN apliekamiem darījumiem, t.sk.</w:t>
                  </w:r>
                </w:p>
              </w:tc>
              <w:tc>
                <w:tcPr>
                  <w:tcW w:w="2548" w:type="dxa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685248" w:rsidP="005F73D4" w:rsidRDefault="00685248" w14:paraId="36065E2F" w14:textId="77777777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85248" w:rsidTr="00D47B13" w14:paraId="14142A73" w14:textId="77777777">
              <w:trPr>
                <w:divId w:val="1311248454"/>
                <w:trHeight w:val="224"/>
              </w:trPr>
              <w:tc>
                <w:tcPr>
                  <w:tcW w:w="3404" w:type="dxa"/>
                  <w:vMerge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  <w:hideMark/>
                </w:tcPr>
                <w:p w:rsidR="00685248" w:rsidP="005F73D4" w:rsidRDefault="00685248" w14:paraId="52C26020" w14:textId="77777777">
                  <w:pPr>
                    <w:framePr w:hSpace="180" w:wrap="around" w:hAnchor="margin" w:vAnchor="text" w:xAlign="center" w:y="149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hideMark/>
                </w:tcPr>
                <w:p w:rsidR="00685248" w:rsidP="005F73D4" w:rsidRDefault="00685248" w14:paraId="05EE7DE6" w14:textId="56BBF2E3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5248" w:rsidTr="00D47B13" w14:paraId="23024A0E" w14:textId="77777777">
              <w:trPr>
                <w:divId w:val="1311248454"/>
                <w:trHeight w:val="394"/>
              </w:trPr>
              <w:tc>
                <w:tcPr>
                  <w:tcW w:w="3404" w:type="dxa"/>
                  <w:vMerge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  <w:hideMark/>
                </w:tcPr>
                <w:p w:rsidR="00685248" w:rsidP="005F73D4" w:rsidRDefault="00685248" w14:paraId="64AD2DA8" w14:textId="77777777">
                  <w:pPr>
                    <w:framePr w:hSpace="180" w:wrap="around" w:hAnchor="margin" w:vAnchor="text" w:xAlign="center" w:y="149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hideMark/>
                </w:tcPr>
                <w:p w:rsidR="00685248" w:rsidP="005F73D4" w:rsidRDefault="000975B2" w14:paraId="62BD627E" w14:textId="667289CE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2020</w:t>
                  </w:r>
                  <w:r w:rsidR="00685248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.gada 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3. ceturksnis</w:t>
                  </w:r>
                </w:p>
              </w:tc>
            </w:tr>
            <w:tr w:rsidR="00685248" w:rsidTr="00D47B13" w14:paraId="7A42A297" w14:textId="77777777">
              <w:trPr>
                <w:divId w:val="1311248454"/>
                <w:trHeight w:val="777"/>
              </w:trPr>
              <w:tc>
                <w:tcPr>
                  <w:tcW w:w="34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685248" w:rsidP="005F73D4" w:rsidRDefault="00685248" w14:paraId="29DFBEAC" w14:textId="77777777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Preču vai pakalpojumu vērtība bez PVN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685248" w:rsidP="005F73D4" w:rsidRDefault="000975B2" w14:paraId="07A2A02F" w14:textId="1D8F7BD1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D47B13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08</w:t>
                  </w:r>
                  <w:r w:rsidR="00D47B13">
                    <w:rPr>
                      <w:color w:val="000000"/>
                      <w:sz w:val="20"/>
                      <w:szCs w:val="20"/>
                    </w:rPr>
                    <w:t>5 860,33</w:t>
                  </w:r>
                </w:p>
              </w:tc>
            </w:tr>
            <w:tr w:rsidR="00685248" w:rsidTr="00D47B13" w14:paraId="0D111B68" w14:textId="77777777">
              <w:trPr>
                <w:divId w:val="1311248454"/>
                <w:trHeight w:val="394"/>
              </w:trPr>
              <w:tc>
                <w:tcPr>
                  <w:tcW w:w="34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685248" w:rsidP="005F73D4" w:rsidRDefault="00685248" w14:paraId="69648133" w14:textId="77777777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PVN iekšzemē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685248" w:rsidP="005F73D4" w:rsidRDefault="000975B2" w14:paraId="4FBD7597" w14:textId="15148CC1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82 681,22</w:t>
                  </w:r>
                </w:p>
              </w:tc>
            </w:tr>
            <w:tr w:rsidR="00685248" w:rsidTr="00D47B13" w14:paraId="4DE8B7EE" w14:textId="77777777">
              <w:trPr>
                <w:divId w:val="1311248454"/>
                <w:trHeight w:val="394"/>
              </w:trPr>
              <w:tc>
                <w:tcPr>
                  <w:tcW w:w="34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685248" w:rsidP="005F73D4" w:rsidRDefault="00685248" w14:paraId="64552B96" w14:textId="77777777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PVN reverss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685248" w:rsidP="005F73D4" w:rsidRDefault="000975B2" w14:paraId="32760C49" w14:textId="28FD3FA3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145 349,45</w:t>
                  </w:r>
                </w:p>
              </w:tc>
            </w:tr>
            <w:tr w:rsidR="00685248" w:rsidTr="00D47B13" w14:paraId="42FF5F43" w14:textId="77777777">
              <w:trPr>
                <w:divId w:val="1311248454"/>
                <w:trHeight w:val="1351"/>
              </w:trPr>
              <w:tc>
                <w:tcPr>
                  <w:tcW w:w="34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685248" w:rsidP="005F73D4" w:rsidRDefault="00685248" w14:paraId="73E50FB5" w14:textId="77777777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PVN summa, kas nav atskaitāma kā priekšnodoklis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685248" w:rsidP="005F73D4" w:rsidRDefault="000975B2" w14:paraId="35988253" w14:textId="64A6237F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228 030, 67</w:t>
                  </w:r>
                </w:p>
              </w:tc>
            </w:tr>
            <w:tr w:rsidR="000975B2" w:rsidTr="00D47B13" w14:paraId="7F5F5E30" w14:textId="77777777">
              <w:trPr>
                <w:divId w:val="1311248454"/>
                <w:trHeight w:val="236"/>
              </w:trPr>
              <w:tc>
                <w:tcPr>
                  <w:tcW w:w="34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0975B2" w:rsidP="005F73D4" w:rsidRDefault="000975B2" w14:paraId="05E82E1B" w14:textId="77777777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Kopā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="000975B2" w:rsidP="005F73D4" w:rsidRDefault="000975B2" w14:paraId="373D6985" w14:textId="7655EDC3">
                  <w:pPr>
                    <w:framePr w:hSpace="180" w:wrap="around" w:hAnchor="margin" w:vAnchor="text" w:xAlign="center" w:y="14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228 030, 67</w:t>
                  </w:r>
                </w:p>
              </w:tc>
            </w:tr>
          </w:tbl>
          <w:p w:rsidR="00B90538" w:rsidP="00CF08F2" w:rsidRDefault="00B90538" w14:paraId="7AF63314" w14:textId="77777777">
            <w:pPr>
              <w:ind w:firstLine="663"/>
              <w:jc w:val="both"/>
              <w:rPr>
                <w:rFonts w:eastAsia="Calibri"/>
                <w:lang w:eastAsia="en-US"/>
              </w:rPr>
            </w:pPr>
          </w:p>
          <w:p w:rsidR="00556E46" w:rsidP="00854657" w:rsidRDefault="000C2864" w14:paraId="02BBB01D" w14:textId="1F3B0275">
            <w:pPr>
              <w:ind w:right="130"/>
              <w:jc w:val="both"/>
              <w:rPr>
                <w:rFonts w:eastAsia="Calibri"/>
                <w:lang w:eastAsia="en-US"/>
              </w:rPr>
            </w:pPr>
            <w:r w:rsidRPr="00E4789B">
              <w:rPr>
                <w:rFonts w:eastAsia="Calibri"/>
                <w:lang w:eastAsia="en-US"/>
              </w:rPr>
              <w:t xml:space="preserve">Ministrija ir pārbaudījusi </w:t>
            </w:r>
            <w:r w:rsidRPr="00E4789B" w:rsidR="00194D1F">
              <w:rPr>
                <w:rFonts w:eastAsia="Calibri"/>
                <w:lang w:eastAsia="en-US"/>
              </w:rPr>
              <w:t xml:space="preserve">iesniegto informāciju </w:t>
            </w:r>
            <w:r w:rsidRPr="00E4789B">
              <w:rPr>
                <w:rFonts w:eastAsia="Calibri"/>
                <w:lang w:eastAsia="en-US"/>
              </w:rPr>
              <w:t xml:space="preserve">un sagatavojusi atzinumu par </w:t>
            </w:r>
            <w:r w:rsidRPr="006A773F" w:rsidR="00194D1F">
              <w:rPr>
                <w:rFonts w:eastAsia="Calibri"/>
                <w:lang w:eastAsia="en-US"/>
              </w:rPr>
              <w:t xml:space="preserve">veikto PVN maksājumu kompensēšanu no valsts budžeta </w:t>
            </w:r>
            <w:r w:rsidR="000975B2">
              <w:rPr>
                <w:rFonts w:eastAsia="Calibri"/>
                <w:lang w:eastAsia="en-US"/>
              </w:rPr>
              <w:t>228 030,67</w:t>
            </w:r>
            <w:r w:rsidR="00B36B09">
              <w:rPr>
                <w:rFonts w:eastAsia="Calibri"/>
                <w:lang w:eastAsia="en-US"/>
              </w:rPr>
              <w:t xml:space="preserve"> </w:t>
            </w:r>
            <w:r w:rsidRPr="006A773F">
              <w:rPr>
                <w:rFonts w:eastAsia="Calibri"/>
                <w:lang w:eastAsia="en-US"/>
              </w:rPr>
              <w:t>EUR</w:t>
            </w:r>
            <w:r w:rsidRPr="00E4789B">
              <w:rPr>
                <w:rFonts w:eastAsia="Calibri"/>
                <w:lang w:eastAsia="en-US"/>
              </w:rPr>
              <w:t xml:space="preserve"> </w:t>
            </w:r>
            <w:r w:rsidRPr="00E4789B" w:rsidR="00194D1F">
              <w:rPr>
                <w:rFonts w:eastAsia="Calibri"/>
                <w:lang w:eastAsia="en-US"/>
              </w:rPr>
              <w:t>apmērā</w:t>
            </w:r>
            <w:r w:rsidR="005811B5">
              <w:rPr>
                <w:rFonts w:eastAsia="Calibri"/>
                <w:lang w:eastAsia="en-US"/>
              </w:rPr>
              <w:t>.</w:t>
            </w:r>
          </w:p>
          <w:p w:rsidR="00FB61FF" w:rsidP="00854657" w:rsidRDefault="00214A64" w14:paraId="7FD3990D" w14:textId="53A9EFA2">
            <w:pPr>
              <w:ind w:right="13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Noteikumu Nr.218 </w:t>
            </w:r>
            <w:r w:rsidR="0028450A">
              <w:rPr>
                <w:rFonts w:eastAsia="Calibri"/>
                <w:lang w:eastAsia="en-US"/>
              </w:rPr>
              <w:t>4.punkts no</w:t>
            </w:r>
            <w:r w:rsidR="003636F7">
              <w:rPr>
                <w:rFonts w:eastAsia="Calibri"/>
                <w:lang w:eastAsia="en-US"/>
              </w:rPr>
              <w:t>teic</w:t>
            </w:r>
            <w:r w:rsidR="0028450A">
              <w:rPr>
                <w:rFonts w:eastAsia="Calibri"/>
                <w:lang w:eastAsia="en-US"/>
              </w:rPr>
              <w:t xml:space="preserve">, ka Igaunijai un Lietuvai kompensējamo PVN summu Ministrija pārskaita RBR saskaņā ar Igaunijas un Lietuvas izsniegtu autorizāciju, kas pilnvaro RBR saņemt Igaunijai un Lietuvai kompensējamo PVN summu. </w:t>
            </w:r>
            <w:r w:rsidR="00B12CE8">
              <w:rPr>
                <w:rFonts w:eastAsia="Calibri"/>
                <w:lang w:eastAsia="en-US"/>
              </w:rPr>
              <w:t xml:space="preserve">Igaunijas un Lietuvas autorizācija RBR saņemt </w:t>
            </w:r>
            <w:r w:rsidRPr="00790CF1" w:rsidR="00B12CE8">
              <w:rPr>
                <w:rFonts w:eastAsia="Calibri"/>
                <w:lang w:eastAsia="en-US"/>
              </w:rPr>
              <w:t xml:space="preserve">Igaunijai un Lietuvai kompensējamo PVN summu ir </w:t>
            </w:r>
            <w:r w:rsidRPr="00790CF1" w:rsidR="00FB61FF">
              <w:rPr>
                <w:rFonts w:eastAsia="Calibri"/>
                <w:lang w:eastAsia="en-US"/>
              </w:rPr>
              <w:t xml:space="preserve">iestrādāta </w:t>
            </w:r>
            <w:r w:rsidRPr="00790CF1" w:rsidR="000A5FD7">
              <w:rPr>
                <w:rFonts w:eastAsia="Calibri"/>
                <w:lang w:eastAsia="en-US"/>
              </w:rPr>
              <w:t>RBR Starpposma Finansēšanas līgum</w:t>
            </w:r>
            <w:r w:rsidRPr="00790CF1" w:rsidR="00FB61FF">
              <w:rPr>
                <w:rFonts w:eastAsia="Calibri"/>
                <w:lang w:eastAsia="en-US"/>
              </w:rPr>
              <w:t>a</w:t>
            </w:r>
            <w:r w:rsidRPr="00790CF1" w:rsidR="009B59E5">
              <w:rPr>
                <w:rFonts w:eastAsia="Calibri"/>
                <w:lang w:eastAsia="en-US"/>
              </w:rPr>
              <w:t xml:space="preserve"> </w:t>
            </w:r>
            <w:r w:rsidRPr="00790CF1" w:rsidR="000A5FD7">
              <w:rPr>
                <w:rFonts w:eastAsia="Calibri"/>
                <w:lang w:eastAsia="en-US"/>
              </w:rPr>
              <w:t xml:space="preserve">2020. - 2021.gadam </w:t>
            </w:r>
            <w:r w:rsidRPr="00790CF1" w:rsidR="00B12CE8">
              <w:rPr>
                <w:rFonts w:eastAsia="Calibri"/>
                <w:lang w:eastAsia="en-US"/>
              </w:rPr>
              <w:t xml:space="preserve">(turpmāk – Līgums) </w:t>
            </w:r>
            <w:r w:rsidRPr="00790CF1" w:rsidR="00790CF1">
              <w:rPr>
                <w:rFonts w:eastAsia="Calibri"/>
                <w:lang w:eastAsia="en-US"/>
              </w:rPr>
              <w:t xml:space="preserve">projekta </w:t>
            </w:r>
            <w:r w:rsidRPr="00790CF1" w:rsidR="00B12CE8">
              <w:rPr>
                <w:rFonts w:eastAsia="Calibri"/>
                <w:lang w:eastAsia="en-US"/>
              </w:rPr>
              <w:t>2.</w:t>
            </w:r>
            <w:r w:rsidRPr="00790CF1" w:rsidR="00B36B09">
              <w:rPr>
                <w:rFonts w:eastAsia="Calibri"/>
                <w:lang w:eastAsia="en-US"/>
              </w:rPr>
              <w:t>6</w:t>
            </w:r>
            <w:r w:rsidRPr="00790CF1" w:rsidR="00B12CE8">
              <w:rPr>
                <w:rFonts w:eastAsia="Calibri"/>
                <w:lang w:eastAsia="en-US"/>
              </w:rPr>
              <w:t>.</w:t>
            </w:r>
            <w:r w:rsidRPr="00790CF1" w:rsidR="00B36B09">
              <w:rPr>
                <w:rFonts w:eastAsia="Calibri"/>
                <w:lang w:eastAsia="en-US"/>
              </w:rPr>
              <w:t>2</w:t>
            </w:r>
            <w:r w:rsidRPr="00790CF1" w:rsidR="00B12CE8">
              <w:rPr>
                <w:rFonts w:eastAsia="Calibri"/>
                <w:lang w:eastAsia="en-US"/>
              </w:rPr>
              <w:t>.</w:t>
            </w:r>
            <w:r w:rsidRPr="00790CF1" w:rsidR="009B59E5">
              <w:rPr>
                <w:rFonts w:eastAsia="Calibri"/>
                <w:color w:val="000000" w:themeColor="text1"/>
                <w:lang w:eastAsia="en-US"/>
              </w:rPr>
              <w:t>apakš</w:t>
            </w:r>
            <w:r w:rsidRPr="00790CF1" w:rsidR="00B12CE8">
              <w:rPr>
                <w:rFonts w:eastAsia="Calibri"/>
                <w:color w:val="000000" w:themeColor="text1"/>
                <w:lang w:eastAsia="en-US"/>
              </w:rPr>
              <w:t>punkt</w:t>
            </w:r>
            <w:r w:rsidRPr="00790CF1" w:rsidR="00FB61FF">
              <w:rPr>
                <w:rFonts w:eastAsia="Calibri"/>
                <w:color w:val="000000" w:themeColor="text1"/>
                <w:lang w:eastAsia="en-US"/>
              </w:rPr>
              <w:t>ā</w:t>
            </w:r>
            <w:r w:rsidRPr="00790CF1" w:rsidR="00CD4F77">
              <w:rPr>
                <w:rFonts w:eastAsia="Calibri"/>
                <w:lang w:eastAsia="en-US"/>
              </w:rPr>
              <w:t xml:space="preserve">. </w:t>
            </w:r>
            <w:r w:rsidRPr="00790CF1" w:rsidR="00B12CE8">
              <w:rPr>
                <w:rFonts w:eastAsia="Calibri"/>
                <w:lang w:eastAsia="en-US"/>
              </w:rPr>
              <w:t xml:space="preserve">Līguma </w:t>
            </w:r>
            <w:r w:rsidRPr="00790CF1" w:rsidR="00421D08">
              <w:rPr>
                <w:rFonts w:eastAsia="Calibri"/>
                <w:lang w:eastAsia="en-US"/>
              </w:rPr>
              <w:t>projekta</w:t>
            </w:r>
            <w:r w:rsidR="00421D08">
              <w:rPr>
                <w:rFonts w:eastAsia="Calibri"/>
                <w:lang w:eastAsia="en-US"/>
              </w:rPr>
              <w:t xml:space="preserve"> </w:t>
            </w:r>
            <w:r w:rsidR="00B12CE8">
              <w:rPr>
                <w:rFonts w:eastAsia="Calibri"/>
                <w:lang w:eastAsia="en-US"/>
              </w:rPr>
              <w:t>2.</w:t>
            </w:r>
            <w:r w:rsidR="00B36B09">
              <w:rPr>
                <w:rFonts w:eastAsia="Calibri"/>
                <w:lang w:eastAsia="en-US"/>
              </w:rPr>
              <w:t>6.1</w:t>
            </w:r>
            <w:r w:rsidR="00B12CE8">
              <w:rPr>
                <w:rFonts w:eastAsia="Calibri"/>
                <w:lang w:eastAsia="en-US"/>
              </w:rPr>
              <w:t>.</w:t>
            </w:r>
            <w:r w:rsidR="009B59E5">
              <w:rPr>
                <w:rFonts w:eastAsia="Calibri"/>
                <w:lang w:eastAsia="en-US"/>
              </w:rPr>
              <w:t>apakš</w:t>
            </w:r>
            <w:r w:rsidR="00B12CE8">
              <w:rPr>
                <w:rFonts w:eastAsia="Calibri"/>
                <w:lang w:eastAsia="en-US"/>
              </w:rPr>
              <w:t xml:space="preserve">punkts </w:t>
            </w:r>
            <w:r w:rsidR="000A5FD7">
              <w:rPr>
                <w:rFonts w:eastAsia="Calibri"/>
                <w:lang w:eastAsia="en-US"/>
              </w:rPr>
              <w:t>paredz</w:t>
            </w:r>
            <w:r w:rsidR="00471595">
              <w:rPr>
                <w:rFonts w:eastAsia="Calibri"/>
                <w:lang w:eastAsia="en-US"/>
              </w:rPr>
              <w:t>, ka PVN maksājumiem Latvijas Republikā reģistrētiem nodokļu maksātājiem RBR izmanto pašu kapitālu, kuru vienādās daļ</w:t>
            </w:r>
            <w:r w:rsidR="0081583E">
              <w:rPr>
                <w:rFonts w:eastAsia="Calibri"/>
                <w:lang w:eastAsia="en-US"/>
              </w:rPr>
              <w:t>ā</w:t>
            </w:r>
            <w:r w:rsidR="00471595">
              <w:rPr>
                <w:rFonts w:eastAsia="Calibri"/>
                <w:lang w:eastAsia="en-US"/>
              </w:rPr>
              <w:t>s ir finansējusi Igaunija, Latvija un Lietuva</w:t>
            </w:r>
            <w:r w:rsidR="00B12CE8">
              <w:rPr>
                <w:rFonts w:eastAsia="Calibri"/>
                <w:lang w:eastAsia="en-US"/>
              </w:rPr>
              <w:t xml:space="preserve">. </w:t>
            </w:r>
            <w:r w:rsidR="00556E46">
              <w:rPr>
                <w:rFonts w:eastAsia="Calibri"/>
                <w:lang w:eastAsia="en-US"/>
              </w:rPr>
              <w:t xml:space="preserve">Lai izpildītu </w:t>
            </w:r>
            <w:r w:rsidR="008C111F">
              <w:rPr>
                <w:rFonts w:eastAsia="Calibri"/>
                <w:lang w:eastAsia="en-US"/>
              </w:rPr>
              <w:t xml:space="preserve">RBR </w:t>
            </w:r>
            <w:r w:rsidR="00556E46">
              <w:rPr>
                <w:rFonts w:eastAsia="Calibri"/>
                <w:lang w:eastAsia="en-US"/>
              </w:rPr>
              <w:t>Akcionāru līguma 4.3.</w:t>
            </w:r>
            <w:r w:rsidRPr="004D30EC" w:rsidR="009B59E5">
              <w:rPr>
                <w:rFonts w:eastAsia="Calibri"/>
                <w:color w:val="000000" w:themeColor="text1"/>
                <w:lang w:eastAsia="en-US"/>
              </w:rPr>
              <w:t>apakš</w:t>
            </w:r>
            <w:r w:rsidR="00556E46">
              <w:rPr>
                <w:rFonts w:eastAsia="Calibri"/>
                <w:lang w:eastAsia="en-US"/>
              </w:rPr>
              <w:t>punktu, kas no</w:t>
            </w:r>
            <w:r w:rsidR="00837418">
              <w:rPr>
                <w:rFonts w:eastAsia="Calibri"/>
                <w:lang w:eastAsia="en-US"/>
              </w:rPr>
              <w:t>teic</w:t>
            </w:r>
            <w:r w:rsidR="00556E46">
              <w:rPr>
                <w:rFonts w:eastAsia="Calibri"/>
                <w:lang w:eastAsia="en-US"/>
              </w:rPr>
              <w:t>, ka katra akcionāra daļa ir 33.33%</w:t>
            </w:r>
            <w:r w:rsidR="00837418">
              <w:rPr>
                <w:rFonts w:eastAsia="Calibri"/>
                <w:lang w:eastAsia="en-US"/>
              </w:rPr>
              <w:t>,</w:t>
            </w:r>
            <w:r w:rsidR="00556E46">
              <w:rPr>
                <w:rFonts w:eastAsia="Calibri"/>
                <w:lang w:eastAsia="en-US"/>
              </w:rPr>
              <w:t xml:space="preserve"> un 4.6.</w:t>
            </w:r>
            <w:r w:rsidR="004D30EC">
              <w:rPr>
                <w:rFonts w:eastAsia="Calibri"/>
                <w:lang w:eastAsia="en-US"/>
              </w:rPr>
              <w:t>apakš</w:t>
            </w:r>
            <w:r w:rsidR="00556E46">
              <w:rPr>
                <w:rFonts w:eastAsia="Calibri"/>
                <w:lang w:eastAsia="en-US"/>
              </w:rPr>
              <w:t>punktu, kas no</w:t>
            </w:r>
            <w:r w:rsidR="009B59E5">
              <w:rPr>
                <w:rFonts w:eastAsia="Calibri"/>
                <w:lang w:eastAsia="en-US"/>
              </w:rPr>
              <w:t>teic</w:t>
            </w:r>
            <w:r w:rsidR="0028450A">
              <w:rPr>
                <w:rFonts w:eastAsia="Calibri"/>
                <w:lang w:eastAsia="en-US"/>
              </w:rPr>
              <w:t xml:space="preserve">, ka akciju proporcionalitātei ir jāsaglabājas, arī </w:t>
            </w:r>
            <w:r w:rsidR="00B12CE8">
              <w:rPr>
                <w:rFonts w:eastAsia="Calibri"/>
                <w:lang w:eastAsia="en-US"/>
              </w:rPr>
              <w:t xml:space="preserve">PVN maksājumiem </w:t>
            </w:r>
            <w:r w:rsidR="0028450A">
              <w:rPr>
                <w:rFonts w:eastAsia="Calibri"/>
                <w:lang w:eastAsia="en-US"/>
              </w:rPr>
              <w:t>izmantotās Latvijas iemaksas RBR kapitālā ir atgriežamas RBR.</w:t>
            </w:r>
            <w:r w:rsidR="00E4789B">
              <w:rPr>
                <w:rFonts w:eastAsia="Calibri"/>
                <w:lang w:eastAsia="en-US"/>
              </w:rPr>
              <w:t xml:space="preserve"> </w:t>
            </w:r>
            <w:r w:rsidR="00B90538">
              <w:rPr>
                <w:rFonts w:eastAsia="Calibri"/>
                <w:lang w:eastAsia="en-US"/>
              </w:rPr>
              <w:t xml:space="preserve">Tā kā apropriācijas pārdale tiek veikta pirms Līguma parakstīšanas, Ministrija ir saņēmusi Igaunijas un Lietuvas autorizāciju kompensējamās PVN summas pārskaitīšanai RBR. </w:t>
            </w:r>
          </w:p>
          <w:p w:rsidRPr="00854657" w:rsidR="00482BB3" w:rsidP="00854657" w:rsidRDefault="00FB61FF" w14:paraId="05C4449F" w14:textId="5F008A17">
            <w:pPr>
              <w:ind w:right="13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Igaunija un Lietuva </w:t>
            </w:r>
            <w:r w:rsidR="00832FEE">
              <w:rPr>
                <w:rFonts w:eastAsia="Calibri"/>
                <w:lang w:eastAsia="en-US"/>
              </w:rPr>
              <w:t>PVN summas, kas nav atgūstamas kā priekšnodoklis un kuras RBR plāno maksāt Igaunijā un Lietuvā reģistrētiem PVN maksātājiem, RBR kompensē avansa maksājumu veidā</w:t>
            </w:r>
            <w:r w:rsidR="005811B5">
              <w:rPr>
                <w:rFonts w:eastAsia="Calibri"/>
                <w:lang w:eastAsia="en-US"/>
              </w:rPr>
              <w:t>, attiecīgi 2020.gadā katra iemaksājot 135 806 EUR.</w:t>
            </w:r>
            <w:r w:rsidR="00421D08">
              <w:rPr>
                <w:rFonts w:eastAsia="Calibri"/>
                <w:lang w:eastAsia="en-US"/>
              </w:rPr>
              <w:t xml:space="preserve"> Pārrēķini par faktiski samaksāto PVN katras valsts PVN maksātājiem tiek veikti reizi gadā</w:t>
            </w:r>
            <w:r w:rsidR="008C111F">
              <w:rPr>
                <w:rFonts w:eastAsia="Calibri"/>
                <w:lang w:eastAsia="en-US"/>
              </w:rPr>
              <w:t>,</w:t>
            </w:r>
            <w:r w:rsidR="00421D08">
              <w:rPr>
                <w:rFonts w:eastAsia="Calibri"/>
                <w:lang w:eastAsia="en-US"/>
              </w:rPr>
              <w:t xml:space="preserve"> attiecīgi palielinot vai samazinot </w:t>
            </w:r>
            <w:r w:rsidR="008C111F">
              <w:rPr>
                <w:rFonts w:eastAsia="Calibri"/>
                <w:lang w:eastAsia="en-US"/>
              </w:rPr>
              <w:t xml:space="preserve">nākamā </w:t>
            </w:r>
            <w:r w:rsidR="00421D08">
              <w:rPr>
                <w:rFonts w:eastAsia="Calibri"/>
                <w:lang w:eastAsia="en-US"/>
              </w:rPr>
              <w:t>finanšu gada avans</w:t>
            </w:r>
            <w:r w:rsidR="00F904B8">
              <w:rPr>
                <w:rFonts w:eastAsia="Calibri"/>
                <w:lang w:eastAsia="en-US"/>
              </w:rPr>
              <w:t>u PVN</w:t>
            </w:r>
            <w:r w:rsidR="00421D08">
              <w:rPr>
                <w:rFonts w:eastAsia="Calibri"/>
                <w:lang w:eastAsia="en-US"/>
              </w:rPr>
              <w:t xml:space="preserve"> maksājum</w:t>
            </w:r>
            <w:r w:rsidR="00F904B8">
              <w:rPr>
                <w:rFonts w:eastAsia="Calibri"/>
                <w:lang w:eastAsia="en-US"/>
              </w:rPr>
              <w:t>iem</w:t>
            </w:r>
            <w:r w:rsidR="00421D08">
              <w:rPr>
                <w:rFonts w:eastAsia="Calibri"/>
                <w:lang w:eastAsia="en-US"/>
              </w:rPr>
              <w:t>.</w:t>
            </w:r>
          </w:p>
        </w:tc>
      </w:tr>
      <w:tr w:rsidRPr="00265EEE" w:rsidR="00551A0F" w:rsidTr="002259BB" w14:paraId="3EFFF5B8" w14:textId="77777777">
        <w:trPr>
          <w:trHeight w:val="476"/>
        </w:trPr>
        <w:tc>
          <w:tcPr>
            <w:tcW w:w="237" w:type="pct"/>
          </w:tcPr>
          <w:p w:rsidRPr="00265EEE" w:rsidR="00551A0F" w:rsidP="00017065" w:rsidRDefault="00551A0F" w14:paraId="0C116C14" w14:textId="7777777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265EEE">
              <w:lastRenderedPageBreak/>
              <w:t>3.</w:t>
            </w:r>
          </w:p>
        </w:tc>
        <w:tc>
          <w:tcPr>
            <w:tcW w:w="1504" w:type="pct"/>
          </w:tcPr>
          <w:p w:rsidRPr="00265EEE" w:rsidR="00551A0F" w:rsidP="00017065" w:rsidRDefault="00551A0F" w14:paraId="136BEEE5" w14:textId="4CCDD9C0">
            <w:pPr>
              <w:pStyle w:val="naiskr"/>
              <w:spacing w:before="0" w:beforeAutospacing="0" w:after="0" w:afterAutospacing="0"/>
              <w:ind w:left="57" w:right="57"/>
            </w:pPr>
            <w:r w:rsidRPr="009B59E5">
              <w:rPr>
                <w:color w:val="000000" w:themeColor="text1"/>
              </w:rPr>
              <w:t>Projekta izstrādē iesaistītās institūcijas</w:t>
            </w:r>
            <w:r w:rsidRPr="009B59E5" w:rsidR="00BA0D43">
              <w:rPr>
                <w:iCs/>
                <w:color w:val="000000" w:themeColor="text1"/>
              </w:rPr>
              <w:t xml:space="preserve"> </w:t>
            </w:r>
            <w:r w:rsidRPr="009B59E5" w:rsidR="008C111F">
              <w:rPr>
                <w:iCs/>
                <w:color w:val="000000" w:themeColor="text1"/>
              </w:rPr>
              <w:t>un publiskas personas kapitālsabiedrības</w:t>
            </w:r>
          </w:p>
        </w:tc>
        <w:tc>
          <w:tcPr>
            <w:tcW w:w="3257" w:type="pct"/>
          </w:tcPr>
          <w:p w:rsidRPr="00265EEE" w:rsidR="00EE39A4" w:rsidP="004B4548" w:rsidRDefault="00D47D98" w14:paraId="772419D5" w14:textId="5698B995">
            <w:pPr>
              <w:ind w:left="57" w:right="57"/>
              <w:jc w:val="both"/>
            </w:pPr>
            <w:r w:rsidRPr="00265EEE">
              <w:t>Satiksmes ministrija</w:t>
            </w:r>
            <w:r w:rsidR="004B4548">
              <w:t>.</w:t>
            </w:r>
          </w:p>
        </w:tc>
      </w:tr>
      <w:tr w:rsidRPr="00265EEE" w:rsidR="00551A0F" w:rsidTr="002259BB" w14:paraId="2A351EFD" w14:textId="77777777">
        <w:tc>
          <w:tcPr>
            <w:tcW w:w="237" w:type="pct"/>
          </w:tcPr>
          <w:p w:rsidRPr="00265EEE" w:rsidR="00551A0F" w:rsidP="00017065" w:rsidRDefault="00551A0F" w14:paraId="7C8258B3" w14:textId="7777777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265EEE">
              <w:t>4.</w:t>
            </w:r>
          </w:p>
        </w:tc>
        <w:tc>
          <w:tcPr>
            <w:tcW w:w="1504" w:type="pct"/>
          </w:tcPr>
          <w:p w:rsidRPr="00265EEE" w:rsidR="00551A0F" w:rsidP="00017065" w:rsidRDefault="00551A0F" w14:paraId="2F91C875" w14:textId="77777777">
            <w:pPr>
              <w:pStyle w:val="naiskr"/>
              <w:spacing w:before="0" w:beforeAutospacing="0" w:after="0" w:afterAutospacing="0"/>
              <w:ind w:left="57" w:right="57"/>
            </w:pPr>
            <w:r w:rsidRPr="00265EEE">
              <w:t>Cita informācija</w:t>
            </w:r>
          </w:p>
        </w:tc>
        <w:tc>
          <w:tcPr>
            <w:tcW w:w="3257" w:type="pct"/>
          </w:tcPr>
          <w:p w:rsidRPr="00265EEE" w:rsidR="00551A0F" w:rsidP="00EA4942" w:rsidRDefault="00D47D98" w14:paraId="06C40D0B" w14:textId="77777777">
            <w:pPr>
              <w:pStyle w:val="NormalWeb"/>
              <w:spacing w:before="0" w:after="0"/>
              <w:ind w:right="13"/>
              <w:jc w:val="both"/>
            </w:pPr>
            <w:r w:rsidRPr="00265EEE">
              <w:t>Nav.</w:t>
            </w:r>
          </w:p>
        </w:tc>
      </w:tr>
    </w:tbl>
    <w:p w:rsidRPr="00BB3200" w:rsidR="002847B9" w:rsidP="00665649" w:rsidRDefault="002847B9" w14:paraId="52F28808" w14:textId="77777777">
      <w:pPr>
        <w:ind w:firstLine="720"/>
      </w:pPr>
    </w:p>
    <w:tbl>
      <w:tblPr>
        <w:tblpPr w:leftFromText="180" w:rightFromText="180" w:vertAnchor="text" w:horzAnchor="margin" w:tblpXSpec="center" w:tblpY="119"/>
        <w:tblW w:w="9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766"/>
        <w:gridCol w:w="5880"/>
      </w:tblGrid>
      <w:tr w:rsidRPr="00265EEE" w:rsidR="00551A0F" w:rsidTr="006243B1" w14:paraId="26A3911B" w14:textId="77777777">
        <w:trPr>
          <w:trHeight w:val="556"/>
        </w:trPr>
        <w:tc>
          <w:tcPr>
            <w:tcW w:w="9077" w:type="dxa"/>
            <w:gridSpan w:val="3"/>
            <w:vAlign w:val="center"/>
          </w:tcPr>
          <w:p w:rsidRPr="00265EEE" w:rsidR="00551A0F" w:rsidP="00017065" w:rsidRDefault="00551A0F" w14:paraId="3D59769E" w14:textId="7777777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265EEE">
              <w:rPr>
                <w:b/>
              </w:rPr>
              <w:t>II. Tiesību akta projekta ietekme uz sabiedrību, tautsaimniecības attīstību</w:t>
            </w:r>
          </w:p>
          <w:p w:rsidRPr="00265EEE" w:rsidR="00551A0F" w:rsidP="00017065" w:rsidRDefault="00551A0F" w14:paraId="2C2871D4" w14:textId="7777777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265EEE">
              <w:rPr>
                <w:b/>
              </w:rPr>
              <w:t>un administratīvo slogu</w:t>
            </w:r>
          </w:p>
        </w:tc>
      </w:tr>
      <w:tr w:rsidRPr="00265EEE" w:rsidR="00551A0F" w:rsidTr="006243B1" w14:paraId="38AC62C3" w14:textId="77777777">
        <w:trPr>
          <w:trHeight w:val="467"/>
        </w:trPr>
        <w:tc>
          <w:tcPr>
            <w:tcW w:w="431" w:type="dxa"/>
          </w:tcPr>
          <w:p w:rsidRPr="00265EEE" w:rsidR="00551A0F" w:rsidP="00017065" w:rsidRDefault="00551A0F" w14:paraId="6C029066" w14:textId="7777777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265EEE">
              <w:t>1.</w:t>
            </w:r>
          </w:p>
        </w:tc>
        <w:tc>
          <w:tcPr>
            <w:tcW w:w="2766" w:type="dxa"/>
          </w:tcPr>
          <w:p w:rsidRPr="00265EEE" w:rsidR="00551A0F" w:rsidP="00017065" w:rsidRDefault="00551A0F" w14:paraId="396A7FDB" w14:textId="77777777">
            <w:pPr>
              <w:pStyle w:val="naiskr"/>
              <w:spacing w:before="0" w:beforeAutospacing="0" w:after="0" w:afterAutospacing="0"/>
              <w:ind w:left="57" w:right="57"/>
            </w:pPr>
            <w:r w:rsidRPr="00265EEE">
              <w:t>Sabiedrības mērķgrupas, kuras tiesiskais regulējums ietekmē vai varētu ietekmēt</w:t>
            </w:r>
          </w:p>
        </w:tc>
        <w:tc>
          <w:tcPr>
            <w:tcW w:w="5880" w:type="dxa"/>
          </w:tcPr>
          <w:p w:rsidR="001211A0" w:rsidP="006243B1" w:rsidRDefault="009B59E5" w14:paraId="19788F06" w14:textId="72AB0046">
            <w:pPr>
              <w:shd w:val="clear" w:color="auto" w:fill="FFFFFF"/>
              <w:ind w:right="57"/>
              <w:jc w:val="both"/>
            </w:pPr>
            <w:bookmarkStart w:name="p21" w:id="0"/>
            <w:bookmarkEnd w:id="0"/>
            <w:r>
              <w:t>Rīkojuma projekts</w:t>
            </w:r>
            <w:r w:rsidR="004B4548">
              <w:t xml:space="preserve"> ietekmē RBR</w:t>
            </w:r>
            <w:r w:rsidR="00376DA9">
              <w:t xml:space="preserve">, jo </w:t>
            </w:r>
            <w:r w:rsidR="00046659">
              <w:t>no</w:t>
            </w:r>
            <w:r w:rsidR="00376DA9">
              <w:t xml:space="preserve"> PVN kompensēšanas </w:t>
            </w:r>
            <w:r w:rsidR="00046659">
              <w:t xml:space="preserve">ir atkarīga stabila </w:t>
            </w:r>
            <w:r w:rsidR="00376DA9">
              <w:t xml:space="preserve">RBR </w:t>
            </w:r>
            <w:r w:rsidR="00046659">
              <w:t>finanšu plūsma un saimnieciskā darbība.</w:t>
            </w:r>
          </w:p>
          <w:p w:rsidRPr="00265EEE" w:rsidR="0042239C" w:rsidP="006243B1" w:rsidRDefault="009B59E5" w14:paraId="45B7D67D" w14:textId="45DA730F">
            <w:pPr>
              <w:shd w:val="clear" w:color="auto" w:fill="FFFFFF"/>
              <w:ind w:right="57"/>
              <w:jc w:val="both"/>
            </w:pPr>
            <w:r>
              <w:t>Rīkojuma projekts</w:t>
            </w:r>
            <w:r w:rsidR="001211A0">
              <w:t xml:space="preserve"> n</w:t>
            </w:r>
            <w:r w:rsidR="00376DA9">
              <w:t xml:space="preserve">etieši ietekmē jebkuru cilvēku, kurš nākotnē varētu izmantot Rail Baltica </w:t>
            </w:r>
            <w:r w:rsidR="00512CF6">
              <w:t>dzelzceļa līniju</w:t>
            </w:r>
            <w:r w:rsidR="00376DA9">
              <w:t>, jo bez PVN kompens</w:t>
            </w:r>
            <w:r w:rsidR="00F904B8">
              <w:t>ācijas</w:t>
            </w:r>
            <w:r w:rsidR="00376DA9">
              <w:t xml:space="preserve"> RBR</w:t>
            </w:r>
            <w:r w:rsidR="001211A0">
              <w:t xml:space="preserve"> nevarēs funkcionēt, </w:t>
            </w:r>
            <w:r w:rsidR="00607541">
              <w:t xml:space="preserve">kā rezultātā netiks </w:t>
            </w:r>
            <w:r w:rsidR="00376DA9">
              <w:t>izveidota Rail Baltica infrastruktūra.</w:t>
            </w:r>
          </w:p>
        </w:tc>
      </w:tr>
      <w:tr w:rsidRPr="00265EEE" w:rsidR="00607541" w:rsidTr="00BB3200" w14:paraId="1E912B55" w14:textId="77777777">
        <w:trPr>
          <w:trHeight w:val="274"/>
        </w:trPr>
        <w:tc>
          <w:tcPr>
            <w:tcW w:w="431" w:type="dxa"/>
          </w:tcPr>
          <w:p w:rsidRPr="00265EEE" w:rsidR="00607541" w:rsidP="00607541" w:rsidRDefault="00607541" w14:paraId="48559527" w14:textId="7777777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265EEE">
              <w:t>2.</w:t>
            </w:r>
          </w:p>
        </w:tc>
        <w:tc>
          <w:tcPr>
            <w:tcW w:w="2766" w:type="dxa"/>
          </w:tcPr>
          <w:p w:rsidRPr="00265EEE" w:rsidR="00607541" w:rsidP="00607541" w:rsidRDefault="00607541" w14:paraId="1647C97E" w14:textId="77777777">
            <w:pPr>
              <w:pStyle w:val="naiskr"/>
              <w:spacing w:before="0" w:beforeAutospacing="0" w:after="0" w:afterAutospacing="0"/>
              <w:ind w:left="57" w:right="57"/>
            </w:pPr>
            <w:r w:rsidRPr="00265EEE">
              <w:t>Tiesiskā regulējuma ietekme uz tautsaimniecību un administratīvo slogu</w:t>
            </w:r>
          </w:p>
        </w:tc>
        <w:tc>
          <w:tcPr>
            <w:tcW w:w="5880" w:type="dxa"/>
          </w:tcPr>
          <w:p w:rsidRPr="00265EEE" w:rsidR="00607541" w:rsidP="0016067D" w:rsidRDefault="00607541" w14:paraId="5B09B5D2" w14:textId="0BE1B213">
            <w:pPr>
              <w:shd w:val="clear" w:color="auto" w:fill="FFFFFF"/>
              <w:ind w:right="57"/>
              <w:jc w:val="both"/>
            </w:pPr>
            <w:r w:rsidRPr="008C111F">
              <w:t>Rīkojuma projekta tiesiskais regulējums nākotnē varētu ietekmēt tautsaimniecību kā valsts saimniecības nozari, jo</w:t>
            </w:r>
            <w:r w:rsidR="008C111F">
              <w:t>,</w:t>
            </w:r>
            <w:r w:rsidRPr="008C111F">
              <w:t xml:space="preserve"> plānojot un īstenojot Rail Baltica projektu</w:t>
            </w:r>
            <w:r w:rsidR="008C111F">
              <w:t>,</w:t>
            </w:r>
            <w:r w:rsidRPr="008C111F">
              <w:t xml:space="preserve"> tiek veidota tautsaimniecības vajadzībām, stabilas satiksmes interesēm, kā arī vides aizsardzības </w:t>
            </w:r>
            <w:r w:rsidRPr="00214A64">
              <w:t>prasībām atbilstoša infrastruktūra.</w:t>
            </w:r>
            <w:r w:rsidRPr="00A17421">
              <w:rPr>
                <w:iCs/>
              </w:rPr>
              <w:t xml:space="preserve"> </w:t>
            </w:r>
          </w:p>
        </w:tc>
      </w:tr>
      <w:tr w:rsidRPr="00265EEE" w:rsidR="00607541" w:rsidTr="006243B1" w14:paraId="5D06EFE6" w14:textId="77777777">
        <w:trPr>
          <w:trHeight w:val="523"/>
        </w:trPr>
        <w:tc>
          <w:tcPr>
            <w:tcW w:w="431" w:type="dxa"/>
          </w:tcPr>
          <w:p w:rsidRPr="00265EEE" w:rsidR="00607541" w:rsidP="00607541" w:rsidRDefault="00607541" w14:paraId="423820E3" w14:textId="7777777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265EEE">
              <w:t>3.</w:t>
            </w:r>
          </w:p>
        </w:tc>
        <w:tc>
          <w:tcPr>
            <w:tcW w:w="2766" w:type="dxa"/>
          </w:tcPr>
          <w:p w:rsidRPr="00265EEE" w:rsidR="00607541" w:rsidP="00607541" w:rsidRDefault="00607541" w14:paraId="7E528977" w14:textId="77777777">
            <w:pPr>
              <w:pStyle w:val="naiskr"/>
              <w:spacing w:before="0" w:beforeAutospacing="0" w:after="0" w:afterAutospacing="0"/>
              <w:ind w:left="57" w:right="57"/>
            </w:pPr>
            <w:r w:rsidRPr="00265EEE">
              <w:t>Administratīvo izmaksu monetārs novērtējums</w:t>
            </w:r>
          </w:p>
        </w:tc>
        <w:tc>
          <w:tcPr>
            <w:tcW w:w="5880" w:type="dxa"/>
          </w:tcPr>
          <w:p w:rsidRPr="00265EEE" w:rsidR="00607541" w:rsidP="00607541" w:rsidRDefault="00607541" w14:paraId="3F7094BD" w14:textId="417C393D">
            <w:pPr>
              <w:shd w:val="clear" w:color="auto" w:fill="FFFFFF"/>
              <w:ind w:left="57" w:right="57"/>
              <w:jc w:val="both"/>
            </w:pPr>
            <w:r w:rsidRPr="00A17421">
              <w:t>Rīkojuma projekts neparedz jaunas administratīvās izmaksas</w:t>
            </w:r>
            <w:r w:rsidRPr="00265EEE">
              <w:t>.</w:t>
            </w:r>
          </w:p>
        </w:tc>
      </w:tr>
      <w:tr w:rsidRPr="00265EEE" w:rsidR="00607541" w:rsidTr="006243B1" w14:paraId="78BE4C30" w14:textId="77777777">
        <w:trPr>
          <w:trHeight w:val="523"/>
        </w:trPr>
        <w:tc>
          <w:tcPr>
            <w:tcW w:w="431" w:type="dxa"/>
          </w:tcPr>
          <w:p w:rsidRPr="00265EEE" w:rsidR="00607541" w:rsidP="00607541" w:rsidRDefault="00607541" w14:paraId="6E2E3134" w14:textId="7777777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4.</w:t>
            </w:r>
          </w:p>
        </w:tc>
        <w:tc>
          <w:tcPr>
            <w:tcW w:w="2766" w:type="dxa"/>
          </w:tcPr>
          <w:p w:rsidRPr="006243B1" w:rsidR="00607541" w:rsidP="00607541" w:rsidRDefault="00607541" w14:paraId="7D22923F" w14:textId="77777777">
            <w:pPr>
              <w:pStyle w:val="naiskr"/>
              <w:spacing w:before="0" w:beforeAutospacing="0" w:after="0" w:afterAutospacing="0"/>
              <w:ind w:left="57" w:right="57"/>
            </w:pPr>
            <w:r w:rsidRPr="006243B1">
              <w:rPr>
                <w:iCs/>
              </w:rPr>
              <w:t>Atbilstības izmaksu monetārs novērtējums</w:t>
            </w:r>
          </w:p>
        </w:tc>
        <w:tc>
          <w:tcPr>
            <w:tcW w:w="5880" w:type="dxa"/>
          </w:tcPr>
          <w:p w:rsidRPr="00265EEE" w:rsidR="00607541" w:rsidP="00607541" w:rsidRDefault="00607541" w14:paraId="32516C8E" w14:textId="2AA9691A">
            <w:pPr>
              <w:shd w:val="clear" w:color="auto" w:fill="FFFFFF"/>
              <w:ind w:left="57" w:right="57"/>
              <w:jc w:val="both"/>
              <w:rPr>
                <w:bCs/>
                <w:iCs/>
              </w:rPr>
            </w:pPr>
            <w:r w:rsidRPr="00A17421">
              <w:rPr>
                <w:iCs/>
              </w:rPr>
              <w:t>Projekts šo jomu neskar. Tiesiskais regulējums atbilstības izmaksas nerada.</w:t>
            </w:r>
          </w:p>
        </w:tc>
      </w:tr>
      <w:tr w:rsidRPr="00265EEE" w:rsidR="00607541" w:rsidTr="00BB3200" w14:paraId="72F3F0F7" w14:textId="77777777">
        <w:trPr>
          <w:trHeight w:val="285"/>
        </w:trPr>
        <w:tc>
          <w:tcPr>
            <w:tcW w:w="431" w:type="dxa"/>
          </w:tcPr>
          <w:p w:rsidRPr="00265EEE" w:rsidR="00607541" w:rsidP="00607541" w:rsidRDefault="00607541" w14:paraId="377DCE04" w14:textId="7777777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>
              <w:t>5</w:t>
            </w:r>
            <w:r w:rsidRPr="00265EEE">
              <w:t>.</w:t>
            </w:r>
          </w:p>
        </w:tc>
        <w:tc>
          <w:tcPr>
            <w:tcW w:w="2766" w:type="dxa"/>
          </w:tcPr>
          <w:p w:rsidRPr="00265EEE" w:rsidR="00607541" w:rsidP="00607541" w:rsidRDefault="00607541" w14:paraId="70553D9A" w14:textId="77777777">
            <w:pPr>
              <w:pStyle w:val="naiskr"/>
              <w:spacing w:before="0" w:beforeAutospacing="0" w:after="0" w:afterAutospacing="0"/>
              <w:ind w:left="57" w:right="57"/>
            </w:pPr>
            <w:r w:rsidRPr="00265EEE">
              <w:t>Cita informācija</w:t>
            </w:r>
          </w:p>
        </w:tc>
        <w:tc>
          <w:tcPr>
            <w:tcW w:w="5880" w:type="dxa"/>
          </w:tcPr>
          <w:p w:rsidRPr="00265EEE" w:rsidR="00607541" w:rsidP="00607541" w:rsidRDefault="00607541" w14:paraId="11292819" w14:textId="77777777">
            <w:pPr>
              <w:shd w:val="clear" w:color="auto" w:fill="FFFFFF"/>
              <w:ind w:left="57" w:right="57"/>
            </w:pPr>
            <w:r w:rsidRPr="00265EEE">
              <w:t>Nav.</w:t>
            </w:r>
          </w:p>
        </w:tc>
      </w:tr>
    </w:tbl>
    <w:p w:rsidR="00D63E48" w:rsidP="00551A0F" w:rsidRDefault="00D63E48" w14:paraId="08CF82CE" w14:textId="77777777"/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917"/>
        <w:gridCol w:w="1276"/>
        <w:gridCol w:w="708"/>
        <w:gridCol w:w="1418"/>
        <w:gridCol w:w="850"/>
        <w:gridCol w:w="1276"/>
        <w:gridCol w:w="850"/>
      </w:tblGrid>
      <w:tr w:rsidRPr="00821079" w:rsidR="00D63E48" w:rsidTr="00D63E48" w14:paraId="51974F1B" w14:textId="77777777">
        <w:trPr>
          <w:trHeight w:val="212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818AA" w:rsidR="00D63E48" w:rsidP="006E267F" w:rsidRDefault="00D63E48" w14:paraId="2EE9921E" w14:textId="77777777">
            <w:pPr>
              <w:jc w:val="center"/>
              <w:rPr>
                <w:b/>
                <w:bCs/>
              </w:rPr>
            </w:pPr>
            <w:r w:rsidRPr="002818AA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Pr="00825345" w:rsidR="00D63E48" w:rsidTr="00D63E48" w14:paraId="4B298B52" w14:textId="77777777">
        <w:trPr>
          <w:trHeight w:val="300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42C9C" w:rsidR="00D63E48" w:rsidP="006E267F" w:rsidRDefault="00D63E48" w14:paraId="34C2A037" w14:textId="77777777">
            <w:pPr>
              <w:jc w:val="center"/>
              <w:rPr>
                <w:bCs/>
                <w:sz w:val="22"/>
              </w:rPr>
            </w:pPr>
            <w:r w:rsidRPr="00342C9C">
              <w:rPr>
                <w:bCs/>
                <w:sz w:val="22"/>
              </w:rPr>
              <w:t>Rādītāji</w:t>
            </w:r>
          </w:p>
        </w:tc>
        <w:tc>
          <w:tcPr>
            <w:tcW w:w="2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29893CEB" w14:textId="77777777">
            <w:pPr>
              <w:jc w:val="center"/>
              <w:rPr>
                <w:bCs/>
              </w:rPr>
            </w:pPr>
            <w:r w:rsidRPr="002818AA">
              <w:rPr>
                <w:bCs/>
              </w:rPr>
              <w:t>2020. gads</w:t>
            </w:r>
          </w:p>
        </w:tc>
        <w:tc>
          <w:tcPr>
            <w:tcW w:w="5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10F2BC2C" w14:textId="77777777">
            <w:pPr>
              <w:jc w:val="center"/>
            </w:pPr>
            <w:r w:rsidRPr="002818AA">
              <w:t>Turpmākie trīs gadi (</w:t>
            </w:r>
            <w:r w:rsidRPr="002818AA">
              <w:rPr>
                <w:i/>
                <w:iCs/>
              </w:rPr>
              <w:t>euro</w:t>
            </w:r>
            <w:r w:rsidRPr="002818AA">
              <w:t>)</w:t>
            </w:r>
          </w:p>
        </w:tc>
      </w:tr>
      <w:tr w:rsidRPr="00825345" w:rsidR="00D63E48" w:rsidTr="00D63E48" w14:paraId="231F19C0" w14:textId="77777777">
        <w:trPr>
          <w:trHeight w:val="300"/>
        </w:trPr>
        <w:tc>
          <w:tcPr>
            <w:tcW w:w="177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13D2B07E" w14:textId="77777777">
            <w:pPr>
              <w:jc w:val="center"/>
              <w:rPr>
                <w:bCs/>
                <w:sz w:val="22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14C9943D" w14:textId="77777777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1448A00F" w14:textId="77777777">
            <w:pPr>
              <w:jc w:val="center"/>
              <w:rPr>
                <w:bCs/>
              </w:rPr>
            </w:pPr>
            <w:r w:rsidRPr="002818AA">
              <w:rPr>
                <w:bCs/>
              </w:rPr>
              <w:t>2021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41312642" w14:textId="77777777">
            <w:pPr>
              <w:jc w:val="center"/>
              <w:rPr>
                <w:bCs/>
              </w:rPr>
            </w:pPr>
            <w:r w:rsidRPr="002818AA">
              <w:rPr>
                <w:bCs/>
              </w:rPr>
              <w:t>2022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15957E68" w14:textId="77777777">
            <w:pPr>
              <w:jc w:val="center"/>
              <w:rPr>
                <w:bCs/>
              </w:rPr>
            </w:pPr>
            <w:r w:rsidRPr="002818AA">
              <w:rPr>
                <w:bCs/>
              </w:rPr>
              <w:t>2023</w:t>
            </w:r>
          </w:p>
        </w:tc>
      </w:tr>
      <w:tr w:rsidRPr="00825345" w:rsidR="00D63E48" w:rsidTr="00D63E48" w14:paraId="27F68A9E" w14:textId="77777777">
        <w:trPr>
          <w:trHeight w:val="410"/>
        </w:trPr>
        <w:tc>
          <w:tcPr>
            <w:tcW w:w="177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7B2B968A" w14:textId="7777777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523B2A63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saskaņā ar valsts budžetu kārtējam gadam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42D5F45A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izmaiņas kārtējā gadā, salīdzinot ar valsts budžetu kārtējam gadam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250BF91D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saskaņā ar vidēja termiņa budžeta ietvaru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57608DE6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izmaiņas, salīdzinot ar vidēja termiņa budžeta ietvaru 2021. gadam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2E308B85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saskaņā ar vidēja termiņa budžeta ietvaru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1765346D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 xml:space="preserve">izmaiņas, </w:t>
            </w:r>
            <w:r w:rsidRPr="002818AA">
              <w:rPr>
                <w:sz w:val="18"/>
                <w:szCs w:val="18"/>
              </w:rPr>
              <w:t>salīdzino</w:t>
            </w:r>
            <w:r w:rsidRPr="002818AA">
              <w:rPr>
                <w:sz w:val="20"/>
                <w:szCs w:val="20"/>
              </w:rPr>
              <w:t>t ar vidēja termiņa budžeta ietvaru 2022. gadam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2098FB89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izmaiņas, salīdzinot ar vidēja termiņa budžeta ietvaru 2022. gadam</w:t>
            </w:r>
          </w:p>
        </w:tc>
      </w:tr>
      <w:tr w:rsidRPr="00825345" w:rsidR="00D63E48" w:rsidTr="00D63E48" w14:paraId="4A63AAD1" w14:textId="77777777">
        <w:trPr>
          <w:trHeight w:val="30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342C9C" w:rsidR="00D63E48" w:rsidP="006E267F" w:rsidRDefault="00D63E48" w14:paraId="38308CB1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1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39922C1B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37B2DE6D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640BD489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34E57CEA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62F5DB1F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0CE4245C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275386B6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8</w:t>
            </w:r>
          </w:p>
        </w:tc>
      </w:tr>
      <w:tr w:rsidRPr="00825345" w:rsidR="00D63E48" w:rsidTr="00D63E48" w14:paraId="7CFE7112" w14:textId="77777777">
        <w:trPr>
          <w:trHeight w:val="184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342C9C" w:rsidR="00D63E48" w:rsidP="006E267F" w:rsidRDefault="00D63E48" w14:paraId="6C9CDE54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1. Budžeta ieņēmumi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18AA" w:rsidR="00D63E48" w:rsidP="006E267F" w:rsidRDefault="00D63E48" w14:paraId="590A2484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A4534" w:rsidR="00B36B09" w:rsidP="00B36B09" w:rsidRDefault="000975B2" w14:paraId="40A68162" w14:textId="3AF04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228 031</w:t>
            </w:r>
          </w:p>
          <w:p w:rsidRPr="002818AA" w:rsidR="00D63E48" w:rsidP="006E267F" w:rsidRDefault="00D63E48" w14:paraId="7527BA49" w14:textId="1162D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18AA" w:rsidR="00D63E48" w:rsidP="006E267F" w:rsidRDefault="00D63E48" w14:paraId="102276A9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18AA" w:rsidR="00D63E48" w:rsidP="006E267F" w:rsidRDefault="00D63E48" w14:paraId="152EF9D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818AA" w:rsidR="00D63E48" w:rsidP="006E267F" w:rsidRDefault="00D63E48" w14:paraId="4633EC79" w14:textId="77777777">
            <w:pPr>
              <w:spacing w:before="120"/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5103B459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iCs/>
                <w:sz w:val="20"/>
                <w:szCs w:val="20"/>
                <w:lang w:val="en-US"/>
              </w:rPr>
              <w:t> 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2818AA" w:rsidR="00D63E48" w:rsidP="006E267F" w:rsidRDefault="00D63E48" w14:paraId="162AA4B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</w:tr>
      <w:tr w:rsidRPr="00825345" w:rsidR="00D63E48" w:rsidTr="00D63E48" w14:paraId="3A530516" w14:textId="77777777">
        <w:trPr>
          <w:trHeight w:val="1354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4844C942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1.1. valsts pamatbudžets, tai skaitā ieņēmumi no maksas pakalpojumiem un citi pašu ieņēmumi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11E9BD6D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34" w:rsidR="000975B2" w:rsidP="000975B2" w:rsidRDefault="000975B2" w14:paraId="7AD49DF7" w14:textId="6562F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228 031</w:t>
            </w:r>
          </w:p>
          <w:p w:rsidRPr="002818AA" w:rsidR="00D63E48" w:rsidP="006E267F" w:rsidRDefault="00D63E48" w14:paraId="4F14A6E9" w14:textId="65369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665407D7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40BDC315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iCs/>
                <w:sz w:val="20"/>
                <w:szCs w:val="20"/>
                <w:lang w:val="en-US"/>
              </w:rPr>
              <w:t> 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818AA" w:rsidR="00D63E48" w:rsidP="006E267F" w:rsidRDefault="00D63E48" w14:paraId="4AF1DFC2" w14:textId="77777777">
            <w:pPr>
              <w:spacing w:before="960"/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3C21FB3B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iCs/>
                <w:sz w:val="20"/>
                <w:szCs w:val="20"/>
                <w:lang w:val="en-US"/>
              </w:rPr>
              <w:t>  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7EAFD38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</w:tr>
      <w:tr w:rsidRPr="00825345" w:rsidR="00D63E48" w:rsidTr="00D63E48" w14:paraId="76DE0AFD" w14:textId="77777777">
        <w:trPr>
          <w:trHeight w:val="51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1DF7006D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1.2. valsts speciālais budžets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27D80A80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26178D1E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708D8FB6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01CF34D4" w14:textId="35D55C8D">
            <w:pPr>
              <w:jc w:val="center"/>
              <w:rPr>
                <w:sz w:val="20"/>
                <w:szCs w:val="20"/>
              </w:rPr>
            </w:pPr>
            <w:r w:rsidRPr="002818AA">
              <w:rPr>
                <w:iCs/>
                <w:sz w:val="20"/>
                <w:szCs w:val="20"/>
                <w:lang w:val="en-US"/>
              </w:rPr>
              <w:t> 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052A584D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448A26B1" w14:textId="6A73D04D">
            <w:pPr>
              <w:jc w:val="center"/>
              <w:rPr>
                <w:sz w:val="20"/>
                <w:szCs w:val="20"/>
              </w:rPr>
            </w:pPr>
            <w:r w:rsidRPr="002818AA">
              <w:rPr>
                <w:iCs/>
                <w:sz w:val="20"/>
                <w:szCs w:val="20"/>
                <w:lang w:val="en-US"/>
              </w:rPr>
              <w:t> 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02FB1EED" w14:textId="35B29AC9">
            <w:pPr>
              <w:jc w:val="center"/>
              <w:rPr>
                <w:sz w:val="20"/>
                <w:szCs w:val="20"/>
              </w:rPr>
            </w:pPr>
            <w:r w:rsidRPr="002818AA">
              <w:rPr>
                <w:iCs/>
                <w:sz w:val="20"/>
                <w:szCs w:val="20"/>
                <w:lang w:val="en-US"/>
              </w:rPr>
              <w:t> 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</w:tr>
      <w:tr w:rsidRPr="00825345" w:rsidR="00D63E48" w:rsidTr="00D63E48" w14:paraId="5AA103DE" w14:textId="77777777">
        <w:trPr>
          <w:trHeight w:val="51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3F588226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lastRenderedPageBreak/>
              <w:t>1.3. pašvaldību budžets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4185CE7C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454F4D5A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0E575B87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485EF7C0" w14:textId="15E0D9DA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</w:t>
            </w:r>
            <w:r w:rsidRPr="002818AA">
              <w:rPr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7E5352F1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5DA1F1B8" w14:textId="095A94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iCs/>
                <w:sz w:val="20"/>
                <w:szCs w:val="20"/>
                <w:lang w:val="en-US"/>
              </w:rPr>
              <w:t> 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28C2F796" w14:textId="3BF4E492">
            <w:pPr>
              <w:jc w:val="center"/>
              <w:rPr>
                <w:sz w:val="20"/>
                <w:szCs w:val="20"/>
              </w:rPr>
            </w:pPr>
            <w:r w:rsidRPr="002818AA">
              <w:rPr>
                <w:iCs/>
                <w:sz w:val="20"/>
                <w:szCs w:val="20"/>
                <w:lang w:val="en-US"/>
              </w:rPr>
              <w:t> 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</w:tr>
      <w:tr w:rsidRPr="00825345" w:rsidR="00D63E48" w:rsidTr="00D63E48" w14:paraId="755810DF" w14:textId="77777777">
        <w:trPr>
          <w:trHeight w:val="30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6E1E3556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2. Budžeta izdevumi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17F10E58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34" w:rsidR="000975B2" w:rsidP="000975B2" w:rsidRDefault="000975B2" w14:paraId="4A0006A2" w14:textId="302ED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228 031</w:t>
            </w:r>
          </w:p>
          <w:p w:rsidRPr="002818AA" w:rsidR="00D63E48" w:rsidP="006E267F" w:rsidRDefault="00D63E48" w14:paraId="15C0013D" w14:textId="20F74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01FC4EA4" w14:textId="77777777">
            <w:pPr>
              <w:spacing w:before="120"/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47619603" w14:textId="7777777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05C4BFEC" w14:textId="77777777">
            <w:pPr>
              <w:spacing w:before="120"/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6803682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65BF421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</w:tr>
      <w:tr w:rsidRPr="00825345" w:rsidR="00D63E48" w:rsidTr="00D63E48" w14:paraId="5BD98842" w14:textId="77777777">
        <w:trPr>
          <w:trHeight w:val="51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4E8C4002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2.1. valsts pamatbudžets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75807673" w14:textId="77777777">
            <w:pPr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34" w:rsidR="000975B2" w:rsidP="000975B2" w:rsidRDefault="000975B2" w14:paraId="331B8152" w14:textId="35D454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228 031</w:t>
            </w:r>
          </w:p>
          <w:p w:rsidRPr="002818AA" w:rsidR="00D63E48" w:rsidP="006E267F" w:rsidRDefault="00D63E48" w14:paraId="5C4CFEEE" w14:textId="10B6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10DCD2B2" w14:textId="77777777">
            <w:pPr>
              <w:spacing w:before="120"/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028BAF2A" w14:textId="7777777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18AA" w:rsidR="00D63E48" w:rsidP="006E267F" w:rsidRDefault="00D63E48" w14:paraId="43CB9016" w14:textId="77777777">
            <w:pPr>
              <w:spacing w:before="120"/>
              <w:jc w:val="center"/>
              <w:rPr>
                <w:sz w:val="20"/>
                <w:szCs w:val="20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73636DD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4878C2E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</w:tr>
      <w:tr w:rsidRPr="00825345" w:rsidR="00D63E48" w:rsidTr="00D63E48" w14:paraId="0FEB1941" w14:textId="77777777">
        <w:trPr>
          <w:trHeight w:val="51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434D273D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2.2. valsts speciālais budžets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01E73225" w14:textId="77777777">
            <w:pPr>
              <w:jc w:val="center"/>
              <w:rPr>
                <w:sz w:val="22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1D7B66E6" w14:textId="77777777">
            <w:pPr>
              <w:jc w:val="center"/>
              <w:rPr>
                <w:sz w:val="22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2227348A" w14:textId="77777777">
            <w:pPr>
              <w:jc w:val="center"/>
              <w:rPr>
                <w:sz w:val="22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55175857" w14:textId="77777777">
            <w:pPr>
              <w:jc w:val="center"/>
              <w:rPr>
                <w:sz w:val="22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7BA4E302" w14:textId="77777777">
            <w:pPr>
              <w:jc w:val="center"/>
              <w:rPr>
                <w:sz w:val="22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7FA5C905" w14:textId="77777777">
            <w:pPr>
              <w:jc w:val="center"/>
              <w:rPr>
                <w:sz w:val="22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18AA" w:rsidR="00D63E48" w:rsidP="006E267F" w:rsidRDefault="00D63E48" w14:paraId="161DCA6B" w14:textId="77777777">
            <w:pPr>
              <w:jc w:val="center"/>
              <w:rPr>
                <w:sz w:val="22"/>
              </w:rPr>
            </w:pPr>
            <w:r w:rsidRPr="002818AA">
              <w:rPr>
                <w:sz w:val="20"/>
                <w:szCs w:val="20"/>
              </w:rPr>
              <w:t>0</w:t>
            </w:r>
          </w:p>
        </w:tc>
      </w:tr>
      <w:tr w:rsidRPr="00825345" w:rsidR="00D63E48" w:rsidTr="00D63E48" w14:paraId="20ECA8D9" w14:textId="77777777">
        <w:trPr>
          <w:trHeight w:val="51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493496CC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2.3. pašvaldību budžets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0189F531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24900D8D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4564AF44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42A4AF43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42E4808C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53244137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30E6CA53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Pr="00BD0191" w:rsidR="00D63E48" w:rsidTr="00D63E48" w14:paraId="520FD308" w14:textId="77777777">
        <w:trPr>
          <w:trHeight w:val="222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32164661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3. Finansiālā ietekme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1B96BDE6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42C9C" w:rsidR="00D63E48" w:rsidP="006E267F" w:rsidRDefault="000975B2" w14:paraId="00FFDF0D" w14:textId="18E3998F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731C9590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06D29" w:rsidR="00D63E48" w:rsidP="006E267F" w:rsidRDefault="00D63E48" w14:paraId="2AA2BD16" w14:textId="77777777">
            <w:pPr>
              <w:jc w:val="center"/>
              <w:rPr>
                <w:sz w:val="22"/>
              </w:rPr>
            </w:pPr>
            <w:r w:rsidRPr="00A06D2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403CB91A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7495F88D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386D3ED2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Pr="00825345" w:rsidR="00D63E48" w:rsidTr="00D63E48" w14:paraId="5CF72476" w14:textId="77777777">
        <w:trPr>
          <w:trHeight w:val="51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441FC474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3.1. valsts pamatbudžets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11C07B39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42C9C" w:rsidR="00D63E48" w:rsidP="006E267F" w:rsidRDefault="000975B2" w14:paraId="2043EE75" w14:textId="41AF5E28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691FD38C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050381EC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729BE8F6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62452857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12297EEE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Pr="00825345" w:rsidR="00D63E48" w:rsidTr="00D63E48" w14:paraId="3A73F831" w14:textId="77777777">
        <w:trPr>
          <w:trHeight w:val="325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103E9EF5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3.2. speciālais budžets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4D64D98C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30FAA0B5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19F41939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44784E8A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5669CBC3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33BAEA8E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24C526F3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Pr="00825345" w:rsidR="00D63E48" w:rsidTr="00D63E48" w14:paraId="491126A5" w14:textId="77777777">
        <w:trPr>
          <w:trHeight w:val="51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0E054752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3.3. pašvaldību budžets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7B8DCE41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0A2EA008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39BE15AB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4C5214E4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03F84B85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6775D4E0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2E7491FB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Pr="00825345" w:rsidR="00D63E48" w:rsidTr="00D63E48" w14:paraId="20D05F3D" w14:textId="77777777">
        <w:trPr>
          <w:trHeight w:val="849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32046754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6DFCBDC1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140896D1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288E9396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00C0BC29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7CFF1C20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61E6F069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42C9C" w:rsidR="00D63E48" w:rsidP="006E267F" w:rsidRDefault="00D63E48" w14:paraId="73A1CA07" w14:textId="77777777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Pr="00825345" w:rsidR="00D63E48" w:rsidTr="00D63E48" w14:paraId="2CFA1FEB" w14:textId="77777777">
        <w:trPr>
          <w:trHeight w:val="51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74E261D3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5. Precizēta finansiālā ietekme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2BCFE479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  <w:p w:rsidRPr="00342C9C" w:rsidR="00D63E48" w:rsidP="006E267F" w:rsidRDefault="00D63E48" w14:paraId="617CC382" w14:textId="77777777">
            <w:pPr>
              <w:jc w:val="center"/>
              <w:rPr>
                <w:sz w:val="22"/>
              </w:rPr>
            </w:pPr>
          </w:p>
          <w:p w:rsidRPr="00342C9C" w:rsidR="00D63E48" w:rsidP="006E267F" w:rsidRDefault="00D63E48" w14:paraId="0A652BFF" w14:textId="77777777">
            <w:pPr>
              <w:jc w:val="center"/>
              <w:rPr>
                <w:sz w:val="22"/>
              </w:rPr>
            </w:pPr>
          </w:p>
          <w:p w:rsidRPr="00342C9C" w:rsidR="00D63E48" w:rsidP="006E267F" w:rsidRDefault="00D63E48" w14:paraId="665579FA" w14:textId="7777777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78354954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2F4B0FBB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  <w:p w:rsidRPr="00342C9C" w:rsidR="00D63E48" w:rsidP="006E267F" w:rsidRDefault="00D63E48" w14:paraId="6DA74848" w14:textId="77777777">
            <w:pPr>
              <w:jc w:val="center"/>
              <w:rPr>
                <w:sz w:val="22"/>
              </w:rPr>
            </w:pPr>
          </w:p>
          <w:p w:rsidRPr="00342C9C" w:rsidR="00D63E48" w:rsidP="006E267F" w:rsidRDefault="00D63E48" w14:paraId="458CD9B5" w14:textId="7777777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4788CFCB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66986CD2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  <w:p w:rsidRPr="00342C9C" w:rsidR="00D63E48" w:rsidP="006E267F" w:rsidRDefault="00D63E48" w14:paraId="00939879" w14:textId="77777777">
            <w:pPr>
              <w:jc w:val="center"/>
              <w:rPr>
                <w:sz w:val="22"/>
              </w:rPr>
            </w:pPr>
          </w:p>
          <w:p w:rsidRPr="00342C9C" w:rsidR="00D63E48" w:rsidP="006E267F" w:rsidRDefault="00D63E48" w14:paraId="394D07D0" w14:textId="77777777">
            <w:pPr>
              <w:jc w:val="center"/>
              <w:rPr>
                <w:sz w:val="22"/>
              </w:rPr>
            </w:pPr>
          </w:p>
          <w:p w:rsidRPr="00342C9C" w:rsidR="00D63E48" w:rsidP="006E267F" w:rsidRDefault="00D63E48" w14:paraId="5B3196B2" w14:textId="7777777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186F11B1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780683C5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</w:tr>
      <w:tr w:rsidRPr="00825345" w:rsidR="00D63E48" w:rsidTr="00D63E48" w14:paraId="4CF6CAC8" w14:textId="77777777">
        <w:trPr>
          <w:trHeight w:val="51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12A73DE2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5.1. valsts pamatbudžets</w:t>
            </w:r>
          </w:p>
        </w:tc>
        <w:tc>
          <w:tcPr>
            <w:tcW w:w="9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34FDD3D4" w14:textId="7777777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08B445DC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7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06E8B43C" w14:textId="7777777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285714D3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2FC6B0E1" w14:textId="7777777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747C737D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656774C0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</w:tr>
      <w:tr w:rsidRPr="00825345" w:rsidR="00D63E48" w:rsidTr="00D63E48" w14:paraId="70E72B1E" w14:textId="77777777">
        <w:trPr>
          <w:trHeight w:val="215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32CE3D1D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5.2. speciālais budžets</w:t>
            </w:r>
          </w:p>
        </w:tc>
        <w:tc>
          <w:tcPr>
            <w:tcW w:w="9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2D0B4EF0" w14:textId="7777777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25E01904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7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212C8167" w14:textId="7777777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436D02D1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4811E0D2" w14:textId="7777777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70EAAA68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75985AFA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</w:tr>
      <w:tr w:rsidRPr="00825345" w:rsidR="00D63E48" w:rsidTr="00D63E48" w14:paraId="6E534996" w14:textId="77777777">
        <w:trPr>
          <w:trHeight w:val="51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6F6E194E" w14:textId="77777777">
            <w:pPr>
              <w:rPr>
                <w:sz w:val="22"/>
              </w:rPr>
            </w:pPr>
            <w:r w:rsidRPr="00342C9C">
              <w:rPr>
                <w:sz w:val="22"/>
              </w:rPr>
              <w:t>5.3. pašvaldību budžets</w:t>
            </w:r>
          </w:p>
        </w:tc>
        <w:tc>
          <w:tcPr>
            <w:tcW w:w="9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6DCDA577" w14:textId="7777777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0551C83C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7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2D7B5EF8" w14:textId="7777777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70F71A45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85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52B7C286" w14:textId="7777777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6EAE7973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42C9C" w:rsidR="00D63E48" w:rsidP="006E267F" w:rsidRDefault="00D63E48" w14:paraId="36762AC3" w14:textId="77777777">
            <w:pPr>
              <w:jc w:val="center"/>
              <w:rPr>
                <w:sz w:val="22"/>
              </w:rPr>
            </w:pPr>
            <w:r w:rsidRPr="00342C9C">
              <w:rPr>
                <w:sz w:val="22"/>
              </w:rPr>
              <w:t>0</w:t>
            </w:r>
          </w:p>
        </w:tc>
      </w:tr>
      <w:tr w:rsidRPr="00825345" w:rsidR="00D63E48" w:rsidTr="00D47B13" w14:paraId="234734BC" w14:textId="77777777">
        <w:trPr>
          <w:trHeight w:val="4237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21079" w:rsidR="00D63E48" w:rsidP="006E267F" w:rsidRDefault="00D63E48" w14:paraId="0C3AFC07" w14:textId="77777777">
            <w:r w:rsidRPr="00821079"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72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C2AB3" w:rsidP="00214104" w:rsidRDefault="00D47B13" w14:paraId="391C3458" w14:textId="67A018D0">
            <w:pPr>
              <w:ind w:firstLine="664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AC2AB3">
              <w:rPr>
                <w:rFonts w:eastAsia="Calibri"/>
                <w:sz w:val="22"/>
                <w:szCs w:val="22"/>
                <w:lang w:eastAsia="en-US"/>
              </w:rPr>
              <w:t xml:space="preserve">RBR iesniegtie ar PVN apliekamie 2020.gada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AC2AB3">
              <w:rPr>
                <w:rFonts w:eastAsia="Calibri"/>
                <w:sz w:val="22"/>
                <w:szCs w:val="22"/>
                <w:lang w:eastAsia="en-US"/>
              </w:rPr>
              <w:t xml:space="preserve">ceturksnī  </w:t>
            </w:r>
            <w:r w:rsidRPr="00B7191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euro</w:t>
            </w:r>
          </w:p>
          <w:p w:rsidR="00AC2AB3" w:rsidP="00214104" w:rsidRDefault="00D47B13" w14:paraId="46C39AC9" w14:textId="70767D5B">
            <w:pPr>
              <w:ind w:firstLine="6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2A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Pr="00B7191F" w:rsidR="00214104" w:rsidP="00B7191F" w:rsidRDefault="00B7191F" w14:paraId="48F9D14C" w14:textId="77E0E43C">
            <w:pPr>
              <w:ind w:firstLine="664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281"/>
              <w:tblOverlap w:val="never"/>
              <w:tblW w:w="6507" w:type="dxa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578"/>
              <w:gridCol w:w="1577"/>
              <w:gridCol w:w="2062"/>
            </w:tblGrid>
            <w:tr w:rsidRPr="00D47B13" w:rsidR="00D47B13" w:rsidTr="00C17976" w14:paraId="44DAF047" w14:textId="77777777">
              <w:trPr>
                <w:trHeight w:val="1408"/>
              </w:trPr>
              <w:tc>
                <w:tcPr>
                  <w:tcW w:w="12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D47B13" w:rsidR="00D47B13" w:rsidP="00D47B13" w:rsidRDefault="00D47B13" w14:paraId="451F0361" w14:textId="777777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Periods</w:t>
                  </w:r>
                </w:p>
              </w:tc>
              <w:tc>
                <w:tcPr>
                  <w:tcW w:w="15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D47B13" w:rsidR="00D47B13" w:rsidP="00D47B13" w:rsidRDefault="00D47B13" w14:paraId="51D174FB" w14:textId="777777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PVN summa, </w:t>
                  </w:r>
                  <w:r w:rsidRPr="00D47B13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kas nav atskaitāma, </w:t>
                  </w:r>
                  <w:r w:rsidRPr="00D47B13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kā priekšnodoklis</w:t>
                  </w: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D47B13" w:rsidR="00D47B13" w:rsidP="00D47B13" w:rsidRDefault="00D47B13" w14:paraId="6B81ABBB" w14:textId="777777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Latvijā samaksātais PVN, kas ietverts piegādātāju rēķinos   </w:t>
                  </w:r>
                  <w:r w:rsidRPr="00D47B13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D47B13" w:rsidR="00D47B13" w:rsidP="00D47B13" w:rsidRDefault="00D47B13" w14:paraId="68A60A02" w14:textId="777777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b/>
                      <w:bCs/>
                      <w:color w:val="000000"/>
                      <w:sz w:val="20"/>
                      <w:szCs w:val="20"/>
                    </w:rPr>
                    <w:t>Reversais PVN</w:t>
                  </w:r>
                </w:p>
              </w:tc>
            </w:tr>
            <w:tr w:rsidRPr="00D47B13" w:rsidR="00D47B13" w:rsidTr="00F0755C" w14:paraId="4E76A3A8" w14:textId="77777777">
              <w:trPr>
                <w:trHeight w:val="360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1E40AFCF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2020. gada jūlijs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32A54DC6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45 283,25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0AA579E7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25 148,69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094245A6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20 134,56</w:t>
                  </w:r>
                </w:p>
              </w:tc>
            </w:tr>
            <w:tr w:rsidRPr="00D47B13" w:rsidR="00D47B13" w:rsidTr="00F0755C" w14:paraId="2C2A5670" w14:textId="77777777">
              <w:trPr>
                <w:trHeight w:val="360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38714045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2020. gada augusts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6BBB618B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52 529,07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0E9A0078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30 073,53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4510AF85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22 455,54</w:t>
                  </w:r>
                </w:p>
              </w:tc>
            </w:tr>
            <w:tr w:rsidRPr="00D47B13" w:rsidR="00D47B13" w:rsidTr="00F0755C" w14:paraId="0418F5A9" w14:textId="77777777">
              <w:trPr>
                <w:trHeight w:val="360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6F42C759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2020. gada septembris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6FE6982A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130 218,35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7C6886C1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27 459,00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510691EC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102 759,35</w:t>
                  </w:r>
                </w:p>
              </w:tc>
            </w:tr>
            <w:tr w:rsidRPr="00D47B13" w:rsidR="00D47B13" w:rsidTr="00F0755C" w14:paraId="1A411BC4" w14:textId="77777777">
              <w:trPr>
                <w:trHeight w:val="379"/>
              </w:trPr>
              <w:tc>
                <w:tcPr>
                  <w:tcW w:w="12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Pr="00D47B13" w:rsidR="00D47B13" w:rsidP="00D47B13" w:rsidRDefault="00D47B13" w14:paraId="4C950F96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b/>
                      <w:bCs/>
                      <w:color w:val="000000"/>
                      <w:sz w:val="20"/>
                      <w:szCs w:val="20"/>
                    </w:rPr>
                    <w:t>Kopā: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0D83DA5E" w14:textId="7777777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b/>
                      <w:bCs/>
                      <w:color w:val="000000"/>
                      <w:sz w:val="20"/>
                      <w:szCs w:val="20"/>
                    </w:rPr>
                    <w:t>228 030,67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165CF8B4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82 681,22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D47B13" w:rsidR="00D47B13" w:rsidP="00D47B13" w:rsidRDefault="00D47B13" w14:paraId="07BDDFD8" w14:textId="777777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47B13">
                    <w:rPr>
                      <w:color w:val="000000"/>
                      <w:sz w:val="20"/>
                      <w:szCs w:val="20"/>
                    </w:rPr>
                    <w:t>145 349,45</w:t>
                  </w:r>
                </w:p>
              </w:tc>
            </w:tr>
          </w:tbl>
          <w:p w:rsidRPr="004F4C6C" w:rsidR="00D63E48" w:rsidP="006E267F" w:rsidRDefault="00D63E48" w14:paraId="4DE347D2" w14:textId="77777777">
            <w:pPr>
              <w:jc w:val="both"/>
            </w:pPr>
          </w:p>
        </w:tc>
      </w:tr>
      <w:tr w:rsidRPr="00825345" w:rsidR="00D63E48" w:rsidTr="00561492" w14:paraId="326C451E" w14:textId="77777777">
        <w:trPr>
          <w:trHeight w:val="782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21079" w:rsidR="00D63E48" w:rsidP="006E267F" w:rsidRDefault="00D63E48" w14:paraId="7DBEC3EB" w14:textId="77777777">
            <w:r w:rsidRPr="00821079">
              <w:lastRenderedPageBreak/>
              <w:t>6.1. detalizēts ieņēmumu aprēķins</w:t>
            </w:r>
          </w:p>
        </w:tc>
        <w:tc>
          <w:tcPr>
            <w:tcW w:w="7295" w:type="dxa"/>
            <w:gridSpan w:val="7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F4C6C" w:rsidR="00D63E48" w:rsidP="006E267F" w:rsidRDefault="00D63E48" w14:paraId="1A6F1458" w14:textId="77777777"/>
        </w:tc>
      </w:tr>
      <w:tr w:rsidRPr="00825345" w:rsidR="00D63E48" w:rsidTr="00D63E48" w14:paraId="461D2132" w14:textId="77777777">
        <w:trPr>
          <w:trHeight w:val="835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21079" w:rsidR="00D63E48" w:rsidP="006E267F" w:rsidRDefault="00D63E48" w14:paraId="7EA45EDF" w14:textId="77777777">
            <w:r w:rsidRPr="00821079">
              <w:t>6.2. detalizēts izdevumu aprēķins</w:t>
            </w:r>
          </w:p>
        </w:tc>
        <w:tc>
          <w:tcPr>
            <w:tcW w:w="7295" w:type="dxa"/>
            <w:gridSpan w:val="7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F4C6C" w:rsidR="00D63E48" w:rsidP="006E267F" w:rsidRDefault="00D63E48" w14:paraId="02D87C17" w14:textId="77777777"/>
        </w:tc>
      </w:tr>
      <w:tr w:rsidRPr="00825345" w:rsidR="00D63E48" w:rsidTr="00D63E48" w14:paraId="3981880B" w14:textId="77777777">
        <w:trPr>
          <w:trHeight w:val="507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21079" w:rsidR="00D63E48" w:rsidP="006E267F" w:rsidRDefault="00D63E48" w14:paraId="668F66C3" w14:textId="77777777">
            <w:r w:rsidRPr="00821079">
              <w:t>7. Amata vietu skaita izmaiņas</w:t>
            </w:r>
          </w:p>
        </w:tc>
        <w:tc>
          <w:tcPr>
            <w:tcW w:w="7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1079" w:rsidR="00D63E48" w:rsidP="006E267F" w:rsidRDefault="00D63E48" w14:paraId="26663164" w14:textId="77777777">
            <w:r w:rsidRPr="00821079">
              <w:t>Nav attiecināms.</w:t>
            </w:r>
          </w:p>
        </w:tc>
      </w:tr>
      <w:tr w:rsidRPr="00825345" w:rsidR="00D63E48" w:rsidTr="00D63E48" w14:paraId="5F40463A" w14:textId="77777777">
        <w:trPr>
          <w:trHeight w:val="770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21079" w:rsidR="00D63E48" w:rsidP="006E267F" w:rsidRDefault="00D63E48" w14:paraId="394CE91C" w14:textId="77777777">
            <w:r w:rsidRPr="00821079">
              <w:t>8. Cita informācija</w:t>
            </w:r>
          </w:p>
        </w:tc>
        <w:tc>
          <w:tcPr>
            <w:tcW w:w="7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61492" w:rsidR="00D63E48" w:rsidP="00E242E1" w:rsidRDefault="009B59E5" w14:paraId="13B69A0B" w14:textId="526799DD">
            <w:pPr>
              <w:jc w:val="both"/>
            </w:pPr>
            <w:r>
              <w:rPr>
                <w:rFonts w:eastAsia="Calibri"/>
              </w:rPr>
              <w:t>Rīkojuma p</w:t>
            </w:r>
            <w:r w:rsidR="00766C82">
              <w:rPr>
                <w:rFonts w:eastAsia="Calibri"/>
              </w:rPr>
              <w:t>rojektam nav ietekme uz valsts budžetu</w:t>
            </w:r>
            <w:r w:rsidR="00E242E1">
              <w:rPr>
                <w:rFonts w:eastAsia="Calibri"/>
              </w:rPr>
              <w:t xml:space="preserve"> pēc naudas plūsmas</w:t>
            </w:r>
            <w:r w:rsidR="00766C82">
              <w:rPr>
                <w:rFonts w:eastAsia="Calibri"/>
              </w:rPr>
              <w:t>, jo PVN maksājumi</w:t>
            </w:r>
            <w:r w:rsidR="00AF00E1">
              <w:rPr>
                <w:rFonts w:eastAsia="Calibri"/>
              </w:rPr>
              <w:t>, kas attiecas uz Lietuvu un Igauniju</w:t>
            </w:r>
            <w:r w:rsidR="00766C82">
              <w:rPr>
                <w:rFonts w:eastAsia="Calibri"/>
              </w:rPr>
              <w:t xml:space="preserve"> jau ir ieskaitīti </w:t>
            </w:r>
            <w:r w:rsidR="00AF00E1">
              <w:rPr>
                <w:rFonts w:eastAsia="Calibri"/>
              </w:rPr>
              <w:t xml:space="preserve">Latvijas </w:t>
            </w:r>
            <w:r w:rsidR="00766C82">
              <w:rPr>
                <w:rFonts w:eastAsia="Calibri"/>
              </w:rPr>
              <w:t xml:space="preserve">valsts budžetā un attiecīgi tie ir jāpārdala </w:t>
            </w:r>
            <w:r w:rsidR="00854657">
              <w:rPr>
                <w:rFonts w:eastAsia="Calibri"/>
              </w:rPr>
              <w:t>M</w:t>
            </w:r>
            <w:r w:rsidR="00766C82">
              <w:rPr>
                <w:rFonts w:eastAsia="Calibri"/>
              </w:rPr>
              <w:t>inistrijai, lai tālāk varētu veikt norēķinus ar RBR.</w:t>
            </w:r>
            <w:r w:rsidR="00B41703">
              <w:rPr>
                <w:rFonts w:eastAsia="Calibri"/>
              </w:rPr>
              <w:t xml:space="preserve"> </w:t>
            </w:r>
          </w:p>
        </w:tc>
      </w:tr>
    </w:tbl>
    <w:p w:rsidR="00D63E48" w:rsidP="00551A0F" w:rsidRDefault="00D63E48" w14:paraId="74383B24" w14:textId="77777777"/>
    <w:tbl>
      <w:tblPr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17"/>
      </w:tblGrid>
      <w:tr w:rsidRPr="00265EEE" w:rsidR="0094189D" w:rsidTr="00B44E39" w14:paraId="49519A8B" w14:textId="77777777">
        <w:trPr>
          <w:trHeight w:val="361"/>
          <w:jc w:val="center"/>
        </w:trPr>
        <w:tc>
          <w:tcPr>
            <w:tcW w:w="9117" w:type="dxa"/>
            <w:vAlign w:val="center"/>
          </w:tcPr>
          <w:p w:rsidRPr="00265EEE" w:rsidR="0094189D" w:rsidP="00B44E39" w:rsidRDefault="0094189D" w14:paraId="49BBEBCB" w14:textId="77777777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65EEE">
              <w:rPr>
                <w:b/>
                <w:bCs/>
              </w:rPr>
              <w:t>IV. Tiesību akta projekta ietekme uz spēkā esošo tiesību normu sistēmu</w:t>
            </w:r>
          </w:p>
        </w:tc>
      </w:tr>
      <w:tr w:rsidRPr="00265EEE" w:rsidR="0094189D" w:rsidTr="00B44E39" w14:paraId="2E80174D" w14:textId="77777777">
        <w:trPr>
          <w:trHeight w:val="361"/>
          <w:jc w:val="center"/>
        </w:trPr>
        <w:tc>
          <w:tcPr>
            <w:tcW w:w="9117" w:type="dxa"/>
            <w:vAlign w:val="center"/>
          </w:tcPr>
          <w:p w:rsidRPr="00265EEE" w:rsidR="0094189D" w:rsidP="00B44E39" w:rsidRDefault="0094189D" w14:paraId="5AA2B17E" w14:textId="77777777">
            <w:pPr>
              <w:pStyle w:val="naisnod"/>
              <w:spacing w:before="0" w:beforeAutospacing="0" w:after="0" w:afterAutospacing="0"/>
              <w:jc w:val="center"/>
            </w:pPr>
            <w:r w:rsidRPr="00265EEE">
              <w:rPr>
                <w:bCs/>
                <w:iCs/>
              </w:rPr>
              <w:t>Projekts šo jomu neskar</w:t>
            </w:r>
            <w:r w:rsidRPr="00265EEE">
              <w:t>.</w:t>
            </w:r>
          </w:p>
        </w:tc>
      </w:tr>
    </w:tbl>
    <w:p w:rsidR="00551A0F" w:rsidP="00551A0F" w:rsidRDefault="00551A0F" w14:paraId="030AA75D" w14:textId="77777777"/>
    <w:tbl>
      <w:tblPr>
        <w:tblW w:w="5007" w:type="pct"/>
        <w:tblInd w:w="-3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8"/>
      </w:tblGrid>
      <w:tr w:rsidR="00E023A2" w:rsidTr="00E023A2" w14:paraId="28D5E0D5" w14:textId="77777777">
        <w:trPr>
          <w:trHeight w:val="555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E023A2" w:rsidRDefault="00E023A2" w14:paraId="797F6F18" w14:textId="7777777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E023A2" w:rsidTr="00CD4F77" w14:paraId="3559AD39" w14:textId="77777777">
        <w:trPr>
          <w:trHeight w:val="206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023A2" w:rsidRDefault="001211A0" w14:paraId="301F219F" w14:textId="46A45674">
            <w:pPr>
              <w:jc w:val="center"/>
            </w:pPr>
            <w:r>
              <w:t>P</w:t>
            </w:r>
            <w:r w:rsidR="00E023A2">
              <w:t>rojekts šo jomu neskar.</w:t>
            </w:r>
          </w:p>
        </w:tc>
      </w:tr>
    </w:tbl>
    <w:p w:rsidR="003E5142" w:rsidP="003E5142" w:rsidRDefault="003E5142" w14:paraId="0100AC40" w14:textId="252F61C5"/>
    <w:tbl>
      <w:tblPr>
        <w:tblW w:w="9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0"/>
      </w:tblGrid>
      <w:tr w:rsidRPr="00265EEE" w:rsidR="00551A0F" w:rsidTr="00FB6748" w14:paraId="1BDEFF8B" w14:textId="77777777">
        <w:trPr>
          <w:trHeight w:val="327"/>
          <w:jc w:val="center"/>
        </w:trPr>
        <w:tc>
          <w:tcPr>
            <w:tcW w:w="9110" w:type="dxa"/>
            <w:vAlign w:val="center"/>
          </w:tcPr>
          <w:p w:rsidRPr="00265EEE" w:rsidR="00551A0F" w:rsidP="00017065" w:rsidRDefault="00551A0F" w14:paraId="57D8310F" w14:textId="77777777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265EEE">
              <w:rPr>
                <w:b/>
              </w:rPr>
              <w:t>VI. Sabiedrības līdzdalība un komunikācijas aktivitātes</w:t>
            </w:r>
          </w:p>
        </w:tc>
      </w:tr>
      <w:tr w:rsidRPr="00265EEE" w:rsidR="00BA0D43" w:rsidTr="00FB6748" w14:paraId="35C36421" w14:textId="77777777">
        <w:trPr>
          <w:trHeight w:val="319"/>
          <w:jc w:val="center"/>
        </w:trPr>
        <w:tc>
          <w:tcPr>
            <w:tcW w:w="9110" w:type="dxa"/>
            <w:vAlign w:val="center"/>
          </w:tcPr>
          <w:p w:rsidRPr="00265EEE" w:rsidR="00BA0D43" w:rsidP="00017065" w:rsidRDefault="00BA0D43" w14:paraId="54FE2AF9" w14:textId="7777777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265EEE">
              <w:rPr>
                <w:bCs/>
                <w:iCs/>
              </w:rPr>
              <w:t>Projekts šo jomu neskar</w:t>
            </w:r>
            <w:r w:rsidRPr="00265EEE">
              <w:t>.</w:t>
            </w:r>
          </w:p>
        </w:tc>
      </w:tr>
    </w:tbl>
    <w:p w:rsidRPr="00265EEE" w:rsidR="009B59E5" w:rsidP="00551A0F" w:rsidRDefault="009B59E5" w14:paraId="3115DF54" w14:textId="77777777"/>
    <w:tbl>
      <w:tblPr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3656"/>
        <w:gridCol w:w="4990"/>
      </w:tblGrid>
      <w:tr w:rsidRPr="00265EEE" w:rsidR="00551A0F" w:rsidTr="007002EC" w14:paraId="7ABF92FB" w14:textId="77777777">
        <w:trPr>
          <w:trHeight w:val="381"/>
          <w:jc w:val="center"/>
        </w:trPr>
        <w:tc>
          <w:tcPr>
            <w:tcW w:w="9132" w:type="dxa"/>
            <w:gridSpan w:val="3"/>
            <w:vAlign w:val="center"/>
          </w:tcPr>
          <w:p w:rsidRPr="00265EEE" w:rsidR="00551A0F" w:rsidP="00017065" w:rsidRDefault="00551A0F" w14:paraId="27F19A77" w14:textId="77777777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265EEE">
              <w:rPr>
                <w:b/>
              </w:rPr>
              <w:t>VII. Tiesību akta projekta izpildes nodrošināšana un tās ietekme uz institūcijām</w:t>
            </w:r>
          </w:p>
        </w:tc>
      </w:tr>
      <w:tr w:rsidRPr="00265EEE" w:rsidR="00551A0F" w:rsidTr="004E0B23" w14:paraId="0BC6F4B5" w14:textId="77777777">
        <w:trPr>
          <w:trHeight w:val="427"/>
          <w:jc w:val="center"/>
        </w:trPr>
        <w:tc>
          <w:tcPr>
            <w:tcW w:w="486" w:type="dxa"/>
          </w:tcPr>
          <w:p w:rsidRPr="00265EEE" w:rsidR="00551A0F" w:rsidP="00017065" w:rsidRDefault="00551A0F" w14:paraId="22769987" w14:textId="77777777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265EEE">
              <w:t>1.</w:t>
            </w:r>
          </w:p>
        </w:tc>
        <w:tc>
          <w:tcPr>
            <w:tcW w:w="3656" w:type="dxa"/>
          </w:tcPr>
          <w:p w:rsidRPr="00265EEE" w:rsidR="00551A0F" w:rsidP="00AF09E6" w:rsidRDefault="00551A0F" w14:paraId="3AEC8AB6" w14:textId="77777777">
            <w:pPr>
              <w:pStyle w:val="naisf"/>
              <w:spacing w:before="0" w:after="0"/>
              <w:ind w:left="57" w:right="57" w:firstLine="0"/>
            </w:pPr>
            <w:r w:rsidRPr="00265EEE">
              <w:t>Projekta izpildē iesaistītās institūcijas</w:t>
            </w:r>
          </w:p>
        </w:tc>
        <w:tc>
          <w:tcPr>
            <w:tcW w:w="4990" w:type="dxa"/>
          </w:tcPr>
          <w:p w:rsidRPr="00265EEE" w:rsidR="00631147" w:rsidP="00B3088C" w:rsidRDefault="001211A0" w14:paraId="22C8C8AA" w14:textId="465A4E82">
            <w:pPr>
              <w:ind w:left="57" w:right="57"/>
              <w:jc w:val="both"/>
            </w:pPr>
            <w:r>
              <w:t>Satiksmes ministrija</w:t>
            </w:r>
            <w:r w:rsidR="0069095A">
              <w:t>,</w:t>
            </w:r>
            <w:r w:rsidR="00BD54C1">
              <w:t xml:space="preserve"> </w:t>
            </w:r>
            <w:r>
              <w:t>Finanšu ministrija</w:t>
            </w:r>
            <w:r w:rsidR="00273B40">
              <w:t>.</w:t>
            </w:r>
          </w:p>
        </w:tc>
      </w:tr>
      <w:tr w:rsidRPr="00265EEE" w:rsidR="00551A0F" w:rsidTr="00347938" w14:paraId="3B953242" w14:textId="77777777">
        <w:trPr>
          <w:trHeight w:val="463"/>
          <w:jc w:val="center"/>
        </w:trPr>
        <w:tc>
          <w:tcPr>
            <w:tcW w:w="486" w:type="dxa"/>
          </w:tcPr>
          <w:p w:rsidRPr="00265EEE" w:rsidR="00551A0F" w:rsidP="00017065" w:rsidRDefault="00551A0F" w14:paraId="6AA67A26" w14:textId="77777777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265EEE">
              <w:t>2.</w:t>
            </w:r>
          </w:p>
        </w:tc>
        <w:tc>
          <w:tcPr>
            <w:tcW w:w="3656" w:type="dxa"/>
            <w:shd w:val="clear" w:color="auto" w:fill="auto"/>
          </w:tcPr>
          <w:p w:rsidRPr="00265EEE" w:rsidR="00551A0F" w:rsidP="006A50EF" w:rsidRDefault="00551A0F" w14:paraId="0FA8FF11" w14:textId="77777777">
            <w:pPr>
              <w:pStyle w:val="naisf"/>
              <w:spacing w:before="0" w:after="0"/>
              <w:ind w:left="57" w:right="57" w:firstLine="0"/>
            </w:pPr>
            <w:r w:rsidRPr="00265EEE">
              <w:t>Projekta izpildes ietekme uz pār</w:t>
            </w:r>
            <w:r w:rsidRPr="00265EEE">
              <w:softHyphen/>
              <w:t>valdes funkcijām un institucionālo struktūru.</w:t>
            </w:r>
          </w:p>
          <w:p w:rsidRPr="00265EEE" w:rsidR="00551A0F" w:rsidP="006A50EF" w:rsidRDefault="00551A0F" w14:paraId="614DDAEF" w14:textId="77777777">
            <w:pPr>
              <w:pStyle w:val="naisf"/>
              <w:spacing w:before="0" w:after="0"/>
              <w:ind w:left="57" w:right="57" w:firstLine="0"/>
            </w:pPr>
            <w:r w:rsidRPr="00265EEE">
              <w:t>Jaunu institūciju izveide, esošu institūciju likvidācija vai reorga</w:t>
            </w:r>
            <w:r w:rsidRPr="00265EEE">
              <w:softHyphen/>
              <w:t>nizācija, to ietekme uz institūcijas cilvēkresursiem</w:t>
            </w:r>
          </w:p>
        </w:tc>
        <w:tc>
          <w:tcPr>
            <w:tcW w:w="4990" w:type="dxa"/>
          </w:tcPr>
          <w:p w:rsidRPr="00265EEE" w:rsidR="00B47DF7" w:rsidP="00017065" w:rsidRDefault="00B47DF7" w14:paraId="02D4DFAA" w14:textId="60871F2E">
            <w:pPr>
              <w:shd w:val="clear" w:color="auto" w:fill="FFFFFF"/>
              <w:jc w:val="both"/>
            </w:pPr>
            <w:r w:rsidRPr="00A17421">
              <w:t>Rīkojuma projekta īstenošana tiks veikta esošo valsts pārvaldes funkciju ietvaros, tā neietekmēs pārvaldes funkcijas vai institucionālo struktūru.</w:t>
            </w:r>
          </w:p>
        </w:tc>
      </w:tr>
      <w:tr w:rsidRPr="00265EEE" w:rsidR="00551A0F" w:rsidTr="004E0B23" w14:paraId="02708715" w14:textId="77777777">
        <w:trPr>
          <w:trHeight w:val="237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5EEE" w:rsidR="00551A0F" w:rsidP="00017065" w:rsidRDefault="00551A0F" w14:paraId="65B5DBFA" w14:textId="77777777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265EEE">
              <w:t>3.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5EEE" w:rsidR="00551A0F" w:rsidP="00C850AB" w:rsidRDefault="00AF09E6" w14:paraId="0CC4FA0A" w14:textId="77777777">
            <w:pPr>
              <w:pStyle w:val="naisf"/>
              <w:spacing w:before="0" w:after="0"/>
              <w:ind w:firstLine="0"/>
            </w:pPr>
            <w:r w:rsidRPr="00265EEE">
              <w:t xml:space="preserve"> </w:t>
            </w:r>
            <w:r w:rsidRPr="00265EEE" w:rsidR="00551A0F">
              <w:t>Cita informācija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5EEE" w:rsidR="00551A0F" w:rsidP="00C850AB" w:rsidRDefault="00551A0F" w14:paraId="7BB8FA8A" w14:textId="77777777">
            <w:pPr>
              <w:ind w:left="57"/>
              <w:jc w:val="both"/>
            </w:pPr>
            <w:r w:rsidRPr="00265EEE">
              <w:t>Na</w:t>
            </w:r>
            <w:r w:rsidRPr="00265EEE" w:rsidR="006A50EF">
              <w:t>v.</w:t>
            </w:r>
          </w:p>
        </w:tc>
      </w:tr>
    </w:tbl>
    <w:p w:rsidRPr="00BB3200" w:rsidR="00551A0F" w:rsidP="00FD7418" w:rsidRDefault="00551A0F" w14:paraId="31FAE95A" w14:textId="77777777">
      <w:pPr>
        <w:jc w:val="center"/>
        <w:rPr>
          <w:b/>
          <w:bCs/>
          <w:sz w:val="20"/>
          <w:szCs w:val="20"/>
        </w:rPr>
      </w:pPr>
    </w:p>
    <w:p w:rsidR="00AB19B6" w:rsidP="001B5229" w:rsidRDefault="00AB19B6" w14:paraId="01D6E86F" w14:textId="77777777">
      <w:pPr>
        <w:ind w:firstLine="720"/>
      </w:pPr>
    </w:p>
    <w:p w:rsidRPr="001B5229" w:rsidR="001B5229" w:rsidP="001B5229" w:rsidRDefault="001B5229" w14:paraId="2C9FA06D" w14:textId="20C7615F">
      <w:pPr>
        <w:ind w:firstLine="720"/>
      </w:pPr>
      <w:r w:rsidRPr="001B5229">
        <w:t>Satiksmes ministrs</w:t>
      </w:r>
      <w:r w:rsidRPr="001B5229">
        <w:tab/>
      </w:r>
      <w:r w:rsidRPr="001B5229">
        <w:tab/>
      </w:r>
      <w:r w:rsidRPr="001B5229">
        <w:tab/>
      </w:r>
      <w:r w:rsidRPr="001B5229">
        <w:tab/>
      </w:r>
      <w:r w:rsidRPr="001B5229">
        <w:tab/>
      </w:r>
      <w:r w:rsidRPr="001B5229">
        <w:tab/>
      </w:r>
      <w:r w:rsidR="00EE39A4">
        <w:tab/>
      </w:r>
      <w:r w:rsidRPr="001B5229">
        <w:t>T.</w:t>
      </w:r>
      <w:r w:rsidR="001211A0">
        <w:t xml:space="preserve"> </w:t>
      </w:r>
      <w:r w:rsidRPr="001B5229">
        <w:t>Linkaits</w:t>
      </w:r>
    </w:p>
    <w:p w:rsidR="00AB19B6" w:rsidP="001B5229" w:rsidRDefault="00AB19B6" w14:paraId="073B5D03" w14:textId="77777777">
      <w:pPr>
        <w:ind w:firstLine="720"/>
      </w:pPr>
    </w:p>
    <w:p w:rsidRPr="001B5229" w:rsidR="001B5229" w:rsidP="001B5229" w:rsidRDefault="001B5229" w14:paraId="0B6BE801" w14:textId="07DF68E2">
      <w:pPr>
        <w:ind w:firstLine="720"/>
      </w:pPr>
      <w:r w:rsidRPr="001B5229">
        <w:t>Vīza:</w:t>
      </w:r>
      <w:r w:rsidR="00EE39A4">
        <w:t xml:space="preserve"> </w:t>
      </w:r>
      <w:r w:rsidRPr="001B5229">
        <w:t>valsts sekretār</w:t>
      </w:r>
      <w:r w:rsidR="001211A0">
        <w:t>e</w:t>
      </w:r>
      <w:r w:rsidRPr="001B5229">
        <w:tab/>
      </w:r>
      <w:r w:rsidRPr="001B5229">
        <w:tab/>
      </w:r>
      <w:r w:rsidRPr="001B5229">
        <w:tab/>
      </w:r>
      <w:r w:rsidRPr="001B5229">
        <w:tab/>
      </w:r>
      <w:r>
        <w:tab/>
      </w:r>
      <w:r w:rsidRPr="001B5229">
        <w:tab/>
      </w:r>
      <w:r w:rsidR="001211A0">
        <w:t xml:space="preserve">            I. Stepanova</w:t>
      </w:r>
    </w:p>
    <w:p w:rsidR="00854657" w:rsidP="00347938" w:rsidRDefault="00854657" w14:paraId="268CF785" w14:textId="77777777">
      <w:pPr>
        <w:jc w:val="both"/>
        <w:rPr>
          <w:sz w:val="20"/>
          <w:lang w:val="de-DE"/>
        </w:rPr>
      </w:pPr>
    </w:p>
    <w:p w:rsidR="00A07C74" w:rsidP="00347938" w:rsidRDefault="00B70025" w14:paraId="69276BBE" w14:textId="56AF53EC">
      <w:pPr>
        <w:jc w:val="both"/>
        <w:rPr>
          <w:sz w:val="20"/>
          <w:lang w:val="de-DE"/>
        </w:rPr>
      </w:pPr>
      <w:r>
        <w:rPr>
          <w:sz w:val="20"/>
          <w:lang w:val="de-DE"/>
        </w:rPr>
        <w:t>Bērziņa</w:t>
      </w:r>
      <w:r w:rsidR="00A07C74">
        <w:rPr>
          <w:sz w:val="20"/>
          <w:lang w:val="de-DE"/>
        </w:rPr>
        <w:t>, 67028</w:t>
      </w:r>
      <w:r>
        <w:rPr>
          <w:sz w:val="20"/>
          <w:lang w:val="de-DE"/>
        </w:rPr>
        <w:t>083</w:t>
      </w:r>
    </w:p>
    <w:p w:rsidR="006E267F" w:rsidP="00F851B4" w:rsidRDefault="005F73D4" w14:paraId="7C96A7CE" w14:textId="17202B24">
      <w:pPr>
        <w:jc w:val="both"/>
        <w:rPr>
          <w:rStyle w:val="Hyperlink"/>
          <w:sz w:val="20"/>
          <w:lang w:val="de-DE"/>
        </w:rPr>
      </w:pPr>
      <w:hyperlink w:history="1" r:id="rId8">
        <w:r w:rsidRPr="00B02335" w:rsidR="006E267F">
          <w:rPr>
            <w:rStyle w:val="Hyperlink"/>
            <w:sz w:val="20"/>
            <w:lang w:val="de-DE"/>
          </w:rPr>
          <w:t>Olita.Berzina@sam.gov.lv</w:t>
        </w:r>
      </w:hyperlink>
    </w:p>
    <w:sectPr w:rsidR="006E267F" w:rsidSect="00C1797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709" w:left="1701" w:header="709" w:footer="10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CFAF" w14:textId="77777777" w:rsidR="00402281" w:rsidRDefault="00402281">
      <w:r>
        <w:separator/>
      </w:r>
    </w:p>
  </w:endnote>
  <w:endnote w:type="continuationSeparator" w:id="0">
    <w:p w14:paraId="1851BAAA" w14:textId="77777777" w:rsidR="00402281" w:rsidRDefault="004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DB2E" w14:textId="7BB95650" w:rsidR="007A4534" w:rsidRPr="0010357C" w:rsidRDefault="007A4534" w:rsidP="00685C10">
    <w:pPr>
      <w:pStyle w:val="Footer"/>
      <w:jc w:val="both"/>
      <w:rPr>
        <w:sz w:val="18"/>
        <w:szCs w:val="22"/>
      </w:rPr>
    </w:pPr>
    <w:r w:rsidRPr="000B028F">
      <w:rPr>
        <w:sz w:val="18"/>
        <w:szCs w:val="22"/>
      </w:rPr>
      <w:t>SM</w:t>
    </w:r>
    <w:r>
      <w:rPr>
        <w:sz w:val="18"/>
        <w:szCs w:val="22"/>
      </w:rPr>
      <w:t>a</w:t>
    </w:r>
    <w:r w:rsidRPr="000B028F">
      <w:rPr>
        <w:sz w:val="18"/>
        <w:szCs w:val="22"/>
      </w:rPr>
      <w:t>not_</w:t>
    </w:r>
    <w:r w:rsidR="00D47B13">
      <w:rPr>
        <w:sz w:val="18"/>
        <w:szCs w:val="22"/>
      </w:rPr>
      <w:t>1311</w:t>
    </w:r>
    <w:r>
      <w:rPr>
        <w:sz w:val="18"/>
        <w:szCs w:val="22"/>
      </w:rPr>
      <w:t>20_RBRpvnQ</w:t>
    </w:r>
    <w:r w:rsidR="00D47B13">
      <w:rPr>
        <w:sz w:val="18"/>
        <w:szCs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8342" w14:textId="38040C63" w:rsidR="007A4534" w:rsidRPr="008118CB" w:rsidRDefault="007A4534" w:rsidP="008118CB">
    <w:pPr>
      <w:pStyle w:val="Footer"/>
    </w:pPr>
    <w:r w:rsidRPr="000B028F">
      <w:rPr>
        <w:sz w:val="18"/>
        <w:szCs w:val="22"/>
      </w:rPr>
      <w:t>SM</w:t>
    </w:r>
    <w:r>
      <w:rPr>
        <w:sz w:val="18"/>
        <w:szCs w:val="22"/>
      </w:rPr>
      <w:t>a</w:t>
    </w:r>
    <w:r w:rsidRPr="000B028F">
      <w:rPr>
        <w:sz w:val="18"/>
        <w:szCs w:val="22"/>
      </w:rPr>
      <w:t>not_</w:t>
    </w:r>
    <w:r w:rsidR="00C17976">
      <w:rPr>
        <w:sz w:val="18"/>
        <w:szCs w:val="22"/>
      </w:rPr>
      <w:t>131120</w:t>
    </w:r>
    <w:r>
      <w:rPr>
        <w:sz w:val="18"/>
        <w:szCs w:val="22"/>
      </w:rPr>
      <w:t>_</w:t>
    </w:r>
    <w:r w:rsidR="00C17976">
      <w:rPr>
        <w:sz w:val="18"/>
        <w:szCs w:val="22"/>
      </w:rPr>
      <w:t>RBRpvnQ3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A4354" w14:textId="77777777" w:rsidR="00402281" w:rsidRDefault="00402281">
      <w:r>
        <w:separator/>
      </w:r>
    </w:p>
  </w:footnote>
  <w:footnote w:type="continuationSeparator" w:id="0">
    <w:p w14:paraId="0381A2D7" w14:textId="77777777" w:rsidR="00402281" w:rsidRDefault="0040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4534" w:rsidP="00923014" w:rsidRDefault="007A4534" w14:paraId="150B7D67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534" w:rsidRDefault="007A4534" w14:paraId="74D69C4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4534" w:rsidP="00923014" w:rsidRDefault="007A4534" w14:paraId="26A80ACE" w14:textId="20F7C566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A4534" w:rsidRDefault="007A4534" w14:paraId="17B35B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F79D1"/>
    <w:multiLevelType w:val="hybridMultilevel"/>
    <w:tmpl w:val="798695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18"/>
    <w:rsid w:val="000132F1"/>
    <w:rsid w:val="00015AD0"/>
    <w:rsid w:val="00017065"/>
    <w:rsid w:val="00031E8A"/>
    <w:rsid w:val="0003249F"/>
    <w:rsid w:val="00035B6C"/>
    <w:rsid w:val="000409DB"/>
    <w:rsid w:val="00040BE5"/>
    <w:rsid w:val="000429A5"/>
    <w:rsid w:val="00042C6C"/>
    <w:rsid w:val="00045A51"/>
    <w:rsid w:val="00046659"/>
    <w:rsid w:val="000466C5"/>
    <w:rsid w:val="00050D3F"/>
    <w:rsid w:val="00053AE9"/>
    <w:rsid w:val="00053CCF"/>
    <w:rsid w:val="000565F6"/>
    <w:rsid w:val="00057391"/>
    <w:rsid w:val="000603F5"/>
    <w:rsid w:val="00065350"/>
    <w:rsid w:val="00070E41"/>
    <w:rsid w:val="0007497A"/>
    <w:rsid w:val="000749F7"/>
    <w:rsid w:val="00080FFA"/>
    <w:rsid w:val="00086521"/>
    <w:rsid w:val="00087A5F"/>
    <w:rsid w:val="000975B2"/>
    <w:rsid w:val="000A1525"/>
    <w:rsid w:val="000A34E3"/>
    <w:rsid w:val="000A5FD7"/>
    <w:rsid w:val="000B028F"/>
    <w:rsid w:val="000B2A2A"/>
    <w:rsid w:val="000B3134"/>
    <w:rsid w:val="000B7961"/>
    <w:rsid w:val="000C2864"/>
    <w:rsid w:val="000C64FE"/>
    <w:rsid w:val="000D1545"/>
    <w:rsid w:val="000D7170"/>
    <w:rsid w:val="000F5E68"/>
    <w:rsid w:val="001022DC"/>
    <w:rsid w:val="0010357C"/>
    <w:rsid w:val="00112AE1"/>
    <w:rsid w:val="00114403"/>
    <w:rsid w:val="00116EAB"/>
    <w:rsid w:val="001211A0"/>
    <w:rsid w:val="00133FA8"/>
    <w:rsid w:val="00140160"/>
    <w:rsid w:val="00151ADB"/>
    <w:rsid w:val="0015266D"/>
    <w:rsid w:val="0015310B"/>
    <w:rsid w:val="001600F8"/>
    <w:rsid w:val="0016067D"/>
    <w:rsid w:val="00160B2B"/>
    <w:rsid w:val="00174BC5"/>
    <w:rsid w:val="00185139"/>
    <w:rsid w:val="0019314F"/>
    <w:rsid w:val="00193B74"/>
    <w:rsid w:val="00193B8F"/>
    <w:rsid w:val="00194D1F"/>
    <w:rsid w:val="001958CA"/>
    <w:rsid w:val="001A165C"/>
    <w:rsid w:val="001A5BBD"/>
    <w:rsid w:val="001B26EA"/>
    <w:rsid w:val="001B3877"/>
    <w:rsid w:val="001B5229"/>
    <w:rsid w:val="001C3289"/>
    <w:rsid w:val="001C596E"/>
    <w:rsid w:val="001D1FD8"/>
    <w:rsid w:val="001D5705"/>
    <w:rsid w:val="001E055A"/>
    <w:rsid w:val="001E23F3"/>
    <w:rsid w:val="001F5EC9"/>
    <w:rsid w:val="002015B1"/>
    <w:rsid w:val="00210E7D"/>
    <w:rsid w:val="00211ACB"/>
    <w:rsid w:val="00214104"/>
    <w:rsid w:val="00214A64"/>
    <w:rsid w:val="00217FDF"/>
    <w:rsid w:val="00222ECE"/>
    <w:rsid w:val="00224145"/>
    <w:rsid w:val="002259BB"/>
    <w:rsid w:val="0023642E"/>
    <w:rsid w:val="00242C7F"/>
    <w:rsid w:val="00243F3F"/>
    <w:rsid w:val="002445E7"/>
    <w:rsid w:val="0025232A"/>
    <w:rsid w:val="0025260A"/>
    <w:rsid w:val="002570B6"/>
    <w:rsid w:val="00263389"/>
    <w:rsid w:val="0026408B"/>
    <w:rsid w:val="0026418D"/>
    <w:rsid w:val="00265EEE"/>
    <w:rsid w:val="00266533"/>
    <w:rsid w:val="00266CCF"/>
    <w:rsid w:val="00267545"/>
    <w:rsid w:val="00270B21"/>
    <w:rsid w:val="00271275"/>
    <w:rsid w:val="00273B40"/>
    <w:rsid w:val="00280AFA"/>
    <w:rsid w:val="002818AA"/>
    <w:rsid w:val="00283081"/>
    <w:rsid w:val="0028450A"/>
    <w:rsid w:val="002847B9"/>
    <w:rsid w:val="00284F1A"/>
    <w:rsid w:val="00292D49"/>
    <w:rsid w:val="00296A16"/>
    <w:rsid w:val="002A5686"/>
    <w:rsid w:val="002A6CB2"/>
    <w:rsid w:val="002B3937"/>
    <w:rsid w:val="002B6D79"/>
    <w:rsid w:val="002C12B2"/>
    <w:rsid w:val="002C19C8"/>
    <w:rsid w:val="002C415F"/>
    <w:rsid w:val="002C67DB"/>
    <w:rsid w:val="002C6966"/>
    <w:rsid w:val="002D084B"/>
    <w:rsid w:val="002D0BBC"/>
    <w:rsid w:val="002E33F0"/>
    <w:rsid w:val="002E368A"/>
    <w:rsid w:val="002F3244"/>
    <w:rsid w:val="002F65C2"/>
    <w:rsid w:val="002F7C9B"/>
    <w:rsid w:val="00301F99"/>
    <w:rsid w:val="003041A8"/>
    <w:rsid w:val="003067D0"/>
    <w:rsid w:val="00307BB2"/>
    <w:rsid w:val="00311E42"/>
    <w:rsid w:val="0031789E"/>
    <w:rsid w:val="00320CA4"/>
    <w:rsid w:val="00337D02"/>
    <w:rsid w:val="00347938"/>
    <w:rsid w:val="0036265B"/>
    <w:rsid w:val="00362E1D"/>
    <w:rsid w:val="003636F7"/>
    <w:rsid w:val="00364987"/>
    <w:rsid w:val="00365259"/>
    <w:rsid w:val="00376DA9"/>
    <w:rsid w:val="003778DC"/>
    <w:rsid w:val="0038036C"/>
    <w:rsid w:val="0038210A"/>
    <w:rsid w:val="00385F5D"/>
    <w:rsid w:val="00393273"/>
    <w:rsid w:val="00396753"/>
    <w:rsid w:val="003B2A56"/>
    <w:rsid w:val="003C0601"/>
    <w:rsid w:val="003C2C23"/>
    <w:rsid w:val="003C451C"/>
    <w:rsid w:val="003D09CC"/>
    <w:rsid w:val="003D0CD2"/>
    <w:rsid w:val="003D49CF"/>
    <w:rsid w:val="003E1559"/>
    <w:rsid w:val="003E44EF"/>
    <w:rsid w:val="003E5142"/>
    <w:rsid w:val="003E72CB"/>
    <w:rsid w:val="003F71ED"/>
    <w:rsid w:val="00400BC0"/>
    <w:rsid w:val="00402252"/>
    <w:rsid w:val="00402281"/>
    <w:rsid w:val="004106E9"/>
    <w:rsid w:val="004216B6"/>
    <w:rsid w:val="00421D08"/>
    <w:rsid w:val="0042239C"/>
    <w:rsid w:val="004230A1"/>
    <w:rsid w:val="00424A68"/>
    <w:rsid w:val="00425364"/>
    <w:rsid w:val="0042548E"/>
    <w:rsid w:val="00425DD9"/>
    <w:rsid w:val="00425EE4"/>
    <w:rsid w:val="00426252"/>
    <w:rsid w:val="00441797"/>
    <w:rsid w:val="004428F2"/>
    <w:rsid w:val="00442D77"/>
    <w:rsid w:val="004430B0"/>
    <w:rsid w:val="00444193"/>
    <w:rsid w:val="00450B1F"/>
    <w:rsid w:val="00452204"/>
    <w:rsid w:val="0045278C"/>
    <w:rsid w:val="00454D95"/>
    <w:rsid w:val="004564E0"/>
    <w:rsid w:val="0046534C"/>
    <w:rsid w:val="00467953"/>
    <w:rsid w:val="00471595"/>
    <w:rsid w:val="00471FE3"/>
    <w:rsid w:val="00472011"/>
    <w:rsid w:val="00477167"/>
    <w:rsid w:val="00482BB3"/>
    <w:rsid w:val="00490452"/>
    <w:rsid w:val="004908C3"/>
    <w:rsid w:val="004916A5"/>
    <w:rsid w:val="00493E2A"/>
    <w:rsid w:val="00495C87"/>
    <w:rsid w:val="004A3AE0"/>
    <w:rsid w:val="004A6913"/>
    <w:rsid w:val="004B1EA5"/>
    <w:rsid w:val="004B364B"/>
    <w:rsid w:val="004B4548"/>
    <w:rsid w:val="004B479B"/>
    <w:rsid w:val="004C1B5F"/>
    <w:rsid w:val="004C635C"/>
    <w:rsid w:val="004C6C3B"/>
    <w:rsid w:val="004D30EC"/>
    <w:rsid w:val="004D7731"/>
    <w:rsid w:val="004E0B23"/>
    <w:rsid w:val="004E1330"/>
    <w:rsid w:val="004F1CD7"/>
    <w:rsid w:val="004F2306"/>
    <w:rsid w:val="004F3EB1"/>
    <w:rsid w:val="004F76A6"/>
    <w:rsid w:val="005018F5"/>
    <w:rsid w:val="00507027"/>
    <w:rsid w:val="00511031"/>
    <w:rsid w:val="00512CF6"/>
    <w:rsid w:val="00522D7E"/>
    <w:rsid w:val="00524A7C"/>
    <w:rsid w:val="00525089"/>
    <w:rsid w:val="005262C6"/>
    <w:rsid w:val="00526336"/>
    <w:rsid w:val="00534552"/>
    <w:rsid w:val="00542AA6"/>
    <w:rsid w:val="00551A0F"/>
    <w:rsid w:val="00552DA9"/>
    <w:rsid w:val="005562C2"/>
    <w:rsid w:val="00556E46"/>
    <w:rsid w:val="00561492"/>
    <w:rsid w:val="005679B3"/>
    <w:rsid w:val="005811B5"/>
    <w:rsid w:val="00584DFC"/>
    <w:rsid w:val="00590AAF"/>
    <w:rsid w:val="005A01E7"/>
    <w:rsid w:val="005A0432"/>
    <w:rsid w:val="005A2218"/>
    <w:rsid w:val="005A4FE6"/>
    <w:rsid w:val="005B129B"/>
    <w:rsid w:val="005B205D"/>
    <w:rsid w:val="005B20D1"/>
    <w:rsid w:val="005B3F46"/>
    <w:rsid w:val="005C5307"/>
    <w:rsid w:val="005D16E8"/>
    <w:rsid w:val="005D488E"/>
    <w:rsid w:val="005D73F7"/>
    <w:rsid w:val="005D7798"/>
    <w:rsid w:val="005F0E10"/>
    <w:rsid w:val="005F5E0A"/>
    <w:rsid w:val="005F73D4"/>
    <w:rsid w:val="00607541"/>
    <w:rsid w:val="006243B1"/>
    <w:rsid w:val="00624D16"/>
    <w:rsid w:val="00631147"/>
    <w:rsid w:val="00631A0D"/>
    <w:rsid w:val="006329CD"/>
    <w:rsid w:val="006349E0"/>
    <w:rsid w:val="006428E8"/>
    <w:rsid w:val="00647EB4"/>
    <w:rsid w:val="00654A9C"/>
    <w:rsid w:val="00655AC1"/>
    <w:rsid w:val="006651BC"/>
    <w:rsid w:val="00665649"/>
    <w:rsid w:val="00666871"/>
    <w:rsid w:val="00673BF6"/>
    <w:rsid w:val="006817DF"/>
    <w:rsid w:val="00685248"/>
    <w:rsid w:val="00685C10"/>
    <w:rsid w:val="0068616F"/>
    <w:rsid w:val="0069095A"/>
    <w:rsid w:val="00691DA6"/>
    <w:rsid w:val="00696675"/>
    <w:rsid w:val="006A050C"/>
    <w:rsid w:val="006A3879"/>
    <w:rsid w:val="006A50EF"/>
    <w:rsid w:val="006A773F"/>
    <w:rsid w:val="006B3758"/>
    <w:rsid w:val="006B4CC0"/>
    <w:rsid w:val="006B5A84"/>
    <w:rsid w:val="006C6346"/>
    <w:rsid w:val="006D0198"/>
    <w:rsid w:val="006E267F"/>
    <w:rsid w:val="006E646F"/>
    <w:rsid w:val="006F59AA"/>
    <w:rsid w:val="007002EC"/>
    <w:rsid w:val="00704F52"/>
    <w:rsid w:val="00706EC0"/>
    <w:rsid w:val="0070704B"/>
    <w:rsid w:val="0071109C"/>
    <w:rsid w:val="007134E9"/>
    <w:rsid w:val="00714EBF"/>
    <w:rsid w:val="007167C1"/>
    <w:rsid w:val="00722FB0"/>
    <w:rsid w:val="00723C29"/>
    <w:rsid w:val="007270FE"/>
    <w:rsid w:val="00730D52"/>
    <w:rsid w:val="00730DF7"/>
    <w:rsid w:val="0073288E"/>
    <w:rsid w:val="0073717E"/>
    <w:rsid w:val="007409BD"/>
    <w:rsid w:val="00743B1D"/>
    <w:rsid w:val="007544FB"/>
    <w:rsid w:val="00760BEE"/>
    <w:rsid w:val="007624CB"/>
    <w:rsid w:val="007648C6"/>
    <w:rsid w:val="00766C82"/>
    <w:rsid w:val="0077343C"/>
    <w:rsid w:val="00783B65"/>
    <w:rsid w:val="00784639"/>
    <w:rsid w:val="00790453"/>
    <w:rsid w:val="00790CF1"/>
    <w:rsid w:val="0079480C"/>
    <w:rsid w:val="00795DED"/>
    <w:rsid w:val="007A00DB"/>
    <w:rsid w:val="007A2691"/>
    <w:rsid w:val="007A4534"/>
    <w:rsid w:val="007A6B1E"/>
    <w:rsid w:val="007B0914"/>
    <w:rsid w:val="007B2CFD"/>
    <w:rsid w:val="007C0D0B"/>
    <w:rsid w:val="007D1CF2"/>
    <w:rsid w:val="007E3B54"/>
    <w:rsid w:val="007E71AD"/>
    <w:rsid w:val="007F618B"/>
    <w:rsid w:val="007F6693"/>
    <w:rsid w:val="0080614F"/>
    <w:rsid w:val="008118CB"/>
    <w:rsid w:val="008130A6"/>
    <w:rsid w:val="00813DDC"/>
    <w:rsid w:val="00813FAA"/>
    <w:rsid w:val="008145E9"/>
    <w:rsid w:val="008149EF"/>
    <w:rsid w:val="00814BE1"/>
    <w:rsid w:val="0081583E"/>
    <w:rsid w:val="008174BC"/>
    <w:rsid w:val="00817914"/>
    <w:rsid w:val="008226A2"/>
    <w:rsid w:val="008244ED"/>
    <w:rsid w:val="008325D9"/>
    <w:rsid w:val="00832FEE"/>
    <w:rsid w:val="00837418"/>
    <w:rsid w:val="00837EB6"/>
    <w:rsid w:val="008421FB"/>
    <w:rsid w:val="00845895"/>
    <w:rsid w:val="00851118"/>
    <w:rsid w:val="00854657"/>
    <w:rsid w:val="00855303"/>
    <w:rsid w:val="0086411E"/>
    <w:rsid w:val="008654FB"/>
    <w:rsid w:val="00871886"/>
    <w:rsid w:val="00877C79"/>
    <w:rsid w:val="00882088"/>
    <w:rsid w:val="00896328"/>
    <w:rsid w:val="008A4360"/>
    <w:rsid w:val="008A5452"/>
    <w:rsid w:val="008B2B5A"/>
    <w:rsid w:val="008C111F"/>
    <w:rsid w:val="008C79D6"/>
    <w:rsid w:val="008D0A5C"/>
    <w:rsid w:val="008D5029"/>
    <w:rsid w:val="008F3DAF"/>
    <w:rsid w:val="008F4BD9"/>
    <w:rsid w:val="009006CE"/>
    <w:rsid w:val="00900CD8"/>
    <w:rsid w:val="0090423F"/>
    <w:rsid w:val="009071E8"/>
    <w:rsid w:val="009126B5"/>
    <w:rsid w:val="009205CB"/>
    <w:rsid w:val="00922D8A"/>
    <w:rsid w:val="00923014"/>
    <w:rsid w:val="00932C3F"/>
    <w:rsid w:val="00932F2F"/>
    <w:rsid w:val="009352ED"/>
    <w:rsid w:val="00936E6C"/>
    <w:rsid w:val="009377A6"/>
    <w:rsid w:val="0094189D"/>
    <w:rsid w:val="009425EC"/>
    <w:rsid w:val="009435AA"/>
    <w:rsid w:val="0095036E"/>
    <w:rsid w:val="00955B92"/>
    <w:rsid w:val="00963117"/>
    <w:rsid w:val="0096329D"/>
    <w:rsid w:val="00967A9E"/>
    <w:rsid w:val="00971E56"/>
    <w:rsid w:val="00976BA0"/>
    <w:rsid w:val="00976FCC"/>
    <w:rsid w:val="009813B1"/>
    <w:rsid w:val="009834D7"/>
    <w:rsid w:val="009837FA"/>
    <w:rsid w:val="0098745E"/>
    <w:rsid w:val="00995758"/>
    <w:rsid w:val="00995F83"/>
    <w:rsid w:val="009A0AC2"/>
    <w:rsid w:val="009B59E5"/>
    <w:rsid w:val="009C0E81"/>
    <w:rsid w:val="009D2E32"/>
    <w:rsid w:val="009E4AF5"/>
    <w:rsid w:val="009E6638"/>
    <w:rsid w:val="009E72EA"/>
    <w:rsid w:val="009E79CD"/>
    <w:rsid w:val="00A03C4F"/>
    <w:rsid w:val="00A07953"/>
    <w:rsid w:val="00A07C74"/>
    <w:rsid w:val="00A13DD4"/>
    <w:rsid w:val="00A14385"/>
    <w:rsid w:val="00A157A3"/>
    <w:rsid w:val="00A1787D"/>
    <w:rsid w:val="00A202FB"/>
    <w:rsid w:val="00A264E4"/>
    <w:rsid w:val="00A31EBA"/>
    <w:rsid w:val="00A34682"/>
    <w:rsid w:val="00A358C9"/>
    <w:rsid w:val="00A36D3E"/>
    <w:rsid w:val="00A40B8F"/>
    <w:rsid w:val="00A40F9F"/>
    <w:rsid w:val="00A500A3"/>
    <w:rsid w:val="00A51261"/>
    <w:rsid w:val="00A52E93"/>
    <w:rsid w:val="00A552DF"/>
    <w:rsid w:val="00A562A4"/>
    <w:rsid w:val="00A60C63"/>
    <w:rsid w:val="00A64132"/>
    <w:rsid w:val="00A707E9"/>
    <w:rsid w:val="00A73BF1"/>
    <w:rsid w:val="00A749BF"/>
    <w:rsid w:val="00A74FA0"/>
    <w:rsid w:val="00A808EA"/>
    <w:rsid w:val="00A81DB1"/>
    <w:rsid w:val="00A869D9"/>
    <w:rsid w:val="00A91024"/>
    <w:rsid w:val="00A937EC"/>
    <w:rsid w:val="00A94C3D"/>
    <w:rsid w:val="00A9541E"/>
    <w:rsid w:val="00A96F01"/>
    <w:rsid w:val="00AB092E"/>
    <w:rsid w:val="00AB19B6"/>
    <w:rsid w:val="00AC2AB3"/>
    <w:rsid w:val="00AD4C39"/>
    <w:rsid w:val="00AF00E1"/>
    <w:rsid w:val="00AF09E6"/>
    <w:rsid w:val="00AF3696"/>
    <w:rsid w:val="00B01116"/>
    <w:rsid w:val="00B07EAC"/>
    <w:rsid w:val="00B12CE8"/>
    <w:rsid w:val="00B13B46"/>
    <w:rsid w:val="00B23334"/>
    <w:rsid w:val="00B23F2F"/>
    <w:rsid w:val="00B24DD3"/>
    <w:rsid w:val="00B3088C"/>
    <w:rsid w:val="00B36B09"/>
    <w:rsid w:val="00B375A8"/>
    <w:rsid w:val="00B37EEF"/>
    <w:rsid w:val="00B41703"/>
    <w:rsid w:val="00B4250B"/>
    <w:rsid w:val="00B425B2"/>
    <w:rsid w:val="00B44033"/>
    <w:rsid w:val="00B44116"/>
    <w:rsid w:val="00B44E39"/>
    <w:rsid w:val="00B47DF7"/>
    <w:rsid w:val="00B502BC"/>
    <w:rsid w:val="00B512EB"/>
    <w:rsid w:val="00B564D4"/>
    <w:rsid w:val="00B57AA9"/>
    <w:rsid w:val="00B61B0A"/>
    <w:rsid w:val="00B6446E"/>
    <w:rsid w:val="00B657F4"/>
    <w:rsid w:val="00B67BAC"/>
    <w:rsid w:val="00B70025"/>
    <w:rsid w:val="00B7191F"/>
    <w:rsid w:val="00B774F4"/>
    <w:rsid w:val="00B85697"/>
    <w:rsid w:val="00B85D07"/>
    <w:rsid w:val="00B90538"/>
    <w:rsid w:val="00B90AC5"/>
    <w:rsid w:val="00B92364"/>
    <w:rsid w:val="00B95C61"/>
    <w:rsid w:val="00B979E4"/>
    <w:rsid w:val="00BA0D43"/>
    <w:rsid w:val="00BA2A96"/>
    <w:rsid w:val="00BA3A69"/>
    <w:rsid w:val="00BB3200"/>
    <w:rsid w:val="00BB37A2"/>
    <w:rsid w:val="00BB47C6"/>
    <w:rsid w:val="00BC3EA3"/>
    <w:rsid w:val="00BD54C1"/>
    <w:rsid w:val="00BD5835"/>
    <w:rsid w:val="00BD6430"/>
    <w:rsid w:val="00BE1AF8"/>
    <w:rsid w:val="00BE1CA2"/>
    <w:rsid w:val="00BE29DE"/>
    <w:rsid w:val="00BE60B5"/>
    <w:rsid w:val="00BE745B"/>
    <w:rsid w:val="00BF22FF"/>
    <w:rsid w:val="00BF36C7"/>
    <w:rsid w:val="00BF5CD7"/>
    <w:rsid w:val="00BF6765"/>
    <w:rsid w:val="00C007C7"/>
    <w:rsid w:val="00C064D2"/>
    <w:rsid w:val="00C11989"/>
    <w:rsid w:val="00C174C3"/>
    <w:rsid w:val="00C17976"/>
    <w:rsid w:val="00C301C6"/>
    <w:rsid w:val="00C33016"/>
    <w:rsid w:val="00C3333C"/>
    <w:rsid w:val="00C34D8D"/>
    <w:rsid w:val="00C46D3A"/>
    <w:rsid w:val="00C475B3"/>
    <w:rsid w:val="00C50543"/>
    <w:rsid w:val="00C55A8C"/>
    <w:rsid w:val="00C601C7"/>
    <w:rsid w:val="00C61874"/>
    <w:rsid w:val="00C662DA"/>
    <w:rsid w:val="00C73D32"/>
    <w:rsid w:val="00C75770"/>
    <w:rsid w:val="00C802CC"/>
    <w:rsid w:val="00C8204F"/>
    <w:rsid w:val="00C850AB"/>
    <w:rsid w:val="00C87A6A"/>
    <w:rsid w:val="00C91239"/>
    <w:rsid w:val="00C91E1A"/>
    <w:rsid w:val="00C9260B"/>
    <w:rsid w:val="00CA33DE"/>
    <w:rsid w:val="00CA729C"/>
    <w:rsid w:val="00CB060E"/>
    <w:rsid w:val="00CB12C8"/>
    <w:rsid w:val="00CB661A"/>
    <w:rsid w:val="00CB6894"/>
    <w:rsid w:val="00CC07AE"/>
    <w:rsid w:val="00CC2357"/>
    <w:rsid w:val="00CC3798"/>
    <w:rsid w:val="00CC5DCC"/>
    <w:rsid w:val="00CD1A80"/>
    <w:rsid w:val="00CD4D18"/>
    <w:rsid w:val="00CD4F77"/>
    <w:rsid w:val="00CD557A"/>
    <w:rsid w:val="00CE731F"/>
    <w:rsid w:val="00CF08F2"/>
    <w:rsid w:val="00CF150A"/>
    <w:rsid w:val="00CF19DA"/>
    <w:rsid w:val="00CF1F58"/>
    <w:rsid w:val="00CF28E5"/>
    <w:rsid w:val="00D01CAD"/>
    <w:rsid w:val="00D02649"/>
    <w:rsid w:val="00D02FF4"/>
    <w:rsid w:val="00D14096"/>
    <w:rsid w:val="00D21C15"/>
    <w:rsid w:val="00D22884"/>
    <w:rsid w:val="00D353DC"/>
    <w:rsid w:val="00D368BB"/>
    <w:rsid w:val="00D46453"/>
    <w:rsid w:val="00D46A40"/>
    <w:rsid w:val="00D47B13"/>
    <w:rsid w:val="00D47D98"/>
    <w:rsid w:val="00D509AB"/>
    <w:rsid w:val="00D524E9"/>
    <w:rsid w:val="00D53FCE"/>
    <w:rsid w:val="00D55699"/>
    <w:rsid w:val="00D63E48"/>
    <w:rsid w:val="00D66A97"/>
    <w:rsid w:val="00D716A3"/>
    <w:rsid w:val="00D73261"/>
    <w:rsid w:val="00D76D09"/>
    <w:rsid w:val="00D77963"/>
    <w:rsid w:val="00D84D08"/>
    <w:rsid w:val="00D84DDE"/>
    <w:rsid w:val="00D92EA4"/>
    <w:rsid w:val="00D9396E"/>
    <w:rsid w:val="00D93D77"/>
    <w:rsid w:val="00DA1510"/>
    <w:rsid w:val="00DA2B47"/>
    <w:rsid w:val="00DA4E09"/>
    <w:rsid w:val="00DA5F12"/>
    <w:rsid w:val="00DB17A1"/>
    <w:rsid w:val="00DB4A10"/>
    <w:rsid w:val="00DB6651"/>
    <w:rsid w:val="00DB6C3B"/>
    <w:rsid w:val="00DC1B44"/>
    <w:rsid w:val="00DD2BD2"/>
    <w:rsid w:val="00DD7BA8"/>
    <w:rsid w:val="00DE1992"/>
    <w:rsid w:val="00DE1FF2"/>
    <w:rsid w:val="00DE2C8A"/>
    <w:rsid w:val="00DE3F16"/>
    <w:rsid w:val="00DE726E"/>
    <w:rsid w:val="00DE732F"/>
    <w:rsid w:val="00DE785B"/>
    <w:rsid w:val="00DF2574"/>
    <w:rsid w:val="00DF4BAF"/>
    <w:rsid w:val="00E023A2"/>
    <w:rsid w:val="00E02DDC"/>
    <w:rsid w:val="00E04970"/>
    <w:rsid w:val="00E242E1"/>
    <w:rsid w:val="00E25F52"/>
    <w:rsid w:val="00E26C37"/>
    <w:rsid w:val="00E276CC"/>
    <w:rsid w:val="00E35A8C"/>
    <w:rsid w:val="00E40874"/>
    <w:rsid w:val="00E4789B"/>
    <w:rsid w:val="00E55E4C"/>
    <w:rsid w:val="00E57093"/>
    <w:rsid w:val="00E6072B"/>
    <w:rsid w:val="00E62B3A"/>
    <w:rsid w:val="00E679D4"/>
    <w:rsid w:val="00E73AEA"/>
    <w:rsid w:val="00E7474A"/>
    <w:rsid w:val="00E77A10"/>
    <w:rsid w:val="00E85221"/>
    <w:rsid w:val="00E878B1"/>
    <w:rsid w:val="00E91929"/>
    <w:rsid w:val="00E929EE"/>
    <w:rsid w:val="00E95666"/>
    <w:rsid w:val="00E96649"/>
    <w:rsid w:val="00EA0862"/>
    <w:rsid w:val="00EA2AD2"/>
    <w:rsid w:val="00EA4942"/>
    <w:rsid w:val="00EB2E5B"/>
    <w:rsid w:val="00EB60B6"/>
    <w:rsid w:val="00EC120E"/>
    <w:rsid w:val="00ED371E"/>
    <w:rsid w:val="00ED7F6A"/>
    <w:rsid w:val="00EE2BB5"/>
    <w:rsid w:val="00EE2CB7"/>
    <w:rsid w:val="00EE39A4"/>
    <w:rsid w:val="00EE5B1B"/>
    <w:rsid w:val="00EE62DA"/>
    <w:rsid w:val="00EF1F92"/>
    <w:rsid w:val="00EF267A"/>
    <w:rsid w:val="00F03978"/>
    <w:rsid w:val="00F07A23"/>
    <w:rsid w:val="00F10285"/>
    <w:rsid w:val="00F10CDA"/>
    <w:rsid w:val="00F26BDD"/>
    <w:rsid w:val="00F26EF5"/>
    <w:rsid w:val="00F32255"/>
    <w:rsid w:val="00F350F3"/>
    <w:rsid w:val="00F3681D"/>
    <w:rsid w:val="00F42482"/>
    <w:rsid w:val="00F5359F"/>
    <w:rsid w:val="00F53CDE"/>
    <w:rsid w:val="00F6070B"/>
    <w:rsid w:val="00F629D2"/>
    <w:rsid w:val="00F65CCB"/>
    <w:rsid w:val="00F67A29"/>
    <w:rsid w:val="00F71A58"/>
    <w:rsid w:val="00F75681"/>
    <w:rsid w:val="00F77FC4"/>
    <w:rsid w:val="00F81B68"/>
    <w:rsid w:val="00F83202"/>
    <w:rsid w:val="00F85088"/>
    <w:rsid w:val="00F851B4"/>
    <w:rsid w:val="00F904B8"/>
    <w:rsid w:val="00F9124E"/>
    <w:rsid w:val="00F93E7A"/>
    <w:rsid w:val="00F94BF1"/>
    <w:rsid w:val="00F96F9F"/>
    <w:rsid w:val="00FA208D"/>
    <w:rsid w:val="00FB61FF"/>
    <w:rsid w:val="00FB6748"/>
    <w:rsid w:val="00FC0E2E"/>
    <w:rsid w:val="00FC1D0C"/>
    <w:rsid w:val="00FC334A"/>
    <w:rsid w:val="00FD17C1"/>
    <w:rsid w:val="00FD507C"/>
    <w:rsid w:val="00FD7418"/>
    <w:rsid w:val="00FE0063"/>
    <w:rsid w:val="00FE3D4E"/>
    <w:rsid w:val="00FE5137"/>
    <w:rsid w:val="00FE7DCB"/>
    <w:rsid w:val="00FF3E44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1D767"/>
  <w15:chartTrackingRefBased/>
  <w15:docId w15:val="{38BF6DFA-996A-4237-B9D6-E707B444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B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9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51A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7418"/>
    <w:pPr>
      <w:jc w:val="center"/>
      <w:outlineLvl w:val="0"/>
    </w:pPr>
    <w:rPr>
      <w:b/>
      <w:sz w:val="28"/>
      <w:lang w:eastAsia="en-US"/>
    </w:rPr>
  </w:style>
  <w:style w:type="paragraph" w:styleId="Header">
    <w:name w:val="header"/>
    <w:basedOn w:val="Normal"/>
    <w:rsid w:val="00FD74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74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75B3"/>
  </w:style>
  <w:style w:type="paragraph" w:styleId="BodyText2">
    <w:name w:val="Body Text 2"/>
    <w:basedOn w:val="Normal"/>
    <w:link w:val="BodyText2Char"/>
    <w:rsid w:val="00C475B3"/>
    <w:pPr>
      <w:jc w:val="both"/>
    </w:pPr>
    <w:rPr>
      <w:sz w:val="28"/>
      <w:szCs w:val="20"/>
      <w:lang w:eastAsia="en-US"/>
    </w:rPr>
  </w:style>
  <w:style w:type="paragraph" w:customStyle="1" w:styleId="naisf">
    <w:name w:val="naisf"/>
    <w:basedOn w:val="Normal"/>
    <w:rsid w:val="0066687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666871"/>
    <w:pPr>
      <w:spacing w:before="75" w:after="75"/>
      <w:jc w:val="center"/>
    </w:pPr>
  </w:style>
  <w:style w:type="paragraph" w:styleId="BalloonText">
    <w:name w:val="Balloon Text"/>
    <w:basedOn w:val="Normal"/>
    <w:semiHidden/>
    <w:rsid w:val="00B502B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A500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9541E"/>
    <w:pPr>
      <w:spacing w:before="100" w:beforeAutospacing="1" w:after="100" w:afterAutospacing="1"/>
    </w:pPr>
  </w:style>
  <w:style w:type="character" w:customStyle="1" w:styleId="BodyText2Char">
    <w:name w:val="Body Text 2 Char"/>
    <w:link w:val="BodyText2"/>
    <w:rsid w:val="00CB661A"/>
    <w:rPr>
      <w:sz w:val="28"/>
      <w:lang w:eastAsia="en-US"/>
    </w:rPr>
  </w:style>
  <w:style w:type="character" w:customStyle="1" w:styleId="Heading3Char">
    <w:name w:val="Heading 3 Char"/>
    <w:link w:val="Heading3"/>
    <w:uiPriority w:val="9"/>
    <w:rsid w:val="00551A0F"/>
    <w:rPr>
      <w:b/>
      <w:bCs/>
      <w:sz w:val="27"/>
      <w:szCs w:val="27"/>
    </w:rPr>
  </w:style>
  <w:style w:type="paragraph" w:customStyle="1" w:styleId="naisnod">
    <w:name w:val="naisnod"/>
    <w:basedOn w:val="Normal"/>
    <w:rsid w:val="00551A0F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551A0F"/>
    <w:pPr>
      <w:spacing w:before="100" w:beforeAutospacing="1" w:after="100" w:afterAutospacing="1"/>
    </w:pPr>
  </w:style>
  <w:style w:type="paragraph" w:customStyle="1" w:styleId="tv2121">
    <w:name w:val="tv2121"/>
    <w:basedOn w:val="Normal"/>
    <w:rsid w:val="00551A0F"/>
    <w:pPr>
      <w:spacing w:before="400" w:line="360" w:lineRule="auto"/>
      <w:jc w:val="center"/>
    </w:pPr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22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774F4"/>
    <w:rPr>
      <w:color w:val="0000FF"/>
      <w:u w:val="single"/>
    </w:rPr>
  </w:style>
  <w:style w:type="character" w:customStyle="1" w:styleId="Heading1Char">
    <w:name w:val="Heading 1 Char"/>
    <w:link w:val="Heading1"/>
    <w:rsid w:val="00E919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524A7C"/>
    <w:pPr>
      <w:spacing w:after="120"/>
    </w:pPr>
  </w:style>
  <w:style w:type="character" w:customStyle="1" w:styleId="BodyTextChar">
    <w:name w:val="Body Text Char"/>
    <w:link w:val="BodyText"/>
    <w:rsid w:val="00524A7C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5D488E"/>
    <w:rPr>
      <w:color w:val="808080"/>
      <w:shd w:val="clear" w:color="auto" w:fill="E6E6E6"/>
    </w:rPr>
  </w:style>
  <w:style w:type="character" w:customStyle="1" w:styleId="sentence">
    <w:name w:val="sentence"/>
    <w:rsid w:val="00542AA6"/>
  </w:style>
  <w:style w:type="character" w:customStyle="1" w:styleId="word">
    <w:name w:val="word"/>
    <w:rsid w:val="00542AA6"/>
  </w:style>
  <w:style w:type="character" w:customStyle="1" w:styleId="TitleChar">
    <w:name w:val="Title Char"/>
    <w:link w:val="Title"/>
    <w:rsid w:val="00F10CDA"/>
    <w:rPr>
      <w:b/>
      <w:sz w:val="28"/>
      <w:szCs w:val="24"/>
      <w:lang w:val="lv-LV"/>
    </w:rPr>
  </w:style>
  <w:style w:type="character" w:styleId="Strong">
    <w:name w:val="Strong"/>
    <w:uiPriority w:val="22"/>
    <w:qFormat/>
    <w:rsid w:val="00877C79"/>
    <w:rPr>
      <w:b/>
      <w:bCs/>
    </w:rPr>
  </w:style>
  <w:style w:type="paragraph" w:styleId="NormalWeb">
    <w:name w:val="Normal (Web)"/>
    <w:basedOn w:val="Normal"/>
    <w:uiPriority w:val="99"/>
    <w:rsid w:val="00EA4942"/>
    <w:pPr>
      <w:spacing w:before="75" w:after="75"/>
    </w:pPr>
  </w:style>
  <w:style w:type="character" w:customStyle="1" w:styleId="phrase">
    <w:name w:val="phrase"/>
    <w:rsid w:val="00D47D98"/>
  </w:style>
  <w:style w:type="paragraph" w:customStyle="1" w:styleId="Default">
    <w:name w:val="Default"/>
    <w:rsid w:val="00814BE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D76D09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D76D09"/>
    <w:rPr>
      <w:rFonts w:ascii="EUAlbertina" w:hAnsi="EUAlbertina"/>
      <w:color w:val="auto"/>
    </w:rPr>
  </w:style>
  <w:style w:type="paragraph" w:styleId="FootnoteText">
    <w:name w:val="footnote text"/>
    <w:basedOn w:val="Normal"/>
    <w:link w:val="FootnoteTextChar"/>
    <w:rsid w:val="00A346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4682"/>
  </w:style>
  <w:style w:type="character" w:styleId="FootnoteReference">
    <w:name w:val="footnote reference"/>
    <w:basedOn w:val="DefaultParagraphFont"/>
    <w:rsid w:val="00A34682"/>
    <w:rPr>
      <w:vertAlign w:val="superscript"/>
    </w:rPr>
  </w:style>
  <w:style w:type="table" w:styleId="TableGrid">
    <w:name w:val="Table Grid"/>
    <w:basedOn w:val="TableNormal"/>
    <w:rsid w:val="00A3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909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095A"/>
  </w:style>
  <w:style w:type="paragraph" w:styleId="CommentSubject">
    <w:name w:val="annotation subject"/>
    <w:basedOn w:val="CommentText"/>
    <w:next w:val="CommentText"/>
    <w:link w:val="CommentSubjectChar"/>
    <w:rsid w:val="00690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095A"/>
    <w:rPr>
      <w:b/>
      <w:bCs/>
    </w:rPr>
  </w:style>
  <w:style w:type="paragraph" w:styleId="Revision">
    <w:name w:val="Revision"/>
    <w:hidden/>
    <w:uiPriority w:val="99"/>
    <w:semiHidden/>
    <w:rsid w:val="00D63E4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267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E267F"/>
    <w:rPr>
      <w:rFonts w:asciiTheme="minorHAnsi" w:eastAsiaTheme="minorHAnsi" w:hAnsiTheme="minorHAnsi" w:cstheme="minorBidi"/>
      <w:sz w:val="22"/>
      <w:szCs w:val="22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26BDD"/>
    <w:rPr>
      <w:rFonts w:asciiTheme="minorHAnsi" w:eastAsiaTheme="minorHAnsi" w:hAnsiTheme="minorHAnsi" w:cstheme="minorBidi"/>
      <w:sz w:val="22"/>
      <w:szCs w:val="22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Berzin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F6D5-AB41-4204-895F-AA59AF73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6009</Words>
  <Characters>3426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"Par pievienotās vērtības nodokļa summas, kas nav atgūstama kā priekšnodoklis, kompensēšanu Igaunijas Republikai un Lietuvas Republikai akciju sabiedrības “RB Rail” veikto aktivitāšu ietvaros"</vt:lpstr>
    </vt:vector>
  </TitlesOfParts>
  <Company>Satiksmes Ministrija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pievienotās vērtības nodokļa summas, kas nav atgūstama kā priekšnodoklis, kompensēšanu Igaunijas Republikai un Lietuvas Republikai akciju sabiedrības “RB Rail” veikto aktivitāšu ietvaros"</dc:title>
  <dc:subject>Anotācija</dc:subject>
  <dc:creator>Kārlis Enģelis</dc:creator>
  <cp:keywords>Anotācija</cp:keywords>
  <dc:description>O.Bērziņa, 67028083
Olita.Berzina@sam.gov.lv</dc:description>
  <cp:lastModifiedBy>Baiba Jirgena</cp:lastModifiedBy>
  <cp:revision>10</cp:revision>
  <cp:lastPrinted>2020-06-09T05:42:00Z</cp:lastPrinted>
  <dcterms:created xsi:type="dcterms:W3CDTF">2020-11-13T07:42:00Z</dcterms:created>
  <dcterms:modified xsi:type="dcterms:W3CDTF">2020-11-24T14:59:00Z</dcterms:modified>
</cp:coreProperties>
</file>