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BE9EB8" w14:textId="1076DCA4" w:rsidR="00482B6E" w:rsidRPr="000A47F1" w:rsidRDefault="007559D4" w:rsidP="00482B6E">
      <w:pPr>
        <w:jc w:val="center"/>
        <w:rPr>
          <w:b/>
          <w:color w:val="000000"/>
        </w:rPr>
      </w:pPr>
      <w:r w:rsidRPr="000A47F1">
        <w:rPr>
          <w:b/>
          <w:color w:val="000000"/>
        </w:rPr>
        <w:t>Ministru kabineta noteikumu</w:t>
      </w:r>
      <w:r w:rsidR="004E2DC4" w:rsidRPr="000A47F1">
        <w:rPr>
          <w:b/>
          <w:color w:val="000000"/>
        </w:rPr>
        <w:t xml:space="preserve"> projekta</w:t>
      </w:r>
      <w:r w:rsidRPr="000A47F1">
        <w:rPr>
          <w:b/>
          <w:color w:val="000000"/>
        </w:rPr>
        <w:t xml:space="preserve"> "Grozījumi Ministru kabineta 2015. gada 10. novembra noteikumos Nr. 645 "Darbības programmas "Izaugsme un nodarbinātība" 5.6.2. specifiskā atbalsta mērķa "Teritoriju </w:t>
      </w:r>
      <w:proofErr w:type="spellStart"/>
      <w:r w:rsidRPr="000A47F1">
        <w:rPr>
          <w:b/>
          <w:color w:val="000000"/>
        </w:rPr>
        <w:t>revitalizācija</w:t>
      </w:r>
      <w:proofErr w:type="spellEnd"/>
      <w:r w:rsidRPr="000A47F1">
        <w:rPr>
          <w:b/>
          <w:color w:val="000000"/>
        </w:rPr>
        <w:t>, reģenerējot degradētās teritorijas atbilstoši pašvaldību integrētajām attīstības programmām" īstenošanas noteikumi"" sākotnējās ietekmes novērtējuma ziņojums (anotācija)</w:t>
      </w:r>
    </w:p>
    <w:p w14:paraId="15DBFCA5" w14:textId="77777777" w:rsidR="00953559" w:rsidRPr="000A47F1" w:rsidRDefault="00953559" w:rsidP="00BF3F2B">
      <w:pPr>
        <w:jc w:val="center"/>
        <w:rPr>
          <w:b/>
          <w:sz w:val="28"/>
          <w:szCs w:val="28"/>
        </w:rPr>
      </w:pPr>
    </w:p>
    <w:tbl>
      <w:tblPr>
        <w:tblStyle w:val="TableGrid"/>
        <w:tblW w:w="5160" w:type="pct"/>
        <w:tblLook w:val="04A0" w:firstRow="1" w:lastRow="0" w:firstColumn="1" w:lastColumn="0" w:noHBand="0" w:noVBand="1"/>
      </w:tblPr>
      <w:tblGrid>
        <w:gridCol w:w="2962"/>
        <w:gridCol w:w="6389"/>
      </w:tblGrid>
      <w:tr w:rsidR="00C71FAA" w:rsidRPr="000A47F1" w14:paraId="1F93ADEC" w14:textId="77777777" w:rsidTr="00FA45DC">
        <w:tc>
          <w:tcPr>
            <w:tcW w:w="5000" w:type="pct"/>
            <w:gridSpan w:val="2"/>
            <w:hideMark/>
          </w:tcPr>
          <w:p w14:paraId="33780CE6" w14:textId="77777777" w:rsidR="00953559" w:rsidRPr="000A47F1" w:rsidRDefault="007559D4" w:rsidP="004C0B22">
            <w:pPr>
              <w:jc w:val="center"/>
              <w:rPr>
                <w:b/>
                <w:bCs/>
                <w:color w:val="000000"/>
              </w:rPr>
            </w:pPr>
            <w:r w:rsidRPr="000A47F1">
              <w:rPr>
                <w:b/>
                <w:bCs/>
                <w:color w:val="000000"/>
              </w:rPr>
              <w:t>Tiesību akta projekta anotācijas kopsavilkums</w:t>
            </w:r>
          </w:p>
        </w:tc>
      </w:tr>
      <w:tr w:rsidR="00C71FAA" w:rsidRPr="000A47F1" w14:paraId="10DBB7FF" w14:textId="77777777" w:rsidTr="00FA45DC">
        <w:tc>
          <w:tcPr>
            <w:tcW w:w="1584" w:type="pct"/>
            <w:hideMark/>
          </w:tcPr>
          <w:p w14:paraId="7F83EC74" w14:textId="77777777" w:rsidR="00953559" w:rsidRPr="000A47F1" w:rsidRDefault="007559D4" w:rsidP="004C0B22">
            <w:pPr>
              <w:rPr>
                <w:iCs/>
                <w:color w:val="414142"/>
              </w:rPr>
            </w:pPr>
            <w:r w:rsidRPr="000A47F1">
              <w:rPr>
                <w:iCs/>
              </w:rPr>
              <w:t>Mērķis, risinājums un projekta spēkā stāšanās laiks (nepārsniedzot 500 zīmes bez atstarpēm)</w:t>
            </w:r>
          </w:p>
        </w:tc>
        <w:tc>
          <w:tcPr>
            <w:tcW w:w="3416" w:type="pct"/>
            <w:hideMark/>
          </w:tcPr>
          <w:p w14:paraId="6FD952AC" w14:textId="77777777" w:rsidR="009F0132" w:rsidRPr="000A47F1" w:rsidRDefault="007559D4" w:rsidP="006D6762">
            <w:pPr>
              <w:ind w:right="142"/>
              <w:jc w:val="both"/>
            </w:pPr>
            <w:r w:rsidRPr="000A47F1">
              <w:rPr>
                <w:spacing w:val="-2"/>
              </w:rPr>
              <w:t xml:space="preserve">Ministru kabineta (turpmāk – MK) noteikumu projekts "Grozījumi Ministru kabineta 2015. gada 10. novembra noteikumos Nr. 645 "Darbības programmas "Izaugsme un nodarbinātība" 5.6.2. specifiskā atbalsta mērķa "Teritoriju </w:t>
            </w:r>
            <w:proofErr w:type="spellStart"/>
            <w:r w:rsidRPr="000A47F1">
              <w:rPr>
                <w:spacing w:val="-2"/>
              </w:rPr>
              <w:t>revitalizācija</w:t>
            </w:r>
            <w:proofErr w:type="spellEnd"/>
            <w:r w:rsidRPr="000A47F1">
              <w:rPr>
                <w:spacing w:val="-2"/>
              </w:rPr>
              <w:t xml:space="preserve">, reģenerējot degradētās teritorijas atbilstoši pašvaldību integrētajām attīstības programmām" īstenošanas noteikumi"" (turpmāk – noteikumu projekts) izstrādāts, </w:t>
            </w:r>
            <w:r w:rsidR="00B00946" w:rsidRPr="000A47F1">
              <w:t>lai</w:t>
            </w:r>
            <w:r w:rsidR="009F0132" w:rsidRPr="000A47F1">
              <w:t>:</w:t>
            </w:r>
          </w:p>
          <w:p w14:paraId="621F2DC6" w14:textId="0BA5F662" w:rsidR="003E4BDF" w:rsidRPr="000A47F1" w:rsidRDefault="003E4BDF" w:rsidP="003E4BDF">
            <w:pPr>
              <w:pStyle w:val="ListParagraph"/>
              <w:numPr>
                <w:ilvl w:val="0"/>
                <w:numId w:val="28"/>
              </w:numPr>
              <w:spacing w:after="120"/>
              <w:ind w:right="142"/>
              <w:contextualSpacing w:val="0"/>
              <w:jc w:val="both"/>
              <w:rPr>
                <w:sz w:val="24"/>
                <w:szCs w:val="24"/>
              </w:rPr>
            </w:pPr>
            <w:r w:rsidRPr="000A47F1">
              <w:rPr>
                <w:sz w:val="24"/>
                <w:szCs w:val="24"/>
              </w:rPr>
              <w:t>noteiktu projekta iesniedzēja vai finansējuma saņēmēja pienākumu Centrālajā finanšu un līgumu aģentūrā (turpmāk – CFLA) iesniegt vispārējas tautsaimnieciskas nozīmes pakalpojuma pilnvarojuma uzlicēja apliecinājumu, ka tas nodrošina vispārējas tautsaimniecības nozīmes pakalpojumu pārmērīgas kompensācijas kontroli;</w:t>
            </w:r>
          </w:p>
          <w:p w14:paraId="26E6C020" w14:textId="31E9C371" w:rsidR="003E4BDF" w:rsidRPr="000A47F1" w:rsidRDefault="003E4BDF" w:rsidP="003E4BDF">
            <w:pPr>
              <w:pStyle w:val="ListParagraph"/>
              <w:numPr>
                <w:ilvl w:val="0"/>
                <w:numId w:val="28"/>
              </w:numPr>
              <w:spacing w:after="120"/>
              <w:ind w:right="142"/>
              <w:contextualSpacing w:val="0"/>
              <w:jc w:val="both"/>
              <w:rPr>
                <w:sz w:val="24"/>
                <w:szCs w:val="24"/>
              </w:rPr>
            </w:pPr>
            <w:r w:rsidRPr="000A47F1">
              <w:rPr>
                <w:sz w:val="24"/>
                <w:szCs w:val="24"/>
              </w:rPr>
              <w:t xml:space="preserve">tehniski precizētu informāciju, kas saistīta ar Eiropas Komisijā (turpmāk – Komisija) pieņemtajiem lēmumiem par vairāku regulu piemērošanas pagarinājumiem; </w:t>
            </w:r>
          </w:p>
          <w:p w14:paraId="672A31A9" w14:textId="77777777" w:rsidR="003E4BDF" w:rsidRPr="000A47F1" w:rsidRDefault="003E4BDF" w:rsidP="003E4BDF">
            <w:pPr>
              <w:pStyle w:val="ListParagraph"/>
              <w:numPr>
                <w:ilvl w:val="0"/>
                <w:numId w:val="28"/>
              </w:numPr>
              <w:spacing w:after="120"/>
              <w:ind w:right="142"/>
              <w:contextualSpacing w:val="0"/>
              <w:jc w:val="both"/>
              <w:rPr>
                <w:sz w:val="24"/>
                <w:szCs w:val="24"/>
              </w:rPr>
            </w:pPr>
            <w:r w:rsidRPr="000A47F1">
              <w:rPr>
                <w:sz w:val="24"/>
                <w:szCs w:val="24"/>
              </w:rPr>
              <w:t>valsts atbalsta pretendentam būtu nepārprotami skaidri tā pienākumi un iesniedzamās informācijas apjoms, kas valsts atbalsta kumulācijas gadījumā būtu iesniedzams valsts atbalsta sniedzējam;</w:t>
            </w:r>
          </w:p>
          <w:p w14:paraId="621B69B9" w14:textId="7D6543E5" w:rsidR="00EB2403" w:rsidRPr="000A47F1" w:rsidRDefault="00494022" w:rsidP="00894084">
            <w:pPr>
              <w:pStyle w:val="ListParagraph"/>
              <w:numPr>
                <w:ilvl w:val="0"/>
                <w:numId w:val="28"/>
              </w:numPr>
              <w:spacing w:after="120"/>
              <w:ind w:right="142"/>
              <w:contextualSpacing w:val="0"/>
              <w:jc w:val="both"/>
              <w:rPr>
                <w:sz w:val="24"/>
                <w:szCs w:val="24"/>
              </w:rPr>
            </w:pPr>
            <w:r w:rsidRPr="000A47F1">
              <w:rPr>
                <w:sz w:val="24"/>
                <w:szCs w:val="24"/>
              </w:rPr>
              <w:t>ikvienam projekta iesniedzējam/valsts atbalsta pretendentam skaidri un nepārprotami būtu zināms brīdis, kad tam ir piešķirtas likumīgas tiesības saņemt valsts atbalstu;</w:t>
            </w:r>
          </w:p>
          <w:p w14:paraId="453EBE72" w14:textId="0D9D49AD" w:rsidR="00EB2403" w:rsidRPr="000A47F1" w:rsidRDefault="00494022" w:rsidP="003E4BDF">
            <w:pPr>
              <w:pStyle w:val="ListParagraph"/>
              <w:numPr>
                <w:ilvl w:val="0"/>
                <w:numId w:val="28"/>
              </w:numPr>
              <w:spacing w:after="120"/>
              <w:ind w:right="142"/>
              <w:contextualSpacing w:val="0"/>
              <w:jc w:val="both"/>
              <w:rPr>
                <w:sz w:val="24"/>
                <w:szCs w:val="24"/>
              </w:rPr>
            </w:pPr>
            <w:r w:rsidRPr="000A47F1">
              <w:rPr>
                <w:sz w:val="24"/>
                <w:szCs w:val="24"/>
              </w:rPr>
              <w:t>noteiktu rīcību, ja tiek konstatēts, ka piešķirtais valsts atbalsts ir kvalificējams kā nelikumīgs</w:t>
            </w:r>
            <w:r w:rsidR="00894084" w:rsidRPr="000A47F1">
              <w:rPr>
                <w:sz w:val="24"/>
                <w:szCs w:val="24"/>
              </w:rPr>
              <w:t>.</w:t>
            </w:r>
          </w:p>
          <w:p w14:paraId="0313276A" w14:textId="027AE7EC" w:rsidR="00EB2403" w:rsidRPr="000A47F1" w:rsidRDefault="00894084" w:rsidP="00894084">
            <w:pPr>
              <w:spacing w:after="120"/>
              <w:ind w:right="142"/>
              <w:jc w:val="both"/>
            </w:pPr>
            <w:r w:rsidRPr="000A47F1">
              <w:t>Noteikumu projekts stājas spēkā parastajā kārtībā (nākamajā dienā pēc tā izsludināšanas).</w:t>
            </w:r>
          </w:p>
        </w:tc>
      </w:tr>
    </w:tbl>
    <w:p w14:paraId="582E64BD" w14:textId="0C59359E" w:rsidR="00EF0BD3" w:rsidRPr="000A47F1" w:rsidRDefault="00EF0BD3" w:rsidP="00BF3F2B">
      <w:pPr>
        <w:jc w:val="cente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
        <w:gridCol w:w="1857"/>
        <w:gridCol w:w="6956"/>
      </w:tblGrid>
      <w:tr w:rsidR="00C71FAA" w:rsidRPr="000A47F1" w14:paraId="309DC07D"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DB92DC" w14:textId="77777777" w:rsidR="00750FB6" w:rsidRPr="000A47F1" w:rsidRDefault="007559D4" w:rsidP="00BF3F2B">
            <w:pPr>
              <w:pStyle w:val="ListParagraph"/>
              <w:tabs>
                <w:tab w:val="left" w:pos="2268"/>
                <w:tab w:val="left" w:pos="2410"/>
              </w:tabs>
              <w:ind w:left="1080"/>
              <w:jc w:val="center"/>
              <w:rPr>
                <w:b/>
                <w:sz w:val="24"/>
                <w:szCs w:val="24"/>
                <w:lang w:eastAsia="en-US"/>
              </w:rPr>
            </w:pPr>
            <w:r w:rsidRPr="000A47F1">
              <w:rPr>
                <w:b/>
                <w:bCs/>
                <w:sz w:val="24"/>
                <w:szCs w:val="24"/>
              </w:rPr>
              <w:t>I. Tiesību akta projekta izstrādes nepieciešamība</w:t>
            </w:r>
          </w:p>
        </w:tc>
      </w:tr>
      <w:tr w:rsidR="00FD7A88" w:rsidRPr="000A47F1" w14:paraId="6FEA8164"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2EEE4896" w14:textId="77777777" w:rsidR="00750FB6" w:rsidRPr="000A47F1" w:rsidRDefault="007559D4" w:rsidP="00BF3F2B">
            <w:pPr>
              <w:spacing w:before="60" w:afterLines="60" w:after="144"/>
              <w:jc w:val="center"/>
              <w:rPr>
                <w:lang w:eastAsia="en-US"/>
              </w:rPr>
            </w:pPr>
            <w:r w:rsidRPr="000A47F1">
              <w:t>1.</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06637FC8" w14:textId="77777777" w:rsidR="00750FB6" w:rsidRPr="000A47F1" w:rsidRDefault="007559D4" w:rsidP="00BF3F2B">
            <w:pPr>
              <w:tabs>
                <w:tab w:val="left" w:pos="1904"/>
              </w:tabs>
              <w:spacing w:before="60" w:afterLines="60" w:after="144"/>
              <w:rPr>
                <w:lang w:eastAsia="en-US"/>
              </w:rPr>
            </w:pPr>
            <w:r w:rsidRPr="000A47F1">
              <w:t>Pamatojums</w:t>
            </w:r>
          </w:p>
        </w:tc>
        <w:tc>
          <w:tcPr>
            <w:tcW w:w="69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6844D" w14:textId="24B20368" w:rsidR="002C73C2" w:rsidRPr="000A47F1" w:rsidRDefault="00F27D83" w:rsidP="00F27D83">
            <w:pPr>
              <w:ind w:right="62"/>
              <w:jc w:val="both"/>
              <w:rPr>
                <w:spacing w:val="-2"/>
              </w:rPr>
            </w:pPr>
            <w:r w:rsidRPr="000A47F1">
              <w:rPr>
                <w:spacing w:val="-2"/>
              </w:rPr>
              <w:t>N</w:t>
            </w:r>
            <w:r w:rsidR="007559D4" w:rsidRPr="000A47F1">
              <w:rPr>
                <w:spacing w:val="-2"/>
              </w:rPr>
              <w:t>oteikumu projekts</w:t>
            </w:r>
            <w:r w:rsidR="000F73C9" w:rsidRPr="000A47F1">
              <w:rPr>
                <w:spacing w:val="-2"/>
              </w:rPr>
              <w:t xml:space="preserve"> izstrādāts</w:t>
            </w:r>
            <w:r w:rsidR="00BE7257" w:rsidRPr="000A47F1">
              <w:rPr>
                <w:spacing w:val="-2"/>
              </w:rPr>
              <w:t>,</w:t>
            </w:r>
            <w:r w:rsidR="000F73C9" w:rsidRPr="000A47F1">
              <w:rPr>
                <w:spacing w:val="-2"/>
              </w:rPr>
              <w:t xml:space="preserve"> pamatojoties</w:t>
            </w:r>
            <w:r w:rsidR="007D0907" w:rsidRPr="000A47F1">
              <w:rPr>
                <w:spacing w:val="-2"/>
              </w:rPr>
              <w:t xml:space="preserve"> uz</w:t>
            </w:r>
            <w:r w:rsidR="002C73C2" w:rsidRPr="000A47F1">
              <w:rPr>
                <w:spacing w:val="-2"/>
              </w:rPr>
              <w:t>:</w:t>
            </w:r>
          </w:p>
          <w:p w14:paraId="65211BF1" w14:textId="40C7C003" w:rsidR="00BE3620" w:rsidRPr="000A47F1" w:rsidRDefault="00BE3620" w:rsidP="007E1573">
            <w:pPr>
              <w:pStyle w:val="ListParagraph"/>
              <w:numPr>
                <w:ilvl w:val="0"/>
                <w:numId w:val="30"/>
              </w:numPr>
              <w:ind w:right="62"/>
              <w:jc w:val="both"/>
              <w:rPr>
                <w:rFonts w:eastAsia="Calibri"/>
                <w:spacing w:val="-2"/>
                <w:sz w:val="24"/>
                <w:szCs w:val="24"/>
              </w:rPr>
            </w:pPr>
            <w:r w:rsidRPr="000A47F1">
              <w:rPr>
                <w:sz w:val="24"/>
                <w:szCs w:val="24"/>
              </w:rPr>
              <w:t xml:space="preserve">Komisijas 2004. gada 21.aprīļa regulas (EK) Nr. 794/2004, </w:t>
            </w:r>
            <w:r w:rsidRPr="000A47F1">
              <w:rPr>
                <w:i/>
                <w:sz w:val="24"/>
                <w:szCs w:val="24"/>
              </w:rPr>
              <w:t>ar ko īsteno Padomes Regulu (ES) 2015/1589, ar ko nosaka sīki izstrādātus noteikumus Līguma par Eiropas Savienības darbību 108.panta piemērošanai</w:t>
            </w:r>
            <w:r w:rsidRPr="000A47F1">
              <w:rPr>
                <w:sz w:val="24"/>
                <w:szCs w:val="24"/>
              </w:rPr>
              <w:t xml:space="preserve"> (turpmāk – Komisijas regula Nr. 794/2004) 10. un 11. pantu;</w:t>
            </w:r>
          </w:p>
          <w:p w14:paraId="1A39F7AD" w14:textId="584316BA" w:rsidR="00B40570" w:rsidRPr="000A47F1" w:rsidRDefault="00B40570" w:rsidP="007E1573">
            <w:pPr>
              <w:pStyle w:val="ListParagraph"/>
              <w:numPr>
                <w:ilvl w:val="0"/>
                <w:numId w:val="30"/>
              </w:numPr>
              <w:ind w:right="62"/>
              <w:jc w:val="both"/>
              <w:rPr>
                <w:rFonts w:eastAsia="Calibri"/>
                <w:spacing w:val="-2"/>
                <w:sz w:val="24"/>
                <w:szCs w:val="24"/>
              </w:rPr>
            </w:pPr>
            <w:r w:rsidRPr="000A47F1">
              <w:rPr>
                <w:sz w:val="24"/>
                <w:szCs w:val="24"/>
              </w:rPr>
              <w:t>Komisijas 2011. gada 20. decembra lēmuma Nr. </w:t>
            </w:r>
            <w:hyperlink r:id="rId8" w:tgtFrame="_blank" w:history="1">
              <w:r w:rsidRPr="000A47F1">
                <w:rPr>
                  <w:sz w:val="24"/>
                  <w:szCs w:val="24"/>
                </w:rPr>
                <w:t>2012/21/ES</w:t>
              </w:r>
            </w:hyperlink>
            <w:r w:rsidRPr="000A47F1">
              <w:rPr>
                <w:sz w:val="24"/>
                <w:szCs w:val="24"/>
              </w:rPr>
              <w:t> </w:t>
            </w:r>
            <w:r w:rsidRPr="000A47F1">
              <w:rPr>
                <w:i/>
                <w:sz w:val="24"/>
                <w:szCs w:val="24"/>
              </w:rPr>
              <w:t>par Līguma par Eiropas Savienības darbību </w:t>
            </w:r>
            <w:hyperlink r:id="rId9" w:anchor="p106" w:history="1">
              <w:r w:rsidRPr="000A47F1">
                <w:rPr>
                  <w:i/>
                  <w:sz w:val="24"/>
                  <w:szCs w:val="24"/>
                </w:rPr>
                <w:t>106. panta</w:t>
              </w:r>
            </w:hyperlink>
            <w:r w:rsidRPr="000A47F1">
              <w:rPr>
                <w:i/>
                <w:sz w:val="24"/>
                <w:szCs w:val="24"/>
              </w:rPr>
              <w:t xml:space="preserve"> 2. punkta piemērošanu valsts atbalstam attiecībā uz kompensāciju par sabiedriskajiem pakalpojumiem dažiem uzņēmumiem, kuriem uzticēts sniegt pakalpojumus ar </w:t>
            </w:r>
            <w:r w:rsidRPr="000A47F1">
              <w:rPr>
                <w:i/>
                <w:sz w:val="24"/>
                <w:szCs w:val="24"/>
              </w:rPr>
              <w:lastRenderedPageBreak/>
              <w:t>vispārēju tautsaimniecisku nozīmi</w:t>
            </w:r>
            <w:r w:rsidRPr="000A47F1">
              <w:rPr>
                <w:sz w:val="24"/>
                <w:szCs w:val="24"/>
              </w:rPr>
              <w:t xml:space="preserve">  (turpmāk – Komisijas lēmums Nr. </w:t>
            </w:r>
            <w:hyperlink r:id="rId10" w:tgtFrame="_blank" w:history="1">
              <w:r w:rsidRPr="000A47F1">
                <w:rPr>
                  <w:sz w:val="24"/>
                  <w:szCs w:val="24"/>
                </w:rPr>
                <w:t>2012/21/ES</w:t>
              </w:r>
            </w:hyperlink>
            <w:r w:rsidRPr="000A47F1">
              <w:rPr>
                <w:sz w:val="24"/>
                <w:szCs w:val="24"/>
              </w:rPr>
              <w:t>) 6. un 8. pantu;</w:t>
            </w:r>
          </w:p>
          <w:p w14:paraId="0B3D1D82" w14:textId="77777777" w:rsidR="007E1573" w:rsidRPr="000A47F1" w:rsidRDefault="007E1573" w:rsidP="007E1573">
            <w:pPr>
              <w:pStyle w:val="ListParagraph"/>
              <w:numPr>
                <w:ilvl w:val="0"/>
                <w:numId w:val="30"/>
              </w:numPr>
              <w:ind w:right="62"/>
              <w:jc w:val="both"/>
              <w:rPr>
                <w:rFonts w:eastAsia="Calibri"/>
                <w:spacing w:val="-2"/>
                <w:sz w:val="24"/>
                <w:szCs w:val="24"/>
              </w:rPr>
            </w:pPr>
            <w:r w:rsidRPr="000A47F1">
              <w:rPr>
                <w:spacing w:val="-2"/>
                <w:sz w:val="24"/>
                <w:szCs w:val="24"/>
              </w:rPr>
              <w:t xml:space="preserve">Komisijas 2019. gada 21. februāra regulas (ES) Nr. 2019/316, </w:t>
            </w:r>
            <w:r w:rsidRPr="000A47F1">
              <w:rPr>
                <w:i/>
                <w:spacing w:val="-2"/>
                <w:sz w:val="24"/>
                <w:szCs w:val="24"/>
              </w:rPr>
              <w:t>ar ko groza Regulu (ES) Nr. 1408/2013 par Līguma par Eiropas Savienības darbību 107. un 108. panta piemērošanu </w:t>
            </w:r>
            <w:proofErr w:type="spellStart"/>
            <w:r w:rsidRPr="000A47F1">
              <w:rPr>
                <w:i/>
                <w:spacing w:val="-2"/>
                <w:sz w:val="24"/>
                <w:szCs w:val="24"/>
              </w:rPr>
              <w:t>de</w:t>
            </w:r>
            <w:proofErr w:type="spellEnd"/>
            <w:r w:rsidRPr="000A47F1">
              <w:rPr>
                <w:i/>
                <w:spacing w:val="-2"/>
                <w:sz w:val="24"/>
                <w:szCs w:val="24"/>
              </w:rPr>
              <w:t xml:space="preserve"> </w:t>
            </w:r>
            <w:proofErr w:type="spellStart"/>
            <w:r w:rsidRPr="000A47F1">
              <w:rPr>
                <w:i/>
                <w:spacing w:val="-2"/>
                <w:sz w:val="24"/>
                <w:szCs w:val="24"/>
              </w:rPr>
              <w:t>minimis</w:t>
            </w:r>
            <w:proofErr w:type="spellEnd"/>
            <w:r w:rsidRPr="000A47F1">
              <w:rPr>
                <w:i/>
                <w:spacing w:val="-2"/>
                <w:sz w:val="24"/>
                <w:szCs w:val="24"/>
              </w:rPr>
              <w:t> atbalstam lauksaimniecības nozarē</w:t>
            </w:r>
            <w:r w:rsidRPr="000A47F1">
              <w:rPr>
                <w:spacing w:val="-2"/>
                <w:sz w:val="24"/>
                <w:szCs w:val="24"/>
              </w:rPr>
              <w:t xml:space="preserve"> (turpmāk – Komisijas regula Nr. 2019/316) 3. panta 5. punktu;</w:t>
            </w:r>
          </w:p>
          <w:p w14:paraId="24708222" w14:textId="7E8316A4" w:rsidR="007E1573" w:rsidRPr="000A47F1" w:rsidRDefault="007E1573" w:rsidP="007E1573">
            <w:pPr>
              <w:pStyle w:val="ListParagraph"/>
              <w:numPr>
                <w:ilvl w:val="0"/>
                <w:numId w:val="30"/>
              </w:numPr>
              <w:spacing w:after="120"/>
              <w:ind w:right="62"/>
              <w:jc w:val="both"/>
              <w:rPr>
                <w:spacing w:val="-2"/>
                <w:sz w:val="24"/>
                <w:szCs w:val="24"/>
              </w:rPr>
            </w:pPr>
            <w:r w:rsidRPr="000A47F1">
              <w:rPr>
                <w:spacing w:val="-2"/>
                <w:sz w:val="24"/>
                <w:szCs w:val="24"/>
              </w:rPr>
              <w:t xml:space="preserve">Komisijas 2020. gada 2. jūlija regulas (ES) Nr. 2020/972, </w:t>
            </w:r>
            <w:r w:rsidRPr="000A47F1">
              <w:rPr>
                <w:i/>
                <w:spacing w:val="-2"/>
                <w:sz w:val="24"/>
                <w:szCs w:val="24"/>
              </w:rPr>
              <w:t>ar ko groza Regulu (ES) Nr. 1407/2013 attiecībā uz tās pagarināšanu un groza Regulu (ES) Nr. 651/2014 attiecībā uz tās pagarināšanu un attiecīgiem pielāgojumiem</w:t>
            </w:r>
            <w:r w:rsidRPr="000A47F1">
              <w:rPr>
                <w:spacing w:val="-2"/>
                <w:sz w:val="24"/>
                <w:szCs w:val="24"/>
              </w:rPr>
              <w:t xml:space="preserve"> (turpmāk – Komisijas regula Nr. 2020/972) 1. pantu un 2. panta 5. punktu;</w:t>
            </w:r>
          </w:p>
          <w:p w14:paraId="0685B1B2" w14:textId="77777777" w:rsidR="002C73C2" w:rsidRPr="000A47F1" w:rsidRDefault="002C73C2" w:rsidP="007E1573">
            <w:pPr>
              <w:pStyle w:val="ListParagraph"/>
              <w:numPr>
                <w:ilvl w:val="0"/>
                <w:numId w:val="30"/>
              </w:numPr>
              <w:spacing w:after="120"/>
              <w:ind w:right="62"/>
              <w:jc w:val="both"/>
              <w:rPr>
                <w:spacing w:val="-2"/>
                <w:sz w:val="24"/>
                <w:szCs w:val="24"/>
              </w:rPr>
            </w:pPr>
            <w:r w:rsidRPr="000A47F1">
              <w:rPr>
                <w:spacing w:val="-2"/>
                <w:sz w:val="24"/>
                <w:szCs w:val="24"/>
              </w:rPr>
              <w:t>Eiropas Savienības struktūrfondu un Kohēzijas fonda 2014.–2020. gada plānošanas perioda vadības likuma 20. panta 13. punktu;</w:t>
            </w:r>
          </w:p>
          <w:p w14:paraId="3C99B611" w14:textId="19220A15" w:rsidR="007D0907" w:rsidRPr="000A47F1" w:rsidRDefault="007D0907" w:rsidP="00DD37EC">
            <w:pPr>
              <w:pStyle w:val="ListParagraph"/>
              <w:numPr>
                <w:ilvl w:val="0"/>
                <w:numId w:val="30"/>
              </w:numPr>
              <w:spacing w:after="120"/>
              <w:ind w:right="62"/>
              <w:jc w:val="both"/>
              <w:rPr>
                <w:spacing w:val="-2"/>
                <w:sz w:val="24"/>
                <w:szCs w:val="24"/>
              </w:rPr>
            </w:pPr>
            <w:r w:rsidRPr="000A47F1">
              <w:rPr>
                <w:sz w:val="24"/>
                <w:szCs w:val="24"/>
              </w:rPr>
              <w:t xml:space="preserve">MK 2018. gada 21. novembra noteikumiem Nr. 715 "Noteikumi par </w:t>
            </w:r>
            <w:proofErr w:type="spellStart"/>
            <w:r w:rsidRPr="000A47F1">
              <w:rPr>
                <w:i/>
                <w:sz w:val="24"/>
                <w:szCs w:val="24"/>
              </w:rPr>
              <w:t>de</w:t>
            </w:r>
            <w:proofErr w:type="spellEnd"/>
            <w:r w:rsidRPr="000A47F1">
              <w:rPr>
                <w:i/>
                <w:sz w:val="24"/>
                <w:szCs w:val="24"/>
              </w:rPr>
              <w:t xml:space="preserve"> </w:t>
            </w:r>
            <w:proofErr w:type="spellStart"/>
            <w:r w:rsidRPr="000A47F1">
              <w:rPr>
                <w:i/>
                <w:sz w:val="24"/>
                <w:szCs w:val="24"/>
              </w:rPr>
              <w:t>minimis</w:t>
            </w:r>
            <w:proofErr w:type="spellEnd"/>
            <w:r w:rsidRPr="000A47F1">
              <w:rPr>
                <w:sz w:val="24"/>
                <w:szCs w:val="24"/>
              </w:rPr>
              <w:t xml:space="preserve"> atbalsta uzskaites un piešķiršanas kārtību un </w:t>
            </w:r>
            <w:proofErr w:type="spellStart"/>
            <w:r w:rsidRPr="000A47F1">
              <w:rPr>
                <w:i/>
                <w:sz w:val="24"/>
                <w:szCs w:val="24"/>
              </w:rPr>
              <w:t>de</w:t>
            </w:r>
            <w:proofErr w:type="spellEnd"/>
            <w:r w:rsidRPr="000A47F1">
              <w:rPr>
                <w:i/>
                <w:sz w:val="24"/>
                <w:szCs w:val="24"/>
              </w:rPr>
              <w:t xml:space="preserve"> </w:t>
            </w:r>
            <w:proofErr w:type="spellStart"/>
            <w:r w:rsidRPr="000A47F1">
              <w:rPr>
                <w:i/>
                <w:sz w:val="24"/>
                <w:szCs w:val="24"/>
              </w:rPr>
              <w:t>minimis</w:t>
            </w:r>
            <w:proofErr w:type="spellEnd"/>
            <w:r w:rsidRPr="000A47F1">
              <w:rPr>
                <w:sz w:val="24"/>
                <w:szCs w:val="24"/>
              </w:rPr>
              <w:t xml:space="preserve"> atbalsta uzskaites veidlapu paraugiem" (</w:t>
            </w:r>
            <w:r w:rsidR="00DD37EC" w:rsidRPr="000A47F1">
              <w:rPr>
                <w:sz w:val="24"/>
                <w:szCs w:val="24"/>
              </w:rPr>
              <w:t>turpmāk – MK noteikumi Nr. 715).</w:t>
            </w:r>
          </w:p>
        </w:tc>
      </w:tr>
      <w:tr w:rsidR="00FD7A88" w:rsidRPr="000A47F1" w14:paraId="449F934A"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1272C3A8" w14:textId="16B123AB" w:rsidR="00750FB6" w:rsidRPr="000A47F1" w:rsidRDefault="007559D4" w:rsidP="00BF3F2B">
            <w:pPr>
              <w:spacing w:before="60" w:afterLines="60" w:after="144"/>
              <w:jc w:val="center"/>
              <w:rPr>
                <w:lang w:eastAsia="en-US"/>
              </w:rPr>
            </w:pPr>
            <w:r w:rsidRPr="000A47F1">
              <w:lastRenderedPageBreak/>
              <w:t>2.</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57C8ADEA" w14:textId="77777777" w:rsidR="004A300C" w:rsidRPr="000A47F1" w:rsidRDefault="007559D4" w:rsidP="00BF3F2B">
            <w:pPr>
              <w:spacing w:before="60" w:afterLines="60" w:after="144"/>
              <w:jc w:val="both"/>
              <w:rPr>
                <w:lang w:eastAsia="en-US"/>
              </w:rPr>
            </w:pPr>
            <w:r w:rsidRPr="000A47F1">
              <w:t>Pašreizējā situācija un problēmas, kuru risināšanai tiesību akta projekts izstrādāts, tiesiskā regulējuma mērķis un būtība</w:t>
            </w:r>
          </w:p>
          <w:p w14:paraId="48C4D874" w14:textId="77777777" w:rsidR="004A300C" w:rsidRPr="000A47F1" w:rsidRDefault="004A300C" w:rsidP="004A300C">
            <w:pPr>
              <w:rPr>
                <w:lang w:eastAsia="en-US"/>
              </w:rPr>
            </w:pPr>
          </w:p>
          <w:p w14:paraId="42B0A9F0" w14:textId="77777777" w:rsidR="004A300C" w:rsidRPr="000A47F1" w:rsidRDefault="004A300C" w:rsidP="004A300C">
            <w:pPr>
              <w:rPr>
                <w:lang w:eastAsia="en-US"/>
              </w:rPr>
            </w:pPr>
          </w:p>
          <w:p w14:paraId="0E744730" w14:textId="77777777" w:rsidR="004A300C" w:rsidRPr="000A47F1" w:rsidRDefault="004A300C" w:rsidP="004A300C">
            <w:pPr>
              <w:rPr>
                <w:lang w:eastAsia="en-US"/>
              </w:rPr>
            </w:pPr>
          </w:p>
          <w:p w14:paraId="1DDBBE9A" w14:textId="77777777" w:rsidR="004A300C" w:rsidRPr="000A47F1" w:rsidRDefault="004A300C" w:rsidP="004A300C">
            <w:pPr>
              <w:rPr>
                <w:lang w:eastAsia="en-US"/>
              </w:rPr>
            </w:pPr>
          </w:p>
          <w:p w14:paraId="122BDC56" w14:textId="77777777" w:rsidR="004A300C" w:rsidRPr="000A47F1" w:rsidRDefault="004A300C" w:rsidP="004A300C">
            <w:pPr>
              <w:rPr>
                <w:lang w:eastAsia="en-US"/>
              </w:rPr>
            </w:pPr>
          </w:p>
          <w:p w14:paraId="37B0802C" w14:textId="77777777" w:rsidR="004A300C" w:rsidRPr="000A47F1" w:rsidRDefault="004A300C" w:rsidP="004A300C">
            <w:pPr>
              <w:rPr>
                <w:lang w:eastAsia="en-US"/>
              </w:rPr>
            </w:pPr>
          </w:p>
          <w:p w14:paraId="0931E2EB" w14:textId="77777777" w:rsidR="004A300C" w:rsidRPr="000A47F1" w:rsidRDefault="004A300C" w:rsidP="004A300C">
            <w:pPr>
              <w:rPr>
                <w:lang w:eastAsia="en-US"/>
              </w:rPr>
            </w:pPr>
          </w:p>
          <w:p w14:paraId="59DAF70F" w14:textId="77777777" w:rsidR="004A300C" w:rsidRPr="000A47F1" w:rsidRDefault="004A300C" w:rsidP="004A300C">
            <w:pPr>
              <w:rPr>
                <w:lang w:eastAsia="en-US"/>
              </w:rPr>
            </w:pPr>
          </w:p>
          <w:p w14:paraId="4044E24D" w14:textId="77777777" w:rsidR="004A300C" w:rsidRPr="000A47F1" w:rsidRDefault="004A300C" w:rsidP="004A300C">
            <w:pPr>
              <w:rPr>
                <w:lang w:eastAsia="en-US"/>
              </w:rPr>
            </w:pPr>
          </w:p>
          <w:p w14:paraId="2DAA745F" w14:textId="77777777" w:rsidR="004A300C" w:rsidRPr="000A47F1" w:rsidRDefault="004A300C" w:rsidP="004A300C">
            <w:pPr>
              <w:rPr>
                <w:lang w:eastAsia="en-US"/>
              </w:rPr>
            </w:pPr>
          </w:p>
          <w:p w14:paraId="7F3F3687" w14:textId="77777777" w:rsidR="004A300C" w:rsidRPr="000A47F1" w:rsidRDefault="004A300C" w:rsidP="004A300C">
            <w:pPr>
              <w:rPr>
                <w:lang w:eastAsia="en-US"/>
              </w:rPr>
            </w:pPr>
          </w:p>
          <w:p w14:paraId="371BC6F7" w14:textId="77777777" w:rsidR="004A300C" w:rsidRPr="000A47F1" w:rsidRDefault="004A300C" w:rsidP="004A300C">
            <w:pPr>
              <w:rPr>
                <w:lang w:eastAsia="en-US"/>
              </w:rPr>
            </w:pPr>
          </w:p>
          <w:p w14:paraId="3FACB730" w14:textId="77777777" w:rsidR="004A300C" w:rsidRPr="000A47F1" w:rsidRDefault="004A300C" w:rsidP="004A300C">
            <w:pPr>
              <w:rPr>
                <w:lang w:eastAsia="en-US"/>
              </w:rPr>
            </w:pPr>
          </w:p>
          <w:p w14:paraId="5FFC94E3" w14:textId="77777777" w:rsidR="004A300C" w:rsidRPr="000A47F1" w:rsidRDefault="004A300C" w:rsidP="004A300C">
            <w:pPr>
              <w:rPr>
                <w:lang w:eastAsia="en-US"/>
              </w:rPr>
            </w:pPr>
          </w:p>
          <w:p w14:paraId="77E8AA3E" w14:textId="77777777" w:rsidR="004A300C" w:rsidRPr="000A47F1" w:rsidRDefault="004A300C" w:rsidP="004A300C">
            <w:pPr>
              <w:rPr>
                <w:lang w:eastAsia="en-US"/>
              </w:rPr>
            </w:pPr>
          </w:p>
          <w:p w14:paraId="33D80E4D" w14:textId="77777777" w:rsidR="004A300C" w:rsidRPr="000A47F1" w:rsidRDefault="004A300C" w:rsidP="004A300C">
            <w:pPr>
              <w:rPr>
                <w:lang w:eastAsia="en-US"/>
              </w:rPr>
            </w:pPr>
          </w:p>
          <w:p w14:paraId="02A96A88" w14:textId="77777777" w:rsidR="004A300C" w:rsidRPr="000A47F1" w:rsidRDefault="004A300C" w:rsidP="004A300C">
            <w:pPr>
              <w:rPr>
                <w:lang w:eastAsia="en-US"/>
              </w:rPr>
            </w:pPr>
          </w:p>
          <w:p w14:paraId="38688C9E" w14:textId="77777777" w:rsidR="004A300C" w:rsidRPr="000A47F1" w:rsidRDefault="004A300C" w:rsidP="004A300C">
            <w:pPr>
              <w:rPr>
                <w:lang w:eastAsia="en-US"/>
              </w:rPr>
            </w:pPr>
          </w:p>
          <w:p w14:paraId="1DE75F7F" w14:textId="77777777" w:rsidR="004A300C" w:rsidRPr="000A47F1" w:rsidRDefault="004A300C" w:rsidP="004A300C">
            <w:pPr>
              <w:rPr>
                <w:lang w:eastAsia="en-US"/>
              </w:rPr>
            </w:pPr>
          </w:p>
          <w:p w14:paraId="50474A4D" w14:textId="77777777" w:rsidR="00750FB6" w:rsidRPr="000A47F1" w:rsidRDefault="00750FB6" w:rsidP="004A300C">
            <w:pPr>
              <w:jc w:val="right"/>
              <w:rPr>
                <w:lang w:eastAsia="en-US"/>
              </w:rPr>
            </w:pPr>
          </w:p>
        </w:tc>
        <w:tc>
          <w:tcPr>
            <w:tcW w:w="6956" w:type="dxa"/>
            <w:tcBorders>
              <w:top w:val="single" w:sz="4" w:space="0" w:color="auto"/>
              <w:left w:val="single" w:sz="4" w:space="0" w:color="auto"/>
              <w:bottom w:val="single" w:sz="4" w:space="0" w:color="auto"/>
              <w:right w:val="single" w:sz="4" w:space="0" w:color="auto"/>
            </w:tcBorders>
            <w:shd w:val="clear" w:color="auto" w:fill="auto"/>
            <w:hideMark/>
          </w:tcPr>
          <w:p w14:paraId="0D74A1DA" w14:textId="69839FF1" w:rsidR="005A78C1" w:rsidRPr="000A47F1" w:rsidRDefault="00D84273" w:rsidP="00DD37EC">
            <w:pPr>
              <w:pStyle w:val="ListParagraph"/>
              <w:spacing w:after="120"/>
              <w:ind w:left="0"/>
              <w:contextualSpacing w:val="0"/>
              <w:jc w:val="both"/>
              <w:rPr>
                <w:color w:val="2F5496"/>
                <w:sz w:val="24"/>
                <w:szCs w:val="24"/>
              </w:rPr>
            </w:pPr>
            <w:r w:rsidRPr="000A47F1">
              <w:rPr>
                <w:sz w:val="24"/>
                <w:szCs w:val="24"/>
              </w:rPr>
              <w:t>1</w:t>
            </w:r>
            <w:r w:rsidR="00DD37EC" w:rsidRPr="000A47F1">
              <w:rPr>
                <w:sz w:val="24"/>
                <w:szCs w:val="24"/>
              </w:rPr>
              <w:t xml:space="preserve">. Tā kā 2019. gada rudenī no Komisijas ir saņemta atļauja Latvijai izmantot 6 % snieguma rezerves finansējumu, balstoties uz izpildītiem 2018. gada </w:t>
            </w:r>
            <w:proofErr w:type="spellStart"/>
            <w:r w:rsidR="00DD37EC" w:rsidRPr="000A47F1">
              <w:rPr>
                <w:sz w:val="24"/>
                <w:szCs w:val="24"/>
              </w:rPr>
              <w:t>vidusposma</w:t>
            </w:r>
            <w:proofErr w:type="spellEnd"/>
            <w:r w:rsidR="00DD37EC" w:rsidRPr="000A47F1">
              <w:rPr>
                <w:sz w:val="24"/>
                <w:szCs w:val="24"/>
              </w:rPr>
              <w:t xml:space="preserve"> rādītājiem visās jomās un ņemot vērā, ka ar </w:t>
            </w:r>
            <w:r w:rsidR="00DD37EC" w:rsidRPr="000A47F1">
              <w:rPr>
                <w:spacing w:val="-2"/>
                <w:sz w:val="24"/>
                <w:szCs w:val="24"/>
              </w:rPr>
              <w:t>MK 2019. gada 11. oktobra sēdes protokola Nr. 47 3.§ "Informatīvais ziņojums "Par Eiropas Savienības struktūrfondu un Kohēzijas fonda 2014.–2020. gada plānošanas perioda darbības programmas "Izaugsme un nodarbinātība" snieguma ietvarā noteikto mērķu sasniegšanas progresu un snieguma rezerves finansējuma tālāku izmantošanu""</w:t>
            </w:r>
            <w:r w:rsidR="00DD37EC" w:rsidRPr="000A47F1">
              <w:rPr>
                <w:sz w:val="24"/>
                <w:szCs w:val="24"/>
              </w:rPr>
              <w:t xml:space="preserve"> 9. punktu tika atbalstīta </w:t>
            </w:r>
            <w:r w:rsidR="00823B5D" w:rsidRPr="000A47F1">
              <w:rPr>
                <w:sz w:val="24"/>
                <w:szCs w:val="24"/>
              </w:rPr>
              <w:t xml:space="preserve">5.6.2. specifiskā atbalsta mērķa "Teritoriju </w:t>
            </w:r>
            <w:proofErr w:type="spellStart"/>
            <w:r w:rsidR="00823B5D" w:rsidRPr="000A47F1">
              <w:rPr>
                <w:sz w:val="24"/>
                <w:szCs w:val="24"/>
              </w:rPr>
              <w:t>revitalizācija</w:t>
            </w:r>
            <w:proofErr w:type="spellEnd"/>
            <w:r w:rsidR="00823B5D" w:rsidRPr="000A47F1">
              <w:rPr>
                <w:sz w:val="24"/>
                <w:szCs w:val="24"/>
              </w:rPr>
              <w:t>, reģenerējot degradētās teritorijas atbilstoši pašvaldību integrētajām attīstības programmām" (turpmāk – 5.6.2. SAM)</w:t>
            </w:r>
            <w:r w:rsidR="00DD37EC" w:rsidRPr="000A47F1">
              <w:rPr>
                <w:sz w:val="24"/>
                <w:szCs w:val="24"/>
              </w:rPr>
              <w:t xml:space="preserve"> snieguma rezerves finansējuma izmantošana 5.6.2. SAM ietvaros, no Ministru kabineta 2015. gada 10. novembra noteikumiem Nr. 645 "Darbības programmas "Izaugsme un nodarbinātība" 5.6.2. specifiskā atbalsta mērķa "Teritoriju </w:t>
            </w:r>
            <w:proofErr w:type="spellStart"/>
            <w:r w:rsidR="00DD37EC" w:rsidRPr="000A47F1">
              <w:rPr>
                <w:sz w:val="24"/>
                <w:szCs w:val="24"/>
              </w:rPr>
              <w:t>revitalizācija</w:t>
            </w:r>
            <w:proofErr w:type="spellEnd"/>
            <w:r w:rsidR="00DD37EC" w:rsidRPr="000A47F1">
              <w:rPr>
                <w:sz w:val="24"/>
                <w:szCs w:val="24"/>
              </w:rPr>
              <w:t>, reģenerējot degradētās teritorijas atbilstoši pašvaldību integrētajām attīstības programmām" īstenošanas noteikumi" (turpmāk -  MK noteikumi Nr. 645) tiek svītroti punkti, kas noteica procesu līdz Komisijas lēmumam par snieguma ietvara izpildi.</w:t>
            </w:r>
          </w:p>
          <w:p w14:paraId="19533EA7" w14:textId="0C07C1AF" w:rsidR="000E72F3" w:rsidRPr="000A47F1" w:rsidRDefault="000E72F3" w:rsidP="000E72F3">
            <w:pPr>
              <w:pStyle w:val="Default"/>
              <w:spacing w:after="120"/>
              <w:jc w:val="both"/>
              <w:rPr>
                <w:color w:val="auto"/>
              </w:rPr>
            </w:pPr>
            <w:r w:rsidRPr="000A47F1">
              <w:rPr>
                <w:spacing w:val="-2"/>
              </w:rPr>
              <w:t>2. </w:t>
            </w:r>
            <w:r w:rsidRPr="000A47F1">
              <w:rPr>
                <w:color w:val="auto"/>
              </w:rPr>
              <w:t xml:space="preserve">Lai nodrošinātu, ka tiek veikta valsts atbalsta, kas sniegts vispārējas tautsaimnieciskas nozīmes pakalpojuma sniedzējam atbilstoši Komisijas lēmumam Nr. 2012/21/ES, uzraudzība, noteikumu projekts ir papildinās ar normu, kas nosaka, ka, ja projektu īsteno atbilstoši MK noteikumu Nr. 645 19.1.2. apakšpunktam, finansējuma saņēmējs iesniedz sadarbības iestādē vispārējas tautsaimnieciskas nozīmes pakalpojuma pilnvarojuma uzlicēja apliecinājumu, ka tas nodrošina Komisijas lēmuma Nr. 2012/21/ES 6. pantā noteikto </w:t>
            </w:r>
            <w:r w:rsidR="00EA4D47" w:rsidRPr="000A47F1">
              <w:rPr>
                <w:color w:val="auto"/>
              </w:rPr>
              <w:t xml:space="preserve">sabiedrisko pakalpojumu sniedzēja – kapitālsabiedrības vai pašvaldības aģentūras - </w:t>
            </w:r>
            <w:r w:rsidRPr="000A47F1">
              <w:rPr>
                <w:color w:val="auto"/>
              </w:rPr>
              <w:t xml:space="preserve">pārmērīgas kompensācijas kontroli, pārskatīšanas, kā arī tās pārmaksas novēršanu un atgūšanu, </w:t>
            </w:r>
            <w:r w:rsidRPr="000A47F1">
              <w:rPr>
                <w:color w:val="auto"/>
                <w:shd w:val="clear" w:color="auto" w:fill="FFFFFF"/>
              </w:rPr>
              <w:t xml:space="preserve">ievērojot </w:t>
            </w:r>
            <w:r w:rsidRPr="000A47F1">
              <w:rPr>
                <w:color w:val="auto"/>
              </w:rPr>
              <w:t>Komisijas lēmumā Nr. 2012/21/ES</w:t>
            </w:r>
            <w:r w:rsidRPr="000A47F1">
              <w:rPr>
                <w:color w:val="auto"/>
                <w:shd w:val="clear" w:color="auto" w:fill="FFFFFF"/>
              </w:rPr>
              <w:t> noteikto pārbaužu regularitāti, bet ne retāk kā reizi trijos gados un pilnvarojuma akta darbības perioda beigās</w:t>
            </w:r>
            <w:r w:rsidRPr="000A47F1">
              <w:rPr>
                <w:color w:val="auto"/>
              </w:rPr>
              <w:t xml:space="preserve">. </w:t>
            </w:r>
            <w:r w:rsidR="00EA4D47" w:rsidRPr="000A47F1">
              <w:rPr>
                <w:color w:val="auto"/>
              </w:rPr>
              <w:t xml:space="preserve">Savukārt, ja sabiedrisko pakalpojumu sniedz pašvaldība, tad finansējuma saņēmējs </w:t>
            </w:r>
            <w:r w:rsidR="00EA4D47" w:rsidRPr="000A47F1">
              <w:rPr>
                <w:color w:val="auto"/>
              </w:rPr>
              <w:lastRenderedPageBreak/>
              <w:t xml:space="preserve">sadarbības iestādē iesniedz apliecinājumu par sabiedriskajiem pakalpojumiem paredzēto kopējo maksājumu kontroli, pārskatīšanu, pārmaksas novēršanu un atgūšanu, ievērojot Komisijas lēmumā Nr. 2012/21/ES noteikto pārbaužu regularitāti, bet ne retāk kā reizi trijos gados un pilnvarojuma akta darbības perioda beigās. </w:t>
            </w:r>
            <w:r w:rsidRPr="000A47F1">
              <w:rPr>
                <w:color w:val="auto"/>
              </w:rPr>
              <w:t>Vienlaikus MK noteikumu Nr. </w:t>
            </w:r>
            <w:r w:rsidR="00EA4D47" w:rsidRPr="000A47F1">
              <w:rPr>
                <w:color w:val="auto"/>
              </w:rPr>
              <w:t>645 43</w:t>
            </w:r>
            <w:r w:rsidRPr="000A47F1">
              <w:rPr>
                <w:color w:val="auto"/>
              </w:rPr>
              <w:t>. punkts ir papildināts ar nosacījumu, ka finansējuma saņēmējam sadarbībā ar vispārējas tautsaimnieciskas nozīmes pakalpojuma pilnvarojuma uzlicēju ir jānodrošina Komisijas lēmuma Nr.2012/21/ES 6. pantā noteiktās uzraudzības veikšanas faktu apliecinošas dokumentācijas saglabāšanu un pieejamību saskaņā ar Komisijas lēmuma Nr. 2012/21/ES 8. pantā noteikto, tostarp pieejamību ES fondu un Kohēzijas fonda vadībā un kontrolē iesaistītajām iestādēm.</w:t>
            </w:r>
          </w:p>
          <w:p w14:paraId="7CF3C7BD" w14:textId="293B545D" w:rsidR="000C33C6" w:rsidRPr="000A47F1" w:rsidRDefault="00B30187" w:rsidP="000C33C6">
            <w:pPr>
              <w:spacing w:after="120"/>
              <w:ind w:right="62"/>
              <w:jc w:val="both"/>
              <w:rPr>
                <w:shd w:val="clear" w:color="auto" w:fill="FFFFFF"/>
              </w:rPr>
            </w:pPr>
            <w:r w:rsidRPr="000A47F1">
              <w:rPr>
                <w:spacing w:val="-2"/>
              </w:rPr>
              <w:t>3. </w:t>
            </w:r>
            <w:r w:rsidR="000E72F3" w:rsidRPr="000A47F1">
              <w:rPr>
                <w:spacing w:val="-2"/>
              </w:rPr>
              <w:t>Ņemot vērā, ka Komisija</w:t>
            </w:r>
            <w:r w:rsidR="000C33C6" w:rsidRPr="000A47F1">
              <w:rPr>
                <w:spacing w:val="-2"/>
              </w:rPr>
              <w:t xml:space="preserve"> ar Komisijas regulu Nr. 2019/316 un Komisijas regulu Nr. 2020/972 ir pagarinājusi </w:t>
            </w:r>
            <w:r w:rsidR="000C33C6" w:rsidRPr="000A47F1">
              <w:rPr>
                <w:shd w:val="clear" w:color="auto" w:fill="FFFFFF"/>
              </w:rPr>
              <w:t>Komisijas 2013. gada 18. decembra Regulas (ES) Nr. 1407/2013 </w:t>
            </w:r>
            <w:r w:rsidR="000C33C6" w:rsidRPr="000A47F1">
              <w:rPr>
                <w:i/>
                <w:shd w:val="clear" w:color="auto" w:fill="FFFFFF"/>
              </w:rPr>
              <w:t>par Līguma par ES darbību 107. un 108. panta piemērošanu </w:t>
            </w:r>
            <w:proofErr w:type="spellStart"/>
            <w:r w:rsidR="000C33C6" w:rsidRPr="000A47F1">
              <w:rPr>
                <w:i/>
                <w:iCs/>
                <w:shd w:val="clear" w:color="auto" w:fill="FFFFFF"/>
              </w:rPr>
              <w:t>de</w:t>
            </w:r>
            <w:proofErr w:type="spellEnd"/>
            <w:r w:rsidR="000C33C6" w:rsidRPr="000A47F1">
              <w:rPr>
                <w:i/>
                <w:iCs/>
                <w:shd w:val="clear" w:color="auto" w:fill="FFFFFF"/>
              </w:rPr>
              <w:t xml:space="preserve"> </w:t>
            </w:r>
            <w:proofErr w:type="spellStart"/>
            <w:r w:rsidR="000C33C6" w:rsidRPr="000A47F1">
              <w:rPr>
                <w:i/>
                <w:iCs/>
                <w:shd w:val="clear" w:color="auto" w:fill="FFFFFF"/>
              </w:rPr>
              <w:t>minimis</w:t>
            </w:r>
            <w:proofErr w:type="spellEnd"/>
            <w:r w:rsidR="000C33C6" w:rsidRPr="000A47F1">
              <w:rPr>
                <w:i/>
                <w:shd w:val="clear" w:color="auto" w:fill="FFFFFF"/>
              </w:rPr>
              <w:t> atbalstam</w:t>
            </w:r>
            <w:r w:rsidR="000C33C6" w:rsidRPr="000A47F1">
              <w:rPr>
                <w:shd w:val="clear" w:color="auto" w:fill="FFFFFF"/>
              </w:rPr>
              <w:t xml:space="preserve"> (turpmāk – Komisijas regula Nr. 1407/2013), Komisijas 2013. gada 18. decembra Regulas (ES) Nr. 1408/2013 </w:t>
            </w:r>
            <w:r w:rsidR="000C33C6" w:rsidRPr="000A47F1">
              <w:rPr>
                <w:i/>
                <w:shd w:val="clear" w:color="auto" w:fill="FFFFFF"/>
              </w:rPr>
              <w:t>par Līguma par ES darbību 107. un 108. panta piemērošanu </w:t>
            </w:r>
            <w:proofErr w:type="spellStart"/>
            <w:r w:rsidR="000C33C6" w:rsidRPr="000A47F1">
              <w:rPr>
                <w:i/>
                <w:iCs/>
                <w:shd w:val="clear" w:color="auto" w:fill="FFFFFF"/>
              </w:rPr>
              <w:t>de</w:t>
            </w:r>
            <w:proofErr w:type="spellEnd"/>
            <w:r w:rsidR="000C33C6" w:rsidRPr="000A47F1">
              <w:rPr>
                <w:i/>
                <w:iCs/>
                <w:shd w:val="clear" w:color="auto" w:fill="FFFFFF"/>
              </w:rPr>
              <w:t xml:space="preserve"> </w:t>
            </w:r>
            <w:proofErr w:type="spellStart"/>
            <w:r w:rsidR="000C33C6" w:rsidRPr="000A47F1">
              <w:rPr>
                <w:i/>
                <w:iCs/>
                <w:shd w:val="clear" w:color="auto" w:fill="FFFFFF"/>
              </w:rPr>
              <w:t>minimis</w:t>
            </w:r>
            <w:proofErr w:type="spellEnd"/>
            <w:r w:rsidR="000C33C6" w:rsidRPr="000A47F1">
              <w:rPr>
                <w:i/>
                <w:shd w:val="clear" w:color="auto" w:fill="FFFFFF"/>
              </w:rPr>
              <w:t> atbalstam lauksaimniecības nozarē </w:t>
            </w:r>
            <w:r w:rsidR="000C33C6" w:rsidRPr="000A47F1">
              <w:rPr>
                <w:shd w:val="clear" w:color="auto" w:fill="FFFFFF"/>
              </w:rPr>
              <w:t>(turpmāk – Komisijas regula Nr. 1408/2013) un Komisijas 2014. gada 17. jūnija Regulas (ES) Nr. </w:t>
            </w:r>
            <w:r w:rsidR="000C33C6" w:rsidRPr="000A47F1">
              <w:t>651/2014</w:t>
            </w:r>
            <w:r w:rsidR="000C33C6" w:rsidRPr="000A47F1">
              <w:rPr>
                <w:shd w:val="clear" w:color="auto" w:fill="FFFFFF"/>
              </w:rPr>
              <w:t xml:space="preserve">, </w:t>
            </w:r>
            <w:r w:rsidR="000C33C6" w:rsidRPr="000A47F1">
              <w:rPr>
                <w:i/>
                <w:shd w:val="clear" w:color="auto" w:fill="FFFFFF"/>
              </w:rPr>
              <w:t>ar ko noteiktas atbalsta kategorijas atzīst par saderīgām ar iekšējo tirgu, piemērojot Līguma 107. un 108. pantu</w:t>
            </w:r>
            <w:r w:rsidR="000C33C6" w:rsidRPr="000A47F1">
              <w:rPr>
                <w:shd w:val="clear" w:color="auto" w:fill="FFFFFF"/>
              </w:rPr>
              <w:t xml:space="preserve"> (turpmāk – Komisijas regula Nr. </w:t>
            </w:r>
            <w:r w:rsidR="000C33C6" w:rsidRPr="000A47F1">
              <w:t>651/2014</w:t>
            </w:r>
            <w:r w:rsidR="000C33C6" w:rsidRPr="000A47F1">
              <w:rPr>
                <w:shd w:val="clear" w:color="auto" w:fill="FFFFFF"/>
              </w:rPr>
              <w:t>) piemērošanas termiņus un tie ir atšķirīgi, piemēram, Komisijas regulas Nr. 1407/2013 un  Komisijas regulas Nr. </w:t>
            </w:r>
            <w:r w:rsidR="000C33C6" w:rsidRPr="000A47F1">
              <w:t xml:space="preserve">651/2014 piemērošanas termiņš ir noteikts līdz 2023. gada 31. decembrim, savukārt </w:t>
            </w:r>
            <w:r w:rsidR="000C33C6" w:rsidRPr="000A47F1">
              <w:rPr>
                <w:shd w:val="clear" w:color="auto" w:fill="FFFFFF"/>
              </w:rPr>
              <w:t>Komisijas regulas Nr. 1408/2013 piemērošanas termiņš ir noteiks</w:t>
            </w:r>
            <w:r w:rsidR="002B7EC4" w:rsidRPr="000A47F1">
              <w:rPr>
                <w:shd w:val="clear" w:color="auto" w:fill="FFFFFF"/>
              </w:rPr>
              <w:t xml:space="preserve"> līdz</w:t>
            </w:r>
            <w:r w:rsidR="000C33C6" w:rsidRPr="000A47F1">
              <w:rPr>
                <w:shd w:val="clear" w:color="auto" w:fill="FFFFFF"/>
              </w:rPr>
              <w:t xml:space="preserve"> 2027. gada 31. decembri</w:t>
            </w:r>
            <w:r w:rsidR="002B7EC4" w:rsidRPr="000A47F1">
              <w:rPr>
                <w:shd w:val="clear" w:color="auto" w:fill="FFFFFF"/>
              </w:rPr>
              <w:t>m</w:t>
            </w:r>
            <w:r w:rsidR="000C33C6" w:rsidRPr="000A47F1">
              <w:rPr>
                <w:shd w:val="clear" w:color="auto" w:fill="FFFFFF"/>
              </w:rPr>
              <w:t>, ar šo noteikumu projektu tiek precizēta</w:t>
            </w:r>
            <w:r w:rsidR="002B7EC4" w:rsidRPr="000A47F1">
              <w:rPr>
                <w:shd w:val="clear" w:color="auto" w:fill="FFFFFF"/>
              </w:rPr>
              <w:t xml:space="preserve"> attiecīgā</w:t>
            </w:r>
            <w:r w:rsidR="000C33C6" w:rsidRPr="000A47F1">
              <w:rPr>
                <w:shd w:val="clear" w:color="auto" w:fill="FFFFFF"/>
              </w:rPr>
              <w:t xml:space="preserve"> norma</w:t>
            </w:r>
            <w:r w:rsidR="002B7EC4" w:rsidRPr="000A47F1">
              <w:rPr>
                <w:shd w:val="clear" w:color="auto" w:fill="FFFFFF"/>
              </w:rPr>
              <w:t>,</w:t>
            </w:r>
            <w:r w:rsidR="000C33C6" w:rsidRPr="000A47F1">
              <w:rPr>
                <w:shd w:val="clear" w:color="auto" w:fill="FFFFFF"/>
              </w:rPr>
              <w:t xml:space="preserve"> nosakot, ka lēmumus par atbalsta piešķiršanu saskaņā ar minētajām regulām var pieņemt līdz šo regulu darbības beigām.</w:t>
            </w:r>
          </w:p>
          <w:p w14:paraId="34C6C023" w14:textId="5DAB1153" w:rsidR="000C33C6" w:rsidRPr="000A47F1" w:rsidRDefault="000C33C6" w:rsidP="004C0F4D">
            <w:pPr>
              <w:spacing w:after="120"/>
              <w:ind w:right="62"/>
              <w:jc w:val="both"/>
              <w:rPr>
                <w:shd w:val="clear" w:color="auto" w:fill="FFFFFF"/>
              </w:rPr>
            </w:pPr>
            <w:r w:rsidRPr="000A47F1">
              <w:rPr>
                <w:shd w:val="clear" w:color="auto" w:fill="FFFFFF"/>
              </w:rPr>
              <w:t>Atsevišķi precizēti valsts atbalsta piešķiršanas termiņi saskaņā ar Komisijas regulu Nr. </w:t>
            </w:r>
            <w:r w:rsidRPr="000A47F1">
              <w:t xml:space="preserve">651/2014, ņemot vērā, ka reģionālo atbalstu (14. pants) drīkst piešķirt līdz 2021. gada 31. decembrim, bet visu citu atbalstu saskaņā ar </w:t>
            </w:r>
            <w:r w:rsidRPr="000A47F1">
              <w:rPr>
                <w:shd w:val="clear" w:color="auto" w:fill="FFFFFF"/>
              </w:rPr>
              <w:t>Komisijas regulu Nr. </w:t>
            </w:r>
            <w:r w:rsidRPr="000A47F1">
              <w:t>651/2014 drīkst piešķirt līdz 2023. gada 31</w:t>
            </w:r>
            <w:r w:rsidRPr="000A47F1">
              <w:rPr>
                <w:shd w:val="clear" w:color="auto" w:fill="FFFFFF"/>
              </w:rPr>
              <w:t>. decembrim.</w:t>
            </w:r>
          </w:p>
          <w:p w14:paraId="10B4E70F" w14:textId="265B8C29" w:rsidR="004C0F4D" w:rsidRPr="000A47F1" w:rsidRDefault="004C0F4D" w:rsidP="004C0F4D">
            <w:pPr>
              <w:spacing w:after="120"/>
              <w:ind w:right="62"/>
              <w:jc w:val="both"/>
              <w:rPr>
                <w:rFonts w:ascii="Arial" w:hAnsi="Arial" w:cs="Arial"/>
                <w:sz w:val="20"/>
                <w:szCs w:val="20"/>
              </w:rPr>
            </w:pPr>
            <w:r w:rsidRPr="000A47F1">
              <w:rPr>
                <w:shd w:val="clear" w:color="auto" w:fill="FFFFFF"/>
              </w:rPr>
              <w:t>4. Ņemot vērā, ka 5.6.2. SAM ietver iespēju valsts atbalsta saņēmējam veikt valsts atbalsta</w:t>
            </w:r>
            <w:r w:rsidRPr="000A47F1">
              <w:t xml:space="preserve"> kumulāciju, lai valsts atbalsta pretendentam būtu nepārprotami skaidri tā pienākumi un iesniedzamās informācijas apjoms, kas valsts atbalsta kumulācijas gadījumā būtu iesniedzams valsts atbalsta sniedzējam, MK noteikumi Nr. 645 tiek papildināti ar jaunu punktu, kurā norādīta nepieciešamība iesniegt konkrētu informāciju par saņemto vai plānoto valsts atbalstu, ja valsts atbalsta pretendents ir saņēmis vai plāno saņemt citu valsts atbalstu attiecībā uz 5.6.2. SAM ietvaros attiecināmajām izmaksām. Šādā gadījumā valsts atbalsta pretendents iesniedz valsts atbalsta sniedzējam informāciju par plānoto un piešķirto valsts atbalstu par šīm izmaksām, norādot valsts atbalsta piešķiršanas datumu (attiecināms, ja cits atbalsts jau piešķirts), valsts atbalsta sniedzēju, valsts atbalsta pasākumu un plānoto vai piešķirto valsts atbalsta</w:t>
            </w:r>
            <w:r w:rsidR="00FE0601" w:rsidRPr="000A47F1">
              <w:t xml:space="preserve"> </w:t>
            </w:r>
            <w:r w:rsidR="00FE0601" w:rsidRPr="00192F74">
              <w:t>intensitāti un</w:t>
            </w:r>
            <w:r w:rsidR="00FE0601" w:rsidRPr="000A47F1">
              <w:t xml:space="preserve"> </w:t>
            </w:r>
            <w:r w:rsidRPr="000A47F1">
              <w:t xml:space="preserve"> </w:t>
            </w:r>
            <w:r w:rsidRPr="000A47F1">
              <w:lastRenderedPageBreak/>
              <w:t xml:space="preserve">summu. Praksē šī norma 5.6.2. SAM atlasēs tiek ievērota no 2017. gada, kad 5.6.2. SAM projekta iesniedzēji, iesniedzot projekta iesniegumu, kā vienu no 5.6.2. SAM atlases dokumentiem kā pielikumu projekta iesnieguma dokumentācijai pievieno dokumentu "Projekta iesniedzēja un sadarbības partnera informācija par saņemto un plānoto valsts atbalstu". </w:t>
            </w:r>
            <w:r w:rsidRPr="000A47F1">
              <w:rPr>
                <w:bCs/>
              </w:rPr>
              <w:t>Atbilstoši</w:t>
            </w:r>
            <w:r w:rsidRPr="000A47F1">
              <w:t xml:space="preserve"> </w:t>
            </w:r>
            <w:r w:rsidRPr="000A47F1">
              <w:rPr>
                <w:bCs/>
              </w:rPr>
              <w:t xml:space="preserve">MK 2014. gada 16. decembra noteikumu Nr. 784 </w:t>
            </w:r>
            <w:r w:rsidRPr="000A47F1">
              <w:rPr>
                <w:spacing w:val="-2"/>
              </w:rPr>
              <w:t>"</w:t>
            </w:r>
            <w:r w:rsidRPr="000A47F1">
              <w:rPr>
                <w:bCs/>
                <w:shd w:val="clear" w:color="auto" w:fill="FFFFFF"/>
              </w:rPr>
              <w:t>Kārtība, kādā Eiropas Savienības struktūrfondu un Kohēzijas fonda vadībā iesaistītās institūcijas nodrošina plānošanas dokumentu sagatavošanu un šo fondu ieviešanu 2014.–2020.gada plānošanas periodā</w:t>
            </w:r>
            <w:r w:rsidRPr="000A47F1">
              <w:rPr>
                <w:spacing w:val="-2"/>
              </w:rPr>
              <w:t>"</w:t>
            </w:r>
            <w:r w:rsidRPr="000A47F1">
              <w:rPr>
                <w:bCs/>
              </w:rPr>
              <w:t xml:space="preserve"> 15. punktam atlases nolikumā ietver </w:t>
            </w:r>
            <w:r w:rsidRPr="000A47F1">
              <w:rPr>
                <w:bCs/>
                <w:shd w:val="clear" w:color="auto" w:fill="FFFFFF"/>
              </w:rPr>
              <w:t xml:space="preserve">norādi uz normatīvajā aktā par specifiskā atbalsts mērķa īstenošanu ietvertajām prasībām projekta iesniedzējam, kā arī </w:t>
            </w:r>
            <w:r w:rsidRPr="000A47F1">
              <w:rPr>
                <w:bCs/>
              </w:rPr>
              <w:t>projekta iesnieguma veidlapu un papildus iesniedzamo dokumentu sarakstu. Ievērojot minēto, lai normatīvi nostiprinātu projekta iesniedzēja iesniedzamās informācijas apjomu, šim regulējumam, kas paredz valsts atbalsta pretendentam pienākumu iesniegt valsts atbalsta sniedzējam informāciju par plānoto un piešķirto valsts atbalstu</w:t>
            </w:r>
            <w:r w:rsidR="002B7EC4" w:rsidRPr="000A47F1">
              <w:rPr>
                <w:bCs/>
              </w:rPr>
              <w:t>,</w:t>
            </w:r>
            <w:r w:rsidRPr="000A47F1">
              <w:rPr>
                <w:bCs/>
              </w:rPr>
              <w:t xml:space="preserve"> ir jābūt nostiprināta</w:t>
            </w:r>
            <w:r w:rsidR="002B7EC4" w:rsidRPr="000A47F1">
              <w:rPr>
                <w:bCs/>
              </w:rPr>
              <w:t>m</w:t>
            </w:r>
            <w:r w:rsidRPr="000A47F1">
              <w:rPr>
                <w:bCs/>
              </w:rPr>
              <w:t xml:space="preserve"> ne tikai 5.6.2. SAM atlases nolikumā, bet arī MK noteikumos Nr. 645.</w:t>
            </w:r>
            <w:r w:rsidRPr="000A47F1">
              <w:t xml:space="preserve"> </w:t>
            </w:r>
          </w:p>
          <w:p w14:paraId="57617854" w14:textId="7FC2A7A5" w:rsidR="000C33C6" w:rsidRPr="000A47F1" w:rsidRDefault="006C6AD8" w:rsidP="006C6AD8">
            <w:pPr>
              <w:spacing w:after="120"/>
              <w:ind w:right="62"/>
              <w:jc w:val="both"/>
              <w:rPr>
                <w:bCs/>
              </w:rPr>
            </w:pPr>
            <w:r w:rsidRPr="000A47F1">
              <w:rPr>
                <w:rFonts w:eastAsia="Times New Roman"/>
              </w:rPr>
              <w:t>5. </w:t>
            </w:r>
            <w:r w:rsidR="004725E0" w:rsidRPr="000A47F1">
              <w:t xml:space="preserve">2019. gada 1. jūnijā stājās spēkā un tiek piemēroti MK noteikumi Nr. 715, kas attiecināmi arī uz </w:t>
            </w:r>
            <w:proofErr w:type="spellStart"/>
            <w:r w:rsidR="004725E0" w:rsidRPr="000A47F1">
              <w:rPr>
                <w:i/>
              </w:rPr>
              <w:t>de</w:t>
            </w:r>
            <w:proofErr w:type="spellEnd"/>
            <w:r w:rsidR="004725E0" w:rsidRPr="000A47F1">
              <w:rPr>
                <w:i/>
              </w:rPr>
              <w:t xml:space="preserve"> </w:t>
            </w:r>
            <w:proofErr w:type="spellStart"/>
            <w:r w:rsidR="004725E0" w:rsidRPr="000A47F1">
              <w:rPr>
                <w:i/>
              </w:rPr>
              <w:t>minimis</w:t>
            </w:r>
            <w:proofErr w:type="spellEnd"/>
            <w:r w:rsidR="004725E0" w:rsidRPr="000A47F1">
              <w:t xml:space="preserve"> atbalsta uzskaiti lauksaimniecības nozarē un zivsaimniecības un akvakultūras nozarē, kā rezultātā noteikumu projekts paredz redakcionāli precizēt MK noteikumu Nr. </w:t>
            </w:r>
            <w:r w:rsidR="00D3461B" w:rsidRPr="000A47F1">
              <w:t>645</w:t>
            </w:r>
            <w:r w:rsidR="004725E0" w:rsidRPr="000A47F1">
              <w:t xml:space="preserve"> 66. punktu atbilstoši spēkā esošajiem </w:t>
            </w:r>
            <w:r w:rsidR="004725E0" w:rsidRPr="000A47F1">
              <w:rPr>
                <w:bCs/>
              </w:rPr>
              <w:t>normatīvajiem aktiem.</w:t>
            </w:r>
          </w:p>
          <w:p w14:paraId="02BC6B82" w14:textId="17D74C2E" w:rsidR="00A43276" w:rsidRPr="000A47F1" w:rsidRDefault="006C6AD8" w:rsidP="006C6AD8">
            <w:pPr>
              <w:spacing w:after="120"/>
              <w:ind w:right="62"/>
              <w:jc w:val="both"/>
            </w:pPr>
            <w:r w:rsidRPr="000A47F1">
              <w:rPr>
                <w:bCs/>
              </w:rPr>
              <w:t>6. </w:t>
            </w:r>
            <w:r w:rsidR="00A43276" w:rsidRPr="000A47F1">
              <w:rPr>
                <w:bCs/>
              </w:rPr>
              <w:t>Lai i</w:t>
            </w:r>
            <w:r w:rsidR="00A43276" w:rsidRPr="000A47F1">
              <w:t>kvienam projekta iesniedzējam (valsts atbalsta pretendentam) skaidri un nepārprotami būtu zināms brīdis, kad tam ir piešķirtas likumīgas tiesības saņemt valsts atbalstu saskaņā ar:</w:t>
            </w:r>
          </w:p>
          <w:p w14:paraId="11750264" w14:textId="58A61C6C" w:rsidR="00A43276" w:rsidRPr="000A47F1" w:rsidRDefault="00A43276" w:rsidP="00A43276">
            <w:pPr>
              <w:pStyle w:val="Default"/>
              <w:spacing w:after="120"/>
              <w:jc w:val="both"/>
              <w:rPr>
                <w:color w:val="auto"/>
                <w:shd w:val="clear" w:color="auto" w:fill="FFFFFF"/>
              </w:rPr>
            </w:pPr>
            <w:r w:rsidRPr="000A47F1">
              <w:rPr>
                <w:color w:val="auto"/>
                <w:shd w:val="clear" w:color="auto" w:fill="FFFFFF"/>
              </w:rPr>
              <w:t xml:space="preserve">a) </w:t>
            </w:r>
            <w:r w:rsidR="007F673D" w:rsidRPr="000A47F1">
              <w:rPr>
                <w:shd w:val="clear" w:color="auto" w:fill="FFFFFF"/>
              </w:rPr>
              <w:t>Komisijas regulu Nr.651/2014</w:t>
            </w:r>
            <w:r w:rsidRPr="000A47F1">
              <w:rPr>
                <w:color w:val="auto"/>
                <w:shd w:val="clear" w:color="auto" w:fill="FFFFFF"/>
              </w:rPr>
              <w:t>,</w:t>
            </w:r>
          </w:p>
          <w:p w14:paraId="50E97798" w14:textId="6ACFFDEA" w:rsidR="00A43276" w:rsidRPr="000A47F1" w:rsidRDefault="00A43276" w:rsidP="00A43276">
            <w:pPr>
              <w:pStyle w:val="Default"/>
              <w:spacing w:after="120"/>
              <w:jc w:val="both"/>
              <w:rPr>
                <w:color w:val="auto"/>
                <w:shd w:val="clear" w:color="auto" w:fill="FFFFFF"/>
              </w:rPr>
            </w:pPr>
            <w:r w:rsidRPr="000A47F1">
              <w:rPr>
                <w:color w:val="auto"/>
                <w:shd w:val="clear" w:color="auto" w:fill="FFFFFF"/>
              </w:rPr>
              <w:t xml:space="preserve">b) Komisijas 2014. gada 25. jūnija Regulu (ES) Nr. 702/2014, </w:t>
            </w:r>
            <w:r w:rsidRPr="000A47F1">
              <w:rPr>
                <w:i/>
                <w:color w:val="auto"/>
                <w:shd w:val="clear" w:color="auto" w:fill="FFFFFF"/>
              </w:rPr>
              <w:t>ar kuru konkrētas atbalsta kategorijas lauksaimniecības un mežsaimniecības nozarē un lauku apvidos atzīst par saderīgām ar iekšējo tirgu, piemērojot Līguma par Eiropas Savienības darbību 107. un 108. pantu</w:t>
            </w:r>
            <w:r w:rsidR="007F673D" w:rsidRPr="000A47F1">
              <w:rPr>
                <w:color w:val="auto"/>
                <w:shd w:val="clear" w:color="auto" w:fill="FFFFFF"/>
              </w:rPr>
              <w:t xml:space="preserve"> (turpmāk – Komisijas regula Nr. 702/2014),</w:t>
            </w:r>
            <w:r w:rsidRPr="000A47F1">
              <w:rPr>
                <w:color w:val="auto"/>
                <w:shd w:val="clear" w:color="auto" w:fill="FFFFFF"/>
              </w:rPr>
              <w:t xml:space="preserve"> </w:t>
            </w:r>
          </w:p>
          <w:p w14:paraId="279DD4B7" w14:textId="20D3E1C2" w:rsidR="00A43276" w:rsidRPr="000A47F1" w:rsidRDefault="00A43276" w:rsidP="00A43276">
            <w:pPr>
              <w:pStyle w:val="Default"/>
              <w:spacing w:after="120"/>
              <w:jc w:val="both"/>
              <w:rPr>
                <w:color w:val="auto"/>
                <w:shd w:val="clear" w:color="auto" w:fill="FFFFFF"/>
              </w:rPr>
            </w:pPr>
            <w:r w:rsidRPr="000A47F1">
              <w:rPr>
                <w:color w:val="auto"/>
                <w:shd w:val="clear" w:color="auto" w:fill="FFFFFF"/>
              </w:rPr>
              <w:t xml:space="preserve">c) Komisijas 2014. gada 16. decembra Regulu (ES) Nr. 1388/2014, </w:t>
            </w:r>
            <w:r w:rsidRPr="000A47F1">
              <w:rPr>
                <w:i/>
                <w:color w:val="auto"/>
                <w:shd w:val="clear" w:color="auto" w:fill="FFFFFF"/>
              </w:rPr>
              <w:t>ar ko konkrētas atbalsta kategorijas uzņēmumiem, kuri nodarbojas ar zvejas un akvakultūras produktu ražošanu, apstrādi un tirdzniecību, atzīst par saderīgām ar iekšējo tirgu, piemērojot Līguma par Eiropas Savienības darbību 107. un 108. pantu</w:t>
            </w:r>
            <w:r w:rsidR="00FD3AAC" w:rsidRPr="000A47F1">
              <w:rPr>
                <w:i/>
                <w:color w:val="auto"/>
                <w:shd w:val="clear" w:color="auto" w:fill="FFFFFF"/>
              </w:rPr>
              <w:t xml:space="preserve"> </w:t>
            </w:r>
            <w:r w:rsidR="00FD3AAC" w:rsidRPr="000A47F1">
              <w:rPr>
                <w:color w:val="auto"/>
                <w:shd w:val="clear" w:color="auto" w:fill="FFFFFF"/>
              </w:rPr>
              <w:t>(turpmāk – Komisijas regula Nr. 1388/2014)</w:t>
            </w:r>
            <w:r w:rsidRPr="000A47F1">
              <w:rPr>
                <w:color w:val="auto"/>
                <w:shd w:val="clear" w:color="auto" w:fill="FFFFFF"/>
              </w:rPr>
              <w:t>,</w:t>
            </w:r>
          </w:p>
          <w:p w14:paraId="6CF649CB" w14:textId="34E63789" w:rsidR="00A43276" w:rsidRPr="000A47F1" w:rsidRDefault="00A43276" w:rsidP="00A43276">
            <w:pPr>
              <w:pStyle w:val="Default"/>
              <w:spacing w:after="120"/>
              <w:jc w:val="both"/>
              <w:rPr>
                <w:color w:val="auto"/>
                <w:shd w:val="clear" w:color="auto" w:fill="FFFFFF"/>
              </w:rPr>
            </w:pPr>
            <w:r w:rsidRPr="000A47F1">
              <w:rPr>
                <w:color w:val="auto"/>
                <w:shd w:val="clear" w:color="auto" w:fill="FFFFFF"/>
              </w:rPr>
              <w:t>d) </w:t>
            </w:r>
            <w:r w:rsidR="00FD3AAC" w:rsidRPr="000A47F1">
              <w:rPr>
                <w:color w:val="auto"/>
                <w:shd w:val="clear" w:color="auto" w:fill="FFFFFF"/>
              </w:rPr>
              <w:t>Komisijas lēmumu Nr. 2012/21/ES</w:t>
            </w:r>
            <w:r w:rsidRPr="000A47F1">
              <w:rPr>
                <w:color w:val="auto"/>
                <w:shd w:val="clear" w:color="auto" w:fill="FFFFFF"/>
              </w:rPr>
              <w:t>,</w:t>
            </w:r>
          </w:p>
          <w:p w14:paraId="3F79DE5E" w14:textId="22FD626F" w:rsidR="00A43276" w:rsidRPr="000A47F1" w:rsidRDefault="00A43276" w:rsidP="00A43276">
            <w:pPr>
              <w:pStyle w:val="Default"/>
              <w:spacing w:after="120"/>
              <w:jc w:val="both"/>
              <w:rPr>
                <w:color w:val="auto"/>
                <w:shd w:val="clear" w:color="auto" w:fill="FFFFFF"/>
              </w:rPr>
            </w:pPr>
            <w:r w:rsidRPr="000A47F1">
              <w:rPr>
                <w:color w:val="auto"/>
                <w:shd w:val="clear" w:color="auto" w:fill="FFFFFF"/>
              </w:rPr>
              <w:t>e) Komisi</w:t>
            </w:r>
            <w:r w:rsidR="00D50FD4" w:rsidRPr="000A47F1">
              <w:rPr>
                <w:color w:val="auto"/>
                <w:shd w:val="clear" w:color="auto" w:fill="FFFFFF"/>
              </w:rPr>
              <w:t xml:space="preserve">jas </w:t>
            </w:r>
            <w:r w:rsidR="004D3AA3" w:rsidRPr="000A47F1">
              <w:rPr>
                <w:shd w:val="clear" w:color="auto" w:fill="FFFFFF"/>
              </w:rPr>
              <w:t>regulu</w:t>
            </w:r>
            <w:r w:rsidR="00D50FD4" w:rsidRPr="000A47F1">
              <w:rPr>
                <w:shd w:val="clear" w:color="auto" w:fill="FFFFFF"/>
              </w:rPr>
              <w:t xml:space="preserve"> Nr. 1407/2013</w:t>
            </w:r>
            <w:r w:rsidRPr="000A47F1">
              <w:rPr>
                <w:i/>
                <w:color w:val="auto"/>
                <w:shd w:val="clear" w:color="auto" w:fill="FFFFFF"/>
              </w:rPr>
              <w:t>,</w:t>
            </w:r>
            <w:r w:rsidRPr="000A47F1">
              <w:rPr>
                <w:color w:val="auto"/>
                <w:shd w:val="clear" w:color="auto" w:fill="FFFFFF"/>
              </w:rPr>
              <w:t> </w:t>
            </w:r>
          </w:p>
          <w:p w14:paraId="41548C19" w14:textId="10261738" w:rsidR="00A43276" w:rsidRPr="000A47F1" w:rsidRDefault="00A43276" w:rsidP="00A43276">
            <w:pPr>
              <w:pStyle w:val="Default"/>
              <w:spacing w:after="120"/>
              <w:jc w:val="both"/>
              <w:rPr>
                <w:i/>
                <w:color w:val="auto"/>
                <w:shd w:val="clear" w:color="auto" w:fill="FFFFFF"/>
              </w:rPr>
            </w:pPr>
            <w:r w:rsidRPr="000A47F1">
              <w:rPr>
                <w:color w:val="auto"/>
                <w:shd w:val="clear" w:color="auto" w:fill="FFFFFF"/>
              </w:rPr>
              <w:t>f) Komisijas 2014. gada 27. jūnija Regulu (EK) Nr. 717/2014 </w:t>
            </w:r>
            <w:r w:rsidRPr="000A47F1">
              <w:rPr>
                <w:i/>
                <w:color w:val="auto"/>
                <w:shd w:val="clear" w:color="auto" w:fill="FFFFFF"/>
              </w:rPr>
              <w:t>par Līguma par ES darbību 107. un 108. panta piemērošanu </w:t>
            </w:r>
            <w:proofErr w:type="spellStart"/>
            <w:r w:rsidRPr="000A47F1">
              <w:rPr>
                <w:i/>
                <w:iCs/>
                <w:color w:val="auto"/>
                <w:shd w:val="clear" w:color="auto" w:fill="FFFFFF"/>
              </w:rPr>
              <w:t>de</w:t>
            </w:r>
            <w:proofErr w:type="spellEnd"/>
            <w:r w:rsidRPr="000A47F1">
              <w:rPr>
                <w:i/>
                <w:iCs/>
                <w:color w:val="auto"/>
                <w:shd w:val="clear" w:color="auto" w:fill="FFFFFF"/>
              </w:rPr>
              <w:t xml:space="preserve"> </w:t>
            </w:r>
            <w:proofErr w:type="spellStart"/>
            <w:r w:rsidRPr="000A47F1">
              <w:rPr>
                <w:i/>
                <w:iCs/>
                <w:color w:val="auto"/>
                <w:shd w:val="clear" w:color="auto" w:fill="FFFFFF"/>
              </w:rPr>
              <w:t>minimis</w:t>
            </w:r>
            <w:proofErr w:type="spellEnd"/>
            <w:r w:rsidRPr="000A47F1">
              <w:rPr>
                <w:i/>
                <w:color w:val="auto"/>
                <w:shd w:val="clear" w:color="auto" w:fill="FFFFFF"/>
              </w:rPr>
              <w:t> atbalstam zvejniecības un akvakultūras nozarē</w:t>
            </w:r>
            <w:r w:rsidR="00FD3AAC" w:rsidRPr="000A47F1">
              <w:rPr>
                <w:i/>
                <w:color w:val="auto"/>
                <w:shd w:val="clear" w:color="auto" w:fill="FFFFFF"/>
              </w:rPr>
              <w:t xml:space="preserve"> </w:t>
            </w:r>
            <w:r w:rsidR="00FD3AAC" w:rsidRPr="000A47F1">
              <w:rPr>
                <w:color w:val="auto"/>
                <w:shd w:val="clear" w:color="auto" w:fill="FFFFFF"/>
              </w:rPr>
              <w:t>(turpmāk – Komisijas regula Nr. 717/2014)</w:t>
            </w:r>
            <w:r w:rsidRPr="000A47F1">
              <w:rPr>
                <w:i/>
                <w:color w:val="auto"/>
                <w:shd w:val="clear" w:color="auto" w:fill="FFFFFF"/>
              </w:rPr>
              <w:t>,</w:t>
            </w:r>
          </w:p>
          <w:p w14:paraId="638F6DA7" w14:textId="28C6D75D" w:rsidR="00A43276" w:rsidRPr="000A47F1" w:rsidRDefault="00A43276" w:rsidP="00A43276">
            <w:pPr>
              <w:pStyle w:val="Default"/>
              <w:spacing w:after="120"/>
              <w:jc w:val="both"/>
              <w:rPr>
                <w:i/>
                <w:color w:val="auto"/>
                <w:shd w:val="clear" w:color="auto" w:fill="FFFFFF"/>
              </w:rPr>
            </w:pPr>
            <w:r w:rsidRPr="000A47F1">
              <w:rPr>
                <w:color w:val="auto"/>
                <w:shd w:val="clear" w:color="auto" w:fill="FFFFFF"/>
              </w:rPr>
              <w:t xml:space="preserve">g) Komisijas </w:t>
            </w:r>
            <w:r w:rsidR="004D3AA3" w:rsidRPr="000A47F1">
              <w:rPr>
                <w:color w:val="auto"/>
                <w:shd w:val="clear" w:color="auto" w:fill="FFFFFF"/>
              </w:rPr>
              <w:t>regulu Nr. 1408/2013</w:t>
            </w:r>
            <w:r w:rsidR="000C7CEF" w:rsidRPr="000A47F1">
              <w:rPr>
                <w:i/>
                <w:color w:val="auto"/>
                <w:shd w:val="clear" w:color="auto" w:fill="FFFFFF"/>
              </w:rPr>
              <w:t>,</w:t>
            </w:r>
            <w:r w:rsidRPr="000A47F1">
              <w:rPr>
                <w:i/>
                <w:color w:val="auto"/>
                <w:shd w:val="clear" w:color="auto" w:fill="FFFFFF"/>
              </w:rPr>
              <w:t> </w:t>
            </w:r>
          </w:p>
          <w:p w14:paraId="106E7FF4" w14:textId="0AD7F2C4" w:rsidR="00A43276" w:rsidRPr="000A47F1" w:rsidRDefault="00A43276" w:rsidP="00A43276">
            <w:pPr>
              <w:pStyle w:val="Default"/>
              <w:spacing w:after="120"/>
              <w:jc w:val="both"/>
              <w:rPr>
                <w:shd w:val="clear" w:color="auto" w:fill="FFFFFF"/>
              </w:rPr>
            </w:pPr>
            <w:r w:rsidRPr="000A47F1">
              <w:rPr>
                <w:bCs/>
                <w:shd w:val="clear" w:color="auto" w:fill="FFFFFF"/>
              </w:rPr>
              <w:t>MK noteikumi Nr. 645 tiek papildināti ar jaunu 72.</w:t>
            </w:r>
            <w:r w:rsidRPr="000A47F1">
              <w:rPr>
                <w:bCs/>
                <w:shd w:val="clear" w:color="auto" w:fill="FFFFFF"/>
                <w:vertAlign w:val="superscript"/>
              </w:rPr>
              <w:t>1</w:t>
            </w:r>
            <w:r w:rsidRPr="000A47F1">
              <w:rPr>
                <w:bCs/>
                <w:shd w:val="clear" w:color="auto" w:fill="FFFFFF"/>
              </w:rPr>
              <w:t xml:space="preserve"> punktu, </w:t>
            </w:r>
            <w:r w:rsidRPr="000A47F1">
              <w:t xml:space="preserve">kurā precīzi tiek noteikts brīdis, kad valsts atbalsta pretendentam tiek </w:t>
            </w:r>
            <w:r w:rsidRPr="000A47F1">
              <w:lastRenderedPageBreak/>
              <w:t xml:space="preserve">piešķirts valsts atbalsts. Tā ir </w:t>
            </w:r>
            <w:r w:rsidRPr="000A47F1">
              <w:rPr>
                <w:shd w:val="clear" w:color="auto" w:fill="FFFFFF"/>
              </w:rPr>
              <w:t>diena, kad tiek pieņemts lēmums par projekta iesnieguma apstiprināšanu vai izdots atzinums par lēmumā noteikto nosacījumu izpildi, ja iepriekš pieņemts lēmums par projekta iesnieguma apstiprināšanu ar nosacījum</w:t>
            </w:r>
            <w:r w:rsidR="000C7CEF" w:rsidRPr="000A47F1">
              <w:rPr>
                <w:shd w:val="clear" w:color="auto" w:fill="FFFFFF"/>
              </w:rPr>
              <w:t>iem</w:t>
            </w:r>
            <w:r w:rsidRPr="000A47F1">
              <w:rPr>
                <w:shd w:val="clear" w:color="auto" w:fill="FFFFFF"/>
              </w:rPr>
              <w:t>.</w:t>
            </w:r>
          </w:p>
          <w:p w14:paraId="47B17DCB" w14:textId="1315F57B" w:rsidR="004911CB" w:rsidRPr="000A47F1" w:rsidRDefault="007C1EAD">
            <w:pPr>
              <w:pStyle w:val="Default"/>
              <w:spacing w:after="120"/>
              <w:jc w:val="both"/>
            </w:pPr>
            <w:r w:rsidRPr="000A47F1">
              <w:rPr>
                <w:shd w:val="clear" w:color="auto" w:fill="FFFFFF"/>
              </w:rPr>
              <w:t>7</w:t>
            </w:r>
            <w:r w:rsidR="00A43276" w:rsidRPr="000A47F1">
              <w:rPr>
                <w:shd w:val="clear" w:color="auto" w:fill="FFFFFF"/>
              </w:rPr>
              <w:t xml:space="preserve">. </w:t>
            </w:r>
            <w:r w:rsidR="00A43276" w:rsidRPr="000A47F1">
              <w:t xml:space="preserve">Ievērojot, ka valsts atbalsts MK noteikumu Nr. 645 ietvaros tiek sniegts saskaņā ar </w:t>
            </w:r>
            <w:r w:rsidR="00A43276" w:rsidRPr="000A47F1">
              <w:rPr>
                <w:shd w:val="clear" w:color="auto" w:fill="FFFFFF"/>
              </w:rPr>
              <w:t>Komisijas regulu Nr.651/2014, kā arī Komisijas regulu Nr. 1407/2013</w:t>
            </w:r>
            <w:r w:rsidR="00656D9F" w:rsidRPr="000A47F1">
              <w:rPr>
                <w:shd w:val="clear" w:color="auto" w:fill="FFFFFF"/>
              </w:rPr>
              <w:t>, valsts atbalsts</w:t>
            </w:r>
            <w:r w:rsidR="0004486B" w:rsidRPr="000A47F1">
              <w:rPr>
                <w:shd w:val="clear" w:color="auto" w:fill="FFFFFF"/>
              </w:rPr>
              <w:t xml:space="preserve"> MK noteikumu Nr. 645 ietvaros tiek sniegts saskaņā ar</w:t>
            </w:r>
            <w:r w:rsidR="00656D9F" w:rsidRPr="000A47F1">
              <w:rPr>
                <w:shd w:val="clear" w:color="auto" w:fill="FFFFFF"/>
              </w:rPr>
              <w:t xml:space="preserve"> </w:t>
            </w:r>
            <w:r w:rsidR="00656D9F" w:rsidRPr="000A47F1">
              <w:t>Komisijas regulu Nr. 1408/2013</w:t>
            </w:r>
            <w:r w:rsidR="007C26EB" w:rsidRPr="000A47F1">
              <w:t>, kā arī ar Komisijas regulu</w:t>
            </w:r>
            <w:r w:rsidR="00656D9F" w:rsidRPr="000A47F1">
              <w:t xml:space="preserve"> Nr. 702/2014</w:t>
            </w:r>
            <w:r w:rsidR="00A87980" w:rsidRPr="000A47F1">
              <w:t xml:space="preserve">, </w:t>
            </w:r>
            <w:r w:rsidR="0004486B" w:rsidRPr="000A47F1">
              <w:t xml:space="preserve">valsts atbalsts MK noteikumu Nr. 645 ietvaros tiek sniegts saskaņā ar Komisijas regulu Nr. 1388/2014, kā arī Komisijas regulu Nr. 717/2014 </w:t>
            </w:r>
            <w:r w:rsidR="00A43276" w:rsidRPr="000A47F1">
              <w:t>un, ņemot vērā</w:t>
            </w:r>
            <w:r w:rsidR="004E1527" w:rsidRPr="000A47F1">
              <w:t xml:space="preserve">, ka atbilstoši pašreizējai </w:t>
            </w:r>
            <w:r w:rsidR="00A43276" w:rsidRPr="000A47F1">
              <w:t xml:space="preserve"> Eiropas Savienības tiesas judikatūr</w:t>
            </w:r>
            <w:r w:rsidR="004E1527" w:rsidRPr="000A47F1">
              <w:t>ai nelikumīga valsts atbalsta atgūšana katra minētā valsts atbalsta regulējuma gadījumā var</w:t>
            </w:r>
            <w:r w:rsidR="002B7EC4" w:rsidRPr="000A47F1">
              <w:t xml:space="preserve"> </w:t>
            </w:r>
            <w:r w:rsidR="004E1527" w:rsidRPr="000A47F1">
              <w:t>būt atšķirīga (skat. Eiropas Savienības Tiesas 2011. gada 20. septembra spriedumu lietā T-394/08 (ECLI:EUT:2011:493) un</w:t>
            </w:r>
            <w:r w:rsidR="00A43276" w:rsidRPr="000A47F1">
              <w:t xml:space="preserve"> 2019. gada 5. marta spriedumu lietā Nr. C-349/17 (ECLI:EU:C:2019:172)), MK noteikumi Nr. 645 tiek papildināti</w:t>
            </w:r>
            <w:r w:rsidR="002B7EC4" w:rsidRPr="000A47F1">
              <w:t xml:space="preserve"> ar </w:t>
            </w:r>
            <w:r w:rsidR="00A43276" w:rsidRPr="000A47F1">
              <w:t>jaunu 72.</w:t>
            </w:r>
            <w:r w:rsidR="00A43276" w:rsidRPr="000A47F1">
              <w:rPr>
                <w:vertAlign w:val="superscript"/>
              </w:rPr>
              <w:t>2</w:t>
            </w:r>
            <w:r w:rsidR="00A43276" w:rsidRPr="000A47F1">
              <w:t xml:space="preserve"> punktu, kas nosaka, </w:t>
            </w:r>
            <w:r w:rsidR="00A43276" w:rsidRPr="000A47F1">
              <w:rPr>
                <w:color w:val="auto"/>
              </w:rPr>
              <w:t xml:space="preserve">ka gadījumos, </w:t>
            </w:r>
            <w:r w:rsidR="0004486B" w:rsidRPr="000A47F1">
              <w:rPr>
                <w:color w:val="auto"/>
              </w:rPr>
              <w:t xml:space="preserve">ja tiek konstatēts, ka ir pārkāptas Komisijas regulas Nr.651/2014, </w:t>
            </w:r>
            <w:r w:rsidR="0004486B" w:rsidRPr="000A47F1">
              <w:rPr>
                <w:bCs/>
                <w:color w:val="auto"/>
              </w:rPr>
              <w:t>Komisijas regulas Nr.1388/2014</w:t>
            </w:r>
            <w:r w:rsidR="0004486B" w:rsidRPr="000A47F1">
              <w:rPr>
                <w:color w:val="auto"/>
              </w:rPr>
              <w:t xml:space="preserve"> </w:t>
            </w:r>
            <w:r w:rsidR="0004486B" w:rsidRPr="000A47F1">
              <w:rPr>
                <w:bCs/>
                <w:color w:val="auto"/>
              </w:rPr>
              <w:t>vai Komisijas regulas Nr.702/2014</w:t>
            </w:r>
            <w:r w:rsidR="0004486B" w:rsidRPr="000A47F1">
              <w:rPr>
                <w:color w:val="auto"/>
                <w:shd w:val="clear" w:color="auto" w:fill="FFFFFF"/>
              </w:rPr>
              <w:t> </w:t>
            </w:r>
            <w:r w:rsidR="0004486B" w:rsidRPr="000A47F1">
              <w:rPr>
                <w:color w:val="auto"/>
              </w:rPr>
              <w:t xml:space="preserve">prasības, CFLA finansējuma saņēmējam uzliek par pienākumu atmaksāt CFLA saņemto nelikumīgo valsts atbalstu, savukārt, ja tiek konstatēts, ka ir pārkāptas Komisijas regulas Nr.1407/2013, </w:t>
            </w:r>
            <w:r w:rsidR="0004486B" w:rsidRPr="000A47F1">
              <w:rPr>
                <w:bCs/>
                <w:color w:val="auto"/>
              </w:rPr>
              <w:t>Komisijas regulas Nr.</w:t>
            </w:r>
            <w:r w:rsidR="0004486B" w:rsidRPr="000A47F1">
              <w:rPr>
                <w:color w:val="auto"/>
              </w:rPr>
              <w:t xml:space="preserve"> </w:t>
            </w:r>
            <w:r w:rsidR="0004486B" w:rsidRPr="000A47F1">
              <w:rPr>
                <w:bCs/>
                <w:color w:val="auto"/>
              </w:rPr>
              <w:t>717/2014</w:t>
            </w:r>
            <w:r w:rsidR="0004486B" w:rsidRPr="000A47F1">
              <w:rPr>
                <w:color w:val="auto"/>
              </w:rPr>
              <w:t xml:space="preserve"> </w:t>
            </w:r>
            <w:r w:rsidR="0004486B" w:rsidRPr="000A47F1">
              <w:rPr>
                <w:bCs/>
                <w:color w:val="auto"/>
              </w:rPr>
              <w:t>vai Komisijas regulas Nr. 1408/2013</w:t>
            </w:r>
            <w:r w:rsidR="0004486B" w:rsidRPr="000A47F1">
              <w:rPr>
                <w:color w:val="auto"/>
              </w:rPr>
              <w:t xml:space="preserve"> prasības, CFLA finansējuma saņēmējam uzliek par pienākumu atmaksāt CFLA visu saņemto valsts atbalstu. Atbalstu atmaksā kopā ar procentiem, kuru likmi publicē Komisija saskaņā ar Komisijas </w:t>
            </w:r>
            <w:r w:rsidR="004D3AA3" w:rsidRPr="000A47F1">
              <w:rPr>
                <w:color w:val="auto"/>
              </w:rPr>
              <w:t xml:space="preserve">regulas Nr. 794/2004 </w:t>
            </w:r>
            <w:r w:rsidR="0004486B" w:rsidRPr="000A47F1">
              <w:rPr>
                <w:color w:val="auto"/>
              </w:rPr>
              <w:t>10. pantu, tiem pieskaitot 100 bāzes punktus, no dienas, kad valsts atbalsts tika izmaksāts atbalsta saņēmējam</w:t>
            </w:r>
            <w:r w:rsidR="002B7EC4" w:rsidRPr="000A47F1">
              <w:rPr>
                <w:color w:val="auto"/>
              </w:rPr>
              <w:t>,</w:t>
            </w:r>
            <w:r w:rsidR="0004486B" w:rsidRPr="000A47F1">
              <w:rPr>
                <w:color w:val="auto"/>
              </w:rPr>
              <w:t xml:space="preserve"> līdz tā atgūšanas dienai, ievērojot Komisijas regulas 794/2004 11. pantā noteikto procentu likmes piemērošanas metodi. </w:t>
            </w:r>
            <w:r w:rsidR="0004486B" w:rsidRPr="000A47F1">
              <w:rPr>
                <w:color w:val="auto"/>
                <w:shd w:val="clear" w:color="auto" w:fill="FFFFFF"/>
              </w:rPr>
              <w:t xml:space="preserve">Atmaksa veicama no finansējuma saņēmēja privātā finansējuma, par kuru nav saņemts nekāds komercdarbības atbalsts. </w:t>
            </w:r>
          </w:p>
          <w:p w14:paraId="0D4C5683" w14:textId="73C37C51" w:rsidR="000C33C6" w:rsidRPr="000A47F1" w:rsidRDefault="003017A8" w:rsidP="003017A8">
            <w:pPr>
              <w:pStyle w:val="Default"/>
              <w:spacing w:after="120"/>
              <w:jc w:val="both"/>
            </w:pPr>
            <w:r w:rsidRPr="000A47F1">
              <w:t>8. N</w:t>
            </w:r>
            <w:r w:rsidR="00024254" w:rsidRPr="000A47F1">
              <w:t>oteikumu projektā iekļautie valsts atbalsta nosacījumi ir vienādi piemērojami visiem finansējuma saņēmējiem un projektu iesniedzējiem, nodrošinot, ka tiek ievēroti Komisijas noteiktie valsts atbalsta nosacījumi.</w:t>
            </w:r>
          </w:p>
        </w:tc>
      </w:tr>
      <w:tr w:rsidR="00F94FEF" w:rsidRPr="000A47F1" w14:paraId="7149BCAE"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38E26476" w14:textId="6C3D028A" w:rsidR="00F94FEF" w:rsidRPr="000A47F1" w:rsidRDefault="00F94FEF" w:rsidP="00F94FEF">
            <w:pPr>
              <w:spacing w:before="60" w:afterLines="60" w:after="144"/>
              <w:jc w:val="center"/>
              <w:rPr>
                <w:lang w:eastAsia="en-US"/>
              </w:rPr>
            </w:pPr>
            <w:r w:rsidRPr="000A47F1">
              <w:lastRenderedPageBreak/>
              <w:t>3.</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6034CFE4" w14:textId="0E578787" w:rsidR="00F94FEF" w:rsidRPr="000A47F1" w:rsidRDefault="00F94FEF" w:rsidP="00F94FEF">
            <w:pPr>
              <w:spacing w:before="60" w:afterLines="60" w:after="144"/>
              <w:rPr>
                <w:lang w:eastAsia="en-US"/>
              </w:rPr>
            </w:pPr>
            <w:r w:rsidRPr="000A47F1">
              <w:t>Projekta izstrādē iesaistītās institūcijas</w:t>
            </w:r>
          </w:p>
        </w:tc>
        <w:tc>
          <w:tcPr>
            <w:tcW w:w="6956" w:type="dxa"/>
            <w:tcBorders>
              <w:top w:val="single" w:sz="4" w:space="0" w:color="auto"/>
              <w:left w:val="single" w:sz="4" w:space="0" w:color="auto"/>
              <w:bottom w:val="single" w:sz="4" w:space="0" w:color="auto"/>
              <w:right w:val="single" w:sz="4" w:space="0" w:color="auto"/>
            </w:tcBorders>
            <w:shd w:val="clear" w:color="auto" w:fill="auto"/>
            <w:hideMark/>
          </w:tcPr>
          <w:p w14:paraId="6518538A" w14:textId="70443A2F" w:rsidR="003017A8" w:rsidRPr="000A47F1" w:rsidRDefault="00F94FEF" w:rsidP="00F94FEF">
            <w:pPr>
              <w:spacing w:before="60" w:afterLines="60" w:after="144"/>
              <w:jc w:val="both"/>
              <w:rPr>
                <w:b/>
              </w:rPr>
            </w:pPr>
            <w:r w:rsidRPr="000A47F1">
              <w:t>Nav.</w:t>
            </w:r>
          </w:p>
          <w:p w14:paraId="0479169D" w14:textId="77777777" w:rsidR="00F94FEF" w:rsidRPr="000A47F1" w:rsidRDefault="00F94FEF" w:rsidP="003017A8"/>
        </w:tc>
      </w:tr>
      <w:tr w:rsidR="00FD7A88" w:rsidRPr="000A47F1" w14:paraId="21C2B567" w14:textId="77777777" w:rsidTr="00F94FEF">
        <w:tc>
          <w:tcPr>
            <w:tcW w:w="538" w:type="dxa"/>
            <w:tcBorders>
              <w:top w:val="single" w:sz="4" w:space="0" w:color="auto"/>
              <w:left w:val="single" w:sz="4" w:space="0" w:color="auto"/>
              <w:bottom w:val="single" w:sz="4" w:space="0" w:color="auto"/>
              <w:right w:val="single" w:sz="4" w:space="0" w:color="auto"/>
            </w:tcBorders>
            <w:shd w:val="clear" w:color="auto" w:fill="auto"/>
            <w:hideMark/>
          </w:tcPr>
          <w:p w14:paraId="34D86077" w14:textId="77777777" w:rsidR="00750FB6" w:rsidRPr="000A47F1" w:rsidRDefault="007559D4" w:rsidP="00BF3F2B">
            <w:pPr>
              <w:spacing w:before="60" w:afterLines="60" w:after="144"/>
              <w:jc w:val="center"/>
              <w:rPr>
                <w:lang w:eastAsia="en-US"/>
              </w:rPr>
            </w:pPr>
            <w:r w:rsidRPr="000A47F1">
              <w:t>4.</w:t>
            </w:r>
          </w:p>
        </w:tc>
        <w:tc>
          <w:tcPr>
            <w:tcW w:w="1857" w:type="dxa"/>
            <w:tcBorders>
              <w:top w:val="single" w:sz="4" w:space="0" w:color="auto"/>
              <w:left w:val="single" w:sz="4" w:space="0" w:color="auto"/>
              <w:bottom w:val="single" w:sz="4" w:space="0" w:color="auto"/>
              <w:right w:val="single" w:sz="4" w:space="0" w:color="auto"/>
            </w:tcBorders>
            <w:shd w:val="clear" w:color="auto" w:fill="auto"/>
            <w:hideMark/>
          </w:tcPr>
          <w:p w14:paraId="6BF97571" w14:textId="77777777" w:rsidR="00750FB6" w:rsidRPr="000A47F1" w:rsidRDefault="007559D4" w:rsidP="00BF3F2B">
            <w:pPr>
              <w:spacing w:before="60" w:afterLines="60" w:after="144"/>
              <w:rPr>
                <w:lang w:eastAsia="en-US"/>
              </w:rPr>
            </w:pPr>
            <w:r w:rsidRPr="000A47F1">
              <w:t>Cita informācija</w:t>
            </w:r>
          </w:p>
        </w:tc>
        <w:tc>
          <w:tcPr>
            <w:tcW w:w="6956" w:type="dxa"/>
            <w:tcBorders>
              <w:top w:val="single" w:sz="4" w:space="0" w:color="auto"/>
              <w:left w:val="single" w:sz="4" w:space="0" w:color="auto"/>
              <w:bottom w:val="single" w:sz="4" w:space="0" w:color="auto"/>
              <w:right w:val="single" w:sz="4" w:space="0" w:color="auto"/>
            </w:tcBorders>
            <w:shd w:val="clear" w:color="auto" w:fill="FFFFFF"/>
            <w:hideMark/>
          </w:tcPr>
          <w:p w14:paraId="5C1B6370" w14:textId="64E0E615" w:rsidR="00750FB6" w:rsidRPr="000A47F1" w:rsidRDefault="007559D4" w:rsidP="00BF3F2B">
            <w:pPr>
              <w:spacing w:before="60" w:afterLines="60" w:after="144"/>
            </w:pPr>
            <w:r w:rsidRPr="000A47F1">
              <w:t>Nav</w:t>
            </w:r>
            <w:r w:rsidR="00F94FEF" w:rsidRPr="000A47F1">
              <w:t>.</w:t>
            </w:r>
          </w:p>
        </w:tc>
      </w:tr>
    </w:tbl>
    <w:p w14:paraId="45B5F19B" w14:textId="77777777" w:rsidR="00750FB6" w:rsidRPr="000A47F1" w:rsidRDefault="00750FB6" w:rsidP="00BF3F2B">
      <w:pPr>
        <w:jc w:val="both"/>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10"/>
        <w:gridCol w:w="6266"/>
      </w:tblGrid>
      <w:tr w:rsidR="00C71FAA" w:rsidRPr="000A47F1" w14:paraId="30153EAB" w14:textId="77777777" w:rsidTr="00FA45DC">
        <w:tc>
          <w:tcPr>
            <w:tcW w:w="93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02A232" w14:textId="77777777" w:rsidR="00750FB6" w:rsidRPr="000A47F1" w:rsidRDefault="007559D4" w:rsidP="00BF3F2B">
            <w:pPr>
              <w:pStyle w:val="ListParagraph"/>
              <w:tabs>
                <w:tab w:val="left" w:pos="2268"/>
                <w:tab w:val="left" w:pos="2410"/>
              </w:tabs>
              <w:ind w:left="1080"/>
              <w:jc w:val="center"/>
              <w:rPr>
                <w:b/>
                <w:sz w:val="24"/>
                <w:szCs w:val="24"/>
                <w:lang w:eastAsia="en-US"/>
              </w:rPr>
            </w:pPr>
            <w:r w:rsidRPr="000A47F1">
              <w:rPr>
                <w:b/>
                <w:bCs/>
                <w:sz w:val="24"/>
                <w:szCs w:val="24"/>
              </w:rPr>
              <w:t>II. Tiesību akta projekta ietekme uz sabiedrību, tautsaimniecības attīstību un administratīvo slogu</w:t>
            </w:r>
          </w:p>
        </w:tc>
      </w:tr>
      <w:tr w:rsidR="00F94FEF" w:rsidRPr="000A47F1" w14:paraId="218EB5E0"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hideMark/>
          </w:tcPr>
          <w:p w14:paraId="3A11EC2E" w14:textId="77777777" w:rsidR="00F94FEF" w:rsidRPr="000A47F1" w:rsidRDefault="00F94FEF" w:rsidP="00F94FEF">
            <w:pPr>
              <w:jc w:val="center"/>
              <w:rPr>
                <w:lang w:eastAsia="en-US"/>
              </w:rPr>
            </w:pPr>
            <w:r w:rsidRPr="000A47F1">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14:paraId="5C9E742E" w14:textId="77777777" w:rsidR="00F94FEF" w:rsidRPr="000A47F1" w:rsidRDefault="00F94FEF" w:rsidP="00F94FEF">
            <w:pPr>
              <w:rPr>
                <w:lang w:eastAsia="en-US"/>
              </w:rPr>
            </w:pPr>
            <w:r w:rsidRPr="000A47F1">
              <w:t xml:space="preserve">Sabiedrības </w:t>
            </w:r>
            <w:proofErr w:type="spellStart"/>
            <w:r w:rsidRPr="000A47F1">
              <w:t>mērķgrupas</w:t>
            </w:r>
            <w:proofErr w:type="spellEnd"/>
            <w:r w:rsidRPr="000A47F1">
              <w:t>, kuras tiesiskais regulējums ietekmē vai varētu ietekmēt</w:t>
            </w:r>
          </w:p>
        </w:tc>
        <w:tc>
          <w:tcPr>
            <w:tcW w:w="6266" w:type="dxa"/>
            <w:tcBorders>
              <w:top w:val="single" w:sz="4" w:space="0" w:color="auto"/>
              <w:left w:val="single" w:sz="4" w:space="0" w:color="auto"/>
              <w:bottom w:val="single" w:sz="4" w:space="0" w:color="auto"/>
              <w:right w:val="single" w:sz="4" w:space="0" w:color="auto"/>
            </w:tcBorders>
            <w:shd w:val="clear" w:color="auto" w:fill="auto"/>
            <w:hideMark/>
          </w:tcPr>
          <w:p w14:paraId="45DBEFE3" w14:textId="28B504CD" w:rsidR="00F94FEF" w:rsidRPr="000A47F1" w:rsidRDefault="002B7EC4" w:rsidP="00F94FEF">
            <w:pPr>
              <w:jc w:val="both"/>
            </w:pPr>
            <w:r w:rsidRPr="000A47F1">
              <w:t xml:space="preserve">Vides aizsardzības un reģionālās attīstības ministrija (turpmāk – </w:t>
            </w:r>
            <w:r w:rsidR="00F94FEF" w:rsidRPr="000A47F1">
              <w:t>VARAM</w:t>
            </w:r>
            <w:r w:rsidRPr="000A47F1">
              <w:t>)</w:t>
            </w:r>
            <w:r w:rsidR="00F94FEF" w:rsidRPr="000A47F1">
              <w:t xml:space="preserve">, 5.6.2. SAM </w:t>
            </w:r>
            <w:r w:rsidR="003A7368" w:rsidRPr="000A47F1">
              <w:t xml:space="preserve">projektu iesniedzēji, </w:t>
            </w:r>
            <w:r w:rsidR="00F94FEF" w:rsidRPr="000A47F1">
              <w:t>finansējuma saņēmēji un CFLA.</w:t>
            </w:r>
          </w:p>
        </w:tc>
      </w:tr>
      <w:tr w:rsidR="003A7368" w:rsidRPr="000A47F1" w14:paraId="244282A1" w14:textId="77777777" w:rsidTr="00305944">
        <w:tc>
          <w:tcPr>
            <w:tcW w:w="675" w:type="dxa"/>
            <w:tcBorders>
              <w:top w:val="single" w:sz="4" w:space="0" w:color="auto"/>
              <w:left w:val="single" w:sz="4" w:space="0" w:color="auto"/>
              <w:bottom w:val="single" w:sz="4" w:space="0" w:color="auto"/>
              <w:right w:val="single" w:sz="4" w:space="0" w:color="auto"/>
            </w:tcBorders>
            <w:shd w:val="clear" w:color="auto" w:fill="auto"/>
          </w:tcPr>
          <w:p w14:paraId="7AE4271E" w14:textId="77777777" w:rsidR="003A7368" w:rsidRPr="000A47F1" w:rsidRDefault="003A7368" w:rsidP="003A7368">
            <w:pPr>
              <w:jc w:val="center"/>
            </w:pPr>
            <w:r w:rsidRPr="000A47F1">
              <w:t>2.</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BD9473" w14:textId="77777777" w:rsidR="003A7368" w:rsidRPr="000A47F1" w:rsidRDefault="003A7368" w:rsidP="003A7368">
            <w:pPr>
              <w:rPr>
                <w:rFonts w:ascii="Arial" w:hAnsi="Arial" w:cs="Arial"/>
                <w:sz w:val="20"/>
                <w:szCs w:val="20"/>
              </w:rPr>
            </w:pPr>
            <w:r w:rsidRPr="000A47F1">
              <w:t xml:space="preserve">Tiesiskā regulējuma ietekme uz </w:t>
            </w:r>
            <w:r w:rsidRPr="000A47F1">
              <w:lastRenderedPageBreak/>
              <w:t>tautsaimniecību un administratīvo slogu</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4506A7C8" w14:textId="77777777" w:rsidR="003A7368" w:rsidRPr="000A47F1" w:rsidRDefault="003A7368" w:rsidP="003A7368">
            <w:pPr>
              <w:spacing w:after="120"/>
              <w:ind w:right="62"/>
              <w:jc w:val="both"/>
            </w:pPr>
            <w:r w:rsidRPr="000A47F1">
              <w:lastRenderedPageBreak/>
              <w:t xml:space="preserve">Vērtējot projektu īstenošanas ietekmi uz administratīvajām procedūrām un to izmaksām, nav identificēts administratīvā </w:t>
            </w:r>
            <w:r w:rsidRPr="000A47F1">
              <w:lastRenderedPageBreak/>
              <w:t>sloga palielinājums ne projekta iesniedzējiem, ne ES fondu vadībā iesaistītajām institūcijām.</w:t>
            </w:r>
          </w:p>
          <w:p w14:paraId="0CF4BEA5" w14:textId="2B5F7315" w:rsidR="003A7368" w:rsidRPr="000A47F1" w:rsidRDefault="003A7368" w:rsidP="003A7368">
            <w:pPr>
              <w:pStyle w:val="ListParagraph"/>
              <w:tabs>
                <w:tab w:val="left" w:pos="317"/>
              </w:tabs>
              <w:spacing w:before="60"/>
              <w:ind w:left="34"/>
              <w:jc w:val="both"/>
              <w:rPr>
                <w:sz w:val="24"/>
                <w:szCs w:val="24"/>
              </w:rPr>
            </w:pPr>
            <w:r w:rsidRPr="000A47F1">
              <w:rPr>
                <w:sz w:val="24"/>
                <w:szCs w:val="24"/>
              </w:rPr>
              <w:t>Noteikumu projekts neietekmēs konkurenci, kā arī tam nav ietekmes uz nevalstiskajām organizācijām.</w:t>
            </w:r>
          </w:p>
        </w:tc>
      </w:tr>
      <w:tr w:rsidR="00F94FEF" w:rsidRPr="000A47F1" w14:paraId="636F5DF6" w14:textId="77777777" w:rsidTr="00747D25">
        <w:tc>
          <w:tcPr>
            <w:tcW w:w="675" w:type="dxa"/>
            <w:tcBorders>
              <w:top w:val="single" w:sz="4" w:space="0" w:color="auto"/>
              <w:left w:val="single" w:sz="4" w:space="0" w:color="auto"/>
              <w:bottom w:val="single" w:sz="4" w:space="0" w:color="auto"/>
              <w:right w:val="single" w:sz="4" w:space="0" w:color="auto"/>
            </w:tcBorders>
            <w:shd w:val="clear" w:color="auto" w:fill="auto"/>
          </w:tcPr>
          <w:p w14:paraId="269A274B" w14:textId="77777777" w:rsidR="00F94FEF" w:rsidRPr="000A47F1" w:rsidRDefault="00F94FEF" w:rsidP="00F94FEF">
            <w:pPr>
              <w:jc w:val="center"/>
            </w:pPr>
            <w:r w:rsidRPr="000A47F1">
              <w:lastRenderedPageBreak/>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222B2" w14:textId="77777777" w:rsidR="00F94FEF" w:rsidRPr="000A47F1" w:rsidRDefault="00F94FEF" w:rsidP="00F94FEF">
            <w:pPr>
              <w:rPr>
                <w:rFonts w:ascii="Arial" w:hAnsi="Arial" w:cs="Arial"/>
                <w:sz w:val="20"/>
                <w:szCs w:val="20"/>
              </w:rPr>
            </w:pPr>
            <w:r w:rsidRPr="000A47F1">
              <w:t>Administratīvo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3859ADDA" w14:textId="3431E33E" w:rsidR="00F94FEF" w:rsidRPr="000A47F1" w:rsidRDefault="00F94FEF" w:rsidP="00F94FEF">
            <w:pPr>
              <w:pStyle w:val="ListParagraph"/>
              <w:tabs>
                <w:tab w:val="left" w:pos="317"/>
              </w:tabs>
              <w:spacing w:before="60"/>
              <w:ind w:left="34"/>
              <w:jc w:val="both"/>
              <w:rPr>
                <w:bCs/>
                <w:sz w:val="24"/>
                <w:szCs w:val="24"/>
                <w:lang w:eastAsia="en-US"/>
              </w:rPr>
            </w:pPr>
            <w:r w:rsidRPr="000A47F1">
              <w:rPr>
                <w:bCs/>
                <w:sz w:val="24"/>
                <w:szCs w:val="24"/>
              </w:rPr>
              <w:t xml:space="preserve">Nav attiecināms. </w:t>
            </w:r>
          </w:p>
        </w:tc>
      </w:tr>
      <w:tr w:rsidR="00F94FEF" w:rsidRPr="000A47F1" w14:paraId="26FA8536"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021A937A" w14:textId="73D5411B" w:rsidR="00F94FEF" w:rsidRPr="000A47F1" w:rsidRDefault="00F94FEF" w:rsidP="00F94FEF">
            <w:pPr>
              <w:jc w:val="center"/>
            </w:pPr>
            <w:r w:rsidRPr="000A47F1">
              <w:t>4.</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86E56" w14:textId="2AE88F8D" w:rsidR="00F94FEF" w:rsidRPr="000A47F1" w:rsidRDefault="00F94FEF" w:rsidP="00F94FEF">
            <w:r w:rsidRPr="000A47F1">
              <w:t>Atbilstības izmaksu monetārs novērtējums</w:t>
            </w:r>
          </w:p>
        </w:tc>
        <w:tc>
          <w:tcPr>
            <w:tcW w:w="6266" w:type="dxa"/>
            <w:tcBorders>
              <w:top w:val="single" w:sz="4" w:space="0" w:color="auto"/>
              <w:left w:val="single" w:sz="4" w:space="0" w:color="auto"/>
              <w:bottom w:val="single" w:sz="4" w:space="0" w:color="auto"/>
              <w:right w:val="single" w:sz="4" w:space="0" w:color="auto"/>
            </w:tcBorders>
            <w:shd w:val="clear" w:color="auto" w:fill="auto"/>
            <w:vAlign w:val="center"/>
          </w:tcPr>
          <w:p w14:paraId="02CDA9DF" w14:textId="6688443E" w:rsidR="00F94FEF" w:rsidRPr="000A47F1" w:rsidRDefault="00F94FEF" w:rsidP="00F94FEF">
            <w:pPr>
              <w:pStyle w:val="ListParagraph"/>
              <w:tabs>
                <w:tab w:val="left" w:pos="317"/>
              </w:tabs>
              <w:spacing w:before="60"/>
              <w:ind w:left="34"/>
              <w:jc w:val="both"/>
              <w:rPr>
                <w:sz w:val="24"/>
                <w:szCs w:val="24"/>
              </w:rPr>
            </w:pPr>
            <w:r w:rsidRPr="000A47F1">
              <w:rPr>
                <w:bCs/>
                <w:sz w:val="24"/>
                <w:szCs w:val="24"/>
              </w:rPr>
              <w:t>Noteikumu projekts šo jomu neskar.</w:t>
            </w:r>
          </w:p>
        </w:tc>
      </w:tr>
      <w:tr w:rsidR="00F94FEF" w:rsidRPr="000A47F1" w14:paraId="289909ED" w14:textId="77777777" w:rsidTr="00FA45DC">
        <w:tc>
          <w:tcPr>
            <w:tcW w:w="675" w:type="dxa"/>
            <w:tcBorders>
              <w:top w:val="single" w:sz="4" w:space="0" w:color="auto"/>
              <w:left w:val="single" w:sz="4" w:space="0" w:color="auto"/>
              <w:bottom w:val="single" w:sz="4" w:space="0" w:color="auto"/>
              <w:right w:val="single" w:sz="4" w:space="0" w:color="auto"/>
            </w:tcBorders>
            <w:shd w:val="clear" w:color="auto" w:fill="auto"/>
          </w:tcPr>
          <w:p w14:paraId="42748813" w14:textId="6D0B39D9" w:rsidR="00F94FEF" w:rsidRPr="000A47F1" w:rsidRDefault="00F94FEF" w:rsidP="00F94FEF">
            <w:pPr>
              <w:jc w:val="center"/>
            </w:pPr>
            <w:r w:rsidRPr="000A47F1">
              <w:t>5.</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95155A" w14:textId="77777777" w:rsidR="00F94FEF" w:rsidRPr="000A47F1" w:rsidRDefault="00F94FEF" w:rsidP="00F94FEF">
            <w:pPr>
              <w:rPr>
                <w:rFonts w:ascii="Arial" w:hAnsi="Arial" w:cs="Arial"/>
                <w:sz w:val="20"/>
                <w:szCs w:val="20"/>
              </w:rPr>
            </w:pPr>
            <w:r w:rsidRPr="000A47F1">
              <w:t>Cita informācija</w:t>
            </w:r>
          </w:p>
        </w:tc>
        <w:tc>
          <w:tcPr>
            <w:tcW w:w="6266" w:type="dxa"/>
            <w:tcBorders>
              <w:top w:val="single" w:sz="4" w:space="0" w:color="auto"/>
              <w:left w:val="single" w:sz="4" w:space="0" w:color="auto"/>
              <w:bottom w:val="single" w:sz="4" w:space="0" w:color="auto"/>
              <w:right w:val="single" w:sz="4" w:space="0" w:color="auto"/>
            </w:tcBorders>
            <w:shd w:val="clear" w:color="auto" w:fill="auto"/>
          </w:tcPr>
          <w:p w14:paraId="7160C601" w14:textId="14AEE8B3" w:rsidR="00F94FEF" w:rsidRPr="000A47F1" w:rsidRDefault="00F94FEF" w:rsidP="00F94FEF">
            <w:pPr>
              <w:ind w:left="57" w:right="113"/>
              <w:rPr>
                <w:spacing w:val="-2"/>
              </w:rPr>
            </w:pPr>
            <w:r w:rsidRPr="000A47F1">
              <w:rPr>
                <w:spacing w:val="-2"/>
              </w:rPr>
              <w:t>Nav.</w:t>
            </w:r>
          </w:p>
        </w:tc>
      </w:tr>
    </w:tbl>
    <w:p w14:paraId="121EA2CA" w14:textId="77777777" w:rsidR="00750FB6" w:rsidRPr="000A47F1" w:rsidRDefault="00750FB6" w:rsidP="00BF3F2B">
      <w:pPr>
        <w:jc w:val="both"/>
      </w:pPr>
    </w:p>
    <w:tbl>
      <w:tblPr>
        <w:tblStyle w:val="TableGrid"/>
        <w:tblW w:w="9351" w:type="dxa"/>
        <w:tblLook w:val="04A0" w:firstRow="1" w:lastRow="0" w:firstColumn="1" w:lastColumn="0" w:noHBand="0" w:noVBand="1"/>
      </w:tblPr>
      <w:tblGrid>
        <w:gridCol w:w="9351"/>
      </w:tblGrid>
      <w:tr w:rsidR="00C71FAA" w:rsidRPr="000A47F1" w14:paraId="12B0D788" w14:textId="77777777" w:rsidTr="0014544D">
        <w:trPr>
          <w:trHeight w:val="411"/>
        </w:trPr>
        <w:tc>
          <w:tcPr>
            <w:tcW w:w="9351" w:type="dxa"/>
            <w:shd w:val="clear" w:color="auto" w:fill="auto"/>
            <w:vAlign w:val="center"/>
          </w:tcPr>
          <w:p w14:paraId="3C57E31E" w14:textId="77777777" w:rsidR="00334386" w:rsidRPr="000A47F1" w:rsidRDefault="007559D4" w:rsidP="004C0B22">
            <w:pPr>
              <w:spacing w:line="276" w:lineRule="auto"/>
              <w:jc w:val="center"/>
              <w:rPr>
                <w:b/>
                <w:lang w:eastAsia="en-US"/>
              </w:rPr>
            </w:pPr>
            <w:r w:rsidRPr="000A47F1">
              <w:rPr>
                <w:b/>
                <w:lang w:eastAsia="en-US"/>
              </w:rPr>
              <w:t>III. Tiesību akta projekta ietekme uz valsts budžetu un pašvaldību budžetiem</w:t>
            </w:r>
          </w:p>
        </w:tc>
      </w:tr>
      <w:tr w:rsidR="00C71FAA" w:rsidRPr="000A47F1" w14:paraId="07A435E7" w14:textId="77777777" w:rsidTr="0014544D">
        <w:tc>
          <w:tcPr>
            <w:tcW w:w="9351" w:type="dxa"/>
            <w:shd w:val="clear" w:color="auto" w:fill="auto"/>
            <w:vAlign w:val="center"/>
          </w:tcPr>
          <w:p w14:paraId="254949E2" w14:textId="7337C410" w:rsidR="00334386" w:rsidRPr="000A47F1" w:rsidRDefault="00F94FEF" w:rsidP="004C0B22">
            <w:pPr>
              <w:spacing w:line="276" w:lineRule="auto"/>
              <w:jc w:val="center"/>
              <w:rPr>
                <w:lang w:eastAsia="en-US"/>
              </w:rPr>
            </w:pPr>
            <w:r w:rsidRPr="000A47F1">
              <w:rPr>
                <w:lang w:eastAsia="en-US"/>
              </w:rPr>
              <w:t>Noteikumu projekts šo jomu neskar.</w:t>
            </w:r>
          </w:p>
        </w:tc>
      </w:tr>
    </w:tbl>
    <w:p w14:paraId="30FFFED7" w14:textId="77777777" w:rsidR="00F94FEF" w:rsidRPr="000A47F1" w:rsidRDefault="00F94FEF" w:rsidP="00BF3F2B">
      <w:pPr>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56"/>
      </w:tblGrid>
      <w:tr w:rsidR="00C71FAA" w:rsidRPr="000A47F1" w14:paraId="1C9C4140" w14:textId="77777777" w:rsidTr="00F94FEF">
        <w:trPr>
          <w:trHeight w:val="421"/>
        </w:trPr>
        <w:tc>
          <w:tcPr>
            <w:tcW w:w="9356" w:type="dxa"/>
            <w:vAlign w:val="center"/>
          </w:tcPr>
          <w:p w14:paraId="45BA7160" w14:textId="77777777" w:rsidR="00750FB6" w:rsidRPr="000A47F1" w:rsidRDefault="007559D4" w:rsidP="00BF3F2B">
            <w:pPr>
              <w:ind w:left="57" w:right="57"/>
              <w:jc w:val="center"/>
              <w:rPr>
                <w:rFonts w:eastAsia="Times New Roman"/>
              </w:rPr>
            </w:pPr>
            <w:r w:rsidRPr="000A47F1">
              <w:rPr>
                <w:rFonts w:eastAsia="Times New Roman"/>
                <w:b/>
              </w:rPr>
              <w:t xml:space="preserve">IV. Tiesību akta projekta ietekme uz spēkā esošo tiesību normu sistēmu </w:t>
            </w:r>
          </w:p>
        </w:tc>
      </w:tr>
      <w:tr w:rsidR="00181C6C" w:rsidRPr="000A47F1" w14:paraId="24FF4ACB" w14:textId="77777777" w:rsidTr="00F94FEF">
        <w:trPr>
          <w:trHeight w:val="421"/>
        </w:trPr>
        <w:tc>
          <w:tcPr>
            <w:tcW w:w="9356" w:type="dxa"/>
            <w:vAlign w:val="center"/>
          </w:tcPr>
          <w:p w14:paraId="51FE5492" w14:textId="0988EF10" w:rsidR="00181C6C" w:rsidRPr="000A47F1" w:rsidRDefault="00181C6C" w:rsidP="00BF3F2B">
            <w:pPr>
              <w:ind w:left="57" w:right="57"/>
              <w:jc w:val="center"/>
              <w:rPr>
                <w:rFonts w:eastAsia="Times New Roman"/>
                <w:b/>
              </w:rPr>
            </w:pPr>
            <w:r w:rsidRPr="000A47F1">
              <w:rPr>
                <w:lang w:eastAsia="en-US"/>
              </w:rPr>
              <w:t>Noteikumu projekts šo jomu neskar.</w:t>
            </w:r>
          </w:p>
        </w:tc>
      </w:tr>
    </w:tbl>
    <w:p w14:paraId="3AEC4B6A" w14:textId="77777777" w:rsidR="00F94FEF" w:rsidRPr="000A47F1" w:rsidRDefault="00F94FEF"/>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4"/>
        <w:gridCol w:w="2246"/>
        <w:gridCol w:w="1756"/>
        <w:gridCol w:w="680"/>
        <w:gridCol w:w="1582"/>
        <w:gridCol w:w="2378"/>
      </w:tblGrid>
      <w:tr w:rsidR="00A14926" w:rsidRPr="000A47F1" w14:paraId="23A98771" w14:textId="77777777" w:rsidTr="0060461E">
        <w:trPr>
          <w:trHeight w:val="393"/>
        </w:trPr>
        <w:tc>
          <w:tcPr>
            <w:tcW w:w="9356" w:type="dxa"/>
            <w:gridSpan w:val="6"/>
          </w:tcPr>
          <w:p w14:paraId="45C7F908" w14:textId="77777777" w:rsidR="00A14926" w:rsidRPr="000A47F1" w:rsidRDefault="00A14926" w:rsidP="00A14926">
            <w:pPr>
              <w:shd w:val="clear" w:color="auto" w:fill="FFFFFF"/>
              <w:ind w:left="57" w:right="113"/>
              <w:jc w:val="center"/>
            </w:pPr>
            <w:r w:rsidRPr="000A47F1">
              <w:rPr>
                <w:b/>
                <w:lang w:eastAsia="en-US"/>
              </w:rPr>
              <w:t>V. Tiesību akta projekta atbilstība Latvijas Republikas starptautiskajām saistībām</w:t>
            </w:r>
          </w:p>
        </w:tc>
      </w:tr>
      <w:tr w:rsidR="009A562F" w:rsidRPr="000A47F1" w14:paraId="61808B81"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91"/>
          <w:jc w:val="center"/>
        </w:trPr>
        <w:tc>
          <w:tcPr>
            <w:tcW w:w="714" w:type="dxa"/>
            <w:tcBorders>
              <w:top w:val="outset" w:sz="6" w:space="0" w:color="auto"/>
              <w:left w:val="outset" w:sz="6" w:space="0" w:color="auto"/>
              <w:bottom w:val="outset" w:sz="6" w:space="0" w:color="auto"/>
              <w:right w:val="outset" w:sz="6" w:space="0" w:color="auto"/>
            </w:tcBorders>
          </w:tcPr>
          <w:p w14:paraId="1EB0EB9C" w14:textId="77777777" w:rsidR="009A562F" w:rsidRPr="000A47F1" w:rsidRDefault="009A562F" w:rsidP="00747D25">
            <w:pPr>
              <w:jc w:val="center"/>
            </w:pPr>
            <w:r w:rsidRPr="000A47F1">
              <w:t>1.</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044B8702" w14:textId="77777777" w:rsidR="009A562F" w:rsidRPr="000A47F1" w:rsidRDefault="009A562F" w:rsidP="00747D25">
            <w:r w:rsidRPr="000A47F1">
              <w:t>Saistības pret Eiropas Savienību</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34927510" w14:textId="77777777" w:rsidR="003A7368" w:rsidRPr="000A47F1" w:rsidRDefault="003A7368" w:rsidP="003A7368">
            <w:pPr>
              <w:ind w:left="57" w:right="113"/>
            </w:pPr>
            <w:r w:rsidRPr="000A47F1">
              <w:t>Komisijas regula Nr. </w:t>
            </w:r>
            <w:hyperlink r:id="rId11" w:tgtFrame="_blank" w:history="1">
              <w:r w:rsidRPr="000A47F1">
                <w:t>651/2014</w:t>
              </w:r>
            </w:hyperlink>
          </w:p>
          <w:p w14:paraId="71A1B017" w14:textId="77777777" w:rsidR="003A7368" w:rsidRPr="000A47F1" w:rsidRDefault="003A7368" w:rsidP="003A7368">
            <w:pPr>
              <w:ind w:left="57" w:right="113"/>
            </w:pPr>
            <w:r w:rsidRPr="000A47F1">
              <w:t xml:space="preserve">Komisijas regula Nr. 1407/2013 </w:t>
            </w:r>
          </w:p>
          <w:p w14:paraId="62ED54EB" w14:textId="77777777" w:rsidR="003A7368" w:rsidRPr="000A47F1" w:rsidRDefault="003A7368" w:rsidP="003A7368">
            <w:pPr>
              <w:ind w:left="57" w:right="113"/>
              <w:rPr>
                <w:spacing w:val="-2"/>
              </w:rPr>
            </w:pPr>
            <w:r w:rsidRPr="000A47F1">
              <w:rPr>
                <w:spacing w:val="-2"/>
              </w:rPr>
              <w:t>Komisijas regula Nr. 1408/2013</w:t>
            </w:r>
          </w:p>
          <w:p w14:paraId="60870834" w14:textId="77777777" w:rsidR="009A562F" w:rsidRPr="000A47F1" w:rsidRDefault="009A562F" w:rsidP="00747D25">
            <w:pPr>
              <w:ind w:left="57" w:right="113"/>
            </w:pPr>
            <w:r w:rsidRPr="000A47F1">
              <w:t>Komisijas regula Nr. 794/2004</w:t>
            </w:r>
          </w:p>
          <w:p w14:paraId="77ED3113" w14:textId="45DFB13C" w:rsidR="009A562F" w:rsidRPr="000A47F1" w:rsidRDefault="00183976" w:rsidP="003A7368">
            <w:pPr>
              <w:ind w:left="57" w:right="113"/>
            </w:pPr>
            <w:r w:rsidRPr="000A47F1">
              <w:t xml:space="preserve">Komisijas lēmums Nr. </w:t>
            </w:r>
            <w:hyperlink r:id="rId12" w:tgtFrame="_blank" w:history="1">
              <w:r w:rsidRPr="000A47F1">
                <w:t>2012/21/ES</w:t>
              </w:r>
            </w:hyperlink>
          </w:p>
        </w:tc>
      </w:tr>
      <w:tr w:rsidR="009A562F" w:rsidRPr="000A47F1" w14:paraId="25061FC0"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35"/>
          <w:jc w:val="center"/>
        </w:trPr>
        <w:tc>
          <w:tcPr>
            <w:tcW w:w="714" w:type="dxa"/>
            <w:tcBorders>
              <w:top w:val="outset" w:sz="6" w:space="0" w:color="auto"/>
              <w:left w:val="outset" w:sz="6" w:space="0" w:color="auto"/>
              <w:bottom w:val="outset" w:sz="6" w:space="0" w:color="auto"/>
              <w:right w:val="outset" w:sz="6" w:space="0" w:color="auto"/>
            </w:tcBorders>
          </w:tcPr>
          <w:p w14:paraId="1B74B965" w14:textId="77777777" w:rsidR="009A562F" w:rsidRPr="000A47F1" w:rsidRDefault="009A562F" w:rsidP="00747D25">
            <w:pPr>
              <w:jc w:val="center"/>
            </w:pPr>
            <w:r w:rsidRPr="000A47F1">
              <w:t>2.</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67F90FE3" w14:textId="77777777" w:rsidR="009A562F" w:rsidRPr="000A47F1" w:rsidRDefault="009A562F" w:rsidP="00747D25">
            <w:r w:rsidRPr="000A47F1">
              <w:t>Citas starptautiskās saistības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58E35A25" w14:textId="77777777" w:rsidR="009A562F" w:rsidRPr="000A47F1" w:rsidRDefault="009A562F" w:rsidP="00747D25">
            <w:pPr>
              <w:ind w:left="57" w:right="113"/>
              <w:jc w:val="both"/>
            </w:pPr>
            <w:r w:rsidRPr="000A47F1">
              <w:t>Noteikumu projekts šo jomu neskar.</w:t>
            </w:r>
          </w:p>
        </w:tc>
      </w:tr>
      <w:tr w:rsidR="009A562F" w:rsidRPr="000A47F1" w14:paraId="07B018EC"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81"/>
          <w:jc w:val="center"/>
        </w:trPr>
        <w:tc>
          <w:tcPr>
            <w:tcW w:w="714" w:type="dxa"/>
            <w:tcBorders>
              <w:top w:val="outset" w:sz="6" w:space="0" w:color="auto"/>
              <w:left w:val="outset" w:sz="6" w:space="0" w:color="auto"/>
              <w:bottom w:val="outset" w:sz="6" w:space="0" w:color="auto"/>
              <w:right w:val="outset" w:sz="6" w:space="0" w:color="auto"/>
            </w:tcBorders>
          </w:tcPr>
          <w:p w14:paraId="76FCC836" w14:textId="77777777" w:rsidR="009A562F" w:rsidRPr="000A47F1" w:rsidRDefault="009A562F" w:rsidP="00747D25">
            <w:pPr>
              <w:jc w:val="center"/>
            </w:pPr>
            <w:r w:rsidRPr="000A47F1">
              <w:t>3.</w:t>
            </w:r>
          </w:p>
        </w:tc>
        <w:tc>
          <w:tcPr>
            <w:tcW w:w="2246" w:type="dxa"/>
            <w:tcBorders>
              <w:top w:val="outset" w:sz="6" w:space="0" w:color="auto"/>
              <w:left w:val="outset" w:sz="6" w:space="0" w:color="auto"/>
              <w:bottom w:val="outset" w:sz="6" w:space="0" w:color="auto"/>
              <w:right w:val="outset" w:sz="6" w:space="0" w:color="auto"/>
            </w:tcBorders>
            <w:shd w:val="clear" w:color="auto" w:fill="auto"/>
          </w:tcPr>
          <w:p w14:paraId="5A99BA0C" w14:textId="77777777" w:rsidR="009A562F" w:rsidRPr="000A47F1" w:rsidRDefault="009A562F" w:rsidP="00747D25">
            <w:r w:rsidRPr="000A47F1">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25067F02" w14:textId="05E0419E" w:rsidR="003A7368" w:rsidRPr="000A47F1" w:rsidRDefault="003A7368" w:rsidP="003A7368">
            <w:pPr>
              <w:ind w:left="57" w:right="113"/>
              <w:jc w:val="both"/>
              <w:rPr>
                <w:shd w:val="clear" w:color="auto" w:fill="FFFFFF"/>
              </w:rPr>
            </w:pPr>
            <w:r w:rsidRPr="000A47F1">
              <w:t>Komisijas regulas Nr. 651/2014 59. panta otrā daļa ir izteikta ar Komisijas regulu Nr. 2020/972. Komisijas regulas Nr. </w:t>
            </w:r>
            <w:hyperlink r:id="rId13" w:tgtFrame="_blank" w:history="1">
              <w:r w:rsidRPr="000A47F1">
                <w:t>651/2014</w:t>
              </w:r>
            </w:hyperlink>
            <w:r w:rsidRPr="000A47F1">
              <w:t xml:space="preserve"> </w:t>
            </w:r>
            <w:r w:rsidRPr="000A47F1">
              <w:rPr>
                <w:shd w:val="clear" w:color="auto" w:fill="FFFFFF"/>
              </w:rPr>
              <w:t xml:space="preserve">59. pants tika ieviests pilnībā, kad </w:t>
            </w:r>
            <w:r w:rsidRPr="000A47F1">
              <w:t xml:space="preserve">2015. gada 10. novembrī </w:t>
            </w:r>
            <w:r w:rsidRPr="000A47F1">
              <w:rPr>
                <w:shd w:val="clear" w:color="auto" w:fill="FFFFFF"/>
              </w:rPr>
              <w:t>tika apstiprināti MK noteikumi Nr. 645.</w:t>
            </w:r>
          </w:p>
          <w:p w14:paraId="0543344A" w14:textId="6A7B2B0F" w:rsidR="003A7368" w:rsidRPr="000A47F1" w:rsidRDefault="003A7368" w:rsidP="003A7368">
            <w:pPr>
              <w:ind w:left="57" w:right="113"/>
              <w:jc w:val="both"/>
              <w:rPr>
                <w:shd w:val="clear" w:color="auto" w:fill="FFFFFF"/>
              </w:rPr>
            </w:pPr>
            <w:r w:rsidRPr="000A47F1">
              <w:t xml:space="preserve">Komisijas regulas Nr. 1407/2013 8. panta otrā daļa ir izteikta ar Komisijas regulu Nr. 2020/972. Komisijas regulas Nr. 1407/2013 8. panta otrā daļa </w:t>
            </w:r>
            <w:r w:rsidRPr="000A47F1">
              <w:rPr>
                <w:shd w:val="clear" w:color="auto" w:fill="FFFFFF"/>
              </w:rPr>
              <w:t xml:space="preserve">tika ieviesta pilnībā, kad </w:t>
            </w:r>
            <w:r w:rsidRPr="000A47F1">
              <w:t xml:space="preserve">2015. gada 10. novembrī </w:t>
            </w:r>
            <w:r w:rsidRPr="000A47F1">
              <w:rPr>
                <w:shd w:val="clear" w:color="auto" w:fill="FFFFFF"/>
              </w:rPr>
              <w:t>tika apstiprināti MK noteikumi Nr. 645.</w:t>
            </w:r>
          </w:p>
          <w:p w14:paraId="56835711" w14:textId="5A9F2F58" w:rsidR="009A562F" w:rsidRPr="000A47F1" w:rsidRDefault="003A7368" w:rsidP="0060461E">
            <w:pPr>
              <w:ind w:left="57" w:right="113"/>
              <w:jc w:val="both"/>
              <w:rPr>
                <w:shd w:val="clear" w:color="auto" w:fill="FFFFFF"/>
              </w:rPr>
            </w:pPr>
            <w:r w:rsidRPr="000A47F1">
              <w:rPr>
                <w:spacing w:val="-2"/>
              </w:rPr>
              <w:t>Komisijas regulas Nr. 1408/2013 8. panta otrā daļa ir izteikta ar Komisijas regulu Nr. 2019/316.</w:t>
            </w:r>
            <w:r w:rsidRPr="000A47F1">
              <w:t xml:space="preserve"> Komisijas regulas Nr. </w:t>
            </w:r>
            <w:r w:rsidRPr="000A47F1">
              <w:rPr>
                <w:spacing w:val="-2"/>
              </w:rPr>
              <w:t xml:space="preserve">1408/2013 </w:t>
            </w:r>
            <w:r w:rsidRPr="000A47F1">
              <w:t xml:space="preserve"> </w:t>
            </w:r>
            <w:r w:rsidRPr="000A47F1">
              <w:rPr>
                <w:shd w:val="clear" w:color="auto" w:fill="FFFFFF"/>
              </w:rPr>
              <w:t xml:space="preserve">8. panta otrā daļa tika ieviesta pilnībā, kad </w:t>
            </w:r>
            <w:r w:rsidRPr="000A47F1">
              <w:t xml:space="preserve">2015. gada 13. oktobrī </w:t>
            </w:r>
            <w:r w:rsidRPr="000A47F1">
              <w:rPr>
                <w:shd w:val="clear" w:color="auto" w:fill="FFFFFF"/>
              </w:rPr>
              <w:t>tika apstiprināti MK noteikumi Nr. 593.</w:t>
            </w:r>
            <w:r w:rsidR="0060461E" w:rsidRPr="000A47F1">
              <w:t xml:space="preserve"> 10. novembrī </w:t>
            </w:r>
            <w:r w:rsidR="0060461E" w:rsidRPr="000A47F1">
              <w:rPr>
                <w:shd w:val="clear" w:color="auto" w:fill="FFFFFF"/>
              </w:rPr>
              <w:t>tika apstiprināti MK noteikumi Nr. 645.</w:t>
            </w:r>
          </w:p>
        </w:tc>
      </w:tr>
      <w:tr w:rsidR="009A562F" w:rsidRPr="000A47F1" w14:paraId="1FCC515D"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314"/>
          <w:jc w:val="center"/>
        </w:trPr>
        <w:tc>
          <w:tcPr>
            <w:tcW w:w="93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09B8BEE0" w14:textId="77777777" w:rsidR="009A562F" w:rsidRPr="000A47F1" w:rsidRDefault="009A562F" w:rsidP="00747D25">
            <w:pPr>
              <w:jc w:val="center"/>
              <w:rPr>
                <w:b/>
              </w:rPr>
            </w:pPr>
            <w:r w:rsidRPr="000A47F1">
              <w:rPr>
                <w:b/>
              </w:rPr>
              <w:t>1. tabula</w:t>
            </w:r>
          </w:p>
          <w:p w14:paraId="0F7F4024" w14:textId="77777777" w:rsidR="009A562F" w:rsidRPr="000A47F1" w:rsidRDefault="009A562F" w:rsidP="00747D25">
            <w:pPr>
              <w:jc w:val="center"/>
              <w:rPr>
                <w:b/>
              </w:rPr>
            </w:pPr>
            <w:r w:rsidRPr="000A47F1">
              <w:rPr>
                <w:b/>
              </w:rPr>
              <w:t>Tiesību akta projekta atbilstība ES tiesību aktiem</w:t>
            </w:r>
          </w:p>
        </w:tc>
      </w:tr>
      <w:tr w:rsidR="009A562F" w:rsidRPr="000A47F1" w14:paraId="65038B57"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44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C5A1DAB" w14:textId="77777777" w:rsidR="009A562F" w:rsidRPr="000A47F1" w:rsidRDefault="009A562F" w:rsidP="00747D25">
            <w:pPr>
              <w:rPr>
                <w:spacing w:val="-4"/>
              </w:rPr>
            </w:pPr>
            <w:r w:rsidRPr="000A47F1">
              <w:rPr>
                <w:spacing w:val="-4"/>
              </w:rPr>
              <w:t>Attiecīgā ES tiesību akta datums, numurs un nosaukums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29A698DC" w14:textId="77777777" w:rsidR="0060461E" w:rsidRPr="000A47F1" w:rsidRDefault="0060461E" w:rsidP="0060461E">
            <w:pPr>
              <w:ind w:left="57" w:right="113"/>
            </w:pPr>
            <w:r w:rsidRPr="000A47F1">
              <w:t>Komisijas regula Nr. </w:t>
            </w:r>
            <w:hyperlink r:id="rId14" w:tgtFrame="_blank" w:history="1">
              <w:r w:rsidRPr="000A47F1">
                <w:t>651/2014</w:t>
              </w:r>
            </w:hyperlink>
          </w:p>
          <w:p w14:paraId="7742F54D" w14:textId="77777777" w:rsidR="0060461E" w:rsidRPr="000A47F1" w:rsidRDefault="0060461E" w:rsidP="0060461E">
            <w:pPr>
              <w:ind w:left="57" w:right="113"/>
            </w:pPr>
            <w:r w:rsidRPr="000A47F1">
              <w:t xml:space="preserve">Komisijas regula Nr. 1407/2013 </w:t>
            </w:r>
          </w:p>
          <w:p w14:paraId="5EC992D1" w14:textId="77777777" w:rsidR="0060461E" w:rsidRPr="000A47F1" w:rsidRDefault="0060461E" w:rsidP="0060461E">
            <w:pPr>
              <w:ind w:left="57" w:right="113"/>
              <w:rPr>
                <w:spacing w:val="-2"/>
              </w:rPr>
            </w:pPr>
            <w:r w:rsidRPr="000A47F1">
              <w:rPr>
                <w:spacing w:val="-2"/>
              </w:rPr>
              <w:t>Komisijas regula Nr. 1408/2013</w:t>
            </w:r>
          </w:p>
          <w:p w14:paraId="761241E6" w14:textId="77777777" w:rsidR="0060461E" w:rsidRPr="000A47F1" w:rsidRDefault="0060461E" w:rsidP="0060461E">
            <w:pPr>
              <w:ind w:left="57" w:right="113"/>
            </w:pPr>
            <w:r w:rsidRPr="000A47F1">
              <w:t>Komisijas regula Nr. 794/2004</w:t>
            </w:r>
          </w:p>
          <w:p w14:paraId="7A3BD912" w14:textId="35771CED" w:rsidR="009A562F" w:rsidRPr="000A47F1" w:rsidRDefault="0060461E" w:rsidP="0060461E">
            <w:pPr>
              <w:rPr>
                <w:spacing w:val="-4"/>
              </w:rPr>
            </w:pPr>
            <w:r w:rsidRPr="000A47F1">
              <w:t xml:space="preserve">Komisijas lēmums Nr. </w:t>
            </w:r>
            <w:hyperlink r:id="rId15" w:tgtFrame="_blank" w:history="1">
              <w:r w:rsidRPr="000A47F1">
                <w:t>2012/21/ES</w:t>
              </w:r>
            </w:hyperlink>
          </w:p>
        </w:tc>
      </w:tr>
      <w:tr w:rsidR="009A562F" w:rsidRPr="000A47F1" w14:paraId="0085D992"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405667D" w14:textId="77777777" w:rsidR="009A562F" w:rsidRPr="000A47F1" w:rsidRDefault="009A562F" w:rsidP="00747D25">
            <w:pPr>
              <w:jc w:val="center"/>
            </w:pPr>
            <w:r w:rsidRPr="000A47F1">
              <w:t>A</w:t>
            </w:r>
          </w:p>
        </w:tc>
        <w:tc>
          <w:tcPr>
            <w:tcW w:w="1756" w:type="dxa"/>
            <w:tcBorders>
              <w:top w:val="outset" w:sz="6" w:space="0" w:color="auto"/>
              <w:left w:val="outset" w:sz="6" w:space="0" w:color="auto"/>
              <w:bottom w:val="outset" w:sz="6" w:space="0" w:color="auto"/>
              <w:right w:val="outset" w:sz="6" w:space="0" w:color="auto"/>
            </w:tcBorders>
            <w:shd w:val="clear" w:color="auto" w:fill="auto"/>
            <w:vAlign w:val="center"/>
          </w:tcPr>
          <w:p w14:paraId="6E39BA1A" w14:textId="77777777" w:rsidR="009A562F" w:rsidRPr="000A47F1" w:rsidRDefault="009A562F" w:rsidP="00747D25">
            <w:pPr>
              <w:jc w:val="center"/>
            </w:pPr>
            <w:r w:rsidRPr="000A47F1">
              <w:t>B</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37A5587A" w14:textId="77777777" w:rsidR="009A562F" w:rsidRPr="000A47F1" w:rsidRDefault="009A562F" w:rsidP="00747D25">
            <w:pPr>
              <w:jc w:val="center"/>
            </w:pPr>
            <w:r w:rsidRPr="000A47F1">
              <w:t>C</w:t>
            </w:r>
          </w:p>
        </w:tc>
        <w:tc>
          <w:tcPr>
            <w:tcW w:w="2378" w:type="dxa"/>
            <w:tcBorders>
              <w:top w:val="outset" w:sz="6" w:space="0" w:color="auto"/>
              <w:left w:val="outset" w:sz="6" w:space="0" w:color="auto"/>
              <w:bottom w:val="outset" w:sz="6" w:space="0" w:color="auto"/>
              <w:right w:val="outset" w:sz="6" w:space="0" w:color="auto"/>
            </w:tcBorders>
            <w:shd w:val="clear" w:color="auto" w:fill="auto"/>
            <w:vAlign w:val="center"/>
          </w:tcPr>
          <w:p w14:paraId="5D4022D9" w14:textId="77777777" w:rsidR="009A562F" w:rsidRPr="000A47F1" w:rsidRDefault="009A562F" w:rsidP="00747D25">
            <w:pPr>
              <w:jc w:val="center"/>
            </w:pPr>
            <w:r w:rsidRPr="000A47F1">
              <w:t>D</w:t>
            </w:r>
          </w:p>
        </w:tc>
      </w:tr>
      <w:tr w:rsidR="009A562F" w:rsidRPr="000A47F1" w14:paraId="00839EAF"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5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29F85762" w14:textId="77777777" w:rsidR="009A562F" w:rsidRPr="000A47F1" w:rsidRDefault="009A562F" w:rsidP="00FA223A">
            <w:pPr>
              <w:ind w:left="57" w:right="113"/>
              <w:jc w:val="both"/>
              <w:rPr>
                <w:spacing w:val="-4"/>
              </w:rPr>
            </w:pPr>
            <w:r w:rsidRPr="000A47F1">
              <w:rPr>
                <w:spacing w:val="-4"/>
              </w:rPr>
              <w:lastRenderedPageBreak/>
              <w:t>Attiecīgā ES tiesību akta panta numurs (uzskaitot katru tiesību akta vienību – pantu, daļu, punktu, apakšpunktu)</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73D1DED" w14:textId="77777777" w:rsidR="009A562F" w:rsidRPr="000A47F1" w:rsidRDefault="009A562F" w:rsidP="00FA223A">
            <w:pPr>
              <w:ind w:left="57" w:right="113"/>
              <w:jc w:val="both"/>
              <w:rPr>
                <w:spacing w:val="-4"/>
              </w:rPr>
            </w:pPr>
            <w:r w:rsidRPr="000A47F1">
              <w:rPr>
                <w:spacing w:val="-4"/>
              </w:rPr>
              <w:t>Projekta vienība, kas pārņem vai ievieš katru šīs tabulas A ailē minēto ES tiesību akta vienību, vai tiesību akts, kur attiecīgā ES tiesību akta vienība pārņemta vai ieviesta</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3EB1CB7A" w14:textId="77777777" w:rsidR="009A562F" w:rsidRPr="000A47F1" w:rsidRDefault="009A562F" w:rsidP="00FA223A">
            <w:pPr>
              <w:ind w:left="57" w:right="113"/>
              <w:jc w:val="both"/>
              <w:rPr>
                <w:spacing w:val="-4"/>
              </w:rPr>
            </w:pPr>
            <w:r w:rsidRPr="000A47F1">
              <w:rPr>
                <w:spacing w:val="-4"/>
              </w:rPr>
              <w:t>Informācija par to, vai šīs tabulas A ailē minētās ES tiesību akta vienības tiek pārņemtas vai ieviestas pilnībā vai daļēji.</w:t>
            </w:r>
          </w:p>
          <w:p w14:paraId="45D7D64B" w14:textId="77777777" w:rsidR="009A562F" w:rsidRPr="000A47F1" w:rsidRDefault="009A562F" w:rsidP="00FA223A">
            <w:pPr>
              <w:ind w:left="57" w:right="113"/>
              <w:jc w:val="both"/>
              <w:rPr>
                <w:spacing w:val="-4"/>
              </w:rPr>
            </w:pPr>
            <w:r w:rsidRPr="000A47F1">
              <w:rPr>
                <w:spacing w:val="-4"/>
              </w:rPr>
              <w:t>Ja attiecīgā ES tiesību akta vienība tiek pārņemta vai ieviesta daļēji, sniedz attiecīgu skaidrojumu, kā arī precīzi norāda, kad un kādā veidā ES tiesību akta vienība tiks pārņemta vai ieviesta pilnībā.</w:t>
            </w:r>
          </w:p>
          <w:p w14:paraId="0444E653" w14:textId="77777777" w:rsidR="009A562F" w:rsidRPr="000A47F1" w:rsidRDefault="009A562F" w:rsidP="00FA223A">
            <w:pPr>
              <w:ind w:left="57" w:right="113"/>
              <w:jc w:val="both"/>
              <w:rPr>
                <w:spacing w:val="-4"/>
              </w:rPr>
            </w:pPr>
            <w:r w:rsidRPr="000A47F1">
              <w:rPr>
                <w:spacing w:val="-4"/>
              </w:rPr>
              <w:t>Norāda institūciju, kas ir atbildīga par šo saistību izpildi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6244A0EB" w14:textId="77777777" w:rsidR="009A562F" w:rsidRPr="000A47F1" w:rsidRDefault="009A562F" w:rsidP="00FA223A">
            <w:pPr>
              <w:ind w:left="57" w:right="113"/>
              <w:jc w:val="both"/>
              <w:rPr>
                <w:spacing w:val="-4"/>
              </w:rPr>
            </w:pPr>
            <w:r w:rsidRPr="000A47F1">
              <w:rPr>
                <w:spacing w:val="-4"/>
              </w:rPr>
              <w:t>Informācija par to, vai šīs tabulas B ailē minētās projekta vienības paredz stingrākas prasības nekā šīs tabulas A ailē minētās ES tiesību akta vienības.</w:t>
            </w:r>
          </w:p>
          <w:p w14:paraId="7DDE3BFF" w14:textId="77777777" w:rsidR="009A562F" w:rsidRPr="000A47F1" w:rsidRDefault="009A562F" w:rsidP="00FA223A">
            <w:pPr>
              <w:ind w:left="57" w:right="113"/>
              <w:jc w:val="both"/>
              <w:rPr>
                <w:spacing w:val="-4"/>
              </w:rPr>
            </w:pPr>
            <w:r w:rsidRPr="000A47F1">
              <w:rPr>
                <w:spacing w:val="-4"/>
              </w:rPr>
              <w:t>Ja projekts satur stingrākas prasības nekā attiecīgais ES tiesību akts, norāda pamatojumu un samērīgumu.</w:t>
            </w:r>
          </w:p>
          <w:p w14:paraId="51B0A3AA" w14:textId="77777777" w:rsidR="009A562F" w:rsidRPr="000A47F1" w:rsidRDefault="009A562F" w:rsidP="00FA223A">
            <w:pPr>
              <w:ind w:left="57" w:right="113"/>
              <w:jc w:val="both"/>
              <w:rPr>
                <w:spacing w:val="-4"/>
              </w:rPr>
            </w:pPr>
            <w:r w:rsidRPr="000A47F1">
              <w:rPr>
                <w:spacing w:val="-4"/>
              </w:rPr>
              <w:t>Norāda iespējamās alternatīvas (t. sk. alternatīvas, kas neparedz tiesiskā regulējuma izstrādi) – kādos gadījumos būtu iespējams izvairīties no stingrāku prasību noteikšanas, nekā paredzēts attiecīgajos ES tiesību aktos</w:t>
            </w:r>
          </w:p>
        </w:tc>
      </w:tr>
      <w:tr w:rsidR="009A562F" w:rsidRPr="000A47F1" w14:paraId="7F1DE578"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919F99B" w14:textId="77777777" w:rsidR="009A562F" w:rsidRPr="000A47F1" w:rsidRDefault="009A562F" w:rsidP="00FA223A">
            <w:pPr>
              <w:ind w:left="57" w:right="113"/>
              <w:jc w:val="both"/>
            </w:pPr>
            <w:r w:rsidRPr="000A47F1">
              <w:t>Komisijas regulas Nr. 794/2004 10. un 11.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548981CE" w14:textId="77777777" w:rsidR="009A562F" w:rsidRPr="000A47F1" w:rsidRDefault="009A562F" w:rsidP="00FA223A">
            <w:pPr>
              <w:ind w:left="57" w:right="113"/>
              <w:jc w:val="both"/>
            </w:pPr>
            <w:r w:rsidRPr="000A47F1">
              <w:t>Noteikumu projekta 8.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3A459527" w14:textId="77777777" w:rsidR="009A562F" w:rsidRPr="000A47F1" w:rsidRDefault="009A562F"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1A77C06D" w14:textId="77777777" w:rsidR="009A562F" w:rsidRPr="000A47F1" w:rsidRDefault="009A562F" w:rsidP="00FA223A">
            <w:pPr>
              <w:ind w:left="57" w:right="113"/>
              <w:jc w:val="both"/>
            </w:pPr>
            <w:r w:rsidRPr="000A47F1">
              <w:t>Netiek paredzētas stingrākas prasības</w:t>
            </w:r>
          </w:p>
        </w:tc>
      </w:tr>
      <w:tr w:rsidR="00183976" w:rsidRPr="000A47F1" w14:paraId="46CBFBFD"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1F315FCD" w14:textId="4806FCEE" w:rsidR="00183976" w:rsidRPr="000A47F1" w:rsidRDefault="00183976" w:rsidP="00FA223A">
            <w:pPr>
              <w:ind w:left="57" w:right="113"/>
              <w:jc w:val="both"/>
            </w:pPr>
            <w:r w:rsidRPr="000A47F1">
              <w:t xml:space="preserve">Komisijas lēmuma Nr. </w:t>
            </w:r>
            <w:hyperlink r:id="rId16" w:tgtFrame="_blank" w:history="1">
              <w:r w:rsidRPr="000A47F1">
                <w:t>2012/21/ES</w:t>
              </w:r>
            </w:hyperlink>
            <w:r w:rsidRPr="000A47F1">
              <w:t xml:space="preserve"> 6.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443505BA" w14:textId="38205B5B" w:rsidR="00183976" w:rsidRPr="000A47F1" w:rsidRDefault="0060461E" w:rsidP="00FA223A">
            <w:pPr>
              <w:ind w:left="57" w:right="113"/>
              <w:jc w:val="both"/>
            </w:pPr>
            <w:r w:rsidRPr="000A47F1">
              <w:t>Noteikumu projekta 2</w:t>
            </w:r>
            <w:r w:rsidR="00183976" w:rsidRPr="000A47F1">
              <w:t>.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41298AA2" w14:textId="0D603DDD" w:rsidR="00183976" w:rsidRPr="000A47F1" w:rsidRDefault="00183976"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71B84F6D" w14:textId="1EBBA600" w:rsidR="00183976" w:rsidRPr="000A47F1" w:rsidRDefault="00183976" w:rsidP="00FA223A">
            <w:pPr>
              <w:ind w:left="57" w:right="113"/>
              <w:jc w:val="both"/>
            </w:pPr>
            <w:r w:rsidRPr="000A47F1">
              <w:t>Netiek paredzētas stingrākas prasības</w:t>
            </w:r>
          </w:p>
        </w:tc>
      </w:tr>
      <w:tr w:rsidR="00183976" w:rsidRPr="000A47F1" w14:paraId="1031C4BC"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3EA19D4B" w14:textId="1E2704D6" w:rsidR="00183976" w:rsidRPr="000A47F1" w:rsidRDefault="00183976" w:rsidP="00FA223A">
            <w:pPr>
              <w:ind w:left="57" w:right="113"/>
              <w:jc w:val="both"/>
            </w:pPr>
            <w:r w:rsidRPr="000A47F1">
              <w:t xml:space="preserve">Komisijas lēmuma Nr. </w:t>
            </w:r>
            <w:hyperlink r:id="rId17" w:tgtFrame="_blank" w:history="1">
              <w:r w:rsidRPr="000A47F1">
                <w:t>2012/21/ES</w:t>
              </w:r>
            </w:hyperlink>
            <w:r w:rsidRPr="000A47F1">
              <w:t xml:space="preserve"> 8. pants</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591C1D63" w14:textId="55F428DE" w:rsidR="00183976" w:rsidRPr="000A47F1" w:rsidRDefault="00E67E61" w:rsidP="00FA223A">
            <w:pPr>
              <w:ind w:left="57" w:right="113"/>
              <w:jc w:val="both"/>
            </w:pPr>
            <w:r w:rsidRPr="000A47F1">
              <w:t>Noteikumu projekta 4</w:t>
            </w:r>
            <w:r w:rsidR="00183976" w:rsidRPr="000A47F1">
              <w:t>.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26A04252" w14:textId="16B3335F" w:rsidR="00183976" w:rsidRPr="000A47F1" w:rsidRDefault="00183976"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6D1D1815" w14:textId="0240D012" w:rsidR="00183976" w:rsidRPr="000A47F1" w:rsidRDefault="00183976" w:rsidP="00FA223A">
            <w:pPr>
              <w:ind w:left="57" w:right="113"/>
              <w:jc w:val="both"/>
            </w:pPr>
            <w:r w:rsidRPr="000A47F1">
              <w:t>Netiek paredzētas stingrākas prasības</w:t>
            </w:r>
          </w:p>
        </w:tc>
      </w:tr>
      <w:tr w:rsidR="0060461E" w:rsidRPr="000A47F1" w14:paraId="3420C658"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01420148" w14:textId="47BED908" w:rsidR="0060461E" w:rsidRPr="000A47F1" w:rsidRDefault="0060461E" w:rsidP="00FA223A">
            <w:pPr>
              <w:ind w:left="57" w:right="113"/>
              <w:jc w:val="both"/>
            </w:pPr>
            <w:r w:rsidRPr="000A47F1">
              <w:t>Komisijas regulas Nr. 651/2014 59. panta otrā daļa</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78103D40" w14:textId="00443C1C" w:rsidR="0060461E" w:rsidRPr="000A47F1" w:rsidRDefault="0060461E" w:rsidP="00FA223A">
            <w:pPr>
              <w:jc w:val="both"/>
            </w:pPr>
            <w:r w:rsidRPr="000A47F1">
              <w:t>Noteikumu projekta 3.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6815B024" w14:textId="5A07C411" w:rsidR="0060461E" w:rsidRPr="000A47F1" w:rsidRDefault="0060461E"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23133D3B" w14:textId="76F9AD45" w:rsidR="0060461E" w:rsidRPr="000A47F1" w:rsidRDefault="0060461E" w:rsidP="00FA223A">
            <w:pPr>
              <w:ind w:left="57" w:right="113"/>
              <w:jc w:val="both"/>
            </w:pPr>
            <w:r w:rsidRPr="000A47F1">
              <w:t>Netiek paredzētas stingrākas prasības</w:t>
            </w:r>
          </w:p>
        </w:tc>
      </w:tr>
      <w:tr w:rsidR="0060461E" w:rsidRPr="000A47F1" w14:paraId="41803C4A"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AAE5439" w14:textId="3A877348" w:rsidR="0060461E" w:rsidRPr="000A47F1" w:rsidRDefault="0060461E" w:rsidP="00FA223A">
            <w:pPr>
              <w:ind w:left="57" w:right="113"/>
              <w:jc w:val="both"/>
            </w:pPr>
            <w:r w:rsidRPr="000A47F1">
              <w:t>Komisijas regulas Nr. 1407/2013 8. panta otrā daļa</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0CE20266" w14:textId="2ABF3F27" w:rsidR="0060461E" w:rsidRPr="000A47F1" w:rsidRDefault="0060461E" w:rsidP="00FA223A">
            <w:pPr>
              <w:ind w:left="57" w:right="113"/>
              <w:jc w:val="both"/>
            </w:pPr>
            <w:r w:rsidRPr="000A47F1">
              <w:t>Noteikumu projekta 7.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5582C7EA" w14:textId="3437F5DE" w:rsidR="0060461E" w:rsidRPr="000A47F1" w:rsidRDefault="0060461E"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153C3314" w14:textId="61E011B3" w:rsidR="0060461E" w:rsidRPr="000A47F1" w:rsidRDefault="0060461E" w:rsidP="00FA223A">
            <w:pPr>
              <w:ind w:left="57" w:right="113"/>
              <w:jc w:val="both"/>
            </w:pPr>
            <w:r w:rsidRPr="000A47F1">
              <w:t>Netiek paredzētas stingrākas prasības</w:t>
            </w:r>
          </w:p>
        </w:tc>
      </w:tr>
      <w:tr w:rsidR="0060461E" w:rsidRPr="000A47F1" w14:paraId="0A7608B2"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665"/>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87896D7" w14:textId="54A8F4F2" w:rsidR="0060461E" w:rsidRPr="000A47F1" w:rsidRDefault="0060461E" w:rsidP="00FA223A">
            <w:pPr>
              <w:ind w:left="57" w:right="113"/>
              <w:jc w:val="both"/>
            </w:pPr>
            <w:r w:rsidRPr="000A47F1">
              <w:rPr>
                <w:spacing w:val="-2"/>
              </w:rPr>
              <w:t>Komisijas regulas Nr. 1408/2013 8. panta otrā daļa</w:t>
            </w:r>
          </w:p>
        </w:tc>
        <w:tc>
          <w:tcPr>
            <w:tcW w:w="1756" w:type="dxa"/>
            <w:tcBorders>
              <w:top w:val="outset" w:sz="6" w:space="0" w:color="auto"/>
              <w:left w:val="outset" w:sz="6" w:space="0" w:color="auto"/>
              <w:bottom w:val="outset" w:sz="6" w:space="0" w:color="auto"/>
              <w:right w:val="outset" w:sz="6" w:space="0" w:color="auto"/>
            </w:tcBorders>
            <w:shd w:val="clear" w:color="auto" w:fill="auto"/>
          </w:tcPr>
          <w:p w14:paraId="3CAF977F" w14:textId="75887217" w:rsidR="0060461E" w:rsidRPr="000A47F1" w:rsidRDefault="0060461E" w:rsidP="00FA223A">
            <w:pPr>
              <w:jc w:val="both"/>
            </w:pPr>
            <w:r w:rsidRPr="000A47F1">
              <w:t>Noteikumu projekta 7. punkts</w:t>
            </w:r>
          </w:p>
        </w:tc>
        <w:tc>
          <w:tcPr>
            <w:tcW w:w="2262" w:type="dxa"/>
            <w:gridSpan w:val="2"/>
            <w:tcBorders>
              <w:top w:val="outset" w:sz="6" w:space="0" w:color="auto"/>
              <w:left w:val="outset" w:sz="6" w:space="0" w:color="auto"/>
              <w:bottom w:val="outset" w:sz="6" w:space="0" w:color="auto"/>
              <w:right w:val="outset" w:sz="6" w:space="0" w:color="auto"/>
            </w:tcBorders>
            <w:shd w:val="clear" w:color="auto" w:fill="auto"/>
          </w:tcPr>
          <w:p w14:paraId="125CAA45" w14:textId="19B53AD6" w:rsidR="0060461E" w:rsidRPr="000A47F1" w:rsidRDefault="0060461E" w:rsidP="00FA223A">
            <w:pPr>
              <w:ind w:left="57" w:right="113"/>
              <w:jc w:val="both"/>
            </w:pPr>
            <w:r w:rsidRPr="000A47F1">
              <w:t>Vienība tiek ieviesta pilnībā</w:t>
            </w:r>
          </w:p>
        </w:tc>
        <w:tc>
          <w:tcPr>
            <w:tcW w:w="2378" w:type="dxa"/>
            <w:tcBorders>
              <w:top w:val="outset" w:sz="6" w:space="0" w:color="auto"/>
              <w:left w:val="outset" w:sz="6" w:space="0" w:color="auto"/>
              <w:bottom w:val="outset" w:sz="6" w:space="0" w:color="auto"/>
              <w:right w:val="outset" w:sz="6" w:space="0" w:color="auto"/>
            </w:tcBorders>
            <w:shd w:val="clear" w:color="auto" w:fill="auto"/>
          </w:tcPr>
          <w:p w14:paraId="07FCDB4F" w14:textId="589EDF3C" w:rsidR="0060461E" w:rsidRPr="000A47F1" w:rsidRDefault="0060461E" w:rsidP="00FA223A">
            <w:pPr>
              <w:ind w:left="57" w:right="113"/>
              <w:jc w:val="both"/>
            </w:pPr>
            <w:r w:rsidRPr="000A47F1">
              <w:t>Netiek paredzētas stingrākas prasības</w:t>
            </w:r>
          </w:p>
        </w:tc>
      </w:tr>
      <w:tr w:rsidR="0060461E" w:rsidRPr="000A47F1" w14:paraId="42A636E8"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14"/>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22536D03" w14:textId="77777777" w:rsidR="0060461E" w:rsidRPr="000A47F1" w:rsidRDefault="0060461E" w:rsidP="00FA223A">
            <w:pPr>
              <w:ind w:left="57" w:right="113"/>
              <w:jc w:val="both"/>
              <w:rPr>
                <w:spacing w:val="-4"/>
              </w:rPr>
            </w:pPr>
            <w:r w:rsidRPr="000A47F1">
              <w:rPr>
                <w:spacing w:val="-4"/>
              </w:rPr>
              <w:t>Kā ir izmantota ES tiesību aktā paredzētā rīcības brīvība dalībvalstij pārņemt vai ieviest noteiktas ES tiesību akta normas? Kādēļ?</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7589CDB9" w14:textId="23E53D8A" w:rsidR="0060461E" w:rsidRPr="000A47F1" w:rsidRDefault="0060461E" w:rsidP="00FA223A">
            <w:pPr>
              <w:ind w:left="57" w:right="113"/>
              <w:jc w:val="both"/>
              <w:rPr>
                <w:spacing w:val="-4"/>
              </w:rPr>
            </w:pPr>
            <w:r w:rsidRPr="000A47F1">
              <w:rPr>
                <w:spacing w:val="-4"/>
              </w:rPr>
              <w:t>Noteikumu projekts šo jomu neskar.</w:t>
            </w:r>
          </w:p>
        </w:tc>
      </w:tr>
      <w:tr w:rsidR="0060461E" w:rsidRPr="000A47F1" w14:paraId="278275DC"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99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D953021" w14:textId="77777777" w:rsidR="0060461E" w:rsidRPr="000A47F1" w:rsidRDefault="0060461E" w:rsidP="00FA223A">
            <w:pPr>
              <w:ind w:left="57" w:right="113"/>
              <w:jc w:val="both"/>
              <w:rPr>
                <w:spacing w:val="-4"/>
              </w:rPr>
            </w:pPr>
            <w:r w:rsidRPr="000A47F1">
              <w:rPr>
                <w:spacing w:val="-4"/>
              </w:rPr>
              <w:lastRenderedPageBreak/>
              <w:t>Saistības sniegt paziņojumu ES institū</w:t>
            </w:r>
            <w:r w:rsidRPr="000A47F1">
              <w:rPr>
                <w:spacing w:val="-4"/>
              </w:rPr>
              <w:softHyphen/>
              <w:t>cijām un ES dalībvalstīm atbilstoši normatīvajiem aktiem, kas regulē informācijas sniegšanu par tehnisko noteikumu, valsts atbalsta piešķiršanas un finanšu noteikumu (attiecībā uz monetāro politiku) projektiem</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355095F8" w14:textId="0C94DE85" w:rsidR="003A4C2A" w:rsidRPr="00192F74" w:rsidRDefault="0060461E" w:rsidP="003A4C2A">
            <w:pPr>
              <w:ind w:right="113"/>
              <w:jc w:val="both"/>
              <w:rPr>
                <w:spacing w:val="-4"/>
              </w:rPr>
            </w:pPr>
            <w:r w:rsidRPr="00192F74">
              <w:rPr>
                <w:spacing w:val="-4"/>
              </w:rPr>
              <w:t>No</w:t>
            </w:r>
            <w:r w:rsidR="003A4C2A" w:rsidRPr="00192F74">
              <w:rPr>
                <w:spacing w:val="-4"/>
              </w:rPr>
              <w:t xml:space="preserve">teikumu </w:t>
            </w:r>
            <w:r w:rsidR="003A4C2A" w:rsidRPr="00192F74">
              <w:t>projektā rosinātie grozījumi 20 darba dienu laikā pēc to spēkā stāšanās tiks paziņoti Komisijai, izmantojot SANI2 (</w:t>
            </w:r>
            <w:proofErr w:type="spellStart"/>
            <w:r w:rsidR="003A4C2A" w:rsidRPr="00192F74">
              <w:rPr>
                <w:i/>
                <w:iCs/>
              </w:rPr>
              <w:t>State</w:t>
            </w:r>
            <w:proofErr w:type="spellEnd"/>
            <w:r w:rsidR="003A4C2A" w:rsidRPr="00192F74">
              <w:rPr>
                <w:i/>
                <w:iCs/>
              </w:rPr>
              <w:t xml:space="preserve"> Aid </w:t>
            </w:r>
            <w:proofErr w:type="spellStart"/>
            <w:r w:rsidR="003A4C2A" w:rsidRPr="00192F74">
              <w:rPr>
                <w:i/>
                <w:iCs/>
              </w:rPr>
              <w:t>Notification</w:t>
            </w:r>
            <w:proofErr w:type="spellEnd"/>
            <w:r w:rsidR="003A4C2A" w:rsidRPr="00192F74">
              <w:rPr>
                <w:i/>
                <w:iCs/>
              </w:rPr>
              <w:t xml:space="preserve"> </w:t>
            </w:r>
            <w:proofErr w:type="spellStart"/>
            <w:r w:rsidR="003A4C2A" w:rsidRPr="00192F74">
              <w:rPr>
                <w:i/>
                <w:iCs/>
              </w:rPr>
              <w:t>Interactive</w:t>
            </w:r>
            <w:proofErr w:type="spellEnd"/>
            <w:r w:rsidR="003A4C2A" w:rsidRPr="00192F74">
              <w:t>) sistēmu, ņemot vērā noteikumu projektā ietvertos grozījumus attiecībā uz shēmas pagarinājumu, ievērojot regulu darbības termiņa pagarinājumu.</w:t>
            </w:r>
          </w:p>
          <w:p w14:paraId="5F6457A0" w14:textId="710EE30A" w:rsidR="00192F74" w:rsidRDefault="00192F74" w:rsidP="00FA223A">
            <w:pPr>
              <w:ind w:right="113"/>
              <w:jc w:val="both"/>
              <w:rPr>
                <w:b/>
                <w:spacing w:val="-4"/>
              </w:rPr>
            </w:pPr>
          </w:p>
          <w:p w14:paraId="6328F9D5" w14:textId="77777777" w:rsidR="003A4C2A" w:rsidRPr="00192F74" w:rsidRDefault="003A4C2A" w:rsidP="00192F74">
            <w:pPr>
              <w:ind w:firstLine="720"/>
            </w:pPr>
            <w:bookmarkStart w:id="0" w:name="_GoBack"/>
            <w:bookmarkEnd w:id="0"/>
          </w:p>
        </w:tc>
      </w:tr>
      <w:tr w:rsidR="0060461E" w:rsidRPr="000A47F1" w14:paraId="3B6C3114"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2F03F81" w14:textId="77777777" w:rsidR="0060461E" w:rsidRPr="000A47F1" w:rsidRDefault="0060461E" w:rsidP="00FA223A">
            <w:pPr>
              <w:ind w:left="57" w:right="113"/>
              <w:jc w:val="both"/>
            </w:pPr>
            <w:r w:rsidRPr="000A47F1">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65C115BF" w14:textId="70DB5925" w:rsidR="0060461E" w:rsidRPr="000A47F1" w:rsidRDefault="0060461E" w:rsidP="00FA223A">
            <w:pPr>
              <w:ind w:left="57" w:right="113"/>
              <w:jc w:val="both"/>
            </w:pPr>
            <w:r w:rsidRPr="000A47F1">
              <w:t>Nav.</w:t>
            </w:r>
          </w:p>
        </w:tc>
      </w:tr>
      <w:tr w:rsidR="0060461E" w:rsidRPr="000A47F1" w14:paraId="5C03A597"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883"/>
          <w:jc w:val="center"/>
        </w:trPr>
        <w:tc>
          <w:tcPr>
            <w:tcW w:w="9356" w:type="dxa"/>
            <w:gridSpan w:val="6"/>
            <w:tcBorders>
              <w:top w:val="outset" w:sz="6" w:space="0" w:color="auto"/>
              <w:left w:val="outset" w:sz="6" w:space="0" w:color="auto"/>
              <w:bottom w:val="outset" w:sz="6" w:space="0" w:color="auto"/>
              <w:right w:val="outset" w:sz="6" w:space="0" w:color="auto"/>
            </w:tcBorders>
            <w:shd w:val="clear" w:color="auto" w:fill="auto"/>
            <w:vAlign w:val="center"/>
          </w:tcPr>
          <w:p w14:paraId="40A3AD4C" w14:textId="77777777" w:rsidR="0060461E" w:rsidRPr="000A47F1" w:rsidRDefault="0060461E" w:rsidP="0060461E">
            <w:pPr>
              <w:ind w:left="57" w:right="113"/>
              <w:jc w:val="center"/>
              <w:rPr>
                <w:rFonts w:ascii="Times New Roman Bold" w:hAnsi="Times New Roman Bold"/>
                <w:b/>
                <w:spacing w:val="-4"/>
              </w:rPr>
            </w:pPr>
            <w:r w:rsidRPr="000A47F1">
              <w:rPr>
                <w:rFonts w:ascii="Times New Roman Bold" w:hAnsi="Times New Roman Bold"/>
                <w:b/>
                <w:spacing w:val="-4"/>
              </w:rPr>
              <w:t>2. tabula</w:t>
            </w:r>
          </w:p>
          <w:p w14:paraId="623C1F10" w14:textId="77777777" w:rsidR="0060461E" w:rsidRPr="000A47F1" w:rsidRDefault="0060461E" w:rsidP="0060461E">
            <w:pPr>
              <w:ind w:left="57" w:right="113"/>
              <w:jc w:val="center"/>
              <w:rPr>
                <w:rFonts w:ascii="Times New Roman Bold" w:hAnsi="Times New Roman Bold"/>
                <w:b/>
                <w:spacing w:val="-4"/>
              </w:rPr>
            </w:pPr>
            <w:r w:rsidRPr="000A47F1">
              <w:rPr>
                <w:rFonts w:ascii="Times New Roman Bold" w:hAnsi="Times New Roman Bold"/>
                <w:b/>
                <w:spacing w:val="-4"/>
              </w:rPr>
              <w:t>Ar tiesību akta projektu izpildītās vai uzņemtās saistības, kas izriet no starptautiskajiem tiesību aktiem vai starptautiskas institūcijas vai organizācijas dokumentiem.</w:t>
            </w:r>
          </w:p>
          <w:p w14:paraId="37809C94" w14:textId="77777777" w:rsidR="0060461E" w:rsidRPr="000A47F1" w:rsidRDefault="0060461E" w:rsidP="0060461E">
            <w:pPr>
              <w:ind w:left="57" w:right="113"/>
              <w:jc w:val="center"/>
              <w:rPr>
                <w:rFonts w:ascii="Times New Roman Bold" w:hAnsi="Times New Roman Bold"/>
                <w:b/>
                <w:spacing w:val="-4"/>
              </w:rPr>
            </w:pPr>
            <w:r w:rsidRPr="000A47F1">
              <w:rPr>
                <w:rFonts w:ascii="Times New Roman Bold" w:hAnsi="Times New Roman Bold"/>
                <w:b/>
                <w:spacing w:val="-4"/>
              </w:rPr>
              <w:t>Pasākumi šo saistību izpildei</w:t>
            </w:r>
          </w:p>
        </w:tc>
      </w:tr>
      <w:tr w:rsidR="0060461E" w:rsidRPr="000A47F1" w14:paraId="6A933FB5"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33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2F48B2B" w14:textId="77777777" w:rsidR="0060461E" w:rsidRPr="000A47F1" w:rsidRDefault="0060461E" w:rsidP="00FA223A">
            <w:pPr>
              <w:ind w:left="57" w:right="113"/>
              <w:jc w:val="both"/>
              <w:rPr>
                <w:spacing w:val="-4"/>
              </w:rPr>
            </w:pPr>
            <w:r w:rsidRPr="000A47F1">
              <w:rPr>
                <w:spacing w:val="-4"/>
              </w:rPr>
              <w:t>Attiecīgā starptautiskā tiesību akta vai starptau</w:t>
            </w:r>
            <w:r w:rsidRPr="000A47F1">
              <w:rPr>
                <w:spacing w:val="-4"/>
              </w:rPr>
              <w:softHyphen/>
              <w:t>tiskas institūcijas vai organizācijas dokumenta (turpmāk – starptautiskais dokuments) datums, numurs un nosaukums</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4A8BA705" w14:textId="6835BE88" w:rsidR="0060461E" w:rsidRPr="000A47F1" w:rsidRDefault="0060461E" w:rsidP="00FA223A">
            <w:pPr>
              <w:ind w:right="113"/>
              <w:jc w:val="both"/>
              <w:rPr>
                <w:spacing w:val="-4"/>
              </w:rPr>
            </w:pPr>
            <w:r w:rsidRPr="000A47F1">
              <w:rPr>
                <w:spacing w:val="-4"/>
              </w:rPr>
              <w:t>Noteikumu projekts šo jomu neskar.</w:t>
            </w:r>
          </w:p>
        </w:tc>
      </w:tr>
      <w:tr w:rsidR="0060461E" w:rsidRPr="000A47F1" w14:paraId="56B76D80"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4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2DFFFB3D" w14:textId="77777777" w:rsidR="0060461E" w:rsidRPr="000A47F1" w:rsidRDefault="0060461E" w:rsidP="00FA223A">
            <w:pPr>
              <w:jc w:val="both"/>
            </w:pPr>
            <w:r w:rsidRPr="000A47F1">
              <w:t>A</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50562FFF" w14:textId="77777777" w:rsidR="0060461E" w:rsidRPr="000A47F1" w:rsidRDefault="0060461E" w:rsidP="00FA223A">
            <w:pPr>
              <w:jc w:val="both"/>
            </w:pPr>
            <w:r w:rsidRPr="000A47F1">
              <w:t>B</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vAlign w:val="center"/>
          </w:tcPr>
          <w:p w14:paraId="157C2580" w14:textId="77777777" w:rsidR="0060461E" w:rsidRPr="000A47F1" w:rsidRDefault="0060461E" w:rsidP="00FA223A">
            <w:pPr>
              <w:jc w:val="both"/>
            </w:pPr>
            <w:r w:rsidRPr="000A47F1">
              <w:t>C</w:t>
            </w:r>
          </w:p>
        </w:tc>
      </w:tr>
      <w:tr w:rsidR="0060461E" w:rsidRPr="000A47F1" w14:paraId="4A88AA95"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676"/>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55F0A4B6" w14:textId="77777777" w:rsidR="0060461E" w:rsidRPr="000A47F1" w:rsidRDefault="0060461E" w:rsidP="00FA223A">
            <w:pPr>
              <w:ind w:left="57" w:right="113"/>
              <w:jc w:val="both"/>
              <w:rPr>
                <w:spacing w:val="-4"/>
              </w:rPr>
            </w:pPr>
            <w:r w:rsidRPr="000A47F1">
              <w:rPr>
                <w:spacing w:val="-4"/>
              </w:rPr>
              <w:t>Starptautiskās saistības (pēc būtības), kas izriet no norādītā starptautiskā dokumenta.</w:t>
            </w:r>
          </w:p>
          <w:p w14:paraId="0BEBB276" w14:textId="77777777" w:rsidR="0060461E" w:rsidRPr="000A47F1" w:rsidRDefault="0060461E" w:rsidP="00FA223A">
            <w:pPr>
              <w:ind w:left="57" w:right="113"/>
              <w:jc w:val="both"/>
              <w:rPr>
                <w:spacing w:val="-4"/>
              </w:rPr>
            </w:pPr>
            <w:r w:rsidRPr="000A47F1">
              <w:rPr>
                <w:spacing w:val="-4"/>
              </w:rPr>
              <w:t>Konkrēti veicamie pasākumi vai uzdevumi, kas nepieciešami šo starptautisko saistību izpildei</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6C2A1243" w14:textId="77777777" w:rsidR="0060461E" w:rsidRPr="000A47F1" w:rsidRDefault="0060461E" w:rsidP="00FA223A">
            <w:pPr>
              <w:ind w:left="57" w:right="113"/>
              <w:jc w:val="both"/>
              <w:rPr>
                <w:spacing w:val="-4"/>
              </w:rPr>
            </w:pPr>
            <w:r w:rsidRPr="000A47F1">
              <w:rPr>
                <w:spacing w:val="-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tcPr>
          <w:p w14:paraId="250B736D" w14:textId="77777777" w:rsidR="0060461E" w:rsidRPr="000A47F1" w:rsidRDefault="0060461E" w:rsidP="00FA223A">
            <w:pPr>
              <w:ind w:left="57" w:right="113"/>
              <w:jc w:val="both"/>
              <w:rPr>
                <w:spacing w:val="-4"/>
              </w:rPr>
            </w:pPr>
            <w:r w:rsidRPr="000A47F1">
              <w:rPr>
                <w:spacing w:val="-4"/>
              </w:rPr>
              <w:t>Informācija par to, vai starptautiskās saistības, kas minētas šīs tabulas A ailē, tiek izpildītas pilnībā vai daļēji.</w:t>
            </w:r>
          </w:p>
          <w:p w14:paraId="4357E368" w14:textId="77777777" w:rsidR="0060461E" w:rsidRPr="000A47F1" w:rsidRDefault="0060461E" w:rsidP="00FA223A">
            <w:pPr>
              <w:ind w:left="57" w:right="113"/>
              <w:jc w:val="both"/>
              <w:rPr>
                <w:spacing w:val="-4"/>
              </w:rPr>
            </w:pPr>
            <w:r w:rsidRPr="000A47F1">
              <w:rPr>
                <w:spacing w:val="-4"/>
              </w:rPr>
              <w:t>Ja attiecīgās starptautiskās saistības tiek izpildītas daļēji, sniedz skaidrojumu, kā arī precīzi norāda, kad un kādā veidā starptautiskās saistības tiks izpildītas pilnībā.</w:t>
            </w:r>
          </w:p>
          <w:p w14:paraId="1DBBD936" w14:textId="77777777" w:rsidR="0060461E" w:rsidRPr="000A47F1" w:rsidRDefault="0060461E" w:rsidP="00FA223A">
            <w:pPr>
              <w:ind w:left="57" w:right="113"/>
              <w:jc w:val="both"/>
              <w:rPr>
                <w:spacing w:val="-4"/>
              </w:rPr>
            </w:pPr>
            <w:r w:rsidRPr="000A47F1">
              <w:rPr>
                <w:spacing w:val="-4"/>
              </w:rPr>
              <w:t>Norāda institūciju, kas ir atbildīga par šo saistību izpildi pilnībā</w:t>
            </w:r>
          </w:p>
        </w:tc>
      </w:tr>
      <w:tr w:rsidR="0060461E" w:rsidRPr="000A47F1" w14:paraId="614151E5"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17"/>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7804F848" w14:textId="77777777" w:rsidR="0060461E" w:rsidRPr="000A47F1" w:rsidRDefault="0060461E" w:rsidP="00FA223A">
            <w:pPr>
              <w:ind w:right="113"/>
              <w:jc w:val="both"/>
              <w:rPr>
                <w:spacing w:val="-4"/>
              </w:rPr>
            </w:pPr>
            <w:r w:rsidRPr="000A47F1">
              <w:rPr>
                <w:spacing w:val="-4"/>
              </w:rPr>
              <w:t>Noteikumu projekts šo jomu neskar</w:t>
            </w:r>
          </w:p>
        </w:tc>
        <w:tc>
          <w:tcPr>
            <w:tcW w:w="2436" w:type="dxa"/>
            <w:gridSpan w:val="2"/>
            <w:tcBorders>
              <w:top w:val="outset" w:sz="6" w:space="0" w:color="auto"/>
              <w:left w:val="outset" w:sz="6" w:space="0" w:color="auto"/>
              <w:bottom w:val="outset" w:sz="6" w:space="0" w:color="auto"/>
              <w:right w:val="outset" w:sz="6" w:space="0" w:color="auto"/>
            </w:tcBorders>
            <w:shd w:val="clear" w:color="auto" w:fill="auto"/>
          </w:tcPr>
          <w:p w14:paraId="71B5E068" w14:textId="580710B1" w:rsidR="0060461E" w:rsidRPr="000A47F1" w:rsidRDefault="0060461E" w:rsidP="00FA223A">
            <w:pPr>
              <w:ind w:right="113"/>
              <w:jc w:val="both"/>
              <w:rPr>
                <w:spacing w:val="-4"/>
              </w:rPr>
            </w:pPr>
            <w:r w:rsidRPr="000A47F1">
              <w:rPr>
                <w:spacing w:val="-4"/>
              </w:rPr>
              <w:t>Noteikumu projekts šo jomu neskar.</w:t>
            </w:r>
          </w:p>
        </w:tc>
        <w:tc>
          <w:tcPr>
            <w:tcW w:w="3960" w:type="dxa"/>
            <w:gridSpan w:val="2"/>
            <w:tcBorders>
              <w:top w:val="outset" w:sz="6" w:space="0" w:color="auto"/>
              <w:left w:val="outset" w:sz="6" w:space="0" w:color="auto"/>
              <w:bottom w:val="outset" w:sz="6" w:space="0" w:color="auto"/>
              <w:right w:val="outset" w:sz="6" w:space="0" w:color="auto"/>
            </w:tcBorders>
            <w:shd w:val="clear" w:color="auto" w:fill="auto"/>
          </w:tcPr>
          <w:p w14:paraId="696EF887" w14:textId="221830F7" w:rsidR="0060461E" w:rsidRPr="000A47F1" w:rsidRDefault="0060461E" w:rsidP="00FA223A">
            <w:pPr>
              <w:ind w:right="113"/>
              <w:jc w:val="both"/>
              <w:rPr>
                <w:spacing w:val="-4"/>
              </w:rPr>
            </w:pPr>
            <w:r w:rsidRPr="000A47F1">
              <w:rPr>
                <w:spacing w:val="-4"/>
              </w:rPr>
              <w:t>Noteikumu projekts šo jomu neskar.</w:t>
            </w:r>
          </w:p>
        </w:tc>
      </w:tr>
      <w:tr w:rsidR="0060461E" w:rsidRPr="000A47F1" w14:paraId="1B0C702F"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1101"/>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21EFABE3" w14:textId="77777777" w:rsidR="0060461E" w:rsidRPr="000A47F1" w:rsidRDefault="0060461E" w:rsidP="00FA223A">
            <w:pPr>
              <w:ind w:left="57" w:right="113"/>
              <w:jc w:val="both"/>
              <w:rPr>
                <w:spacing w:val="-4"/>
              </w:rPr>
            </w:pPr>
            <w:r w:rsidRPr="000A47F1">
              <w:rPr>
                <w:spacing w:val="-4"/>
              </w:rPr>
              <w:t>Vai starptautiskajā dokumentā paredzētās saistības nav pretrunā ar jau esošajām Latvijas Republikas starptautis</w:t>
            </w:r>
            <w:r w:rsidRPr="000A47F1">
              <w:rPr>
                <w:spacing w:val="-4"/>
              </w:rPr>
              <w:softHyphen/>
              <w:t>kajām saistībām?</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02A1FA50" w14:textId="7FD8D295" w:rsidR="0060461E" w:rsidRPr="000A47F1" w:rsidRDefault="0060461E" w:rsidP="00FA223A">
            <w:pPr>
              <w:ind w:right="113"/>
              <w:jc w:val="both"/>
              <w:rPr>
                <w:spacing w:val="-4"/>
              </w:rPr>
            </w:pPr>
            <w:r w:rsidRPr="000A47F1">
              <w:rPr>
                <w:spacing w:val="-4"/>
              </w:rPr>
              <w:t>Noteikumu projekts šo jomu neskar.</w:t>
            </w:r>
          </w:p>
        </w:tc>
      </w:tr>
      <w:tr w:rsidR="0060461E" w:rsidRPr="000A47F1" w14:paraId="0E8F4EEB" w14:textId="77777777" w:rsidTr="0060461E">
        <w:tblPrEx>
          <w:jc w:val="center"/>
          <w:tblInd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trHeight w:val="229"/>
          <w:jc w:val="center"/>
        </w:trPr>
        <w:tc>
          <w:tcPr>
            <w:tcW w:w="2960" w:type="dxa"/>
            <w:gridSpan w:val="2"/>
            <w:tcBorders>
              <w:top w:val="outset" w:sz="6" w:space="0" w:color="auto"/>
              <w:left w:val="outset" w:sz="6" w:space="0" w:color="auto"/>
              <w:bottom w:val="outset" w:sz="6" w:space="0" w:color="auto"/>
              <w:right w:val="outset" w:sz="6" w:space="0" w:color="auto"/>
            </w:tcBorders>
            <w:shd w:val="clear" w:color="auto" w:fill="auto"/>
          </w:tcPr>
          <w:p w14:paraId="4738797E" w14:textId="77777777" w:rsidR="0060461E" w:rsidRPr="000A47F1" w:rsidRDefault="0060461E" w:rsidP="00FA223A">
            <w:pPr>
              <w:ind w:left="57" w:right="113"/>
              <w:jc w:val="both"/>
              <w:rPr>
                <w:spacing w:val="-4"/>
              </w:rPr>
            </w:pPr>
            <w:r w:rsidRPr="000A47F1">
              <w:rPr>
                <w:spacing w:val="-4"/>
              </w:rPr>
              <w:t>Cita informācija</w:t>
            </w:r>
          </w:p>
        </w:tc>
        <w:tc>
          <w:tcPr>
            <w:tcW w:w="6396" w:type="dxa"/>
            <w:gridSpan w:val="4"/>
            <w:tcBorders>
              <w:top w:val="outset" w:sz="6" w:space="0" w:color="auto"/>
              <w:left w:val="outset" w:sz="6" w:space="0" w:color="auto"/>
              <w:bottom w:val="outset" w:sz="6" w:space="0" w:color="auto"/>
              <w:right w:val="outset" w:sz="6" w:space="0" w:color="auto"/>
            </w:tcBorders>
            <w:shd w:val="clear" w:color="auto" w:fill="auto"/>
          </w:tcPr>
          <w:p w14:paraId="5C99AD04" w14:textId="3C13A0A8" w:rsidR="0060461E" w:rsidRPr="000A47F1" w:rsidRDefault="0060461E" w:rsidP="00FA223A">
            <w:pPr>
              <w:ind w:left="57" w:right="113"/>
              <w:jc w:val="both"/>
              <w:rPr>
                <w:spacing w:val="-4"/>
              </w:rPr>
            </w:pPr>
            <w:r w:rsidRPr="000A47F1">
              <w:rPr>
                <w:spacing w:val="-4"/>
              </w:rPr>
              <w:t>Nav.</w:t>
            </w:r>
          </w:p>
        </w:tc>
      </w:tr>
    </w:tbl>
    <w:p w14:paraId="27E531B6" w14:textId="77777777" w:rsidR="009A562F" w:rsidRPr="000A47F1" w:rsidRDefault="009A562F" w:rsidP="00ED5537">
      <w:pPr>
        <w:rPr>
          <w:lang w:eastAsia="en-U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08"/>
        <w:gridCol w:w="6322"/>
      </w:tblGrid>
      <w:tr w:rsidR="00C71FAA" w:rsidRPr="000A47F1" w14:paraId="3090A8C0" w14:textId="77777777" w:rsidTr="00F94FEF">
        <w:trPr>
          <w:trHeight w:val="421"/>
        </w:trPr>
        <w:tc>
          <w:tcPr>
            <w:tcW w:w="9356" w:type="dxa"/>
            <w:gridSpan w:val="3"/>
            <w:vAlign w:val="center"/>
          </w:tcPr>
          <w:p w14:paraId="43BFCFB8" w14:textId="77777777" w:rsidR="00750FB6" w:rsidRPr="000A47F1" w:rsidRDefault="007559D4" w:rsidP="00BF3F2B">
            <w:pPr>
              <w:pStyle w:val="naisnod"/>
              <w:spacing w:before="0" w:beforeAutospacing="0" w:after="0" w:afterAutospacing="0"/>
              <w:ind w:left="57" w:right="57"/>
              <w:jc w:val="center"/>
            </w:pPr>
            <w:r w:rsidRPr="000A47F1">
              <w:rPr>
                <w:lang w:eastAsia="en-US"/>
              </w:rPr>
              <w:br w:type="page"/>
            </w:r>
            <w:r w:rsidR="001C1C28" w:rsidRPr="000A47F1">
              <w:rPr>
                <w:b/>
              </w:rPr>
              <w:t>VI. Sabiedrības līdzdalība un komunikācijas aktivitātes</w:t>
            </w:r>
          </w:p>
        </w:tc>
      </w:tr>
      <w:tr w:rsidR="00F94FEF" w:rsidRPr="000A47F1" w14:paraId="2478152D" w14:textId="77777777" w:rsidTr="00F94FEF">
        <w:trPr>
          <w:trHeight w:val="553"/>
        </w:trPr>
        <w:tc>
          <w:tcPr>
            <w:tcW w:w="426" w:type="dxa"/>
          </w:tcPr>
          <w:p w14:paraId="45EE7E44" w14:textId="77777777" w:rsidR="00F94FEF" w:rsidRPr="000A47F1" w:rsidRDefault="00F94FEF" w:rsidP="00747D25">
            <w:pPr>
              <w:ind w:left="57" w:right="57"/>
              <w:jc w:val="center"/>
              <w:rPr>
                <w:bCs/>
              </w:rPr>
            </w:pPr>
            <w:r w:rsidRPr="000A47F1">
              <w:rPr>
                <w:bCs/>
              </w:rPr>
              <w:t>1.</w:t>
            </w:r>
          </w:p>
        </w:tc>
        <w:tc>
          <w:tcPr>
            <w:tcW w:w="2608" w:type="dxa"/>
          </w:tcPr>
          <w:p w14:paraId="696EE0E0" w14:textId="77777777" w:rsidR="00F94FEF" w:rsidRPr="000A47F1" w:rsidRDefault="00F94FEF" w:rsidP="00747D25">
            <w:pPr>
              <w:tabs>
                <w:tab w:val="left" w:pos="170"/>
              </w:tabs>
              <w:ind w:left="57" w:right="57"/>
            </w:pPr>
            <w:r w:rsidRPr="000A47F1">
              <w:t>Plānotās sabiedrības līdzdalības un komunikācijas aktivitātes saistībā ar projektu</w:t>
            </w:r>
          </w:p>
        </w:tc>
        <w:tc>
          <w:tcPr>
            <w:tcW w:w="6322" w:type="dxa"/>
          </w:tcPr>
          <w:p w14:paraId="5DB5D9F9" w14:textId="418C3048" w:rsidR="00F94FEF" w:rsidRPr="000A47F1" w:rsidRDefault="00F94FEF" w:rsidP="00E67E61">
            <w:pPr>
              <w:ind w:left="57" w:right="113"/>
              <w:jc w:val="both"/>
            </w:pPr>
            <w:r w:rsidRPr="000A47F1">
              <w:t>5.6.2.  SAM</w:t>
            </w:r>
            <w:r w:rsidR="00E67E61" w:rsidRPr="000A47F1">
              <w:t xml:space="preserve"> projektu iesniedzēji un</w:t>
            </w:r>
            <w:r w:rsidRPr="000A47F1">
              <w:t xml:space="preserve"> finansējuma saņēmēji ir pašvaldības, savukārt sabiedrību noteikumu projekts skar tikai pastarpināti, līdz ar to noteikumu projekts netika publicēts VARAM tīmekļvietnē. </w:t>
            </w:r>
          </w:p>
        </w:tc>
      </w:tr>
      <w:tr w:rsidR="00F94FEF" w:rsidRPr="000A47F1" w14:paraId="6CF8F77D" w14:textId="77777777" w:rsidTr="00F94FEF">
        <w:trPr>
          <w:trHeight w:val="339"/>
        </w:trPr>
        <w:tc>
          <w:tcPr>
            <w:tcW w:w="426" w:type="dxa"/>
          </w:tcPr>
          <w:p w14:paraId="2DD13285" w14:textId="77777777" w:rsidR="00F94FEF" w:rsidRPr="000A47F1" w:rsidRDefault="00F94FEF" w:rsidP="00747D25">
            <w:pPr>
              <w:ind w:left="57" w:right="57"/>
              <w:jc w:val="center"/>
              <w:rPr>
                <w:bCs/>
              </w:rPr>
            </w:pPr>
            <w:r w:rsidRPr="000A47F1">
              <w:rPr>
                <w:bCs/>
              </w:rPr>
              <w:lastRenderedPageBreak/>
              <w:t>2.</w:t>
            </w:r>
          </w:p>
        </w:tc>
        <w:tc>
          <w:tcPr>
            <w:tcW w:w="2608" w:type="dxa"/>
          </w:tcPr>
          <w:p w14:paraId="4D8BE39E" w14:textId="77777777" w:rsidR="00F94FEF" w:rsidRPr="000A47F1" w:rsidRDefault="00F94FEF" w:rsidP="00747D25">
            <w:pPr>
              <w:ind w:left="57" w:right="57"/>
            </w:pPr>
            <w:r w:rsidRPr="000A47F1">
              <w:t>Sabiedrības līdzdalība projekta izstrādē</w:t>
            </w:r>
          </w:p>
        </w:tc>
        <w:tc>
          <w:tcPr>
            <w:tcW w:w="6322" w:type="dxa"/>
          </w:tcPr>
          <w:p w14:paraId="0AA8134C" w14:textId="77777777" w:rsidR="00F94FEF" w:rsidRPr="000A47F1" w:rsidRDefault="00F94FEF" w:rsidP="00747D25">
            <w:pPr>
              <w:shd w:val="clear" w:color="auto" w:fill="FFFFFF"/>
              <w:ind w:left="57" w:right="113"/>
              <w:jc w:val="both"/>
              <w:rPr>
                <w:kern w:val="24"/>
              </w:rPr>
            </w:pPr>
            <w:r w:rsidRPr="000A47F1">
              <w:t>Noteikumu projekts šo jomu neskar.</w:t>
            </w:r>
          </w:p>
        </w:tc>
      </w:tr>
      <w:tr w:rsidR="00F94FEF" w:rsidRPr="000A47F1" w14:paraId="38D963F8" w14:textId="77777777" w:rsidTr="00F94FEF">
        <w:trPr>
          <w:trHeight w:val="476"/>
        </w:trPr>
        <w:tc>
          <w:tcPr>
            <w:tcW w:w="426" w:type="dxa"/>
          </w:tcPr>
          <w:p w14:paraId="263B6F0C" w14:textId="77777777" w:rsidR="00F94FEF" w:rsidRPr="000A47F1" w:rsidRDefault="00F94FEF" w:rsidP="00747D25">
            <w:pPr>
              <w:ind w:left="57" w:right="57"/>
              <w:jc w:val="center"/>
              <w:rPr>
                <w:bCs/>
              </w:rPr>
            </w:pPr>
            <w:r w:rsidRPr="000A47F1">
              <w:rPr>
                <w:bCs/>
              </w:rPr>
              <w:t>3.</w:t>
            </w:r>
          </w:p>
        </w:tc>
        <w:tc>
          <w:tcPr>
            <w:tcW w:w="2608" w:type="dxa"/>
          </w:tcPr>
          <w:p w14:paraId="511FE3EB" w14:textId="77777777" w:rsidR="00F94FEF" w:rsidRPr="000A47F1" w:rsidRDefault="00F94FEF" w:rsidP="00747D25">
            <w:pPr>
              <w:ind w:left="57" w:right="57"/>
            </w:pPr>
            <w:r w:rsidRPr="000A47F1">
              <w:t>Sabiedrības līdzdalības rezultāti</w:t>
            </w:r>
          </w:p>
        </w:tc>
        <w:tc>
          <w:tcPr>
            <w:tcW w:w="6322" w:type="dxa"/>
          </w:tcPr>
          <w:p w14:paraId="4F778FED" w14:textId="77777777" w:rsidR="00F94FEF" w:rsidRPr="000A47F1" w:rsidRDefault="00F94FEF" w:rsidP="00747D25">
            <w:pPr>
              <w:shd w:val="clear" w:color="auto" w:fill="FFFFFF"/>
              <w:ind w:right="142"/>
              <w:jc w:val="both"/>
            </w:pPr>
            <w:r w:rsidRPr="000A47F1">
              <w:t xml:space="preserve"> Noteikumu projekts šo jomu neskar.</w:t>
            </w:r>
          </w:p>
        </w:tc>
      </w:tr>
      <w:tr w:rsidR="00F94FEF" w:rsidRPr="000A47F1" w14:paraId="22E5A25D" w14:textId="77777777" w:rsidTr="00F94FEF">
        <w:trPr>
          <w:trHeight w:val="357"/>
        </w:trPr>
        <w:tc>
          <w:tcPr>
            <w:tcW w:w="426" w:type="dxa"/>
          </w:tcPr>
          <w:p w14:paraId="06DCF804" w14:textId="77777777" w:rsidR="00F94FEF" w:rsidRPr="000A47F1" w:rsidRDefault="00F94FEF" w:rsidP="00747D25">
            <w:pPr>
              <w:ind w:left="57" w:right="57"/>
              <w:jc w:val="center"/>
              <w:rPr>
                <w:bCs/>
              </w:rPr>
            </w:pPr>
            <w:r w:rsidRPr="000A47F1">
              <w:rPr>
                <w:bCs/>
              </w:rPr>
              <w:t>4.</w:t>
            </w:r>
          </w:p>
        </w:tc>
        <w:tc>
          <w:tcPr>
            <w:tcW w:w="2608" w:type="dxa"/>
          </w:tcPr>
          <w:p w14:paraId="6623598A" w14:textId="77777777" w:rsidR="00F94FEF" w:rsidRPr="000A47F1" w:rsidRDefault="00F94FEF" w:rsidP="00747D25">
            <w:pPr>
              <w:ind w:left="57" w:right="57"/>
            </w:pPr>
            <w:r w:rsidRPr="000A47F1">
              <w:t>Cita informācija</w:t>
            </w:r>
          </w:p>
        </w:tc>
        <w:tc>
          <w:tcPr>
            <w:tcW w:w="6322" w:type="dxa"/>
          </w:tcPr>
          <w:p w14:paraId="752EE3CA" w14:textId="77777777" w:rsidR="00F94FEF" w:rsidRPr="000A47F1" w:rsidRDefault="00F94FEF" w:rsidP="00747D25">
            <w:pPr>
              <w:ind w:left="57" w:right="113"/>
              <w:jc w:val="both"/>
            </w:pPr>
            <w:r w:rsidRPr="000A47F1">
              <w:t>Nav.</w:t>
            </w:r>
          </w:p>
        </w:tc>
      </w:tr>
    </w:tbl>
    <w:p w14:paraId="00688956" w14:textId="77777777" w:rsidR="00F94FEF" w:rsidRPr="000A47F1" w:rsidRDefault="00F94FEF">
      <w:pPr>
        <w:spacing w:after="200" w:line="276" w:lineRule="auto"/>
        <w:rPr>
          <w:sz w:val="8"/>
          <w:szCs w:val="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613"/>
        <w:gridCol w:w="6317"/>
      </w:tblGrid>
      <w:tr w:rsidR="00C71FAA" w:rsidRPr="000A47F1" w14:paraId="692815B9" w14:textId="77777777" w:rsidTr="005E7287">
        <w:trPr>
          <w:trHeight w:val="421"/>
        </w:trPr>
        <w:tc>
          <w:tcPr>
            <w:tcW w:w="9356" w:type="dxa"/>
            <w:gridSpan w:val="3"/>
            <w:vAlign w:val="center"/>
          </w:tcPr>
          <w:p w14:paraId="01710DB9" w14:textId="77777777" w:rsidR="00750FB6" w:rsidRPr="000A47F1" w:rsidRDefault="007559D4" w:rsidP="00BF3F2B">
            <w:pPr>
              <w:pStyle w:val="naisnod"/>
              <w:spacing w:before="0" w:beforeAutospacing="0" w:after="0" w:afterAutospacing="0"/>
              <w:ind w:left="57" w:right="57"/>
              <w:jc w:val="center"/>
            </w:pPr>
            <w:r w:rsidRPr="000A47F1">
              <w:rPr>
                <w:b/>
              </w:rPr>
              <w:t>VII. Tiesību akta projekta izpildes nodrošināšana un tās ietekme uz institūcijām</w:t>
            </w:r>
          </w:p>
        </w:tc>
      </w:tr>
      <w:tr w:rsidR="00C71FAA" w:rsidRPr="000A47F1" w14:paraId="7AE6933E" w14:textId="77777777" w:rsidTr="005E7287">
        <w:trPr>
          <w:trHeight w:val="553"/>
        </w:trPr>
        <w:tc>
          <w:tcPr>
            <w:tcW w:w="426" w:type="dxa"/>
          </w:tcPr>
          <w:p w14:paraId="41D637CB" w14:textId="77777777" w:rsidR="0021740C" w:rsidRPr="000A47F1" w:rsidRDefault="007559D4" w:rsidP="0021740C">
            <w:pPr>
              <w:ind w:left="57" w:right="57"/>
              <w:jc w:val="both"/>
              <w:rPr>
                <w:bCs/>
              </w:rPr>
            </w:pPr>
            <w:r w:rsidRPr="000A47F1">
              <w:rPr>
                <w:bCs/>
              </w:rPr>
              <w:t>1.</w:t>
            </w:r>
          </w:p>
        </w:tc>
        <w:tc>
          <w:tcPr>
            <w:tcW w:w="2613" w:type="dxa"/>
          </w:tcPr>
          <w:p w14:paraId="52274707" w14:textId="77777777" w:rsidR="0021740C" w:rsidRPr="000A47F1" w:rsidRDefault="007559D4" w:rsidP="0021740C">
            <w:pPr>
              <w:ind w:left="57" w:right="57"/>
            </w:pPr>
            <w:r w:rsidRPr="000A47F1">
              <w:t>Projekta izpildē iesaistītās institūcijas</w:t>
            </w:r>
          </w:p>
        </w:tc>
        <w:tc>
          <w:tcPr>
            <w:tcW w:w="6317" w:type="dxa"/>
          </w:tcPr>
          <w:p w14:paraId="47DCC10B" w14:textId="3B96CE25" w:rsidR="00ED5537" w:rsidRPr="000A47F1" w:rsidRDefault="00065B6E" w:rsidP="00065B6E">
            <w:pPr>
              <w:shd w:val="clear" w:color="auto" w:fill="FFFFFF"/>
              <w:ind w:left="57" w:right="113"/>
              <w:jc w:val="both"/>
            </w:pPr>
            <w:r w:rsidRPr="000A47F1">
              <w:t xml:space="preserve">VARAM, 5.6.2. SAM </w:t>
            </w:r>
            <w:r w:rsidR="00E67E61" w:rsidRPr="000A47F1">
              <w:t xml:space="preserve">projektu iesniedzēji, </w:t>
            </w:r>
            <w:r w:rsidRPr="000A47F1">
              <w:t xml:space="preserve">finansējuma saņēmēji un CFLA. </w:t>
            </w:r>
          </w:p>
        </w:tc>
      </w:tr>
      <w:tr w:rsidR="00C71FAA" w:rsidRPr="000A47F1" w14:paraId="3139E565" w14:textId="77777777" w:rsidTr="005E7287">
        <w:trPr>
          <w:trHeight w:val="339"/>
        </w:trPr>
        <w:tc>
          <w:tcPr>
            <w:tcW w:w="426" w:type="dxa"/>
          </w:tcPr>
          <w:p w14:paraId="7AAB9FF7" w14:textId="77777777" w:rsidR="0021740C" w:rsidRPr="000A47F1" w:rsidRDefault="007559D4" w:rsidP="0021740C">
            <w:pPr>
              <w:ind w:left="57" w:right="57"/>
              <w:jc w:val="both"/>
              <w:rPr>
                <w:bCs/>
              </w:rPr>
            </w:pPr>
            <w:r w:rsidRPr="000A47F1">
              <w:rPr>
                <w:bCs/>
              </w:rPr>
              <w:t>2.</w:t>
            </w:r>
          </w:p>
        </w:tc>
        <w:tc>
          <w:tcPr>
            <w:tcW w:w="2613" w:type="dxa"/>
          </w:tcPr>
          <w:p w14:paraId="2524BD0B" w14:textId="77777777" w:rsidR="0021740C" w:rsidRPr="000A47F1" w:rsidRDefault="007559D4" w:rsidP="0021740C">
            <w:pPr>
              <w:ind w:left="57" w:right="57"/>
            </w:pPr>
            <w:r w:rsidRPr="000A47F1">
              <w:t xml:space="preserve">Projekta izpildes ietekme uz pārvaldes funkcijām un institucionālo struktūru. </w:t>
            </w:r>
          </w:p>
          <w:p w14:paraId="0D7521A5" w14:textId="77777777" w:rsidR="0021740C" w:rsidRPr="000A47F1" w:rsidRDefault="007559D4" w:rsidP="0021740C">
            <w:pPr>
              <w:ind w:left="57" w:right="57"/>
            </w:pPr>
            <w:r w:rsidRPr="000A47F1">
              <w:t>Jaunu institūciju izveide, esošu institūciju likvidācija vai reorganizācija, to ietekme uz institūcijas cilvēkresursiem</w:t>
            </w:r>
          </w:p>
        </w:tc>
        <w:tc>
          <w:tcPr>
            <w:tcW w:w="6317" w:type="dxa"/>
          </w:tcPr>
          <w:p w14:paraId="3E9225B4" w14:textId="7EF5FF2B" w:rsidR="0021740C" w:rsidRPr="000A47F1" w:rsidRDefault="00ED5537">
            <w:pPr>
              <w:shd w:val="clear" w:color="auto" w:fill="FFFFFF"/>
              <w:ind w:left="57" w:right="113"/>
              <w:jc w:val="both"/>
              <w:rPr>
                <w:bCs/>
                <w:iCs/>
              </w:rPr>
            </w:pPr>
            <w:r w:rsidRPr="000A47F1">
              <w:rPr>
                <w:spacing w:val="-4"/>
              </w:rPr>
              <w:t>N</w:t>
            </w:r>
            <w:r w:rsidR="007559D4" w:rsidRPr="000A47F1">
              <w:rPr>
                <w:spacing w:val="-4"/>
              </w:rPr>
              <w:t xml:space="preserve">oteikumu </w:t>
            </w:r>
            <w:r w:rsidR="007559D4" w:rsidRPr="000A47F1">
              <w:rPr>
                <w:bCs/>
                <w:iCs/>
              </w:rPr>
              <w:t>projekta īstenošana tiks veikta esošo cilvēk</w:t>
            </w:r>
            <w:r w:rsidRPr="000A47F1">
              <w:rPr>
                <w:bCs/>
                <w:iCs/>
              </w:rPr>
              <w:t>resursu ietvaros. Saistībā ar n</w:t>
            </w:r>
            <w:r w:rsidR="007559D4" w:rsidRPr="000A47F1">
              <w:rPr>
                <w:bCs/>
                <w:iCs/>
              </w:rPr>
              <w:t>oteikumu projekta izpildi nebūs nepieciešams veidot jaunas institūcijas vai likvidēt, reorganizēt esošās.</w:t>
            </w:r>
          </w:p>
          <w:p w14:paraId="619877D4" w14:textId="37E1537E" w:rsidR="00811460" w:rsidRPr="000A47F1" w:rsidRDefault="00811460">
            <w:pPr>
              <w:shd w:val="clear" w:color="auto" w:fill="FFFFFF"/>
              <w:ind w:left="57" w:right="113"/>
              <w:jc w:val="both"/>
              <w:rPr>
                <w:kern w:val="24"/>
              </w:rPr>
            </w:pPr>
          </w:p>
        </w:tc>
      </w:tr>
      <w:tr w:rsidR="00C71FAA" w:rsidRPr="000A47F1" w14:paraId="44D7D651" w14:textId="77777777" w:rsidTr="005E7287">
        <w:trPr>
          <w:trHeight w:val="351"/>
        </w:trPr>
        <w:tc>
          <w:tcPr>
            <w:tcW w:w="426" w:type="dxa"/>
          </w:tcPr>
          <w:p w14:paraId="15222451" w14:textId="77777777" w:rsidR="0021740C" w:rsidRPr="000A47F1" w:rsidRDefault="007559D4" w:rsidP="0021740C">
            <w:pPr>
              <w:ind w:left="57" w:right="57"/>
              <w:jc w:val="both"/>
              <w:rPr>
                <w:bCs/>
              </w:rPr>
            </w:pPr>
            <w:r w:rsidRPr="000A47F1">
              <w:rPr>
                <w:bCs/>
              </w:rPr>
              <w:t>3.</w:t>
            </w:r>
          </w:p>
        </w:tc>
        <w:tc>
          <w:tcPr>
            <w:tcW w:w="2613" w:type="dxa"/>
          </w:tcPr>
          <w:p w14:paraId="59D7FBFC" w14:textId="77777777" w:rsidR="0021740C" w:rsidRPr="000A47F1" w:rsidRDefault="007559D4" w:rsidP="0021740C">
            <w:pPr>
              <w:ind w:left="57" w:right="57"/>
            </w:pPr>
            <w:r w:rsidRPr="000A47F1">
              <w:t>Cita informācija</w:t>
            </w:r>
          </w:p>
        </w:tc>
        <w:tc>
          <w:tcPr>
            <w:tcW w:w="6317" w:type="dxa"/>
          </w:tcPr>
          <w:p w14:paraId="4DEAD41A" w14:textId="77777777" w:rsidR="0021740C" w:rsidRPr="000A47F1" w:rsidRDefault="007559D4" w:rsidP="0021740C">
            <w:pPr>
              <w:shd w:val="clear" w:color="auto" w:fill="FFFFFF"/>
              <w:ind w:left="57" w:right="113"/>
              <w:jc w:val="both"/>
            </w:pPr>
            <w:r w:rsidRPr="000A47F1">
              <w:t>Nav</w:t>
            </w:r>
          </w:p>
        </w:tc>
      </w:tr>
    </w:tbl>
    <w:p w14:paraId="2745B858" w14:textId="77777777" w:rsidR="00750FB6" w:rsidRPr="000A47F1" w:rsidRDefault="00750FB6" w:rsidP="00750FB6">
      <w:pPr>
        <w:jc w:val="both"/>
      </w:pPr>
    </w:p>
    <w:p w14:paraId="38BDD66B" w14:textId="77777777" w:rsidR="00424A71" w:rsidRPr="000A47F1" w:rsidRDefault="00424A71" w:rsidP="0008236A">
      <w:pPr>
        <w:pStyle w:val="Header"/>
        <w:rPr>
          <w:szCs w:val="20"/>
          <w:lang w:val="lv-LV"/>
        </w:rPr>
      </w:pPr>
    </w:p>
    <w:p w14:paraId="65D7A787" w14:textId="14B98EA1" w:rsidR="0008236A" w:rsidRPr="000A47F1" w:rsidRDefault="007559D4" w:rsidP="004D56C3">
      <w:pPr>
        <w:pStyle w:val="Header"/>
        <w:tabs>
          <w:tab w:val="left" w:pos="8040"/>
          <w:tab w:val="left" w:pos="8160"/>
        </w:tabs>
        <w:rPr>
          <w:szCs w:val="20"/>
          <w:lang w:val="lv-LV"/>
        </w:rPr>
      </w:pPr>
      <w:r w:rsidRPr="000A47F1">
        <w:rPr>
          <w:szCs w:val="20"/>
          <w:lang w:val="lv-LV"/>
        </w:rPr>
        <w:t xml:space="preserve">Vides aizsardzības un reģionālās attīstības </w:t>
      </w:r>
      <w:r w:rsidR="0042012D" w:rsidRPr="000A47F1">
        <w:rPr>
          <w:szCs w:val="20"/>
          <w:lang w:val="lv-LV"/>
        </w:rPr>
        <w:t>ministr</w:t>
      </w:r>
      <w:r w:rsidR="004D56C3" w:rsidRPr="000A47F1">
        <w:rPr>
          <w:szCs w:val="20"/>
          <w:lang w:val="lv-LV"/>
        </w:rPr>
        <w:t xml:space="preserve">a </w:t>
      </w:r>
      <w:proofErr w:type="spellStart"/>
      <w:r w:rsidR="004D56C3" w:rsidRPr="000A47F1">
        <w:rPr>
          <w:szCs w:val="20"/>
          <w:lang w:val="lv-LV"/>
        </w:rPr>
        <w:t>p.i</w:t>
      </w:r>
      <w:proofErr w:type="spellEnd"/>
      <w:r w:rsidR="004D56C3" w:rsidRPr="000A47F1">
        <w:rPr>
          <w:szCs w:val="20"/>
          <w:lang w:val="lv-LV"/>
        </w:rPr>
        <w:t>. – aizsardzības ministrs</w:t>
      </w:r>
      <w:r w:rsidR="004D56C3" w:rsidRPr="000A47F1">
        <w:rPr>
          <w:szCs w:val="20"/>
          <w:lang w:val="lv-LV"/>
        </w:rPr>
        <w:tab/>
      </w:r>
      <w:proofErr w:type="spellStart"/>
      <w:r w:rsidR="004D56C3" w:rsidRPr="000A47F1">
        <w:rPr>
          <w:szCs w:val="20"/>
          <w:lang w:val="lv-LV"/>
        </w:rPr>
        <w:t>A.Pabriks</w:t>
      </w:r>
      <w:proofErr w:type="spellEnd"/>
      <w:r w:rsidR="004D56C3" w:rsidRPr="000A47F1">
        <w:rPr>
          <w:szCs w:val="20"/>
          <w:lang w:val="lv-LV"/>
        </w:rPr>
        <w:tab/>
      </w:r>
    </w:p>
    <w:p w14:paraId="1D42CC06" w14:textId="77777777" w:rsidR="0008236A" w:rsidRPr="000A47F1" w:rsidRDefault="0008236A" w:rsidP="0008236A">
      <w:pPr>
        <w:pStyle w:val="Header"/>
        <w:rPr>
          <w:szCs w:val="20"/>
          <w:lang w:val="lv-LV"/>
        </w:rPr>
      </w:pPr>
    </w:p>
    <w:p w14:paraId="01A5A6A7" w14:textId="77777777" w:rsidR="005E5F62" w:rsidRPr="000A47F1" w:rsidRDefault="005E5F62" w:rsidP="0008236A">
      <w:pPr>
        <w:pStyle w:val="Header"/>
        <w:rPr>
          <w:szCs w:val="20"/>
          <w:lang w:val="lv-LV"/>
        </w:rPr>
      </w:pPr>
    </w:p>
    <w:p w14:paraId="2699BDD3" w14:textId="77777777" w:rsidR="00377F78" w:rsidRPr="000A47F1" w:rsidRDefault="00377F78" w:rsidP="00BF3F2B">
      <w:pPr>
        <w:pStyle w:val="Header"/>
        <w:rPr>
          <w:szCs w:val="20"/>
          <w:lang w:val="lv-LV"/>
        </w:rPr>
      </w:pPr>
    </w:p>
    <w:p w14:paraId="7314119B" w14:textId="77777777" w:rsidR="0042012D" w:rsidRPr="000A47F1" w:rsidRDefault="007559D4" w:rsidP="0042012D">
      <w:pPr>
        <w:rPr>
          <w:color w:val="000000"/>
          <w:sz w:val="20"/>
          <w:szCs w:val="20"/>
        </w:rPr>
      </w:pPr>
      <w:r w:rsidRPr="000A47F1">
        <w:rPr>
          <w:color w:val="000000"/>
          <w:sz w:val="20"/>
          <w:szCs w:val="20"/>
        </w:rPr>
        <w:t>L. Dorbe, 66016767</w:t>
      </w:r>
    </w:p>
    <w:p w14:paraId="63F44BDC" w14:textId="273A9991" w:rsidR="00C61A23" w:rsidRDefault="009C6FA4" w:rsidP="00753980">
      <w:pPr>
        <w:rPr>
          <w:sz w:val="28"/>
          <w:szCs w:val="28"/>
        </w:rPr>
      </w:pPr>
      <w:hyperlink r:id="rId18" w:history="1">
        <w:r w:rsidR="007559D4" w:rsidRPr="000A47F1">
          <w:rPr>
            <w:rStyle w:val="Hyperlink"/>
            <w:sz w:val="20"/>
            <w:szCs w:val="20"/>
          </w:rPr>
          <w:t>liene.dorbe@varam.gov.lv</w:t>
        </w:r>
      </w:hyperlink>
    </w:p>
    <w:p w14:paraId="1F615863" w14:textId="77777777" w:rsidR="00C61A23" w:rsidRPr="00C61A23" w:rsidRDefault="00C61A23" w:rsidP="00C61A23">
      <w:pPr>
        <w:rPr>
          <w:sz w:val="28"/>
          <w:szCs w:val="28"/>
        </w:rPr>
      </w:pPr>
    </w:p>
    <w:p w14:paraId="35F9E548" w14:textId="77777777" w:rsidR="00C61A23" w:rsidRPr="00C61A23" w:rsidRDefault="00C61A23" w:rsidP="00C61A23">
      <w:pPr>
        <w:rPr>
          <w:sz w:val="28"/>
          <w:szCs w:val="28"/>
        </w:rPr>
      </w:pPr>
    </w:p>
    <w:p w14:paraId="2D752101" w14:textId="77777777" w:rsidR="00C61A23" w:rsidRPr="00C61A23" w:rsidRDefault="00C61A23" w:rsidP="00C61A23">
      <w:pPr>
        <w:rPr>
          <w:sz w:val="28"/>
          <w:szCs w:val="28"/>
        </w:rPr>
      </w:pPr>
    </w:p>
    <w:p w14:paraId="21647C24" w14:textId="77777777" w:rsidR="00C61A23" w:rsidRPr="00C61A23" w:rsidRDefault="00C61A23" w:rsidP="00C61A23">
      <w:pPr>
        <w:rPr>
          <w:sz w:val="28"/>
          <w:szCs w:val="28"/>
        </w:rPr>
      </w:pPr>
    </w:p>
    <w:p w14:paraId="0D8DA38E" w14:textId="77777777" w:rsidR="00C61A23" w:rsidRPr="00C61A23" w:rsidRDefault="00C61A23" w:rsidP="00C61A23">
      <w:pPr>
        <w:rPr>
          <w:sz w:val="28"/>
          <w:szCs w:val="28"/>
        </w:rPr>
      </w:pPr>
    </w:p>
    <w:p w14:paraId="52C9C1D8" w14:textId="77777777" w:rsidR="00C61A23" w:rsidRPr="00C61A23" w:rsidRDefault="00C61A23" w:rsidP="00C61A23">
      <w:pPr>
        <w:rPr>
          <w:sz w:val="28"/>
          <w:szCs w:val="28"/>
        </w:rPr>
      </w:pPr>
    </w:p>
    <w:p w14:paraId="242D144D" w14:textId="77777777" w:rsidR="00C61A23" w:rsidRPr="00C61A23" w:rsidRDefault="00C61A23" w:rsidP="00C61A23">
      <w:pPr>
        <w:rPr>
          <w:sz w:val="28"/>
          <w:szCs w:val="28"/>
        </w:rPr>
      </w:pPr>
    </w:p>
    <w:p w14:paraId="2BF13319" w14:textId="77777777" w:rsidR="00C61A23" w:rsidRPr="00C61A23" w:rsidRDefault="00C61A23" w:rsidP="00C61A23">
      <w:pPr>
        <w:rPr>
          <w:sz w:val="28"/>
          <w:szCs w:val="28"/>
        </w:rPr>
      </w:pPr>
    </w:p>
    <w:p w14:paraId="06E67160" w14:textId="77777777" w:rsidR="00C61A23" w:rsidRPr="00C61A23" w:rsidRDefault="00C61A23" w:rsidP="00C61A23">
      <w:pPr>
        <w:rPr>
          <w:sz w:val="28"/>
          <w:szCs w:val="28"/>
        </w:rPr>
      </w:pPr>
    </w:p>
    <w:p w14:paraId="0E221F54" w14:textId="5198284C" w:rsidR="00750FB6" w:rsidRPr="00C61A23" w:rsidRDefault="00C61A23" w:rsidP="00C61A23">
      <w:pPr>
        <w:tabs>
          <w:tab w:val="left" w:pos="3834"/>
        </w:tabs>
        <w:rPr>
          <w:sz w:val="28"/>
          <w:szCs w:val="28"/>
        </w:rPr>
      </w:pPr>
      <w:r>
        <w:rPr>
          <w:sz w:val="28"/>
          <w:szCs w:val="28"/>
        </w:rPr>
        <w:tab/>
      </w:r>
    </w:p>
    <w:sectPr w:rsidR="00750FB6" w:rsidRPr="00C61A23" w:rsidSect="0092486D">
      <w:headerReference w:type="default" r:id="rId19"/>
      <w:footerReference w:type="even" r:id="rId20"/>
      <w:footerReference w:type="default" r:id="rId21"/>
      <w:headerReference w:type="first" r:id="rId22"/>
      <w:footerReference w:type="first" r:id="rId23"/>
      <w:pgSz w:w="11906" w:h="16838"/>
      <w:pgMar w:top="993" w:right="1134" w:bottom="1134" w:left="1701" w:header="709"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C8F8EA" w14:textId="77777777" w:rsidR="009C6FA4" w:rsidRDefault="009C6FA4">
      <w:r>
        <w:separator/>
      </w:r>
    </w:p>
  </w:endnote>
  <w:endnote w:type="continuationSeparator" w:id="0">
    <w:p w14:paraId="6D47561F" w14:textId="77777777" w:rsidR="009C6FA4" w:rsidRDefault="009C6FA4">
      <w:r>
        <w:continuationSeparator/>
      </w:r>
    </w:p>
  </w:endnote>
  <w:endnote w:type="continuationNotice" w:id="1">
    <w:p w14:paraId="2E4FE551" w14:textId="77777777" w:rsidR="009C6FA4" w:rsidRDefault="009C6F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Bold">
    <w:panose1 w:val="02020803070505020304"/>
    <w:charset w:val="00"/>
    <w:family w:val="roman"/>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29A4F" w14:textId="77777777" w:rsidR="00747D25" w:rsidRPr="00186C21" w:rsidRDefault="00747D25" w:rsidP="00750FB6">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E4D5E" w14:textId="563CA48F" w:rsidR="00747D25" w:rsidRPr="00330635" w:rsidRDefault="00747D25" w:rsidP="0019642C">
    <w:pPr>
      <w:pStyle w:val="BodyText2"/>
      <w:spacing w:line="240" w:lineRule="auto"/>
      <w:jc w:val="both"/>
      <w:rPr>
        <w:b w:val="0"/>
        <w:bCs w:val="0"/>
        <w:sz w:val="20"/>
        <w:szCs w:val="20"/>
        <w:lang w:val="lv-LV"/>
      </w:rPr>
    </w:pPr>
    <w:r w:rsidRPr="002F3C33">
      <w:rPr>
        <w:b w:val="0"/>
        <w:sz w:val="20"/>
        <w:szCs w:val="20"/>
        <w:lang w:val="lv-LV" w:eastAsia="lv-LV"/>
      </w:rPr>
      <w:t>VARAMAnot_</w:t>
    </w:r>
    <w:r w:rsidR="00192F74">
      <w:rPr>
        <w:b w:val="0"/>
        <w:sz w:val="20"/>
        <w:szCs w:val="20"/>
        <w:lang w:val="lv-LV" w:eastAsia="lv-LV"/>
      </w:rPr>
      <w:t>0112</w:t>
    </w:r>
    <w:r>
      <w:rPr>
        <w:b w:val="0"/>
        <w:sz w:val="20"/>
        <w:szCs w:val="20"/>
        <w:lang w:val="lv-LV" w:eastAsia="lv-LV"/>
      </w:rPr>
      <w:t>20</w:t>
    </w:r>
    <w:r w:rsidRPr="002F3C33">
      <w:rPr>
        <w:b w:val="0"/>
        <w:sz w:val="20"/>
        <w:szCs w:val="20"/>
        <w:lang w:val="lv-LV" w:eastAsia="lv-LV"/>
      </w:rPr>
      <w:t>_groz645</w:t>
    </w:r>
  </w:p>
  <w:p w14:paraId="60992F45" w14:textId="35564693" w:rsidR="00747D25" w:rsidRPr="0019642C" w:rsidRDefault="00747D25" w:rsidP="001964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402408" w14:textId="7C01EDDB" w:rsidR="00747D25" w:rsidRPr="00330635" w:rsidRDefault="00747D25" w:rsidP="00750FB6">
    <w:pPr>
      <w:pStyle w:val="BodyText2"/>
      <w:spacing w:line="240" w:lineRule="auto"/>
      <w:jc w:val="both"/>
      <w:rPr>
        <w:b w:val="0"/>
        <w:bCs w:val="0"/>
        <w:sz w:val="20"/>
        <w:szCs w:val="20"/>
        <w:lang w:val="lv-LV"/>
      </w:rPr>
    </w:pPr>
    <w:r w:rsidRPr="002F3C33">
      <w:rPr>
        <w:b w:val="0"/>
        <w:sz w:val="20"/>
        <w:szCs w:val="20"/>
        <w:lang w:val="lv-LV" w:eastAsia="lv-LV"/>
      </w:rPr>
      <w:t>VARAMAnot_</w:t>
    </w:r>
    <w:r w:rsidR="00192F74">
      <w:rPr>
        <w:b w:val="0"/>
        <w:sz w:val="20"/>
        <w:szCs w:val="20"/>
        <w:lang w:val="lv-LV" w:eastAsia="lv-LV"/>
      </w:rPr>
      <w:t>0112</w:t>
    </w:r>
    <w:r w:rsidR="00D57AE8">
      <w:rPr>
        <w:b w:val="0"/>
        <w:sz w:val="20"/>
        <w:szCs w:val="20"/>
        <w:lang w:val="lv-LV" w:eastAsia="lv-LV"/>
      </w:rPr>
      <w:t>20</w:t>
    </w:r>
    <w:r w:rsidRPr="002F3C33">
      <w:rPr>
        <w:b w:val="0"/>
        <w:sz w:val="20"/>
        <w:szCs w:val="20"/>
        <w:lang w:val="lv-LV" w:eastAsia="lv-LV"/>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6F837" w14:textId="77777777" w:rsidR="009C6FA4" w:rsidRDefault="009C6FA4">
      <w:r>
        <w:separator/>
      </w:r>
    </w:p>
  </w:footnote>
  <w:footnote w:type="continuationSeparator" w:id="0">
    <w:p w14:paraId="79956A68" w14:textId="77777777" w:rsidR="009C6FA4" w:rsidRDefault="009C6FA4">
      <w:r>
        <w:continuationSeparator/>
      </w:r>
    </w:p>
  </w:footnote>
  <w:footnote w:type="continuationNotice" w:id="1">
    <w:p w14:paraId="0F30B414" w14:textId="77777777" w:rsidR="009C6FA4" w:rsidRDefault="009C6F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B3E65" w14:textId="76435FC6" w:rsidR="00747D25" w:rsidRDefault="00747D25" w:rsidP="00750FB6">
    <w:pPr>
      <w:pStyle w:val="Header"/>
      <w:framePr w:wrap="auto" w:vAnchor="text" w:hAnchor="margin" w:xAlign="center" w:y="1"/>
      <w:rPr>
        <w:rStyle w:val="PageNumber"/>
      </w:rPr>
    </w:pPr>
    <w:r w:rsidRPr="00EF0BD3">
      <w:rPr>
        <w:rStyle w:val="PageNumber"/>
      </w:rPr>
      <w:fldChar w:fldCharType="begin"/>
    </w:r>
    <w:r w:rsidRPr="00EF0BD3">
      <w:rPr>
        <w:rStyle w:val="PageNumber"/>
      </w:rPr>
      <w:instrText xml:space="preserve">PAGE  </w:instrText>
    </w:r>
    <w:r w:rsidRPr="00EF0BD3">
      <w:rPr>
        <w:rStyle w:val="PageNumber"/>
      </w:rPr>
      <w:fldChar w:fldCharType="separate"/>
    </w:r>
    <w:r w:rsidR="00192F74">
      <w:rPr>
        <w:rStyle w:val="PageNumber"/>
        <w:noProof/>
      </w:rPr>
      <w:t>7</w:t>
    </w:r>
    <w:r w:rsidRPr="00EF0BD3">
      <w:rPr>
        <w:rStyle w:val="PageNumber"/>
      </w:rPr>
      <w:fldChar w:fldCharType="end"/>
    </w:r>
  </w:p>
  <w:p w14:paraId="37A59962" w14:textId="77777777" w:rsidR="00747D25" w:rsidRDefault="00747D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C36A2" w14:textId="77777777" w:rsidR="00747D25" w:rsidRDefault="00747D25" w:rsidP="00750FB6">
    <w:pPr>
      <w:pStyle w:val="Header"/>
      <w:tabs>
        <w:tab w:val="clear" w:pos="4153"/>
        <w:tab w:val="clear" w:pos="8306"/>
        <w:tab w:val="center" w:pos="4535"/>
        <w:tab w:val="right" w:pos="9071"/>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01433DF"/>
    <w:multiLevelType w:val="hybridMultilevel"/>
    <w:tmpl w:val="3FE6B164"/>
    <w:lvl w:ilvl="0" w:tplc="FDC4E1B4">
      <w:start w:val="1"/>
      <w:numFmt w:val="bullet"/>
      <w:lvlText w:val=""/>
      <w:lvlJc w:val="left"/>
      <w:pPr>
        <w:ind w:left="720" w:hanging="360"/>
      </w:pPr>
      <w:rPr>
        <w:rFonts w:ascii="Symbol" w:hAnsi="Symbol" w:hint="default"/>
      </w:rPr>
    </w:lvl>
    <w:lvl w:ilvl="1" w:tplc="51769EF0" w:tentative="1">
      <w:start w:val="1"/>
      <w:numFmt w:val="bullet"/>
      <w:lvlText w:val="o"/>
      <w:lvlJc w:val="left"/>
      <w:pPr>
        <w:ind w:left="1440" w:hanging="360"/>
      </w:pPr>
      <w:rPr>
        <w:rFonts w:ascii="Courier New" w:hAnsi="Courier New" w:cs="Courier New" w:hint="default"/>
      </w:rPr>
    </w:lvl>
    <w:lvl w:ilvl="2" w:tplc="E910C198" w:tentative="1">
      <w:start w:val="1"/>
      <w:numFmt w:val="bullet"/>
      <w:lvlText w:val=""/>
      <w:lvlJc w:val="left"/>
      <w:pPr>
        <w:ind w:left="2160" w:hanging="360"/>
      </w:pPr>
      <w:rPr>
        <w:rFonts w:ascii="Wingdings" w:hAnsi="Wingdings" w:hint="default"/>
      </w:rPr>
    </w:lvl>
    <w:lvl w:ilvl="3" w:tplc="71D0BD60" w:tentative="1">
      <w:start w:val="1"/>
      <w:numFmt w:val="bullet"/>
      <w:lvlText w:val=""/>
      <w:lvlJc w:val="left"/>
      <w:pPr>
        <w:ind w:left="2880" w:hanging="360"/>
      </w:pPr>
      <w:rPr>
        <w:rFonts w:ascii="Symbol" w:hAnsi="Symbol" w:hint="default"/>
      </w:rPr>
    </w:lvl>
    <w:lvl w:ilvl="4" w:tplc="9BC6A916" w:tentative="1">
      <w:start w:val="1"/>
      <w:numFmt w:val="bullet"/>
      <w:lvlText w:val="o"/>
      <w:lvlJc w:val="left"/>
      <w:pPr>
        <w:ind w:left="3600" w:hanging="360"/>
      </w:pPr>
      <w:rPr>
        <w:rFonts w:ascii="Courier New" w:hAnsi="Courier New" w:cs="Courier New" w:hint="default"/>
      </w:rPr>
    </w:lvl>
    <w:lvl w:ilvl="5" w:tplc="2626FEBA" w:tentative="1">
      <w:start w:val="1"/>
      <w:numFmt w:val="bullet"/>
      <w:lvlText w:val=""/>
      <w:lvlJc w:val="left"/>
      <w:pPr>
        <w:ind w:left="4320" w:hanging="360"/>
      </w:pPr>
      <w:rPr>
        <w:rFonts w:ascii="Wingdings" w:hAnsi="Wingdings" w:hint="default"/>
      </w:rPr>
    </w:lvl>
    <w:lvl w:ilvl="6" w:tplc="DF58DDF0" w:tentative="1">
      <w:start w:val="1"/>
      <w:numFmt w:val="bullet"/>
      <w:lvlText w:val=""/>
      <w:lvlJc w:val="left"/>
      <w:pPr>
        <w:ind w:left="5040" w:hanging="360"/>
      </w:pPr>
      <w:rPr>
        <w:rFonts w:ascii="Symbol" w:hAnsi="Symbol" w:hint="default"/>
      </w:rPr>
    </w:lvl>
    <w:lvl w:ilvl="7" w:tplc="C788388C" w:tentative="1">
      <w:start w:val="1"/>
      <w:numFmt w:val="bullet"/>
      <w:lvlText w:val="o"/>
      <w:lvlJc w:val="left"/>
      <w:pPr>
        <w:ind w:left="5760" w:hanging="360"/>
      </w:pPr>
      <w:rPr>
        <w:rFonts w:ascii="Courier New" w:hAnsi="Courier New" w:cs="Courier New" w:hint="default"/>
      </w:rPr>
    </w:lvl>
    <w:lvl w:ilvl="8" w:tplc="D9B0B0E0" w:tentative="1">
      <w:start w:val="1"/>
      <w:numFmt w:val="bullet"/>
      <w:lvlText w:val=""/>
      <w:lvlJc w:val="left"/>
      <w:pPr>
        <w:ind w:left="6480" w:hanging="360"/>
      </w:pPr>
      <w:rPr>
        <w:rFonts w:ascii="Wingdings" w:hAnsi="Wingdings" w:hint="default"/>
      </w:rPr>
    </w:lvl>
  </w:abstractNum>
  <w:abstractNum w:abstractNumId="1" w15:restartNumberingAfterBreak="1">
    <w:nsid w:val="06F34F2B"/>
    <w:multiLevelType w:val="hybridMultilevel"/>
    <w:tmpl w:val="BFF6FBFE"/>
    <w:lvl w:ilvl="0" w:tplc="21924FAA">
      <w:start w:val="1"/>
      <w:numFmt w:val="decimal"/>
      <w:lvlText w:val="%1)"/>
      <w:lvlJc w:val="left"/>
      <w:pPr>
        <w:ind w:left="780" w:hanging="360"/>
      </w:pPr>
      <w:rPr>
        <w:rFonts w:hint="default"/>
      </w:rPr>
    </w:lvl>
    <w:lvl w:ilvl="1" w:tplc="AD504238" w:tentative="1">
      <w:start w:val="1"/>
      <w:numFmt w:val="bullet"/>
      <w:lvlText w:val="o"/>
      <w:lvlJc w:val="left"/>
      <w:pPr>
        <w:ind w:left="1500" w:hanging="360"/>
      </w:pPr>
      <w:rPr>
        <w:rFonts w:ascii="Courier New" w:hAnsi="Courier New" w:cs="Courier New" w:hint="default"/>
      </w:rPr>
    </w:lvl>
    <w:lvl w:ilvl="2" w:tplc="DA5CB808" w:tentative="1">
      <w:start w:val="1"/>
      <w:numFmt w:val="bullet"/>
      <w:lvlText w:val=""/>
      <w:lvlJc w:val="left"/>
      <w:pPr>
        <w:ind w:left="2220" w:hanging="360"/>
      </w:pPr>
      <w:rPr>
        <w:rFonts w:ascii="Wingdings" w:hAnsi="Wingdings" w:hint="default"/>
      </w:rPr>
    </w:lvl>
    <w:lvl w:ilvl="3" w:tplc="BFF6BD22" w:tentative="1">
      <w:start w:val="1"/>
      <w:numFmt w:val="bullet"/>
      <w:lvlText w:val=""/>
      <w:lvlJc w:val="left"/>
      <w:pPr>
        <w:ind w:left="2940" w:hanging="360"/>
      </w:pPr>
      <w:rPr>
        <w:rFonts w:ascii="Symbol" w:hAnsi="Symbol" w:hint="default"/>
      </w:rPr>
    </w:lvl>
    <w:lvl w:ilvl="4" w:tplc="4BC8CAD2" w:tentative="1">
      <w:start w:val="1"/>
      <w:numFmt w:val="bullet"/>
      <w:lvlText w:val="o"/>
      <w:lvlJc w:val="left"/>
      <w:pPr>
        <w:ind w:left="3660" w:hanging="360"/>
      </w:pPr>
      <w:rPr>
        <w:rFonts w:ascii="Courier New" w:hAnsi="Courier New" w:cs="Courier New" w:hint="default"/>
      </w:rPr>
    </w:lvl>
    <w:lvl w:ilvl="5" w:tplc="79F07366" w:tentative="1">
      <w:start w:val="1"/>
      <w:numFmt w:val="bullet"/>
      <w:lvlText w:val=""/>
      <w:lvlJc w:val="left"/>
      <w:pPr>
        <w:ind w:left="4380" w:hanging="360"/>
      </w:pPr>
      <w:rPr>
        <w:rFonts w:ascii="Wingdings" w:hAnsi="Wingdings" w:hint="default"/>
      </w:rPr>
    </w:lvl>
    <w:lvl w:ilvl="6" w:tplc="7388A622" w:tentative="1">
      <w:start w:val="1"/>
      <w:numFmt w:val="bullet"/>
      <w:lvlText w:val=""/>
      <w:lvlJc w:val="left"/>
      <w:pPr>
        <w:ind w:left="5100" w:hanging="360"/>
      </w:pPr>
      <w:rPr>
        <w:rFonts w:ascii="Symbol" w:hAnsi="Symbol" w:hint="default"/>
      </w:rPr>
    </w:lvl>
    <w:lvl w:ilvl="7" w:tplc="F64414C6" w:tentative="1">
      <w:start w:val="1"/>
      <w:numFmt w:val="bullet"/>
      <w:lvlText w:val="o"/>
      <w:lvlJc w:val="left"/>
      <w:pPr>
        <w:ind w:left="5820" w:hanging="360"/>
      </w:pPr>
      <w:rPr>
        <w:rFonts w:ascii="Courier New" w:hAnsi="Courier New" w:cs="Courier New" w:hint="default"/>
      </w:rPr>
    </w:lvl>
    <w:lvl w:ilvl="8" w:tplc="3AE024C4" w:tentative="1">
      <w:start w:val="1"/>
      <w:numFmt w:val="bullet"/>
      <w:lvlText w:val=""/>
      <w:lvlJc w:val="left"/>
      <w:pPr>
        <w:ind w:left="6540" w:hanging="360"/>
      </w:pPr>
      <w:rPr>
        <w:rFonts w:ascii="Wingdings" w:hAnsi="Wingdings" w:hint="default"/>
      </w:rPr>
    </w:lvl>
  </w:abstractNum>
  <w:abstractNum w:abstractNumId="2" w15:restartNumberingAfterBreak="1">
    <w:nsid w:val="0C3C0C7C"/>
    <w:multiLevelType w:val="hybridMultilevel"/>
    <w:tmpl w:val="A156E668"/>
    <w:lvl w:ilvl="0" w:tplc="DA4AC9C8">
      <w:start w:val="1"/>
      <w:numFmt w:val="decimal"/>
      <w:lvlText w:val="%1)"/>
      <w:lvlJc w:val="left"/>
      <w:pPr>
        <w:ind w:left="720" w:hanging="360"/>
      </w:pPr>
    </w:lvl>
    <w:lvl w:ilvl="1" w:tplc="8938B6A6">
      <w:numFmt w:val="bullet"/>
      <w:lvlText w:val="-"/>
      <w:lvlJc w:val="left"/>
      <w:pPr>
        <w:ind w:left="1800" w:hanging="720"/>
      </w:pPr>
      <w:rPr>
        <w:rFonts w:ascii="Times New Roman" w:eastAsia="Calibri" w:hAnsi="Times New Roman" w:cs="Times New Roman" w:hint="default"/>
      </w:rPr>
    </w:lvl>
    <w:lvl w:ilvl="2" w:tplc="803AB1C6" w:tentative="1">
      <w:start w:val="1"/>
      <w:numFmt w:val="lowerRoman"/>
      <w:lvlText w:val="%3."/>
      <w:lvlJc w:val="right"/>
      <w:pPr>
        <w:ind w:left="2160" w:hanging="180"/>
      </w:pPr>
    </w:lvl>
    <w:lvl w:ilvl="3" w:tplc="74149ED0" w:tentative="1">
      <w:start w:val="1"/>
      <w:numFmt w:val="decimal"/>
      <w:lvlText w:val="%4."/>
      <w:lvlJc w:val="left"/>
      <w:pPr>
        <w:ind w:left="2880" w:hanging="360"/>
      </w:pPr>
    </w:lvl>
    <w:lvl w:ilvl="4" w:tplc="24089312" w:tentative="1">
      <w:start w:val="1"/>
      <w:numFmt w:val="lowerLetter"/>
      <w:lvlText w:val="%5."/>
      <w:lvlJc w:val="left"/>
      <w:pPr>
        <w:ind w:left="3600" w:hanging="360"/>
      </w:pPr>
    </w:lvl>
    <w:lvl w:ilvl="5" w:tplc="9684B06C" w:tentative="1">
      <w:start w:val="1"/>
      <w:numFmt w:val="lowerRoman"/>
      <w:lvlText w:val="%6."/>
      <w:lvlJc w:val="right"/>
      <w:pPr>
        <w:ind w:left="4320" w:hanging="180"/>
      </w:pPr>
    </w:lvl>
    <w:lvl w:ilvl="6" w:tplc="B1CC5372" w:tentative="1">
      <w:start w:val="1"/>
      <w:numFmt w:val="decimal"/>
      <w:lvlText w:val="%7."/>
      <w:lvlJc w:val="left"/>
      <w:pPr>
        <w:ind w:left="5040" w:hanging="360"/>
      </w:pPr>
    </w:lvl>
    <w:lvl w:ilvl="7" w:tplc="B08452E4" w:tentative="1">
      <w:start w:val="1"/>
      <w:numFmt w:val="lowerLetter"/>
      <w:lvlText w:val="%8."/>
      <w:lvlJc w:val="left"/>
      <w:pPr>
        <w:ind w:left="5760" w:hanging="360"/>
      </w:pPr>
    </w:lvl>
    <w:lvl w:ilvl="8" w:tplc="457293BC" w:tentative="1">
      <w:start w:val="1"/>
      <w:numFmt w:val="lowerRoman"/>
      <w:lvlText w:val="%9."/>
      <w:lvlJc w:val="right"/>
      <w:pPr>
        <w:ind w:left="6480" w:hanging="180"/>
      </w:pPr>
    </w:lvl>
  </w:abstractNum>
  <w:abstractNum w:abstractNumId="3" w15:restartNumberingAfterBreak="1">
    <w:nsid w:val="0C776D51"/>
    <w:multiLevelType w:val="hybridMultilevel"/>
    <w:tmpl w:val="23108382"/>
    <w:lvl w:ilvl="0" w:tplc="8C8EBB5A">
      <w:start w:val="1"/>
      <w:numFmt w:val="decimal"/>
      <w:lvlText w:val="%1)"/>
      <w:lvlJc w:val="left"/>
      <w:pPr>
        <w:ind w:left="394" w:hanging="360"/>
      </w:pPr>
    </w:lvl>
    <w:lvl w:ilvl="1" w:tplc="141252FA">
      <w:start w:val="1"/>
      <w:numFmt w:val="decimal"/>
      <w:lvlText w:val="%2)"/>
      <w:lvlJc w:val="left"/>
      <w:pPr>
        <w:ind w:left="1114" w:hanging="360"/>
      </w:pPr>
    </w:lvl>
    <w:lvl w:ilvl="2" w:tplc="B96C0FEE" w:tentative="1">
      <w:start w:val="1"/>
      <w:numFmt w:val="lowerRoman"/>
      <w:lvlText w:val="%3."/>
      <w:lvlJc w:val="right"/>
      <w:pPr>
        <w:ind w:left="1834" w:hanging="180"/>
      </w:pPr>
    </w:lvl>
    <w:lvl w:ilvl="3" w:tplc="6A386CBC" w:tentative="1">
      <w:start w:val="1"/>
      <w:numFmt w:val="decimal"/>
      <w:lvlText w:val="%4."/>
      <w:lvlJc w:val="left"/>
      <w:pPr>
        <w:ind w:left="2554" w:hanging="360"/>
      </w:pPr>
    </w:lvl>
    <w:lvl w:ilvl="4" w:tplc="F82A2C3C" w:tentative="1">
      <w:start w:val="1"/>
      <w:numFmt w:val="lowerLetter"/>
      <w:lvlText w:val="%5."/>
      <w:lvlJc w:val="left"/>
      <w:pPr>
        <w:ind w:left="3274" w:hanging="360"/>
      </w:pPr>
    </w:lvl>
    <w:lvl w:ilvl="5" w:tplc="8604D11C" w:tentative="1">
      <w:start w:val="1"/>
      <w:numFmt w:val="lowerRoman"/>
      <w:lvlText w:val="%6."/>
      <w:lvlJc w:val="right"/>
      <w:pPr>
        <w:ind w:left="3994" w:hanging="180"/>
      </w:pPr>
    </w:lvl>
    <w:lvl w:ilvl="6" w:tplc="A8A65F06" w:tentative="1">
      <w:start w:val="1"/>
      <w:numFmt w:val="decimal"/>
      <w:lvlText w:val="%7."/>
      <w:lvlJc w:val="left"/>
      <w:pPr>
        <w:ind w:left="4714" w:hanging="360"/>
      </w:pPr>
    </w:lvl>
    <w:lvl w:ilvl="7" w:tplc="F2AE9F0E" w:tentative="1">
      <w:start w:val="1"/>
      <w:numFmt w:val="lowerLetter"/>
      <w:lvlText w:val="%8."/>
      <w:lvlJc w:val="left"/>
      <w:pPr>
        <w:ind w:left="5434" w:hanging="360"/>
      </w:pPr>
    </w:lvl>
    <w:lvl w:ilvl="8" w:tplc="470E34DC" w:tentative="1">
      <w:start w:val="1"/>
      <w:numFmt w:val="lowerRoman"/>
      <w:lvlText w:val="%9."/>
      <w:lvlJc w:val="right"/>
      <w:pPr>
        <w:ind w:left="6154" w:hanging="180"/>
      </w:pPr>
    </w:lvl>
  </w:abstractNum>
  <w:abstractNum w:abstractNumId="4" w15:restartNumberingAfterBreak="1">
    <w:nsid w:val="12591D88"/>
    <w:multiLevelType w:val="hybridMultilevel"/>
    <w:tmpl w:val="D68EAB7A"/>
    <w:lvl w:ilvl="0" w:tplc="FACE4BA4">
      <w:start w:val="1"/>
      <w:numFmt w:val="decimal"/>
      <w:lvlText w:val="%1."/>
      <w:lvlJc w:val="left"/>
      <w:pPr>
        <w:ind w:left="720" w:hanging="360"/>
      </w:pPr>
      <w:rPr>
        <w:rFonts w:hint="default"/>
      </w:rPr>
    </w:lvl>
    <w:lvl w:ilvl="1" w:tplc="686EE3E4" w:tentative="1">
      <w:start w:val="1"/>
      <w:numFmt w:val="lowerLetter"/>
      <w:lvlText w:val="%2."/>
      <w:lvlJc w:val="left"/>
      <w:pPr>
        <w:ind w:left="1440" w:hanging="360"/>
      </w:pPr>
    </w:lvl>
    <w:lvl w:ilvl="2" w:tplc="1F8CB0E2" w:tentative="1">
      <w:start w:val="1"/>
      <w:numFmt w:val="lowerRoman"/>
      <w:lvlText w:val="%3."/>
      <w:lvlJc w:val="right"/>
      <w:pPr>
        <w:ind w:left="2160" w:hanging="180"/>
      </w:pPr>
    </w:lvl>
    <w:lvl w:ilvl="3" w:tplc="6770A89E" w:tentative="1">
      <w:start w:val="1"/>
      <w:numFmt w:val="decimal"/>
      <w:lvlText w:val="%4."/>
      <w:lvlJc w:val="left"/>
      <w:pPr>
        <w:ind w:left="2880" w:hanging="360"/>
      </w:pPr>
    </w:lvl>
    <w:lvl w:ilvl="4" w:tplc="36D4E310" w:tentative="1">
      <w:start w:val="1"/>
      <w:numFmt w:val="lowerLetter"/>
      <w:lvlText w:val="%5."/>
      <w:lvlJc w:val="left"/>
      <w:pPr>
        <w:ind w:left="3600" w:hanging="360"/>
      </w:pPr>
    </w:lvl>
    <w:lvl w:ilvl="5" w:tplc="61BE15DA" w:tentative="1">
      <w:start w:val="1"/>
      <w:numFmt w:val="lowerRoman"/>
      <w:lvlText w:val="%6."/>
      <w:lvlJc w:val="right"/>
      <w:pPr>
        <w:ind w:left="4320" w:hanging="180"/>
      </w:pPr>
    </w:lvl>
    <w:lvl w:ilvl="6" w:tplc="95F8B178" w:tentative="1">
      <w:start w:val="1"/>
      <w:numFmt w:val="decimal"/>
      <w:lvlText w:val="%7."/>
      <w:lvlJc w:val="left"/>
      <w:pPr>
        <w:ind w:left="5040" w:hanging="360"/>
      </w:pPr>
    </w:lvl>
    <w:lvl w:ilvl="7" w:tplc="D2BE6FCE" w:tentative="1">
      <w:start w:val="1"/>
      <w:numFmt w:val="lowerLetter"/>
      <w:lvlText w:val="%8."/>
      <w:lvlJc w:val="left"/>
      <w:pPr>
        <w:ind w:left="5760" w:hanging="360"/>
      </w:pPr>
    </w:lvl>
    <w:lvl w:ilvl="8" w:tplc="B948B6C2" w:tentative="1">
      <w:start w:val="1"/>
      <w:numFmt w:val="lowerRoman"/>
      <w:lvlText w:val="%9."/>
      <w:lvlJc w:val="right"/>
      <w:pPr>
        <w:ind w:left="6480" w:hanging="180"/>
      </w:pPr>
    </w:lvl>
  </w:abstractNum>
  <w:abstractNum w:abstractNumId="5" w15:restartNumberingAfterBreak="1">
    <w:nsid w:val="13694497"/>
    <w:multiLevelType w:val="hybridMultilevel"/>
    <w:tmpl w:val="3D3A3AE8"/>
    <w:lvl w:ilvl="0" w:tplc="6A966DAC">
      <w:start w:val="1"/>
      <w:numFmt w:val="decimal"/>
      <w:lvlText w:val="%1."/>
      <w:lvlJc w:val="left"/>
      <w:pPr>
        <w:ind w:left="720" w:hanging="360"/>
      </w:pPr>
    </w:lvl>
    <w:lvl w:ilvl="1" w:tplc="F19455E2" w:tentative="1">
      <w:start w:val="1"/>
      <w:numFmt w:val="lowerLetter"/>
      <w:lvlText w:val="%2."/>
      <w:lvlJc w:val="left"/>
      <w:pPr>
        <w:ind w:left="1440" w:hanging="360"/>
      </w:pPr>
    </w:lvl>
    <w:lvl w:ilvl="2" w:tplc="4B2A11AC" w:tentative="1">
      <w:start w:val="1"/>
      <w:numFmt w:val="lowerRoman"/>
      <w:lvlText w:val="%3."/>
      <w:lvlJc w:val="right"/>
      <w:pPr>
        <w:ind w:left="2160" w:hanging="180"/>
      </w:pPr>
    </w:lvl>
    <w:lvl w:ilvl="3" w:tplc="5C00EA8C" w:tentative="1">
      <w:start w:val="1"/>
      <w:numFmt w:val="decimal"/>
      <w:lvlText w:val="%4."/>
      <w:lvlJc w:val="left"/>
      <w:pPr>
        <w:ind w:left="2880" w:hanging="360"/>
      </w:pPr>
    </w:lvl>
    <w:lvl w:ilvl="4" w:tplc="C39600CA" w:tentative="1">
      <w:start w:val="1"/>
      <w:numFmt w:val="lowerLetter"/>
      <w:lvlText w:val="%5."/>
      <w:lvlJc w:val="left"/>
      <w:pPr>
        <w:ind w:left="3600" w:hanging="360"/>
      </w:pPr>
    </w:lvl>
    <w:lvl w:ilvl="5" w:tplc="B5E6B642" w:tentative="1">
      <w:start w:val="1"/>
      <w:numFmt w:val="lowerRoman"/>
      <w:lvlText w:val="%6."/>
      <w:lvlJc w:val="right"/>
      <w:pPr>
        <w:ind w:left="4320" w:hanging="180"/>
      </w:pPr>
    </w:lvl>
    <w:lvl w:ilvl="6" w:tplc="A06A9E3E" w:tentative="1">
      <w:start w:val="1"/>
      <w:numFmt w:val="decimal"/>
      <w:lvlText w:val="%7."/>
      <w:lvlJc w:val="left"/>
      <w:pPr>
        <w:ind w:left="5040" w:hanging="360"/>
      </w:pPr>
    </w:lvl>
    <w:lvl w:ilvl="7" w:tplc="35F4495A" w:tentative="1">
      <w:start w:val="1"/>
      <w:numFmt w:val="lowerLetter"/>
      <w:lvlText w:val="%8."/>
      <w:lvlJc w:val="left"/>
      <w:pPr>
        <w:ind w:left="5760" w:hanging="360"/>
      </w:pPr>
    </w:lvl>
    <w:lvl w:ilvl="8" w:tplc="5E929022" w:tentative="1">
      <w:start w:val="1"/>
      <w:numFmt w:val="lowerRoman"/>
      <w:lvlText w:val="%9."/>
      <w:lvlJc w:val="right"/>
      <w:pPr>
        <w:ind w:left="6480" w:hanging="180"/>
      </w:pPr>
    </w:lvl>
  </w:abstractNum>
  <w:abstractNum w:abstractNumId="6" w15:restartNumberingAfterBreak="0">
    <w:nsid w:val="1535552B"/>
    <w:multiLevelType w:val="hybridMultilevel"/>
    <w:tmpl w:val="1FAEAC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A75F58"/>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D66153E"/>
    <w:multiLevelType w:val="hybridMultilevel"/>
    <w:tmpl w:val="5D1C97D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A903E0"/>
    <w:multiLevelType w:val="hybridMultilevel"/>
    <w:tmpl w:val="F5820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631576"/>
    <w:multiLevelType w:val="hybridMultilevel"/>
    <w:tmpl w:val="F1944D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48576F"/>
    <w:multiLevelType w:val="hybridMultilevel"/>
    <w:tmpl w:val="E9B43D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1">
    <w:nsid w:val="2CE03CB0"/>
    <w:multiLevelType w:val="hybridMultilevel"/>
    <w:tmpl w:val="C5B68AFE"/>
    <w:lvl w:ilvl="0" w:tplc="5EBE0F5E">
      <w:start w:val="1"/>
      <w:numFmt w:val="decimal"/>
      <w:lvlText w:val="%1."/>
      <w:lvlJc w:val="left"/>
      <w:pPr>
        <w:ind w:left="720" w:hanging="360"/>
      </w:pPr>
      <w:rPr>
        <w:rFonts w:hint="default"/>
      </w:rPr>
    </w:lvl>
    <w:lvl w:ilvl="1" w:tplc="E36C295C" w:tentative="1">
      <w:start w:val="1"/>
      <w:numFmt w:val="lowerLetter"/>
      <w:lvlText w:val="%2."/>
      <w:lvlJc w:val="left"/>
      <w:pPr>
        <w:ind w:left="1440" w:hanging="360"/>
      </w:pPr>
    </w:lvl>
    <w:lvl w:ilvl="2" w:tplc="1626F218" w:tentative="1">
      <w:start w:val="1"/>
      <w:numFmt w:val="lowerRoman"/>
      <w:lvlText w:val="%3."/>
      <w:lvlJc w:val="right"/>
      <w:pPr>
        <w:ind w:left="2160" w:hanging="180"/>
      </w:pPr>
    </w:lvl>
    <w:lvl w:ilvl="3" w:tplc="30FCA1CC" w:tentative="1">
      <w:start w:val="1"/>
      <w:numFmt w:val="decimal"/>
      <w:lvlText w:val="%4."/>
      <w:lvlJc w:val="left"/>
      <w:pPr>
        <w:ind w:left="2880" w:hanging="360"/>
      </w:pPr>
    </w:lvl>
    <w:lvl w:ilvl="4" w:tplc="AA2ABF22" w:tentative="1">
      <w:start w:val="1"/>
      <w:numFmt w:val="lowerLetter"/>
      <w:lvlText w:val="%5."/>
      <w:lvlJc w:val="left"/>
      <w:pPr>
        <w:ind w:left="3600" w:hanging="360"/>
      </w:pPr>
    </w:lvl>
    <w:lvl w:ilvl="5" w:tplc="0910034C" w:tentative="1">
      <w:start w:val="1"/>
      <w:numFmt w:val="lowerRoman"/>
      <w:lvlText w:val="%6."/>
      <w:lvlJc w:val="right"/>
      <w:pPr>
        <w:ind w:left="4320" w:hanging="180"/>
      </w:pPr>
    </w:lvl>
    <w:lvl w:ilvl="6" w:tplc="F5F8D062" w:tentative="1">
      <w:start w:val="1"/>
      <w:numFmt w:val="decimal"/>
      <w:lvlText w:val="%7."/>
      <w:lvlJc w:val="left"/>
      <w:pPr>
        <w:ind w:left="5040" w:hanging="360"/>
      </w:pPr>
    </w:lvl>
    <w:lvl w:ilvl="7" w:tplc="D884DB50" w:tentative="1">
      <w:start w:val="1"/>
      <w:numFmt w:val="lowerLetter"/>
      <w:lvlText w:val="%8."/>
      <w:lvlJc w:val="left"/>
      <w:pPr>
        <w:ind w:left="5760" w:hanging="360"/>
      </w:pPr>
    </w:lvl>
    <w:lvl w:ilvl="8" w:tplc="311C64A2" w:tentative="1">
      <w:start w:val="1"/>
      <w:numFmt w:val="lowerRoman"/>
      <w:lvlText w:val="%9."/>
      <w:lvlJc w:val="right"/>
      <w:pPr>
        <w:ind w:left="6480" w:hanging="180"/>
      </w:pPr>
    </w:lvl>
  </w:abstractNum>
  <w:abstractNum w:abstractNumId="13" w15:restartNumberingAfterBreak="1">
    <w:nsid w:val="2E6930F1"/>
    <w:multiLevelType w:val="hybridMultilevel"/>
    <w:tmpl w:val="0D68B2E8"/>
    <w:lvl w:ilvl="0" w:tplc="168EA91E">
      <w:start w:val="1"/>
      <w:numFmt w:val="decimal"/>
      <w:lvlText w:val="%1."/>
      <w:lvlJc w:val="left"/>
      <w:pPr>
        <w:ind w:left="785" w:hanging="360"/>
      </w:pPr>
      <w:rPr>
        <w:rFonts w:hint="default"/>
      </w:rPr>
    </w:lvl>
    <w:lvl w:ilvl="1" w:tplc="55B206BA">
      <w:start w:val="1"/>
      <w:numFmt w:val="lowerLetter"/>
      <w:lvlText w:val="%2."/>
      <w:lvlJc w:val="left"/>
      <w:pPr>
        <w:ind w:left="1363" w:hanging="360"/>
      </w:pPr>
    </w:lvl>
    <w:lvl w:ilvl="2" w:tplc="4BB0F5C4" w:tentative="1">
      <w:start w:val="1"/>
      <w:numFmt w:val="lowerRoman"/>
      <w:lvlText w:val="%3."/>
      <w:lvlJc w:val="right"/>
      <w:pPr>
        <w:ind w:left="2083" w:hanging="180"/>
      </w:pPr>
    </w:lvl>
    <w:lvl w:ilvl="3" w:tplc="ED046C56" w:tentative="1">
      <w:start w:val="1"/>
      <w:numFmt w:val="decimal"/>
      <w:lvlText w:val="%4."/>
      <w:lvlJc w:val="left"/>
      <w:pPr>
        <w:ind w:left="2803" w:hanging="360"/>
      </w:pPr>
    </w:lvl>
    <w:lvl w:ilvl="4" w:tplc="8B247EFA" w:tentative="1">
      <w:start w:val="1"/>
      <w:numFmt w:val="lowerLetter"/>
      <w:lvlText w:val="%5."/>
      <w:lvlJc w:val="left"/>
      <w:pPr>
        <w:ind w:left="3523" w:hanging="360"/>
      </w:pPr>
    </w:lvl>
    <w:lvl w:ilvl="5" w:tplc="A4246F8C" w:tentative="1">
      <w:start w:val="1"/>
      <w:numFmt w:val="lowerRoman"/>
      <w:lvlText w:val="%6."/>
      <w:lvlJc w:val="right"/>
      <w:pPr>
        <w:ind w:left="4243" w:hanging="180"/>
      </w:pPr>
    </w:lvl>
    <w:lvl w:ilvl="6" w:tplc="B5643882" w:tentative="1">
      <w:start w:val="1"/>
      <w:numFmt w:val="decimal"/>
      <w:lvlText w:val="%7."/>
      <w:lvlJc w:val="left"/>
      <w:pPr>
        <w:ind w:left="4963" w:hanging="360"/>
      </w:pPr>
    </w:lvl>
    <w:lvl w:ilvl="7" w:tplc="3DFEACF0" w:tentative="1">
      <w:start w:val="1"/>
      <w:numFmt w:val="lowerLetter"/>
      <w:lvlText w:val="%8."/>
      <w:lvlJc w:val="left"/>
      <w:pPr>
        <w:ind w:left="5683" w:hanging="360"/>
      </w:pPr>
    </w:lvl>
    <w:lvl w:ilvl="8" w:tplc="F956F572" w:tentative="1">
      <w:start w:val="1"/>
      <w:numFmt w:val="lowerRoman"/>
      <w:lvlText w:val="%9."/>
      <w:lvlJc w:val="right"/>
      <w:pPr>
        <w:ind w:left="6403" w:hanging="180"/>
      </w:pPr>
    </w:lvl>
  </w:abstractNum>
  <w:abstractNum w:abstractNumId="14" w15:restartNumberingAfterBreak="0">
    <w:nsid w:val="2EE65843"/>
    <w:multiLevelType w:val="hybridMultilevel"/>
    <w:tmpl w:val="025007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1">
    <w:nsid w:val="2F4056A2"/>
    <w:multiLevelType w:val="hybridMultilevel"/>
    <w:tmpl w:val="F738B738"/>
    <w:lvl w:ilvl="0" w:tplc="8B0E1E8A">
      <w:start w:val="1"/>
      <w:numFmt w:val="decimal"/>
      <w:lvlText w:val="%1."/>
      <w:lvlJc w:val="left"/>
      <w:pPr>
        <w:ind w:left="497" w:hanging="360"/>
      </w:pPr>
      <w:rPr>
        <w:rFonts w:hint="default"/>
      </w:rPr>
    </w:lvl>
    <w:lvl w:ilvl="1" w:tplc="1C0654A4" w:tentative="1">
      <w:start w:val="1"/>
      <w:numFmt w:val="lowerLetter"/>
      <w:lvlText w:val="%2."/>
      <w:lvlJc w:val="left"/>
      <w:pPr>
        <w:ind w:left="1217" w:hanging="360"/>
      </w:pPr>
    </w:lvl>
    <w:lvl w:ilvl="2" w:tplc="885A55BE" w:tentative="1">
      <w:start w:val="1"/>
      <w:numFmt w:val="lowerRoman"/>
      <w:lvlText w:val="%3."/>
      <w:lvlJc w:val="right"/>
      <w:pPr>
        <w:ind w:left="1937" w:hanging="180"/>
      </w:pPr>
    </w:lvl>
    <w:lvl w:ilvl="3" w:tplc="C4D258BE" w:tentative="1">
      <w:start w:val="1"/>
      <w:numFmt w:val="decimal"/>
      <w:lvlText w:val="%4."/>
      <w:lvlJc w:val="left"/>
      <w:pPr>
        <w:ind w:left="2657" w:hanging="360"/>
      </w:pPr>
    </w:lvl>
    <w:lvl w:ilvl="4" w:tplc="CC7C40DA" w:tentative="1">
      <w:start w:val="1"/>
      <w:numFmt w:val="lowerLetter"/>
      <w:lvlText w:val="%5."/>
      <w:lvlJc w:val="left"/>
      <w:pPr>
        <w:ind w:left="3377" w:hanging="360"/>
      </w:pPr>
    </w:lvl>
    <w:lvl w:ilvl="5" w:tplc="6ECC1D6E" w:tentative="1">
      <w:start w:val="1"/>
      <w:numFmt w:val="lowerRoman"/>
      <w:lvlText w:val="%6."/>
      <w:lvlJc w:val="right"/>
      <w:pPr>
        <w:ind w:left="4097" w:hanging="180"/>
      </w:pPr>
    </w:lvl>
    <w:lvl w:ilvl="6" w:tplc="5F4A38DA" w:tentative="1">
      <w:start w:val="1"/>
      <w:numFmt w:val="decimal"/>
      <w:lvlText w:val="%7."/>
      <w:lvlJc w:val="left"/>
      <w:pPr>
        <w:ind w:left="4817" w:hanging="360"/>
      </w:pPr>
    </w:lvl>
    <w:lvl w:ilvl="7" w:tplc="5AF00B16" w:tentative="1">
      <w:start w:val="1"/>
      <w:numFmt w:val="lowerLetter"/>
      <w:lvlText w:val="%8."/>
      <w:lvlJc w:val="left"/>
      <w:pPr>
        <w:ind w:left="5537" w:hanging="360"/>
      </w:pPr>
    </w:lvl>
    <w:lvl w:ilvl="8" w:tplc="C394BC50" w:tentative="1">
      <w:start w:val="1"/>
      <w:numFmt w:val="lowerRoman"/>
      <w:lvlText w:val="%9."/>
      <w:lvlJc w:val="right"/>
      <w:pPr>
        <w:ind w:left="6257" w:hanging="180"/>
      </w:pPr>
    </w:lvl>
  </w:abstractNum>
  <w:abstractNum w:abstractNumId="16" w15:restartNumberingAfterBreak="1">
    <w:nsid w:val="2FA6424A"/>
    <w:multiLevelType w:val="hybridMultilevel"/>
    <w:tmpl w:val="3B9C39EA"/>
    <w:lvl w:ilvl="0" w:tplc="7B68A9D2">
      <w:start w:val="1"/>
      <w:numFmt w:val="decimal"/>
      <w:lvlText w:val="%1."/>
      <w:lvlJc w:val="left"/>
      <w:pPr>
        <w:ind w:left="417" w:hanging="360"/>
      </w:pPr>
      <w:rPr>
        <w:rFonts w:hint="default"/>
      </w:rPr>
    </w:lvl>
    <w:lvl w:ilvl="1" w:tplc="6CBCE720" w:tentative="1">
      <w:start w:val="1"/>
      <w:numFmt w:val="lowerLetter"/>
      <w:lvlText w:val="%2."/>
      <w:lvlJc w:val="left"/>
      <w:pPr>
        <w:ind w:left="1137" w:hanging="360"/>
      </w:pPr>
    </w:lvl>
    <w:lvl w:ilvl="2" w:tplc="728AA950" w:tentative="1">
      <w:start w:val="1"/>
      <w:numFmt w:val="lowerRoman"/>
      <w:lvlText w:val="%3."/>
      <w:lvlJc w:val="right"/>
      <w:pPr>
        <w:ind w:left="1857" w:hanging="180"/>
      </w:pPr>
    </w:lvl>
    <w:lvl w:ilvl="3" w:tplc="CF20928C" w:tentative="1">
      <w:start w:val="1"/>
      <w:numFmt w:val="decimal"/>
      <w:lvlText w:val="%4."/>
      <w:lvlJc w:val="left"/>
      <w:pPr>
        <w:ind w:left="2577" w:hanging="360"/>
      </w:pPr>
    </w:lvl>
    <w:lvl w:ilvl="4" w:tplc="9ADECAEC" w:tentative="1">
      <w:start w:val="1"/>
      <w:numFmt w:val="lowerLetter"/>
      <w:lvlText w:val="%5."/>
      <w:lvlJc w:val="left"/>
      <w:pPr>
        <w:ind w:left="3297" w:hanging="360"/>
      </w:pPr>
    </w:lvl>
    <w:lvl w:ilvl="5" w:tplc="4674383E" w:tentative="1">
      <w:start w:val="1"/>
      <w:numFmt w:val="lowerRoman"/>
      <w:lvlText w:val="%6."/>
      <w:lvlJc w:val="right"/>
      <w:pPr>
        <w:ind w:left="4017" w:hanging="180"/>
      </w:pPr>
    </w:lvl>
    <w:lvl w:ilvl="6" w:tplc="0426A9AC" w:tentative="1">
      <w:start w:val="1"/>
      <w:numFmt w:val="decimal"/>
      <w:lvlText w:val="%7."/>
      <w:lvlJc w:val="left"/>
      <w:pPr>
        <w:ind w:left="4737" w:hanging="360"/>
      </w:pPr>
    </w:lvl>
    <w:lvl w:ilvl="7" w:tplc="98B4CC68" w:tentative="1">
      <w:start w:val="1"/>
      <w:numFmt w:val="lowerLetter"/>
      <w:lvlText w:val="%8."/>
      <w:lvlJc w:val="left"/>
      <w:pPr>
        <w:ind w:left="5457" w:hanging="360"/>
      </w:pPr>
    </w:lvl>
    <w:lvl w:ilvl="8" w:tplc="674666B0" w:tentative="1">
      <w:start w:val="1"/>
      <w:numFmt w:val="lowerRoman"/>
      <w:lvlText w:val="%9."/>
      <w:lvlJc w:val="right"/>
      <w:pPr>
        <w:ind w:left="6177" w:hanging="180"/>
      </w:pPr>
    </w:lvl>
  </w:abstractNum>
  <w:abstractNum w:abstractNumId="17" w15:restartNumberingAfterBreak="1">
    <w:nsid w:val="2FD66B57"/>
    <w:multiLevelType w:val="hybridMultilevel"/>
    <w:tmpl w:val="69C63096"/>
    <w:lvl w:ilvl="0" w:tplc="FDC4FE40">
      <w:start w:val="1"/>
      <w:numFmt w:val="decimal"/>
      <w:lvlText w:val="%1."/>
      <w:lvlJc w:val="left"/>
      <w:pPr>
        <w:ind w:left="720" w:hanging="360"/>
      </w:pPr>
      <w:rPr>
        <w:rFonts w:hint="default"/>
      </w:rPr>
    </w:lvl>
    <w:lvl w:ilvl="1" w:tplc="8B641DD0" w:tentative="1">
      <w:start w:val="1"/>
      <w:numFmt w:val="lowerLetter"/>
      <w:lvlText w:val="%2."/>
      <w:lvlJc w:val="left"/>
      <w:pPr>
        <w:ind w:left="1440" w:hanging="360"/>
      </w:pPr>
    </w:lvl>
    <w:lvl w:ilvl="2" w:tplc="FE5E26D0" w:tentative="1">
      <w:start w:val="1"/>
      <w:numFmt w:val="lowerRoman"/>
      <w:lvlText w:val="%3."/>
      <w:lvlJc w:val="right"/>
      <w:pPr>
        <w:ind w:left="2160" w:hanging="180"/>
      </w:pPr>
    </w:lvl>
    <w:lvl w:ilvl="3" w:tplc="51161BEC" w:tentative="1">
      <w:start w:val="1"/>
      <w:numFmt w:val="decimal"/>
      <w:lvlText w:val="%4."/>
      <w:lvlJc w:val="left"/>
      <w:pPr>
        <w:ind w:left="2880" w:hanging="360"/>
      </w:pPr>
    </w:lvl>
    <w:lvl w:ilvl="4" w:tplc="8CC03A56" w:tentative="1">
      <w:start w:val="1"/>
      <w:numFmt w:val="lowerLetter"/>
      <w:lvlText w:val="%5."/>
      <w:lvlJc w:val="left"/>
      <w:pPr>
        <w:ind w:left="3600" w:hanging="360"/>
      </w:pPr>
    </w:lvl>
    <w:lvl w:ilvl="5" w:tplc="72E08FF6" w:tentative="1">
      <w:start w:val="1"/>
      <w:numFmt w:val="lowerRoman"/>
      <w:lvlText w:val="%6."/>
      <w:lvlJc w:val="right"/>
      <w:pPr>
        <w:ind w:left="4320" w:hanging="180"/>
      </w:pPr>
    </w:lvl>
    <w:lvl w:ilvl="6" w:tplc="7B666190" w:tentative="1">
      <w:start w:val="1"/>
      <w:numFmt w:val="decimal"/>
      <w:lvlText w:val="%7."/>
      <w:lvlJc w:val="left"/>
      <w:pPr>
        <w:ind w:left="5040" w:hanging="360"/>
      </w:pPr>
    </w:lvl>
    <w:lvl w:ilvl="7" w:tplc="2C96C7A0" w:tentative="1">
      <w:start w:val="1"/>
      <w:numFmt w:val="lowerLetter"/>
      <w:lvlText w:val="%8."/>
      <w:lvlJc w:val="left"/>
      <w:pPr>
        <w:ind w:left="5760" w:hanging="360"/>
      </w:pPr>
    </w:lvl>
    <w:lvl w:ilvl="8" w:tplc="EBEA19E0" w:tentative="1">
      <w:start w:val="1"/>
      <w:numFmt w:val="lowerRoman"/>
      <w:lvlText w:val="%9."/>
      <w:lvlJc w:val="right"/>
      <w:pPr>
        <w:ind w:left="6480" w:hanging="180"/>
      </w:pPr>
    </w:lvl>
  </w:abstractNum>
  <w:abstractNum w:abstractNumId="18" w15:restartNumberingAfterBreak="0">
    <w:nsid w:val="3073744B"/>
    <w:multiLevelType w:val="multilevel"/>
    <w:tmpl w:val="71D6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0D5A6E"/>
    <w:multiLevelType w:val="hybridMultilevel"/>
    <w:tmpl w:val="D81895F0"/>
    <w:lvl w:ilvl="0" w:tplc="AC104F70">
      <w:start w:val="1"/>
      <w:numFmt w:val="lowerLetter"/>
      <w:lvlText w:val="%1)"/>
      <w:lvlJc w:val="left"/>
      <w:pPr>
        <w:ind w:left="720" w:hanging="360"/>
      </w:pPr>
      <w:rPr>
        <w:rFonts w:ascii="Times New Roman" w:eastAsia="Calibri" w:hAnsi="Times New Roman" w:cs="Times New Roman"/>
        <w:b w:val="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0" w15:restartNumberingAfterBreak="0">
    <w:nsid w:val="33D11B71"/>
    <w:multiLevelType w:val="hybridMultilevel"/>
    <w:tmpl w:val="CF3CE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2" w15:restartNumberingAfterBreak="1">
    <w:nsid w:val="38AE288E"/>
    <w:multiLevelType w:val="hybridMultilevel"/>
    <w:tmpl w:val="27321958"/>
    <w:lvl w:ilvl="0" w:tplc="FBC436B0">
      <w:start w:val="1"/>
      <w:numFmt w:val="decimal"/>
      <w:lvlText w:val="%1)"/>
      <w:lvlJc w:val="left"/>
      <w:pPr>
        <w:ind w:left="720" w:hanging="360"/>
      </w:pPr>
      <w:rPr>
        <w:rFonts w:hint="default"/>
      </w:rPr>
    </w:lvl>
    <w:lvl w:ilvl="1" w:tplc="8BEE9646" w:tentative="1">
      <w:start w:val="1"/>
      <w:numFmt w:val="bullet"/>
      <w:lvlText w:val="o"/>
      <w:lvlJc w:val="left"/>
      <w:pPr>
        <w:ind w:left="1440" w:hanging="360"/>
      </w:pPr>
      <w:rPr>
        <w:rFonts w:ascii="Courier New" w:hAnsi="Courier New" w:cs="Courier New" w:hint="default"/>
      </w:rPr>
    </w:lvl>
    <w:lvl w:ilvl="2" w:tplc="9F9815FE" w:tentative="1">
      <w:start w:val="1"/>
      <w:numFmt w:val="bullet"/>
      <w:lvlText w:val=""/>
      <w:lvlJc w:val="left"/>
      <w:pPr>
        <w:ind w:left="2160" w:hanging="360"/>
      </w:pPr>
      <w:rPr>
        <w:rFonts w:ascii="Wingdings" w:hAnsi="Wingdings" w:hint="default"/>
      </w:rPr>
    </w:lvl>
    <w:lvl w:ilvl="3" w:tplc="F01600E6" w:tentative="1">
      <w:start w:val="1"/>
      <w:numFmt w:val="bullet"/>
      <w:lvlText w:val=""/>
      <w:lvlJc w:val="left"/>
      <w:pPr>
        <w:ind w:left="2880" w:hanging="360"/>
      </w:pPr>
      <w:rPr>
        <w:rFonts w:ascii="Symbol" w:hAnsi="Symbol" w:hint="default"/>
      </w:rPr>
    </w:lvl>
    <w:lvl w:ilvl="4" w:tplc="C8E81646" w:tentative="1">
      <w:start w:val="1"/>
      <w:numFmt w:val="bullet"/>
      <w:lvlText w:val="o"/>
      <w:lvlJc w:val="left"/>
      <w:pPr>
        <w:ind w:left="3600" w:hanging="360"/>
      </w:pPr>
      <w:rPr>
        <w:rFonts w:ascii="Courier New" w:hAnsi="Courier New" w:cs="Courier New" w:hint="default"/>
      </w:rPr>
    </w:lvl>
    <w:lvl w:ilvl="5" w:tplc="C37E38D4" w:tentative="1">
      <w:start w:val="1"/>
      <w:numFmt w:val="bullet"/>
      <w:lvlText w:val=""/>
      <w:lvlJc w:val="left"/>
      <w:pPr>
        <w:ind w:left="4320" w:hanging="360"/>
      </w:pPr>
      <w:rPr>
        <w:rFonts w:ascii="Wingdings" w:hAnsi="Wingdings" w:hint="default"/>
      </w:rPr>
    </w:lvl>
    <w:lvl w:ilvl="6" w:tplc="A0AC5D86" w:tentative="1">
      <w:start w:val="1"/>
      <w:numFmt w:val="bullet"/>
      <w:lvlText w:val=""/>
      <w:lvlJc w:val="left"/>
      <w:pPr>
        <w:ind w:left="5040" w:hanging="360"/>
      </w:pPr>
      <w:rPr>
        <w:rFonts w:ascii="Symbol" w:hAnsi="Symbol" w:hint="default"/>
      </w:rPr>
    </w:lvl>
    <w:lvl w:ilvl="7" w:tplc="65FAC0F0" w:tentative="1">
      <w:start w:val="1"/>
      <w:numFmt w:val="bullet"/>
      <w:lvlText w:val="o"/>
      <w:lvlJc w:val="left"/>
      <w:pPr>
        <w:ind w:left="5760" w:hanging="360"/>
      </w:pPr>
      <w:rPr>
        <w:rFonts w:ascii="Courier New" w:hAnsi="Courier New" w:cs="Courier New" w:hint="default"/>
      </w:rPr>
    </w:lvl>
    <w:lvl w:ilvl="8" w:tplc="2BB65074" w:tentative="1">
      <w:start w:val="1"/>
      <w:numFmt w:val="bullet"/>
      <w:lvlText w:val=""/>
      <w:lvlJc w:val="left"/>
      <w:pPr>
        <w:ind w:left="6480" w:hanging="360"/>
      </w:pPr>
      <w:rPr>
        <w:rFonts w:ascii="Wingdings" w:hAnsi="Wingdings" w:hint="default"/>
      </w:rPr>
    </w:lvl>
  </w:abstractNum>
  <w:abstractNum w:abstractNumId="23" w15:restartNumberingAfterBreak="1">
    <w:nsid w:val="3B4E5D47"/>
    <w:multiLevelType w:val="hybridMultilevel"/>
    <w:tmpl w:val="26EEF052"/>
    <w:lvl w:ilvl="0" w:tplc="FA6EDF64">
      <w:start w:val="1"/>
      <w:numFmt w:val="decimal"/>
      <w:lvlText w:val="%1."/>
      <w:lvlJc w:val="left"/>
      <w:pPr>
        <w:ind w:left="720" w:hanging="360"/>
      </w:pPr>
      <w:rPr>
        <w:rFonts w:hint="default"/>
      </w:rPr>
    </w:lvl>
    <w:lvl w:ilvl="1" w:tplc="AA588F76" w:tentative="1">
      <w:start w:val="1"/>
      <w:numFmt w:val="lowerLetter"/>
      <w:lvlText w:val="%2."/>
      <w:lvlJc w:val="left"/>
      <w:pPr>
        <w:ind w:left="1440" w:hanging="360"/>
      </w:pPr>
    </w:lvl>
    <w:lvl w:ilvl="2" w:tplc="4C60555E" w:tentative="1">
      <w:start w:val="1"/>
      <w:numFmt w:val="lowerRoman"/>
      <w:lvlText w:val="%3."/>
      <w:lvlJc w:val="right"/>
      <w:pPr>
        <w:ind w:left="2160" w:hanging="180"/>
      </w:pPr>
    </w:lvl>
    <w:lvl w:ilvl="3" w:tplc="4E28CF5C" w:tentative="1">
      <w:start w:val="1"/>
      <w:numFmt w:val="decimal"/>
      <w:lvlText w:val="%4."/>
      <w:lvlJc w:val="left"/>
      <w:pPr>
        <w:ind w:left="2880" w:hanging="360"/>
      </w:pPr>
    </w:lvl>
    <w:lvl w:ilvl="4" w:tplc="BC90970A" w:tentative="1">
      <w:start w:val="1"/>
      <w:numFmt w:val="lowerLetter"/>
      <w:lvlText w:val="%5."/>
      <w:lvlJc w:val="left"/>
      <w:pPr>
        <w:ind w:left="3600" w:hanging="360"/>
      </w:pPr>
    </w:lvl>
    <w:lvl w:ilvl="5" w:tplc="0282A622" w:tentative="1">
      <w:start w:val="1"/>
      <w:numFmt w:val="lowerRoman"/>
      <w:lvlText w:val="%6."/>
      <w:lvlJc w:val="right"/>
      <w:pPr>
        <w:ind w:left="4320" w:hanging="180"/>
      </w:pPr>
    </w:lvl>
    <w:lvl w:ilvl="6" w:tplc="D59E91FE" w:tentative="1">
      <w:start w:val="1"/>
      <w:numFmt w:val="decimal"/>
      <w:lvlText w:val="%7."/>
      <w:lvlJc w:val="left"/>
      <w:pPr>
        <w:ind w:left="5040" w:hanging="360"/>
      </w:pPr>
    </w:lvl>
    <w:lvl w:ilvl="7" w:tplc="27AC3428" w:tentative="1">
      <w:start w:val="1"/>
      <w:numFmt w:val="lowerLetter"/>
      <w:lvlText w:val="%8."/>
      <w:lvlJc w:val="left"/>
      <w:pPr>
        <w:ind w:left="5760" w:hanging="360"/>
      </w:pPr>
    </w:lvl>
    <w:lvl w:ilvl="8" w:tplc="40521D60" w:tentative="1">
      <w:start w:val="1"/>
      <w:numFmt w:val="lowerRoman"/>
      <w:lvlText w:val="%9."/>
      <w:lvlJc w:val="right"/>
      <w:pPr>
        <w:ind w:left="6480" w:hanging="180"/>
      </w:pPr>
    </w:lvl>
  </w:abstractNum>
  <w:abstractNum w:abstractNumId="24" w15:restartNumberingAfterBreak="0">
    <w:nsid w:val="408F6999"/>
    <w:multiLevelType w:val="hybridMultilevel"/>
    <w:tmpl w:val="C8421D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383161"/>
    <w:multiLevelType w:val="hybridMultilevel"/>
    <w:tmpl w:val="F9CCD0C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E33180"/>
    <w:multiLevelType w:val="hybridMultilevel"/>
    <w:tmpl w:val="29A89708"/>
    <w:lvl w:ilvl="0" w:tplc="A3E89192">
      <w:start w:val="1"/>
      <w:numFmt w:val="lowerLetter"/>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BB752B"/>
    <w:multiLevelType w:val="hybridMultilevel"/>
    <w:tmpl w:val="02E8BF7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1">
    <w:nsid w:val="4B0E18A1"/>
    <w:multiLevelType w:val="hybridMultilevel"/>
    <w:tmpl w:val="1FCAED34"/>
    <w:lvl w:ilvl="0" w:tplc="3F18E32E">
      <w:start w:val="1"/>
      <w:numFmt w:val="bullet"/>
      <w:lvlText w:val=""/>
      <w:lvlJc w:val="left"/>
      <w:pPr>
        <w:ind w:left="720" w:hanging="360"/>
      </w:pPr>
      <w:rPr>
        <w:rFonts w:ascii="Symbol" w:hAnsi="Symbol" w:hint="default"/>
      </w:rPr>
    </w:lvl>
    <w:lvl w:ilvl="1" w:tplc="FDD68E62" w:tentative="1">
      <w:start w:val="1"/>
      <w:numFmt w:val="bullet"/>
      <w:lvlText w:val="o"/>
      <w:lvlJc w:val="left"/>
      <w:pPr>
        <w:ind w:left="1440" w:hanging="360"/>
      </w:pPr>
      <w:rPr>
        <w:rFonts w:ascii="Courier New" w:hAnsi="Courier New" w:cs="Courier New" w:hint="default"/>
      </w:rPr>
    </w:lvl>
    <w:lvl w:ilvl="2" w:tplc="D5944B12" w:tentative="1">
      <w:start w:val="1"/>
      <w:numFmt w:val="bullet"/>
      <w:lvlText w:val=""/>
      <w:lvlJc w:val="left"/>
      <w:pPr>
        <w:ind w:left="2160" w:hanging="360"/>
      </w:pPr>
      <w:rPr>
        <w:rFonts w:ascii="Wingdings" w:hAnsi="Wingdings" w:hint="default"/>
      </w:rPr>
    </w:lvl>
    <w:lvl w:ilvl="3" w:tplc="60B200B4" w:tentative="1">
      <w:start w:val="1"/>
      <w:numFmt w:val="bullet"/>
      <w:lvlText w:val=""/>
      <w:lvlJc w:val="left"/>
      <w:pPr>
        <w:ind w:left="2880" w:hanging="360"/>
      </w:pPr>
      <w:rPr>
        <w:rFonts w:ascii="Symbol" w:hAnsi="Symbol" w:hint="default"/>
      </w:rPr>
    </w:lvl>
    <w:lvl w:ilvl="4" w:tplc="6B004B70" w:tentative="1">
      <w:start w:val="1"/>
      <w:numFmt w:val="bullet"/>
      <w:lvlText w:val="o"/>
      <w:lvlJc w:val="left"/>
      <w:pPr>
        <w:ind w:left="3600" w:hanging="360"/>
      </w:pPr>
      <w:rPr>
        <w:rFonts w:ascii="Courier New" w:hAnsi="Courier New" w:cs="Courier New" w:hint="default"/>
      </w:rPr>
    </w:lvl>
    <w:lvl w:ilvl="5" w:tplc="761C916C" w:tentative="1">
      <w:start w:val="1"/>
      <w:numFmt w:val="bullet"/>
      <w:lvlText w:val=""/>
      <w:lvlJc w:val="left"/>
      <w:pPr>
        <w:ind w:left="4320" w:hanging="360"/>
      </w:pPr>
      <w:rPr>
        <w:rFonts w:ascii="Wingdings" w:hAnsi="Wingdings" w:hint="default"/>
      </w:rPr>
    </w:lvl>
    <w:lvl w:ilvl="6" w:tplc="70166DEC" w:tentative="1">
      <w:start w:val="1"/>
      <w:numFmt w:val="bullet"/>
      <w:lvlText w:val=""/>
      <w:lvlJc w:val="left"/>
      <w:pPr>
        <w:ind w:left="5040" w:hanging="360"/>
      </w:pPr>
      <w:rPr>
        <w:rFonts w:ascii="Symbol" w:hAnsi="Symbol" w:hint="default"/>
      </w:rPr>
    </w:lvl>
    <w:lvl w:ilvl="7" w:tplc="7F28C7EC" w:tentative="1">
      <w:start w:val="1"/>
      <w:numFmt w:val="bullet"/>
      <w:lvlText w:val="o"/>
      <w:lvlJc w:val="left"/>
      <w:pPr>
        <w:ind w:left="5760" w:hanging="360"/>
      </w:pPr>
      <w:rPr>
        <w:rFonts w:ascii="Courier New" w:hAnsi="Courier New" w:cs="Courier New" w:hint="default"/>
      </w:rPr>
    </w:lvl>
    <w:lvl w:ilvl="8" w:tplc="66F083D2" w:tentative="1">
      <w:start w:val="1"/>
      <w:numFmt w:val="bullet"/>
      <w:lvlText w:val=""/>
      <w:lvlJc w:val="left"/>
      <w:pPr>
        <w:ind w:left="6480" w:hanging="360"/>
      </w:pPr>
      <w:rPr>
        <w:rFonts w:ascii="Wingdings" w:hAnsi="Wingdings" w:hint="default"/>
      </w:rPr>
    </w:lvl>
  </w:abstractNum>
  <w:abstractNum w:abstractNumId="29" w15:restartNumberingAfterBreak="1">
    <w:nsid w:val="58AC187C"/>
    <w:multiLevelType w:val="hybridMultilevel"/>
    <w:tmpl w:val="16925782"/>
    <w:lvl w:ilvl="0" w:tplc="50BCD48C">
      <w:start w:val="1"/>
      <w:numFmt w:val="bullet"/>
      <w:lvlText w:val=""/>
      <w:lvlJc w:val="left"/>
      <w:pPr>
        <w:ind w:left="720" w:hanging="360"/>
      </w:pPr>
      <w:rPr>
        <w:rFonts w:ascii="Symbol" w:hAnsi="Symbol" w:hint="default"/>
      </w:rPr>
    </w:lvl>
    <w:lvl w:ilvl="1" w:tplc="B71410C4" w:tentative="1">
      <w:start w:val="1"/>
      <w:numFmt w:val="bullet"/>
      <w:lvlText w:val="o"/>
      <w:lvlJc w:val="left"/>
      <w:pPr>
        <w:ind w:left="1440" w:hanging="360"/>
      </w:pPr>
      <w:rPr>
        <w:rFonts w:ascii="Courier New" w:hAnsi="Courier New" w:cs="Courier New" w:hint="default"/>
      </w:rPr>
    </w:lvl>
    <w:lvl w:ilvl="2" w:tplc="A7D64428" w:tentative="1">
      <w:start w:val="1"/>
      <w:numFmt w:val="bullet"/>
      <w:lvlText w:val=""/>
      <w:lvlJc w:val="left"/>
      <w:pPr>
        <w:ind w:left="2160" w:hanging="360"/>
      </w:pPr>
      <w:rPr>
        <w:rFonts w:ascii="Wingdings" w:hAnsi="Wingdings" w:hint="default"/>
      </w:rPr>
    </w:lvl>
    <w:lvl w:ilvl="3" w:tplc="2880276E" w:tentative="1">
      <w:start w:val="1"/>
      <w:numFmt w:val="bullet"/>
      <w:lvlText w:val=""/>
      <w:lvlJc w:val="left"/>
      <w:pPr>
        <w:ind w:left="2880" w:hanging="360"/>
      </w:pPr>
      <w:rPr>
        <w:rFonts w:ascii="Symbol" w:hAnsi="Symbol" w:hint="default"/>
      </w:rPr>
    </w:lvl>
    <w:lvl w:ilvl="4" w:tplc="0F2420B6" w:tentative="1">
      <w:start w:val="1"/>
      <w:numFmt w:val="bullet"/>
      <w:lvlText w:val="o"/>
      <w:lvlJc w:val="left"/>
      <w:pPr>
        <w:ind w:left="3600" w:hanging="360"/>
      </w:pPr>
      <w:rPr>
        <w:rFonts w:ascii="Courier New" w:hAnsi="Courier New" w:cs="Courier New" w:hint="default"/>
      </w:rPr>
    </w:lvl>
    <w:lvl w:ilvl="5" w:tplc="513A82EE" w:tentative="1">
      <w:start w:val="1"/>
      <w:numFmt w:val="bullet"/>
      <w:lvlText w:val=""/>
      <w:lvlJc w:val="left"/>
      <w:pPr>
        <w:ind w:left="4320" w:hanging="360"/>
      </w:pPr>
      <w:rPr>
        <w:rFonts w:ascii="Wingdings" w:hAnsi="Wingdings" w:hint="default"/>
      </w:rPr>
    </w:lvl>
    <w:lvl w:ilvl="6" w:tplc="455AEF64" w:tentative="1">
      <w:start w:val="1"/>
      <w:numFmt w:val="bullet"/>
      <w:lvlText w:val=""/>
      <w:lvlJc w:val="left"/>
      <w:pPr>
        <w:ind w:left="5040" w:hanging="360"/>
      </w:pPr>
      <w:rPr>
        <w:rFonts w:ascii="Symbol" w:hAnsi="Symbol" w:hint="default"/>
      </w:rPr>
    </w:lvl>
    <w:lvl w:ilvl="7" w:tplc="50AC3BDE" w:tentative="1">
      <w:start w:val="1"/>
      <w:numFmt w:val="bullet"/>
      <w:lvlText w:val="o"/>
      <w:lvlJc w:val="left"/>
      <w:pPr>
        <w:ind w:left="5760" w:hanging="360"/>
      </w:pPr>
      <w:rPr>
        <w:rFonts w:ascii="Courier New" w:hAnsi="Courier New" w:cs="Courier New" w:hint="default"/>
      </w:rPr>
    </w:lvl>
    <w:lvl w:ilvl="8" w:tplc="2BFA90EA" w:tentative="1">
      <w:start w:val="1"/>
      <w:numFmt w:val="bullet"/>
      <w:lvlText w:val=""/>
      <w:lvlJc w:val="left"/>
      <w:pPr>
        <w:ind w:left="6480" w:hanging="360"/>
      </w:pPr>
      <w:rPr>
        <w:rFonts w:ascii="Wingdings" w:hAnsi="Wingdings" w:hint="default"/>
      </w:rPr>
    </w:lvl>
  </w:abstractNum>
  <w:abstractNum w:abstractNumId="30" w15:restartNumberingAfterBreak="0">
    <w:nsid w:val="5DDC0E5F"/>
    <w:multiLevelType w:val="hybridMultilevel"/>
    <w:tmpl w:val="B9347910"/>
    <w:lvl w:ilvl="0" w:tplc="EF761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1">
    <w:nsid w:val="675F0396"/>
    <w:multiLevelType w:val="hybridMultilevel"/>
    <w:tmpl w:val="26EEF052"/>
    <w:lvl w:ilvl="0" w:tplc="A1D4AA64">
      <w:start w:val="1"/>
      <w:numFmt w:val="decimal"/>
      <w:lvlText w:val="%1."/>
      <w:lvlJc w:val="left"/>
      <w:pPr>
        <w:ind w:left="720" w:hanging="360"/>
      </w:pPr>
      <w:rPr>
        <w:rFonts w:hint="default"/>
      </w:rPr>
    </w:lvl>
    <w:lvl w:ilvl="1" w:tplc="6AB07B96" w:tentative="1">
      <w:start w:val="1"/>
      <w:numFmt w:val="lowerLetter"/>
      <w:lvlText w:val="%2."/>
      <w:lvlJc w:val="left"/>
      <w:pPr>
        <w:ind w:left="1440" w:hanging="360"/>
      </w:pPr>
    </w:lvl>
    <w:lvl w:ilvl="2" w:tplc="BE208C5C" w:tentative="1">
      <w:start w:val="1"/>
      <w:numFmt w:val="lowerRoman"/>
      <w:lvlText w:val="%3."/>
      <w:lvlJc w:val="right"/>
      <w:pPr>
        <w:ind w:left="2160" w:hanging="180"/>
      </w:pPr>
    </w:lvl>
    <w:lvl w:ilvl="3" w:tplc="2ED2BBF6" w:tentative="1">
      <w:start w:val="1"/>
      <w:numFmt w:val="decimal"/>
      <w:lvlText w:val="%4."/>
      <w:lvlJc w:val="left"/>
      <w:pPr>
        <w:ind w:left="2880" w:hanging="360"/>
      </w:pPr>
    </w:lvl>
    <w:lvl w:ilvl="4" w:tplc="42343DEE" w:tentative="1">
      <w:start w:val="1"/>
      <w:numFmt w:val="lowerLetter"/>
      <w:lvlText w:val="%5."/>
      <w:lvlJc w:val="left"/>
      <w:pPr>
        <w:ind w:left="3600" w:hanging="360"/>
      </w:pPr>
    </w:lvl>
    <w:lvl w:ilvl="5" w:tplc="51768EC4" w:tentative="1">
      <w:start w:val="1"/>
      <w:numFmt w:val="lowerRoman"/>
      <w:lvlText w:val="%6."/>
      <w:lvlJc w:val="right"/>
      <w:pPr>
        <w:ind w:left="4320" w:hanging="180"/>
      </w:pPr>
    </w:lvl>
    <w:lvl w:ilvl="6" w:tplc="845063C4" w:tentative="1">
      <w:start w:val="1"/>
      <w:numFmt w:val="decimal"/>
      <w:lvlText w:val="%7."/>
      <w:lvlJc w:val="left"/>
      <w:pPr>
        <w:ind w:left="5040" w:hanging="360"/>
      </w:pPr>
    </w:lvl>
    <w:lvl w:ilvl="7" w:tplc="D7DC9528" w:tentative="1">
      <w:start w:val="1"/>
      <w:numFmt w:val="lowerLetter"/>
      <w:lvlText w:val="%8."/>
      <w:lvlJc w:val="left"/>
      <w:pPr>
        <w:ind w:left="5760" w:hanging="360"/>
      </w:pPr>
    </w:lvl>
    <w:lvl w:ilvl="8" w:tplc="CC7EA626" w:tentative="1">
      <w:start w:val="1"/>
      <w:numFmt w:val="lowerRoman"/>
      <w:lvlText w:val="%9."/>
      <w:lvlJc w:val="right"/>
      <w:pPr>
        <w:ind w:left="6480" w:hanging="180"/>
      </w:pPr>
    </w:lvl>
  </w:abstractNum>
  <w:abstractNum w:abstractNumId="32" w15:restartNumberingAfterBreak="1">
    <w:nsid w:val="6F655211"/>
    <w:multiLevelType w:val="hybridMultilevel"/>
    <w:tmpl w:val="602618FC"/>
    <w:lvl w:ilvl="0" w:tplc="872E56A2">
      <w:start w:val="1"/>
      <w:numFmt w:val="decimal"/>
      <w:lvlText w:val="%1)"/>
      <w:lvlJc w:val="left"/>
      <w:pPr>
        <w:ind w:left="720" w:hanging="360"/>
      </w:pPr>
      <w:rPr>
        <w:rFonts w:hint="default"/>
        <w:i w:val="0"/>
      </w:rPr>
    </w:lvl>
    <w:lvl w:ilvl="1" w:tplc="E746114E" w:tentative="1">
      <w:start w:val="1"/>
      <w:numFmt w:val="bullet"/>
      <w:lvlText w:val="o"/>
      <w:lvlJc w:val="left"/>
      <w:pPr>
        <w:ind w:left="1440" w:hanging="360"/>
      </w:pPr>
      <w:rPr>
        <w:rFonts w:ascii="Courier New" w:hAnsi="Courier New" w:cs="Courier New" w:hint="default"/>
      </w:rPr>
    </w:lvl>
    <w:lvl w:ilvl="2" w:tplc="2382B746" w:tentative="1">
      <w:start w:val="1"/>
      <w:numFmt w:val="bullet"/>
      <w:lvlText w:val=""/>
      <w:lvlJc w:val="left"/>
      <w:pPr>
        <w:ind w:left="2160" w:hanging="360"/>
      </w:pPr>
      <w:rPr>
        <w:rFonts w:ascii="Wingdings" w:hAnsi="Wingdings" w:hint="default"/>
      </w:rPr>
    </w:lvl>
    <w:lvl w:ilvl="3" w:tplc="7886271C" w:tentative="1">
      <w:start w:val="1"/>
      <w:numFmt w:val="bullet"/>
      <w:lvlText w:val=""/>
      <w:lvlJc w:val="left"/>
      <w:pPr>
        <w:ind w:left="2880" w:hanging="360"/>
      </w:pPr>
      <w:rPr>
        <w:rFonts w:ascii="Symbol" w:hAnsi="Symbol" w:hint="default"/>
      </w:rPr>
    </w:lvl>
    <w:lvl w:ilvl="4" w:tplc="B3CE7812" w:tentative="1">
      <w:start w:val="1"/>
      <w:numFmt w:val="bullet"/>
      <w:lvlText w:val="o"/>
      <w:lvlJc w:val="left"/>
      <w:pPr>
        <w:ind w:left="3600" w:hanging="360"/>
      </w:pPr>
      <w:rPr>
        <w:rFonts w:ascii="Courier New" w:hAnsi="Courier New" w:cs="Courier New" w:hint="default"/>
      </w:rPr>
    </w:lvl>
    <w:lvl w:ilvl="5" w:tplc="A6AC81C8" w:tentative="1">
      <w:start w:val="1"/>
      <w:numFmt w:val="bullet"/>
      <w:lvlText w:val=""/>
      <w:lvlJc w:val="left"/>
      <w:pPr>
        <w:ind w:left="4320" w:hanging="360"/>
      </w:pPr>
      <w:rPr>
        <w:rFonts w:ascii="Wingdings" w:hAnsi="Wingdings" w:hint="default"/>
      </w:rPr>
    </w:lvl>
    <w:lvl w:ilvl="6" w:tplc="56A0C632" w:tentative="1">
      <w:start w:val="1"/>
      <w:numFmt w:val="bullet"/>
      <w:lvlText w:val=""/>
      <w:lvlJc w:val="left"/>
      <w:pPr>
        <w:ind w:left="5040" w:hanging="360"/>
      </w:pPr>
      <w:rPr>
        <w:rFonts w:ascii="Symbol" w:hAnsi="Symbol" w:hint="default"/>
      </w:rPr>
    </w:lvl>
    <w:lvl w:ilvl="7" w:tplc="E8E66440" w:tentative="1">
      <w:start w:val="1"/>
      <w:numFmt w:val="bullet"/>
      <w:lvlText w:val="o"/>
      <w:lvlJc w:val="left"/>
      <w:pPr>
        <w:ind w:left="5760" w:hanging="360"/>
      </w:pPr>
      <w:rPr>
        <w:rFonts w:ascii="Courier New" w:hAnsi="Courier New" w:cs="Courier New" w:hint="default"/>
      </w:rPr>
    </w:lvl>
    <w:lvl w:ilvl="8" w:tplc="5350B43E" w:tentative="1">
      <w:start w:val="1"/>
      <w:numFmt w:val="bullet"/>
      <w:lvlText w:val=""/>
      <w:lvlJc w:val="left"/>
      <w:pPr>
        <w:ind w:left="6480" w:hanging="360"/>
      </w:pPr>
      <w:rPr>
        <w:rFonts w:ascii="Wingdings" w:hAnsi="Wingdings" w:hint="default"/>
      </w:rPr>
    </w:lvl>
  </w:abstractNum>
  <w:abstractNum w:abstractNumId="33" w15:restartNumberingAfterBreak="0">
    <w:nsid w:val="72A56746"/>
    <w:multiLevelType w:val="hybridMultilevel"/>
    <w:tmpl w:val="1EA05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ACB19DF"/>
    <w:multiLevelType w:val="hybridMultilevel"/>
    <w:tmpl w:val="BF0822A4"/>
    <w:lvl w:ilvl="0" w:tplc="0880666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2"/>
  </w:num>
  <w:num w:numId="3">
    <w:abstractNumId w:val="2"/>
  </w:num>
  <w:num w:numId="4">
    <w:abstractNumId w:val="1"/>
  </w:num>
  <w:num w:numId="5">
    <w:abstractNumId w:val="3"/>
  </w:num>
  <w:num w:numId="6">
    <w:abstractNumId w:val="22"/>
  </w:num>
  <w:num w:numId="7">
    <w:abstractNumId w:val="5"/>
  </w:num>
  <w:num w:numId="8">
    <w:abstractNumId w:val="28"/>
  </w:num>
  <w:num w:numId="9">
    <w:abstractNumId w:val="29"/>
  </w:num>
  <w:num w:numId="10">
    <w:abstractNumId w:val="13"/>
  </w:num>
  <w:num w:numId="11">
    <w:abstractNumId w:val="17"/>
  </w:num>
  <w:num w:numId="12">
    <w:abstractNumId w:val="12"/>
  </w:num>
  <w:num w:numId="13">
    <w:abstractNumId w:val="4"/>
  </w:num>
  <w:num w:numId="14">
    <w:abstractNumId w:val="16"/>
  </w:num>
  <w:num w:numId="15">
    <w:abstractNumId w:val="23"/>
  </w:num>
  <w:num w:numId="16">
    <w:abstractNumId w:val="15"/>
  </w:num>
  <w:num w:numId="17">
    <w:abstractNumId w:val="31"/>
  </w:num>
  <w:num w:numId="18">
    <w:abstractNumId w:val="10"/>
  </w:num>
  <w:num w:numId="19">
    <w:abstractNumId w:val="14"/>
  </w:num>
  <w:num w:numId="20">
    <w:abstractNumId w:val="33"/>
  </w:num>
  <w:num w:numId="21">
    <w:abstractNumId w:val="8"/>
  </w:num>
  <w:num w:numId="22">
    <w:abstractNumId w:val="25"/>
  </w:num>
  <w:num w:numId="23">
    <w:abstractNumId w:val="7"/>
  </w:num>
  <w:num w:numId="24">
    <w:abstractNumId w:val="18"/>
  </w:num>
  <w:num w:numId="25">
    <w:abstractNumId w:val="19"/>
  </w:num>
  <w:num w:numId="26">
    <w:abstractNumId w:val="6"/>
  </w:num>
  <w:num w:numId="27">
    <w:abstractNumId w:val="20"/>
  </w:num>
  <w:num w:numId="28">
    <w:abstractNumId w:val="26"/>
  </w:num>
  <w:num w:numId="29">
    <w:abstractNumId w:val="24"/>
  </w:num>
  <w:num w:numId="30">
    <w:abstractNumId w:val="34"/>
  </w:num>
  <w:num w:numId="31">
    <w:abstractNumId w:val="9"/>
  </w:num>
  <w:num w:numId="32">
    <w:abstractNumId w:val="21"/>
  </w:num>
  <w:num w:numId="33">
    <w:abstractNumId w:val="30"/>
  </w:num>
  <w:num w:numId="34">
    <w:abstractNumId w:val="27"/>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B1A"/>
    <w:rsid w:val="00011756"/>
    <w:rsid w:val="00011997"/>
    <w:rsid w:val="00014E4F"/>
    <w:rsid w:val="0002044C"/>
    <w:rsid w:val="000218E8"/>
    <w:rsid w:val="00022922"/>
    <w:rsid w:val="00022FE7"/>
    <w:rsid w:val="00024254"/>
    <w:rsid w:val="00027929"/>
    <w:rsid w:val="00031B1A"/>
    <w:rsid w:val="0003294D"/>
    <w:rsid w:val="00034B7E"/>
    <w:rsid w:val="00037E41"/>
    <w:rsid w:val="00041F43"/>
    <w:rsid w:val="00043E1F"/>
    <w:rsid w:val="0004486B"/>
    <w:rsid w:val="0004577F"/>
    <w:rsid w:val="000457E5"/>
    <w:rsid w:val="00046474"/>
    <w:rsid w:val="00046C0C"/>
    <w:rsid w:val="0004740C"/>
    <w:rsid w:val="00052A4F"/>
    <w:rsid w:val="0005436B"/>
    <w:rsid w:val="00060180"/>
    <w:rsid w:val="00063344"/>
    <w:rsid w:val="00065B6E"/>
    <w:rsid w:val="00066BAC"/>
    <w:rsid w:val="00071C5D"/>
    <w:rsid w:val="00075D7D"/>
    <w:rsid w:val="00080C6B"/>
    <w:rsid w:val="0008236A"/>
    <w:rsid w:val="0008532D"/>
    <w:rsid w:val="000909DE"/>
    <w:rsid w:val="00090B81"/>
    <w:rsid w:val="00091ECE"/>
    <w:rsid w:val="000932A0"/>
    <w:rsid w:val="000953CC"/>
    <w:rsid w:val="00095733"/>
    <w:rsid w:val="000A0532"/>
    <w:rsid w:val="000A2574"/>
    <w:rsid w:val="000A47F1"/>
    <w:rsid w:val="000A51AA"/>
    <w:rsid w:val="000B2338"/>
    <w:rsid w:val="000B7D8C"/>
    <w:rsid w:val="000C13AA"/>
    <w:rsid w:val="000C33C6"/>
    <w:rsid w:val="000C4BF2"/>
    <w:rsid w:val="000C7CEF"/>
    <w:rsid w:val="000D14B1"/>
    <w:rsid w:val="000D19FD"/>
    <w:rsid w:val="000D283D"/>
    <w:rsid w:val="000D5F35"/>
    <w:rsid w:val="000D606F"/>
    <w:rsid w:val="000D65ED"/>
    <w:rsid w:val="000D7720"/>
    <w:rsid w:val="000E2374"/>
    <w:rsid w:val="000E3ED8"/>
    <w:rsid w:val="000E72F3"/>
    <w:rsid w:val="000F076A"/>
    <w:rsid w:val="000F59AE"/>
    <w:rsid w:val="000F73C9"/>
    <w:rsid w:val="00105520"/>
    <w:rsid w:val="001221A1"/>
    <w:rsid w:val="00122EAC"/>
    <w:rsid w:val="001233AB"/>
    <w:rsid w:val="001238F4"/>
    <w:rsid w:val="00126AA9"/>
    <w:rsid w:val="001309C7"/>
    <w:rsid w:val="001358C8"/>
    <w:rsid w:val="00141614"/>
    <w:rsid w:val="001417E6"/>
    <w:rsid w:val="0014544D"/>
    <w:rsid w:val="00146862"/>
    <w:rsid w:val="00147446"/>
    <w:rsid w:val="00157CBE"/>
    <w:rsid w:val="00170C88"/>
    <w:rsid w:val="00172C32"/>
    <w:rsid w:val="001810AB"/>
    <w:rsid w:val="00181C6C"/>
    <w:rsid w:val="00181FC9"/>
    <w:rsid w:val="00183976"/>
    <w:rsid w:val="00183A0F"/>
    <w:rsid w:val="00186C21"/>
    <w:rsid w:val="00190ADB"/>
    <w:rsid w:val="00192F74"/>
    <w:rsid w:val="0019642C"/>
    <w:rsid w:val="001A6C2C"/>
    <w:rsid w:val="001C1C28"/>
    <w:rsid w:val="001C35E3"/>
    <w:rsid w:val="001C48FF"/>
    <w:rsid w:val="001D00AE"/>
    <w:rsid w:val="001D0A5D"/>
    <w:rsid w:val="001D0B24"/>
    <w:rsid w:val="001D1391"/>
    <w:rsid w:val="001D40C1"/>
    <w:rsid w:val="001D4BD4"/>
    <w:rsid w:val="001D4CCA"/>
    <w:rsid w:val="001D5729"/>
    <w:rsid w:val="001D5A20"/>
    <w:rsid w:val="001D611A"/>
    <w:rsid w:val="001D6AF4"/>
    <w:rsid w:val="001D6B9F"/>
    <w:rsid w:val="001E5FE2"/>
    <w:rsid w:val="001F278A"/>
    <w:rsid w:val="002014C9"/>
    <w:rsid w:val="00210EEE"/>
    <w:rsid w:val="00214B2C"/>
    <w:rsid w:val="00214C6F"/>
    <w:rsid w:val="00216D43"/>
    <w:rsid w:val="0021740C"/>
    <w:rsid w:val="00230431"/>
    <w:rsid w:val="00232CAC"/>
    <w:rsid w:val="0023560E"/>
    <w:rsid w:val="00235F10"/>
    <w:rsid w:val="002419B7"/>
    <w:rsid w:val="00246694"/>
    <w:rsid w:val="00250B3C"/>
    <w:rsid w:val="00250C43"/>
    <w:rsid w:val="00250F24"/>
    <w:rsid w:val="002574EB"/>
    <w:rsid w:val="002576E1"/>
    <w:rsid w:val="00263A7A"/>
    <w:rsid w:val="00267378"/>
    <w:rsid w:val="00271A17"/>
    <w:rsid w:val="0027448F"/>
    <w:rsid w:val="002808D9"/>
    <w:rsid w:val="00285E00"/>
    <w:rsid w:val="00286AF0"/>
    <w:rsid w:val="00287A2A"/>
    <w:rsid w:val="002902E4"/>
    <w:rsid w:val="00290FC1"/>
    <w:rsid w:val="002919FD"/>
    <w:rsid w:val="00295A2D"/>
    <w:rsid w:val="002A480A"/>
    <w:rsid w:val="002B4CFB"/>
    <w:rsid w:val="002B5495"/>
    <w:rsid w:val="002B566D"/>
    <w:rsid w:val="002B57AB"/>
    <w:rsid w:val="002B7EC4"/>
    <w:rsid w:val="002C73C2"/>
    <w:rsid w:val="002D3245"/>
    <w:rsid w:val="002D6159"/>
    <w:rsid w:val="002E311E"/>
    <w:rsid w:val="002E48C8"/>
    <w:rsid w:val="002E79BF"/>
    <w:rsid w:val="002F3C33"/>
    <w:rsid w:val="002F7B75"/>
    <w:rsid w:val="003000F7"/>
    <w:rsid w:val="00301510"/>
    <w:rsid w:val="003017A8"/>
    <w:rsid w:val="0030253A"/>
    <w:rsid w:val="003037E6"/>
    <w:rsid w:val="003043EA"/>
    <w:rsid w:val="00315337"/>
    <w:rsid w:val="0031583B"/>
    <w:rsid w:val="003158BE"/>
    <w:rsid w:val="0031645E"/>
    <w:rsid w:val="00316738"/>
    <w:rsid w:val="00321AA7"/>
    <w:rsid w:val="0032319C"/>
    <w:rsid w:val="0032436E"/>
    <w:rsid w:val="00330635"/>
    <w:rsid w:val="00334386"/>
    <w:rsid w:val="00335B5F"/>
    <w:rsid w:val="003441D1"/>
    <w:rsid w:val="00344C82"/>
    <w:rsid w:val="003477A3"/>
    <w:rsid w:val="00351579"/>
    <w:rsid w:val="00352D84"/>
    <w:rsid w:val="00354F8D"/>
    <w:rsid w:val="00355B9A"/>
    <w:rsid w:val="00363B0E"/>
    <w:rsid w:val="00375558"/>
    <w:rsid w:val="00377F78"/>
    <w:rsid w:val="00380F98"/>
    <w:rsid w:val="00382F25"/>
    <w:rsid w:val="0039025B"/>
    <w:rsid w:val="00390E01"/>
    <w:rsid w:val="0039302E"/>
    <w:rsid w:val="003957B5"/>
    <w:rsid w:val="003A38C4"/>
    <w:rsid w:val="003A41B8"/>
    <w:rsid w:val="003A4C2A"/>
    <w:rsid w:val="003A7368"/>
    <w:rsid w:val="003B0385"/>
    <w:rsid w:val="003B5763"/>
    <w:rsid w:val="003B5F10"/>
    <w:rsid w:val="003B61F4"/>
    <w:rsid w:val="003B7AFF"/>
    <w:rsid w:val="003C15BB"/>
    <w:rsid w:val="003C531C"/>
    <w:rsid w:val="003C62FB"/>
    <w:rsid w:val="003C65A6"/>
    <w:rsid w:val="003D2BF8"/>
    <w:rsid w:val="003D57CD"/>
    <w:rsid w:val="003E0823"/>
    <w:rsid w:val="003E4BDF"/>
    <w:rsid w:val="003E63A2"/>
    <w:rsid w:val="003F43F4"/>
    <w:rsid w:val="003F44CD"/>
    <w:rsid w:val="003F7EE8"/>
    <w:rsid w:val="00401381"/>
    <w:rsid w:val="00404407"/>
    <w:rsid w:val="0040491B"/>
    <w:rsid w:val="00405C90"/>
    <w:rsid w:val="00405E80"/>
    <w:rsid w:val="00410328"/>
    <w:rsid w:val="00412E20"/>
    <w:rsid w:val="00413BE1"/>
    <w:rsid w:val="00413D51"/>
    <w:rsid w:val="004170B9"/>
    <w:rsid w:val="00417D46"/>
    <w:rsid w:val="0042012D"/>
    <w:rsid w:val="0042480C"/>
    <w:rsid w:val="00424A71"/>
    <w:rsid w:val="00426833"/>
    <w:rsid w:val="00437375"/>
    <w:rsid w:val="0045512A"/>
    <w:rsid w:val="00457959"/>
    <w:rsid w:val="00461163"/>
    <w:rsid w:val="004613F8"/>
    <w:rsid w:val="00466200"/>
    <w:rsid w:val="00471591"/>
    <w:rsid w:val="004725E0"/>
    <w:rsid w:val="00472F3D"/>
    <w:rsid w:val="00482B6E"/>
    <w:rsid w:val="00485381"/>
    <w:rsid w:val="004911CB"/>
    <w:rsid w:val="0049172A"/>
    <w:rsid w:val="00493258"/>
    <w:rsid w:val="00494022"/>
    <w:rsid w:val="004A1126"/>
    <w:rsid w:val="004A12B4"/>
    <w:rsid w:val="004A1802"/>
    <w:rsid w:val="004A188F"/>
    <w:rsid w:val="004A300C"/>
    <w:rsid w:val="004A71BC"/>
    <w:rsid w:val="004B1BAF"/>
    <w:rsid w:val="004B462E"/>
    <w:rsid w:val="004B52CC"/>
    <w:rsid w:val="004B5728"/>
    <w:rsid w:val="004B6486"/>
    <w:rsid w:val="004C0B22"/>
    <w:rsid w:val="004C0F4D"/>
    <w:rsid w:val="004C2D7E"/>
    <w:rsid w:val="004D28D0"/>
    <w:rsid w:val="004D3AA3"/>
    <w:rsid w:val="004D5003"/>
    <w:rsid w:val="004D56C3"/>
    <w:rsid w:val="004D64C1"/>
    <w:rsid w:val="004E01E6"/>
    <w:rsid w:val="004E13BE"/>
    <w:rsid w:val="004E1527"/>
    <w:rsid w:val="004E1E2D"/>
    <w:rsid w:val="004E2DC4"/>
    <w:rsid w:val="004E5B40"/>
    <w:rsid w:val="004E6541"/>
    <w:rsid w:val="004E7B0E"/>
    <w:rsid w:val="004F0706"/>
    <w:rsid w:val="004F324F"/>
    <w:rsid w:val="004F35C4"/>
    <w:rsid w:val="004F5D7B"/>
    <w:rsid w:val="005024ED"/>
    <w:rsid w:val="00502B8A"/>
    <w:rsid w:val="00503090"/>
    <w:rsid w:val="00505CD3"/>
    <w:rsid w:val="00507301"/>
    <w:rsid w:val="00510177"/>
    <w:rsid w:val="0051229F"/>
    <w:rsid w:val="0051233B"/>
    <w:rsid w:val="005145A9"/>
    <w:rsid w:val="00515468"/>
    <w:rsid w:val="00520AC8"/>
    <w:rsid w:val="005229EF"/>
    <w:rsid w:val="00523E74"/>
    <w:rsid w:val="00524CC3"/>
    <w:rsid w:val="00525E3E"/>
    <w:rsid w:val="00526101"/>
    <w:rsid w:val="005273BC"/>
    <w:rsid w:val="00527931"/>
    <w:rsid w:val="00530648"/>
    <w:rsid w:val="00531B3E"/>
    <w:rsid w:val="005328C7"/>
    <w:rsid w:val="005355D4"/>
    <w:rsid w:val="00535F79"/>
    <w:rsid w:val="00540FF4"/>
    <w:rsid w:val="0054186C"/>
    <w:rsid w:val="0054406F"/>
    <w:rsid w:val="00544A87"/>
    <w:rsid w:val="00544CDA"/>
    <w:rsid w:val="00545B6D"/>
    <w:rsid w:val="005466FD"/>
    <w:rsid w:val="00546E14"/>
    <w:rsid w:val="00551858"/>
    <w:rsid w:val="005532B1"/>
    <w:rsid w:val="0056744D"/>
    <w:rsid w:val="005705B0"/>
    <w:rsid w:val="00571BFF"/>
    <w:rsid w:val="00577A74"/>
    <w:rsid w:val="00580DB1"/>
    <w:rsid w:val="005928BE"/>
    <w:rsid w:val="00593B6B"/>
    <w:rsid w:val="00596974"/>
    <w:rsid w:val="005A5ED2"/>
    <w:rsid w:val="005A6AF0"/>
    <w:rsid w:val="005A7548"/>
    <w:rsid w:val="005A78C1"/>
    <w:rsid w:val="005B092B"/>
    <w:rsid w:val="005B1B80"/>
    <w:rsid w:val="005B36DA"/>
    <w:rsid w:val="005B4F69"/>
    <w:rsid w:val="005C7B67"/>
    <w:rsid w:val="005E5F62"/>
    <w:rsid w:val="005E7287"/>
    <w:rsid w:val="005E7430"/>
    <w:rsid w:val="005F0051"/>
    <w:rsid w:val="005F1A5C"/>
    <w:rsid w:val="005F2DA4"/>
    <w:rsid w:val="005F38A5"/>
    <w:rsid w:val="005F38DB"/>
    <w:rsid w:val="00600190"/>
    <w:rsid w:val="0060101B"/>
    <w:rsid w:val="0060461E"/>
    <w:rsid w:val="0060469F"/>
    <w:rsid w:val="0060780C"/>
    <w:rsid w:val="00607E8A"/>
    <w:rsid w:val="00610ED9"/>
    <w:rsid w:val="006112BA"/>
    <w:rsid w:val="0061300F"/>
    <w:rsid w:val="00613FEB"/>
    <w:rsid w:val="00624D7B"/>
    <w:rsid w:val="00634116"/>
    <w:rsid w:val="00635631"/>
    <w:rsid w:val="00636E17"/>
    <w:rsid w:val="00637F06"/>
    <w:rsid w:val="00640614"/>
    <w:rsid w:val="006424A7"/>
    <w:rsid w:val="0064360A"/>
    <w:rsid w:val="006436CC"/>
    <w:rsid w:val="00647E49"/>
    <w:rsid w:val="006546EA"/>
    <w:rsid w:val="00655773"/>
    <w:rsid w:val="00656D9F"/>
    <w:rsid w:val="00660210"/>
    <w:rsid w:val="006641FD"/>
    <w:rsid w:val="0066513A"/>
    <w:rsid w:val="00671A71"/>
    <w:rsid w:val="006742DE"/>
    <w:rsid w:val="00677217"/>
    <w:rsid w:val="00680317"/>
    <w:rsid w:val="00682A69"/>
    <w:rsid w:val="00686252"/>
    <w:rsid w:val="0069301A"/>
    <w:rsid w:val="00694D1A"/>
    <w:rsid w:val="006A06F6"/>
    <w:rsid w:val="006A39ED"/>
    <w:rsid w:val="006A43FF"/>
    <w:rsid w:val="006A44C2"/>
    <w:rsid w:val="006A5142"/>
    <w:rsid w:val="006A5FD6"/>
    <w:rsid w:val="006B1082"/>
    <w:rsid w:val="006B1A48"/>
    <w:rsid w:val="006B76A6"/>
    <w:rsid w:val="006C0CE5"/>
    <w:rsid w:val="006C3EB9"/>
    <w:rsid w:val="006C69B8"/>
    <w:rsid w:val="006C6AD8"/>
    <w:rsid w:val="006C7913"/>
    <w:rsid w:val="006D6762"/>
    <w:rsid w:val="006D7EC1"/>
    <w:rsid w:val="006E3F47"/>
    <w:rsid w:val="006E4BF8"/>
    <w:rsid w:val="006E6D43"/>
    <w:rsid w:val="006E7D09"/>
    <w:rsid w:val="006F3E2A"/>
    <w:rsid w:val="006F69F0"/>
    <w:rsid w:val="0070022C"/>
    <w:rsid w:val="0070181C"/>
    <w:rsid w:val="00704AC0"/>
    <w:rsid w:val="0070523B"/>
    <w:rsid w:val="0071065B"/>
    <w:rsid w:val="00710CAA"/>
    <w:rsid w:val="00711AEC"/>
    <w:rsid w:val="00715082"/>
    <w:rsid w:val="00717100"/>
    <w:rsid w:val="007218B4"/>
    <w:rsid w:val="007230EF"/>
    <w:rsid w:val="00724342"/>
    <w:rsid w:val="007263A9"/>
    <w:rsid w:val="007320FA"/>
    <w:rsid w:val="0073445A"/>
    <w:rsid w:val="007344DF"/>
    <w:rsid w:val="00735289"/>
    <w:rsid w:val="007366B3"/>
    <w:rsid w:val="00737957"/>
    <w:rsid w:val="00746CA4"/>
    <w:rsid w:val="00747630"/>
    <w:rsid w:val="00747D25"/>
    <w:rsid w:val="00750DEC"/>
    <w:rsid w:val="00750FB6"/>
    <w:rsid w:val="00753212"/>
    <w:rsid w:val="00753980"/>
    <w:rsid w:val="00753BB3"/>
    <w:rsid w:val="00754CFE"/>
    <w:rsid w:val="007559D4"/>
    <w:rsid w:val="00756B3E"/>
    <w:rsid w:val="00760FAF"/>
    <w:rsid w:val="007641D0"/>
    <w:rsid w:val="00766DA4"/>
    <w:rsid w:val="007745F3"/>
    <w:rsid w:val="007859F9"/>
    <w:rsid w:val="00785D21"/>
    <w:rsid w:val="00787D85"/>
    <w:rsid w:val="00797283"/>
    <w:rsid w:val="007A2EBF"/>
    <w:rsid w:val="007A6517"/>
    <w:rsid w:val="007A68DC"/>
    <w:rsid w:val="007B0570"/>
    <w:rsid w:val="007B4870"/>
    <w:rsid w:val="007B666B"/>
    <w:rsid w:val="007C071A"/>
    <w:rsid w:val="007C1EAD"/>
    <w:rsid w:val="007C1EBD"/>
    <w:rsid w:val="007C26EB"/>
    <w:rsid w:val="007C2DF6"/>
    <w:rsid w:val="007C4127"/>
    <w:rsid w:val="007C6201"/>
    <w:rsid w:val="007D0907"/>
    <w:rsid w:val="007D5061"/>
    <w:rsid w:val="007D6E58"/>
    <w:rsid w:val="007E1573"/>
    <w:rsid w:val="007F1308"/>
    <w:rsid w:val="007F673D"/>
    <w:rsid w:val="007F6BC8"/>
    <w:rsid w:val="007F7E59"/>
    <w:rsid w:val="00801A18"/>
    <w:rsid w:val="00802C8A"/>
    <w:rsid w:val="0080481F"/>
    <w:rsid w:val="00806409"/>
    <w:rsid w:val="008078B3"/>
    <w:rsid w:val="00807EFD"/>
    <w:rsid w:val="00810F6E"/>
    <w:rsid w:val="00811460"/>
    <w:rsid w:val="008128B2"/>
    <w:rsid w:val="00814ED6"/>
    <w:rsid w:val="008163CF"/>
    <w:rsid w:val="00817182"/>
    <w:rsid w:val="008233A3"/>
    <w:rsid w:val="00823AB3"/>
    <w:rsid w:val="00823B5D"/>
    <w:rsid w:val="00824900"/>
    <w:rsid w:val="008454BF"/>
    <w:rsid w:val="00845DF8"/>
    <w:rsid w:val="0084688A"/>
    <w:rsid w:val="00851EBA"/>
    <w:rsid w:val="00853855"/>
    <w:rsid w:val="00853EF0"/>
    <w:rsid w:val="00855327"/>
    <w:rsid w:val="00855737"/>
    <w:rsid w:val="00857F77"/>
    <w:rsid w:val="00861AE0"/>
    <w:rsid w:val="008645EC"/>
    <w:rsid w:val="00871582"/>
    <w:rsid w:val="00871E54"/>
    <w:rsid w:val="00877A18"/>
    <w:rsid w:val="00892854"/>
    <w:rsid w:val="00894084"/>
    <w:rsid w:val="00895AD7"/>
    <w:rsid w:val="008A0C2F"/>
    <w:rsid w:val="008A35E0"/>
    <w:rsid w:val="008A3A36"/>
    <w:rsid w:val="008A5163"/>
    <w:rsid w:val="008A70AC"/>
    <w:rsid w:val="008B6DD1"/>
    <w:rsid w:val="008C1DFB"/>
    <w:rsid w:val="008D17FB"/>
    <w:rsid w:val="008D3CF4"/>
    <w:rsid w:val="008D4AA7"/>
    <w:rsid w:val="008E3999"/>
    <w:rsid w:val="008E5951"/>
    <w:rsid w:val="008F0B36"/>
    <w:rsid w:val="008F4748"/>
    <w:rsid w:val="008F78BE"/>
    <w:rsid w:val="009062C2"/>
    <w:rsid w:val="0090676D"/>
    <w:rsid w:val="00906D1B"/>
    <w:rsid w:val="0090769B"/>
    <w:rsid w:val="0091205B"/>
    <w:rsid w:val="009120EA"/>
    <w:rsid w:val="00913E4A"/>
    <w:rsid w:val="00914404"/>
    <w:rsid w:val="00914FD3"/>
    <w:rsid w:val="00915533"/>
    <w:rsid w:val="00917D33"/>
    <w:rsid w:val="00920C89"/>
    <w:rsid w:val="0092222C"/>
    <w:rsid w:val="00922DB1"/>
    <w:rsid w:val="0092486D"/>
    <w:rsid w:val="00926891"/>
    <w:rsid w:val="00930B29"/>
    <w:rsid w:val="00934FD6"/>
    <w:rsid w:val="009354B1"/>
    <w:rsid w:val="00935D29"/>
    <w:rsid w:val="009370CD"/>
    <w:rsid w:val="00941915"/>
    <w:rsid w:val="00945006"/>
    <w:rsid w:val="0094745A"/>
    <w:rsid w:val="00947EF8"/>
    <w:rsid w:val="00952D26"/>
    <w:rsid w:val="00953559"/>
    <w:rsid w:val="00960936"/>
    <w:rsid w:val="009624BD"/>
    <w:rsid w:val="00962DDF"/>
    <w:rsid w:val="00964CD4"/>
    <w:rsid w:val="00967CE2"/>
    <w:rsid w:val="009753FC"/>
    <w:rsid w:val="00977A2B"/>
    <w:rsid w:val="0098022B"/>
    <w:rsid w:val="00981797"/>
    <w:rsid w:val="00984693"/>
    <w:rsid w:val="00984ECE"/>
    <w:rsid w:val="00985311"/>
    <w:rsid w:val="009874E0"/>
    <w:rsid w:val="00991532"/>
    <w:rsid w:val="00992AC4"/>
    <w:rsid w:val="00994806"/>
    <w:rsid w:val="009A1223"/>
    <w:rsid w:val="009A40F5"/>
    <w:rsid w:val="009A4DD9"/>
    <w:rsid w:val="009A538F"/>
    <w:rsid w:val="009A562F"/>
    <w:rsid w:val="009A78E1"/>
    <w:rsid w:val="009C21F5"/>
    <w:rsid w:val="009C5DDD"/>
    <w:rsid w:val="009C6FA4"/>
    <w:rsid w:val="009D3AD8"/>
    <w:rsid w:val="009D4DDF"/>
    <w:rsid w:val="009D58D2"/>
    <w:rsid w:val="009D6A85"/>
    <w:rsid w:val="009D7128"/>
    <w:rsid w:val="009E68E7"/>
    <w:rsid w:val="009F0132"/>
    <w:rsid w:val="00A01E5E"/>
    <w:rsid w:val="00A0404B"/>
    <w:rsid w:val="00A05AE7"/>
    <w:rsid w:val="00A1344F"/>
    <w:rsid w:val="00A14926"/>
    <w:rsid w:val="00A26EC4"/>
    <w:rsid w:val="00A27208"/>
    <w:rsid w:val="00A30FA7"/>
    <w:rsid w:val="00A333E8"/>
    <w:rsid w:val="00A42DEE"/>
    <w:rsid w:val="00A43276"/>
    <w:rsid w:val="00A4483E"/>
    <w:rsid w:val="00A46C00"/>
    <w:rsid w:val="00A470A3"/>
    <w:rsid w:val="00A52C76"/>
    <w:rsid w:val="00A54964"/>
    <w:rsid w:val="00A54EBC"/>
    <w:rsid w:val="00A569D3"/>
    <w:rsid w:val="00A578B3"/>
    <w:rsid w:val="00A57F6F"/>
    <w:rsid w:val="00A6084B"/>
    <w:rsid w:val="00A659CD"/>
    <w:rsid w:val="00A65E15"/>
    <w:rsid w:val="00A737FF"/>
    <w:rsid w:val="00A772A4"/>
    <w:rsid w:val="00A777BE"/>
    <w:rsid w:val="00A831DD"/>
    <w:rsid w:val="00A83460"/>
    <w:rsid w:val="00A87374"/>
    <w:rsid w:val="00A87980"/>
    <w:rsid w:val="00A90749"/>
    <w:rsid w:val="00AA54A5"/>
    <w:rsid w:val="00AA7369"/>
    <w:rsid w:val="00AA74AD"/>
    <w:rsid w:val="00AB0571"/>
    <w:rsid w:val="00AB4200"/>
    <w:rsid w:val="00AB43C0"/>
    <w:rsid w:val="00AB5618"/>
    <w:rsid w:val="00AC2FF8"/>
    <w:rsid w:val="00AC3599"/>
    <w:rsid w:val="00AC5393"/>
    <w:rsid w:val="00AD6AE4"/>
    <w:rsid w:val="00AE04FB"/>
    <w:rsid w:val="00AE0652"/>
    <w:rsid w:val="00AE07DC"/>
    <w:rsid w:val="00AE18B7"/>
    <w:rsid w:val="00AE3714"/>
    <w:rsid w:val="00AE49DA"/>
    <w:rsid w:val="00AE6A4E"/>
    <w:rsid w:val="00AF3B5A"/>
    <w:rsid w:val="00AF69B8"/>
    <w:rsid w:val="00AF7100"/>
    <w:rsid w:val="00B00946"/>
    <w:rsid w:val="00B0682C"/>
    <w:rsid w:val="00B11E3B"/>
    <w:rsid w:val="00B15C48"/>
    <w:rsid w:val="00B17ECD"/>
    <w:rsid w:val="00B20632"/>
    <w:rsid w:val="00B20ACD"/>
    <w:rsid w:val="00B216B5"/>
    <w:rsid w:val="00B22BD3"/>
    <w:rsid w:val="00B2375A"/>
    <w:rsid w:val="00B23E4A"/>
    <w:rsid w:val="00B264A3"/>
    <w:rsid w:val="00B2683A"/>
    <w:rsid w:val="00B30187"/>
    <w:rsid w:val="00B30F83"/>
    <w:rsid w:val="00B350EC"/>
    <w:rsid w:val="00B36A68"/>
    <w:rsid w:val="00B40570"/>
    <w:rsid w:val="00B44441"/>
    <w:rsid w:val="00B47474"/>
    <w:rsid w:val="00B47E2A"/>
    <w:rsid w:val="00B53709"/>
    <w:rsid w:val="00B559B4"/>
    <w:rsid w:val="00B62B79"/>
    <w:rsid w:val="00B62F27"/>
    <w:rsid w:val="00B65806"/>
    <w:rsid w:val="00B75486"/>
    <w:rsid w:val="00B85F42"/>
    <w:rsid w:val="00B936C0"/>
    <w:rsid w:val="00B95636"/>
    <w:rsid w:val="00BA061E"/>
    <w:rsid w:val="00BB0F06"/>
    <w:rsid w:val="00BB2B26"/>
    <w:rsid w:val="00BB79F8"/>
    <w:rsid w:val="00BC2E0D"/>
    <w:rsid w:val="00BC36D6"/>
    <w:rsid w:val="00BC4CB6"/>
    <w:rsid w:val="00BD1048"/>
    <w:rsid w:val="00BE29C3"/>
    <w:rsid w:val="00BE3620"/>
    <w:rsid w:val="00BE481F"/>
    <w:rsid w:val="00BE4C91"/>
    <w:rsid w:val="00BE664B"/>
    <w:rsid w:val="00BE7257"/>
    <w:rsid w:val="00BE7E65"/>
    <w:rsid w:val="00BF3F2B"/>
    <w:rsid w:val="00BF4F9C"/>
    <w:rsid w:val="00BF6E32"/>
    <w:rsid w:val="00C02E90"/>
    <w:rsid w:val="00C13CCD"/>
    <w:rsid w:val="00C25971"/>
    <w:rsid w:val="00C3010C"/>
    <w:rsid w:val="00C32248"/>
    <w:rsid w:val="00C3594C"/>
    <w:rsid w:val="00C37DFE"/>
    <w:rsid w:val="00C41CC9"/>
    <w:rsid w:val="00C42B55"/>
    <w:rsid w:val="00C4511A"/>
    <w:rsid w:val="00C473DC"/>
    <w:rsid w:val="00C523DC"/>
    <w:rsid w:val="00C53F74"/>
    <w:rsid w:val="00C60E0C"/>
    <w:rsid w:val="00C61A23"/>
    <w:rsid w:val="00C71FAA"/>
    <w:rsid w:val="00C775C5"/>
    <w:rsid w:val="00C83AC9"/>
    <w:rsid w:val="00C85419"/>
    <w:rsid w:val="00C92007"/>
    <w:rsid w:val="00C93A40"/>
    <w:rsid w:val="00C95173"/>
    <w:rsid w:val="00C95948"/>
    <w:rsid w:val="00CA0A1A"/>
    <w:rsid w:val="00CA433E"/>
    <w:rsid w:val="00CA6F5B"/>
    <w:rsid w:val="00CB15EE"/>
    <w:rsid w:val="00CB2F77"/>
    <w:rsid w:val="00CB5C9C"/>
    <w:rsid w:val="00CC4A7C"/>
    <w:rsid w:val="00CC4E86"/>
    <w:rsid w:val="00CD1599"/>
    <w:rsid w:val="00CD337F"/>
    <w:rsid w:val="00CD4793"/>
    <w:rsid w:val="00CE0FDD"/>
    <w:rsid w:val="00CE394A"/>
    <w:rsid w:val="00CE3AC7"/>
    <w:rsid w:val="00CE3EA4"/>
    <w:rsid w:val="00CE4E1E"/>
    <w:rsid w:val="00CE7583"/>
    <w:rsid w:val="00CE7B80"/>
    <w:rsid w:val="00CF04CD"/>
    <w:rsid w:val="00CF0CE7"/>
    <w:rsid w:val="00CF1040"/>
    <w:rsid w:val="00CF312D"/>
    <w:rsid w:val="00CF50D0"/>
    <w:rsid w:val="00D0170B"/>
    <w:rsid w:val="00D022C3"/>
    <w:rsid w:val="00D0427D"/>
    <w:rsid w:val="00D05808"/>
    <w:rsid w:val="00D06875"/>
    <w:rsid w:val="00D06E4E"/>
    <w:rsid w:val="00D133F0"/>
    <w:rsid w:val="00D2058D"/>
    <w:rsid w:val="00D30BAF"/>
    <w:rsid w:val="00D3461B"/>
    <w:rsid w:val="00D440F8"/>
    <w:rsid w:val="00D50FD4"/>
    <w:rsid w:val="00D521C3"/>
    <w:rsid w:val="00D54034"/>
    <w:rsid w:val="00D55FD9"/>
    <w:rsid w:val="00D5714A"/>
    <w:rsid w:val="00D57AE8"/>
    <w:rsid w:val="00D65724"/>
    <w:rsid w:val="00D66270"/>
    <w:rsid w:val="00D72C9B"/>
    <w:rsid w:val="00D7436B"/>
    <w:rsid w:val="00D801AA"/>
    <w:rsid w:val="00D8075B"/>
    <w:rsid w:val="00D84273"/>
    <w:rsid w:val="00D85063"/>
    <w:rsid w:val="00D94D82"/>
    <w:rsid w:val="00DA316E"/>
    <w:rsid w:val="00DA46D1"/>
    <w:rsid w:val="00DA4F65"/>
    <w:rsid w:val="00DA5E1D"/>
    <w:rsid w:val="00DB40E2"/>
    <w:rsid w:val="00DB4A61"/>
    <w:rsid w:val="00DB5A76"/>
    <w:rsid w:val="00DC01F6"/>
    <w:rsid w:val="00DC2051"/>
    <w:rsid w:val="00DC2B6E"/>
    <w:rsid w:val="00DC3B0F"/>
    <w:rsid w:val="00DC6E84"/>
    <w:rsid w:val="00DD0B49"/>
    <w:rsid w:val="00DD1235"/>
    <w:rsid w:val="00DD25AF"/>
    <w:rsid w:val="00DD2D71"/>
    <w:rsid w:val="00DD37EC"/>
    <w:rsid w:val="00DD37F3"/>
    <w:rsid w:val="00DE0961"/>
    <w:rsid w:val="00DE0BEB"/>
    <w:rsid w:val="00DE28C5"/>
    <w:rsid w:val="00DE512A"/>
    <w:rsid w:val="00DE716B"/>
    <w:rsid w:val="00DE7CA8"/>
    <w:rsid w:val="00DF2298"/>
    <w:rsid w:val="00DF58C3"/>
    <w:rsid w:val="00DF611E"/>
    <w:rsid w:val="00DF6AB7"/>
    <w:rsid w:val="00DF6C2D"/>
    <w:rsid w:val="00E00088"/>
    <w:rsid w:val="00E059CA"/>
    <w:rsid w:val="00E11783"/>
    <w:rsid w:val="00E20FF4"/>
    <w:rsid w:val="00E21893"/>
    <w:rsid w:val="00E21A78"/>
    <w:rsid w:val="00E33362"/>
    <w:rsid w:val="00E334A0"/>
    <w:rsid w:val="00E34182"/>
    <w:rsid w:val="00E43AA3"/>
    <w:rsid w:val="00E470FF"/>
    <w:rsid w:val="00E516F8"/>
    <w:rsid w:val="00E51FE7"/>
    <w:rsid w:val="00E55491"/>
    <w:rsid w:val="00E67E61"/>
    <w:rsid w:val="00E76285"/>
    <w:rsid w:val="00E76E9B"/>
    <w:rsid w:val="00E813A7"/>
    <w:rsid w:val="00E8201E"/>
    <w:rsid w:val="00E82DE9"/>
    <w:rsid w:val="00E8324E"/>
    <w:rsid w:val="00E9061F"/>
    <w:rsid w:val="00E91CD2"/>
    <w:rsid w:val="00E945D0"/>
    <w:rsid w:val="00E96C17"/>
    <w:rsid w:val="00EA0B7A"/>
    <w:rsid w:val="00EA2025"/>
    <w:rsid w:val="00EA2C15"/>
    <w:rsid w:val="00EA2F25"/>
    <w:rsid w:val="00EA4B2A"/>
    <w:rsid w:val="00EA4D47"/>
    <w:rsid w:val="00EA6081"/>
    <w:rsid w:val="00EB19CD"/>
    <w:rsid w:val="00EB2403"/>
    <w:rsid w:val="00EB68A2"/>
    <w:rsid w:val="00EC0D23"/>
    <w:rsid w:val="00EC3BFF"/>
    <w:rsid w:val="00EC3CDD"/>
    <w:rsid w:val="00ED04AF"/>
    <w:rsid w:val="00ED05B6"/>
    <w:rsid w:val="00ED0C64"/>
    <w:rsid w:val="00ED22A1"/>
    <w:rsid w:val="00ED321B"/>
    <w:rsid w:val="00ED45ED"/>
    <w:rsid w:val="00ED5537"/>
    <w:rsid w:val="00EE0107"/>
    <w:rsid w:val="00EE0646"/>
    <w:rsid w:val="00EE1A2F"/>
    <w:rsid w:val="00EE7818"/>
    <w:rsid w:val="00EF0BD3"/>
    <w:rsid w:val="00EF6CB3"/>
    <w:rsid w:val="00EF6FF1"/>
    <w:rsid w:val="00F01A3E"/>
    <w:rsid w:val="00F04A57"/>
    <w:rsid w:val="00F10BEC"/>
    <w:rsid w:val="00F13DF2"/>
    <w:rsid w:val="00F15565"/>
    <w:rsid w:val="00F20F77"/>
    <w:rsid w:val="00F21A42"/>
    <w:rsid w:val="00F26C67"/>
    <w:rsid w:val="00F27D83"/>
    <w:rsid w:val="00F3008F"/>
    <w:rsid w:val="00F3030D"/>
    <w:rsid w:val="00F356AC"/>
    <w:rsid w:val="00F3664E"/>
    <w:rsid w:val="00F4210E"/>
    <w:rsid w:val="00F421A8"/>
    <w:rsid w:val="00F42245"/>
    <w:rsid w:val="00F4375C"/>
    <w:rsid w:val="00F443D2"/>
    <w:rsid w:val="00F47025"/>
    <w:rsid w:val="00F609F5"/>
    <w:rsid w:val="00F6238B"/>
    <w:rsid w:val="00F72F06"/>
    <w:rsid w:val="00F7497C"/>
    <w:rsid w:val="00F768AC"/>
    <w:rsid w:val="00F844E7"/>
    <w:rsid w:val="00F8785D"/>
    <w:rsid w:val="00F9091E"/>
    <w:rsid w:val="00F916B5"/>
    <w:rsid w:val="00F937B9"/>
    <w:rsid w:val="00F94FEF"/>
    <w:rsid w:val="00FA14E3"/>
    <w:rsid w:val="00FA223A"/>
    <w:rsid w:val="00FA258B"/>
    <w:rsid w:val="00FA45DC"/>
    <w:rsid w:val="00FA5237"/>
    <w:rsid w:val="00FA62C3"/>
    <w:rsid w:val="00FA64FC"/>
    <w:rsid w:val="00FB1ACE"/>
    <w:rsid w:val="00FB2116"/>
    <w:rsid w:val="00FB4587"/>
    <w:rsid w:val="00FB79CD"/>
    <w:rsid w:val="00FB7FB2"/>
    <w:rsid w:val="00FC0D1A"/>
    <w:rsid w:val="00FC65B4"/>
    <w:rsid w:val="00FD2543"/>
    <w:rsid w:val="00FD3AAC"/>
    <w:rsid w:val="00FD4904"/>
    <w:rsid w:val="00FD4CE1"/>
    <w:rsid w:val="00FD7A88"/>
    <w:rsid w:val="00FE06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9D5C7"/>
  <w15:docId w15:val="{DEB9009B-2505-465F-8DAE-29C733E4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CB"/>
    <w:pPr>
      <w:spacing w:after="0" w:line="240" w:lineRule="auto"/>
    </w:pPr>
    <w:rPr>
      <w:rFonts w:ascii="Times New Roman" w:eastAsia="Calibri" w:hAnsi="Times New Roman" w:cs="Times New Roman"/>
      <w:sz w:val="24"/>
      <w:szCs w:val="24"/>
      <w:lang w:eastAsia="lv-LV"/>
    </w:rPr>
  </w:style>
  <w:style w:type="paragraph" w:styleId="Heading1">
    <w:name w:val="heading 1"/>
    <w:basedOn w:val="Normal"/>
    <w:link w:val="Heading1Char"/>
    <w:uiPriority w:val="9"/>
    <w:qFormat/>
    <w:rsid w:val="002B5495"/>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F0FCB"/>
    <w:pPr>
      <w:tabs>
        <w:tab w:val="center" w:pos="4153"/>
        <w:tab w:val="right" w:pos="8306"/>
      </w:tabs>
    </w:pPr>
    <w:rPr>
      <w:lang w:val="x-none"/>
    </w:rPr>
  </w:style>
  <w:style w:type="character" w:customStyle="1" w:styleId="HeaderChar">
    <w:name w:val="Header Char"/>
    <w:basedOn w:val="DefaultParagraphFont"/>
    <w:link w:val="Header"/>
    <w:rsid w:val="00DF0FCB"/>
    <w:rPr>
      <w:rFonts w:ascii="Times New Roman" w:eastAsia="Calibri" w:hAnsi="Times New Roman" w:cs="Times New Roman"/>
      <w:sz w:val="24"/>
      <w:szCs w:val="24"/>
      <w:lang w:val="x-none" w:eastAsia="lv-LV"/>
    </w:rPr>
  </w:style>
  <w:style w:type="character" w:styleId="PageNumber">
    <w:name w:val="page number"/>
    <w:rsid w:val="00DF0FCB"/>
    <w:rPr>
      <w:rFonts w:cs="Times New Roman"/>
    </w:rPr>
  </w:style>
  <w:style w:type="paragraph" w:styleId="BodyText2">
    <w:name w:val="Body Text 2"/>
    <w:basedOn w:val="Normal"/>
    <w:link w:val="BodyText2Char"/>
    <w:semiHidden/>
    <w:rsid w:val="00DF0FCB"/>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basedOn w:val="DefaultParagraphFont"/>
    <w:link w:val="BodyText2"/>
    <w:semiHidden/>
    <w:rsid w:val="00DF0FCB"/>
    <w:rPr>
      <w:rFonts w:ascii="Times New Roman" w:eastAsia="Calibri" w:hAnsi="Times New Roman" w:cs="Times New Roman"/>
      <w:b/>
      <w:bCs/>
      <w:sz w:val="28"/>
      <w:szCs w:val="28"/>
      <w:lang w:val="x-none" w:eastAsia="x-none"/>
    </w:rPr>
  </w:style>
  <w:style w:type="paragraph" w:styleId="ListParagraph">
    <w:name w:val="List Paragraph"/>
    <w:aliases w:val="2,Bullet 1,Bullet Points,Colorful List - Accent 11,Dot pt,F5 List Paragraph,H&amp;P List Paragraph,Indicator Text,List Paragraph Char Char Char,List Paragraph1,List Paragraph11,List Paragraph2,No Spacing1,Normal numbered,Numbered Para 1,Strip"/>
    <w:basedOn w:val="Normal"/>
    <w:link w:val="ListParagraphChar"/>
    <w:uiPriority w:val="34"/>
    <w:qFormat/>
    <w:rsid w:val="00DF0FCB"/>
    <w:pPr>
      <w:ind w:left="720"/>
      <w:contextualSpacing/>
    </w:pPr>
    <w:rPr>
      <w:rFonts w:eastAsia="Times New Roman"/>
      <w:sz w:val="22"/>
      <w:szCs w:val="22"/>
    </w:rPr>
  </w:style>
  <w:style w:type="paragraph" w:customStyle="1" w:styleId="naisnod">
    <w:name w:val="naisnod"/>
    <w:basedOn w:val="Normal"/>
    <w:rsid w:val="00DF0FCB"/>
    <w:pPr>
      <w:spacing w:before="100" w:beforeAutospacing="1" w:after="100" w:afterAutospacing="1"/>
    </w:pPr>
    <w:rPr>
      <w:rFonts w:eastAsia="Times New Roman"/>
    </w:rPr>
  </w:style>
  <w:style w:type="character" w:customStyle="1" w:styleId="ListParagraphChar">
    <w:name w:val="List Paragraph Char"/>
    <w:aliases w:val="2 Char,Bullet 1 Char,Bullet Points Char,Colorful List - Accent 11 Char,Dot pt Char,F5 List Paragraph Char,H&amp;P List Paragraph Char,Indicator Text Char,List Paragraph Char Char Char Char,List Paragraph1 Char,List Paragraph11 Char"/>
    <w:link w:val="ListParagraph"/>
    <w:uiPriority w:val="34"/>
    <w:qFormat/>
    <w:rsid w:val="00DF0FCB"/>
    <w:rPr>
      <w:rFonts w:ascii="Times New Roman" w:eastAsia="Times New Roman" w:hAnsi="Times New Roman" w:cs="Times New Roman"/>
      <w:lang w:eastAsia="lv-LV"/>
    </w:rPr>
  </w:style>
  <w:style w:type="character" w:customStyle="1" w:styleId="apple-converted-space">
    <w:name w:val="apple-converted-space"/>
    <w:rsid w:val="00DF0FCB"/>
  </w:style>
  <w:style w:type="paragraph" w:styleId="BalloonText">
    <w:name w:val="Balloon Text"/>
    <w:basedOn w:val="Normal"/>
    <w:link w:val="BalloonTextChar"/>
    <w:uiPriority w:val="99"/>
    <w:semiHidden/>
    <w:unhideWhenUsed/>
    <w:rsid w:val="00EF0C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CE4"/>
    <w:rPr>
      <w:rFonts w:ascii="Segoe UI" w:eastAsia="Calibri" w:hAnsi="Segoe UI" w:cs="Segoe UI"/>
      <w:sz w:val="18"/>
      <w:szCs w:val="18"/>
      <w:lang w:eastAsia="lv-LV"/>
    </w:rPr>
  </w:style>
  <w:style w:type="character" w:styleId="CommentReference">
    <w:name w:val="annotation reference"/>
    <w:basedOn w:val="DefaultParagraphFont"/>
    <w:uiPriority w:val="99"/>
    <w:semiHidden/>
    <w:unhideWhenUsed/>
    <w:rsid w:val="00AB7485"/>
    <w:rPr>
      <w:sz w:val="16"/>
      <w:szCs w:val="16"/>
    </w:rPr>
  </w:style>
  <w:style w:type="paragraph" w:styleId="CommentText">
    <w:name w:val="annotation text"/>
    <w:basedOn w:val="Normal"/>
    <w:link w:val="CommentTextChar"/>
    <w:uiPriority w:val="99"/>
    <w:unhideWhenUsed/>
    <w:rsid w:val="00AB7485"/>
    <w:rPr>
      <w:sz w:val="20"/>
      <w:szCs w:val="20"/>
    </w:rPr>
  </w:style>
  <w:style w:type="character" w:customStyle="1" w:styleId="CommentTextChar">
    <w:name w:val="Comment Text Char"/>
    <w:basedOn w:val="DefaultParagraphFont"/>
    <w:link w:val="CommentText"/>
    <w:uiPriority w:val="99"/>
    <w:rsid w:val="00AB7485"/>
    <w:rPr>
      <w:rFonts w:ascii="Times New Roman" w:eastAsia="Calibri"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AB7485"/>
    <w:rPr>
      <w:b/>
      <w:bCs/>
    </w:rPr>
  </w:style>
  <w:style w:type="character" w:customStyle="1" w:styleId="CommentSubjectChar">
    <w:name w:val="Comment Subject Char"/>
    <w:basedOn w:val="CommentTextChar"/>
    <w:link w:val="CommentSubject"/>
    <w:uiPriority w:val="99"/>
    <w:semiHidden/>
    <w:rsid w:val="00AB7485"/>
    <w:rPr>
      <w:rFonts w:ascii="Times New Roman" w:eastAsia="Calibri" w:hAnsi="Times New Roman" w:cs="Times New Roman"/>
      <w:b/>
      <w:bCs/>
      <w:sz w:val="20"/>
      <w:szCs w:val="20"/>
      <w:lang w:eastAsia="lv-LV"/>
    </w:rPr>
  </w:style>
  <w:style w:type="paragraph" w:styleId="Footer">
    <w:name w:val="footer"/>
    <w:basedOn w:val="Normal"/>
    <w:link w:val="FooterChar"/>
    <w:uiPriority w:val="99"/>
    <w:semiHidden/>
    <w:unhideWhenUsed/>
    <w:rsid w:val="00863DF9"/>
    <w:pPr>
      <w:tabs>
        <w:tab w:val="center" w:pos="4153"/>
        <w:tab w:val="right" w:pos="8306"/>
      </w:tabs>
    </w:pPr>
  </w:style>
  <w:style w:type="character" w:customStyle="1" w:styleId="FooterChar">
    <w:name w:val="Footer Char"/>
    <w:basedOn w:val="DefaultParagraphFont"/>
    <w:link w:val="Footer"/>
    <w:uiPriority w:val="99"/>
    <w:semiHidden/>
    <w:rsid w:val="00863DF9"/>
    <w:rPr>
      <w:rFonts w:ascii="Times New Roman" w:eastAsia="Calibri" w:hAnsi="Times New Roman" w:cs="Times New Roman"/>
      <w:sz w:val="24"/>
      <w:szCs w:val="24"/>
      <w:lang w:eastAsia="lv-LV"/>
    </w:rPr>
  </w:style>
  <w:style w:type="character" w:styleId="Hyperlink">
    <w:name w:val="Hyperlink"/>
    <w:basedOn w:val="DefaultParagraphFont"/>
    <w:uiPriority w:val="99"/>
    <w:unhideWhenUsed/>
    <w:rsid w:val="00404407"/>
    <w:rPr>
      <w:color w:val="0563C1"/>
      <w:u w:val="single"/>
    </w:rPr>
  </w:style>
  <w:style w:type="character" w:styleId="FollowedHyperlink">
    <w:name w:val="FollowedHyperlink"/>
    <w:basedOn w:val="DefaultParagraphFont"/>
    <w:uiPriority w:val="99"/>
    <w:semiHidden/>
    <w:unhideWhenUsed/>
    <w:rsid w:val="00334386"/>
    <w:rPr>
      <w:color w:val="800080" w:themeColor="followedHyperlink"/>
      <w:u w:val="single"/>
    </w:rPr>
  </w:style>
  <w:style w:type="table" w:styleId="TableGrid">
    <w:name w:val="Table Grid"/>
    <w:basedOn w:val="TableNormal"/>
    <w:uiPriority w:val="59"/>
    <w:rsid w:val="0033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41614"/>
    <w:pPr>
      <w:spacing w:after="120"/>
      <w:ind w:left="283"/>
    </w:pPr>
  </w:style>
  <w:style w:type="character" w:customStyle="1" w:styleId="BodyTextIndentChar">
    <w:name w:val="Body Text Indent Char"/>
    <w:basedOn w:val="DefaultParagraphFont"/>
    <w:link w:val="BodyTextIndent"/>
    <w:uiPriority w:val="99"/>
    <w:semiHidden/>
    <w:rsid w:val="00141614"/>
    <w:rPr>
      <w:rFonts w:ascii="Times New Roman" w:eastAsia="Calibri" w:hAnsi="Times New Roman" w:cs="Times New Roman"/>
      <w:sz w:val="24"/>
      <w:szCs w:val="24"/>
      <w:lang w:eastAsia="lv-LV"/>
    </w:rPr>
  </w:style>
  <w:style w:type="paragraph" w:customStyle="1" w:styleId="Default">
    <w:name w:val="Default"/>
    <w:rsid w:val="000E3ED8"/>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FootnoteText">
    <w:name w:val="footnote text"/>
    <w:aliases w:val="Footnote,Fußnote,Fußnote Char,Fußnote Char Char Char,Fußnotentext Char,Fußnotentext Char1 Char1,Fußnotentext Char Char Char Char,Fußnotentext Char1 Char Char Char,Fußnotentext Char Char,Fußnotentext Char1 Char Char Char Char,Fußn,stile 1,f"/>
    <w:basedOn w:val="Normal"/>
    <w:link w:val="FootnoteTextChar"/>
    <w:unhideWhenUsed/>
    <w:qFormat/>
    <w:rsid w:val="00C13CCD"/>
    <w:rPr>
      <w:sz w:val="20"/>
      <w:szCs w:val="20"/>
    </w:rPr>
  </w:style>
  <w:style w:type="character" w:customStyle="1" w:styleId="FootnoteTextChar">
    <w:name w:val="Footnote Text Char"/>
    <w:aliases w:val="Footnote Char,Fußnote Char1,Fußnote Char Char,Fußnote Char Char Char Char,Fußnotentext Char Char1,Fußnotentext Char1 Char1 Char,Fußnotentext Char Char Char Char Char,Fußnotentext Char1 Char Char Char Char1,Fußnotentext Char Char Char"/>
    <w:basedOn w:val="DefaultParagraphFont"/>
    <w:link w:val="FootnoteText"/>
    <w:qFormat/>
    <w:rsid w:val="00C13CCD"/>
    <w:rPr>
      <w:rFonts w:ascii="Times New Roman" w:eastAsia="Calibri" w:hAnsi="Times New Roman" w:cs="Times New Roman"/>
      <w:sz w:val="20"/>
      <w:szCs w:val="20"/>
      <w:lang w:eastAsia="lv-LV"/>
    </w:rPr>
  </w:style>
  <w:style w:type="character" w:styleId="FootnoteReference">
    <w:name w:val="footnote reference"/>
    <w:aliases w:val="Footnote Reference Number,SUPERS,Footnote symbol,ftref,Footnote Refernece,stylish,BVI fnr,Fußnotenzeichen_Raxen,callout,Footnote Reference Superscript,Footnote symbFootnote Refernece,fr,Odwołanie przypisu,Footnotes refss,Ref,E,E FNZ"/>
    <w:basedOn w:val="DefaultParagraphFont"/>
    <w:link w:val="CharCharCharChar"/>
    <w:unhideWhenUsed/>
    <w:qFormat/>
    <w:rsid w:val="00C13CCD"/>
    <w:rPr>
      <w:vertAlign w:val="superscript"/>
    </w:rPr>
  </w:style>
  <w:style w:type="paragraph" w:customStyle="1" w:styleId="tvhtml">
    <w:name w:val="tv_html"/>
    <w:basedOn w:val="Normal"/>
    <w:rsid w:val="00CE0FDD"/>
    <w:pPr>
      <w:spacing w:before="100" w:beforeAutospacing="1" w:after="100" w:afterAutospacing="1"/>
    </w:pPr>
    <w:rPr>
      <w:rFonts w:eastAsia="Times New Roman"/>
    </w:rPr>
  </w:style>
  <w:style w:type="paragraph" w:styleId="Revision">
    <w:name w:val="Revision"/>
    <w:hidden/>
    <w:uiPriority w:val="99"/>
    <w:semiHidden/>
    <w:rsid w:val="00B15C48"/>
    <w:pPr>
      <w:spacing w:after="0" w:line="240" w:lineRule="auto"/>
    </w:pPr>
    <w:rPr>
      <w:rFonts w:ascii="Times New Roman" w:eastAsia="Calibri"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075D7D"/>
    <w:rPr>
      <w:color w:val="605E5C"/>
      <w:shd w:val="clear" w:color="auto" w:fill="E1DFDD"/>
    </w:rPr>
  </w:style>
  <w:style w:type="character" w:customStyle="1" w:styleId="Heading1Char">
    <w:name w:val="Heading 1 Char"/>
    <w:basedOn w:val="DefaultParagraphFont"/>
    <w:link w:val="Heading1"/>
    <w:uiPriority w:val="9"/>
    <w:rsid w:val="002B5495"/>
    <w:rPr>
      <w:rFonts w:ascii="Times New Roman" w:eastAsia="Times New Roman" w:hAnsi="Times New Roman" w:cs="Times New Roman"/>
      <w:b/>
      <w:bCs/>
      <w:kern w:val="36"/>
      <w:sz w:val="48"/>
      <w:szCs w:val="48"/>
      <w:lang w:eastAsia="lv-LV"/>
    </w:rPr>
  </w:style>
  <w:style w:type="character" w:styleId="Strong">
    <w:name w:val="Strong"/>
    <w:basedOn w:val="DefaultParagraphFont"/>
    <w:uiPriority w:val="22"/>
    <w:qFormat/>
    <w:rsid w:val="005A78C1"/>
    <w:rPr>
      <w:b/>
      <w:bCs/>
    </w:rPr>
  </w:style>
  <w:style w:type="paragraph" w:customStyle="1" w:styleId="CharCharCharChar">
    <w:name w:val="Char Char Char Char"/>
    <w:aliases w:val="Char2"/>
    <w:basedOn w:val="Normal"/>
    <w:next w:val="Normal"/>
    <w:link w:val="FootnoteReference"/>
    <w:uiPriority w:val="99"/>
    <w:rsid w:val="009F0132"/>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1limenis">
    <w:name w:val="1 limenis"/>
    <w:basedOn w:val="Normal"/>
    <w:rsid w:val="00656D9F"/>
    <w:pPr>
      <w:numPr>
        <w:numId w:val="32"/>
      </w:numPr>
    </w:pPr>
    <w:rPr>
      <w:rFonts w:eastAsia="Times New Roman"/>
    </w:rPr>
  </w:style>
  <w:style w:type="paragraph" w:customStyle="1" w:styleId="2limenis">
    <w:name w:val="2 limenis"/>
    <w:basedOn w:val="Normal"/>
    <w:rsid w:val="00656D9F"/>
    <w:pPr>
      <w:numPr>
        <w:ilvl w:val="1"/>
        <w:numId w:val="32"/>
      </w:numPr>
    </w:pPr>
    <w:rPr>
      <w:rFonts w:eastAsia="Times New Roman"/>
    </w:rPr>
  </w:style>
  <w:style w:type="paragraph" w:customStyle="1" w:styleId="3limenis">
    <w:name w:val="3 limenis"/>
    <w:basedOn w:val="Normal"/>
    <w:rsid w:val="00656D9F"/>
    <w:pPr>
      <w:numPr>
        <w:ilvl w:val="2"/>
        <w:numId w:val="32"/>
      </w:numPr>
    </w:pPr>
    <w:rPr>
      <w:rFonts w:eastAsia="Times New Roman"/>
    </w:rPr>
  </w:style>
  <w:style w:type="paragraph" w:customStyle="1" w:styleId="tv213">
    <w:name w:val="tv213"/>
    <w:basedOn w:val="Normal"/>
    <w:rsid w:val="0023560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963931">
      <w:bodyDiv w:val="1"/>
      <w:marLeft w:val="0"/>
      <w:marRight w:val="0"/>
      <w:marTop w:val="0"/>
      <w:marBottom w:val="0"/>
      <w:divBdr>
        <w:top w:val="none" w:sz="0" w:space="0" w:color="auto"/>
        <w:left w:val="none" w:sz="0" w:space="0" w:color="auto"/>
        <w:bottom w:val="none" w:sz="0" w:space="0" w:color="auto"/>
        <w:right w:val="none" w:sz="0" w:space="0" w:color="auto"/>
      </w:divBdr>
    </w:div>
    <w:div w:id="792091213">
      <w:bodyDiv w:val="1"/>
      <w:marLeft w:val="0"/>
      <w:marRight w:val="0"/>
      <w:marTop w:val="0"/>
      <w:marBottom w:val="0"/>
      <w:divBdr>
        <w:top w:val="none" w:sz="0" w:space="0" w:color="auto"/>
        <w:left w:val="none" w:sz="0" w:space="0" w:color="auto"/>
        <w:bottom w:val="none" w:sz="0" w:space="0" w:color="auto"/>
        <w:right w:val="none" w:sz="0" w:space="0" w:color="auto"/>
      </w:divBdr>
    </w:div>
    <w:div w:id="1019701852">
      <w:bodyDiv w:val="1"/>
      <w:marLeft w:val="0"/>
      <w:marRight w:val="0"/>
      <w:marTop w:val="0"/>
      <w:marBottom w:val="0"/>
      <w:divBdr>
        <w:top w:val="none" w:sz="0" w:space="0" w:color="auto"/>
        <w:left w:val="none" w:sz="0" w:space="0" w:color="auto"/>
        <w:bottom w:val="none" w:sz="0" w:space="0" w:color="auto"/>
        <w:right w:val="none" w:sz="0" w:space="0" w:color="auto"/>
      </w:divBdr>
    </w:div>
    <w:div w:id="1047754128">
      <w:bodyDiv w:val="1"/>
      <w:marLeft w:val="0"/>
      <w:marRight w:val="0"/>
      <w:marTop w:val="0"/>
      <w:marBottom w:val="0"/>
      <w:divBdr>
        <w:top w:val="none" w:sz="0" w:space="0" w:color="auto"/>
        <w:left w:val="none" w:sz="0" w:space="0" w:color="auto"/>
        <w:bottom w:val="none" w:sz="0" w:space="0" w:color="auto"/>
        <w:right w:val="none" w:sz="0" w:space="0" w:color="auto"/>
      </w:divBdr>
    </w:div>
    <w:div w:id="1352533113">
      <w:bodyDiv w:val="1"/>
      <w:marLeft w:val="0"/>
      <w:marRight w:val="0"/>
      <w:marTop w:val="0"/>
      <w:marBottom w:val="0"/>
      <w:divBdr>
        <w:top w:val="none" w:sz="0" w:space="0" w:color="auto"/>
        <w:left w:val="none" w:sz="0" w:space="0" w:color="auto"/>
        <w:bottom w:val="none" w:sz="0" w:space="0" w:color="auto"/>
        <w:right w:val="none" w:sz="0" w:space="0" w:color="auto"/>
      </w:divBdr>
    </w:div>
    <w:div w:id="1575772380">
      <w:bodyDiv w:val="1"/>
      <w:marLeft w:val="0"/>
      <w:marRight w:val="0"/>
      <w:marTop w:val="0"/>
      <w:marBottom w:val="0"/>
      <w:divBdr>
        <w:top w:val="none" w:sz="0" w:space="0" w:color="auto"/>
        <w:left w:val="none" w:sz="0" w:space="0" w:color="auto"/>
        <w:bottom w:val="none" w:sz="0" w:space="0" w:color="auto"/>
        <w:right w:val="none" w:sz="0" w:space="0" w:color="auto"/>
      </w:divBdr>
    </w:div>
    <w:div w:id="1591816190">
      <w:bodyDiv w:val="1"/>
      <w:marLeft w:val="0"/>
      <w:marRight w:val="0"/>
      <w:marTop w:val="0"/>
      <w:marBottom w:val="0"/>
      <w:divBdr>
        <w:top w:val="none" w:sz="0" w:space="0" w:color="auto"/>
        <w:left w:val="none" w:sz="0" w:space="0" w:color="auto"/>
        <w:bottom w:val="none" w:sz="0" w:space="0" w:color="auto"/>
        <w:right w:val="none" w:sz="0" w:space="0" w:color="auto"/>
      </w:divBdr>
    </w:div>
    <w:div w:id="1846898013">
      <w:bodyDiv w:val="1"/>
      <w:marLeft w:val="0"/>
      <w:marRight w:val="0"/>
      <w:marTop w:val="0"/>
      <w:marBottom w:val="0"/>
      <w:divBdr>
        <w:top w:val="none" w:sz="0" w:space="0" w:color="auto"/>
        <w:left w:val="none" w:sz="0" w:space="0" w:color="auto"/>
        <w:bottom w:val="none" w:sz="0" w:space="0" w:color="auto"/>
        <w:right w:val="none" w:sz="0" w:space="0" w:color="auto"/>
      </w:divBdr>
    </w:div>
    <w:div w:id="1882788640">
      <w:bodyDiv w:val="1"/>
      <w:marLeft w:val="0"/>
      <w:marRight w:val="0"/>
      <w:marTop w:val="0"/>
      <w:marBottom w:val="0"/>
      <w:divBdr>
        <w:top w:val="none" w:sz="0" w:space="0" w:color="auto"/>
        <w:left w:val="none" w:sz="0" w:space="0" w:color="auto"/>
        <w:bottom w:val="none" w:sz="0" w:space="0" w:color="auto"/>
        <w:right w:val="none" w:sz="0" w:space="0" w:color="auto"/>
      </w:divBdr>
    </w:div>
    <w:div w:id="200909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ec/2012/21/oj/?locale=LV" TargetMode="External"/><Relationship Id="rId13" Type="http://schemas.openxmlformats.org/officeDocument/2006/relationships/hyperlink" Target="http://eur-lex.europa.eu/eli/reg/2014/651/oj/?locale=LV" TargetMode="External"/><Relationship Id="rId18" Type="http://schemas.openxmlformats.org/officeDocument/2006/relationships/hyperlink" Target="mailto:liene.dorbe@vara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dec/2012/21/oj/?locale=LV" TargetMode="External"/><Relationship Id="rId17" Type="http://schemas.openxmlformats.org/officeDocument/2006/relationships/hyperlink" Target="http://eur-lex.europa.eu/eli/dec/2012/21/oj/?locale=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ur-lex.europa.eu/eli/dec/2012/21/oj/?locale=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ur-lex.europa.eu/eli/dec/2012/21/oj/?locale=LV" TargetMode="External"/><Relationship Id="rId23" Type="http://schemas.openxmlformats.org/officeDocument/2006/relationships/footer" Target="footer3.xml"/><Relationship Id="rId10" Type="http://schemas.openxmlformats.org/officeDocument/2006/relationships/hyperlink" Target="http://eur-lex.europa.eu/eli/dec/2012/21/oj/?locale=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77959" TargetMode="External"/><Relationship Id="rId14" Type="http://schemas.openxmlformats.org/officeDocument/2006/relationships/hyperlink" Target="http://eur-lex.europa.eu/eli/reg/2014/651/oj/?locale=LV"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59CB-333B-4F1C-BD61-3269D11B0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14829</Words>
  <Characters>8454</Characters>
  <Application>Microsoft Office Word</Application>
  <DocSecurity>0</DocSecurity>
  <Lines>70</Lines>
  <Paragraphs>46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MK noteikumu projektam "Grozījumi Ministru kabineta 2015. gada 10. novembra noteikumos Nr. 645 "Darbības programmas "Izaugsme un nodarbinātība" 5.6.2. specifiskā atbalsta mērķa "Teritoriju revitalizācija, reģenerējot degradētās teritorijas atbil</vt:lpstr>
      <vt:lpstr>Anotācija MK noteikumu projektam "Grozījumi Ministru kabineta 2015. gada 10. novembra noteikumos Nr. 645 "Darbības programmas "Izaugsme un nodarbinātība" 5.6.2. specifiskā atbalsta mērķa "Teritoriju revitalizācija, reģenerējot degradētās teritorijas atbil</vt:lpstr>
    </vt:vector>
  </TitlesOfParts>
  <Company>Vides aizsardzības un reģionālās attīstības ministrija</Company>
  <LinksUpToDate>false</LinksUpToDate>
  <CharactersWithSpaces>23237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noteikumu projektam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Anotācijas projekts</dc:subject>
  <dc:creator>Liene Dorbe</dc:creator>
  <dc:description>66016767,_x000d_
liene.dorbe@varam.gov.lv</dc:description>
  <cp:lastModifiedBy>RIKTI</cp:lastModifiedBy>
  <cp:revision>1</cp:revision>
  <cp:lastPrinted>2019-08-05T11:47:00Z</cp:lastPrinted>
  <dcterms:created xsi:type="dcterms:W3CDTF">2020-11-16T08:34:00Z</dcterms:created>
  <dcterms:modified xsi:type="dcterms:W3CDTF">2020-12-01T08:43:00Z</dcterms:modified>
</cp:coreProperties>
</file>