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A85DF" w14:textId="77777777" w:rsidR="00591806" w:rsidRPr="002939C5" w:rsidRDefault="00591806" w:rsidP="00591806">
      <w:pPr>
        <w:keepNext/>
        <w:jc w:val="center"/>
        <w:outlineLvl w:val="1"/>
        <w:rPr>
          <w:rFonts w:eastAsia="Calibri"/>
          <w:b/>
        </w:rPr>
      </w:pPr>
      <w:bookmarkStart w:id="0" w:name="OLE_LINK6"/>
      <w:bookmarkStart w:id="1" w:name="OLE_LINK7"/>
      <w:r w:rsidRPr="002939C5">
        <w:rPr>
          <w:rFonts w:eastAsia="Calibri"/>
          <w:b/>
        </w:rPr>
        <w:t xml:space="preserve">Ministru kabineta </w:t>
      </w:r>
      <w:r>
        <w:rPr>
          <w:rFonts w:eastAsia="Calibri"/>
          <w:b/>
        </w:rPr>
        <w:t>noteikumu projekta</w:t>
      </w:r>
      <w:r w:rsidRPr="002939C5">
        <w:rPr>
          <w:rFonts w:eastAsia="Calibri"/>
          <w:b/>
        </w:rPr>
        <w:t xml:space="preserve"> </w:t>
      </w:r>
    </w:p>
    <w:p w14:paraId="42EE82F8" w14:textId="08356287" w:rsidR="00591806" w:rsidRDefault="00591806" w:rsidP="00591806">
      <w:pPr>
        <w:jc w:val="center"/>
        <w:rPr>
          <w:rFonts w:eastAsia="Calibri"/>
          <w:b/>
        </w:rPr>
      </w:pPr>
      <w:r w:rsidRPr="002939C5">
        <w:rPr>
          <w:rFonts w:eastAsia="Calibri"/>
          <w:b/>
        </w:rPr>
        <w:t>“</w:t>
      </w:r>
      <w:r w:rsidR="00704FC6" w:rsidRPr="002939C5">
        <w:rPr>
          <w:rFonts w:eastAsia="Calibri"/>
          <w:b/>
        </w:rPr>
        <w:t>Grozījum</w:t>
      </w:r>
      <w:r w:rsidR="00704FC6">
        <w:rPr>
          <w:rFonts w:eastAsia="Calibri"/>
          <w:b/>
        </w:rPr>
        <w:t>s</w:t>
      </w:r>
      <w:r w:rsidR="00704FC6" w:rsidRPr="002939C5">
        <w:rPr>
          <w:rFonts w:eastAsia="Calibri"/>
          <w:b/>
        </w:rPr>
        <w:t xml:space="preserve"> </w:t>
      </w:r>
      <w:r w:rsidRPr="002939C5">
        <w:rPr>
          <w:rFonts w:eastAsia="Calibri"/>
          <w:b/>
        </w:rPr>
        <w:t xml:space="preserve">Ministru kabineta 2016. gada 30. augusta noteikumos Nr. 588 </w:t>
      </w:r>
      <w:r>
        <w:rPr>
          <w:rFonts w:eastAsia="Calibri"/>
          <w:b/>
        </w:rPr>
        <w:t>“</w:t>
      </w:r>
      <w:r w:rsidRPr="002939C5">
        <w:rPr>
          <w:rFonts w:eastAsia="Calibri"/>
          <w:b/>
        </w:rPr>
        <w:t>Darbības programmas “Izaugsme un nodarbinātība” 5.2.1. specifiskā atbalsta mērķa “Veicināt dažāda veida atkritumu atkārtotu izmantošanu, pārstrādi un reģenerāciju” 5.2.1.2. pasākuma “Atkritumu pārstrādes veicināšana” īstenošanas noteikumi”</w:t>
      </w:r>
    </w:p>
    <w:p w14:paraId="53233E75" w14:textId="77777777" w:rsidR="00591806" w:rsidRPr="002939C5" w:rsidRDefault="00591806" w:rsidP="00591806">
      <w:pPr>
        <w:jc w:val="center"/>
        <w:rPr>
          <w:rFonts w:eastAsia="Calibri"/>
          <w:b/>
        </w:rPr>
      </w:pPr>
      <w:r w:rsidRPr="002939C5">
        <w:rPr>
          <w:rFonts w:eastAsia="Calibri"/>
          <w:b/>
        </w:rPr>
        <w:t>sākotnējās ietekmes novērtējuma ziņojums (anotācija</w:t>
      </w:r>
      <w:bookmarkEnd w:id="0"/>
      <w:bookmarkEnd w:id="1"/>
      <w:r w:rsidRPr="002939C5">
        <w:rPr>
          <w:rFonts w:eastAsia="Calibri"/>
          <w:b/>
        </w:rPr>
        <w:t>)</w:t>
      </w:r>
    </w:p>
    <w:p w14:paraId="0A1FEA98" w14:textId="77777777" w:rsidR="00591806" w:rsidRDefault="00591806" w:rsidP="00591806">
      <w:pPr>
        <w:jc w:val="center"/>
        <w:rPr>
          <w:sz w:val="28"/>
          <w:szCs w:val="28"/>
          <w:highlight w:val="yellow"/>
          <w:lang w:eastAsia="en-US"/>
        </w:rPr>
      </w:pPr>
    </w:p>
    <w:tbl>
      <w:tblPr>
        <w:tblStyle w:val="TableGrid"/>
        <w:tblW w:w="9214" w:type="dxa"/>
        <w:tblInd w:w="-147" w:type="dxa"/>
        <w:tblLook w:val="04A0" w:firstRow="1" w:lastRow="0" w:firstColumn="1" w:lastColumn="0" w:noHBand="0" w:noVBand="1"/>
      </w:tblPr>
      <w:tblGrid>
        <w:gridCol w:w="2410"/>
        <w:gridCol w:w="6804"/>
      </w:tblGrid>
      <w:tr w:rsidR="00591806" w14:paraId="55535AB0" w14:textId="77777777" w:rsidTr="009D52AB">
        <w:tc>
          <w:tcPr>
            <w:tcW w:w="9214" w:type="dxa"/>
            <w:gridSpan w:val="2"/>
            <w:vAlign w:val="center"/>
          </w:tcPr>
          <w:p w14:paraId="057785C4" w14:textId="77777777" w:rsidR="00591806" w:rsidRDefault="00591806" w:rsidP="00983DCD">
            <w:pPr>
              <w:jc w:val="center"/>
              <w:rPr>
                <w:sz w:val="28"/>
                <w:szCs w:val="28"/>
                <w:highlight w:val="yellow"/>
                <w:lang w:eastAsia="en-US"/>
              </w:rPr>
            </w:pPr>
            <w:r w:rsidRPr="006E1208">
              <w:rPr>
                <w:b/>
                <w:bCs/>
                <w:color w:val="000000"/>
              </w:rPr>
              <w:t>Tiesību akta projekta anotācijas kopsavilkums</w:t>
            </w:r>
          </w:p>
        </w:tc>
      </w:tr>
      <w:tr w:rsidR="00591806" w14:paraId="57E19D6B" w14:textId="77777777" w:rsidTr="009D52AB">
        <w:trPr>
          <w:trHeight w:val="2695"/>
        </w:trPr>
        <w:tc>
          <w:tcPr>
            <w:tcW w:w="2410" w:type="dxa"/>
          </w:tcPr>
          <w:p w14:paraId="79CAEB66" w14:textId="77777777" w:rsidR="00591806" w:rsidRDefault="00591806" w:rsidP="00983DCD">
            <w:pPr>
              <w:rPr>
                <w:sz w:val="28"/>
                <w:szCs w:val="28"/>
                <w:highlight w:val="yellow"/>
                <w:lang w:eastAsia="en-US"/>
              </w:rPr>
            </w:pPr>
            <w:r w:rsidRPr="00613CA1">
              <w:rPr>
                <w:color w:val="000000"/>
              </w:rPr>
              <w:t>Mērķis, risinājums un projekta spēkā stāšanās laiks (500 zīmes bez atstarpēm)</w:t>
            </w:r>
          </w:p>
        </w:tc>
        <w:tc>
          <w:tcPr>
            <w:tcW w:w="6804" w:type="dxa"/>
          </w:tcPr>
          <w:p w14:paraId="78B5A39C" w14:textId="0534069E" w:rsidR="00591806" w:rsidRDefault="00591806" w:rsidP="00983DCD">
            <w:pPr>
              <w:ind w:right="142"/>
              <w:jc w:val="both"/>
              <w:rPr>
                <w:color w:val="000000"/>
              </w:rPr>
            </w:pPr>
            <w:r w:rsidRPr="00DD396B">
              <w:rPr>
                <w:color w:val="000000"/>
              </w:rPr>
              <w:t xml:space="preserve">Ministru kabineta (turpmāk – MK) </w:t>
            </w:r>
            <w:r>
              <w:rPr>
                <w:color w:val="000000"/>
              </w:rPr>
              <w:t>noteikumu</w:t>
            </w:r>
            <w:r w:rsidRPr="00DD396B">
              <w:rPr>
                <w:color w:val="000000"/>
              </w:rPr>
              <w:t xml:space="preserve"> projekts paredz veikt g</w:t>
            </w:r>
            <w:r w:rsidRPr="00DD396B">
              <w:rPr>
                <w:bCs/>
              </w:rPr>
              <w:t xml:space="preserve">rozījumu </w:t>
            </w:r>
            <w:bookmarkStart w:id="2" w:name="_Hlk55895725"/>
            <w:r>
              <w:rPr>
                <w:bCs/>
              </w:rPr>
              <w:t>MK</w:t>
            </w:r>
            <w:r w:rsidRPr="00DD396B">
              <w:rPr>
                <w:bCs/>
              </w:rPr>
              <w:t xml:space="preserve"> 2016.gada 30.augusta noteikumos Nr.588 </w:t>
            </w:r>
            <w:r>
              <w:rPr>
                <w:bCs/>
              </w:rPr>
              <w:t>“</w:t>
            </w:r>
            <w:r w:rsidRPr="00DD396B">
              <w:rPr>
                <w:bCs/>
              </w:rPr>
              <w:t>Darbības programmas “Izaugsme un nodarbinātība” 5.2.1.specifiskā atbalsta mērķa “Veicināt dažāda veida atkritumu atkārtotu izmantošanu, pārstrādi un reģenerāciju” 5.2.1.2.pasākuma “Atkritumu pārstrādes veicināšana” īstenošanas noteikumi”</w:t>
            </w:r>
            <w:r w:rsidRPr="00DD396B">
              <w:rPr>
                <w:bCs/>
                <w:sz w:val="28"/>
              </w:rPr>
              <w:t xml:space="preserve"> </w:t>
            </w:r>
            <w:bookmarkEnd w:id="2"/>
            <w:r w:rsidRPr="00DD396B">
              <w:rPr>
                <w:bCs/>
              </w:rPr>
              <w:t>(turpmāk –</w:t>
            </w:r>
            <w:r>
              <w:rPr>
                <w:bCs/>
              </w:rPr>
              <w:t xml:space="preserve"> noteikumu </w:t>
            </w:r>
            <w:r w:rsidRPr="00DD396B">
              <w:rPr>
                <w:bCs/>
              </w:rPr>
              <w:t>projekts)</w:t>
            </w:r>
            <w:r>
              <w:rPr>
                <w:bCs/>
              </w:rPr>
              <w:t>,</w:t>
            </w:r>
            <w:r w:rsidRPr="00DD396B">
              <w:rPr>
                <w:bCs/>
                <w:sz w:val="28"/>
              </w:rPr>
              <w:t xml:space="preserve"> </w:t>
            </w:r>
            <w:r w:rsidRPr="00DD396B">
              <w:rPr>
                <w:color w:val="000000"/>
              </w:rPr>
              <w:t>pa</w:t>
            </w:r>
            <w:r>
              <w:rPr>
                <w:color w:val="000000"/>
              </w:rPr>
              <w:t>garinot</w:t>
            </w:r>
            <w:r w:rsidRPr="00DD396B">
              <w:rPr>
                <w:color w:val="000000"/>
              </w:rPr>
              <w:t xml:space="preserve"> </w:t>
            </w:r>
            <w:r>
              <w:rPr>
                <w:color w:val="000000"/>
              </w:rPr>
              <w:t xml:space="preserve">lēmuma pieņemšanu par atbalsta piešķiršanu </w:t>
            </w:r>
            <w:r w:rsidRPr="003A49D7">
              <w:rPr>
                <w:color w:val="000000"/>
              </w:rPr>
              <w:t>5.2.1.2.pasākuma “Atkritumu pārstrādes veicināšana” (turpmāk – SAMP 5.2.1.2.)</w:t>
            </w:r>
            <w:r>
              <w:rPr>
                <w:color w:val="000000"/>
              </w:rPr>
              <w:t xml:space="preserve"> projektiem līdz 2021.gada 31.decembrim.</w:t>
            </w:r>
          </w:p>
          <w:p w14:paraId="6B5285BD" w14:textId="57E7AEF3" w:rsidR="00591806" w:rsidRPr="002939C5" w:rsidRDefault="00591806" w:rsidP="008D6615">
            <w:pPr>
              <w:ind w:right="142"/>
              <w:jc w:val="both"/>
              <w:rPr>
                <w:color w:val="000000"/>
              </w:rPr>
            </w:pPr>
            <w:r>
              <w:rPr>
                <w:color w:val="000000"/>
              </w:rPr>
              <w:t xml:space="preserve">Tiesību akts stāsies spēkā </w:t>
            </w:r>
            <w:r w:rsidR="001673C2">
              <w:rPr>
                <w:color w:val="000000"/>
              </w:rPr>
              <w:t>vispārējā kārtībā</w:t>
            </w:r>
            <w:r>
              <w:rPr>
                <w:color w:val="000000"/>
              </w:rPr>
              <w:t>.</w:t>
            </w:r>
          </w:p>
        </w:tc>
      </w:tr>
    </w:tbl>
    <w:p w14:paraId="0560F228" w14:textId="1F0A8659" w:rsidR="00591806" w:rsidRDefault="00591806" w:rsidP="00591806">
      <w:pPr>
        <w:jc w:val="center"/>
        <w:rPr>
          <w:sz w:val="28"/>
          <w:szCs w:val="28"/>
          <w:highlight w:val="yellow"/>
          <w:lang w:eastAsia="en-US"/>
        </w:rPr>
      </w:pPr>
    </w:p>
    <w:tbl>
      <w:tblPr>
        <w:tblStyle w:val="TableGrid"/>
        <w:tblW w:w="9214" w:type="dxa"/>
        <w:tblInd w:w="-147" w:type="dxa"/>
        <w:tblLook w:val="04A0" w:firstRow="1" w:lastRow="0" w:firstColumn="1" w:lastColumn="0" w:noHBand="0" w:noVBand="1"/>
      </w:tblPr>
      <w:tblGrid>
        <w:gridCol w:w="426"/>
        <w:gridCol w:w="1984"/>
        <w:gridCol w:w="6804"/>
      </w:tblGrid>
      <w:tr w:rsidR="00591806" w14:paraId="0AA82979" w14:textId="45A3521D" w:rsidTr="009D52AB">
        <w:tc>
          <w:tcPr>
            <w:tcW w:w="9214" w:type="dxa"/>
            <w:gridSpan w:val="3"/>
            <w:vAlign w:val="center"/>
          </w:tcPr>
          <w:p w14:paraId="67319C11" w14:textId="3B657EE6" w:rsidR="00591806" w:rsidRDefault="00591806" w:rsidP="00591806">
            <w:pPr>
              <w:jc w:val="center"/>
              <w:rPr>
                <w:sz w:val="28"/>
                <w:szCs w:val="28"/>
                <w:highlight w:val="yellow"/>
                <w:lang w:eastAsia="en-US"/>
              </w:rPr>
            </w:pPr>
            <w:r w:rsidRPr="006E1208">
              <w:rPr>
                <w:b/>
                <w:bCs/>
                <w:color w:val="000000"/>
              </w:rPr>
              <w:t>I. Tiesību akta projekta izstrādes nepieciešamība</w:t>
            </w:r>
          </w:p>
        </w:tc>
      </w:tr>
      <w:tr w:rsidR="00591806" w14:paraId="24FC9D55" w14:textId="0C495F4F" w:rsidTr="008D3704">
        <w:tc>
          <w:tcPr>
            <w:tcW w:w="426" w:type="dxa"/>
          </w:tcPr>
          <w:p w14:paraId="46868B7B" w14:textId="1A9209E8" w:rsidR="00591806" w:rsidRDefault="00591806" w:rsidP="00591806">
            <w:pPr>
              <w:jc w:val="center"/>
              <w:rPr>
                <w:sz w:val="28"/>
                <w:szCs w:val="28"/>
                <w:highlight w:val="yellow"/>
                <w:lang w:eastAsia="en-US"/>
              </w:rPr>
            </w:pPr>
            <w:r w:rsidRPr="0070741E">
              <w:rPr>
                <w:color w:val="000000"/>
              </w:rPr>
              <w:t>1.</w:t>
            </w:r>
          </w:p>
        </w:tc>
        <w:tc>
          <w:tcPr>
            <w:tcW w:w="1984" w:type="dxa"/>
          </w:tcPr>
          <w:p w14:paraId="32A1D6CF" w14:textId="6F92BF27" w:rsidR="00591806" w:rsidRDefault="00591806" w:rsidP="00591806">
            <w:pPr>
              <w:jc w:val="center"/>
              <w:rPr>
                <w:sz w:val="28"/>
                <w:szCs w:val="28"/>
                <w:highlight w:val="yellow"/>
                <w:lang w:eastAsia="en-US"/>
              </w:rPr>
            </w:pPr>
            <w:r w:rsidRPr="000D10BA">
              <w:rPr>
                <w:color w:val="000000"/>
              </w:rPr>
              <w:t>Pamatojums</w:t>
            </w:r>
          </w:p>
        </w:tc>
        <w:tc>
          <w:tcPr>
            <w:tcW w:w="6804" w:type="dxa"/>
          </w:tcPr>
          <w:p w14:paraId="6BBC2C02" w14:textId="77777777" w:rsidR="00591806" w:rsidRPr="00662FE9" w:rsidRDefault="00591806" w:rsidP="00591806">
            <w:pPr>
              <w:ind w:right="281"/>
              <w:jc w:val="both"/>
              <w:rPr>
                <w:bCs/>
                <w:color w:val="000000"/>
              </w:rPr>
            </w:pPr>
            <w:r w:rsidRPr="00662FE9">
              <w:rPr>
                <w:bCs/>
                <w:color w:val="000000"/>
              </w:rPr>
              <w:t>Noteikumu projekts izstrādāts, ievērojot:</w:t>
            </w:r>
          </w:p>
          <w:p w14:paraId="2CF137D9" w14:textId="77777777" w:rsidR="00591806" w:rsidRPr="00662FE9" w:rsidRDefault="00591806" w:rsidP="00591806">
            <w:pPr>
              <w:pStyle w:val="ListParagraph"/>
              <w:numPr>
                <w:ilvl w:val="0"/>
                <w:numId w:val="1"/>
              </w:numPr>
              <w:ind w:right="281"/>
              <w:jc w:val="both"/>
              <w:rPr>
                <w:bCs/>
                <w:color w:val="000000"/>
              </w:rPr>
            </w:pPr>
            <w:r w:rsidRPr="00662FE9">
              <w:rPr>
                <w:bCs/>
                <w:color w:val="000000"/>
              </w:rPr>
              <w:t>Eiropas Savienības (turpmāk – ES) struktūrfondu un Kohēzijas fonda (turpmāk – KF) 2014.–2020. gada plānošanas perioda vadības likuma 20. panta 13. punktu;</w:t>
            </w:r>
          </w:p>
          <w:p w14:paraId="3CF841B2" w14:textId="77777777" w:rsidR="00591806" w:rsidRPr="00662FE9" w:rsidRDefault="00591806" w:rsidP="00591806">
            <w:pPr>
              <w:pStyle w:val="ListParagraph"/>
              <w:numPr>
                <w:ilvl w:val="0"/>
                <w:numId w:val="1"/>
              </w:numPr>
              <w:ind w:right="281"/>
              <w:jc w:val="both"/>
              <w:rPr>
                <w:bCs/>
                <w:color w:val="000000"/>
              </w:rPr>
            </w:pPr>
            <w:r w:rsidRPr="00662FE9">
              <w:rPr>
                <w:bCs/>
                <w:color w:val="000000"/>
              </w:rPr>
              <w:t>Partnerības līgumu ES investīciju fondu 2014.-2020. gada plānošanas periodam;</w:t>
            </w:r>
          </w:p>
          <w:p w14:paraId="0F35AD2D" w14:textId="77777777" w:rsidR="00662FE9" w:rsidRPr="00662FE9" w:rsidRDefault="00591806" w:rsidP="00662FE9">
            <w:pPr>
              <w:pStyle w:val="ListParagraph"/>
              <w:numPr>
                <w:ilvl w:val="0"/>
                <w:numId w:val="1"/>
              </w:numPr>
              <w:ind w:right="281"/>
              <w:jc w:val="both"/>
              <w:rPr>
                <w:sz w:val="28"/>
                <w:szCs w:val="28"/>
                <w:lang w:eastAsia="en-US"/>
              </w:rPr>
            </w:pPr>
            <w:r w:rsidRPr="00662FE9">
              <w:rPr>
                <w:bCs/>
                <w:color w:val="000000"/>
              </w:rPr>
              <w:t>ES struktūrfondu un KF 2014.-2020. gada plānošanas perioda darbības programmu “Izaugsme un nodarbinātība”;</w:t>
            </w:r>
          </w:p>
          <w:p w14:paraId="12851297" w14:textId="77777777" w:rsidR="00937541" w:rsidRPr="00937541" w:rsidRDefault="00591806" w:rsidP="00937541">
            <w:pPr>
              <w:pStyle w:val="ListParagraph"/>
              <w:numPr>
                <w:ilvl w:val="0"/>
                <w:numId w:val="1"/>
              </w:numPr>
              <w:ind w:left="714" w:right="284" w:hanging="357"/>
              <w:jc w:val="both"/>
              <w:rPr>
                <w:sz w:val="28"/>
                <w:szCs w:val="28"/>
                <w:lang w:eastAsia="en-US"/>
              </w:rPr>
            </w:pPr>
            <w:r w:rsidRPr="00CA2BF9">
              <w:rPr>
                <w:bCs/>
                <w:color w:val="000000"/>
              </w:rPr>
              <w:t>Eiropas Komisijas (turpmāk – EK) 2020.gada 5.oktobra lēmumu C(2020) 6584 par Latvijas Republikas reģionālā atbalsta kartes 2014.-2020.gadam darbības termiņa pagarinājumu</w:t>
            </w:r>
            <w:r w:rsidR="00937541">
              <w:rPr>
                <w:bCs/>
                <w:color w:val="000000"/>
              </w:rPr>
              <w:t>;</w:t>
            </w:r>
          </w:p>
          <w:p w14:paraId="05BA96F9" w14:textId="1626E9DF" w:rsidR="00591806" w:rsidRPr="00937541" w:rsidRDefault="00937541" w:rsidP="00937541">
            <w:pPr>
              <w:pStyle w:val="ListParagraph"/>
              <w:numPr>
                <w:ilvl w:val="0"/>
                <w:numId w:val="1"/>
              </w:numPr>
              <w:ind w:left="714" w:right="284" w:hanging="357"/>
              <w:jc w:val="both"/>
              <w:rPr>
                <w:sz w:val="28"/>
                <w:szCs w:val="28"/>
                <w:lang w:eastAsia="en-US"/>
              </w:rPr>
            </w:pPr>
            <w:bookmarkStart w:id="3" w:name="_Hlk55895615"/>
            <w:r w:rsidRPr="00937541">
              <w:rPr>
                <w:bCs/>
                <w:color w:val="000000"/>
              </w:rPr>
              <w:t>EK 2020.gada 4.novembra lēmumu C(2020) 7522 par valsts atbalsta shēmas (SA. 46525, SA. 51191) darbības termiņa pagarinājumu līdz 2021.gada 31.decembrim.</w:t>
            </w:r>
            <w:bookmarkEnd w:id="3"/>
          </w:p>
        </w:tc>
      </w:tr>
      <w:tr w:rsidR="00591806" w14:paraId="6BC77539" w14:textId="15F62E34" w:rsidTr="00937541">
        <w:trPr>
          <w:trHeight w:val="70"/>
        </w:trPr>
        <w:tc>
          <w:tcPr>
            <w:tcW w:w="426" w:type="dxa"/>
          </w:tcPr>
          <w:p w14:paraId="1378BA96" w14:textId="66751B12" w:rsidR="00591806" w:rsidRDefault="00591806" w:rsidP="00591806">
            <w:pPr>
              <w:jc w:val="center"/>
              <w:rPr>
                <w:sz w:val="28"/>
                <w:szCs w:val="28"/>
                <w:highlight w:val="yellow"/>
                <w:lang w:eastAsia="en-US"/>
              </w:rPr>
            </w:pPr>
            <w:r w:rsidRPr="0070741E">
              <w:rPr>
                <w:color w:val="000000"/>
              </w:rPr>
              <w:t>2.</w:t>
            </w:r>
          </w:p>
        </w:tc>
        <w:tc>
          <w:tcPr>
            <w:tcW w:w="1984" w:type="dxa"/>
          </w:tcPr>
          <w:p w14:paraId="2D687AC5" w14:textId="77777777" w:rsidR="00591806" w:rsidRDefault="00591806" w:rsidP="00591806">
            <w:pPr>
              <w:jc w:val="center"/>
              <w:rPr>
                <w:color w:val="000000"/>
              </w:rPr>
            </w:pPr>
            <w:r w:rsidRPr="0070741E">
              <w:rPr>
                <w:color w:val="000000"/>
              </w:rPr>
              <w:t>Pašreizējā situācija un problēmas, kuru risināšanai tiesību akta projekts izstrādāts, tiesiskā regulējuma mērķis un būtība</w:t>
            </w:r>
          </w:p>
          <w:p w14:paraId="12E2B263" w14:textId="77777777" w:rsidR="00503AFB" w:rsidRPr="00361F4A" w:rsidRDefault="00503AFB" w:rsidP="00361F4A">
            <w:pPr>
              <w:rPr>
                <w:sz w:val="28"/>
                <w:szCs w:val="28"/>
                <w:lang w:eastAsia="en-US"/>
              </w:rPr>
            </w:pPr>
          </w:p>
          <w:p w14:paraId="0B68F5E1" w14:textId="77777777" w:rsidR="00503AFB" w:rsidRPr="00361F4A" w:rsidRDefault="00503AFB" w:rsidP="00361F4A">
            <w:pPr>
              <w:rPr>
                <w:sz w:val="28"/>
                <w:szCs w:val="28"/>
                <w:lang w:eastAsia="en-US"/>
              </w:rPr>
            </w:pPr>
          </w:p>
          <w:p w14:paraId="1D0EC0CB" w14:textId="77777777" w:rsidR="00503AFB" w:rsidRPr="00361F4A" w:rsidRDefault="00503AFB" w:rsidP="00361F4A">
            <w:pPr>
              <w:rPr>
                <w:sz w:val="28"/>
                <w:szCs w:val="28"/>
                <w:lang w:eastAsia="en-US"/>
              </w:rPr>
            </w:pPr>
          </w:p>
          <w:p w14:paraId="547AA1B5" w14:textId="77777777" w:rsidR="00503AFB" w:rsidRPr="00361F4A" w:rsidRDefault="00503AFB" w:rsidP="00361F4A">
            <w:pPr>
              <w:rPr>
                <w:sz w:val="28"/>
                <w:szCs w:val="28"/>
                <w:lang w:eastAsia="en-US"/>
              </w:rPr>
            </w:pPr>
          </w:p>
          <w:p w14:paraId="63517C10" w14:textId="77777777" w:rsidR="00503AFB" w:rsidRPr="00361F4A" w:rsidRDefault="00503AFB" w:rsidP="00361F4A">
            <w:pPr>
              <w:rPr>
                <w:sz w:val="28"/>
                <w:szCs w:val="28"/>
                <w:lang w:eastAsia="en-US"/>
              </w:rPr>
            </w:pPr>
          </w:p>
          <w:p w14:paraId="5C398433" w14:textId="77777777" w:rsidR="00503AFB" w:rsidRPr="00361F4A" w:rsidRDefault="00503AFB" w:rsidP="00361F4A">
            <w:pPr>
              <w:rPr>
                <w:sz w:val="28"/>
                <w:szCs w:val="28"/>
                <w:lang w:eastAsia="en-US"/>
              </w:rPr>
            </w:pPr>
          </w:p>
          <w:p w14:paraId="58618BDF" w14:textId="77777777" w:rsidR="00503AFB" w:rsidRPr="00361F4A" w:rsidRDefault="00503AFB" w:rsidP="00361F4A">
            <w:pPr>
              <w:rPr>
                <w:sz w:val="28"/>
                <w:szCs w:val="28"/>
                <w:lang w:eastAsia="en-US"/>
              </w:rPr>
            </w:pPr>
          </w:p>
          <w:p w14:paraId="768E50C3" w14:textId="77777777" w:rsidR="00503AFB" w:rsidRPr="00361F4A" w:rsidRDefault="00503AFB" w:rsidP="00361F4A">
            <w:pPr>
              <w:rPr>
                <w:sz w:val="28"/>
                <w:szCs w:val="28"/>
                <w:lang w:eastAsia="en-US"/>
              </w:rPr>
            </w:pPr>
          </w:p>
          <w:p w14:paraId="1143E3CD" w14:textId="77777777" w:rsidR="00503AFB" w:rsidRPr="00361F4A" w:rsidRDefault="00503AFB" w:rsidP="00361F4A">
            <w:pPr>
              <w:rPr>
                <w:sz w:val="28"/>
                <w:szCs w:val="28"/>
                <w:lang w:eastAsia="en-US"/>
              </w:rPr>
            </w:pPr>
          </w:p>
          <w:p w14:paraId="79410D78" w14:textId="4FAE9C85" w:rsidR="00503AFB" w:rsidRDefault="00503AFB" w:rsidP="00503AFB">
            <w:pPr>
              <w:rPr>
                <w:color w:val="000000"/>
              </w:rPr>
            </w:pPr>
          </w:p>
          <w:p w14:paraId="78B771C1" w14:textId="77777777" w:rsidR="00503AFB" w:rsidRPr="00361F4A" w:rsidRDefault="00503AFB" w:rsidP="00503AFB">
            <w:pPr>
              <w:jc w:val="center"/>
              <w:rPr>
                <w:sz w:val="28"/>
                <w:szCs w:val="28"/>
                <w:lang w:eastAsia="en-US"/>
              </w:rPr>
            </w:pPr>
          </w:p>
          <w:p w14:paraId="199ABC60" w14:textId="7486FA66" w:rsidR="00503AFB" w:rsidRPr="00503AFB" w:rsidRDefault="00503AFB" w:rsidP="00361F4A">
            <w:pPr>
              <w:rPr>
                <w:sz w:val="28"/>
                <w:szCs w:val="28"/>
                <w:highlight w:val="yellow"/>
                <w:lang w:eastAsia="en-US"/>
              </w:rPr>
            </w:pPr>
          </w:p>
        </w:tc>
        <w:tc>
          <w:tcPr>
            <w:tcW w:w="6804" w:type="dxa"/>
          </w:tcPr>
          <w:p w14:paraId="355B589E" w14:textId="77777777" w:rsidR="00591806" w:rsidRPr="00613CA1" w:rsidRDefault="00591806" w:rsidP="00591806">
            <w:pPr>
              <w:tabs>
                <w:tab w:val="left" w:pos="6493"/>
              </w:tabs>
              <w:spacing w:after="120"/>
              <w:ind w:left="113"/>
              <w:jc w:val="both"/>
              <w:rPr>
                <w:i/>
                <w:u w:val="single"/>
              </w:rPr>
            </w:pPr>
            <w:r>
              <w:rPr>
                <w:bCs/>
                <w:i/>
                <w:u w:val="single"/>
              </w:rPr>
              <w:lastRenderedPageBreak/>
              <w:t>Pašreizējā situācija</w:t>
            </w:r>
          </w:p>
          <w:p w14:paraId="0C637520" w14:textId="5E4C3B1B" w:rsidR="00591806" w:rsidRDefault="00591806" w:rsidP="00591806">
            <w:pPr>
              <w:tabs>
                <w:tab w:val="left" w:pos="6493"/>
              </w:tabs>
              <w:spacing w:after="240"/>
              <w:ind w:left="113" w:right="244"/>
              <w:jc w:val="both"/>
              <w:rPr>
                <w:iCs/>
              </w:rPr>
            </w:pPr>
            <w:r>
              <w:rPr>
                <w:iCs/>
              </w:rPr>
              <w:t xml:space="preserve">Ar </w:t>
            </w:r>
            <w:r w:rsidRPr="001225A6">
              <w:rPr>
                <w:iCs/>
              </w:rPr>
              <w:t xml:space="preserve">2014.gada 9.aprīļa lēmumu </w:t>
            </w:r>
            <w:r>
              <w:rPr>
                <w:iCs/>
              </w:rPr>
              <w:t>EK</w:t>
            </w:r>
            <w:r w:rsidRPr="001225A6">
              <w:rPr>
                <w:iCs/>
              </w:rPr>
              <w:t xml:space="preserve"> apstiprināja Latvijas reģionālā atbalsta karti laikposmam no 2014. līdz 2020.gadam (SA.38385) ar piemērošanas termiņu no 2014.gada 1.jūlija līdz 2020.gada 31.decembrim</w:t>
            </w:r>
            <w:r>
              <w:rPr>
                <w:iCs/>
              </w:rPr>
              <w:t>. Nosacījumi iekļauti</w:t>
            </w:r>
            <w:r w:rsidRPr="001225A6">
              <w:rPr>
                <w:iCs/>
              </w:rPr>
              <w:t xml:space="preserve"> </w:t>
            </w:r>
            <w:r w:rsidRPr="0054754E">
              <w:rPr>
                <w:iCs/>
              </w:rPr>
              <w:t>MK 2016.gada 30.augusta noteikum</w:t>
            </w:r>
            <w:r>
              <w:rPr>
                <w:iCs/>
              </w:rPr>
              <w:t>os</w:t>
            </w:r>
            <w:r w:rsidRPr="0054754E">
              <w:rPr>
                <w:iCs/>
              </w:rPr>
              <w:t xml:space="preserve"> Nr.588 “Darbības programmas “Izaugsme un nodarbinātība” 5.2.1.specifiskā atbalsta mērķa “Veicināt dažāda veida atkritumu atkārtotu izmantošanu, pārstrādi un reģenerāciju” 5.2.1.2.pasākuma “Atkritumu pārstrādes veicināšana” īstenošanas noteikumi”</w:t>
            </w:r>
            <w:r w:rsidR="00937541">
              <w:rPr>
                <w:iCs/>
              </w:rPr>
              <w:t xml:space="preserve"> (turpmāk – Noteikumi Nr.588)</w:t>
            </w:r>
            <w:r>
              <w:rPr>
                <w:iCs/>
              </w:rPr>
              <w:t xml:space="preserve"> – lēmumu par atbalsta piešķiršanu var pieņemt līdz 2020.gada 31.decembrim.</w:t>
            </w:r>
          </w:p>
          <w:p w14:paraId="78E1775E" w14:textId="21E22477" w:rsidR="009D52AB" w:rsidRDefault="00591806" w:rsidP="009D52AB">
            <w:pPr>
              <w:tabs>
                <w:tab w:val="left" w:pos="6493"/>
              </w:tabs>
              <w:spacing w:after="240"/>
              <w:ind w:left="113" w:right="244"/>
              <w:jc w:val="both"/>
              <w:rPr>
                <w:bCs/>
                <w:color w:val="000000"/>
              </w:rPr>
            </w:pPr>
            <w:r>
              <w:rPr>
                <w:iCs/>
              </w:rPr>
              <w:t>EK</w:t>
            </w:r>
            <w:r w:rsidRPr="00C8522A">
              <w:rPr>
                <w:iCs/>
              </w:rPr>
              <w:t xml:space="preserve"> 2020.gada 2.jūlijā grozīja </w:t>
            </w:r>
            <w:r w:rsidRPr="00C05C81">
              <w:rPr>
                <w:iCs/>
              </w:rPr>
              <w:t>Valstu reģionālā atbalsta pamatnostādn</w:t>
            </w:r>
            <w:r>
              <w:rPr>
                <w:iCs/>
              </w:rPr>
              <w:t>e</w:t>
            </w:r>
            <w:r w:rsidRPr="00C05C81">
              <w:rPr>
                <w:iCs/>
              </w:rPr>
              <w:t>s 2014.–2020.gadam (turpmāk – 2014.–2020.gada RAP)</w:t>
            </w:r>
            <w:r>
              <w:rPr>
                <w:iCs/>
              </w:rPr>
              <w:t>,</w:t>
            </w:r>
            <w:r w:rsidRPr="00C8522A">
              <w:rPr>
                <w:iCs/>
              </w:rPr>
              <w:t xml:space="preserve"> pagarin</w:t>
            </w:r>
            <w:r>
              <w:rPr>
                <w:iCs/>
              </w:rPr>
              <w:t>ot</w:t>
            </w:r>
            <w:r w:rsidRPr="00C8522A">
              <w:rPr>
                <w:iCs/>
              </w:rPr>
              <w:t xml:space="preserve"> to darbības termiņu līdz 2021.gada </w:t>
            </w:r>
            <w:r w:rsidRPr="00C8522A">
              <w:rPr>
                <w:iCs/>
              </w:rPr>
              <w:lastRenderedPageBreak/>
              <w:t xml:space="preserve">31.decembrim. Grozīto 2014.–2020.gada RAP 178.a punktā </w:t>
            </w:r>
            <w:r>
              <w:rPr>
                <w:iCs/>
              </w:rPr>
              <w:t>EK</w:t>
            </w:r>
            <w:r w:rsidRPr="00C8522A">
              <w:rPr>
                <w:iCs/>
              </w:rPr>
              <w:t xml:space="preserve"> aicināja dalībvalstis līdz 2020.gada 1.septembrim paziņot</w:t>
            </w:r>
            <w:r>
              <w:rPr>
                <w:iCs/>
              </w:rPr>
              <w:t xml:space="preserve"> EK</w:t>
            </w:r>
            <w:r w:rsidRPr="00C8522A">
              <w:rPr>
                <w:iCs/>
              </w:rPr>
              <w:t xml:space="preserve"> par savu nodomu pagarināt valsts reģionālā atbalsta karšu darbības</w:t>
            </w:r>
            <w:r>
              <w:rPr>
                <w:iCs/>
              </w:rPr>
              <w:t xml:space="preserve"> </w:t>
            </w:r>
            <w:r w:rsidRPr="00C8522A">
              <w:rPr>
                <w:iCs/>
              </w:rPr>
              <w:t>termiņu.</w:t>
            </w:r>
            <w:r>
              <w:rPr>
                <w:iCs/>
              </w:rPr>
              <w:t xml:space="preserve"> </w:t>
            </w:r>
            <w:r w:rsidRPr="00093FA6">
              <w:rPr>
                <w:iCs/>
              </w:rPr>
              <w:t>2020.gada 7.septembr</w:t>
            </w:r>
            <w:r>
              <w:rPr>
                <w:iCs/>
              </w:rPr>
              <w:t>a</w:t>
            </w:r>
            <w:r w:rsidRPr="00093FA6">
              <w:rPr>
                <w:iCs/>
              </w:rPr>
              <w:t xml:space="preserve"> </w:t>
            </w:r>
            <w:r>
              <w:rPr>
                <w:iCs/>
              </w:rPr>
              <w:t>e</w:t>
            </w:r>
            <w:r w:rsidRPr="00093FA6">
              <w:rPr>
                <w:iCs/>
              </w:rPr>
              <w:t>lektronisk</w:t>
            </w:r>
            <w:r>
              <w:rPr>
                <w:iCs/>
              </w:rPr>
              <w:t>aj</w:t>
            </w:r>
            <w:r w:rsidRPr="00093FA6">
              <w:rPr>
                <w:iCs/>
              </w:rPr>
              <w:t>ā paziņojumā</w:t>
            </w:r>
            <w:r>
              <w:rPr>
                <w:iCs/>
              </w:rPr>
              <w:t xml:space="preserve"> </w:t>
            </w:r>
            <w:r w:rsidRPr="00093FA6">
              <w:rPr>
                <w:iCs/>
              </w:rPr>
              <w:t xml:space="preserve">Latvija informēja </w:t>
            </w:r>
            <w:r>
              <w:rPr>
                <w:iCs/>
              </w:rPr>
              <w:t xml:space="preserve">EK </w:t>
            </w:r>
            <w:r w:rsidRPr="00093FA6">
              <w:rPr>
                <w:iCs/>
              </w:rPr>
              <w:t>par Latvijas reģionālā atbalsta kartes 2014.–2020.gadam</w:t>
            </w:r>
            <w:r>
              <w:rPr>
                <w:iCs/>
              </w:rPr>
              <w:t xml:space="preserve"> </w:t>
            </w:r>
            <w:r w:rsidRPr="00093FA6">
              <w:rPr>
                <w:iCs/>
              </w:rPr>
              <w:t>darbības termiņa pagarināšanu.</w:t>
            </w:r>
            <w:r>
              <w:rPr>
                <w:color w:val="000000"/>
              </w:rPr>
              <w:t xml:space="preserve"> P</w:t>
            </w:r>
            <w:r w:rsidRPr="00D45717">
              <w:rPr>
                <w:color w:val="000000"/>
              </w:rPr>
              <w:t>aziņojums attiecas tikai uz Latvijas reģionālā atbalsta kartes</w:t>
            </w:r>
            <w:r>
              <w:rPr>
                <w:color w:val="000000"/>
              </w:rPr>
              <w:t xml:space="preserve"> </w:t>
            </w:r>
            <w:r w:rsidRPr="00D45717">
              <w:rPr>
                <w:color w:val="000000"/>
              </w:rPr>
              <w:t>darbības termiņa pagarināšanu līdz 2021.gada 31.decembrim (ieskaitot)</w:t>
            </w:r>
            <w:r>
              <w:rPr>
                <w:color w:val="000000"/>
              </w:rPr>
              <w:t xml:space="preserve">, </w:t>
            </w:r>
            <w:r w:rsidRPr="00D45717">
              <w:rPr>
                <w:color w:val="000000"/>
              </w:rPr>
              <w:t xml:space="preserve">visi pārējie nosacījumi un saistības, kas ietvertas </w:t>
            </w:r>
            <w:r>
              <w:rPr>
                <w:color w:val="000000"/>
              </w:rPr>
              <w:t>EK</w:t>
            </w:r>
            <w:r w:rsidRPr="00D45717">
              <w:rPr>
                <w:color w:val="000000"/>
              </w:rPr>
              <w:t xml:space="preserve"> 2014.gada 9.aprīļa</w:t>
            </w:r>
            <w:r>
              <w:rPr>
                <w:color w:val="000000"/>
              </w:rPr>
              <w:t xml:space="preserve"> </w:t>
            </w:r>
            <w:r w:rsidRPr="00D45717">
              <w:rPr>
                <w:color w:val="000000"/>
              </w:rPr>
              <w:t>lēmumā lietā SA.38385, ar ko apstiprināja Latvijas reģionālā atbalsta kart</w:t>
            </w:r>
            <w:r>
              <w:rPr>
                <w:color w:val="000000"/>
              </w:rPr>
              <w:t xml:space="preserve">i, </w:t>
            </w:r>
            <w:r w:rsidRPr="00D45717">
              <w:rPr>
                <w:color w:val="000000"/>
              </w:rPr>
              <w:t>palik</w:t>
            </w:r>
            <w:r w:rsidR="00F03F0F">
              <w:rPr>
                <w:color w:val="000000"/>
              </w:rPr>
              <w:t>a</w:t>
            </w:r>
            <w:r w:rsidRPr="00D45717">
              <w:rPr>
                <w:color w:val="000000"/>
              </w:rPr>
              <w:t xml:space="preserve"> nemainīgi</w:t>
            </w:r>
            <w:r w:rsidR="009D52AB">
              <w:rPr>
                <w:color w:val="000000"/>
              </w:rPr>
              <w:t xml:space="preserve"> (t.sk., arī a</w:t>
            </w:r>
            <w:r w:rsidRPr="00D45717">
              <w:rPr>
                <w:color w:val="000000"/>
              </w:rPr>
              <w:t xml:space="preserve">tbalsta intensitāte, kas norādīta </w:t>
            </w:r>
            <w:r w:rsidR="00F03F0F">
              <w:rPr>
                <w:color w:val="000000"/>
              </w:rPr>
              <w:t>EK</w:t>
            </w:r>
            <w:r w:rsidRPr="00D45717">
              <w:rPr>
                <w:color w:val="000000"/>
              </w:rPr>
              <w:t xml:space="preserve"> 2014.gada</w:t>
            </w:r>
            <w:r>
              <w:rPr>
                <w:color w:val="000000"/>
              </w:rPr>
              <w:t xml:space="preserve"> </w:t>
            </w:r>
            <w:r w:rsidRPr="00D45717">
              <w:rPr>
                <w:color w:val="000000"/>
              </w:rPr>
              <w:t xml:space="preserve">9.aprīļa lēmuma pielikumā lietā SA.38385, </w:t>
            </w:r>
            <w:r w:rsidR="00F03F0F" w:rsidRPr="00D45717">
              <w:rPr>
                <w:color w:val="000000"/>
              </w:rPr>
              <w:t>paliek</w:t>
            </w:r>
            <w:r w:rsidR="00F03F0F">
              <w:rPr>
                <w:color w:val="000000"/>
              </w:rPr>
              <w:t xml:space="preserve"> </w:t>
            </w:r>
            <w:r w:rsidR="00F03F0F" w:rsidRPr="00D45717">
              <w:rPr>
                <w:color w:val="000000"/>
              </w:rPr>
              <w:t xml:space="preserve">nemainīga </w:t>
            </w:r>
            <w:r w:rsidR="00F03F0F">
              <w:rPr>
                <w:color w:val="000000"/>
              </w:rPr>
              <w:t xml:space="preserve">arī </w:t>
            </w:r>
            <w:r w:rsidRPr="00D45717">
              <w:rPr>
                <w:color w:val="000000"/>
              </w:rPr>
              <w:t>attiecībā uz 2021.gadu</w:t>
            </w:r>
            <w:r w:rsidR="009D52AB">
              <w:rPr>
                <w:color w:val="000000"/>
              </w:rPr>
              <w:t>)</w:t>
            </w:r>
            <w:r>
              <w:rPr>
                <w:color w:val="000000"/>
              </w:rPr>
              <w:t>.</w:t>
            </w:r>
            <w:r w:rsidR="009D52AB">
              <w:rPr>
                <w:iCs/>
              </w:rPr>
              <w:t xml:space="preserve"> Ievērojot minēto, </w:t>
            </w:r>
            <w:r w:rsidR="009D52AB" w:rsidRPr="007041DA">
              <w:rPr>
                <w:bCs/>
                <w:color w:val="000000"/>
              </w:rPr>
              <w:t>EK 2020.gada 5.oktobr</w:t>
            </w:r>
            <w:r w:rsidR="009D52AB">
              <w:rPr>
                <w:bCs/>
                <w:color w:val="000000"/>
              </w:rPr>
              <w:t xml:space="preserve">ī pieņēma </w:t>
            </w:r>
            <w:r w:rsidR="009D52AB" w:rsidRPr="007041DA">
              <w:rPr>
                <w:bCs/>
                <w:color w:val="000000"/>
              </w:rPr>
              <w:t xml:space="preserve"> lēmumu C(2020) 6584</w:t>
            </w:r>
            <w:r w:rsidR="009D52AB">
              <w:rPr>
                <w:bCs/>
                <w:color w:val="000000"/>
              </w:rPr>
              <w:t xml:space="preserve"> </w:t>
            </w:r>
            <w:r w:rsidR="009D52AB" w:rsidRPr="007041DA">
              <w:rPr>
                <w:bCs/>
                <w:color w:val="000000"/>
              </w:rPr>
              <w:t>par reģionālā atbalsta kartes 2014.-2020.gadam darbības termiņa pagarinājumu</w:t>
            </w:r>
            <w:r w:rsidR="009D52AB">
              <w:rPr>
                <w:bCs/>
                <w:color w:val="000000"/>
              </w:rPr>
              <w:t>.</w:t>
            </w:r>
          </w:p>
          <w:p w14:paraId="78934551" w14:textId="188A80AC" w:rsidR="009D52AB" w:rsidRDefault="009D52AB" w:rsidP="009D52AB">
            <w:pPr>
              <w:tabs>
                <w:tab w:val="left" w:pos="6493"/>
              </w:tabs>
              <w:spacing w:after="240"/>
              <w:ind w:left="113" w:right="244"/>
              <w:jc w:val="both"/>
              <w:rPr>
                <w:color w:val="000000"/>
              </w:rPr>
            </w:pPr>
            <w:r>
              <w:rPr>
                <w:iCs/>
              </w:rPr>
              <w:t xml:space="preserve">Tāpat </w:t>
            </w:r>
            <w:r w:rsidR="00FC687A">
              <w:rPr>
                <w:iCs/>
              </w:rPr>
              <w:t>EK</w:t>
            </w:r>
            <w:r w:rsidR="008D3704">
              <w:rPr>
                <w:iCs/>
              </w:rPr>
              <w:t xml:space="preserve"> ir paziņots par</w:t>
            </w:r>
            <w:r>
              <w:rPr>
                <w:iCs/>
              </w:rPr>
              <w:t xml:space="preserve"> </w:t>
            </w:r>
            <w:r w:rsidRPr="006E3909">
              <w:t>SAMP 5.2.1.2. atbalsta shēmas (SA. 46525, SA.</w:t>
            </w:r>
            <w:r>
              <w:t xml:space="preserve"> </w:t>
            </w:r>
            <w:r w:rsidRPr="006E3909">
              <w:t>5119</w:t>
            </w:r>
            <w:r>
              <w:t>1) darbības termiņa pagarinājum</w:t>
            </w:r>
            <w:r w:rsidR="008D3704">
              <w:t>u</w:t>
            </w:r>
            <w:r w:rsidRPr="006E3909">
              <w:t xml:space="preserve"> līdz 2021.gada 31.decembrim.</w:t>
            </w:r>
          </w:p>
          <w:p w14:paraId="2F6277D3" w14:textId="793BA5A7" w:rsidR="00591806" w:rsidRDefault="00591806" w:rsidP="00591806">
            <w:pPr>
              <w:tabs>
                <w:tab w:val="left" w:pos="6493"/>
              </w:tabs>
              <w:spacing w:after="240"/>
              <w:ind w:left="113" w:right="244"/>
              <w:jc w:val="both"/>
              <w:rPr>
                <w:color w:val="000000"/>
              </w:rPr>
            </w:pPr>
            <w:r>
              <w:rPr>
                <w:color w:val="000000"/>
              </w:rPr>
              <w:t>Savukārt nacionālajā līmenī 2020.gada 2</w:t>
            </w:r>
            <w:r w:rsidR="00324680">
              <w:rPr>
                <w:color w:val="000000"/>
              </w:rPr>
              <w:t>5</w:t>
            </w:r>
            <w:r>
              <w:rPr>
                <w:color w:val="000000"/>
              </w:rPr>
              <w:t>.septembr</w:t>
            </w:r>
            <w:r w:rsidR="00361F4A">
              <w:rPr>
                <w:color w:val="000000"/>
              </w:rPr>
              <w:t>ī</w:t>
            </w:r>
            <w:r>
              <w:rPr>
                <w:color w:val="000000"/>
              </w:rPr>
              <w:t xml:space="preserve"> stāj</w:t>
            </w:r>
            <w:r w:rsidR="00324680">
              <w:rPr>
                <w:color w:val="000000"/>
              </w:rPr>
              <w:t>ās</w:t>
            </w:r>
            <w:r>
              <w:rPr>
                <w:color w:val="000000"/>
              </w:rPr>
              <w:t xml:space="preserve"> spēkā  </w:t>
            </w:r>
            <w:r w:rsidR="00324680">
              <w:rPr>
                <w:color w:val="000000"/>
              </w:rPr>
              <w:t xml:space="preserve">MK </w:t>
            </w:r>
            <w:r>
              <w:rPr>
                <w:color w:val="000000"/>
              </w:rPr>
              <w:t xml:space="preserve">noteikumi Nr.596 </w:t>
            </w:r>
            <w:r w:rsidRPr="00840042">
              <w:rPr>
                <w:color w:val="000000" w:themeColor="text1"/>
              </w:rPr>
              <w:t>“Grozījumi Ministru kabineta 2014.gada 16.decembra noteikumos Nr.786 “Noteikumi par reģionālās attīstības atbalstu Latvijas Republikā līdz 2020.gadam”</w:t>
            </w:r>
            <w:r>
              <w:rPr>
                <w:color w:val="000000" w:themeColor="text1"/>
              </w:rPr>
              <w:t xml:space="preserve"> (turpmāk – Grozījumi noteikumos Nr.786), kuros atbilstoši augstāk minētajam ir paredzēta </w:t>
            </w:r>
            <w:r w:rsidRPr="00D45717">
              <w:rPr>
                <w:color w:val="000000"/>
              </w:rPr>
              <w:t>reģionālā atbalsta kartes</w:t>
            </w:r>
            <w:r>
              <w:rPr>
                <w:color w:val="000000"/>
              </w:rPr>
              <w:t xml:space="preserve"> </w:t>
            </w:r>
            <w:r w:rsidRPr="00D45717">
              <w:rPr>
                <w:color w:val="000000"/>
              </w:rPr>
              <w:t>darbības termiņa pagarināšan</w:t>
            </w:r>
            <w:r w:rsidR="00324680">
              <w:rPr>
                <w:color w:val="000000"/>
              </w:rPr>
              <w:t>a</w:t>
            </w:r>
            <w:r w:rsidRPr="00D45717">
              <w:rPr>
                <w:color w:val="000000"/>
              </w:rPr>
              <w:t xml:space="preserve"> līdz 2021.gada 31.decembrim</w:t>
            </w:r>
            <w:r>
              <w:rPr>
                <w:color w:val="000000"/>
              </w:rPr>
              <w:t>. Grozījumu noteikum</w:t>
            </w:r>
            <w:r w:rsidR="002418D2">
              <w:rPr>
                <w:color w:val="000000"/>
              </w:rPr>
              <w:t>u</w:t>
            </w:r>
            <w:r>
              <w:rPr>
                <w:color w:val="000000"/>
              </w:rPr>
              <w:t xml:space="preserve"> Nr.786 anotācijā ir skaidrots, ka v</w:t>
            </w:r>
            <w:r>
              <w:rPr>
                <w:iCs/>
                <w:color w:val="000000" w:themeColor="text1"/>
              </w:rPr>
              <w:t>alsts pārvaldes institūcijas</w:t>
            </w:r>
            <w:r w:rsidRPr="006A16C1">
              <w:rPr>
                <w:b/>
                <w:bCs/>
                <w:iCs/>
                <w:color w:val="000000" w:themeColor="text1"/>
              </w:rPr>
              <w:t>/</w:t>
            </w:r>
            <w:r w:rsidRPr="00915A35">
              <w:rPr>
                <w:iCs/>
                <w:color w:val="000000" w:themeColor="text1"/>
              </w:rPr>
              <w:t>atbalsta sniedzējs</w:t>
            </w:r>
            <w:r>
              <w:rPr>
                <w:iCs/>
                <w:color w:val="000000" w:themeColor="text1"/>
              </w:rPr>
              <w:t xml:space="preserve">, kas plāno piešķirt reģionālo attīstības atbalstu, pēc reģionālās atbalsta kartes darbības termiņa pagarināšanas apstiprināšanas EK varēs veikt grozījumus savos </w:t>
            </w:r>
            <w:r w:rsidR="00FC687A">
              <w:rPr>
                <w:iCs/>
                <w:color w:val="000000" w:themeColor="text1"/>
              </w:rPr>
              <w:t>MK</w:t>
            </w:r>
            <w:r>
              <w:rPr>
                <w:iCs/>
                <w:color w:val="000000" w:themeColor="text1"/>
              </w:rPr>
              <w:t xml:space="preserve"> noteikumos, pagarinot reģionālā atbalsta programmu darbības termiņus </w:t>
            </w:r>
            <w:r w:rsidRPr="00915A35">
              <w:rPr>
                <w:iCs/>
                <w:color w:val="000000" w:themeColor="text1"/>
              </w:rPr>
              <w:t>par vienu gadu</w:t>
            </w:r>
            <w:r>
              <w:rPr>
                <w:iCs/>
                <w:color w:val="000000" w:themeColor="text1"/>
              </w:rPr>
              <w:t>.</w:t>
            </w:r>
          </w:p>
          <w:p w14:paraId="7D44A587" w14:textId="77777777" w:rsidR="00591806" w:rsidRPr="00613CA1" w:rsidRDefault="00591806" w:rsidP="00591806">
            <w:pPr>
              <w:tabs>
                <w:tab w:val="left" w:pos="6493"/>
              </w:tabs>
              <w:spacing w:after="120"/>
              <w:ind w:left="113"/>
              <w:jc w:val="both"/>
              <w:rPr>
                <w:i/>
                <w:u w:val="single"/>
              </w:rPr>
            </w:pPr>
            <w:r>
              <w:rPr>
                <w:bCs/>
                <w:i/>
                <w:u w:val="single"/>
              </w:rPr>
              <w:t>Plānotās izmaiņas</w:t>
            </w:r>
          </w:p>
          <w:p w14:paraId="421466E5" w14:textId="004EF015" w:rsidR="00591806" w:rsidRPr="00937541" w:rsidRDefault="00591806" w:rsidP="00937541">
            <w:pPr>
              <w:tabs>
                <w:tab w:val="left" w:pos="6493"/>
              </w:tabs>
              <w:spacing w:after="240"/>
              <w:ind w:left="113" w:right="244"/>
              <w:jc w:val="both"/>
              <w:rPr>
                <w:color w:val="000000"/>
              </w:rPr>
            </w:pPr>
            <w:bookmarkStart w:id="4" w:name="_Hlk55895408"/>
            <w:r>
              <w:rPr>
                <w:iCs/>
              </w:rPr>
              <w:t xml:space="preserve">Ņemot vērā </w:t>
            </w:r>
            <w:r w:rsidRPr="007041DA">
              <w:rPr>
                <w:bCs/>
                <w:color w:val="000000"/>
              </w:rPr>
              <w:t>EK 2020.gada 5.oktobra lēmumu C(2020) 6584</w:t>
            </w:r>
            <w:r>
              <w:rPr>
                <w:bCs/>
                <w:color w:val="000000"/>
              </w:rPr>
              <w:t xml:space="preserve"> un Grozījumus noteikumos Nr.786</w:t>
            </w:r>
            <w:r w:rsidRPr="007041DA">
              <w:rPr>
                <w:bCs/>
                <w:color w:val="000000"/>
              </w:rPr>
              <w:t xml:space="preserve"> par Latvijas Republikas reģionālā atbalsta kartes 2014.-2020.gadam darbības termiņa pagarinājumu</w:t>
            </w:r>
            <w:r w:rsidRPr="007041DA">
              <w:rPr>
                <w:color w:val="000000"/>
              </w:rPr>
              <w:t>,</w:t>
            </w:r>
            <w:r w:rsidR="00937541">
              <w:rPr>
                <w:color w:val="000000"/>
              </w:rPr>
              <w:t xml:space="preserve"> kā arī </w:t>
            </w:r>
            <w:r w:rsidR="00937541" w:rsidRPr="00921BBE">
              <w:t xml:space="preserve">EK </w:t>
            </w:r>
            <w:r w:rsidR="00937541">
              <w:t>2020.gada 4.novembra</w:t>
            </w:r>
            <w:r w:rsidR="00937541" w:rsidRPr="00921BBE">
              <w:t xml:space="preserve"> lēmum</w:t>
            </w:r>
            <w:r w:rsidR="00937541">
              <w:t>u</w:t>
            </w:r>
            <w:r w:rsidR="00937541" w:rsidRPr="00921BBE">
              <w:t xml:space="preserve"> C(2020) 7522</w:t>
            </w:r>
            <w:r w:rsidR="00937541">
              <w:t xml:space="preserve"> p</w:t>
            </w:r>
            <w:r w:rsidR="00937541" w:rsidRPr="00921BBE">
              <w:t xml:space="preserve">ar </w:t>
            </w:r>
            <w:r w:rsidR="00937541">
              <w:t>valsts</w:t>
            </w:r>
            <w:r w:rsidR="00937541" w:rsidRPr="00921BBE">
              <w:t xml:space="preserve"> atbalsta shēmas (SA. 46525, SA. 51191) darbības termiņa pagarinājum</w:t>
            </w:r>
            <w:r w:rsidR="00937541">
              <w:t>u</w:t>
            </w:r>
            <w:r w:rsidR="00937541" w:rsidRPr="00921BBE">
              <w:t xml:space="preserve"> līdz 2021.gada 31.decembrim</w:t>
            </w:r>
            <w:r w:rsidR="002418D2">
              <w:t>,</w:t>
            </w:r>
            <w:r w:rsidR="00937541">
              <w:t xml:space="preserve"> </w:t>
            </w:r>
            <w:r>
              <w:rPr>
                <w:bCs/>
                <w:iCs/>
              </w:rPr>
              <w:t xml:space="preserve">ar noteikumu projektu tiks </w:t>
            </w:r>
            <w:r w:rsidRPr="00DD396B">
              <w:rPr>
                <w:color w:val="000000"/>
              </w:rPr>
              <w:t>pa</w:t>
            </w:r>
            <w:r>
              <w:rPr>
                <w:color w:val="000000"/>
              </w:rPr>
              <w:t>garināta</w:t>
            </w:r>
            <w:r w:rsidRPr="00DD396B">
              <w:rPr>
                <w:color w:val="000000"/>
              </w:rPr>
              <w:t xml:space="preserve"> </w:t>
            </w:r>
            <w:r>
              <w:rPr>
                <w:color w:val="000000"/>
              </w:rPr>
              <w:t xml:space="preserve">lēmuma pieņemšana par atbalsta piešķiršanu </w:t>
            </w:r>
            <w:r w:rsidRPr="003A49D7">
              <w:rPr>
                <w:color w:val="000000"/>
              </w:rPr>
              <w:t xml:space="preserve">SAMP 5.2.1.2. projektiem </w:t>
            </w:r>
            <w:r>
              <w:rPr>
                <w:color w:val="000000"/>
              </w:rPr>
              <w:t>līdz 2021.gada 31.decembrim</w:t>
            </w:r>
            <w:r w:rsidRPr="00852A0A">
              <w:rPr>
                <w:bCs/>
                <w:iCs/>
              </w:rPr>
              <w:t>.</w:t>
            </w:r>
          </w:p>
          <w:bookmarkEnd w:id="4"/>
          <w:p w14:paraId="047215C6" w14:textId="0B03D345" w:rsidR="004F759C" w:rsidRDefault="007E155C" w:rsidP="007E155C">
            <w:pPr>
              <w:tabs>
                <w:tab w:val="left" w:pos="6493"/>
              </w:tabs>
              <w:spacing w:after="240"/>
              <w:ind w:left="113" w:right="244"/>
              <w:jc w:val="both"/>
              <w:rPr>
                <w:bCs/>
                <w:iCs/>
              </w:rPr>
            </w:pPr>
            <w:r>
              <w:rPr>
                <w:bCs/>
                <w:iCs/>
              </w:rPr>
              <w:t xml:space="preserve">Noteikumu projekts neietekmē SAMP 5.2.1.2. </w:t>
            </w:r>
            <w:r w:rsidRPr="007E155C">
              <w:rPr>
                <w:bCs/>
                <w:iCs/>
              </w:rPr>
              <w:t>īstenošanā esoš</w:t>
            </w:r>
            <w:r>
              <w:rPr>
                <w:bCs/>
                <w:iCs/>
              </w:rPr>
              <w:t>os</w:t>
            </w:r>
            <w:r w:rsidRPr="007E155C">
              <w:rPr>
                <w:bCs/>
                <w:iCs/>
              </w:rPr>
              <w:t xml:space="preserve"> projekt</w:t>
            </w:r>
            <w:r>
              <w:rPr>
                <w:bCs/>
                <w:iCs/>
              </w:rPr>
              <w:t>us</w:t>
            </w:r>
            <w:r w:rsidRPr="007E155C">
              <w:rPr>
                <w:bCs/>
                <w:iCs/>
              </w:rPr>
              <w:t xml:space="preserve">, </w:t>
            </w:r>
            <w:r>
              <w:rPr>
                <w:bCs/>
                <w:iCs/>
              </w:rPr>
              <w:t xml:space="preserve">jo </w:t>
            </w:r>
            <w:r>
              <w:rPr>
                <w:color w:val="000000"/>
              </w:rPr>
              <w:t xml:space="preserve">lēmums par atbalsta piešķiršanu ir jau pieņemts, kā arī nav </w:t>
            </w:r>
            <w:r w:rsidRPr="007E155C">
              <w:rPr>
                <w:bCs/>
                <w:iCs/>
              </w:rPr>
              <w:t>nepiecieš</w:t>
            </w:r>
            <w:r>
              <w:rPr>
                <w:bCs/>
                <w:iCs/>
              </w:rPr>
              <w:t>ams veikt</w:t>
            </w:r>
            <w:r w:rsidRPr="007E155C">
              <w:rPr>
                <w:bCs/>
                <w:iCs/>
              </w:rPr>
              <w:t xml:space="preserve"> grozījum</w:t>
            </w:r>
            <w:r>
              <w:rPr>
                <w:bCs/>
                <w:iCs/>
              </w:rPr>
              <w:t>us</w:t>
            </w:r>
            <w:r w:rsidRPr="007E155C">
              <w:rPr>
                <w:bCs/>
                <w:iCs/>
              </w:rPr>
              <w:t xml:space="preserve"> līgumos par</w:t>
            </w:r>
            <w:r>
              <w:rPr>
                <w:bCs/>
                <w:iCs/>
              </w:rPr>
              <w:t xml:space="preserve"> šo</w:t>
            </w:r>
            <w:r w:rsidRPr="007E155C">
              <w:rPr>
                <w:bCs/>
                <w:iCs/>
              </w:rPr>
              <w:t xml:space="preserve"> projektu īstenošanu</w:t>
            </w:r>
            <w:r>
              <w:rPr>
                <w:bCs/>
                <w:iCs/>
              </w:rPr>
              <w:t>.</w:t>
            </w:r>
          </w:p>
          <w:p w14:paraId="603964F9" w14:textId="4A7484AC" w:rsidR="004F759C" w:rsidRPr="00591806" w:rsidRDefault="007E155C" w:rsidP="00937541">
            <w:pPr>
              <w:tabs>
                <w:tab w:val="left" w:pos="6493"/>
              </w:tabs>
              <w:ind w:left="113" w:right="244"/>
              <w:jc w:val="both"/>
              <w:rPr>
                <w:bCs/>
                <w:iCs/>
              </w:rPr>
            </w:pPr>
            <w:r w:rsidRPr="007E155C">
              <w:rPr>
                <w:bCs/>
                <w:iCs/>
              </w:rPr>
              <w:t xml:space="preserve">Šobrīd norisinās </w:t>
            </w:r>
            <w:r>
              <w:rPr>
                <w:bCs/>
                <w:iCs/>
              </w:rPr>
              <w:t>SAMP 5.2.1.2.</w:t>
            </w:r>
            <w:r w:rsidRPr="007E155C">
              <w:rPr>
                <w:bCs/>
                <w:iCs/>
              </w:rPr>
              <w:t xml:space="preserve"> trešās atlases kārtas (bioloģiski noārdāmo atkritumu pārstrāde) otrā uzsaukuma projektu iesniegumu vērtēšana. Šā brīža </w:t>
            </w:r>
            <w:r w:rsidR="00937541" w:rsidRPr="00937541">
              <w:rPr>
                <w:bCs/>
                <w:iCs/>
              </w:rPr>
              <w:t>Noteikum</w:t>
            </w:r>
            <w:r w:rsidR="00937541">
              <w:rPr>
                <w:bCs/>
                <w:iCs/>
              </w:rPr>
              <w:t>u</w:t>
            </w:r>
            <w:r w:rsidR="00937541" w:rsidRPr="00937541">
              <w:rPr>
                <w:bCs/>
                <w:iCs/>
              </w:rPr>
              <w:t xml:space="preserve"> Nr.588</w:t>
            </w:r>
            <w:r w:rsidRPr="007E155C">
              <w:rPr>
                <w:bCs/>
                <w:iCs/>
              </w:rPr>
              <w:t xml:space="preserve"> 50.punkta </w:t>
            </w:r>
            <w:r w:rsidRPr="007E155C">
              <w:rPr>
                <w:bCs/>
                <w:iCs/>
              </w:rPr>
              <w:lastRenderedPageBreak/>
              <w:t>redakcija paredz, ka lēmumu par atbalsta piešķiršanu saskaņā ar šiem noteikumiem var pieņemt līdz 2020.gada 31.decembrim.</w:t>
            </w:r>
            <w:r w:rsidR="00937541">
              <w:rPr>
                <w:bCs/>
                <w:iCs/>
              </w:rPr>
              <w:t xml:space="preserve"> </w:t>
            </w:r>
            <w:r>
              <w:rPr>
                <w:bCs/>
                <w:iCs/>
              </w:rPr>
              <w:t>Noteikumu projekts</w:t>
            </w:r>
            <w:r w:rsidRPr="007E155C">
              <w:rPr>
                <w:bCs/>
                <w:iCs/>
              </w:rPr>
              <w:t xml:space="preserve"> nodrošin</w:t>
            </w:r>
            <w:r>
              <w:rPr>
                <w:bCs/>
                <w:iCs/>
              </w:rPr>
              <w:t>a</w:t>
            </w:r>
            <w:r w:rsidRPr="007E155C">
              <w:rPr>
                <w:bCs/>
                <w:iCs/>
              </w:rPr>
              <w:t xml:space="preserve"> tiesisko skaidrību gan projektu iesniedzējiem, gan projektu iesniegumu vērtēšanas komisijai, t.i., lai vērtēšanas komisija šajā uzsaukumā varētu noteikt pietiekošu termiņu projektu iesniedzējiem izpildīt lēmumos par projektu iesniegumu apstiprināšanu ar nosacījumu noteiktos precizējumus un nodrošinātu projektu iesniedzējiem iespēju saņemt valsts atbalstu arī tad, ja lēmums par projekta iesnieguma apstiprināšanu vai atzinums par lēmumā noteikto nosacījumu izpildi tiek pieņemts pēc 2020.gada 30.decembra.</w:t>
            </w:r>
          </w:p>
        </w:tc>
      </w:tr>
      <w:tr w:rsidR="00591806" w14:paraId="4CE2E4C6" w14:textId="11763158" w:rsidTr="008D3704">
        <w:tc>
          <w:tcPr>
            <w:tcW w:w="426" w:type="dxa"/>
          </w:tcPr>
          <w:p w14:paraId="7745B1B5" w14:textId="75F21A3D" w:rsidR="00591806" w:rsidRDefault="00591806" w:rsidP="00591806">
            <w:pPr>
              <w:jc w:val="center"/>
              <w:rPr>
                <w:sz w:val="28"/>
                <w:szCs w:val="28"/>
                <w:highlight w:val="yellow"/>
                <w:lang w:eastAsia="en-US"/>
              </w:rPr>
            </w:pPr>
            <w:r w:rsidRPr="00E064C5">
              <w:rPr>
                <w:color w:val="000000"/>
              </w:rPr>
              <w:lastRenderedPageBreak/>
              <w:t>3.</w:t>
            </w:r>
          </w:p>
        </w:tc>
        <w:tc>
          <w:tcPr>
            <w:tcW w:w="1984" w:type="dxa"/>
          </w:tcPr>
          <w:p w14:paraId="47BF6E74" w14:textId="63E58FFE" w:rsidR="00591806" w:rsidRDefault="00591806" w:rsidP="00591806">
            <w:pPr>
              <w:jc w:val="center"/>
              <w:rPr>
                <w:sz w:val="28"/>
                <w:szCs w:val="28"/>
                <w:highlight w:val="yellow"/>
                <w:lang w:eastAsia="en-US"/>
              </w:rPr>
            </w:pPr>
            <w:r w:rsidRPr="00E064C5">
              <w:rPr>
                <w:color w:val="000000"/>
              </w:rPr>
              <w:t>Projekta izstrādē iesaistītās institūcijas un publiskās personas kapitālsabiedrības</w:t>
            </w:r>
          </w:p>
        </w:tc>
        <w:tc>
          <w:tcPr>
            <w:tcW w:w="6804" w:type="dxa"/>
          </w:tcPr>
          <w:p w14:paraId="15FD422B" w14:textId="78D1EA99" w:rsidR="00591806" w:rsidRDefault="00591806" w:rsidP="00591806">
            <w:pPr>
              <w:rPr>
                <w:sz w:val="28"/>
                <w:szCs w:val="28"/>
                <w:highlight w:val="yellow"/>
                <w:lang w:eastAsia="en-US"/>
              </w:rPr>
            </w:pPr>
            <w:r w:rsidRPr="00263A66">
              <w:rPr>
                <w:color w:val="000000"/>
              </w:rPr>
              <w:t>Vides aizsardzības un</w:t>
            </w:r>
            <w:r>
              <w:rPr>
                <w:color w:val="000000"/>
              </w:rPr>
              <w:t xml:space="preserve"> </w:t>
            </w:r>
            <w:r w:rsidRPr="00263A66">
              <w:rPr>
                <w:color w:val="000000"/>
              </w:rPr>
              <w:t>reģionālās attīstības ministrija</w:t>
            </w:r>
            <w:r>
              <w:rPr>
                <w:color w:val="000000"/>
              </w:rPr>
              <w:t xml:space="preserve"> (turpmāk – </w:t>
            </w:r>
            <w:r w:rsidRPr="00E064C5">
              <w:rPr>
                <w:color w:val="000000"/>
              </w:rPr>
              <w:t>VARAM</w:t>
            </w:r>
            <w:r>
              <w:rPr>
                <w:color w:val="000000"/>
              </w:rPr>
              <w:t>).</w:t>
            </w:r>
          </w:p>
        </w:tc>
      </w:tr>
      <w:tr w:rsidR="00591806" w14:paraId="48F5A828" w14:textId="0AF0AF01" w:rsidTr="008D3704">
        <w:tc>
          <w:tcPr>
            <w:tcW w:w="426" w:type="dxa"/>
          </w:tcPr>
          <w:p w14:paraId="44357255" w14:textId="2821DBEE" w:rsidR="00591806" w:rsidRDefault="00591806" w:rsidP="00591806">
            <w:pPr>
              <w:jc w:val="center"/>
              <w:rPr>
                <w:sz w:val="28"/>
                <w:szCs w:val="28"/>
                <w:highlight w:val="yellow"/>
                <w:lang w:eastAsia="en-US"/>
              </w:rPr>
            </w:pPr>
            <w:r w:rsidRPr="00E064C5">
              <w:rPr>
                <w:color w:val="000000"/>
              </w:rPr>
              <w:t>4.</w:t>
            </w:r>
          </w:p>
        </w:tc>
        <w:tc>
          <w:tcPr>
            <w:tcW w:w="1984" w:type="dxa"/>
          </w:tcPr>
          <w:p w14:paraId="516FF94D" w14:textId="35FF061D" w:rsidR="00591806" w:rsidRDefault="00591806" w:rsidP="00591806">
            <w:pPr>
              <w:jc w:val="center"/>
              <w:rPr>
                <w:sz w:val="28"/>
                <w:szCs w:val="28"/>
                <w:highlight w:val="yellow"/>
                <w:lang w:eastAsia="en-US"/>
              </w:rPr>
            </w:pPr>
            <w:r w:rsidRPr="00E064C5">
              <w:rPr>
                <w:color w:val="000000"/>
              </w:rPr>
              <w:t>Cita informācija</w:t>
            </w:r>
          </w:p>
        </w:tc>
        <w:tc>
          <w:tcPr>
            <w:tcW w:w="6804" w:type="dxa"/>
          </w:tcPr>
          <w:p w14:paraId="4FBBD151" w14:textId="139A5969" w:rsidR="00591806" w:rsidRDefault="00591806" w:rsidP="00591806">
            <w:pPr>
              <w:rPr>
                <w:sz w:val="28"/>
                <w:szCs w:val="28"/>
                <w:highlight w:val="yellow"/>
                <w:lang w:eastAsia="en-US"/>
              </w:rPr>
            </w:pPr>
            <w:r w:rsidRPr="007041DA">
              <w:rPr>
                <w:color w:val="000000"/>
              </w:rPr>
              <w:t>Nav.</w:t>
            </w:r>
          </w:p>
        </w:tc>
      </w:tr>
    </w:tbl>
    <w:p w14:paraId="71D0BAE1" w14:textId="6F9E2C91" w:rsidR="00591806" w:rsidRDefault="00591806" w:rsidP="00591806">
      <w:pPr>
        <w:jc w:val="center"/>
        <w:rPr>
          <w:sz w:val="28"/>
          <w:szCs w:val="28"/>
          <w:highlight w:val="yellow"/>
          <w:lang w:eastAsia="en-US"/>
        </w:rPr>
      </w:pPr>
    </w:p>
    <w:tbl>
      <w:tblPr>
        <w:tblW w:w="5088" w:type="pct"/>
        <w:tblInd w:w="-150"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84"/>
        <w:gridCol w:w="2552"/>
        <w:gridCol w:w="6378"/>
      </w:tblGrid>
      <w:tr w:rsidR="00591806" w:rsidRPr="006E1208" w14:paraId="47398A5A" w14:textId="77777777" w:rsidTr="009D52AB">
        <w:tc>
          <w:tcPr>
            <w:tcW w:w="9214" w:type="dxa"/>
            <w:gridSpan w:val="3"/>
            <w:tcBorders>
              <w:top w:val="single" w:sz="6" w:space="0" w:color="auto"/>
              <w:left w:val="single" w:sz="6" w:space="0" w:color="auto"/>
              <w:bottom w:val="outset" w:sz="6" w:space="0" w:color="000000"/>
              <w:right w:val="single" w:sz="6" w:space="0" w:color="auto"/>
            </w:tcBorders>
            <w:vAlign w:val="center"/>
          </w:tcPr>
          <w:p w14:paraId="4EAF290B" w14:textId="77777777" w:rsidR="00591806" w:rsidRPr="0070741E" w:rsidRDefault="00591806" w:rsidP="00983DCD">
            <w:pPr>
              <w:jc w:val="center"/>
              <w:rPr>
                <w:b/>
                <w:bCs/>
                <w:color w:val="000000"/>
              </w:rPr>
            </w:pPr>
            <w:r w:rsidRPr="0070741E">
              <w:rPr>
                <w:b/>
                <w:bCs/>
                <w:color w:val="000000"/>
              </w:rPr>
              <w:t>II. Tiesību akta projekta ietekme uz sabiedrību, tautsaimniecības attīstību</w:t>
            </w:r>
          </w:p>
          <w:p w14:paraId="30C66C67" w14:textId="77777777" w:rsidR="00591806" w:rsidRPr="0070741E" w:rsidRDefault="00591806" w:rsidP="00983DCD">
            <w:pPr>
              <w:jc w:val="center"/>
              <w:rPr>
                <w:b/>
                <w:bCs/>
                <w:color w:val="000000"/>
              </w:rPr>
            </w:pPr>
            <w:r w:rsidRPr="0070741E">
              <w:rPr>
                <w:b/>
                <w:bCs/>
                <w:color w:val="000000"/>
              </w:rPr>
              <w:t>un administratīvo slogu</w:t>
            </w:r>
          </w:p>
        </w:tc>
      </w:tr>
      <w:tr w:rsidR="00591806" w:rsidRPr="006E1208" w14:paraId="26E0DCAD" w14:textId="77777777" w:rsidTr="009D52AB">
        <w:tc>
          <w:tcPr>
            <w:tcW w:w="284" w:type="dxa"/>
            <w:tcBorders>
              <w:top w:val="outset" w:sz="6" w:space="0" w:color="000000"/>
              <w:left w:val="outset" w:sz="6" w:space="0" w:color="000000"/>
              <w:bottom w:val="outset" w:sz="6" w:space="0" w:color="000000"/>
              <w:right w:val="outset" w:sz="6" w:space="0" w:color="000000"/>
            </w:tcBorders>
          </w:tcPr>
          <w:p w14:paraId="057D7DDC" w14:textId="77777777" w:rsidR="00591806" w:rsidRPr="0070741E" w:rsidRDefault="00591806" w:rsidP="00983DCD">
            <w:pPr>
              <w:rPr>
                <w:color w:val="000000"/>
              </w:rPr>
            </w:pPr>
            <w:r w:rsidRPr="0070741E">
              <w:rPr>
                <w:color w:val="000000"/>
              </w:rPr>
              <w:t>1.</w:t>
            </w:r>
          </w:p>
        </w:tc>
        <w:tc>
          <w:tcPr>
            <w:tcW w:w="2552" w:type="dxa"/>
            <w:tcBorders>
              <w:top w:val="outset" w:sz="6" w:space="0" w:color="000000"/>
              <w:left w:val="outset" w:sz="6" w:space="0" w:color="000000"/>
              <w:bottom w:val="outset" w:sz="6" w:space="0" w:color="000000"/>
              <w:right w:val="outset" w:sz="6" w:space="0" w:color="000000"/>
            </w:tcBorders>
          </w:tcPr>
          <w:p w14:paraId="2F2A9EE1" w14:textId="77777777" w:rsidR="00591806" w:rsidRDefault="00591806" w:rsidP="00983DCD">
            <w:pPr>
              <w:rPr>
                <w:color w:val="000000"/>
              </w:rPr>
            </w:pPr>
            <w:r w:rsidRPr="0070741E">
              <w:rPr>
                <w:color w:val="000000"/>
              </w:rPr>
              <w:t xml:space="preserve">Sabiedrības </w:t>
            </w:r>
            <w:proofErr w:type="spellStart"/>
            <w:r w:rsidRPr="0070741E">
              <w:rPr>
                <w:color w:val="000000"/>
              </w:rPr>
              <w:t>mērķgrupas</w:t>
            </w:r>
            <w:proofErr w:type="spellEnd"/>
            <w:r w:rsidRPr="0070741E">
              <w:rPr>
                <w:color w:val="000000"/>
              </w:rPr>
              <w:t>, kuras tiesiskais regulējums ietekmē vai varētu ietekmēt</w:t>
            </w:r>
          </w:p>
          <w:p w14:paraId="452B8063" w14:textId="77777777" w:rsidR="002B2957" w:rsidRPr="002B2957" w:rsidRDefault="002B2957" w:rsidP="002B2957"/>
          <w:p w14:paraId="3A520843" w14:textId="111DF422" w:rsidR="002B2957" w:rsidRPr="002B2957" w:rsidRDefault="002B2957" w:rsidP="00E72A51">
            <w:pPr>
              <w:jc w:val="center"/>
            </w:pPr>
          </w:p>
        </w:tc>
        <w:tc>
          <w:tcPr>
            <w:tcW w:w="6378" w:type="dxa"/>
            <w:tcBorders>
              <w:top w:val="outset" w:sz="6" w:space="0" w:color="000000"/>
              <w:left w:val="outset" w:sz="6" w:space="0" w:color="000000"/>
              <w:bottom w:val="outset" w:sz="6" w:space="0" w:color="000000"/>
              <w:right w:val="outset" w:sz="6" w:space="0" w:color="000000"/>
            </w:tcBorders>
          </w:tcPr>
          <w:p w14:paraId="7813B3AD" w14:textId="1533DADA" w:rsidR="00591806" w:rsidRPr="00DD396B" w:rsidRDefault="00591806" w:rsidP="00983DCD">
            <w:pPr>
              <w:ind w:left="59" w:right="142"/>
              <w:jc w:val="both"/>
              <w:rPr>
                <w:bCs/>
              </w:rPr>
            </w:pPr>
            <w:r>
              <w:t xml:space="preserve">Noteikumu </w:t>
            </w:r>
            <w:r w:rsidRPr="00DD396B">
              <w:t xml:space="preserve">projektā ietvertais tiesiskais regulējums attiecas uz finansējuma saņēmējiem, VARAM kā atbildīgo iestādi un </w:t>
            </w:r>
            <w:r w:rsidR="001F40B3">
              <w:t xml:space="preserve">Centrālo finanšu un līgumu aģentūru </w:t>
            </w:r>
            <w:r w:rsidR="001F40B3">
              <w:rPr>
                <w:color w:val="000000"/>
              </w:rPr>
              <w:t xml:space="preserve">(turpmāk – </w:t>
            </w:r>
            <w:r w:rsidR="001F40B3" w:rsidRPr="00DD396B">
              <w:t>CFLA</w:t>
            </w:r>
            <w:r w:rsidR="001F40B3">
              <w:rPr>
                <w:color w:val="000000"/>
              </w:rPr>
              <w:t>)</w:t>
            </w:r>
            <w:r w:rsidRPr="00DD396B">
              <w:t xml:space="preserve"> kā sadarbības iestādi</w:t>
            </w:r>
            <w:r w:rsidR="00A567B1">
              <w:t>.</w:t>
            </w:r>
          </w:p>
        </w:tc>
      </w:tr>
      <w:tr w:rsidR="00591806" w:rsidRPr="006E1208" w14:paraId="0F929D64" w14:textId="77777777" w:rsidTr="009D52AB">
        <w:tc>
          <w:tcPr>
            <w:tcW w:w="284" w:type="dxa"/>
            <w:tcBorders>
              <w:top w:val="outset" w:sz="6" w:space="0" w:color="000000"/>
              <w:left w:val="outset" w:sz="6" w:space="0" w:color="000000"/>
              <w:bottom w:val="outset" w:sz="6" w:space="0" w:color="000000"/>
              <w:right w:val="outset" w:sz="6" w:space="0" w:color="000000"/>
            </w:tcBorders>
          </w:tcPr>
          <w:p w14:paraId="1B7E90D2" w14:textId="77777777" w:rsidR="00591806" w:rsidRPr="0070741E" w:rsidRDefault="00591806" w:rsidP="00983DCD">
            <w:pPr>
              <w:rPr>
                <w:color w:val="000000"/>
              </w:rPr>
            </w:pPr>
            <w:r w:rsidRPr="0070741E">
              <w:rPr>
                <w:color w:val="000000"/>
              </w:rPr>
              <w:t>2.</w:t>
            </w:r>
          </w:p>
        </w:tc>
        <w:tc>
          <w:tcPr>
            <w:tcW w:w="2552" w:type="dxa"/>
            <w:tcBorders>
              <w:top w:val="outset" w:sz="6" w:space="0" w:color="000000"/>
              <w:left w:val="outset" w:sz="6" w:space="0" w:color="000000"/>
              <w:bottom w:val="outset" w:sz="6" w:space="0" w:color="000000"/>
              <w:right w:val="outset" w:sz="6" w:space="0" w:color="000000"/>
            </w:tcBorders>
          </w:tcPr>
          <w:p w14:paraId="61869610" w14:textId="77777777" w:rsidR="00591806" w:rsidRPr="0070741E" w:rsidRDefault="00591806" w:rsidP="00983DCD">
            <w:pPr>
              <w:rPr>
                <w:color w:val="000000"/>
              </w:rPr>
            </w:pPr>
            <w:r w:rsidRPr="0070741E">
              <w:rPr>
                <w:color w:val="000000"/>
              </w:rPr>
              <w:t>Tiesiskā regulējuma ietekme uz tautsaimniecību un administratīvo slogu</w:t>
            </w:r>
          </w:p>
        </w:tc>
        <w:tc>
          <w:tcPr>
            <w:tcW w:w="6378" w:type="dxa"/>
            <w:tcBorders>
              <w:top w:val="outset" w:sz="6" w:space="0" w:color="000000"/>
              <w:left w:val="outset" w:sz="6" w:space="0" w:color="000000"/>
              <w:bottom w:val="outset" w:sz="6" w:space="0" w:color="000000"/>
              <w:right w:val="outset" w:sz="6" w:space="0" w:color="000000"/>
            </w:tcBorders>
          </w:tcPr>
          <w:p w14:paraId="0337D27C" w14:textId="77777777" w:rsidR="00591806" w:rsidRPr="00DD396B" w:rsidRDefault="00591806" w:rsidP="00983DCD">
            <w:pPr>
              <w:ind w:left="114" w:right="247"/>
              <w:jc w:val="both"/>
            </w:pPr>
            <w:r>
              <w:rPr>
                <w:color w:val="000000" w:themeColor="text1"/>
              </w:rPr>
              <w:t>Noteikumu</w:t>
            </w:r>
            <w:r w:rsidRPr="00DD396B">
              <w:rPr>
                <w:color w:val="000000" w:themeColor="text1"/>
              </w:rPr>
              <w:t xml:space="preserve"> projekts neradīs ietekmi uz institūciju administratīvo slogu</w:t>
            </w:r>
            <w:r>
              <w:rPr>
                <w:color w:val="000000" w:themeColor="text1"/>
              </w:rPr>
              <w:t>.</w:t>
            </w:r>
          </w:p>
        </w:tc>
      </w:tr>
      <w:tr w:rsidR="00591806" w:rsidRPr="006E1208" w14:paraId="733CD108" w14:textId="77777777" w:rsidTr="009D52AB">
        <w:tc>
          <w:tcPr>
            <w:tcW w:w="284" w:type="dxa"/>
            <w:tcBorders>
              <w:top w:val="outset" w:sz="6" w:space="0" w:color="000000"/>
              <w:left w:val="outset" w:sz="6" w:space="0" w:color="000000"/>
              <w:bottom w:val="outset" w:sz="6" w:space="0" w:color="000000"/>
              <w:right w:val="outset" w:sz="6" w:space="0" w:color="000000"/>
            </w:tcBorders>
          </w:tcPr>
          <w:p w14:paraId="06ACBD9B" w14:textId="77777777" w:rsidR="00591806" w:rsidRPr="0070741E" w:rsidRDefault="00591806" w:rsidP="00983DCD">
            <w:pPr>
              <w:rPr>
                <w:color w:val="000000"/>
              </w:rPr>
            </w:pPr>
            <w:r w:rsidRPr="0070741E">
              <w:rPr>
                <w:color w:val="000000"/>
              </w:rPr>
              <w:t>3.</w:t>
            </w:r>
          </w:p>
        </w:tc>
        <w:tc>
          <w:tcPr>
            <w:tcW w:w="2552" w:type="dxa"/>
            <w:tcBorders>
              <w:top w:val="outset" w:sz="6" w:space="0" w:color="000000"/>
              <w:left w:val="outset" w:sz="6" w:space="0" w:color="000000"/>
              <w:bottom w:val="outset" w:sz="6" w:space="0" w:color="000000"/>
              <w:right w:val="outset" w:sz="6" w:space="0" w:color="000000"/>
            </w:tcBorders>
          </w:tcPr>
          <w:p w14:paraId="2BF2973C" w14:textId="77777777" w:rsidR="00591806" w:rsidRPr="0070741E" w:rsidRDefault="00591806" w:rsidP="00983DCD">
            <w:pPr>
              <w:rPr>
                <w:color w:val="000000"/>
              </w:rPr>
            </w:pPr>
            <w:r w:rsidRPr="0070741E">
              <w:rPr>
                <w:color w:val="000000"/>
              </w:rPr>
              <w:t>Administratīvo izmaksu monetārs novērtējums</w:t>
            </w:r>
          </w:p>
        </w:tc>
        <w:tc>
          <w:tcPr>
            <w:tcW w:w="6378" w:type="dxa"/>
            <w:tcBorders>
              <w:top w:val="outset" w:sz="6" w:space="0" w:color="000000"/>
              <w:left w:val="outset" w:sz="6" w:space="0" w:color="000000"/>
              <w:bottom w:val="outset" w:sz="6" w:space="0" w:color="000000"/>
              <w:right w:val="outset" w:sz="6" w:space="0" w:color="000000"/>
            </w:tcBorders>
          </w:tcPr>
          <w:p w14:paraId="14A0ADEB" w14:textId="77777777" w:rsidR="00591806" w:rsidRPr="0070741E" w:rsidRDefault="00591806" w:rsidP="00983DCD">
            <w:pPr>
              <w:pStyle w:val="naiskr"/>
              <w:spacing w:before="0" w:after="0"/>
              <w:ind w:left="59" w:right="142"/>
              <w:jc w:val="both"/>
              <w:rPr>
                <w:color w:val="FF0000"/>
              </w:rPr>
            </w:pPr>
            <w:r>
              <w:rPr>
                <w:iCs/>
              </w:rPr>
              <w:t xml:space="preserve">Noteikumu </w:t>
            </w:r>
            <w:r w:rsidRPr="0070741E">
              <w:rPr>
                <w:iCs/>
              </w:rPr>
              <w:t>projekts</w:t>
            </w:r>
            <w:r w:rsidRPr="0070741E">
              <w:t xml:space="preserve"> šo jomu neskar.</w:t>
            </w:r>
          </w:p>
        </w:tc>
      </w:tr>
      <w:tr w:rsidR="00591806" w:rsidRPr="006E1208" w14:paraId="52804674" w14:textId="77777777" w:rsidTr="009D52AB">
        <w:trPr>
          <w:trHeight w:val="397"/>
        </w:trPr>
        <w:tc>
          <w:tcPr>
            <w:tcW w:w="284" w:type="dxa"/>
            <w:tcBorders>
              <w:top w:val="outset" w:sz="6" w:space="0" w:color="000000"/>
              <w:left w:val="outset" w:sz="6" w:space="0" w:color="000000"/>
              <w:bottom w:val="outset" w:sz="6" w:space="0" w:color="000000"/>
              <w:right w:val="outset" w:sz="6" w:space="0" w:color="000000"/>
            </w:tcBorders>
          </w:tcPr>
          <w:p w14:paraId="7F2C16BD" w14:textId="77777777" w:rsidR="00591806" w:rsidRPr="0070741E" w:rsidRDefault="00591806" w:rsidP="00983DCD">
            <w:pPr>
              <w:rPr>
                <w:color w:val="000000"/>
              </w:rPr>
            </w:pPr>
            <w:r w:rsidRPr="0070741E">
              <w:rPr>
                <w:color w:val="000000"/>
              </w:rPr>
              <w:t>4.</w:t>
            </w:r>
          </w:p>
        </w:tc>
        <w:tc>
          <w:tcPr>
            <w:tcW w:w="2552" w:type="dxa"/>
            <w:tcBorders>
              <w:top w:val="outset" w:sz="6" w:space="0" w:color="000000"/>
              <w:left w:val="outset" w:sz="6" w:space="0" w:color="000000"/>
              <w:bottom w:val="outset" w:sz="6" w:space="0" w:color="000000"/>
              <w:right w:val="outset" w:sz="6" w:space="0" w:color="000000"/>
            </w:tcBorders>
          </w:tcPr>
          <w:p w14:paraId="59715428" w14:textId="77777777" w:rsidR="00591806" w:rsidRPr="0070741E" w:rsidRDefault="00591806" w:rsidP="00983DCD">
            <w:pPr>
              <w:rPr>
                <w:color w:val="000000"/>
              </w:rPr>
            </w:pPr>
            <w:r w:rsidRPr="0070741E">
              <w:rPr>
                <w:color w:val="000000"/>
              </w:rPr>
              <w:t>Atbilstības izmaksu monetārs novērtējums</w:t>
            </w:r>
          </w:p>
        </w:tc>
        <w:tc>
          <w:tcPr>
            <w:tcW w:w="6378" w:type="dxa"/>
            <w:tcBorders>
              <w:top w:val="outset" w:sz="6" w:space="0" w:color="000000"/>
              <w:left w:val="outset" w:sz="6" w:space="0" w:color="000000"/>
              <w:bottom w:val="outset" w:sz="6" w:space="0" w:color="000000"/>
              <w:right w:val="outset" w:sz="6" w:space="0" w:color="000000"/>
            </w:tcBorders>
          </w:tcPr>
          <w:p w14:paraId="6BB67A57" w14:textId="77777777" w:rsidR="00591806" w:rsidRPr="0070741E" w:rsidRDefault="00591806" w:rsidP="00983DCD">
            <w:pPr>
              <w:ind w:left="59" w:right="142"/>
              <w:jc w:val="both"/>
              <w:rPr>
                <w:color w:val="000000"/>
              </w:rPr>
            </w:pPr>
            <w:r>
              <w:rPr>
                <w:iCs/>
              </w:rPr>
              <w:t>Noteikumu</w:t>
            </w:r>
            <w:r w:rsidRPr="0070741E">
              <w:rPr>
                <w:iCs/>
              </w:rPr>
              <w:t xml:space="preserve"> projekts </w:t>
            </w:r>
            <w:r w:rsidRPr="0070741E">
              <w:t>šo jomu neskar.</w:t>
            </w:r>
          </w:p>
        </w:tc>
      </w:tr>
      <w:tr w:rsidR="00591806" w:rsidRPr="006E1208" w14:paraId="0EF867F0" w14:textId="77777777" w:rsidTr="009D52AB">
        <w:trPr>
          <w:trHeight w:val="39"/>
        </w:trPr>
        <w:tc>
          <w:tcPr>
            <w:tcW w:w="284" w:type="dxa"/>
            <w:tcBorders>
              <w:top w:val="outset" w:sz="6" w:space="0" w:color="000000"/>
              <w:left w:val="outset" w:sz="6" w:space="0" w:color="000000"/>
              <w:bottom w:val="outset" w:sz="6" w:space="0" w:color="000000"/>
              <w:right w:val="outset" w:sz="6" w:space="0" w:color="000000"/>
            </w:tcBorders>
          </w:tcPr>
          <w:p w14:paraId="1E1BAAE2" w14:textId="77777777" w:rsidR="00591806" w:rsidRPr="0070741E" w:rsidRDefault="00591806" w:rsidP="00983DCD">
            <w:pPr>
              <w:rPr>
                <w:color w:val="000000"/>
              </w:rPr>
            </w:pPr>
            <w:r w:rsidRPr="0070741E">
              <w:rPr>
                <w:color w:val="000000"/>
              </w:rPr>
              <w:t>5.</w:t>
            </w:r>
          </w:p>
        </w:tc>
        <w:tc>
          <w:tcPr>
            <w:tcW w:w="2552" w:type="dxa"/>
            <w:tcBorders>
              <w:top w:val="outset" w:sz="6" w:space="0" w:color="000000"/>
              <w:left w:val="outset" w:sz="6" w:space="0" w:color="000000"/>
              <w:bottom w:val="outset" w:sz="6" w:space="0" w:color="000000"/>
              <w:right w:val="outset" w:sz="6" w:space="0" w:color="000000"/>
            </w:tcBorders>
          </w:tcPr>
          <w:p w14:paraId="2677524E" w14:textId="77777777" w:rsidR="00591806" w:rsidRPr="0070741E" w:rsidRDefault="00591806" w:rsidP="00983DCD">
            <w:pPr>
              <w:rPr>
                <w:color w:val="000000"/>
              </w:rPr>
            </w:pPr>
            <w:r w:rsidRPr="0070741E">
              <w:rPr>
                <w:color w:val="000000"/>
              </w:rPr>
              <w:t>Cita informācija</w:t>
            </w:r>
          </w:p>
        </w:tc>
        <w:tc>
          <w:tcPr>
            <w:tcW w:w="6378" w:type="dxa"/>
            <w:tcBorders>
              <w:top w:val="outset" w:sz="6" w:space="0" w:color="000000"/>
              <w:left w:val="outset" w:sz="6" w:space="0" w:color="000000"/>
              <w:bottom w:val="outset" w:sz="6" w:space="0" w:color="000000"/>
              <w:right w:val="outset" w:sz="6" w:space="0" w:color="000000"/>
            </w:tcBorders>
          </w:tcPr>
          <w:p w14:paraId="4A9D48A3" w14:textId="77777777" w:rsidR="00591806" w:rsidRPr="0070741E" w:rsidRDefault="00591806" w:rsidP="00983DCD">
            <w:pPr>
              <w:ind w:left="59" w:right="142"/>
              <w:rPr>
                <w:color w:val="000000"/>
              </w:rPr>
            </w:pPr>
            <w:r w:rsidRPr="0070741E">
              <w:t>Nav</w:t>
            </w:r>
            <w:r>
              <w:t>.</w:t>
            </w:r>
          </w:p>
        </w:tc>
      </w:tr>
    </w:tbl>
    <w:p w14:paraId="6AB82A0B" w14:textId="77777777" w:rsidR="00591806" w:rsidRDefault="00591806" w:rsidP="00591806">
      <w:pPr>
        <w:rPr>
          <w:color w:val="000000"/>
          <w:highlight w:val="yellow"/>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591806" w:rsidRPr="00604A06" w14:paraId="2F02939D" w14:textId="77777777" w:rsidTr="009D52AB">
        <w:trPr>
          <w:jc w:val="center"/>
        </w:trPr>
        <w:tc>
          <w:tcPr>
            <w:tcW w:w="9209" w:type="dxa"/>
          </w:tcPr>
          <w:p w14:paraId="3631C941" w14:textId="77777777" w:rsidR="00591806" w:rsidRPr="00604A06" w:rsidRDefault="00591806" w:rsidP="00983DCD">
            <w:pPr>
              <w:pStyle w:val="naisnod"/>
              <w:spacing w:before="0" w:after="0"/>
            </w:pPr>
            <w:r w:rsidRPr="00826F4A">
              <w:rPr>
                <w:iCs/>
              </w:rPr>
              <w:t>III. Tiesību akta projekta ietekme uz valsts budžetu un pašvaldību budžetiem</w:t>
            </w:r>
          </w:p>
        </w:tc>
      </w:tr>
      <w:tr w:rsidR="00591806" w:rsidRPr="00604A06" w14:paraId="567A38DA" w14:textId="77777777" w:rsidTr="009D52AB">
        <w:trPr>
          <w:jc w:val="center"/>
        </w:trPr>
        <w:tc>
          <w:tcPr>
            <w:tcW w:w="9209" w:type="dxa"/>
          </w:tcPr>
          <w:p w14:paraId="10E5AF13" w14:textId="77777777" w:rsidR="00591806" w:rsidRPr="00604A06" w:rsidRDefault="00591806" w:rsidP="00983DCD">
            <w:pPr>
              <w:pStyle w:val="naisnod"/>
              <w:spacing w:before="0" w:after="0"/>
              <w:rPr>
                <w:b w:val="0"/>
              </w:rPr>
            </w:pPr>
            <w:r>
              <w:rPr>
                <w:b w:val="0"/>
              </w:rPr>
              <w:t>Noteikumu</w:t>
            </w:r>
            <w:r w:rsidRPr="00BE58DC">
              <w:rPr>
                <w:b w:val="0"/>
              </w:rPr>
              <w:t xml:space="preserve"> projekts</w:t>
            </w:r>
            <w:r w:rsidRPr="00604A06">
              <w:rPr>
                <w:b w:val="0"/>
              </w:rPr>
              <w:t xml:space="preserve"> šo jomu neskar</w:t>
            </w:r>
            <w:r>
              <w:rPr>
                <w:b w:val="0"/>
              </w:rPr>
              <w:t>.</w:t>
            </w:r>
          </w:p>
        </w:tc>
      </w:tr>
    </w:tbl>
    <w:p w14:paraId="29E3F1F1" w14:textId="77777777" w:rsidR="00591806" w:rsidRDefault="00591806" w:rsidP="00591806">
      <w:pPr>
        <w:rPr>
          <w:color w:val="000000"/>
          <w:highlight w:val="yellow"/>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591806" w:rsidRPr="00604A06" w14:paraId="39612570" w14:textId="77777777" w:rsidTr="009D52AB">
        <w:trPr>
          <w:jc w:val="center"/>
        </w:trPr>
        <w:tc>
          <w:tcPr>
            <w:tcW w:w="9067" w:type="dxa"/>
          </w:tcPr>
          <w:p w14:paraId="28C56FDC" w14:textId="77777777" w:rsidR="00591806" w:rsidRPr="00604A06" w:rsidRDefault="00591806" w:rsidP="00983DCD">
            <w:pPr>
              <w:pStyle w:val="naisnod"/>
              <w:spacing w:before="0" w:after="0"/>
            </w:pPr>
            <w:r w:rsidRPr="00604A06">
              <w:t>IV. Tiesību akta projekta ietekme uz spēkā esošo tiesību normu sistēmu</w:t>
            </w:r>
          </w:p>
        </w:tc>
      </w:tr>
      <w:tr w:rsidR="00591806" w:rsidRPr="00604A06" w14:paraId="383519FF" w14:textId="77777777" w:rsidTr="009D52AB">
        <w:trPr>
          <w:jc w:val="center"/>
        </w:trPr>
        <w:tc>
          <w:tcPr>
            <w:tcW w:w="9067" w:type="dxa"/>
          </w:tcPr>
          <w:p w14:paraId="5EE5FD59" w14:textId="77777777" w:rsidR="00591806" w:rsidRPr="00604A06" w:rsidRDefault="00591806" w:rsidP="00983DCD">
            <w:pPr>
              <w:pStyle w:val="naisnod"/>
              <w:spacing w:before="0" w:after="0"/>
              <w:rPr>
                <w:b w:val="0"/>
              </w:rPr>
            </w:pPr>
            <w:r>
              <w:rPr>
                <w:b w:val="0"/>
              </w:rPr>
              <w:t>Noteikumu</w:t>
            </w:r>
            <w:r w:rsidRPr="00BE58DC">
              <w:rPr>
                <w:b w:val="0"/>
              </w:rPr>
              <w:t xml:space="preserve"> projekts</w:t>
            </w:r>
            <w:r w:rsidRPr="00604A06">
              <w:rPr>
                <w:b w:val="0"/>
              </w:rPr>
              <w:t xml:space="preserve"> šo jomu neskar</w:t>
            </w:r>
            <w:r>
              <w:rPr>
                <w:b w:val="0"/>
              </w:rPr>
              <w:t>.</w:t>
            </w:r>
          </w:p>
        </w:tc>
      </w:tr>
    </w:tbl>
    <w:p w14:paraId="34BC402C" w14:textId="733FEA59" w:rsidR="00591806" w:rsidRDefault="00591806" w:rsidP="00591806">
      <w:pPr>
        <w:jc w:val="both"/>
        <w:rPr>
          <w:highlight w:val="yellow"/>
        </w:rPr>
      </w:pPr>
    </w:p>
    <w:tbl>
      <w:tblPr>
        <w:tblW w:w="5088" w:type="pct"/>
        <w:tblInd w:w="-15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95"/>
        <w:gridCol w:w="2239"/>
        <w:gridCol w:w="6380"/>
      </w:tblGrid>
      <w:tr w:rsidR="00E41BB6" w:rsidRPr="00567F73" w14:paraId="4A8EF411" w14:textId="77777777" w:rsidTr="009D52AB">
        <w:trPr>
          <w:trHeight w:val="287"/>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5070D1E" w14:textId="77777777" w:rsidR="00E41BB6" w:rsidRPr="00567F73" w:rsidRDefault="00E41BB6" w:rsidP="00B15ED8">
            <w:pPr>
              <w:spacing w:before="100" w:beforeAutospacing="1" w:after="100" w:afterAutospacing="1" w:line="293" w:lineRule="atLeast"/>
              <w:jc w:val="center"/>
              <w:rPr>
                <w:b/>
                <w:bCs/>
              </w:rPr>
            </w:pPr>
            <w:r w:rsidRPr="00567F73">
              <w:rPr>
                <w:b/>
                <w:bCs/>
              </w:rPr>
              <w:t>V. Tiesību akta projekta atbilstība Latvijas Republikas starptautiskajām saistībām</w:t>
            </w:r>
          </w:p>
        </w:tc>
      </w:tr>
      <w:tr w:rsidR="00E41BB6" w:rsidRPr="000C2AFB" w14:paraId="214FF669" w14:textId="77777777" w:rsidTr="009D52AB">
        <w:trPr>
          <w:trHeight w:val="1103"/>
        </w:trPr>
        <w:tc>
          <w:tcPr>
            <w:tcW w:w="323" w:type="pct"/>
            <w:tcBorders>
              <w:top w:val="outset" w:sz="6" w:space="0" w:color="414142"/>
              <w:left w:val="outset" w:sz="6" w:space="0" w:color="414142"/>
              <w:bottom w:val="outset" w:sz="6" w:space="0" w:color="414142"/>
              <w:right w:val="outset" w:sz="6" w:space="0" w:color="414142"/>
            </w:tcBorders>
            <w:hideMark/>
          </w:tcPr>
          <w:p w14:paraId="6936048B" w14:textId="77777777" w:rsidR="00E41BB6" w:rsidRPr="00567F73" w:rsidRDefault="00E41BB6" w:rsidP="00B15ED8">
            <w:r w:rsidRPr="00567F73">
              <w:t>1.</w:t>
            </w:r>
          </w:p>
        </w:tc>
        <w:tc>
          <w:tcPr>
            <w:tcW w:w="1215" w:type="pct"/>
            <w:tcBorders>
              <w:top w:val="outset" w:sz="6" w:space="0" w:color="414142"/>
              <w:left w:val="outset" w:sz="6" w:space="0" w:color="414142"/>
              <w:bottom w:val="outset" w:sz="6" w:space="0" w:color="414142"/>
              <w:right w:val="outset" w:sz="6" w:space="0" w:color="414142"/>
            </w:tcBorders>
            <w:hideMark/>
          </w:tcPr>
          <w:p w14:paraId="58593691" w14:textId="77777777" w:rsidR="00E41BB6" w:rsidRPr="00567F73" w:rsidRDefault="00E41BB6" w:rsidP="00B15ED8">
            <w:r w:rsidRPr="00567F73">
              <w:t>Saistības pret Eiropas Savienību</w:t>
            </w:r>
          </w:p>
        </w:tc>
        <w:tc>
          <w:tcPr>
            <w:tcW w:w="3462" w:type="pct"/>
            <w:tcBorders>
              <w:top w:val="outset" w:sz="6" w:space="0" w:color="414142"/>
              <w:left w:val="outset" w:sz="6" w:space="0" w:color="414142"/>
              <w:bottom w:val="outset" w:sz="6" w:space="0" w:color="414142"/>
              <w:right w:val="outset" w:sz="6" w:space="0" w:color="414142"/>
            </w:tcBorders>
            <w:hideMark/>
          </w:tcPr>
          <w:p w14:paraId="021CAE1B" w14:textId="0D60A015" w:rsidR="00E41BB6" w:rsidRPr="000C2AFB" w:rsidRDefault="00E41BB6" w:rsidP="002426EF">
            <w:pPr>
              <w:ind w:left="123"/>
              <w:jc w:val="both"/>
            </w:pPr>
            <w:r>
              <w:t>Noteikumu projekts nodrošina atbilstību</w:t>
            </w:r>
            <w:bookmarkStart w:id="5" w:name="_Hlk55895645"/>
            <w:r w:rsidR="001F48DA">
              <w:t xml:space="preserve"> EK 04.11.2020. lēmumam </w:t>
            </w:r>
            <w:r w:rsidR="001F48DA" w:rsidRPr="00FC2DF6">
              <w:t>C(2020) 7522</w:t>
            </w:r>
            <w:r>
              <w:t xml:space="preserve">, ar kuru tika </w:t>
            </w:r>
            <w:r w:rsidRPr="006E3909">
              <w:t>apstiprināts  SAMP 5.2.1.2. atbalsta shēmas (SA. 46525, SA.</w:t>
            </w:r>
            <w:r>
              <w:t xml:space="preserve"> </w:t>
            </w:r>
            <w:r w:rsidRPr="006E3909">
              <w:t>5119</w:t>
            </w:r>
            <w:r>
              <w:t>1) darbības termiņa pagarinājums</w:t>
            </w:r>
            <w:r w:rsidRPr="006E3909">
              <w:t xml:space="preserve"> līdz 2021.gada 31.decembrim.</w:t>
            </w:r>
            <w:bookmarkEnd w:id="5"/>
          </w:p>
        </w:tc>
      </w:tr>
      <w:tr w:rsidR="00E41BB6" w:rsidRPr="000C2AFB" w14:paraId="45C98944" w14:textId="77777777" w:rsidTr="009D52AB">
        <w:trPr>
          <w:trHeight w:val="544"/>
        </w:trPr>
        <w:tc>
          <w:tcPr>
            <w:tcW w:w="323" w:type="pct"/>
            <w:tcBorders>
              <w:top w:val="outset" w:sz="6" w:space="0" w:color="414142"/>
              <w:left w:val="outset" w:sz="6" w:space="0" w:color="414142"/>
              <w:bottom w:val="outset" w:sz="6" w:space="0" w:color="414142"/>
              <w:right w:val="outset" w:sz="6" w:space="0" w:color="414142"/>
            </w:tcBorders>
            <w:hideMark/>
          </w:tcPr>
          <w:p w14:paraId="13ACE142" w14:textId="77777777" w:rsidR="00E41BB6" w:rsidRPr="00567F73" w:rsidRDefault="00E41BB6" w:rsidP="00B15ED8">
            <w:r w:rsidRPr="00567F73">
              <w:t>2.</w:t>
            </w:r>
          </w:p>
        </w:tc>
        <w:tc>
          <w:tcPr>
            <w:tcW w:w="1215" w:type="pct"/>
            <w:tcBorders>
              <w:top w:val="outset" w:sz="6" w:space="0" w:color="414142"/>
              <w:left w:val="outset" w:sz="6" w:space="0" w:color="414142"/>
              <w:bottom w:val="outset" w:sz="6" w:space="0" w:color="414142"/>
              <w:right w:val="outset" w:sz="6" w:space="0" w:color="414142"/>
            </w:tcBorders>
            <w:hideMark/>
          </w:tcPr>
          <w:p w14:paraId="6A4A538D" w14:textId="77777777" w:rsidR="00E41BB6" w:rsidRPr="00567F73" w:rsidRDefault="00E41BB6" w:rsidP="00B15ED8">
            <w:r w:rsidRPr="00567F73">
              <w:t>Citas starptautiskās saistības</w:t>
            </w:r>
          </w:p>
        </w:tc>
        <w:tc>
          <w:tcPr>
            <w:tcW w:w="3462" w:type="pct"/>
            <w:tcBorders>
              <w:top w:val="outset" w:sz="6" w:space="0" w:color="414142"/>
              <w:left w:val="outset" w:sz="6" w:space="0" w:color="414142"/>
              <w:bottom w:val="outset" w:sz="6" w:space="0" w:color="414142"/>
              <w:right w:val="outset" w:sz="6" w:space="0" w:color="414142"/>
            </w:tcBorders>
            <w:hideMark/>
          </w:tcPr>
          <w:p w14:paraId="4074395D" w14:textId="77777777" w:rsidR="00E41BB6" w:rsidRPr="000C2AFB" w:rsidRDefault="00E41BB6" w:rsidP="009D52AB">
            <w:pPr>
              <w:ind w:left="123"/>
              <w:jc w:val="both"/>
            </w:pPr>
            <w:r>
              <w:rPr>
                <w:iCs/>
                <w:color w:val="000000" w:themeColor="text1"/>
              </w:rPr>
              <w:t>Noteikumu projekts šo jomu neskar.</w:t>
            </w:r>
          </w:p>
        </w:tc>
      </w:tr>
      <w:tr w:rsidR="00E41BB6" w:rsidRPr="00567F73" w14:paraId="7CFE85B8" w14:textId="77777777" w:rsidTr="009D52AB">
        <w:trPr>
          <w:trHeight w:val="41"/>
        </w:trPr>
        <w:tc>
          <w:tcPr>
            <w:tcW w:w="323" w:type="pct"/>
            <w:tcBorders>
              <w:top w:val="outset" w:sz="6" w:space="0" w:color="414142"/>
              <w:left w:val="outset" w:sz="6" w:space="0" w:color="414142"/>
              <w:bottom w:val="outset" w:sz="6" w:space="0" w:color="414142"/>
              <w:right w:val="outset" w:sz="6" w:space="0" w:color="414142"/>
            </w:tcBorders>
            <w:hideMark/>
          </w:tcPr>
          <w:p w14:paraId="5FA3BF6E" w14:textId="77777777" w:rsidR="00E41BB6" w:rsidRPr="00567F73" w:rsidRDefault="00E41BB6" w:rsidP="00B15ED8">
            <w:r w:rsidRPr="00567F73">
              <w:lastRenderedPageBreak/>
              <w:t>3.</w:t>
            </w:r>
          </w:p>
        </w:tc>
        <w:tc>
          <w:tcPr>
            <w:tcW w:w="1215" w:type="pct"/>
            <w:tcBorders>
              <w:top w:val="outset" w:sz="6" w:space="0" w:color="414142"/>
              <w:left w:val="outset" w:sz="6" w:space="0" w:color="414142"/>
              <w:bottom w:val="outset" w:sz="6" w:space="0" w:color="414142"/>
              <w:right w:val="outset" w:sz="6" w:space="0" w:color="414142"/>
            </w:tcBorders>
            <w:hideMark/>
          </w:tcPr>
          <w:p w14:paraId="27F3D4FA" w14:textId="77777777" w:rsidR="00E41BB6" w:rsidRPr="00567F73" w:rsidRDefault="00E41BB6" w:rsidP="00B15ED8">
            <w:r w:rsidRPr="00567F73">
              <w:t>Cita informācija</w:t>
            </w:r>
          </w:p>
        </w:tc>
        <w:tc>
          <w:tcPr>
            <w:tcW w:w="3462" w:type="pct"/>
            <w:tcBorders>
              <w:top w:val="outset" w:sz="6" w:space="0" w:color="414142"/>
              <w:left w:val="outset" w:sz="6" w:space="0" w:color="414142"/>
              <w:bottom w:val="outset" w:sz="6" w:space="0" w:color="414142"/>
              <w:right w:val="outset" w:sz="6" w:space="0" w:color="414142"/>
            </w:tcBorders>
            <w:hideMark/>
          </w:tcPr>
          <w:p w14:paraId="503E3184" w14:textId="77777777" w:rsidR="00E41BB6" w:rsidRPr="00567F73" w:rsidRDefault="00E41BB6" w:rsidP="009D52AB">
            <w:pPr>
              <w:ind w:left="123"/>
              <w:jc w:val="both"/>
            </w:pPr>
            <w:r>
              <w:rPr>
                <w:iCs/>
                <w:color w:val="000000" w:themeColor="text1"/>
              </w:rPr>
              <w:t>Noteikumu projekts šo jomu neskar.</w:t>
            </w:r>
          </w:p>
        </w:tc>
      </w:tr>
    </w:tbl>
    <w:p w14:paraId="65194208" w14:textId="77777777" w:rsidR="00E41BB6" w:rsidRPr="006E1208" w:rsidRDefault="00E41BB6" w:rsidP="00591806">
      <w:pPr>
        <w:jc w:val="both"/>
        <w:rPr>
          <w:highlight w:val="yellow"/>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07"/>
        <w:gridCol w:w="2423"/>
        <w:gridCol w:w="6379"/>
      </w:tblGrid>
      <w:tr w:rsidR="00591806" w:rsidRPr="006E1208" w14:paraId="73538863" w14:textId="77777777" w:rsidTr="009D52AB">
        <w:trPr>
          <w:jc w:val="center"/>
        </w:trPr>
        <w:tc>
          <w:tcPr>
            <w:tcW w:w="9209" w:type="dxa"/>
            <w:gridSpan w:val="3"/>
          </w:tcPr>
          <w:p w14:paraId="34F698E0" w14:textId="77777777" w:rsidR="00591806" w:rsidRPr="00604A06" w:rsidRDefault="00591806" w:rsidP="00983DCD">
            <w:pPr>
              <w:pStyle w:val="naisnod"/>
              <w:spacing w:before="0" w:after="0"/>
              <w:ind w:left="57" w:right="57"/>
            </w:pPr>
            <w:r w:rsidRPr="00604A06">
              <w:t>VI. Sabiedrības līdzdalība un komunikācijas aktivitātes</w:t>
            </w:r>
          </w:p>
        </w:tc>
      </w:tr>
      <w:tr w:rsidR="00591806" w:rsidRPr="006E1208" w14:paraId="53BA8180" w14:textId="77777777" w:rsidTr="009D52AB">
        <w:trPr>
          <w:trHeight w:val="553"/>
          <w:jc w:val="center"/>
        </w:trPr>
        <w:tc>
          <w:tcPr>
            <w:tcW w:w="407" w:type="dxa"/>
          </w:tcPr>
          <w:p w14:paraId="66A434F3" w14:textId="77777777" w:rsidR="00591806" w:rsidRPr="00604A06" w:rsidRDefault="00591806" w:rsidP="00983DCD">
            <w:pPr>
              <w:pStyle w:val="naiskr"/>
              <w:spacing w:before="0" w:after="0"/>
              <w:ind w:left="57" w:right="57"/>
              <w:rPr>
                <w:bCs/>
                <w:sz w:val="28"/>
                <w:szCs w:val="28"/>
              </w:rPr>
            </w:pPr>
            <w:r w:rsidRPr="00604A06">
              <w:rPr>
                <w:bCs/>
                <w:sz w:val="28"/>
                <w:szCs w:val="28"/>
              </w:rPr>
              <w:t>1.</w:t>
            </w:r>
          </w:p>
        </w:tc>
        <w:tc>
          <w:tcPr>
            <w:tcW w:w="2423" w:type="dxa"/>
          </w:tcPr>
          <w:p w14:paraId="44903933" w14:textId="77777777" w:rsidR="00591806" w:rsidRPr="00604A06" w:rsidRDefault="00591806" w:rsidP="00983DCD">
            <w:pPr>
              <w:pStyle w:val="naiskr"/>
              <w:tabs>
                <w:tab w:val="left" w:pos="170"/>
              </w:tabs>
              <w:spacing w:before="0" w:after="0"/>
              <w:ind w:left="57" w:right="57"/>
            </w:pPr>
            <w:r w:rsidRPr="00604A06">
              <w:t>Plānotās sabiedrības līdzdalības un komunikācijas aktivitātes saistībā ar projektu</w:t>
            </w:r>
          </w:p>
        </w:tc>
        <w:tc>
          <w:tcPr>
            <w:tcW w:w="6379" w:type="dxa"/>
          </w:tcPr>
          <w:p w14:paraId="6BEF3B15" w14:textId="1B2BBF81" w:rsidR="00591806" w:rsidRPr="00604A06" w:rsidRDefault="00A567B1" w:rsidP="00983DCD">
            <w:pPr>
              <w:ind w:left="119" w:right="125"/>
              <w:jc w:val="both"/>
            </w:pPr>
            <w:r>
              <w:t>N</w:t>
            </w:r>
            <w:r w:rsidR="00591806">
              <w:t>oteikumu</w:t>
            </w:r>
            <w:r w:rsidR="00591806" w:rsidRPr="00FC328F">
              <w:t xml:space="preserve"> projekts netika publicēts VARAM tīmekļvietnē</w:t>
            </w:r>
            <w:r>
              <w:t xml:space="preserve">, ievērojot projekta virzības steidzamību, tomēr sabiedrība ar MK noteikumu būtību ir iepazinusies pie </w:t>
            </w:r>
            <w:r>
              <w:rPr>
                <w:color w:val="000000" w:themeColor="text1"/>
              </w:rPr>
              <w:t>Grozījumu noteikum</w:t>
            </w:r>
            <w:r w:rsidR="00324680">
              <w:rPr>
                <w:color w:val="000000" w:themeColor="text1"/>
              </w:rPr>
              <w:t>u</w:t>
            </w:r>
            <w:r>
              <w:rPr>
                <w:color w:val="000000" w:themeColor="text1"/>
              </w:rPr>
              <w:t xml:space="preserve"> Nr.786 virzības.</w:t>
            </w:r>
          </w:p>
        </w:tc>
      </w:tr>
      <w:tr w:rsidR="00591806" w:rsidRPr="006E1208" w14:paraId="5FDCC698" w14:textId="77777777" w:rsidTr="009D52AB">
        <w:trPr>
          <w:trHeight w:val="487"/>
          <w:jc w:val="center"/>
        </w:trPr>
        <w:tc>
          <w:tcPr>
            <w:tcW w:w="407" w:type="dxa"/>
          </w:tcPr>
          <w:p w14:paraId="3506E27E" w14:textId="77777777" w:rsidR="00591806" w:rsidRPr="00604A06" w:rsidRDefault="00591806" w:rsidP="00983DCD">
            <w:pPr>
              <w:pStyle w:val="naiskr"/>
              <w:spacing w:before="0" w:after="0"/>
              <w:ind w:left="57" w:right="57"/>
              <w:rPr>
                <w:bCs/>
              </w:rPr>
            </w:pPr>
            <w:r w:rsidRPr="00604A06">
              <w:rPr>
                <w:bCs/>
              </w:rPr>
              <w:t>2.</w:t>
            </w:r>
          </w:p>
        </w:tc>
        <w:tc>
          <w:tcPr>
            <w:tcW w:w="2423" w:type="dxa"/>
          </w:tcPr>
          <w:p w14:paraId="642BD131" w14:textId="77777777" w:rsidR="00591806" w:rsidRPr="00604A06" w:rsidRDefault="00591806" w:rsidP="00983DCD">
            <w:pPr>
              <w:pStyle w:val="naiskr"/>
              <w:spacing w:before="0" w:after="0"/>
              <w:ind w:left="57" w:right="57"/>
            </w:pPr>
            <w:r w:rsidRPr="00604A06">
              <w:t xml:space="preserve">Sabiedrības līdzdalība projekta izstrādē </w:t>
            </w:r>
          </w:p>
        </w:tc>
        <w:tc>
          <w:tcPr>
            <w:tcW w:w="6379" w:type="dxa"/>
          </w:tcPr>
          <w:p w14:paraId="00052157" w14:textId="77777777" w:rsidR="00591806" w:rsidRPr="00604A06" w:rsidRDefault="00591806" w:rsidP="00983DCD">
            <w:pPr>
              <w:pStyle w:val="naiskr"/>
              <w:spacing w:before="0" w:after="0"/>
              <w:ind w:left="121" w:right="123"/>
              <w:jc w:val="both"/>
            </w:pPr>
            <w:r>
              <w:rPr>
                <w:bCs/>
              </w:rPr>
              <w:t xml:space="preserve">Noteikumu </w:t>
            </w:r>
            <w:r w:rsidRPr="00FC328F">
              <w:rPr>
                <w:bCs/>
              </w:rPr>
              <w:t>projekts šo jomu neskar.</w:t>
            </w:r>
          </w:p>
        </w:tc>
      </w:tr>
      <w:tr w:rsidR="00591806" w:rsidRPr="006E1208" w14:paraId="7B55B13C" w14:textId="77777777" w:rsidTr="009D52AB">
        <w:trPr>
          <w:trHeight w:val="375"/>
          <w:jc w:val="center"/>
        </w:trPr>
        <w:tc>
          <w:tcPr>
            <w:tcW w:w="407" w:type="dxa"/>
          </w:tcPr>
          <w:p w14:paraId="33BB93B5" w14:textId="77777777" w:rsidR="00591806" w:rsidRPr="00604A06" w:rsidRDefault="00591806" w:rsidP="00983DCD">
            <w:pPr>
              <w:pStyle w:val="naiskr"/>
              <w:spacing w:before="0" w:after="0"/>
              <w:ind w:left="57" w:right="57"/>
              <w:rPr>
                <w:bCs/>
              </w:rPr>
            </w:pPr>
            <w:r w:rsidRPr="00604A06">
              <w:rPr>
                <w:bCs/>
              </w:rPr>
              <w:t>3.</w:t>
            </w:r>
          </w:p>
        </w:tc>
        <w:tc>
          <w:tcPr>
            <w:tcW w:w="2423" w:type="dxa"/>
          </w:tcPr>
          <w:p w14:paraId="3E1E49F7" w14:textId="77777777" w:rsidR="00591806" w:rsidRPr="00604A06" w:rsidRDefault="00591806" w:rsidP="00983DCD">
            <w:pPr>
              <w:pStyle w:val="naiskr"/>
              <w:spacing w:before="0" w:after="0"/>
              <w:ind w:left="57" w:right="57"/>
            </w:pPr>
            <w:r w:rsidRPr="00604A06">
              <w:t xml:space="preserve">Sabiedrības līdzdalības rezultāti </w:t>
            </w:r>
          </w:p>
        </w:tc>
        <w:tc>
          <w:tcPr>
            <w:tcW w:w="6379" w:type="dxa"/>
          </w:tcPr>
          <w:p w14:paraId="2B085FF3" w14:textId="77777777" w:rsidR="00591806" w:rsidRPr="00DD396B" w:rsidRDefault="00591806" w:rsidP="00983DCD">
            <w:pPr>
              <w:ind w:left="142" w:right="84"/>
              <w:jc w:val="both"/>
            </w:pPr>
            <w:r>
              <w:rPr>
                <w:bCs/>
              </w:rPr>
              <w:t>Nav.</w:t>
            </w:r>
          </w:p>
        </w:tc>
      </w:tr>
      <w:tr w:rsidR="00591806" w:rsidRPr="006E1208" w14:paraId="64501C39" w14:textId="77777777" w:rsidTr="009D52AB">
        <w:trPr>
          <w:trHeight w:val="99"/>
          <w:jc w:val="center"/>
        </w:trPr>
        <w:tc>
          <w:tcPr>
            <w:tcW w:w="407" w:type="dxa"/>
          </w:tcPr>
          <w:p w14:paraId="217D4156" w14:textId="77777777" w:rsidR="00591806" w:rsidRPr="00604A06" w:rsidRDefault="00591806" w:rsidP="00983DCD">
            <w:pPr>
              <w:pStyle w:val="naiskr"/>
              <w:spacing w:before="0" w:after="0"/>
              <w:ind w:left="57" w:right="57"/>
              <w:rPr>
                <w:bCs/>
              </w:rPr>
            </w:pPr>
            <w:r w:rsidRPr="00604A06">
              <w:rPr>
                <w:bCs/>
              </w:rPr>
              <w:t>4.</w:t>
            </w:r>
          </w:p>
        </w:tc>
        <w:tc>
          <w:tcPr>
            <w:tcW w:w="2423" w:type="dxa"/>
          </w:tcPr>
          <w:p w14:paraId="5D404181" w14:textId="77777777" w:rsidR="00591806" w:rsidRPr="00604A06" w:rsidRDefault="00591806" w:rsidP="00983DCD">
            <w:pPr>
              <w:pStyle w:val="naiskr"/>
              <w:spacing w:before="0" w:after="0"/>
              <w:ind w:left="57" w:right="57"/>
            </w:pPr>
            <w:r w:rsidRPr="00604A06">
              <w:t>Cita informācija</w:t>
            </w:r>
          </w:p>
        </w:tc>
        <w:tc>
          <w:tcPr>
            <w:tcW w:w="6379" w:type="dxa"/>
          </w:tcPr>
          <w:p w14:paraId="051DD3B9" w14:textId="77777777" w:rsidR="00591806" w:rsidRPr="00DD396B" w:rsidRDefault="00591806" w:rsidP="00983DCD">
            <w:pPr>
              <w:pStyle w:val="naiskr"/>
              <w:spacing w:before="0" w:after="0"/>
              <w:ind w:left="142" w:right="110"/>
              <w:jc w:val="both"/>
            </w:pPr>
            <w:r w:rsidRPr="00DD396B">
              <w:t>Nav</w:t>
            </w:r>
            <w:r>
              <w:t>.</w:t>
            </w:r>
          </w:p>
        </w:tc>
      </w:tr>
    </w:tbl>
    <w:p w14:paraId="7057A380" w14:textId="77777777" w:rsidR="00591806" w:rsidRPr="006E1208" w:rsidRDefault="00591806" w:rsidP="00591806">
      <w:pPr>
        <w:jc w:val="both"/>
        <w:rPr>
          <w:highlight w:val="yellow"/>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601"/>
        <w:gridCol w:w="2943"/>
        <w:gridCol w:w="5670"/>
      </w:tblGrid>
      <w:tr w:rsidR="00591806" w:rsidRPr="006E1208" w14:paraId="40570D35" w14:textId="77777777" w:rsidTr="009D52AB">
        <w:tc>
          <w:tcPr>
            <w:tcW w:w="9214" w:type="dxa"/>
            <w:gridSpan w:val="3"/>
            <w:tcBorders>
              <w:top w:val="single" w:sz="4" w:space="0" w:color="auto"/>
            </w:tcBorders>
          </w:tcPr>
          <w:p w14:paraId="6D285BCF" w14:textId="77777777" w:rsidR="00591806" w:rsidRPr="00604A06" w:rsidRDefault="00591806" w:rsidP="00983DCD">
            <w:pPr>
              <w:pStyle w:val="naisnod"/>
              <w:spacing w:before="0" w:after="0"/>
              <w:ind w:left="57" w:right="57"/>
              <w:rPr>
                <w:sz w:val="28"/>
                <w:szCs w:val="28"/>
              </w:rPr>
            </w:pPr>
            <w:r w:rsidRPr="00604A06">
              <w:rPr>
                <w:szCs w:val="28"/>
              </w:rPr>
              <w:t>VII. Tiesību akta projekta izpildes nodrošināšana un tās ietekme uz institūcijām</w:t>
            </w:r>
          </w:p>
        </w:tc>
      </w:tr>
      <w:tr w:rsidR="00591806" w:rsidRPr="006E1208" w14:paraId="1FFCF492" w14:textId="77777777" w:rsidTr="009D52AB">
        <w:trPr>
          <w:trHeight w:val="427"/>
        </w:trPr>
        <w:tc>
          <w:tcPr>
            <w:tcW w:w="601" w:type="dxa"/>
          </w:tcPr>
          <w:p w14:paraId="66A29194" w14:textId="77777777" w:rsidR="00591806" w:rsidRPr="00604A06" w:rsidRDefault="00591806" w:rsidP="00983DCD">
            <w:pPr>
              <w:pStyle w:val="naisnod"/>
              <w:spacing w:before="0" w:after="0"/>
              <w:ind w:left="57" w:right="57"/>
              <w:jc w:val="left"/>
              <w:rPr>
                <w:b w:val="0"/>
              </w:rPr>
            </w:pPr>
            <w:r w:rsidRPr="00604A06">
              <w:rPr>
                <w:b w:val="0"/>
              </w:rPr>
              <w:t>1.</w:t>
            </w:r>
          </w:p>
        </w:tc>
        <w:tc>
          <w:tcPr>
            <w:tcW w:w="2943" w:type="dxa"/>
          </w:tcPr>
          <w:p w14:paraId="05B7C71E" w14:textId="77777777" w:rsidR="00591806" w:rsidRPr="00604A06" w:rsidRDefault="00591806" w:rsidP="00983DCD">
            <w:pPr>
              <w:pStyle w:val="naisf"/>
              <w:spacing w:before="0" w:after="0"/>
              <w:ind w:left="57" w:right="57" w:firstLine="0"/>
              <w:jc w:val="left"/>
            </w:pPr>
            <w:r w:rsidRPr="00604A06">
              <w:t xml:space="preserve">Projekta izpildē iesaistītās institūcijas </w:t>
            </w:r>
          </w:p>
        </w:tc>
        <w:tc>
          <w:tcPr>
            <w:tcW w:w="5670" w:type="dxa"/>
          </w:tcPr>
          <w:p w14:paraId="765E7009" w14:textId="77777777" w:rsidR="00591806" w:rsidRPr="00604A06" w:rsidRDefault="00591806" w:rsidP="00983DCD">
            <w:pPr>
              <w:pStyle w:val="tv213"/>
              <w:spacing w:before="0" w:beforeAutospacing="0" w:after="0" w:afterAutospacing="0"/>
              <w:ind w:left="79" w:right="147"/>
              <w:jc w:val="both"/>
              <w:rPr>
                <w:b/>
                <w:color w:val="000000" w:themeColor="text1"/>
              </w:rPr>
            </w:pPr>
            <w:r>
              <w:t>VARAM kā atbildīgā iestāde, CFLA</w:t>
            </w:r>
            <w:r w:rsidRPr="00604A06">
              <w:t xml:space="preserve"> kā sadarbības iestāde un </w:t>
            </w:r>
            <w:r>
              <w:t xml:space="preserve">pašvaldības, pašvaldības iestādes, kapitālsabiedrības un </w:t>
            </w:r>
            <w:r w:rsidRPr="00604A06">
              <w:t>atkritumu pārstrādes uzņēmumi kā finansējuma saņēmēji.</w:t>
            </w:r>
          </w:p>
        </w:tc>
      </w:tr>
      <w:tr w:rsidR="00591806" w:rsidRPr="006E1208" w14:paraId="170E018A" w14:textId="77777777" w:rsidTr="009D52AB">
        <w:trPr>
          <w:trHeight w:val="463"/>
        </w:trPr>
        <w:tc>
          <w:tcPr>
            <w:tcW w:w="601" w:type="dxa"/>
          </w:tcPr>
          <w:p w14:paraId="463F3CB6" w14:textId="77777777" w:rsidR="00591806" w:rsidRPr="00604A06" w:rsidRDefault="00591806" w:rsidP="00983DCD">
            <w:pPr>
              <w:pStyle w:val="naisnod"/>
              <w:spacing w:before="0" w:after="0"/>
              <w:ind w:left="57" w:right="57"/>
              <w:jc w:val="left"/>
              <w:rPr>
                <w:b w:val="0"/>
              </w:rPr>
            </w:pPr>
            <w:r w:rsidRPr="00604A06">
              <w:rPr>
                <w:b w:val="0"/>
              </w:rPr>
              <w:t>2.</w:t>
            </w:r>
          </w:p>
        </w:tc>
        <w:tc>
          <w:tcPr>
            <w:tcW w:w="2943" w:type="dxa"/>
          </w:tcPr>
          <w:p w14:paraId="0308EA63" w14:textId="77777777" w:rsidR="00591806" w:rsidRPr="00604A06" w:rsidRDefault="00591806" w:rsidP="00983DCD">
            <w:pPr>
              <w:pStyle w:val="naisf"/>
              <w:spacing w:before="0" w:after="0"/>
              <w:ind w:left="57" w:right="57" w:firstLine="0"/>
              <w:jc w:val="left"/>
            </w:pPr>
            <w:r w:rsidRPr="00604A06">
              <w:t>Projekta izpildes ietekme uz pārvaldes funkcijām un institucionālo struktūru. Jaunu institūciju izveide, esošo institūciju likvidācija vai reorganizācija, to ietekme uz institūcijas cilvēkresursiem.</w:t>
            </w:r>
          </w:p>
        </w:tc>
        <w:tc>
          <w:tcPr>
            <w:tcW w:w="5670" w:type="dxa"/>
          </w:tcPr>
          <w:p w14:paraId="08148A65" w14:textId="77777777" w:rsidR="00591806" w:rsidRPr="00B560C3" w:rsidRDefault="00591806" w:rsidP="00983DCD">
            <w:pPr>
              <w:ind w:left="112" w:right="102"/>
              <w:jc w:val="both"/>
            </w:pPr>
            <w:r>
              <w:t xml:space="preserve">Nav ietekmes uz pārvaldes funkcijām un institucionālo struktūru. </w:t>
            </w:r>
            <w:r w:rsidRPr="00440997">
              <w:t>Nav nepieciešama jaunu institūciju izveide vai esošo reorganizācija.</w:t>
            </w:r>
          </w:p>
        </w:tc>
      </w:tr>
      <w:tr w:rsidR="00591806" w:rsidRPr="006E1208" w14:paraId="22E1D164" w14:textId="77777777" w:rsidTr="009D52AB">
        <w:trPr>
          <w:trHeight w:val="203"/>
        </w:trPr>
        <w:tc>
          <w:tcPr>
            <w:tcW w:w="601" w:type="dxa"/>
          </w:tcPr>
          <w:p w14:paraId="0F5DC220" w14:textId="77777777" w:rsidR="00591806" w:rsidRPr="00604A06" w:rsidRDefault="00591806" w:rsidP="00983DCD">
            <w:pPr>
              <w:pStyle w:val="naiskr"/>
              <w:spacing w:before="0" w:after="0"/>
              <w:ind w:left="57" w:right="57"/>
            </w:pPr>
            <w:r w:rsidRPr="00604A06">
              <w:t>3.</w:t>
            </w:r>
          </w:p>
        </w:tc>
        <w:tc>
          <w:tcPr>
            <w:tcW w:w="2943" w:type="dxa"/>
          </w:tcPr>
          <w:p w14:paraId="1AECF64B" w14:textId="77777777" w:rsidR="00591806" w:rsidRPr="00604A06" w:rsidRDefault="00591806" w:rsidP="00983DCD">
            <w:pPr>
              <w:pStyle w:val="naiskr"/>
              <w:spacing w:before="0" w:after="0"/>
              <w:ind w:left="57" w:right="57"/>
            </w:pPr>
            <w:r w:rsidRPr="00604A06">
              <w:t>Cita informācija</w:t>
            </w:r>
          </w:p>
        </w:tc>
        <w:tc>
          <w:tcPr>
            <w:tcW w:w="5670" w:type="dxa"/>
          </w:tcPr>
          <w:p w14:paraId="0FB160F8" w14:textId="77777777" w:rsidR="00591806" w:rsidRPr="00604A06" w:rsidRDefault="00591806" w:rsidP="00983DCD">
            <w:pPr>
              <w:pStyle w:val="naiskr"/>
              <w:spacing w:before="0" w:after="0"/>
              <w:ind w:left="57" w:right="57"/>
            </w:pPr>
            <w:r w:rsidRPr="00604A06">
              <w:t>Nav</w:t>
            </w:r>
            <w:r>
              <w:t>.</w:t>
            </w:r>
          </w:p>
        </w:tc>
      </w:tr>
    </w:tbl>
    <w:p w14:paraId="4C2AA981" w14:textId="44884817" w:rsidR="00591806" w:rsidRDefault="00591806" w:rsidP="00591806">
      <w:pPr>
        <w:pStyle w:val="naisf"/>
        <w:tabs>
          <w:tab w:val="left" w:pos="6840"/>
        </w:tabs>
        <w:spacing w:before="0" w:after="0"/>
        <w:ind w:left="-142" w:firstLine="0"/>
      </w:pPr>
    </w:p>
    <w:p w14:paraId="3B426A88" w14:textId="77777777" w:rsidR="00410C69" w:rsidRDefault="00410C69" w:rsidP="00591806">
      <w:pPr>
        <w:pStyle w:val="naisf"/>
        <w:tabs>
          <w:tab w:val="left" w:pos="6840"/>
        </w:tabs>
        <w:spacing w:before="0" w:after="0"/>
        <w:ind w:left="-142" w:firstLine="0"/>
      </w:pPr>
    </w:p>
    <w:p w14:paraId="0A399CF4" w14:textId="77777777" w:rsidR="00410C69" w:rsidRDefault="00410C69" w:rsidP="00410C69">
      <w:pPr>
        <w:tabs>
          <w:tab w:val="left" w:pos="6804"/>
        </w:tabs>
        <w:ind w:left="-180"/>
      </w:pPr>
      <w:bookmarkStart w:id="6" w:name="_Hlk56518573"/>
      <w:r>
        <w:t xml:space="preserve">Vides aizsardzības un reģionālās attīstības ministra </w:t>
      </w:r>
      <w:proofErr w:type="spellStart"/>
      <w:r>
        <w:t>p.i</w:t>
      </w:r>
      <w:proofErr w:type="spellEnd"/>
      <w:r>
        <w:t>.-</w:t>
      </w:r>
    </w:p>
    <w:p w14:paraId="5F4702A0" w14:textId="77777777" w:rsidR="00410C69" w:rsidRPr="004B6E3E" w:rsidRDefault="00410C69" w:rsidP="00410C69">
      <w:pPr>
        <w:tabs>
          <w:tab w:val="left" w:pos="6804"/>
        </w:tabs>
        <w:ind w:left="-180"/>
      </w:pPr>
      <w:r>
        <w:t>Ministru prezidenta biedrs – aizsardzības ministrs</w:t>
      </w:r>
      <w:r w:rsidRPr="004B6E3E">
        <w:tab/>
      </w:r>
      <w:r>
        <w:tab/>
      </w:r>
      <w:r>
        <w:tab/>
        <w:t>A. Pabriks</w:t>
      </w:r>
    </w:p>
    <w:bookmarkEnd w:id="6"/>
    <w:p w14:paraId="7252E60E" w14:textId="77777777" w:rsidR="00591806" w:rsidRPr="00EC239F" w:rsidRDefault="00591806" w:rsidP="00591806">
      <w:pPr>
        <w:pStyle w:val="naisf"/>
        <w:tabs>
          <w:tab w:val="left" w:pos="6840"/>
        </w:tabs>
        <w:spacing w:before="0" w:after="0"/>
        <w:ind w:left="-142" w:firstLine="0"/>
        <w:rPr>
          <w:sz w:val="20"/>
          <w:szCs w:val="20"/>
        </w:rPr>
      </w:pPr>
    </w:p>
    <w:p w14:paraId="555686EF" w14:textId="5D02266B" w:rsidR="00591806" w:rsidRDefault="00591806" w:rsidP="00591806">
      <w:pPr>
        <w:pStyle w:val="naisf"/>
        <w:tabs>
          <w:tab w:val="left" w:pos="6840"/>
        </w:tabs>
        <w:spacing w:before="0" w:after="0"/>
        <w:ind w:left="-142" w:firstLine="0"/>
        <w:rPr>
          <w:sz w:val="20"/>
          <w:szCs w:val="20"/>
          <w:highlight w:val="yellow"/>
        </w:rPr>
      </w:pPr>
    </w:p>
    <w:p w14:paraId="3688C2EB" w14:textId="77777777" w:rsidR="00410C69" w:rsidRDefault="00410C69" w:rsidP="00591806">
      <w:pPr>
        <w:pStyle w:val="naisf"/>
        <w:tabs>
          <w:tab w:val="left" w:pos="6840"/>
        </w:tabs>
        <w:spacing w:before="0" w:after="0"/>
        <w:ind w:left="-142" w:firstLine="0"/>
        <w:rPr>
          <w:sz w:val="20"/>
          <w:szCs w:val="20"/>
          <w:highlight w:val="yellow"/>
        </w:rPr>
      </w:pPr>
    </w:p>
    <w:p w14:paraId="2FCE883C" w14:textId="64EA3E9A" w:rsidR="00CB0CCD" w:rsidRDefault="00591806" w:rsidP="00CB0CCD">
      <w:pPr>
        <w:ind w:left="-142"/>
        <w:rPr>
          <w:sz w:val="16"/>
          <w:szCs w:val="16"/>
        </w:rPr>
      </w:pPr>
      <w:r w:rsidRPr="00EB2F37">
        <w:rPr>
          <w:sz w:val="16"/>
          <w:szCs w:val="16"/>
        </w:rPr>
        <w:fldChar w:fldCharType="begin"/>
      </w:r>
      <w:r w:rsidRPr="00EB2F37">
        <w:rPr>
          <w:sz w:val="16"/>
          <w:szCs w:val="16"/>
        </w:rPr>
        <w:instrText xml:space="preserve"> DATE  \@ "yyyy.MM.dd. H:mm"  \* MERGEFORMAT </w:instrText>
      </w:r>
      <w:r w:rsidRPr="00EB2F37">
        <w:rPr>
          <w:sz w:val="16"/>
          <w:szCs w:val="16"/>
        </w:rPr>
        <w:fldChar w:fldCharType="separate"/>
      </w:r>
      <w:r w:rsidR="00FB18D4">
        <w:rPr>
          <w:noProof/>
          <w:sz w:val="16"/>
          <w:szCs w:val="16"/>
        </w:rPr>
        <w:t>2020.11.20. 15:49</w:t>
      </w:r>
      <w:r w:rsidRPr="00EB2F37">
        <w:rPr>
          <w:sz w:val="16"/>
          <w:szCs w:val="16"/>
        </w:rPr>
        <w:fldChar w:fldCharType="end"/>
      </w:r>
    </w:p>
    <w:p w14:paraId="7C1237F9" w14:textId="77777777" w:rsidR="00CB0CCD" w:rsidRDefault="00CB0CCD" w:rsidP="00CB0CCD">
      <w:pPr>
        <w:ind w:left="-142"/>
        <w:rPr>
          <w:sz w:val="16"/>
          <w:szCs w:val="16"/>
        </w:rPr>
      </w:pPr>
      <w:proofErr w:type="spellStart"/>
      <w:r>
        <w:rPr>
          <w:sz w:val="16"/>
          <w:szCs w:val="16"/>
        </w:rPr>
        <w:t>K.Dūdiņa</w:t>
      </w:r>
      <w:proofErr w:type="spellEnd"/>
    </w:p>
    <w:p w14:paraId="20763623" w14:textId="77777777" w:rsidR="00CB0CCD" w:rsidRDefault="00CB0CCD" w:rsidP="00CB0CCD">
      <w:pPr>
        <w:ind w:left="-142"/>
        <w:rPr>
          <w:sz w:val="16"/>
          <w:szCs w:val="16"/>
        </w:rPr>
      </w:pPr>
      <w:r>
        <w:rPr>
          <w:sz w:val="16"/>
          <w:szCs w:val="16"/>
        </w:rPr>
        <w:t>Tel.: 67026410</w:t>
      </w:r>
    </w:p>
    <w:p w14:paraId="4601B7D8" w14:textId="4670651B" w:rsidR="006665EE" w:rsidRPr="00CB0CCD" w:rsidRDefault="00CB0CCD" w:rsidP="00CB0CCD">
      <w:pPr>
        <w:ind w:left="-142"/>
        <w:rPr>
          <w:sz w:val="16"/>
          <w:szCs w:val="16"/>
        </w:rPr>
      </w:pPr>
      <w:r>
        <w:rPr>
          <w:sz w:val="16"/>
          <w:szCs w:val="16"/>
        </w:rPr>
        <w:t xml:space="preserve">e-pasts: </w:t>
      </w:r>
      <w:hyperlink r:id="rId7" w:history="1">
        <w:r>
          <w:rPr>
            <w:rStyle w:val="Hyperlink"/>
            <w:sz w:val="16"/>
            <w:szCs w:val="16"/>
          </w:rPr>
          <w:t>kristine.dudina@varam.gov.lv</w:t>
        </w:r>
      </w:hyperlink>
    </w:p>
    <w:sectPr w:rsidR="006665EE" w:rsidRPr="00CB0CCD" w:rsidSect="00D47F9D">
      <w:headerReference w:type="even" r:id="rId8"/>
      <w:headerReference w:type="default" r:id="rId9"/>
      <w:footerReference w:type="default" r:id="rId10"/>
      <w:footerReference w:type="first" r:id="rId11"/>
      <w:pgSz w:w="11906" w:h="16838"/>
      <w:pgMar w:top="851" w:right="1134"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0DBFEA" w14:textId="77777777" w:rsidR="00BA4BA4" w:rsidRDefault="00BA4BA4">
      <w:r>
        <w:separator/>
      </w:r>
    </w:p>
  </w:endnote>
  <w:endnote w:type="continuationSeparator" w:id="0">
    <w:p w14:paraId="74A8F246" w14:textId="77777777" w:rsidR="00BA4BA4" w:rsidRDefault="00BA4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ACAE6" w14:textId="321C1BDB" w:rsidR="004F4FBB" w:rsidRPr="00C07C96" w:rsidRDefault="00591806" w:rsidP="00C07C96">
    <w:pPr>
      <w:pStyle w:val="Footer"/>
    </w:pPr>
    <w:r w:rsidRPr="00C07C96">
      <w:rPr>
        <w:sz w:val="20"/>
        <w:szCs w:val="20"/>
      </w:rPr>
      <w:t>VARAMAnot_</w:t>
    </w:r>
    <w:r w:rsidR="00FB18D4">
      <w:rPr>
        <w:sz w:val="20"/>
        <w:szCs w:val="20"/>
      </w:rPr>
      <w:t>20</w:t>
    </w:r>
    <w:r w:rsidR="00CB0CCD">
      <w:rPr>
        <w:sz w:val="20"/>
        <w:szCs w:val="20"/>
      </w:rPr>
      <w:t>11</w:t>
    </w:r>
    <w:r w:rsidR="00503AFB">
      <w:rPr>
        <w:sz w:val="20"/>
        <w:szCs w:val="20"/>
      </w:rPr>
      <w:t>20_</w:t>
    </w:r>
    <w:r w:rsidRPr="00C07C96">
      <w:rPr>
        <w:sz w:val="20"/>
        <w:szCs w:val="20"/>
      </w:rPr>
      <w:t>SAMP_5212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2D610" w14:textId="17BFE734" w:rsidR="004F4FBB" w:rsidRPr="00015D71" w:rsidRDefault="00591806" w:rsidP="00015D71">
    <w:pPr>
      <w:pStyle w:val="Footer"/>
    </w:pPr>
    <w:r w:rsidRPr="00C07C96">
      <w:rPr>
        <w:sz w:val="20"/>
        <w:szCs w:val="20"/>
      </w:rPr>
      <w:t>VARAMAnot_</w:t>
    </w:r>
    <w:r w:rsidR="00FB18D4">
      <w:rPr>
        <w:sz w:val="20"/>
        <w:szCs w:val="20"/>
      </w:rPr>
      <w:t>2</w:t>
    </w:r>
    <w:r w:rsidR="000B37FF">
      <w:rPr>
        <w:sz w:val="20"/>
        <w:szCs w:val="20"/>
      </w:rPr>
      <w:t>0</w:t>
    </w:r>
    <w:r w:rsidR="00CB0CCD">
      <w:rPr>
        <w:sz w:val="20"/>
        <w:szCs w:val="20"/>
      </w:rPr>
      <w:t>11</w:t>
    </w:r>
    <w:r w:rsidR="00503AFB">
      <w:rPr>
        <w:sz w:val="20"/>
        <w:szCs w:val="20"/>
      </w:rPr>
      <w:t>20_</w:t>
    </w:r>
    <w:r w:rsidRPr="00C07C96">
      <w:rPr>
        <w:sz w:val="20"/>
        <w:szCs w:val="20"/>
      </w:rPr>
      <w:t>SAMP_5212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463C34" w14:textId="77777777" w:rsidR="00BA4BA4" w:rsidRDefault="00BA4BA4">
      <w:r>
        <w:separator/>
      </w:r>
    </w:p>
  </w:footnote>
  <w:footnote w:type="continuationSeparator" w:id="0">
    <w:p w14:paraId="1943E0B3" w14:textId="77777777" w:rsidR="00BA4BA4" w:rsidRDefault="00BA4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6E6B8" w14:textId="77777777" w:rsidR="004F4FBB" w:rsidRDefault="00591806" w:rsidP="0030341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752E0013" w14:textId="77777777" w:rsidR="004F4FBB" w:rsidRDefault="00704E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05B8E" w14:textId="76F926D5" w:rsidR="004F4FBB" w:rsidRDefault="00591806" w:rsidP="0030341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B4FD0">
      <w:rPr>
        <w:rStyle w:val="PageNumber"/>
        <w:noProof/>
      </w:rPr>
      <w:t>3</w:t>
    </w:r>
    <w:r>
      <w:rPr>
        <w:rStyle w:val="PageNumber"/>
      </w:rPr>
      <w:fldChar w:fldCharType="end"/>
    </w:r>
  </w:p>
  <w:p w14:paraId="4BA5275C" w14:textId="77777777" w:rsidR="004F4FBB" w:rsidRDefault="00704E03" w:rsidP="00701F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C4155F"/>
    <w:multiLevelType w:val="hybridMultilevel"/>
    <w:tmpl w:val="60DEB1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806"/>
    <w:rsid w:val="00007F43"/>
    <w:rsid w:val="000755BB"/>
    <w:rsid w:val="000B37FF"/>
    <w:rsid w:val="001317A7"/>
    <w:rsid w:val="00131F7E"/>
    <w:rsid w:val="001673C2"/>
    <w:rsid w:val="00197EB9"/>
    <w:rsid w:val="001F40B3"/>
    <w:rsid w:val="001F48DA"/>
    <w:rsid w:val="002418D2"/>
    <w:rsid w:val="002426EF"/>
    <w:rsid w:val="002B2957"/>
    <w:rsid w:val="00324680"/>
    <w:rsid w:val="00361F4A"/>
    <w:rsid w:val="00403605"/>
    <w:rsid w:val="00410C69"/>
    <w:rsid w:val="004F759C"/>
    <w:rsid w:val="00503AFB"/>
    <w:rsid w:val="00591806"/>
    <w:rsid w:val="005F336D"/>
    <w:rsid w:val="00653589"/>
    <w:rsid w:val="00662FE9"/>
    <w:rsid w:val="006665EE"/>
    <w:rsid w:val="0067346F"/>
    <w:rsid w:val="006B37BD"/>
    <w:rsid w:val="00704E03"/>
    <w:rsid w:val="00704FC6"/>
    <w:rsid w:val="007A0CF5"/>
    <w:rsid w:val="007E155C"/>
    <w:rsid w:val="0086394C"/>
    <w:rsid w:val="008D3704"/>
    <w:rsid w:val="008D6615"/>
    <w:rsid w:val="00920990"/>
    <w:rsid w:val="00937541"/>
    <w:rsid w:val="009D02A1"/>
    <w:rsid w:val="009D52AB"/>
    <w:rsid w:val="00A32D01"/>
    <w:rsid w:val="00A567B1"/>
    <w:rsid w:val="00A7662F"/>
    <w:rsid w:val="00B25185"/>
    <w:rsid w:val="00BA4BA4"/>
    <w:rsid w:val="00BB4FD0"/>
    <w:rsid w:val="00CA0F59"/>
    <w:rsid w:val="00CA2BF9"/>
    <w:rsid w:val="00CB0CCD"/>
    <w:rsid w:val="00CE1929"/>
    <w:rsid w:val="00E41BB6"/>
    <w:rsid w:val="00E71D95"/>
    <w:rsid w:val="00E72A51"/>
    <w:rsid w:val="00E8409F"/>
    <w:rsid w:val="00F03F0F"/>
    <w:rsid w:val="00F51C69"/>
    <w:rsid w:val="00FB18D4"/>
    <w:rsid w:val="00FC2DF6"/>
    <w:rsid w:val="00FC68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6B48B"/>
  <w15:chartTrackingRefBased/>
  <w15:docId w15:val="{5F22D1AF-3F21-4F16-AFD2-EE7E20E50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806"/>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91806"/>
    <w:pPr>
      <w:tabs>
        <w:tab w:val="center" w:pos="4153"/>
        <w:tab w:val="right" w:pos="8306"/>
      </w:tabs>
    </w:pPr>
  </w:style>
  <w:style w:type="character" w:customStyle="1" w:styleId="HeaderChar">
    <w:name w:val="Header Char"/>
    <w:basedOn w:val="DefaultParagraphFont"/>
    <w:link w:val="Header"/>
    <w:rsid w:val="00591806"/>
    <w:rPr>
      <w:rFonts w:ascii="Times New Roman" w:eastAsia="Times New Roman" w:hAnsi="Times New Roman" w:cs="Times New Roman"/>
      <w:sz w:val="24"/>
      <w:szCs w:val="24"/>
      <w:lang w:eastAsia="lv-LV"/>
    </w:rPr>
  </w:style>
  <w:style w:type="character" w:styleId="PageNumber">
    <w:name w:val="page number"/>
    <w:basedOn w:val="DefaultParagraphFont"/>
    <w:rsid w:val="00591806"/>
  </w:style>
  <w:style w:type="paragraph" w:styleId="Footer">
    <w:name w:val="footer"/>
    <w:basedOn w:val="Normal"/>
    <w:link w:val="FooterChar"/>
    <w:rsid w:val="00591806"/>
    <w:pPr>
      <w:tabs>
        <w:tab w:val="center" w:pos="4153"/>
        <w:tab w:val="right" w:pos="8306"/>
      </w:tabs>
    </w:pPr>
  </w:style>
  <w:style w:type="character" w:customStyle="1" w:styleId="FooterChar">
    <w:name w:val="Footer Char"/>
    <w:basedOn w:val="DefaultParagraphFont"/>
    <w:link w:val="Footer"/>
    <w:rsid w:val="00591806"/>
    <w:rPr>
      <w:rFonts w:ascii="Times New Roman" w:eastAsia="Times New Roman" w:hAnsi="Times New Roman" w:cs="Times New Roman"/>
      <w:sz w:val="24"/>
      <w:szCs w:val="24"/>
      <w:lang w:eastAsia="lv-LV"/>
    </w:rPr>
  </w:style>
  <w:style w:type="paragraph" w:customStyle="1" w:styleId="naisf">
    <w:name w:val="naisf"/>
    <w:basedOn w:val="Normal"/>
    <w:rsid w:val="00591806"/>
    <w:pPr>
      <w:spacing w:before="75" w:after="75"/>
      <w:ind w:firstLine="375"/>
      <w:jc w:val="both"/>
    </w:pPr>
  </w:style>
  <w:style w:type="character" w:styleId="Hyperlink">
    <w:name w:val="Hyperlink"/>
    <w:rsid w:val="00591806"/>
    <w:rPr>
      <w:color w:val="0000FF"/>
      <w:u w:val="single"/>
    </w:rPr>
  </w:style>
  <w:style w:type="character" w:styleId="CommentReference">
    <w:name w:val="annotation reference"/>
    <w:uiPriority w:val="99"/>
    <w:semiHidden/>
    <w:rsid w:val="00591806"/>
    <w:rPr>
      <w:sz w:val="16"/>
      <w:szCs w:val="16"/>
    </w:rPr>
  </w:style>
  <w:style w:type="paragraph" w:styleId="CommentText">
    <w:name w:val="annotation text"/>
    <w:basedOn w:val="Normal"/>
    <w:link w:val="CommentTextChar"/>
    <w:semiHidden/>
    <w:rsid w:val="00591806"/>
    <w:rPr>
      <w:sz w:val="20"/>
      <w:szCs w:val="20"/>
    </w:rPr>
  </w:style>
  <w:style w:type="character" w:customStyle="1" w:styleId="CommentTextChar">
    <w:name w:val="Comment Text Char"/>
    <w:basedOn w:val="DefaultParagraphFont"/>
    <w:link w:val="CommentText"/>
    <w:semiHidden/>
    <w:rsid w:val="00591806"/>
    <w:rPr>
      <w:rFonts w:ascii="Times New Roman" w:eastAsia="Times New Roman" w:hAnsi="Times New Roman" w:cs="Times New Roman"/>
      <w:sz w:val="20"/>
      <w:szCs w:val="20"/>
      <w:lang w:eastAsia="lv-LV"/>
    </w:rPr>
  </w:style>
  <w:style w:type="paragraph" w:customStyle="1" w:styleId="naisnod">
    <w:name w:val="naisnod"/>
    <w:basedOn w:val="Normal"/>
    <w:rsid w:val="00591806"/>
    <w:pPr>
      <w:spacing w:before="150" w:after="150"/>
      <w:jc w:val="center"/>
    </w:pPr>
    <w:rPr>
      <w:b/>
      <w:bCs/>
    </w:rPr>
  </w:style>
  <w:style w:type="paragraph" w:customStyle="1" w:styleId="naiskr">
    <w:name w:val="naiskr"/>
    <w:basedOn w:val="Normal"/>
    <w:rsid w:val="00591806"/>
    <w:pPr>
      <w:spacing w:before="75" w:after="75"/>
    </w:pPr>
  </w:style>
  <w:style w:type="table" w:styleId="TableGrid">
    <w:name w:val="Table Grid"/>
    <w:basedOn w:val="TableNormal"/>
    <w:uiPriority w:val="39"/>
    <w:rsid w:val="00591806"/>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html">
    <w:name w:val="tv_html"/>
    <w:basedOn w:val="Normal"/>
    <w:rsid w:val="00591806"/>
    <w:pPr>
      <w:spacing w:before="100" w:beforeAutospacing="1" w:after="100" w:afterAutospacing="1"/>
    </w:pPr>
  </w:style>
  <w:style w:type="paragraph" w:styleId="ListParagraph">
    <w:name w:val="List Paragraph"/>
    <w:aliases w:val="2,Saraksta rindkopa1,Numbered Para 1,Dot pt,No Spacing1,List Paragraph Char Char Char,Indicator Text,Bullet 1,Bullet Points,MAIN CONTENT,IFCL - List Paragraph,List Paragraph12,OBC Bullet,F5 List Paragraph,Colorful List - Accent 11,Stri"/>
    <w:basedOn w:val="Normal"/>
    <w:link w:val="ListParagraphChar"/>
    <w:uiPriority w:val="34"/>
    <w:qFormat/>
    <w:rsid w:val="00591806"/>
    <w:pPr>
      <w:ind w:left="720"/>
      <w:contextualSpacing/>
    </w:pPr>
    <w:rPr>
      <w:rFonts w:eastAsiaTheme="minorHAnsi"/>
    </w:rPr>
  </w:style>
  <w:style w:type="character" w:customStyle="1" w:styleId="ListParagraphChar">
    <w:name w:val="List Paragraph Char"/>
    <w:aliases w:val="2 Char,Saraksta rindkopa1 Char,Numbered Para 1 Char,Dot pt Char,No Spacing1 Char,List Paragraph Char Char Char Char,Indicator Text Char,Bullet 1 Char,Bullet Points Char,MAIN CONTENT Char,IFCL - List Paragraph Char,OBC Bullet Char"/>
    <w:basedOn w:val="DefaultParagraphFont"/>
    <w:link w:val="ListParagraph"/>
    <w:uiPriority w:val="34"/>
    <w:qFormat/>
    <w:locked/>
    <w:rsid w:val="00591806"/>
    <w:rPr>
      <w:rFonts w:ascii="Times New Roman" w:hAnsi="Times New Roman" w:cs="Times New Roman"/>
      <w:sz w:val="24"/>
      <w:szCs w:val="24"/>
      <w:lang w:eastAsia="lv-LV"/>
    </w:rPr>
  </w:style>
  <w:style w:type="paragraph" w:customStyle="1" w:styleId="tv213">
    <w:name w:val="tv213"/>
    <w:basedOn w:val="Normal"/>
    <w:rsid w:val="00591806"/>
    <w:pPr>
      <w:spacing w:before="100" w:beforeAutospacing="1" w:after="100" w:afterAutospacing="1"/>
    </w:pPr>
  </w:style>
  <w:style w:type="paragraph" w:styleId="BalloonText">
    <w:name w:val="Balloon Text"/>
    <w:basedOn w:val="Normal"/>
    <w:link w:val="BalloonTextChar"/>
    <w:uiPriority w:val="99"/>
    <w:semiHidden/>
    <w:unhideWhenUsed/>
    <w:rsid w:val="005918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806"/>
    <w:rPr>
      <w:rFonts w:ascii="Segoe UI" w:eastAsia="Times New Roman" w:hAnsi="Segoe UI" w:cs="Segoe UI"/>
      <w:sz w:val="18"/>
      <w:szCs w:val="18"/>
      <w:lang w:eastAsia="lv-LV"/>
    </w:rPr>
  </w:style>
  <w:style w:type="paragraph" w:styleId="CommentSubject">
    <w:name w:val="annotation subject"/>
    <w:basedOn w:val="CommentText"/>
    <w:next w:val="CommentText"/>
    <w:link w:val="CommentSubjectChar"/>
    <w:uiPriority w:val="99"/>
    <w:semiHidden/>
    <w:unhideWhenUsed/>
    <w:rsid w:val="00A567B1"/>
    <w:rPr>
      <w:b/>
      <w:bCs/>
    </w:rPr>
  </w:style>
  <w:style w:type="character" w:customStyle="1" w:styleId="CommentSubjectChar">
    <w:name w:val="Comment Subject Char"/>
    <w:basedOn w:val="CommentTextChar"/>
    <w:link w:val="CommentSubject"/>
    <w:uiPriority w:val="99"/>
    <w:semiHidden/>
    <w:rsid w:val="00A567B1"/>
    <w:rPr>
      <w:rFonts w:ascii="Times New Roman" w:eastAsia="Times New Roman" w:hAnsi="Times New Roman" w:cs="Times New Roman"/>
      <w:b/>
      <w:bCs/>
      <w:sz w:val="20"/>
      <w:szCs w:val="20"/>
      <w:lang w:eastAsia="lv-LV"/>
    </w:rPr>
  </w:style>
  <w:style w:type="character" w:styleId="UnresolvedMention">
    <w:name w:val="Unresolved Mention"/>
    <w:basedOn w:val="DefaultParagraphFont"/>
    <w:uiPriority w:val="99"/>
    <w:semiHidden/>
    <w:unhideWhenUsed/>
    <w:rsid w:val="00CA0F59"/>
    <w:rPr>
      <w:color w:val="605E5C"/>
      <w:shd w:val="clear" w:color="auto" w:fill="E1DFDD"/>
    </w:rPr>
  </w:style>
  <w:style w:type="paragraph" w:styleId="BodyTextIndent">
    <w:name w:val="Body Text Indent"/>
    <w:basedOn w:val="Normal"/>
    <w:link w:val="BodyTextIndentChar"/>
    <w:uiPriority w:val="99"/>
    <w:semiHidden/>
    <w:unhideWhenUsed/>
    <w:rsid w:val="00CB0CCD"/>
    <w:pPr>
      <w:spacing w:after="120"/>
      <w:ind w:left="283"/>
    </w:pPr>
    <w:rPr>
      <w:rFonts w:ascii="Calibri" w:eastAsiaTheme="minorHAnsi" w:hAnsi="Calibri"/>
      <w:sz w:val="22"/>
      <w:szCs w:val="22"/>
      <w:lang w:eastAsia="en-US"/>
    </w:rPr>
  </w:style>
  <w:style w:type="character" w:customStyle="1" w:styleId="BodyTextIndentChar">
    <w:name w:val="Body Text Indent Char"/>
    <w:basedOn w:val="DefaultParagraphFont"/>
    <w:link w:val="BodyTextIndent"/>
    <w:uiPriority w:val="99"/>
    <w:semiHidden/>
    <w:rsid w:val="00CB0CCD"/>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553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ristine.dudina@vara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5909</Words>
  <Characters>3369</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Zanda Krūkle</dc:creator>
  <cp:keywords/>
  <dc:description/>
  <cp:lastModifiedBy>Kristīne Dūdiņa</cp:lastModifiedBy>
  <cp:revision>7</cp:revision>
  <dcterms:created xsi:type="dcterms:W3CDTF">2020-11-20T06:34:00Z</dcterms:created>
  <dcterms:modified xsi:type="dcterms:W3CDTF">2020-11-20T13:54:00Z</dcterms:modified>
</cp:coreProperties>
</file>