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43491" w14:textId="77777777" w:rsidR="00905305" w:rsidRPr="00CE0921" w:rsidRDefault="002F7A75" w:rsidP="00905305">
      <w:pPr>
        <w:pStyle w:val="naisnod"/>
        <w:spacing w:before="0" w:after="0"/>
        <w:ind w:firstLine="720"/>
        <w:rPr>
          <w:sz w:val="22"/>
          <w:szCs w:val="22"/>
        </w:rPr>
      </w:pPr>
      <w:bookmarkStart w:id="0" w:name="OLE_LINK1"/>
      <w:bookmarkStart w:id="1" w:name="OLE_LINK2"/>
      <w:bookmarkStart w:id="2" w:name="OLE_LINK7"/>
      <w:bookmarkStart w:id="3" w:name="OLE_LINK8"/>
      <w:bookmarkStart w:id="4" w:name="OLE_LINK3"/>
      <w:bookmarkStart w:id="5" w:name="OLE_LINK4"/>
      <w:r w:rsidRPr="00CE0921">
        <w:rPr>
          <w:sz w:val="22"/>
          <w:szCs w:val="22"/>
        </w:rPr>
        <w:t>Izziņa par atzinumos sniegtajiem iebildumiem</w:t>
      </w:r>
      <w:bookmarkEnd w:id="0"/>
      <w:bookmarkEnd w:id="1"/>
    </w:p>
    <w:tbl>
      <w:tblPr>
        <w:tblW w:w="0" w:type="auto"/>
        <w:jc w:val="center"/>
        <w:tblLook w:val="00A0" w:firstRow="1" w:lastRow="0" w:firstColumn="1" w:lastColumn="0" w:noHBand="0" w:noVBand="0"/>
      </w:tblPr>
      <w:tblGrid>
        <w:gridCol w:w="13721"/>
      </w:tblGrid>
      <w:tr w:rsidR="00BF7742" w14:paraId="235C4142" w14:textId="77777777" w:rsidTr="00905305">
        <w:trPr>
          <w:jc w:val="center"/>
        </w:trPr>
        <w:tc>
          <w:tcPr>
            <w:tcW w:w="13721" w:type="dxa"/>
            <w:tcBorders>
              <w:bottom w:val="single" w:sz="6" w:space="0" w:color="000000"/>
            </w:tcBorders>
          </w:tcPr>
          <w:bookmarkEnd w:id="2"/>
          <w:bookmarkEnd w:id="3"/>
          <w:p w14:paraId="6F92D10C" w14:textId="77777777" w:rsidR="00905305" w:rsidRDefault="002F7A75" w:rsidP="00905305">
            <w:pPr>
              <w:jc w:val="both"/>
              <w:rPr>
                <w:b/>
                <w:sz w:val="22"/>
                <w:szCs w:val="22"/>
              </w:rPr>
            </w:pPr>
            <w:r w:rsidRPr="00CE0921">
              <w:rPr>
                <w:b/>
                <w:sz w:val="22"/>
                <w:szCs w:val="22"/>
              </w:rPr>
              <w:t>Ministru kabineta noteikumu projekts "</w:t>
            </w:r>
            <w:r w:rsidR="00B509DB" w:rsidRPr="00B509DB">
              <w:rPr>
                <w:b/>
                <w:sz w:val="22"/>
                <w:szCs w:val="22"/>
              </w:rPr>
              <w:t xml:space="preserve">Grozījumi Ministru kabineta 2015. gada 10. novembra noteikumos Nr. 645 "Darbības programmas "Izaugsme un nodarbinātība" 5.6.2. specifiskā atbalsta mērķa "Teritoriju </w:t>
            </w:r>
            <w:proofErr w:type="spellStart"/>
            <w:r w:rsidR="00B509DB" w:rsidRPr="00B509DB">
              <w:rPr>
                <w:b/>
                <w:sz w:val="22"/>
                <w:szCs w:val="22"/>
              </w:rPr>
              <w:t>revitalizācija</w:t>
            </w:r>
            <w:proofErr w:type="spellEnd"/>
            <w:r w:rsidR="00B509DB" w:rsidRPr="00B509DB">
              <w:rPr>
                <w:b/>
                <w:sz w:val="22"/>
                <w:szCs w:val="22"/>
              </w:rPr>
              <w:t>, reģenerējot degradētās teritorijas atbilstoši pašvaldību integrētajām attīstības programmām" īstenošanas noteikumi</w:t>
            </w:r>
            <w:r w:rsidRPr="00CE0921">
              <w:rPr>
                <w:b/>
                <w:sz w:val="22"/>
                <w:szCs w:val="22"/>
              </w:rPr>
              <w:t>""</w:t>
            </w:r>
          </w:p>
          <w:p w14:paraId="5F719489" w14:textId="0B01E55D" w:rsidR="0002370A" w:rsidRPr="00CE0921" w:rsidRDefault="0002370A" w:rsidP="00905305">
            <w:pPr>
              <w:jc w:val="both"/>
              <w:rPr>
                <w:b/>
              </w:rPr>
            </w:pPr>
          </w:p>
        </w:tc>
      </w:tr>
    </w:tbl>
    <w:bookmarkEnd w:id="4"/>
    <w:bookmarkEnd w:id="5"/>
    <w:p w14:paraId="254053A0" w14:textId="77777777" w:rsidR="00905305" w:rsidRPr="00CE0921" w:rsidRDefault="002F7A75" w:rsidP="00905305">
      <w:pPr>
        <w:pStyle w:val="naisc"/>
        <w:spacing w:before="0" w:after="0"/>
        <w:ind w:firstLine="1080"/>
        <w:rPr>
          <w:sz w:val="22"/>
          <w:szCs w:val="22"/>
        </w:rPr>
      </w:pPr>
      <w:r w:rsidRPr="00CE0921">
        <w:rPr>
          <w:sz w:val="22"/>
          <w:szCs w:val="22"/>
        </w:rPr>
        <w:t>(dokumenta veids un nosaukums)</w:t>
      </w:r>
    </w:p>
    <w:p w14:paraId="2FD4E204" w14:textId="77777777" w:rsidR="00905305" w:rsidRPr="00CE0921" w:rsidRDefault="00905305" w:rsidP="00905305">
      <w:pPr>
        <w:pStyle w:val="naisc"/>
        <w:spacing w:before="0" w:after="0"/>
        <w:ind w:firstLine="1080"/>
        <w:rPr>
          <w:sz w:val="22"/>
          <w:szCs w:val="22"/>
        </w:rPr>
      </w:pPr>
    </w:p>
    <w:p w14:paraId="14EF7279" w14:textId="77777777" w:rsidR="00905305" w:rsidRPr="00CE0921" w:rsidRDefault="00905305" w:rsidP="00905305">
      <w:pPr>
        <w:pStyle w:val="naisc"/>
        <w:spacing w:before="0" w:after="0"/>
        <w:ind w:firstLine="1080"/>
        <w:rPr>
          <w:sz w:val="22"/>
          <w:szCs w:val="22"/>
        </w:rPr>
      </w:pPr>
    </w:p>
    <w:p w14:paraId="41073638" w14:textId="77777777" w:rsidR="00905305" w:rsidRPr="00CE0921" w:rsidRDefault="002F7A75" w:rsidP="00905305">
      <w:pPr>
        <w:pStyle w:val="naisf"/>
        <w:numPr>
          <w:ilvl w:val="0"/>
          <w:numId w:val="1"/>
        </w:numPr>
        <w:spacing w:before="0" w:after="0"/>
        <w:jc w:val="center"/>
        <w:rPr>
          <w:b/>
          <w:sz w:val="22"/>
          <w:szCs w:val="22"/>
        </w:rPr>
      </w:pPr>
      <w:r w:rsidRPr="00CE0921">
        <w:rPr>
          <w:b/>
          <w:sz w:val="22"/>
          <w:szCs w:val="22"/>
        </w:rPr>
        <w:t>Jautājumi, par kuriem saskaņošanā vienošanās nav panākta</w:t>
      </w:r>
    </w:p>
    <w:tbl>
      <w:tblPr>
        <w:tblW w:w="1442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1"/>
        <w:gridCol w:w="2242"/>
        <w:gridCol w:w="3711"/>
        <w:gridCol w:w="3519"/>
        <w:gridCol w:w="1701"/>
        <w:gridCol w:w="2551"/>
      </w:tblGrid>
      <w:tr w:rsidR="00BF7742" w14:paraId="5A166CD7" w14:textId="77777777" w:rsidTr="00905305">
        <w:tc>
          <w:tcPr>
            <w:tcW w:w="7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B7C6E7" w14:textId="77777777" w:rsidR="00905305" w:rsidRPr="00CE0921" w:rsidRDefault="002F7A75" w:rsidP="00905305">
            <w:pPr>
              <w:pStyle w:val="naisc"/>
              <w:spacing w:before="0" w:after="0"/>
              <w:rPr>
                <w:sz w:val="22"/>
                <w:szCs w:val="22"/>
              </w:rPr>
            </w:pPr>
            <w:r w:rsidRPr="00CE0921">
              <w:rPr>
                <w:sz w:val="22"/>
                <w:szCs w:val="22"/>
              </w:rPr>
              <w:t>Nr. p.k.</w:t>
            </w:r>
          </w:p>
        </w:tc>
        <w:tc>
          <w:tcPr>
            <w:tcW w:w="22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566D7A" w14:textId="77777777" w:rsidR="00905305" w:rsidRPr="00CE0921" w:rsidRDefault="002F7A75" w:rsidP="00905305">
            <w:pPr>
              <w:pStyle w:val="naisc"/>
              <w:spacing w:before="0" w:after="0"/>
              <w:ind w:firstLine="12"/>
              <w:rPr>
                <w:sz w:val="22"/>
                <w:szCs w:val="22"/>
              </w:rPr>
            </w:pPr>
            <w:r w:rsidRPr="00CE0921">
              <w:rPr>
                <w:sz w:val="22"/>
                <w:szCs w:val="22"/>
              </w:rPr>
              <w:t>Saskaņošanai nosūtītā projekta redakcija (konkrēta punkta (panta) redakcija)</w:t>
            </w:r>
          </w:p>
        </w:tc>
        <w:tc>
          <w:tcPr>
            <w:tcW w:w="371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B2A7D4" w14:textId="77777777" w:rsidR="00905305" w:rsidRPr="00CE0921" w:rsidRDefault="002F7A75" w:rsidP="00905305">
            <w:pPr>
              <w:pStyle w:val="naisc"/>
              <w:spacing w:before="0" w:after="0"/>
              <w:ind w:right="3"/>
              <w:rPr>
                <w:sz w:val="22"/>
                <w:szCs w:val="22"/>
              </w:rPr>
            </w:pPr>
            <w:r w:rsidRPr="00CE0921">
              <w:rPr>
                <w:sz w:val="22"/>
                <w:szCs w:val="22"/>
              </w:rPr>
              <w:t>Atzinumā norādītais ministrijas (citas institūcijas) iebildums, kā arī saskaņošanā papildus izteiktais iebildums par projekta konkrēto punktu (pantu)</w:t>
            </w:r>
          </w:p>
        </w:tc>
        <w:tc>
          <w:tcPr>
            <w:tcW w:w="35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DD46EE" w14:textId="77777777" w:rsidR="00905305" w:rsidRPr="00CE0921" w:rsidRDefault="002F7A75" w:rsidP="00905305">
            <w:pPr>
              <w:pStyle w:val="naisc"/>
              <w:spacing w:before="0" w:after="0"/>
              <w:ind w:firstLine="21"/>
              <w:rPr>
                <w:sz w:val="22"/>
                <w:szCs w:val="22"/>
              </w:rPr>
            </w:pPr>
            <w:r w:rsidRPr="00CE0921">
              <w:rPr>
                <w:sz w:val="22"/>
                <w:szCs w:val="22"/>
              </w:rPr>
              <w:t>Atbildīgās ministrijas pamatojums iebilduma noraidījumam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6F70D46" w14:textId="77777777" w:rsidR="00905305" w:rsidRPr="00CE0921" w:rsidRDefault="002F7A75" w:rsidP="00905305">
            <w:pPr>
              <w:jc w:val="center"/>
              <w:rPr>
                <w:sz w:val="22"/>
                <w:szCs w:val="22"/>
              </w:rPr>
            </w:pPr>
            <w:r w:rsidRPr="00CE0921">
              <w:rPr>
                <w:sz w:val="22"/>
                <w:szCs w:val="22"/>
              </w:rPr>
              <w:t>Atzinuma sniedzēja uzturētais iebildums, ja tas atšķiras no atzinumā norādītā iebilduma pamatojuma</w:t>
            </w:r>
          </w:p>
        </w:tc>
        <w:tc>
          <w:tcPr>
            <w:tcW w:w="2551" w:type="dxa"/>
            <w:tcBorders>
              <w:top w:val="single" w:sz="4" w:space="0" w:color="auto"/>
              <w:left w:val="single" w:sz="4" w:space="0" w:color="auto"/>
              <w:bottom w:val="single" w:sz="4" w:space="0" w:color="auto"/>
            </w:tcBorders>
            <w:shd w:val="clear" w:color="auto" w:fill="auto"/>
          </w:tcPr>
          <w:p w14:paraId="2EC5172A" w14:textId="77777777" w:rsidR="00905305" w:rsidRPr="00CE0921" w:rsidRDefault="002F7A75" w:rsidP="00905305">
            <w:pPr>
              <w:jc w:val="center"/>
              <w:rPr>
                <w:sz w:val="22"/>
                <w:szCs w:val="22"/>
              </w:rPr>
            </w:pPr>
            <w:r w:rsidRPr="00CE0921">
              <w:rPr>
                <w:sz w:val="22"/>
                <w:szCs w:val="22"/>
              </w:rPr>
              <w:t>Projekta attiecīgā punkta (panta) galīgā redakcija</w:t>
            </w:r>
          </w:p>
        </w:tc>
      </w:tr>
      <w:tr w:rsidR="00BF7742" w14:paraId="6216AD17" w14:textId="77777777" w:rsidTr="00905305">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295A51FE" w14:textId="77777777" w:rsidR="00905305" w:rsidRPr="00CE0921" w:rsidRDefault="002F7A75" w:rsidP="00905305">
            <w:pPr>
              <w:pStyle w:val="naisc"/>
              <w:spacing w:before="0" w:after="0"/>
              <w:rPr>
                <w:sz w:val="22"/>
                <w:szCs w:val="22"/>
              </w:rPr>
            </w:pPr>
            <w:r w:rsidRPr="00CE0921">
              <w:rPr>
                <w:sz w:val="22"/>
                <w:szCs w:val="22"/>
              </w:rPr>
              <w:t>1</w:t>
            </w:r>
          </w:p>
        </w:tc>
        <w:tc>
          <w:tcPr>
            <w:tcW w:w="2242" w:type="dxa"/>
            <w:tcBorders>
              <w:top w:val="single" w:sz="6" w:space="0" w:color="000000"/>
              <w:left w:val="single" w:sz="6" w:space="0" w:color="000000"/>
              <w:bottom w:val="single" w:sz="6" w:space="0" w:color="000000"/>
              <w:right w:val="single" w:sz="6" w:space="0" w:color="000000"/>
            </w:tcBorders>
            <w:shd w:val="clear" w:color="auto" w:fill="auto"/>
          </w:tcPr>
          <w:p w14:paraId="0908479B" w14:textId="77777777" w:rsidR="00905305" w:rsidRPr="00CE0921" w:rsidRDefault="002F7A75" w:rsidP="00905305">
            <w:pPr>
              <w:pStyle w:val="naisc"/>
              <w:spacing w:before="0" w:after="0"/>
              <w:ind w:firstLine="720"/>
              <w:rPr>
                <w:sz w:val="22"/>
                <w:szCs w:val="22"/>
              </w:rPr>
            </w:pPr>
            <w:r w:rsidRPr="00CE0921">
              <w:rPr>
                <w:sz w:val="22"/>
                <w:szCs w:val="22"/>
              </w:rPr>
              <w:t>2</w:t>
            </w: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1DAFBFFB" w14:textId="77777777" w:rsidR="00905305" w:rsidRPr="00CE0921" w:rsidRDefault="002F7A75" w:rsidP="00905305">
            <w:pPr>
              <w:pStyle w:val="naisc"/>
              <w:spacing w:before="0" w:after="0"/>
              <w:ind w:firstLine="720"/>
              <w:rPr>
                <w:sz w:val="22"/>
                <w:szCs w:val="22"/>
              </w:rPr>
            </w:pPr>
            <w:r w:rsidRPr="00CE0921">
              <w:rPr>
                <w:sz w:val="22"/>
                <w:szCs w:val="22"/>
              </w:rPr>
              <w:t>3</w:t>
            </w:r>
          </w:p>
        </w:tc>
        <w:tc>
          <w:tcPr>
            <w:tcW w:w="3519" w:type="dxa"/>
            <w:tcBorders>
              <w:top w:val="single" w:sz="6" w:space="0" w:color="000000"/>
              <w:left w:val="single" w:sz="6" w:space="0" w:color="000000"/>
              <w:bottom w:val="single" w:sz="6" w:space="0" w:color="000000"/>
              <w:right w:val="single" w:sz="6" w:space="0" w:color="000000"/>
            </w:tcBorders>
            <w:shd w:val="clear" w:color="auto" w:fill="auto"/>
          </w:tcPr>
          <w:p w14:paraId="7A64BC46" w14:textId="77777777" w:rsidR="00905305" w:rsidRPr="00CE0921" w:rsidRDefault="002F7A75" w:rsidP="00905305">
            <w:pPr>
              <w:pStyle w:val="naisc"/>
              <w:spacing w:before="0" w:after="0"/>
              <w:ind w:firstLine="720"/>
              <w:rPr>
                <w:sz w:val="22"/>
                <w:szCs w:val="22"/>
              </w:rPr>
            </w:pPr>
            <w:r w:rsidRPr="00CE0921">
              <w:rPr>
                <w:sz w:val="22"/>
                <w:szCs w:val="22"/>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597BD33" w14:textId="77777777" w:rsidR="00905305" w:rsidRPr="00CE0921" w:rsidRDefault="002F7A75" w:rsidP="00905305">
            <w:pPr>
              <w:jc w:val="center"/>
              <w:rPr>
                <w:sz w:val="22"/>
                <w:szCs w:val="22"/>
              </w:rPr>
            </w:pPr>
            <w:r w:rsidRPr="00CE0921">
              <w:rPr>
                <w:sz w:val="22"/>
                <w:szCs w:val="22"/>
              </w:rPr>
              <w:t>5</w:t>
            </w:r>
          </w:p>
        </w:tc>
        <w:tc>
          <w:tcPr>
            <w:tcW w:w="2551" w:type="dxa"/>
            <w:tcBorders>
              <w:top w:val="single" w:sz="4" w:space="0" w:color="auto"/>
              <w:left w:val="single" w:sz="4" w:space="0" w:color="auto"/>
              <w:bottom w:val="single" w:sz="4" w:space="0" w:color="auto"/>
            </w:tcBorders>
            <w:shd w:val="clear" w:color="auto" w:fill="auto"/>
          </w:tcPr>
          <w:p w14:paraId="2941F311" w14:textId="77777777" w:rsidR="00905305" w:rsidRPr="00CE0921" w:rsidRDefault="002F7A75" w:rsidP="00905305">
            <w:pPr>
              <w:jc w:val="center"/>
              <w:rPr>
                <w:sz w:val="22"/>
                <w:szCs w:val="22"/>
              </w:rPr>
            </w:pPr>
            <w:r w:rsidRPr="00CE0921">
              <w:rPr>
                <w:sz w:val="22"/>
                <w:szCs w:val="22"/>
              </w:rPr>
              <w:t>6</w:t>
            </w:r>
          </w:p>
        </w:tc>
      </w:tr>
      <w:tr w:rsidR="00BF7742" w14:paraId="564047A8" w14:textId="77777777" w:rsidTr="00905305">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1AFB2400" w14:textId="77777777" w:rsidR="00905305" w:rsidRPr="00CE0921" w:rsidRDefault="002F7A75" w:rsidP="00905305">
            <w:pPr>
              <w:pStyle w:val="naisc"/>
              <w:spacing w:before="0" w:after="0"/>
              <w:rPr>
                <w:sz w:val="22"/>
                <w:szCs w:val="22"/>
              </w:rPr>
            </w:pPr>
            <w:r w:rsidRPr="00CE0921">
              <w:rPr>
                <w:sz w:val="22"/>
                <w:szCs w:val="22"/>
              </w:rPr>
              <w:t>1.</w:t>
            </w:r>
          </w:p>
        </w:tc>
        <w:tc>
          <w:tcPr>
            <w:tcW w:w="2242" w:type="dxa"/>
            <w:tcBorders>
              <w:top w:val="single" w:sz="6" w:space="0" w:color="000000"/>
              <w:left w:val="single" w:sz="6" w:space="0" w:color="000000"/>
              <w:bottom w:val="single" w:sz="6" w:space="0" w:color="000000"/>
              <w:right w:val="single" w:sz="6" w:space="0" w:color="000000"/>
            </w:tcBorders>
            <w:shd w:val="clear" w:color="auto" w:fill="auto"/>
          </w:tcPr>
          <w:p w14:paraId="2FA0C2E8" w14:textId="77777777" w:rsidR="00905305" w:rsidRPr="00CE0921" w:rsidRDefault="00905305" w:rsidP="00905305">
            <w:pPr>
              <w:pStyle w:val="naisc"/>
              <w:spacing w:before="0" w:after="0"/>
              <w:ind w:right="54" w:firstLine="8"/>
              <w:jc w:val="both"/>
              <w:rPr>
                <w:sz w:val="22"/>
                <w:szCs w:val="22"/>
              </w:rPr>
            </w:pP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45620CE2" w14:textId="77777777" w:rsidR="00905305" w:rsidRPr="00CE0921" w:rsidRDefault="00905305" w:rsidP="00905305">
            <w:pPr>
              <w:pStyle w:val="naisc"/>
              <w:spacing w:before="0" w:after="0"/>
              <w:ind w:firstLine="720"/>
              <w:rPr>
                <w:sz w:val="22"/>
                <w:szCs w:val="22"/>
              </w:rPr>
            </w:pPr>
          </w:p>
        </w:tc>
        <w:tc>
          <w:tcPr>
            <w:tcW w:w="3519" w:type="dxa"/>
            <w:tcBorders>
              <w:top w:val="single" w:sz="6" w:space="0" w:color="000000"/>
              <w:left w:val="single" w:sz="6" w:space="0" w:color="000000"/>
              <w:bottom w:val="single" w:sz="6" w:space="0" w:color="000000"/>
              <w:right w:val="single" w:sz="6" w:space="0" w:color="000000"/>
            </w:tcBorders>
            <w:shd w:val="clear" w:color="auto" w:fill="auto"/>
          </w:tcPr>
          <w:p w14:paraId="5D950255" w14:textId="77777777" w:rsidR="00905305" w:rsidRPr="00CE0921" w:rsidRDefault="00905305" w:rsidP="00905305">
            <w:pPr>
              <w:pStyle w:val="naisc"/>
              <w:spacing w:before="0" w:after="0"/>
              <w:jc w:val="both"/>
              <w:rPr>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887549D" w14:textId="77777777" w:rsidR="00905305" w:rsidRPr="00CE0921" w:rsidRDefault="00905305" w:rsidP="00905305">
            <w:pPr>
              <w:jc w:val="center"/>
              <w:rPr>
                <w:sz w:val="22"/>
                <w:szCs w:val="22"/>
              </w:rPr>
            </w:pPr>
          </w:p>
        </w:tc>
        <w:tc>
          <w:tcPr>
            <w:tcW w:w="2551" w:type="dxa"/>
            <w:tcBorders>
              <w:top w:val="single" w:sz="4" w:space="0" w:color="auto"/>
              <w:left w:val="single" w:sz="4" w:space="0" w:color="auto"/>
              <w:bottom w:val="single" w:sz="4" w:space="0" w:color="auto"/>
            </w:tcBorders>
            <w:shd w:val="clear" w:color="auto" w:fill="auto"/>
          </w:tcPr>
          <w:p w14:paraId="3AC5EDCB" w14:textId="77777777" w:rsidR="00905305" w:rsidRPr="00CE0921" w:rsidRDefault="00905305" w:rsidP="00905305">
            <w:pPr>
              <w:jc w:val="both"/>
              <w:rPr>
                <w:sz w:val="22"/>
                <w:szCs w:val="22"/>
              </w:rPr>
            </w:pPr>
          </w:p>
        </w:tc>
      </w:tr>
      <w:tr w:rsidR="00BF7742" w14:paraId="694C5E9C" w14:textId="77777777" w:rsidTr="00905305">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7B09D9BC" w14:textId="77777777" w:rsidR="00905305" w:rsidRPr="00CE0921" w:rsidRDefault="00905305" w:rsidP="00905305">
            <w:pPr>
              <w:pStyle w:val="naisc"/>
              <w:spacing w:before="0" w:after="0"/>
              <w:rPr>
                <w:sz w:val="22"/>
                <w:szCs w:val="22"/>
              </w:rPr>
            </w:pPr>
          </w:p>
        </w:tc>
        <w:tc>
          <w:tcPr>
            <w:tcW w:w="2242" w:type="dxa"/>
            <w:tcBorders>
              <w:top w:val="single" w:sz="6" w:space="0" w:color="000000"/>
              <w:left w:val="single" w:sz="6" w:space="0" w:color="000000"/>
              <w:bottom w:val="single" w:sz="4" w:space="0" w:color="auto"/>
              <w:right w:val="single" w:sz="6" w:space="0" w:color="000000"/>
            </w:tcBorders>
            <w:shd w:val="clear" w:color="auto" w:fill="auto"/>
          </w:tcPr>
          <w:p w14:paraId="43F2FC1B" w14:textId="77777777" w:rsidR="00905305" w:rsidRPr="00CE0921" w:rsidRDefault="00905305" w:rsidP="00905305">
            <w:pPr>
              <w:jc w:val="both"/>
              <w:outlineLvl w:val="0"/>
              <w:rPr>
                <w:sz w:val="22"/>
                <w:szCs w:val="22"/>
              </w:rPr>
            </w:pPr>
          </w:p>
        </w:tc>
        <w:tc>
          <w:tcPr>
            <w:tcW w:w="3711" w:type="dxa"/>
            <w:tcBorders>
              <w:top w:val="single" w:sz="6" w:space="0" w:color="000000"/>
              <w:left w:val="single" w:sz="6" w:space="0" w:color="000000"/>
              <w:bottom w:val="single" w:sz="4" w:space="0" w:color="auto"/>
              <w:right w:val="single" w:sz="6" w:space="0" w:color="000000"/>
            </w:tcBorders>
            <w:shd w:val="clear" w:color="auto" w:fill="auto"/>
          </w:tcPr>
          <w:p w14:paraId="5BBE668F" w14:textId="77777777" w:rsidR="00905305" w:rsidRPr="00CE0921" w:rsidRDefault="00905305" w:rsidP="00905305">
            <w:pPr>
              <w:jc w:val="both"/>
              <w:rPr>
                <w:b/>
                <w:sz w:val="22"/>
                <w:szCs w:val="22"/>
              </w:rPr>
            </w:pPr>
          </w:p>
        </w:tc>
        <w:tc>
          <w:tcPr>
            <w:tcW w:w="3519" w:type="dxa"/>
            <w:tcBorders>
              <w:top w:val="single" w:sz="6" w:space="0" w:color="000000"/>
              <w:left w:val="single" w:sz="6" w:space="0" w:color="000000"/>
              <w:bottom w:val="single" w:sz="6" w:space="0" w:color="000000"/>
              <w:right w:val="single" w:sz="6" w:space="0" w:color="000000"/>
            </w:tcBorders>
            <w:shd w:val="clear" w:color="auto" w:fill="auto"/>
          </w:tcPr>
          <w:p w14:paraId="3271521E" w14:textId="77777777" w:rsidR="00905305" w:rsidRPr="00CE0921" w:rsidRDefault="00905305" w:rsidP="00905305">
            <w:pPr>
              <w:pStyle w:val="naisc"/>
              <w:spacing w:before="0" w:after="0"/>
              <w:jc w:val="left"/>
              <w:rPr>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0681E64" w14:textId="77777777" w:rsidR="00905305" w:rsidRPr="00CE0921" w:rsidRDefault="00905305" w:rsidP="00905305">
            <w:pPr>
              <w:jc w:val="center"/>
              <w:rPr>
                <w:sz w:val="22"/>
                <w:szCs w:val="22"/>
              </w:rPr>
            </w:pPr>
          </w:p>
        </w:tc>
        <w:tc>
          <w:tcPr>
            <w:tcW w:w="2551" w:type="dxa"/>
            <w:tcBorders>
              <w:top w:val="single" w:sz="4" w:space="0" w:color="auto"/>
              <w:left w:val="single" w:sz="4" w:space="0" w:color="auto"/>
              <w:bottom w:val="single" w:sz="4" w:space="0" w:color="auto"/>
            </w:tcBorders>
            <w:shd w:val="clear" w:color="auto" w:fill="auto"/>
          </w:tcPr>
          <w:p w14:paraId="7562C5D4" w14:textId="77777777" w:rsidR="00905305" w:rsidRPr="00CE0921" w:rsidRDefault="00905305" w:rsidP="00905305">
            <w:pPr>
              <w:jc w:val="both"/>
              <w:rPr>
                <w:sz w:val="22"/>
                <w:szCs w:val="22"/>
              </w:rPr>
            </w:pPr>
          </w:p>
        </w:tc>
      </w:tr>
    </w:tbl>
    <w:p w14:paraId="31D6659B" w14:textId="77777777" w:rsidR="00905305" w:rsidRPr="00CE0921" w:rsidRDefault="00905305" w:rsidP="00905305">
      <w:pPr>
        <w:pStyle w:val="naisf"/>
        <w:spacing w:before="0" w:after="0"/>
        <w:ind w:firstLine="0"/>
        <w:rPr>
          <w:b/>
          <w:sz w:val="22"/>
          <w:szCs w:val="22"/>
        </w:rPr>
      </w:pPr>
    </w:p>
    <w:p w14:paraId="0904CA79" w14:textId="77777777" w:rsidR="00905305" w:rsidRPr="00CE0921" w:rsidRDefault="002F7A75" w:rsidP="00905305">
      <w:pPr>
        <w:pStyle w:val="naisf"/>
        <w:spacing w:before="0" w:after="0"/>
        <w:ind w:firstLine="0"/>
        <w:rPr>
          <w:b/>
          <w:sz w:val="22"/>
          <w:szCs w:val="22"/>
        </w:rPr>
      </w:pPr>
      <w:r w:rsidRPr="00044049">
        <w:rPr>
          <w:sz w:val="22"/>
          <w:szCs w:val="22"/>
        </w:rPr>
        <w:t xml:space="preserve">Informācija </w:t>
      </w:r>
      <w:r w:rsidRPr="00DA02D9">
        <w:rPr>
          <w:sz w:val="22"/>
          <w:szCs w:val="22"/>
        </w:rPr>
        <w:t>par</w:t>
      </w:r>
      <w:r w:rsidRPr="00DA02D9">
        <w:rPr>
          <w:b/>
          <w:sz w:val="22"/>
          <w:szCs w:val="22"/>
        </w:rPr>
        <w:t xml:space="preserve"> </w:t>
      </w:r>
      <w:proofErr w:type="spellStart"/>
      <w:r w:rsidRPr="00DA02D9">
        <w:rPr>
          <w:sz w:val="22"/>
          <w:szCs w:val="22"/>
        </w:rPr>
        <w:t>starpministriju</w:t>
      </w:r>
      <w:proofErr w:type="spellEnd"/>
      <w:r w:rsidRPr="00DA02D9">
        <w:rPr>
          <w:sz w:val="22"/>
          <w:szCs w:val="22"/>
        </w:rPr>
        <w:t xml:space="preserve"> (</w:t>
      </w:r>
      <w:r w:rsidRPr="00B509DB">
        <w:rPr>
          <w:sz w:val="22"/>
          <w:szCs w:val="22"/>
        </w:rPr>
        <w:t xml:space="preserve">starpinstitūciju) sanāksmi vai </w:t>
      </w:r>
      <w:r w:rsidRPr="00B509DB">
        <w:rPr>
          <w:b/>
          <w:sz w:val="22"/>
          <w:szCs w:val="22"/>
          <w:u w:val="single"/>
        </w:rPr>
        <w:t>elektronisko saskaņošanu</w:t>
      </w:r>
    </w:p>
    <w:p w14:paraId="17D82B4C" w14:textId="77777777" w:rsidR="00905305" w:rsidRPr="00CE0921" w:rsidRDefault="00905305" w:rsidP="00905305">
      <w:pPr>
        <w:pStyle w:val="naisf"/>
        <w:spacing w:before="0" w:after="0"/>
        <w:ind w:firstLine="0"/>
        <w:rPr>
          <w:b/>
          <w:sz w:val="22"/>
          <w:szCs w:val="22"/>
        </w:rPr>
      </w:pPr>
    </w:p>
    <w:p w14:paraId="5B01C3F2" w14:textId="0E134F26" w:rsidR="00905305" w:rsidRPr="00CE0921" w:rsidRDefault="002F7A75" w:rsidP="00905305">
      <w:pPr>
        <w:pStyle w:val="naisf"/>
        <w:spacing w:before="0" w:after="0"/>
        <w:ind w:firstLine="0"/>
        <w:rPr>
          <w:sz w:val="22"/>
          <w:szCs w:val="22"/>
        </w:rPr>
      </w:pPr>
      <w:r w:rsidRPr="00B509DB">
        <w:rPr>
          <w:sz w:val="22"/>
          <w:szCs w:val="22"/>
        </w:rPr>
        <w:t>Datums</w:t>
      </w:r>
      <w:r w:rsidR="00195E87" w:rsidRPr="00B509DB">
        <w:rPr>
          <w:sz w:val="22"/>
          <w:szCs w:val="22"/>
        </w:rPr>
        <w:t xml:space="preserve">: </w:t>
      </w:r>
      <w:r w:rsidR="007F1CED">
        <w:rPr>
          <w:sz w:val="22"/>
          <w:szCs w:val="22"/>
        </w:rPr>
        <w:t>26</w:t>
      </w:r>
      <w:r w:rsidR="008755AF">
        <w:rPr>
          <w:sz w:val="22"/>
          <w:szCs w:val="22"/>
        </w:rPr>
        <w:t>.11</w:t>
      </w:r>
      <w:r w:rsidR="00177ED0" w:rsidRPr="00B509DB">
        <w:rPr>
          <w:sz w:val="22"/>
          <w:szCs w:val="22"/>
        </w:rPr>
        <w:t>.2020.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9774"/>
      </w:tblGrid>
      <w:tr w:rsidR="00BF7742" w14:paraId="71BEEFB0" w14:textId="77777777" w:rsidTr="00905305">
        <w:tc>
          <w:tcPr>
            <w:tcW w:w="4219" w:type="dxa"/>
          </w:tcPr>
          <w:p w14:paraId="6DC703BC" w14:textId="77777777" w:rsidR="00905305" w:rsidRPr="009966E6" w:rsidRDefault="00905305" w:rsidP="00905305">
            <w:pPr>
              <w:rPr>
                <w:sz w:val="22"/>
                <w:szCs w:val="22"/>
              </w:rPr>
            </w:pPr>
          </w:p>
        </w:tc>
        <w:tc>
          <w:tcPr>
            <w:tcW w:w="9774" w:type="dxa"/>
          </w:tcPr>
          <w:p w14:paraId="06E747EC" w14:textId="77777777" w:rsidR="00905305" w:rsidRPr="009966E6" w:rsidRDefault="00905305" w:rsidP="00905305">
            <w:pPr>
              <w:jc w:val="both"/>
              <w:rPr>
                <w:sz w:val="22"/>
                <w:szCs w:val="22"/>
              </w:rPr>
            </w:pPr>
          </w:p>
        </w:tc>
      </w:tr>
      <w:tr w:rsidR="00BF7742" w:rsidRPr="00177ED0" w14:paraId="0CFAED1E" w14:textId="77777777" w:rsidTr="00905305">
        <w:tc>
          <w:tcPr>
            <w:tcW w:w="4219" w:type="dxa"/>
          </w:tcPr>
          <w:p w14:paraId="44FE33AA" w14:textId="77777777" w:rsidR="00905305" w:rsidRPr="00177ED0" w:rsidRDefault="002F7A75" w:rsidP="00905305">
            <w:pPr>
              <w:rPr>
                <w:sz w:val="22"/>
                <w:szCs w:val="22"/>
              </w:rPr>
            </w:pPr>
            <w:r w:rsidRPr="00177ED0">
              <w:rPr>
                <w:sz w:val="22"/>
                <w:szCs w:val="22"/>
              </w:rPr>
              <w:t>Saskaņošanas dalībnieki:</w:t>
            </w:r>
          </w:p>
        </w:tc>
        <w:tc>
          <w:tcPr>
            <w:tcW w:w="9774" w:type="dxa"/>
          </w:tcPr>
          <w:p w14:paraId="6710DCFE" w14:textId="1BF8BD82" w:rsidR="00905305" w:rsidRPr="00177ED0" w:rsidRDefault="00177ED0" w:rsidP="00621562">
            <w:pPr>
              <w:jc w:val="both"/>
              <w:rPr>
                <w:sz w:val="22"/>
                <w:szCs w:val="22"/>
              </w:rPr>
            </w:pPr>
            <w:r w:rsidRPr="00177ED0">
              <w:rPr>
                <w:sz w:val="22"/>
                <w:szCs w:val="22"/>
              </w:rPr>
              <w:t xml:space="preserve">Tieslietu </w:t>
            </w:r>
            <w:r w:rsidR="00621562">
              <w:rPr>
                <w:sz w:val="22"/>
                <w:szCs w:val="22"/>
              </w:rPr>
              <w:t>ministrija, Finanšu ministrija</w:t>
            </w:r>
          </w:p>
        </w:tc>
      </w:tr>
      <w:tr w:rsidR="00BF7742" w:rsidRPr="00177ED0" w14:paraId="58C5406A" w14:textId="77777777" w:rsidTr="00905305">
        <w:tc>
          <w:tcPr>
            <w:tcW w:w="4219" w:type="dxa"/>
          </w:tcPr>
          <w:p w14:paraId="11676082" w14:textId="77777777" w:rsidR="00905305" w:rsidRPr="00177ED0" w:rsidRDefault="00905305" w:rsidP="00905305">
            <w:pPr>
              <w:rPr>
                <w:sz w:val="22"/>
                <w:szCs w:val="22"/>
                <w:highlight w:val="yellow"/>
              </w:rPr>
            </w:pPr>
          </w:p>
        </w:tc>
        <w:tc>
          <w:tcPr>
            <w:tcW w:w="9774" w:type="dxa"/>
          </w:tcPr>
          <w:p w14:paraId="45EE0F14" w14:textId="77777777" w:rsidR="00905305" w:rsidRPr="00177ED0" w:rsidRDefault="00905305" w:rsidP="00905305">
            <w:pPr>
              <w:rPr>
                <w:sz w:val="22"/>
                <w:szCs w:val="22"/>
                <w:highlight w:val="yellow"/>
              </w:rPr>
            </w:pPr>
          </w:p>
        </w:tc>
      </w:tr>
      <w:tr w:rsidR="00BF7742" w:rsidRPr="00177ED0" w14:paraId="313CF07F" w14:textId="77777777" w:rsidTr="00905305">
        <w:tc>
          <w:tcPr>
            <w:tcW w:w="4219" w:type="dxa"/>
          </w:tcPr>
          <w:p w14:paraId="22450DA8" w14:textId="77777777" w:rsidR="00905305" w:rsidRPr="00177ED0" w:rsidRDefault="002F7A75" w:rsidP="00905305">
            <w:pPr>
              <w:pStyle w:val="naiskr"/>
              <w:spacing w:before="0" w:after="0"/>
              <w:jc w:val="both"/>
            </w:pPr>
            <w:r w:rsidRPr="00177ED0">
              <w:rPr>
                <w:sz w:val="22"/>
                <w:szCs w:val="22"/>
              </w:rPr>
              <w:t xml:space="preserve">Saskaņošanas dalībnieki izskatīja šādu ministriju (citu institūciju) iebildumus: </w:t>
            </w:r>
          </w:p>
        </w:tc>
        <w:tc>
          <w:tcPr>
            <w:tcW w:w="9774" w:type="dxa"/>
          </w:tcPr>
          <w:p w14:paraId="4E29B621" w14:textId="7EA55099" w:rsidR="00905305" w:rsidRPr="00177ED0" w:rsidRDefault="008755AF" w:rsidP="00621562">
            <w:pPr>
              <w:jc w:val="both"/>
              <w:rPr>
                <w:sz w:val="22"/>
                <w:szCs w:val="22"/>
              </w:rPr>
            </w:pPr>
            <w:r>
              <w:rPr>
                <w:sz w:val="22"/>
                <w:szCs w:val="22"/>
              </w:rPr>
              <w:t xml:space="preserve">Tieslietu </w:t>
            </w:r>
            <w:r w:rsidR="00621562">
              <w:rPr>
                <w:sz w:val="22"/>
                <w:szCs w:val="22"/>
              </w:rPr>
              <w:t>ministrija</w:t>
            </w:r>
            <w:r w:rsidR="007F1CED">
              <w:rPr>
                <w:sz w:val="22"/>
                <w:szCs w:val="22"/>
              </w:rPr>
              <w:t>, Finanšu ministrija</w:t>
            </w:r>
          </w:p>
        </w:tc>
      </w:tr>
      <w:tr w:rsidR="00BF7742" w:rsidRPr="00177ED0" w14:paraId="324F4ECA" w14:textId="77777777" w:rsidTr="00905305">
        <w:tc>
          <w:tcPr>
            <w:tcW w:w="4219" w:type="dxa"/>
          </w:tcPr>
          <w:p w14:paraId="09E3102E" w14:textId="77777777" w:rsidR="00905305" w:rsidRPr="00177ED0" w:rsidRDefault="00905305" w:rsidP="00905305">
            <w:pPr>
              <w:pStyle w:val="naiskr"/>
              <w:spacing w:before="0" w:after="0"/>
              <w:jc w:val="both"/>
              <w:rPr>
                <w:sz w:val="22"/>
                <w:szCs w:val="22"/>
                <w:highlight w:val="yellow"/>
              </w:rPr>
            </w:pPr>
          </w:p>
        </w:tc>
        <w:tc>
          <w:tcPr>
            <w:tcW w:w="9774" w:type="dxa"/>
          </w:tcPr>
          <w:p w14:paraId="66F07898" w14:textId="77777777" w:rsidR="00905305" w:rsidRPr="00177ED0" w:rsidRDefault="00905305" w:rsidP="00905305">
            <w:pPr>
              <w:rPr>
                <w:sz w:val="22"/>
                <w:szCs w:val="22"/>
                <w:highlight w:val="yellow"/>
              </w:rPr>
            </w:pPr>
          </w:p>
        </w:tc>
      </w:tr>
      <w:tr w:rsidR="00BF7742" w14:paraId="2E1CEBB2" w14:textId="77777777" w:rsidTr="00905305">
        <w:tc>
          <w:tcPr>
            <w:tcW w:w="4219" w:type="dxa"/>
          </w:tcPr>
          <w:p w14:paraId="278E609E" w14:textId="77777777" w:rsidR="00905305" w:rsidRPr="006F0CCA" w:rsidRDefault="002F7A75" w:rsidP="00905305">
            <w:pPr>
              <w:pStyle w:val="naiskr"/>
              <w:spacing w:before="0" w:after="0"/>
              <w:jc w:val="both"/>
              <w:rPr>
                <w:sz w:val="22"/>
                <w:szCs w:val="22"/>
              </w:rPr>
            </w:pPr>
            <w:r w:rsidRPr="006F0CCA">
              <w:rPr>
                <w:sz w:val="22"/>
                <w:szCs w:val="22"/>
                <w:lang w:eastAsia="en-US"/>
              </w:rPr>
              <w:t xml:space="preserve">Ministrijas (citas institūcijas), kuras nav ieradušās uz sanāksmi vai kuras nav </w:t>
            </w:r>
            <w:r w:rsidRPr="006F0CCA">
              <w:rPr>
                <w:bCs/>
                <w:sz w:val="22"/>
                <w:szCs w:val="22"/>
                <w:lang w:eastAsia="en-US"/>
              </w:rPr>
              <w:t>atbildējušas uz uzaicinājumu piedalīties elektroniskajā saskaņošanā:</w:t>
            </w:r>
          </w:p>
        </w:tc>
        <w:tc>
          <w:tcPr>
            <w:tcW w:w="9774" w:type="dxa"/>
          </w:tcPr>
          <w:p w14:paraId="1C1D60F2" w14:textId="77777777" w:rsidR="00905305" w:rsidRPr="003C175E" w:rsidRDefault="00905305" w:rsidP="00905305">
            <w:pPr>
              <w:jc w:val="both"/>
              <w:rPr>
                <w:sz w:val="22"/>
                <w:szCs w:val="22"/>
              </w:rPr>
            </w:pPr>
          </w:p>
        </w:tc>
      </w:tr>
    </w:tbl>
    <w:p w14:paraId="268AE5F4" w14:textId="77777777" w:rsidR="00905305" w:rsidRPr="00CE0921" w:rsidRDefault="00905305" w:rsidP="00905305">
      <w:pPr>
        <w:pStyle w:val="naisf"/>
        <w:spacing w:before="0" w:after="0"/>
        <w:ind w:firstLine="0"/>
        <w:rPr>
          <w:b/>
          <w:sz w:val="22"/>
          <w:szCs w:val="22"/>
        </w:rPr>
      </w:pPr>
    </w:p>
    <w:p w14:paraId="39A496C3" w14:textId="77777777" w:rsidR="00905305" w:rsidRPr="00CE0921" w:rsidRDefault="00905305" w:rsidP="00905305">
      <w:pPr>
        <w:pStyle w:val="naisf"/>
        <w:spacing w:before="0" w:after="0"/>
        <w:ind w:firstLine="0"/>
        <w:jc w:val="center"/>
        <w:rPr>
          <w:b/>
          <w:sz w:val="22"/>
          <w:szCs w:val="22"/>
        </w:rPr>
      </w:pPr>
    </w:p>
    <w:p w14:paraId="7A387780" w14:textId="77777777" w:rsidR="00905305" w:rsidRPr="00CE0921" w:rsidRDefault="002F7A75" w:rsidP="00905305">
      <w:pPr>
        <w:pStyle w:val="naisf"/>
        <w:spacing w:before="0" w:after="0"/>
        <w:ind w:firstLine="0"/>
        <w:jc w:val="center"/>
        <w:rPr>
          <w:sz w:val="22"/>
          <w:szCs w:val="22"/>
        </w:rPr>
      </w:pPr>
      <w:r w:rsidRPr="00CE0921">
        <w:rPr>
          <w:b/>
          <w:sz w:val="22"/>
          <w:szCs w:val="22"/>
        </w:rPr>
        <w:lastRenderedPageBreak/>
        <w:t>II. Jautājumi, par kuriem saskaņošanā vienošanās ir panākta</w:t>
      </w:r>
    </w:p>
    <w:tbl>
      <w:tblPr>
        <w:tblW w:w="5674" w:type="pct"/>
        <w:tblInd w:w="-100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39"/>
        <w:gridCol w:w="3290"/>
        <w:gridCol w:w="4677"/>
        <w:gridCol w:w="3747"/>
        <w:gridCol w:w="3623"/>
      </w:tblGrid>
      <w:tr w:rsidR="00BF7742" w:rsidRPr="00177ED0" w14:paraId="6554E3F2" w14:textId="77777777" w:rsidTr="0008258C">
        <w:trPr>
          <w:trHeight w:val="978"/>
        </w:trPr>
        <w:tc>
          <w:tcPr>
            <w:tcW w:w="170" w:type="pct"/>
            <w:tcBorders>
              <w:top w:val="single" w:sz="6" w:space="0" w:color="000000"/>
              <w:left w:val="single" w:sz="6" w:space="0" w:color="000000"/>
              <w:bottom w:val="single" w:sz="6" w:space="0" w:color="000000"/>
              <w:right w:val="single" w:sz="6" w:space="0" w:color="000000"/>
            </w:tcBorders>
            <w:vAlign w:val="center"/>
          </w:tcPr>
          <w:p w14:paraId="634D6056" w14:textId="77777777" w:rsidR="00905305" w:rsidRPr="00A27C21" w:rsidRDefault="002F7A75" w:rsidP="00905305">
            <w:pPr>
              <w:pStyle w:val="naisc"/>
              <w:spacing w:before="0" w:after="0"/>
              <w:rPr>
                <w:sz w:val="22"/>
                <w:szCs w:val="22"/>
              </w:rPr>
            </w:pPr>
            <w:r w:rsidRPr="00A27C21">
              <w:rPr>
                <w:sz w:val="22"/>
                <w:szCs w:val="22"/>
              </w:rPr>
              <w:t>Nr. p.k.</w:t>
            </w:r>
          </w:p>
        </w:tc>
        <w:tc>
          <w:tcPr>
            <w:tcW w:w="1036" w:type="pct"/>
            <w:tcBorders>
              <w:top w:val="single" w:sz="6" w:space="0" w:color="000000"/>
              <w:left w:val="single" w:sz="6" w:space="0" w:color="000000"/>
              <w:bottom w:val="single" w:sz="6" w:space="0" w:color="000000"/>
              <w:right w:val="single" w:sz="6" w:space="0" w:color="000000"/>
            </w:tcBorders>
            <w:vAlign w:val="center"/>
          </w:tcPr>
          <w:p w14:paraId="2A75A061" w14:textId="77777777" w:rsidR="00905305" w:rsidRPr="00A27C21" w:rsidRDefault="002F7A75" w:rsidP="00905305">
            <w:pPr>
              <w:pStyle w:val="naisc"/>
              <w:spacing w:before="0" w:after="0"/>
              <w:ind w:firstLine="12"/>
              <w:rPr>
                <w:sz w:val="22"/>
                <w:szCs w:val="22"/>
              </w:rPr>
            </w:pPr>
            <w:r w:rsidRPr="00A27C21">
              <w:rPr>
                <w:sz w:val="22"/>
                <w:szCs w:val="22"/>
              </w:rPr>
              <w:t>Saskaņošanai nosūtītā projekta redakcija (konkrēta punkta (panta) redakcija)</w:t>
            </w:r>
          </w:p>
        </w:tc>
        <w:tc>
          <w:tcPr>
            <w:tcW w:w="1473" w:type="pct"/>
            <w:tcBorders>
              <w:top w:val="single" w:sz="6" w:space="0" w:color="000000"/>
              <w:left w:val="single" w:sz="6" w:space="0" w:color="000000"/>
              <w:bottom w:val="single" w:sz="6" w:space="0" w:color="000000"/>
              <w:right w:val="single" w:sz="6" w:space="0" w:color="000000"/>
            </w:tcBorders>
            <w:vAlign w:val="center"/>
          </w:tcPr>
          <w:p w14:paraId="7D967A9B" w14:textId="77777777" w:rsidR="00905305" w:rsidRPr="00A27C21" w:rsidRDefault="002F7A75" w:rsidP="00905305">
            <w:pPr>
              <w:pStyle w:val="naisc"/>
              <w:spacing w:before="0" w:after="0"/>
              <w:ind w:right="3"/>
              <w:rPr>
                <w:sz w:val="22"/>
                <w:szCs w:val="22"/>
              </w:rPr>
            </w:pPr>
            <w:r w:rsidRPr="00A27C21">
              <w:rPr>
                <w:sz w:val="22"/>
                <w:szCs w:val="22"/>
              </w:rPr>
              <w:t>Atzinumā norādītais ministrijas (citas institūcijas) iebildums, kā arī saskaņošanā papildus izteiktais iebildums par projekta konkrēto punktu (pantu)</w:t>
            </w:r>
          </w:p>
        </w:tc>
        <w:tc>
          <w:tcPr>
            <w:tcW w:w="1180" w:type="pct"/>
            <w:tcBorders>
              <w:top w:val="single" w:sz="6" w:space="0" w:color="000000"/>
              <w:left w:val="single" w:sz="6" w:space="0" w:color="000000"/>
              <w:bottom w:val="single" w:sz="6" w:space="0" w:color="000000"/>
              <w:right w:val="single" w:sz="6" w:space="0" w:color="000000"/>
            </w:tcBorders>
            <w:vAlign w:val="center"/>
          </w:tcPr>
          <w:p w14:paraId="10EA968E" w14:textId="77777777" w:rsidR="00905305" w:rsidRPr="00A27C21" w:rsidRDefault="002F7A75" w:rsidP="00905305">
            <w:pPr>
              <w:pStyle w:val="naisc"/>
              <w:spacing w:before="0" w:after="0"/>
              <w:ind w:firstLine="21"/>
              <w:rPr>
                <w:sz w:val="22"/>
                <w:szCs w:val="22"/>
              </w:rPr>
            </w:pPr>
            <w:r w:rsidRPr="00A27C21">
              <w:rPr>
                <w:sz w:val="22"/>
                <w:szCs w:val="22"/>
              </w:rPr>
              <w:t>Atbildīgās ministrijas norāde par to, ka iebildums ir ņemts vērā, vai informācija par saskaņošanā panākto alternatīvo risinājumu</w:t>
            </w:r>
          </w:p>
        </w:tc>
        <w:tc>
          <w:tcPr>
            <w:tcW w:w="1141" w:type="pct"/>
            <w:tcBorders>
              <w:top w:val="single" w:sz="4" w:space="0" w:color="auto"/>
              <w:left w:val="single" w:sz="4" w:space="0" w:color="auto"/>
              <w:bottom w:val="single" w:sz="4" w:space="0" w:color="auto"/>
            </w:tcBorders>
            <w:vAlign w:val="center"/>
          </w:tcPr>
          <w:p w14:paraId="129E7E03" w14:textId="77777777" w:rsidR="00905305" w:rsidRPr="00A27C21" w:rsidRDefault="002F7A75" w:rsidP="00905305">
            <w:pPr>
              <w:jc w:val="center"/>
              <w:rPr>
                <w:sz w:val="22"/>
                <w:szCs w:val="22"/>
              </w:rPr>
            </w:pPr>
            <w:r w:rsidRPr="00A27C21">
              <w:rPr>
                <w:sz w:val="22"/>
                <w:szCs w:val="22"/>
              </w:rPr>
              <w:t>Projekta attiecīgā punkta (panta) galīgā redakcija</w:t>
            </w:r>
          </w:p>
        </w:tc>
      </w:tr>
      <w:tr w:rsidR="00BF7742" w:rsidRPr="00177ED0" w14:paraId="3A56A0B8" w14:textId="77777777" w:rsidTr="0008258C">
        <w:tc>
          <w:tcPr>
            <w:tcW w:w="170" w:type="pct"/>
            <w:tcBorders>
              <w:top w:val="single" w:sz="6" w:space="0" w:color="000000"/>
              <w:left w:val="single" w:sz="6" w:space="0" w:color="000000"/>
              <w:bottom w:val="single" w:sz="6" w:space="0" w:color="000000"/>
              <w:right w:val="single" w:sz="6" w:space="0" w:color="000000"/>
            </w:tcBorders>
          </w:tcPr>
          <w:p w14:paraId="04B9B739" w14:textId="77777777" w:rsidR="00905305" w:rsidRPr="00A27C21" w:rsidRDefault="002F7A75" w:rsidP="00905305">
            <w:pPr>
              <w:pStyle w:val="naisc"/>
              <w:spacing w:before="0" w:after="0"/>
              <w:rPr>
                <w:sz w:val="22"/>
                <w:szCs w:val="22"/>
              </w:rPr>
            </w:pPr>
            <w:r w:rsidRPr="00A27C21">
              <w:rPr>
                <w:sz w:val="22"/>
                <w:szCs w:val="22"/>
              </w:rPr>
              <w:t>1</w:t>
            </w:r>
          </w:p>
        </w:tc>
        <w:tc>
          <w:tcPr>
            <w:tcW w:w="1036" w:type="pct"/>
            <w:tcBorders>
              <w:top w:val="single" w:sz="6" w:space="0" w:color="000000"/>
              <w:left w:val="single" w:sz="6" w:space="0" w:color="000000"/>
              <w:bottom w:val="single" w:sz="6" w:space="0" w:color="000000"/>
              <w:right w:val="single" w:sz="6" w:space="0" w:color="000000"/>
            </w:tcBorders>
          </w:tcPr>
          <w:p w14:paraId="63B6C64B" w14:textId="77777777" w:rsidR="00905305" w:rsidRPr="00A27C21" w:rsidRDefault="002F7A75" w:rsidP="00905305">
            <w:pPr>
              <w:pStyle w:val="naisc"/>
              <w:spacing w:before="0" w:after="0"/>
              <w:rPr>
                <w:sz w:val="22"/>
                <w:szCs w:val="22"/>
              </w:rPr>
            </w:pPr>
            <w:r w:rsidRPr="00A27C21">
              <w:rPr>
                <w:sz w:val="22"/>
                <w:szCs w:val="22"/>
              </w:rPr>
              <w:t>2</w:t>
            </w:r>
          </w:p>
        </w:tc>
        <w:tc>
          <w:tcPr>
            <w:tcW w:w="1473" w:type="pct"/>
            <w:tcBorders>
              <w:top w:val="single" w:sz="6" w:space="0" w:color="000000"/>
              <w:left w:val="single" w:sz="6" w:space="0" w:color="000000"/>
              <w:bottom w:val="single" w:sz="6" w:space="0" w:color="000000"/>
              <w:right w:val="single" w:sz="6" w:space="0" w:color="000000"/>
            </w:tcBorders>
          </w:tcPr>
          <w:p w14:paraId="75E21B1C" w14:textId="77777777" w:rsidR="00905305" w:rsidRPr="00A27C21" w:rsidRDefault="002F7A75" w:rsidP="00905305">
            <w:pPr>
              <w:pStyle w:val="naisc"/>
              <w:spacing w:before="0" w:after="0"/>
              <w:ind w:firstLine="35"/>
              <w:rPr>
                <w:sz w:val="22"/>
                <w:szCs w:val="22"/>
              </w:rPr>
            </w:pPr>
            <w:r w:rsidRPr="00A27C21">
              <w:rPr>
                <w:sz w:val="22"/>
                <w:szCs w:val="22"/>
              </w:rPr>
              <w:t>3</w:t>
            </w:r>
          </w:p>
        </w:tc>
        <w:tc>
          <w:tcPr>
            <w:tcW w:w="1180" w:type="pct"/>
            <w:tcBorders>
              <w:top w:val="single" w:sz="6" w:space="0" w:color="000000"/>
              <w:left w:val="single" w:sz="6" w:space="0" w:color="000000"/>
              <w:bottom w:val="single" w:sz="6" w:space="0" w:color="000000"/>
              <w:right w:val="single" w:sz="6" w:space="0" w:color="000000"/>
            </w:tcBorders>
          </w:tcPr>
          <w:p w14:paraId="7E3708A4" w14:textId="77777777" w:rsidR="00905305" w:rsidRPr="00A27C21" w:rsidRDefault="002F7A75" w:rsidP="00905305">
            <w:pPr>
              <w:pStyle w:val="naisc"/>
              <w:spacing w:before="0" w:after="0"/>
              <w:rPr>
                <w:sz w:val="22"/>
                <w:szCs w:val="22"/>
              </w:rPr>
            </w:pPr>
            <w:r w:rsidRPr="00A27C21">
              <w:rPr>
                <w:sz w:val="22"/>
                <w:szCs w:val="22"/>
              </w:rPr>
              <w:t>4</w:t>
            </w:r>
          </w:p>
        </w:tc>
        <w:tc>
          <w:tcPr>
            <w:tcW w:w="1141" w:type="pct"/>
            <w:tcBorders>
              <w:top w:val="single" w:sz="4" w:space="0" w:color="auto"/>
              <w:left w:val="single" w:sz="4" w:space="0" w:color="auto"/>
              <w:bottom w:val="single" w:sz="4" w:space="0" w:color="auto"/>
            </w:tcBorders>
          </w:tcPr>
          <w:p w14:paraId="20536501" w14:textId="77777777" w:rsidR="00905305" w:rsidRPr="00A27C21" w:rsidRDefault="002F7A75" w:rsidP="00905305">
            <w:pPr>
              <w:jc w:val="center"/>
              <w:rPr>
                <w:sz w:val="22"/>
                <w:szCs w:val="22"/>
              </w:rPr>
            </w:pPr>
            <w:r w:rsidRPr="00A27C21">
              <w:rPr>
                <w:sz w:val="22"/>
                <w:szCs w:val="22"/>
              </w:rPr>
              <w:t>5</w:t>
            </w:r>
          </w:p>
        </w:tc>
      </w:tr>
      <w:tr w:rsidR="008755AF" w:rsidRPr="00177ED0" w14:paraId="4726B744" w14:textId="77777777" w:rsidTr="0008258C">
        <w:trPr>
          <w:trHeight w:val="547"/>
        </w:trPr>
        <w:tc>
          <w:tcPr>
            <w:tcW w:w="170" w:type="pct"/>
            <w:tcBorders>
              <w:top w:val="single" w:sz="6" w:space="0" w:color="000000"/>
              <w:left w:val="single" w:sz="6" w:space="0" w:color="000000"/>
              <w:bottom w:val="single" w:sz="6" w:space="0" w:color="000000"/>
              <w:right w:val="single" w:sz="6" w:space="0" w:color="000000"/>
            </w:tcBorders>
            <w:shd w:val="clear" w:color="auto" w:fill="auto"/>
          </w:tcPr>
          <w:p w14:paraId="28608604" w14:textId="77777777" w:rsidR="008755AF" w:rsidRPr="00AF6ACF" w:rsidRDefault="008755AF" w:rsidP="008755AF">
            <w:pPr>
              <w:pStyle w:val="naisc"/>
              <w:numPr>
                <w:ilvl w:val="0"/>
                <w:numId w:val="2"/>
              </w:numPr>
              <w:spacing w:before="0" w:after="0"/>
              <w:rPr>
                <w:sz w:val="22"/>
                <w:szCs w:val="22"/>
              </w:rPr>
            </w:pPr>
          </w:p>
        </w:tc>
        <w:tc>
          <w:tcPr>
            <w:tcW w:w="1036" w:type="pct"/>
            <w:tcBorders>
              <w:top w:val="single" w:sz="6" w:space="0" w:color="000000"/>
              <w:left w:val="single" w:sz="6" w:space="0" w:color="000000"/>
              <w:bottom w:val="single" w:sz="6" w:space="0" w:color="000000"/>
              <w:right w:val="single" w:sz="6" w:space="0" w:color="000000"/>
            </w:tcBorders>
            <w:shd w:val="clear" w:color="auto" w:fill="auto"/>
          </w:tcPr>
          <w:p w14:paraId="42B962D8" w14:textId="77777777" w:rsidR="008755AF" w:rsidRPr="008755AF" w:rsidRDefault="008755AF" w:rsidP="008755AF">
            <w:pPr>
              <w:pStyle w:val="ListParagraph"/>
              <w:numPr>
                <w:ilvl w:val="0"/>
                <w:numId w:val="2"/>
              </w:numPr>
              <w:tabs>
                <w:tab w:val="left" w:pos="1134"/>
              </w:tabs>
              <w:spacing w:after="0" w:line="240" w:lineRule="auto"/>
              <w:jc w:val="both"/>
              <w:rPr>
                <w:rFonts w:ascii="Times New Roman" w:hAnsi="Times New Roman"/>
                <w:sz w:val="24"/>
                <w:szCs w:val="24"/>
              </w:rPr>
            </w:pPr>
            <w:r w:rsidRPr="008755AF">
              <w:rPr>
                <w:rFonts w:ascii="Times New Roman" w:hAnsi="Times New Roman"/>
                <w:sz w:val="24"/>
                <w:szCs w:val="24"/>
              </w:rPr>
              <w:t>Papildināt noteikumus ar 32.</w:t>
            </w:r>
            <w:r w:rsidRPr="008755AF">
              <w:rPr>
                <w:rFonts w:ascii="Times New Roman" w:hAnsi="Times New Roman"/>
                <w:sz w:val="24"/>
                <w:szCs w:val="24"/>
                <w:vertAlign w:val="superscript"/>
              </w:rPr>
              <w:t>3 </w:t>
            </w:r>
            <w:r w:rsidRPr="008755AF">
              <w:rPr>
                <w:rFonts w:ascii="Times New Roman" w:hAnsi="Times New Roman"/>
                <w:sz w:val="24"/>
                <w:szCs w:val="24"/>
              </w:rPr>
              <w:t>punktu šādā redakcijā:</w:t>
            </w:r>
          </w:p>
          <w:p w14:paraId="5D11D84D" w14:textId="77777777" w:rsidR="008755AF" w:rsidRPr="008755AF" w:rsidRDefault="008755AF" w:rsidP="008755AF">
            <w:pPr>
              <w:pStyle w:val="ListParagraph"/>
              <w:spacing w:after="0" w:line="240" w:lineRule="auto"/>
              <w:rPr>
                <w:rFonts w:ascii="Times New Roman" w:hAnsi="Times New Roman"/>
                <w:sz w:val="24"/>
                <w:szCs w:val="24"/>
              </w:rPr>
            </w:pPr>
          </w:p>
          <w:p w14:paraId="10A3E807" w14:textId="77777777" w:rsidR="008755AF" w:rsidRPr="008755AF" w:rsidRDefault="008755AF" w:rsidP="008755AF">
            <w:pPr>
              <w:pStyle w:val="ListParagraph"/>
              <w:tabs>
                <w:tab w:val="left" w:pos="1134"/>
              </w:tabs>
              <w:spacing w:after="0" w:line="240" w:lineRule="auto"/>
              <w:ind w:left="0" w:firstLine="709"/>
              <w:jc w:val="both"/>
              <w:rPr>
                <w:rFonts w:ascii="Times New Roman" w:hAnsi="Times New Roman"/>
                <w:sz w:val="24"/>
                <w:szCs w:val="24"/>
              </w:rPr>
            </w:pPr>
            <w:r w:rsidRPr="008755AF">
              <w:rPr>
                <w:rFonts w:ascii="Times New Roman" w:hAnsi="Times New Roman"/>
                <w:bCs/>
                <w:sz w:val="24"/>
                <w:szCs w:val="24"/>
                <w:shd w:val="clear" w:color="auto" w:fill="FFFFFF"/>
              </w:rPr>
              <w:t>"32.</w:t>
            </w:r>
            <w:r w:rsidRPr="008755AF">
              <w:rPr>
                <w:rFonts w:ascii="Times New Roman" w:hAnsi="Times New Roman"/>
                <w:bCs/>
                <w:sz w:val="24"/>
                <w:szCs w:val="24"/>
                <w:shd w:val="clear" w:color="auto" w:fill="FFFFFF"/>
                <w:vertAlign w:val="superscript"/>
              </w:rPr>
              <w:t>3</w:t>
            </w:r>
            <w:r w:rsidRPr="008755AF">
              <w:rPr>
                <w:rFonts w:ascii="Times New Roman" w:hAnsi="Times New Roman"/>
                <w:bCs/>
                <w:sz w:val="24"/>
                <w:szCs w:val="24"/>
                <w:shd w:val="clear" w:color="auto" w:fill="FFFFFF"/>
              </w:rPr>
              <w:t> </w:t>
            </w:r>
            <w:r w:rsidRPr="008755AF">
              <w:rPr>
                <w:rFonts w:ascii="Times New Roman" w:hAnsi="Times New Roman"/>
                <w:sz w:val="24"/>
                <w:szCs w:val="24"/>
              </w:rPr>
              <w:t>Ja projektu īsteno atbilstoši šo noteikumu 19.1.2. apakšpunktam, projekta iesniedzējs vai finansējuma saņēmējs iesniedz sadarbības iestādē vispārējas tautsaimnieciskas nozīmes pakalpojuma pilnvarojuma uzlicēja apliecinājumu</w:t>
            </w:r>
            <w:r w:rsidRPr="008755AF">
              <w:rPr>
                <w:bCs/>
                <w:sz w:val="24"/>
                <w:szCs w:val="24"/>
              </w:rPr>
              <w:t xml:space="preserve"> </w:t>
            </w:r>
            <w:r w:rsidRPr="008755AF">
              <w:rPr>
                <w:rFonts w:ascii="Times New Roman" w:hAnsi="Times New Roman"/>
                <w:bCs/>
                <w:sz w:val="24"/>
                <w:szCs w:val="24"/>
              </w:rPr>
              <w:t>par šo noteikumu 32.6. vai 32.</w:t>
            </w:r>
            <w:r w:rsidRPr="008755AF">
              <w:rPr>
                <w:rFonts w:ascii="Times New Roman" w:hAnsi="Times New Roman"/>
                <w:bCs/>
                <w:sz w:val="24"/>
                <w:szCs w:val="24"/>
                <w:vertAlign w:val="superscript"/>
              </w:rPr>
              <w:t>1</w:t>
            </w:r>
            <w:r w:rsidRPr="008755AF">
              <w:rPr>
                <w:rFonts w:ascii="Times New Roman" w:hAnsi="Times New Roman"/>
                <w:bCs/>
                <w:sz w:val="24"/>
                <w:szCs w:val="24"/>
              </w:rPr>
              <w:t xml:space="preserve">7. apakšpunktā minētās atlīdzības (kompensācijas) maksājumu kontroli un pārskatīšanu, kā arī atlīdzības (kompensācijas) maksājumu pārmaksas novēršanu un atgūšanu, ievērojot Eiropas Komisijas 2011. gada 20. decembra lēmumā Nr. 2012/21/ES </w:t>
            </w:r>
            <w:r w:rsidRPr="008755AF">
              <w:rPr>
                <w:rFonts w:ascii="Times New Roman" w:hAnsi="Times New Roman"/>
                <w:sz w:val="24"/>
                <w:szCs w:val="24"/>
                <w:shd w:val="clear" w:color="auto" w:fill="FFFFFF"/>
              </w:rPr>
              <w:t xml:space="preserve">par Līguma par Eiropas Savienības darbību 106. panta 2. punkta </w:t>
            </w:r>
            <w:r w:rsidRPr="008755AF">
              <w:rPr>
                <w:rFonts w:ascii="Times New Roman" w:hAnsi="Times New Roman"/>
                <w:sz w:val="24"/>
                <w:szCs w:val="24"/>
                <w:shd w:val="clear" w:color="auto" w:fill="FFFFFF"/>
              </w:rPr>
              <w:lastRenderedPageBreak/>
              <w:t>piemērošanu valsts atbalstam attiecībā uz kompensāciju par sabiedriskajiem pakalpojumiem dažiem uzņēmumiem, kuriem uzticēts sniegt pakalpojumus ar vispārēju tautsaimniecisku nozīmi</w:t>
            </w:r>
            <w:r w:rsidRPr="008755AF">
              <w:rPr>
                <w:rFonts w:ascii="Times New Roman" w:hAnsi="Times New Roman"/>
                <w:bCs/>
                <w:sz w:val="24"/>
                <w:szCs w:val="24"/>
              </w:rPr>
              <w:t xml:space="preserve"> noteikto pārbaužu regularitāti, bet ne retāk kā reizi trijos gados un pilnvarojuma akta darbības perioda beigās, vai apliecinājumu par sabiedriskajiem ūdenssaimniecības pakalpojumiem paredzēto kopējo maksājumu kontroli un pārskatīšanu, kā arī atlīdzības (kompensācijas) maksājumu</w:t>
            </w:r>
            <w:r w:rsidRPr="008755AF">
              <w:rPr>
                <w:rFonts w:ascii="Times New Roman" w:hAnsi="Times New Roman"/>
                <w:sz w:val="24"/>
                <w:szCs w:val="24"/>
              </w:rPr>
              <w:t xml:space="preserve"> pārmaksas novēršanu un atgūšanu, </w:t>
            </w:r>
            <w:r w:rsidRPr="008755AF">
              <w:rPr>
                <w:rFonts w:ascii="Times New Roman" w:hAnsi="Times New Roman"/>
                <w:sz w:val="24"/>
                <w:szCs w:val="24"/>
                <w:shd w:val="clear" w:color="auto" w:fill="FFFFFF"/>
              </w:rPr>
              <w:t xml:space="preserve">ievērojot Eiropas Komisijas 2011. gada 20. decembra lēmumā Nr.  2012/21/ES par Līguma par Eiropas Savienības darbību 106. panta 2. punkta piemērošanu valsts atbalstam attiecībā uz kompensāciju par sabiedriskajiem pakalpojumiem dažiem uzņēmumiem, kuriem uzticēts sniegt pakalpojumus ar vispārēju tautsaimniecisku nozīmi noteikto pārbaužu </w:t>
            </w:r>
            <w:r w:rsidRPr="008755AF">
              <w:rPr>
                <w:rFonts w:ascii="Times New Roman" w:hAnsi="Times New Roman"/>
                <w:sz w:val="24"/>
                <w:szCs w:val="24"/>
                <w:shd w:val="clear" w:color="auto" w:fill="FFFFFF"/>
              </w:rPr>
              <w:lastRenderedPageBreak/>
              <w:t>regularitāti, bet ne retāk kā reizi trijos gados un pilnvarojuma akta darbības perioda beigās</w:t>
            </w:r>
            <w:r w:rsidRPr="008755AF">
              <w:rPr>
                <w:rFonts w:ascii="Times New Roman" w:hAnsi="Times New Roman"/>
                <w:sz w:val="24"/>
                <w:szCs w:val="24"/>
              </w:rPr>
              <w:t>.</w:t>
            </w:r>
            <w:r w:rsidRPr="008755AF">
              <w:rPr>
                <w:rFonts w:ascii="Times New Roman" w:hAnsi="Times New Roman"/>
                <w:bCs/>
                <w:sz w:val="24"/>
                <w:szCs w:val="24"/>
                <w:shd w:val="clear" w:color="auto" w:fill="FFFFFF"/>
              </w:rPr>
              <w:t>"</w:t>
            </w:r>
          </w:p>
          <w:p w14:paraId="1A0212C2" w14:textId="7A12EA74" w:rsidR="008755AF" w:rsidRPr="008755AF" w:rsidRDefault="008755AF" w:rsidP="008755AF">
            <w:pPr>
              <w:tabs>
                <w:tab w:val="left" w:pos="1134"/>
              </w:tabs>
              <w:jc w:val="both"/>
              <w:rPr>
                <w:highlight w:val="yellow"/>
              </w:rPr>
            </w:pPr>
          </w:p>
        </w:tc>
        <w:tc>
          <w:tcPr>
            <w:tcW w:w="1473" w:type="pct"/>
            <w:tcBorders>
              <w:top w:val="single" w:sz="6" w:space="0" w:color="000000"/>
              <w:left w:val="single" w:sz="6" w:space="0" w:color="000000"/>
              <w:bottom w:val="single" w:sz="6" w:space="0" w:color="000000"/>
              <w:right w:val="single" w:sz="6" w:space="0" w:color="000000"/>
            </w:tcBorders>
            <w:shd w:val="clear" w:color="auto" w:fill="auto"/>
          </w:tcPr>
          <w:p w14:paraId="5C966501" w14:textId="5DE6D260" w:rsidR="008755AF" w:rsidRPr="008755AF" w:rsidRDefault="008755AF" w:rsidP="008755AF">
            <w:pPr>
              <w:spacing w:after="120"/>
              <w:jc w:val="both"/>
              <w:rPr>
                <w:b/>
              </w:rPr>
            </w:pPr>
            <w:r>
              <w:rPr>
                <w:b/>
              </w:rPr>
              <w:lastRenderedPageBreak/>
              <w:t>Tieslietu</w:t>
            </w:r>
            <w:r w:rsidRPr="008755AF">
              <w:rPr>
                <w:b/>
              </w:rPr>
              <w:t xml:space="preserve"> ministrija (</w:t>
            </w:r>
            <w:r>
              <w:rPr>
                <w:b/>
              </w:rPr>
              <w:t>20.11</w:t>
            </w:r>
            <w:r w:rsidRPr="008755AF">
              <w:rPr>
                <w:b/>
              </w:rPr>
              <w:t>.2020. atzinums)</w:t>
            </w:r>
          </w:p>
          <w:p w14:paraId="7EAC4BC8" w14:textId="77777777" w:rsidR="008755AF" w:rsidRPr="008755AF" w:rsidRDefault="008755AF" w:rsidP="008755AF">
            <w:pPr>
              <w:ind w:firstLine="567"/>
              <w:jc w:val="both"/>
            </w:pPr>
            <w:r w:rsidRPr="008755AF">
              <w:t xml:space="preserve">Noteikumu projekta 2. punktā, ar kuru </w:t>
            </w:r>
            <w:r w:rsidRPr="008755AF">
              <w:rPr>
                <w:i/>
                <w:iCs/>
              </w:rPr>
              <w:t>Ministru kabineta 2015. gada 10. novembra noteikumi Nr. 645 "Darbības programmas "Izaugsme un nodarbinātība" 5.6.2. specifiskā atbalsta mērķa "Teritoriju </w:t>
            </w:r>
            <w:proofErr w:type="spellStart"/>
            <w:r w:rsidRPr="008755AF">
              <w:rPr>
                <w:i/>
                <w:iCs/>
              </w:rPr>
              <w:t>revitalizācija</w:t>
            </w:r>
            <w:proofErr w:type="spellEnd"/>
            <w:r w:rsidRPr="008755AF">
              <w:rPr>
                <w:i/>
                <w:iCs/>
              </w:rPr>
              <w:t>, reģenerējot degradētās teritorijas atbilstoši pašvaldību integrētajām attīstības programmām" īstenošanas noteikumi"</w:t>
            </w:r>
            <w:r w:rsidRPr="008755AF">
              <w:t xml:space="preserve"> (turpmāk - Noteikumi Nr.</w:t>
            </w:r>
            <w:r w:rsidRPr="008755AF">
              <w:rPr>
                <w:i/>
                <w:iCs/>
              </w:rPr>
              <w:t> </w:t>
            </w:r>
            <w:r w:rsidRPr="008755AF">
              <w:t>645) papildināti ar 32.</w:t>
            </w:r>
            <w:r w:rsidRPr="008755AF">
              <w:rPr>
                <w:vertAlign w:val="superscript"/>
              </w:rPr>
              <w:t>3</w:t>
            </w:r>
            <w:r w:rsidRPr="008755AF">
              <w:t xml:space="preserve"> punktu norādītas atsauces uz </w:t>
            </w:r>
            <w:r w:rsidRPr="008755AF">
              <w:rPr>
                <w:i/>
                <w:iCs/>
              </w:rPr>
              <w:t xml:space="preserve">Eiropas Komisijas 2011.  gada 20. decembra lēmumu Nr. 2012/21/ES Par Līguma par Eiropas Savienības darbību 106. panta 2. punkta piemērošanu valsts atbalstam attiecībā uz kompensāciju par sabiedriskajiem pakalpojumiem dažiem uzņēmumiem, kuriem uzticēts sniegt pakalpojumus ar vispārēju tautsaimniecisku nozīmi </w:t>
            </w:r>
            <w:r w:rsidRPr="008755AF">
              <w:t>(turpmāk - Lēmums). Norādām, ka saskaņā ar Līguma par Eiropas Savienības darbību 288. pantu lēmumi, kuros ir norādīti konkrēti adresāti, ir saistoši tikai šiem adresātiem. Ja lēmumu</w:t>
            </w:r>
            <w:r w:rsidRPr="008755AF">
              <w:rPr>
                <w:iCs/>
              </w:rPr>
              <w:t xml:space="preserve"> adresāts ir </w:t>
            </w:r>
            <w:r w:rsidRPr="008755AF">
              <w:rPr>
                <w:iCs/>
              </w:rPr>
              <w:lastRenderedPageBreak/>
              <w:t xml:space="preserve">dalībvalstis un ir nepieciešams to normas </w:t>
            </w:r>
            <w:r w:rsidRPr="008755AF">
              <w:t>padarīt saistošas privātpersonām, tad lēmumi ir jāpārņem valsts tiesību sistēmā tāpat kā direktīvas.</w:t>
            </w:r>
            <w:r w:rsidRPr="008755AF">
              <w:rPr>
                <w:rStyle w:val="FootnoteReference"/>
              </w:rPr>
              <w:footnoteReference w:id="2"/>
            </w:r>
          </w:p>
          <w:p w14:paraId="32E44161" w14:textId="77777777" w:rsidR="008755AF" w:rsidRPr="008755AF" w:rsidRDefault="008755AF" w:rsidP="008755AF">
            <w:pPr>
              <w:shd w:val="clear" w:color="auto" w:fill="FFFFFF"/>
              <w:ind w:firstLine="720"/>
              <w:jc w:val="both"/>
              <w:rPr>
                <w:color w:val="201F1E"/>
              </w:rPr>
            </w:pPr>
            <w:r w:rsidRPr="008755AF">
              <w:rPr>
                <w:color w:val="201F1E"/>
              </w:rPr>
              <w:t>Lēmuma 2. pants noteic, ka šo lēmumu piemēro valsts atbalstam attiecībā uz kompensāciju par sabiedrisko pakalpojumu sniegšanu, kas piešķirta </w:t>
            </w:r>
            <w:r w:rsidRPr="008755AF">
              <w:rPr>
                <w:color w:val="201F1E"/>
                <w:u w:val="single"/>
              </w:rPr>
              <w:t>uzņēmumiem, kuriem uzticēts sniegt pakalpojumus ar </w:t>
            </w:r>
            <w:r w:rsidRPr="008755AF">
              <w:rPr>
                <w:color w:val="201F1E"/>
                <w:u w:val="single"/>
                <w:bdr w:val="none" w:sz="0" w:space="0" w:color="auto" w:frame="1"/>
              </w:rPr>
              <w:t>vispārēju</w:t>
            </w:r>
            <w:r w:rsidRPr="008755AF">
              <w:rPr>
                <w:color w:val="201F1E"/>
                <w:u w:val="single"/>
              </w:rPr>
              <w:t> </w:t>
            </w:r>
            <w:r w:rsidRPr="008755AF">
              <w:rPr>
                <w:color w:val="201F1E"/>
                <w:u w:val="single"/>
                <w:bdr w:val="none" w:sz="0" w:space="0" w:color="auto" w:frame="1"/>
              </w:rPr>
              <w:t>tautsaimniecisku</w:t>
            </w:r>
            <w:r w:rsidRPr="008755AF">
              <w:rPr>
                <w:color w:val="201F1E"/>
                <w:u w:val="single"/>
              </w:rPr>
              <w:t> </w:t>
            </w:r>
            <w:r w:rsidRPr="008755AF">
              <w:rPr>
                <w:color w:val="201F1E"/>
                <w:u w:val="single"/>
                <w:bdr w:val="none" w:sz="0" w:space="0" w:color="auto" w:frame="1"/>
              </w:rPr>
              <w:t>nozīmi</w:t>
            </w:r>
            <w:r w:rsidRPr="008755AF">
              <w:rPr>
                <w:color w:val="201F1E"/>
              </w:rPr>
              <w:t>.</w:t>
            </w:r>
          </w:p>
          <w:p w14:paraId="79ACEB3E" w14:textId="77777777" w:rsidR="008755AF" w:rsidRPr="008755AF" w:rsidRDefault="008755AF" w:rsidP="008755AF">
            <w:pPr>
              <w:shd w:val="clear" w:color="auto" w:fill="FFFFFF"/>
              <w:ind w:firstLine="720"/>
              <w:jc w:val="both"/>
              <w:rPr>
                <w:color w:val="201F1E"/>
              </w:rPr>
            </w:pPr>
            <w:r w:rsidRPr="008755AF">
              <w:rPr>
                <w:color w:val="201F1E"/>
              </w:rPr>
              <w:t>Vērtējot noteikumu projekta 2. punktu secināms, ka noteikumu projektā noteikts, ka finansējuma saņēmējam ir jāiesniedz sadarbības iestādei vispārējas tautsaimnieciskas </w:t>
            </w:r>
            <w:r w:rsidRPr="008755AF">
              <w:rPr>
                <w:color w:val="201F1E"/>
                <w:bdr w:val="none" w:sz="0" w:space="0" w:color="auto" w:frame="1"/>
              </w:rPr>
              <w:t>nozīme</w:t>
            </w:r>
            <w:r w:rsidRPr="008755AF">
              <w:rPr>
                <w:color w:val="201F1E"/>
              </w:rPr>
              <w:t>s pakalpojuma pilnvarojuma uzlicēja/u apliecinājumus, kurā noteikts, ka vispārējas tautsaimnieciskas </w:t>
            </w:r>
            <w:r w:rsidRPr="008755AF">
              <w:rPr>
                <w:color w:val="201F1E"/>
                <w:bdr w:val="none" w:sz="0" w:space="0" w:color="auto" w:frame="1"/>
              </w:rPr>
              <w:t>nozīme</w:t>
            </w:r>
            <w:r w:rsidRPr="008755AF">
              <w:rPr>
                <w:color w:val="201F1E"/>
              </w:rPr>
              <w:t xml:space="preserve">s pakalpojuma pilnvarojuma uzlicējiem ir jānodrošina atlīdzības (kompensācijas) maksājumu kontroli un pārskatīšanu, kā arī atlīdzības (kompensācijas) maksājumu pārmaksas novēršanu un atgūšanu atbilstoši Lēmumam vai </w:t>
            </w:r>
            <w:r w:rsidRPr="008755AF">
              <w:rPr>
                <w:bCs/>
                <w:color w:val="201F1E"/>
              </w:rPr>
              <w:t>apliecinājumu par sabiedriskajiem ūdenssaimniecības pakalpojumiem paredzēto kopējo maksājumu kontroli un pārskatīšanu, kā arī atlīdzības (kompensācijas) maksājumu</w:t>
            </w:r>
            <w:r w:rsidRPr="008755AF">
              <w:rPr>
                <w:color w:val="201F1E"/>
              </w:rPr>
              <w:t xml:space="preserve"> pārmaksas novēršanu un atgūšanu, ievērojot Lēmumā noteikto pārbaužu regularitāti. </w:t>
            </w:r>
            <w:r w:rsidRPr="008755AF">
              <w:t>Noteikumi Nr.</w:t>
            </w:r>
            <w:r w:rsidRPr="008755AF">
              <w:rPr>
                <w:i/>
                <w:iCs/>
              </w:rPr>
              <w:t> </w:t>
            </w:r>
            <w:r w:rsidRPr="008755AF">
              <w:t xml:space="preserve">645 </w:t>
            </w:r>
            <w:r w:rsidRPr="008755AF">
              <w:rPr>
                <w:color w:val="201F1E"/>
              </w:rPr>
              <w:t>24.</w:t>
            </w:r>
            <w:r w:rsidRPr="008755AF">
              <w:rPr>
                <w:i/>
                <w:iCs/>
              </w:rPr>
              <w:t> </w:t>
            </w:r>
            <w:r w:rsidRPr="008755AF">
              <w:rPr>
                <w:color w:val="201F1E"/>
              </w:rPr>
              <w:t xml:space="preserve">punktā norādīts, ka projekta iesniedzēji vai finansējuma saņēmēji </w:t>
            </w:r>
            <w:r w:rsidRPr="008755AF">
              <w:rPr>
                <w:color w:val="201F1E"/>
              </w:rPr>
              <w:lastRenderedPageBreak/>
              <w:t xml:space="preserve">ir arī pašvaldības kapitālsabiedrība, kas veic pašvaldības deleģēto pārvaldes uzdevumu izpildi, vai brīvostas pārvalde, vai speciālās ekonomiskās zonas pārvalde. Proti, no minētā secināms, ka finansējuma saņēmēji var būt arī privātpersonas. </w:t>
            </w:r>
          </w:p>
          <w:p w14:paraId="08737459" w14:textId="07230804" w:rsidR="008755AF" w:rsidRPr="008755AF" w:rsidRDefault="008755AF" w:rsidP="008755AF">
            <w:pPr>
              <w:shd w:val="clear" w:color="auto" w:fill="FFFFFF"/>
              <w:ind w:firstLine="720"/>
              <w:jc w:val="both"/>
              <w:rPr>
                <w:color w:val="201F1E"/>
              </w:rPr>
            </w:pPr>
            <w:r w:rsidRPr="008755AF">
              <w:rPr>
                <w:color w:val="201F1E"/>
              </w:rPr>
              <w:t>Lēmuma 13. pants noteic, ka šis lēmums ir adresēts dalībvalstīm. Šajā gadījumā nepieciešams izvērtēt, vai Lēmums satur tādas normas, kas attiecināmas arī uz privātpersonām. Ja Lēmums šādas normas satur, tad lūdzam tās pārņemt noteikumu projektā un attiecīgi precizēt noteikumu projekta 2.</w:t>
            </w:r>
            <w:r w:rsidRPr="008755AF">
              <w:rPr>
                <w:i/>
                <w:iCs/>
              </w:rPr>
              <w:t> </w:t>
            </w:r>
            <w:r w:rsidRPr="008755AF">
              <w:rPr>
                <w:color w:val="201F1E"/>
              </w:rPr>
              <w:t xml:space="preserve">punktu, </w:t>
            </w:r>
            <w:r w:rsidRPr="008755AF">
              <w:t>svītrojot atsauci uz Lēmumu. Ja Lēmums nesatur normas, kas jāattiecina uz privātpersonām, un Lēmumu var tieši izpildīt valsts iestādes, tad arī šādā gadījumā noteikumu projekta 2. punktā atsauce uz Lēmumu svītrojama, jo atbilstoši Ministru kabineta 2009. gada 3. februāra noteikumu Nr. 108 „Normatīvo aktu projektu sagatavošanas noteikumi” 170.-172. punktam normatīvā akta tekstā atsauces raksta tikai uz Eiropas Savienības regulām.</w:t>
            </w:r>
          </w:p>
        </w:tc>
        <w:tc>
          <w:tcPr>
            <w:tcW w:w="1180" w:type="pct"/>
            <w:tcBorders>
              <w:top w:val="single" w:sz="6" w:space="0" w:color="000000"/>
              <w:left w:val="single" w:sz="6" w:space="0" w:color="000000"/>
              <w:bottom w:val="single" w:sz="6" w:space="0" w:color="000000"/>
              <w:right w:val="single" w:sz="6" w:space="0" w:color="000000"/>
            </w:tcBorders>
            <w:shd w:val="clear" w:color="auto" w:fill="auto"/>
          </w:tcPr>
          <w:p w14:paraId="0EDFE4BC" w14:textId="50F13668" w:rsidR="008755AF" w:rsidRPr="0002370A" w:rsidRDefault="008755AF" w:rsidP="00E604B6">
            <w:pPr>
              <w:spacing w:after="120"/>
              <w:jc w:val="both"/>
              <w:rPr>
                <w:b/>
                <w:lang w:eastAsia="en-US"/>
              </w:rPr>
            </w:pPr>
            <w:r w:rsidRPr="0002370A">
              <w:rPr>
                <w:b/>
                <w:lang w:eastAsia="en-US"/>
              </w:rPr>
              <w:lastRenderedPageBreak/>
              <w:t>Panākta vienošanās saskaņošanas laikā</w:t>
            </w:r>
          </w:p>
          <w:p w14:paraId="32AF7F72" w14:textId="29A93EF6" w:rsidR="00E604B6" w:rsidRPr="0002370A" w:rsidRDefault="00E604B6" w:rsidP="00E604B6">
            <w:pPr>
              <w:jc w:val="both"/>
              <w:rPr>
                <w:lang w:eastAsia="en-US"/>
              </w:rPr>
            </w:pPr>
            <w:r w:rsidRPr="0002370A">
              <w:rPr>
                <w:lang w:eastAsia="en-US"/>
              </w:rPr>
              <w:t>Ņemot vērā, ka</w:t>
            </w:r>
            <w:r w:rsidR="0020008D" w:rsidRPr="0002370A">
              <w:rPr>
                <w:lang w:eastAsia="en-US"/>
              </w:rPr>
              <w:t xml:space="preserve"> </w:t>
            </w:r>
            <w:r w:rsidR="0020008D" w:rsidRPr="0002370A">
              <w:t xml:space="preserve">atsauce uz Lēmumu </w:t>
            </w:r>
            <w:r w:rsidR="00234A3F" w:rsidRPr="0002370A">
              <w:t>norādīta arī</w:t>
            </w:r>
            <w:r w:rsidR="0002370A" w:rsidRPr="0002370A">
              <w:t xml:space="preserve"> MK n</w:t>
            </w:r>
            <w:r w:rsidR="0020008D" w:rsidRPr="0002370A">
              <w:t>oteikumu Nr.</w:t>
            </w:r>
            <w:r w:rsidR="0002370A" w:rsidRPr="0002370A">
              <w:t> </w:t>
            </w:r>
            <w:r w:rsidR="0020008D" w:rsidRPr="0002370A">
              <w:t>645</w:t>
            </w:r>
            <w:r w:rsidR="0002370A" w:rsidRPr="0002370A">
              <w:rPr>
                <w:rStyle w:val="FootnoteReference"/>
              </w:rPr>
              <w:footnoteReference w:id="3"/>
            </w:r>
            <w:r w:rsidR="0020008D" w:rsidRPr="0002370A">
              <w:t xml:space="preserve"> </w:t>
            </w:r>
            <w:r w:rsidR="00234A3F" w:rsidRPr="0002370A">
              <w:t>apakš</w:t>
            </w:r>
            <w:r w:rsidR="0020008D" w:rsidRPr="0002370A">
              <w:t>punktos</w:t>
            </w:r>
            <w:r w:rsidR="00234A3F" w:rsidRPr="0002370A">
              <w:t xml:space="preserve">, </w:t>
            </w:r>
            <w:r w:rsidR="0020008D" w:rsidRPr="0002370A">
              <w:t>uz kuriem neattiecas šis noteikumu projekts</w:t>
            </w:r>
            <w:r w:rsidR="00234A3F" w:rsidRPr="0002370A">
              <w:t>,</w:t>
            </w:r>
            <w:r w:rsidR="0020008D" w:rsidRPr="0002370A">
              <w:t xml:space="preserve"> un ka</w:t>
            </w:r>
            <w:r w:rsidRPr="0002370A">
              <w:rPr>
                <w:lang w:eastAsia="en-US"/>
              </w:rPr>
              <w:t xml:space="preserve"> minētās normas iekļaušana noteikumu projektā ir Finanšu ministrijas kā atbildīgās institūcijas Latvijā par valsts atbalsta normu pareizu piemērošanu iniciatīva, jo atbilstoši Finanšu ministrijas reglamenta 52.1. apakšpunktam </w:t>
            </w:r>
            <w:r w:rsidRPr="0002370A">
              <w:rPr>
                <w:i/>
                <w:lang w:eastAsia="en-US"/>
              </w:rPr>
              <w:t xml:space="preserve">Finanšu ministrijas Komercdarbības atbalsta kontroles departaments veic plānoto atbalsta programmu vai individuālo atbalsta projektu, kā arī plānoto grozījumu esošajās atbalsta programmās vai individuālajos atbalsta projektos pieteikumu sākotnējo izvērtēšanu, izņemot gadījumos par atbalsta sniegšanu </w:t>
            </w:r>
            <w:r w:rsidRPr="0002370A">
              <w:rPr>
                <w:i/>
                <w:lang w:eastAsia="en-US"/>
              </w:rPr>
              <w:lastRenderedPageBreak/>
              <w:t>darbībām ar lauksaimniecības produktiem, kas minēti Līguma par Eiropas Savienības darbību 1.pielikumā, kā arī zvejniecības, akvakultūras un mežsaimniecības nozarē</w:t>
            </w:r>
            <w:r w:rsidRPr="0002370A">
              <w:rPr>
                <w:lang w:eastAsia="en-US"/>
              </w:rPr>
              <w:t xml:space="preserve">, attiecīgā norma </w:t>
            </w:r>
            <w:r w:rsidR="00847C82" w:rsidRPr="0002370A">
              <w:rPr>
                <w:lang w:eastAsia="en-US"/>
              </w:rPr>
              <w:t xml:space="preserve">noteikumu projektā </w:t>
            </w:r>
            <w:r w:rsidRPr="0002370A">
              <w:rPr>
                <w:lang w:eastAsia="en-US"/>
              </w:rPr>
              <w:t>tiek saglabāta Vides aizsardzības un reģionālās attīstības ministrijas</w:t>
            </w:r>
            <w:r w:rsidR="0008258C">
              <w:rPr>
                <w:lang w:eastAsia="en-US"/>
              </w:rPr>
              <w:t xml:space="preserve"> (turpmāk – VARAM)</w:t>
            </w:r>
            <w:r w:rsidRPr="0002370A">
              <w:rPr>
                <w:lang w:eastAsia="en-US"/>
              </w:rPr>
              <w:t xml:space="preserve"> piedāvātajā redakcijā.</w:t>
            </w:r>
          </w:p>
          <w:p w14:paraId="3D49361A" w14:textId="44C3E54D" w:rsidR="00234A3F" w:rsidRPr="0002370A" w:rsidRDefault="00234A3F" w:rsidP="00D62DE5">
            <w:pPr>
              <w:jc w:val="both"/>
              <w:rPr>
                <w:lang w:eastAsia="en-US"/>
              </w:rPr>
            </w:pPr>
            <w:r w:rsidRPr="0002370A">
              <w:rPr>
                <w:lang w:eastAsia="en-US"/>
              </w:rPr>
              <w:t>Vienlaikus skaidrojam, ka</w:t>
            </w:r>
            <w:r w:rsidR="00E31DF8" w:rsidRPr="0002370A">
              <w:rPr>
                <w:lang w:eastAsia="en-US"/>
              </w:rPr>
              <w:t xml:space="preserve"> investīcijas 5.6.2. </w:t>
            </w:r>
            <w:r w:rsidR="0002370A" w:rsidRPr="0002370A">
              <w:rPr>
                <w:lang w:eastAsia="en-US"/>
              </w:rPr>
              <w:t xml:space="preserve">SAM </w:t>
            </w:r>
            <w:r w:rsidR="00E31DF8" w:rsidRPr="0002370A">
              <w:rPr>
                <w:lang w:eastAsia="en-US"/>
              </w:rPr>
              <w:t>ietvaros tiek veiktas publiskajā infrastruktūrā (ar atsevišķiem MK noteikumu Nr.645 38.</w:t>
            </w:r>
            <w:r w:rsidR="0002370A" w:rsidRPr="0002370A">
              <w:rPr>
                <w:lang w:eastAsia="en-US"/>
              </w:rPr>
              <w:t> </w:t>
            </w:r>
            <w:r w:rsidR="00E31DF8" w:rsidRPr="0002370A">
              <w:rPr>
                <w:lang w:eastAsia="en-US"/>
              </w:rPr>
              <w:t xml:space="preserve">punktā norādītajiem izņēmumiem). </w:t>
            </w:r>
            <w:r w:rsidRPr="0002370A">
              <w:rPr>
                <w:lang w:eastAsia="en-US"/>
              </w:rPr>
              <w:t xml:space="preserve"> </w:t>
            </w:r>
            <w:r w:rsidR="00D62DE5" w:rsidRPr="0002370A">
              <w:rPr>
                <w:lang w:eastAsia="en-US"/>
              </w:rPr>
              <w:t>5.6.2. SAM ietvaros projektu iesniedzēj</w:t>
            </w:r>
            <w:r w:rsidR="00507CE6" w:rsidRPr="0002370A">
              <w:rPr>
                <w:lang w:eastAsia="en-US"/>
              </w:rPr>
              <w:t>s</w:t>
            </w:r>
            <w:r w:rsidR="0002370A" w:rsidRPr="0002370A">
              <w:rPr>
                <w:lang w:eastAsia="en-US"/>
              </w:rPr>
              <w:t xml:space="preserve"> var būt MK n</w:t>
            </w:r>
            <w:r w:rsidR="00D62DE5" w:rsidRPr="0002370A">
              <w:rPr>
                <w:lang w:eastAsia="en-US"/>
              </w:rPr>
              <w:t>oteikumu Nr. 645 24.</w:t>
            </w:r>
            <w:r w:rsidR="0002370A" w:rsidRPr="0002370A">
              <w:rPr>
                <w:lang w:eastAsia="en-US"/>
              </w:rPr>
              <w:t> </w:t>
            </w:r>
            <w:r w:rsidR="00D62DE5" w:rsidRPr="0002370A">
              <w:rPr>
                <w:lang w:eastAsia="en-US"/>
              </w:rPr>
              <w:t>punktā norādītā konkrētā pašvaldība vai tās izveidota iestāde, vai pašvaldības kapitālsabiedrība, kas veic pašvaldības deleģēto pārvaldes uzdevumu izpildi, vai brīvostas pārvalde, vai speciālās ekonomiskās zonas pārvalde</w:t>
            </w:r>
            <w:r w:rsidR="00E31DF8" w:rsidRPr="0002370A">
              <w:rPr>
                <w:lang w:eastAsia="en-US"/>
              </w:rPr>
              <w:t xml:space="preserve"> (attiecībā uz publiskās infrastruktūras attīstīšanu), kur p</w:t>
            </w:r>
            <w:r w:rsidR="00D62DE5" w:rsidRPr="0002370A">
              <w:rPr>
                <w:lang w:eastAsia="en-US"/>
              </w:rPr>
              <w:t>rojektos kā sadarbības partneri var piesaistīt arī sabiedrisko (ūdenssaimniecības un (vai) siltumapgādes) pakalpojumu sniedzēju</w:t>
            </w:r>
            <w:r w:rsidR="00507CE6" w:rsidRPr="0002370A">
              <w:rPr>
                <w:lang w:eastAsia="en-US"/>
              </w:rPr>
              <w:t xml:space="preserve">, ja plānotas tādas darbības </w:t>
            </w:r>
            <w:r w:rsidR="00507CE6" w:rsidRPr="0002370A">
              <w:rPr>
                <w:lang w:eastAsia="en-US"/>
              </w:rPr>
              <w:lastRenderedPageBreak/>
              <w:t xml:space="preserve">kā degradētās teritorijas potenciāla attīstīšanai nepieciešamo industriālo </w:t>
            </w:r>
            <w:proofErr w:type="spellStart"/>
            <w:r w:rsidR="00507CE6" w:rsidRPr="0002370A">
              <w:rPr>
                <w:lang w:eastAsia="en-US"/>
              </w:rPr>
              <w:t>pieslēgumu</w:t>
            </w:r>
            <w:proofErr w:type="spellEnd"/>
            <w:r w:rsidR="00507CE6" w:rsidRPr="0002370A">
              <w:rPr>
                <w:lang w:eastAsia="en-US"/>
              </w:rPr>
              <w:t xml:space="preserve"> ierīkošana un to saistītās jaudas palielināšana. </w:t>
            </w:r>
          </w:p>
          <w:p w14:paraId="2C0258DF" w14:textId="77777777" w:rsidR="00E604B6" w:rsidRPr="0002370A" w:rsidRDefault="00E604B6" w:rsidP="00E604B6">
            <w:pPr>
              <w:jc w:val="both"/>
              <w:rPr>
                <w:lang w:eastAsia="en-US"/>
              </w:rPr>
            </w:pPr>
          </w:p>
          <w:p w14:paraId="0221F351" w14:textId="0748F6F4" w:rsidR="00D93CA3" w:rsidRPr="0002370A" w:rsidRDefault="00D93CA3" w:rsidP="00E604B6">
            <w:pPr>
              <w:jc w:val="both"/>
              <w:rPr>
                <w:lang w:eastAsia="en-US"/>
              </w:rPr>
            </w:pPr>
          </w:p>
        </w:tc>
        <w:tc>
          <w:tcPr>
            <w:tcW w:w="1141" w:type="pct"/>
            <w:tcBorders>
              <w:top w:val="single" w:sz="4" w:space="0" w:color="auto"/>
              <w:left w:val="single" w:sz="4" w:space="0" w:color="auto"/>
              <w:bottom w:val="single" w:sz="4" w:space="0" w:color="auto"/>
            </w:tcBorders>
            <w:shd w:val="clear" w:color="auto" w:fill="auto"/>
          </w:tcPr>
          <w:p w14:paraId="013EA734" w14:textId="77777777" w:rsidR="008755AF" w:rsidRPr="008755AF" w:rsidRDefault="008755AF" w:rsidP="008755AF">
            <w:pPr>
              <w:pStyle w:val="ListParagraph"/>
              <w:numPr>
                <w:ilvl w:val="0"/>
                <w:numId w:val="2"/>
              </w:numPr>
              <w:tabs>
                <w:tab w:val="left" w:pos="1134"/>
              </w:tabs>
              <w:spacing w:after="0" w:line="240" w:lineRule="auto"/>
              <w:jc w:val="both"/>
              <w:rPr>
                <w:rFonts w:ascii="Times New Roman" w:hAnsi="Times New Roman"/>
                <w:sz w:val="24"/>
                <w:szCs w:val="24"/>
              </w:rPr>
            </w:pPr>
            <w:r w:rsidRPr="008755AF">
              <w:rPr>
                <w:rFonts w:ascii="Times New Roman" w:hAnsi="Times New Roman"/>
                <w:sz w:val="24"/>
                <w:szCs w:val="24"/>
              </w:rPr>
              <w:lastRenderedPageBreak/>
              <w:t>Papildināt noteikumus ar 32.</w:t>
            </w:r>
            <w:r w:rsidRPr="008755AF">
              <w:rPr>
                <w:rFonts w:ascii="Times New Roman" w:hAnsi="Times New Roman"/>
                <w:sz w:val="24"/>
                <w:szCs w:val="24"/>
                <w:vertAlign w:val="superscript"/>
              </w:rPr>
              <w:t>3 </w:t>
            </w:r>
            <w:r w:rsidRPr="008755AF">
              <w:rPr>
                <w:rFonts w:ascii="Times New Roman" w:hAnsi="Times New Roman"/>
                <w:sz w:val="24"/>
                <w:szCs w:val="24"/>
              </w:rPr>
              <w:t>punktu šādā redakcijā:</w:t>
            </w:r>
          </w:p>
          <w:p w14:paraId="5BA12CD0" w14:textId="77777777" w:rsidR="008755AF" w:rsidRPr="008755AF" w:rsidRDefault="008755AF" w:rsidP="008755AF">
            <w:pPr>
              <w:pStyle w:val="ListParagraph"/>
              <w:spacing w:after="0" w:line="240" w:lineRule="auto"/>
              <w:rPr>
                <w:rFonts w:ascii="Times New Roman" w:hAnsi="Times New Roman"/>
                <w:sz w:val="24"/>
                <w:szCs w:val="24"/>
              </w:rPr>
            </w:pPr>
          </w:p>
          <w:p w14:paraId="514106DF" w14:textId="77777777" w:rsidR="008755AF" w:rsidRPr="008755AF" w:rsidRDefault="008755AF" w:rsidP="008755AF">
            <w:pPr>
              <w:pStyle w:val="ListParagraph"/>
              <w:tabs>
                <w:tab w:val="left" w:pos="1134"/>
              </w:tabs>
              <w:spacing w:after="0" w:line="240" w:lineRule="auto"/>
              <w:ind w:left="0" w:firstLine="709"/>
              <w:jc w:val="both"/>
              <w:rPr>
                <w:rFonts w:ascii="Times New Roman" w:hAnsi="Times New Roman"/>
                <w:sz w:val="24"/>
                <w:szCs w:val="24"/>
              </w:rPr>
            </w:pPr>
            <w:r w:rsidRPr="008755AF">
              <w:rPr>
                <w:rFonts w:ascii="Times New Roman" w:hAnsi="Times New Roman"/>
                <w:bCs/>
                <w:sz w:val="24"/>
                <w:szCs w:val="24"/>
                <w:shd w:val="clear" w:color="auto" w:fill="FFFFFF"/>
              </w:rPr>
              <w:t>"32.</w:t>
            </w:r>
            <w:r w:rsidRPr="008755AF">
              <w:rPr>
                <w:rFonts w:ascii="Times New Roman" w:hAnsi="Times New Roman"/>
                <w:bCs/>
                <w:sz w:val="24"/>
                <w:szCs w:val="24"/>
                <w:shd w:val="clear" w:color="auto" w:fill="FFFFFF"/>
                <w:vertAlign w:val="superscript"/>
              </w:rPr>
              <w:t>3</w:t>
            </w:r>
            <w:r w:rsidRPr="008755AF">
              <w:rPr>
                <w:rFonts w:ascii="Times New Roman" w:hAnsi="Times New Roman"/>
                <w:bCs/>
                <w:sz w:val="24"/>
                <w:szCs w:val="24"/>
                <w:shd w:val="clear" w:color="auto" w:fill="FFFFFF"/>
              </w:rPr>
              <w:t> </w:t>
            </w:r>
            <w:r w:rsidRPr="008755AF">
              <w:rPr>
                <w:rFonts w:ascii="Times New Roman" w:hAnsi="Times New Roman"/>
                <w:sz w:val="24"/>
                <w:szCs w:val="24"/>
              </w:rPr>
              <w:t>Ja projektu īsteno atbilstoši šo noteikumu 19.1.2. apakšpunktam, projekta iesniedzējs vai finansējuma saņēmējs iesniedz sadarbības iestādē vispārējas tautsaimnieciskas nozīmes pakalpojuma pilnvarojuma uzlicēja apliecinājumu</w:t>
            </w:r>
            <w:r w:rsidRPr="008755AF">
              <w:rPr>
                <w:bCs/>
                <w:sz w:val="24"/>
                <w:szCs w:val="24"/>
              </w:rPr>
              <w:t xml:space="preserve"> </w:t>
            </w:r>
            <w:r w:rsidRPr="008755AF">
              <w:rPr>
                <w:rFonts w:ascii="Times New Roman" w:hAnsi="Times New Roman"/>
                <w:bCs/>
                <w:sz w:val="24"/>
                <w:szCs w:val="24"/>
              </w:rPr>
              <w:t>par šo noteikumu 32.6. vai 32.</w:t>
            </w:r>
            <w:r w:rsidRPr="008755AF">
              <w:rPr>
                <w:rFonts w:ascii="Times New Roman" w:hAnsi="Times New Roman"/>
                <w:bCs/>
                <w:sz w:val="24"/>
                <w:szCs w:val="24"/>
                <w:vertAlign w:val="superscript"/>
              </w:rPr>
              <w:t>1</w:t>
            </w:r>
            <w:r w:rsidRPr="008755AF">
              <w:rPr>
                <w:rFonts w:ascii="Times New Roman" w:hAnsi="Times New Roman"/>
                <w:bCs/>
                <w:sz w:val="24"/>
                <w:szCs w:val="24"/>
              </w:rPr>
              <w:t xml:space="preserve">7. apakšpunktā minētās atlīdzības (kompensācijas) maksājumu kontroli un pārskatīšanu, kā arī atlīdzības (kompensācijas) maksājumu pārmaksas novēršanu un atgūšanu, ievērojot Eiropas Komisijas 2011. gada 20. decembra lēmumā Nr. 2012/21/ES </w:t>
            </w:r>
            <w:r w:rsidRPr="008755AF">
              <w:rPr>
                <w:rFonts w:ascii="Times New Roman" w:hAnsi="Times New Roman"/>
                <w:sz w:val="24"/>
                <w:szCs w:val="24"/>
                <w:shd w:val="clear" w:color="auto" w:fill="FFFFFF"/>
              </w:rPr>
              <w:t xml:space="preserve">par Līguma par Eiropas Savienības darbību 106. panta 2. punkta piemērošanu valsts atbalstam </w:t>
            </w:r>
            <w:r w:rsidRPr="008755AF">
              <w:rPr>
                <w:rFonts w:ascii="Times New Roman" w:hAnsi="Times New Roman"/>
                <w:sz w:val="24"/>
                <w:szCs w:val="24"/>
                <w:shd w:val="clear" w:color="auto" w:fill="FFFFFF"/>
              </w:rPr>
              <w:lastRenderedPageBreak/>
              <w:t>attiecībā uz kompensāciju par sabiedriskajiem pakalpojumiem dažiem uzņēmumiem, kuriem uzticēts sniegt pakalpojumus ar vispārēju tautsaimniecisku nozīmi</w:t>
            </w:r>
            <w:r w:rsidRPr="008755AF">
              <w:rPr>
                <w:rFonts w:ascii="Times New Roman" w:hAnsi="Times New Roman"/>
                <w:bCs/>
                <w:sz w:val="24"/>
                <w:szCs w:val="24"/>
              </w:rPr>
              <w:t xml:space="preserve"> noteikto pārbaužu regularitāti, bet ne retāk kā reizi trijos gados un pilnvarojuma akta darbības perioda beigās, vai apliecinājumu par sabiedriskajiem ūdenssaimniecības pakalpojumiem paredzēto kopējo maksājumu kontroli un pārskatīšanu, kā arī atlīdzības (kompensācijas) maksājumu</w:t>
            </w:r>
            <w:r w:rsidRPr="008755AF">
              <w:rPr>
                <w:rFonts w:ascii="Times New Roman" w:hAnsi="Times New Roman"/>
                <w:sz w:val="24"/>
                <w:szCs w:val="24"/>
              </w:rPr>
              <w:t xml:space="preserve"> pārmaksas novēršanu un atgūšanu, </w:t>
            </w:r>
            <w:r w:rsidRPr="008755AF">
              <w:rPr>
                <w:rFonts w:ascii="Times New Roman" w:hAnsi="Times New Roman"/>
                <w:sz w:val="24"/>
                <w:szCs w:val="24"/>
                <w:shd w:val="clear" w:color="auto" w:fill="FFFFFF"/>
              </w:rPr>
              <w:t>ievērojot Eiropas Komisijas 2011. gada 20. decembra lēmumā Nr.  2012/21/ES par Līguma par Eiropas Savienības darbību 106. panta 2. punkta piemērošanu valsts atbalstam attiecībā uz kompensāciju par sabiedriskajiem pakalpojumiem dažiem uzņēmumiem, kuriem uzticēts sniegt pakalpojumus ar vispārēju tautsaimniecisku nozīmi noteikto pārbaužu regularitāti, bet ne retāk kā reizi trijos gados un pilnvarojuma akta darbības perioda beigās</w:t>
            </w:r>
            <w:r w:rsidRPr="008755AF">
              <w:rPr>
                <w:rFonts w:ascii="Times New Roman" w:hAnsi="Times New Roman"/>
                <w:sz w:val="24"/>
                <w:szCs w:val="24"/>
              </w:rPr>
              <w:t>.</w:t>
            </w:r>
            <w:r w:rsidRPr="008755AF">
              <w:rPr>
                <w:rFonts w:ascii="Times New Roman" w:hAnsi="Times New Roman"/>
                <w:bCs/>
                <w:sz w:val="24"/>
                <w:szCs w:val="24"/>
                <w:shd w:val="clear" w:color="auto" w:fill="FFFFFF"/>
              </w:rPr>
              <w:t>"</w:t>
            </w:r>
          </w:p>
          <w:p w14:paraId="2E106CB2" w14:textId="6832D5BD" w:rsidR="008755AF" w:rsidRPr="00EF7126" w:rsidRDefault="008755AF" w:rsidP="008755AF">
            <w:pPr>
              <w:ind w:firstLine="256"/>
              <w:jc w:val="both"/>
            </w:pPr>
          </w:p>
        </w:tc>
      </w:tr>
      <w:tr w:rsidR="00C84131" w:rsidRPr="00177ED0" w14:paraId="5C2DE719" w14:textId="77777777" w:rsidTr="0008258C">
        <w:trPr>
          <w:trHeight w:val="547"/>
        </w:trPr>
        <w:tc>
          <w:tcPr>
            <w:tcW w:w="170" w:type="pct"/>
            <w:tcBorders>
              <w:top w:val="single" w:sz="6" w:space="0" w:color="000000"/>
              <w:left w:val="single" w:sz="6" w:space="0" w:color="000000"/>
              <w:bottom w:val="single" w:sz="6" w:space="0" w:color="000000"/>
              <w:right w:val="single" w:sz="6" w:space="0" w:color="000000"/>
            </w:tcBorders>
            <w:shd w:val="clear" w:color="auto" w:fill="auto"/>
          </w:tcPr>
          <w:p w14:paraId="07648496" w14:textId="53E5F9E5" w:rsidR="00C84131" w:rsidRPr="00AF6ACF" w:rsidRDefault="00C84131" w:rsidP="00C84131">
            <w:pPr>
              <w:pStyle w:val="naisc"/>
              <w:spacing w:before="0" w:after="0"/>
              <w:jc w:val="left"/>
              <w:rPr>
                <w:sz w:val="22"/>
                <w:szCs w:val="22"/>
              </w:rPr>
            </w:pPr>
            <w:r>
              <w:rPr>
                <w:sz w:val="22"/>
                <w:szCs w:val="22"/>
              </w:rPr>
              <w:lastRenderedPageBreak/>
              <w:t>2.</w:t>
            </w:r>
          </w:p>
        </w:tc>
        <w:tc>
          <w:tcPr>
            <w:tcW w:w="1036" w:type="pct"/>
            <w:tcBorders>
              <w:top w:val="single" w:sz="6" w:space="0" w:color="000000"/>
              <w:left w:val="single" w:sz="6" w:space="0" w:color="000000"/>
              <w:bottom w:val="single" w:sz="6" w:space="0" w:color="000000"/>
              <w:right w:val="single" w:sz="6" w:space="0" w:color="000000"/>
            </w:tcBorders>
            <w:shd w:val="clear" w:color="auto" w:fill="auto"/>
          </w:tcPr>
          <w:p w14:paraId="1865EAE6" w14:textId="5E79877B" w:rsidR="00C84131" w:rsidRPr="00C84131" w:rsidRDefault="00C84131" w:rsidP="00C84131">
            <w:pPr>
              <w:tabs>
                <w:tab w:val="left" w:pos="1134"/>
              </w:tabs>
              <w:jc w:val="both"/>
            </w:pPr>
            <w:r w:rsidRPr="00C84131">
              <w:t>8. Papildināt noteikumus ar 72.</w:t>
            </w:r>
            <w:r w:rsidRPr="00C84131">
              <w:rPr>
                <w:vertAlign w:val="superscript"/>
              </w:rPr>
              <w:t>1</w:t>
            </w:r>
            <w:r w:rsidRPr="00C84131">
              <w:t> un 72.</w:t>
            </w:r>
            <w:r w:rsidRPr="00C84131">
              <w:rPr>
                <w:vertAlign w:val="superscript"/>
              </w:rPr>
              <w:t>2</w:t>
            </w:r>
            <w:r w:rsidRPr="00C84131">
              <w:t> punktu šādā redakcijā:</w:t>
            </w:r>
          </w:p>
          <w:p w14:paraId="18F132E1" w14:textId="77777777" w:rsidR="00C84131" w:rsidRPr="00C84131" w:rsidRDefault="00C84131" w:rsidP="00C84131">
            <w:pPr>
              <w:pStyle w:val="ListParagraph"/>
              <w:tabs>
                <w:tab w:val="left" w:pos="1134"/>
              </w:tabs>
              <w:spacing w:after="0" w:line="240" w:lineRule="auto"/>
              <w:ind w:left="709"/>
              <w:jc w:val="both"/>
              <w:rPr>
                <w:rFonts w:ascii="Times New Roman" w:hAnsi="Times New Roman"/>
                <w:sz w:val="24"/>
                <w:szCs w:val="24"/>
              </w:rPr>
            </w:pPr>
          </w:p>
          <w:p w14:paraId="7839937D" w14:textId="77777777" w:rsidR="00C84131" w:rsidRPr="00C84131" w:rsidRDefault="00C84131" w:rsidP="00C84131">
            <w:pPr>
              <w:pStyle w:val="ListParagraph"/>
              <w:tabs>
                <w:tab w:val="left" w:pos="1134"/>
              </w:tabs>
              <w:spacing w:after="0" w:line="240" w:lineRule="auto"/>
              <w:ind w:left="0" w:firstLine="709"/>
              <w:jc w:val="both"/>
              <w:rPr>
                <w:rFonts w:ascii="Times New Roman" w:hAnsi="Times New Roman"/>
                <w:sz w:val="24"/>
                <w:szCs w:val="24"/>
                <w:shd w:val="clear" w:color="auto" w:fill="FFFFFF"/>
              </w:rPr>
            </w:pPr>
            <w:r w:rsidRPr="00C84131">
              <w:rPr>
                <w:rFonts w:ascii="Times New Roman" w:hAnsi="Times New Roman"/>
                <w:sz w:val="24"/>
                <w:szCs w:val="24"/>
                <w:shd w:val="clear" w:color="auto" w:fill="FFFFFF"/>
              </w:rPr>
              <w:t>"72.</w:t>
            </w:r>
            <w:r w:rsidRPr="00C84131">
              <w:rPr>
                <w:rFonts w:ascii="Times New Roman" w:hAnsi="Times New Roman"/>
                <w:sz w:val="24"/>
                <w:szCs w:val="24"/>
                <w:shd w:val="clear" w:color="auto" w:fill="FFFFFF"/>
                <w:vertAlign w:val="superscript"/>
              </w:rPr>
              <w:t>1</w:t>
            </w:r>
            <w:r w:rsidRPr="00C84131">
              <w:rPr>
                <w:rFonts w:ascii="Times New Roman" w:hAnsi="Times New Roman"/>
                <w:sz w:val="24"/>
                <w:szCs w:val="24"/>
                <w:shd w:val="clear" w:color="auto" w:fill="FFFFFF"/>
              </w:rPr>
              <w:t xml:space="preserve"> Valsts atbalsta piešķiršanas brīdis ir diena, kad tiek pieņemts lēmums par projekta iesnieguma apstiprināšanu vai izdots </w:t>
            </w:r>
            <w:r w:rsidRPr="00C84131">
              <w:rPr>
                <w:rFonts w:ascii="Times New Roman" w:hAnsi="Times New Roman"/>
                <w:sz w:val="24"/>
                <w:szCs w:val="24"/>
                <w:shd w:val="clear" w:color="auto" w:fill="FFFFFF"/>
              </w:rPr>
              <w:lastRenderedPageBreak/>
              <w:t xml:space="preserve">atzinums par lēmumā noteikto nosacījumu izpildi, ja iepriekš pieņemts lēmums par projekta iesnieguma apstiprināšanu ar nosacījumiem. </w:t>
            </w:r>
          </w:p>
          <w:p w14:paraId="363F2DBC" w14:textId="77777777" w:rsidR="00C84131" w:rsidRPr="00C84131" w:rsidRDefault="00C84131" w:rsidP="00C84131">
            <w:pPr>
              <w:tabs>
                <w:tab w:val="left" w:pos="1134"/>
              </w:tabs>
              <w:jc w:val="both"/>
            </w:pPr>
          </w:p>
        </w:tc>
        <w:tc>
          <w:tcPr>
            <w:tcW w:w="1473" w:type="pct"/>
            <w:tcBorders>
              <w:top w:val="single" w:sz="6" w:space="0" w:color="000000"/>
              <w:left w:val="single" w:sz="6" w:space="0" w:color="000000"/>
              <w:bottom w:val="single" w:sz="6" w:space="0" w:color="000000"/>
              <w:right w:val="single" w:sz="6" w:space="0" w:color="000000"/>
            </w:tcBorders>
            <w:shd w:val="clear" w:color="auto" w:fill="auto"/>
          </w:tcPr>
          <w:p w14:paraId="01A1AAFB" w14:textId="59137C38" w:rsidR="00C84131" w:rsidRPr="006F2DBF" w:rsidRDefault="00C84131" w:rsidP="00C84131">
            <w:pPr>
              <w:spacing w:after="120"/>
              <w:jc w:val="both"/>
              <w:rPr>
                <w:b/>
              </w:rPr>
            </w:pPr>
            <w:r w:rsidRPr="006F2DBF">
              <w:rPr>
                <w:b/>
              </w:rPr>
              <w:lastRenderedPageBreak/>
              <w:t>Finanšu ministrija (24.11.2020. atzinums)</w:t>
            </w:r>
          </w:p>
          <w:p w14:paraId="30CA4476" w14:textId="3E8C7136" w:rsidR="00C84131" w:rsidRPr="006F2DBF" w:rsidRDefault="00C84131" w:rsidP="00C84131">
            <w:pPr>
              <w:jc w:val="both"/>
            </w:pPr>
            <w:r w:rsidRPr="006F2DBF">
              <w:t>Lūdzam precizēt noteikumu projekta 8.punktu, izsakot to šādā redakcijā:  “72</w:t>
            </w:r>
            <w:r w:rsidRPr="006F2DBF">
              <w:rPr>
                <w:vertAlign w:val="superscript"/>
              </w:rPr>
              <w:t>1</w:t>
            </w:r>
            <w:r w:rsidRPr="006F2DBF">
              <w:t xml:space="preserve"> Valsts atbalsta piešķiršanas brīdis ir diena, kad tiek pieņemts lēmums par projekta iesnieguma apstiprināšanu vai izdots atzinums par lēmumā noteikto nosacījumu izpildi, ja iepriekš pieņemts lēmums par projekta iesnieguma </w:t>
            </w:r>
            <w:r w:rsidRPr="006F2DBF">
              <w:lastRenderedPageBreak/>
              <w:t xml:space="preserve">apstiprināšanu ar nosacījumu, vai diena, kad ir abpusēji parakstīti vienošanās par projekta īstenošanu grozījumi, ja valsts atbalsts, kam nav piemērojami stimulējošās ietekmes nosacījumi, tiek piešķirts projekta īstenošanas laikā.”. Precizējumus nepieciešams veikt, ņemot vērā, ka projektu ieviešanas praksē ir bijuši gadījumi, kad projekta īstenošanas laikā, piemēram, finansējuma ietaupījuma vai citu </w:t>
            </w:r>
            <w:r w:rsidRPr="006B6B4D">
              <w:t>finansējuma izmaiņu gadījumā tiek papildinātas projekta darbības, paredzot tādas jaunas darbības vai palielinot izmaksu summu tādām</w:t>
            </w:r>
            <w:r w:rsidRPr="006F2DBF">
              <w:t xml:space="preserve"> darbībām, kam sniedzams valsts atbalsts un uz kurām nav attiecināmi stimulējošās ietekmes nosacījumi (piemēram, jauns ūdenssaimniecības tīklu posms, kam sniedzams valsts atbalsts saskaņā ar EK lēmumu Nr.2012/21/ES). Šāds atbalsts var tikt sniegts ar jaunu lēmumu (līguma grozījumu kontekstā) projekta īstenošanas laikā. Vēršam uzmanību, ka šāda prakse ir labvēlīga projekta īstenotājiem un nav pretrunā ar valsts atbalsta noteikumiem. </w:t>
            </w:r>
          </w:p>
        </w:tc>
        <w:tc>
          <w:tcPr>
            <w:tcW w:w="1180" w:type="pct"/>
            <w:tcBorders>
              <w:top w:val="single" w:sz="6" w:space="0" w:color="000000"/>
              <w:left w:val="single" w:sz="6" w:space="0" w:color="000000"/>
              <w:bottom w:val="single" w:sz="6" w:space="0" w:color="000000"/>
              <w:right w:val="single" w:sz="6" w:space="0" w:color="000000"/>
            </w:tcBorders>
            <w:shd w:val="clear" w:color="auto" w:fill="auto"/>
          </w:tcPr>
          <w:p w14:paraId="02C19F9D" w14:textId="77777777" w:rsidR="00C84131" w:rsidRPr="0008258C" w:rsidRDefault="00C276F7" w:rsidP="00C84131">
            <w:pPr>
              <w:spacing w:after="120"/>
              <w:jc w:val="both"/>
              <w:rPr>
                <w:b/>
                <w:lang w:eastAsia="en-US"/>
              </w:rPr>
            </w:pPr>
            <w:r w:rsidRPr="0008258C">
              <w:rPr>
                <w:b/>
                <w:lang w:eastAsia="en-US"/>
              </w:rPr>
              <w:lastRenderedPageBreak/>
              <w:t>Panākta vienošanās saskaņošanas laikā</w:t>
            </w:r>
          </w:p>
          <w:p w14:paraId="5AB1416D" w14:textId="44F10245" w:rsidR="00B2579A" w:rsidRPr="0008258C" w:rsidRDefault="00B2579A" w:rsidP="0008258C">
            <w:pPr>
              <w:spacing w:after="120"/>
              <w:jc w:val="both"/>
              <w:rPr>
                <w:lang w:eastAsia="en-US"/>
              </w:rPr>
            </w:pPr>
            <w:r w:rsidRPr="0008258C">
              <w:rPr>
                <w:lang w:eastAsia="en-US"/>
              </w:rPr>
              <w:t xml:space="preserve">Ņemot vērā, ka noteikumu projekts tiek virzīts steidzamības kārtībā, lai līdz 2020. gada beigām paspētu to apstiprināt Ministru kabinetā un pēc 2020. gada 1. decembra būtu iespējams pieņemt lēmumus par </w:t>
            </w:r>
            <w:r w:rsidRPr="0008258C">
              <w:rPr>
                <w:lang w:eastAsia="en-US"/>
              </w:rPr>
              <w:lastRenderedPageBreak/>
              <w:t>attiecīgo valsts atbalsta piešķiršanu, Finanšu ministrijas attiecīgais iebildums šī noteikumu projekta ietvaros netiek skatīts. Diskusijas par Finanšu ministrijas un Centrālās finanšu un līgumu aģentūras izteikto iebildumu tiks turpinātas un nepieciešamības gadījumā tas tiks iestrādāts pie nākamajiem grozījumiem</w:t>
            </w:r>
            <w:r w:rsidR="006B6B4D" w:rsidRPr="0008258C">
              <w:rPr>
                <w:lang w:eastAsia="en-US"/>
              </w:rPr>
              <w:t xml:space="preserve"> MK noteikumos Nr.645, ko VARAM plāno izstrādāt saistībā ar </w:t>
            </w:r>
            <w:r w:rsidR="0008258C" w:rsidRPr="0008258C">
              <w:rPr>
                <w:lang w:eastAsia="en-US"/>
              </w:rPr>
              <w:t>Eiropas Reģionālās attīstības fonda</w:t>
            </w:r>
            <w:r w:rsidR="006B6B4D" w:rsidRPr="0008258C">
              <w:rPr>
                <w:lang w:eastAsia="en-US"/>
              </w:rPr>
              <w:t xml:space="preserve"> finansējuma atlikuma izmantošanu</w:t>
            </w:r>
            <w:r w:rsidRPr="0008258C">
              <w:rPr>
                <w:lang w:eastAsia="en-US"/>
              </w:rPr>
              <w:t>.</w:t>
            </w:r>
            <w:r w:rsidR="006B6B4D" w:rsidRPr="0008258C">
              <w:rPr>
                <w:lang w:eastAsia="en-US"/>
              </w:rPr>
              <w:t xml:space="preserve"> Vienlaikus nepieciešama papildu diskusija par Finanšu ministrijas ierosinājumu precizēt MK noteikumu Nr.645 </w:t>
            </w:r>
            <w:r w:rsidR="006B6B4D" w:rsidRPr="0008258C">
              <w:t>72.</w:t>
            </w:r>
            <w:r w:rsidR="006B6B4D" w:rsidRPr="0008258C">
              <w:rPr>
                <w:vertAlign w:val="superscript"/>
              </w:rPr>
              <w:t>1</w:t>
            </w:r>
            <w:r w:rsidR="006B6B4D" w:rsidRPr="0008258C">
              <w:t xml:space="preserve"> </w:t>
            </w:r>
            <w:r w:rsidR="006B6B4D" w:rsidRPr="0008258C">
              <w:rPr>
                <w:lang w:eastAsia="en-US"/>
              </w:rPr>
              <w:t xml:space="preserve"> punktu, t.sk. vērtējot to kontekstā ar </w:t>
            </w:r>
            <w:r w:rsidR="006B6B4D" w:rsidRPr="0008258C">
              <w:t xml:space="preserve">MK 22.09.2020. sēdes protokola Nr. 55 30§ 2.1. apakšpunktā norādīto, ka </w:t>
            </w:r>
            <w:r w:rsidR="0008258C" w:rsidRPr="0008258C">
              <w:t>Eiropas Savienības</w:t>
            </w:r>
            <w:r w:rsidR="006B6B4D" w:rsidRPr="0008258C">
              <w:t xml:space="preserve"> fondu atbrīvoto finansējumu nepārdala citiem projektiem vai jaunām projekta darbībām, bet gan novirza </w:t>
            </w:r>
            <w:proofErr w:type="spellStart"/>
            <w:r w:rsidR="006B6B4D" w:rsidRPr="0008258C">
              <w:t>virssaistību</w:t>
            </w:r>
            <w:proofErr w:type="spellEnd"/>
            <w:r w:rsidR="006B6B4D" w:rsidRPr="0008258C">
              <w:t xml:space="preserve"> kompensēšanai. </w:t>
            </w:r>
          </w:p>
        </w:tc>
        <w:tc>
          <w:tcPr>
            <w:tcW w:w="1141" w:type="pct"/>
            <w:tcBorders>
              <w:top w:val="single" w:sz="4" w:space="0" w:color="auto"/>
              <w:left w:val="single" w:sz="4" w:space="0" w:color="auto"/>
              <w:bottom w:val="single" w:sz="4" w:space="0" w:color="auto"/>
            </w:tcBorders>
            <w:shd w:val="clear" w:color="auto" w:fill="auto"/>
          </w:tcPr>
          <w:p w14:paraId="7BAAEAA5" w14:textId="77777777" w:rsidR="00C84131" w:rsidRPr="00C84131" w:rsidRDefault="00C84131" w:rsidP="00C84131">
            <w:pPr>
              <w:tabs>
                <w:tab w:val="left" w:pos="1134"/>
              </w:tabs>
              <w:jc w:val="both"/>
            </w:pPr>
            <w:r w:rsidRPr="00C84131">
              <w:lastRenderedPageBreak/>
              <w:t>8. Papildināt noteikumus ar 72.</w:t>
            </w:r>
            <w:r w:rsidRPr="00C84131">
              <w:rPr>
                <w:vertAlign w:val="superscript"/>
              </w:rPr>
              <w:t>1</w:t>
            </w:r>
            <w:r w:rsidRPr="00C84131">
              <w:t> un 72.</w:t>
            </w:r>
            <w:r w:rsidRPr="00C84131">
              <w:rPr>
                <w:vertAlign w:val="superscript"/>
              </w:rPr>
              <w:t>2</w:t>
            </w:r>
            <w:r w:rsidRPr="00C84131">
              <w:t> punktu šādā redakcijā:</w:t>
            </w:r>
          </w:p>
          <w:p w14:paraId="66F8A7FC" w14:textId="77777777" w:rsidR="00C84131" w:rsidRPr="00C84131" w:rsidRDefault="00C84131" w:rsidP="00C84131">
            <w:pPr>
              <w:pStyle w:val="ListParagraph"/>
              <w:tabs>
                <w:tab w:val="left" w:pos="1134"/>
              </w:tabs>
              <w:spacing w:after="0" w:line="240" w:lineRule="auto"/>
              <w:ind w:left="709"/>
              <w:jc w:val="both"/>
              <w:rPr>
                <w:rFonts w:ascii="Times New Roman" w:hAnsi="Times New Roman"/>
                <w:sz w:val="24"/>
                <w:szCs w:val="24"/>
              </w:rPr>
            </w:pPr>
          </w:p>
          <w:p w14:paraId="6C516C0D" w14:textId="77777777" w:rsidR="00C84131" w:rsidRPr="00C84131" w:rsidRDefault="00C84131" w:rsidP="00C84131">
            <w:pPr>
              <w:pStyle w:val="ListParagraph"/>
              <w:tabs>
                <w:tab w:val="left" w:pos="1134"/>
              </w:tabs>
              <w:spacing w:after="0" w:line="240" w:lineRule="auto"/>
              <w:ind w:left="0" w:firstLine="709"/>
              <w:jc w:val="both"/>
              <w:rPr>
                <w:rFonts w:ascii="Times New Roman" w:hAnsi="Times New Roman"/>
                <w:sz w:val="24"/>
                <w:szCs w:val="24"/>
                <w:shd w:val="clear" w:color="auto" w:fill="FFFFFF"/>
              </w:rPr>
            </w:pPr>
            <w:r w:rsidRPr="00C84131">
              <w:rPr>
                <w:rFonts w:ascii="Times New Roman" w:hAnsi="Times New Roman"/>
                <w:sz w:val="24"/>
                <w:szCs w:val="24"/>
                <w:shd w:val="clear" w:color="auto" w:fill="FFFFFF"/>
              </w:rPr>
              <w:t>"72.</w:t>
            </w:r>
            <w:r w:rsidRPr="00C84131">
              <w:rPr>
                <w:rFonts w:ascii="Times New Roman" w:hAnsi="Times New Roman"/>
                <w:sz w:val="24"/>
                <w:szCs w:val="24"/>
                <w:shd w:val="clear" w:color="auto" w:fill="FFFFFF"/>
                <w:vertAlign w:val="superscript"/>
              </w:rPr>
              <w:t>1</w:t>
            </w:r>
            <w:r w:rsidRPr="00C84131">
              <w:rPr>
                <w:rFonts w:ascii="Times New Roman" w:hAnsi="Times New Roman"/>
                <w:sz w:val="24"/>
                <w:szCs w:val="24"/>
                <w:shd w:val="clear" w:color="auto" w:fill="FFFFFF"/>
              </w:rPr>
              <w:t xml:space="preserve"> Valsts atbalsta piešķiršanas brīdis ir diena, kad tiek pieņemts lēmums par projekta iesnieguma apstiprināšanu vai izdots atzinums par lēmumā noteikto nosacījumu izpildi, ja </w:t>
            </w:r>
            <w:r w:rsidRPr="00C84131">
              <w:rPr>
                <w:rFonts w:ascii="Times New Roman" w:hAnsi="Times New Roman"/>
                <w:sz w:val="24"/>
                <w:szCs w:val="24"/>
                <w:shd w:val="clear" w:color="auto" w:fill="FFFFFF"/>
              </w:rPr>
              <w:lastRenderedPageBreak/>
              <w:t xml:space="preserve">iepriekš pieņemts lēmums par projekta iesnieguma apstiprināšanu ar nosacījumiem. </w:t>
            </w:r>
          </w:p>
          <w:p w14:paraId="5D27D547" w14:textId="77777777" w:rsidR="00C84131" w:rsidRPr="008755AF" w:rsidRDefault="00C84131" w:rsidP="00C84131">
            <w:pPr>
              <w:pStyle w:val="ListParagraph"/>
              <w:tabs>
                <w:tab w:val="left" w:pos="1134"/>
              </w:tabs>
              <w:spacing w:after="0" w:line="240" w:lineRule="auto"/>
              <w:ind w:left="360"/>
              <w:jc w:val="both"/>
              <w:rPr>
                <w:rFonts w:ascii="Times New Roman" w:hAnsi="Times New Roman"/>
                <w:sz w:val="24"/>
                <w:szCs w:val="24"/>
              </w:rPr>
            </w:pPr>
          </w:p>
        </w:tc>
      </w:tr>
      <w:tr w:rsidR="00C84131" w:rsidRPr="00177ED0" w14:paraId="405AB310" w14:textId="77777777" w:rsidTr="0008258C">
        <w:trPr>
          <w:trHeight w:val="547"/>
        </w:trPr>
        <w:tc>
          <w:tcPr>
            <w:tcW w:w="170" w:type="pct"/>
            <w:tcBorders>
              <w:top w:val="single" w:sz="6" w:space="0" w:color="000000"/>
              <w:left w:val="single" w:sz="6" w:space="0" w:color="000000"/>
              <w:bottom w:val="single" w:sz="6" w:space="0" w:color="000000"/>
              <w:right w:val="single" w:sz="6" w:space="0" w:color="000000"/>
            </w:tcBorders>
            <w:shd w:val="clear" w:color="auto" w:fill="auto"/>
          </w:tcPr>
          <w:p w14:paraId="79623884" w14:textId="594F4621" w:rsidR="00C84131" w:rsidRDefault="00C84131" w:rsidP="00C84131">
            <w:pPr>
              <w:pStyle w:val="naisc"/>
              <w:spacing w:before="0" w:after="0"/>
              <w:jc w:val="left"/>
              <w:rPr>
                <w:sz w:val="22"/>
                <w:szCs w:val="22"/>
              </w:rPr>
            </w:pPr>
            <w:r>
              <w:rPr>
                <w:sz w:val="22"/>
                <w:szCs w:val="22"/>
              </w:rPr>
              <w:lastRenderedPageBreak/>
              <w:t>3.</w:t>
            </w:r>
          </w:p>
        </w:tc>
        <w:tc>
          <w:tcPr>
            <w:tcW w:w="1036" w:type="pct"/>
            <w:tcBorders>
              <w:top w:val="single" w:sz="6" w:space="0" w:color="000000"/>
              <w:left w:val="single" w:sz="6" w:space="0" w:color="000000"/>
              <w:bottom w:val="single" w:sz="6" w:space="0" w:color="000000"/>
              <w:right w:val="single" w:sz="6" w:space="0" w:color="000000"/>
            </w:tcBorders>
            <w:shd w:val="clear" w:color="auto" w:fill="auto"/>
          </w:tcPr>
          <w:p w14:paraId="481F1CDC" w14:textId="13B2AC0F" w:rsidR="00C84131" w:rsidRPr="006F2DBF" w:rsidRDefault="00C84131" w:rsidP="00C84131">
            <w:pPr>
              <w:tabs>
                <w:tab w:val="left" w:pos="1134"/>
              </w:tabs>
              <w:jc w:val="both"/>
            </w:pPr>
            <w:r>
              <w:t>Anotācija</w:t>
            </w:r>
          </w:p>
        </w:tc>
        <w:tc>
          <w:tcPr>
            <w:tcW w:w="1473" w:type="pct"/>
            <w:tcBorders>
              <w:top w:val="single" w:sz="6" w:space="0" w:color="000000"/>
              <w:left w:val="single" w:sz="6" w:space="0" w:color="000000"/>
              <w:bottom w:val="single" w:sz="6" w:space="0" w:color="000000"/>
              <w:right w:val="single" w:sz="6" w:space="0" w:color="000000"/>
            </w:tcBorders>
            <w:shd w:val="clear" w:color="auto" w:fill="auto"/>
          </w:tcPr>
          <w:p w14:paraId="7D0EDEF6" w14:textId="77777777" w:rsidR="00C84131" w:rsidRPr="006F2DBF" w:rsidRDefault="00C84131" w:rsidP="00C84131">
            <w:pPr>
              <w:spacing w:after="120"/>
              <w:jc w:val="both"/>
              <w:rPr>
                <w:b/>
              </w:rPr>
            </w:pPr>
            <w:r w:rsidRPr="006F2DBF">
              <w:rPr>
                <w:b/>
              </w:rPr>
              <w:t>Finanšu ministrija (24.11.2020. atzinums)</w:t>
            </w:r>
          </w:p>
          <w:p w14:paraId="6CA2F5F7" w14:textId="2CE0098C" w:rsidR="00C84131" w:rsidRPr="006F2DBF" w:rsidRDefault="00C84131" w:rsidP="00C84131">
            <w:pPr>
              <w:jc w:val="both"/>
            </w:pPr>
            <w:r w:rsidRPr="006F2DBF">
              <w:t xml:space="preserve">Ņemot vērā, ka noteikumu projekta 3.punkts paredz pagarināt atbalsta shēmu, lūdzam papildināt anotācijas V sadaļu “Tiesību akta projekta atbilstība Latvijas Republikas starptautiskajām saistībām” ar informāciju, ka noteikumu projektā rosinātie grozījumi 20 </w:t>
            </w:r>
            <w:r w:rsidRPr="006F2DBF">
              <w:lastRenderedPageBreak/>
              <w:t>darba dienu laikā pēc to spēkā stāšanās tiks paziņoti Komisijai, izmantojot SANI2 (</w:t>
            </w:r>
            <w:proofErr w:type="spellStart"/>
            <w:r w:rsidRPr="006F2DBF">
              <w:rPr>
                <w:i/>
                <w:iCs/>
              </w:rPr>
              <w:t>State</w:t>
            </w:r>
            <w:proofErr w:type="spellEnd"/>
            <w:r w:rsidRPr="006F2DBF">
              <w:rPr>
                <w:i/>
                <w:iCs/>
              </w:rPr>
              <w:t xml:space="preserve"> Aid </w:t>
            </w:r>
            <w:proofErr w:type="spellStart"/>
            <w:r w:rsidRPr="006F2DBF">
              <w:rPr>
                <w:i/>
                <w:iCs/>
              </w:rPr>
              <w:t>Notification</w:t>
            </w:r>
            <w:proofErr w:type="spellEnd"/>
            <w:r w:rsidRPr="006F2DBF">
              <w:rPr>
                <w:i/>
                <w:iCs/>
              </w:rPr>
              <w:t xml:space="preserve"> </w:t>
            </w:r>
            <w:proofErr w:type="spellStart"/>
            <w:r w:rsidRPr="006F2DBF">
              <w:rPr>
                <w:i/>
                <w:iCs/>
              </w:rPr>
              <w:t>Interactive</w:t>
            </w:r>
            <w:proofErr w:type="spellEnd"/>
            <w:r w:rsidRPr="006F2DBF">
              <w:t>) sistēmu, ņemot vērā noteikumu projektā ietvertos grozījumus attiecībā uz shēmas pagarinājumu, ievērojot regulu darbības termiņa pagarinājumu.</w:t>
            </w:r>
          </w:p>
        </w:tc>
        <w:tc>
          <w:tcPr>
            <w:tcW w:w="1180" w:type="pct"/>
            <w:tcBorders>
              <w:top w:val="single" w:sz="6" w:space="0" w:color="000000"/>
              <w:left w:val="single" w:sz="6" w:space="0" w:color="000000"/>
              <w:bottom w:val="single" w:sz="6" w:space="0" w:color="000000"/>
              <w:right w:val="single" w:sz="6" w:space="0" w:color="000000"/>
            </w:tcBorders>
            <w:shd w:val="clear" w:color="auto" w:fill="auto"/>
          </w:tcPr>
          <w:p w14:paraId="42C300F6" w14:textId="53985AC3" w:rsidR="00C84131" w:rsidRPr="00E604B6" w:rsidRDefault="00C84131" w:rsidP="00C84131">
            <w:pPr>
              <w:spacing w:after="120"/>
              <w:jc w:val="both"/>
              <w:rPr>
                <w:b/>
                <w:lang w:eastAsia="en-US"/>
              </w:rPr>
            </w:pPr>
            <w:r>
              <w:rPr>
                <w:b/>
                <w:lang w:eastAsia="en-US"/>
              </w:rPr>
              <w:lastRenderedPageBreak/>
              <w:t>Ņemts vērā</w:t>
            </w:r>
          </w:p>
        </w:tc>
        <w:tc>
          <w:tcPr>
            <w:tcW w:w="1141" w:type="pct"/>
            <w:tcBorders>
              <w:top w:val="single" w:sz="4" w:space="0" w:color="auto"/>
              <w:left w:val="single" w:sz="4" w:space="0" w:color="auto"/>
              <w:bottom w:val="single" w:sz="4" w:space="0" w:color="auto"/>
            </w:tcBorders>
            <w:shd w:val="clear" w:color="auto" w:fill="auto"/>
          </w:tcPr>
          <w:p w14:paraId="4E08BD80" w14:textId="704568F1" w:rsidR="00C84131" w:rsidRPr="0036633B" w:rsidRDefault="0036633B" w:rsidP="0036633B">
            <w:pPr>
              <w:tabs>
                <w:tab w:val="left" w:pos="1134"/>
              </w:tabs>
              <w:jc w:val="both"/>
            </w:pPr>
            <w:r>
              <w:t>Skatīt precizēto anotāciju.</w:t>
            </w:r>
          </w:p>
        </w:tc>
      </w:tr>
    </w:tbl>
    <w:p w14:paraId="192C8B49" w14:textId="4D39FAF9" w:rsidR="00905305" w:rsidRPr="00CE0921" w:rsidRDefault="00905305" w:rsidP="00905305">
      <w:pPr>
        <w:pStyle w:val="naisf"/>
        <w:spacing w:before="0" w:after="0"/>
        <w:ind w:firstLine="0"/>
        <w:rPr>
          <w:sz w:val="22"/>
          <w:szCs w:val="22"/>
        </w:rPr>
      </w:pPr>
    </w:p>
    <w:p w14:paraId="5CE83607" w14:textId="77777777" w:rsidR="00905305" w:rsidRPr="00CE0921" w:rsidRDefault="002F7A75" w:rsidP="00905305">
      <w:pPr>
        <w:pStyle w:val="naisf"/>
        <w:spacing w:before="0" w:after="0"/>
        <w:ind w:firstLine="0"/>
        <w:rPr>
          <w:sz w:val="22"/>
          <w:szCs w:val="22"/>
        </w:rPr>
      </w:pPr>
      <w:r w:rsidRPr="00CE0921">
        <w:rPr>
          <w:sz w:val="22"/>
          <w:szCs w:val="22"/>
        </w:rPr>
        <w:t>Atbildīgā amatpersona</w:t>
      </w:r>
    </w:p>
    <w:p w14:paraId="536D8175" w14:textId="77777777" w:rsidR="00905305" w:rsidRPr="00CE0921" w:rsidRDefault="00905305" w:rsidP="00905305">
      <w:pPr>
        <w:pStyle w:val="naisf"/>
        <w:spacing w:before="0" w:after="0"/>
        <w:ind w:firstLine="0"/>
        <w:rPr>
          <w:sz w:val="22"/>
          <w:szCs w:val="22"/>
        </w:rPr>
      </w:pPr>
    </w:p>
    <w:p w14:paraId="2B0C5A52" w14:textId="77777777" w:rsidR="00905305" w:rsidRPr="00CE0921" w:rsidRDefault="002F7A75" w:rsidP="00905305">
      <w:pPr>
        <w:pStyle w:val="naisf"/>
        <w:pBdr>
          <w:bottom w:val="single" w:sz="4" w:space="0" w:color="auto"/>
        </w:pBdr>
        <w:spacing w:before="0" w:after="60"/>
        <w:ind w:right="4647" w:firstLine="0"/>
        <w:rPr>
          <w:sz w:val="22"/>
          <w:szCs w:val="22"/>
        </w:rPr>
      </w:pPr>
      <w:r w:rsidRPr="00CE0921">
        <w:rPr>
          <w:sz w:val="22"/>
          <w:szCs w:val="22"/>
        </w:rPr>
        <w:t>Evija Bistere</w:t>
      </w:r>
    </w:p>
    <w:tbl>
      <w:tblPr>
        <w:tblW w:w="0" w:type="auto"/>
        <w:tblBorders>
          <w:bottom w:val="single" w:sz="4" w:space="0" w:color="auto"/>
        </w:tblBorders>
        <w:tblLook w:val="00A0" w:firstRow="1" w:lastRow="0" w:firstColumn="1" w:lastColumn="0" w:noHBand="0" w:noVBand="0"/>
      </w:tblPr>
      <w:tblGrid>
        <w:gridCol w:w="9461"/>
      </w:tblGrid>
      <w:tr w:rsidR="00BF7742" w14:paraId="3AE3299B" w14:textId="77777777" w:rsidTr="00905305">
        <w:trPr>
          <w:trHeight w:val="274"/>
        </w:trPr>
        <w:tc>
          <w:tcPr>
            <w:tcW w:w="9461" w:type="dxa"/>
            <w:tcBorders>
              <w:bottom w:val="single" w:sz="4" w:space="0" w:color="auto"/>
            </w:tcBorders>
          </w:tcPr>
          <w:p w14:paraId="13F1B616" w14:textId="77777777" w:rsidR="00905305" w:rsidRPr="00CE0921" w:rsidRDefault="002F7A75" w:rsidP="00905305">
            <w:pPr>
              <w:spacing w:after="60"/>
              <w:jc w:val="center"/>
            </w:pPr>
            <w:r w:rsidRPr="00CE0921">
              <w:rPr>
                <w:sz w:val="22"/>
                <w:szCs w:val="22"/>
              </w:rPr>
              <w:t>(par projektu atbildīgās amatpersonas vārds un uzvārds)</w:t>
            </w:r>
          </w:p>
        </w:tc>
      </w:tr>
      <w:tr w:rsidR="00BF7742" w14:paraId="6BD54FCA" w14:textId="77777777" w:rsidTr="00905305">
        <w:trPr>
          <w:trHeight w:val="260"/>
        </w:trPr>
        <w:tc>
          <w:tcPr>
            <w:tcW w:w="9461" w:type="dxa"/>
            <w:tcBorders>
              <w:top w:val="single" w:sz="4" w:space="0" w:color="auto"/>
              <w:bottom w:val="single" w:sz="4" w:space="0" w:color="auto"/>
            </w:tcBorders>
          </w:tcPr>
          <w:p w14:paraId="5BFF4A61" w14:textId="03629858" w:rsidR="00905305" w:rsidRPr="00CE0921" w:rsidRDefault="002F7A75" w:rsidP="002F5318">
            <w:pPr>
              <w:spacing w:after="60"/>
              <w:rPr>
                <w:sz w:val="22"/>
                <w:szCs w:val="22"/>
              </w:rPr>
            </w:pPr>
            <w:r w:rsidRPr="00CE0921">
              <w:rPr>
                <w:sz w:val="22"/>
                <w:szCs w:val="22"/>
              </w:rPr>
              <w:t>Vides aizsardzības un reģionālās attīstības ministrijas Investīciju politikas departamenta direktora vietniece reģionālo un informācijas un komunikācijas tehnoloģiju investīciju jautājumos</w:t>
            </w:r>
          </w:p>
        </w:tc>
      </w:tr>
      <w:tr w:rsidR="00BF7742" w14:paraId="7B88B403" w14:textId="77777777" w:rsidTr="00905305">
        <w:trPr>
          <w:trHeight w:val="260"/>
        </w:trPr>
        <w:tc>
          <w:tcPr>
            <w:tcW w:w="9461" w:type="dxa"/>
            <w:tcBorders>
              <w:top w:val="single" w:sz="4" w:space="0" w:color="auto"/>
              <w:bottom w:val="nil"/>
            </w:tcBorders>
          </w:tcPr>
          <w:p w14:paraId="7162EF71" w14:textId="77777777" w:rsidR="00905305" w:rsidRPr="00CE0921" w:rsidRDefault="002F7A75" w:rsidP="00905305">
            <w:pPr>
              <w:spacing w:after="60"/>
              <w:jc w:val="center"/>
            </w:pPr>
            <w:r w:rsidRPr="00CE0921">
              <w:rPr>
                <w:sz w:val="22"/>
                <w:szCs w:val="22"/>
              </w:rPr>
              <w:t>(amats)</w:t>
            </w:r>
          </w:p>
        </w:tc>
      </w:tr>
      <w:tr w:rsidR="00BF7742" w14:paraId="26DE57A1" w14:textId="77777777" w:rsidTr="00905305">
        <w:trPr>
          <w:trHeight w:val="274"/>
        </w:trPr>
        <w:tc>
          <w:tcPr>
            <w:tcW w:w="9461" w:type="dxa"/>
            <w:tcBorders>
              <w:bottom w:val="single" w:sz="4" w:space="0" w:color="auto"/>
            </w:tcBorders>
          </w:tcPr>
          <w:p w14:paraId="466EE1EF" w14:textId="77777777" w:rsidR="00905305" w:rsidRPr="00CE0921" w:rsidRDefault="002F7A75" w:rsidP="00905305">
            <w:pPr>
              <w:spacing w:after="60"/>
            </w:pPr>
            <w:r w:rsidRPr="00CE0921">
              <w:rPr>
                <w:sz w:val="22"/>
                <w:szCs w:val="22"/>
              </w:rPr>
              <w:t>tālr., fakss: 66016714</w:t>
            </w:r>
          </w:p>
        </w:tc>
      </w:tr>
      <w:tr w:rsidR="00BF7742" w14:paraId="07F5EEC1" w14:textId="77777777" w:rsidTr="00905305">
        <w:trPr>
          <w:trHeight w:val="260"/>
        </w:trPr>
        <w:tc>
          <w:tcPr>
            <w:tcW w:w="9461" w:type="dxa"/>
            <w:tcBorders>
              <w:top w:val="single" w:sz="4" w:space="0" w:color="auto"/>
              <w:bottom w:val="nil"/>
            </w:tcBorders>
          </w:tcPr>
          <w:p w14:paraId="3AD4921B" w14:textId="77777777" w:rsidR="00905305" w:rsidRPr="00CE0921" w:rsidRDefault="002F7A75" w:rsidP="00905305">
            <w:pPr>
              <w:spacing w:after="60"/>
              <w:jc w:val="center"/>
            </w:pPr>
            <w:r w:rsidRPr="00CE0921">
              <w:rPr>
                <w:sz w:val="22"/>
                <w:szCs w:val="22"/>
              </w:rPr>
              <w:t>(tālruņa un faksa numurs)</w:t>
            </w:r>
          </w:p>
        </w:tc>
      </w:tr>
      <w:tr w:rsidR="00BF7742" w14:paraId="07684D87" w14:textId="77777777" w:rsidTr="00905305">
        <w:trPr>
          <w:trHeight w:val="260"/>
        </w:trPr>
        <w:tc>
          <w:tcPr>
            <w:tcW w:w="9461" w:type="dxa"/>
            <w:tcBorders>
              <w:bottom w:val="single" w:sz="4" w:space="0" w:color="auto"/>
            </w:tcBorders>
          </w:tcPr>
          <w:p w14:paraId="00D50688" w14:textId="6CB10D4E" w:rsidR="00905305" w:rsidRPr="00CE0921" w:rsidRDefault="000A122D" w:rsidP="00905305">
            <w:pPr>
              <w:spacing w:after="60"/>
            </w:pPr>
            <w:hyperlink r:id="rId8" w:history="1">
              <w:r w:rsidR="007933DA" w:rsidRPr="009D3B76">
                <w:rPr>
                  <w:rStyle w:val="Hyperlink"/>
                  <w:sz w:val="22"/>
                  <w:szCs w:val="22"/>
                </w:rPr>
                <w:t>evija.bistere@varam.gov.lv</w:t>
              </w:r>
            </w:hyperlink>
            <w:r w:rsidR="002F7A75" w:rsidRPr="00CE0921">
              <w:rPr>
                <w:sz w:val="22"/>
                <w:szCs w:val="22"/>
              </w:rPr>
              <w:t xml:space="preserve"> </w:t>
            </w:r>
          </w:p>
        </w:tc>
      </w:tr>
      <w:tr w:rsidR="00BF7742" w14:paraId="1BBEB24C" w14:textId="77777777" w:rsidTr="00905305">
        <w:trPr>
          <w:trHeight w:val="119"/>
        </w:trPr>
        <w:tc>
          <w:tcPr>
            <w:tcW w:w="9461" w:type="dxa"/>
            <w:tcBorders>
              <w:top w:val="single" w:sz="4" w:space="0" w:color="auto"/>
              <w:bottom w:val="nil"/>
            </w:tcBorders>
          </w:tcPr>
          <w:p w14:paraId="4772D769" w14:textId="77777777" w:rsidR="00905305" w:rsidRPr="00CE0921" w:rsidRDefault="002F7A75" w:rsidP="00905305">
            <w:pPr>
              <w:spacing w:after="60"/>
              <w:jc w:val="center"/>
            </w:pPr>
            <w:r w:rsidRPr="00CE0921">
              <w:rPr>
                <w:sz w:val="22"/>
                <w:szCs w:val="22"/>
              </w:rPr>
              <w:t>(e-pasta adrese)</w:t>
            </w:r>
          </w:p>
        </w:tc>
      </w:tr>
    </w:tbl>
    <w:p w14:paraId="0034B39B" w14:textId="77777777" w:rsidR="002504E2" w:rsidRDefault="002504E2" w:rsidP="00905305">
      <w:pPr>
        <w:jc w:val="both"/>
        <w:rPr>
          <w:sz w:val="20"/>
          <w:szCs w:val="20"/>
        </w:rPr>
      </w:pPr>
      <w:r>
        <w:rPr>
          <w:sz w:val="20"/>
          <w:szCs w:val="20"/>
        </w:rPr>
        <w:t>2020.12.01. 10:45</w:t>
      </w:r>
    </w:p>
    <w:p w14:paraId="735FF15C" w14:textId="00DAED98" w:rsidR="00905305" w:rsidRPr="00CE0921" w:rsidRDefault="00727344" w:rsidP="00905305">
      <w:pPr>
        <w:jc w:val="both"/>
        <w:rPr>
          <w:sz w:val="20"/>
          <w:szCs w:val="20"/>
        </w:rPr>
      </w:pPr>
      <w:bookmarkStart w:id="6" w:name="_GoBack"/>
      <w:bookmarkEnd w:id="6"/>
      <w:r>
        <w:rPr>
          <w:sz w:val="20"/>
          <w:szCs w:val="20"/>
        </w:rPr>
        <w:t>1700</w:t>
      </w:r>
    </w:p>
    <w:p w14:paraId="42BB46BD" w14:textId="77777777" w:rsidR="00905305" w:rsidRPr="00CE0921" w:rsidRDefault="002F7A75" w:rsidP="00905305">
      <w:pPr>
        <w:jc w:val="both"/>
        <w:rPr>
          <w:sz w:val="20"/>
          <w:szCs w:val="20"/>
        </w:rPr>
      </w:pPr>
      <w:r w:rsidRPr="00CE0921">
        <w:rPr>
          <w:sz w:val="20"/>
          <w:szCs w:val="20"/>
        </w:rPr>
        <w:t>L.</w:t>
      </w:r>
      <w:r>
        <w:rPr>
          <w:sz w:val="20"/>
          <w:szCs w:val="20"/>
        </w:rPr>
        <w:t> </w:t>
      </w:r>
      <w:r w:rsidRPr="00CE0921">
        <w:rPr>
          <w:sz w:val="20"/>
          <w:szCs w:val="20"/>
        </w:rPr>
        <w:t>Dorbe 66016767</w:t>
      </w:r>
    </w:p>
    <w:p w14:paraId="2595A54A" w14:textId="77777777" w:rsidR="00905305" w:rsidRPr="005501AE" w:rsidRDefault="000A122D" w:rsidP="00905305">
      <w:pPr>
        <w:jc w:val="both"/>
        <w:rPr>
          <w:sz w:val="20"/>
          <w:szCs w:val="20"/>
        </w:rPr>
      </w:pPr>
      <w:hyperlink r:id="rId9" w:history="1">
        <w:r w:rsidR="002F7A75" w:rsidRPr="00CE0921">
          <w:rPr>
            <w:rStyle w:val="Hyperlink"/>
            <w:sz w:val="20"/>
            <w:szCs w:val="20"/>
          </w:rPr>
          <w:t>liene.dorbe@varam.gov.lv</w:t>
        </w:r>
      </w:hyperlink>
    </w:p>
    <w:sectPr w:rsidR="00905305" w:rsidRPr="005501AE" w:rsidSect="00905305">
      <w:headerReference w:type="even" r:id="rId10"/>
      <w:headerReference w:type="default" r:id="rId11"/>
      <w:footerReference w:type="default" r:id="rId12"/>
      <w:footerReference w:type="first" r:id="rId13"/>
      <w:pgSz w:w="16838" w:h="11906" w:orient="landscape" w:code="9"/>
      <w:pgMar w:top="1134" w:right="1134" w:bottom="1134" w:left="1701" w:header="709" w:footer="4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72D28" w14:textId="77777777" w:rsidR="000A122D" w:rsidRDefault="000A122D">
      <w:r>
        <w:separator/>
      </w:r>
    </w:p>
  </w:endnote>
  <w:endnote w:type="continuationSeparator" w:id="0">
    <w:p w14:paraId="30A0DD41" w14:textId="77777777" w:rsidR="000A122D" w:rsidRDefault="000A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EUAlbertina">
    <w:altName w:val="Calibri"/>
    <w:panose1 w:val="00000000000000000000"/>
    <w:charset w:val="00"/>
    <w:family w:val="roman"/>
    <w:notTrueType/>
    <w:pitch w:val="default"/>
    <w:sig w:usb0="00000001" w:usb1="00000000" w:usb2="00000000" w:usb3="00000000" w:csb0="0000000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1E6E5" w14:textId="77777777" w:rsidR="005B5647" w:rsidRDefault="005B5647" w:rsidP="005B5647">
    <w:pPr>
      <w:pStyle w:val="Header"/>
    </w:pPr>
  </w:p>
  <w:p w14:paraId="6C537F7C" w14:textId="77777777" w:rsidR="005B5647" w:rsidRDefault="005B5647" w:rsidP="005B5647"/>
  <w:p w14:paraId="5A4E9CE6" w14:textId="217C2B68" w:rsidR="005B5647" w:rsidRPr="001422D3" w:rsidRDefault="002504E2" w:rsidP="005B5647">
    <w:pPr>
      <w:pStyle w:val="Footer"/>
    </w:pPr>
    <w:r>
      <w:rPr>
        <w:sz w:val="20"/>
        <w:szCs w:val="20"/>
      </w:rPr>
      <w:t>VARAMIzz_0112</w:t>
    </w:r>
    <w:r w:rsidR="00EF7126">
      <w:rPr>
        <w:sz w:val="20"/>
        <w:szCs w:val="20"/>
      </w:rPr>
      <w:t>20_groz</w:t>
    </w:r>
    <w:r w:rsidR="005B5647">
      <w:rPr>
        <w:sz w:val="20"/>
        <w:szCs w:val="20"/>
      </w:rPr>
      <w:t>645</w:t>
    </w:r>
  </w:p>
  <w:p w14:paraId="72A7B027" w14:textId="012AEB54" w:rsidR="00905305" w:rsidRPr="006263FA" w:rsidRDefault="00905305" w:rsidP="00701044">
    <w:pPr>
      <w:pStyle w:val="Footer"/>
      <w:tabs>
        <w:tab w:val="clear" w:pos="4153"/>
        <w:tab w:val="clear" w:pos="8306"/>
        <w:tab w:val="left" w:pos="393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018A8" w14:textId="2CF2ABAD" w:rsidR="00905305" w:rsidRPr="001422D3" w:rsidRDefault="002504E2" w:rsidP="001422D3">
    <w:pPr>
      <w:pStyle w:val="Footer"/>
    </w:pPr>
    <w:r>
      <w:rPr>
        <w:sz w:val="20"/>
        <w:szCs w:val="20"/>
      </w:rPr>
      <w:t>VARAMIzz_0112</w:t>
    </w:r>
    <w:r w:rsidR="00EF7126">
      <w:rPr>
        <w:sz w:val="20"/>
        <w:szCs w:val="20"/>
      </w:rPr>
      <w:t>20_groz</w:t>
    </w:r>
    <w:r w:rsidR="005B5647">
      <w:rPr>
        <w:sz w:val="20"/>
        <w:szCs w:val="20"/>
      </w:rPr>
      <w:t>645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58774" w14:textId="77777777" w:rsidR="000A122D" w:rsidRDefault="000A122D">
      <w:r>
        <w:separator/>
      </w:r>
    </w:p>
  </w:footnote>
  <w:footnote w:type="continuationSeparator" w:id="0">
    <w:p w14:paraId="3F4431B2" w14:textId="77777777" w:rsidR="000A122D" w:rsidRDefault="000A122D">
      <w:r>
        <w:continuationSeparator/>
      </w:r>
    </w:p>
  </w:footnote>
  <w:footnote w:type="continuationNotice" w:id="1">
    <w:p w14:paraId="66FDF13A" w14:textId="77777777" w:rsidR="000A122D" w:rsidRDefault="000A122D"/>
  </w:footnote>
  <w:footnote w:id="2">
    <w:p w14:paraId="4A2D62F9" w14:textId="77777777" w:rsidR="008755AF" w:rsidRDefault="008755AF" w:rsidP="008755AF">
      <w:pPr>
        <w:pStyle w:val="FootnoteText"/>
      </w:pPr>
      <w:r>
        <w:rPr>
          <w:rStyle w:val="FootnoteReference"/>
        </w:rPr>
        <w:footnoteRef/>
      </w:r>
      <w:r>
        <w:t xml:space="preserve"> Skat. arī Eiropas Savienības tiesību ieviešanas rokasgrāmatas 2.8. apakšnodaļu „Lēmumu ieviešana”, 48. </w:t>
      </w:r>
      <w:proofErr w:type="spellStart"/>
      <w:r>
        <w:t>lp</w:t>
      </w:r>
      <w:proofErr w:type="spellEnd"/>
      <w:r>
        <w:t xml:space="preserve">., pieejama: </w:t>
      </w:r>
      <w:r w:rsidRPr="00A923C1">
        <w:t>https://www.tm.gov.lv/lv/es-tiesibu-ieviesana</w:t>
      </w:r>
      <w:r>
        <w:t xml:space="preserve"> </w:t>
      </w:r>
    </w:p>
  </w:footnote>
  <w:footnote w:id="3">
    <w:p w14:paraId="6994448C" w14:textId="43436E31" w:rsidR="0002370A" w:rsidRDefault="0002370A">
      <w:pPr>
        <w:pStyle w:val="FootnoteText"/>
      </w:pPr>
      <w:r>
        <w:rPr>
          <w:rStyle w:val="FootnoteReference"/>
        </w:rPr>
        <w:footnoteRef/>
      </w:r>
      <w:r>
        <w:t xml:space="preserve"> </w:t>
      </w:r>
      <w:r w:rsidRPr="0002370A">
        <w:t xml:space="preserve">Ministru kabineta 2015. gada 10. novembra noteikumi Nr. 645 "Darbības programmas "Izaugsme un nodarbinātība" 5.6.2. specifiskā atbalsta mērķa "Teritoriju </w:t>
      </w:r>
      <w:proofErr w:type="spellStart"/>
      <w:r w:rsidRPr="0002370A">
        <w:t>revitalizācija</w:t>
      </w:r>
      <w:proofErr w:type="spellEnd"/>
      <w:r w:rsidRPr="0002370A">
        <w:t>, reģenerējot degradētās teritorijas atbilstoši pašvaldību integrētajām attīstības programmām" īstenošanas noteikumi"</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FECEF" w14:textId="77777777" w:rsidR="00905305" w:rsidRDefault="00905305" w:rsidP="009053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5184F0" w14:textId="77777777" w:rsidR="00905305" w:rsidRDefault="009053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1A60C" w14:textId="77777777" w:rsidR="00905305" w:rsidRDefault="00905305" w:rsidP="009053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04E2">
      <w:rPr>
        <w:rStyle w:val="PageNumber"/>
        <w:noProof/>
      </w:rPr>
      <w:t>2</w:t>
    </w:r>
    <w:r>
      <w:rPr>
        <w:rStyle w:val="PageNumber"/>
      </w:rPr>
      <w:fldChar w:fldCharType="end"/>
    </w:r>
  </w:p>
  <w:p w14:paraId="50CC08BA" w14:textId="77777777" w:rsidR="00905305" w:rsidRDefault="009053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2"/>
    <w:lvl w:ilvl="0">
      <w:start w:val="1"/>
      <w:numFmt w:val="decimal"/>
      <w:lvlText w:val="%1."/>
      <w:lvlJc w:val="left"/>
      <w:pPr>
        <w:tabs>
          <w:tab w:val="num" w:pos="142"/>
        </w:tabs>
        <w:ind w:left="142"/>
      </w:pPr>
      <w:rPr>
        <w:rFonts w:cs="Times New Roman"/>
        <w:b w:val="0"/>
        <w:color w:val="auto"/>
      </w:rPr>
    </w:lvl>
    <w:lvl w:ilvl="1">
      <w:start w:val="1"/>
      <w:numFmt w:val="decimal"/>
      <w:lvlText w:val="%1.%2."/>
      <w:lvlJc w:val="left"/>
      <w:pPr>
        <w:tabs>
          <w:tab w:val="num" w:pos="3515"/>
        </w:tabs>
        <w:ind w:left="2835"/>
      </w:pPr>
      <w:rPr>
        <w:rFonts w:cs="Times New Roman"/>
        <w:b w:val="0"/>
        <w:color w:val="auto"/>
      </w:rPr>
    </w:lvl>
    <w:lvl w:ilvl="2">
      <w:start w:val="1"/>
      <w:numFmt w:val="decimal"/>
      <w:lvlText w:val="%1.%2.%3."/>
      <w:lvlJc w:val="left"/>
      <w:pPr>
        <w:tabs>
          <w:tab w:val="num" w:pos="851"/>
        </w:tabs>
      </w:pPr>
      <w:rPr>
        <w:rFonts w:cs="Times New Roman"/>
        <w:b w:val="0"/>
        <w:color w:val="auto"/>
      </w:rPr>
    </w:lvl>
    <w:lvl w:ilvl="3">
      <w:start w:val="1"/>
      <w:numFmt w:val="decimal"/>
      <w:lvlText w:val="%1.%2.%3.%4."/>
      <w:lvlJc w:val="left"/>
      <w:pPr>
        <w:tabs>
          <w:tab w:val="num" w:pos="1134"/>
        </w:tabs>
      </w:pPr>
      <w:rPr>
        <w:rFonts w:cs="Times New Roman"/>
        <w:b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0000002"/>
    <w:multiLevelType w:val="singleLevel"/>
    <w:tmpl w:val="00000002"/>
    <w:name w:val="WW8Num3"/>
    <w:lvl w:ilvl="0">
      <w:numFmt w:val="bullet"/>
      <w:lvlText w:val="-"/>
      <w:lvlJc w:val="left"/>
      <w:pPr>
        <w:tabs>
          <w:tab w:val="num" w:pos="0"/>
        </w:tabs>
        <w:ind w:left="720" w:hanging="360"/>
      </w:pPr>
      <w:rPr>
        <w:rFonts w:ascii="Times New Roman" w:hAnsi="Times New Roman"/>
      </w:rPr>
    </w:lvl>
  </w:abstractNum>
  <w:abstractNum w:abstractNumId="2" w15:restartNumberingAfterBreak="0">
    <w:nsid w:val="00000003"/>
    <w:multiLevelType w:val="singleLevel"/>
    <w:tmpl w:val="00000003"/>
    <w:name w:val="WW8Num7"/>
    <w:lvl w:ilvl="0">
      <w:start w:val="1"/>
      <w:numFmt w:val="decimal"/>
      <w:lvlText w:val="%1."/>
      <w:lvlJc w:val="left"/>
      <w:pPr>
        <w:tabs>
          <w:tab w:val="num" w:pos="0"/>
        </w:tabs>
        <w:ind w:left="1080" w:hanging="360"/>
      </w:pPr>
      <w:rPr>
        <w:rFonts w:cs="Times New Roman"/>
      </w:rPr>
    </w:lvl>
  </w:abstractNum>
  <w:abstractNum w:abstractNumId="3" w15:restartNumberingAfterBreak="0">
    <w:nsid w:val="035B58AE"/>
    <w:multiLevelType w:val="multilevel"/>
    <w:tmpl w:val="63D2FBD0"/>
    <w:styleLink w:val="ISBullets"/>
    <w:lvl w:ilvl="0">
      <w:start w:val="1"/>
      <w:numFmt w:val="bullet"/>
      <w:pStyle w:val="ISBulletText"/>
      <w:lvlText w:val=""/>
      <w:lvlJc w:val="left"/>
      <w:pPr>
        <w:ind w:left="1080" w:hanging="360"/>
      </w:pPr>
      <w:rPr>
        <w:rFonts w:ascii="Wingdings" w:hAnsi="Wingdings"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D0413C7"/>
    <w:multiLevelType w:val="multilevel"/>
    <w:tmpl w:val="4760B2A8"/>
    <w:lvl w:ilvl="0">
      <w:start w:val="1"/>
      <w:numFmt w:val="upperRoman"/>
      <w:lvlText w:val="%1."/>
      <w:lvlJc w:val="left"/>
      <w:pPr>
        <w:ind w:left="1080" w:hanging="720"/>
      </w:pPr>
      <w:rPr>
        <w:rFonts w:cs="Times New Roman" w:hint="default"/>
      </w:rPr>
    </w:lvl>
    <w:lvl w:ilvl="1">
      <w:start w:val="3"/>
      <w:numFmt w:val="decimal"/>
      <w:isLgl/>
      <w:lvlText w:val="%1.%2."/>
      <w:lvlJc w:val="left"/>
      <w:pPr>
        <w:ind w:left="1035" w:hanging="6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0F846152"/>
    <w:multiLevelType w:val="hybridMultilevel"/>
    <w:tmpl w:val="C6DA2B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FB220E4"/>
    <w:multiLevelType w:val="multilevel"/>
    <w:tmpl w:val="2C32D42A"/>
    <w:lvl w:ilvl="0">
      <w:start w:val="1"/>
      <w:numFmt w:val="decimal"/>
      <w:lvlText w:val="%1."/>
      <w:lvlJc w:val="left"/>
      <w:pPr>
        <w:ind w:left="480" w:hanging="480"/>
      </w:pPr>
      <w:rPr>
        <w:rFonts w:eastAsia="Calibri" w:hint="default"/>
      </w:rPr>
    </w:lvl>
    <w:lvl w:ilvl="1">
      <w:start w:val="22"/>
      <w:numFmt w:val="decimal"/>
      <w:lvlText w:val="%1.%2."/>
      <w:lvlJc w:val="left"/>
      <w:pPr>
        <w:ind w:left="1189" w:hanging="48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847" w:hanging="72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625" w:hanging="1080"/>
      </w:pPr>
      <w:rPr>
        <w:rFonts w:eastAsia="Calibri" w:hint="default"/>
      </w:rPr>
    </w:lvl>
    <w:lvl w:ilvl="6">
      <w:start w:val="1"/>
      <w:numFmt w:val="decimal"/>
      <w:lvlText w:val="%1.%2.%3.%4.%5.%6.%7."/>
      <w:lvlJc w:val="left"/>
      <w:pPr>
        <w:ind w:left="5694" w:hanging="1440"/>
      </w:pPr>
      <w:rPr>
        <w:rFonts w:eastAsia="Calibri" w:hint="default"/>
      </w:rPr>
    </w:lvl>
    <w:lvl w:ilvl="7">
      <w:start w:val="1"/>
      <w:numFmt w:val="decimal"/>
      <w:lvlText w:val="%1.%2.%3.%4.%5.%6.%7.%8."/>
      <w:lvlJc w:val="left"/>
      <w:pPr>
        <w:ind w:left="6403" w:hanging="1440"/>
      </w:pPr>
      <w:rPr>
        <w:rFonts w:eastAsia="Calibri" w:hint="default"/>
      </w:rPr>
    </w:lvl>
    <w:lvl w:ilvl="8">
      <w:start w:val="1"/>
      <w:numFmt w:val="decimal"/>
      <w:lvlText w:val="%1.%2.%3.%4.%5.%6.%7.%8.%9."/>
      <w:lvlJc w:val="left"/>
      <w:pPr>
        <w:ind w:left="7472" w:hanging="1800"/>
      </w:pPr>
      <w:rPr>
        <w:rFonts w:eastAsia="Calibri" w:hint="default"/>
      </w:rPr>
    </w:lvl>
  </w:abstractNum>
  <w:abstractNum w:abstractNumId="7" w15:restartNumberingAfterBreak="0">
    <w:nsid w:val="25CF2343"/>
    <w:multiLevelType w:val="hybridMultilevel"/>
    <w:tmpl w:val="127C5CE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948576F"/>
    <w:multiLevelType w:val="hybridMultilevel"/>
    <w:tmpl w:val="E9B43D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51C3496"/>
    <w:multiLevelType w:val="hybridMultilevel"/>
    <w:tmpl w:val="5014A2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2E0560A"/>
    <w:multiLevelType w:val="hybridMultilevel"/>
    <w:tmpl w:val="1688C9A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4F5F3262"/>
    <w:multiLevelType w:val="hybridMultilevel"/>
    <w:tmpl w:val="B47C870E"/>
    <w:lvl w:ilvl="0" w:tplc="2B14015C">
      <w:start w:val="1"/>
      <w:numFmt w:val="decimal"/>
      <w:lvlText w:val="%1."/>
      <w:lvlJc w:val="left"/>
      <w:pPr>
        <w:ind w:left="360" w:hanging="360"/>
      </w:pPr>
      <w:rPr>
        <w:sz w:val="24"/>
        <w:szCs w:val="24"/>
      </w:rPr>
    </w:lvl>
    <w:lvl w:ilvl="1" w:tplc="7DD86F34">
      <w:start w:val="1"/>
      <w:numFmt w:val="lowerLetter"/>
      <w:lvlText w:val="%2."/>
      <w:lvlJc w:val="left"/>
      <w:pPr>
        <w:ind w:left="1080" w:hanging="360"/>
      </w:pPr>
    </w:lvl>
    <w:lvl w:ilvl="2" w:tplc="757C801A">
      <w:start w:val="1"/>
      <w:numFmt w:val="lowerRoman"/>
      <w:lvlText w:val="%3."/>
      <w:lvlJc w:val="right"/>
      <w:pPr>
        <w:ind w:left="1800" w:hanging="180"/>
      </w:pPr>
    </w:lvl>
    <w:lvl w:ilvl="3" w:tplc="0CDE0C0C" w:tentative="1">
      <w:start w:val="1"/>
      <w:numFmt w:val="decimal"/>
      <w:lvlText w:val="%4."/>
      <w:lvlJc w:val="left"/>
      <w:pPr>
        <w:ind w:left="2520" w:hanging="360"/>
      </w:pPr>
    </w:lvl>
    <w:lvl w:ilvl="4" w:tplc="A96405AE" w:tentative="1">
      <w:start w:val="1"/>
      <w:numFmt w:val="lowerLetter"/>
      <w:lvlText w:val="%5."/>
      <w:lvlJc w:val="left"/>
      <w:pPr>
        <w:ind w:left="3240" w:hanging="360"/>
      </w:pPr>
    </w:lvl>
    <w:lvl w:ilvl="5" w:tplc="66007710" w:tentative="1">
      <w:start w:val="1"/>
      <w:numFmt w:val="lowerRoman"/>
      <w:lvlText w:val="%6."/>
      <w:lvlJc w:val="right"/>
      <w:pPr>
        <w:ind w:left="3960" w:hanging="180"/>
      </w:pPr>
    </w:lvl>
    <w:lvl w:ilvl="6" w:tplc="08B0B118" w:tentative="1">
      <w:start w:val="1"/>
      <w:numFmt w:val="decimal"/>
      <w:lvlText w:val="%7."/>
      <w:lvlJc w:val="left"/>
      <w:pPr>
        <w:ind w:left="4680" w:hanging="360"/>
      </w:pPr>
    </w:lvl>
    <w:lvl w:ilvl="7" w:tplc="73E6B7F0" w:tentative="1">
      <w:start w:val="1"/>
      <w:numFmt w:val="lowerLetter"/>
      <w:lvlText w:val="%8."/>
      <w:lvlJc w:val="left"/>
      <w:pPr>
        <w:ind w:left="5400" w:hanging="360"/>
      </w:pPr>
    </w:lvl>
    <w:lvl w:ilvl="8" w:tplc="F35215C6" w:tentative="1">
      <w:start w:val="1"/>
      <w:numFmt w:val="lowerRoman"/>
      <w:lvlText w:val="%9."/>
      <w:lvlJc w:val="right"/>
      <w:pPr>
        <w:ind w:left="6120" w:hanging="180"/>
      </w:pPr>
    </w:lvl>
  </w:abstractNum>
  <w:abstractNum w:abstractNumId="12" w15:restartNumberingAfterBreak="0">
    <w:nsid w:val="54B84B73"/>
    <w:multiLevelType w:val="multilevel"/>
    <w:tmpl w:val="63D2FBD0"/>
    <w:numStyleLink w:val="ISBullets"/>
  </w:abstractNum>
  <w:abstractNum w:abstractNumId="13" w15:restartNumberingAfterBreak="0">
    <w:nsid w:val="55765295"/>
    <w:multiLevelType w:val="hybridMultilevel"/>
    <w:tmpl w:val="B3FC6A86"/>
    <w:lvl w:ilvl="0" w:tplc="573E4DC0">
      <w:start w:val="1"/>
      <w:numFmt w:val="bullet"/>
      <w:lvlText w:val=""/>
      <w:lvlJc w:val="left"/>
      <w:pPr>
        <w:ind w:left="1440" w:hanging="360"/>
      </w:pPr>
      <w:rPr>
        <w:rFonts w:ascii="Symbol" w:hAnsi="Symbol" w:hint="default"/>
      </w:rPr>
    </w:lvl>
    <w:lvl w:ilvl="1" w:tplc="58B45A46">
      <w:start w:val="1"/>
      <w:numFmt w:val="bullet"/>
      <w:lvlText w:val="o"/>
      <w:lvlJc w:val="left"/>
      <w:pPr>
        <w:ind w:left="2160" w:hanging="360"/>
      </w:pPr>
      <w:rPr>
        <w:rFonts w:ascii="Courier New" w:hAnsi="Courier New" w:cs="Courier New" w:hint="default"/>
      </w:rPr>
    </w:lvl>
    <w:lvl w:ilvl="2" w:tplc="B41C1908">
      <w:start w:val="1"/>
      <w:numFmt w:val="bullet"/>
      <w:lvlText w:val=""/>
      <w:lvlJc w:val="left"/>
      <w:pPr>
        <w:ind w:left="2880" w:hanging="360"/>
      </w:pPr>
      <w:rPr>
        <w:rFonts w:ascii="Wingdings" w:hAnsi="Wingdings" w:hint="default"/>
      </w:rPr>
    </w:lvl>
    <w:lvl w:ilvl="3" w:tplc="D07CDFBE">
      <w:start w:val="1"/>
      <w:numFmt w:val="bullet"/>
      <w:lvlText w:val=""/>
      <w:lvlJc w:val="left"/>
      <w:pPr>
        <w:ind w:left="3600" w:hanging="360"/>
      </w:pPr>
      <w:rPr>
        <w:rFonts w:ascii="Symbol" w:hAnsi="Symbol" w:hint="default"/>
      </w:rPr>
    </w:lvl>
    <w:lvl w:ilvl="4" w:tplc="15AA7004">
      <w:start w:val="1"/>
      <w:numFmt w:val="bullet"/>
      <w:lvlText w:val="o"/>
      <w:lvlJc w:val="left"/>
      <w:pPr>
        <w:ind w:left="4320" w:hanging="360"/>
      </w:pPr>
      <w:rPr>
        <w:rFonts w:ascii="Courier New" w:hAnsi="Courier New" w:cs="Courier New" w:hint="default"/>
      </w:rPr>
    </w:lvl>
    <w:lvl w:ilvl="5" w:tplc="B98A7C20">
      <w:start w:val="1"/>
      <w:numFmt w:val="bullet"/>
      <w:lvlText w:val=""/>
      <w:lvlJc w:val="left"/>
      <w:pPr>
        <w:ind w:left="5040" w:hanging="360"/>
      </w:pPr>
      <w:rPr>
        <w:rFonts w:ascii="Wingdings" w:hAnsi="Wingdings" w:hint="default"/>
      </w:rPr>
    </w:lvl>
    <w:lvl w:ilvl="6" w:tplc="54C43562">
      <w:start w:val="1"/>
      <w:numFmt w:val="bullet"/>
      <w:lvlText w:val=""/>
      <w:lvlJc w:val="left"/>
      <w:pPr>
        <w:ind w:left="5760" w:hanging="360"/>
      </w:pPr>
      <w:rPr>
        <w:rFonts w:ascii="Symbol" w:hAnsi="Symbol" w:hint="default"/>
      </w:rPr>
    </w:lvl>
    <w:lvl w:ilvl="7" w:tplc="7D720F60">
      <w:start w:val="1"/>
      <w:numFmt w:val="bullet"/>
      <w:lvlText w:val="o"/>
      <w:lvlJc w:val="left"/>
      <w:pPr>
        <w:ind w:left="6480" w:hanging="360"/>
      </w:pPr>
      <w:rPr>
        <w:rFonts w:ascii="Courier New" w:hAnsi="Courier New" w:cs="Courier New" w:hint="default"/>
      </w:rPr>
    </w:lvl>
    <w:lvl w:ilvl="8" w:tplc="1CB22E50">
      <w:start w:val="1"/>
      <w:numFmt w:val="bullet"/>
      <w:lvlText w:val=""/>
      <w:lvlJc w:val="left"/>
      <w:pPr>
        <w:ind w:left="7200" w:hanging="360"/>
      </w:pPr>
      <w:rPr>
        <w:rFonts w:ascii="Wingdings" w:hAnsi="Wingdings" w:hint="default"/>
      </w:rPr>
    </w:lvl>
  </w:abstractNum>
  <w:abstractNum w:abstractNumId="14" w15:restartNumberingAfterBreak="0">
    <w:nsid w:val="56012661"/>
    <w:multiLevelType w:val="hybridMultilevel"/>
    <w:tmpl w:val="C4A69656"/>
    <w:lvl w:ilvl="0" w:tplc="10224A5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DD20736"/>
    <w:multiLevelType w:val="hybridMultilevel"/>
    <w:tmpl w:val="D0D03944"/>
    <w:lvl w:ilvl="0" w:tplc="7A2C7C8C">
      <w:start w:val="1"/>
      <w:numFmt w:val="bullet"/>
      <w:lvlText w:val=""/>
      <w:lvlJc w:val="left"/>
      <w:pPr>
        <w:ind w:left="1800" w:hanging="360"/>
      </w:pPr>
      <w:rPr>
        <w:rFonts w:ascii="Symbol" w:hAnsi="Symbol" w:hint="default"/>
      </w:rPr>
    </w:lvl>
    <w:lvl w:ilvl="1" w:tplc="7BEA32E0">
      <w:start w:val="1"/>
      <w:numFmt w:val="bullet"/>
      <w:lvlText w:val="o"/>
      <w:lvlJc w:val="left"/>
      <w:pPr>
        <w:ind w:left="2520" w:hanging="360"/>
      </w:pPr>
      <w:rPr>
        <w:rFonts w:ascii="Courier New" w:hAnsi="Courier New" w:cs="Courier New" w:hint="default"/>
      </w:rPr>
    </w:lvl>
    <w:lvl w:ilvl="2" w:tplc="1BB8B466">
      <w:start w:val="1"/>
      <w:numFmt w:val="bullet"/>
      <w:lvlText w:val=""/>
      <w:lvlJc w:val="left"/>
      <w:pPr>
        <w:ind w:left="3240" w:hanging="360"/>
      </w:pPr>
      <w:rPr>
        <w:rFonts w:ascii="Wingdings" w:hAnsi="Wingdings" w:hint="default"/>
      </w:rPr>
    </w:lvl>
    <w:lvl w:ilvl="3" w:tplc="610C88CA">
      <w:start w:val="1"/>
      <w:numFmt w:val="bullet"/>
      <w:lvlText w:val=""/>
      <w:lvlJc w:val="left"/>
      <w:pPr>
        <w:ind w:left="3960" w:hanging="360"/>
      </w:pPr>
      <w:rPr>
        <w:rFonts w:ascii="Symbol" w:hAnsi="Symbol" w:hint="default"/>
      </w:rPr>
    </w:lvl>
    <w:lvl w:ilvl="4" w:tplc="3BB02688">
      <w:start w:val="1"/>
      <w:numFmt w:val="bullet"/>
      <w:lvlText w:val="o"/>
      <w:lvlJc w:val="left"/>
      <w:pPr>
        <w:ind w:left="4680" w:hanging="360"/>
      </w:pPr>
      <w:rPr>
        <w:rFonts w:ascii="Courier New" w:hAnsi="Courier New" w:cs="Courier New" w:hint="default"/>
      </w:rPr>
    </w:lvl>
    <w:lvl w:ilvl="5" w:tplc="B202908E">
      <w:start w:val="1"/>
      <w:numFmt w:val="bullet"/>
      <w:lvlText w:val=""/>
      <w:lvlJc w:val="left"/>
      <w:pPr>
        <w:ind w:left="5400" w:hanging="360"/>
      </w:pPr>
      <w:rPr>
        <w:rFonts w:ascii="Wingdings" w:hAnsi="Wingdings" w:hint="default"/>
      </w:rPr>
    </w:lvl>
    <w:lvl w:ilvl="6" w:tplc="0AEEA1A0">
      <w:start w:val="1"/>
      <w:numFmt w:val="bullet"/>
      <w:lvlText w:val=""/>
      <w:lvlJc w:val="left"/>
      <w:pPr>
        <w:ind w:left="6120" w:hanging="360"/>
      </w:pPr>
      <w:rPr>
        <w:rFonts w:ascii="Symbol" w:hAnsi="Symbol" w:hint="default"/>
      </w:rPr>
    </w:lvl>
    <w:lvl w:ilvl="7" w:tplc="F7006F5C">
      <w:start w:val="1"/>
      <w:numFmt w:val="bullet"/>
      <w:lvlText w:val="o"/>
      <w:lvlJc w:val="left"/>
      <w:pPr>
        <w:ind w:left="6840" w:hanging="360"/>
      </w:pPr>
      <w:rPr>
        <w:rFonts w:ascii="Courier New" w:hAnsi="Courier New" w:cs="Courier New" w:hint="default"/>
      </w:rPr>
    </w:lvl>
    <w:lvl w:ilvl="8" w:tplc="A4E68A84">
      <w:start w:val="1"/>
      <w:numFmt w:val="bullet"/>
      <w:lvlText w:val=""/>
      <w:lvlJc w:val="left"/>
      <w:pPr>
        <w:ind w:left="7560" w:hanging="360"/>
      </w:pPr>
      <w:rPr>
        <w:rFonts w:ascii="Wingdings" w:hAnsi="Wingdings" w:hint="default"/>
      </w:rPr>
    </w:lvl>
  </w:abstractNum>
  <w:abstractNum w:abstractNumId="16" w15:restartNumberingAfterBreak="0">
    <w:nsid w:val="62D25F1D"/>
    <w:multiLevelType w:val="hybridMultilevel"/>
    <w:tmpl w:val="D6B6AE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51A5D07"/>
    <w:multiLevelType w:val="hybridMultilevel"/>
    <w:tmpl w:val="012087C6"/>
    <w:lvl w:ilvl="0" w:tplc="92E023F8">
      <w:start w:val="1"/>
      <w:numFmt w:val="decimal"/>
      <w:lvlText w:val="%1."/>
      <w:lvlJc w:val="left"/>
      <w:pPr>
        <w:ind w:left="720" w:hanging="360"/>
      </w:pPr>
      <w:rPr>
        <w:rFonts w:hint="default"/>
      </w:rPr>
    </w:lvl>
    <w:lvl w:ilvl="1" w:tplc="676035D0" w:tentative="1">
      <w:start w:val="1"/>
      <w:numFmt w:val="lowerLetter"/>
      <w:lvlText w:val="%2."/>
      <w:lvlJc w:val="left"/>
      <w:pPr>
        <w:ind w:left="1440" w:hanging="360"/>
      </w:pPr>
    </w:lvl>
    <w:lvl w:ilvl="2" w:tplc="BDA61FD0" w:tentative="1">
      <w:start w:val="1"/>
      <w:numFmt w:val="lowerRoman"/>
      <w:lvlText w:val="%3."/>
      <w:lvlJc w:val="right"/>
      <w:pPr>
        <w:ind w:left="2160" w:hanging="180"/>
      </w:pPr>
    </w:lvl>
    <w:lvl w:ilvl="3" w:tplc="BFFE103C" w:tentative="1">
      <w:start w:val="1"/>
      <w:numFmt w:val="decimal"/>
      <w:lvlText w:val="%4."/>
      <w:lvlJc w:val="left"/>
      <w:pPr>
        <w:ind w:left="2880" w:hanging="360"/>
      </w:pPr>
    </w:lvl>
    <w:lvl w:ilvl="4" w:tplc="51F0FC52" w:tentative="1">
      <w:start w:val="1"/>
      <w:numFmt w:val="lowerLetter"/>
      <w:lvlText w:val="%5."/>
      <w:lvlJc w:val="left"/>
      <w:pPr>
        <w:ind w:left="3600" w:hanging="360"/>
      </w:pPr>
    </w:lvl>
    <w:lvl w:ilvl="5" w:tplc="7A628194" w:tentative="1">
      <w:start w:val="1"/>
      <w:numFmt w:val="lowerRoman"/>
      <w:lvlText w:val="%6."/>
      <w:lvlJc w:val="right"/>
      <w:pPr>
        <w:ind w:left="4320" w:hanging="180"/>
      </w:pPr>
    </w:lvl>
    <w:lvl w:ilvl="6" w:tplc="89B45184" w:tentative="1">
      <w:start w:val="1"/>
      <w:numFmt w:val="decimal"/>
      <w:lvlText w:val="%7."/>
      <w:lvlJc w:val="left"/>
      <w:pPr>
        <w:ind w:left="5040" w:hanging="360"/>
      </w:pPr>
    </w:lvl>
    <w:lvl w:ilvl="7" w:tplc="B33A6614" w:tentative="1">
      <w:start w:val="1"/>
      <w:numFmt w:val="lowerLetter"/>
      <w:lvlText w:val="%8."/>
      <w:lvlJc w:val="left"/>
      <w:pPr>
        <w:ind w:left="5760" w:hanging="360"/>
      </w:pPr>
    </w:lvl>
    <w:lvl w:ilvl="8" w:tplc="8068B852" w:tentative="1">
      <w:start w:val="1"/>
      <w:numFmt w:val="lowerRoman"/>
      <w:lvlText w:val="%9."/>
      <w:lvlJc w:val="right"/>
      <w:pPr>
        <w:ind w:left="6480" w:hanging="180"/>
      </w:pPr>
    </w:lvl>
  </w:abstractNum>
  <w:abstractNum w:abstractNumId="18" w15:restartNumberingAfterBreak="0">
    <w:nsid w:val="69F77636"/>
    <w:multiLevelType w:val="hybridMultilevel"/>
    <w:tmpl w:val="AB00D4FA"/>
    <w:lvl w:ilvl="0" w:tplc="24402C44">
      <w:start w:val="1"/>
      <w:numFmt w:val="decimal"/>
      <w:lvlText w:val="%1."/>
      <w:lvlJc w:val="left"/>
      <w:pPr>
        <w:ind w:left="720" w:hanging="360"/>
      </w:pPr>
      <w:rPr>
        <w:rFonts w:ascii="Times New Roman" w:hAnsi="Times New Roman" w:cs="Times New Roman" w:hint="default"/>
      </w:rPr>
    </w:lvl>
    <w:lvl w:ilvl="1" w:tplc="9FA859E6" w:tentative="1">
      <w:start w:val="1"/>
      <w:numFmt w:val="lowerLetter"/>
      <w:lvlText w:val="%2."/>
      <w:lvlJc w:val="left"/>
      <w:pPr>
        <w:ind w:left="1440" w:hanging="360"/>
      </w:pPr>
    </w:lvl>
    <w:lvl w:ilvl="2" w:tplc="6610DE34" w:tentative="1">
      <w:start w:val="1"/>
      <w:numFmt w:val="lowerRoman"/>
      <w:lvlText w:val="%3."/>
      <w:lvlJc w:val="right"/>
      <w:pPr>
        <w:ind w:left="2160" w:hanging="180"/>
      </w:pPr>
    </w:lvl>
    <w:lvl w:ilvl="3" w:tplc="06AA20E8" w:tentative="1">
      <w:start w:val="1"/>
      <w:numFmt w:val="decimal"/>
      <w:lvlText w:val="%4."/>
      <w:lvlJc w:val="left"/>
      <w:pPr>
        <w:ind w:left="2880" w:hanging="360"/>
      </w:pPr>
    </w:lvl>
    <w:lvl w:ilvl="4" w:tplc="CF6E2C3A" w:tentative="1">
      <w:start w:val="1"/>
      <w:numFmt w:val="lowerLetter"/>
      <w:lvlText w:val="%5."/>
      <w:lvlJc w:val="left"/>
      <w:pPr>
        <w:ind w:left="3600" w:hanging="360"/>
      </w:pPr>
    </w:lvl>
    <w:lvl w:ilvl="5" w:tplc="39C46320" w:tentative="1">
      <w:start w:val="1"/>
      <w:numFmt w:val="lowerRoman"/>
      <w:lvlText w:val="%6."/>
      <w:lvlJc w:val="right"/>
      <w:pPr>
        <w:ind w:left="4320" w:hanging="180"/>
      </w:pPr>
    </w:lvl>
    <w:lvl w:ilvl="6" w:tplc="1EE23512" w:tentative="1">
      <w:start w:val="1"/>
      <w:numFmt w:val="decimal"/>
      <w:lvlText w:val="%7."/>
      <w:lvlJc w:val="left"/>
      <w:pPr>
        <w:ind w:left="5040" w:hanging="360"/>
      </w:pPr>
    </w:lvl>
    <w:lvl w:ilvl="7" w:tplc="5BB20D8C" w:tentative="1">
      <w:start w:val="1"/>
      <w:numFmt w:val="lowerLetter"/>
      <w:lvlText w:val="%8."/>
      <w:lvlJc w:val="left"/>
      <w:pPr>
        <w:ind w:left="5760" w:hanging="360"/>
      </w:pPr>
    </w:lvl>
    <w:lvl w:ilvl="8" w:tplc="097C246E" w:tentative="1">
      <w:start w:val="1"/>
      <w:numFmt w:val="lowerRoman"/>
      <w:lvlText w:val="%9."/>
      <w:lvlJc w:val="right"/>
      <w:pPr>
        <w:ind w:left="6480" w:hanging="180"/>
      </w:pPr>
    </w:lvl>
  </w:abstractNum>
  <w:abstractNum w:abstractNumId="19" w15:restartNumberingAfterBreak="0">
    <w:nsid w:val="72091DB4"/>
    <w:multiLevelType w:val="hybridMultilevel"/>
    <w:tmpl w:val="2DE871D0"/>
    <w:lvl w:ilvl="0" w:tplc="1C40073A">
      <w:start w:val="1"/>
      <w:numFmt w:val="decimal"/>
      <w:lvlText w:val="%1)"/>
      <w:lvlJc w:val="left"/>
      <w:pPr>
        <w:ind w:left="720" w:hanging="360"/>
      </w:pPr>
      <w:rPr>
        <w:rFonts w:hint="default"/>
      </w:rPr>
    </w:lvl>
    <w:lvl w:ilvl="1" w:tplc="8D92A6BC" w:tentative="1">
      <w:start w:val="1"/>
      <w:numFmt w:val="lowerLetter"/>
      <w:lvlText w:val="%2."/>
      <w:lvlJc w:val="left"/>
      <w:pPr>
        <w:ind w:left="1440" w:hanging="360"/>
      </w:pPr>
    </w:lvl>
    <w:lvl w:ilvl="2" w:tplc="E7F432B2" w:tentative="1">
      <w:start w:val="1"/>
      <w:numFmt w:val="lowerRoman"/>
      <w:lvlText w:val="%3."/>
      <w:lvlJc w:val="right"/>
      <w:pPr>
        <w:ind w:left="2160" w:hanging="180"/>
      </w:pPr>
    </w:lvl>
    <w:lvl w:ilvl="3" w:tplc="5C1CFE6C" w:tentative="1">
      <w:start w:val="1"/>
      <w:numFmt w:val="decimal"/>
      <w:lvlText w:val="%4."/>
      <w:lvlJc w:val="left"/>
      <w:pPr>
        <w:ind w:left="2880" w:hanging="360"/>
      </w:pPr>
    </w:lvl>
    <w:lvl w:ilvl="4" w:tplc="4168983A" w:tentative="1">
      <w:start w:val="1"/>
      <w:numFmt w:val="lowerLetter"/>
      <w:lvlText w:val="%5."/>
      <w:lvlJc w:val="left"/>
      <w:pPr>
        <w:ind w:left="3600" w:hanging="360"/>
      </w:pPr>
    </w:lvl>
    <w:lvl w:ilvl="5" w:tplc="77B4AAE6" w:tentative="1">
      <w:start w:val="1"/>
      <w:numFmt w:val="lowerRoman"/>
      <w:lvlText w:val="%6."/>
      <w:lvlJc w:val="right"/>
      <w:pPr>
        <w:ind w:left="4320" w:hanging="180"/>
      </w:pPr>
    </w:lvl>
    <w:lvl w:ilvl="6" w:tplc="E7541C86" w:tentative="1">
      <w:start w:val="1"/>
      <w:numFmt w:val="decimal"/>
      <w:lvlText w:val="%7."/>
      <w:lvlJc w:val="left"/>
      <w:pPr>
        <w:ind w:left="5040" w:hanging="360"/>
      </w:pPr>
    </w:lvl>
    <w:lvl w:ilvl="7" w:tplc="AA4EE1DC" w:tentative="1">
      <w:start w:val="1"/>
      <w:numFmt w:val="lowerLetter"/>
      <w:lvlText w:val="%8."/>
      <w:lvlJc w:val="left"/>
      <w:pPr>
        <w:ind w:left="5760" w:hanging="360"/>
      </w:pPr>
    </w:lvl>
    <w:lvl w:ilvl="8" w:tplc="41DC1558" w:tentative="1">
      <w:start w:val="1"/>
      <w:numFmt w:val="lowerRoman"/>
      <w:lvlText w:val="%9."/>
      <w:lvlJc w:val="right"/>
      <w:pPr>
        <w:ind w:left="6480" w:hanging="180"/>
      </w:pPr>
    </w:lvl>
  </w:abstractNum>
  <w:abstractNum w:abstractNumId="20" w15:restartNumberingAfterBreak="0">
    <w:nsid w:val="78983F18"/>
    <w:multiLevelType w:val="hybridMultilevel"/>
    <w:tmpl w:val="24A43166"/>
    <w:lvl w:ilvl="0" w:tplc="48A2D1B4">
      <w:start w:val="1"/>
      <w:numFmt w:val="decimal"/>
      <w:lvlText w:val="%1)"/>
      <w:lvlJc w:val="left"/>
      <w:pPr>
        <w:ind w:left="720" w:hanging="360"/>
      </w:pPr>
      <w:rPr>
        <w:rFonts w:hint="default"/>
      </w:rPr>
    </w:lvl>
    <w:lvl w:ilvl="1" w:tplc="902EB83A" w:tentative="1">
      <w:start w:val="1"/>
      <w:numFmt w:val="lowerLetter"/>
      <w:lvlText w:val="%2."/>
      <w:lvlJc w:val="left"/>
      <w:pPr>
        <w:ind w:left="1440" w:hanging="360"/>
      </w:pPr>
    </w:lvl>
    <w:lvl w:ilvl="2" w:tplc="2F006C5C" w:tentative="1">
      <w:start w:val="1"/>
      <w:numFmt w:val="lowerRoman"/>
      <w:lvlText w:val="%3."/>
      <w:lvlJc w:val="right"/>
      <w:pPr>
        <w:ind w:left="2160" w:hanging="180"/>
      </w:pPr>
    </w:lvl>
    <w:lvl w:ilvl="3" w:tplc="78B89FCC" w:tentative="1">
      <w:start w:val="1"/>
      <w:numFmt w:val="decimal"/>
      <w:lvlText w:val="%4."/>
      <w:lvlJc w:val="left"/>
      <w:pPr>
        <w:ind w:left="2880" w:hanging="360"/>
      </w:pPr>
    </w:lvl>
    <w:lvl w:ilvl="4" w:tplc="DFCA0AB6" w:tentative="1">
      <w:start w:val="1"/>
      <w:numFmt w:val="lowerLetter"/>
      <w:lvlText w:val="%5."/>
      <w:lvlJc w:val="left"/>
      <w:pPr>
        <w:ind w:left="3600" w:hanging="360"/>
      </w:pPr>
    </w:lvl>
    <w:lvl w:ilvl="5" w:tplc="2E2E131A" w:tentative="1">
      <w:start w:val="1"/>
      <w:numFmt w:val="lowerRoman"/>
      <w:lvlText w:val="%6."/>
      <w:lvlJc w:val="right"/>
      <w:pPr>
        <w:ind w:left="4320" w:hanging="180"/>
      </w:pPr>
    </w:lvl>
    <w:lvl w:ilvl="6" w:tplc="489A9F6E" w:tentative="1">
      <w:start w:val="1"/>
      <w:numFmt w:val="decimal"/>
      <w:lvlText w:val="%7."/>
      <w:lvlJc w:val="left"/>
      <w:pPr>
        <w:ind w:left="5040" w:hanging="360"/>
      </w:pPr>
    </w:lvl>
    <w:lvl w:ilvl="7" w:tplc="DC008AD8" w:tentative="1">
      <w:start w:val="1"/>
      <w:numFmt w:val="lowerLetter"/>
      <w:lvlText w:val="%8."/>
      <w:lvlJc w:val="left"/>
      <w:pPr>
        <w:ind w:left="5760" w:hanging="360"/>
      </w:pPr>
    </w:lvl>
    <w:lvl w:ilvl="8" w:tplc="0688ED6E" w:tentative="1">
      <w:start w:val="1"/>
      <w:numFmt w:val="lowerRoman"/>
      <w:lvlText w:val="%9."/>
      <w:lvlJc w:val="right"/>
      <w:pPr>
        <w:ind w:left="6480" w:hanging="180"/>
      </w:pPr>
    </w:lvl>
  </w:abstractNum>
  <w:abstractNum w:abstractNumId="21" w15:restartNumberingAfterBreak="0">
    <w:nsid w:val="793B135F"/>
    <w:multiLevelType w:val="hybridMultilevel"/>
    <w:tmpl w:val="A948D38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7A613DA5"/>
    <w:multiLevelType w:val="hybridMultilevel"/>
    <w:tmpl w:val="55506F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EAC62C0"/>
    <w:multiLevelType w:val="hybridMultilevel"/>
    <w:tmpl w:val="500E82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1"/>
  </w:num>
  <w:num w:numId="3">
    <w:abstractNumId w:val="3"/>
  </w:num>
  <w:num w:numId="4">
    <w:abstractNumId w:val="12"/>
  </w:num>
  <w:num w:numId="5">
    <w:abstractNumId w:val="13"/>
  </w:num>
  <w:num w:numId="6">
    <w:abstractNumId w:val="15"/>
  </w:num>
  <w:num w:numId="7">
    <w:abstractNumId w:val="20"/>
  </w:num>
  <w:num w:numId="8">
    <w:abstractNumId w:val="19"/>
  </w:num>
  <w:num w:numId="9">
    <w:abstractNumId w:val="18"/>
  </w:num>
  <w:num w:numId="10">
    <w:abstractNumId w:val="17"/>
  </w:num>
  <w:num w:numId="11">
    <w:abstractNumId w:val="9"/>
  </w:num>
  <w:num w:numId="12">
    <w:abstractNumId w:val="23"/>
  </w:num>
  <w:num w:numId="13">
    <w:abstractNumId w:val="5"/>
  </w:num>
  <w:num w:numId="14">
    <w:abstractNumId w:val="10"/>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6"/>
  </w:num>
  <w:num w:numId="18">
    <w:abstractNumId w:val="14"/>
  </w:num>
  <w:num w:numId="19">
    <w:abstractNumId w:val="7"/>
  </w:num>
  <w:num w:numId="20">
    <w:abstractNumId w:val="6"/>
  </w:num>
  <w:num w:numId="2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drawingGridHorizontalSpacing w:val="120"/>
  <w:displayHorizontalDrawingGridEvery w:val="2"/>
  <w:doNotShadeFormData/>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742"/>
    <w:rsid w:val="00003C1D"/>
    <w:rsid w:val="00004152"/>
    <w:rsid w:val="00004692"/>
    <w:rsid w:val="00006EF8"/>
    <w:rsid w:val="000108B2"/>
    <w:rsid w:val="0001178F"/>
    <w:rsid w:val="0002370A"/>
    <w:rsid w:val="000303E5"/>
    <w:rsid w:val="00044049"/>
    <w:rsid w:val="000552B8"/>
    <w:rsid w:val="00056CFC"/>
    <w:rsid w:val="0006211E"/>
    <w:rsid w:val="0006318C"/>
    <w:rsid w:val="00074497"/>
    <w:rsid w:val="00080355"/>
    <w:rsid w:val="00082262"/>
    <w:rsid w:val="0008258C"/>
    <w:rsid w:val="000865F5"/>
    <w:rsid w:val="00091B69"/>
    <w:rsid w:val="000955EE"/>
    <w:rsid w:val="000A122D"/>
    <w:rsid w:val="000A282D"/>
    <w:rsid w:val="000C623A"/>
    <w:rsid w:val="000C6A78"/>
    <w:rsid w:val="000D22BC"/>
    <w:rsid w:val="000F068B"/>
    <w:rsid w:val="000F175E"/>
    <w:rsid w:val="000F44B7"/>
    <w:rsid w:val="000F56EE"/>
    <w:rsid w:val="00100DC2"/>
    <w:rsid w:val="0010266B"/>
    <w:rsid w:val="00107CFD"/>
    <w:rsid w:val="00134823"/>
    <w:rsid w:val="00141F86"/>
    <w:rsid w:val="001422D3"/>
    <w:rsid w:val="00157897"/>
    <w:rsid w:val="0016082D"/>
    <w:rsid w:val="001717AE"/>
    <w:rsid w:val="0017738C"/>
    <w:rsid w:val="00177ED0"/>
    <w:rsid w:val="00180FD5"/>
    <w:rsid w:val="001813BF"/>
    <w:rsid w:val="00181FB4"/>
    <w:rsid w:val="001828AE"/>
    <w:rsid w:val="001847BD"/>
    <w:rsid w:val="00187364"/>
    <w:rsid w:val="001918AA"/>
    <w:rsid w:val="00195E87"/>
    <w:rsid w:val="001A43FD"/>
    <w:rsid w:val="001A727B"/>
    <w:rsid w:val="001B0AAA"/>
    <w:rsid w:val="001B11E1"/>
    <w:rsid w:val="001B2970"/>
    <w:rsid w:val="001B5FE8"/>
    <w:rsid w:val="001B77DD"/>
    <w:rsid w:val="001C0374"/>
    <w:rsid w:val="001C793C"/>
    <w:rsid w:val="001E451C"/>
    <w:rsid w:val="001F3B4B"/>
    <w:rsid w:val="001F6748"/>
    <w:rsid w:val="0020008D"/>
    <w:rsid w:val="00205A24"/>
    <w:rsid w:val="00212731"/>
    <w:rsid w:val="002165B2"/>
    <w:rsid w:val="002235FF"/>
    <w:rsid w:val="002238EC"/>
    <w:rsid w:val="0023313C"/>
    <w:rsid w:val="00234A3F"/>
    <w:rsid w:val="002432C8"/>
    <w:rsid w:val="0025044C"/>
    <w:rsid w:val="002504E2"/>
    <w:rsid w:val="00250B6B"/>
    <w:rsid w:val="00251F57"/>
    <w:rsid w:val="002573CD"/>
    <w:rsid w:val="002635B8"/>
    <w:rsid w:val="00264384"/>
    <w:rsid w:val="00264C93"/>
    <w:rsid w:val="00265E2C"/>
    <w:rsid w:val="00267D26"/>
    <w:rsid w:val="00284FEB"/>
    <w:rsid w:val="0028675A"/>
    <w:rsid w:val="0029382D"/>
    <w:rsid w:val="002A1E65"/>
    <w:rsid w:val="002A257D"/>
    <w:rsid w:val="002A6878"/>
    <w:rsid w:val="002A6FBE"/>
    <w:rsid w:val="002A7410"/>
    <w:rsid w:val="002A74FB"/>
    <w:rsid w:val="002C1EEF"/>
    <w:rsid w:val="002C6F48"/>
    <w:rsid w:val="002C79D4"/>
    <w:rsid w:val="002D1326"/>
    <w:rsid w:val="002D4C58"/>
    <w:rsid w:val="002D61C6"/>
    <w:rsid w:val="002E25FB"/>
    <w:rsid w:val="002E282E"/>
    <w:rsid w:val="002E6C71"/>
    <w:rsid w:val="002F5318"/>
    <w:rsid w:val="002F7A75"/>
    <w:rsid w:val="003067D8"/>
    <w:rsid w:val="003123C8"/>
    <w:rsid w:val="0031362C"/>
    <w:rsid w:val="003160D1"/>
    <w:rsid w:val="00317A0C"/>
    <w:rsid w:val="003217FF"/>
    <w:rsid w:val="00325CE6"/>
    <w:rsid w:val="0032768D"/>
    <w:rsid w:val="003304DC"/>
    <w:rsid w:val="00345DA5"/>
    <w:rsid w:val="00347C40"/>
    <w:rsid w:val="00350039"/>
    <w:rsid w:val="00362CE1"/>
    <w:rsid w:val="0036633B"/>
    <w:rsid w:val="00370D1A"/>
    <w:rsid w:val="00372062"/>
    <w:rsid w:val="00380EE9"/>
    <w:rsid w:val="0038685B"/>
    <w:rsid w:val="0038790A"/>
    <w:rsid w:val="0039049A"/>
    <w:rsid w:val="0039058C"/>
    <w:rsid w:val="003940D5"/>
    <w:rsid w:val="0039495A"/>
    <w:rsid w:val="003959F0"/>
    <w:rsid w:val="003D3C98"/>
    <w:rsid w:val="003E098A"/>
    <w:rsid w:val="003F1D7F"/>
    <w:rsid w:val="003F2440"/>
    <w:rsid w:val="003F3FB7"/>
    <w:rsid w:val="003F6AC4"/>
    <w:rsid w:val="003F78C2"/>
    <w:rsid w:val="0040413F"/>
    <w:rsid w:val="00406A90"/>
    <w:rsid w:val="004111E4"/>
    <w:rsid w:val="00412C21"/>
    <w:rsid w:val="00413F1E"/>
    <w:rsid w:val="004213E2"/>
    <w:rsid w:val="00463968"/>
    <w:rsid w:val="004676DB"/>
    <w:rsid w:val="004704CC"/>
    <w:rsid w:val="00480A3B"/>
    <w:rsid w:val="0048361B"/>
    <w:rsid w:val="00483CC0"/>
    <w:rsid w:val="004966BB"/>
    <w:rsid w:val="00497A44"/>
    <w:rsid w:val="004B2446"/>
    <w:rsid w:val="004B5F64"/>
    <w:rsid w:val="004C079F"/>
    <w:rsid w:val="004C7F79"/>
    <w:rsid w:val="004D27B4"/>
    <w:rsid w:val="004D5DDE"/>
    <w:rsid w:val="004D6E40"/>
    <w:rsid w:val="00507499"/>
    <w:rsid w:val="00507CE6"/>
    <w:rsid w:val="00510511"/>
    <w:rsid w:val="00510CD8"/>
    <w:rsid w:val="00525278"/>
    <w:rsid w:val="0053039A"/>
    <w:rsid w:val="005320A4"/>
    <w:rsid w:val="00533A5C"/>
    <w:rsid w:val="0053617E"/>
    <w:rsid w:val="00555441"/>
    <w:rsid w:val="00555941"/>
    <w:rsid w:val="00560A7F"/>
    <w:rsid w:val="00571181"/>
    <w:rsid w:val="005728D5"/>
    <w:rsid w:val="005A1DAD"/>
    <w:rsid w:val="005B5647"/>
    <w:rsid w:val="005B6AFD"/>
    <w:rsid w:val="005D3FC2"/>
    <w:rsid w:val="005E58ED"/>
    <w:rsid w:val="005E64F3"/>
    <w:rsid w:val="005F2375"/>
    <w:rsid w:val="005F3785"/>
    <w:rsid w:val="00602317"/>
    <w:rsid w:val="0060631A"/>
    <w:rsid w:val="00612A98"/>
    <w:rsid w:val="006207B7"/>
    <w:rsid w:val="00621562"/>
    <w:rsid w:val="0063072D"/>
    <w:rsid w:val="00631D95"/>
    <w:rsid w:val="0064139E"/>
    <w:rsid w:val="00650274"/>
    <w:rsid w:val="006577C8"/>
    <w:rsid w:val="006645A0"/>
    <w:rsid w:val="006658DB"/>
    <w:rsid w:val="00672561"/>
    <w:rsid w:val="00686C43"/>
    <w:rsid w:val="00691112"/>
    <w:rsid w:val="006924E2"/>
    <w:rsid w:val="006A213C"/>
    <w:rsid w:val="006B1D2A"/>
    <w:rsid w:val="006B6B4D"/>
    <w:rsid w:val="006D1988"/>
    <w:rsid w:val="006D31D1"/>
    <w:rsid w:val="006D5318"/>
    <w:rsid w:val="006D79F7"/>
    <w:rsid w:val="006F0CCA"/>
    <w:rsid w:val="006F2DBF"/>
    <w:rsid w:val="006F564C"/>
    <w:rsid w:val="007009C1"/>
    <w:rsid w:val="00701044"/>
    <w:rsid w:val="00701CB9"/>
    <w:rsid w:val="00702F21"/>
    <w:rsid w:val="00717231"/>
    <w:rsid w:val="00717C64"/>
    <w:rsid w:val="00721409"/>
    <w:rsid w:val="00726489"/>
    <w:rsid w:val="00727344"/>
    <w:rsid w:val="0073083B"/>
    <w:rsid w:val="0073213A"/>
    <w:rsid w:val="00736428"/>
    <w:rsid w:val="00737439"/>
    <w:rsid w:val="007469A2"/>
    <w:rsid w:val="00750A50"/>
    <w:rsid w:val="007569DA"/>
    <w:rsid w:val="00761BBF"/>
    <w:rsid w:val="00761DED"/>
    <w:rsid w:val="007623ED"/>
    <w:rsid w:val="00764076"/>
    <w:rsid w:val="00764D9F"/>
    <w:rsid w:val="00765BAF"/>
    <w:rsid w:val="00777B20"/>
    <w:rsid w:val="00780CAA"/>
    <w:rsid w:val="00783189"/>
    <w:rsid w:val="007933DA"/>
    <w:rsid w:val="007948E4"/>
    <w:rsid w:val="00794EA2"/>
    <w:rsid w:val="007A0C93"/>
    <w:rsid w:val="007A0F0F"/>
    <w:rsid w:val="007B0318"/>
    <w:rsid w:val="007B2144"/>
    <w:rsid w:val="007B2D4E"/>
    <w:rsid w:val="007C0B00"/>
    <w:rsid w:val="007D363A"/>
    <w:rsid w:val="007E3492"/>
    <w:rsid w:val="007E3824"/>
    <w:rsid w:val="007E7D87"/>
    <w:rsid w:val="007F1CED"/>
    <w:rsid w:val="007F61C8"/>
    <w:rsid w:val="0080063E"/>
    <w:rsid w:val="00810650"/>
    <w:rsid w:val="00812BF5"/>
    <w:rsid w:val="0082200D"/>
    <w:rsid w:val="0083032B"/>
    <w:rsid w:val="0084272E"/>
    <w:rsid w:val="00847C82"/>
    <w:rsid w:val="00870BF5"/>
    <w:rsid w:val="00872ABF"/>
    <w:rsid w:val="00873A51"/>
    <w:rsid w:val="008755AF"/>
    <w:rsid w:val="00877526"/>
    <w:rsid w:val="008814C7"/>
    <w:rsid w:val="00881DE5"/>
    <w:rsid w:val="008934EE"/>
    <w:rsid w:val="00896414"/>
    <w:rsid w:val="008A335B"/>
    <w:rsid w:val="008B27B2"/>
    <w:rsid w:val="008C4A0E"/>
    <w:rsid w:val="008C510F"/>
    <w:rsid w:val="008D2813"/>
    <w:rsid w:val="008E43C3"/>
    <w:rsid w:val="008E6BE4"/>
    <w:rsid w:val="008F08FC"/>
    <w:rsid w:val="008F6704"/>
    <w:rsid w:val="00902A64"/>
    <w:rsid w:val="00905305"/>
    <w:rsid w:val="00905660"/>
    <w:rsid w:val="0091021E"/>
    <w:rsid w:val="00911EF6"/>
    <w:rsid w:val="00912049"/>
    <w:rsid w:val="009143CA"/>
    <w:rsid w:val="0093399F"/>
    <w:rsid w:val="009340A7"/>
    <w:rsid w:val="00935305"/>
    <w:rsid w:val="00954710"/>
    <w:rsid w:val="00955F33"/>
    <w:rsid w:val="00960387"/>
    <w:rsid w:val="00960E10"/>
    <w:rsid w:val="00963140"/>
    <w:rsid w:val="0096327B"/>
    <w:rsid w:val="0096392A"/>
    <w:rsid w:val="009829D5"/>
    <w:rsid w:val="009907C8"/>
    <w:rsid w:val="009966E6"/>
    <w:rsid w:val="009A7F55"/>
    <w:rsid w:val="009B2677"/>
    <w:rsid w:val="009C3F53"/>
    <w:rsid w:val="009C5CFE"/>
    <w:rsid w:val="009C5DA6"/>
    <w:rsid w:val="009E4C99"/>
    <w:rsid w:val="009E5A0D"/>
    <w:rsid w:val="009E5E66"/>
    <w:rsid w:val="009E6037"/>
    <w:rsid w:val="009F0ACA"/>
    <w:rsid w:val="00A005FF"/>
    <w:rsid w:val="00A050B3"/>
    <w:rsid w:val="00A10706"/>
    <w:rsid w:val="00A11FDE"/>
    <w:rsid w:val="00A128FF"/>
    <w:rsid w:val="00A178C7"/>
    <w:rsid w:val="00A17A09"/>
    <w:rsid w:val="00A2313D"/>
    <w:rsid w:val="00A27C21"/>
    <w:rsid w:val="00A443D0"/>
    <w:rsid w:val="00A456B1"/>
    <w:rsid w:val="00A51236"/>
    <w:rsid w:val="00A51ED8"/>
    <w:rsid w:val="00A52039"/>
    <w:rsid w:val="00A642A7"/>
    <w:rsid w:val="00A64F49"/>
    <w:rsid w:val="00A6795B"/>
    <w:rsid w:val="00A70BB5"/>
    <w:rsid w:val="00A76107"/>
    <w:rsid w:val="00A84245"/>
    <w:rsid w:val="00A9085D"/>
    <w:rsid w:val="00A92AAD"/>
    <w:rsid w:val="00AC0ADE"/>
    <w:rsid w:val="00AC0D97"/>
    <w:rsid w:val="00AC7C5B"/>
    <w:rsid w:val="00AD1E5B"/>
    <w:rsid w:val="00AF566D"/>
    <w:rsid w:val="00AF6ACF"/>
    <w:rsid w:val="00AF6D2D"/>
    <w:rsid w:val="00B025E5"/>
    <w:rsid w:val="00B2579A"/>
    <w:rsid w:val="00B3715A"/>
    <w:rsid w:val="00B5080C"/>
    <w:rsid w:val="00B509DB"/>
    <w:rsid w:val="00B52C32"/>
    <w:rsid w:val="00B534A0"/>
    <w:rsid w:val="00B64601"/>
    <w:rsid w:val="00B65DBE"/>
    <w:rsid w:val="00B76596"/>
    <w:rsid w:val="00B77922"/>
    <w:rsid w:val="00B86156"/>
    <w:rsid w:val="00B86B3C"/>
    <w:rsid w:val="00B91DC0"/>
    <w:rsid w:val="00BB34A0"/>
    <w:rsid w:val="00BB3C79"/>
    <w:rsid w:val="00BB78F2"/>
    <w:rsid w:val="00BC458C"/>
    <w:rsid w:val="00BD200E"/>
    <w:rsid w:val="00BE4CF4"/>
    <w:rsid w:val="00BF36EC"/>
    <w:rsid w:val="00BF5FC2"/>
    <w:rsid w:val="00BF7742"/>
    <w:rsid w:val="00C13272"/>
    <w:rsid w:val="00C21EC3"/>
    <w:rsid w:val="00C23BE5"/>
    <w:rsid w:val="00C276F7"/>
    <w:rsid w:val="00C30BAC"/>
    <w:rsid w:val="00C36A7D"/>
    <w:rsid w:val="00C55C88"/>
    <w:rsid w:val="00C619B2"/>
    <w:rsid w:val="00C62C99"/>
    <w:rsid w:val="00C65049"/>
    <w:rsid w:val="00C72FE4"/>
    <w:rsid w:val="00C76F44"/>
    <w:rsid w:val="00C821D7"/>
    <w:rsid w:val="00C84131"/>
    <w:rsid w:val="00C86BF2"/>
    <w:rsid w:val="00C92AAC"/>
    <w:rsid w:val="00C92EC9"/>
    <w:rsid w:val="00C93B46"/>
    <w:rsid w:val="00CA48D7"/>
    <w:rsid w:val="00CC009D"/>
    <w:rsid w:val="00CC6456"/>
    <w:rsid w:val="00CC6D74"/>
    <w:rsid w:val="00CD2CBA"/>
    <w:rsid w:val="00CE1E80"/>
    <w:rsid w:val="00CE321C"/>
    <w:rsid w:val="00CE4401"/>
    <w:rsid w:val="00CE581A"/>
    <w:rsid w:val="00CE6C3D"/>
    <w:rsid w:val="00CF305A"/>
    <w:rsid w:val="00D0388D"/>
    <w:rsid w:val="00D12E89"/>
    <w:rsid w:val="00D14662"/>
    <w:rsid w:val="00D1564B"/>
    <w:rsid w:val="00D26AC2"/>
    <w:rsid w:val="00D26FCE"/>
    <w:rsid w:val="00D34280"/>
    <w:rsid w:val="00D36822"/>
    <w:rsid w:val="00D558AC"/>
    <w:rsid w:val="00D57B5C"/>
    <w:rsid w:val="00D62DE5"/>
    <w:rsid w:val="00D63D59"/>
    <w:rsid w:val="00D64F8A"/>
    <w:rsid w:val="00D67A8A"/>
    <w:rsid w:val="00D718B4"/>
    <w:rsid w:val="00D76644"/>
    <w:rsid w:val="00D76ABF"/>
    <w:rsid w:val="00D80D08"/>
    <w:rsid w:val="00D81172"/>
    <w:rsid w:val="00D93CA3"/>
    <w:rsid w:val="00DA02D9"/>
    <w:rsid w:val="00DA2E23"/>
    <w:rsid w:val="00DA5800"/>
    <w:rsid w:val="00DB0832"/>
    <w:rsid w:val="00DB1BE2"/>
    <w:rsid w:val="00DB7135"/>
    <w:rsid w:val="00DC244B"/>
    <w:rsid w:val="00DC4651"/>
    <w:rsid w:val="00DD5971"/>
    <w:rsid w:val="00DE1EAE"/>
    <w:rsid w:val="00DE2627"/>
    <w:rsid w:val="00DF19A8"/>
    <w:rsid w:val="00E013CB"/>
    <w:rsid w:val="00E015C2"/>
    <w:rsid w:val="00E05876"/>
    <w:rsid w:val="00E109D0"/>
    <w:rsid w:val="00E15B22"/>
    <w:rsid w:val="00E215CD"/>
    <w:rsid w:val="00E2610D"/>
    <w:rsid w:val="00E31DF8"/>
    <w:rsid w:val="00E32AF4"/>
    <w:rsid w:val="00E330FC"/>
    <w:rsid w:val="00E42116"/>
    <w:rsid w:val="00E5103F"/>
    <w:rsid w:val="00E54F99"/>
    <w:rsid w:val="00E5583E"/>
    <w:rsid w:val="00E57A9B"/>
    <w:rsid w:val="00E604B6"/>
    <w:rsid w:val="00E61D1A"/>
    <w:rsid w:val="00E622C5"/>
    <w:rsid w:val="00E63FA7"/>
    <w:rsid w:val="00E64B8A"/>
    <w:rsid w:val="00E73477"/>
    <w:rsid w:val="00E809C7"/>
    <w:rsid w:val="00E91522"/>
    <w:rsid w:val="00EB1843"/>
    <w:rsid w:val="00EB6564"/>
    <w:rsid w:val="00EB7314"/>
    <w:rsid w:val="00EC51B0"/>
    <w:rsid w:val="00ED5D23"/>
    <w:rsid w:val="00ED69DC"/>
    <w:rsid w:val="00ED71C1"/>
    <w:rsid w:val="00EF34E8"/>
    <w:rsid w:val="00EF7126"/>
    <w:rsid w:val="00F0177C"/>
    <w:rsid w:val="00F02707"/>
    <w:rsid w:val="00F0652C"/>
    <w:rsid w:val="00F22A89"/>
    <w:rsid w:val="00F33B8A"/>
    <w:rsid w:val="00F41D6E"/>
    <w:rsid w:val="00F45321"/>
    <w:rsid w:val="00F51B3B"/>
    <w:rsid w:val="00F52126"/>
    <w:rsid w:val="00F53F2C"/>
    <w:rsid w:val="00F54160"/>
    <w:rsid w:val="00F67185"/>
    <w:rsid w:val="00F67D66"/>
    <w:rsid w:val="00F70266"/>
    <w:rsid w:val="00F72118"/>
    <w:rsid w:val="00F7301A"/>
    <w:rsid w:val="00F86C7D"/>
    <w:rsid w:val="00FA255D"/>
    <w:rsid w:val="00FA2F51"/>
    <w:rsid w:val="00FB379C"/>
    <w:rsid w:val="00FB60EA"/>
    <w:rsid w:val="00FE0F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6634B3"/>
  <w15:docId w15:val="{5A698DA5-FAB8-4AC3-875A-D82E1AAEC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7E4"/>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rPr>
  </w:style>
  <w:style w:type="paragraph" w:styleId="Heading2">
    <w:name w:val="heading 2"/>
    <w:basedOn w:val="Normal"/>
    <w:next w:val="Normal"/>
    <w:link w:val="Heading2Char"/>
    <w:uiPriority w:val="99"/>
    <w:qFormat/>
    <w:locked/>
    <w:rsid w:val="00065A0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locked/>
    <w:rsid w:val="002D2707"/>
    <w:pPr>
      <w:keepNext/>
      <w:keepLines/>
      <w:spacing w:before="40"/>
      <w:outlineLvl w:val="2"/>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4826"/>
    <w:rPr>
      <w:rFonts w:ascii="Cambria" w:hAnsi="Cambria"/>
      <w:b/>
      <w:color w:val="365F91"/>
      <w:sz w:val="28"/>
    </w:rPr>
  </w:style>
  <w:style w:type="character" w:customStyle="1" w:styleId="Heading2Char">
    <w:name w:val="Heading 2 Char"/>
    <w:basedOn w:val="DefaultParagraphFont"/>
    <w:link w:val="Heading2"/>
    <w:uiPriority w:val="99"/>
    <w:locked/>
    <w:rsid w:val="00065A0D"/>
    <w:rPr>
      <w:rFonts w:ascii="Cambria" w:hAnsi="Cambria"/>
      <w:b/>
      <w:i/>
      <w:sz w:val="28"/>
    </w:rPr>
  </w:style>
  <w:style w:type="character" w:customStyle="1" w:styleId="Heading3Char">
    <w:name w:val="Heading 3 Char"/>
    <w:basedOn w:val="DefaultParagraphFont"/>
    <w:link w:val="Heading3"/>
    <w:uiPriority w:val="99"/>
    <w:semiHidden/>
    <w:locked/>
    <w:rsid w:val="002D2707"/>
    <w:rPr>
      <w:rFonts w:ascii="Cambria" w:hAnsi="Cambria"/>
      <w:color w:val="243F60"/>
      <w:sz w:val="24"/>
    </w:rPr>
  </w:style>
  <w:style w:type="character" w:styleId="Hyperlink">
    <w:name w:val="Hyperlink"/>
    <w:basedOn w:val="DefaultParagraphFont"/>
    <w:uiPriority w:val="99"/>
    <w:rsid w:val="00944826"/>
    <w:rPr>
      <w:rFonts w:cs="Times New Roman"/>
      <w:color w:val="0000FF"/>
      <w:u w:val="single"/>
    </w:rPr>
  </w:style>
  <w:style w:type="character" w:styleId="FollowedHyperlink">
    <w:name w:val="FollowedHyperlink"/>
    <w:basedOn w:val="DefaultParagraphFont"/>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locked/>
    <w:rsid w:val="00944826"/>
    <w:rPr>
      <w:rFonts w:ascii="Arial" w:hAnsi="Arial"/>
      <w:vanish/>
      <w:sz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locked/>
    <w:rsid w:val="00944826"/>
    <w:rPr>
      <w:rFonts w:ascii="Arial" w:hAnsi="Arial"/>
      <w:vanish/>
      <w:sz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uiPriority w:val="99"/>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basedOn w:val="DefaultParagraphFont"/>
    <w:uiPriority w:val="22"/>
    <w:qFormat/>
    <w:rsid w:val="00944826"/>
    <w:rPr>
      <w:rFonts w:cs="Times New Roman"/>
      <w:b/>
    </w:rPr>
  </w:style>
  <w:style w:type="character" w:customStyle="1" w:styleId="th1">
    <w:name w:val="th1"/>
    <w:uiPriority w:val="99"/>
    <w:rsid w:val="00944826"/>
    <w:rPr>
      <w:b/>
      <w:color w:val="333333"/>
    </w:rPr>
  </w:style>
  <w:style w:type="character" w:styleId="Emphasis">
    <w:name w:val="Emphasis"/>
    <w:basedOn w:val="DefaultParagraphFont"/>
    <w:uiPriority w:val="20"/>
    <w:qFormat/>
    <w:rsid w:val="00944826"/>
    <w:rPr>
      <w:rFonts w:cs="Times New Roman"/>
      <w:i/>
    </w:rPr>
  </w:style>
  <w:style w:type="paragraph" w:styleId="BalloonText">
    <w:name w:val="Balloon Text"/>
    <w:basedOn w:val="Normal"/>
    <w:link w:val="BalloonTextChar"/>
    <w:uiPriority w:val="99"/>
    <w:semiHidden/>
    <w:rsid w:val="002308FA"/>
    <w:rPr>
      <w:rFonts w:ascii="Tahoma" w:hAnsi="Tahoma"/>
      <w:sz w:val="16"/>
      <w:szCs w:val="16"/>
    </w:rPr>
  </w:style>
  <w:style w:type="character" w:customStyle="1" w:styleId="BalloonTextChar">
    <w:name w:val="Balloon Text Char"/>
    <w:basedOn w:val="DefaultParagraphFont"/>
    <w:link w:val="BalloonText"/>
    <w:uiPriority w:val="99"/>
    <w:semiHidden/>
    <w:locked/>
    <w:rsid w:val="002308FA"/>
    <w:rPr>
      <w:rFonts w:ascii="Tahoma" w:hAnsi="Tahoma"/>
      <w:sz w:val="16"/>
    </w:rPr>
  </w:style>
  <w:style w:type="table" w:styleId="TableGrid">
    <w:name w:val="Table Grid"/>
    <w:basedOn w:val="TableNormal"/>
    <w:uiPriority w:val="99"/>
    <w:locked/>
    <w:rsid w:val="00CD23A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rPr>
  </w:style>
  <w:style w:type="character" w:customStyle="1" w:styleId="BodyTextIndent3Char">
    <w:name w:val="Body Text Indent 3 Char"/>
    <w:basedOn w:val="DefaultParagraphFont"/>
    <w:link w:val="BodyTextIndent3"/>
    <w:uiPriority w:val="99"/>
    <w:locked/>
    <w:rsid w:val="006D24A9"/>
    <w:rPr>
      <w:sz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basedOn w:val="DefaultParagraphFont"/>
    <w:link w:val="Header"/>
    <w:uiPriority w:val="99"/>
    <w:semiHidden/>
    <w:locked/>
    <w:rsid w:val="009A1431"/>
    <w:rPr>
      <w:sz w:val="24"/>
      <w:lang w:val="lv-LV" w:eastAsia="lv-LV"/>
    </w:rPr>
  </w:style>
  <w:style w:type="character" w:styleId="PageNumber">
    <w:name w:val="page number"/>
    <w:basedOn w:val="DefaultParagraphFont"/>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basedOn w:val="DefaultParagraphFont"/>
    <w:link w:val="Footer"/>
    <w:uiPriority w:val="99"/>
    <w:semiHidden/>
    <w:locked/>
    <w:rsid w:val="009A1431"/>
    <w:rPr>
      <w:sz w:val="24"/>
      <w:lang w:val="lv-LV" w:eastAsia="lv-LV"/>
    </w:rPr>
  </w:style>
  <w:style w:type="paragraph" w:styleId="ListParagraph">
    <w:name w:val="List Paragraph"/>
    <w:aliases w:val="2,H&amp;P List Paragraph,List Paragraph1,Saraksta rindkopa,Strip,Saraksta rindkopa1,Normal bullet 2,Bullet list,Colorful List - Accent 12,Bullet 1,Bullet Points,Colorful List - Accent 11,Dot pt,F5 List Paragraph,Indicator Text"/>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rsid w:val="00FE43E7"/>
    <w:rPr>
      <w:rFonts w:cs="Times New Roman"/>
      <w:sz w:val="16"/>
    </w:rPr>
  </w:style>
  <w:style w:type="paragraph" w:styleId="CommentText">
    <w:name w:val="annotation text"/>
    <w:basedOn w:val="Normal"/>
    <w:link w:val="CommentTextChar"/>
    <w:rsid w:val="00FE43E7"/>
    <w:rPr>
      <w:sz w:val="20"/>
      <w:szCs w:val="20"/>
    </w:rPr>
  </w:style>
  <w:style w:type="character" w:customStyle="1" w:styleId="CommentTextChar">
    <w:name w:val="Comment Text Char"/>
    <w:basedOn w:val="DefaultParagraphFont"/>
    <w:link w:val="CommentText"/>
    <w:locked/>
    <w:rsid w:val="00FE43E7"/>
    <w:rPr>
      <w:rFonts w:cs="Times New Roman"/>
    </w:rPr>
  </w:style>
  <w:style w:type="paragraph" w:styleId="CommentSubject">
    <w:name w:val="annotation subject"/>
    <w:basedOn w:val="CommentText"/>
    <w:next w:val="CommentText"/>
    <w:link w:val="CommentSubjectChar"/>
    <w:uiPriority w:val="99"/>
    <w:semiHidden/>
    <w:rsid w:val="00FE43E7"/>
    <w:rPr>
      <w:b/>
      <w:bCs/>
    </w:rPr>
  </w:style>
  <w:style w:type="character" w:customStyle="1" w:styleId="CommentSubjectChar">
    <w:name w:val="Comment Subject Char"/>
    <w:basedOn w:val="CommentTextChar"/>
    <w:link w:val="CommentSubject"/>
    <w:uiPriority w:val="99"/>
    <w:semiHidden/>
    <w:locked/>
    <w:rsid w:val="00FE43E7"/>
    <w:rPr>
      <w:rFonts w:cs="Times New Roman"/>
      <w:b/>
    </w:rPr>
  </w:style>
  <w:style w:type="character" w:customStyle="1" w:styleId="NoteikumutekstamRakstz">
    <w:name w:val="Noteikumu tekstam Rakstz."/>
    <w:uiPriority w:val="99"/>
    <w:rsid w:val="001E6FD8"/>
    <w:rPr>
      <w:color w:val="000000"/>
      <w:sz w:val="24"/>
      <w:lang w:val="lv-LV" w:eastAsia="lv-LV"/>
    </w:rPr>
  </w:style>
  <w:style w:type="paragraph" w:styleId="BodyText2">
    <w:name w:val="Body Text 2"/>
    <w:basedOn w:val="Normal"/>
    <w:link w:val="BodyText2Char"/>
    <w:uiPriority w:val="99"/>
    <w:rsid w:val="004D069B"/>
    <w:pPr>
      <w:spacing w:after="120" w:line="480" w:lineRule="auto"/>
    </w:pPr>
  </w:style>
  <w:style w:type="character" w:customStyle="1" w:styleId="BodyText2Char">
    <w:name w:val="Body Text 2 Char"/>
    <w:basedOn w:val="DefaultParagraphFont"/>
    <w:link w:val="BodyText2"/>
    <w:uiPriority w:val="99"/>
    <w:locked/>
    <w:rsid w:val="004D069B"/>
    <w:rPr>
      <w:sz w:val="24"/>
    </w:rPr>
  </w:style>
  <w:style w:type="paragraph" w:customStyle="1" w:styleId="Noteikumutekstam">
    <w:name w:val="Noteikumu tekstam"/>
    <w:basedOn w:val="Normal"/>
    <w:autoRedefine/>
    <w:uiPriority w:val="99"/>
    <w:rsid w:val="00992BF0"/>
    <w:pPr>
      <w:tabs>
        <w:tab w:val="left" w:pos="709"/>
      </w:tabs>
      <w:jc w:val="both"/>
    </w:pPr>
    <w:rPr>
      <w:color w:val="000000"/>
      <w:sz w:val="28"/>
      <w:szCs w:val="28"/>
    </w:rPr>
  </w:style>
  <w:style w:type="paragraph" w:customStyle="1" w:styleId="Noteikumuapakpunkti">
    <w:name w:val="Noteikumu apakšpunkti"/>
    <w:basedOn w:val="Noteikumutekstam"/>
    <w:uiPriority w:val="99"/>
    <w:rsid w:val="00BD6A67"/>
    <w:pPr>
      <w:numPr>
        <w:ilvl w:val="1"/>
      </w:numPr>
    </w:pPr>
  </w:style>
  <w:style w:type="paragraph" w:customStyle="1" w:styleId="Noteikumuapakpunkti2">
    <w:name w:val="Noteikumu apakšpunkti_2"/>
    <w:basedOn w:val="Noteikumuapakpunkti"/>
    <w:uiPriority w:val="99"/>
    <w:rsid w:val="00BD6A67"/>
    <w:pPr>
      <w:numPr>
        <w:ilvl w:val="2"/>
      </w:numPr>
    </w:pPr>
  </w:style>
  <w:style w:type="paragraph" w:customStyle="1" w:styleId="Noteikumuapakpunkt3">
    <w:name w:val="Noteikumu apakšpunkt_3"/>
    <w:basedOn w:val="Noteikumuapakpunkti2"/>
    <w:uiPriority w:val="99"/>
    <w:rsid w:val="00BD6A67"/>
    <w:pPr>
      <w:numPr>
        <w:ilvl w:val="3"/>
      </w:numPr>
    </w:pPr>
  </w:style>
  <w:style w:type="paragraph" w:customStyle="1" w:styleId="RakstzCharCharRakstzCharCharRakstz1">
    <w:name w:val="Rakstz. Char Char Rakstz. Char Char Rakstz.1"/>
    <w:basedOn w:val="Normal"/>
    <w:uiPriority w:val="99"/>
    <w:rsid w:val="006C666E"/>
    <w:pPr>
      <w:spacing w:after="160" w:line="240" w:lineRule="exact"/>
    </w:pPr>
    <w:rPr>
      <w:iCs/>
      <w:sz w:val="20"/>
      <w:szCs w:val="20"/>
      <w:lang w:val="en-US" w:eastAsia="en-US"/>
    </w:rPr>
  </w:style>
  <w:style w:type="character" w:customStyle="1" w:styleId="apple-style-span">
    <w:name w:val="apple-style-span"/>
    <w:basedOn w:val="DefaultParagraphFont"/>
    <w:uiPriority w:val="99"/>
    <w:rsid w:val="00C950E9"/>
    <w:rPr>
      <w:rFonts w:cs="Times New Roman"/>
    </w:rPr>
  </w:style>
  <w:style w:type="paragraph" w:styleId="Revision">
    <w:name w:val="Revision"/>
    <w:hidden/>
    <w:uiPriority w:val="99"/>
    <w:semiHidden/>
    <w:rsid w:val="004C7D72"/>
    <w:rPr>
      <w:sz w:val="24"/>
      <w:szCs w:val="24"/>
    </w:rPr>
  </w:style>
  <w:style w:type="character" w:customStyle="1" w:styleId="apple-converted-space">
    <w:name w:val="apple-converted-space"/>
    <w:basedOn w:val="DefaultParagraphFont"/>
    <w:uiPriority w:val="99"/>
    <w:rsid w:val="00981E2A"/>
    <w:rPr>
      <w:rFonts w:cs="Times New Roman"/>
    </w:rPr>
  </w:style>
  <w:style w:type="paragraph" w:styleId="PlainText">
    <w:name w:val="Plain Text"/>
    <w:basedOn w:val="Normal"/>
    <w:link w:val="PlainTextChar"/>
    <w:uiPriority w:val="99"/>
    <w:rsid w:val="00981E2A"/>
    <w:rPr>
      <w:rFonts w:ascii="Consolas" w:hAnsi="Consolas"/>
      <w:sz w:val="21"/>
      <w:szCs w:val="21"/>
      <w:lang w:eastAsia="en-US"/>
    </w:rPr>
  </w:style>
  <w:style w:type="character" w:customStyle="1" w:styleId="PlainTextChar">
    <w:name w:val="Plain Text Char"/>
    <w:basedOn w:val="DefaultParagraphFont"/>
    <w:link w:val="PlainText"/>
    <w:uiPriority w:val="99"/>
    <w:locked/>
    <w:rsid w:val="00981E2A"/>
    <w:rPr>
      <w:rFonts w:ascii="Consolas" w:eastAsia="Times New Roman" w:hAnsi="Consolas"/>
      <w:sz w:val="21"/>
      <w:lang w:eastAsia="en-US"/>
    </w:rPr>
  </w:style>
  <w:style w:type="paragraph" w:customStyle="1" w:styleId="Default">
    <w:name w:val="Default"/>
    <w:rsid w:val="00813DDB"/>
    <w:pPr>
      <w:autoSpaceDE w:val="0"/>
      <w:autoSpaceDN w:val="0"/>
      <w:adjustRightInd w:val="0"/>
    </w:pPr>
    <w:rPr>
      <w:color w:val="000000"/>
      <w:sz w:val="24"/>
      <w:szCs w:val="24"/>
    </w:rPr>
  </w:style>
  <w:style w:type="paragraph" w:styleId="Subtitle">
    <w:name w:val="Subtitle"/>
    <w:basedOn w:val="Normal"/>
    <w:next w:val="Normal"/>
    <w:link w:val="SubtitleChar"/>
    <w:uiPriority w:val="99"/>
    <w:qFormat/>
    <w:locked/>
    <w:rsid w:val="008C5391"/>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8C5391"/>
    <w:rPr>
      <w:rFonts w:ascii="Cambria" w:hAnsi="Cambria"/>
      <w:sz w:val="24"/>
    </w:rPr>
  </w:style>
  <w:style w:type="paragraph" w:customStyle="1" w:styleId="tvhtml">
    <w:name w:val="tv_html"/>
    <w:basedOn w:val="Normal"/>
    <w:uiPriority w:val="99"/>
    <w:rsid w:val="002C34C5"/>
    <w:pPr>
      <w:spacing w:before="100" w:beforeAutospacing="1" w:after="100" w:afterAutospacing="1"/>
    </w:pPr>
  </w:style>
  <w:style w:type="character" w:customStyle="1" w:styleId="CharChar4">
    <w:name w:val="Char Char4"/>
    <w:uiPriority w:val="99"/>
    <w:rsid w:val="00F155FC"/>
    <w:rPr>
      <w:sz w:val="24"/>
      <w:lang w:val="lv-LV" w:eastAsia="lv-LV"/>
    </w:rPr>
  </w:style>
  <w:style w:type="paragraph" w:styleId="BodyText">
    <w:name w:val="Body Text"/>
    <w:basedOn w:val="Normal"/>
    <w:link w:val="BodyTextChar"/>
    <w:uiPriority w:val="99"/>
    <w:rsid w:val="00DE3BC7"/>
    <w:pPr>
      <w:spacing w:after="120"/>
    </w:pPr>
  </w:style>
  <w:style w:type="character" w:customStyle="1" w:styleId="BodyTextChar">
    <w:name w:val="Body Text Char"/>
    <w:basedOn w:val="DefaultParagraphFont"/>
    <w:link w:val="BodyText"/>
    <w:uiPriority w:val="99"/>
    <w:locked/>
    <w:rsid w:val="00DE3BC7"/>
    <w:rPr>
      <w:sz w:val="24"/>
    </w:rPr>
  </w:style>
  <w:style w:type="character" w:customStyle="1" w:styleId="EE-paragrCharCharChar1">
    <w:name w:val="EE-paragr Char Char Char1"/>
    <w:link w:val="EE-paragrCharChar"/>
    <w:uiPriority w:val="99"/>
    <w:locked/>
    <w:rsid w:val="00FD417C"/>
    <w:rPr>
      <w:b/>
      <w:sz w:val="24"/>
    </w:rPr>
  </w:style>
  <w:style w:type="paragraph" w:customStyle="1" w:styleId="EE-paragrCharChar">
    <w:name w:val="EE-paragr Char Char"/>
    <w:basedOn w:val="Normal"/>
    <w:link w:val="EE-paragrCharCharChar1"/>
    <w:autoRedefine/>
    <w:uiPriority w:val="99"/>
    <w:rsid w:val="00FD417C"/>
    <w:pPr>
      <w:jc w:val="both"/>
    </w:pPr>
    <w:rPr>
      <w:b/>
      <w:bCs/>
    </w:rPr>
  </w:style>
  <w:style w:type="paragraph" w:styleId="HTMLPreformatted">
    <w:name w:val="HTML Preformatted"/>
    <w:basedOn w:val="Normal"/>
    <w:link w:val="HTMLPreformattedChar"/>
    <w:uiPriority w:val="99"/>
    <w:semiHidden/>
    <w:rsid w:val="000A7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0A7DED"/>
    <w:rPr>
      <w:rFonts w:ascii="Courier New" w:hAnsi="Courier New"/>
    </w:rPr>
  </w:style>
  <w:style w:type="paragraph" w:styleId="NoSpacing">
    <w:name w:val="No Spacing"/>
    <w:basedOn w:val="Normal"/>
    <w:uiPriority w:val="1"/>
    <w:qFormat/>
    <w:rsid w:val="00257056"/>
    <w:pPr>
      <w:ind w:firstLine="720"/>
      <w:jc w:val="both"/>
    </w:pPr>
    <w:rPr>
      <w:sz w:val="26"/>
      <w:szCs w:val="26"/>
      <w:lang w:eastAsia="en-US"/>
    </w:rPr>
  </w:style>
  <w:style w:type="paragraph" w:customStyle="1" w:styleId="CM1">
    <w:name w:val="CM1"/>
    <w:basedOn w:val="Normal"/>
    <w:uiPriority w:val="99"/>
    <w:rsid w:val="00C54021"/>
    <w:pPr>
      <w:autoSpaceDE w:val="0"/>
      <w:autoSpaceDN w:val="0"/>
    </w:pPr>
    <w:rPr>
      <w:rFonts w:ascii="EUAlbertina" w:hAnsi="EUAlbertina"/>
      <w:lang w:val="en-US" w:eastAsia="en-US"/>
    </w:rPr>
  </w:style>
  <w:style w:type="paragraph" w:customStyle="1" w:styleId="CM4">
    <w:name w:val="CM4"/>
    <w:basedOn w:val="Normal"/>
    <w:uiPriority w:val="99"/>
    <w:rsid w:val="00C54021"/>
    <w:pPr>
      <w:autoSpaceDE w:val="0"/>
      <w:autoSpaceDN w:val="0"/>
    </w:pPr>
    <w:rPr>
      <w:rFonts w:ascii="EUAlbertina" w:hAnsi="EUAlbertina"/>
      <w:lang w:val="en-US" w:eastAsia="en-US"/>
    </w:rPr>
  </w:style>
  <w:style w:type="character" w:customStyle="1" w:styleId="ListParagraphChar">
    <w:name w:val="List Paragraph Char"/>
    <w:aliases w:val="2 Char,H&amp;P List Paragraph Char,List Paragraph1 Char,Saraksta rindkopa Char,Strip Char,Saraksta rindkopa1 Char,Normal bullet 2 Char,Bullet list Char,Colorful List - Accent 12 Char,Bullet 1 Char,Bullet Points Char,Dot pt Char"/>
    <w:link w:val="ListParagraph"/>
    <w:uiPriority w:val="34"/>
    <w:qFormat/>
    <w:locked/>
    <w:rsid w:val="003D5BDA"/>
    <w:rPr>
      <w:rFonts w:ascii="Calibri" w:hAnsi="Calibri"/>
      <w:sz w:val="22"/>
      <w:lang w:eastAsia="en-US"/>
    </w:r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2"/>
    <w:uiPriority w:val="99"/>
    <w:rsid w:val="003D5BDA"/>
    <w:rPr>
      <w:sz w:val="20"/>
      <w:szCs w:val="20"/>
    </w:rPr>
  </w:style>
  <w:style w:type="character" w:customStyle="1" w:styleId="FootnoteTextChar">
    <w:name w:val="Footnote Text Char"/>
    <w:aliases w:val="Footnote Text Char Char Char,Footnote Text Char Char Char Char Char,Footnote Text Char Char Char Char Char Char Char,Footnote Text Char1 Char,Footnote Text Char1 Char Char Char,Footnote Text Char1 Char Char1 Char Char Char,f Char"/>
    <w:basedOn w:val="DefaultParagraphFont"/>
    <w:uiPriority w:val="99"/>
    <w:rsid w:val="00152D05"/>
    <w:rPr>
      <w:sz w:val="20"/>
      <w:szCs w:val="20"/>
    </w:rPr>
  </w:style>
  <w:style w:type="character" w:customStyle="1" w:styleId="FootnoteTextChar2">
    <w:name w:val="Footnote Text Char2"/>
    <w:aliases w:val="Footnote Char,Footnote Text Char Char Char1,Footnote Text Char Char Char Char Char1,Footnote Text Char Char Char Char Char Char Char1,Footnote Text Char1 Char1,Footnote Text Char1 Char Char Char1,f Char1"/>
    <w:link w:val="FootnoteText"/>
    <w:uiPriority w:val="99"/>
    <w:locked/>
    <w:rsid w:val="003D5BDA"/>
    <w:rPr>
      <w:rFonts w:eastAsia="Times New Roman"/>
    </w:rPr>
  </w:style>
  <w:style w:type="paragraph" w:customStyle="1" w:styleId="tbl-hdr">
    <w:name w:val="tbl-hdr"/>
    <w:basedOn w:val="Normal"/>
    <w:uiPriority w:val="99"/>
    <w:rsid w:val="00E16F3F"/>
    <w:pPr>
      <w:spacing w:before="100" w:beforeAutospacing="1" w:after="100" w:afterAutospacing="1"/>
    </w:pPr>
  </w:style>
  <w:style w:type="paragraph" w:customStyle="1" w:styleId="tbl-txt">
    <w:name w:val="tbl-txt"/>
    <w:basedOn w:val="Normal"/>
    <w:uiPriority w:val="99"/>
    <w:rsid w:val="00E16F3F"/>
    <w:pPr>
      <w:spacing w:before="100" w:beforeAutospacing="1" w:after="100" w:afterAutospacing="1"/>
    </w:p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rsid w:val="007D59E1"/>
    <w:rPr>
      <w:rFonts w:cs="Times New Roman"/>
      <w:vertAlign w:val="superscript"/>
    </w:rPr>
  </w:style>
  <w:style w:type="character" w:customStyle="1" w:styleId="cspklasifikatorscodename">
    <w:name w:val="csp_klasifikators_code_name"/>
    <w:rsid w:val="007D59E1"/>
  </w:style>
  <w:style w:type="paragraph" w:customStyle="1" w:styleId="CM3">
    <w:name w:val="CM3"/>
    <w:basedOn w:val="Default"/>
    <w:next w:val="Default"/>
    <w:uiPriority w:val="99"/>
    <w:rsid w:val="001C3708"/>
    <w:rPr>
      <w:rFonts w:ascii="EUAlbertina" w:hAnsi="EUAlbertina"/>
      <w:color w:val="auto"/>
    </w:rPr>
  </w:style>
  <w:style w:type="paragraph" w:customStyle="1" w:styleId="Vidjsreis2">
    <w:name w:val="Vidējs režģis 2"/>
    <w:uiPriority w:val="1"/>
    <w:qFormat/>
    <w:rsid w:val="00EC67B9"/>
    <w:rPr>
      <w:rFonts w:ascii="Calibri" w:eastAsia="Calibri" w:hAnsi="Calibri"/>
      <w:lang w:eastAsia="en-US"/>
    </w:rPr>
  </w:style>
  <w:style w:type="paragraph" w:customStyle="1" w:styleId="tv213">
    <w:name w:val="tv213"/>
    <w:basedOn w:val="Normal"/>
    <w:rsid w:val="00630914"/>
    <w:pPr>
      <w:spacing w:before="100" w:beforeAutospacing="1" w:after="100" w:afterAutospacing="1"/>
    </w:pPr>
  </w:style>
  <w:style w:type="paragraph" w:customStyle="1" w:styleId="CharCharCharChar">
    <w:name w:val="Char Char Char Char"/>
    <w:aliases w:val="Char2"/>
    <w:basedOn w:val="Normal"/>
    <w:next w:val="Normal"/>
    <w:link w:val="FootnoteReference"/>
    <w:rsid w:val="007B4083"/>
    <w:pPr>
      <w:spacing w:after="160" w:line="240" w:lineRule="exact"/>
      <w:jc w:val="both"/>
      <w:textAlignment w:val="baseline"/>
    </w:pPr>
    <w:rPr>
      <w:sz w:val="22"/>
      <w:szCs w:val="22"/>
      <w:vertAlign w:val="superscript"/>
    </w:rPr>
  </w:style>
  <w:style w:type="paragraph" w:customStyle="1" w:styleId="ISBulletText">
    <w:name w:val="IS Bullet Text"/>
    <w:basedOn w:val="Normal"/>
    <w:link w:val="ISBulletTextChar"/>
    <w:uiPriority w:val="99"/>
    <w:rsid w:val="007B4083"/>
    <w:pPr>
      <w:numPr>
        <w:numId w:val="4"/>
      </w:numPr>
      <w:overflowPunct w:val="0"/>
      <w:autoSpaceDE w:val="0"/>
      <w:autoSpaceDN w:val="0"/>
      <w:adjustRightInd w:val="0"/>
      <w:spacing w:before="60" w:after="60"/>
      <w:jc w:val="both"/>
      <w:textAlignment w:val="baseline"/>
    </w:pPr>
    <w:rPr>
      <w:rFonts w:ascii="Calibri" w:eastAsia="MS Mincho" w:hAnsi="Calibri" w:cs="Arial"/>
      <w:sz w:val="22"/>
      <w:szCs w:val="18"/>
    </w:rPr>
  </w:style>
  <w:style w:type="character" w:customStyle="1" w:styleId="ISBulletTextChar">
    <w:name w:val="IS Bullet Text Char"/>
    <w:link w:val="ISBulletText"/>
    <w:uiPriority w:val="99"/>
    <w:rsid w:val="007B4083"/>
    <w:rPr>
      <w:rFonts w:ascii="Calibri" w:eastAsia="MS Mincho" w:hAnsi="Calibri" w:cs="Arial"/>
      <w:szCs w:val="18"/>
    </w:rPr>
  </w:style>
  <w:style w:type="numbering" w:customStyle="1" w:styleId="ISBullets">
    <w:name w:val="IS Bullets"/>
    <w:uiPriority w:val="99"/>
    <w:rsid w:val="007B4083"/>
    <w:pPr>
      <w:numPr>
        <w:numId w:val="3"/>
      </w:numPr>
    </w:pPr>
  </w:style>
  <w:style w:type="paragraph" w:customStyle="1" w:styleId="VPBody">
    <w:name w:val="VP Body"/>
    <w:basedOn w:val="Normal"/>
    <w:rsid w:val="008D2689"/>
    <w:pPr>
      <w:spacing w:before="80" w:after="80"/>
      <w:jc w:val="both"/>
    </w:pPr>
    <w:rPr>
      <w:rFonts w:eastAsiaTheme="minorHAnsi"/>
    </w:rPr>
  </w:style>
  <w:style w:type="paragraph" w:customStyle="1" w:styleId="Standard">
    <w:name w:val="Standard"/>
    <w:rsid w:val="00D11516"/>
    <w:pPr>
      <w:suppressAutoHyphens/>
      <w:autoSpaceDN w:val="0"/>
    </w:pPr>
    <w:rPr>
      <w:kern w:val="3"/>
      <w:sz w:val="28"/>
      <w:lang w:eastAsia="en-US"/>
    </w:rPr>
  </w:style>
  <w:style w:type="paragraph" w:customStyle="1" w:styleId="yiv5726173640msonormal">
    <w:name w:val="yiv5726173640msonormal"/>
    <w:basedOn w:val="Normal"/>
    <w:rsid w:val="00243D56"/>
    <w:pPr>
      <w:spacing w:before="100" w:beforeAutospacing="1" w:after="100" w:afterAutospacing="1"/>
    </w:pPr>
  </w:style>
  <w:style w:type="character" w:customStyle="1" w:styleId="light1">
    <w:name w:val="light1"/>
    <w:basedOn w:val="DefaultParagraphFont"/>
    <w:rsid w:val="00736B52"/>
    <w:rPr>
      <w:rFonts w:ascii="Tahoma" w:hAnsi="Tahoma" w:cs="Tahoma" w:hint="default"/>
      <w:sz w:val="10"/>
      <w:szCs w:val="10"/>
    </w:rPr>
  </w:style>
  <w:style w:type="paragraph" w:customStyle="1" w:styleId="NoSpacing1">
    <w:name w:val="No Spacing1"/>
    <w:qFormat/>
    <w:rsid w:val="001C4635"/>
    <w:rPr>
      <w:rFonts w:ascii="Calibri" w:eastAsia="Calibri" w:hAnsi="Calibri"/>
      <w:lang w:eastAsia="en-US"/>
    </w:rPr>
  </w:style>
  <w:style w:type="paragraph" w:customStyle="1" w:styleId="Atklasts">
    <w:name w:val="Atklasts"/>
    <w:basedOn w:val="Normal"/>
    <w:rsid w:val="00E57A9B"/>
    <w:pPr>
      <w:jc w:val="both"/>
    </w:pPr>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91496">
      <w:bodyDiv w:val="1"/>
      <w:marLeft w:val="0"/>
      <w:marRight w:val="0"/>
      <w:marTop w:val="0"/>
      <w:marBottom w:val="0"/>
      <w:divBdr>
        <w:top w:val="none" w:sz="0" w:space="0" w:color="auto"/>
        <w:left w:val="none" w:sz="0" w:space="0" w:color="auto"/>
        <w:bottom w:val="none" w:sz="0" w:space="0" w:color="auto"/>
        <w:right w:val="none" w:sz="0" w:space="0" w:color="auto"/>
      </w:divBdr>
    </w:div>
    <w:div w:id="101875292">
      <w:bodyDiv w:val="1"/>
      <w:marLeft w:val="0"/>
      <w:marRight w:val="0"/>
      <w:marTop w:val="0"/>
      <w:marBottom w:val="0"/>
      <w:divBdr>
        <w:top w:val="none" w:sz="0" w:space="0" w:color="auto"/>
        <w:left w:val="none" w:sz="0" w:space="0" w:color="auto"/>
        <w:bottom w:val="none" w:sz="0" w:space="0" w:color="auto"/>
        <w:right w:val="none" w:sz="0" w:space="0" w:color="auto"/>
      </w:divBdr>
    </w:div>
    <w:div w:id="279458340">
      <w:bodyDiv w:val="1"/>
      <w:marLeft w:val="0"/>
      <w:marRight w:val="0"/>
      <w:marTop w:val="0"/>
      <w:marBottom w:val="0"/>
      <w:divBdr>
        <w:top w:val="none" w:sz="0" w:space="0" w:color="auto"/>
        <w:left w:val="none" w:sz="0" w:space="0" w:color="auto"/>
        <w:bottom w:val="none" w:sz="0" w:space="0" w:color="auto"/>
        <w:right w:val="none" w:sz="0" w:space="0" w:color="auto"/>
      </w:divBdr>
    </w:div>
    <w:div w:id="400375820">
      <w:bodyDiv w:val="1"/>
      <w:marLeft w:val="0"/>
      <w:marRight w:val="0"/>
      <w:marTop w:val="0"/>
      <w:marBottom w:val="0"/>
      <w:divBdr>
        <w:top w:val="none" w:sz="0" w:space="0" w:color="auto"/>
        <w:left w:val="none" w:sz="0" w:space="0" w:color="auto"/>
        <w:bottom w:val="none" w:sz="0" w:space="0" w:color="auto"/>
        <w:right w:val="none" w:sz="0" w:space="0" w:color="auto"/>
      </w:divBdr>
    </w:div>
    <w:div w:id="540242348">
      <w:bodyDiv w:val="1"/>
      <w:marLeft w:val="0"/>
      <w:marRight w:val="0"/>
      <w:marTop w:val="0"/>
      <w:marBottom w:val="0"/>
      <w:divBdr>
        <w:top w:val="none" w:sz="0" w:space="0" w:color="auto"/>
        <w:left w:val="none" w:sz="0" w:space="0" w:color="auto"/>
        <w:bottom w:val="none" w:sz="0" w:space="0" w:color="auto"/>
        <w:right w:val="none" w:sz="0" w:space="0" w:color="auto"/>
      </w:divBdr>
    </w:div>
    <w:div w:id="662045462">
      <w:bodyDiv w:val="1"/>
      <w:marLeft w:val="0"/>
      <w:marRight w:val="0"/>
      <w:marTop w:val="0"/>
      <w:marBottom w:val="0"/>
      <w:divBdr>
        <w:top w:val="none" w:sz="0" w:space="0" w:color="auto"/>
        <w:left w:val="none" w:sz="0" w:space="0" w:color="auto"/>
        <w:bottom w:val="none" w:sz="0" w:space="0" w:color="auto"/>
        <w:right w:val="none" w:sz="0" w:space="0" w:color="auto"/>
      </w:divBdr>
    </w:div>
    <w:div w:id="823005850">
      <w:bodyDiv w:val="1"/>
      <w:marLeft w:val="0"/>
      <w:marRight w:val="0"/>
      <w:marTop w:val="0"/>
      <w:marBottom w:val="0"/>
      <w:divBdr>
        <w:top w:val="none" w:sz="0" w:space="0" w:color="auto"/>
        <w:left w:val="none" w:sz="0" w:space="0" w:color="auto"/>
        <w:bottom w:val="none" w:sz="0" w:space="0" w:color="auto"/>
        <w:right w:val="none" w:sz="0" w:space="0" w:color="auto"/>
      </w:divBdr>
    </w:div>
    <w:div w:id="1383285557">
      <w:bodyDiv w:val="1"/>
      <w:marLeft w:val="0"/>
      <w:marRight w:val="0"/>
      <w:marTop w:val="0"/>
      <w:marBottom w:val="0"/>
      <w:divBdr>
        <w:top w:val="none" w:sz="0" w:space="0" w:color="auto"/>
        <w:left w:val="none" w:sz="0" w:space="0" w:color="auto"/>
        <w:bottom w:val="none" w:sz="0" w:space="0" w:color="auto"/>
        <w:right w:val="none" w:sz="0" w:space="0" w:color="auto"/>
      </w:divBdr>
    </w:div>
    <w:div w:id="1764523068">
      <w:bodyDiv w:val="1"/>
      <w:marLeft w:val="0"/>
      <w:marRight w:val="0"/>
      <w:marTop w:val="0"/>
      <w:marBottom w:val="0"/>
      <w:divBdr>
        <w:top w:val="none" w:sz="0" w:space="0" w:color="auto"/>
        <w:left w:val="none" w:sz="0" w:space="0" w:color="auto"/>
        <w:bottom w:val="none" w:sz="0" w:space="0" w:color="auto"/>
        <w:right w:val="none" w:sz="0" w:space="0" w:color="auto"/>
      </w:divBdr>
    </w:div>
    <w:div w:id="205195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ija.bistere@vara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ene.dorbe@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F5A70-1ABB-45DC-BEF7-816F1DE0C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6</Pages>
  <Words>9002</Words>
  <Characters>5132</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VARAM</Company>
  <LinksUpToDate>false</LinksUpToDate>
  <CharactersWithSpaces>14106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 par atzinumos sniegtajiem iebildumiem</dc:subject>
  <dc:creator>Liene Dorbe</dc:creator>
  <cp:lastModifiedBy>RIKTI</cp:lastModifiedBy>
  <cp:revision>1</cp:revision>
  <cp:lastPrinted>2015-09-29T06:08:00Z</cp:lastPrinted>
  <dcterms:created xsi:type="dcterms:W3CDTF">2020-02-13T10:43:00Z</dcterms:created>
  <dcterms:modified xsi:type="dcterms:W3CDTF">2020-12-01T08:45:00Z</dcterms:modified>
</cp:coreProperties>
</file>