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C9D4F" w14:textId="0BFC5CCE" w:rsidR="00150675" w:rsidRPr="00CA1C6E" w:rsidRDefault="00150675" w:rsidP="00150675">
      <w:pPr>
        <w:pStyle w:val="Heading3"/>
        <w:ind w:left="5812" w:hanging="101"/>
        <w:jc w:val="right"/>
        <w:rPr>
          <w:b w:val="0"/>
          <w:bCs/>
          <w:sz w:val="28"/>
          <w:szCs w:val="32"/>
        </w:rPr>
      </w:pPr>
      <w:bookmarkStart w:id="0" w:name="_Hlk44922966"/>
      <w:bookmarkStart w:id="1" w:name="_Toc461483304"/>
      <w:bookmarkStart w:id="2" w:name="_Toc436402287"/>
      <w:r w:rsidRPr="00CA1C6E">
        <w:rPr>
          <w:b w:val="0"/>
          <w:bCs/>
          <w:caps w:val="0"/>
          <w:sz w:val="28"/>
          <w:szCs w:val="32"/>
        </w:rPr>
        <w:t>Pielikums</w:t>
      </w:r>
    </w:p>
    <w:p w14:paraId="48BBC813" w14:textId="77777777" w:rsidR="00150675" w:rsidRPr="008126E6" w:rsidRDefault="00150675" w:rsidP="00150675">
      <w:pPr>
        <w:pStyle w:val="List"/>
        <w:ind w:left="5812" w:hanging="101"/>
        <w:jc w:val="right"/>
        <w:rPr>
          <w:sz w:val="28"/>
          <w:szCs w:val="28"/>
          <w:lang w:val="lv-LV"/>
        </w:rPr>
      </w:pPr>
      <w:r w:rsidRPr="008126E6">
        <w:rPr>
          <w:sz w:val="28"/>
          <w:szCs w:val="28"/>
          <w:lang w:val="lv-LV"/>
        </w:rPr>
        <w:t>Ministru kabineta</w:t>
      </w:r>
    </w:p>
    <w:p w14:paraId="66F75BB7" w14:textId="322344F9" w:rsidR="00150675" w:rsidRPr="008126E6" w:rsidRDefault="00150675" w:rsidP="00150675">
      <w:pPr>
        <w:pStyle w:val="List"/>
        <w:ind w:left="5812" w:hanging="567"/>
        <w:jc w:val="right"/>
        <w:rPr>
          <w:sz w:val="28"/>
          <w:szCs w:val="28"/>
          <w:lang w:val="lv-LV"/>
        </w:rPr>
      </w:pPr>
      <w:r w:rsidRPr="008126E6">
        <w:rPr>
          <w:sz w:val="28"/>
          <w:szCs w:val="28"/>
          <w:lang w:val="lv-LV"/>
        </w:rPr>
        <w:t>20</w:t>
      </w:r>
      <w:r>
        <w:rPr>
          <w:sz w:val="28"/>
          <w:szCs w:val="28"/>
          <w:lang w:val="lv-LV"/>
        </w:rPr>
        <w:t>20. gada </w:t>
      </w:r>
      <w:r w:rsidR="00987910">
        <w:rPr>
          <w:sz w:val="28"/>
          <w:szCs w:val="28"/>
        </w:rPr>
        <w:t>4. decembr</w:t>
      </w:r>
      <w:r w:rsidR="00987910">
        <w:rPr>
          <w:sz w:val="28"/>
          <w:szCs w:val="28"/>
        </w:rPr>
        <w:t>a</w:t>
      </w:r>
    </w:p>
    <w:p w14:paraId="3A865B04" w14:textId="1D920097" w:rsidR="00150675" w:rsidRPr="008126E6" w:rsidRDefault="00150675" w:rsidP="00150675">
      <w:pPr>
        <w:pStyle w:val="List"/>
        <w:tabs>
          <w:tab w:val="left" w:pos="6804"/>
        </w:tabs>
        <w:ind w:left="5812" w:hanging="101"/>
        <w:jc w:val="right"/>
        <w:rPr>
          <w:sz w:val="28"/>
          <w:szCs w:val="28"/>
          <w:lang w:val="lv-LV"/>
        </w:rPr>
      </w:pPr>
      <w:r w:rsidRPr="008126E6">
        <w:rPr>
          <w:sz w:val="28"/>
          <w:szCs w:val="28"/>
          <w:lang w:val="lv-LV"/>
        </w:rPr>
        <w:t>rīkojumam Nr.</w:t>
      </w:r>
      <w:r>
        <w:rPr>
          <w:sz w:val="28"/>
          <w:szCs w:val="28"/>
          <w:lang w:val="lv-LV"/>
        </w:rPr>
        <w:t> </w:t>
      </w:r>
      <w:r w:rsidR="00987910">
        <w:rPr>
          <w:sz w:val="28"/>
          <w:szCs w:val="28"/>
          <w:lang w:val="lv-LV"/>
        </w:rPr>
        <w:t>732</w:t>
      </w:r>
      <w:bookmarkStart w:id="3" w:name="_GoBack"/>
      <w:bookmarkEnd w:id="3"/>
    </w:p>
    <w:bookmarkEnd w:id="0"/>
    <w:p w14:paraId="3E8EAB7C" w14:textId="2360D4B3" w:rsidR="005D7588" w:rsidRPr="003B7440" w:rsidRDefault="005D7588" w:rsidP="00150675">
      <w:pPr>
        <w:ind w:left="5812" w:firstLine="720"/>
        <w:jc w:val="right"/>
        <w:rPr>
          <w:rFonts w:ascii="Times New Roman" w:eastAsia="Times New Roman" w:hAnsi="Times New Roman"/>
          <w:sz w:val="28"/>
          <w:szCs w:val="28"/>
          <w:lang w:eastAsia="lv-LV"/>
        </w:rPr>
      </w:pPr>
    </w:p>
    <w:p w14:paraId="04A8F3E8" w14:textId="45966624" w:rsidR="003B7440" w:rsidRPr="003B7440" w:rsidRDefault="003B7440" w:rsidP="00150675">
      <w:pPr>
        <w:ind w:left="720" w:firstLine="720"/>
        <w:jc w:val="right"/>
        <w:rPr>
          <w:rFonts w:ascii="Times New Roman" w:eastAsia="Times New Roman" w:hAnsi="Times New Roman"/>
          <w:sz w:val="28"/>
          <w:szCs w:val="28"/>
          <w:lang w:eastAsia="lv-LV"/>
        </w:rPr>
      </w:pPr>
      <w:r w:rsidRPr="003B7440">
        <w:rPr>
          <w:rFonts w:ascii="Times New Roman" w:hAnsi="Times New Roman"/>
          <w:sz w:val="28"/>
          <w:szCs w:val="28"/>
          <w:shd w:val="clear" w:color="auto" w:fill="FFFFFF"/>
        </w:rPr>
        <w:t>(</w:t>
      </w:r>
      <w:proofErr w:type="gramStart"/>
      <w:r w:rsidRPr="003B7440">
        <w:rPr>
          <w:rFonts w:ascii="Times New Roman" w:hAnsi="Times New Roman"/>
          <w:sz w:val="28"/>
          <w:szCs w:val="28"/>
          <w:shd w:val="clear" w:color="auto" w:fill="FFFFFF"/>
        </w:rPr>
        <w:t>Apstiprināts ar</w:t>
      </w:r>
      <w:r w:rsidRPr="003B7440">
        <w:rPr>
          <w:rFonts w:ascii="Times New Roman" w:hAnsi="Times New Roman"/>
          <w:sz w:val="28"/>
          <w:szCs w:val="28"/>
        </w:rPr>
        <w:br/>
      </w:r>
      <w:r w:rsidRPr="003B7440">
        <w:rPr>
          <w:rFonts w:ascii="Times New Roman" w:hAnsi="Times New Roman"/>
          <w:sz w:val="28"/>
          <w:szCs w:val="28"/>
          <w:shd w:val="clear" w:color="auto" w:fill="FFFFFF"/>
        </w:rPr>
        <w:t>Ministru</w:t>
      </w:r>
      <w:proofErr w:type="gramEnd"/>
      <w:r w:rsidRPr="003B7440">
        <w:rPr>
          <w:rFonts w:ascii="Times New Roman" w:hAnsi="Times New Roman"/>
          <w:sz w:val="28"/>
          <w:szCs w:val="28"/>
          <w:shd w:val="clear" w:color="auto" w:fill="FFFFFF"/>
        </w:rPr>
        <w:t xml:space="preserve"> kabineta</w:t>
      </w:r>
      <w:r w:rsidRPr="003B7440">
        <w:rPr>
          <w:rFonts w:ascii="Times New Roman" w:hAnsi="Times New Roman"/>
          <w:sz w:val="28"/>
          <w:szCs w:val="28"/>
        </w:rPr>
        <w:br/>
      </w:r>
      <w:r w:rsidRPr="003B7440">
        <w:rPr>
          <w:rFonts w:ascii="Times New Roman" w:hAnsi="Times New Roman"/>
          <w:sz w:val="28"/>
          <w:szCs w:val="28"/>
          <w:shd w:val="clear" w:color="auto" w:fill="FFFFFF"/>
        </w:rPr>
        <w:t>2017. gada 31. augusta</w:t>
      </w:r>
      <w:r w:rsidRPr="003B7440">
        <w:rPr>
          <w:rFonts w:ascii="Times New Roman" w:hAnsi="Times New Roman"/>
          <w:sz w:val="28"/>
          <w:szCs w:val="28"/>
        </w:rPr>
        <w:br/>
      </w:r>
      <w:r w:rsidRPr="003B7440">
        <w:rPr>
          <w:rFonts w:ascii="Times New Roman" w:hAnsi="Times New Roman"/>
          <w:sz w:val="28"/>
          <w:szCs w:val="28"/>
          <w:shd w:val="clear" w:color="auto" w:fill="FFFFFF"/>
        </w:rPr>
        <w:t>rīkojumu Nr. 470)</w:t>
      </w:r>
    </w:p>
    <w:p w14:paraId="3DCA4E44" w14:textId="77777777" w:rsidR="008A146B" w:rsidRPr="00566EBB" w:rsidRDefault="008A146B" w:rsidP="00150675">
      <w:pPr>
        <w:keepNext/>
        <w:keepLines/>
        <w:tabs>
          <w:tab w:val="left" w:pos="2552"/>
        </w:tabs>
        <w:jc w:val="center"/>
        <w:outlineLvl w:val="0"/>
        <w:rPr>
          <w:rFonts w:ascii="Times New Roman" w:eastAsiaTheme="majorEastAsia" w:hAnsi="Times New Roman"/>
          <w:bCs/>
          <w:sz w:val="28"/>
          <w:szCs w:val="28"/>
        </w:rPr>
      </w:pPr>
    </w:p>
    <w:p w14:paraId="02559C93" w14:textId="16A11C60" w:rsidR="005D7588" w:rsidRPr="003B7440" w:rsidRDefault="00367255" w:rsidP="00150675">
      <w:pPr>
        <w:keepNext/>
        <w:keepLines/>
        <w:tabs>
          <w:tab w:val="left" w:pos="2552"/>
        </w:tabs>
        <w:jc w:val="center"/>
        <w:outlineLvl w:val="0"/>
        <w:rPr>
          <w:rFonts w:ascii="Times New Roman" w:eastAsiaTheme="majorEastAsia" w:hAnsi="Times New Roman"/>
          <w:b/>
          <w:sz w:val="28"/>
          <w:szCs w:val="28"/>
        </w:rPr>
      </w:pPr>
      <w:r w:rsidRPr="003B7440">
        <w:rPr>
          <w:rFonts w:ascii="Times New Roman" w:eastAsiaTheme="majorEastAsia" w:hAnsi="Times New Roman"/>
          <w:b/>
          <w:sz w:val="28"/>
          <w:szCs w:val="28"/>
        </w:rPr>
        <w:t>Valsts un pašvaldību iestāžu tīmekļvietņu vienotās platformas izveide</w:t>
      </w:r>
    </w:p>
    <w:p w14:paraId="070C2C44" w14:textId="16247704" w:rsidR="00C730C1" w:rsidRPr="003B7440" w:rsidRDefault="00C730C1" w:rsidP="00150675">
      <w:pPr>
        <w:keepNext/>
        <w:keepLines/>
        <w:ind w:left="432"/>
        <w:jc w:val="center"/>
        <w:outlineLvl w:val="0"/>
        <w:rPr>
          <w:rFonts w:ascii="Times New Roman" w:eastAsia="Times New Roman" w:hAnsi="Times New Roman"/>
          <w:b/>
          <w:sz w:val="28"/>
          <w:szCs w:val="28"/>
        </w:rPr>
      </w:pPr>
      <w:bookmarkStart w:id="4" w:name="_Toc49940309"/>
      <w:bookmarkEnd w:id="1"/>
      <w:bookmarkEnd w:id="2"/>
      <w:r w:rsidRPr="003B7440">
        <w:rPr>
          <w:rFonts w:ascii="Times New Roman" w:eastAsia="Times New Roman" w:hAnsi="Times New Roman"/>
          <w:b/>
          <w:sz w:val="28"/>
          <w:szCs w:val="28"/>
        </w:rPr>
        <w:t>Projekta apraksts (kopsavilkums)</w:t>
      </w:r>
      <w:bookmarkEnd w:id="4"/>
    </w:p>
    <w:p w14:paraId="0FF6A2FB" w14:textId="77777777" w:rsidR="00367255" w:rsidRPr="00FB6D05" w:rsidRDefault="00367255" w:rsidP="00150675">
      <w:pPr>
        <w:keepNext/>
        <w:keepLines/>
        <w:ind w:left="432"/>
        <w:jc w:val="center"/>
        <w:outlineLvl w:val="0"/>
        <w:rPr>
          <w:rFonts w:ascii="Times New Roman" w:eastAsia="Times New Roman" w:hAnsi="Times New Roman"/>
          <w:bCs/>
          <w:sz w:val="28"/>
          <w:szCs w:val="28"/>
        </w:rPr>
      </w:pPr>
    </w:p>
    <w:p w14:paraId="7E7784AB" w14:textId="2CD43D8E" w:rsidR="00015D87" w:rsidRDefault="000B670C" w:rsidP="00150675">
      <w:pPr>
        <w:tabs>
          <w:tab w:val="left" w:pos="0"/>
        </w:tabs>
        <w:ind w:firstLine="709"/>
        <w:rPr>
          <w:rFonts w:ascii="Times New Roman" w:hAnsi="Times New Roman"/>
          <w:bCs/>
          <w:sz w:val="28"/>
          <w:szCs w:val="28"/>
        </w:rPr>
      </w:pPr>
      <w:r w:rsidRPr="003B7440">
        <w:rPr>
          <w:rFonts w:ascii="Times New Roman" w:hAnsi="Times New Roman"/>
          <w:bCs/>
          <w:sz w:val="28"/>
          <w:szCs w:val="28"/>
        </w:rPr>
        <w:t>P</w:t>
      </w:r>
      <w:r w:rsidR="00015D87" w:rsidRPr="003B7440">
        <w:rPr>
          <w:rFonts w:ascii="Times New Roman" w:hAnsi="Times New Roman"/>
          <w:bCs/>
          <w:sz w:val="28"/>
          <w:szCs w:val="28"/>
        </w:rPr>
        <w:t xml:space="preserve">rojekts </w:t>
      </w:r>
      <w:r w:rsidR="00150675">
        <w:rPr>
          <w:rFonts w:ascii="Times New Roman" w:hAnsi="Times New Roman"/>
          <w:bCs/>
          <w:sz w:val="28"/>
          <w:szCs w:val="28"/>
        </w:rPr>
        <w:t>"</w:t>
      </w:r>
      <w:r w:rsidR="00015D87" w:rsidRPr="003B7440">
        <w:rPr>
          <w:rFonts w:ascii="Times New Roman" w:hAnsi="Times New Roman"/>
          <w:bCs/>
          <w:sz w:val="28"/>
          <w:szCs w:val="28"/>
        </w:rPr>
        <w:t>Valsts un pašvaldības iestāžu tīmekļvietņu vienotā platforma</w:t>
      </w:r>
      <w:r w:rsidR="00150675">
        <w:rPr>
          <w:rFonts w:ascii="Times New Roman" w:hAnsi="Times New Roman"/>
          <w:bCs/>
          <w:sz w:val="28"/>
          <w:szCs w:val="28"/>
        </w:rPr>
        <w:t>"</w:t>
      </w:r>
      <w:r w:rsidR="00015D87" w:rsidRPr="003B7440">
        <w:rPr>
          <w:rFonts w:ascii="Times New Roman" w:hAnsi="Times New Roman"/>
          <w:bCs/>
          <w:sz w:val="28"/>
          <w:szCs w:val="28"/>
        </w:rPr>
        <w:t xml:space="preserve"> (turpmāk – TVP) paredz izveidot un turpmāk uzturēt vienotu platformu ar vienu tīmekļvietņu satura pārvaldības sistēmu (turpmāk – SPS), kas tiks izmantota platformā izvietoto iestāžu tīmekļvietņu satura un drošības pārvaldībai.</w:t>
      </w:r>
    </w:p>
    <w:p w14:paraId="654A37FE" w14:textId="77777777" w:rsidR="00FB6D05" w:rsidRPr="003B7440" w:rsidRDefault="00FB6D05" w:rsidP="00150675">
      <w:pPr>
        <w:tabs>
          <w:tab w:val="left" w:pos="0"/>
        </w:tabs>
        <w:ind w:firstLine="709"/>
        <w:rPr>
          <w:rFonts w:ascii="Times New Roman" w:hAnsi="Times New Roman"/>
          <w:bCs/>
          <w:sz w:val="28"/>
          <w:szCs w:val="28"/>
        </w:rPr>
      </w:pPr>
    </w:p>
    <w:p w14:paraId="4A299CF1" w14:textId="2347C5ED" w:rsidR="00015D87" w:rsidRPr="003B7440" w:rsidRDefault="00015D87" w:rsidP="00FB6D05">
      <w:pPr>
        <w:numPr>
          <w:ilvl w:val="0"/>
          <w:numId w:val="28"/>
        </w:numPr>
        <w:tabs>
          <w:tab w:val="left" w:pos="0"/>
          <w:tab w:val="left" w:pos="1134"/>
        </w:tabs>
        <w:autoSpaceDE w:val="0"/>
        <w:autoSpaceDN w:val="0"/>
        <w:adjustRightInd w:val="0"/>
        <w:ind w:left="0" w:firstLine="709"/>
        <w:rPr>
          <w:rFonts w:ascii="Times New Roman" w:eastAsia="Times New Roman" w:hAnsi="Times New Roman"/>
          <w:sz w:val="28"/>
          <w:szCs w:val="28"/>
        </w:rPr>
      </w:pPr>
      <w:r w:rsidRPr="003B7440">
        <w:rPr>
          <w:rFonts w:ascii="Times New Roman" w:eastAsia="Times New Roman" w:hAnsi="Times New Roman"/>
          <w:sz w:val="28"/>
          <w:szCs w:val="28"/>
        </w:rPr>
        <w:t>Pilnveidota uz iedzīvotājiem vērsta valsts pārvaldes komunikācija, piedāvājot uz vienotiem pamatprincipiem balstītu tīmekļvietņu struktūru, lietotājiem atpazīstamu vidi un navigāciju, novēršot būtiskāko problēmu</w:t>
      </w:r>
      <w:r w:rsidR="00FB6D05">
        <w:rPr>
          <w:rFonts w:ascii="Times New Roman" w:eastAsia="Times New Roman" w:hAnsi="Times New Roman"/>
          <w:sz w:val="28"/>
          <w:szCs w:val="28"/>
        </w:rPr>
        <w:t xml:space="preserve"> –</w:t>
      </w:r>
      <w:r w:rsidRPr="003B7440">
        <w:rPr>
          <w:rFonts w:ascii="Times New Roman" w:eastAsia="Times New Roman" w:hAnsi="Times New Roman"/>
          <w:sz w:val="28"/>
          <w:szCs w:val="28"/>
        </w:rPr>
        <w:t xml:space="preserve"> iestāžu atšķirīgo pieeju gan vietņu izstrādē, gan pilnveidošanā, kas lielākoties netiek balstīta uz lietotāju vajadzību izpēti. </w:t>
      </w:r>
    </w:p>
    <w:p w14:paraId="158F9A36" w14:textId="194A85C7" w:rsidR="00015D87" w:rsidRDefault="00015D87" w:rsidP="00FB6D05">
      <w:pPr>
        <w:pStyle w:val="ListParagraph"/>
        <w:numPr>
          <w:ilvl w:val="1"/>
          <w:numId w:val="28"/>
        </w:numPr>
        <w:tabs>
          <w:tab w:val="left" w:pos="0"/>
          <w:tab w:val="left" w:pos="1276"/>
        </w:tabs>
        <w:autoSpaceDE w:val="0"/>
        <w:autoSpaceDN w:val="0"/>
        <w:adjustRightInd w:val="0"/>
        <w:ind w:left="0" w:firstLine="709"/>
        <w:rPr>
          <w:rFonts w:ascii="Times New Roman" w:eastAsia="Times New Roman" w:hAnsi="Times New Roman"/>
          <w:sz w:val="28"/>
          <w:szCs w:val="28"/>
        </w:rPr>
      </w:pPr>
      <w:r w:rsidRPr="003B7440">
        <w:rPr>
          <w:rFonts w:ascii="Times New Roman" w:eastAsia="Times New Roman" w:hAnsi="Times New Roman"/>
          <w:sz w:val="28"/>
          <w:szCs w:val="28"/>
        </w:rPr>
        <w:t xml:space="preserve">Tīmekļvietņu pieejamība cilvēkiem ar īpašām vajadzībām, kā arī atbilstība lietošanai mobilajās ierīcēs, ko nosaka </w:t>
      </w:r>
      <w:r w:rsidR="004D582D" w:rsidRPr="003B7440">
        <w:rPr>
          <w:rFonts w:ascii="Times New Roman" w:hAnsi="Times New Roman"/>
          <w:sz w:val="28"/>
          <w:szCs w:val="28"/>
          <w:shd w:val="clear" w:color="auto" w:fill="FFFFFF"/>
        </w:rPr>
        <w:t>Eiropas Parlamenta un Padomes 2016. gada 26. oktobra Direktīva (ES) </w:t>
      </w:r>
      <w:hyperlink r:id="rId11" w:tgtFrame="_blank" w:history="1">
        <w:r w:rsidR="004D582D" w:rsidRPr="003B7440">
          <w:rPr>
            <w:rFonts w:ascii="Times New Roman" w:hAnsi="Times New Roman"/>
            <w:sz w:val="28"/>
            <w:szCs w:val="28"/>
            <w:shd w:val="clear" w:color="auto" w:fill="FFFFFF"/>
          </w:rPr>
          <w:t>2016/2102</w:t>
        </w:r>
      </w:hyperlink>
      <w:r w:rsidR="004D582D" w:rsidRPr="003B7440">
        <w:rPr>
          <w:rFonts w:ascii="Times New Roman" w:hAnsi="Times New Roman"/>
          <w:sz w:val="28"/>
          <w:szCs w:val="28"/>
          <w:shd w:val="clear" w:color="auto" w:fill="FFFFFF"/>
        </w:rPr>
        <w:t xml:space="preserve"> par publiskā sektora struktūru tīmekļvietņu un mobilo lietotņu piekļūstamību </w:t>
      </w:r>
      <w:proofErr w:type="gramStart"/>
      <w:r w:rsidR="004D582D" w:rsidRPr="003B7440">
        <w:rPr>
          <w:rFonts w:ascii="Times New Roman" w:hAnsi="Times New Roman"/>
          <w:sz w:val="28"/>
          <w:szCs w:val="28"/>
          <w:shd w:val="clear" w:color="auto" w:fill="FFFFFF"/>
        </w:rPr>
        <w:t>(</w:t>
      </w:r>
      <w:proofErr w:type="gramEnd"/>
      <w:r w:rsidR="004D582D" w:rsidRPr="003B7440">
        <w:rPr>
          <w:rFonts w:ascii="Times New Roman" w:hAnsi="Times New Roman"/>
          <w:sz w:val="28"/>
          <w:szCs w:val="28"/>
          <w:shd w:val="clear" w:color="auto" w:fill="FFFFFF"/>
        </w:rPr>
        <w:t xml:space="preserve">turpmāk </w:t>
      </w:r>
      <w:r w:rsidR="00FB6D05">
        <w:rPr>
          <w:rFonts w:ascii="Times New Roman" w:hAnsi="Times New Roman"/>
          <w:sz w:val="28"/>
          <w:szCs w:val="28"/>
          <w:shd w:val="clear" w:color="auto" w:fill="FFFFFF"/>
        </w:rPr>
        <w:t>–</w:t>
      </w:r>
      <w:r w:rsidR="004D582D" w:rsidRPr="003B7440">
        <w:rPr>
          <w:rFonts w:ascii="Times New Roman" w:hAnsi="Times New Roman"/>
          <w:sz w:val="28"/>
          <w:szCs w:val="28"/>
          <w:shd w:val="clear" w:color="auto" w:fill="FFFFFF"/>
        </w:rPr>
        <w:t xml:space="preserve"> Direktīva </w:t>
      </w:r>
      <w:hyperlink r:id="rId12" w:tgtFrame="_blank" w:history="1">
        <w:r w:rsidR="004D582D" w:rsidRPr="003B7440">
          <w:rPr>
            <w:rFonts w:ascii="Times New Roman" w:hAnsi="Times New Roman"/>
            <w:sz w:val="28"/>
            <w:szCs w:val="28"/>
            <w:shd w:val="clear" w:color="auto" w:fill="FFFFFF"/>
          </w:rPr>
          <w:t>2016/2102</w:t>
        </w:r>
      </w:hyperlink>
      <w:r w:rsidR="004D582D" w:rsidRPr="003B7440">
        <w:rPr>
          <w:rFonts w:ascii="Times New Roman" w:hAnsi="Times New Roman"/>
          <w:sz w:val="28"/>
          <w:szCs w:val="28"/>
        </w:rPr>
        <w:t>)</w:t>
      </w:r>
      <w:r w:rsidR="00FB6D05">
        <w:rPr>
          <w:rFonts w:ascii="Times New Roman" w:hAnsi="Times New Roman"/>
          <w:sz w:val="28"/>
          <w:szCs w:val="28"/>
        </w:rPr>
        <w:t>.</w:t>
      </w:r>
      <w:r w:rsidR="004D582D" w:rsidRPr="003B7440">
        <w:rPr>
          <w:rFonts w:ascii="Times New Roman" w:hAnsi="Times New Roman"/>
          <w:sz w:val="28"/>
          <w:szCs w:val="28"/>
        </w:rPr>
        <w:t xml:space="preserve"> </w:t>
      </w:r>
      <w:r w:rsidRPr="003B7440">
        <w:rPr>
          <w:rFonts w:ascii="Times New Roman" w:eastAsia="Times New Roman" w:hAnsi="Times New Roman"/>
          <w:sz w:val="28"/>
          <w:szCs w:val="28"/>
        </w:rPr>
        <w:t xml:space="preserve">Novēršot tīmekļvietņu SPS nesaderības problēmu un ierobežotās integrācijas iespējas un ņemot vērā </w:t>
      </w:r>
      <w:proofErr w:type="gramStart"/>
      <w:r w:rsidRPr="003B7440">
        <w:rPr>
          <w:rFonts w:ascii="Times New Roman" w:eastAsia="Times New Roman" w:hAnsi="Times New Roman"/>
          <w:sz w:val="28"/>
          <w:szCs w:val="28"/>
        </w:rPr>
        <w:t>Eiropas Komisijas rekomendācijas,</w:t>
      </w:r>
      <w:proofErr w:type="gramEnd"/>
      <w:r w:rsidRPr="003B7440">
        <w:rPr>
          <w:rFonts w:ascii="Times New Roman" w:eastAsia="Times New Roman" w:hAnsi="Times New Roman"/>
          <w:sz w:val="28"/>
          <w:szCs w:val="28"/>
        </w:rPr>
        <w:t xml:space="preserve"> nodrošināta </w:t>
      </w:r>
      <w:r w:rsidR="00FB6D05">
        <w:rPr>
          <w:rFonts w:ascii="Times New Roman" w:eastAsia="Times New Roman" w:hAnsi="Times New Roman"/>
          <w:sz w:val="28"/>
          <w:szCs w:val="28"/>
        </w:rPr>
        <w:br/>
      </w:r>
      <w:r w:rsidRPr="003B7440">
        <w:rPr>
          <w:rFonts w:ascii="Times New Roman" w:eastAsia="Times New Roman" w:hAnsi="Times New Roman"/>
          <w:sz w:val="28"/>
          <w:szCs w:val="28"/>
        </w:rPr>
        <w:t>e-pārvaldes risinājumu sadarbspēja Latvijas un Eiropas līmenī, kā arī potenciāla risinājumu publicēšana atkalizmantošanai</w:t>
      </w:r>
      <w:r w:rsidRPr="003B7440">
        <w:rPr>
          <w:rStyle w:val="FootnoteReference"/>
          <w:rFonts w:ascii="Times New Roman" w:eastAsia="Times New Roman" w:hAnsi="Times New Roman"/>
          <w:sz w:val="28"/>
          <w:szCs w:val="28"/>
        </w:rPr>
        <w:footnoteReference w:id="1"/>
      </w:r>
      <w:r w:rsidRPr="003B7440">
        <w:rPr>
          <w:rFonts w:ascii="Times New Roman" w:eastAsia="Times New Roman" w:hAnsi="Times New Roman"/>
          <w:sz w:val="28"/>
          <w:szCs w:val="28"/>
        </w:rPr>
        <w:t xml:space="preserve"> citās Eiropas publiskajās administrācijās.</w:t>
      </w:r>
    </w:p>
    <w:p w14:paraId="5AFAF02B" w14:textId="77777777" w:rsidR="005831E7" w:rsidRPr="003B7440" w:rsidRDefault="005831E7" w:rsidP="005831E7">
      <w:pPr>
        <w:pStyle w:val="ListParagraph"/>
        <w:tabs>
          <w:tab w:val="left" w:pos="0"/>
          <w:tab w:val="left" w:pos="1276"/>
        </w:tabs>
        <w:autoSpaceDE w:val="0"/>
        <w:autoSpaceDN w:val="0"/>
        <w:adjustRightInd w:val="0"/>
        <w:ind w:left="709"/>
        <w:rPr>
          <w:rFonts w:ascii="Times New Roman" w:eastAsia="Times New Roman" w:hAnsi="Times New Roman"/>
          <w:sz w:val="28"/>
          <w:szCs w:val="28"/>
        </w:rPr>
      </w:pPr>
    </w:p>
    <w:p w14:paraId="411BD452" w14:textId="11A4D72F" w:rsidR="00015D87" w:rsidRPr="003B7440" w:rsidRDefault="00015D87" w:rsidP="005831E7">
      <w:pPr>
        <w:numPr>
          <w:ilvl w:val="0"/>
          <w:numId w:val="28"/>
        </w:numPr>
        <w:tabs>
          <w:tab w:val="left" w:pos="0"/>
          <w:tab w:val="left" w:pos="1134"/>
        </w:tabs>
        <w:autoSpaceDE w:val="0"/>
        <w:autoSpaceDN w:val="0"/>
        <w:adjustRightInd w:val="0"/>
        <w:ind w:left="0" w:firstLine="709"/>
        <w:rPr>
          <w:rFonts w:ascii="Times New Roman" w:eastAsia="Times New Roman" w:hAnsi="Times New Roman"/>
          <w:sz w:val="28"/>
          <w:szCs w:val="28"/>
        </w:rPr>
      </w:pPr>
      <w:r w:rsidRPr="003B7440">
        <w:rPr>
          <w:rFonts w:ascii="Times New Roman" w:eastAsia="Times New Roman" w:hAnsi="Times New Roman"/>
          <w:sz w:val="28"/>
          <w:szCs w:val="28"/>
        </w:rPr>
        <w:t>Visām iestādēm būs nodrošināts vienlīdz augsts tehniskais atbalsts problēmu risināšan</w:t>
      </w:r>
      <w:r w:rsidR="005831E7">
        <w:rPr>
          <w:rFonts w:ascii="Times New Roman" w:eastAsia="Times New Roman" w:hAnsi="Times New Roman"/>
          <w:sz w:val="28"/>
          <w:szCs w:val="28"/>
        </w:rPr>
        <w:t>ai</w:t>
      </w:r>
      <w:r w:rsidR="009E0C40">
        <w:rPr>
          <w:rFonts w:ascii="Times New Roman" w:eastAsia="Times New Roman" w:hAnsi="Times New Roman"/>
          <w:sz w:val="28"/>
          <w:szCs w:val="28"/>
        </w:rPr>
        <w:t>,</w:t>
      </w:r>
      <w:r w:rsidRPr="003B7440">
        <w:rPr>
          <w:rFonts w:ascii="Times New Roman" w:eastAsia="Times New Roman" w:hAnsi="Times New Roman"/>
          <w:sz w:val="28"/>
          <w:szCs w:val="28"/>
        </w:rPr>
        <w:t xml:space="preserve"> </w:t>
      </w:r>
      <w:r w:rsidR="009E0C40">
        <w:rPr>
          <w:rFonts w:ascii="Times New Roman" w:eastAsia="Times New Roman" w:hAnsi="Times New Roman"/>
          <w:sz w:val="28"/>
          <w:szCs w:val="28"/>
        </w:rPr>
        <w:t>p</w:t>
      </w:r>
      <w:r w:rsidRPr="003B7440">
        <w:rPr>
          <w:rFonts w:ascii="Times New Roman" w:eastAsia="Times New Roman" w:hAnsi="Times New Roman"/>
          <w:sz w:val="28"/>
          <w:szCs w:val="28"/>
        </w:rPr>
        <w:t>rogrammatūras atjauninājumu, jaunu koplietošanas elementu pieejamība visām uz platformas esošajām vietnēm, tīmekļvietņu drošība un aizsardzība pret nesankcionētām darbībām tīmekļvietnē u.</w:t>
      </w:r>
      <w:r w:rsidR="005831E7">
        <w:rPr>
          <w:rFonts w:ascii="Times New Roman" w:eastAsia="Times New Roman" w:hAnsi="Times New Roman"/>
          <w:sz w:val="28"/>
          <w:szCs w:val="28"/>
        </w:rPr>
        <w:t> </w:t>
      </w:r>
      <w:r w:rsidRPr="003B7440">
        <w:rPr>
          <w:rFonts w:ascii="Times New Roman" w:eastAsia="Times New Roman" w:hAnsi="Times New Roman"/>
          <w:sz w:val="28"/>
          <w:szCs w:val="28"/>
        </w:rPr>
        <w:t>tml.</w:t>
      </w:r>
    </w:p>
    <w:p w14:paraId="3E86A049" w14:textId="77777777" w:rsidR="004D582D" w:rsidRPr="003B7440" w:rsidRDefault="00015D87" w:rsidP="00150675">
      <w:pPr>
        <w:numPr>
          <w:ilvl w:val="1"/>
          <w:numId w:val="28"/>
        </w:numPr>
        <w:tabs>
          <w:tab w:val="left" w:pos="0"/>
        </w:tabs>
        <w:autoSpaceDE w:val="0"/>
        <w:autoSpaceDN w:val="0"/>
        <w:adjustRightInd w:val="0"/>
        <w:ind w:left="0" w:firstLine="709"/>
        <w:rPr>
          <w:rFonts w:ascii="Times New Roman" w:eastAsia="Times New Roman" w:hAnsi="Times New Roman"/>
          <w:sz w:val="28"/>
          <w:szCs w:val="28"/>
        </w:rPr>
      </w:pPr>
      <w:r w:rsidRPr="003B7440">
        <w:rPr>
          <w:rFonts w:ascii="Times New Roman" w:eastAsia="Times New Roman" w:hAnsi="Times New Roman"/>
          <w:sz w:val="28"/>
          <w:szCs w:val="28"/>
        </w:rPr>
        <w:t>Resursu ekonomija</w:t>
      </w:r>
      <w:r w:rsidR="004D582D" w:rsidRPr="009E0C40">
        <w:rPr>
          <w:rFonts w:ascii="Times New Roman" w:eastAsia="Times New Roman" w:hAnsi="Times New Roman"/>
          <w:bCs/>
          <w:sz w:val="28"/>
          <w:szCs w:val="28"/>
        </w:rPr>
        <w:t>:</w:t>
      </w:r>
    </w:p>
    <w:p w14:paraId="0C1149C3" w14:textId="1884A753" w:rsidR="004D582D" w:rsidRPr="003B7440" w:rsidRDefault="004D582D" w:rsidP="00150675">
      <w:pPr>
        <w:tabs>
          <w:tab w:val="left" w:pos="0"/>
        </w:tabs>
        <w:autoSpaceDE w:val="0"/>
        <w:autoSpaceDN w:val="0"/>
        <w:adjustRightInd w:val="0"/>
        <w:ind w:firstLine="709"/>
        <w:rPr>
          <w:rFonts w:ascii="Times New Roman" w:eastAsia="Times New Roman" w:hAnsi="Times New Roman"/>
          <w:sz w:val="28"/>
          <w:szCs w:val="28"/>
        </w:rPr>
      </w:pPr>
      <w:r w:rsidRPr="003B7440">
        <w:rPr>
          <w:rFonts w:ascii="Times New Roman" w:eastAsia="Times New Roman" w:hAnsi="Times New Roman"/>
          <w:sz w:val="28"/>
          <w:szCs w:val="28"/>
        </w:rPr>
        <w:t>2.1.1.</w:t>
      </w:r>
      <w:r w:rsidR="005831E7">
        <w:rPr>
          <w:rFonts w:ascii="Times New Roman" w:eastAsia="Times New Roman" w:hAnsi="Times New Roman"/>
          <w:sz w:val="28"/>
          <w:szCs w:val="28"/>
        </w:rPr>
        <w:t> </w:t>
      </w:r>
      <w:r w:rsidR="00015D87" w:rsidRPr="003B7440">
        <w:rPr>
          <w:rFonts w:ascii="Times New Roman" w:eastAsia="Times New Roman" w:hAnsi="Times New Roman"/>
          <w:sz w:val="28"/>
          <w:szCs w:val="28"/>
        </w:rPr>
        <w:t>izstrādājot, uzturot un attīstot vienu platformu vairākiem lietotājiem (iestādēm)</w:t>
      </w:r>
      <w:r w:rsidRPr="003B7440">
        <w:rPr>
          <w:rFonts w:ascii="Times New Roman" w:eastAsia="Times New Roman" w:hAnsi="Times New Roman"/>
          <w:sz w:val="28"/>
          <w:szCs w:val="28"/>
        </w:rPr>
        <w:t>;</w:t>
      </w:r>
    </w:p>
    <w:p w14:paraId="047EC7CA" w14:textId="7AAADCF6" w:rsidR="004D582D" w:rsidRPr="003B7440" w:rsidRDefault="004D582D" w:rsidP="00150675">
      <w:pPr>
        <w:tabs>
          <w:tab w:val="left" w:pos="0"/>
        </w:tabs>
        <w:autoSpaceDE w:val="0"/>
        <w:autoSpaceDN w:val="0"/>
        <w:adjustRightInd w:val="0"/>
        <w:ind w:firstLine="709"/>
        <w:rPr>
          <w:rFonts w:ascii="Times New Roman" w:eastAsia="Times New Roman" w:hAnsi="Times New Roman"/>
          <w:sz w:val="28"/>
          <w:szCs w:val="28"/>
        </w:rPr>
      </w:pPr>
      <w:r w:rsidRPr="003B7440">
        <w:rPr>
          <w:rFonts w:ascii="Times New Roman" w:eastAsia="Times New Roman" w:hAnsi="Times New Roman"/>
          <w:sz w:val="28"/>
          <w:szCs w:val="28"/>
        </w:rPr>
        <w:t>2.1.2.</w:t>
      </w:r>
      <w:r w:rsidR="005831E7">
        <w:rPr>
          <w:rFonts w:ascii="Times New Roman" w:eastAsia="Times New Roman" w:hAnsi="Times New Roman"/>
          <w:sz w:val="28"/>
          <w:szCs w:val="28"/>
        </w:rPr>
        <w:t> </w:t>
      </w:r>
      <w:r w:rsidR="00015D87" w:rsidRPr="003B7440">
        <w:rPr>
          <w:rFonts w:ascii="Times New Roman" w:eastAsia="Times New Roman" w:hAnsi="Times New Roman"/>
          <w:sz w:val="28"/>
          <w:szCs w:val="28"/>
        </w:rPr>
        <w:t>uzlabojot tīmekļvietņu pārvaldību, izmitinot platformu loģiski vienotajā datu centrā</w:t>
      </w:r>
      <w:r w:rsidRPr="003B7440">
        <w:rPr>
          <w:rFonts w:ascii="Times New Roman" w:eastAsia="Times New Roman" w:hAnsi="Times New Roman"/>
          <w:sz w:val="28"/>
          <w:szCs w:val="28"/>
        </w:rPr>
        <w:t>;</w:t>
      </w:r>
    </w:p>
    <w:p w14:paraId="24507504" w14:textId="4B9F6A10" w:rsidR="004D582D" w:rsidRPr="003B7440" w:rsidRDefault="004D582D" w:rsidP="00150675">
      <w:pPr>
        <w:tabs>
          <w:tab w:val="left" w:pos="0"/>
        </w:tabs>
        <w:autoSpaceDE w:val="0"/>
        <w:autoSpaceDN w:val="0"/>
        <w:adjustRightInd w:val="0"/>
        <w:ind w:firstLine="709"/>
        <w:rPr>
          <w:rFonts w:ascii="Times New Roman" w:eastAsia="Times New Roman" w:hAnsi="Times New Roman"/>
          <w:sz w:val="28"/>
          <w:szCs w:val="28"/>
        </w:rPr>
      </w:pPr>
      <w:r w:rsidRPr="003B7440">
        <w:rPr>
          <w:rFonts w:ascii="Times New Roman" w:eastAsia="Times New Roman" w:hAnsi="Times New Roman"/>
          <w:sz w:val="28"/>
          <w:szCs w:val="28"/>
        </w:rPr>
        <w:lastRenderedPageBreak/>
        <w:t>2.1.3.</w:t>
      </w:r>
      <w:r w:rsidR="005831E7">
        <w:rPr>
          <w:rFonts w:ascii="Times New Roman" w:eastAsia="Times New Roman" w:hAnsi="Times New Roman"/>
          <w:sz w:val="28"/>
          <w:szCs w:val="28"/>
        </w:rPr>
        <w:t> </w:t>
      </w:r>
      <w:r w:rsidR="00015D87" w:rsidRPr="003B7440">
        <w:rPr>
          <w:rFonts w:ascii="Times New Roman" w:eastAsia="Times New Roman" w:hAnsi="Times New Roman"/>
          <w:sz w:val="28"/>
          <w:szCs w:val="28"/>
        </w:rPr>
        <w:t>izmantojot dažādu pakalpju un tehnisko risinājumu, tai skaitā aizsardzības pret nesankcionētu piekļuvi, kopīgas izmantošanas iespējas</w:t>
      </w:r>
      <w:r w:rsidRPr="003B7440">
        <w:rPr>
          <w:rFonts w:ascii="Times New Roman" w:eastAsia="Times New Roman" w:hAnsi="Times New Roman"/>
          <w:sz w:val="28"/>
          <w:szCs w:val="28"/>
        </w:rPr>
        <w:t>;</w:t>
      </w:r>
    </w:p>
    <w:p w14:paraId="63AD2B4C" w14:textId="5A6795FC" w:rsidR="00015D87" w:rsidRPr="003B7440" w:rsidRDefault="004D582D" w:rsidP="00150675">
      <w:pPr>
        <w:tabs>
          <w:tab w:val="left" w:pos="0"/>
        </w:tabs>
        <w:autoSpaceDE w:val="0"/>
        <w:autoSpaceDN w:val="0"/>
        <w:adjustRightInd w:val="0"/>
        <w:ind w:firstLine="709"/>
        <w:rPr>
          <w:rFonts w:ascii="Times New Roman" w:eastAsia="Times New Roman" w:hAnsi="Times New Roman"/>
          <w:sz w:val="28"/>
          <w:szCs w:val="28"/>
        </w:rPr>
      </w:pPr>
      <w:r w:rsidRPr="003B7440">
        <w:rPr>
          <w:rFonts w:ascii="Times New Roman" w:eastAsia="Times New Roman" w:hAnsi="Times New Roman"/>
          <w:sz w:val="28"/>
          <w:szCs w:val="28"/>
        </w:rPr>
        <w:t>2.1.4.</w:t>
      </w:r>
      <w:r w:rsidR="005831E7">
        <w:rPr>
          <w:rFonts w:ascii="Times New Roman" w:eastAsia="Times New Roman" w:hAnsi="Times New Roman"/>
          <w:sz w:val="28"/>
          <w:szCs w:val="28"/>
        </w:rPr>
        <w:t> </w:t>
      </w:r>
      <w:r w:rsidR="00015D87" w:rsidRPr="003B7440">
        <w:rPr>
          <w:rFonts w:ascii="Times New Roman" w:eastAsia="Times New Roman" w:hAnsi="Times New Roman"/>
          <w:sz w:val="28"/>
          <w:szCs w:val="28"/>
        </w:rPr>
        <w:t>vienlaikus būtiski ceļot visu valsts iestāžu tīmekļvietņu kvalitāti un padarot to administrēšanu ātrāku un ērtāku, tādējādi taupot visus resursus – finanšu, darba un laika.</w:t>
      </w:r>
      <w:r w:rsidR="00015D87" w:rsidRPr="003B7440">
        <w:rPr>
          <w:rFonts w:ascii="Times New Roman" w:eastAsia="Times New Roman" w:hAnsi="Times New Roman"/>
          <w:sz w:val="28"/>
          <w:szCs w:val="28"/>
          <w:vertAlign w:val="superscript"/>
        </w:rPr>
        <w:footnoteReference w:id="2"/>
      </w:r>
    </w:p>
    <w:p w14:paraId="0562F6D4" w14:textId="57BF804D" w:rsidR="00015D87" w:rsidRPr="003B7440" w:rsidRDefault="00015D87" w:rsidP="00150675">
      <w:pPr>
        <w:tabs>
          <w:tab w:val="left" w:pos="0"/>
        </w:tabs>
        <w:ind w:firstLine="709"/>
        <w:rPr>
          <w:rFonts w:ascii="Times New Roman" w:hAnsi="Times New Roman"/>
          <w:bCs/>
          <w:sz w:val="28"/>
          <w:szCs w:val="28"/>
        </w:rPr>
      </w:pPr>
      <w:r w:rsidRPr="003B7440">
        <w:rPr>
          <w:rFonts w:ascii="Times New Roman" w:hAnsi="Times New Roman"/>
          <w:sz w:val="28"/>
          <w:szCs w:val="28"/>
        </w:rPr>
        <w:t>Resursu koncentrācija ļaus ieviest efektīvāku pieeju tīmekļvietņu pārvaldībā</w:t>
      </w:r>
      <w:r w:rsidR="005831E7">
        <w:rPr>
          <w:rFonts w:ascii="Times New Roman" w:hAnsi="Times New Roman"/>
          <w:sz w:val="28"/>
          <w:szCs w:val="28"/>
        </w:rPr>
        <w:t>.</w:t>
      </w:r>
      <w:r w:rsidRPr="003B7440">
        <w:rPr>
          <w:rFonts w:ascii="Times New Roman" w:hAnsi="Times New Roman"/>
          <w:sz w:val="28"/>
          <w:szCs w:val="28"/>
        </w:rPr>
        <w:t xml:space="preserve"> </w:t>
      </w:r>
      <w:r w:rsidR="005831E7">
        <w:rPr>
          <w:rFonts w:ascii="Times New Roman" w:hAnsi="Times New Roman"/>
          <w:sz w:val="28"/>
          <w:szCs w:val="28"/>
        </w:rPr>
        <w:t>P</w:t>
      </w:r>
      <w:r w:rsidRPr="003B7440">
        <w:rPr>
          <w:rFonts w:ascii="Times New Roman" w:hAnsi="Times New Roman"/>
          <w:sz w:val="28"/>
          <w:szCs w:val="28"/>
        </w:rPr>
        <w:t xml:space="preserve">irmkārt, nodrošinās iespējas atkārtoti izmantot </w:t>
      </w:r>
      <w:r w:rsidRPr="003B7440">
        <w:rPr>
          <w:rFonts w:ascii="Times New Roman" w:hAnsi="Times New Roman"/>
          <w:bCs/>
          <w:sz w:val="28"/>
          <w:szCs w:val="28"/>
        </w:rPr>
        <w:t xml:space="preserve">veiksmīgus risinājumus, otrkārt, </w:t>
      </w:r>
      <w:r w:rsidRPr="003B7440">
        <w:rPr>
          <w:rFonts w:ascii="Times New Roman" w:hAnsi="Times New Roman"/>
          <w:sz w:val="28"/>
          <w:szCs w:val="28"/>
        </w:rPr>
        <w:t xml:space="preserve">balstīties uz lietotāju vajadzību izpēti, treškārt, piekļūt valsts un pašvaldības iestāžu tīmekļvietnēm visām iedzīvotāju grupām atbilstoši </w:t>
      </w:r>
      <w:r w:rsidR="00E00451" w:rsidRPr="003B7440">
        <w:rPr>
          <w:rFonts w:ascii="Times New Roman" w:hAnsi="Times New Roman"/>
          <w:sz w:val="28"/>
          <w:szCs w:val="28"/>
          <w:shd w:val="clear" w:color="auto" w:fill="FFFFFF"/>
        </w:rPr>
        <w:t>Direktīvas </w:t>
      </w:r>
      <w:hyperlink r:id="rId13" w:tgtFrame="_blank" w:history="1">
        <w:r w:rsidR="00E00451" w:rsidRPr="003B7440">
          <w:rPr>
            <w:rFonts w:ascii="Times New Roman" w:hAnsi="Times New Roman"/>
            <w:sz w:val="28"/>
            <w:szCs w:val="28"/>
            <w:shd w:val="clear" w:color="auto" w:fill="FFFFFF"/>
          </w:rPr>
          <w:t>2016/2102</w:t>
        </w:r>
      </w:hyperlink>
      <w:r w:rsidRPr="003B7440">
        <w:rPr>
          <w:rFonts w:ascii="Times New Roman" w:hAnsi="Times New Roman"/>
          <w:sz w:val="28"/>
          <w:szCs w:val="28"/>
        </w:rPr>
        <w:t xml:space="preserve"> prasībām (tai skaitā personas ar invaliditāti). Saglabājot līdzšinējo situāciju, iestādēm būs ļoti grūti izpildīt Direktīvas 2016/2102 prasības, kā arī nodrošināt vienotu izpratni un pieeju to ieviešanā. </w:t>
      </w:r>
      <w:r w:rsidR="001F7B79" w:rsidRPr="003B7440">
        <w:rPr>
          <w:rFonts w:ascii="Times New Roman" w:hAnsi="Times New Roman"/>
          <w:sz w:val="28"/>
          <w:szCs w:val="28"/>
        </w:rPr>
        <w:t xml:space="preserve">Informācijas un komunikācijas tehnoloģiju (turpmāk </w:t>
      </w:r>
      <w:r w:rsidR="005831E7">
        <w:rPr>
          <w:rFonts w:ascii="Times New Roman" w:hAnsi="Times New Roman"/>
          <w:sz w:val="28"/>
          <w:szCs w:val="28"/>
        </w:rPr>
        <w:t xml:space="preserve">– </w:t>
      </w:r>
      <w:r w:rsidRPr="003B7440">
        <w:rPr>
          <w:rFonts w:ascii="Times New Roman" w:hAnsi="Times New Roman"/>
          <w:bCs/>
          <w:sz w:val="28"/>
          <w:szCs w:val="28"/>
        </w:rPr>
        <w:t>IKT</w:t>
      </w:r>
      <w:r w:rsidR="001F7B79" w:rsidRPr="003B7440">
        <w:rPr>
          <w:rFonts w:ascii="Times New Roman" w:hAnsi="Times New Roman"/>
          <w:bCs/>
          <w:sz w:val="28"/>
          <w:szCs w:val="28"/>
        </w:rPr>
        <w:t>)</w:t>
      </w:r>
      <w:r w:rsidRPr="003B7440">
        <w:rPr>
          <w:rFonts w:ascii="Times New Roman" w:hAnsi="Times New Roman"/>
          <w:bCs/>
          <w:sz w:val="28"/>
          <w:szCs w:val="28"/>
        </w:rPr>
        <w:t xml:space="preserve"> plānveidīga attīstība noteikti veicinātu klientu apkalpošanas kvalitātes celšanos</w:t>
      </w:r>
      <w:r w:rsidRPr="003B7440">
        <w:rPr>
          <w:rFonts w:ascii="Times New Roman" w:hAnsi="Times New Roman"/>
          <w:sz w:val="28"/>
          <w:szCs w:val="28"/>
        </w:rPr>
        <w:t>, sekmētu publiskās informācijas pieejamību un kvalitāti. Izdotos novērst iestāžu atšķirīgo pieeju vietņu izstrādē vai būtiskā pilnveidošanā, kā arī saskaņot izpratni par lietotāju vajadzībām.</w:t>
      </w:r>
    </w:p>
    <w:p w14:paraId="40A3CBED" w14:textId="08078CAD" w:rsidR="00015D87" w:rsidRPr="003B7440" w:rsidRDefault="00015D87" w:rsidP="00150675">
      <w:pPr>
        <w:tabs>
          <w:tab w:val="left" w:pos="0"/>
        </w:tabs>
        <w:ind w:firstLine="709"/>
        <w:rPr>
          <w:rFonts w:ascii="Times New Roman" w:hAnsi="Times New Roman"/>
          <w:bCs/>
          <w:sz w:val="28"/>
          <w:szCs w:val="28"/>
        </w:rPr>
      </w:pPr>
      <w:r w:rsidRPr="003B7440">
        <w:rPr>
          <w:rFonts w:ascii="Times New Roman" w:hAnsi="Times New Roman"/>
          <w:bCs/>
          <w:sz w:val="28"/>
          <w:szCs w:val="28"/>
        </w:rPr>
        <w:t xml:space="preserve">Projekta ietvaros ir paredzēts, ka publiskā sektora tīmekļvietņu pārvaldība tiks organizēta, realizējot principu </w:t>
      </w:r>
      <w:r w:rsidR="00150675">
        <w:rPr>
          <w:rFonts w:ascii="Times New Roman" w:hAnsi="Times New Roman"/>
          <w:bCs/>
          <w:sz w:val="28"/>
          <w:szCs w:val="28"/>
        </w:rPr>
        <w:t>"</w:t>
      </w:r>
      <w:r w:rsidRPr="003B7440">
        <w:rPr>
          <w:rFonts w:ascii="Times New Roman" w:hAnsi="Times New Roman"/>
          <w:bCs/>
          <w:sz w:val="28"/>
          <w:szCs w:val="28"/>
        </w:rPr>
        <w:t>Centralizēta uzturēšana, decentralizēta pārvaldība</w:t>
      </w:r>
      <w:r w:rsidR="005831E7">
        <w:rPr>
          <w:rFonts w:ascii="Times New Roman" w:hAnsi="Times New Roman"/>
          <w:bCs/>
          <w:sz w:val="28"/>
          <w:szCs w:val="28"/>
        </w:rPr>
        <w:t>"</w:t>
      </w:r>
      <w:r w:rsidRPr="003B7440">
        <w:rPr>
          <w:rFonts w:ascii="Times New Roman" w:hAnsi="Times New Roman"/>
          <w:bCs/>
          <w:sz w:val="28"/>
          <w:szCs w:val="28"/>
        </w:rPr>
        <w:t>. Tas nozīmē, ka tehniski platformu uztur Valsts reģionālās attīstības aģentūra (turpmāk</w:t>
      </w:r>
      <w:r w:rsidR="007D38CF" w:rsidRPr="003B7440">
        <w:rPr>
          <w:rFonts w:ascii="Times New Roman" w:hAnsi="Times New Roman"/>
          <w:bCs/>
          <w:sz w:val="28"/>
          <w:szCs w:val="28"/>
        </w:rPr>
        <w:t xml:space="preserve"> </w:t>
      </w:r>
      <w:r w:rsidR="005831E7">
        <w:rPr>
          <w:rFonts w:ascii="Times New Roman" w:hAnsi="Times New Roman"/>
          <w:bCs/>
          <w:sz w:val="28"/>
          <w:szCs w:val="28"/>
        </w:rPr>
        <w:t>–</w:t>
      </w:r>
      <w:r w:rsidRPr="003B7440">
        <w:rPr>
          <w:rFonts w:ascii="Times New Roman" w:hAnsi="Times New Roman"/>
          <w:bCs/>
          <w:sz w:val="28"/>
          <w:szCs w:val="28"/>
        </w:rPr>
        <w:t xml:space="preserve"> VRAA), bet katras iestādes saturiskie un strukturālie pielāgojumi ir iestādes darbinieku (gan </w:t>
      </w:r>
      <w:r w:rsidR="001F7B79" w:rsidRPr="003B7440">
        <w:rPr>
          <w:rFonts w:ascii="Times New Roman" w:hAnsi="Times New Roman"/>
          <w:bCs/>
          <w:sz w:val="28"/>
          <w:szCs w:val="28"/>
        </w:rPr>
        <w:t xml:space="preserve">informācijas tehnoloģiju (turpmāk </w:t>
      </w:r>
      <w:r w:rsidR="005831E7">
        <w:rPr>
          <w:rFonts w:ascii="Times New Roman" w:hAnsi="Times New Roman"/>
          <w:bCs/>
          <w:sz w:val="28"/>
          <w:szCs w:val="28"/>
        </w:rPr>
        <w:t>–</w:t>
      </w:r>
      <w:r w:rsidR="001F7B79" w:rsidRPr="003B7440">
        <w:rPr>
          <w:rFonts w:ascii="Times New Roman" w:hAnsi="Times New Roman"/>
          <w:bCs/>
          <w:sz w:val="28"/>
          <w:szCs w:val="28"/>
        </w:rPr>
        <w:t xml:space="preserve"> </w:t>
      </w:r>
      <w:r w:rsidRPr="003B7440">
        <w:rPr>
          <w:rFonts w:ascii="Times New Roman" w:hAnsi="Times New Roman"/>
          <w:bCs/>
          <w:sz w:val="28"/>
          <w:szCs w:val="28"/>
        </w:rPr>
        <w:t>IT</w:t>
      </w:r>
      <w:r w:rsidR="001F7B79" w:rsidRPr="003B7440">
        <w:rPr>
          <w:rFonts w:ascii="Times New Roman" w:hAnsi="Times New Roman"/>
          <w:bCs/>
          <w:sz w:val="28"/>
          <w:szCs w:val="28"/>
        </w:rPr>
        <w:t>)</w:t>
      </w:r>
      <w:r w:rsidRPr="003B7440">
        <w:rPr>
          <w:rFonts w:ascii="Times New Roman" w:hAnsi="Times New Roman"/>
          <w:bCs/>
          <w:sz w:val="28"/>
          <w:szCs w:val="28"/>
        </w:rPr>
        <w:t xml:space="preserve"> pārstāvju, gan komunikācijas darbinieku) ziņā. Savukārt TVP </w:t>
      </w:r>
      <w:r w:rsidRPr="003B7440">
        <w:rPr>
          <w:rFonts w:ascii="Times New Roman" w:hAnsi="Times New Roman"/>
          <w:sz w:val="28"/>
          <w:szCs w:val="28"/>
        </w:rPr>
        <w:t>no biznesa viedokļa attīsta Valsts kanceleja, tai skaitā plāno tās attīstību un uzrauga kvalitāti.</w:t>
      </w:r>
      <w:r w:rsidRPr="003B7440">
        <w:rPr>
          <w:rFonts w:ascii="Times New Roman" w:hAnsi="Times New Roman"/>
          <w:bCs/>
          <w:sz w:val="28"/>
          <w:szCs w:val="28"/>
        </w:rPr>
        <w:t xml:space="preserve"> Tādējādi valsts izvēlas efektīvāko risinājumu tehnisko un finanšu resursu izlietojumam. </w:t>
      </w:r>
    </w:p>
    <w:p w14:paraId="66D323AE" w14:textId="086F4AB9" w:rsidR="00015D87" w:rsidRPr="003B7440" w:rsidRDefault="00015D87" w:rsidP="00150675">
      <w:pPr>
        <w:tabs>
          <w:tab w:val="left" w:pos="0"/>
        </w:tabs>
        <w:ind w:firstLine="709"/>
        <w:rPr>
          <w:rFonts w:ascii="Times New Roman" w:hAnsi="Times New Roman"/>
          <w:bCs/>
          <w:sz w:val="28"/>
          <w:szCs w:val="28"/>
        </w:rPr>
      </w:pPr>
      <w:r w:rsidRPr="003B7440">
        <w:rPr>
          <w:rFonts w:ascii="Times New Roman" w:hAnsi="Times New Roman"/>
          <w:bCs/>
          <w:sz w:val="28"/>
          <w:szCs w:val="28"/>
        </w:rPr>
        <w:t>Portālu platformas elementus savām vajadzībām varēs izmantot arī pašvaldības, veidojot un izvietojot vietnes, uz platformas bāzes (atkalizman</w:t>
      </w:r>
      <w:r w:rsidR="005831E7">
        <w:rPr>
          <w:rFonts w:ascii="Times New Roman" w:hAnsi="Times New Roman"/>
          <w:bCs/>
          <w:sz w:val="28"/>
          <w:szCs w:val="28"/>
        </w:rPr>
        <w:softHyphen/>
      </w:r>
      <w:r w:rsidRPr="003B7440">
        <w:rPr>
          <w:rFonts w:ascii="Times New Roman" w:hAnsi="Times New Roman"/>
          <w:bCs/>
          <w:sz w:val="28"/>
          <w:szCs w:val="28"/>
        </w:rPr>
        <w:t>tošanas princips), kas ļaus panākt plašu TVP ietekmi visā valstī.</w:t>
      </w:r>
    </w:p>
    <w:p w14:paraId="4D0CA938" w14:textId="2AC27FEE" w:rsidR="00015D87" w:rsidRPr="003B7440" w:rsidRDefault="00015D87" w:rsidP="00150675">
      <w:pPr>
        <w:tabs>
          <w:tab w:val="left" w:pos="0"/>
        </w:tabs>
        <w:ind w:firstLine="709"/>
        <w:rPr>
          <w:rFonts w:ascii="Times New Roman" w:hAnsi="Times New Roman"/>
          <w:sz w:val="28"/>
          <w:szCs w:val="28"/>
        </w:rPr>
      </w:pPr>
      <w:r w:rsidRPr="003B7440">
        <w:rPr>
          <w:rFonts w:ascii="Times New Roman" w:hAnsi="Times New Roman"/>
          <w:sz w:val="28"/>
          <w:szCs w:val="28"/>
        </w:rPr>
        <w:t xml:space="preserve">TVP ietvaros tiks optimizēta publiskās pārvaldes resursu izmantošana, </w:t>
      </w:r>
      <w:r w:rsidR="005831E7">
        <w:rPr>
          <w:rFonts w:ascii="Times New Roman" w:hAnsi="Times New Roman"/>
          <w:sz w:val="28"/>
          <w:szCs w:val="28"/>
        </w:rPr>
        <w:t>lie</w:t>
      </w:r>
      <w:r w:rsidRPr="003B7440">
        <w:rPr>
          <w:rFonts w:ascii="Times New Roman" w:hAnsi="Times New Roman"/>
          <w:sz w:val="28"/>
          <w:szCs w:val="28"/>
        </w:rPr>
        <w:t>tojot piemērotus tipveida IKT risinājumus un īstenojot koplietošanas darbības platformas principu. Uz izstrādātās standartizētās platforma</w:t>
      </w:r>
      <w:r w:rsidR="005831E7">
        <w:rPr>
          <w:rFonts w:ascii="Times New Roman" w:hAnsi="Times New Roman"/>
          <w:sz w:val="28"/>
          <w:szCs w:val="28"/>
        </w:rPr>
        <w:t>s</w:t>
      </w:r>
      <w:r w:rsidRPr="003B7440">
        <w:rPr>
          <w:rFonts w:ascii="Times New Roman" w:hAnsi="Times New Roman"/>
          <w:sz w:val="28"/>
          <w:szCs w:val="28"/>
        </w:rPr>
        <w:t xml:space="preserve"> bāzes tiks veidotas iestāžu oficiālās tīmekļvietnes. </w:t>
      </w:r>
    </w:p>
    <w:p w14:paraId="79C4AF78" w14:textId="08E09C7E" w:rsidR="00015D87" w:rsidRPr="003B7440" w:rsidRDefault="00015D87" w:rsidP="00150675">
      <w:pPr>
        <w:tabs>
          <w:tab w:val="left" w:pos="0"/>
        </w:tabs>
        <w:ind w:firstLine="709"/>
        <w:rPr>
          <w:rFonts w:ascii="Times New Roman" w:hAnsi="Times New Roman"/>
          <w:sz w:val="28"/>
          <w:szCs w:val="28"/>
          <w:lang w:eastAsia="lv-LV"/>
        </w:rPr>
      </w:pPr>
      <w:r w:rsidRPr="003B7440">
        <w:rPr>
          <w:rFonts w:ascii="Times New Roman" w:hAnsi="Times New Roman"/>
          <w:sz w:val="28"/>
          <w:szCs w:val="28"/>
        </w:rPr>
        <w:t>TVP paredzēts īstenot kā vienotu centralizētu tīmekļvietņu platformu, taču k</w:t>
      </w:r>
      <w:r w:rsidRPr="003B7440">
        <w:rPr>
          <w:rFonts w:ascii="Times New Roman" w:hAnsi="Times New Roman"/>
          <w:sz w:val="28"/>
          <w:szCs w:val="28"/>
          <w:lang w:eastAsia="lv-LV"/>
        </w:rPr>
        <w:t>atra tīmekļvietne tiek izveidota TVP kā atsevišķs elements, kas manto pamata struktūru, vizuālo noformējumu, taksonomijas, integrāciju ar citiem moduļiem u.</w:t>
      </w:r>
      <w:r w:rsidR="00343CE3">
        <w:rPr>
          <w:rFonts w:ascii="Times New Roman" w:hAnsi="Times New Roman"/>
          <w:sz w:val="28"/>
          <w:szCs w:val="28"/>
          <w:lang w:eastAsia="lv-LV"/>
        </w:rPr>
        <w:t> </w:t>
      </w:r>
      <w:r w:rsidRPr="003B7440">
        <w:rPr>
          <w:rFonts w:ascii="Times New Roman" w:hAnsi="Times New Roman"/>
          <w:sz w:val="28"/>
          <w:szCs w:val="28"/>
          <w:lang w:eastAsia="lv-LV"/>
        </w:rPr>
        <w:t xml:space="preserve">c. Iestāžu tīmekļvietņu domēnu nosaukumi un piekļuve tām paliek nemainīga, t. i., lietotājs vietnei piekļūst, ierakstot tīmekļa pārlūkprogrammā vietnes domēna nosaukumu. </w:t>
      </w:r>
    </w:p>
    <w:p w14:paraId="098C7E8A" w14:textId="3AEFA821" w:rsidR="00015D87" w:rsidRPr="003B7440" w:rsidRDefault="00015D87" w:rsidP="00150675">
      <w:pPr>
        <w:tabs>
          <w:tab w:val="left" w:pos="0"/>
        </w:tabs>
        <w:ind w:firstLine="709"/>
        <w:rPr>
          <w:rFonts w:ascii="Times New Roman" w:hAnsi="Times New Roman"/>
          <w:sz w:val="28"/>
          <w:szCs w:val="28"/>
        </w:rPr>
      </w:pPr>
      <w:r w:rsidRPr="003B7440">
        <w:rPr>
          <w:rFonts w:ascii="Times New Roman" w:hAnsi="Times New Roman"/>
          <w:sz w:val="28"/>
          <w:szCs w:val="28"/>
        </w:rPr>
        <w:t xml:space="preserve">Būtiskākie servisi TVP kontekstā ir meklēšanas serviss, indeksēšanas serviss, apmeklējumu analītikas serviss (minēto servisu realizācijai izmanto tirgū pieejamus gatavus risinājumus). Būtiskākās saistītās komponentes TVP plānotas </w:t>
      </w:r>
      <w:r w:rsidRPr="003B7440">
        <w:rPr>
          <w:rFonts w:ascii="Times New Roman" w:hAnsi="Times New Roman"/>
          <w:sz w:val="28"/>
          <w:szCs w:val="28"/>
        </w:rPr>
        <w:lastRenderedPageBreak/>
        <w:t>šādas – esošais vienotās autentifikācijas serviss (</w:t>
      </w:r>
      <w:r w:rsidRPr="003B7440">
        <w:rPr>
          <w:rFonts w:ascii="Times New Roman" w:hAnsi="Times New Roman"/>
          <w:i/>
          <w:sz w:val="28"/>
          <w:szCs w:val="28"/>
        </w:rPr>
        <w:t>www.latvija.lv</w:t>
      </w:r>
      <w:r w:rsidRPr="003B7440">
        <w:rPr>
          <w:rFonts w:ascii="Times New Roman" w:hAnsi="Times New Roman"/>
          <w:sz w:val="28"/>
          <w:szCs w:val="28"/>
        </w:rPr>
        <w:t xml:space="preserve"> vienotā pieteikšanās) lietotāju autentifikācijai TVP</w:t>
      </w:r>
      <w:r w:rsidR="004B73C0">
        <w:rPr>
          <w:rFonts w:ascii="Times New Roman" w:hAnsi="Times New Roman"/>
          <w:sz w:val="28"/>
          <w:szCs w:val="28"/>
        </w:rPr>
        <w:t xml:space="preserve"> un</w:t>
      </w:r>
      <w:r w:rsidRPr="003B7440">
        <w:rPr>
          <w:rFonts w:ascii="Times New Roman" w:hAnsi="Times New Roman"/>
          <w:sz w:val="28"/>
          <w:szCs w:val="28"/>
        </w:rPr>
        <w:t xml:space="preserve"> valsts pārvaldes mašīntulkošanas servisa atbalsts tīmekļvietņu satura tulkošanai. TVP plānota sasaiste ar Valsts kancelejas projektā </w:t>
      </w:r>
      <w:r w:rsidR="00150675">
        <w:rPr>
          <w:rFonts w:ascii="Times New Roman" w:hAnsi="Times New Roman"/>
          <w:sz w:val="28"/>
          <w:szCs w:val="28"/>
        </w:rPr>
        <w:t>"</w:t>
      </w:r>
      <w:r w:rsidRPr="003B7440">
        <w:rPr>
          <w:rFonts w:ascii="Times New Roman" w:hAnsi="Times New Roman"/>
          <w:sz w:val="28"/>
          <w:szCs w:val="28"/>
        </w:rPr>
        <w:t>Vienotais tiesību aktu projektu izstrādes un saskaņošanas portāls</w:t>
      </w:r>
      <w:r w:rsidR="004B73C0">
        <w:rPr>
          <w:rFonts w:ascii="Times New Roman" w:hAnsi="Times New Roman"/>
          <w:bCs/>
          <w:sz w:val="28"/>
          <w:szCs w:val="28"/>
        </w:rPr>
        <w:t>"</w:t>
      </w:r>
      <w:r w:rsidRPr="003B7440">
        <w:rPr>
          <w:rFonts w:ascii="Times New Roman" w:hAnsi="Times New Roman"/>
          <w:sz w:val="28"/>
          <w:szCs w:val="28"/>
        </w:rPr>
        <w:t xml:space="preserve"> ietvaros izstrādāto informācijas sistēmu, Publisko pakalpojumu katalogu, Nodarbinātības valsts aģentūras CV vakanču portālu, kā arī paredzēta datu saņemšana no Atvērto datu portāla, piemēram, par iepirkumiem. </w:t>
      </w:r>
    </w:p>
    <w:p w14:paraId="6DDF35FE" w14:textId="77777777" w:rsidR="00015D87" w:rsidRPr="003B7440" w:rsidRDefault="00015D87" w:rsidP="00150675">
      <w:pPr>
        <w:tabs>
          <w:tab w:val="left" w:pos="0"/>
        </w:tabs>
        <w:ind w:firstLine="709"/>
        <w:rPr>
          <w:rFonts w:ascii="Times New Roman" w:hAnsi="Times New Roman"/>
          <w:sz w:val="28"/>
          <w:szCs w:val="28"/>
        </w:rPr>
      </w:pPr>
      <w:r w:rsidRPr="003B7440">
        <w:rPr>
          <w:rFonts w:ascii="Times New Roman" w:hAnsi="Times New Roman"/>
          <w:sz w:val="28"/>
          <w:szCs w:val="28"/>
        </w:rPr>
        <w:t xml:space="preserve">Izveidotā TVP būs jauns valsts koplietošanas risinājums – vienotā tīmekļvietņu platforma. Tā būs valsts informācijas sistēma. </w:t>
      </w:r>
    </w:p>
    <w:p w14:paraId="27274484" w14:textId="77777777" w:rsidR="00015D87" w:rsidRPr="003B7440" w:rsidRDefault="00015D87" w:rsidP="00150675">
      <w:pPr>
        <w:tabs>
          <w:tab w:val="left" w:pos="0"/>
        </w:tabs>
        <w:ind w:firstLine="709"/>
        <w:rPr>
          <w:rFonts w:ascii="Times New Roman" w:hAnsi="Times New Roman"/>
          <w:sz w:val="28"/>
          <w:szCs w:val="28"/>
        </w:rPr>
      </w:pPr>
      <w:r w:rsidRPr="003B7440">
        <w:rPr>
          <w:rFonts w:ascii="Times New Roman" w:hAnsi="Times New Roman"/>
          <w:sz w:val="28"/>
          <w:szCs w:val="28"/>
        </w:rPr>
        <w:t>TVP pamatā izmantojams praksē pārbaudīts SPS standarta risinājums, kas atbilst nozares labās prakses standartiem un iestāžu prasībām. TVP tiks izmantoti atvērtie standarti. TVP izstrādē kā primārās tiks izvērtētas atvērtā koda tehnoloģiju izmantošanas iespējas.</w:t>
      </w:r>
      <w:r w:rsidRPr="003B7440">
        <w:rPr>
          <w:rStyle w:val="FootnoteReference"/>
          <w:rFonts w:ascii="Times New Roman" w:hAnsi="Times New Roman"/>
          <w:sz w:val="28"/>
          <w:szCs w:val="28"/>
        </w:rPr>
        <w:footnoteReference w:id="3"/>
      </w:r>
      <w:r w:rsidRPr="003B7440">
        <w:rPr>
          <w:rFonts w:ascii="Times New Roman" w:hAnsi="Times New Roman"/>
          <w:sz w:val="28"/>
          <w:szCs w:val="28"/>
        </w:rPr>
        <w:t xml:space="preserve"> </w:t>
      </w:r>
      <w:bookmarkStart w:id="5" w:name="_Toc435687094"/>
      <w:bookmarkStart w:id="6" w:name="_Toc435687095"/>
      <w:bookmarkStart w:id="7" w:name="_Toc435687096"/>
      <w:bookmarkEnd w:id="5"/>
      <w:bookmarkEnd w:id="6"/>
      <w:bookmarkEnd w:id="7"/>
    </w:p>
    <w:p w14:paraId="27BAFAC0" w14:textId="77777777" w:rsidR="00150675" w:rsidRPr="004B73C0" w:rsidRDefault="00150675" w:rsidP="00150675">
      <w:pPr>
        <w:overflowPunct w:val="0"/>
        <w:autoSpaceDE w:val="0"/>
        <w:autoSpaceDN w:val="0"/>
        <w:ind w:firstLine="567"/>
        <w:textAlignment w:val="baseline"/>
        <w:rPr>
          <w:rFonts w:ascii="Times New Roman" w:eastAsia="Times New Roman" w:hAnsi="Times New Roman"/>
          <w:bCs/>
          <w:sz w:val="28"/>
          <w:szCs w:val="28"/>
          <w:lang w:eastAsia="lv-LV"/>
        </w:rPr>
      </w:pPr>
    </w:p>
    <w:p w14:paraId="287C3D84" w14:textId="7BB4CEB6" w:rsidR="00015D87" w:rsidRPr="003B7440" w:rsidRDefault="00015D87" w:rsidP="00150675">
      <w:pPr>
        <w:overflowPunct w:val="0"/>
        <w:autoSpaceDE w:val="0"/>
        <w:autoSpaceDN w:val="0"/>
        <w:textAlignment w:val="baseline"/>
        <w:rPr>
          <w:rFonts w:ascii="Times New Roman" w:eastAsia="Times New Roman" w:hAnsi="Times New Roman"/>
          <w:b/>
          <w:sz w:val="28"/>
          <w:szCs w:val="28"/>
          <w:lang w:eastAsia="lv-LV"/>
        </w:rPr>
      </w:pPr>
      <w:r w:rsidRPr="003B7440">
        <w:rPr>
          <w:rFonts w:ascii="Times New Roman" w:eastAsia="Times New Roman" w:hAnsi="Times New Roman"/>
          <w:b/>
          <w:sz w:val="28"/>
          <w:szCs w:val="28"/>
          <w:lang w:eastAsia="lv-LV"/>
        </w:rPr>
        <w:t>Projekta mērķi</w:t>
      </w:r>
    </w:p>
    <w:p w14:paraId="4150C852" w14:textId="1F351D81" w:rsidR="00015D87" w:rsidRPr="003B7440" w:rsidRDefault="00015D87" w:rsidP="00FB6D05">
      <w:pPr>
        <w:pStyle w:val="ListParagraph"/>
        <w:numPr>
          <w:ilvl w:val="0"/>
          <w:numId w:val="25"/>
        </w:numPr>
        <w:tabs>
          <w:tab w:val="left" w:pos="1134"/>
        </w:tabs>
        <w:ind w:left="0" w:firstLine="709"/>
        <w:rPr>
          <w:rFonts w:ascii="Times New Roman" w:hAnsi="Times New Roman"/>
          <w:bCs/>
          <w:sz w:val="28"/>
          <w:szCs w:val="28"/>
        </w:rPr>
      </w:pPr>
      <w:r w:rsidRPr="003B7440">
        <w:rPr>
          <w:rFonts w:ascii="Times New Roman" w:hAnsi="Times New Roman"/>
          <w:bCs/>
          <w:sz w:val="28"/>
          <w:szCs w:val="28"/>
        </w:rPr>
        <w:t>Līdz 2020.</w:t>
      </w:r>
      <w:r w:rsidR="004B73C0">
        <w:rPr>
          <w:rFonts w:ascii="Times New Roman" w:hAnsi="Times New Roman"/>
          <w:bCs/>
          <w:sz w:val="28"/>
          <w:szCs w:val="28"/>
        </w:rPr>
        <w:t> </w:t>
      </w:r>
      <w:r w:rsidRPr="003B7440">
        <w:rPr>
          <w:rFonts w:ascii="Times New Roman" w:hAnsi="Times New Roman"/>
          <w:bCs/>
          <w:sz w:val="28"/>
          <w:szCs w:val="28"/>
        </w:rPr>
        <w:t xml:space="preserve">gada beigām radīt vienotu, centralizētu valsts pārvaldes iestāžu tīmekļvietņu pārvaldības </w:t>
      </w:r>
      <w:r w:rsidRPr="003B7440">
        <w:rPr>
          <w:rFonts w:ascii="Times New Roman" w:hAnsi="Times New Roman"/>
          <w:sz w:val="28"/>
          <w:szCs w:val="28"/>
        </w:rPr>
        <w:t>tīmekļvietņu vienoto platformu</w:t>
      </w:r>
      <w:r w:rsidRPr="003B7440">
        <w:rPr>
          <w:rFonts w:ascii="Times New Roman" w:hAnsi="Times New Roman"/>
          <w:bCs/>
          <w:sz w:val="28"/>
          <w:szCs w:val="28"/>
        </w:rPr>
        <w:t>, kas sniedz priekšnoteikumus publiski radītas informācijas vienkāršākai un saprotamākai pieejamībai sabiedrībai.</w:t>
      </w:r>
    </w:p>
    <w:p w14:paraId="5321C3AF" w14:textId="0C40754A" w:rsidR="00015D87" w:rsidRPr="003B7440" w:rsidRDefault="00015D87" w:rsidP="00FB6D05">
      <w:pPr>
        <w:pStyle w:val="ListParagraph"/>
        <w:numPr>
          <w:ilvl w:val="0"/>
          <w:numId w:val="25"/>
        </w:numPr>
        <w:tabs>
          <w:tab w:val="left" w:pos="1134"/>
        </w:tabs>
        <w:ind w:left="0" w:firstLine="709"/>
        <w:rPr>
          <w:rFonts w:ascii="Times New Roman" w:hAnsi="Times New Roman"/>
          <w:bCs/>
          <w:sz w:val="28"/>
          <w:szCs w:val="28"/>
        </w:rPr>
      </w:pPr>
      <w:r w:rsidRPr="003B7440">
        <w:rPr>
          <w:rFonts w:ascii="Times New Roman" w:hAnsi="Times New Roman"/>
          <w:bCs/>
          <w:sz w:val="28"/>
          <w:szCs w:val="28"/>
        </w:rPr>
        <w:t>Uzlabot iestāžu tīmekļvietņu piekļūstamību, īstenojot Direktīvas 2016/2102 prasības</w:t>
      </w:r>
      <w:r w:rsidR="004B73C0">
        <w:rPr>
          <w:rFonts w:ascii="Times New Roman" w:hAnsi="Times New Roman"/>
          <w:bCs/>
          <w:sz w:val="28"/>
          <w:szCs w:val="28"/>
        </w:rPr>
        <w:t xml:space="preserve"> un</w:t>
      </w:r>
      <w:r w:rsidRPr="003B7440">
        <w:rPr>
          <w:rFonts w:ascii="Times New Roman" w:hAnsi="Times New Roman"/>
          <w:bCs/>
          <w:sz w:val="28"/>
          <w:szCs w:val="28"/>
        </w:rPr>
        <w:t xml:space="preserve"> tādējādi sniedzot iespēju publiski radītās informācijas pieejamībai visām sabiedrības grupām, ieskaitot personas ar invaliditāti.</w:t>
      </w:r>
    </w:p>
    <w:p w14:paraId="515CFEDE" w14:textId="77777777" w:rsidR="00015D87" w:rsidRPr="003B7440" w:rsidRDefault="00015D87" w:rsidP="00FB6D05">
      <w:pPr>
        <w:pStyle w:val="ListParagraph"/>
        <w:numPr>
          <w:ilvl w:val="0"/>
          <w:numId w:val="25"/>
        </w:numPr>
        <w:tabs>
          <w:tab w:val="left" w:pos="1134"/>
        </w:tabs>
        <w:overflowPunct w:val="0"/>
        <w:autoSpaceDE w:val="0"/>
        <w:autoSpaceDN w:val="0"/>
        <w:ind w:left="0" w:firstLine="709"/>
        <w:textAlignment w:val="baseline"/>
        <w:rPr>
          <w:rFonts w:ascii="Times New Roman" w:hAnsi="Times New Roman"/>
          <w:bCs/>
          <w:sz w:val="28"/>
          <w:szCs w:val="28"/>
        </w:rPr>
      </w:pPr>
      <w:r w:rsidRPr="003B7440">
        <w:rPr>
          <w:rFonts w:ascii="Times New Roman" w:hAnsi="Times New Roman"/>
          <w:bCs/>
          <w:sz w:val="28"/>
          <w:szCs w:val="28"/>
        </w:rPr>
        <w:t>Nodrošināt efektīvu resursu izlietojumu valsts un pašvaldības iestāžu tīmekļvietņu pārvaldībā, izmantojot vienotu tīmekļvietņu satura vadības sistēmu un centralizētu tehnisko atbalstu un uzturēšanu, kā arī decentralizētu satura veidošanu un administrēšanu.</w:t>
      </w:r>
    </w:p>
    <w:p w14:paraId="77AA72DF" w14:textId="77777777" w:rsidR="00015D87" w:rsidRPr="004B73C0" w:rsidRDefault="00015D87" w:rsidP="00150675">
      <w:pPr>
        <w:overflowPunct w:val="0"/>
        <w:autoSpaceDE w:val="0"/>
        <w:autoSpaceDN w:val="0"/>
        <w:textAlignment w:val="baseline"/>
        <w:rPr>
          <w:rFonts w:ascii="Times New Roman" w:eastAsia="Times New Roman" w:hAnsi="Times New Roman"/>
          <w:bCs/>
          <w:sz w:val="28"/>
          <w:szCs w:val="28"/>
          <w:lang w:eastAsia="lv-LV"/>
        </w:rPr>
      </w:pPr>
    </w:p>
    <w:p w14:paraId="6105C840" w14:textId="626B0A7C" w:rsidR="00015D87" w:rsidRPr="003B7440" w:rsidRDefault="00015D87" w:rsidP="00150675">
      <w:pPr>
        <w:overflowPunct w:val="0"/>
        <w:autoSpaceDE w:val="0"/>
        <w:autoSpaceDN w:val="0"/>
        <w:textAlignment w:val="baseline"/>
        <w:rPr>
          <w:rFonts w:ascii="Times New Roman" w:eastAsia="Times New Roman" w:hAnsi="Times New Roman"/>
          <w:b/>
          <w:sz w:val="28"/>
          <w:szCs w:val="28"/>
          <w:lang w:eastAsia="lv-LV"/>
        </w:rPr>
      </w:pPr>
      <w:r w:rsidRPr="003B7440">
        <w:rPr>
          <w:rFonts w:ascii="Times New Roman" w:eastAsia="Times New Roman" w:hAnsi="Times New Roman"/>
          <w:b/>
          <w:sz w:val="28"/>
          <w:szCs w:val="28"/>
          <w:lang w:eastAsia="lv-LV"/>
        </w:rPr>
        <w:t>Darbības</w:t>
      </w:r>
      <w:r w:rsidRPr="003B7440">
        <w:rPr>
          <w:rFonts w:ascii="Times New Roman" w:hAnsi="Times New Roman"/>
          <w:b/>
          <w:sz w:val="28"/>
          <w:szCs w:val="28"/>
        </w:rPr>
        <w:t xml:space="preserve"> pr</w:t>
      </w:r>
      <w:r w:rsidRPr="003B7440">
        <w:rPr>
          <w:rFonts w:ascii="Times New Roman" w:eastAsia="Times New Roman" w:hAnsi="Times New Roman"/>
          <w:b/>
          <w:sz w:val="28"/>
          <w:szCs w:val="28"/>
          <w:lang w:eastAsia="lv-LV"/>
        </w:rPr>
        <w:t>ojekta mērķu sasniegšanai</w:t>
      </w:r>
    </w:p>
    <w:p w14:paraId="35E0272D" w14:textId="77777777" w:rsidR="00015D87" w:rsidRPr="003B7440" w:rsidRDefault="00015D87" w:rsidP="00FB6D05">
      <w:pPr>
        <w:pStyle w:val="VPBody"/>
        <w:numPr>
          <w:ilvl w:val="0"/>
          <w:numId w:val="23"/>
        </w:numPr>
        <w:tabs>
          <w:tab w:val="left" w:pos="1134"/>
        </w:tabs>
        <w:spacing w:before="0" w:after="0"/>
        <w:ind w:left="0" w:firstLine="709"/>
        <w:rPr>
          <w:sz w:val="28"/>
          <w:szCs w:val="28"/>
        </w:rPr>
      </w:pPr>
      <w:r w:rsidRPr="003B7440">
        <w:rPr>
          <w:sz w:val="28"/>
          <w:szCs w:val="28"/>
        </w:rPr>
        <w:t>Vienotās tīmekļvietņu platformas izstrāde un ieviešana atbilstoši:</w:t>
      </w:r>
    </w:p>
    <w:p w14:paraId="734BC0B6" w14:textId="3906CA24" w:rsidR="00015D87" w:rsidRPr="003B7440" w:rsidRDefault="004D4F2E" w:rsidP="00FB6D05">
      <w:pPr>
        <w:pStyle w:val="VPBody"/>
        <w:numPr>
          <w:ilvl w:val="1"/>
          <w:numId w:val="23"/>
        </w:numPr>
        <w:tabs>
          <w:tab w:val="left" w:pos="1276"/>
        </w:tabs>
        <w:spacing w:before="0" w:after="0"/>
        <w:ind w:left="0" w:firstLine="709"/>
        <w:rPr>
          <w:sz w:val="28"/>
          <w:szCs w:val="28"/>
        </w:rPr>
      </w:pPr>
      <w:r>
        <w:rPr>
          <w:sz w:val="28"/>
          <w:szCs w:val="28"/>
        </w:rPr>
        <w:t>v</w:t>
      </w:r>
      <w:r w:rsidR="00015D87" w:rsidRPr="003B7440">
        <w:rPr>
          <w:sz w:val="28"/>
          <w:szCs w:val="28"/>
        </w:rPr>
        <w:t>alsts IKT mērķarhitektūrā noteiktajiem publiskās pārvaldes informācijas sistēmu konceptuālās arhitektūras principiem;</w:t>
      </w:r>
    </w:p>
    <w:p w14:paraId="3C2CFE61" w14:textId="251F2D2F" w:rsidR="00015D87" w:rsidRPr="003B7440" w:rsidRDefault="004D4F2E" w:rsidP="00FB6D05">
      <w:pPr>
        <w:pStyle w:val="VPBody"/>
        <w:numPr>
          <w:ilvl w:val="1"/>
          <w:numId w:val="23"/>
        </w:numPr>
        <w:tabs>
          <w:tab w:val="left" w:pos="1276"/>
        </w:tabs>
        <w:spacing w:before="0" w:after="0"/>
        <w:ind w:left="0" w:firstLine="709"/>
        <w:rPr>
          <w:sz w:val="28"/>
          <w:szCs w:val="28"/>
        </w:rPr>
      </w:pPr>
      <w:r>
        <w:rPr>
          <w:sz w:val="28"/>
          <w:szCs w:val="28"/>
        </w:rPr>
        <w:t>s</w:t>
      </w:r>
      <w:r w:rsidR="00015D87" w:rsidRPr="003B7440">
        <w:rPr>
          <w:sz w:val="28"/>
          <w:szCs w:val="28"/>
        </w:rPr>
        <w:t>abiedrības vajadzību padziļinātai izpētei un esošo tīmekļvietņu lietojamības novērtējumam;</w:t>
      </w:r>
    </w:p>
    <w:p w14:paraId="2527973F" w14:textId="1EA7F1B4" w:rsidR="00015D87" w:rsidRPr="003B7440" w:rsidRDefault="004D4F2E" w:rsidP="00FB6D05">
      <w:pPr>
        <w:pStyle w:val="VPBody"/>
        <w:numPr>
          <w:ilvl w:val="1"/>
          <w:numId w:val="23"/>
        </w:numPr>
        <w:tabs>
          <w:tab w:val="left" w:pos="1276"/>
        </w:tabs>
        <w:spacing w:before="0" w:after="0"/>
        <w:ind w:left="0" w:firstLine="709"/>
        <w:rPr>
          <w:sz w:val="28"/>
          <w:szCs w:val="28"/>
        </w:rPr>
      </w:pPr>
      <w:r>
        <w:rPr>
          <w:sz w:val="28"/>
          <w:szCs w:val="28"/>
        </w:rPr>
        <w:t>p</w:t>
      </w:r>
      <w:r w:rsidR="00015D87" w:rsidRPr="003B7440">
        <w:rPr>
          <w:sz w:val="28"/>
          <w:szCs w:val="28"/>
        </w:rPr>
        <w:t>rojektā iesaistīto iestāžu vajadzību padziļinātas izpētes rezultātiem.</w:t>
      </w:r>
    </w:p>
    <w:p w14:paraId="7AE214B7" w14:textId="77777777" w:rsidR="00015D87" w:rsidRPr="003B7440" w:rsidRDefault="00015D87" w:rsidP="00FB6D05">
      <w:pPr>
        <w:pStyle w:val="VPBody"/>
        <w:numPr>
          <w:ilvl w:val="0"/>
          <w:numId w:val="23"/>
        </w:numPr>
        <w:tabs>
          <w:tab w:val="left" w:pos="1134"/>
        </w:tabs>
        <w:spacing w:before="0" w:after="0"/>
        <w:ind w:left="0" w:firstLine="709"/>
        <w:rPr>
          <w:bCs w:val="0"/>
          <w:sz w:val="28"/>
          <w:szCs w:val="28"/>
        </w:rPr>
      </w:pPr>
      <w:r w:rsidRPr="003B7440">
        <w:rPr>
          <w:sz w:val="28"/>
          <w:szCs w:val="28"/>
        </w:rPr>
        <w:t>Esošā publiskās pārvaldes informācijas publicēšanas procesa analīze, identificējot trūkumus un apkopojot procesa norises mērījumus. Uzlabotā komunikācijas ar sabiedrību procesa analīze un novērtējums ar atbilstošiem sabiedriskās domas mērījumiem, izmantojot publiskās pārvaldes tīmekļvietņu lietotāju apmierinātības aptauju rīkus.</w:t>
      </w:r>
    </w:p>
    <w:p w14:paraId="4E419F99" w14:textId="77777777" w:rsidR="00015D87" w:rsidRPr="003B7440" w:rsidRDefault="00015D87" w:rsidP="00FB6D05">
      <w:pPr>
        <w:pStyle w:val="VPBody"/>
        <w:numPr>
          <w:ilvl w:val="0"/>
          <w:numId w:val="23"/>
        </w:numPr>
        <w:tabs>
          <w:tab w:val="left" w:pos="1134"/>
        </w:tabs>
        <w:spacing w:before="0" w:after="0"/>
        <w:ind w:left="0" w:firstLine="709"/>
        <w:rPr>
          <w:sz w:val="28"/>
          <w:szCs w:val="28"/>
        </w:rPr>
      </w:pPr>
      <w:r w:rsidRPr="003B7440">
        <w:rPr>
          <w:sz w:val="28"/>
          <w:szCs w:val="28"/>
        </w:rPr>
        <w:t>Izstrādāt un ieviest TVP pilotprojektu, aptverot 12 valsts un pašvaldību iestādes.</w:t>
      </w:r>
    </w:p>
    <w:p w14:paraId="469498CF" w14:textId="4CC29B26" w:rsidR="00015D87" w:rsidRPr="003B7440" w:rsidRDefault="00015D87" w:rsidP="00FB6D05">
      <w:pPr>
        <w:pStyle w:val="VPBody"/>
        <w:numPr>
          <w:ilvl w:val="0"/>
          <w:numId w:val="23"/>
        </w:numPr>
        <w:tabs>
          <w:tab w:val="left" w:pos="1134"/>
        </w:tabs>
        <w:spacing w:before="0" w:after="0"/>
        <w:ind w:left="0" w:firstLine="709"/>
        <w:rPr>
          <w:sz w:val="28"/>
          <w:szCs w:val="28"/>
        </w:rPr>
      </w:pPr>
      <w:r w:rsidRPr="003B7440">
        <w:rPr>
          <w:sz w:val="28"/>
          <w:szCs w:val="28"/>
        </w:rPr>
        <w:lastRenderedPageBreak/>
        <w:t xml:space="preserve">Komunikācija ar sabiedrību, informācijas sniegšana par TVP mērķi, atgriezeniskās saites </w:t>
      </w:r>
      <w:r w:rsidR="00C8014E" w:rsidRPr="003B7440">
        <w:rPr>
          <w:sz w:val="28"/>
          <w:szCs w:val="28"/>
        </w:rPr>
        <w:t xml:space="preserve">iegūšana </w:t>
      </w:r>
      <w:r w:rsidRPr="003B7440">
        <w:rPr>
          <w:sz w:val="28"/>
          <w:szCs w:val="28"/>
        </w:rPr>
        <w:t>par pilotprojekta rezultātiem.</w:t>
      </w:r>
    </w:p>
    <w:p w14:paraId="4DB70A13" w14:textId="77777777" w:rsidR="00015D87" w:rsidRPr="003B7440" w:rsidRDefault="00015D87" w:rsidP="00C8014E">
      <w:pPr>
        <w:pStyle w:val="VPBody"/>
        <w:numPr>
          <w:ilvl w:val="0"/>
          <w:numId w:val="23"/>
        </w:numPr>
        <w:tabs>
          <w:tab w:val="left" w:pos="1134"/>
        </w:tabs>
        <w:spacing w:before="0" w:after="0"/>
        <w:ind w:left="0" w:firstLine="709"/>
        <w:rPr>
          <w:sz w:val="28"/>
          <w:szCs w:val="28"/>
        </w:rPr>
      </w:pPr>
      <w:r w:rsidRPr="003B7440">
        <w:rPr>
          <w:sz w:val="28"/>
          <w:szCs w:val="28"/>
        </w:rPr>
        <w:t xml:space="preserve">TVP risinājuma adaptācija un uzlabošana līdz tīmekļvietņu vienotās platformas vēlamā </w:t>
      </w:r>
      <w:proofErr w:type="gramStart"/>
      <w:r w:rsidRPr="003B7440">
        <w:rPr>
          <w:sz w:val="28"/>
          <w:szCs w:val="28"/>
        </w:rPr>
        <w:t>gala rezultāta</w:t>
      </w:r>
      <w:proofErr w:type="gramEnd"/>
      <w:r w:rsidRPr="003B7440">
        <w:rPr>
          <w:sz w:val="28"/>
          <w:szCs w:val="28"/>
        </w:rPr>
        <w:t xml:space="preserve"> sasniegšanai.</w:t>
      </w:r>
      <w:bookmarkStart w:id="8" w:name="_Hlk46919668"/>
    </w:p>
    <w:bookmarkEnd w:id="8"/>
    <w:p w14:paraId="020A62AF" w14:textId="37B2FC74" w:rsidR="00015D87" w:rsidRPr="003B7440" w:rsidRDefault="00015D87" w:rsidP="00C8014E">
      <w:pPr>
        <w:pStyle w:val="VPBody"/>
        <w:numPr>
          <w:ilvl w:val="0"/>
          <w:numId w:val="23"/>
        </w:numPr>
        <w:tabs>
          <w:tab w:val="left" w:pos="1134"/>
        </w:tabs>
        <w:spacing w:before="0" w:after="0"/>
        <w:ind w:left="0" w:firstLine="709"/>
        <w:rPr>
          <w:sz w:val="28"/>
          <w:szCs w:val="28"/>
        </w:rPr>
      </w:pPr>
      <w:r w:rsidRPr="003B7440">
        <w:rPr>
          <w:sz w:val="28"/>
          <w:szCs w:val="28"/>
        </w:rPr>
        <w:t xml:space="preserve">TVP lietotāju mācības un vienotu vadlīniju </w:t>
      </w:r>
      <w:r w:rsidR="00C8014E" w:rsidRPr="003B7440">
        <w:rPr>
          <w:sz w:val="28"/>
          <w:szCs w:val="28"/>
        </w:rPr>
        <w:t xml:space="preserve">izstrāde </w:t>
      </w:r>
      <w:r w:rsidRPr="003B7440">
        <w:rPr>
          <w:sz w:val="28"/>
          <w:szCs w:val="28"/>
        </w:rPr>
        <w:t>tīmekļvietņu izveidē, funkcionalitātē, satura pārvaldībā un uzturēšanā.</w:t>
      </w:r>
    </w:p>
    <w:p w14:paraId="637876A4" w14:textId="39B86663" w:rsidR="00015D87" w:rsidRPr="003B7440" w:rsidRDefault="00015D87" w:rsidP="00C8014E">
      <w:pPr>
        <w:pStyle w:val="VPBody"/>
        <w:numPr>
          <w:ilvl w:val="0"/>
          <w:numId w:val="23"/>
        </w:numPr>
        <w:tabs>
          <w:tab w:val="left" w:pos="1134"/>
        </w:tabs>
        <w:spacing w:before="0" w:after="0"/>
        <w:ind w:left="0" w:firstLine="709"/>
        <w:rPr>
          <w:sz w:val="28"/>
          <w:szCs w:val="28"/>
        </w:rPr>
      </w:pPr>
      <w:r w:rsidRPr="003B7440">
        <w:rPr>
          <w:sz w:val="28"/>
          <w:szCs w:val="28"/>
        </w:rPr>
        <w:t>Sabiedrības informēšana un izglītošana par tīmekļvietņu vienoto platformu sadarbībā ar Vides aizsardzības un reģionālās attīstības ministrijas projektu</w:t>
      </w:r>
      <w:r w:rsidRPr="003B7440">
        <w:rPr>
          <w:bCs w:val="0"/>
          <w:sz w:val="28"/>
          <w:szCs w:val="28"/>
        </w:rPr>
        <w:t xml:space="preserve"> </w:t>
      </w:r>
      <w:r w:rsidR="00150675">
        <w:rPr>
          <w:bCs w:val="0"/>
          <w:sz w:val="28"/>
          <w:szCs w:val="28"/>
        </w:rPr>
        <w:t>"</w:t>
      </w:r>
      <w:r w:rsidRPr="003B7440">
        <w:rPr>
          <w:bCs w:val="0"/>
          <w:sz w:val="28"/>
          <w:szCs w:val="28"/>
        </w:rPr>
        <w:t>Publiskās pārvaldes informācijas un komunikāciju tehnoloģiju arhitektūras pārvaldības sistēma</w:t>
      </w:r>
      <w:r w:rsidR="00833767">
        <w:rPr>
          <w:bCs w:val="0"/>
          <w:sz w:val="28"/>
          <w:szCs w:val="28"/>
        </w:rPr>
        <w:t>.</w:t>
      </w:r>
      <w:r w:rsidR="001F7B79" w:rsidRPr="003B7440">
        <w:rPr>
          <w:bCs w:val="0"/>
          <w:sz w:val="28"/>
          <w:szCs w:val="28"/>
        </w:rPr>
        <w:t xml:space="preserve"> 2.</w:t>
      </w:r>
      <w:r w:rsidR="00C8014E">
        <w:rPr>
          <w:bCs w:val="0"/>
          <w:sz w:val="28"/>
          <w:szCs w:val="28"/>
        </w:rPr>
        <w:t> </w:t>
      </w:r>
      <w:r w:rsidR="001F7B79" w:rsidRPr="003B7440">
        <w:rPr>
          <w:bCs w:val="0"/>
          <w:sz w:val="28"/>
          <w:szCs w:val="28"/>
        </w:rPr>
        <w:t>kārta</w:t>
      </w:r>
      <w:r w:rsidR="00C8014E">
        <w:rPr>
          <w:sz w:val="28"/>
          <w:szCs w:val="28"/>
        </w:rPr>
        <w:t>"</w:t>
      </w:r>
      <w:r w:rsidRPr="003B7440">
        <w:rPr>
          <w:bCs w:val="0"/>
          <w:sz w:val="28"/>
          <w:szCs w:val="28"/>
        </w:rPr>
        <w:t xml:space="preserve"> (turpmāk</w:t>
      </w:r>
      <w:r w:rsidR="009B7F59" w:rsidRPr="003B7440">
        <w:rPr>
          <w:bCs w:val="0"/>
          <w:sz w:val="28"/>
          <w:szCs w:val="28"/>
        </w:rPr>
        <w:t xml:space="preserve"> </w:t>
      </w:r>
      <w:r w:rsidR="00C8014E">
        <w:rPr>
          <w:bCs w:val="0"/>
          <w:sz w:val="28"/>
          <w:szCs w:val="28"/>
        </w:rPr>
        <w:t>–</w:t>
      </w:r>
      <w:r w:rsidRPr="003B7440">
        <w:rPr>
          <w:bCs w:val="0"/>
          <w:sz w:val="28"/>
          <w:szCs w:val="28"/>
        </w:rPr>
        <w:t xml:space="preserve"> </w:t>
      </w:r>
      <w:r w:rsidRPr="003B7440">
        <w:rPr>
          <w:sz w:val="28"/>
          <w:szCs w:val="28"/>
        </w:rPr>
        <w:t xml:space="preserve">VARAM PIKTAPS) un </w:t>
      </w:r>
      <w:r w:rsidR="004C43B5" w:rsidRPr="003B7440">
        <w:rPr>
          <w:sz w:val="28"/>
          <w:szCs w:val="28"/>
          <w:lang w:eastAsia="lv-LV"/>
        </w:rPr>
        <w:t>VRAA</w:t>
      </w:r>
      <w:r w:rsidR="00452A9D" w:rsidRPr="003B7440">
        <w:rPr>
          <w:sz w:val="28"/>
          <w:szCs w:val="28"/>
          <w:lang w:eastAsia="lv-LV"/>
        </w:rPr>
        <w:t xml:space="preserve"> projektu</w:t>
      </w:r>
      <w:r w:rsidRPr="003B7440">
        <w:rPr>
          <w:sz w:val="28"/>
          <w:szCs w:val="28"/>
          <w:lang w:eastAsia="lv-LV"/>
        </w:rPr>
        <w:t xml:space="preserve"> </w:t>
      </w:r>
      <w:r w:rsidR="00150675">
        <w:rPr>
          <w:sz w:val="28"/>
          <w:szCs w:val="28"/>
          <w:lang w:eastAsia="lv-LV"/>
        </w:rPr>
        <w:t>"</w:t>
      </w:r>
      <w:r w:rsidRPr="003B7440">
        <w:rPr>
          <w:sz w:val="28"/>
          <w:szCs w:val="28"/>
          <w:lang w:eastAsia="lv-LV"/>
        </w:rPr>
        <w:t>Pakalpojumu snieg</w:t>
      </w:r>
      <w:r w:rsidR="00452A9D" w:rsidRPr="003B7440">
        <w:rPr>
          <w:sz w:val="28"/>
          <w:szCs w:val="28"/>
          <w:lang w:eastAsia="lv-LV"/>
        </w:rPr>
        <w:t>šanas un pārvaldības platforma</w:t>
      </w:r>
      <w:r w:rsidR="00C8014E">
        <w:rPr>
          <w:sz w:val="28"/>
          <w:szCs w:val="28"/>
        </w:rPr>
        <w:t>"</w:t>
      </w:r>
      <w:r w:rsidR="00452A9D" w:rsidRPr="003B7440">
        <w:rPr>
          <w:sz w:val="28"/>
          <w:szCs w:val="28"/>
          <w:lang w:eastAsia="lv-LV"/>
        </w:rPr>
        <w:t>.</w:t>
      </w:r>
    </w:p>
    <w:p w14:paraId="1F6C4BB9" w14:textId="1FF9B19F" w:rsidR="00015D87" w:rsidRPr="003B7440" w:rsidRDefault="00015D87" w:rsidP="00C8014E">
      <w:pPr>
        <w:pStyle w:val="ListParagraph"/>
        <w:numPr>
          <w:ilvl w:val="0"/>
          <w:numId w:val="23"/>
        </w:numPr>
        <w:tabs>
          <w:tab w:val="left" w:pos="0"/>
          <w:tab w:val="left" w:pos="1134"/>
        </w:tabs>
        <w:ind w:left="0" w:firstLine="709"/>
        <w:rPr>
          <w:rFonts w:ascii="Times New Roman" w:hAnsi="Times New Roman"/>
          <w:sz w:val="28"/>
          <w:szCs w:val="28"/>
        </w:rPr>
      </w:pPr>
      <w:r w:rsidRPr="003B7440">
        <w:rPr>
          <w:rFonts w:ascii="Times New Roman" w:eastAsiaTheme="minorHAnsi" w:hAnsi="Times New Roman"/>
          <w:bCs/>
          <w:sz w:val="28"/>
          <w:szCs w:val="28"/>
        </w:rPr>
        <w:t xml:space="preserve">Pārējo </w:t>
      </w:r>
      <w:r w:rsidR="00833767">
        <w:rPr>
          <w:rFonts w:ascii="Times New Roman" w:eastAsiaTheme="minorHAnsi" w:hAnsi="Times New Roman"/>
          <w:bCs/>
          <w:sz w:val="28"/>
          <w:szCs w:val="28"/>
        </w:rPr>
        <w:t>p</w:t>
      </w:r>
      <w:r w:rsidRPr="003B7440">
        <w:rPr>
          <w:rFonts w:ascii="Times New Roman" w:eastAsiaTheme="minorHAnsi" w:hAnsi="Times New Roman"/>
          <w:bCs/>
          <w:sz w:val="28"/>
          <w:szCs w:val="28"/>
        </w:rPr>
        <w:t>rojektā iesaistīto iestāžu tīmekļvietņu satura migrācija no esošajām tīmekļvietnēm uz TVP.</w:t>
      </w:r>
    </w:p>
    <w:p w14:paraId="5943C1B8" w14:textId="4DB09ECF" w:rsidR="00C945C6" w:rsidRPr="003B7440" w:rsidRDefault="00C945C6" w:rsidP="00C8014E">
      <w:pPr>
        <w:pStyle w:val="ListParagraph"/>
        <w:numPr>
          <w:ilvl w:val="0"/>
          <w:numId w:val="23"/>
        </w:numPr>
        <w:tabs>
          <w:tab w:val="left" w:pos="0"/>
          <w:tab w:val="left" w:pos="1134"/>
        </w:tabs>
        <w:ind w:left="0" w:firstLine="709"/>
        <w:rPr>
          <w:rFonts w:ascii="Times New Roman" w:eastAsiaTheme="minorHAnsi" w:hAnsi="Times New Roman"/>
          <w:bCs/>
          <w:sz w:val="28"/>
          <w:szCs w:val="28"/>
        </w:rPr>
      </w:pPr>
      <w:r w:rsidRPr="003B7440">
        <w:rPr>
          <w:rFonts w:ascii="Times New Roman" w:eastAsiaTheme="minorHAnsi" w:hAnsi="Times New Roman"/>
          <w:bCs/>
          <w:sz w:val="28"/>
          <w:szCs w:val="28"/>
        </w:rPr>
        <w:t>TVP uzturēšana projekta laikā</w:t>
      </w:r>
      <w:r w:rsidR="00C8014E">
        <w:rPr>
          <w:rFonts w:ascii="Times New Roman" w:eastAsiaTheme="minorHAnsi" w:hAnsi="Times New Roman"/>
          <w:bCs/>
          <w:sz w:val="28"/>
          <w:szCs w:val="28"/>
        </w:rPr>
        <w:t>.</w:t>
      </w:r>
      <w:r w:rsidRPr="003B7440">
        <w:rPr>
          <w:rFonts w:ascii="Times New Roman" w:eastAsiaTheme="minorHAnsi" w:hAnsi="Times New Roman"/>
          <w:bCs/>
          <w:sz w:val="28"/>
          <w:szCs w:val="28"/>
        </w:rPr>
        <w:t xml:space="preserve"> </w:t>
      </w:r>
      <w:r w:rsidR="00C8014E">
        <w:rPr>
          <w:rFonts w:ascii="Times New Roman" w:eastAsiaTheme="minorHAnsi" w:hAnsi="Times New Roman"/>
          <w:bCs/>
          <w:sz w:val="28"/>
          <w:szCs w:val="28"/>
        </w:rPr>
        <w:t>Ņ</w:t>
      </w:r>
      <w:r w:rsidRPr="003B7440">
        <w:rPr>
          <w:rFonts w:ascii="Times New Roman" w:eastAsiaTheme="minorHAnsi" w:hAnsi="Times New Roman"/>
          <w:bCs/>
          <w:sz w:val="28"/>
          <w:szCs w:val="28"/>
        </w:rPr>
        <w:t xml:space="preserve">emot vērā, ka TVP nodošana ekspluatācijā paredzēta projekta laikā un pēc tās seko TVP uzlabošana un iestāžu tīmekļvietņu migrācija uz TVP, TVP uzturēšana veicama </w:t>
      </w:r>
      <w:r w:rsidR="000B7F08" w:rsidRPr="003B7440">
        <w:rPr>
          <w:rFonts w:ascii="Times New Roman" w:eastAsiaTheme="minorHAnsi" w:hAnsi="Times New Roman"/>
          <w:bCs/>
          <w:sz w:val="28"/>
          <w:szCs w:val="28"/>
        </w:rPr>
        <w:t xml:space="preserve">jau </w:t>
      </w:r>
      <w:r w:rsidRPr="003B7440">
        <w:rPr>
          <w:rFonts w:ascii="Times New Roman" w:eastAsiaTheme="minorHAnsi" w:hAnsi="Times New Roman"/>
          <w:bCs/>
          <w:sz w:val="28"/>
          <w:szCs w:val="28"/>
        </w:rPr>
        <w:t xml:space="preserve">projekta laikā no TVP nodošanas ekspluatācijā brīža. </w:t>
      </w:r>
    </w:p>
    <w:p w14:paraId="45637523" w14:textId="73A28BD7" w:rsidR="00C945C6" w:rsidRPr="003B7440" w:rsidRDefault="00C945C6" w:rsidP="00150675">
      <w:pPr>
        <w:pStyle w:val="ListParagraph"/>
        <w:ind w:left="0"/>
        <w:jc w:val="left"/>
        <w:rPr>
          <w:rFonts w:ascii="Times New Roman" w:hAnsi="Times New Roman"/>
          <w:sz w:val="28"/>
          <w:szCs w:val="28"/>
        </w:rPr>
      </w:pPr>
    </w:p>
    <w:p w14:paraId="18A1B008" w14:textId="4395805D" w:rsidR="00015D87" w:rsidRDefault="00015D87" w:rsidP="00150675">
      <w:pPr>
        <w:overflowPunct w:val="0"/>
        <w:autoSpaceDE w:val="0"/>
        <w:autoSpaceDN w:val="0"/>
        <w:adjustRightInd w:val="0"/>
        <w:ind w:firstLine="284"/>
        <w:textAlignment w:val="baseline"/>
        <w:rPr>
          <w:rFonts w:ascii="Times New Roman" w:eastAsia="MS Mincho" w:hAnsi="Times New Roman"/>
          <w:b/>
          <w:bCs/>
          <w:sz w:val="28"/>
          <w:szCs w:val="28"/>
        </w:rPr>
      </w:pPr>
      <w:r w:rsidRPr="003B7440">
        <w:rPr>
          <w:rFonts w:ascii="Times New Roman" w:eastAsia="MS Mincho" w:hAnsi="Times New Roman"/>
          <w:b/>
          <w:bCs/>
          <w:sz w:val="28"/>
          <w:szCs w:val="28"/>
        </w:rPr>
        <w:t>Projekta rezultāta rādītāji</w:t>
      </w:r>
    </w:p>
    <w:p w14:paraId="596A5816" w14:textId="77777777" w:rsidR="00C8014E" w:rsidRPr="00C8014E" w:rsidRDefault="00C8014E" w:rsidP="00150675">
      <w:pPr>
        <w:overflowPunct w:val="0"/>
        <w:autoSpaceDE w:val="0"/>
        <w:autoSpaceDN w:val="0"/>
        <w:adjustRightInd w:val="0"/>
        <w:ind w:firstLine="284"/>
        <w:textAlignment w:val="baseline"/>
        <w:rPr>
          <w:rFonts w:ascii="Times New Roman" w:eastAsia="MS Mincho" w:hAnsi="Times New Roman"/>
          <w:sz w:val="20"/>
          <w:szCs w:val="20"/>
        </w:rPr>
      </w:pPr>
    </w:p>
    <w:tbl>
      <w:tblPr>
        <w:tblStyle w:val="TableGrid"/>
        <w:tblpPr w:leftFromText="180" w:rightFromText="180" w:vertAnchor="text" w:tblpX="-5" w:tblpY="1"/>
        <w:tblOverlap w:val="never"/>
        <w:tblW w:w="5000" w:type="pct"/>
        <w:tblLayout w:type="fixed"/>
        <w:tblLook w:val="04A0" w:firstRow="1" w:lastRow="0" w:firstColumn="1" w:lastColumn="0" w:noHBand="0" w:noVBand="1"/>
      </w:tblPr>
      <w:tblGrid>
        <w:gridCol w:w="709"/>
        <w:gridCol w:w="3545"/>
        <w:gridCol w:w="1134"/>
        <w:gridCol w:w="991"/>
        <w:gridCol w:w="1276"/>
        <w:gridCol w:w="1406"/>
      </w:tblGrid>
      <w:tr w:rsidR="003B7440" w:rsidRPr="00C8014E" w14:paraId="233B7161" w14:textId="77777777" w:rsidTr="00C8014E">
        <w:trPr>
          <w:tblHeader/>
        </w:trPr>
        <w:tc>
          <w:tcPr>
            <w:tcW w:w="391" w:type="pct"/>
            <w:vAlign w:val="center"/>
          </w:tcPr>
          <w:p w14:paraId="7776C392" w14:textId="77777777" w:rsidR="00C8014E" w:rsidRDefault="00015D87" w:rsidP="00C8014E">
            <w:pPr>
              <w:pStyle w:val="VPBody"/>
              <w:spacing w:before="0" w:after="0"/>
              <w:jc w:val="center"/>
              <w:rPr>
                <w:iCs/>
                <w:szCs w:val="24"/>
              </w:rPr>
            </w:pPr>
            <w:r w:rsidRPr="00C8014E">
              <w:rPr>
                <w:iCs/>
                <w:szCs w:val="24"/>
              </w:rPr>
              <w:t>Nr.</w:t>
            </w:r>
          </w:p>
          <w:p w14:paraId="0DEAE2C0" w14:textId="2239B76B" w:rsidR="00015D87" w:rsidRPr="00C8014E" w:rsidRDefault="00015D87" w:rsidP="00C8014E">
            <w:pPr>
              <w:pStyle w:val="VPBody"/>
              <w:spacing w:before="0" w:after="0"/>
              <w:jc w:val="center"/>
              <w:rPr>
                <w:iCs/>
                <w:szCs w:val="24"/>
              </w:rPr>
            </w:pPr>
            <w:r w:rsidRPr="00C8014E">
              <w:rPr>
                <w:iCs/>
                <w:szCs w:val="24"/>
              </w:rPr>
              <w:t>p.</w:t>
            </w:r>
            <w:r w:rsidR="00C8014E">
              <w:rPr>
                <w:iCs/>
                <w:szCs w:val="24"/>
              </w:rPr>
              <w:t> </w:t>
            </w:r>
            <w:r w:rsidRPr="00C8014E">
              <w:rPr>
                <w:iCs/>
                <w:szCs w:val="24"/>
              </w:rPr>
              <w:t>k.</w:t>
            </w:r>
          </w:p>
        </w:tc>
        <w:tc>
          <w:tcPr>
            <w:tcW w:w="1956" w:type="pct"/>
            <w:vAlign w:val="center"/>
          </w:tcPr>
          <w:p w14:paraId="070989F0" w14:textId="77777777" w:rsidR="00015D87" w:rsidRPr="00C8014E" w:rsidRDefault="00015D87" w:rsidP="00C8014E">
            <w:pPr>
              <w:pStyle w:val="VPBody"/>
              <w:spacing w:before="0" w:after="0"/>
              <w:jc w:val="center"/>
              <w:rPr>
                <w:iCs/>
                <w:szCs w:val="24"/>
              </w:rPr>
            </w:pPr>
            <w:r w:rsidRPr="00C8014E">
              <w:rPr>
                <w:iCs/>
                <w:szCs w:val="24"/>
              </w:rPr>
              <w:t>Rezultāta rādītājs</w:t>
            </w:r>
          </w:p>
        </w:tc>
        <w:tc>
          <w:tcPr>
            <w:tcW w:w="626" w:type="pct"/>
            <w:vAlign w:val="center"/>
          </w:tcPr>
          <w:p w14:paraId="13FD79C8" w14:textId="3A937DEF" w:rsidR="00015D87" w:rsidRPr="00C8014E" w:rsidRDefault="00015D87" w:rsidP="00C8014E">
            <w:pPr>
              <w:pStyle w:val="VPBody"/>
              <w:spacing w:before="0" w:after="0"/>
              <w:jc w:val="center"/>
              <w:rPr>
                <w:iCs/>
                <w:szCs w:val="24"/>
              </w:rPr>
            </w:pPr>
            <w:r w:rsidRPr="00C8014E">
              <w:rPr>
                <w:iCs/>
                <w:szCs w:val="24"/>
              </w:rPr>
              <w:t>Mēr</w:t>
            </w:r>
            <w:r w:rsidR="00C8014E">
              <w:rPr>
                <w:iCs/>
                <w:szCs w:val="24"/>
              </w:rPr>
              <w:softHyphen/>
            </w:r>
            <w:r w:rsidRPr="00C8014E">
              <w:rPr>
                <w:iCs/>
                <w:szCs w:val="24"/>
              </w:rPr>
              <w:t>vienība</w:t>
            </w:r>
          </w:p>
        </w:tc>
        <w:tc>
          <w:tcPr>
            <w:tcW w:w="547" w:type="pct"/>
            <w:vAlign w:val="center"/>
          </w:tcPr>
          <w:p w14:paraId="7E35ACF8" w14:textId="475317A2" w:rsidR="00015D87" w:rsidRPr="00C8014E" w:rsidRDefault="00015D87" w:rsidP="00C8014E">
            <w:pPr>
              <w:pStyle w:val="VPBody"/>
              <w:spacing w:before="0" w:after="0"/>
              <w:jc w:val="center"/>
              <w:rPr>
                <w:iCs/>
                <w:szCs w:val="24"/>
              </w:rPr>
            </w:pPr>
            <w:r w:rsidRPr="00C8014E">
              <w:rPr>
                <w:iCs/>
                <w:szCs w:val="24"/>
              </w:rPr>
              <w:t>Sākot</w:t>
            </w:r>
            <w:r w:rsidR="00C8014E">
              <w:rPr>
                <w:iCs/>
                <w:szCs w:val="24"/>
              </w:rPr>
              <w:softHyphen/>
            </w:r>
            <w:r w:rsidRPr="00C8014E">
              <w:rPr>
                <w:iCs/>
                <w:szCs w:val="24"/>
              </w:rPr>
              <w:t>nējā vērtība</w:t>
            </w:r>
          </w:p>
        </w:tc>
        <w:tc>
          <w:tcPr>
            <w:tcW w:w="704" w:type="pct"/>
            <w:vAlign w:val="center"/>
          </w:tcPr>
          <w:p w14:paraId="6C399296" w14:textId="619D591E" w:rsidR="00015D87" w:rsidRPr="00C8014E" w:rsidRDefault="00015D87" w:rsidP="00C8014E">
            <w:pPr>
              <w:pStyle w:val="VPBody"/>
              <w:spacing w:before="0" w:after="0"/>
              <w:jc w:val="center"/>
              <w:rPr>
                <w:iCs/>
                <w:szCs w:val="24"/>
              </w:rPr>
            </w:pPr>
            <w:r w:rsidRPr="00C8014E">
              <w:rPr>
                <w:iCs/>
                <w:szCs w:val="24"/>
              </w:rPr>
              <w:t>Sasnie</w:t>
            </w:r>
            <w:r w:rsidR="00C8014E">
              <w:rPr>
                <w:iCs/>
                <w:szCs w:val="24"/>
              </w:rPr>
              <w:softHyphen/>
            </w:r>
            <w:r w:rsidRPr="00C8014E">
              <w:rPr>
                <w:iCs/>
                <w:szCs w:val="24"/>
              </w:rPr>
              <w:t>dzamā vērtība 2</w:t>
            </w:r>
            <w:r w:rsidR="00C8014E">
              <w:rPr>
                <w:iCs/>
                <w:szCs w:val="24"/>
              </w:rPr>
              <w:t> </w:t>
            </w:r>
            <w:r w:rsidRPr="00C8014E">
              <w:rPr>
                <w:iCs/>
                <w:szCs w:val="24"/>
              </w:rPr>
              <w:t>gadus pēc projekta beigām</w:t>
            </w:r>
          </w:p>
        </w:tc>
        <w:tc>
          <w:tcPr>
            <w:tcW w:w="776" w:type="pct"/>
            <w:vAlign w:val="center"/>
          </w:tcPr>
          <w:p w14:paraId="77B9854A" w14:textId="61A3C75E" w:rsidR="00015D87" w:rsidRPr="00C8014E" w:rsidRDefault="00015D87" w:rsidP="00C8014E">
            <w:pPr>
              <w:pStyle w:val="VPBody"/>
              <w:spacing w:before="0" w:after="0"/>
              <w:jc w:val="center"/>
              <w:rPr>
                <w:iCs/>
                <w:szCs w:val="24"/>
              </w:rPr>
            </w:pPr>
            <w:r w:rsidRPr="00C8014E">
              <w:rPr>
                <w:iCs/>
                <w:szCs w:val="24"/>
              </w:rPr>
              <w:t>Sasnie</w:t>
            </w:r>
            <w:r w:rsidR="00C8014E">
              <w:rPr>
                <w:iCs/>
                <w:szCs w:val="24"/>
              </w:rPr>
              <w:softHyphen/>
            </w:r>
            <w:r w:rsidRPr="00C8014E">
              <w:rPr>
                <w:iCs/>
                <w:szCs w:val="24"/>
              </w:rPr>
              <w:t>dzamā vērtība 3</w:t>
            </w:r>
            <w:r w:rsidR="00C8014E">
              <w:rPr>
                <w:iCs/>
                <w:szCs w:val="24"/>
              </w:rPr>
              <w:t> </w:t>
            </w:r>
            <w:r w:rsidRPr="00C8014E">
              <w:rPr>
                <w:iCs/>
                <w:szCs w:val="24"/>
              </w:rPr>
              <w:t>gadus pēc projekta beigām</w:t>
            </w:r>
          </w:p>
        </w:tc>
      </w:tr>
      <w:tr w:rsidR="003B7440" w:rsidRPr="00C8014E" w14:paraId="7A9B03D4" w14:textId="77777777" w:rsidTr="00C8014E">
        <w:tc>
          <w:tcPr>
            <w:tcW w:w="391" w:type="pct"/>
          </w:tcPr>
          <w:p w14:paraId="3A7955B4" w14:textId="77777777" w:rsidR="00015D87" w:rsidRPr="00C8014E" w:rsidRDefault="00015D87" w:rsidP="00C8014E">
            <w:pPr>
              <w:pStyle w:val="VPBody"/>
              <w:numPr>
                <w:ilvl w:val="0"/>
                <w:numId w:val="22"/>
              </w:numPr>
              <w:spacing w:before="0" w:after="0"/>
              <w:ind w:left="720"/>
              <w:rPr>
                <w:iCs/>
                <w:szCs w:val="24"/>
              </w:rPr>
            </w:pPr>
          </w:p>
        </w:tc>
        <w:tc>
          <w:tcPr>
            <w:tcW w:w="1956" w:type="pct"/>
          </w:tcPr>
          <w:p w14:paraId="5BD9AE75" w14:textId="78D2756B" w:rsidR="00015D87" w:rsidRPr="00C8014E" w:rsidRDefault="00015D87" w:rsidP="00C8014E">
            <w:pPr>
              <w:pStyle w:val="VPBody"/>
              <w:spacing w:before="0" w:after="0"/>
              <w:jc w:val="left"/>
              <w:rPr>
                <w:iCs/>
                <w:szCs w:val="24"/>
              </w:rPr>
            </w:pPr>
            <w:r w:rsidRPr="00C8014E">
              <w:rPr>
                <w:iCs/>
                <w:szCs w:val="24"/>
              </w:rPr>
              <w:t>Investīciju atdeve: valsts un pašvaldību tīmekļvietņu izstrādes un uzturēšanas izdevumu propor</w:t>
            </w:r>
            <w:r w:rsidR="001110F0">
              <w:rPr>
                <w:iCs/>
                <w:szCs w:val="24"/>
              </w:rPr>
              <w:softHyphen/>
            </w:r>
            <w:r w:rsidRPr="00C8014E">
              <w:rPr>
                <w:iCs/>
                <w:szCs w:val="24"/>
              </w:rPr>
              <w:t>cionāls samazinājums salīdzinā</w:t>
            </w:r>
            <w:r w:rsidR="001110F0">
              <w:rPr>
                <w:iCs/>
                <w:szCs w:val="24"/>
              </w:rPr>
              <w:softHyphen/>
            </w:r>
            <w:r w:rsidRPr="00C8014E">
              <w:rPr>
                <w:iCs/>
                <w:szCs w:val="24"/>
              </w:rPr>
              <w:t>jumā ar izmaksām bez projekta (samazinājums procentos)</w:t>
            </w:r>
          </w:p>
        </w:tc>
        <w:tc>
          <w:tcPr>
            <w:tcW w:w="626" w:type="pct"/>
          </w:tcPr>
          <w:p w14:paraId="4906B710" w14:textId="77777777" w:rsidR="00015D87" w:rsidRPr="00C8014E" w:rsidRDefault="00015D87" w:rsidP="00C8014E">
            <w:pPr>
              <w:pStyle w:val="VPBody"/>
              <w:spacing w:before="0" w:after="0"/>
              <w:rPr>
                <w:iCs/>
                <w:szCs w:val="24"/>
              </w:rPr>
            </w:pPr>
            <w:r w:rsidRPr="00C8014E">
              <w:rPr>
                <w:iCs/>
                <w:szCs w:val="24"/>
              </w:rPr>
              <w:t>Īpatsvars</w:t>
            </w:r>
          </w:p>
        </w:tc>
        <w:tc>
          <w:tcPr>
            <w:tcW w:w="547" w:type="pct"/>
          </w:tcPr>
          <w:p w14:paraId="21A9C49F" w14:textId="77777777" w:rsidR="00015D87" w:rsidRPr="00C8014E" w:rsidRDefault="00015D87" w:rsidP="00C8014E">
            <w:pPr>
              <w:pStyle w:val="VPBody"/>
              <w:spacing w:before="0" w:after="0"/>
              <w:rPr>
                <w:iCs/>
                <w:szCs w:val="24"/>
              </w:rPr>
            </w:pPr>
            <w:r w:rsidRPr="00C8014E">
              <w:rPr>
                <w:iCs/>
                <w:szCs w:val="24"/>
              </w:rPr>
              <w:t>0</w:t>
            </w:r>
          </w:p>
        </w:tc>
        <w:tc>
          <w:tcPr>
            <w:tcW w:w="704" w:type="pct"/>
          </w:tcPr>
          <w:p w14:paraId="08E8B925" w14:textId="47A2E147" w:rsidR="00015D87" w:rsidRPr="00C8014E" w:rsidRDefault="00015D87" w:rsidP="00C8014E">
            <w:pPr>
              <w:pStyle w:val="VPBody"/>
              <w:spacing w:before="0" w:after="0"/>
              <w:rPr>
                <w:iCs/>
                <w:szCs w:val="24"/>
              </w:rPr>
            </w:pPr>
            <w:r w:rsidRPr="00C8014E">
              <w:rPr>
                <w:iCs/>
                <w:szCs w:val="24"/>
              </w:rPr>
              <w:t>5</w:t>
            </w:r>
            <w:r w:rsidR="00833767">
              <w:rPr>
                <w:iCs/>
                <w:szCs w:val="24"/>
              </w:rPr>
              <w:t> </w:t>
            </w:r>
            <w:r w:rsidRPr="00C8014E">
              <w:rPr>
                <w:iCs/>
                <w:szCs w:val="24"/>
              </w:rPr>
              <w:t>%</w:t>
            </w:r>
          </w:p>
        </w:tc>
        <w:tc>
          <w:tcPr>
            <w:tcW w:w="776" w:type="pct"/>
          </w:tcPr>
          <w:p w14:paraId="63136874" w14:textId="4EA93636" w:rsidR="00015D87" w:rsidRPr="00C8014E" w:rsidRDefault="00015D87" w:rsidP="00C8014E">
            <w:pPr>
              <w:pStyle w:val="VPBody"/>
              <w:spacing w:before="0" w:after="0"/>
              <w:rPr>
                <w:iCs/>
                <w:szCs w:val="24"/>
              </w:rPr>
            </w:pPr>
            <w:r w:rsidRPr="00C8014E">
              <w:rPr>
                <w:iCs/>
                <w:szCs w:val="24"/>
              </w:rPr>
              <w:t>10</w:t>
            </w:r>
            <w:r w:rsidR="00833767">
              <w:rPr>
                <w:iCs/>
                <w:szCs w:val="24"/>
              </w:rPr>
              <w:t> </w:t>
            </w:r>
            <w:r w:rsidRPr="00C8014E">
              <w:rPr>
                <w:iCs/>
                <w:szCs w:val="24"/>
              </w:rPr>
              <w:t>%</w:t>
            </w:r>
          </w:p>
        </w:tc>
      </w:tr>
      <w:tr w:rsidR="003B7440" w:rsidRPr="00C8014E" w14:paraId="59429C26" w14:textId="77777777" w:rsidTr="00C8014E">
        <w:tc>
          <w:tcPr>
            <w:tcW w:w="391" w:type="pct"/>
          </w:tcPr>
          <w:p w14:paraId="27EEC61E" w14:textId="77777777" w:rsidR="00015D87" w:rsidRPr="00C8014E" w:rsidRDefault="00015D87" w:rsidP="00C8014E">
            <w:pPr>
              <w:pStyle w:val="VPBody"/>
              <w:numPr>
                <w:ilvl w:val="0"/>
                <w:numId w:val="22"/>
              </w:numPr>
              <w:spacing w:before="0" w:after="0"/>
              <w:ind w:left="720"/>
              <w:rPr>
                <w:iCs/>
                <w:szCs w:val="24"/>
              </w:rPr>
            </w:pPr>
          </w:p>
        </w:tc>
        <w:tc>
          <w:tcPr>
            <w:tcW w:w="1956" w:type="pct"/>
          </w:tcPr>
          <w:p w14:paraId="0E33282C" w14:textId="3889C55B" w:rsidR="00015D87" w:rsidRPr="00C8014E" w:rsidRDefault="00015D87" w:rsidP="00C8014E">
            <w:pPr>
              <w:pStyle w:val="VPBody"/>
              <w:spacing w:before="0" w:after="0"/>
              <w:jc w:val="left"/>
              <w:rPr>
                <w:iCs/>
                <w:szCs w:val="24"/>
              </w:rPr>
            </w:pPr>
            <w:r w:rsidRPr="00C8014E">
              <w:rPr>
                <w:iCs/>
                <w:szCs w:val="24"/>
              </w:rPr>
              <w:t>Valsts pārvaldes un citu publiskās pārvaldes institūciju kopējais skaits, kas tīmekļvietņu izmitināšanai izmanto vienoto tīmekļvietņu satura pārvaldības platformu</w:t>
            </w:r>
            <w:r w:rsidRPr="00C8014E">
              <w:rPr>
                <w:rStyle w:val="FootnoteReference"/>
                <w:iCs/>
                <w:szCs w:val="24"/>
              </w:rPr>
              <w:footnoteReference w:id="4"/>
            </w:r>
          </w:p>
        </w:tc>
        <w:tc>
          <w:tcPr>
            <w:tcW w:w="626" w:type="pct"/>
          </w:tcPr>
          <w:p w14:paraId="5B98C718" w14:textId="77777777" w:rsidR="00015D87" w:rsidRPr="00C8014E" w:rsidRDefault="00015D87" w:rsidP="00C8014E">
            <w:pPr>
              <w:pStyle w:val="VPBody"/>
              <w:spacing w:before="0" w:after="0"/>
              <w:rPr>
                <w:iCs/>
                <w:szCs w:val="24"/>
              </w:rPr>
            </w:pPr>
            <w:r w:rsidRPr="00C8014E">
              <w:rPr>
                <w:iCs/>
                <w:szCs w:val="24"/>
              </w:rPr>
              <w:t>Skaits</w:t>
            </w:r>
          </w:p>
        </w:tc>
        <w:tc>
          <w:tcPr>
            <w:tcW w:w="547" w:type="pct"/>
          </w:tcPr>
          <w:p w14:paraId="0F1ADCE2" w14:textId="77777777" w:rsidR="00015D87" w:rsidRPr="00C8014E" w:rsidRDefault="00015D87" w:rsidP="00C8014E">
            <w:pPr>
              <w:pStyle w:val="VPBody"/>
              <w:spacing w:before="0" w:after="0"/>
              <w:rPr>
                <w:iCs/>
                <w:szCs w:val="24"/>
              </w:rPr>
            </w:pPr>
            <w:r w:rsidRPr="00C8014E">
              <w:rPr>
                <w:iCs/>
                <w:szCs w:val="24"/>
              </w:rPr>
              <w:t>0</w:t>
            </w:r>
          </w:p>
        </w:tc>
        <w:tc>
          <w:tcPr>
            <w:tcW w:w="704" w:type="pct"/>
          </w:tcPr>
          <w:p w14:paraId="14987291" w14:textId="77777777" w:rsidR="00015D87" w:rsidRPr="00C8014E" w:rsidRDefault="00015D87" w:rsidP="00C8014E">
            <w:pPr>
              <w:pStyle w:val="VPBody"/>
              <w:spacing w:before="0" w:after="0"/>
              <w:rPr>
                <w:iCs/>
                <w:szCs w:val="24"/>
              </w:rPr>
            </w:pPr>
            <w:r w:rsidRPr="00C8014E">
              <w:rPr>
                <w:iCs/>
                <w:szCs w:val="24"/>
              </w:rPr>
              <w:t>90</w:t>
            </w:r>
          </w:p>
        </w:tc>
        <w:tc>
          <w:tcPr>
            <w:tcW w:w="776" w:type="pct"/>
          </w:tcPr>
          <w:p w14:paraId="376FDB73" w14:textId="77777777" w:rsidR="00015D87" w:rsidRPr="00C8014E" w:rsidRDefault="00015D87" w:rsidP="00C8014E">
            <w:pPr>
              <w:pStyle w:val="VPBody"/>
              <w:spacing w:before="0" w:after="0"/>
              <w:rPr>
                <w:iCs/>
                <w:szCs w:val="24"/>
              </w:rPr>
            </w:pPr>
            <w:r w:rsidRPr="00C8014E">
              <w:rPr>
                <w:iCs/>
                <w:szCs w:val="24"/>
              </w:rPr>
              <w:t>90</w:t>
            </w:r>
          </w:p>
        </w:tc>
      </w:tr>
      <w:tr w:rsidR="003B7440" w:rsidRPr="00C8014E" w14:paraId="38491C0F" w14:textId="77777777" w:rsidTr="00C8014E">
        <w:tc>
          <w:tcPr>
            <w:tcW w:w="391" w:type="pct"/>
          </w:tcPr>
          <w:p w14:paraId="6B6D41AF" w14:textId="77777777" w:rsidR="00015D87" w:rsidRPr="00C8014E" w:rsidRDefault="00015D87" w:rsidP="00C8014E">
            <w:pPr>
              <w:pStyle w:val="VPBody"/>
              <w:numPr>
                <w:ilvl w:val="0"/>
                <w:numId w:val="22"/>
              </w:numPr>
              <w:spacing w:before="0" w:after="0"/>
              <w:ind w:left="720"/>
              <w:rPr>
                <w:iCs/>
                <w:szCs w:val="24"/>
              </w:rPr>
            </w:pPr>
          </w:p>
        </w:tc>
        <w:tc>
          <w:tcPr>
            <w:tcW w:w="1956" w:type="pct"/>
          </w:tcPr>
          <w:p w14:paraId="597DB548" w14:textId="3CEF9490" w:rsidR="00015D87" w:rsidRPr="00C8014E" w:rsidRDefault="00015D87" w:rsidP="00C8014E">
            <w:pPr>
              <w:pStyle w:val="VPBody"/>
              <w:spacing w:before="0" w:after="0"/>
              <w:jc w:val="left"/>
              <w:rPr>
                <w:iCs/>
                <w:szCs w:val="24"/>
              </w:rPr>
            </w:pPr>
            <w:r w:rsidRPr="00C8014E">
              <w:rPr>
                <w:iCs/>
                <w:szCs w:val="24"/>
              </w:rPr>
              <w:t>TVP nodrošina, ka noteikt</w:t>
            </w:r>
            <w:r w:rsidR="00C8014E">
              <w:rPr>
                <w:iCs/>
                <w:szCs w:val="24"/>
              </w:rPr>
              <w:t>s</w:t>
            </w:r>
            <w:r w:rsidRPr="00C8014E">
              <w:rPr>
                <w:iCs/>
                <w:szCs w:val="24"/>
              </w:rPr>
              <w:t xml:space="preserve"> </w:t>
            </w:r>
            <w:r w:rsidR="00C8014E" w:rsidRPr="00C8014E">
              <w:rPr>
                <w:iCs/>
                <w:szCs w:val="24"/>
              </w:rPr>
              <w:t>iestāžu tīmekļviet</w:t>
            </w:r>
            <w:r w:rsidR="00C8014E">
              <w:rPr>
                <w:iCs/>
                <w:szCs w:val="24"/>
              </w:rPr>
              <w:t>ņu</w:t>
            </w:r>
            <w:r w:rsidR="00C8014E" w:rsidRPr="00C8014E">
              <w:rPr>
                <w:iCs/>
                <w:szCs w:val="24"/>
              </w:rPr>
              <w:t xml:space="preserve"> </w:t>
            </w:r>
            <w:r w:rsidRPr="00C8014E">
              <w:rPr>
                <w:iCs/>
                <w:szCs w:val="24"/>
              </w:rPr>
              <w:t>skait</w:t>
            </w:r>
            <w:r w:rsidR="00C8014E">
              <w:rPr>
                <w:iCs/>
                <w:szCs w:val="24"/>
              </w:rPr>
              <w:t>s</w:t>
            </w:r>
            <w:r w:rsidRPr="00C8014E">
              <w:rPr>
                <w:iCs/>
                <w:szCs w:val="24"/>
              </w:rPr>
              <w:t xml:space="preserve"> izpilda Direktīvas 2016/2102 piekļūs</w:t>
            </w:r>
            <w:r w:rsidR="001110F0">
              <w:rPr>
                <w:iCs/>
                <w:szCs w:val="24"/>
              </w:rPr>
              <w:softHyphen/>
            </w:r>
            <w:r w:rsidRPr="00C8014E">
              <w:rPr>
                <w:iCs/>
                <w:szCs w:val="24"/>
              </w:rPr>
              <w:t>tamības un adaptīvā dizaina prasības, kā arī IKT drošības prasības</w:t>
            </w:r>
          </w:p>
        </w:tc>
        <w:tc>
          <w:tcPr>
            <w:tcW w:w="626" w:type="pct"/>
          </w:tcPr>
          <w:p w14:paraId="46A07BC6" w14:textId="77777777" w:rsidR="00015D87" w:rsidRPr="00C8014E" w:rsidRDefault="00015D87" w:rsidP="00C8014E">
            <w:pPr>
              <w:pStyle w:val="VPBody"/>
              <w:spacing w:before="0" w:after="0"/>
              <w:rPr>
                <w:iCs/>
                <w:szCs w:val="24"/>
              </w:rPr>
            </w:pPr>
            <w:r w:rsidRPr="00C8014E">
              <w:rPr>
                <w:iCs/>
                <w:szCs w:val="24"/>
              </w:rPr>
              <w:t>Iestāžu skaits</w:t>
            </w:r>
          </w:p>
        </w:tc>
        <w:tc>
          <w:tcPr>
            <w:tcW w:w="547" w:type="pct"/>
          </w:tcPr>
          <w:p w14:paraId="15B934FF" w14:textId="77777777" w:rsidR="00015D87" w:rsidRPr="00C8014E" w:rsidRDefault="00015D87" w:rsidP="00C8014E">
            <w:pPr>
              <w:pStyle w:val="VPBody"/>
              <w:spacing w:before="0" w:after="0"/>
              <w:rPr>
                <w:iCs/>
                <w:szCs w:val="24"/>
              </w:rPr>
            </w:pPr>
            <w:r w:rsidRPr="00C8014E">
              <w:rPr>
                <w:iCs/>
                <w:szCs w:val="24"/>
              </w:rPr>
              <w:t>0</w:t>
            </w:r>
          </w:p>
        </w:tc>
        <w:tc>
          <w:tcPr>
            <w:tcW w:w="704" w:type="pct"/>
          </w:tcPr>
          <w:p w14:paraId="7D32DAD9" w14:textId="77777777" w:rsidR="00015D87" w:rsidRPr="00C8014E" w:rsidRDefault="00015D87" w:rsidP="00C8014E">
            <w:pPr>
              <w:pStyle w:val="VPBody"/>
              <w:spacing w:before="0" w:after="0"/>
              <w:rPr>
                <w:iCs/>
                <w:szCs w:val="24"/>
              </w:rPr>
            </w:pPr>
            <w:r w:rsidRPr="00C8014E">
              <w:rPr>
                <w:iCs/>
                <w:szCs w:val="24"/>
              </w:rPr>
              <w:t>90</w:t>
            </w:r>
          </w:p>
        </w:tc>
        <w:tc>
          <w:tcPr>
            <w:tcW w:w="776" w:type="pct"/>
          </w:tcPr>
          <w:p w14:paraId="2302AA39" w14:textId="77777777" w:rsidR="00015D87" w:rsidRPr="00C8014E" w:rsidRDefault="00015D87" w:rsidP="00C8014E">
            <w:pPr>
              <w:pStyle w:val="VPBody"/>
              <w:spacing w:before="0" w:after="0"/>
              <w:rPr>
                <w:iCs/>
                <w:szCs w:val="24"/>
              </w:rPr>
            </w:pPr>
            <w:r w:rsidRPr="00C8014E">
              <w:rPr>
                <w:iCs/>
                <w:szCs w:val="24"/>
              </w:rPr>
              <w:t>90</w:t>
            </w:r>
          </w:p>
        </w:tc>
      </w:tr>
    </w:tbl>
    <w:p w14:paraId="2D3C34E1" w14:textId="7E442B2F" w:rsidR="00150675" w:rsidRPr="00FB3704" w:rsidRDefault="00C8014E" w:rsidP="00150675">
      <w:pPr>
        <w:overflowPunct w:val="0"/>
        <w:autoSpaceDE w:val="0"/>
        <w:autoSpaceDN w:val="0"/>
        <w:adjustRightInd w:val="0"/>
        <w:textAlignment w:val="baseline"/>
        <w:rPr>
          <w:rFonts w:ascii="Times New Roman" w:eastAsia="MS Mincho" w:hAnsi="Times New Roman"/>
          <w:sz w:val="28"/>
          <w:szCs w:val="28"/>
        </w:rPr>
      </w:pPr>
      <w:r>
        <w:rPr>
          <w:rFonts w:ascii="Times New Roman" w:eastAsia="MS Mincho" w:hAnsi="Times New Roman"/>
          <w:b/>
          <w:bCs/>
          <w:sz w:val="28"/>
          <w:szCs w:val="28"/>
        </w:rPr>
        <w:lastRenderedPageBreak/>
        <w:br w:type="textWrapping" w:clear="all"/>
      </w:r>
    </w:p>
    <w:p w14:paraId="67C62CA2" w14:textId="01B01E96" w:rsidR="00015D87" w:rsidRDefault="00015D87" w:rsidP="00150675">
      <w:pPr>
        <w:overflowPunct w:val="0"/>
        <w:autoSpaceDE w:val="0"/>
        <w:autoSpaceDN w:val="0"/>
        <w:adjustRightInd w:val="0"/>
        <w:textAlignment w:val="baseline"/>
        <w:rPr>
          <w:rFonts w:ascii="Times New Roman" w:eastAsia="MS Mincho" w:hAnsi="Times New Roman"/>
          <w:b/>
          <w:bCs/>
          <w:sz w:val="28"/>
          <w:szCs w:val="28"/>
        </w:rPr>
      </w:pPr>
      <w:r w:rsidRPr="003B7440">
        <w:rPr>
          <w:rFonts w:ascii="Times New Roman" w:eastAsia="MS Mincho" w:hAnsi="Times New Roman"/>
          <w:b/>
          <w:bCs/>
          <w:sz w:val="28"/>
          <w:szCs w:val="28"/>
        </w:rPr>
        <w:t>Projekta iznākuma rādītāji</w:t>
      </w:r>
    </w:p>
    <w:p w14:paraId="5C921743" w14:textId="77777777" w:rsidR="00446917" w:rsidRPr="00446917" w:rsidRDefault="00446917" w:rsidP="00150675">
      <w:pPr>
        <w:overflowPunct w:val="0"/>
        <w:autoSpaceDE w:val="0"/>
        <w:autoSpaceDN w:val="0"/>
        <w:adjustRightInd w:val="0"/>
        <w:textAlignment w:val="baseline"/>
        <w:rPr>
          <w:rFonts w:ascii="Times New Roman" w:eastAsia="MS Mincho" w:hAnsi="Times New Roman"/>
          <w:sz w:val="20"/>
          <w:szCs w:val="20"/>
        </w:rPr>
      </w:pPr>
    </w:p>
    <w:tbl>
      <w:tblPr>
        <w:tblStyle w:val="TableGrid"/>
        <w:tblW w:w="5000" w:type="pct"/>
        <w:tblLook w:val="04A0" w:firstRow="1" w:lastRow="0" w:firstColumn="1" w:lastColumn="0" w:noHBand="0" w:noVBand="1"/>
      </w:tblPr>
      <w:tblGrid>
        <w:gridCol w:w="636"/>
        <w:gridCol w:w="4037"/>
        <w:gridCol w:w="1529"/>
        <w:gridCol w:w="1389"/>
        <w:gridCol w:w="1470"/>
      </w:tblGrid>
      <w:tr w:rsidR="003B7440" w:rsidRPr="00446917" w14:paraId="3042F9A8" w14:textId="77777777" w:rsidTr="00446917">
        <w:tc>
          <w:tcPr>
            <w:tcW w:w="351" w:type="pct"/>
            <w:vAlign w:val="center"/>
          </w:tcPr>
          <w:p w14:paraId="278115C9" w14:textId="77777777" w:rsidR="00446917" w:rsidRPr="00446917" w:rsidRDefault="00446917" w:rsidP="00446917">
            <w:pPr>
              <w:pStyle w:val="VPBody"/>
              <w:spacing w:before="0" w:after="0"/>
              <w:jc w:val="center"/>
              <w:rPr>
                <w:iCs/>
                <w:szCs w:val="24"/>
              </w:rPr>
            </w:pPr>
            <w:r w:rsidRPr="00446917">
              <w:rPr>
                <w:iCs/>
                <w:szCs w:val="24"/>
              </w:rPr>
              <w:t>Nr.</w:t>
            </w:r>
          </w:p>
          <w:p w14:paraId="38AB441B" w14:textId="1E2D97B0" w:rsidR="00015D87" w:rsidRPr="00446917" w:rsidRDefault="00446917" w:rsidP="00446917">
            <w:pPr>
              <w:tabs>
                <w:tab w:val="left" w:pos="0"/>
              </w:tabs>
              <w:jc w:val="center"/>
              <w:rPr>
                <w:rFonts w:ascii="Times New Roman" w:hAnsi="Times New Roman"/>
                <w:bCs/>
                <w:sz w:val="24"/>
                <w:szCs w:val="24"/>
              </w:rPr>
            </w:pPr>
            <w:r w:rsidRPr="00446917">
              <w:rPr>
                <w:rFonts w:ascii="Times New Roman" w:hAnsi="Times New Roman"/>
                <w:iCs/>
                <w:sz w:val="24"/>
                <w:szCs w:val="24"/>
              </w:rPr>
              <w:t>p. k.</w:t>
            </w:r>
          </w:p>
        </w:tc>
        <w:tc>
          <w:tcPr>
            <w:tcW w:w="2228" w:type="pct"/>
            <w:vAlign w:val="center"/>
          </w:tcPr>
          <w:p w14:paraId="1D607FF3" w14:textId="77777777" w:rsidR="00015D87" w:rsidRPr="00446917" w:rsidRDefault="00015D87" w:rsidP="00446917">
            <w:pPr>
              <w:tabs>
                <w:tab w:val="left" w:pos="0"/>
              </w:tabs>
              <w:jc w:val="center"/>
              <w:rPr>
                <w:rFonts w:ascii="Times New Roman" w:hAnsi="Times New Roman"/>
                <w:bCs/>
                <w:sz w:val="24"/>
                <w:szCs w:val="24"/>
              </w:rPr>
            </w:pPr>
            <w:r w:rsidRPr="00446917">
              <w:rPr>
                <w:rFonts w:ascii="Times New Roman" w:hAnsi="Times New Roman"/>
                <w:bCs/>
                <w:sz w:val="24"/>
                <w:szCs w:val="24"/>
              </w:rPr>
              <w:t>Iznākuma rādītājs</w:t>
            </w:r>
          </w:p>
        </w:tc>
        <w:tc>
          <w:tcPr>
            <w:tcW w:w="844" w:type="pct"/>
            <w:vAlign w:val="center"/>
          </w:tcPr>
          <w:p w14:paraId="1A195357" w14:textId="77777777" w:rsidR="00015D87" w:rsidRPr="00446917" w:rsidRDefault="00015D87" w:rsidP="00446917">
            <w:pPr>
              <w:tabs>
                <w:tab w:val="left" w:pos="0"/>
              </w:tabs>
              <w:jc w:val="center"/>
              <w:rPr>
                <w:rFonts w:ascii="Times New Roman" w:hAnsi="Times New Roman"/>
                <w:bCs/>
                <w:sz w:val="24"/>
                <w:szCs w:val="24"/>
              </w:rPr>
            </w:pPr>
            <w:r w:rsidRPr="00446917">
              <w:rPr>
                <w:rFonts w:ascii="Times New Roman" w:hAnsi="Times New Roman"/>
                <w:bCs/>
                <w:sz w:val="24"/>
                <w:szCs w:val="24"/>
              </w:rPr>
              <w:t>Mērvienība</w:t>
            </w:r>
          </w:p>
        </w:tc>
        <w:tc>
          <w:tcPr>
            <w:tcW w:w="766" w:type="pct"/>
            <w:vAlign w:val="center"/>
          </w:tcPr>
          <w:p w14:paraId="589EDDB6" w14:textId="060A7E3A" w:rsidR="00015D87" w:rsidRPr="00446917" w:rsidRDefault="00015D87" w:rsidP="00446917">
            <w:pPr>
              <w:tabs>
                <w:tab w:val="left" w:pos="0"/>
              </w:tabs>
              <w:jc w:val="center"/>
              <w:rPr>
                <w:rFonts w:ascii="Times New Roman" w:hAnsi="Times New Roman"/>
                <w:bCs/>
                <w:sz w:val="24"/>
                <w:szCs w:val="24"/>
              </w:rPr>
            </w:pPr>
            <w:r w:rsidRPr="00446917">
              <w:rPr>
                <w:rFonts w:ascii="Times New Roman" w:hAnsi="Times New Roman"/>
                <w:bCs/>
                <w:sz w:val="24"/>
                <w:szCs w:val="24"/>
              </w:rPr>
              <w:t>Starpvērtība</w:t>
            </w:r>
            <w:r w:rsidR="00446917">
              <w:rPr>
                <w:rFonts w:ascii="Times New Roman" w:hAnsi="Times New Roman"/>
                <w:bCs/>
                <w:sz w:val="24"/>
                <w:szCs w:val="24"/>
              </w:rPr>
              <w:br/>
            </w:r>
            <w:r w:rsidRPr="00446917">
              <w:rPr>
                <w:rFonts w:ascii="Times New Roman" w:hAnsi="Times New Roman"/>
                <w:bCs/>
                <w:sz w:val="24"/>
                <w:szCs w:val="24"/>
              </w:rPr>
              <w:t xml:space="preserve"> (2 gadi pēc projekta sākuma)</w:t>
            </w:r>
          </w:p>
        </w:tc>
        <w:tc>
          <w:tcPr>
            <w:tcW w:w="811" w:type="pct"/>
            <w:vAlign w:val="center"/>
          </w:tcPr>
          <w:p w14:paraId="61AC764B" w14:textId="77777777" w:rsidR="00015D87" w:rsidRPr="00446917" w:rsidRDefault="00015D87" w:rsidP="00446917">
            <w:pPr>
              <w:tabs>
                <w:tab w:val="left" w:pos="0"/>
              </w:tabs>
              <w:jc w:val="center"/>
              <w:rPr>
                <w:rFonts w:ascii="Times New Roman" w:hAnsi="Times New Roman"/>
                <w:bCs/>
                <w:sz w:val="24"/>
                <w:szCs w:val="24"/>
              </w:rPr>
            </w:pPr>
            <w:r w:rsidRPr="00446917">
              <w:rPr>
                <w:rFonts w:ascii="Times New Roman" w:hAnsi="Times New Roman"/>
                <w:bCs/>
                <w:sz w:val="24"/>
                <w:szCs w:val="24"/>
              </w:rPr>
              <w:t>Sasniedzamā vērtība projekta beigās</w:t>
            </w:r>
          </w:p>
        </w:tc>
      </w:tr>
      <w:tr w:rsidR="003B7440" w:rsidRPr="00446917" w14:paraId="79DEA0D0" w14:textId="77777777" w:rsidTr="00446917">
        <w:tc>
          <w:tcPr>
            <w:tcW w:w="351" w:type="pct"/>
          </w:tcPr>
          <w:p w14:paraId="147076C7" w14:textId="77777777" w:rsidR="00015D87" w:rsidRPr="00446917" w:rsidRDefault="00015D87" w:rsidP="00150675">
            <w:pPr>
              <w:tabs>
                <w:tab w:val="left" w:pos="0"/>
              </w:tabs>
              <w:rPr>
                <w:rFonts w:ascii="Times New Roman" w:hAnsi="Times New Roman"/>
                <w:bCs/>
                <w:sz w:val="24"/>
                <w:szCs w:val="24"/>
              </w:rPr>
            </w:pPr>
            <w:r w:rsidRPr="00446917">
              <w:rPr>
                <w:rFonts w:ascii="Times New Roman" w:hAnsi="Times New Roman"/>
                <w:bCs/>
                <w:sz w:val="24"/>
                <w:szCs w:val="24"/>
              </w:rPr>
              <w:t>1.</w:t>
            </w:r>
          </w:p>
        </w:tc>
        <w:tc>
          <w:tcPr>
            <w:tcW w:w="2228" w:type="pct"/>
          </w:tcPr>
          <w:p w14:paraId="3989747A" w14:textId="7E1DCAB4" w:rsidR="00015D87" w:rsidRPr="00446917" w:rsidRDefault="00015D87" w:rsidP="00446917">
            <w:pPr>
              <w:tabs>
                <w:tab w:val="left" w:pos="0"/>
                <w:tab w:val="left" w:pos="524"/>
              </w:tabs>
              <w:jc w:val="left"/>
              <w:rPr>
                <w:rFonts w:ascii="Times New Roman" w:hAnsi="Times New Roman"/>
                <w:bCs/>
                <w:sz w:val="24"/>
                <w:szCs w:val="24"/>
              </w:rPr>
            </w:pPr>
            <w:r w:rsidRPr="00446917">
              <w:rPr>
                <w:rFonts w:ascii="Times New Roman" w:hAnsi="Times New Roman"/>
                <w:bCs/>
                <w:sz w:val="24"/>
                <w:szCs w:val="24"/>
              </w:rPr>
              <w:t>Pilnveidoti valsts pārvaldes iestāžu tīmekļvietņu pārvaldības procesi</w:t>
            </w:r>
            <w:r w:rsidRPr="00446917">
              <w:rPr>
                <w:rFonts w:ascii="Times New Roman" w:hAnsi="Times New Roman"/>
                <w:sz w:val="24"/>
                <w:szCs w:val="24"/>
              </w:rPr>
              <w:t>: publiskās pārvaldes komunikācija ar sabiedrību, izmantojot tīmekļvietnes; informācijas par publisko iepirkumu un iepirkuma dokumentu publicēšana tīmekļvietnēs; publicētās informācijas piekļūstamības nodrošināšana; tīmekļvietņu izveide, uzturēšana un modernizācija; tīmekļvietņu izmitināšana un tīmekļvietņu drošības pārvaldība</w:t>
            </w:r>
          </w:p>
        </w:tc>
        <w:tc>
          <w:tcPr>
            <w:tcW w:w="844" w:type="pct"/>
          </w:tcPr>
          <w:p w14:paraId="69465165" w14:textId="77777777" w:rsidR="00015D87" w:rsidRPr="00446917" w:rsidRDefault="00015D87" w:rsidP="00150675">
            <w:pPr>
              <w:tabs>
                <w:tab w:val="left" w:pos="0"/>
              </w:tabs>
              <w:rPr>
                <w:rFonts w:ascii="Times New Roman" w:hAnsi="Times New Roman"/>
                <w:bCs/>
                <w:sz w:val="24"/>
                <w:szCs w:val="24"/>
              </w:rPr>
            </w:pPr>
            <w:r w:rsidRPr="00446917">
              <w:rPr>
                <w:rFonts w:ascii="Times New Roman" w:hAnsi="Times New Roman"/>
                <w:bCs/>
                <w:sz w:val="24"/>
                <w:szCs w:val="24"/>
              </w:rPr>
              <w:t>Procesu skaits</w:t>
            </w:r>
          </w:p>
        </w:tc>
        <w:tc>
          <w:tcPr>
            <w:tcW w:w="766" w:type="pct"/>
            <w:shd w:val="clear" w:color="auto" w:fill="auto"/>
          </w:tcPr>
          <w:p w14:paraId="49AD912B" w14:textId="77777777" w:rsidR="00015D87" w:rsidRPr="00446917" w:rsidRDefault="00015D87" w:rsidP="00150675">
            <w:pPr>
              <w:tabs>
                <w:tab w:val="left" w:pos="0"/>
              </w:tabs>
              <w:rPr>
                <w:rFonts w:ascii="Times New Roman" w:hAnsi="Times New Roman"/>
                <w:bCs/>
                <w:sz w:val="24"/>
                <w:szCs w:val="24"/>
              </w:rPr>
            </w:pPr>
            <w:r w:rsidRPr="00446917">
              <w:rPr>
                <w:rFonts w:ascii="Times New Roman" w:hAnsi="Times New Roman"/>
                <w:bCs/>
                <w:sz w:val="24"/>
                <w:szCs w:val="24"/>
              </w:rPr>
              <w:t>0</w:t>
            </w:r>
          </w:p>
        </w:tc>
        <w:tc>
          <w:tcPr>
            <w:tcW w:w="811" w:type="pct"/>
            <w:shd w:val="clear" w:color="auto" w:fill="auto"/>
          </w:tcPr>
          <w:p w14:paraId="22A6F3AB" w14:textId="77777777" w:rsidR="00015D87" w:rsidRPr="00446917" w:rsidRDefault="00015D87" w:rsidP="00150675">
            <w:pPr>
              <w:tabs>
                <w:tab w:val="left" w:pos="0"/>
              </w:tabs>
              <w:rPr>
                <w:rFonts w:ascii="Times New Roman" w:hAnsi="Times New Roman"/>
                <w:bCs/>
                <w:sz w:val="24"/>
                <w:szCs w:val="24"/>
              </w:rPr>
            </w:pPr>
            <w:r w:rsidRPr="00446917">
              <w:rPr>
                <w:rFonts w:ascii="Times New Roman" w:hAnsi="Times New Roman"/>
                <w:bCs/>
                <w:sz w:val="24"/>
                <w:szCs w:val="24"/>
              </w:rPr>
              <w:t>6</w:t>
            </w:r>
          </w:p>
        </w:tc>
      </w:tr>
      <w:tr w:rsidR="003B7440" w:rsidRPr="00446917" w14:paraId="0D974F79" w14:textId="77777777" w:rsidTr="00446917">
        <w:tc>
          <w:tcPr>
            <w:tcW w:w="351" w:type="pct"/>
          </w:tcPr>
          <w:p w14:paraId="6CCC4684" w14:textId="77777777" w:rsidR="00015D87" w:rsidRPr="00446917" w:rsidRDefault="00015D87" w:rsidP="00150675">
            <w:pPr>
              <w:tabs>
                <w:tab w:val="left" w:pos="0"/>
              </w:tabs>
              <w:rPr>
                <w:rFonts w:ascii="Times New Roman" w:hAnsi="Times New Roman"/>
                <w:bCs/>
                <w:sz w:val="24"/>
                <w:szCs w:val="24"/>
              </w:rPr>
            </w:pPr>
            <w:r w:rsidRPr="00446917">
              <w:rPr>
                <w:rFonts w:ascii="Times New Roman" w:hAnsi="Times New Roman"/>
                <w:bCs/>
                <w:sz w:val="24"/>
                <w:szCs w:val="24"/>
              </w:rPr>
              <w:t>2.</w:t>
            </w:r>
          </w:p>
        </w:tc>
        <w:tc>
          <w:tcPr>
            <w:tcW w:w="2228" w:type="pct"/>
          </w:tcPr>
          <w:p w14:paraId="73BA3900" w14:textId="77777777" w:rsidR="00015D87" w:rsidRPr="00446917" w:rsidRDefault="00015D87" w:rsidP="00446917">
            <w:pPr>
              <w:tabs>
                <w:tab w:val="left" w:pos="0"/>
                <w:tab w:val="left" w:pos="524"/>
              </w:tabs>
              <w:jc w:val="left"/>
              <w:rPr>
                <w:rFonts w:ascii="Times New Roman" w:hAnsi="Times New Roman"/>
                <w:bCs/>
                <w:sz w:val="24"/>
                <w:szCs w:val="24"/>
              </w:rPr>
            </w:pPr>
            <w:r w:rsidRPr="00446917">
              <w:rPr>
                <w:rFonts w:ascii="Times New Roman" w:hAnsi="Times New Roman"/>
                <w:bCs/>
                <w:sz w:val="24"/>
                <w:szCs w:val="24"/>
              </w:rPr>
              <w:t>Valstī ir izveidota vienota, centralizēta valsts pārvaldes iestāžu tīmekļvietņu satura pārvaldības sistēma – centralizēta informācijas sistēmu platforma</w:t>
            </w:r>
          </w:p>
        </w:tc>
        <w:tc>
          <w:tcPr>
            <w:tcW w:w="844" w:type="pct"/>
          </w:tcPr>
          <w:p w14:paraId="4A29A95D" w14:textId="36A7CFBF" w:rsidR="00015D87" w:rsidRPr="00446917" w:rsidRDefault="00446917" w:rsidP="00150675">
            <w:pPr>
              <w:tabs>
                <w:tab w:val="left" w:pos="0"/>
              </w:tabs>
              <w:rPr>
                <w:rFonts w:ascii="Times New Roman" w:hAnsi="Times New Roman"/>
                <w:bCs/>
                <w:sz w:val="24"/>
                <w:szCs w:val="24"/>
              </w:rPr>
            </w:pPr>
            <w:r>
              <w:rPr>
                <w:rFonts w:ascii="Times New Roman" w:hAnsi="Times New Roman"/>
                <w:bCs/>
                <w:sz w:val="24"/>
                <w:szCs w:val="24"/>
              </w:rPr>
              <w:t>S</w:t>
            </w:r>
            <w:r w:rsidR="00015D87" w:rsidRPr="00446917">
              <w:rPr>
                <w:rFonts w:ascii="Times New Roman" w:hAnsi="Times New Roman"/>
                <w:bCs/>
                <w:sz w:val="24"/>
                <w:szCs w:val="24"/>
              </w:rPr>
              <w:t>kaits</w:t>
            </w:r>
          </w:p>
        </w:tc>
        <w:tc>
          <w:tcPr>
            <w:tcW w:w="766" w:type="pct"/>
          </w:tcPr>
          <w:p w14:paraId="3B533212" w14:textId="77777777" w:rsidR="00015D87" w:rsidRPr="00446917" w:rsidRDefault="00015D87" w:rsidP="00150675">
            <w:pPr>
              <w:tabs>
                <w:tab w:val="left" w:pos="0"/>
              </w:tabs>
              <w:rPr>
                <w:rFonts w:ascii="Times New Roman" w:hAnsi="Times New Roman"/>
                <w:bCs/>
                <w:sz w:val="24"/>
                <w:szCs w:val="24"/>
              </w:rPr>
            </w:pPr>
            <w:r w:rsidRPr="00446917">
              <w:rPr>
                <w:rFonts w:ascii="Times New Roman" w:hAnsi="Times New Roman"/>
                <w:bCs/>
                <w:sz w:val="24"/>
                <w:szCs w:val="24"/>
              </w:rPr>
              <w:t>0</w:t>
            </w:r>
          </w:p>
        </w:tc>
        <w:tc>
          <w:tcPr>
            <w:tcW w:w="811" w:type="pct"/>
          </w:tcPr>
          <w:p w14:paraId="01B4BBDA" w14:textId="77777777" w:rsidR="00015D87" w:rsidRPr="00446917" w:rsidRDefault="00015D87" w:rsidP="00150675">
            <w:pPr>
              <w:tabs>
                <w:tab w:val="left" w:pos="0"/>
              </w:tabs>
              <w:rPr>
                <w:rFonts w:ascii="Times New Roman" w:hAnsi="Times New Roman"/>
                <w:bCs/>
                <w:sz w:val="24"/>
                <w:szCs w:val="24"/>
              </w:rPr>
            </w:pPr>
            <w:r w:rsidRPr="00446917">
              <w:rPr>
                <w:rFonts w:ascii="Times New Roman" w:hAnsi="Times New Roman"/>
                <w:bCs/>
                <w:sz w:val="24"/>
                <w:szCs w:val="24"/>
              </w:rPr>
              <w:t>1</w:t>
            </w:r>
          </w:p>
        </w:tc>
      </w:tr>
      <w:tr w:rsidR="003B7440" w:rsidRPr="00446917" w14:paraId="3DFAF14E" w14:textId="77777777" w:rsidTr="00446917">
        <w:tc>
          <w:tcPr>
            <w:tcW w:w="351" w:type="pct"/>
          </w:tcPr>
          <w:p w14:paraId="00D08E0F" w14:textId="77777777" w:rsidR="00015D87" w:rsidRPr="00446917" w:rsidRDefault="00015D87" w:rsidP="00150675">
            <w:pPr>
              <w:tabs>
                <w:tab w:val="left" w:pos="0"/>
              </w:tabs>
              <w:rPr>
                <w:rFonts w:ascii="Times New Roman" w:hAnsi="Times New Roman"/>
                <w:bCs/>
                <w:sz w:val="24"/>
                <w:szCs w:val="24"/>
              </w:rPr>
            </w:pPr>
            <w:r w:rsidRPr="00446917">
              <w:rPr>
                <w:rFonts w:ascii="Times New Roman" w:hAnsi="Times New Roman"/>
                <w:bCs/>
                <w:sz w:val="24"/>
                <w:szCs w:val="24"/>
              </w:rPr>
              <w:t>3.</w:t>
            </w:r>
          </w:p>
        </w:tc>
        <w:tc>
          <w:tcPr>
            <w:tcW w:w="2228" w:type="pct"/>
          </w:tcPr>
          <w:p w14:paraId="5BE6894C" w14:textId="77777777" w:rsidR="00015D87" w:rsidRPr="00446917" w:rsidRDefault="00015D87" w:rsidP="00446917">
            <w:pPr>
              <w:tabs>
                <w:tab w:val="left" w:pos="0"/>
                <w:tab w:val="left" w:pos="524"/>
              </w:tabs>
              <w:jc w:val="left"/>
              <w:rPr>
                <w:rFonts w:ascii="Times New Roman" w:hAnsi="Times New Roman"/>
                <w:bCs/>
                <w:sz w:val="24"/>
                <w:szCs w:val="24"/>
              </w:rPr>
            </w:pPr>
            <w:r w:rsidRPr="00446917">
              <w:rPr>
                <w:rFonts w:ascii="Times New Roman" w:hAnsi="Times New Roman"/>
                <w:bCs/>
                <w:sz w:val="24"/>
                <w:szCs w:val="24"/>
              </w:rPr>
              <w:t>TVP darbība pārbaudīta attiecībā uz pilotprojekta iestāžu tīmekļvietnēm</w:t>
            </w:r>
          </w:p>
        </w:tc>
        <w:tc>
          <w:tcPr>
            <w:tcW w:w="844" w:type="pct"/>
          </w:tcPr>
          <w:p w14:paraId="362E1D20" w14:textId="77777777" w:rsidR="00015D87" w:rsidRPr="00446917" w:rsidRDefault="00015D87" w:rsidP="00150675">
            <w:pPr>
              <w:tabs>
                <w:tab w:val="left" w:pos="0"/>
              </w:tabs>
              <w:rPr>
                <w:rFonts w:ascii="Times New Roman" w:hAnsi="Times New Roman"/>
                <w:bCs/>
                <w:sz w:val="24"/>
                <w:szCs w:val="24"/>
              </w:rPr>
            </w:pPr>
            <w:r w:rsidRPr="00446917">
              <w:rPr>
                <w:rFonts w:ascii="Times New Roman" w:hAnsi="Times New Roman"/>
                <w:bCs/>
                <w:sz w:val="24"/>
                <w:szCs w:val="24"/>
              </w:rPr>
              <w:t>Iestāžu skaits</w:t>
            </w:r>
          </w:p>
        </w:tc>
        <w:tc>
          <w:tcPr>
            <w:tcW w:w="766" w:type="pct"/>
          </w:tcPr>
          <w:p w14:paraId="222024E0" w14:textId="77777777" w:rsidR="00015D87" w:rsidRPr="00446917" w:rsidRDefault="00015D87" w:rsidP="00150675">
            <w:pPr>
              <w:tabs>
                <w:tab w:val="left" w:pos="0"/>
              </w:tabs>
              <w:rPr>
                <w:rFonts w:ascii="Times New Roman" w:hAnsi="Times New Roman"/>
                <w:bCs/>
                <w:sz w:val="24"/>
                <w:szCs w:val="24"/>
              </w:rPr>
            </w:pPr>
            <w:r w:rsidRPr="00446917">
              <w:rPr>
                <w:rFonts w:ascii="Times New Roman" w:hAnsi="Times New Roman"/>
                <w:bCs/>
                <w:sz w:val="24"/>
                <w:szCs w:val="24"/>
              </w:rPr>
              <w:t>0</w:t>
            </w:r>
          </w:p>
        </w:tc>
        <w:tc>
          <w:tcPr>
            <w:tcW w:w="811" w:type="pct"/>
          </w:tcPr>
          <w:p w14:paraId="46336D75" w14:textId="77777777" w:rsidR="00015D87" w:rsidRPr="00446917" w:rsidRDefault="00015D87" w:rsidP="00150675">
            <w:pPr>
              <w:tabs>
                <w:tab w:val="left" w:pos="0"/>
              </w:tabs>
              <w:rPr>
                <w:rFonts w:ascii="Times New Roman" w:hAnsi="Times New Roman"/>
                <w:bCs/>
                <w:sz w:val="24"/>
                <w:szCs w:val="24"/>
              </w:rPr>
            </w:pPr>
            <w:r w:rsidRPr="00446917">
              <w:rPr>
                <w:rFonts w:ascii="Times New Roman" w:hAnsi="Times New Roman"/>
                <w:bCs/>
                <w:sz w:val="24"/>
                <w:szCs w:val="24"/>
              </w:rPr>
              <w:t>12</w:t>
            </w:r>
          </w:p>
        </w:tc>
      </w:tr>
      <w:tr w:rsidR="003B7440" w:rsidRPr="00446917" w14:paraId="6D687F24" w14:textId="77777777" w:rsidTr="00446917">
        <w:tc>
          <w:tcPr>
            <w:tcW w:w="351" w:type="pct"/>
          </w:tcPr>
          <w:p w14:paraId="5F0801F8" w14:textId="77777777" w:rsidR="00015D87" w:rsidRPr="00446917" w:rsidRDefault="00015D87" w:rsidP="00150675">
            <w:pPr>
              <w:tabs>
                <w:tab w:val="left" w:pos="0"/>
              </w:tabs>
              <w:rPr>
                <w:rFonts w:ascii="Times New Roman" w:hAnsi="Times New Roman"/>
                <w:bCs/>
                <w:sz w:val="24"/>
                <w:szCs w:val="24"/>
              </w:rPr>
            </w:pPr>
            <w:r w:rsidRPr="00446917">
              <w:rPr>
                <w:rFonts w:ascii="Times New Roman" w:hAnsi="Times New Roman"/>
                <w:bCs/>
                <w:sz w:val="24"/>
                <w:szCs w:val="24"/>
              </w:rPr>
              <w:t>4.</w:t>
            </w:r>
          </w:p>
        </w:tc>
        <w:tc>
          <w:tcPr>
            <w:tcW w:w="2228" w:type="pct"/>
          </w:tcPr>
          <w:p w14:paraId="51406F9E" w14:textId="5BB9B33B" w:rsidR="00015D87" w:rsidRPr="00446917" w:rsidRDefault="00015D87" w:rsidP="00446917">
            <w:pPr>
              <w:tabs>
                <w:tab w:val="left" w:pos="0"/>
                <w:tab w:val="left" w:pos="524"/>
              </w:tabs>
              <w:jc w:val="left"/>
              <w:rPr>
                <w:rFonts w:ascii="Times New Roman" w:hAnsi="Times New Roman"/>
                <w:bCs/>
                <w:sz w:val="24"/>
                <w:szCs w:val="24"/>
              </w:rPr>
            </w:pPr>
            <w:r w:rsidRPr="00446917">
              <w:rPr>
                <w:rFonts w:ascii="Times New Roman" w:hAnsi="Times New Roman"/>
                <w:bCs/>
                <w:sz w:val="24"/>
                <w:szCs w:val="24"/>
              </w:rPr>
              <w:t>Izstrādātas un tiek izmantotas vienotas vadlīnijas tīmekļvietņu izveidē, funkcionalitātē un satura pārvaldībā</w:t>
            </w:r>
          </w:p>
        </w:tc>
        <w:tc>
          <w:tcPr>
            <w:tcW w:w="844" w:type="pct"/>
          </w:tcPr>
          <w:p w14:paraId="3006E926" w14:textId="5D247C19" w:rsidR="00015D87" w:rsidRPr="00446917" w:rsidRDefault="00446917" w:rsidP="00150675">
            <w:pPr>
              <w:tabs>
                <w:tab w:val="left" w:pos="0"/>
              </w:tabs>
              <w:rPr>
                <w:rFonts w:ascii="Times New Roman" w:hAnsi="Times New Roman"/>
                <w:bCs/>
                <w:sz w:val="24"/>
                <w:szCs w:val="24"/>
              </w:rPr>
            </w:pPr>
            <w:r>
              <w:rPr>
                <w:rFonts w:ascii="Times New Roman" w:hAnsi="Times New Roman"/>
                <w:bCs/>
                <w:sz w:val="24"/>
                <w:szCs w:val="24"/>
              </w:rPr>
              <w:t>S</w:t>
            </w:r>
            <w:r w:rsidR="00015D87" w:rsidRPr="00446917">
              <w:rPr>
                <w:rFonts w:ascii="Times New Roman" w:hAnsi="Times New Roman"/>
                <w:bCs/>
                <w:sz w:val="24"/>
                <w:szCs w:val="24"/>
              </w:rPr>
              <w:t>kaits</w:t>
            </w:r>
          </w:p>
        </w:tc>
        <w:tc>
          <w:tcPr>
            <w:tcW w:w="766" w:type="pct"/>
          </w:tcPr>
          <w:p w14:paraId="142B2E19" w14:textId="77777777" w:rsidR="00015D87" w:rsidRPr="00446917" w:rsidRDefault="00015D87" w:rsidP="00150675">
            <w:pPr>
              <w:tabs>
                <w:tab w:val="left" w:pos="0"/>
              </w:tabs>
              <w:rPr>
                <w:rFonts w:ascii="Times New Roman" w:hAnsi="Times New Roman"/>
                <w:bCs/>
                <w:sz w:val="24"/>
                <w:szCs w:val="24"/>
              </w:rPr>
            </w:pPr>
            <w:r w:rsidRPr="00446917">
              <w:rPr>
                <w:rFonts w:ascii="Times New Roman" w:hAnsi="Times New Roman"/>
                <w:bCs/>
                <w:sz w:val="24"/>
                <w:szCs w:val="24"/>
              </w:rPr>
              <w:t>0</w:t>
            </w:r>
          </w:p>
        </w:tc>
        <w:tc>
          <w:tcPr>
            <w:tcW w:w="811" w:type="pct"/>
          </w:tcPr>
          <w:p w14:paraId="57944002" w14:textId="77777777" w:rsidR="00015D87" w:rsidRPr="00446917" w:rsidRDefault="00015D87" w:rsidP="00150675">
            <w:pPr>
              <w:tabs>
                <w:tab w:val="left" w:pos="0"/>
              </w:tabs>
              <w:rPr>
                <w:rFonts w:ascii="Times New Roman" w:hAnsi="Times New Roman"/>
                <w:bCs/>
                <w:sz w:val="24"/>
                <w:szCs w:val="24"/>
              </w:rPr>
            </w:pPr>
            <w:r w:rsidRPr="00446917">
              <w:rPr>
                <w:rFonts w:ascii="Times New Roman" w:hAnsi="Times New Roman"/>
                <w:bCs/>
                <w:sz w:val="24"/>
                <w:szCs w:val="24"/>
              </w:rPr>
              <w:t>1</w:t>
            </w:r>
          </w:p>
        </w:tc>
      </w:tr>
    </w:tbl>
    <w:p w14:paraId="1E19AAF1" w14:textId="77777777" w:rsidR="00446917" w:rsidRDefault="00015D87" w:rsidP="00150675">
      <w:pPr>
        <w:tabs>
          <w:tab w:val="left" w:pos="0"/>
        </w:tabs>
        <w:ind w:firstLine="567"/>
        <w:rPr>
          <w:rFonts w:ascii="Times New Roman" w:hAnsi="Times New Roman"/>
          <w:bCs/>
          <w:sz w:val="28"/>
          <w:szCs w:val="28"/>
        </w:rPr>
      </w:pPr>
      <w:r w:rsidRPr="003B7440">
        <w:rPr>
          <w:rFonts w:ascii="Times New Roman" w:hAnsi="Times New Roman"/>
          <w:bCs/>
          <w:sz w:val="28"/>
          <w:szCs w:val="28"/>
        </w:rPr>
        <w:tab/>
      </w:r>
    </w:p>
    <w:p w14:paraId="5CE26FED" w14:textId="762AF199" w:rsidR="00015D87" w:rsidRPr="003B7440" w:rsidRDefault="00015D87" w:rsidP="00150675">
      <w:pPr>
        <w:tabs>
          <w:tab w:val="left" w:pos="0"/>
        </w:tabs>
        <w:ind w:firstLine="567"/>
        <w:rPr>
          <w:rFonts w:ascii="Times New Roman" w:hAnsi="Times New Roman"/>
          <w:bCs/>
          <w:sz w:val="28"/>
          <w:szCs w:val="28"/>
        </w:rPr>
      </w:pPr>
      <w:r w:rsidRPr="003B7440">
        <w:rPr>
          <w:rFonts w:ascii="Times New Roman" w:hAnsi="Times New Roman"/>
          <w:bCs/>
          <w:sz w:val="28"/>
          <w:szCs w:val="28"/>
        </w:rPr>
        <w:t>Projekta kopējais plānotais finansējuma apjoms ir 2</w:t>
      </w:r>
      <w:r w:rsidR="00446917">
        <w:rPr>
          <w:rFonts w:ascii="Times New Roman" w:hAnsi="Times New Roman"/>
          <w:bCs/>
          <w:sz w:val="28"/>
          <w:szCs w:val="28"/>
        </w:rPr>
        <w:t> </w:t>
      </w:r>
      <w:r w:rsidRPr="003B7440">
        <w:rPr>
          <w:rFonts w:ascii="Times New Roman" w:hAnsi="Times New Roman"/>
          <w:bCs/>
          <w:sz w:val="28"/>
          <w:szCs w:val="28"/>
        </w:rPr>
        <w:t>270</w:t>
      </w:r>
      <w:r w:rsidR="00446917">
        <w:rPr>
          <w:rFonts w:ascii="Times New Roman" w:hAnsi="Times New Roman"/>
          <w:bCs/>
          <w:sz w:val="28"/>
          <w:szCs w:val="28"/>
        </w:rPr>
        <w:t> </w:t>
      </w:r>
      <w:r w:rsidRPr="003B7440">
        <w:rPr>
          <w:rFonts w:ascii="Times New Roman" w:hAnsi="Times New Roman"/>
          <w:bCs/>
          <w:sz w:val="28"/>
          <w:szCs w:val="28"/>
        </w:rPr>
        <w:t xml:space="preserve">000 </w:t>
      </w:r>
      <w:r w:rsidRPr="003B7440">
        <w:rPr>
          <w:rFonts w:ascii="Times New Roman" w:hAnsi="Times New Roman"/>
          <w:bCs/>
          <w:i/>
          <w:sz w:val="28"/>
          <w:szCs w:val="28"/>
        </w:rPr>
        <w:t>euro</w:t>
      </w:r>
      <w:r w:rsidRPr="003B7440">
        <w:rPr>
          <w:rFonts w:ascii="Times New Roman" w:hAnsi="Times New Roman"/>
          <w:bCs/>
          <w:sz w:val="28"/>
          <w:szCs w:val="28"/>
        </w:rPr>
        <w:t>, no k</w:t>
      </w:r>
      <w:r w:rsidR="00446917">
        <w:rPr>
          <w:rFonts w:ascii="Times New Roman" w:hAnsi="Times New Roman"/>
          <w:bCs/>
          <w:sz w:val="28"/>
          <w:szCs w:val="28"/>
        </w:rPr>
        <w:t>ura</w:t>
      </w:r>
      <w:r w:rsidRPr="003B7440">
        <w:rPr>
          <w:rFonts w:ascii="Times New Roman" w:hAnsi="Times New Roman"/>
          <w:bCs/>
          <w:sz w:val="28"/>
          <w:szCs w:val="28"/>
        </w:rPr>
        <w:t xml:space="preserve"> 1</w:t>
      </w:r>
      <w:r w:rsidR="00446917">
        <w:rPr>
          <w:rFonts w:ascii="Times New Roman" w:hAnsi="Times New Roman"/>
          <w:bCs/>
          <w:sz w:val="28"/>
          <w:szCs w:val="28"/>
        </w:rPr>
        <w:t> </w:t>
      </w:r>
      <w:r w:rsidRPr="003B7440">
        <w:rPr>
          <w:rFonts w:ascii="Times New Roman" w:hAnsi="Times New Roman"/>
          <w:bCs/>
          <w:sz w:val="28"/>
          <w:szCs w:val="28"/>
        </w:rPr>
        <w:t>929</w:t>
      </w:r>
      <w:r w:rsidR="00446917">
        <w:rPr>
          <w:rFonts w:ascii="Times New Roman" w:hAnsi="Times New Roman"/>
          <w:bCs/>
          <w:sz w:val="28"/>
          <w:szCs w:val="28"/>
        </w:rPr>
        <w:t> </w:t>
      </w:r>
      <w:r w:rsidRPr="003B7440">
        <w:rPr>
          <w:rFonts w:ascii="Times New Roman" w:hAnsi="Times New Roman"/>
          <w:bCs/>
          <w:sz w:val="28"/>
          <w:szCs w:val="28"/>
        </w:rPr>
        <w:t>500</w:t>
      </w:r>
      <w:r w:rsidR="00446917">
        <w:rPr>
          <w:rFonts w:ascii="Times New Roman" w:hAnsi="Times New Roman"/>
          <w:bCs/>
          <w:sz w:val="28"/>
          <w:szCs w:val="28"/>
        </w:rPr>
        <w:t> </w:t>
      </w:r>
      <w:r w:rsidRPr="003B7440">
        <w:rPr>
          <w:rFonts w:ascii="Times New Roman" w:hAnsi="Times New Roman"/>
          <w:bCs/>
          <w:i/>
          <w:sz w:val="28"/>
          <w:szCs w:val="28"/>
        </w:rPr>
        <w:t>euro</w:t>
      </w:r>
      <w:r w:rsidRPr="003B7440">
        <w:rPr>
          <w:rFonts w:ascii="Times New Roman" w:hAnsi="Times New Roman"/>
          <w:bCs/>
          <w:sz w:val="28"/>
          <w:szCs w:val="28"/>
        </w:rPr>
        <w:t xml:space="preserve"> ir</w:t>
      </w:r>
      <w:r w:rsidR="001F7B79" w:rsidRPr="003B7440">
        <w:rPr>
          <w:rFonts w:ascii="Times New Roman" w:hAnsi="Times New Roman"/>
          <w:bCs/>
          <w:sz w:val="28"/>
          <w:szCs w:val="28"/>
        </w:rPr>
        <w:t xml:space="preserve"> Eiropas Reģionālās attīstības fonda </w:t>
      </w:r>
      <w:r w:rsidRPr="003B7440">
        <w:rPr>
          <w:rFonts w:ascii="Times New Roman" w:hAnsi="Times New Roman"/>
          <w:bCs/>
          <w:sz w:val="28"/>
          <w:szCs w:val="28"/>
        </w:rPr>
        <w:t>finansējums (85</w:t>
      </w:r>
      <w:r w:rsidR="00446917">
        <w:rPr>
          <w:rFonts w:ascii="Times New Roman" w:hAnsi="Times New Roman"/>
          <w:bCs/>
          <w:sz w:val="28"/>
          <w:szCs w:val="28"/>
        </w:rPr>
        <w:t> </w:t>
      </w:r>
      <w:r w:rsidRPr="003B7440">
        <w:rPr>
          <w:rFonts w:ascii="Times New Roman" w:hAnsi="Times New Roman"/>
          <w:bCs/>
          <w:sz w:val="28"/>
          <w:szCs w:val="28"/>
        </w:rPr>
        <w:t>%) un 340</w:t>
      </w:r>
      <w:r w:rsidR="00446917">
        <w:rPr>
          <w:rFonts w:ascii="Times New Roman" w:hAnsi="Times New Roman"/>
          <w:bCs/>
          <w:sz w:val="28"/>
          <w:szCs w:val="28"/>
        </w:rPr>
        <w:t> </w:t>
      </w:r>
      <w:r w:rsidRPr="003B7440">
        <w:rPr>
          <w:rFonts w:ascii="Times New Roman" w:hAnsi="Times New Roman"/>
          <w:bCs/>
          <w:sz w:val="28"/>
          <w:szCs w:val="28"/>
        </w:rPr>
        <w:t>500</w:t>
      </w:r>
      <w:r w:rsidR="00446917">
        <w:rPr>
          <w:rFonts w:ascii="Times New Roman" w:hAnsi="Times New Roman"/>
          <w:bCs/>
          <w:sz w:val="28"/>
          <w:szCs w:val="28"/>
        </w:rPr>
        <w:t> </w:t>
      </w:r>
      <w:r w:rsidRPr="003B7440">
        <w:rPr>
          <w:rFonts w:ascii="Times New Roman" w:hAnsi="Times New Roman"/>
          <w:bCs/>
          <w:i/>
          <w:sz w:val="28"/>
          <w:szCs w:val="28"/>
        </w:rPr>
        <w:t>euro</w:t>
      </w:r>
      <w:r w:rsidRPr="003B7440">
        <w:rPr>
          <w:rFonts w:ascii="Times New Roman" w:hAnsi="Times New Roman"/>
          <w:bCs/>
          <w:sz w:val="28"/>
          <w:szCs w:val="28"/>
        </w:rPr>
        <w:t xml:space="preserve"> ir valsts budžeta līdzfinansējums (15</w:t>
      </w:r>
      <w:r w:rsidR="00446917">
        <w:rPr>
          <w:rFonts w:ascii="Times New Roman" w:hAnsi="Times New Roman"/>
          <w:bCs/>
          <w:sz w:val="28"/>
          <w:szCs w:val="28"/>
        </w:rPr>
        <w:t> </w:t>
      </w:r>
      <w:r w:rsidRPr="003B7440">
        <w:rPr>
          <w:rFonts w:ascii="Times New Roman" w:hAnsi="Times New Roman"/>
          <w:bCs/>
          <w:sz w:val="28"/>
          <w:szCs w:val="28"/>
        </w:rPr>
        <w:t>%). Projektu plānots īstenot 42</w:t>
      </w:r>
      <w:r w:rsidR="00446917">
        <w:rPr>
          <w:rFonts w:ascii="Times New Roman" w:hAnsi="Times New Roman"/>
          <w:bCs/>
          <w:sz w:val="28"/>
          <w:szCs w:val="28"/>
        </w:rPr>
        <w:t> </w:t>
      </w:r>
      <w:r w:rsidRPr="003B7440">
        <w:rPr>
          <w:rFonts w:ascii="Times New Roman" w:hAnsi="Times New Roman"/>
          <w:bCs/>
          <w:sz w:val="28"/>
          <w:szCs w:val="28"/>
        </w:rPr>
        <w:t xml:space="preserve">mēnešu laikā no vienošanās </w:t>
      </w:r>
      <w:r w:rsidR="00446917" w:rsidRPr="003B7440">
        <w:rPr>
          <w:rFonts w:ascii="Times New Roman" w:hAnsi="Times New Roman"/>
          <w:bCs/>
          <w:sz w:val="28"/>
          <w:szCs w:val="28"/>
        </w:rPr>
        <w:t xml:space="preserve">noslēgšanas </w:t>
      </w:r>
      <w:r w:rsidRPr="003B7440">
        <w:rPr>
          <w:rFonts w:ascii="Times New Roman" w:hAnsi="Times New Roman"/>
          <w:bCs/>
          <w:sz w:val="28"/>
          <w:szCs w:val="28"/>
        </w:rPr>
        <w:t>par projekta īstenošanu (neskaitot tīmekļvietņu vienotās platformas projekta apraksta izstrādes un saskaņošanas laiku).</w:t>
      </w:r>
    </w:p>
    <w:p w14:paraId="75ECCE02" w14:textId="017696FA" w:rsidR="00015D87" w:rsidRPr="003B7440" w:rsidRDefault="00015D87" w:rsidP="00150675">
      <w:pPr>
        <w:tabs>
          <w:tab w:val="left" w:pos="0"/>
        </w:tabs>
        <w:ind w:firstLine="567"/>
        <w:rPr>
          <w:rFonts w:ascii="Times New Roman" w:hAnsi="Times New Roman"/>
          <w:bCs/>
          <w:iCs/>
          <w:sz w:val="28"/>
          <w:szCs w:val="28"/>
        </w:rPr>
      </w:pPr>
      <w:r w:rsidRPr="003B7440">
        <w:rPr>
          <w:rFonts w:ascii="Times New Roman" w:hAnsi="Times New Roman"/>
          <w:bCs/>
          <w:sz w:val="28"/>
          <w:szCs w:val="28"/>
        </w:rPr>
        <w:tab/>
        <w:t>Kopējās vidējās nepieciešamās uzturēšanas izmaksas TVP darbināšanai gadā ir aplēstas 136</w:t>
      </w:r>
      <w:r w:rsidR="00446917">
        <w:rPr>
          <w:rFonts w:ascii="Times New Roman" w:hAnsi="Times New Roman"/>
          <w:bCs/>
          <w:sz w:val="28"/>
          <w:szCs w:val="28"/>
        </w:rPr>
        <w:t> </w:t>
      </w:r>
      <w:r w:rsidRPr="003B7440">
        <w:rPr>
          <w:rFonts w:ascii="Times New Roman" w:hAnsi="Times New Roman"/>
          <w:bCs/>
          <w:sz w:val="28"/>
          <w:szCs w:val="28"/>
        </w:rPr>
        <w:t>735</w:t>
      </w:r>
      <w:r w:rsidR="00446917">
        <w:rPr>
          <w:rFonts w:ascii="Times New Roman" w:hAnsi="Times New Roman"/>
          <w:bCs/>
          <w:sz w:val="28"/>
          <w:szCs w:val="28"/>
        </w:rPr>
        <w:t> </w:t>
      </w:r>
      <w:r w:rsidRPr="003B7440">
        <w:rPr>
          <w:rFonts w:ascii="Times New Roman" w:hAnsi="Times New Roman"/>
          <w:bCs/>
          <w:i/>
          <w:sz w:val="28"/>
          <w:szCs w:val="28"/>
        </w:rPr>
        <w:t xml:space="preserve">euro </w:t>
      </w:r>
      <w:r w:rsidR="00446917">
        <w:rPr>
          <w:rFonts w:ascii="Times New Roman" w:hAnsi="Times New Roman"/>
          <w:bCs/>
          <w:iCs/>
          <w:sz w:val="28"/>
          <w:szCs w:val="28"/>
        </w:rPr>
        <w:t xml:space="preserve">apmērā </w:t>
      </w:r>
      <w:r w:rsidRPr="003B7440">
        <w:rPr>
          <w:rFonts w:ascii="Times New Roman" w:hAnsi="Times New Roman"/>
          <w:bCs/>
          <w:iCs/>
          <w:sz w:val="28"/>
          <w:szCs w:val="28"/>
        </w:rPr>
        <w:t>pirmajā gadā pēc projekta īstenošanas un 152</w:t>
      </w:r>
      <w:r w:rsidR="00446917">
        <w:rPr>
          <w:rFonts w:ascii="Times New Roman" w:hAnsi="Times New Roman"/>
          <w:bCs/>
          <w:iCs/>
          <w:sz w:val="28"/>
          <w:szCs w:val="28"/>
        </w:rPr>
        <w:t> </w:t>
      </w:r>
      <w:r w:rsidRPr="003B7440">
        <w:rPr>
          <w:rFonts w:ascii="Times New Roman" w:hAnsi="Times New Roman"/>
          <w:bCs/>
          <w:iCs/>
          <w:sz w:val="28"/>
          <w:szCs w:val="28"/>
        </w:rPr>
        <w:t>735</w:t>
      </w:r>
      <w:r w:rsidR="00446917">
        <w:rPr>
          <w:rFonts w:ascii="Times New Roman" w:hAnsi="Times New Roman"/>
          <w:bCs/>
          <w:i/>
          <w:sz w:val="28"/>
          <w:szCs w:val="28"/>
        </w:rPr>
        <w:t> </w:t>
      </w:r>
      <w:r w:rsidRPr="003B7440">
        <w:rPr>
          <w:rFonts w:ascii="Times New Roman" w:hAnsi="Times New Roman"/>
          <w:bCs/>
          <w:i/>
          <w:sz w:val="28"/>
          <w:szCs w:val="28"/>
        </w:rPr>
        <w:t>euro</w:t>
      </w:r>
      <w:r w:rsidRPr="003B7440">
        <w:rPr>
          <w:rFonts w:ascii="Times New Roman" w:hAnsi="Times New Roman"/>
          <w:bCs/>
          <w:iCs/>
          <w:sz w:val="28"/>
          <w:szCs w:val="28"/>
        </w:rPr>
        <w:t xml:space="preserve"> </w:t>
      </w:r>
      <w:r w:rsidR="00446917">
        <w:rPr>
          <w:rFonts w:ascii="Times New Roman" w:hAnsi="Times New Roman"/>
          <w:bCs/>
          <w:iCs/>
          <w:sz w:val="28"/>
          <w:szCs w:val="28"/>
        </w:rPr>
        <w:t>apmērā</w:t>
      </w:r>
      <w:r w:rsidR="00446917" w:rsidRPr="003B7440">
        <w:rPr>
          <w:rFonts w:ascii="Times New Roman" w:hAnsi="Times New Roman"/>
          <w:bCs/>
          <w:iCs/>
          <w:sz w:val="28"/>
          <w:szCs w:val="28"/>
        </w:rPr>
        <w:t xml:space="preserve"> </w:t>
      </w:r>
      <w:r w:rsidRPr="003B7440">
        <w:rPr>
          <w:rFonts w:ascii="Times New Roman" w:hAnsi="Times New Roman"/>
          <w:bCs/>
          <w:iCs/>
          <w:sz w:val="28"/>
          <w:szCs w:val="28"/>
        </w:rPr>
        <w:t xml:space="preserve">nākamajā gadā, līdz ar to </w:t>
      </w:r>
      <w:r w:rsidR="00446917" w:rsidRPr="003B7440">
        <w:rPr>
          <w:rFonts w:ascii="Times New Roman" w:hAnsi="Times New Roman"/>
          <w:bCs/>
          <w:iCs/>
          <w:sz w:val="28"/>
          <w:szCs w:val="28"/>
        </w:rPr>
        <w:t>turpmākajos 10</w:t>
      </w:r>
      <w:r w:rsidR="00446917">
        <w:rPr>
          <w:rFonts w:ascii="Times New Roman" w:hAnsi="Times New Roman"/>
          <w:bCs/>
          <w:iCs/>
          <w:sz w:val="28"/>
          <w:szCs w:val="28"/>
        </w:rPr>
        <w:t> </w:t>
      </w:r>
      <w:r w:rsidR="00446917" w:rsidRPr="003B7440">
        <w:rPr>
          <w:rFonts w:ascii="Times New Roman" w:hAnsi="Times New Roman"/>
          <w:bCs/>
          <w:iCs/>
          <w:sz w:val="28"/>
          <w:szCs w:val="28"/>
        </w:rPr>
        <w:t xml:space="preserve">gados </w:t>
      </w:r>
      <w:r w:rsidRPr="003B7440">
        <w:rPr>
          <w:rFonts w:ascii="Times New Roman" w:hAnsi="Times New Roman"/>
          <w:bCs/>
          <w:iCs/>
          <w:sz w:val="28"/>
          <w:szCs w:val="28"/>
        </w:rPr>
        <w:t>vidēji 144</w:t>
      </w:r>
      <w:r w:rsidR="00446917">
        <w:rPr>
          <w:rFonts w:ascii="Times New Roman" w:hAnsi="Times New Roman"/>
          <w:bCs/>
          <w:iCs/>
          <w:sz w:val="28"/>
          <w:szCs w:val="28"/>
        </w:rPr>
        <w:t> </w:t>
      </w:r>
      <w:r w:rsidRPr="003B7440">
        <w:rPr>
          <w:rFonts w:ascii="Times New Roman" w:hAnsi="Times New Roman"/>
          <w:bCs/>
          <w:iCs/>
          <w:sz w:val="28"/>
          <w:szCs w:val="28"/>
        </w:rPr>
        <w:t>735</w:t>
      </w:r>
      <w:r w:rsidR="00446917">
        <w:rPr>
          <w:rFonts w:ascii="Times New Roman" w:hAnsi="Times New Roman"/>
          <w:bCs/>
          <w:iCs/>
          <w:sz w:val="28"/>
          <w:szCs w:val="28"/>
        </w:rPr>
        <w:t> </w:t>
      </w:r>
      <w:r w:rsidR="00446917" w:rsidRPr="003B7440">
        <w:rPr>
          <w:rFonts w:ascii="Times New Roman" w:hAnsi="Times New Roman"/>
          <w:bCs/>
          <w:i/>
          <w:sz w:val="28"/>
          <w:szCs w:val="28"/>
        </w:rPr>
        <w:t>euro</w:t>
      </w:r>
      <w:r w:rsidR="00446917" w:rsidRPr="003B7440">
        <w:rPr>
          <w:rFonts w:ascii="Times New Roman" w:hAnsi="Times New Roman"/>
          <w:bCs/>
          <w:iCs/>
          <w:sz w:val="28"/>
          <w:szCs w:val="28"/>
        </w:rPr>
        <w:t xml:space="preserve"> </w:t>
      </w:r>
      <w:r w:rsidRPr="003B7440">
        <w:rPr>
          <w:rFonts w:ascii="Times New Roman" w:hAnsi="Times New Roman"/>
          <w:bCs/>
          <w:iCs/>
          <w:sz w:val="28"/>
          <w:szCs w:val="28"/>
        </w:rPr>
        <w:t>gadā.</w:t>
      </w:r>
    </w:p>
    <w:p w14:paraId="18A806AF" w14:textId="5B59B6BC" w:rsidR="00015D87" w:rsidRPr="003B7440" w:rsidRDefault="00015D87" w:rsidP="00150675">
      <w:pPr>
        <w:tabs>
          <w:tab w:val="left" w:pos="0"/>
        </w:tabs>
        <w:ind w:firstLine="567"/>
        <w:rPr>
          <w:rFonts w:ascii="Times New Roman" w:hAnsi="Times New Roman"/>
          <w:bCs/>
          <w:sz w:val="28"/>
          <w:szCs w:val="28"/>
        </w:rPr>
      </w:pPr>
      <w:r w:rsidRPr="003B7440">
        <w:rPr>
          <w:rFonts w:ascii="Times New Roman" w:hAnsi="Times New Roman"/>
          <w:bCs/>
          <w:sz w:val="28"/>
          <w:szCs w:val="28"/>
        </w:rPr>
        <w:tab/>
        <w:t>Plānotās uzturēšanas izmaksas gadā TVP darbināšanai ir novērtētas 15</w:t>
      </w:r>
      <w:r w:rsidR="00446917">
        <w:rPr>
          <w:rFonts w:ascii="Times New Roman" w:hAnsi="Times New Roman"/>
          <w:bCs/>
          <w:sz w:val="28"/>
          <w:szCs w:val="28"/>
        </w:rPr>
        <w:t> </w:t>
      </w:r>
      <w:r w:rsidRPr="003B7440">
        <w:rPr>
          <w:rFonts w:ascii="Times New Roman" w:hAnsi="Times New Roman"/>
          <w:bCs/>
          <w:sz w:val="28"/>
          <w:szCs w:val="28"/>
        </w:rPr>
        <w:t>% apm</w:t>
      </w:r>
      <w:r w:rsidR="00446917">
        <w:rPr>
          <w:rFonts w:ascii="Times New Roman" w:hAnsi="Times New Roman"/>
          <w:bCs/>
          <w:sz w:val="28"/>
          <w:szCs w:val="28"/>
        </w:rPr>
        <w:t>ēr</w:t>
      </w:r>
      <w:r w:rsidRPr="003B7440">
        <w:rPr>
          <w:rFonts w:ascii="Times New Roman" w:hAnsi="Times New Roman"/>
          <w:bCs/>
          <w:sz w:val="28"/>
          <w:szCs w:val="28"/>
        </w:rPr>
        <w:t>ā no kopējām izstrādes izmaksām, tajā skaitā:</w:t>
      </w:r>
    </w:p>
    <w:p w14:paraId="0115270B" w14:textId="77777777" w:rsidR="00015D87" w:rsidRPr="003B7440" w:rsidRDefault="00015D87" w:rsidP="00150675">
      <w:pPr>
        <w:pStyle w:val="ListParagraph"/>
        <w:numPr>
          <w:ilvl w:val="0"/>
          <w:numId w:val="27"/>
        </w:numPr>
        <w:tabs>
          <w:tab w:val="left" w:pos="0"/>
        </w:tabs>
        <w:ind w:left="0" w:firstLine="1134"/>
        <w:rPr>
          <w:rFonts w:ascii="Times New Roman" w:hAnsi="Times New Roman"/>
          <w:bCs/>
          <w:sz w:val="28"/>
          <w:szCs w:val="28"/>
        </w:rPr>
      </w:pPr>
      <w:r w:rsidRPr="003B7440">
        <w:rPr>
          <w:rFonts w:ascii="Times New Roman" w:hAnsi="Times New Roman"/>
          <w:bCs/>
          <w:sz w:val="28"/>
          <w:szCs w:val="28"/>
        </w:rPr>
        <w:t>Tīmekļvietņu programmatūras uzturēšana – 5 %;</w:t>
      </w:r>
    </w:p>
    <w:p w14:paraId="23877EB4" w14:textId="77777777" w:rsidR="00015D87" w:rsidRPr="003B7440" w:rsidRDefault="00015D87" w:rsidP="00150675">
      <w:pPr>
        <w:pStyle w:val="ListParagraph"/>
        <w:numPr>
          <w:ilvl w:val="0"/>
          <w:numId w:val="27"/>
        </w:numPr>
        <w:tabs>
          <w:tab w:val="left" w:pos="0"/>
        </w:tabs>
        <w:ind w:left="0" w:firstLine="1134"/>
        <w:rPr>
          <w:rFonts w:ascii="Times New Roman" w:hAnsi="Times New Roman"/>
          <w:bCs/>
          <w:sz w:val="28"/>
          <w:szCs w:val="28"/>
        </w:rPr>
      </w:pPr>
      <w:r w:rsidRPr="003B7440">
        <w:rPr>
          <w:rFonts w:ascii="Times New Roman" w:hAnsi="Times New Roman"/>
          <w:bCs/>
          <w:sz w:val="28"/>
          <w:szCs w:val="28"/>
        </w:rPr>
        <w:t>Platformas attīstības vadītājs, darba vietu uzturēšana – 3 %;</w:t>
      </w:r>
    </w:p>
    <w:p w14:paraId="20149197" w14:textId="77777777" w:rsidR="00015D87" w:rsidRPr="003B7440" w:rsidRDefault="00015D87" w:rsidP="00150675">
      <w:pPr>
        <w:pStyle w:val="ListParagraph"/>
        <w:numPr>
          <w:ilvl w:val="0"/>
          <w:numId w:val="27"/>
        </w:numPr>
        <w:tabs>
          <w:tab w:val="left" w:pos="0"/>
        </w:tabs>
        <w:ind w:left="0" w:firstLine="1134"/>
        <w:rPr>
          <w:rFonts w:ascii="Times New Roman" w:hAnsi="Times New Roman"/>
          <w:bCs/>
          <w:sz w:val="28"/>
          <w:szCs w:val="28"/>
        </w:rPr>
      </w:pPr>
      <w:r w:rsidRPr="003B7440">
        <w:rPr>
          <w:rFonts w:ascii="Times New Roman" w:hAnsi="Times New Roman"/>
          <w:bCs/>
          <w:sz w:val="28"/>
          <w:szCs w:val="28"/>
        </w:rPr>
        <w:t>Drošības un veiktspējas auditi – 3 %;</w:t>
      </w:r>
    </w:p>
    <w:p w14:paraId="502216CC" w14:textId="77777777" w:rsidR="00015D87" w:rsidRPr="003B7440" w:rsidRDefault="00015D87" w:rsidP="00150675">
      <w:pPr>
        <w:pStyle w:val="ListParagraph"/>
        <w:numPr>
          <w:ilvl w:val="0"/>
          <w:numId w:val="27"/>
        </w:numPr>
        <w:tabs>
          <w:tab w:val="left" w:pos="0"/>
        </w:tabs>
        <w:ind w:left="0" w:firstLine="1134"/>
        <w:rPr>
          <w:rFonts w:ascii="Times New Roman" w:hAnsi="Times New Roman"/>
          <w:bCs/>
          <w:sz w:val="28"/>
          <w:szCs w:val="28"/>
        </w:rPr>
      </w:pPr>
      <w:r w:rsidRPr="003B7440">
        <w:rPr>
          <w:rFonts w:ascii="Times New Roman" w:hAnsi="Times New Roman"/>
          <w:bCs/>
          <w:sz w:val="28"/>
          <w:szCs w:val="28"/>
        </w:rPr>
        <w:t>Tīmekļvietņu izmitināšana un datu centra pakalpojumi – 4 %.</w:t>
      </w:r>
    </w:p>
    <w:p w14:paraId="4BB1FD9C" w14:textId="77777777" w:rsidR="00150675" w:rsidRDefault="00150675" w:rsidP="00150675">
      <w:pPr>
        <w:tabs>
          <w:tab w:val="left" w:pos="0"/>
        </w:tabs>
        <w:ind w:firstLine="567"/>
        <w:rPr>
          <w:rFonts w:ascii="Times New Roman" w:eastAsia="MS Mincho" w:hAnsi="Times New Roman"/>
          <w:b/>
          <w:bCs/>
          <w:sz w:val="28"/>
          <w:szCs w:val="28"/>
        </w:rPr>
      </w:pPr>
    </w:p>
    <w:p w14:paraId="46D17680" w14:textId="24CC68AE" w:rsidR="00015D87" w:rsidRPr="003B7440" w:rsidRDefault="00015D87" w:rsidP="00150675">
      <w:pPr>
        <w:tabs>
          <w:tab w:val="left" w:pos="0"/>
        </w:tabs>
        <w:ind w:firstLine="567"/>
        <w:rPr>
          <w:rFonts w:ascii="Times New Roman" w:eastAsia="MS Mincho" w:hAnsi="Times New Roman"/>
          <w:b/>
          <w:bCs/>
          <w:sz w:val="28"/>
          <w:szCs w:val="28"/>
        </w:rPr>
      </w:pPr>
      <w:r w:rsidRPr="003B7440">
        <w:rPr>
          <w:rFonts w:ascii="Times New Roman" w:eastAsia="MS Mincho" w:hAnsi="Times New Roman"/>
          <w:b/>
          <w:bCs/>
          <w:sz w:val="28"/>
          <w:szCs w:val="28"/>
        </w:rPr>
        <w:lastRenderedPageBreak/>
        <w:t xml:space="preserve">Saistība ar iepriekšējā plānošanas perioda projektiem, projekta lietderība un ieguldījums </w:t>
      </w:r>
      <w:r w:rsidR="00383D42">
        <w:rPr>
          <w:rFonts w:ascii="Times New Roman" w:eastAsia="MS Mincho" w:hAnsi="Times New Roman"/>
          <w:b/>
          <w:bCs/>
          <w:sz w:val="28"/>
          <w:szCs w:val="28"/>
        </w:rPr>
        <w:t>s</w:t>
      </w:r>
      <w:r w:rsidR="001F7B79" w:rsidRPr="003B7440">
        <w:rPr>
          <w:rFonts w:ascii="Times New Roman" w:eastAsia="MS Mincho" w:hAnsi="Times New Roman"/>
          <w:b/>
          <w:bCs/>
          <w:sz w:val="28"/>
          <w:szCs w:val="28"/>
        </w:rPr>
        <w:t xml:space="preserve">pecifisko atbalsta mērķu </w:t>
      </w:r>
      <w:r w:rsidRPr="003B7440">
        <w:rPr>
          <w:rFonts w:ascii="Times New Roman" w:eastAsia="MS Mincho" w:hAnsi="Times New Roman"/>
          <w:b/>
          <w:bCs/>
          <w:sz w:val="28"/>
          <w:szCs w:val="28"/>
        </w:rPr>
        <w:t>rezultāta rādītājos</w:t>
      </w:r>
    </w:p>
    <w:p w14:paraId="6CBBDB52" w14:textId="3BDD2B6E" w:rsidR="00015D87" w:rsidRPr="003B7440" w:rsidRDefault="00015D87" w:rsidP="00150675">
      <w:pPr>
        <w:pStyle w:val="VPBody"/>
        <w:spacing w:before="0" w:after="0"/>
        <w:ind w:firstLine="709"/>
        <w:rPr>
          <w:sz w:val="28"/>
          <w:szCs w:val="28"/>
        </w:rPr>
      </w:pPr>
      <w:r w:rsidRPr="003B7440">
        <w:rPr>
          <w:sz w:val="28"/>
          <w:szCs w:val="28"/>
        </w:rPr>
        <w:t>Nav saistības ar iepriekšējā plānošanas perioda projektiem. TVP paredzēs iespēju attīstīt un pilnveidot tās tīmekļvietnes, kas ir izveidotas par Eiropas Savienības finansējuma līdzekļiem, saglabājot to pamata saturu.</w:t>
      </w:r>
    </w:p>
    <w:p w14:paraId="6FCECCFC" w14:textId="77777777" w:rsidR="00150675" w:rsidRDefault="00150675" w:rsidP="00150675">
      <w:pPr>
        <w:pStyle w:val="VPHeading2"/>
        <w:spacing w:before="0" w:after="0" w:line="240" w:lineRule="auto"/>
        <w:ind w:firstLine="567"/>
        <w:rPr>
          <w:color w:val="auto"/>
        </w:rPr>
      </w:pPr>
    </w:p>
    <w:p w14:paraId="7DD9DC49" w14:textId="065B18B0" w:rsidR="00015D87" w:rsidRPr="003B7440" w:rsidRDefault="00015D87" w:rsidP="00150675">
      <w:pPr>
        <w:pStyle w:val="VPHeading2"/>
        <w:spacing w:before="0" w:after="0" w:line="240" w:lineRule="auto"/>
        <w:ind w:firstLine="567"/>
        <w:rPr>
          <w:color w:val="auto"/>
        </w:rPr>
      </w:pPr>
      <w:r w:rsidRPr="003B7440">
        <w:rPr>
          <w:color w:val="auto"/>
        </w:rPr>
        <w:t>Sociālekonomiskais indikatīvais lietderīgums</w:t>
      </w:r>
      <w:r w:rsidRPr="003B7440">
        <w:rPr>
          <w:color w:val="auto"/>
          <w:vertAlign w:val="superscript"/>
        </w:rPr>
        <w:footnoteReference w:id="5"/>
      </w:r>
      <w:r w:rsidRPr="003B7440">
        <w:rPr>
          <w:color w:val="auto"/>
          <w:vertAlign w:val="superscript"/>
        </w:rPr>
        <w:t xml:space="preserve"> </w:t>
      </w:r>
    </w:p>
    <w:p w14:paraId="29E4D455" w14:textId="223101B8" w:rsidR="00015D87" w:rsidRPr="003B7440" w:rsidRDefault="00015D87" w:rsidP="00150675">
      <w:pPr>
        <w:ind w:firstLine="709"/>
        <w:rPr>
          <w:rFonts w:ascii="Times New Roman" w:hAnsi="Times New Roman"/>
          <w:sz w:val="28"/>
          <w:szCs w:val="28"/>
        </w:rPr>
      </w:pPr>
      <w:r w:rsidRPr="003B7440">
        <w:rPr>
          <w:rFonts w:ascii="Times New Roman" w:hAnsi="Times New Roman"/>
          <w:sz w:val="28"/>
          <w:szCs w:val="28"/>
        </w:rPr>
        <w:t>Konkrētā</w:t>
      </w:r>
      <w:r w:rsidR="00383D42">
        <w:rPr>
          <w:rFonts w:ascii="Times New Roman" w:hAnsi="Times New Roman"/>
          <w:sz w:val="28"/>
          <w:szCs w:val="28"/>
        </w:rPr>
        <w:t>s</w:t>
      </w:r>
      <w:r w:rsidRPr="003B7440">
        <w:rPr>
          <w:rFonts w:ascii="Times New Roman" w:hAnsi="Times New Roman"/>
          <w:sz w:val="28"/>
          <w:szCs w:val="28"/>
        </w:rPr>
        <w:t xml:space="preserve"> TVP ieviešana valsts pārvaldei un sabiedrībai dos vairākus sociālus ieguvumus un resursu ietaupījumu, kas atsvērs 2 miljonus 270 tūkstošus </w:t>
      </w:r>
      <w:r w:rsidRPr="003B7440">
        <w:rPr>
          <w:rFonts w:ascii="Times New Roman" w:hAnsi="Times New Roman"/>
          <w:i/>
          <w:sz w:val="28"/>
          <w:szCs w:val="28"/>
        </w:rPr>
        <w:t>euro</w:t>
      </w:r>
      <w:r w:rsidRPr="003B7440">
        <w:rPr>
          <w:rFonts w:ascii="Times New Roman" w:hAnsi="Times New Roman"/>
          <w:sz w:val="28"/>
          <w:szCs w:val="28"/>
        </w:rPr>
        <w:t xml:space="preserve"> lielo ieguldījumu tā</w:t>
      </w:r>
      <w:r w:rsidR="00383D42">
        <w:rPr>
          <w:rFonts w:ascii="Times New Roman" w:hAnsi="Times New Roman"/>
          <w:sz w:val="28"/>
          <w:szCs w:val="28"/>
        </w:rPr>
        <w:t>s</w:t>
      </w:r>
      <w:r w:rsidRPr="003B7440">
        <w:rPr>
          <w:rFonts w:ascii="Times New Roman" w:hAnsi="Times New Roman"/>
          <w:sz w:val="28"/>
          <w:szCs w:val="28"/>
        </w:rPr>
        <w:t xml:space="preserve"> realizācijā.</w:t>
      </w:r>
    </w:p>
    <w:p w14:paraId="4AB28570" w14:textId="12C50F52" w:rsidR="00015D87" w:rsidRPr="003B7440" w:rsidRDefault="00015D87" w:rsidP="00150675">
      <w:pPr>
        <w:ind w:firstLine="709"/>
        <w:rPr>
          <w:rFonts w:ascii="Times New Roman" w:hAnsi="Times New Roman"/>
          <w:sz w:val="28"/>
          <w:szCs w:val="28"/>
        </w:rPr>
      </w:pPr>
      <w:r w:rsidRPr="003B7440">
        <w:rPr>
          <w:rFonts w:ascii="Times New Roman" w:hAnsi="Times New Roman"/>
          <w:sz w:val="28"/>
          <w:szCs w:val="28"/>
        </w:rPr>
        <w:t>Ietaupījuma kopējais apmērs lielā mērā ir atkarīgs no tā, cik iestāžu ir pievienojušās TVP, jo katras nākamās tīmekļvietnes izvietošana uz platformas izmaksās arvien lētāk gan izbūves, gan uzturēšanas ziņā. No šobrīd esošajām 153</w:t>
      </w:r>
      <w:r w:rsidR="00446917">
        <w:rPr>
          <w:rFonts w:ascii="Times New Roman" w:hAnsi="Times New Roman"/>
          <w:sz w:val="28"/>
          <w:szCs w:val="28"/>
        </w:rPr>
        <w:t> </w:t>
      </w:r>
      <w:r w:rsidRPr="003B7440">
        <w:rPr>
          <w:rFonts w:ascii="Times New Roman" w:hAnsi="Times New Roman"/>
          <w:sz w:val="28"/>
          <w:szCs w:val="28"/>
        </w:rPr>
        <w:t>valsts iestādēm un 42</w:t>
      </w:r>
      <w:r w:rsidR="00446917">
        <w:rPr>
          <w:rFonts w:ascii="Times New Roman" w:hAnsi="Times New Roman"/>
          <w:sz w:val="28"/>
          <w:szCs w:val="28"/>
        </w:rPr>
        <w:t> </w:t>
      </w:r>
      <w:r w:rsidRPr="003B7440">
        <w:rPr>
          <w:rFonts w:ascii="Times New Roman" w:hAnsi="Times New Roman"/>
          <w:sz w:val="28"/>
          <w:szCs w:val="28"/>
        </w:rPr>
        <w:t>pašvaldībām TVP projekta</w:t>
      </w:r>
      <w:r w:rsidR="00446917">
        <w:rPr>
          <w:rFonts w:ascii="Times New Roman" w:hAnsi="Times New Roman"/>
          <w:sz w:val="28"/>
          <w:szCs w:val="28"/>
        </w:rPr>
        <w:t>m</w:t>
      </w:r>
      <w:r w:rsidRPr="003B7440">
        <w:rPr>
          <w:rFonts w:ascii="Times New Roman" w:hAnsi="Times New Roman"/>
          <w:sz w:val="28"/>
          <w:szCs w:val="28"/>
        </w:rPr>
        <w:t xml:space="preserve"> pievienosies vismaz 90</w:t>
      </w:r>
      <w:r w:rsidR="00446917">
        <w:rPr>
          <w:rFonts w:ascii="Times New Roman" w:hAnsi="Times New Roman"/>
          <w:sz w:val="28"/>
          <w:szCs w:val="28"/>
        </w:rPr>
        <w:t> </w:t>
      </w:r>
      <w:r w:rsidRPr="003B7440">
        <w:rPr>
          <w:rFonts w:ascii="Times New Roman" w:hAnsi="Times New Roman"/>
          <w:sz w:val="28"/>
          <w:szCs w:val="28"/>
        </w:rPr>
        <w:t>iestādes – gan valsts tiešās pārvaldes iestādes, gan pašvaldības.</w:t>
      </w:r>
    </w:p>
    <w:p w14:paraId="3DB5FB3F" w14:textId="12063812" w:rsidR="00015D87" w:rsidRPr="003B7440" w:rsidRDefault="00015D87" w:rsidP="00150675">
      <w:pPr>
        <w:ind w:firstLine="709"/>
        <w:rPr>
          <w:rFonts w:ascii="Times New Roman" w:hAnsi="Times New Roman"/>
          <w:sz w:val="28"/>
          <w:szCs w:val="28"/>
        </w:rPr>
      </w:pPr>
      <w:r w:rsidRPr="003B7440">
        <w:rPr>
          <w:rFonts w:ascii="Times New Roman" w:hAnsi="Times New Roman"/>
          <w:sz w:val="28"/>
          <w:szCs w:val="28"/>
        </w:rPr>
        <w:t>Tomēr TVP tiks veidots kā atvērta platforma, kam arī pēc projekta beigām turpinās pievienoties pārējās iestādes. Projekta sociālekonomiskā lietderīguma aplēsēs ir pieņemts, ka TVP izmanto vismaz 90</w:t>
      </w:r>
      <w:r w:rsidR="00446917">
        <w:rPr>
          <w:rFonts w:ascii="Times New Roman" w:hAnsi="Times New Roman"/>
          <w:sz w:val="28"/>
          <w:szCs w:val="28"/>
        </w:rPr>
        <w:t> </w:t>
      </w:r>
      <w:r w:rsidRPr="003B7440">
        <w:rPr>
          <w:rFonts w:ascii="Times New Roman" w:hAnsi="Times New Roman"/>
          <w:sz w:val="28"/>
          <w:szCs w:val="28"/>
        </w:rPr>
        <w:t xml:space="preserve">iestādes, tāpēc arī kopējās izmaksas un ietaupījums tiek balstīts uz šādu apjomu, tomēr jāatzīmē, ka tas ir minimālais apjoms, kas potenciāli var pieaugt. </w:t>
      </w:r>
    </w:p>
    <w:p w14:paraId="09746666" w14:textId="4D1BB706" w:rsidR="00015D87" w:rsidRPr="003B7440" w:rsidRDefault="00015D87" w:rsidP="00150675">
      <w:pPr>
        <w:pStyle w:val="VPBody"/>
        <w:spacing w:before="0" w:after="0"/>
        <w:ind w:firstLine="709"/>
        <w:rPr>
          <w:sz w:val="28"/>
          <w:szCs w:val="28"/>
        </w:rPr>
      </w:pPr>
      <w:r w:rsidRPr="003B7440">
        <w:rPr>
          <w:sz w:val="28"/>
          <w:szCs w:val="28"/>
        </w:rPr>
        <w:t>Īstenojot vienu centralizētu TVP, tiktu ietaupītas izmaksas, kas rodas šobrīd vai radīsies nākotnē, iestādēm individuāli izstrādājot jaunus tīmekļvietņu tehniskos un vizuālos risinājumus, izpildot arvien augstākas drošības prasības un ievērojot nepieciešamību nodrošināt tīmekļvietņu piekļūstamību visām iedzīvotāju grupām. Paaugstinot tīmekļvietņu lietojamības standartus, unificējot un modernizējot iestāžu veidotā satura publicēšanu, tiks panākts lietotāju laika ietaupījums, kas ir īpaši nozīmīgs komercsektora pārstāvjiem.</w:t>
      </w:r>
    </w:p>
    <w:p w14:paraId="5189079C" w14:textId="00A027AE" w:rsidR="00015D87" w:rsidRPr="003B7440" w:rsidRDefault="00015D87" w:rsidP="00150675">
      <w:pPr>
        <w:pStyle w:val="VPBody"/>
        <w:spacing w:before="0" w:after="0"/>
        <w:ind w:firstLine="709"/>
        <w:rPr>
          <w:sz w:val="28"/>
          <w:szCs w:val="28"/>
        </w:rPr>
      </w:pPr>
      <w:r w:rsidRPr="003B7440">
        <w:rPr>
          <w:sz w:val="28"/>
          <w:szCs w:val="28"/>
        </w:rPr>
        <w:t>Galvenās izmaksu pozīcijas, kurās paredzams ietaupījums 10 gadu periodā, ja uz TVP tiek pārceltas vismaz 90 iestāžu tīmekļvietnes:</w:t>
      </w:r>
    </w:p>
    <w:p w14:paraId="10F5BA20" w14:textId="77777777" w:rsidR="00015D87" w:rsidRPr="003B7440" w:rsidRDefault="00015D87" w:rsidP="00150675">
      <w:pPr>
        <w:pStyle w:val="VPBody"/>
        <w:numPr>
          <w:ilvl w:val="0"/>
          <w:numId w:val="24"/>
        </w:numPr>
        <w:spacing w:before="0" w:after="0"/>
        <w:ind w:left="0" w:firstLine="709"/>
        <w:rPr>
          <w:sz w:val="28"/>
          <w:szCs w:val="28"/>
        </w:rPr>
      </w:pPr>
      <w:r w:rsidRPr="003B7440">
        <w:rPr>
          <w:sz w:val="28"/>
          <w:szCs w:val="28"/>
        </w:rPr>
        <w:t xml:space="preserve">Tīmekļvietņu izstrāde – 860 tūkstoši </w:t>
      </w:r>
      <w:r w:rsidRPr="003B7440">
        <w:rPr>
          <w:i/>
          <w:sz w:val="28"/>
          <w:szCs w:val="28"/>
        </w:rPr>
        <w:t>euro</w:t>
      </w:r>
      <w:r w:rsidRPr="003B7440">
        <w:rPr>
          <w:sz w:val="28"/>
          <w:szCs w:val="28"/>
        </w:rPr>
        <w:t>;</w:t>
      </w:r>
    </w:p>
    <w:p w14:paraId="3DF217EB" w14:textId="474BE187" w:rsidR="00015D87" w:rsidRPr="003B7440" w:rsidRDefault="00015D87" w:rsidP="00150675">
      <w:pPr>
        <w:pStyle w:val="VPBody"/>
        <w:numPr>
          <w:ilvl w:val="0"/>
          <w:numId w:val="24"/>
        </w:numPr>
        <w:spacing w:before="0" w:after="0"/>
        <w:ind w:left="0" w:firstLine="709"/>
        <w:rPr>
          <w:sz w:val="28"/>
          <w:szCs w:val="28"/>
        </w:rPr>
      </w:pPr>
      <w:r w:rsidRPr="003B7440">
        <w:rPr>
          <w:sz w:val="28"/>
          <w:szCs w:val="28"/>
        </w:rPr>
        <w:t>Tīmekļvietņu programmatūras uzturēšana –</w:t>
      </w:r>
      <w:r w:rsidR="00383D42">
        <w:rPr>
          <w:sz w:val="28"/>
          <w:szCs w:val="28"/>
        </w:rPr>
        <w:t xml:space="preserve"> </w:t>
      </w:r>
      <w:r w:rsidRPr="003B7440">
        <w:rPr>
          <w:sz w:val="28"/>
          <w:szCs w:val="28"/>
        </w:rPr>
        <w:t>2,1 miljon</w:t>
      </w:r>
      <w:r w:rsidR="00383D42">
        <w:rPr>
          <w:sz w:val="28"/>
          <w:szCs w:val="28"/>
        </w:rPr>
        <w:t>s</w:t>
      </w:r>
      <w:r w:rsidRPr="003B7440">
        <w:rPr>
          <w:sz w:val="28"/>
          <w:szCs w:val="28"/>
        </w:rPr>
        <w:t xml:space="preserve"> </w:t>
      </w:r>
      <w:r w:rsidRPr="003B7440">
        <w:rPr>
          <w:i/>
          <w:sz w:val="28"/>
          <w:szCs w:val="28"/>
        </w:rPr>
        <w:t>euro</w:t>
      </w:r>
      <w:r w:rsidRPr="003B7440">
        <w:rPr>
          <w:sz w:val="28"/>
          <w:szCs w:val="28"/>
        </w:rPr>
        <w:t>;</w:t>
      </w:r>
    </w:p>
    <w:p w14:paraId="0B8C785A" w14:textId="77777777" w:rsidR="00015D87" w:rsidRPr="003B7440" w:rsidRDefault="00015D87" w:rsidP="00150675">
      <w:pPr>
        <w:pStyle w:val="VPBody"/>
        <w:numPr>
          <w:ilvl w:val="0"/>
          <w:numId w:val="24"/>
        </w:numPr>
        <w:spacing w:before="0" w:after="0"/>
        <w:ind w:left="0" w:firstLine="709"/>
        <w:rPr>
          <w:sz w:val="28"/>
          <w:szCs w:val="28"/>
        </w:rPr>
      </w:pPr>
      <w:r w:rsidRPr="003B7440">
        <w:rPr>
          <w:sz w:val="28"/>
          <w:szCs w:val="28"/>
        </w:rPr>
        <w:t xml:space="preserve">Tīmekļvietņu izmitināšana – 347 tūkstoši </w:t>
      </w:r>
      <w:r w:rsidRPr="003B7440">
        <w:rPr>
          <w:i/>
          <w:sz w:val="28"/>
          <w:szCs w:val="28"/>
        </w:rPr>
        <w:t>euro</w:t>
      </w:r>
      <w:r w:rsidRPr="003B7440">
        <w:rPr>
          <w:sz w:val="28"/>
          <w:szCs w:val="28"/>
        </w:rPr>
        <w:t>;</w:t>
      </w:r>
    </w:p>
    <w:p w14:paraId="26F1D057" w14:textId="77777777" w:rsidR="00015D87" w:rsidRPr="003B7440" w:rsidRDefault="00015D87" w:rsidP="00150675">
      <w:pPr>
        <w:pStyle w:val="VPBody"/>
        <w:numPr>
          <w:ilvl w:val="0"/>
          <w:numId w:val="24"/>
        </w:numPr>
        <w:spacing w:before="0" w:after="0"/>
        <w:ind w:left="0" w:firstLine="709"/>
        <w:rPr>
          <w:sz w:val="28"/>
          <w:szCs w:val="28"/>
        </w:rPr>
      </w:pPr>
      <w:r w:rsidRPr="003B7440">
        <w:rPr>
          <w:sz w:val="28"/>
          <w:szCs w:val="28"/>
        </w:rPr>
        <w:t xml:space="preserve">Drošības un veiktspējas auditu veikšana – 775 tūkstoši </w:t>
      </w:r>
      <w:r w:rsidRPr="003B7440">
        <w:rPr>
          <w:i/>
          <w:sz w:val="28"/>
          <w:szCs w:val="28"/>
        </w:rPr>
        <w:t>euro</w:t>
      </w:r>
      <w:r w:rsidRPr="003B7440">
        <w:rPr>
          <w:sz w:val="28"/>
          <w:szCs w:val="28"/>
        </w:rPr>
        <w:t>;</w:t>
      </w:r>
    </w:p>
    <w:p w14:paraId="25D26390" w14:textId="77777777" w:rsidR="00015D87" w:rsidRPr="003B7440" w:rsidRDefault="00015D87" w:rsidP="00150675">
      <w:pPr>
        <w:pStyle w:val="VPBody"/>
        <w:numPr>
          <w:ilvl w:val="0"/>
          <w:numId w:val="24"/>
        </w:numPr>
        <w:spacing w:before="0" w:after="0"/>
        <w:ind w:left="0" w:firstLine="709"/>
        <w:rPr>
          <w:sz w:val="28"/>
          <w:szCs w:val="28"/>
        </w:rPr>
      </w:pPr>
      <w:r w:rsidRPr="003B7440">
        <w:rPr>
          <w:sz w:val="28"/>
          <w:szCs w:val="28"/>
        </w:rPr>
        <w:t xml:space="preserve">Administrēšanas un lietotāju atbalsta, platformas vadītāja noslodzes samazinājums – 1,18 miljoni </w:t>
      </w:r>
      <w:r w:rsidRPr="003B7440">
        <w:rPr>
          <w:i/>
          <w:sz w:val="28"/>
          <w:szCs w:val="28"/>
        </w:rPr>
        <w:t>euro</w:t>
      </w:r>
      <w:r w:rsidRPr="003B7440">
        <w:rPr>
          <w:sz w:val="28"/>
          <w:szCs w:val="28"/>
        </w:rPr>
        <w:t>;</w:t>
      </w:r>
    </w:p>
    <w:p w14:paraId="13424982" w14:textId="77777777" w:rsidR="00015D87" w:rsidRPr="003B7440" w:rsidRDefault="00015D87" w:rsidP="00150675">
      <w:pPr>
        <w:pStyle w:val="VPBody"/>
        <w:numPr>
          <w:ilvl w:val="0"/>
          <w:numId w:val="24"/>
        </w:numPr>
        <w:spacing w:before="0" w:after="0"/>
        <w:ind w:left="0" w:firstLine="709"/>
        <w:rPr>
          <w:sz w:val="28"/>
          <w:szCs w:val="28"/>
        </w:rPr>
      </w:pPr>
      <w:r w:rsidRPr="003B7440">
        <w:rPr>
          <w:sz w:val="28"/>
          <w:szCs w:val="28"/>
        </w:rPr>
        <w:t xml:space="preserve">Sociālais ieguvums – biznesa lietotāju laika ietaupījums informācijas meklēšanā – 1,023 miljoni </w:t>
      </w:r>
      <w:r w:rsidRPr="003B7440">
        <w:rPr>
          <w:i/>
          <w:sz w:val="28"/>
          <w:szCs w:val="28"/>
        </w:rPr>
        <w:t>euro</w:t>
      </w:r>
      <w:r w:rsidRPr="003B7440">
        <w:rPr>
          <w:sz w:val="28"/>
          <w:szCs w:val="28"/>
        </w:rPr>
        <w:t>.</w:t>
      </w:r>
    </w:p>
    <w:p w14:paraId="710AAA8F" w14:textId="6C502033" w:rsidR="00015D87" w:rsidRPr="003B7440" w:rsidRDefault="00015D87" w:rsidP="00150675">
      <w:pPr>
        <w:pStyle w:val="VPBody"/>
        <w:spacing w:before="0" w:after="0"/>
        <w:ind w:firstLine="709"/>
        <w:rPr>
          <w:sz w:val="28"/>
          <w:szCs w:val="28"/>
        </w:rPr>
      </w:pPr>
      <w:r w:rsidRPr="003B7440">
        <w:rPr>
          <w:sz w:val="28"/>
          <w:szCs w:val="28"/>
        </w:rPr>
        <w:tab/>
        <w:t>Ietaupījums kopā 10</w:t>
      </w:r>
      <w:r w:rsidR="000610B7">
        <w:rPr>
          <w:sz w:val="28"/>
          <w:szCs w:val="28"/>
        </w:rPr>
        <w:t> </w:t>
      </w:r>
      <w:r w:rsidRPr="003B7440">
        <w:rPr>
          <w:sz w:val="28"/>
          <w:szCs w:val="28"/>
        </w:rPr>
        <w:t xml:space="preserve">gadu periodā – </w:t>
      </w:r>
      <w:r w:rsidRPr="003B7440">
        <w:rPr>
          <w:bCs w:val="0"/>
          <w:sz w:val="28"/>
          <w:szCs w:val="28"/>
        </w:rPr>
        <w:t>6</w:t>
      </w:r>
      <w:r w:rsidR="000610B7">
        <w:rPr>
          <w:bCs w:val="0"/>
          <w:sz w:val="28"/>
          <w:szCs w:val="28"/>
        </w:rPr>
        <w:t> </w:t>
      </w:r>
      <w:r w:rsidRPr="003B7440">
        <w:rPr>
          <w:bCs w:val="0"/>
          <w:sz w:val="28"/>
          <w:szCs w:val="28"/>
        </w:rPr>
        <w:t>292</w:t>
      </w:r>
      <w:r w:rsidR="000610B7">
        <w:rPr>
          <w:bCs w:val="0"/>
          <w:sz w:val="28"/>
          <w:szCs w:val="28"/>
        </w:rPr>
        <w:t> </w:t>
      </w:r>
      <w:r w:rsidRPr="003B7440">
        <w:rPr>
          <w:bCs w:val="0"/>
          <w:sz w:val="28"/>
          <w:szCs w:val="28"/>
        </w:rPr>
        <w:t>892</w:t>
      </w:r>
      <w:r w:rsidR="000610B7">
        <w:rPr>
          <w:bCs w:val="0"/>
          <w:sz w:val="28"/>
          <w:szCs w:val="28"/>
        </w:rPr>
        <w:t> </w:t>
      </w:r>
      <w:r w:rsidRPr="003B7440">
        <w:rPr>
          <w:i/>
          <w:sz w:val="28"/>
          <w:szCs w:val="28"/>
        </w:rPr>
        <w:t>euro</w:t>
      </w:r>
      <w:r w:rsidRPr="003B7440">
        <w:rPr>
          <w:sz w:val="28"/>
          <w:szCs w:val="28"/>
        </w:rPr>
        <w:t>, tai skaitā 5</w:t>
      </w:r>
      <w:r w:rsidR="000610B7">
        <w:rPr>
          <w:sz w:val="28"/>
          <w:szCs w:val="28"/>
        </w:rPr>
        <w:t> </w:t>
      </w:r>
      <w:r w:rsidRPr="003B7440">
        <w:rPr>
          <w:sz w:val="28"/>
          <w:szCs w:val="28"/>
        </w:rPr>
        <w:t>269</w:t>
      </w:r>
      <w:r w:rsidR="000610B7">
        <w:rPr>
          <w:sz w:val="28"/>
          <w:szCs w:val="28"/>
        </w:rPr>
        <w:t> </w:t>
      </w:r>
      <w:r w:rsidRPr="003B7440">
        <w:rPr>
          <w:sz w:val="28"/>
          <w:szCs w:val="28"/>
        </w:rPr>
        <w:t>217</w:t>
      </w:r>
      <w:r w:rsidR="000610B7">
        <w:rPr>
          <w:sz w:val="28"/>
          <w:szCs w:val="28"/>
        </w:rPr>
        <w:t> </w:t>
      </w:r>
      <w:r w:rsidRPr="003B7440">
        <w:rPr>
          <w:i/>
          <w:sz w:val="28"/>
          <w:szCs w:val="28"/>
        </w:rPr>
        <w:t xml:space="preserve">euro </w:t>
      </w:r>
      <w:r w:rsidRPr="003B7440">
        <w:rPr>
          <w:sz w:val="28"/>
          <w:szCs w:val="28"/>
        </w:rPr>
        <w:t>iestāžu tiešās izmaksas</w:t>
      </w:r>
      <w:r w:rsidRPr="003B7440">
        <w:rPr>
          <w:bCs w:val="0"/>
          <w:sz w:val="28"/>
          <w:szCs w:val="28"/>
        </w:rPr>
        <w:t xml:space="preserve">. </w:t>
      </w:r>
      <w:bookmarkStart w:id="9" w:name="_Hlk50125413"/>
      <w:r w:rsidRPr="003B7440">
        <w:rPr>
          <w:bCs w:val="0"/>
          <w:sz w:val="28"/>
          <w:szCs w:val="28"/>
        </w:rPr>
        <w:t>Savukārt kopējais projekta lietderīgums 2 916</w:t>
      </w:r>
      <w:r w:rsidR="000610B7">
        <w:rPr>
          <w:bCs w:val="0"/>
          <w:sz w:val="28"/>
          <w:szCs w:val="28"/>
        </w:rPr>
        <w:t> </w:t>
      </w:r>
      <w:r w:rsidRPr="003B7440">
        <w:rPr>
          <w:bCs w:val="0"/>
          <w:sz w:val="28"/>
          <w:szCs w:val="28"/>
        </w:rPr>
        <w:t>042</w:t>
      </w:r>
      <w:r w:rsidR="000610B7">
        <w:rPr>
          <w:bCs w:val="0"/>
          <w:sz w:val="28"/>
          <w:szCs w:val="28"/>
        </w:rPr>
        <w:t> </w:t>
      </w:r>
      <w:r w:rsidRPr="003B7440">
        <w:rPr>
          <w:bCs w:val="0"/>
          <w:i/>
          <w:iCs/>
          <w:sz w:val="28"/>
          <w:szCs w:val="28"/>
        </w:rPr>
        <w:t>euro</w:t>
      </w:r>
      <w:r w:rsidRPr="003B7440">
        <w:rPr>
          <w:bCs w:val="0"/>
          <w:sz w:val="28"/>
          <w:szCs w:val="28"/>
        </w:rPr>
        <w:t>.</w:t>
      </w:r>
    </w:p>
    <w:p w14:paraId="413E21D7" w14:textId="77777777" w:rsidR="00015D87" w:rsidRPr="003B7440" w:rsidRDefault="00015D87" w:rsidP="00150675">
      <w:pPr>
        <w:rPr>
          <w:rFonts w:ascii="Times New Roman" w:hAnsi="Times New Roman"/>
          <w:sz w:val="28"/>
          <w:szCs w:val="28"/>
        </w:rPr>
      </w:pPr>
    </w:p>
    <w:bookmarkEnd w:id="9"/>
    <w:p w14:paraId="62C52560" w14:textId="7ECB09E8" w:rsidR="00015D87" w:rsidRPr="003B7440" w:rsidRDefault="00015D87" w:rsidP="00150675">
      <w:pPr>
        <w:rPr>
          <w:rFonts w:ascii="Times New Roman" w:hAnsi="Times New Roman"/>
          <w:b/>
          <w:bCs/>
          <w:sz w:val="28"/>
          <w:szCs w:val="28"/>
        </w:rPr>
      </w:pPr>
      <w:r w:rsidRPr="003B7440">
        <w:rPr>
          <w:rFonts w:ascii="Times New Roman" w:hAnsi="Times New Roman"/>
          <w:b/>
          <w:bCs/>
          <w:sz w:val="28"/>
          <w:szCs w:val="28"/>
        </w:rPr>
        <w:lastRenderedPageBreak/>
        <w:t>TVP ietekmēs šādu SAM rezultātu sasniegšanu:</w:t>
      </w:r>
    </w:p>
    <w:p w14:paraId="4037CDA2" w14:textId="77777777" w:rsidR="00015D87" w:rsidRPr="003B7440" w:rsidRDefault="00015D87" w:rsidP="00703FB8">
      <w:pPr>
        <w:pStyle w:val="ListParagraph"/>
        <w:numPr>
          <w:ilvl w:val="0"/>
          <w:numId w:val="26"/>
        </w:numPr>
        <w:tabs>
          <w:tab w:val="left" w:pos="675"/>
          <w:tab w:val="left" w:pos="1134"/>
        </w:tabs>
        <w:ind w:left="0" w:firstLine="709"/>
        <w:rPr>
          <w:rFonts w:ascii="Times New Roman" w:hAnsi="Times New Roman"/>
          <w:bCs/>
          <w:sz w:val="28"/>
          <w:szCs w:val="28"/>
        </w:rPr>
      </w:pPr>
      <w:r w:rsidRPr="003B7440">
        <w:rPr>
          <w:rFonts w:ascii="Times New Roman" w:hAnsi="Times New Roman"/>
          <w:bCs/>
          <w:sz w:val="28"/>
          <w:szCs w:val="28"/>
        </w:rPr>
        <w:t>tiks vienkāršota publiski radītas informācijas pieejamība sabiedrībai, uzlabota publiskās pārvaldes iestāžu tīmekļvietņu lietojamība un piekļūstamība visām iedzīvotāju grupām, tai skaitā personām ar invaliditāti, izmantojot vienotu, centralizētu valsts pārvaldes iestāžu tīmekļvietņu satura pārvaldības sistēmu;</w:t>
      </w:r>
    </w:p>
    <w:p w14:paraId="37D8A00F" w14:textId="77777777" w:rsidR="00015D87" w:rsidRPr="003B7440" w:rsidRDefault="00015D87" w:rsidP="00703FB8">
      <w:pPr>
        <w:pStyle w:val="ListParagraph"/>
        <w:numPr>
          <w:ilvl w:val="0"/>
          <w:numId w:val="26"/>
        </w:numPr>
        <w:tabs>
          <w:tab w:val="left" w:pos="675"/>
          <w:tab w:val="left" w:pos="1134"/>
        </w:tabs>
        <w:ind w:left="0" w:firstLine="709"/>
        <w:rPr>
          <w:rFonts w:ascii="Times New Roman" w:hAnsi="Times New Roman"/>
          <w:bCs/>
          <w:sz w:val="28"/>
          <w:szCs w:val="28"/>
        </w:rPr>
      </w:pPr>
      <w:r w:rsidRPr="003B7440">
        <w:rPr>
          <w:rFonts w:ascii="Times New Roman" w:hAnsi="Times New Roman"/>
          <w:bCs/>
          <w:sz w:val="28"/>
          <w:szCs w:val="28"/>
        </w:rPr>
        <w:t>tiks nodrošināta efektīva resursu izlietošana valsts pārvaldes iestāžu tīmekļvietņu pārvaldībā, izmantojot vienotu tīmekļvietņu satura pārvaldības sistēmu un centralizētu tehnisko atbalstu un uzturēšanu, kā arī decentralizētu satura veidošanu un administrēšanu;</w:t>
      </w:r>
    </w:p>
    <w:p w14:paraId="0C8141FC" w14:textId="77777777" w:rsidR="00015D87" w:rsidRPr="003B7440" w:rsidRDefault="00015D87" w:rsidP="00703FB8">
      <w:pPr>
        <w:pStyle w:val="ListParagraph"/>
        <w:numPr>
          <w:ilvl w:val="0"/>
          <w:numId w:val="26"/>
        </w:numPr>
        <w:tabs>
          <w:tab w:val="left" w:pos="675"/>
          <w:tab w:val="left" w:pos="1134"/>
        </w:tabs>
        <w:ind w:left="0" w:firstLine="709"/>
        <w:rPr>
          <w:rFonts w:ascii="Times New Roman" w:hAnsi="Times New Roman"/>
          <w:bCs/>
          <w:sz w:val="28"/>
          <w:szCs w:val="28"/>
        </w:rPr>
      </w:pPr>
      <w:r w:rsidRPr="003B7440">
        <w:rPr>
          <w:rFonts w:ascii="Times New Roman" w:hAnsi="Times New Roman"/>
          <w:bCs/>
          <w:sz w:val="28"/>
          <w:szCs w:val="28"/>
        </w:rPr>
        <w:t>vienotas tīmekļvietņu struktūras un funkcionalitātes izveides un piekļūstamības nodrošināšanas rezultātā uzlabosies publiskā sektora radītās informācijas publiskā pieejamība un līdz ar to valsts un pašvaldību sektora darbības caurskatāmība, ko varēs novērtēt, analizējot lietotāju apmierinātību. Projekta rezultātā tiks izstrādāta vienota tīmekļvietņu izveides un uzturēšanas platforma, kas atbilst lietojamības, piekļūstamības un drošības prasībām;</w:t>
      </w:r>
    </w:p>
    <w:p w14:paraId="55CD0E8D" w14:textId="4517E4B0" w:rsidR="00015D87" w:rsidRPr="003B7440" w:rsidRDefault="00015D87" w:rsidP="00703FB8">
      <w:pPr>
        <w:pStyle w:val="ListParagraph"/>
        <w:numPr>
          <w:ilvl w:val="0"/>
          <w:numId w:val="26"/>
        </w:numPr>
        <w:tabs>
          <w:tab w:val="left" w:pos="675"/>
          <w:tab w:val="left" w:pos="1134"/>
        </w:tabs>
        <w:ind w:left="0" w:firstLine="709"/>
        <w:rPr>
          <w:rFonts w:ascii="Times New Roman" w:hAnsi="Times New Roman"/>
          <w:bCs/>
          <w:sz w:val="28"/>
          <w:szCs w:val="28"/>
        </w:rPr>
      </w:pPr>
      <w:r w:rsidRPr="003B7440">
        <w:rPr>
          <w:rFonts w:ascii="Times New Roman" w:hAnsi="Times New Roman"/>
          <w:bCs/>
          <w:sz w:val="28"/>
          <w:szCs w:val="28"/>
        </w:rPr>
        <w:t>plānota TVP veidošana, nodrošinot tā</w:t>
      </w:r>
      <w:r w:rsidR="00383D42">
        <w:rPr>
          <w:rFonts w:ascii="Times New Roman" w:hAnsi="Times New Roman"/>
          <w:bCs/>
          <w:sz w:val="28"/>
          <w:szCs w:val="28"/>
        </w:rPr>
        <w:t>s</w:t>
      </w:r>
      <w:r w:rsidRPr="003B7440">
        <w:rPr>
          <w:rFonts w:ascii="Times New Roman" w:hAnsi="Times New Roman"/>
          <w:bCs/>
          <w:sz w:val="28"/>
          <w:szCs w:val="28"/>
        </w:rPr>
        <w:t xml:space="preserve"> sadarbspēju gan ar Latvijas, gan Eiropas līmeņa risinājumiem, t</w:t>
      </w:r>
      <w:r w:rsidR="00703FB8">
        <w:rPr>
          <w:rFonts w:ascii="Times New Roman" w:hAnsi="Times New Roman"/>
          <w:bCs/>
          <w:sz w:val="28"/>
          <w:szCs w:val="28"/>
        </w:rPr>
        <w:t xml:space="preserve">ai </w:t>
      </w:r>
      <w:r w:rsidRPr="003B7440">
        <w:rPr>
          <w:rFonts w:ascii="Times New Roman" w:hAnsi="Times New Roman"/>
          <w:bCs/>
          <w:sz w:val="28"/>
          <w:szCs w:val="28"/>
        </w:rPr>
        <w:t>sk</w:t>
      </w:r>
      <w:r w:rsidR="00703FB8">
        <w:rPr>
          <w:rFonts w:ascii="Times New Roman" w:hAnsi="Times New Roman"/>
          <w:bCs/>
          <w:sz w:val="28"/>
          <w:szCs w:val="28"/>
        </w:rPr>
        <w:t>aitā</w:t>
      </w:r>
      <w:r w:rsidRPr="003B7440">
        <w:rPr>
          <w:rFonts w:ascii="Times New Roman" w:hAnsi="Times New Roman"/>
          <w:bCs/>
          <w:sz w:val="28"/>
          <w:szCs w:val="28"/>
        </w:rPr>
        <w:t xml:space="preserve"> ņemot vērā Eiropas Komisijas ISA programmas rekomendācijas. Potenciāla risinājumu publicēšana atkalizmantošanai citās Eiropas publiskajās administrācijās</w:t>
      </w:r>
      <w:r w:rsidRPr="003B7440">
        <w:rPr>
          <w:rStyle w:val="FootnoteReference"/>
          <w:rFonts w:ascii="Times New Roman" w:hAnsi="Times New Roman"/>
          <w:bCs/>
          <w:sz w:val="28"/>
          <w:szCs w:val="28"/>
        </w:rPr>
        <w:footnoteReference w:id="6"/>
      </w:r>
      <w:r w:rsidRPr="003B7440">
        <w:rPr>
          <w:rFonts w:ascii="Times New Roman" w:hAnsi="Times New Roman"/>
          <w:bCs/>
          <w:sz w:val="28"/>
          <w:szCs w:val="28"/>
        </w:rPr>
        <w:t>;</w:t>
      </w:r>
    </w:p>
    <w:p w14:paraId="36B4254B" w14:textId="77777777" w:rsidR="00015D87" w:rsidRPr="003B7440" w:rsidRDefault="00015D87" w:rsidP="00703FB8">
      <w:pPr>
        <w:pStyle w:val="ListParagraph"/>
        <w:numPr>
          <w:ilvl w:val="0"/>
          <w:numId w:val="26"/>
        </w:numPr>
        <w:tabs>
          <w:tab w:val="left" w:pos="675"/>
          <w:tab w:val="left" w:pos="1134"/>
        </w:tabs>
        <w:ind w:left="0" w:firstLine="709"/>
        <w:rPr>
          <w:rFonts w:ascii="Times New Roman" w:hAnsi="Times New Roman"/>
          <w:bCs/>
          <w:sz w:val="28"/>
          <w:szCs w:val="28"/>
        </w:rPr>
      </w:pPr>
      <w:r w:rsidRPr="003B7440">
        <w:rPr>
          <w:rFonts w:ascii="Times New Roman" w:hAnsi="Times New Roman"/>
          <w:bCs/>
          <w:sz w:val="28"/>
          <w:szCs w:val="28"/>
        </w:rPr>
        <w:t>tiek plānots dot iespēju arī pašvaldībām izmantot vienoto tīmekļvietņu platformu, Rīgas pilsētas pašvaldību</w:t>
      </w:r>
      <w:proofErr w:type="gramStart"/>
      <w:r w:rsidRPr="003B7440">
        <w:rPr>
          <w:rFonts w:ascii="Times New Roman" w:hAnsi="Times New Roman"/>
          <w:bCs/>
          <w:sz w:val="28"/>
          <w:szCs w:val="28"/>
        </w:rPr>
        <w:t xml:space="preserve"> iesaistot jau pilotprojektā</w:t>
      </w:r>
      <w:proofErr w:type="gramEnd"/>
      <w:r w:rsidRPr="003B7440">
        <w:rPr>
          <w:rFonts w:ascii="Times New Roman" w:hAnsi="Times New Roman"/>
          <w:bCs/>
          <w:sz w:val="28"/>
          <w:szCs w:val="28"/>
        </w:rPr>
        <w:t>;</w:t>
      </w:r>
    </w:p>
    <w:p w14:paraId="38078191" w14:textId="6C48C07F" w:rsidR="00015D87" w:rsidRPr="003B7440" w:rsidRDefault="00015D87" w:rsidP="00703FB8">
      <w:pPr>
        <w:pStyle w:val="ListParagraph"/>
        <w:numPr>
          <w:ilvl w:val="0"/>
          <w:numId w:val="26"/>
        </w:numPr>
        <w:tabs>
          <w:tab w:val="left" w:pos="675"/>
          <w:tab w:val="left" w:pos="1134"/>
        </w:tabs>
        <w:ind w:left="0" w:firstLine="709"/>
        <w:rPr>
          <w:rFonts w:ascii="Times New Roman" w:hAnsi="Times New Roman"/>
          <w:bCs/>
          <w:sz w:val="28"/>
          <w:szCs w:val="28"/>
        </w:rPr>
      </w:pPr>
      <w:r w:rsidRPr="003B7440">
        <w:rPr>
          <w:rFonts w:ascii="Times New Roman" w:hAnsi="Times New Roman"/>
          <w:bCs/>
          <w:sz w:val="28"/>
          <w:szCs w:val="28"/>
        </w:rPr>
        <w:t>tiek netieši veicināta publiskās pārvaldes rīcībā esošās informācijas izmantošana ārpus publiskā sektora, jo tīmekļvietņu vienotās platformas risinājumā ir jāparedz atvērtu datu kopu un metadatu publicēšanas iespēja</w:t>
      </w:r>
      <w:r w:rsidR="00703FB8">
        <w:rPr>
          <w:rFonts w:ascii="Times New Roman" w:hAnsi="Times New Roman"/>
          <w:bCs/>
          <w:sz w:val="28"/>
          <w:szCs w:val="28"/>
        </w:rPr>
        <w:t>,</w:t>
      </w:r>
      <w:r w:rsidRPr="003B7440">
        <w:rPr>
          <w:rFonts w:ascii="Times New Roman" w:hAnsi="Times New Roman"/>
          <w:bCs/>
          <w:sz w:val="28"/>
          <w:szCs w:val="28"/>
        </w:rPr>
        <w:t xml:space="preserve"> nodrošinot sasaisti ar </w:t>
      </w:r>
      <w:r w:rsidRPr="003B7440">
        <w:rPr>
          <w:rFonts w:ascii="Times New Roman" w:hAnsi="Times New Roman"/>
          <w:sz w:val="28"/>
          <w:szCs w:val="28"/>
        </w:rPr>
        <w:t>VARAM PIKTAPS izstrādājamo valsts centralizēto risinājumu – Datu publicēšanas platformu, kas ietver atvērto datu portālu</w:t>
      </w:r>
      <w:r w:rsidRPr="003B7440">
        <w:rPr>
          <w:rFonts w:ascii="Times New Roman" w:hAnsi="Times New Roman"/>
          <w:bCs/>
          <w:sz w:val="28"/>
          <w:szCs w:val="28"/>
        </w:rPr>
        <w:t xml:space="preserve"> (no tīmekļvietnēm tiks nodrošināta datu rasmošana un ievākšana atvērto datu portālā);</w:t>
      </w:r>
    </w:p>
    <w:p w14:paraId="130270EB" w14:textId="77777777" w:rsidR="00015D87" w:rsidRPr="003B7440" w:rsidRDefault="00015D87" w:rsidP="00703FB8">
      <w:pPr>
        <w:pStyle w:val="ListParagraph"/>
        <w:numPr>
          <w:ilvl w:val="0"/>
          <w:numId w:val="26"/>
        </w:numPr>
        <w:tabs>
          <w:tab w:val="left" w:pos="675"/>
          <w:tab w:val="left" w:pos="1134"/>
        </w:tabs>
        <w:ind w:left="0" w:firstLine="709"/>
        <w:rPr>
          <w:rFonts w:ascii="Times New Roman" w:hAnsi="Times New Roman"/>
          <w:bCs/>
          <w:sz w:val="28"/>
          <w:szCs w:val="28"/>
        </w:rPr>
      </w:pPr>
      <w:r w:rsidRPr="003B7440">
        <w:rPr>
          <w:rFonts w:ascii="Times New Roman" w:hAnsi="Times New Roman"/>
          <w:bCs/>
          <w:sz w:val="28"/>
          <w:szCs w:val="28"/>
        </w:rPr>
        <w:t xml:space="preserve"> tiks pilnveidoti publiskās pārvaldes atbalsta procesi, kas saistīti ar komunikāciju ar sabiedrību un publiskās pārvaldes tīmekļvietņu tehnisko uzturēšanu.</w:t>
      </w:r>
    </w:p>
    <w:p w14:paraId="534906E1" w14:textId="77777777" w:rsidR="00C730C1" w:rsidRPr="003B7440" w:rsidRDefault="00C730C1" w:rsidP="00150675">
      <w:pPr>
        <w:tabs>
          <w:tab w:val="left" w:pos="0"/>
        </w:tabs>
        <w:rPr>
          <w:rFonts w:ascii="Times New Roman" w:hAnsi="Times New Roman"/>
          <w:bCs/>
          <w:sz w:val="28"/>
          <w:szCs w:val="28"/>
        </w:rPr>
      </w:pPr>
    </w:p>
    <w:p w14:paraId="34A541A5" w14:textId="27EA44B7" w:rsidR="00256C5D" w:rsidRDefault="00256C5D" w:rsidP="00150675">
      <w:pPr>
        <w:suppressAutoHyphens/>
        <w:rPr>
          <w:rFonts w:ascii="Times New Roman" w:eastAsia="Times New Roman" w:hAnsi="Times New Roman"/>
          <w:sz w:val="24"/>
          <w:szCs w:val="24"/>
          <w:lang w:eastAsia="zh-CN"/>
        </w:rPr>
      </w:pPr>
    </w:p>
    <w:p w14:paraId="615AE8EF" w14:textId="77777777" w:rsidR="00150675" w:rsidRPr="003B7440" w:rsidRDefault="00150675" w:rsidP="00150675">
      <w:pPr>
        <w:suppressAutoHyphens/>
        <w:rPr>
          <w:rFonts w:ascii="Times New Roman" w:eastAsia="Times New Roman" w:hAnsi="Times New Roman"/>
          <w:sz w:val="24"/>
          <w:szCs w:val="24"/>
          <w:lang w:eastAsia="zh-CN"/>
        </w:rPr>
      </w:pPr>
    </w:p>
    <w:p w14:paraId="7D9F3D4C" w14:textId="77777777" w:rsidR="00150675" w:rsidRPr="00A860F7" w:rsidRDefault="00150675" w:rsidP="00150675">
      <w:pPr>
        <w:pStyle w:val="Body"/>
        <w:tabs>
          <w:tab w:val="left" w:pos="6237"/>
        </w:tabs>
        <w:spacing w:after="0" w:line="240" w:lineRule="auto"/>
        <w:ind w:firstLine="709"/>
        <w:jc w:val="both"/>
        <w:rPr>
          <w:rFonts w:ascii="Times New Roman" w:hAnsi="Times New Roman"/>
          <w:color w:val="auto"/>
          <w:sz w:val="28"/>
          <w:lang w:val="de-DE"/>
        </w:rPr>
      </w:pPr>
      <w:r w:rsidRPr="00A860F7">
        <w:rPr>
          <w:rFonts w:ascii="Times New Roman" w:hAnsi="Times New Roman"/>
          <w:color w:val="auto"/>
          <w:sz w:val="28"/>
          <w:lang w:val="de-DE"/>
        </w:rPr>
        <w:t xml:space="preserve">Vides aizsardzības un </w:t>
      </w:r>
    </w:p>
    <w:p w14:paraId="60FF8CCF" w14:textId="77777777" w:rsidR="00150675" w:rsidRDefault="00150675" w:rsidP="00150675">
      <w:pPr>
        <w:pStyle w:val="Body"/>
        <w:tabs>
          <w:tab w:val="left" w:pos="6521"/>
        </w:tabs>
        <w:spacing w:after="0" w:line="240" w:lineRule="auto"/>
        <w:ind w:firstLine="709"/>
        <w:jc w:val="both"/>
        <w:rPr>
          <w:rFonts w:ascii="Times New Roman" w:hAnsi="Times New Roman"/>
          <w:color w:val="auto"/>
          <w:sz w:val="28"/>
          <w:lang w:val="de-DE"/>
        </w:rPr>
      </w:pPr>
      <w:r w:rsidRPr="00A860F7">
        <w:rPr>
          <w:rFonts w:ascii="Times New Roman" w:hAnsi="Times New Roman"/>
          <w:color w:val="auto"/>
          <w:sz w:val="28"/>
          <w:lang w:val="de-DE"/>
        </w:rPr>
        <w:t>reģionālās attīstības ministr</w:t>
      </w:r>
      <w:r>
        <w:rPr>
          <w:rFonts w:ascii="Times New Roman" w:hAnsi="Times New Roman"/>
          <w:color w:val="auto"/>
          <w:sz w:val="28"/>
          <w:lang w:val="de-DE"/>
        </w:rPr>
        <w:t>a</w:t>
      </w:r>
    </w:p>
    <w:p w14:paraId="46C9D94F" w14:textId="77777777" w:rsidR="00150675" w:rsidRDefault="00150675" w:rsidP="00150675">
      <w:pPr>
        <w:pStyle w:val="Body"/>
        <w:tabs>
          <w:tab w:val="left" w:pos="6521"/>
        </w:tabs>
        <w:spacing w:after="0" w:line="240" w:lineRule="auto"/>
        <w:ind w:firstLine="709"/>
        <w:jc w:val="both"/>
        <w:rPr>
          <w:rFonts w:ascii="Times New Roman" w:hAnsi="Times New Roman"/>
          <w:color w:val="auto"/>
          <w:sz w:val="28"/>
          <w:lang w:val="de-DE"/>
        </w:rPr>
      </w:pPr>
      <w:r>
        <w:rPr>
          <w:rFonts w:ascii="Times New Roman" w:hAnsi="Times New Roman"/>
          <w:color w:val="auto"/>
          <w:sz w:val="28"/>
          <w:lang w:val="de-DE"/>
        </w:rPr>
        <w:t>pienākumu izpildītājs,</w:t>
      </w:r>
    </w:p>
    <w:p w14:paraId="48A28C0F" w14:textId="77777777" w:rsidR="00150675" w:rsidRDefault="00150675" w:rsidP="00150675">
      <w:pPr>
        <w:pStyle w:val="Body"/>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 xml:space="preserve">Ministru prezidenta biedrs, </w:t>
      </w:r>
    </w:p>
    <w:p w14:paraId="1EE3E58E" w14:textId="77777777" w:rsidR="00150675" w:rsidRPr="009E53E5" w:rsidRDefault="00150675" w:rsidP="00150675">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aizsardzības ministrs</w:t>
      </w:r>
      <w:r>
        <w:rPr>
          <w:rFonts w:ascii="Times New Roman" w:hAnsi="Times New Roman"/>
          <w:color w:val="auto"/>
          <w:sz w:val="28"/>
          <w:lang w:val="de-DE"/>
        </w:rPr>
        <w:tab/>
      </w:r>
      <w:r w:rsidRPr="00DE283C">
        <w:rPr>
          <w:rFonts w:ascii="Times New Roman" w:hAnsi="Times New Roman"/>
          <w:color w:val="auto"/>
          <w:sz w:val="28"/>
          <w:lang w:val="de-DE"/>
        </w:rPr>
        <w:t>A</w:t>
      </w:r>
      <w:r>
        <w:rPr>
          <w:rFonts w:ascii="Times New Roman" w:hAnsi="Times New Roman"/>
          <w:color w:val="auto"/>
          <w:sz w:val="28"/>
          <w:lang w:val="de-DE"/>
        </w:rPr>
        <w:t>. </w:t>
      </w:r>
      <w:r w:rsidRPr="00DE283C">
        <w:rPr>
          <w:rFonts w:ascii="Times New Roman" w:hAnsi="Times New Roman"/>
          <w:color w:val="auto"/>
          <w:sz w:val="28"/>
          <w:lang w:val="de-DE"/>
        </w:rPr>
        <w:t>Pabriks</w:t>
      </w:r>
    </w:p>
    <w:p w14:paraId="3FAB28D0" w14:textId="5B87A3AE" w:rsidR="00E9515F" w:rsidRPr="003B7440" w:rsidRDefault="00E9515F" w:rsidP="00150675">
      <w:pPr>
        <w:rPr>
          <w:rFonts w:ascii="Times New Roman" w:hAnsi="Times New Roman"/>
          <w:sz w:val="28"/>
          <w:szCs w:val="28"/>
        </w:rPr>
      </w:pPr>
    </w:p>
    <w:p w14:paraId="353E1488" w14:textId="77777777" w:rsidR="00E9515F" w:rsidRPr="003B7440" w:rsidRDefault="00E9515F" w:rsidP="00150675">
      <w:pPr>
        <w:tabs>
          <w:tab w:val="left" w:pos="6237"/>
        </w:tabs>
        <w:rPr>
          <w:rFonts w:ascii="Times New Roman" w:hAnsi="Times New Roman"/>
          <w:sz w:val="28"/>
          <w:szCs w:val="28"/>
        </w:rPr>
      </w:pPr>
    </w:p>
    <w:sectPr w:rsidR="00E9515F" w:rsidRPr="003B7440" w:rsidSect="00150675">
      <w:headerReference w:type="default" r:id="rId14"/>
      <w:footerReference w:type="default" r:id="rId15"/>
      <w:footerReference w:type="first" r:id="rId16"/>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E02FA" w14:textId="77777777" w:rsidR="007C2BE2" w:rsidRDefault="007C2BE2" w:rsidP="005D7588">
      <w:r>
        <w:separator/>
      </w:r>
    </w:p>
  </w:endnote>
  <w:endnote w:type="continuationSeparator" w:id="0">
    <w:p w14:paraId="157012E6" w14:textId="77777777" w:rsidR="007C2BE2" w:rsidRDefault="007C2BE2" w:rsidP="005D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293ED" w14:textId="3A6C6F5A" w:rsidR="00150675" w:rsidRPr="00150675" w:rsidRDefault="00150675">
    <w:pPr>
      <w:pStyle w:val="Footer"/>
      <w:rPr>
        <w:rFonts w:ascii="Times New Roman" w:hAnsi="Times New Roman"/>
        <w:sz w:val="16"/>
        <w:szCs w:val="16"/>
      </w:rPr>
    </w:pPr>
    <w:r w:rsidRPr="00962FE0">
      <w:rPr>
        <w:rFonts w:ascii="Times New Roman" w:hAnsi="Times New Roman"/>
        <w:sz w:val="16"/>
        <w:szCs w:val="16"/>
      </w:rPr>
      <w:t>R2315_0</w:t>
    </w:r>
    <w:r>
      <w:rPr>
        <w:rFonts w:ascii="Times New Roman" w:hAnsi="Times New Roman"/>
        <w:sz w:val="16"/>
        <w:szCs w:val="16"/>
      </w:rPr>
      <w:t>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8C72D" w14:textId="7A9441D9" w:rsidR="00150675" w:rsidRPr="00150675" w:rsidRDefault="00150675">
    <w:pPr>
      <w:pStyle w:val="Footer"/>
      <w:rPr>
        <w:rFonts w:ascii="Times New Roman" w:hAnsi="Times New Roman"/>
        <w:sz w:val="16"/>
        <w:szCs w:val="16"/>
      </w:rPr>
    </w:pPr>
    <w:r w:rsidRPr="00962FE0">
      <w:rPr>
        <w:rFonts w:ascii="Times New Roman" w:hAnsi="Times New Roman"/>
        <w:sz w:val="16"/>
        <w:szCs w:val="16"/>
      </w:rPr>
      <w:t>R2315_0</w:t>
    </w:r>
    <w:r>
      <w:rPr>
        <w:rFonts w:ascii="Times New Roman" w:hAnsi="Times New Roman"/>
        <w:sz w:val="16"/>
        <w:szCs w:val="16"/>
      </w:rPr>
      <w:t>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5497E" w14:textId="77777777" w:rsidR="007C2BE2" w:rsidRDefault="007C2BE2" w:rsidP="005D7588">
      <w:r>
        <w:separator/>
      </w:r>
    </w:p>
  </w:footnote>
  <w:footnote w:type="continuationSeparator" w:id="0">
    <w:p w14:paraId="062EAF79" w14:textId="77777777" w:rsidR="007C2BE2" w:rsidRDefault="007C2BE2" w:rsidP="005D7588">
      <w:r>
        <w:continuationSeparator/>
      </w:r>
    </w:p>
  </w:footnote>
  <w:footnote w:id="1">
    <w:p w14:paraId="5FB2A7A8" w14:textId="632C7F67" w:rsidR="00015D87" w:rsidRPr="005831E7" w:rsidRDefault="00015D87" w:rsidP="00015D87">
      <w:pPr>
        <w:pStyle w:val="FootnoteText"/>
        <w:rPr>
          <w:rFonts w:ascii="Times New Roman" w:hAnsi="Times New Roman"/>
        </w:rPr>
      </w:pPr>
      <w:r w:rsidRPr="005831E7">
        <w:rPr>
          <w:rStyle w:val="FootnoteReference"/>
          <w:rFonts w:ascii="Times New Roman" w:hAnsi="Times New Roman"/>
        </w:rPr>
        <w:footnoteRef/>
      </w:r>
      <w:r w:rsidRPr="005831E7">
        <w:rPr>
          <w:rFonts w:ascii="Times New Roman" w:hAnsi="Times New Roman"/>
        </w:rPr>
        <w:t xml:space="preserve"> Eiropas publisko administrāciju koplietošanai </w:t>
      </w:r>
      <w:r w:rsidR="005831E7" w:rsidRPr="005831E7">
        <w:rPr>
          <w:rFonts w:ascii="Times New Roman" w:hAnsi="Times New Roman"/>
          <w:bCs/>
        </w:rPr>
        <w:t>"</w:t>
      </w:r>
      <w:r w:rsidRPr="005831E7">
        <w:rPr>
          <w:rFonts w:ascii="Times New Roman" w:hAnsi="Times New Roman"/>
        </w:rPr>
        <w:t>atvērto</w:t>
      </w:r>
      <w:r w:rsidR="005831E7" w:rsidRPr="005831E7">
        <w:rPr>
          <w:rFonts w:ascii="Times New Roman" w:hAnsi="Times New Roman"/>
          <w:bCs/>
        </w:rPr>
        <w:t>"</w:t>
      </w:r>
      <w:r w:rsidRPr="005831E7">
        <w:rPr>
          <w:rFonts w:ascii="Times New Roman" w:hAnsi="Times New Roman"/>
        </w:rPr>
        <w:t xml:space="preserve"> risinājumu saraksts pieejams https://joinup.ec.europa.eu/interoperability/search</w:t>
      </w:r>
      <w:r w:rsidR="00703FB8">
        <w:rPr>
          <w:rFonts w:ascii="Times New Roman" w:hAnsi="Times New Roman"/>
        </w:rPr>
        <w:t>.</w:t>
      </w:r>
    </w:p>
  </w:footnote>
  <w:footnote w:id="2">
    <w:p w14:paraId="63D6D263" w14:textId="11F96B82" w:rsidR="00015D87" w:rsidRPr="00343CE3" w:rsidRDefault="00015D87" w:rsidP="00015D87">
      <w:pPr>
        <w:pStyle w:val="FootnoteText"/>
        <w:rPr>
          <w:rFonts w:ascii="Times New Roman" w:hAnsi="Times New Roman"/>
        </w:rPr>
      </w:pPr>
      <w:r w:rsidRPr="00343CE3">
        <w:rPr>
          <w:rStyle w:val="FootnoteReference"/>
          <w:rFonts w:ascii="Times New Roman" w:hAnsi="Times New Roman"/>
        </w:rPr>
        <w:footnoteRef/>
      </w:r>
      <w:r w:rsidRPr="00343CE3">
        <w:rPr>
          <w:rFonts w:ascii="Times New Roman" w:hAnsi="Times New Roman"/>
        </w:rPr>
        <w:t xml:space="preserve"> Informācijas sabiedrības attīstības pamatnostādnes 2014.–2020.</w:t>
      </w:r>
      <w:r w:rsidR="00566EBB">
        <w:rPr>
          <w:rFonts w:ascii="Times New Roman" w:hAnsi="Times New Roman"/>
        </w:rPr>
        <w:t> </w:t>
      </w:r>
      <w:r w:rsidRPr="00343CE3">
        <w:rPr>
          <w:rFonts w:ascii="Times New Roman" w:hAnsi="Times New Roman"/>
        </w:rPr>
        <w:t xml:space="preserve">gadam (apstiprinātas ar Ministru kabineta 2013. gada 14. oktobra rīkojumu Nr. 486.) </w:t>
      </w:r>
      <w:hyperlink r:id="rId1" w:history="1">
        <w:r w:rsidRPr="00343CE3">
          <w:rPr>
            <w:rStyle w:val="Hyperlink1"/>
            <w:rFonts w:ascii="Times New Roman" w:hAnsi="Times New Roman"/>
          </w:rPr>
          <w:t>http://bit.ly/2crN2Gr</w:t>
        </w:r>
      </w:hyperlink>
      <w:r w:rsidR="00703FB8">
        <w:rPr>
          <w:rFonts w:ascii="Times New Roman" w:hAnsi="Times New Roman"/>
        </w:rPr>
        <w:t>.</w:t>
      </w:r>
    </w:p>
    <w:p w14:paraId="4352118E" w14:textId="77777777" w:rsidR="00015D87" w:rsidRPr="00185370" w:rsidRDefault="00987910" w:rsidP="00015D87">
      <w:pPr>
        <w:pStyle w:val="FootnoteText"/>
        <w:rPr>
          <w:rFonts w:ascii="Times New Roman" w:hAnsi="Times New Roman"/>
        </w:rPr>
      </w:pPr>
      <w:hyperlink w:history="1"/>
    </w:p>
  </w:footnote>
  <w:footnote w:id="3">
    <w:p w14:paraId="3E785C83" w14:textId="024BDFD3" w:rsidR="00015D87" w:rsidRPr="004D4F2E" w:rsidRDefault="00015D87" w:rsidP="00015D87">
      <w:pPr>
        <w:pStyle w:val="FootnoteText"/>
        <w:rPr>
          <w:rFonts w:ascii="Times New Roman" w:hAnsi="Times New Roman"/>
        </w:rPr>
      </w:pPr>
      <w:r w:rsidRPr="004D4F2E">
        <w:rPr>
          <w:rStyle w:val="FootnoteReference"/>
          <w:rFonts w:ascii="Times New Roman" w:hAnsi="Times New Roman"/>
        </w:rPr>
        <w:footnoteRef/>
      </w:r>
      <w:r w:rsidRPr="004D4F2E">
        <w:rPr>
          <w:rFonts w:ascii="Times New Roman" w:hAnsi="Times New Roman"/>
        </w:rPr>
        <w:t xml:space="preserve"> Princips primāri attiecināms uz SPS tehnoloģisko risinājumu lietojumprogrammatūras līmenī, atsevišķiem komponentiem pieļaujama arī maksas programmatūras izmantošana (piemēram, datubāzu vadības sistēmai)</w:t>
      </w:r>
      <w:r w:rsidR="00703FB8">
        <w:rPr>
          <w:rFonts w:ascii="Times New Roman" w:hAnsi="Times New Roman"/>
        </w:rPr>
        <w:t>.</w:t>
      </w:r>
    </w:p>
  </w:footnote>
  <w:footnote w:id="4">
    <w:p w14:paraId="2A81E4F5" w14:textId="278DB455" w:rsidR="00015D87" w:rsidRPr="00185370" w:rsidRDefault="00015D87" w:rsidP="00015D87">
      <w:pPr>
        <w:pStyle w:val="FootnoteText"/>
        <w:rPr>
          <w:rFonts w:ascii="Times New Roman" w:hAnsi="Times New Roman"/>
        </w:rPr>
      </w:pPr>
      <w:r w:rsidRPr="00185370">
        <w:rPr>
          <w:rStyle w:val="FootnoteReference"/>
          <w:rFonts w:ascii="Times New Roman" w:hAnsi="Times New Roman"/>
        </w:rPr>
        <w:footnoteRef/>
      </w:r>
      <w:r w:rsidRPr="00185370">
        <w:rPr>
          <w:rFonts w:ascii="Times New Roman" w:hAnsi="Times New Roman"/>
        </w:rPr>
        <w:t xml:space="preserve"> Projekta tvērums ir veidots, balstoties uz apsvērumiem, kas detalizēti izklāstīti sadaļā </w:t>
      </w:r>
      <w:r w:rsidR="00C8014E" w:rsidRPr="00C8014E">
        <w:rPr>
          <w:rFonts w:ascii="Times New Roman" w:hAnsi="Times New Roman"/>
          <w:bCs/>
        </w:rPr>
        <w:t>"</w:t>
      </w:r>
      <w:r w:rsidRPr="00185370">
        <w:rPr>
          <w:rFonts w:ascii="Times New Roman" w:hAnsi="Times New Roman"/>
        </w:rPr>
        <w:t xml:space="preserve">3.1. </w:t>
      </w:r>
      <w:r>
        <w:rPr>
          <w:rFonts w:ascii="Times New Roman" w:hAnsi="Times New Roman"/>
        </w:rPr>
        <w:t>TVP</w:t>
      </w:r>
      <w:r w:rsidRPr="00185370">
        <w:rPr>
          <w:rFonts w:ascii="Times New Roman" w:hAnsi="Times New Roman"/>
        </w:rPr>
        <w:t xml:space="preserve"> aptverto valsts un pašvaldības iestāžu saraksts</w:t>
      </w:r>
      <w:r w:rsidR="00C8014E" w:rsidRPr="00C8014E">
        <w:rPr>
          <w:rFonts w:ascii="Times New Roman" w:hAnsi="Times New Roman"/>
          <w:bCs/>
        </w:rPr>
        <w:t>"</w:t>
      </w:r>
      <w:r w:rsidR="00703FB8">
        <w:rPr>
          <w:rFonts w:ascii="Times New Roman" w:hAnsi="Times New Roman"/>
          <w:bCs/>
        </w:rPr>
        <w:t>.</w:t>
      </w:r>
    </w:p>
  </w:footnote>
  <w:footnote w:id="5">
    <w:p w14:paraId="54395CE6" w14:textId="08E6F0DA" w:rsidR="00015D87" w:rsidRPr="00185370" w:rsidRDefault="00015D87" w:rsidP="00015D87">
      <w:pPr>
        <w:pStyle w:val="FootnoteText"/>
        <w:rPr>
          <w:rFonts w:ascii="Times New Roman" w:hAnsi="Times New Roman"/>
        </w:rPr>
      </w:pPr>
      <w:r w:rsidRPr="00185370">
        <w:rPr>
          <w:rStyle w:val="FootnoteReference"/>
          <w:rFonts w:ascii="Times New Roman" w:hAnsi="Times New Roman"/>
        </w:rPr>
        <w:footnoteRef/>
      </w:r>
      <w:r w:rsidRPr="00185370">
        <w:rPr>
          <w:rFonts w:ascii="Times New Roman" w:hAnsi="Times New Roman"/>
        </w:rPr>
        <w:t xml:space="preserve"> </w:t>
      </w:r>
      <w:proofErr w:type="gramStart"/>
      <w:r w:rsidRPr="00185370">
        <w:rPr>
          <w:rFonts w:ascii="Times New Roman" w:hAnsi="Times New Roman"/>
        </w:rPr>
        <w:t xml:space="preserve">Detalizēto izmaksu un ieguvumu analīzi (finanšu analīzi un ekonomisko analīzi) </w:t>
      </w:r>
      <w:r w:rsidR="000610B7" w:rsidRPr="00185370">
        <w:rPr>
          <w:rFonts w:ascii="Times New Roman" w:hAnsi="Times New Roman"/>
        </w:rPr>
        <w:t>saskaņā ar Ministru kabineta 2015.</w:t>
      </w:r>
      <w:r w:rsidR="000610B7">
        <w:rPr>
          <w:rFonts w:ascii="Times New Roman" w:hAnsi="Times New Roman"/>
        </w:rPr>
        <w:t> </w:t>
      </w:r>
      <w:r w:rsidR="000610B7" w:rsidRPr="00185370">
        <w:rPr>
          <w:rFonts w:ascii="Times New Roman" w:hAnsi="Times New Roman"/>
        </w:rPr>
        <w:t>gada 17.</w:t>
      </w:r>
      <w:r w:rsidR="000610B7">
        <w:rPr>
          <w:rFonts w:ascii="Times New Roman" w:hAnsi="Times New Roman"/>
        </w:rPr>
        <w:t> </w:t>
      </w:r>
      <w:r w:rsidR="000610B7" w:rsidRPr="00185370">
        <w:rPr>
          <w:rFonts w:ascii="Times New Roman" w:hAnsi="Times New Roman"/>
        </w:rPr>
        <w:t>novembra noteikumu Nr.</w:t>
      </w:r>
      <w:r w:rsidR="000610B7">
        <w:rPr>
          <w:rFonts w:ascii="Times New Roman" w:hAnsi="Times New Roman"/>
        </w:rPr>
        <w:t> </w:t>
      </w:r>
      <w:r w:rsidR="000610B7" w:rsidRPr="00185370">
        <w:rPr>
          <w:rFonts w:ascii="Times New Roman" w:hAnsi="Times New Roman"/>
        </w:rPr>
        <w:t>653 15.</w:t>
      </w:r>
      <w:r w:rsidR="000610B7">
        <w:rPr>
          <w:rFonts w:ascii="Times New Roman" w:hAnsi="Times New Roman"/>
        </w:rPr>
        <w:t> </w:t>
      </w:r>
      <w:r w:rsidR="000610B7" w:rsidRPr="00185370">
        <w:rPr>
          <w:rFonts w:ascii="Times New Roman" w:hAnsi="Times New Roman"/>
        </w:rPr>
        <w:t>punktu</w:t>
      </w:r>
      <w:proofErr w:type="gramEnd"/>
      <w:r w:rsidR="000610B7" w:rsidRPr="00185370">
        <w:rPr>
          <w:rFonts w:ascii="Times New Roman" w:hAnsi="Times New Roman"/>
        </w:rPr>
        <w:t xml:space="preserve"> </w:t>
      </w:r>
      <w:r w:rsidRPr="00185370">
        <w:rPr>
          <w:rFonts w:ascii="Times New Roman" w:hAnsi="Times New Roman"/>
        </w:rPr>
        <w:t>jāpievieno projekta iesniegumam iesniegšanai Centrāl</w:t>
      </w:r>
      <w:r w:rsidR="000610B7">
        <w:rPr>
          <w:rFonts w:ascii="Times New Roman" w:hAnsi="Times New Roman"/>
        </w:rPr>
        <w:t>ajai</w:t>
      </w:r>
      <w:r w:rsidRPr="00185370">
        <w:rPr>
          <w:rFonts w:ascii="Times New Roman" w:hAnsi="Times New Roman"/>
        </w:rPr>
        <w:t xml:space="preserve"> finanšu un līgumu aģentūrai, ņemot vērā CBA </w:t>
      </w:r>
      <w:r w:rsidRPr="00703FB8">
        <w:rPr>
          <w:rFonts w:ascii="Times New Roman" w:hAnsi="Times New Roman"/>
          <w:iCs/>
        </w:rPr>
        <w:t>(</w:t>
      </w:r>
      <w:r w:rsidRPr="00185370">
        <w:rPr>
          <w:rFonts w:ascii="Times New Roman" w:hAnsi="Times New Roman"/>
          <w:i/>
        </w:rPr>
        <w:t>cost benefit analysis</w:t>
      </w:r>
      <w:r w:rsidRPr="00185370">
        <w:rPr>
          <w:rFonts w:ascii="Times New Roman" w:hAnsi="Times New Roman"/>
        </w:rPr>
        <w:t>) vadlīnijas</w:t>
      </w:r>
      <w:r w:rsidR="000610B7">
        <w:rPr>
          <w:rFonts w:ascii="Times New Roman" w:hAnsi="Times New Roman"/>
        </w:rPr>
        <w:t>.</w:t>
      </w:r>
    </w:p>
  </w:footnote>
  <w:footnote w:id="6">
    <w:p w14:paraId="37ADD1DA" w14:textId="040AD9A7" w:rsidR="00015D87" w:rsidRPr="00703FB8" w:rsidRDefault="00015D87" w:rsidP="00015D87">
      <w:pPr>
        <w:pStyle w:val="FootnoteText"/>
        <w:rPr>
          <w:rFonts w:ascii="Times New Roman" w:hAnsi="Times New Roman"/>
        </w:rPr>
      </w:pPr>
      <w:r w:rsidRPr="00703FB8">
        <w:rPr>
          <w:rStyle w:val="FootnoteReference"/>
          <w:rFonts w:ascii="Times New Roman" w:hAnsi="Times New Roman"/>
        </w:rPr>
        <w:footnoteRef/>
      </w:r>
      <w:r w:rsidR="00703FB8">
        <w:rPr>
          <w:rFonts w:ascii="Times New Roman" w:hAnsi="Times New Roman"/>
        </w:rPr>
        <w:t> </w:t>
      </w:r>
      <w:r w:rsidRPr="00703FB8">
        <w:rPr>
          <w:rFonts w:ascii="Times New Roman" w:hAnsi="Times New Roman"/>
        </w:rPr>
        <w:t xml:space="preserve">Eiropas publisko administrāciju koplietošanai </w:t>
      </w:r>
      <w:r w:rsidR="00703FB8" w:rsidRPr="00C8014E">
        <w:rPr>
          <w:rFonts w:ascii="Times New Roman" w:hAnsi="Times New Roman"/>
          <w:bCs/>
        </w:rPr>
        <w:t>"</w:t>
      </w:r>
      <w:r w:rsidRPr="00703FB8">
        <w:rPr>
          <w:rFonts w:ascii="Times New Roman" w:hAnsi="Times New Roman"/>
        </w:rPr>
        <w:t>atvērto</w:t>
      </w:r>
      <w:r w:rsidR="00703FB8" w:rsidRPr="00C8014E">
        <w:rPr>
          <w:rFonts w:ascii="Times New Roman" w:hAnsi="Times New Roman"/>
          <w:bCs/>
        </w:rPr>
        <w:t>"</w:t>
      </w:r>
      <w:r w:rsidRPr="00703FB8">
        <w:rPr>
          <w:rFonts w:ascii="Times New Roman" w:hAnsi="Times New Roman"/>
        </w:rPr>
        <w:t xml:space="preserve"> risinājumu saraksts pieejams https://joinup.ec.europa.eu/interoperability/search</w:t>
      </w:r>
      <w:r w:rsidR="00703FB8">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2660782"/>
      <w:docPartObj>
        <w:docPartGallery w:val="Page Numbers (Top of Page)"/>
        <w:docPartUnique/>
      </w:docPartObj>
    </w:sdtPr>
    <w:sdtEndPr>
      <w:rPr>
        <w:rFonts w:ascii="Times New Roman" w:hAnsi="Times New Roman"/>
        <w:noProof/>
        <w:sz w:val="24"/>
        <w:szCs w:val="24"/>
      </w:rPr>
    </w:sdtEndPr>
    <w:sdtContent>
      <w:p w14:paraId="05A871FF" w14:textId="4D8BC94F" w:rsidR="00E623D5" w:rsidRPr="00A33B53" w:rsidRDefault="00E623D5">
        <w:pPr>
          <w:pStyle w:val="Header"/>
          <w:jc w:val="center"/>
          <w:rPr>
            <w:rFonts w:ascii="Times New Roman" w:hAnsi="Times New Roman"/>
            <w:sz w:val="24"/>
            <w:szCs w:val="24"/>
          </w:rPr>
        </w:pPr>
        <w:r w:rsidRPr="00A33B53">
          <w:rPr>
            <w:rFonts w:ascii="Times New Roman" w:hAnsi="Times New Roman"/>
            <w:sz w:val="24"/>
            <w:szCs w:val="24"/>
          </w:rPr>
          <w:fldChar w:fldCharType="begin"/>
        </w:r>
        <w:r w:rsidRPr="00A33B53">
          <w:rPr>
            <w:rFonts w:ascii="Times New Roman" w:hAnsi="Times New Roman"/>
            <w:sz w:val="24"/>
            <w:szCs w:val="24"/>
          </w:rPr>
          <w:instrText xml:space="preserve"> PAGE   \* MERGEFORMAT </w:instrText>
        </w:r>
        <w:r w:rsidRPr="00A33B53">
          <w:rPr>
            <w:rFonts w:ascii="Times New Roman" w:hAnsi="Times New Roman"/>
            <w:sz w:val="24"/>
            <w:szCs w:val="24"/>
          </w:rPr>
          <w:fldChar w:fldCharType="separate"/>
        </w:r>
        <w:r w:rsidR="00C47939" w:rsidRPr="00A33B53">
          <w:rPr>
            <w:rFonts w:ascii="Times New Roman" w:hAnsi="Times New Roman"/>
            <w:noProof/>
            <w:sz w:val="24"/>
            <w:szCs w:val="24"/>
          </w:rPr>
          <w:t>4</w:t>
        </w:r>
        <w:r w:rsidRPr="00A33B53">
          <w:rPr>
            <w:rFonts w:ascii="Times New Roman" w:hAnsi="Times New Roman"/>
            <w:noProof/>
            <w:sz w:val="24"/>
            <w:szCs w:val="24"/>
          </w:rPr>
          <w:fldChar w:fldCharType="end"/>
        </w:r>
      </w:p>
    </w:sdtContent>
  </w:sdt>
  <w:p w14:paraId="417AAB77" w14:textId="77777777" w:rsidR="00E623D5" w:rsidRPr="00A33B53" w:rsidRDefault="00E623D5">
    <w:pPr>
      <w:pStyle w:val="Head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A1571"/>
    <w:multiLevelType w:val="hybridMultilevel"/>
    <w:tmpl w:val="8A568E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F14A9B"/>
    <w:multiLevelType w:val="hybridMultilevel"/>
    <w:tmpl w:val="B204ED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9D569BF"/>
    <w:multiLevelType w:val="hybridMultilevel"/>
    <w:tmpl w:val="42F2BC4A"/>
    <w:lvl w:ilvl="0" w:tplc="7CC2B74E">
      <w:numFmt w:val="bullet"/>
      <w:lvlText w:val="-"/>
      <w:lvlJc w:val="left"/>
      <w:pPr>
        <w:ind w:left="1440" w:hanging="360"/>
      </w:pPr>
      <w:rPr>
        <w:rFonts w:ascii="Calibri" w:eastAsia="Times New Roman" w:hAnsi="Calibri"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0D9B35E5"/>
    <w:multiLevelType w:val="hybridMultilevel"/>
    <w:tmpl w:val="A4C0045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10BE7083"/>
    <w:multiLevelType w:val="hybridMultilevel"/>
    <w:tmpl w:val="5966F3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9F74DB1"/>
    <w:multiLevelType w:val="hybridMultilevel"/>
    <w:tmpl w:val="154C52B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006499B"/>
    <w:multiLevelType w:val="hybridMultilevel"/>
    <w:tmpl w:val="02281D4C"/>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0CB557D"/>
    <w:multiLevelType w:val="hybridMultilevel"/>
    <w:tmpl w:val="A1BAF47E"/>
    <w:lvl w:ilvl="0" w:tplc="FD264508">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BB3B76"/>
    <w:multiLevelType w:val="hybridMultilevel"/>
    <w:tmpl w:val="A79A31DC"/>
    <w:lvl w:ilvl="0" w:tplc="08090017">
      <w:start w:val="1"/>
      <w:numFmt w:val="lowerLetter"/>
      <w:lvlText w:val="%1)"/>
      <w:lvlJc w:val="left"/>
      <w:pPr>
        <w:ind w:left="788" w:hanging="360"/>
      </w:pPr>
      <w:rPr>
        <w:rFonts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9" w15:restartNumberingAfterBreak="0">
    <w:nsid w:val="21C4194F"/>
    <w:multiLevelType w:val="hybridMultilevel"/>
    <w:tmpl w:val="66E4B2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225169E"/>
    <w:multiLevelType w:val="hybridMultilevel"/>
    <w:tmpl w:val="E0B4FDF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28951F81"/>
    <w:multiLevelType w:val="multilevel"/>
    <w:tmpl w:val="A7FAC2DE"/>
    <w:lvl w:ilvl="0">
      <w:start w:val="1"/>
      <w:numFmt w:val="decimal"/>
      <w:pStyle w:val="VPNumbered"/>
      <w:lvlText w:val="%1."/>
      <w:lvlJc w:val="left"/>
      <w:pPr>
        <w:tabs>
          <w:tab w:val="num" w:pos="964"/>
        </w:tabs>
        <w:ind w:left="964" w:hanging="397"/>
      </w:pPr>
      <w:rPr>
        <w:rFonts w:hint="default"/>
      </w:rPr>
    </w:lvl>
    <w:lvl w:ilvl="1">
      <w:start w:val="1"/>
      <w:numFmt w:val="decimal"/>
      <w:lvlText w:val="%1.%2."/>
      <w:lvlJc w:val="left"/>
      <w:pPr>
        <w:tabs>
          <w:tab w:val="num" w:pos="1701"/>
        </w:tabs>
        <w:ind w:left="1701" w:hanging="567"/>
      </w:pPr>
      <w:rPr>
        <w:rFonts w:hint="default"/>
      </w:rPr>
    </w:lvl>
    <w:lvl w:ilvl="2">
      <w:start w:val="1"/>
      <w:numFmt w:val="decimal"/>
      <w:lvlText w:val="%1.%2.%3."/>
      <w:lvlJc w:val="left"/>
      <w:pPr>
        <w:tabs>
          <w:tab w:val="num" w:pos="2268"/>
        </w:tabs>
        <w:ind w:left="1701"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A640646"/>
    <w:multiLevelType w:val="hybridMultilevel"/>
    <w:tmpl w:val="DAF6C1A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2C57340C"/>
    <w:multiLevelType w:val="multilevel"/>
    <w:tmpl w:val="0426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4" w15:restartNumberingAfterBreak="0">
    <w:nsid w:val="3BEC14A2"/>
    <w:multiLevelType w:val="hybridMultilevel"/>
    <w:tmpl w:val="648011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4AF2B8C"/>
    <w:multiLevelType w:val="hybridMultilevel"/>
    <w:tmpl w:val="CE3A2CDE"/>
    <w:lvl w:ilvl="0" w:tplc="0809000F">
      <w:start w:val="1"/>
      <w:numFmt w:val="decimal"/>
      <w:lvlText w:val="%1."/>
      <w:lvlJc w:val="left"/>
      <w:pPr>
        <w:ind w:left="1004" w:hanging="72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6" w15:restartNumberingAfterBreak="0">
    <w:nsid w:val="485524A2"/>
    <w:multiLevelType w:val="hybridMultilevel"/>
    <w:tmpl w:val="120497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ABF3AA8"/>
    <w:multiLevelType w:val="hybridMultilevel"/>
    <w:tmpl w:val="F66E92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F111780"/>
    <w:multiLevelType w:val="hybridMultilevel"/>
    <w:tmpl w:val="EBE8A976"/>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EF31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BD429E1"/>
    <w:multiLevelType w:val="hybridMultilevel"/>
    <w:tmpl w:val="E6DC4634"/>
    <w:lvl w:ilvl="0" w:tplc="C1406EB8">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2121011"/>
    <w:multiLevelType w:val="hybridMultilevel"/>
    <w:tmpl w:val="39A2514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8DD3C4A"/>
    <w:multiLevelType w:val="multilevel"/>
    <w:tmpl w:val="0426001F"/>
    <w:lvl w:ilvl="0">
      <w:start w:val="1"/>
      <w:numFmt w:val="decimal"/>
      <w:lvlText w:val="%1."/>
      <w:lvlJc w:val="left"/>
      <w:pPr>
        <w:ind w:left="1080" w:hanging="360"/>
      </w:pPr>
    </w:lvl>
    <w:lvl w:ilvl="1">
      <w:start w:val="1"/>
      <w:numFmt w:val="decimal"/>
      <w:lvlText w:val="%1.%2."/>
      <w:lvlJc w:val="left"/>
      <w:pPr>
        <w:ind w:left="1850"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3" w15:restartNumberingAfterBreak="0">
    <w:nsid w:val="6ACE3025"/>
    <w:multiLevelType w:val="hybridMultilevel"/>
    <w:tmpl w:val="8F5E7B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BB55622"/>
    <w:multiLevelType w:val="hybridMultilevel"/>
    <w:tmpl w:val="3200B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9E5088"/>
    <w:multiLevelType w:val="hybridMultilevel"/>
    <w:tmpl w:val="4A82B5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6CD6B40"/>
    <w:multiLevelType w:val="hybridMultilevel"/>
    <w:tmpl w:val="DA4AD0B8"/>
    <w:lvl w:ilvl="0" w:tplc="7CC2B74E">
      <w:numFmt w:val="bullet"/>
      <w:lvlText w:val="-"/>
      <w:lvlJc w:val="left"/>
      <w:pPr>
        <w:ind w:left="360" w:hanging="360"/>
      </w:pPr>
      <w:rPr>
        <w:rFonts w:ascii="Calibri" w:eastAsia="Times New Roman" w:hAnsi="Calibri"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7" w15:restartNumberingAfterBreak="0">
    <w:nsid w:val="79F7393D"/>
    <w:multiLevelType w:val="hybridMultilevel"/>
    <w:tmpl w:val="41BAE554"/>
    <w:lvl w:ilvl="0" w:tplc="7CC2B74E">
      <w:numFmt w:val="bullet"/>
      <w:lvlText w:val="-"/>
      <w:lvlJc w:val="left"/>
      <w:pPr>
        <w:ind w:left="360" w:hanging="360"/>
      </w:pPr>
      <w:rPr>
        <w:rFonts w:ascii="Calibri" w:eastAsia="Times New Roman" w:hAnsi="Calibri"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11"/>
    <w:lvlOverride w:ilvl="0">
      <w:lvl w:ilvl="0">
        <w:start w:val="1"/>
        <w:numFmt w:val="decimal"/>
        <w:pStyle w:val="VPNumbered"/>
        <w:lvlText w:val="%1."/>
        <w:lvlJc w:val="left"/>
        <w:pPr>
          <w:ind w:left="1170" w:hanging="360"/>
        </w:pPr>
        <w:rPr>
          <w:rFonts w:hint="default"/>
        </w:rPr>
      </w:lvl>
    </w:lvlOverride>
    <w:lvlOverride w:ilvl="1">
      <w:lvl w:ilvl="1">
        <w:start w:val="1"/>
        <w:numFmt w:val="lowerLetter"/>
        <w:lvlText w:val="%2."/>
        <w:lvlJc w:val="left"/>
        <w:pPr>
          <w:ind w:left="1647" w:hanging="360"/>
        </w:pPr>
        <w:rPr>
          <w:rFonts w:hint="default"/>
        </w:rPr>
      </w:lvl>
    </w:lvlOverride>
    <w:lvlOverride w:ilvl="2">
      <w:lvl w:ilvl="2">
        <w:start w:val="1"/>
        <w:numFmt w:val="lowerRoman"/>
        <w:lvlText w:val="%3."/>
        <w:lvlJc w:val="right"/>
        <w:pPr>
          <w:ind w:left="2367" w:hanging="180"/>
        </w:pPr>
        <w:rPr>
          <w:rFonts w:hint="default"/>
        </w:rPr>
      </w:lvl>
    </w:lvlOverride>
    <w:lvlOverride w:ilvl="3">
      <w:lvl w:ilvl="3">
        <w:start w:val="1"/>
        <w:numFmt w:val="decimal"/>
        <w:lvlText w:val="%4."/>
        <w:lvlJc w:val="left"/>
        <w:pPr>
          <w:ind w:left="3087" w:hanging="360"/>
        </w:pPr>
        <w:rPr>
          <w:rFonts w:hint="default"/>
        </w:rPr>
      </w:lvl>
    </w:lvlOverride>
    <w:lvlOverride w:ilvl="4">
      <w:lvl w:ilvl="4">
        <w:start w:val="1"/>
        <w:numFmt w:val="lowerLetter"/>
        <w:lvlText w:val="%5."/>
        <w:lvlJc w:val="left"/>
        <w:pPr>
          <w:ind w:left="3807" w:hanging="360"/>
        </w:pPr>
        <w:rPr>
          <w:rFonts w:hint="default"/>
        </w:rPr>
      </w:lvl>
    </w:lvlOverride>
    <w:lvlOverride w:ilvl="5">
      <w:lvl w:ilvl="5">
        <w:start w:val="1"/>
        <w:numFmt w:val="lowerRoman"/>
        <w:lvlText w:val="%6."/>
        <w:lvlJc w:val="right"/>
        <w:pPr>
          <w:ind w:left="4527" w:hanging="180"/>
        </w:pPr>
        <w:rPr>
          <w:rFonts w:hint="default"/>
        </w:rPr>
      </w:lvl>
    </w:lvlOverride>
    <w:lvlOverride w:ilvl="6">
      <w:lvl w:ilvl="6">
        <w:start w:val="1"/>
        <w:numFmt w:val="decimal"/>
        <w:lvlText w:val="%7."/>
        <w:lvlJc w:val="left"/>
        <w:pPr>
          <w:ind w:left="5247" w:hanging="360"/>
        </w:pPr>
        <w:rPr>
          <w:rFonts w:hint="default"/>
        </w:rPr>
      </w:lvl>
    </w:lvlOverride>
    <w:lvlOverride w:ilvl="7">
      <w:lvl w:ilvl="7">
        <w:start w:val="1"/>
        <w:numFmt w:val="lowerLetter"/>
        <w:lvlText w:val="%8."/>
        <w:lvlJc w:val="left"/>
        <w:pPr>
          <w:ind w:left="5967" w:hanging="360"/>
        </w:pPr>
        <w:rPr>
          <w:rFonts w:hint="default"/>
        </w:rPr>
      </w:lvl>
    </w:lvlOverride>
    <w:lvlOverride w:ilvl="8">
      <w:lvl w:ilvl="8">
        <w:start w:val="1"/>
        <w:numFmt w:val="lowerRoman"/>
        <w:lvlText w:val="%9."/>
        <w:lvlJc w:val="right"/>
        <w:pPr>
          <w:ind w:left="6687" w:hanging="180"/>
        </w:pPr>
        <w:rPr>
          <w:rFonts w:hint="default"/>
        </w:rPr>
      </w:lvl>
    </w:lvlOverride>
  </w:num>
  <w:num w:numId="2">
    <w:abstractNumId w:val="11"/>
    <w:lvlOverride w:ilvl="0">
      <w:lvl w:ilvl="0">
        <w:start w:val="1"/>
        <w:numFmt w:val="decimal"/>
        <w:pStyle w:val="VPNumbered"/>
        <w:lvlText w:val="%1."/>
        <w:lvlJc w:val="left"/>
        <w:pPr>
          <w:tabs>
            <w:tab w:val="num" w:pos="1021"/>
          </w:tabs>
          <w:ind w:left="964" w:hanging="397"/>
        </w:pPr>
        <w:rPr>
          <w:rFonts w:hint="default"/>
        </w:rPr>
      </w:lvl>
    </w:lvlOverride>
    <w:lvlOverride w:ilvl="1">
      <w:lvl w:ilvl="1">
        <w:start w:val="1"/>
        <w:numFmt w:val="decimal"/>
        <w:lvlText w:val="%1.%2."/>
        <w:lvlJc w:val="left"/>
        <w:pPr>
          <w:tabs>
            <w:tab w:val="num" w:pos="1588"/>
          </w:tabs>
          <w:ind w:left="1588" w:hanging="454"/>
        </w:pPr>
        <w:rPr>
          <w:rFonts w:hint="default"/>
        </w:rPr>
      </w:lvl>
    </w:lvlOverride>
    <w:lvlOverride w:ilvl="2">
      <w:lvl w:ilvl="2">
        <w:start w:val="1"/>
        <w:numFmt w:val="decimal"/>
        <w:lvlText w:val="%1.%2.%3."/>
        <w:lvlJc w:val="left"/>
        <w:pPr>
          <w:tabs>
            <w:tab w:val="num" w:pos="2155"/>
          </w:tabs>
          <w:ind w:left="2155" w:hanging="45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25"/>
  </w:num>
  <w:num w:numId="4">
    <w:abstractNumId w:val="17"/>
  </w:num>
  <w:num w:numId="5">
    <w:abstractNumId w:val="14"/>
  </w:num>
  <w:num w:numId="6">
    <w:abstractNumId w:val="9"/>
  </w:num>
  <w:num w:numId="7">
    <w:abstractNumId w:val="16"/>
  </w:num>
  <w:num w:numId="8">
    <w:abstractNumId w:val="1"/>
  </w:num>
  <w:num w:numId="9">
    <w:abstractNumId w:val="23"/>
  </w:num>
  <w:num w:numId="10">
    <w:abstractNumId w:val="4"/>
  </w:num>
  <w:num w:numId="11">
    <w:abstractNumId w:val="26"/>
  </w:num>
  <w:num w:numId="12">
    <w:abstractNumId w:val="27"/>
  </w:num>
  <w:num w:numId="13">
    <w:abstractNumId w:val="6"/>
  </w:num>
  <w:num w:numId="14">
    <w:abstractNumId w:val="12"/>
  </w:num>
  <w:num w:numId="15">
    <w:abstractNumId w:val="20"/>
  </w:num>
  <w:num w:numId="16">
    <w:abstractNumId w:val="0"/>
  </w:num>
  <w:num w:numId="17">
    <w:abstractNumId w:val="15"/>
  </w:num>
  <w:num w:numId="18">
    <w:abstractNumId w:val="10"/>
  </w:num>
  <w:num w:numId="19">
    <w:abstractNumId w:val="5"/>
  </w:num>
  <w:num w:numId="20">
    <w:abstractNumId w:val="2"/>
  </w:num>
  <w:num w:numId="21">
    <w:abstractNumId w:val="3"/>
  </w:num>
  <w:num w:numId="22">
    <w:abstractNumId w:val="18"/>
  </w:num>
  <w:num w:numId="23">
    <w:abstractNumId w:val="22"/>
  </w:num>
  <w:num w:numId="24">
    <w:abstractNumId w:val="24"/>
  </w:num>
  <w:num w:numId="25">
    <w:abstractNumId w:val="13"/>
  </w:num>
  <w:num w:numId="26">
    <w:abstractNumId w:val="8"/>
  </w:num>
  <w:num w:numId="27">
    <w:abstractNumId w:val="21"/>
  </w:num>
  <w:num w:numId="28">
    <w:abstractNumId w:val="19"/>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588"/>
    <w:rsid w:val="00015D87"/>
    <w:rsid w:val="00043ABE"/>
    <w:rsid w:val="000610B7"/>
    <w:rsid w:val="000759E8"/>
    <w:rsid w:val="000B111C"/>
    <w:rsid w:val="000B670C"/>
    <w:rsid w:val="000B7F08"/>
    <w:rsid w:val="000D0DB1"/>
    <w:rsid w:val="001110F0"/>
    <w:rsid w:val="00136416"/>
    <w:rsid w:val="001458FC"/>
    <w:rsid w:val="00150675"/>
    <w:rsid w:val="00190F4C"/>
    <w:rsid w:val="001C3517"/>
    <w:rsid w:val="001F7B79"/>
    <w:rsid w:val="00204FC7"/>
    <w:rsid w:val="0023556F"/>
    <w:rsid w:val="00256C5D"/>
    <w:rsid w:val="00277708"/>
    <w:rsid w:val="00284DF9"/>
    <w:rsid w:val="002D695F"/>
    <w:rsid w:val="00324522"/>
    <w:rsid w:val="00343CE3"/>
    <w:rsid w:val="00367255"/>
    <w:rsid w:val="00383D42"/>
    <w:rsid w:val="003B7440"/>
    <w:rsid w:val="003C4920"/>
    <w:rsid w:val="00446917"/>
    <w:rsid w:val="004523A9"/>
    <w:rsid w:val="00452A9D"/>
    <w:rsid w:val="0046462D"/>
    <w:rsid w:val="004B0168"/>
    <w:rsid w:val="004B73C0"/>
    <w:rsid w:val="004C43B5"/>
    <w:rsid w:val="004D4F2E"/>
    <w:rsid w:val="004D582D"/>
    <w:rsid w:val="0052266E"/>
    <w:rsid w:val="00522876"/>
    <w:rsid w:val="00566EBB"/>
    <w:rsid w:val="005831E7"/>
    <w:rsid w:val="005D7588"/>
    <w:rsid w:val="00624D75"/>
    <w:rsid w:val="006A7958"/>
    <w:rsid w:val="00703FB8"/>
    <w:rsid w:val="007138D7"/>
    <w:rsid w:val="00716391"/>
    <w:rsid w:val="007408D1"/>
    <w:rsid w:val="007670F5"/>
    <w:rsid w:val="007A0B43"/>
    <w:rsid w:val="007B3B42"/>
    <w:rsid w:val="007C2BE2"/>
    <w:rsid w:val="007D38CF"/>
    <w:rsid w:val="007E0DB8"/>
    <w:rsid w:val="007F449E"/>
    <w:rsid w:val="00833767"/>
    <w:rsid w:val="0087047C"/>
    <w:rsid w:val="008A146B"/>
    <w:rsid w:val="008B47FF"/>
    <w:rsid w:val="008B7A36"/>
    <w:rsid w:val="00945695"/>
    <w:rsid w:val="009602CA"/>
    <w:rsid w:val="00987910"/>
    <w:rsid w:val="009B38D9"/>
    <w:rsid w:val="009B7F59"/>
    <w:rsid w:val="009C514E"/>
    <w:rsid w:val="009D0E21"/>
    <w:rsid w:val="009E0C40"/>
    <w:rsid w:val="00A33B53"/>
    <w:rsid w:val="00AA78EA"/>
    <w:rsid w:val="00AD7D94"/>
    <w:rsid w:val="00AE2393"/>
    <w:rsid w:val="00AF5540"/>
    <w:rsid w:val="00B10A60"/>
    <w:rsid w:val="00B25248"/>
    <w:rsid w:val="00B91DD7"/>
    <w:rsid w:val="00B9625B"/>
    <w:rsid w:val="00BA614B"/>
    <w:rsid w:val="00C305BE"/>
    <w:rsid w:val="00C47939"/>
    <w:rsid w:val="00C730C1"/>
    <w:rsid w:val="00C8014E"/>
    <w:rsid w:val="00C945C6"/>
    <w:rsid w:val="00CB2F2C"/>
    <w:rsid w:val="00CB487F"/>
    <w:rsid w:val="00D03DDC"/>
    <w:rsid w:val="00D0690F"/>
    <w:rsid w:val="00D45AB7"/>
    <w:rsid w:val="00D66141"/>
    <w:rsid w:val="00D804CB"/>
    <w:rsid w:val="00D86C1C"/>
    <w:rsid w:val="00DB17EB"/>
    <w:rsid w:val="00DC17C0"/>
    <w:rsid w:val="00DD2E68"/>
    <w:rsid w:val="00E00451"/>
    <w:rsid w:val="00E3041D"/>
    <w:rsid w:val="00E35D02"/>
    <w:rsid w:val="00E54D7C"/>
    <w:rsid w:val="00E623D5"/>
    <w:rsid w:val="00E9515F"/>
    <w:rsid w:val="00ED06C8"/>
    <w:rsid w:val="00F35564"/>
    <w:rsid w:val="00F61315"/>
    <w:rsid w:val="00FB3704"/>
    <w:rsid w:val="00FB6D05"/>
    <w:rsid w:val="00FC1DEB"/>
    <w:rsid w:val="00FD1EF5"/>
    <w:rsid w:val="00FF3A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839AE"/>
  <w15:chartTrackingRefBased/>
  <w15:docId w15:val="{597E4ECE-6CCE-4A75-BD92-AF27568EF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D7588"/>
    <w:pPr>
      <w:spacing w:after="0" w:line="240" w:lineRule="auto"/>
      <w:jc w:val="both"/>
    </w:pPr>
    <w:rPr>
      <w:rFonts w:ascii="Calibri" w:eastAsia="Calibri" w:hAnsi="Calibri" w:cs="Times New Roman"/>
    </w:rPr>
  </w:style>
  <w:style w:type="paragraph" w:styleId="Heading1">
    <w:name w:val="heading 1"/>
    <w:basedOn w:val="Normal"/>
    <w:next w:val="Normal"/>
    <w:link w:val="Heading1Char"/>
    <w:uiPriority w:val="9"/>
    <w:qFormat/>
    <w:rsid w:val="00015D8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uiPriority w:val="9"/>
    <w:unhideWhenUsed/>
    <w:qFormat/>
    <w:rsid w:val="00015D87"/>
    <w:pPr>
      <w:ind w:left="360" w:hanging="360"/>
      <w:jc w:val="center"/>
      <w:outlineLvl w:val="1"/>
    </w:pPr>
    <w:rPr>
      <w:rFonts w:ascii="Times New Roman" w:hAnsi="Times New Roman" w:cs="Times New Roman"/>
      <w:b/>
      <w:i/>
      <w:color w:val="auto"/>
      <w:sz w:val="28"/>
      <w:szCs w:val="28"/>
    </w:rPr>
  </w:style>
  <w:style w:type="paragraph" w:styleId="Heading3">
    <w:name w:val="heading 3"/>
    <w:basedOn w:val="Normal"/>
    <w:next w:val="Normal"/>
    <w:link w:val="Heading3Char"/>
    <w:qFormat/>
    <w:rsid w:val="00150675"/>
    <w:pPr>
      <w:keepNext/>
      <w:tabs>
        <w:tab w:val="num" w:pos="2340"/>
      </w:tabs>
      <w:ind w:left="360"/>
      <w:jc w:val="center"/>
      <w:outlineLvl w:val="2"/>
    </w:pPr>
    <w:rPr>
      <w:rFonts w:ascii="Times New Roman" w:eastAsia="Times New Roman" w:hAnsi="Times New Roman"/>
      <w:b/>
      <w:cap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D7588"/>
    <w:rPr>
      <w:sz w:val="16"/>
      <w:szCs w:val="16"/>
    </w:rPr>
  </w:style>
  <w:style w:type="paragraph" w:styleId="CommentText">
    <w:name w:val="annotation text"/>
    <w:basedOn w:val="Normal"/>
    <w:link w:val="CommentTextChar"/>
    <w:uiPriority w:val="99"/>
    <w:semiHidden/>
    <w:unhideWhenUsed/>
    <w:rsid w:val="005D7588"/>
    <w:rPr>
      <w:sz w:val="20"/>
      <w:szCs w:val="20"/>
    </w:rPr>
  </w:style>
  <w:style w:type="character" w:customStyle="1" w:styleId="CommentTextChar">
    <w:name w:val="Comment Text Char"/>
    <w:basedOn w:val="DefaultParagraphFont"/>
    <w:link w:val="CommentText"/>
    <w:uiPriority w:val="99"/>
    <w:semiHidden/>
    <w:rsid w:val="005D7588"/>
    <w:rPr>
      <w:rFonts w:ascii="Calibri" w:eastAsia="Calibri" w:hAnsi="Calibri" w:cs="Times New Roman"/>
      <w:sz w:val="20"/>
      <w:szCs w:val="20"/>
    </w:rPr>
  </w:style>
  <w:style w:type="character" w:styleId="Hyperlink">
    <w:name w:val="Hyperlink"/>
    <w:uiPriority w:val="99"/>
    <w:unhideWhenUsed/>
    <w:rsid w:val="005D7588"/>
    <w:rPr>
      <w:color w:val="0000FF"/>
      <w:u w:val="single"/>
    </w:rPr>
  </w:style>
  <w:style w:type="paragraph" w:styleId="FootnoteText">
    <w:name w:val="footnote text"/>
    <w:aliases w:val="Char10,Char1,Fußnotentext Char Char Char,Fußnotentext Char Char Char Char Char Char Char Char Char Char,Fußnotentext Char Char Char Char Char Char Char,Fußnotentext Char Char Char Char Char Char Char Char,Fußnote Char Char Char, Char10"/>
    <w:basedOn w:val="Normal"/>
    <w:link w:val="FootnoteTextChar"/>
    <w:unhideWhenUsed/>
    <w:rsid w:val="005D7588"/>
    <w:rPr>
      <w:sz w:val="20"/>
      <w:szCs w:val="20"/>
    </w:rPr>
  </w:style>
  <w:style w:type="character" w:customStyle="1" w:styleId="FootnoteTextChar">
    <w:name w:val="Footnote Text Char"/>
    <w:aliases w:val="Char10 Char,Char1 Char,Fußnotentext Char Char Char Char,Fußnotentext Char Char Char Char Char Char Char Char Char Char Char,Fußnotentext Char Char Char Char Char Char Char Char1,Fußnote Char Char Char Char, Char10 Char"/>
    <w:basedOn w:val="DefaultParagraphFont"/>
    <w:link w:val="FootnoteText"/>
    <w:rsid w:val="005D7588"/>
    <w:rPr>
      <w:rFonts w:ascii="Calibri" w:eastAsia="Calibri" w:hAnsi="Calibri" w:cs="Times New Roman"/>
      <w:sz w:val="20"/>
      <w:szCs w:val="20"/>
    </w:rPr>
  </w:style>
  <w:style w:type="table" w:customStyle="1" w:styleId="TableGrid1">
    <w:name w:val="Table Grid1"/>
    <w:basedOn w:val="TableNormal"/>
    <w:next w:val="TableGrid"/>
    <w:uiPriority w:val="99"/>
    <w:rsid w:val="005D7588"/>
    <w:pPr>
      <w:spacing w:before="8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r,Footnote symbol,Footnote Reference Number,SUPERS,Footnote Reference Superscript,Footnote Refernece,ftref,Odwołanie przypisu,BVI fnr,Footnotes refss,Ref,de nota al pie,-E Fußnotenzeichen,Footnote reference number,Times 10 Point,E"/>
    <w:basedOn w:val="DefaultParagraphFont"/>
    <w:link w:val="CharCharCharChar"/>
    <w:unhideWhenUsed/>
    <w:rsid w:val="005D7588"/>
    <w:rPr>
      <w:vertAlign w:val="superscript"/>
    </w:rPr>
  </w:style>
  <w:style w:type="paragraph" w:customStyle="1" w:styleId="VPNumbered">
    <w:name w:val="VP Numbered"/>
    <w:basedOn w:val="Normal"/>
    <w:qFormat/>
    <w:rsid w:val="005D7588"/>
    <w:pPr>
      <w:numPr>
        <w:numId w:val="1"/>
      </w:numPr>
      <w:tabs>
        <w:tab w:val="left" w:pos="0"/>
        <w:tab w:val="num" w:pos="1021"/>
      </w:tabs>
      <w:spacing w:before="80" w:after="80"/>
      <w:ind w:left="964" w:hanging="397"/>
    </w:pPr>
    <w:rPr>
      <w:rFonts w:ascii="Times New Roman" w:eastAsiaTheme="minorHAnsi" w:hAnsi="Times New Roman"/>
      <w:bCs/>
      <w:sz w:val="24"/>
      <w:szCs w:val="24"/>
    </w:rPr>
  </w:style>
  <w:style w:type="paragraph" w:customStyle="1" w:styleId="CharCharCharChar">
    <w:name w:val="Char Char Char Char"/>
    <w:aliases w:val="Char2"/>
    <w:basedOn w:val="Normal"/>
    <w:next w:val="Normal"/>
    <w:link w:val="FootnoteReference"/>
    <w:rsid w:val="005D7588"/>
    <w:pPr>
      <w:spacing w:after="160" w:line="240" w:lineRule="exact"/>
      <w:textAlignment w:val="baseline"/>
    </w:pPr>
    <w:rPr>
      <w:rFonts w:asciiTheme="minorHAnsi" w:eastAsiaTheme="minorHAnsi" w:hAnsiTheme="minorHAnsi" w:cstheme="minorBidi"/>
      <w:vertAlign w:val="superscript"/>
    </w:rPr>
  </w:style>
  <w:style w:type="table" w:styleId="TableGrid">
    <w:name w:val="Table Grid"/>
    <w:basedOn w:val="TableNormal"/>
    <w:uiPriority w:val="59"/>
    <w:rsid w:val="005D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75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588"/>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5D7588"/>
    <w:rPr>
      <w:b/>
      <w:bCs/>
    </w:rPr>
  </w:style>
  <w:style w:type="character" w:customStyle="1" w:styleId="CommentSubjectChar">
    <w:name w:val="Comment Subject Char"/>
    <w:basedOn w:val="CommentTextChar"/>
    <w:link w:val="CommentSubject"/>
    <w:uiPriority w:val="99"/>
    <w:semiHidden/>
    <w:rsid w:val="005D7588"/>
    <w:rPr>
      <w:rFonts w:ascii="Calibri" w:eastAsia="Calibri" w:hAnsi="Calibri" w:cs="Times New Roman"/>
      <w:b/>
      <w:bCs/>
      <w:sz w:val="20"/>
      <w:szCs w:val="20"/>
    </w:rPr>
  </w:style>
  <w:style w:type="paragraph" w:styleId="Header">
    <w:name w:val="header"/>
    <w:basedOn w:val="Normal"/>
    <w:link w:val="HeaderChar"/>
    <w:uiPriority w:val="99"/>
    <w:unhideWhenUsed/>
    <w:rsid w:val="00D66141"/>
    <w:pPr>
      <w:tabs>
        <w:tab w:val="center" w:pos="4153"/>
        <w:tab w:val="right" w:pos="8306"/>
      </w:tabs>
    </w:pPr>
  </w:style>
  <w:style w:type="character" w:customStyle="1" w:styleId="HeaderChar">
    <w:name w:val="Header Char"/>
    <w:basedOn w:val="DefaultParagraphFont"/>
    <w:link w:val="Header"/>
    <w:uiPriority w:val="99"/>
    <w:rsid w:val="00D66141"/>
    <w:rPr>
      <w:rFonts w:ascii="Calibri" w:eastAsia="Calibri" w:hAnsi="Calibri" w:cs="Times New Roman"/>
    </w:rPr>
  </w:style>
  <w:style w:type="paragraph" w:styleId="Footer">
    <w:name w:val="footer"/>
    <w:basedOn w:val="Normal"/>
    <w:link w:val="FooterChar"/>
    <w:uiPriority w:val="99"/>
    <w:unhideWhenUsed/>
    <w:rsid w:val="00D66141"/>
    <w:pPr>
      <w:tabs>
        <w:tab w:val="center" w:pos="4153"/>
        <w:tab w:val="right" w:pos="8306"/>
      </w:tabs>
    </w:pPr>
  </w:style>
  <w:style w:type="character" w:customStyle="1" w:styleId="FooterChar">
    <w:name w:val="Footer Char"/>
    <w:basedOn w:val="DefaultParagraphFont"/>
    <w:link w:val="Footer"/>
    <w:uiPriority w:val="99"/>
    <w:rsid w:val="00D66141"/>
    <w:rPr>
      <w:rFonts w:ascii="Calibri" w:eastAsia="Calibri" w:hAnsi="Calibri" w:cs="Times New Roman"/>
    </w:rPr>
  </w:style>
  <w:style w:type="paragraph" w:styleId="ListParagraph">
    <w:name w:val="List Paragraph"/>
    <w:aliases w:val="2"/>
    <w:basedOn w:val="Normal"/>
    <w:link w:val="ListParagraphChar"/>
    <w:uiPriority w:val="34"/>
    <w:qFormat/>
    <w:rsid w:val="007F449E"/>
    <w:pPr>
      <w:ind w:left="720"/>
      <w:contextualSpacing/>
    </w:pPr>
  </w:style>
  <w:style w:type="table" w:customStyle="1" w:styleId="TableGrid2">
    <w:name w:val="Table Grid2"/>
    <w:basedOn w:val="TableNormal"/>
    <w:next w:val="TableGrid"/>
    <w:uiPriority w:val="39"/>
    <w:rsid w:val="00C730C1"/>
    <w:pPr>
      <w:spacing w:before="8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15D87"/>
    <w:rPr>
      <w:rFonts w:ascii="Times New Roman" w:eastAsiaTheme="majorEastAsia" w:hAnsi="Times New Roman" w:cs="Times New Roman"/>
      <w:b/>
      <w:i/>
      <w:sz w:val="28"/>
      <w:szCs w:val="28"/>
    </w:rPr>
  </w:style>
  <w:style w:type="paragraph" w:customStyle="1" w:styleId="VPBody">
    <w:name w:val="VP Body"/>
    <w:basedOn w:val="Normal"/>
    <w:qFormat/>
    <w:rsid w:val="00015D87"/>
    <w:pPr>
      <w:tabs>
        <w:tab w:val="left" w:pos="0"/>
      </w:tabs>
      <w:spacing w:before="80" w:after="80"/>
    </w:pPr>
    <w:rPr>
      <w:rFonts w:ascii="Times New Roman" w:eastAsiaTheme="minorHAnsi" w:hAnsi="Times New Roman"/>
      <w:bCs/>
      <w:sz w:val="24"/>
    </w:rPr>
  </w:style>
  <w:style w:type="paragraph" w:customStyle="1" w:styleId="VPHeading2">
    <w:name w:val="VP Heading 2"/>
    <w:basedOn w:val="Heading2"/>
    <w:next w:val="VPBody"/>
    <w:link w:val="VPHeading2Char"/>
    <w:autoRedefine/>
    <w:qFormat/>
    <w:rsid w:val="00015D87"/>
    <w:pPr>
      <w:spacing w:before="160" w:after="120" w:line="259" w:lineRule="auto"/>
      <w:ind w:left="0" w:firstLine="0"/>
      <w:jc w:val="left"/>
      <w:outlineLvl w:val="9"/>
    </w:pPr>
    <w:rPr>
      <w:i w:val="0"/>
      <w:color w:val="000000" w:themeColor="text1"/>
    </w:rPr>
  </w:style>
  <w:style w:type="character" w:customStyle="1" w:styleId="VPHeading2Char">
    <w:name w:val="VP Heading 2 Char"/>
    <w:basedOn w:val="Heading2Char"/>
    <w:link w:val="VPHeading2"/>
    <w:rsid w:val="00015D87"/>
    <w:rPr>
      <w:rFonts w:ascii="Times New Roman" w:eastAsiaTheme="majorEastAsia" w:hAnsi="Times New Roman" w:cs="Times New Roman"/>
      <w:b/>
      <w:i w:val="0"/>
      <w:color w:val="000000" w:themeColor="text1"/>
      <w:sz w:val="28"/>
      <w:szCs w:val="28"/>
    </w:rPr>
  </w:style>
  <w:style w:type="character" w:customStyle="1" w:styleId="ListParagraphChar">
    <w:name w:val="List Paragraph Char"/>
    <w:aliases w:val="2 Char"/>
    <w:link w:val="ListParagraph"/>
    <w:uiPriority w:val="34"/>
    <w:rsid w:val="00015D87"/>
    <w:rPr>
      <w:rFonts w:ascii="Calibri" w:eastAsia="Calibri" w:hAnsi="Calibri" w:cs="Times New Roman"/>
    </w:rPr>
  </w:style>
  <w:style w:type="character" w:customStyle="1" w:styleId="Hyperlink1">
    <w:name w:val="Hyperlink1"/>
    <w:basedOn w:val="DefaultParagraphFont"/>
    <w:uiPriority w:val="99"/>
    <w:unhideWhenUsed/>
    <w:rsid w:val="00015D87"/>
    <w:rPr>
      <w:color w:val="0000FF"/>
      <w:u w:val="single"/>
    </w:rPr>
  </w:style>
  <w:style w:type="character" w:customStyle="1" w:styleId="Heading1Char">
    <w:name w:val="Heading 1 Char"/>
    <w:basedOn w:val="DefaultParagraphFont"/>
    <w:link w:val="Heading1"/>
    <w:uiPriority w:val="9"/>
    <w:rsid w:val="00015D8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rsid w:val="00150675"/>
    <w:rPr>
      <w:rFonts w:ascii="Times New Roman" w:eastAsia="Times New Roman" w:hAnsi="Times New Roman" w:cs="Times New Roman"/>
      <w:b/>
      <w:caps/>
      <w:sz w:val="26"/>
      <w:szCs w:val="26"/>
      <w:lang w:val="x-none" w:eastAsia="x-none"/>
    </w:rPr>
  </w:style>
  <w:style w:type="paragraph" w:styleId="List">
    <w:name w:val="List"/>
    <w:basedOn w:val="Normal"/>
    <w:semiHidden/>
    <w:rsid w:val="00150675"/>
    <w:pPr>
      <w:ind w:left="283" w:hanging="283"/>
      <w:jc w:val="left"/>
    </w:pPr>
    <w:rPr>
      <w:rFonts w:ascii="Times New Roman" w:eastAsia="Times New Roman" w:hAnsi="Times New Roman"/>
      <w:sz w:val="24"/>
      <w:szCs w:val="20"/>
      <w:lang w:val="en-AU"/>
    </w:rPr>
  </w:style>
  <w:style w:type="paragraph" w:customStyle="1" w:styleId="Body">
    <w:name w:val="Body"/>
    <w:rsid w:val="00150675"/>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079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ur-lex.europa.eu/eli/dir/2016/2102/oj/?locale=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ur-lex.europa.eu/eli/dir/2016/2102/oj/?locale=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eli/dir/2016/2102/oj/?locale=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bit.ly/2crN2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2718B298228960489F56F0419CFA614F" ma:contentTypeVersion="12" ma:contentTypeDescription="Izveidot jaunu dokumentu." ma:contentTypeScope="" ma:versionID="713b2321be68764099a703f4f36a5af6">
  <xsd:schema xmlns:xsd="http://www.w3.org/2001/XMLSchema" xmlns:xs="http://www.w3.org/2001/XMLSchema" xmlns:p="http://schemas.microsoft.com/office/2006/metadata/properties" xmlns:ns3="b7ff3f73-803f-483a-890b-71b582754ce2" xmlns:ns4="f4ac1c89-c468-4115-8111-4b2433007404" targetNamespace="http://schemas.microsoft.com/office/2006/metadata/properties" ma:root="true" ma:fieldsID="b2389344d5f78010dd6cad94a6e52497" ns3:_="" ns4:_="">
    <xsd:import namespace="b7ff3f73-803f-483a-890b-71b582754ce2"/>
    <xsd:import namespace="f4ac1c89-c468-4115-8111-4b243300740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f3f73-803f-483a-890b-71b582754c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ac1c89-c468-4115-8111-4b2433007404"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element name="SharingHintHash" ma:index="18"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5413F-6EDA-4934-B9E6-CB06487B14A5}">
  <ds:schemaRefs>
    <ds:schemaRef ds:uri="http://schemas.microsoft.com/sharepoint/v3/contenttype/forms"/>
  </ds:schemaRefs>
</ds:datastoreItem>
</file>

<file path=customXml/itemProps2.xml><?xml version="1.0" encoding="utf-8"?>
<ds:datastoreItem xmlns:ds="http://schemas.openxmlformats.org/officeDocument/2006/customXml" ds:itemID="{73D54ECA-63CB-4DF9-9E05-79656B8213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ff3f73-803f-483a-890b-71b582754ce2"/>
    <ds:schemaRef ds:uri="f4ac1c89-c468-4115-8111-4b2433007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EC7E13-34CA-49E1-967A-410C0781DB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F46577-4BFC-4B95-B1E1-962677818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7</Pages>
  <Words>10287</Words>
  <Characters>5864</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MK rīkojuma projekta pielikums</vt:lpstr>
    </vt:vector>
  </TitlesOfParts>
  <Company>Vides aizsardzības un reģionālās attīstības ministrija</Company>
  <LinksUpToDate>false</LinksUpToDate>
  <CharactersWithSpaces>16119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pielikums</dc:title>
  <dc:subject>Grozījumi MK rīkojumā Nr.470</dc:subject>
  <dc:creator>Lelda Kalniņa</dc:creator>
  <cp:keywords/>
  <dc:description/>
  <cp:lastModifiedBy>Leontine Babkina</cp:lastModifiedBy>
  <cp:revision>21</cp:revision>
  <cp:lastPrinted>2020-12-01T12:19:00Z</cp:lastPrinted>
  <dcterms:created xsi:type="dcterms:W3CDTF">2020-10-28T11:37:00Z</dcterms:created>
  <dcterms:modified xsi:type="dcterms:W3CDTF">2020-12-04T14:13:00Z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0x0101002718B298228960489F56F0419CFA614F</vt:lpwstr>
  </property>
</Properties>
</file>