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8CB" w14:textId="77777777" w:rsidR="007116C7" w:rsidRPr="00712B66" w:rsidRDefault="007116C7" w:rsidP="007B4A65">
      <w:pPr>
        <w:pStyle w:val="naisnod"/>
        <w:spacing w:before="0" w:after="0"/>
        <w:ind w:right="253" w:firstLine="720"/>
        <w:rPr>
          <w:sz w:val="28"/>
          <w:szCs w:val="28"/>
        </w:rPr>
      </w:pPr>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7C9F1DF1" w:rsidR="007116C7" w:rsidRPr="000C7419" w:rsidRDefault="0032040B" w:rsidP="003D1109">
            <w:pPr>
              <w:ind w:firstLine="720"/>
              <w:jc w:val="center"/>
              <w:rPr>
                <w:b/>
                <w:sz w:val="28"/>
                <w:szCs w:val="28"/>
              </w:rPr>
            </w:pPr>
            <w:r w:rsidRPr="000C7419">
              <w:rPr>
                <w:b/>
                <w:sz w:val="28"/>
                <w:szCs w:val="28"/>
              </w:rPr>
              <w:t>p</w:t>
            </w:r>
            <w:r w:rsidR="00973EC2" w:rsidRPr="000C7419">
              <w:rPr>
                <w:b/>
                <w:sz w:val="28"/>
                <w:szCs w:val="28"/>
              </w:rPr>
              <w:t xml:space="preserve">ar </w:t>
            </w:r>
            <w:r w:rsidR="003D1109" w:rsidRPr="000C7419">
              <w:rPr>
                <w:b/>
                <w:sz w:val="28"/>
                <w:szCs w:val="28"/>
              </w:rPr>
              <w:t xml:space="preserve">Ministru kabineta noteikumu projektu </w:t>
            </w:r>
            <w:r w:rsidR="00FD7700" w:rsidRPr="000C7419">
              <w:rPr>
                <w:b/>
                <w:sz w:val="28"/>
                <w:szCs w:val="28"/>
              </w:rPr>
              <w:t xml:space="preserve"> "</w:t>
            </w:r>
            <w:r w:rsidR="000C7419" w:rsidRPr="000C7419">
              <w:rPr>
                <w:b/>
                <w:sz w:val="28"/>
                <w:szCs w:val="28"/>
              </w:rPr>
              <w:t>Grozījum</w:t>
            </w:r>
            <w:r w:rsidR="00777379">
              <w:rPr>
                <w:b/>
                <w:sz w:val="28"/>
                <w:szCs w:val="28"/>
              </w:rPr>
              <w:t>s</w:t>
            </w:r>
            <w:r w:rsidR="000C7419" w:rsidRPr="000C7419">
              <w:rPr>
                <w:b/>
                <w:sz w:val="28"/>
                <w:szCs w:val="28"/>
              </w:rPr>
              <w:t xml:space="preserve"> Ministru kabineta 2006. gada 17. janvāra noteikumos Nr. 57 “</w:t>
            </w:r>
            <w:hyperlink r:id="rId8" w:tgtFrame="_blank" w:history="1">
              <w:r w:rsidR="000C7419" w:rsidRPr="000C7419">
                <w:rPr>
                  <w:rStyle w:val="Hyperlink"/>
                  <w:b/>
                  <w:color w:val="auto"/>
                  <w:sz w:val="28"/>
                  <w:szCs w:val="28"/>
                  <w:u w:val="none"/>
                </w:rPr>
                <w:t>Noteikumi par zāļu marķēšanas kārtību un zāļu lietošanas instrukcijai izvirzāmajām prasībām</w:t>
              </w:r>
            </w:hyperlink>
            <w:r w:rsidR="00FD7700" w:rsidRPr="000C7419">
              <w:rPr>
                <w:b/>
                <w:sz w:val="28"/>
                <w:szCs w:val="28"/>
              </w:rPr>
              <w:t>""</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3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59"/>
        <w:gridCol w:w="2294"/>
        <w:gridCol w:w="2552"/>
        <w:gridCol w:w="1984"/>
      </w:tblGrid>
      <w:tr w:rsidR="00180129" w14:paraId="511A6CF6" w14:textId="77777777" w:rsidTr="007B4A65">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2545"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659"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294"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B4A65">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659"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294"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84"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B4A65">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2545"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659"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294"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552"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84"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031CBEF1" w:rsidR="00C21C0B" w:rsidRPr="00DB7851" w:rsidRDefault="00C21C0B" w:rsidP="00C21C0B">
      <w:pPr>
        <w:pStyle w:val="naisf"/>
        <w:spacing w:before="0" w:after="0"/>
        <w:ind w:firstLine="0"/>
        <w:rPr>
          <w:b/>
        </w:rPr>
      </w:pPr>
      <w:r w:rsidRPr="00DB7851">
        <w:rPr>
          <w:b/>
        </w:rPr>
        <w:t xml:space="preserve">Informācija par </w:t>
      </w:r>
      <w:r w:rsidR="00406EC2">
        <w:rPr>
          <w:b/>
        </w:rPr>
        <w:t xml:space="preserve">elektronisko </w:t>
      </w:r>
      <w:r w:rsidRPr="00DB7851">
        <w:rPr>
          <w:b/>
        </w:rPr>
        <w:t>saskaņošanu</w:t>
      </w:r>
    </w:p>
    <w:p w14:paraId="24BC1DCA" w14:textId="77777777" w:rsidR="00C21C0B" w:rsidRPr="00DB7851" w:rsidRDefault="00C21C0B" w:rsidP="00C21C0B">
      <w:pPr>
        <w:pStyle w:val="naisf"/>
        <w:spacing w:before="0" w:after="0"/>
        <w:ind w:firstLine="0"/>
        <w:rPr>
          <w:b/>
        </w:rPr>
      </w:pPr>
    </w:p>
    <w:tbl>
      <w:tblPr>
        <w:tblW w:w="4960" w:type="pct"/>
        <w:tblLook w:val="00A0" w:firstRow="1" w:lastRow="0" w:firstColumn="1" w:lastColumn="0" w:noHBand="0" w:noVBand="0"/>
      </w:tblPr>
      <w:tblGrid>
        <w:gridCol w:w="8079"/>
        <w:gridCol w:w="5812"/>
      </w:tblGrid>
      <w:tr w:rsidR="00C21C0B" w:rsidRPr="00DB7851" w14:paraId="2411E405" w14:textId="77777777" w:rsidTr="00AF0A49">
        <w:tc>
          <w:tcPr>
            <w:tcW w:w="2908" w:type="pct"/>
          </w:tcPr>
          <w:p w14:paraId="5FCFA5E6" w14:textId="77777777" w:rsidR="00C21C0B" w:rsidRPr="00DB7851" w:rsidRDefault="00C21C0B" w:rsidP="00DB20B0">
            <w:pPr>
              <w:pStyle w:val="naisf"/>
              <w:spacing w:before="0" w:after="0"/>
              <w:ind w:firstLine="0"/>
            </w:pPr>
            <w:r w:rsidRPr="00DB7851">
              <w:t>Datums</w:t>
            </w:r>
          </w:p>
        </w:tc>
        <w:tc>
          <w:tcPr>
            <w:tcW w:w="2092"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AF0A49">
        <w:tc>
          <w:tcPr>
            <w:tcW w:w="2908" w:type="pct"/>
          </w:tcPr>
          <w:p w14:paraId="5D65566D" w14:textId="77777777" w:rsidR="00C21C0B" w:rsidRPr="00DB7851" w:rsidRDefault="00C21C0B" w:rsidP="00DB20B0">
            <w:pPr>
              <w:pStyle w:val="naisf"/>
              <w:spacing w:before="0" w:after="0"/>
              <w:ind w:firstLine="0"/>
            </w:pPr>
          </w:p>
        </w:tc>
        <w:tc>
          <w:tcPr>
            <w:tcW w:w="2092"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AF0A49">
        <w:tc>
          <w:tcPr>
            <w:tcW w:w="2908" w:type="pct"/>
          </w:tcPr>
          <w:p w14:paraId="29E28107" w14:textId="77777777" w:rsidR="00C21C0B" w:rsidRPr="00DB7851" w:rsidRDefault="00C21C0B" w:rsidP="00DB20B0">
            <w:pPr>
              <w:pStyle w:val="naiskr"/>
              <w:spacing w:before="0" w:after="0"/>
            </w:pPr>
            <w:r w:rsidRPr="00DB7851">
              <w:t>Saskaņošanas dalībnieki</w:t>
            </w:r>
          </w:p>
        </w:tc>
        <w:tc>
          <w:tcPr>
            <w:tcW w:w="2092" w:type="pct"/>
          </w:tcPr>
          <w:p w14:paraId="717CA076" w14:textId="504FB20F" w:rsidR="00C21C0B" w:rsidRPr="007D7A00" w:rsidRDefault="003D1109" w:rsidP="003D1109">
            <w:pPr>
              <w:pStyle w:val="NormalWeb"/>
              <w:rPr>
                <w:bCs/>
              </w:rPr>
            </w:pPr>
            <w:r w:rsidRPr="003D1109">
              <w:rPr>
                <w:bCs/>
              </w:rPr>
              <w:t>Tieslietu ministrija</w:t>
            </w:r>
            <w:r>
              <w:rPr>
                <w:bCs/>
              </w:rPr>
              <w:t xml:space="preserve">, </w:t>
            </w:r>
            <w:r w:rsidR="000C7419">
              <w:rPr>
                <w:bCs/>
              </w:rPr>
              <w:t>Finanšu</w:t>
            </w:r>
            <w:r w:rsidR="00B40087">
              <w:rPr>
                <w:bCs/>
              </w:rPr>
              <w:t xml:space="preserve"> ministrija</w:t>
            </w:r>
          </w:p>
        </w:tc>
      </w:tr>
      <w:tr w:rsidR="00C21C0B" w:rsidRPr="00DF33CF" w14:paraId="364435C1" w14:textId="77777777" w:rsidTr="00AF0A49">
        <w:trPr>
          <w:trHeight w:val="285"/>
        </w:trPr>
        <w:tc>
          <w:tcPr>
            <w:tcW w:w="2908"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2092" w:type="pct"/>
            <w:tcBorders>
              <w:bottom w:val="single" w:sz="4" w:space="0" w:color="auto"/>
            </w:tcBorders>
          </w:tcPr>
          <w:p w14:paraId="271D9E07" w14:textId="046D1BFE" w:rsidR="00C21C0B" w:rsidRPr="00DF33CF" w:rsidRDefault="00EB4AD5" w:rsidP="00DB20B0">
            <w:pPr>
              <w:pStyle w:val="naiskr"/>
              <w:spacing w:before="0" w:after="0"/>
              <w:ind w:firstLine="12"/>
              <w:rPr>
                <w:sz w:val="23"/>
                <w:szCs w:val="23"/>
              </w:rPr>
            </w:pPr>
            <w:r>
              <w:rPr>
                <w:sz w:val="23"/>
                <w:szCs w:val="23"/>
              </w:rPr>
              <w:t>Tieslietu ministrijas</w:t>
            </w:r>
          </w:p>
        </w:tc>
      </w:tr>
      <w:tr w:rsidR="00C21C0B" w:rsidRPr="00DF33CF" w14:paraId="2F9F30F4" w14:textId="77777777" w:rsidTr="00AF0A49">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AF0A49">
        <w:tc>
          <w:tcPr>
            <w:tcW w:w="2908"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2092"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D0F5FBD" w14:textId="77777777" w:rsidR="00FB3DE5" w:rsidRPr="00712B66" w:rsidRDefault="00FB3DE5" w:rsidP="00DB7395">
      <w:pPr>
        <w:pStyle w:val="naisf"/>
        <w:spacing w:before="0" w:after="0"/>
        <w:ind w:firstLine="720"/>
      </w:pPr>
    </w:p>
    <w:tbl>
      <w:tblPr>
        <w:tblW w:w="13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995"/>
        <w:gridCol w:w="4085"/>
        <w:gridCol w:w="1099"/>
        <w:gridCol w:w="2329"/>
        <w:gridCol w:w="2126"/>
      </w:tblGrid>
      <w:tr w:rsidR="00134188" w:rsidRPr="00712B66" w14:paraId="7C4487FD" w14:textId="77777777" w:rsidTr="007B4A65">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395"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0C7419" w:rsidRDefault="00134188" w:rsidP="009623BC">
            <w:pPr>
              <w:pStyle w:val="naisc"/>
              <w:spacing w:before="0" w:after="0"/>
              <w:ind w:firstLine="12"/>
            </w:pPr>
            <w:r w:rsidRPr="000C7419">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0C7419">
            <w:pPr>
              <w:pStyle w:val="naisc"/>
              <w:spacing w:before="0" w:after="0"/>
              <w:ind w:right="3"/>
              <w:jc w:val="both"/>
            </w:pPr>
            <w:r w:rsidRPr="00712B66">
              <w:t xml:space="preserve">Atzinumā norādītais ministrijas (citas institūcijas) iebildums, kā arī saskaņošanā papildus izteiktais </w:t>
            </w:r>
            <w:r w:rsidRPr="00712B66">
              <w:lastRenderedPageBreak/>
              <w:t>iebildums par projekta konkrēto punktu (pantu)</w:t>
            </w:r>
          </w:p>
        </w:tc>
        <w:tc>
          <w:tcPr>
            <w:tcW w:w="3428"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lastRenderedPageBreak/>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126"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7B4A65">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FB3DE5" w:rsidRDefault="003B71E0" w:rsidP="00FB3DE5">
            <w:pPr>
              <w:pStyle w:val="naisc"/>
              <w:spacing w:before="0" w:after="0"/>
            </w:pPr>
            <w:r w:rsidRPr="00FB3DE5">
              <w:t>1</w:t>
            </w:r>
          </w:p>
        </w:tc>
        <w:tc>
          <w:tcPr>
            <w:tcW w:w="3395"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FB3DE5" w:rsidRDefault="00F34AAB" w:rsidP="00FB3DE5">
            <w:pPr>
              <w:pStyle w:val="naisc"/>
              <w:spacing w:before="0" w:after="0"/>
              <w:ind w:firstLine="720"/>
            </w:pPr>
            <w:r w:rsidRPr="00FB3DE5">
              <w:t>2</w:t>
            </w:r>
          </w:p>
        </w:tc>
        <w:tc>
          <w:tcPr>
            <w:tcW w:w="4085" w:type="dxa"/>
            <w:tcBorders>
              <w:top w:val="single" w:sz="6" w:space="0" w:color="000000"/>
              <w:left w:val="single" w:sz="6" w:space="0" w:color="000000"/>
              <w:bottom w:val="single" w:sz="6" w:space="0" w:color="000000"/>
              <w:right w:val="single" w:sz="6" w:space="0" w:color="000000"/>
            </w:tcBorders>
          </w:tcPr>
          <w:p w14:paraId="76F295A2" w14:textId="77777777" w:rsidR="00134188" w:rsidRPr="00FB3DE5" w:rsidRDefault="003B71E0" w:rsidP="00FB3DE5">
            <w:pPr>
              <w:pStyle w:val="naisc"/>
              <w:spacing w:before="0" w:after="0"/>
              <w:ind w:firstLine="720"/>
            </w:pPr>
            <w:r w:rsidRPr="00FB3DE5">
              <w:t>3</w:t>
            </w:r>
          </w:p>
        </w:tc>
        <w:tc>
          <w:tcPr>
            <w:tcW w:w="3428"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FB3DE5" w:rsidRDefault="003B71E0" w:rsidP="00FB3DE5">
            <w:pPr>
              <w:pStyle w:val="naisc"/>
              <w:spacing w:before="0" w:after="0"/>
              <w:ind w:firstLine="720"/>
            </w:pPr>
            <w:r w:rsidRPr="00FB3DE5">
              <w:t>4</w:t>
            </w:r>
          </w:p>
        </w:tc>
        <w:tc>
          <w:tcPr>
            <w:tcW w:w="2126" w:type="dxa"/>
            <w:tcBorders>
              <w:top w:val="single" w:sz="4" w:space="0" w:color="auto"/>
              <w:left w:val="single" w:sz="4" w:space="0" w:color="auto"/>
              <w:bottom w:val="single" w:sz="4" w:space="0" w:color="auto"/>
            </w:tcBorders>
          </w:tcPr>
          <w:p w14:paraId="291721C3" w14:textId="77777777" w:rsidR="00134188" w:rsidRPr="00FB3DE5" w:rsidRDefault="003B71E0" w:rsidP="00FB3DE5">
            <w:pPr>
              <w:jc w:val="center"/>
            </w:pPr>
            <w:r w:rsidRPr="00FB3DE5">
              <w:t>5</w:t>
            </w:r>
          </w:p>
        </w:tc>
      </w:tr>
      <w:tr w:rsidR="001C1764" w:rsidRPr="00146C5A" w14:paraId="20B1CC63" w14:textId="77777777" w:rsidTr="007B4A65">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395" w:type="dxa"/>
            <w:gridSpan w:val="2"/>
            <w:tcBorders>
              <w:left w:val="single" w:sz="6" w:space="0" w:color="000000"/>
              <w:bottom w:val="single" w:sz="4" w:space="0" w:color="auto"/>
              <w:right w:val="single" w:sz="6" w:space="0" w:color="000000"/>
            </w:tcBorders>
          </w:tcPr>
          <w:p w14:paraId="4EC83DAE" w14:textId="010EE830" w:rsidR="004363AA" w:rsidRPr="000C7419" w:rsidRDefault="000C7419" w:rsidP="00FD7700">
            <w:pPr>
              <w:pStyle w:val="naisc"/>
              <w:ind w:firstLine="5"/>
              <w:jc w:val="both"/>
            </w:pPr>
            <w:r w:rsidRPr="000C7419">
              <w:t xml:space="preserve"> -</w:t>
            </w:r>
          </w:p>
        </w:tc>
        <w:tc>
          <w:tcPr>
            <w:tcW w:w="4085" w:type="dxa"/>
            <w:tcBorders>
              <w:left w:val="single" w:sz="6" w:space="0" w:color="000000"/>
              <w:bottom w:val="single" w:sz="4" w:space="0" w:color="auto"/>
              <w:right w:val="single" w:sz="6" w:space="0" w:color="000000"/>
            </w:tcBorders>
          </w:tcPr>
          <w:p w14:paraId="125C4FF8" w14:textId="672C081C" w:rsidR="000C7419" w:rsidRPr="000C7419" w:rsidRDefault="000C7419" w:rsidP="000C7419">
            <w:pPr>
              <w:ind w:firstLine="720"/>
              <w:contextualSpacing/>
              <w:jc w:val="both"/>
              <w:rPr>
                <w:b/>
                <w:bCs/>
                <w:color w:val="0D0D0D" w:themeColor="text1" w:themeTint="F2"/>
              </w:rPr>
            </w:pPr>
            <w:r w:rsidRPr="000C7419">
              <w:rPr>
                <w:b/>
                <w:bCs/>
                <w:color w:val="0D0D0D" w:themeColor="text1" w:themeTint="F2"/>
              </w:rPr>
              <w:t>Tieslietu ministrija</w:t>
            </w:r>
          </w:p>
          <w:p w14:paraId="1A8DCFE4" w14:textId="77777777" w:rsidR="00694F4A" w:rsidRPr="002C3C06" w:rsidRDefault="00694F4A" w:rsidP="00694F4A">
            <w:pPr>
              <w:contextualSpacing/>
              <w:jc w:val="both"/>
              <w:rPr>
                <w:color w:val="0D0D0D" w:themeColor="text1" w:themeTint="F2"/>
              </w:rPr>
            </w:pPr>
            <w:r w:rsidRPr="002C3C06">
              <w:rPr>
                <w:color w:val="0D0D0D" w:themeColor="text1" w:themeTint="F2"/>
              </w:rPr>
              <w:t>Tieslietu ministrija ir izskatījusi Veselības ministrijas izstrādātos Ministru kabineta noteikumu projektus “Grozījumi Ministru kabineta 2007. gada 26. jūnija noteikumos Nr. 416 “Zāļu izplatīšanas un kvalitātes kontroles kārtība”” (turpmāk – projekts Nr. 1.) un “Grozījumi Ministru kabineta 2006. gada 17. janvāra noteikumos Nr. 57 “Noteikumi par zāļu marķēšanas kārtību un zāļu lietošanas instrukcijai izvirzāmajām prasībām””</w:t>
            </w:r>
            <w:bookmarkStart w:id="0" w:name="_Hlk16062354"/>
            <w:r w:rsidRPr="002C3C06">
              <w:rPr>
                <w:color w:val="0D0D0D" w:themeColor="text1" w:themeTint="F2"/>
              </w:rPr>
              <w:t xml:space="preserve"> (turpmāk – projekts Nr. 2.) </w:t>
            </w:r>
            <w:bookmarkEnd w:id="0"/>
            <w:r w:rsidRPr="002C3C06">
              <w:rPr>
                <w:color w:val="0D0D0D" w:themeColor="text1" w:themeTint="F2"/>
              </w:rPr>
              <w:t>un to anotācijas un atbalsta to virzību, izsakot šādus iebildumus:</w:t>
            </w:r>
          </w:p>
          <w:p w14:paraId="507C17F8" w14:textId="41D48E1A" w:rsidR="000C7419" w:rsidRPr="000C7419" w:rsidRDefault="000C7419" w:rsidP="000C7419">
            <w:pPr>
              <w:ind w:firstLine="720"/>
              <w:contextualSpacing/>
              <w:jc w:val="both"/>
              <w:rPr>
                <w:color w:val="0D0D0D" w:themeColor="text1" w:themeTint="F2"/>
              </w:rPr>
            </w:pPr>
            <w:r w:rsidRPr="000C7419">
              <w:rPr>
                <w:color w:val="0D0D0D" w:themeColor="text1" w:themeTint="F2"/>
              </w:rPr>
              <w:t>1. Saskaņā ar</w:t>
            </w:r>
            <w:r w:rsidRPr="000C7419">
              <w:t xml:space="preserve"> </w:t>
            </w:r>
            <w:r w:rsidRPr="000C7419">
              <w:rPr>
                <w:color w:val="0D0D0D" w:themeColor="text1" w:themeTint="F2"/>
              </w:rPr>
              <w:t>Ministru kabineta 2009. gada 15. decembra instrukcijas Nr. 19 “Tiesību akta projekta sākotnējās ietekmes izvērtēšanas kārtība” (turpmāk – instrukcija) 11.</w:t>
            </w:r>
            <w:r w:rsidRPr="000C7419">
              <w:rPr>
                <w:color w:val="0D0D0D" w:themeColor="text1" w:themeTint="F2"/>
                <w:vertAlign w:val="superscript"/>
              </w:rPr>
              <w:t>1</w:t>
            </w:r>
            <w:r w:rsidRPr="000C7419">
              <w:rPr>
                <w:color w:val="0D0D0D" w:themeColor="text1" w:themeTint="F2"/>
              </w:rPr>
              <w:t xml:space="preserve"> punktu, “ja saistībā ar projektu nepieciešams izdarīt grozījumus arī citos hierarhiski tāda paša līmeņa tiesību aktos, ministrija var sagatavot apvienoto anotāciju vairākiem tiesību aktiem (izņemot likumprojektus), ja tiem ir </w:t>
            </w:r>
            <w:r w:rsidRPr="000C7419">
              <w:rPr>
                <w:color w:val="0D0D0D" w:themeColor="text1" w:themeTint="F2"/>
                <w:u w:val="single"/>
              </w:rPr>
              <w:t>vienāds pamatojums</w:t>
            </w:r>
            <w:r w:rsidRPr="000C7419">
              <w:rPr>
                <w:color w:val="0D0D0D" w:themeColor="text1" w:themeTint="F2"/>
              </w:rPr>
              <w:t xml:space="preserve">”. Vēršam uzmanību, ka projekta Nr. 1. un projekta Nr. 2. pamatojums atšķiras. Proti, projektā Nr.1. ietverti grozījumi par termiņa </w:t>
            </w:r>
            <w:r w:rsidRPr="000C7419">
              <w:rPr>
                <w:color w:val="0D0D0D" w:themeColor="text1" w:themeTint="F2"/>
              </w:rPr>
              <w:lastRenderedPageBreak/>
              <w:t>pagarināšanu, savukārt projektā Nr. 2 ietverti konceptuāli grozījumi par vairumtirgotāja pienākumiem un citām prasībām attiecībā uz zāļu marķēšanu. Ievērojot minēto, lūdzam sagatavot atsevišķas anotācijas projektam Nr. 1. un projektam Nr. 2.</w:t>
            </w:r>
          </w:p>
          <w:p w14:paraId="12F525CF" w14:textId="77777777" w:rsidR="001C1764" w:rsidRPr="000C7419" w:rsidRDefault="001C1764" w:rsidP="000C7419">
            <w:pPr>
              <w:jc w:val="both"/>
            </w:pPr>
          </w:p>
        </w:tc>
        <w:tc>
          <w:tcPr>
            <w:tcW w:w="3428"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lastRenderedPageBreak/>
              <w:t xml:space="preserve"> </w:t>
            </w:r>
            <w:r w:rsidRPr="004E1D99">
              <w:rPr>
                <w:b/>
              </w:rPr>
              <w:t>Ņemts vērā</w:t>
            </w:r>
          </w:p>
          <w:p w14:paraId="40977A10" w14:textId="66FE006F" w:rsidR="000C7419" w:rsidRPr="00033457" w:rsidRDefault="00677B0A" w:rsidP="000C7419">
            <w:pPr>
              <w:pStyle w:val="naisc"/>
              <w:ind w:firstLine="5"/>
              <w:jc w:val="both"/>
            </w:pPr>
            <w:r>
              <w:t xml:space="preserve">Atbilstoši Tieslietu ministrijas </w:t>
            </w:r>
            <w:r w:rsidR="00D35CBD">
              <w:t>25</w:t>
            </w:r>
            <w:r>
              <w:t>.1</w:t>
            </w:r>
            <w:r w:rsidR="00D35CBD">
              <w:t>1</w:t>
            </w:r>
            <w:r>
              <w:t>.2020. atzinum</w:t>
            </w:r>
            <w:r w:rsidR="00D308E2">
              <w:t>a</w:t>
            </w:r>
            <w:r w:rsidR="00D35CBD">
              <w:t>m</w:t>
            </w:r>
            <w:r>
              <w:t xml:space="preserve"> Nr. 1-9.1/1</w:t>
            </w:r>
            <w:r w:rsidR="00D35CBD">
              <w:t>261 sagatavots atsevišķs anotācijas projekts</w:t>
            </w:r>
          </w:p>
          <w:p w14:paraId="727C93FF" w14:textId="3DA9CEDD" w:rsidR="00E24084" w:rsidRPr="004D7281" w:rsidRDefault="00E24084" w:rsidP="0045402B">
            <w:pPr>
              <w:tabs>
                <w:tab w:val="center" w:pos="4678"/>
                <w:tab w:val="right" w:pos="9072"/>
              </w:tabs>
              <w:ind w:firstLine="293"/>
              <w:jc w:val="both"/>
              <w:rPr>
                <w:color w:val="FF0000"/>
              </w:rPr>
            </w:pPr>
          </w:p>
        </w:tc>
        <w:tc>
          <w:tcPr>
            <w:tcW w:w="2126" w:type="dxa"/>
            <w:tcBorders>
              <w:top w:val="single" w:sz="4" w:space="0" w:color="auto"/>
              <w:left w:val="single" w:sz="4" w:space="0" w:color="auto"/>
              <w:bottom w:val="single" w:sz="4" w:space="0" w:color="auto"/>
            </w:tcBorders>
          </w:tcPr>
          <w:p w14:paraId="3046A196" w14:textId="6C5D6921" w:rsidR="001C1764" w:rsidRPr="00146C5A" w:rsidRDefault="00BE435B" w:rsidP="00BE435B">
            <w:pPr>
              <w:jc w:val="both"/>
            </w:pPr>
            <w:r>
              <w:t>Skatīt precizēto anotāciju.</w:t>
            </w:r>
          </w:p>
        </w:tc>
      </w:tr>
      <w:tr w:rsidR="00347DB4" w:rsidRPr="00146C5A" w14:paraId="69AD347E" w14:textId="77777777" w:rsidTr="007B4A65">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395" w:type="dxa"/>
            <w:gridSpan w:val="2"/>
            <w:tcBorders>
              <w:left w:val="single" w:sz="6" w:space="0" w:color="000000"/>
              <w:bottom w:val="single" w:sz="4" w:space="0" w:color="auto"/>
              <w:right w:val="single" w:sz="6" w:space="0" w:color="000000"/>
            </w:tcBorders>
          </w:tcPr>
          <w:p w14:paraId="565BA772" w14:textId="77777777" w:rsidR="000C7419" w:rsidRPr="000C7419" w:rsidRDefault="000C7419" w:rsidP="000C7419">
            <w:pPr>
              <w:jc w:val="both"/>
            </w:pPr>
            <w:r w:rsidRPr="000C7419">
              <w:t>1.1. izteikt 10.4. apakšpunkta pirmo teikumu šādā redakcijā:</w:t>
            </w:r>
          </w:p>
          <w:p w14:paraId="7B9134AA" w14:textId="77777777" w:rsidR="000C7419" w:rsidRPr="000C7419" w:rsidRDefault="000C7419" w:rsidP="000C7419">
            <w:pPr>
              <w:jc w:val="both"/>
            </w:pPr>
            <w:r w:rsidRPr="000C7419">
              <w:t xml:space="preserve">“10.4. to </w:t>
            </w:r>
            <w:proofErr w:type="spellStart"/>
            <w:r w:rsidRPr="000C7419">
              <w:t>palīgvielu</w:t>
            </w:r>
            <w:proofErr w:type="spellEnd"/>
            <w:r w:rsidRPr="000C7419">
              <w:t xml:space="preserve"> sarakstu, kuru atzītā iedarbība ir zināma un kuras iekļautas Farmācijas likuma 25.</w:t>
            </w:r>
            <w:r w:rsidRPr="000C7419">
              <w:rPr>
                <w:vertAlign w:val="superscript"/>
              </w:rPr>
              <w:t>2</w:t>
            </w:r>
            <w:r w:rsidRPr="000C7419">
              <w:t xml:space="preserve"> pantā minētajās Eiropas Komisijas ieteikumos (vadlīnijās), kas publicētas Eiropas Kopienas Zāļu tiesiskā regulējuma dokumentu krājuma (turpmāk – EUDRALEX) 2. sējumā Eiropas Komisijas norādījumu par </w:t>
            </w:r>
            <w:proofErr w:type="spellStart"/>
            <w:r w:rsidRPr="000C7419">
              <w:t>palīgvielām</w:t>
            </w:r>
            <w:proofErr w:type="spellEnd"/>
            <w:r w:rsidRPr="000C7419">
              <w:t xml:space="preserve"> cilvēkiem paredzēto zāļu marķējumā un lietošanas instrukcijās pielikumā;”;</w:t>
            </w:r>
          </w:p>
          <w:p w14:paraId="425FA5A9" w14:textId="77777777" w:rsidR="000C7419" w:rsidRPr="000C7419" w:rsidRDefault="000C7419" w:rsidP="000C7419">
            <w:pPr>
              <w:jc w:val="both"/>
            </w:pPr>
            <w:r w:rsidRPr="000C7419">
              <w:t>1.2. izteikt 15.3. apakšpunkta šādā redakcijā:</w:t>
            </w:r>
          </w:p>
          <w:p w14:paraId="76AE5F6C" w14:textId="77777777" w:rsidR="000C7419" w:rsidRPr="000C7419" w:rsidRDefault="000C7419" w:rsidP="000C7419">
            <w:pPr>
              <w:jc w:val="both"/>
            </w:pPr>
            <w:r w:rsidRPr="000C7419">
              <w:t xml:space="preserve">“15.3. tās </w:t>
            </w:r>
            <w:proofErr w:type="spellStart"/>
            <w:r w:rsidRPr="000C7419">
              <w:t>palīgvielas</w:t>
            </w:r>
            <w:proofErr w:type="spellEnd"/>
            <w:r w:rsidRPr="000C7419">
              <w:t xml:space="preserve">, kuras svarīgi zināt drošai un efektīvai zāļu lietošanai un kuras iekļautas EUDRALEX 2. sējumā Eiropas Komisijas norādījumu par </w:t>
            </w:r>
            <w:proofErr w:type="spellStart"/>
            <w:r w:rsidRPr="000C7419">
              <w:t>palīgvielām</w:t>
            </w:r>
            <w:proofErr w:type="spellEnd"/>
            <w:r w:rsidRPr="000C7419">
              <w:t xml:space="preserve"> cilvēkiem paredzēto zāļu marķējumā un lietošanas instrukcijās pielikumā.”;</w:t>
            </w:r>
          </w:p>
          <w:p w14:paraId="79F08D28" w14:textId="42FF154E" w:rsidR="00347DB4" w:rsidRPr="00EB4AD5" w:rsidRDefault="000C7419" w:rsidP="00EB4AD5">
            <w:pPr>
              <w:pStyle w:val="Bezatstarpm1"/>
              <w:jc w:val="both"/>
              <w:rPr>
                <w:rFonts w:ascii="Times New Roman" w:hAnsi="Times New Roman"/>
                <w:sz w:val="24"/>
                <w:szCs w:val="24"/>
                <w:shd w:val="clear" w:color="auto" w:fill="FFFFFF"/>
                <w:lang w:val="lv-LV"/>
              </w:rPr>
            </w:pPr>
            <w:r w:rsidRPr="000C7419">
              <w:rPr>
                <w:rFonts w:ascii="Times New Roman" w:hAnsi="Times New Roman"/>
                <w:sz w:val="24"/>
                <w:szCs w:val="24"/>
                <w:shd w:val="clear" w:color="auto" w:fill="FFFFFF"/>
              </w:rPr>
              <w:lastRenderedPageBreak/>
              <w:t>1.4. </w:t>
            </w:r>
            <w:r w:rsidRPr="000C7419">
              <w:rPr>
                <w:rFonts w:ascii="Times New Roman" w:hAnsi="Times New Roman"/>
                <w:sz w:val="24"/>
                <w:szCs w:val="24"/>
                <w:shd w:val="clear" w:color="auto" w:fill="FFFFFF"/>
                <w:lang w:val="lv-LV"/>
              </w:rPr>
              <w:t>svītrot pielikumu.</w:t>
            </w:r>
          </w:p>
        </w:tc>
        <w:tc>
          <w:tcPr>
            <w:tcW w:w="4085" w:type="dxa"/>
            <w:tcBorders>
              <w:left w:val="single" w:sz="6" w:space="0" w:color="000000"/>
              <w:bottom w:val="single" w:sz="4" w:space="0" w:color="auto"/>
              <w:right w:val="single" w:sz="6" w:space="0" w:color="000000"/>
            </w:tcBorders>
          </w:tcPr>
          <w:p w14:paraId="009A21BE" w14:textId="77777777" w:rsidR="00FD7700" w:rsidRPr="000C7419" w:rsidRDefault="00FD7700" w:rsidP="000C7419">
            <w:pPr>
              <w:ind w:firstLine="720"/>
              <w:jc w:val="both"/>
              <w:rPr>
                <w:b/>
              </w:rPr>
            </w:pPr>
            <w:r w:rsidRPr="000C7419">
              <w:rPr>
                <w:b/>
              </w:rPr>
              <w:lastRenderedPageBreak/>
              <w:t>Tieslietu ministrija</w:t>
            </w:r>
          </w:p>
          <w:p w14:paraId="5A97C4CA" w14:textId="77777777" w:rsidR="000C7419" w:rsidRPr="000C7419" w:rsidRDefault="000C7419" w:rsidP="00326EFE">
            <w:pPr>
              <w:contextualSpacing/>
              <w:jc w:val="both"/>
              <w:rPr>
                <w:color w:val="0D0D0D" w:themeColor="text1" w:themeTint="F2"/>
              </w:rPr>
            </w:pPr>
            <w:r w:rsidRPr="000C7419">
              <w:rPr>
                <w:color w:val="0D0D0D" w:themeColor="text1" w:themeTint="F2"/>
              </w:rPr>
              <w:t xml:space="preserve">2. Projekta Nr. 2. 1.1. apakšpunktā norādīta atsauce uz </w:t>
            </w:r>
            <w:r w:rsidRPr="000C7419">
              <w:t>Farmācijas likuma (turpmāk – likums) 25.</w:t>
            </w:r>
            <w:r w:rsidRPr="000C7419">
              <w:rPr>
                <w:vertAlign w:val="superscript"/>
              </w:rPr>
              <w:t>2</w:t>
            </w:r>
            <w:r w:rsidRPr="000C7419">
              <w:t xml:space="preserve"> pantā minētajiem Eiropas Komisijas ieteikumiem. Apzināmies, ka ieteikumu juridiskais spēks padarīts saistošs ar likumu, tomēr vēlamies uzsvērt, ka minētā atsauce nav korekta. Proti, attiecīgajam dokumentam ir ieteikuma raksturs un, lai tos padarītu saistošus, </w:t>
            </w:r>
            <w:r w:rsidRPr="000C7419">
              <w:rPr>
                <w:u w:val="single"/>
              </w:rPr>
              <w:t>to saturs</w:t>
            </w:r>
            <w:r w:rsidRPr="000C7419">
              <w:t xml:space="preserve"> būtu ietverams ārējā normatīvajā aktā, neveidojot atsauci uz juridiski nesaistošiem dokumentiem. Ievērojot minēto, lūdzam projektam Nr. 2 pievienot Ministru kabineta sēdes </w:t>
            </w:r>
            <w:proofErr w:type="spellStart"/>
            <w:r w:rsidRPr="000C7419">
              <w:t>protokollēmuma</w:t>
            </w:r>
            <w:proofErr w:type="spellEnd"/>
            <w:r w:rsidRPr="000C7419">
              <w:t xml:space="preserve"> projektu, ar kuru Veselības ministrijai līdz noteiktam termiņam tiek uzlikts pienākums izvērtēt un veikt attiecīgus grozījumus gan likumā, gan projektā Nr. 2.</w:t>
            </w:r>
          </w:p>
          <w:p w14:paraId="1C6440BA" w14:textId="3EA98330" w:rsidR="00347DB4" w:rsidRPr="000C7419" w:rsidRDefault="00347DB4" w:rsidP="000C7419">
            <w:pPr>
              <w:jc w:val="both"/>
              <w:rPr>
                <w:bCs/>
              </w:rPr>
            </w:pPr>
          </w:p>
        </w:tc>
        <w:tc>
          <w:tcPr>
            <w:tcW w:w="3428" w:type="dxa"/>
            <w:gridSpan w:val="2"/>
            <w:tcBorders>
              <w:left w:val="single" w:sz="6" w:space="0" w:color="000000"/>
              <w:bottom w:val="single" w:sz="4" w:space="0" w:color="auto"/>
              <w:right w:val="single" w:sz="6" w:space="0" w:color="000000"/>
            </w:tcBorders>
          </w:tcPr>
          <w:p w14:paraId="1EFB96F8" w14:textId="77777777" w:rsidR="00033457" w:rsidRPr="004E1D99" w:rsidRDefault="00033457" w:rsidP="00033457">
            <w:pPr>
              <w:jc w:val="center"/>
              <w:rPr>
                <w:b/>
              </w:rPr>
            </w:pPr>
            <w:r w:rsidRPr="004E1D99">
              <w:rPr>
                <w:b/>
              </w:rPr>
              <w:t>Ņemts vērā</w:t>
            </w:r>
          </w:p>
          <w:p w14:paraId="408B0267" w14:textId="43636FA8" w:rsidR="005D613B" w:rsidRDefault="00677B0A" w:rsidP="00D35CBD">
            <w:pPr>
              <w:jc w:val="both"/>
            </w:pPr>
            <w:r>
              <w:rPr>
                <w:bCs/>
              </w:rPr>
              <w:t xml:space="preserve">Tieslietu ministrijas </w:t>
            </w:r>
            <w:r w:rsidR="00D35CBD">
              <w:t>25.11.2020. atzinums Nr. 1-9.1/1261 izvērtēts, lai nekavētu projekta apstiprināšanu, pašreiz no projekta 1.1., 1.2. un 1.4. apakšpunkta tiek izslēgts.</w:t>
            </w:r>
          </w:p>
          <w:p w14:paraId="187649DB" w14:textId="1F8F3109" w:rsidR="00D35CBD" w:rsidRDefault="00D35CBD" w:rsidP="00D35CBD">
            <w:pPr>
              <w:jc w:val="both"/>
              <w:rPr>
                <w:bCs/>
              </w:rPr>
            </w:pPr>
            <w:r>
              <w:t xml:space="preserve">Atsauces uz Eiropas Komisijas dokumentiem tiks vērtētas, vienlaicīgi pārskatot Farmācijas likumā deleģējumus Ministru kabinetam.  </w:t>
            </w:r>
          </w:p>
          <w:p w14:paraId="1A621832" w14:textId="77777777" w:rsidR="00677B0A" w:rsidRDefault="00677B0A" w:rsidP="00677B0A">
            <w:pPr>
              <w:jc w:val="both"/>
              <w:rPr>
                <w:bCs/>
              </w:rPr>
            </w:pPr>
          </w:p>
          <w:p w14:paraId="4D13E986" w14:textId="00AE7A00" w:rsidR="00677B0A" w:rsidRPr="003F6C35" w:rsidRDefault="00677B0A" w:rsidP="00677B0A">
            <w:pPr>
              <w:jc w:val="both"/>
              <w:rPr>
                <w:bCs/>
              </w:rPr>
            </w:pPr>
          </w:p>
        </w:tc>
        <w:tc>
          <w:tcPr>
            <w:tcW w:w="2126" w:type="dxa"/>
            <w:tcBorders>
              <w:top w:val="single" w:sz="4" w:space="0" w:color="auto"/>
              <w:left w:val="single" w:sz="4" w:space="0" w:color="auto"/>
              <w:bottom w:val="single" w:sz="4" w:space="0" w:color="auto"/>
            </w:tcBorders>
          </w:tcPr>
          <w:p w14:paraId="0FF29E3D" w14:textId="2F23A7FA" w:rsidR="00347DB4" w:rsidRPr="00146C5A" w:rsidRDefault="00677B0A" w:rsidP="0071344A">
            <w:pPr>
              <w:jc w:val="both"/>
            </w:pPr>
            <w:r>
              <w:t xml:space="preserve">Skatīt precizēto </w:t>
            </w:r>
            <w:r w:rsidR="00D35CBD">
              <w:t xml:space="preserve">noteikumu projektu un </w:t>
            </w:r>
            <w:r>
              <w:t>anotāciju.</w:t>
            </w:r>
          </w:p>
        </w:tc>
      </w:tr>
      <w:tr w:rsidR="00B40087" w:rsidRPr="00146C5A" w14:paraId="683F035E" w14:textId="77777777" w:rsidTr="007B4A65">
        <w:tc>
          <w:tcPr>
            <w:tcW w:w="708" w:type="dxa"/>
            <w:tcBorders>
              <w:left w:val="single" w:sz="6" w:space="0" w:color="000000"/>
              <w:bottom w:val="single" w:sz="4" w:space="0" w:color="auto"/>
              <w:right w:val="single" w:sz="6" w:space="0" w:color="000000"/>
            </w:tcBorders>
          </w:tcPr>
          <w:p w14:paraId="70BA4ACB" w14:textId="77777777" w:rsidR="00B40087" w:rsidRPr="00712B66" w:rsidRDefault="00B40087" w:rsidP="001C1764">
            <w:pPr>
              <w:pStyle w:val="naisc"/>
              <w:numPr>
                <w:ilvl w:val="0"/>
                <w:numId w:val="7"/>
              </w:numPr>
              <w:spacing w:before="0" w:after="0"/>
            </w:pPr>
          </w:p>
        </w:tc>
        <w:tc>
          <w:tcPr>
            <w:tcW w:w="3395" w:type="dxa"/>
            <w:gridSpan w:val="2"/>
            <w:tcBorders>
              <w:left w:val="single" w:sz="6" w:space="0" w:color="000000"/>
              <w:bottom w:val="single" w:sz="4" w:space="0" w:color="auto"/>
              <w:right w:val="single" w:sz="6" w:space="0" w:color="000000"/>
            </w:tcBorders>
          </w:tcPr>
          <w:p w14:paraId="6C3250F1" w14:textId="6ACE49B9" w:rsidR="000C7419" w:rsidRPr="000C7419" w:rsidRDefault="000C7419" w:rsidP="000C7419">
            <w:pPr>
              <w:pStyle w:val="Bezatstarpm1"/>
              <w:jc w:val="both"/>
              <w:rPr>
                <w:rFonts w:ascii="Times New Roman" w:hAnsi="Times New Roman"/>
                <w:sz w:val="24"/>
                <w:szCs w:val="24"/>
                <w:lang w:val="lv-LV"/>
              </w:rPr>
            </w:pPr>
            <w:r w:rsidRPr="000C7419">
              <w:rPr>
                <w:rFonts w:ascii="Times New Roman" w:hAnsi="Times New Roman"/>
                <w:sz w:val="24"/>
                <w:szCs w:val="24"/>
                <w:lang w:val="lv-LV"/>
              </w:rPr>
              <w:t>1.3. izteikt 41. punktu šādā redakcijā:</w:t>
            </w:r>
          </w:p>
          <w:p w14:paraId="615812C7" w14:textId="77777777" w:rsidR="000C7419" w:rsidRPr="000C7419" w:rsidRDefault="000C7419" w:rsidP="000C7419">
            <w:pPr>
              <w:pStyle w:val="Bezatstarpm1"/>
              <w:jc w:val="both"/>
              <w:rPr>
                <w:rFonts w:ascii="Times New Roman" w:hAnsi="Times New Roman"/>
                <w:sz w:val="24"/>
                <w:szCs w:val="24"/>
                <w:lang w:val="lv-LV"/>
              </w:rPr>
            </w:pPr>
            <w:r w:rsidRPr="000C7419">
              <w:rPr>
                <w:rStyle w:val="Noklusjumarindkopasfonts1"/>
                <w:rFonts w:ascii="Times New Roman" w:hAnsi="Times New Roman"/>
                <w:sz w:val="24"/>
                <w:szCs w:val="24"/>
                <w:lang w:val="lv-LV"/>
              </w:rPr>
              <w:t xml:space="preserve">“41. Līdz 2021. gada 30. jūnijam šo </w:t>
            </w:r>
            <w:r w:rsidRPr="00C118B0">
              <w:rPr>
                <w:rStyle w:val="Noklusjumarindkopasfonts1"/>
                <w:rFonts w:ascii="Times New Roman" w:hAnsi="Times New Roman"/>
                <w:sz w:val="24"/>
                <w:szCs w:val="24"/>
                <w:lang w:val="lv-LV"/>
              </w:rPr>
              <w:t xml:space="preserve">noteikumu </w:t>
            </w:r>
            <w:hyperlink r:id="rId9" w:anchor="p5" w:history="1">
              <w:r w:rsidRPr="00C118B0">
                <w:rPr>
                  <w:rStyle w:val="Hipersaite1"/>
                  <w:rFonts w:ascii="Times New Roman" w:hAnsi="Times New Roman"/>
                  <w:color w:val="auto"/>
                  <w:sz w:val="24"/>
                  <w:szCs w:val="24"/>
                  <w:u w:val="none"/>
                  <w:lang w:val="lv-LV"/>
                </w:rPr>
                <w:t>5.</w:t>
              </w:r>
            </w:hyperlink>
            <w:r w:rsidRPr="00C118B0">
              <w:rPr>
                <w:rStyle w:val="Noklusjumarindkopasfonts1"/>
                <w:rFonts w:ascii="Times New Roman" w:hAnsi="Times New Roman"/>
                <w:sz w:val="24"/>
                <w:szCs w:val="24"/>
                <w:lang w:val="lv-LV"/>
              </w:rPr>
              <w:t xml:space="preserve"> punktā </w:t>
            </w:r>
            <w:r w:rsidRPr="000C7419">
              <w:rPr>
                <w:rStyle w:val="Noklusjumarindkopasfonts1"/>
                <w:rFonts w:ascii="Times New Roman" w:hAnsi="Times New Roman"/>
                <w:sz w:val="24"/>
                <w:szCs w:val="24"/>
                <w:lang w:val="lv-LV"/>
              </w:rPr>
              <w:t>minētās prasības nepiemēro Latvijas Republikas Zāļu reģistrā iekļautajām zālēm, kuras īslaicīgi, bet ne ilgāk kā sešus mēnešus nav pieejamas Latvijas tirgum paredzētajā iepakojumā, tādos iepakojumos, kas paredzēti citai Eiropas Savienības dalībvalstij vai Eiropas Ekonomikas zonas valstij, kurā šo zāļu reģistrācijas dokumentācija ir identiska Latvijas Republikas Zāļu reģistrā iekļautajām zālēm, ievērojot sekojošus nosacījumus:</w:t>
            </w:r>
          </w:p>
          <w:p w14:paraId="0AD5456C" w14:textId="77777777" w:rsidR="000C7419" w:rsidRPr="000C7419" w:rsidRDefault="000C7419" w:rsidP="003C6B1E">
            <w:pPr>
              <w:pStyle w:val="Bezatstarpm1"/>
              <w:jc w:val="both"/>
              <w:rPr>
                <w:rFonts w:ascii="Times New Roman" w:hAnsi="Times New Roman"/>
                <w:sz w:val="24"/>
                <w:szCs w:val="24"/>
                <w:lang w:val="lv-LV"/>
              </w:rPr>
            </w:pPr>
            <w:r w:rsidRPr="000C7419">
              <w:rPr>
                <w:rStyle w:val="Noklusjumarindkopasfonts1"/>
                <w:rFonts w:ascii="Times New Roman" w:hAnsi="Times New Roman"/>
                <w:sz w:val="24"/>
                <w:szCs w:val="24"/>
                <w:lang w:val="lv-LV"/>
              </w:rPr>
              <w:t>41.1. piegādājot šīs zāles vairumtirdzniecībā, tai skaitā ārstniecības iestādēm, konkrēto zāļu sūtījumam pievieno vismaz vienu attiecīgo zāļu marķējuma tulkojumu un lietošanas instrukciju valsts valodā. Piegādājot šīs zāles vispārēja tipa aptiekām, sūtījumam pievieno attiecīgo zāļu marķējuma tulkojumu valsts valodā un zāļu lietošanas instrukciju valsts valodā nepieciešamajā daudzumā;</w:t>
            </w:r>
          </w:p>
          <w:p w14:paraId="32D4EDA4" w14:textId="77777777" w:rsidR="000C7419" w:rsidRPr="000C7419" w:rsidRDefault="000C7419" w:rsidP="003C6B1E">
            <w:pPr>
              <w:pStyle w:val="Bezatstarpm1"/>
              <w:jc w:val="both"/>
              <w:rPr>
                <w:rFonts w:ascii="Times New Roman" w:hAnsi="Times New Roman"/>
                <w:sz w:val="24"/>
                <w:szCs w:val="24"/>
                <w:lang w:val="lv-LV"/>
              </w:rPr>
            </w:pPr>
            <w:r w:rsidRPr="000C7419">
              <w:rPr>
                <w:rStyle w:val="Noklusjumarindkopasfonts1"/>
                <w:rFonts w:ascii="Times New Roman" w:hAnsi="Times New Roman"/>
                <w:sz w:val="24"/>
                <w:szCs w:val="24"/>
                <w:lang w:val="lv-LV"/>
              </w:rPr>
              <w:lastRenderedPageBreak/>
              <w:t>41.2. izsniedzot šīs zāles vispārējā tipa aptiekas klientam, farmaceits, informē viņu par zāļu pareizo lietošanu un to, ka zāles ir identiskas Latvijā reģistrētajām zālēm, bet tās nav Latvijas tirgum paredzētajā iepakojumā, un ka iepakojumā nav ievietota zāļu lietošanas instrukcija valsts valodā, kā arī izsniedz zāļu lietošanas instrukciju valsts valodā, to pievienojot pie iepakojuma;</w:t>
            </w:r>
          </w:p>
          <w:p w14:paraId="2DAD8944" w14:textId="77777777" w:rsidR="000C7419" w:rsidRPr="000C7419" w:rsidRDefault="000C7419" w:rsidP="003C6B1E">
            <w:pPr>
              <w:pStyle w:val="Bezatstarpm1"/>
              <w:jc w:val="both"/>
              <w:rPr>
                <w:rFonts w:ascii="Times New Roman" w:hAnsi="Times New Roman"/>
                <w:sz w:val="24"/>
                <w:szCs w:val="24"/>
                <w:lang w:val="lv-LV"/>
              </w:rPr>
            </w:pPr>
            <w:r w:rsidRPr="000C7419">
              <w:rPr>
                <w:rStyle w:val="Noklusjumarindkopasfonts1"/>
                <w:rFonts w:ascii="Times New Roman" w:hAnsi="Times New Roman"/>
                <w:sz w:val="24"/>
                <w:szCs w:val="24"/>
                <w:shd w:val="clear" w:color="auto" w:fill="FFFFFF"/>
                <w:lang w:val="lv-LV"/>
              </w:rPr>
              <w:t xml:space="preserve">41.3. šīs zāles izplata vispārēja tipa aptiekām tikai brīdī, kad </w:t>
            </w:r>
            <w:r w:rsidRPr="000C7419">
              <w:rPr>
                <w:rStyle w:val="Noklusjumarindkopasfonts1"/>
                <w:rFonts w:ascii="Times New Roman" w:hAnsi="Times New Roman"/>
                <w:sz w:val="24"/>
                <w:szCs w:val="24"/>
                <w:lang w:val="lv-LV"/>
              </w:rPr>
              <w:t>Latvijas tirgū nav pieejami citi Latvijas Republikas Zāļu reģistrā iekļauti analogi</w:t>
            </w:r>
            <w:r w:rsidRPr="000C7419">
              <w:rPr>
                <w:rStyle w:val="Noklusjumarindkopasfonts1"/>
                <w:rFonts w:ascii="Times New Roman" w:hAnsi="Times New Roman"/>
                <w:sz w:val="24"/>
                <w:szCs w:val="24"/>
                <w:shd w:val="clear" w:color="auto" w:fill="FFFFFF"/>
                <w:lang w:val="lv-LV"/>
              </w:rPr>
              <w:t>.”;</w:t>
            </w:r>
          </w:p>
          <w:p w14:paraId="35D43C57" w14:textId="42A79CF2" w:rsidR="00B40087" w:rsidRPr="000C7419" w:rsidRDefault="00B40087" w:rsidP="000D586B">
            <w:pPr>
              <w:pStyle w:val="naisc"/>
              <w:ind w:firstLine="5"/>
              <w:jc w:val="both"/>
            </w:pPr>
          </w:p>
        </w:tc>
        <w:tc>
          <w:tcPr>
            <w:tcW w:w="4085" w:type="dxa"/>
            <w:tcBorders>
              <w:left w:val="single" w:sz="6" w:space="0" w:color="000000"/>
              <w:bottom w:val="single" w:sz="4" w:space="0" w:color="auto"/>
              <w:right w:val="single" w:sz="6" w:space="0" w:color="000000"/>
            </w:tcBorders>
          </w:tcPr>
          <w:p w14:paraId="677FB32E" w14:textId="77777777" w:rsidR="000C7419" w:rsidRPr="000C7419" w:rsidRDefault="000C7419" w:rsidP="000C7419">
            <w:pPr>
              <w:ind w:firstLine="720"/>
              <w:jc w:val="both"/>
              <w:rPr>
                <w:b/>
              </w:rPr>
            </w:pPr>
            <w:r w:rsidRPr="000C7419">
              <w:rPr>
                <w:b/>
              </w:rPr>
              <w:lastRenderedPageBreak/>
              <w:t>Tieslietu ministrija</w:t>
            </w:r>
          </w:p>
          <w:p w14:paraId="27EEEAED" w14:textId="77777777" w:rsidR="000C7419" w:rsidRPr="000C7419" w:rsidRDefault="000C7419" w:rsidP="00326EFE">
            <w:pPr>
              <w:contextualSpacing/>
              <w:jc w:val="both"/>
              <w:rPr>
                <w:color w:val="0D0D0D" w:themeColor="text1" w:themeTint="F2"/>
              </w:rPr>
            </w:pPr>
            <w:r w:rsidRPr="000C7419">
              <w:rPr>
                <w:color w:val="0D0D0D" w:themeColor="text1" w:themeTint="F2"/>
              </w:rPr>
              <w:t>3. Projekta Nr. 2. 1.3. apakšpunkta regulējums paredz, ka noteiktos gadījumos nav nepieciešams zāļu iepakojums, uz kura norādīta informācija valsts valodā. Lūdzam skaidrot minētās normas atbilstību Valsts valodas likumam vai precizēt to.</w:t>
            </w:r>
          </w:p>
          <w:p w14:paraId="2A1BB358" w14:textId="278A7617" w:rsidR="00B40087" w:rsidRPr="000C7419" w:rsidRDefault="00B40087" w:rsidP="000C7419">
            <w:pPr>
              <w:ind w:firstLine="197"/>
              <w:jc w:val="both"/>
              <w:rPr>
                <w:bCs/>
              </w:rPr>
            </w:pPr>
          </w:p>
        </w:tc>
        <w:tc>
          <w:tcPr>
            <w:tcW w:w="3428" w:type="dxa"/>
            <w:gridSpan w:val="2"/>
            <w:tcBorders>
              <w:left w:val="single" w:sz="6" w:space="0" w:color="000000"/>
              <w:bottom w:val="single" w:sz="4" w:space="0" w:color="auto"/>
              <w:right w:val="single" w:sz="6" w:space="0" w:color="000000"/>
            </w:tcBorders>
          </w:tcPr>
          <w:p w14:paraId="34DB6576" w14:textId="77777777" w:rsidR="00033457" w:rsidRPr="004E1D99" w:rsidRDefault="00033457" w:rsidP="00033457">
            <w:pPr>
              <w:jc w:val="center"/>
              <w:rPr>
                <w:b/>
              </w:rPr>
            </w:pPr>
            <w:r w:rsidRPr="004E1D99">
              <w:rPr>
                <w:b/>
              </w:rPr>
              <w:t>Ņemts vērā</w:t>
            </w:r>
          </w:p>
          <w:p w14:paraId="6C9F2AC5" w14:textId="56440E0A" w:rsidR="00B40087" w:rsidRDefault="00D35CBD" w:rsidP="006D11EE">
            <w:pPr>
              <w:jc w:val="both"/>
              <w:rPr>
                <w:bCs/>
              </w:rPr>
            </w:pPr>
            <w:r>
              <w:rPr>
                <w:bCs/>
              </w:rPr>
              <w:t xml:space="preserve">Atbilstoši Tieslietu ministrijas </w:t>
            </w:r>
            <w:r>
              <w:t>25.11.2020. atzinumam Nr. 1-9.1/1261</w:t>
            </w:r>
            <w:r>
              <w:rPr>
                <w:bCs/>
              </w:rPr>
              <w:t xml:space="preserve"> anotācija ir papildināta.</w:t>
            </w:r>
          </w:p>
          <w:p w14:paraId="6760A440" w14:textId="77777777" w:rsidR="00C118B0" w:rsidRDefault="00C118B0" w:rsidP="006D11EE">
            <w:pPr>
              <w:jc w:val="both"/>
              <w:rPr>
                <w:bCs/>
              </w:rPr>
            </w:pPr>
          </w:p>
          <w:p w14:paraId="4A25B9B0" w14:textId="1624AAAC" w:rsidR="003C6B1E" w:rsidRDefault="002254F1" w:rsidP="003C6B1E">
            <w:pPr>
              <w:jc w:val="both"/>
              <w:rPr>
                <w:bCs/>
                <w:shd w:val="clear" w:color="auto" w:fill="FFFFFF" w:themeFill="background1"/>
              </w:rPr>
            </w:pPr>
            <w:r>
              <w:rPr>
                <w:bCs/>
                <w:shd w:val="clear" w:color="auto" w:fill="FFFFFF" w:themeFill="background1"/>
              </w:rPr>
              <w:t>Projekta norma</w:t>
            </w:r>
            <w:r w:rsidR="00C118B0">
              <w:rPr>
                <w:bCs/>
                <w:shd w:val="clear" w:color="auto" w:fill="FFFFFF" w:themeFill="background1"/>
              </w:rPr>
              <w:t xml:space="preserve"> nosaka nevis to, </w:t>
            </w:r>
            <w:r w:rsidR="005C0C21">
              <w:rPr>
                <w:bCs/>
                <w:shd w:val="clear" w:color="auto" w:fill="FFFFFF" w:themeFill="background1"/>
              </w:rPr>
              <w:t xml:space="preserve">zālēm var nebūt informācijas valsts valodā, </w:t>
            </w:r>
            <w:r w:rsidR="00C118B0">
              <w:rPr>
                <w:bCs/>
                <w:shd w:val="clear" w:color="auto" w:fill="FFFFFF" w:themeFill="background1"/>
              </w:rPr>
              <w:t xml:space="preserve">bet </w:t>
            </w:r>
            <w:r w:rsidR="005C0C21">
              <w:rPr>
                <w:bCs/>
                <w:shd w:val="clear" w:color="auto" w:fill="FFFFFF" w:themeFill="background1"/>
              </w:rPr>
              <w:t xml:space="preserve">dod </w:t>
            </w:r>
            <w:r w:rsidR="00C118B0">
              <w:rPr>
                <w:bCs/>
                <w:shd w:val="clear" w:color="auto" w:fill="FFFFFF" w:themeFill="background1"/>
              </w:rPr>
              <w:t xml:space="preserve"> alternatīvu veidu </w:t>
            </w:r>
            <w:r w:rsidR="005C0C21">
              <w:rPr>
                <w:bCs/>
                <w:shd w:val="clear" w:color="auto" w:fill="FFFFFF" w:themeFill="background1"/>
              </w:rPr>
              <w:t>kā šo</w:t>
            </w:r>
            <w:r w:rsidR="00C118B0">
              <w:rPr>
                <w:bCs/>
                <w:shd w:val="clear" w:color="auto" w:fill="FFFFFF" w:themeFill="background1"/>
              </w:rPr>
              <w:t xml:space="preserve"> informācijas pievieno</w:t>
            </w:r>
            <w:r w:rsidR="005C0C21">
              <w:rPr>
                <w:bCs/>
                <w:shd w:val="clear" w:color="auto" w:fill="FFFFFF" w:themeFill="background1"/>
              </w:rPr>
              <w:t xml:space="preserve"> pie</w:t>
            </w:r>
            <w:r w:rsidR="00C118B0">
              <w:rPr>
                <w:bCs/>
                <w:shd w:val="clear" w:color="auto" w:fill="FFFFFF" w:themeFill="background1"/>
              </w:rPr>
              <w:t xml:space="preserve"> </w:t>
            </w:r>
            <w:r w:rsidR="005C0C21">
              <w:rPr>
                <w:bCs/>
                <w:shd w:val="clear" w:color="auto" w:fill="FFFFFF" w:themeFill="background1"/>
              </w:rPr>
              <w:t xml:space="preserve">zāļu </w:t>
            </w:r>
            <w:r w:rsidR="00C118B0">
              <w:rPr>
                <w:bCs/>
                <w:shd w:val="clear" w:color="auto" w:fill="FFFFFF" w:themeFill="background1"/>
              </w:rPr>
              <w:t>iepakojuma</w:t>
            </w:r>
            <w:r w:rsidR="005C0C21">
              <w:rPr>
                <w:bCs/>
                <w:shd w:val="clear" w:color="auto" w:fill="FFFFFF" w:themeFill="background1"/>
              </w:rPr>
              <w:t xml:space="preserve"> zālēm, kuras</w:t>
            </w:r>
            <w:r w:rsidR="003C6B1E">
              <w:rPr>
                <w:bCs/>
                <w:shd w:val="clear" w:color="auto" w:fill="FFFFFF" w:themeFill="background1"/>
              </w:rPr>
              <w:t xml:space="preserve"> Latvijā </w:t>
            </w:r>
            <w:r w:rsidR="005C0C21">
              <w:rPr>
                <w:bCs/>
                <w:shd w:val="clear" w:color="auto" w:fill="FFFFFF" w:themeFill="background1"/>
              </w:rPr>
              <w:t>izplata cit</w:t>
            </w:r>
            <w:r w:rsidR="003C6B1E">
              <w:rPr>
                <w:bCs/>
                <w:shd w:val="clear" w:color="auto" w:fill="FFFFFF" w:themeFill="background1"/>
              </w:rPr>
              <w:t>ai Eiropas Ekonomikas zonas valstij paredzētajos iepakojumos</w:t>
            </w:r>
            <w:r w:rsidR="005C0C21">
              <w:rPr>
                <w:bCs/>
                <w:shd w:val="clear" w:color="auto" w:fill="FFFFFF" w:themeFill="background1"/>
              </w:rPr>
              <w:t>, proti  zāļu lietošanas instrukciju valsts valodā pievienos iepakojumam farmaceits aptiekā, izsniedzot zāles</w:t>
            </w:r>
            <w:r w:rsidR="003C6B1E">
              <w:rPr>
                <w:bCs/>
                <w:shd w:val="clear" w:color="auto" w:fill="FFFFFF" w:themeFill="background1"/>
              </w:rPr>
              <w:t xml:space="preserve">, kas nozīmē, ka </w:t>
            </w:r>
            <w:r w:rsidR="005C0C21">
              <w:rPr>
                <w:bCs/>
                <w:shd w:val="clear" w:color="auto" w:fill="FFFFFF" w:themeFill="background1"/>
              </w:rPr>
              <w:t>zāļu vairumtirgotājam (zāļu lieltirgotava</w:t>
            </w:r>
            <w:r w:rsidR="003C6B1E">
              <w:rPr>
                <w:bCs/>
                <w:shd w:val="clear" w:color="auto" w:fill="FFFFFF" w:themeFill="background1"/>
              </w:rPr>
              <w:t>i</w:t>
            </w:r>
            <w:r w:rsidR="005C0C21">
              <w:rPr>
                <w:bCs/>
                <w:shd w:val="clear" w:color="auto" w:fill="FFFFFF" w:themeFill="background1"/>
              </w:rPr>
              <w:t xml:space="preserve">) nebūs jāveic zāļu pārpakošana, </w:t>
            </w:r>
            <w:r w:rsidR="003C6B1E">
              <w:rPr>
                <w:bCs/>
                <w:shd w:val="clear" w:color="auto" w:fill="FFFFFF" w:themeFill="background1"/>
              </w:rPr>
              <w:t xml:space="preserve">lai zāļu sekundārajā iepakojumā ievietotu zāļu lietošanas instrukciju, </w:t>
            </w:r>
            <w:r w:rsidR="005C0C21">
              <w:rPr>
                <w:bCs/>
                <w:shd w:val="clear" w:color="auto" w:fill="FFFFFF" w:themeFill="background1"/>
              </w:rPr>
              <w:t xml:space="preserve">jo tā ir ilgstošāka darbība un Covid-19 uzliesmojuma sakarā var kavēt zāļu piegādes aptiekām un ārstniecības iestādēm. </w:t>
            </w:r>
          </w:p>
          <w:p w14:paraId="021A3504" w14:textId="5D6F0CF2" w:rsidR="003C6B1E" w:rsidRPr="003C6B1E" w:rsidRDefault="003C6B1E" w:rsidP="003C6B1E">
            <w:pPr>
              <w:jc w:val="both"/>
              <w:rPr>
                <w:bCs/>
                <w:shd w:val="clear" w:color="auto" w:fill="FFFFFF" w:themeFill="background1"/>
              </w:rPr>
            </w:pPr>
            <w:r w:rsidRPr="003C6B1E">
              <w:rPr>
                <w:bCs/>
                <w:shd w:val="clear" w:color="auto" w:fill="FFFFFF" w:themeFill="background1"/>
              </w:rPr>
              <w:t xml:space="preserve">Šāds regulējums tika jau pieņemts ar  </w:t>
            </w:r>
            <w:r w:rsidRPr="003C6B1E">
              <w:rPr>
                <w:bCs/>
              </w:rPr>
              <w:t>Ministru kabineta 2020. gada 9. jūnija noteikumiem Nr. 364 “Grozījums Ministru kabineta 2006. gada 17. janvāra noteikumos Nr. 57 "</w:t>
            </w:r>
            <w:hyperlink r:id="rId10" w:tgtFrame="_blank" w:history="1">
              <w:r w:rsidRPr="003C6B1E">
                <w:rPr>
                  <w:rStyle w:val="Hyperlink"/>
                  <w:bCs/>
                  <w:color w:val="auto"/>
                  <w:u w:val="none"/>
                </w:rPr>
                <w:t xml:space="preserve">Noteikumi par zāļu marķēšanas kārtību un </w:t>
              </w:r>
              <w:r w:rsidRPr="003C6B1E">
                <w:rPr>
                  <w:rStyle w:val="Hyperlink"/>
                  <w:bCs/>
                  <w:color w:val="auto"/>
                  <w:u w:val="none"/>
                </w:rPr>
                <w:lastRenderedPageBreak/>
                <w:t>zāļu lietošanas instrukcijai izvirzāmajām prasībām</w:t>
              </w:r>
            </w:hyperlink>
            <w:r w:rsidRPr="003C6B1E">
              <w:rPr>
                <w:bCs/>
              </w:rPr>
              <w:t>"”</w:t>
            </w:r>
            <w:r w:rsidR="002254F1">
              <w:rPr>
                <w:bCs/>
              </w:rPr>
              <w:t>,</w:t>
            </w:r>
            <w:r>
              <w:rPr>
                <w:bCs/>
              </w:rPr>
              <w:t xml:space="preserve"> un Tieslietu ministrijai par to iebildumu nebija.</w:t>
            </w:r>
          </w:p>
          <w:p w14:paraId="03BBF35D" w14:textId="42708370" w:rsidR="003C6B1E" w:rsidRPr="00C118B0" w:rsidRDefault="003C6B1E" w:rsidP="006D11EE">
            <w:pPr>
              <w:jc w:val="both"/>
              <w:rPr>
                <w:bCs/>
              </w:rPr>
            </w:pPr>
          </w:p>
        </w:tc>
        <w:tc>
          <w:tcPr>
            <w:tcW w:w="2126" w:type="dxa"/>
            <w:tcBorders>
              <w:top w:val="single" w:sz="4" w:space="0" w:color="auto"/>
              <w:left w:val="single" w:sz="4" w:space="0" w:color="auto"/>
              <w:bottom w:val="single" w:sz="4" w:space="0" w:color="auto"/>
            </w:tcBorders>
          </w:tcPr>
          <w:p w14:paraId="5C73F9B2" w14:textId="3172763C" w:rsidR="00B40087" w:rsidRPr="00146C5A" w:rsidRDefault="00D35CBD" w:rsidP="00D308E2">
            <w:pPr>
              <w:jc w:val="both"/>
            </w:pPr>
            <w:r>
              <w:lastRenderedPageBreak/>
              <w:t>Skatīt precizēto anotāciju.</w:t>
            </w:r>
          </w:p>
        </w:tc>
      </w:tr>
      <w:tr w:rsidR="000C7419" w:rsidRPr="00146C5A" w14:paraId="0E89135F" w14:textId="77777777" w:rsidTr="007B4A65">
        <w:tc>
          <w:tcPr>
            <w:tcW w:w="708" w:type="dxa"/>
            <w:tcBorders>
              <w:left w:val="single" w:sz="6" w:space="0" w:color="000000"/>
              <w:bottom w:val="single" w:sz="4" w:space="0" w:color="auto"/>
              <w:right w:val="single" w:sz="6" w:space="0" w:color="000000"/>
            </w:tcBorders>
          </w:tcPr>
          <w:p w14:paraId="603D9ECD" w14:textId="77777777" w:rsidR="000C7419" w:rsidRPr="00712B66" w:rsidRDefault="000C7419" w:rsidP="001C1764">
            <w:pPr>
              <w:pStyle w:val="naisc"/>
              <w:numPr>
                <w:ilvl w:val="0"/>
                <w:numId w:val="7"/>
              </w:numPr>
              <w:spacing w:before="0" w:after="0"/>
            </w:pPr>
            <w:bookmarkStart w:id="1" w:name="_GoBack"/>
            <w:bookmarkEnd w:id="1"/>
          </w:p>
        </w:tc>
        <w:tc>
          <w:tcPr>
            <w:tcW w:w="3395" w:type="dxa"/>
            <w:gridSpan w:val="2"/>
            <w:tcBorders>
              <w:left w:val="single" w:sz="6" w:space="0" w:color="000000"/>
              <w:bottom w:val="single" w:sz="4" w:space="0" w:color="auto"/>
              <w:right w:val="single" w:sz="6" w:space="0" w:color="000000"/>
            </w:tcBorders>
          </w:tcPr>
          <w:p w14:paraId="3701F6F7" w14:textId="660503FF" w:rsidR="000C7419" w:rsidRPr="000C7419" w:rsidRDefault="003C6B1E" w:rsidP="00EB4AD5">
            <w:pPr>
              <w:pStyle w:val="naisc"/>
              <w:ind w:firstLine="5"/>
            </w:pPr>
            <w:r>
              <w:t>-</w:t>
            </w:r>
          </w:p>
        </w:tc>
        <w:tc>
          <w:tcPr>
            <w:tcW w:w="4085" w:type="dxa"/>
            <w:tcBorders>
              <w:left w:val="single" w:sz="6" w:space="0" w:color="000000"/>
              <w:bottom w:val="single" w:sz="4" w:space="0" w:color="auto"/>
              <w:right w:val="single" w:sz="6" w:space="0" w:color="000000"/>
            </w:tcBorders>
          </w:tcPr>
          <w:p w14:paraId="2909D18A" w14:textId="77777777" w:rsidR="000C7419" w:rsidRPr="000C7419" w:rsidRDefault="000C7419" w:rsidP="000C7419">
            <w:pPr>
              <w:ind w:firstLine="720"/>
              <w:jc w:val="both"/>
              <w:rPr>
                <w:b/>
              </w:rPr>
            </w:pPr>
            <w:r w:rsidRPr="000C7419">
              <w:rPr>
                <w:b/>
              </w:rPr>
              <w:t>Tieslietu ministrija</w:t>
            </w:r>
          </w:p>
          <w:p w14:paraId="616C290F" w14:textId="4EE120AF" w:rsidR="000C7419" w:rsidRPr="000C7419" w:rsidRDefault="000C7419" w:rsidP="00326EFE">
            <w:pPr>
              <w:contextualSpacing/>
              <w:jc w:val="both"/>
              <w:rPr>
                <w:color w:val="0D0D0D" w:themeColor="text1" w:themeTint="F2"/>
              </w:rPr>
            </w:pPr>
            <w:r w:rsidRPr="000C7419">
              <w:rPr>
                <w:color w:val="0D0D0D" w:themeColor="text1" w:themeTint="F2"/>
              </w:rPr>
              <w:t>4. Projekta Nr. 2. tekstā un anotācijā norādītas vairākas atsauces uz Eiropas Savienības ieteikuma rakstura dokumentiem. Lūdzam minēto informāciju ietvert projekta Nr. 2. anotācijas V sadaļas 3. punktā atbilstoši instrukcijas 59. punktam.</w:t>
            </w:r>
          </w:p>
        </w:tc>
        <w:tc>
          <w:tcPr>
            <w:tcW w:w="3428" w:type="dxa"/>
            <w:gridSpan w:val="2"/>
            <w:tcBorders>
              <w:left w:val="single" w:sz="6" w:space="0" w:color="000000"/>
              <w:bottom w:val="single" w:sz="4" w:space="0" w:color="auto"/>
              <w:right w:val="single" w:sz="6" w:space="0" w:color="000000"/>
            </w:tcBorders>
          </w:tcPr>
          <w:p w14:paraId="7863F6D1" w14:textId="77777777" w:rsidR="00D35CBD" w:rsidRPr="004E1D99" w:rsidRDefault="00D35CBD" w:rsidP="00D35CBD">
            <w:pPr>
              <w:jc w:val="center"/>
              <w:rPr>
                <w:b/>
              </w:rPr>
            </w:pPr>
            <w:r w:rsidRPr="004E1D99">
              <w:rPr>
                <w:b/>
              </w:rPr>
              <w:t>Ņemts vērā</w:t>
            </w:r>
          </w:p>
          <w:p w14:paraId="7F3BA500" w14:textId="77F05DAD" w:rsidR="00694F4A" w:rsidRDefault="00694F4A" w:rsidP="00694F4A">
            <w:pPr>
              <w:jc w:val="both"/>
            </w:pPr>
            <w:r>
              <w:rPr>
                <w:bCs/>
              </w:rPr>
              <w:t xml:space="preserve">Tieslietu ministrijas </w:t>
            </w:r>
            <w:r>
              <w:t>25.11.2020. atzinums Nr. 1-9.1/1261 izvērtēts, lai nekavētu projekta apstiprināšanu, pašreiz no projekta 1.1., 1.2. un 1.4. apakšpunkta tiek izslēgts.</w:t>
            </w:r>
          </w:p>
          <w:p w14:paraId="0D7021A8" w14:textId="2E35F374" w:rsidR="000C7419" w:rsidRPr="004E1D99" w:rsidRDefault="000C7419" w:rsidP="00694F4A">
            <w:pPr>
              <w:jc w:val="both"/>
              <w:rPr>
                <w:b/>
              </w:rPr>
            </w:pPr>
          </w:p>
        </w:tc>
        <w:tc>
          <w:tcPr>
            <w:tcW w:w="2126" w:type="dxa"/>
            <w:tcBorders>
              <w:top w:val="single" w:sz="4" w:space="0" w:color="auto"/>
              <w:left w:val="single" w:sz="4" w:space="0" w:color="auto"/>
              <w:bottom w:val="single" w:sz="4" w:space="0" w:color="auto"/>
            </w:tcBorders>
          </w:tcPr>
          <w:p w14:paraId="21C7F184" w14:textId="12F1EC5A" w:rsidR="000C7419" w:rsidRDefault="003C6B1E" w:rsidP="00D308E2">
            <w:pPr>
              <w:jc w:val="both"/>
            </w:pPr>
            <w:r>
              <w:t>Skatīt izziņas 2. punktu.</w:t>
            </w:r>
          </w:p>
        </w:tc>
      </w:tr>
      <w:tr w:rsidR="00BB2395" w:rsidRPr="00712B66" w14:paraId="3AF8ABAA" w14:textId="77777777" w:rsidTr="007B4A65">
        <w:tblPrEx>
          <w:tblBorders>
            <w:top w:val="none" w:sz="0" w:space="0" w:color="auto"/>
            <w:left w:val="none" w:sz="0" w:space="0" w:color="auto"/>
            <w:bottom w:val="none" w:sz="0" w:space="0" w:color="auto"/>
            <w:right w:val="none" w:sz="0" w:space="0" w:color="auto"/>
          </w:tblBorders>
        </w:tblPrEx>
        <w:trPr>
          <w:gridAfter w:val="2"/>
          <w:wAfter w:w="4455" w:type="dxa"/>
        </w:trPr>
        <w:tc>
          <w:tcPr>
            <w:tcW w:w="3108" w:type="dxa"/>
            <w:gridSpan w:val="2"/>
          </w:tcPr>
          <w:p w14:paraId="53AF1D82" w14:textId="77777777" w:rsidR="00BB2395" w:rsidRPr="000C7419" w:rsidRDefault="00BB2395" w:rsidP="00BB2395">
            <w:pPr>
              <w:pStyle w:val="naiskr"/>
              <w:spacing w:before="0" w:after="0"/>
            </w:pPr>
          </w:p>
          <w:p w14:paraId="000BEB68" w14:textId="77777777" w:rsidR="00BB2395" w:rsidRPr="000C7419" w:rsidRDefault="00BB2395" w:rsidP="00BB2395">
            <w:pPr>
              <w:pStyle w:val="naiskr"/>
              <w:spacing w:before="0" w:after="0"/>
            </w:pPr>
          </w:p>
          <w:p w14:paraId="6452ACD3" w14:textId="77777777" w:rsidR="00BB2395" w:rsidRPr="000C7419" w:rsidRDefault="00BB2395" w:rsidP="00BB2395">
            <w:pPr>
              <w:pStyle w:val="naiskr"/>
              <w:spacing w:before="0" w:after="0"/>
            </w:pPr>
            <w:r w:rsidRPr="000C7419">
              <w:t>Atbildīgā amatpersona</w:t>
            </w:r>
          </w:p>
        </w:tc>
        <w:tc>
          <w:tcPr>
            <w:tcW w:w="6179" w:type="dxa"/>
            <w:gridSpan w:val="3"/>
          </w:tcPr>
          <w:p w14:paraId="52BD15C3" w14:textId="77777777" w:rsidR="00BB2395" w:rsidRPr="000C7419" w:rsidRDefault="00BB2395" w:rsidP="000C7419">
            <w:pPr>
              <w:pStyle w:val="naiskr"/>
              <w:spacing w:before="0" w:after="0"/>
              <w:ind w:firstLine="720"/>
              <w:jc w:val="both"/>
            </w:pPr>
            <w:r w:rsidRPr="000C7419">
              <w:t>  </w:t>
            </w:r>
          </w:p>
        </w:tc>
      </w:tr>
      <w:tr w:rsidR="00BB2395" w:rsidRPr="00712B66" w14:paraId="28ED2874" w14:textId="77777777" w:rsidTr="007B4A65">
        <w:tblPrEx>
          <w:tblBorders>
            <w:top w:val="none" w:sz="0" w:space="0" w:color="auto"/>
            <w:left w:val="none" w:sz="0" w:space="0" w:color="auto"/>
            <w:bottom w:val="none" w:sz="0" w:space="0" w:color="auto"/>
            <w:right w:val="none" w:sz="0" w:space="0" w:color="auto"/>
          </w:tblBorders>
        </w:tblPrEx>
        <w:trPr>
          <w:gridAfter w:val="2"/>
          <w:wAfter w:w="4455" w:type="dxa"/>
        </w:trPr>
        <w:tc>
          <w:tcPr>
            <w:tcW w:w="3108" w:type="dxa"/>
            <w:gridSpan w:val="2"/>
          </w:tcPr>
          <w:p w14:paraId="70DE59B8" w14:textId="77777777" w:rsidR="00BB2395" w:rsidRPr="000C7419"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0C7419" w:rsidRDefault="00BB2395" w:rsidP="000C7419">
            <w:pPr>
              <w:pStyle w:val="naisc"/>
              <w:spacing w:before="0" w:after="0"/>
              <w:ind w:firstLine="720"/>
              <w:jc w:val="both"/>
            </w:pPr>
            <w:r w:rsidRPr="000C7419">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lastRenderedPageBreak/>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12AEA003" w:rsidR="00C020BD" w:rsidRPr="00712B66" w:rsidRDefault="00C55F03" w:rsidP="0032040B">
      <w:pPr>
        <w:pStyle w:val="naisf"/>
        <w:spacing w:before="0" w:after="0"/>
        <w:ind w:firstLine="0"/>
      </w:pPr>
      <w:r>
        <w:t>Ingūna Mača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24813ABE" w:rsidR="008655A2" w:rsidRPr="00712B66" w:rsidRDefault="0032040B" w:rsidP="0036160E">
            <w:r>
              <w:t xml:space="preserve">Veselības ministrijas </w:t>
            </w:r>
            <w:r w:rsidR="00C55F03">
              <w:t>Farmācijas departamenta</w:t>
            </w:r>
            <w:r w:rsidR="005E0CD9">
              <w:t xml:space="preserve"> </w:t>
            </w:r>
            <w:r>
              <w:t>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5E200CA3" w:rsidR="008655A2" w:rsidRPr="00712B66" w:rsidRDefault="0032040B" w:rsidP="0036160E">
            <w:r>
              <w:t>Tālr.:67876</w:t>
            </w:r>
            <w:r w:rsidR="00C55F03">
              <w:t>117</w:t>
            </w:r>
            <w:r>
              <w:t xml:space="preserve">; fakss: </w:t>
            </w:r>
            <w:r w:rsidRPr="0032040B">
              <w:t>67876006</w:t>
            </w:r>
            <w:r w:rsidR="00C55F03">
              <w:t xml:space="preserve">; </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68C1F868" w:rsidR="008655A2" w:rsidRPr="00712B66" w:rsidRDefault="00C55F03" w:rsidP="0036160E">
            <w:r>
              <w:t>inguna</w:t>
            </w:r>
            <w:r w:rsidR="0032040B">
              <w:t>.</w:t>
            </w:r>
            <w:r>
              <w:t>maca</w:t>
            </w:r>
            <w:r w:rsidR="0032040B">
              <w:t>@vm.gov.lv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11"/>
      <w:headerReference w:type="default" r:id="rId12"/>
      <w:footerReference w:type="default" r:id="rId13"/>
      <w:footerReference w:type="first" r:id="rId14"/>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540E" w14:textId="77777777" w:rsidR="00904BD8" w:rsidRDefault="00904BD8">
      <w:r>
        <w:separator/>
      </w:r>
    </w:p>
  </w:endnote>
  <w:endnote w:type="continuationSeparator" w:id="0">
    <w:p w14:paraId="2179DF02" w14:textId="77777777" w:rsidR="00904BD8" w:rsidRDefault="0090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9115" w14:textId="77777777" w:rsidR="00317B4F" w:rsidRDefault="00317B4F" w:rsidP="000C7419">
    <w:pPr>
      <w:pStyle w:val="Footer"/>
      <w:rPr>
        <w:sz w:val="20"/>
        <w:szCs w:val="20"/>
      </w:rPr>
    </w:pPr>
  </w:p>
  <w:p w14:paraId="5CA69B72" w14:textId="6227EDB2" w:rsidR="00561D3C" w:rsidRPr="007B4A65" w:rsidRDefault="000C7419" w:rsidP="000C7419">
    <w:pPr>
      <w:pStyle w:val="Footer"/>
      <w:rPr>
        <w:sz w:val="20"/>
        <w:szCs w:val="20"/>
      </w:rPr>
    </w:pPr>
    <w:r>
      <w:rPr>
        <w:sz w:val="20"/>
        <w:szCs w:val="20"/>
      </w:rPr>
      <w:t>VM</w:t>
    </w:r>
    <w:r w:rsidRPr="00015C84">
      <w:rPr>
        <w:sz w:val="20"/>
        <w:szCs w:val="20"/>
      </w:rPr>
      <w:t>izz_</w:t>
    </w:r>
    <w:r w:rsidR="00326EFE">
      <w:rPr>
        <w:sz w:val="20"/>
        <w:szCs w:val="20"/>
      </w:rPr>
      <w:t>0112</w:t>
    </w:r>
    <w:r>
      <w:rPr>
        <w:sz w:val="20"/>
        <w:szCs w:val="20"/>
      </w:rPr>
      <w:t>20_mk57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F7AC" w14:textId="77777777" w:rsidR="00317B4F" w:rsidRDefault="00317B4F" w:rsidP="00364BB6">
    <w:pPr>
      <w:pStyle w:val="Footer"/>
      <w:rPr>
        <w:sz w:val="20"/>
        <w:szCs w:val="20"/>
      </w:rPr>
    </w:pPr>
  </w:p>
  <w:p w14:paraId="4F32A14C" w14:textId="630453F8" w:rsidR="006455E7" w:rsidRPr="00015C84" w:rsidRDefault="00B65834" w:rsidP="00364BB6">
    <w:pPr>
      <w:pStyle w:val="Footer"/>
      <w:rPr>
        <w:sz w:val="20"/>
        <w:szCs w:val="20"/>
      </w:rPr>
    </w:pPr>
    <w:r>
      <w:rPr>
        <w:sz w:val="20"/>
        <w:szCs w:val="20"/>
      </w:rPr>
      <w:t>VM</w:t>
    </w:r>
    <w:r w:rsidR="00015C84" w:rsidRPr="00015C84">
      <w:rPr>
        <w:sz w:val="20"/>
        <w:szCs w:val="20"/>
      </w:rPr>
      <w:t>izz_</w:t>
    </w:r>
    <w:r w:rsidR="00326EFE">
      <w:rPr>
        <w:sz w:val="20"/>
        <w:szCs w:val="20"/>
      </w:rPr>
      <w:t>0112</w:t>
    </w:r>
    <w:r w:rsidR="00642663">
      <w:rPr>
        <w:sz w:val="20"/>
        <w:szCs w:val="20"/>
      </w:rPr>
      <w:t>20</w:t>
    </w:r>
    <w:r w:rsidR="00F1768E">
      <w:rPr>
        <w:sz w:val="20"/>
        <w:szCs w:val="20"/>
      </w:rPr>
      <w:t>_</w:t>
    </w:r>
    <w:r w:rsidR="000C7419">
      <w:rPr>
        <w:sz w:val="20"/>
        <w:szCs w:val="20"/>
      </w:rPr>
      <w:t>mk57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36D1" w14:textId="77777777" w:rsidR="00904BD8" w:rsidRDefault="00904BD8">
      <w:r>
        <w:separator/>
      </w:r>
    </w:p>
  </w:footnote>
  <w:footnote w:type="continuationSeparator" w:id="0">
    <w:p w14:paraId="2CE8B250" w14:textId="77777777" w:rsidR="00904BD8" w:rsidRDefault="0090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6224B54E" w:rsidR="006455E7" w:rsidRDefault="006455E7" w:rsidP="00317B4F">
    <w:pPr>
      <w:pStyle w:val="Header"/>
      <w:jc w:val="right"/>
    </w:pPr>
  </w:p>
  <w:p w14:paraId="354C4F12" w14:textId="77777777" w:rsidR="00317B4F" w:rsidRDefault="00317B4F" w:rsidP="00317B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3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419"/>
    <w:rsid w:val="000C7907"/>
    <w:rsid w:val="000C7A11"/>
    <w:rsid w:val="000C7F5E"/>
    <w:rsid w:val="000D00AC"/>
    <w:rsid w:val="000D0AED"/>
    <w:rsid w:val="000D3602"/>
    <w:rsid w:val="000D4D89"/>
    <w:rsid w:val="000D586B"/>
    <w:rsid w:val="000D6600"/>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E6CC4"/>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74"/>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54F1"/>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B4F"/>
    <w:rsid w:val="00317DC7"/>
    <w:rsid w:val="003200F9"/>
    <w:rsid w:val="0032040B"/>
    <w:rsid w:val="00320ED9"/>
    <w:rsid w:val="00320F38"/>
    <w:rsid w:val="00321183"/>
    <w:rsid w:val="00321694"/>
    <w:rsid w:val="00321F0A"/>
    <w:rsid w:val="003223CE"/>
    <w:rsid w:val="00322A2D"/>
    <w:rsid w:val="00322E80"/>
    <w:rsid w:val="00324D5B"/>
    <w:rsid w:val="00325045"/>
    <w:rsid w:val="00325D91"/>
    <w:rsid w:val="003267B4"/>
    <w:rsid w:val="00326EFE"/>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6B1E"/>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6EC2"/>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3F66"/>
    <w:rsid w:val="0045402B"/>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371"/>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600"/>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0A6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0C21"/>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B0A"/>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4F4A"/>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6AE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11D9"/>
    <w:rsid w:val="00771BEC"/>
    <w:rsid w:val="007722ED"/>
    <w:rsid w:val="0077408B"/>
    <w:rsid w:val="00774AF6"/>
    <w:rsid w:val="00774EC8"/>
    <w:rsid w:val="00775863"/>
    <w:rsid w:val="00776781"/>
    <w:rsid w:val="00777379"/>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A6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BD8"/>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20EE"/>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16ED"/>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13A"/>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784"/>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0A49"/>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087"/>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298"/>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8B0"/>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72F"/>
    <w:rsid w:val="00C55A32"/>
    <w:rsid w:val="00C55F03"/>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6CE6"/>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08E2"/>
    <w:rsid w:val="00D31813"/>
    <w:rsid w:val="00D3257F"/>
    <w:rsid w:val="00D340E2"/>
    <w:rsid w:val="00D35CBD"/>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627"/>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23F"/>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633"/>
    <w:rsid w:val="00E139EE"/>
    <w:rsid w:val="00E14D83"/>
    <w:rsid w:val="00E14FA6"/>
    <w:rsid w:val="00E15A0D"/>
    <w:rsid w:val="00E16640"/>
    <w:rsid w:val="00E1740F"/>
    <w:rsid w:val="00E200CF"/>
    <w:rsid w:val="00E24084"/>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58A2"/>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AD5"/>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BE5"/>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388"/>
    <w:rsid w:val="00FA6428"/>
    <w:rsid w:val="00FA7144"/>
    <w:rsid w:val="00FA7184"/>
    <w:rsid w:val="00FA7CC6"/>
    <w:rsid w:val="00FB1D9D"/>
    <w:rsid w:val="00FB3304"/>
    <w:rsid w:val="00FB3DE5"/>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15E1"/>
    <w:rsid w:val="00FD2589"/>
    <w:rsid w:val="00FD4876"/>
    <w:rsid w:val="00FD52A3"/>
    <w:rsid w:val="00FD68D4"/>
    <w:rsid w:val="00FD7700"/>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locked/>
    <w:rsid w:val="003C6B1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 w:type="paragraph" w:styleId="NoSpacing">
    <w:name w:val="No Spacing"/>
    <w:basedOn w:val="Normal"/>
    <w:next w:val="Normal"/>
    <w:uiPriority w:val="1"/>
    <w:qFormat/>
    <w:rsid w:val="00FD7700"/>
    <w:pPr>
      <w:widowControl w:val="0"/>
      <w:jc w:val="both"/>
    </w:pPr>
    <w:rPr>
      <w:rFonts w:eastAsia="Calibri"/>
      <w:szCs w:val="22"/>
      <w:lang w:eastAsia="en-US"/>
    </w:rPr>
  </w:style>
  <w:style w:type="paragraph" w:customStyle="1" w:styleId="Bezatstarpm1">
    <w:name w:val="Bez atstarpēm1"/>
    <w:qFormat/>
    <w:rsid w:val="000C7419"/>
    <w:rPr>
      <w:rFonts w:ascii="Calibri" w:eastAsia="Calibri" w:hAnsi="Calibri"/>
      <w:sz w:val="22"/>
      <w:szCs w:val="22"/>
      <w:lang w:val="en-US" w:eastAsia="en-US"/>
    </w:rPr>
  </w:style>
  <w:style w:type="character" w:customStyle="1" w:styleId="Noklusjumarindkopasfonts1">
    <w:name w:val="Noklusējuma rindkopas fonts1"/>
    <w:rsid w:val="000C7419"/>
  </w:style>
  <w:style w:type="character" w:customStyle="1" w:styleId="Hipersaite1">
    <w:name w:val="Hipersaite1"/>
    <w:rsid w:val="000C7419"/>
    <w:rPr>
      <w:color w:val="0000FF"/>
      <w:u w:val="single"/>
    </w:rPr>
  </w:style>
  <w:style w:type="character" w:customStyle="1" w:styleId="Heading3Char">
    <w:name w:val="Heading 3 Char"/>
    <w:basedOn w:val="DefaultParagraphFont"/>
    <w:link w:val="Heading3"/>
    <w:semiHidden/>
    <w:rsid w:val="003C6B1E"/>
    <w:rPr>
      <w:rFonts w:asciiTheme="majorHAnsi" w:eastAsiaTheme="majorEastAsia" w:hAnsiTheme="majorHAnsi" w:cstheme="majorBidi"/>
      <w:color w:val="1F3763" w:themeColor="accent1" w:themeShade="7F"/>
      <w:sz w:val="24"/>
      <w:szCs w:val="24"/>
    </w:rPr>
  </w:style>
  <w:style w:type="paragraph" w:customStyle="1" w:styleId="liknoteik">
    <w:name w:val="lik_noteik"/>
    <w:basedOn w:val="Normal"/>
    <w:rsid w:val="003C6B1E"/>
    <w:pPr>
      <w:spacing w:before="100" w:beforeAutospacing="1" w:after="100" w:afterAutospacing="1"/>
    </w:pPr>
    <w:rPr>
      <w:lang w:bidi="hi-IN"/>
    </w:rPr>
  </w:style>
  <w:style w:type="paragraph" w:customStyle="1" w:styleId="likdat">
    <w:name w:val="lik_dat"/>
    <w:basedOn w:val="Normal"/>
    <w:rsid w:val="003C6B1E"/>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6860667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26348-noteikumi-par-zalu-markesanas-kartibu-un-zalu-lietosanas-instrukcijai-izvirzamajam-prasibam" TargetMode="External"/><Relationship Id="rId4" Type="http://schemas.openxmlformats.org/officeDocument/2006/relationships/settings" Target="settings.xml"/><Relationship Id="rId9" Type="http://schemas.openxmlformats.org/officeDocument/2006/relationships/hyperlink" Target="https://likumi.lv/ta/id/1263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F72BD-20A3-4823-A2A4-E43E86B7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1096</Words>
  <Characters>7942</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2006. gada 17. janvāra noteikumos Nr. 57 "Noteikumi par zālu marķēšanas kārtību un zāļu lietošanas instrukcijai izvirzāmajām prasībām""</vt:lpstr>
      <vt:lpstr>Izziņa par atzinumos sniegtajiem iebildumiem par Ministru kabineta noteikumu projektu "Grozījumi Ministru kabineta 2006. gada 17. janvāra noteikumos Nr. 57 "Noteikumi par zālu marķēšanas kārtību un zāļu lietošanas instrukcijai izvirzāmajām prasībām""</vt:lpstr>
    </vt:vector>
  </TitlesOfParts>
  <Company>Veselības ministrija</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2006. gada 17. janvāra noteikumos Nr. 57 "Noteikumi par zālu marķēšanas kārtību un zāļu lietošanas instrukcijai izvirzāmajām prasībām""</dc:title>
  <dc:subject>Izziņa</dc:subject>
  <dc:creator>Ingūna Mača</dc:creator>
  <cp:keywords/>
  <dc:description>6787617, inguna.maca@vm.gov.lv</dc:description>
  <cp:lastModifiedBy>Ingūna Mača</cp:lastModifiedBy>
  <cp:revision>6</cp:revision>
  <cp:lastPrinted>2020-03-16T07:14:00Z</cp:lastPrinted>
  <dcterms:created xsi:type="dcterms:W3CDTF">2020-11-30T07:22:00Z</dcterms:created>
  <dcterms:modified xsi:type="dcterms:W3CDTF">2020-12-01T08:36:00Z</dcterms:modified>
</cp:coreProperties>
</file>