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F71F" w14:textId="20D02A5A" w:rsidR="0005464C" w:rsidRPr="00016952" w:rsidRDefault="0005464C" w:rsidP="0005464C">
      <w:pPr>
        <w:shd w:val="clear" w:color="auto" w:fill="FFFFFF"/>
        <w:jc w:val="center"/>
        <w:rPr>
          <w:sz w:val="28"/>
          <w:lang w:eastAsia="en-US"/>
        </w:rPr>
      </w:pPr>
      <w:r w:rsidRPr="000E1F64">
        <w:rPr>
          <w:b/>
          <w:sz w:val="28"/>
          <w:szCs w:val="28"/>
        </w:rPr>
        <w:t>Ministru kabineta noteikumu projekta “</w:t>
      </w:r>
      <w:r>
        <w:rPr>
          <w:b/>
          <w:bCs/>
          <w:sz w:val="28"/>
        </w:rPr>
        <w:t xml:space="preserve">Grozījumi Ministru kabineta 2007. gada 15. maija noteikumos Nr. 319 </w:t>
      </w:r>
      <w:r w:rsidR="00465344">
        <w:rPr>
          <w:b/>
          <w:bCs/>
          <w:sz w:val="28"/>
        </w:rPr>
        <w:t>“</w:t>
      </w:r>
      <w:r>
        <w:rPr>
          <w:b/>
          <w:bCs/>
          <w:sz w:val="28"/>
        </w:rPr>
        <w:t>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Pr="000E1F64">
        <w:rPr>
          <w:b/>
          <w:sz w:val="28"/>
          <w:szCs w:val="28"/>
        </w:rPr>
        <w:t>”</w:t>
      </w:r>
      <w:r>
        <w:rPr>
          <w:b/>
          <w:sz w:val="28"/>
          <w:szCs w:val="28"/>
        </w:rPr>
        <w:t xml:space="preserve"> </w:t>
      </w:r>
      <w:r w:rsidRPr="000E1F64">
        <w:rPr>
          <w:b/>
          <w:bCs/>
          <w:sz w:val="28"/>
          <w:szCs w:val="28"/>
        </w:rPr>
        <w:t>sākotnējās ietekmes novērtējuma ziņojums (anotācija)</w:t>
      </w:r>
    </w:p>
    <w:p w14:paraId="79F52857" w14:textId="77777777" w:rsidR="0005464C" w:rsidRPr="001A5641" w:rsidRDefault="0005464C" w:rsidP="0005464C">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791"/>
      </w:tblGrid>
      <w:tr w:rsidR="0005464C" w:rsidRPr="001A5641" w14:paraId="677A5546" w14:textId="77777777" w:rsidTr="00CA1069">
        <w:trPr>
          <w:cantSplit/>
        </w:trPr>
        <w:tc>
          <w:tcPr>
            <w:tcW w:w="9581" w:type="dxa"/>
            <w:gridSpan w:val="2"/>
            <w:shd w:val="clear" w:color="auto" w:fill="FFFFFF"/>
            <w:vAlign w:val="center"/>
            <w:hideMark/>
          </w:tcPr>
          <w:p w14:paraId="4D1987C4" w14:textId="77777777" w:rsidR="0005464C" w:rsidRPr="001A5641" w:rsidRDefault="0005464C" w:rsidP="00CA1069">
            <w:pPr>
              <w:jc w:val="center"/>
              <w:rPr>
                <w:b/>
                <w:iCs/>
                <w:lang w:eastAsia="en-US"/>
              </w:rPr>
            </w:pPr>
            <w:r w:rsidRPr="001A5641">
              <w:rPr>
                <w:b/>
                <w:iCs/>
                <w:lang w:eastAsia="en-US"/>
              </w:rPr>
              <w:t>Tiesību akta projekta anotācijas kopsavilkums</w:t>
            </w:r>
          </w:p>
        </w:tc>
      </w:tr>
      <w:tr w:rsidR="0005464C" w:rsidRPr="001A5641" w14:paraId="4FE7C78C" w14:textId="77777777" w:rsidTr="00CA1069">
        <w:trPr>
          <w:cantSplit/>
        </w:trPr>
        <w:tc>
          <w:tcPr>
            <w:tcW w:w="3430" w:type="dxa"/>
            <w:shd w:val="clear" w:color="auto" w:fill="FFFFFF"/>
            <w:hideMark/>
          </w:tcPr>
          <w:p w14:paraId="5B264DEC" w14:textId="77777777" w:rsidR="0005464C" w:rsidRPr="001A5641" w:rsidRDefault="0005464C" w:rsidP="00CA1069">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14:paraId="67883B5C" w14:textId="77777777" w:rsidR="0005464C" w:rsidRDefault="0005464C" w:rsidP="00CA1069">
            <w:pPr>
              <w:jc w:val="both"/>
              <w:rPr>
                <w:iCs/>
                <w:lang w:eastAsia="en-US"/>
              </w:rPr>
            </w:pPr>
            <w:r>
              <w:rPr>
                <w:iCs/>
                <w:lang w:eastAsia="en-US"/>
              </w:rPr>
              <w:t>Projekts šo jomu neskar.</w:t>
            </w:r>
          </w:p>
          <w:p w14:paraId="705A3673" w14:textId="77777777" w:rsidR="0005464C" w:rsidRPr="0029647A" w:rsidRDefault="0005464C" w:rsidP="00CA1069">
            <w:pPr>
              <w:jc w:val="both"/>
              <w:rPr>
                <w:iCs/>
                <w:lang w:eastAsia="en-US"/>
              </w:rPr>
            </w:pPr>
          </w:p>
        </w:tc>
      </w:tr>
    </w:tbl>
    <w:p w14:paraId="09DF23C0" w14:textId="77777777" w:rsidR="0005464C" w:rsidRPr="001A5641" w:rsidRDefault="0005464C" w:rsidP="007520AF">
      <w:pPr>
        <w:pStyle w:val="Nosaukum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042"/>
        <w:gridCol w:w="6779"/>
      </w:tblGrid>
      <w:tr w:rsidR="0005464C" w:rsidRPr="001A5641" w14:paraId="38D2ED83" w14:textId="77777777" w:rsidTr="00CA1069">
        <w:trPr>
          <w:cantSplit/>
        </w:trPr>
        <w:tc>
          <w:tcPr>
            <w:tcW w:w="0" w:type="auto"/>
            <w:gridSpan w:val="3"/>
            <w:vAlign w:val="center"/>
            <w:hideMark/>
          </w:tcPr>
          <w:p w14:paraId="506B20B7" w14:textId="77777777" w:rsidR="0005464C" w:rsidRPr="00370B7B" w:rsidRDefault="0005464C" w:rsidP="00CA1069">
            <w:pPr>
              <w:jc w:val="center"/>
              <w:rPr>
                <w:b/>
                <w:bCs/>
              </w:rPr>
            </w:pPr>
            <w:r w:rsidRPr="001A5641">
              <w:rPr>
                <w:b/>
                <w:bCs/>
              </w:rPr>
              <w:t>I. Tiesību akta projekta izstrādes nepieciešamība</w:t>
            </w:r>
          </w:p>
        </w:tc>
      </w:tr>
      <w:tr w:rsidR="0005464C" w:rsidRPr="001A5641" w14:paraId="0936F87F" w14:textId="77777777" w:rsidTr="00CA1069">
        <w:trPr>
          <w:cantSplit/>
        </w:trPr>
        <w:tc>
          <w:tcPr>
            <w:tcW w:w="0" w:type="auto"/>
            <w:hideMark/>
          </w:tcPr>
          <w:p w14:paraId="0EEE9D0D" w14:textId="77777777" w:rsidR="0005464C" w:rsidRPr="001A5641" w:rsidRDefault="0005464C" w:rsidP="00CA1069">
            <w:pPr>
              <w:jc w:val="center"/>
            </w:pPr>
            <w:r w:rsidRPr="001A5641">
              <w:t>1.</w:t>
            </w:r>
          </w:p>
        </w:tc>
        <w:tc>
          <w:tcPr>
            <w:tcW w:w="0" w:type="auto"/>
            <w:hideMark/>
          </w:tcPr>
          <w:p w14:paraId="730BA2C2" w14:textId="77777777" w:rsidR="0005464C" w:rsidRDefault="0005464C" w:rsidP="00CA1069">
            <w:r w:rsidRPr="001A5641">
              <w:t>Pamatojums</w:t>
            </w:r>
          </w:p>
          <w:p w14:paraId="206FDEAB" w14:textId="77777777" w:rsidR="0005464C" w:rsidRPr="00370B7B" w:rsidRDefault="0005464C" w:rsidP="00CA1069"/>
          <w:p w14:paraId="7EBE1910" w14:textId="77777777" w:rsidR="0005464C" w:rsidRPr="00370B7B" w:rsidRDefault="0005464C" w:rsidP="00CA1069"/>
          <w:p w14:paraId="5DD47DEF" w14:textId="77777777" w:rsidR="0005464C" w:rsidRPr="00370B7B" w:rsidRDefault="0005464C" w:rsidP="00CA1069"/>
        </w:tc>
        <w:tc>
          <w:tcPr>
            <w:tcW w:w="0" w:type="auto"/>
            <w:hideMark/>
          </w:tcPr>
          <w:p w14:paraId="39E73074" w14:textId="77777777" w:rsidR="009A46B5" w:rsidRDefault="009A46B5" w:rsidP="009A46B5">
            <w:pPr>
              <w:jc w:val="both"/>
            </w:pPr>
            <w:r>
              <w:t>Farmācijas likuma 5. panta 3. un 13. punkts un 52. pants.</w:t>
            </w:r>
          </w:p>
          <w:p w14:paraId="3BF0353B" w14:textId="14A931C6" w:rsidR="0005464C" w:rsidRPr="00A02C73" w:rsidRDefault="0005464C" w:rsidP="009A46B5">
            <w:pPr>
              <w:jc w:val="both"/>
            </w:pPr>
            <w:r>
              <w:t xml:space="preserve">Eiropas Komisijas (turpmāk </w:t>
            </w:r>
            <w:r w:rsidR="00766BF2">
              <w:t>–</w:t>
            </w:r>
            <w:r>
              <w:t xml:space="preserve"> EK) </w:t>
            </w:r>
            <w:r w:rsidR="005F7662" w:rsidRPr="00D85A28">
              <w:t>2020.</w:t>
            </w:r>
            <w:r w:rsidR="005F7662">
              <w:t> </w:t>
            </w:r>
            <w:r w:rsidR="005F7662" w:rsidRPr="00D85A28">
              <w:t>gada 8.</w:t>
            </w:r>
            <w:r w:rsidR="005F7662">
              <w:t> </w:t>
            </w:r>
            <w:r w:rsidR="005F7662" w:rsidRPr="00D85A28">
              <w:t xml:space="preserve">aprīļa </w:t>
            </w:r>
            <w:r>
              <w:t>paziņojum</w:t>
            </w:r>
            <w:r w:rsidR="00766BF2">
              <w:t>s</w:t>
            </w:r>
            <w:r>
              <w:t xml:space="preserve"> “Vadlīnijas par optimālu un racionālu apgādi ar zālēm, lai novērstu zāļu deficītu Covid-19 uzliesmojuma laikā” (2020/C 116/01).</w:t>
            </w:r>
          </w:p>
        </w:tc>
      </w:tr>
      <w:tr w:rsidR="0005464C" w:rsidRPr="001A5641" w14:paraId="37115413" w14:textId="77777777" w:rsidTr="00CA1069">
        <w:trPr>
          <w:trHeight w:val="20"/>
        </w:trPr>
        <w:tc>
          <w:tcPr>
            <w:tcW w:w="0" w:type="auto"/>
          </w:tcPr>
          <w:p w14:paraId="1CE7CE5F" w14:textId="77777777" w:rsidR="0005464C" w:rsidRPr="001A5641" w:rsidRDefault="0005464C" w:rsidP="00CA1069">
            <w:pPr>
              <w:jc w:val="center"/>
            </w:pPr>
            <w:r w:rsidRPr="00E80687">
              <w:t>2.</w:t>
            </w:r>
          </w:p>
        </w:tc>
        <w:tc>
          <w:tcPr>
            <w:tcW w:w="0" w:type="auto"/>
          </w:tcPr>
          <w:p w14:paraId="03E4C8C4" w14:textId="77777777" w:rsidR="0005464C" w:rsidRPr="001A5641" w:rsidRDefault="0005464C" w:rsidP="00CA1069">
            <w:r w:rsidRPr="00E80687">
              <w:t>Pašreizējā situācija un problēmas, kuru risināšanai tiesību akta projekts izstrādāts, tiesiskā regulējuma mērķis un būtība</w:t>
            </w:r>
          </w:p>
        </w:tc>
        <w:tc>
          <w:tcPr>
            <w:tcW w:w="0" w:type="auto"/>
          </w:tcPr>
          <w:p w14:paraId="7AF6A7CB" w14:textId="6CF577CA" w:rsidR="0005464C" w:rsidRPr="00F962D0" w:rsidRDefault="0005464C" w:rsidP="00CA1069">
            <w:pPr>
              <w:jc w:val="both"/>
            </w:pPr>
            <w:r w:rsidRPr="00F962D0">
              <w:t xml:space="preserve">Ministru kabineta 2007. gada 15. maija noteikumos Nr. 319 </w:t>
            </w:r>
            <w:r w:rsidR="00465344" w:rsidRPr="00F962D0">
              <w:t>“</w:t>
            </w:r>
            <w:r w:rsidRPr="00F962D0">
              <w:t>Noteikumi par veterināro zāļu ražošanu un kontroli, kārtību, kādā veterināro zāļu ražotājam izsniedz labas ražošanas prakses sertifikātu un par veterināro zāļu ražošanu atbildīgās amatpersonas kvalifikācijas un profesionālās pieredzes prasībām” (turpmāk – noteikumi Nr.</w:t>
            </w:r>
            <w:r w:rsidR="00283D3D" w:rsidRPr="00F962D0">
              <w:t xml:space="preserve"> </w:t>
            </w:r>
            <w:r w:rsidRPr="00F962D0">
              <w:t xml:space="preserve">319) noteikts, ka Pārtikas un veterinārais dienests (turpmāk – dienests) vai Zāļu valsts aģentūra (turpmāk </w:t>
            </w:r>
            <w:r w:rsidR="004C3F4B" w:rsidRPr="00F962D0">
              <w:t>–</w:t>
            </w:r>
            <w:r w:rsidRPr="00F962D0">
              <w:t xml:space="preserve"> aģentūra) personai, kas ražo vai importē no trešajām valstīm veterinārās zāles</w:t>
            </w:r>
            <w:r w:rsidR="00465344" w:rsidRPr="00F962D0">
              <w:t>,</w:t>
            </w:r>
            <w:r w:rsidRPr="00F962D0">
              <w:t xml:space="preserve"> (turpmāk – ražotājs) ne retāk kā reizi trīs gados veic veterināro zāļu labas ražošanas prakses atbilstības p</w:t>
            </w:r>
            <w:r w:rsidR="00975D84" w:rsidRPr="00F962D0">
              <w:t>ā</w:t>
            </w:r>
            <w:r w:rsidRPr="00F962D0">
              <w:t>rbaudi uz vietas uzņ</w:t>
            </w:r>
            <w:r w:rsidR="00975D84" w:rsidRPr="00F962D0">
              <w:t>ē</w:t>
            </w:r>
            <w:r w:rsidRPr="00F962D0">
              <w:t>mumā un izsniedz veterināro zāļu labas ražošanas prakses sertifikātu, ja ir nodrošināta atbilstība noteikumu Nr.</w:t>
            </w:r>
            <w:r w:rsidR="00283D3D" w:rsidRPr="00F962D0">
              <w:t xml:space="preserve"> </w:t>
            </w:r>
            <w:r w:rsidRPr="00F962D0">
              <w:t xml:space="preserve">319 prasībām. </w:t>
            </w:r>
          </w:p>
          <w:p w14:paraId="63901779" w14:textId="200169F6" w:rsidR="0005464C" w:rsidRPr="00F962D0" w:rsidRDefault="0005464C" w:rsidP="00CA1069">
            <w:pPr>
              <w:jc w:val="both"/>
            </w:pPr>
            <w:r w:rsidRPr="00F962D0">
              <w:t>Sai</w:t>
            </w:r>
            <w:r w:rsidR="00766BF2" w:rsidRPr="00F962D0">
              <w:t>s</w:t>
            </w:r>
            <w:r w:rsidRPr="00F962D0">
              <w:t>tībā ar Covid-19 pandēmiju gan Eiropas Savienības dalībvalstīs, gan citās valstīs ir noteikti cilvēku pārvietošanās un pulcēšanas ierobežojumi. Tādēļ ir iespējami veterināro zāļu piegāžu p</w:t>
            </w:r>
            <w:r w:rsidR="00766BF2" w:rsidRPr="00F962D0">
              <w:t>ā</w:t>
            </w:r>
            <w:r w:rsidRPr="00F962D0">
              <w:t>rt</w:t>
            </w:r>
            <w:r w:rsidR="00D269E2" w:rsidRPr="00F962D0">
              <w:t>r</w:t>
            </w:r>
            <w:r w:rsidRPr="00F962D0">
              <w:t xml:space="preserve">aukumi, ja noteikto ierobežojumu dēļ nav iespējams </w:t>
            </w:r>
            <w:r w:rsidR="00465344" w:rsidRPr="00F962D0">
              <w:t>laikus</w:t>
            </w:r>
            <w:r w:rsidRPr="00F962D0">
              <w:t xml:space="preserve"> veikt kārtējo labas ražošanas prakses atbilstības pārbaudi un izsniegt labas ražošanas prakses sertifikātu. </w:t>
            </w:r>
          </w:p>
          <w:p w14:paraId="65B5767A" w14:textId="097E7A50" w:rsidR="00FE001C" w:rsidRPr="00F962D0" w:rsidRDefault="0005464C" w:rsidP="00CA1069">
            <w:pPr>
              <w:jc w:val="both"/>
            </w:pPr>
            <w:r w:rsidRPr="00F962D0">
              <w:t xml:space="preserve">EK </w:t>
            </w:r>
            <w:r w:rsidR="005F7662" w:rsidRPr="00F962D0">
              <w:t xml:space="preserve">2020. gada 8. aprīļa </w:t>
            </w:r>
            <w:r w:rsidRPr="00F962D0">
              <w:t>paziņojumā “Vadlīnijas par optimālu un racionālu apgādi ar zālēm, lai novērstu zāļu deficītu Covid-19 uzliesmojuma laikā” ir minēts, ka slimības uzliesmojuma bezprecedenta rakstura dēļ dalībvalstīm jā</w:t>
            </w:r>
            <w:r w:rsidR="00465344" w:rsidRPr="00F962D0">
              <w:t>īsteno</w:t>
            </w:r>
            <w:r w:rsidRPr="00F962D0">
              <w:t xml:space="preserve"> ārkārtas pasākumi, lai n</w:t>
            </w:r>
            <w:r w:rsidR="00D269E2" w:rsidRPr="00F962D0">
              <w:t>o</w:t>
            </w:r>
            <w:r w:rsidRPr="00F962D0">
              <w:t>drošinātu zāļu pieejamību</w:t>
            </w:r>
            <w:r w:rsidR="00465344" w:rsidRPr="00F962D0">
              <w:t>, t</w:t>
            </w:r>
            <w:r w:rsidRPr="00F962D0">
              <w:t>ā</w:t>
            </w:r>
            <w:r w:rsidR="00465344" w:rsidRPr="00F962D0">
              <w:t>pēc</w:t>
            </w:r>
            <w:r w:rsidRPr="00F962D0">
              <w:t xml:space="preserve"> EK aicina dalībvalstis piešķirt farmācijas nozarei regulatīvo elastību, tostarp atļaut pagarināt ražošanas uzņēmumu labas ražošanas prakses sertifikātu derīgumu. Tāpat EK, Eiropas Zāļu aģentūras (turpmāk</w:t>
            </w:r>
            <w:r w:rsidR="00D269E2" w:rsidRPr="00F962D0">
              <w:t xml:space="preserve"> –</w:t>
            </w:r>
            <w:r w:rsidRPr="00F962D0">
              <w:t xml:space="preserve"> EZA) un Eiropas</w:t>
            </w:r>
            <w:r w:rsidR="00A5089F" w:rsidRPr="00F962D0">
              <w:t xml:space="preserve"> valstu</w:t>
            </w:r>
            <w:r w:rsidRPr="00F962D0">
              <w:t xml:space="preserve"> zāļu aģentūru vadītāju</w:t>
            </w:r>
            <w:r w:rsidR="00A5089F" w:rsidRPr="00F962D0">
              <w:t xml:space="preserve"> </w:t>
            </w:r>
            <w:r w:rsidRPr="00F962D0">
              <w:t>2020.</w:t>
            </w:r>
            <w:r w:rsidR="00283D3D" w:rsidRPr="00F962D0">
              <w:t xml:space="preserve"> </w:t>
            </w:r>
            <w:r w:rsidRPr="00F962D0">
              <w:t>gada 30.</w:t>
            </w:r>
            <w:r w:rsidR="00283D3D" w:rsidRPr="00F962D0">
              <w:t xml:space="preserve"> </w:t>
            </w:r>
            <w:r w:rsidRPr="00F962D0">
              <w:t>aprīļa paziņojumā “Jautājumu un atbilžu dokuments par veterināro zāļu reglamentējuma jautājumiem Covid-19 pandēmijas laikā”  (</w:t>
            </w:r>
            <w:hyperlink r:id="rId6" w:history="1">
              <w:r w:rsidRPr="00F962D0">
                <w:rPr>
                  <w:rStyle w:val="Hipersaite"/>
                  <w:i/>
                  <w:iCs/>
                </w:rPr>
                <w:t>https://ec.europa.eu/food/sites/food/files/animals/docs/ah_vet-med_covid-19_qandas.pdf</w:t>
              </w:r>
            </w:hyperlink>
            <w:r w:rsidRPr="00F962D0">
              <w:t xml:space="preserve">) ir uzsvērts, ka veterinārajām zālēm ir fundamentāla nozīme dzīvnieku veselības saglabāšanā un pārtikas </w:t>
            </w:r>
            <w:r w:rsidRPr="00F962D0">
              <w:lastRenderedPageBreak/>
              <w:t>ķēdes nepārtrauktībā, sniedzot būtisku ieguldījumu sabiedrības veselībā. Valstīm jāveido elastīga pieeja, novēršot veterināro zāļu pieejamības problēmas un nodrošinot veterināro zāļu piegāžu nepārtrauktību Covid</w:t>
            </w:r>
            <w:r w:rsidR="00283D3D" w:rsidRPr="00F962D0">
              <w:t>-</w:t>
            </w:r>
            <w:r w:rsidRPr="00F962D0">
              <w:t>19 pandēmijas laikā</w:t>
            </w:r>
            <w:r w:rsidR="00465344" w:rsidRPr="00F962D0">
              <w:t>, t</w:t>
            </w:r>
            <w:r w:rsidRPr="00F962D0">
              <w:t>ā</w:t>
            </w:r>
            <w:r w:rsidR="00465344" w:rsidRPr="00F962D0">
              <w:t>pēc</w:t>
            </w:r>
            <w:r w:rsidRPr="00F962D0">
              <w:t xml:space="preserve"> EK un EZA aicina dalībvalstis automātiski pagarināt veterināro zāļu ražotājiem izsniegto veterināro zāļu labas ražošanas sertifikāta derīgum</w:t>
            </w:r>
            <w:r w:rsidR="005F74B4" w:rsidRPr="00F962D0">
              <w:t>u</w:t>
            </w:r>
            <w:r w:rsidRPr="00F962D0">
              <w:t xml:space="preserve"> līdz 2021.</w:t>
            </w:r>
            <w:r w:rsidR="00824C98" w:rsidRPr="00F962D0">
              <w:t> </w:t>
            </w:r>
            <w:r w:rsidRPr="00F962D0">
              <w:t>gada 31.</w:t>
            </w:r>
            <w:r w:rsidR="00824C98" w:rsidRPr="00F962D0">
              <w:t> </w:t>
            </w:r>
            <w:r w:rsidRPr="00F962D0">
              <w:t xml:space="preserve">decembrim, neprasot no attiecīgā sertifikāta turētāja </w:t>
            </w:r>
            <w:r w:rsidR="00465344" w:rsidRPr="00F962D0">
              <w:t>puses</w:t>
            </w:r>
            <w:r w:rsidRPr="00F962D0">
              <w:t xml:space="preserve"> </w:t>
            </w:r>
            <w:r w:rsidR="00465344" w:rsidRPr="00F962D0">
              <w:t>ne</w:t>
            </w:r>
            <w:r w:rsidRPr="00F962D0">
              <w:t>kādas darbības, jo labas ražošanas prakses kontrole uz vietas ir apgrūtināta valstu noteikto ierobežojumu dēļ. Tomēr, ja veterināro zāļu ražošanas uzņēmumā paredzētas izmaiņas ražošanas procesā</w:t>
            </w:r>
            <w:r w:rsidR="00684FCF" w:rsidRPr="00F962D0">
              <w:t xml:space="preserve"> (piemēram, ir jaunas iekārtas, jaunas telpas, jaunas ražojamās zāles utt.)</w:t>
            </w:r>
            <w:r w:rsidR="00932464" w:rsidRPr="00F962D0">
              <w:t xml:space="preserve"> un</w:t>
            </w:r>
            <w:r w:rsidRPr="00F962D0">
              <w:t xml:space="preserve"> pirms sertifikāta izsniegš</w:t>
            </w:r>
            <w:r w:rsidR="00684FCF" w:rsidRPr="00F962D0">
              <w:t>a</w:t>
            </w:r>
            <w:r w:rsidRPr="00F962D0">
              <w:t>nas ir jāveic labas ražo</w:t>
            </w:r>
            <w:r w:rsidR="00684FCF" w:rsidRPr="00F962D0">
              <w:t>š</w:t>
            </w:r>
            <w:r w:rsidRPr="00F962D0">
              <w:t xml:space="preserve">anas prakses atbilstības pārbaude, </w:t>
            </w:r>
            <w:r w:rsidR="00932464" w:rsidRPr="00F962D0">
              <w:t xml:space="preserve">tad </w:t>
            </w:r>
            <w:r w:rsidRPr="00F962D0">
              <w:t xml:space="preserve">kompetentā iestāde nevar piemērot automātisko sertifikāta </w:t>
            </w:r>
            <w:r w:rsidR="005F74B4" w:rsidRPr="00F962D0">
              <w:t>derīguma</w:t>
            </w:r>
            <w:r w:rsidRPr="00F962D0">
              <w:t xml:space="preserve"> pagarinājumu</w:t>
            </w:r>
            <w:r w:rsidR="007B65DC" w:rsidRPr="00F962D0">
              <w:t xml:space="preserve"> un var pieņemt lēmumu </w:t>
            </w:r>
            <w:r w:rsidR="00824C98" w:rsidRPr="00F962D0">
              <w:t>par</w:t>
            </w:r>
            <w:r w:rsidR="007B65DC" w:rsidRPr="00F962D0">
              <w:t xml:space="preserve"> attālināt</w:t>
            </w:r>
            <w:r w:rsidR="00824C98" w:rsidRPr="00F962D0">
              <w:t>u</w:t>
            </w:r>
            <w:r w:rsidR="007B65DC" w:rsidRPr="00F962D0">
              <w:t xml:space="preserve"> pārbaud</w:t>
            </w:r>
            <w:r w:rsidR="00824C98" w:rsidRPr="00F962D0">
              <w:t>i</w:t>
            </w:r>
            <w:r w:rsidRPr="00F962D0">
              <w:t xml:space="preserve">. </w:t>
            </w:r>
          </w:p>
          <w:p w14:paraId="5D254462" w14:textId="54EC4DFD" w:rsidR="00FE001C" w:rsidRPr="00F962D0" w:rsidRDefault="00283F65" w:rsidP="00283F65">
            <w:pPr>
              <w:jc w:val="both"/>
            </w:pPr>
            <w:r w:rsidRPr="00F962D0">
              <w:t>Ja dienests vai aģentūra pieņem lēmumu labas ražošanas prakses atbilstības novērtē</w:t>
            </w:r>
            <w:r w:rsidR="00824C98" w:rsidRPr="00F962D0">
              <w:t>t attālināti</w:t>
            </w:r>
            <w:r w:rsidRPr="00F962D0">
              <w:t xml:space="preserve">, </w:t>
            </w:r>
            <w:r w:rsidR="00824C98" w:rsidRPr="00F962D0">
              <w:t xml:space="preserve">attiecīgā iestāde </w:t>
            </w:r>
            <w:r w:rsidRPr="00F962D0">
              <w:t>par pieņemto lēmumu paziņo ražotājam. Šādos gadījumos tiek norādīts, ka sertifikāts tiks piešķirts, pamatojoties uz attālinātu novērtējumu. Ja apstākļi to atļauj, veic pārbaudi uz vietas. Ja attālinātā novērtējuma rezultāts neļauj piešķirt labas ražošanas prakses sertifikātu, pieņem lēmumu par sertifikāta izsniegšanas pagaidu atlikšanu un tā izsniegšanas procesu atsāk ar brīdi, kad ir iespējams veikt pārbaudi uz vietas. Ja ražotne atrodas Eiropas Ekonomiskās zonas (EEZ) valstī, jaun</w:t>
            </w:r>
            <w:r w:rsidR="00824C98" w:rsidRPr="00F962D0">
              <w:t>as</w:t>
            </w:r>
            <w:r w:rsidRPr="00F962D0">
              <w:t xml:space="preserve"> ražotn</w:t>
            </w:r>
            <w:r w:rsidR="00824C98" w:rsidRPr="00F962D0">
              <w:t>es</w:t>
            </w:r>
            <w:r w:rsidRPr="00F962D0">
              <w:t>, iekārt</w:t>
            </w:r>
            <w:r w:rsidR="00824C98" w:rsidRPr="00F962D0">
              <w:t>as</w:t>
            </w:r>
            <w:r w:rsidRPr="00F962D0">
              <w:t xml:space="preserve"> un aprīkojum</w:t>
            </w:r>
            <w:r w:rsidR="00824C98" w:rsidRPr="00F962D0">
              <w:t>u</w:t>
            </w:r>
            <w:r w:rsidRPr="00F962D0">
              <w:t xml:space="preserve">, kas iepriekš nav pārbaudīts un atļauts, var </w:t>
            </w:r>
            <w:r w:rsidR="00824C98" w:rsidRPr="00F962D0">
              <w:t>novērtēt</w:t>
            </w:r>
            <w:r w:rsidR="00824C98" w:rsidRPr="00F962D0" w:rsidDel="00824C98">
              <w:t xml:space="preserve"> </w:t>
            </w:r>
            <w:r w:rsidRPr="00F962D0">
              <w:t>attālināt</w:t>
            </w:r>
            <w:r w:rsidR="00824C98" w:rsidRPr="00F962D0">
              <w:t>i, lai saprastu</w:t>
            </w:r>
            <w:r w:rsidRPr="00F962D0">
              <w:t xml:space="preserve"> mērķi, vai šīs ražotnes darbību </w:t>
            </w:r>
            <w:r w:rsidR="00824C98" w:rsidRPr="00F962D0">
              <w:t xml:space="preserve">var atļaut </w:t>
            </w:r>
            <w:r w:rsidRPr="00F962D0">
              <w:t>bez pārbaudes</w:t>
            </w:r>
            <w:r w:rsidR="005F74B4" w:rsidRPr="00F962D0">
              <w:t xml:space="preserve"> klātienē</w:t>
            </w:r>
            <w:r w:rsidRPr="00F962D0">
              <w:t>. Ja ražotne atrodas valstī, kas atrodas ārpus EEZ, ar kuru Eiropas Savienība ir noslēgusi labas ražošanas prakses atbilstības savstarpējas atzīšanas līgumu</w:t>
            </w:r>
            <w:r w:rsidR="00824C98" w:rsidRPr="00F962D0">
              <w:t>,</w:t>
            </w:r>
            <w:r w:rsidRPr="00F962D0">
              <w:t xml:space="preserve"> vai noslēgtais savstarpējās atzīšanas līgums ietver savstarpējo atzīšanu šajā jomā, dienests vai aģentūra jaun</w:t>
            </w:r>
            <w:r w:rsidR="00824C98" w:rsidRPr="00F962D0">
              <w:t>ās</w:t>
            </w:r>
            <w:r w:rsidRPr="00F962D0">
              <w:t xml:space="preserve"> ražot</w:t>
            </w:r>
            <w:r w:rsidR="00824C98" w:rsidRPr="00F962D0">
              <w:t>nes</w:t>
            </w:r>
            <w:r w:rsidRPr="00F962D0">
              <w:t>, iekārt</w:t>
            </w:r>
            <w:r w:rsidR="00824C98" w:rsidRPr="00F962D0">
              <w:t>as</w:t>
            </w:r>
            <w:r w:rsidRPr="00F962D0">
              <w:t xml:space="preserve"> un aprīkojum</w:t>
            </w:r>
            <w:r w:rsidR="00824C98" w:rsidRPr="00F962D0">
              <w:t>u</w:t>
            </w:r>
            <w:r w:rsidRPr="00F962D0">
              <w:t>, k</w:t>
            </w:r>
            <w:r w:rsidR="00824C98" w:rsidRPr="00F962D0">
              <w:t>o</w:t>
            </w:r>
            <w:r w:rsidRPr="00F962D0">
              <w:t xml:space="preserve"> nepieciešams pārbaudīt, </w:t>
            </w:r>
            <w:r w:rsidR="00824C98" w:rsidRPr="00F962D0">
              <w:t xml:space="preserve">var novērtēt </w:t>
            </w:r>
            <w:r w:rsidRPr="00F962D0">
              <w:t>attālināt</w:t>
            </w:r>
            <w:r w:rsidR="00824C98" w:rsidRPr="00F962D0">
              <w:t>i</w:t>
            </w:r>
            <w:r w:rsidRPr="00F962D0">
              <w:t>.</w:t>
            </w:r>
          </w:p>
          <w:p w14:paraId="706E95D9" w14:textId="22123926" w:rsidR="00283F65" w:rsidRPr="00F962D0" w:rsidRDefault="00FE001C" w:rsidP="00CA1069">
            <w:pPr>
              <w:jc w:val="both"/>
            </w:pPr>
            <w:r w:rsidRPr="00F962D0">
              <w:t>Tāpat kompetentā iestāde, izvērtējot risku gan saistībā ar C</w:t>
            </w:r>
            <w:r w:rsidR="005F74B4" w:rsidRPr="00F962D0">
              <w:t xml:space="preserve">ovid </w:t>
            </w:r>
            <w:r w:rsidR="00824C98" w:rsidRPr="00F962D0">
              <w:t>-</w:t>
            </w:r>
            <w:r w:rsidRPr="00F962D0">
              <w:t>19</w:t>
            </w:r>
            <w:r w:rsidR="00824C98" w:rsidRPr="00F962D0">
              <w:t>,</w:t>
            </w:r>
            <w:r w:rsidRPr="00F962D0">
              <w:t xml:space="preserve"> gan veterināro zāļu drošumu un nekaitīgumu, var pieņemt lēmumu tomēr veikt labas ražošanas prakses atbilstības pārbaude</w:t>
            </w:r>
            <w:r w:rsidR="00824C98" w:rsidRPr="00F962D0">
              <w:t>i</w:t>
            </w:r>
            <w:r w:rsidRPr="00F962D0">
              <w:t xml:space="preserve"> noteikumu Nr. 319 IV</w:t>
            </w:r>
            <w:r w:rsidR="00D86417" w:rsidRPr="00F962D0">
              <w:t xml:space="preserve"> </w:t>
            </w:r>
            <w:r w:rsidRPr="00F962D0">
              <w:t>nodaļā minētajā termiņā un kārtībā, tādēļ nosacījum</w:t>
            </w:r>
            <w:r w:rsidR="00824C98" w:rsidRPr="00F962D0">
              <w:t>s</w:t>
            </w:r>
            <w:r w:rsidRPr="00F962D0">
              <w:t xml:space="preserve"> par labas ražošanas prakses sertifikāta derīguma automātisku pagarinājumu jānosaka kā izvēles, nevis obligāt</w:t>
            </w:r>
            <w:r w:rsidR="00824C98" w:rsidRPr="00F962D0">
              <w:t>s</w:t>
            </w:r>
            <w:r w:rsidRPr="00F962D0">
              <w:t xml:space="preserve"> nosacījum</w:t>
            </w:r>
            <w:r w:rsidR="00824C98" w:rsidRPr="00F962D0">
              <w:t>s</w:t>
            </w:r>
            <w:r w:rsidRPr="00F962D0">
              <w:t>.</w:t>
            </w:r>
          </w:p>
          <w:p w14:paraId="147BFCE2" w14:textId="6FD19123" w:rsidR="00EA1274" w:rsidRPr="00F962D0" w:rsidRDefault="0005464C" w:rsidP="00CA1069">
            <w:pPr>
              <w:jc w:val="both"/>
            </w:pPr>
            <w:r w:rsidRPr="00F962D0">
              <w:t xml:space="preserve">Lai risinātu veterināro zāļu pieejamības problēmas, vienlaikus saglabājot augstu sabiedrības veselības un dzīvnieku veselības aizsardzības līmeni, </w:t>
            </w:r>
            <w:r w:rsidR="00520459" w:rsidRPr="00F962D0">
              <w:t xml:space="preserve">ir sagatavots Ministru kabineta noteikumu projekts “Grozījumi Ministru kabineta 2007. gada 15. maija noteikumos Nr. 319 </w:t>
            </w:r>
            <w:r w:rsidR="00465344" w:rsidRPr="00F962D0">
              <w:t>“</w:t>
            </w:r>
            <w:r w:rsidR="00520459" w:rsidRPr="00F962D0">
              <w:t xml:space="preserve">Noteikumi par veterināro zāļu ražošanu un kontroli, kārtību, kādā veterināro zāļu ražotājam izsniedz labas ražošanas prakses sertifikātu un par veterināro zāļu ražošanu atbildīgās amatpersonas kvalifikācijas un profesionālās pieredzes prasībām”” (turpmāk – </w:t>
            </w:r>
            <w:r w:rsidRPr="00F962D0">
              <w:t>noteikumu projekt</w:t>
            </w:r>
            <w:r w:rsidR="00520459" w:rsidRPr="00F962D0">
              <w:t>s), kurā</w:t>
            </w:r>
            <w:r w:rsidRPr="00F962D0">
              <w:t xml:space="preserve"> noteikts, ka dienests un aģentūra </w:t>
            </w:r>
            <w:r w:rsidR="00FE001C" w:rsidRPr="00F962D0">
              <w:t xml:space="preserve">var </w:t>
            </w:r>
            <w:r w:rsidR="00283F65" w:rsidRPr="00F962D0">
              <w:t xml:space="preserve">automātiski </w:t>
            </w:r>
            <w:r w:rsidRPr="00F962D0">
              <w:t>pagarin</w:t>
            </w:r>
            <w:r w:rsidR="00FE001C" w:rsidRPr="00F962D0">
              <w:t>āt</w:t>
            </w:r>
            <w:r w:rsidRPr="00F962D0">
              <w:t xml:space="preserve"> </w:t>
            </w:r>
            <w:r w:rsidR="00387020" w:rsidRPr="00F962D0">
              <w:t xml:space="preserve">veterināro zāļu </w:t>
            </w:r>
            <w:r w:rsidRPr="00F962D0">
              <w:t xml:space="preserve">ražotājam </w:t>
            </w:r>
            <w:r w:rsidR="00387020" w:rsidRPr="00F962D0">
              <w:t>izsniegtā</w:t>
            </w:r>
            <w:r w:rsidRPr="00F962D0">
              <w:t xml:space="preserve"> labas ražošanas prakses sertifikāta derīgum</w:t>
            </w:r>
            <w:r w:rsidR="00283F65" w:rsidRPr="00F962D0">
              <w:t>u</w:t>
            </w:r>
            <w:r w:rsidRPr="00F962D0">
              <w:t xml:space="preserve"> līdz 2021.</w:t>
            </w:r>
            <w:r w:rsidR="00283D3D" w:rsidRPr="00F962D0">
              <w:t xml:space="preserve"> </w:t>
            </w:r>
            <w:r w:rsidRPr="00F962D0">
              <w:t>gada 31.</w:t>
            </w:r>
            <w:r w:rsidR="00283D3D" w:rsidRPr="00F962D0">
              <w:t xml:space="preserve"> </w:t>
            </w:r>
            <w:r w:rsidRPr="00F962D0">
              <w:t>decembrim</w:t>
            </w:r>
            <w:r w:rsidR="00BF49E0" w:rsidRPr="00F962D0">
              <w:t xml:space="preserve"> (neprasot sertifikāta turētāja rīcību),</w:t>
            </w:r>
            <w:r w:rsidR="00956857" w:rsidRPr="00F962D0">
              <w:rPr>
                <w:lang w:eastAsia="en-US"/>
              </w:rPr>
              <w:t xml:space="preserve"> </w:t>
            </w:r>
            <w:r w:rsidR="00BF49E0" w:rsidRPr="00F962D0">
              <w:rPr>
                <w:lang w:eastAsia="en-US"/>
              </w:rPr>
              <w:t>ja sertifikāta derīgum</w:t>
            </w:r>
            <w:r w:rsidR="00283F65" w:rsidRPr="00F962D0">
              <w:rPr>
                <w:lang w:eastAsia="en-US"/>
              </w:rPr>
              <w:t>s</w:t>
            </w:r>
            <w:r w:rsidR="00BF49E0" w:rsidRPr="00F962D0">
              <w:rPr>
                <w:lang w:eastAsia="en-US"/>
              </w:rPr>
              <w:t xml:space="preserve"> ir beidzies pirms minētā datuma </w:t>
            </w:r>
            <w:r w:rsidR="00956857" w:rsidRPr="00F962D0">
              <w:t>un ražošanas procesā nav notikušas</w:t>
            </w:r>
            <w:r w:rsidR="00E52C62" w:rsidRPr="00F962D0">
              <w:t xml:space="preserve"> vai nav </w:t>
            </w:r>
            <w:r w:rsidR="00E52C62" w:rsidRPr="00F962D0">
              <w:lastRenderedPageBreak/>
              <w:t>paredzētas</w:t>
            </w:r>
            <w:r w:rsidR="00956857" w:rsidRPr="00F962D0">
              <w:t xml:space="preserve"> izmaiņas, kas norādāmas sertifikātā</w:t>
            </w:r>
            <w:r w:rsidR="00E52C62" w:rsidRPr="00F962D0">
              <w:t>, tostarp mainītas telpas, aprīkojums, paredzams uzsākt jaunu veterināro zāļu ražošanu utt.</w:t>
            </w:r>
            <w:r w:rsidR="00283F65" w:rsidRPr="00F962D0">
              <w:t xml:space="preserve">, kā arī ja ražotne neatrodas ārpus </w:t>
            </w:r>
            <w:r w:rsidR="007B65DC" w:rsidRPr="00F962D0">
              <w:t>EEZ</w:t>
            </w:r>
            <w:r w:rsidR="00283F65" w:rsidRPr="00F962D0">
              <w:t xml:space="preserve"> valsts un kompetentā iestāde </w:t>
            </w:r>
            <w:r w:rsidR="00EA1274" w:rsidRPr="00F962D0">
              <w:t>ne</w:t>
            </w:r>
            <w:r w:rsidR="00824C98" w:rsidRPr="00F962D0">
              <w:t>īsteno</w:t>
            </w:r>
            <w:r w:rsidR="00283F65" w:rsidRPr="00F962D0">
              <w:t xml:space="preserve"> kādas darbības, kas ietekmē sertifikāta derīgumu. </w:t>
            </w:r>
          </w:p>
          <w:p w14:paraId="70E8281B" w14:textId="315CBB63" w:rsidR="00B3027C" w:rsidRPr="00F962D0" w:rsidRDefault="00283F65" w:rsidP="00CA1069">
            <w:pPr>
              <w:jc w:val="both"/>
            </w:pPr>
            <w:r w:rsidRPr="00F962D0">
              <w:t xml:space="preserve">Dienests un aģentūra lēmumu pieņem, </w:t>
            </w:r>
            <w:r w:rsidR="00824C98" w:rsidRPr="00F962D0">
              <w:t>ie</w:t>
            </w:r>
            <w:r w:rsidRPr="00F962D0">
              <w:t>vēr</w:t>
            </w:r>
            <w:r w:rsidR="00824C98" w:rsidRPr="00F962D0">
              <w:t>ojot</w:t>
            </w:r>
            <w:r w:rsidRPr="00F962D0">
              <w:t xml:space="preserve"> </w:t>
            </w:r>
            <w:r w:rsidR="007B65DC" w:rsidRPr="00F962D0">
              <w:t>EK</w:t>
            </w:r>
            <w:r w:rsidRPr="00F962D0">
              <w:t>,</w:t>
            </w:r>
            <w:r w:rsidR="007B65DC" w:rsidRPr="00F962D0">
              <w:t xml:space="preserve"> Eiropas valstu</w:t>
            </w:r>
            <w:r w:rsidRPr="00F962D0">
              <w:t xml:space="preserve"> </w:t>
            </w:r>
            <w:r w:rsidR="007B65DC" w:rsidRPr="00F962D0">
              <w:t>z</w:t>
            </w:r>
            <w:r w:rsidRPr="00F962D0">
              <w:t xml:space="preserve">āļu aģentūru vadītāju un </w:t>
            </w:r>
            <w:r w:rsidR="007B65DC" w:rsidRPr="00F962D0">
              <w:t>EZA</w:t>
            </w:r>
            <w:r w:rsidRPr="00F962D0">
              <w:t xml:space="preserve"> informāciju par regulatoriem jautājumiem C</w:t>
            </w:r>
            <w:r w:rsidR="005F74B4" w:rsidRPr="00F962D0">
              <w:t>ovid</w:t>
            </w:r>
            <w:r w:rsidRPr="00F962D0">
              <w:t xml:space="preserve">-19 pandēmijas laikā. Ja dienests vai aģentūra, pamatojoties uz riska novērtējumu, pieņem lēmumu veikt </w:t>
            </w:r>
            <w:r w:rsidR="007B65DC" w:rsidRPr="00F962D0">
              <w:t>noteikumu Nr.</w:t>
            </w:r>
            <w:r w:rsidR="005F74B4" w:rsidRPr="00F962D0">
              <w:t xml:space="preserve"> </w:t>
            </w:r>
            <w:r w:rsidR="007B65DC" w:rsidRPr="00F962D0">
              <w:t>319</w:t>
            </w:r>
            <w:r w:rsidRPr="00F962D0">
              <w:t xml:space="preserve"> IV nodaļā minētās pārbaudes,</w:t>
            </w:r>
            <w:r w:rsidR="007B65DC" w:rsidRPr="00F962D0">
              <w:t xml:space="preserve"> tad</w:t>
            </w:r>
            <w:r w:rsidRPr="00F962D0">
              <w:t xml:space="preserve"> pēc to pabeigšanas </w:t>
            </w:r>
            <w:bookmarkStart w:id="0" w:name="_Hlk53399714"/>
            <w:r w:rsidR="00824C98" w:rsidRPr="00F962D0">
              <w:t xml:space="preserve">attiecīgā iestāde </w:t>
            </w:r>
            <w:r w:rsidRPr="00F962D0">
              <w:t xml:space="preserve">izdod labas ražošanas prakses sertifikātu ar nosacījumiem, kas </w:t>
            </w:r>
            <w:r w:rsidR="00EA1274" w:rsidRPr="00F962D0">
              <w:t>ir saskaņā ar</w:t>
            </w:r>
            <w:r w:rsidRPr="00F962D0">
              <w:t xml:space="preserve"> pārbaudes </w:t>
            </w:r>
            <w:r w:rsidR="00EA1274" w:rsidRPr="00F962D0">
              <w:t xml:space="preserve">norisi un </w:t>
            </w:r>
            <w:r w:rsidRPr="00F962D0">
              <w:t>rezultātiem</w:t>
            </w:r>
            <w:bookmarkEnd w:id="0"/>
            <w:r w:rsidR="00EA1274" w:rsidRPr="00F962D0">
              <w:t>, tostarp norād</w:t>
            </w:r>
            <w:r w:rsidR="00824C98" w:rsidRPr="00F962D0">
              <w:t>ot</w:t>
            </w:r>
            <w:r w:rsidR="00EA1274" w:rsidRPr="00F962D0">
              <w:t xml:space="preserve">, ja pārbaude </w:t>
            </w:r>
            <w:r w:rsidR="00824C98" w:rsidRPr="00F962D0">
              <w:t>notikusi</w:t>
            </w:r>
            <w:r w:rsidR="00EA1274" w:rsidRPr="00F962D0">
              <w:t xml:space="preserve"> attālināti.</w:t>
            </w:r>
          </w:p>
          <w:p w14:paraId="1BD78B8D" w14:textId="04DD228E" w:rsidR="00B3027C" w:rsidRPr="00F962D0" w:rsidRDefault="00B3027C" w:rsidP="00CA1069">
            <w:pPr>
              <w:jc w:val="both"/>
              <w:rPr>
                <w:iCs/>
              </w:rPr>
            </w:pPr>
            <w:r w:rsidRPr="00F962D0">
              <w:t>Pēc noteikumu projekta spēkā stāšanās tiks nodrošināta valsts pārvaldes pakalpojuma apraksta “Veterināro zāļu labas ražošanas prakses sertifikāts” aktualizācija valsts pārvaldes pakalpojumu portālā Latvija.lv saskaņā ar Ministru kabineta 2017. gada 4. jūlija noteikumu Nr. 399 “Valsts pārvaldes pakalpojumu uzskaites, kvalitātes kontroles un sniegšanas kārtība” 4.3. apakšpunktu.</w:t>
            </w:r>
          </w:p>
        </w:tc>
      </w:tr>
      <w:tr w:rsidR="0005464C" w:rsidRPr="001A5641" w14:paraId="528A141F" w14:textId="77777777" w:rsidTr="00CA1069">
        <w:trPr>
          <w:cantSplit/>
        </w:trPr>
        <w:tc>
          <w:tcPr>
            <w:tcW w:w="0" w:type="auto"/>
            <w:hideMark/>
          </w:tcPr>
          <w:p w14:paraId="2ED32B0E" w14:textId="77777777" w:rsidR="0005464C" w:rsidRPr="001A5641" w:rsidRDefault="0005464C" w:rsidP="00CA1069">
            <w:pPr>
              <w:jc w:val="center"/>
            </w:pPr>
            <w:r w:rsidRPr="001A5641">
              <w:lastRenderedPageBreak/>
              <w:t>3.</w:t>
            </w:r>
          </w:p>
        </w:tc>
        <w:tc>
          <w:tcPr>
            <w:tcW w:w="0" w:type="auto"/>
            <w:hideMark/>
          </w:tcPr>
          <w:p w14:paraId="76277CDE" w14:textId="77777777" w:rsidR="0005464C" w:rsidRDefault="0005464C" w:rsidP="00CA1069">
            <w:r w:rsidRPr="001A5641">
              <w:t>Projekta izstrādē iesaistītās institūcijas un publiskas personas kapitālsabiedrības</w:t>
            </w:r>
          </w:p>
          <w:p w14:paraId="63EE471C" w14:textId="77777777" w:rsidR="0005464C" w:rsidRPr="001A5641" w:rsidRDefault="0005464C" w:rsidP="00CA1069"/>
        </w:tc>
        <w:tc>
          <w:tcPr>
            <w:tcW w:w="0" w:type="auto"/>
            <w:hideMark/>
          </w:tcPr>
          <w:p w14:paraId="472ADDC1" w14:textId="71C5229F" w:rsidR="00A5089F" w:rsidRPr="00F962D0" w:rsidRDefault="0005464C" w:rsidP="00CA1069">
            <w:pPr>
              <w:jc w:val="both"/>
            </w:pPr>
            <w:r w:rsidRPr="00F962D0">
              <w:t>Pārtikas un veterinārais dienests</w:t>
            </w:r>
            <w:r w:rsidR="00283F65" w:rsidRPr="00F962D0">
              <w:t>, Zāļu valsts aģentūra</w:t>
            </w:r>
          </w:p>
        </w:tc>
      </w:tr>
      <w:tr w:rsidR="0005464C" w:rsidRPr="001A5641" w14:paraId="10E8BC5D" w14:textId="77777777" w:rsidTr="00CA1069">
        <w:trPr>
          <w:cantSplit/>
        </w:trPr>
        <w:tc>
          <w:tcPr>
            <w:tcW w:w="0" w:type="auto"/>
            <w:hideMark/>
          </w:tcPr>
          <w:p w14:paraId="1632CF64" w14:textId="77777777" w:rsidR="0005464C" w:rsidRPr="001A5641" w:rsidRDefault="0005464C" w:rsidP="00CA1069">
            <w:pPr>
              <w:jc w:val="center"/>
            </w:pPr>
            <w:r w:rsidRPr="001A5641">
              <w:t>4.</w:t>
            </w:r>
          </w:p>
        </w:tc>
        <w:tc>
          <w:tcPr>
            <w:tcW w:w="0" w:type="auto"/>
            <w:hideMark/>
          </w:tcPr>
          <w:p w14:paraId="364AF8E9" w14:textId="77777777" w:rsidR="0005464C" w:rsidRPr="001A5641" w:rsidRDefault="0005464C" w:rsidP="00CA1069">
            <w:r w:rsidRPr="001A5641">
              <w:t>Cita informācija</w:t>
            </w:r>
          </w:p>
        </w:tc>
        <w:tc>
          <w:tcPr>
            <w:tcW w:w="0" w:type="auto"/>
            <w:hideMark/>
          </w:tcPr>
          <w:p w14:paraId="753BC45B" w14:textId="77777777" w:rsidR="0005464C" w:rsidRPr="001A5641" w:rsidRDefault="0005464C" w:rsidP="00CA1069">
            <w:r>
              <w:t>Nav.</w:t>
            </w:r>
          </w:p>
        </w:tc>
      </w:tr>
    </w:tbl>
    <w:p w14:paraId="4B8F0570" w14:textId="77777777" w:rsidR="0005464C" w:rsidRPr="001A5641" w:rsidRDefault="0005464C" w:rsidP="007520AF">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5464C" w:rsidRPr="001A5641" w14:paraId="031A4F1F" w14:textId="77777777" w:rsidTr="00CA1069">
        <w:trPr>
          <w:cantSplit/>
        </w:trPr>
        <w:tc>
          <w:tcPr>
            <w:tcW w:w="5000" w:type="pct"/>
            <w:gridSpan w:val="3"/>
            <w:vAlign w:val="center"/>
            <w:hideMark/>
          </w:tcPr>
          <w:p w14:paraId="48D088BB" w14:textId="77777777" w:rsidR="0005464C" w:rsidRPr="00A14EB8" w:rsidRDefault="0005464C" w:rsidP="00CA1069">
            <w:pPr>
              <w:jc w:val="center"/>
              <w:rPr>
                <w:b/>
                <w:bCs/>
              </w:rPr>
            </w:pPr>
            <w:r w:rsidRPr="001A5641">
              <w:rPr>
                <w:b/>
                <w:bCs/>
              </w:rPr>
              <w:t>II. Tiesību akta projekta ietekme uz sabiedrību, tautsaimniecības attīstību un administratīvo slogu</w:t>
            </w:r>
          </w:p>
        </w:tc>
      </w:tr>
      <w:tr w:rsidR="0005464C" w:rsidRPr="001A5641" w14:paraId="7808A7F7" w14:textId="77777777" w:rsidTr="00CA1069">
        <w:trPr>
          <w:cantSplit/>
        </w:trPr>
        <w:tc>
          <w:tcPr>
            <w:tcW w:w="311" w:type="pct"/>
            <w:hideMark/>
          </w:tcPr>
          <w:p w14:paraId="2359FBEE" w14:textId="77777777" w:rsidR="0005464C" w:rsidRPr="001A5641" w:rsidRDefault="0005464C" w:rsidP="00CA1069">
            <w:pPr>
              <w:jc w:val="center"/>
            </w:pPr>
            <w:r w:rsidRPr="001A5641">
              <w:t>1.</w:t>
            </w:r>
          </w:p>
        </w:tc>
        <w:tc>
          <w:tcPr>
            <w:tcW w:w="1479" w:type="pct"/>
            <w:hideMark/>
          </w:tcPr>
          <w:p w14:paraId="4E229E9F" w14:textId="77777777" w:rsidR="0005464C" w:rsidRPr="001A5641" w:rsidRDefault="0005464C" w:rsidP="00CA1069">
            <w:r w:rsidRPr="001A5641">
              <w:t>Sabiedrības mērķgrupas, kuras tiesiskais regulējums ietekmē vai varētu ietekmēt</w:t>
            </w:r>
          </w:p>
        </w:tc>
        <w:tc>
          <w:tcPr>
            <w:tcW w:w="3210" w:type="pct"/>
            <w:hideMark/>
          </w:tcPr>
          <w:p w14:paraId="212C1D58" w14:textId="77777777" w:rsidR="0005464C" w:rsidRDefault="0005464C" w:rsidP="00CA1069">
            <w:pPr>
              <w:jc w:val="both"/>
            </w:pPr>
            <w:r>
              <w:t xml:space="preserve">Noteikumu projekts attiecas uz </w:t>
            </w:r>
            <w:r w:rsidRPr="00036EE4">
              <w:t>veterināro z</w:t>
            </w:r>
            <w:r>
              <w:t>āļu ražotājiem un importētājiem, kā arī dienestu un aģentūru</w:t>
            </w:r>
            <w:r w:rsidRPr="00036EE4">
              <w:t>.</w:t>
            </w:r>
          </w:p>
          <w:p w14:paraId="0D906894" w14:textId="726C0995" w:rsidR="0005464C" w:rsidRPr="003668A8" w:rsidRDefault="00465344" w:rsidP="00CA1069">
            <w:pPr>
              <w:jc w:val="both"/>
              <w:rPr>
                <w:b/>
              </w:rPr>
            </w:pPr>
            <w:r>
              <w:t>Pašlaik</w:t>
            </w:r>
            <w:r w:rsidR="0005464C" w:rsidRPr="00036EE4">
              <w:t xml:space="preserve"> valstī ir</w:t>
            </w:r>
            <w:r w:rsidR="0005464C">
              <w:t xml:space="preserve"> deviņi</w:t>
            </w:r>
            <w:r w:rsidR="0005464C" w:rsidRPr="00036EE4">
              <w:t xml:space="preserve"> veterināro zāļu ražotāji un importētāji</w:t>
            </w:r>
            <w:r w:rsidR="0005464C">
              <w:t>, no kuriem septiņi</w:t>
            </w:r>
            <w:r w:rsidR="0005464C" w:rsidRPr="00036EE4">
              <w:t xml:space="preserve"> </w:t>
            </w:r>
            <w:r w:rsidR="0005464C">
              <w:t xml:space="preserve">ir </w:t>
            </w:r>
            <w:r w:rsidR="0005464C" w:rsidRPr="00036EE4">
              <w:t>cilvēkiem paredzēto zāļu ražotāji un importētāji, kas ražo</w:t>
            </w:r>
            <w:r w:rsidR="0005464C">
              <w:t xml:space="preserve"> un importē arī veterinārās zāles</w:t>
            </w:r>
            <w:r>
              <w:t xml:space="preserve"> </w:t>
            </w:r>
            <w:r w:rsidR="0005464C" w:rsidRPr="00036EE4">
              <w:t>(</w:t>
            </w:r>
            <w:r w:rsidR="00874201">
              <w:t>d</w:t>
            </w:r>
            <w:r w:rsidR="0005464C" w:rsidRPr="00036EE4">
              <w:t xml:space="preserve">ati no dienesta tīmekļvietnes </w:t>
            </w:r>
            <w:r w:rsidR="0005464C" w:rsidRPr="00DB6BF4">
              <w:rPr>
                <w:i/>
              </w:rPr>
              <w:t>www.pvd.gov.lv</w:t>
            </w:r>
            <w:r w:rsidR="0005464C" w:rsidRPr="00036EE4">
              <w:t>)</w:t>
            </w:r>
            <w:r>
              <w:t>.</w:t>
            </w:r>
          </w:p>
        </w:tc>
      </w:tr>
      <w:tr w:rsidR="0005464C" w:rsidRPr="001A5641" w14:paraId="2FD968CE" w14:textId="77777777" w:rsidTr="00CA1069">
        <w:trPr>
          <w:cantSplit/>
        </w:trPr>
        <w:tc>
          <w:tcPr>
            <w:tcW w:w="311" w:type="pct"/>
            <w:hideMark/>
          </w:tcPr>
          <w:p w14:paraId="7F20A364" w14:textId="77777777" w:rsidR="0005464C" w:rsidRPr="001A5641" w:rsidRDefault="0005464C" w:rsidP="00CA1069">
            <w:pPr>
              <w:jc w:val="center"/>
            </w:pPr>
            <w:r w:rsidRPr="001A5641">
              <w:t>2.</w:t>
            </w:r>
          </w:p>
        </w:tc>
        <w:tc>
          <w:tcPr>
            <w:tcW w:w="1479" w:type="pct"/>
            <w:hideMark/>
          </w:tcPr>
          <w:p w14:paraId="22292C7D" w14:textId="77777777" w:rsidR="0005464C" w:rsidRPr="001A5641" w:rsidRDefault="0005464C" w:rsidP="00CA1069">
            <w:r w:rsidRPr="001A5641">
              <w:t>Tiesiskā regulējuma ietekme uz tautsaimniecību un administratīvo slogu</w:t>
            </w:r>
          </w:p>
        </w:tc>
        <w:tc>
          <w:tcPr>
            <w:tcW w:w="3210" w:type="pct"/>
            <w:hideMark/>
          </w:tcPr>
          <w:p w14:paraId="209C8650" w14:textId="4B8E07F7" w:rsidR="0005464C" w:rsidRPr="00534795" w:rsidRDefault="0005464C">
            <w:pPr>
              <w:jc w:val="both"/>
            </w:pPr>
            <w:r>
              <w:t xml:space="preserve">Projekta ietekme uz tautsaimniecību un administratīvo slogu nemainās, jo </w:t>
            </w:r>
            <w:r w:rsidR="00824C98">
              <w:t xml:space="preserve">nemainās arī noteikumu projektā paredzētās prasības </w:t>
            </w:r>
            <w:r w:rsidR="00465344">
              <w:t>salīdzinājumā ar līdz šim noteikumos Nr. 319 noteikto</w:t>
            </w:r>
            <w:r>
              <w:t>.</w:t>
            </w:r>
          </w:p>
        </w:tc>
      </w:tr>
      <w:tr w:rsidR="0005464C" w:rsidRPr="001A5641" w14:paraId="382744EA" w14:textId="77777777" w:rsidTr="00CA1069">
        <w:trPr>
          <w:cantSplit/>
        </w:trPr>
        <w:tc>
          <w:tcPr>
            <w:tcW w:w="311" w:type="pct"/>
            <w:hideMark/>
          </w:tcPr>
          <w:p w14:paraId="42967416" w14:textId="77777777" w:rsidR="0005464C" w:rsidRPr="001A5641" w:rsidRDefault="0005464C" w:rsidP="00CA1069">
            <w:pPr>
              <w:jc w:val="center"/>
            </w:pPr>
            <w:r w:rsidRPr="001A5641">
              <w:t>3.</w:t>
            </w:r>
          </w:p>
        </w:tc>
        <w:tc>
          <w:tcPr>
            <w:tcW w:w="1479" w:type="pct"/>
            <w:hideMark/>
          </w:tcPr>
          <w:p w14:paraId="20F05440" w14:textId="77777777" w:rsidR="0005464C" w:rsidRPr="001A5641" w:rsidRDefault="0005464C" w:rsidP="00CA1069">
            <w:r w:rsidRPr="001A5641">
              <w:t>Administratīvo izmaksu monetārs novērtējums</w:t>
            </w:r>
          </w:p>
        </w:tc>
        <w:tc>
          <w:tcPr>
            <w:tcW w:w="3210" w:type="pct"/>
            <w:hideMark/>
          </w:tcPr>
          <w:p w14:paraId="3EDCD013" w14:textId="77777777" w:rsidR="0005464C" w:rsidRPr="006F7783" w:rsidRDefault="0005464C" w:rsidP="00CA1069">
            <w:pPr>
              <w:jc w:val="both"/>
            </w:pPr>
            <w:r>
              <w:t>Projekts šo jomu neskar.</w:t>
            </w:r>
          </w:p>
        </w:tc>
      </w:tr>
      <w:tr w:rsidR="0005464C" w:rsidRPr="001A5641" w14:paraId="7D71DB30" w14:textId="77777777" w:rsidTr="00CA1069">
        <w:trPr>
          <w:cantSplit/>
        </w:trPr>
        <w:tc>
          <w:tcPr>
            <w:tcW w:w="311" w:type="pct"/>
            <w:hideMark/>
          </w:tcPr>
          <w:p w14:paraId="558BA0F2" w14:textId="77777777" w:rsidR="0005464C" w:rsidRPr="001A5641" w:rsidRDefault="0005464C" w:rsidP="00CA1069">
            <w:pPr>
              <w:jc w:val="center"/>
            </w:pPr>
            <w:r w:rsidRPr="001A5641">
              <w:t>4.</w:t>
            </w:r>
          </w:p>
        </w:tc>
        <w:tc>
          <w:tcPr>
            <w:tcW w:w="1479" w:type="pct"/>
            <w:hideMark/>
          </w:tcPr>
          <w:p w14:paraId="68AA38E1" w14:textId="77777777" w:rsidR="0005464C" w:rsidRPr="001A5641" w:rsidRDefault="0005464C" w:rsidP="00CA1069">
            <w:r w:rsidRPr="001A5641">
              <w:t>Atbilstības izmaksu monetārs novērtējums</w:t>
            </w:r>
          </w:p>
        </w:tc>
        <w:tc>
          <w:tcPr>
            <w:tcW w:w="3210" w:type="pct"/>
            <w:hideMark/>
          </w:tcPr>
          <w:p w14:paraId="0B34A385" w14:textId="058BC774" w:rsidR="0005464C" w:rsidRPr="001A5641" w:rsidRDefault="0005464C" w:rsidP="00CA1069">
            <w:pPr>
              <w:jc w:val="both"/>
            </w:pPr>
            <w:r>
              <w:t>Projekts šo jomu neskar</w:t>
            </w:r>
            <w:r w:rsidRPr="00036EE4">
              <w:t>.</w:t>
            </w:r>
          </w:p>
        </w:tc>
      </w:tr>
      <w:tr w:rsidR="0005464C" w:rsidRPr="001A5641" w14:paraId="1007B905" w14:textId="77777777" w:rsidTr="00CA1069">
        <w:trPr>
          <w:cantSplit/>
        </w:trPr>
        <w:tc>
          <w:tcPr>
            <w:tcW w:w="311" w:type="pct"/>
            <w:hideMark/>
          </w:tcPr>
          <w:p w14:paraId="13F2B148" w14:textId="77777777" w:rsidR="0005464C" w:rsidRPr="001A5641" w:rsidRDefault="0005464C" w:rsidP="00CA1069">
            <w:pPr>
              <w:jc w:val="center"/>
            </w:pPr>
            <w:r w:rsidRPr="001A5641">
              <w:t>5.</w:t>
            </w:r>
          </w:p>
        </w:tc>
        <w:tc>
          <w:tcPr>
            <w:tcW w:w="1479" w:type="pct"/>
            <w:hideMark/>
          </w:tcPr>
          <w:p w14:paraId="6087DFE9" w14:textId="77777777" w:rsidR="0005464C" w:rsidRPr="001A5641" w:rsidRDefault="0005464C" w:rsidP="00CA1069">
            <w:r w:rsidRPr="001A5641">
              <w:t>Cita informācija</w:t>
            </w:r>
          </w:p>
        </w:tc>
        <w:tc>
          <w:tcPr>
            <w:tcW w:w="3210" w:type="pct"/>
            <w:hideMark/>
          </w:tcPr>
          <w:p w14:paraId="57A5D5CB" w14:textId="77777777" w:rsidR="0005464C" w:rsidRPr="001A5641" w:rsidRDefault="0005464C" w:rsidP="00CA1069">
            <w:r>
              <w:t>Nav.</w:t>
            </w:r>
          </w:p>
        </w:tc>
      </w:tr>
    </w:tbl>
    <w:p w14:paraId="1351BA5A" w14:textId="77777777" w:rsidR="0005464C" w:rsidRDefault="0005464C" w:rsidP="007520AF">
      <w:pPr>
        <w:pStyle w:val="Nosaukums"/>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87"/>
        <w:gridCol w:w="1655"/>
        <w:gridCol w:w="509"/>
        <w:gridCol w:w="574"/>
        <w:gridCol w:w="1681"/>
        <w:gridCol w:w="2349"/>
      </w:tblGrid>
      <w:tr w:rsidR="0005464C" w:rsidRPr="00D46E60" w14:paraId="216FBE6A" w14:textId="77777777" w:rsidTr="00CA1069">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14:paraId="4166D7C0" w14:textId="77777777" w:rsidR="0005464C" w:rsidRPr="00D46E60" w:rsidRDefault="0005464C" w:rsidP="00CA1069">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05464C" w:rsidRPr="00D46E60" w14:paraId="34FFA0DB" w14:textId="77777777" w:rsidTr="00CA1069">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56E89DEE" w14:textId="77777777" w:rsidR="0005464C" w:rsidRPr="003564AE" w:rsidRDefault="0005464C" w:rsidP="00CA1069">
            <w:pPr>
              <w:pStyle w:val="Paraststmeklis"/>
              <w:spacing w:before="0" w:beforeAutospacing="0" w:after="0" w:afterAutospacing="0"/>
              <w:jc w:val="center"/>
              <w:rPr>
                <w:bCs/>
                <w:lang w:val="lv-LV"/>
              </w:rPr>
            </w:pPr>
            <w:r w:rsidRPr="003564AE">
              <w:rPr>
                <w:bCs/>
                <w:lang w:val="lv-LV"/>
              </w:rPr>
              <w:t>Projekts šo jomu neskar.</w:t>
            </w:r>
          </w:p>
        </w:tc>
      </w:tr>
      <w:tr w:rsidR="0005464C" w:rsidRPr="00D46E60" w14:paraId="79094CCA" w14:textId="77777777" w:rsidTr="00CA1069">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4DCAD2E4" w14:textId="77777777" w:rsidR="0005464C" w:rsidRPr="003564AE" w:rsidRDefault="0005464C" w:rsidP="00CA1069">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05464C" w:rsidRPr="003564AE" w14:paraId="00EC38F3" w14:textId="77777777" w:rsidTr="007F301C">
        <w:tc>
          <w:tcPr>
            <w:tcW w:w="5000" w:type="pct"/>
            <w:gridSpan w:val="6"/>
            <w:tcBorders>
              <w:top w:val="outset" w:sz="6" w:space="0" w:color="000000"/>
              <w:left w:val="outset" w:sz="6" w:space="0" w:color="000000"/>
              <w:bottom w:val="single" w:sz="4" w:space="0" w:color="auto"/>
              <w:right w:val="outset" w:sz="6" w:space="0" w:color="000000"/>
            </w:tcBorders>
            <w:shd w:val="clear" w:color="auto" w:fill="auto"/>
          </w:tcPr>
          <w:p w14:paraId="74D3EB06" w14:textId="2034A93E" w:rsidR="0005464C" w:rsidRPr="003564AE" w:rsidRDefault="00B3027C" w:rsidP="00CA1069">
            <w:pPr>
              <w:pStyle w:val="Paraststmeklis"/>
              <w:spacing w:before="0" w:beforeAutospacing="0" w:after="0" w:afterAutospacing="0"/>
              <w:jc w:val="center"/>
              <w:rPr>
                <w:bCs/>
                <w:lang w:val="lv-LV"/>
              </w:rPr>
            </w:pPr>
            <w:r w:rsidRPr="00B3027C">
              <w:rPr>
                <w:bCs/>
                <w:lang w:val="lv-LV"/>
              </w:rPr>
              <w:t>Projekts šo jomu neskar.</w:t>
            </w:r>
          </w:p>
        </w:tc>
      </w:tr>
      <w:tr w:rsidR="0005464C" w:rsidRPr="00D46E60" w14:paraId="2B0896D8" w14:textId="77777777" w:rsidTr="007F301C">
        <w:tc>
          <w:tcPr>
            <w:tcW w:w="5000" w:type="pct"/>
            <w:gridSpan w:val="6"/>
            <w:tcBorders>
              <w:top w:val="single" w:sz="4" w:space="0" w:color="auto"/>
              <w:left w:val="outset" w:sz="6" w:space="0" w:color="000000"/>
              <w:bottom w:val="outset" w:sz="6" w:space="0" w:color="000000"/>
              <w:right w:val="outset" w:sz="6" w:space="0" w:color="000000"/>
            </w:tcBorders>
            <w:shd w:val="clear" w:color="auto" w:fill="auto"/>
          </w:tcPr>
          <w:p w14:paraId="015167D2" w14:textId="77777777" w:rsidR="0005464C" w:rsidRPr="00D46E60" w:rsidRDefault="0005464C" w:rsidP="00CA1069">
            <w:pPr>
              <w:pStyle w:val="Paraststmeklis"/>
              <w:spacing w:before="0" w:beforeAutospacing="0" w:after="0" w:afterAutospacing="0"/>
              <w:jc w:val="center"/>
              <w:rPr>
                <w:b/>
                <w:bCs/>
                <w:lang w:val="lv-LV"/>
              </w:rPr>
            </w:pPr>
            <w:r w:rsidRPr="00FB0D2A">
              <w:rPr>
                <w:b/>
                <w:bCs/>
                <w:lang w:val="lv-LV"/>
              </w:rPr>
              <w:lastRenderedPageBreak/>
              <w:t>V. Tiesību akta projekta atbilstība Latvijas Republikas starptautiskajām saistībām</w:t>
            </w:r>
          </w:p>
        </w:tc>
      </w:tr>
      <w:tr w:rsidR="0005464C" w:rsidRPr="00F83630" w14:paraId="53F232BC"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038F9A40" w14:textId="77777777" w:rsidR="0005464C" w:rsidRPr="00674E0E" w:rsidRDefault="0005464C" w:rsidP="00CA1069">
            <w:pPr>
              <w:pStyle w:val="Paraststmeklis"/>
              <w:spacing w:before="0" w:beforeAutospacing="0" w:after="0" w:afterAutospacing="0"/>
              <w:rPr>
                <w:lang w:val="lv-LV"/>
              </w:rPr>
            </w:pPr>
            <w:r w:rsidRPr="00674E0E">
              <w:rPr>
                <w:lang w:val="lv-LV"/>
              </w:rPr>
              <w:t>1. Saistības pret Eiropas Savienību</w:t>
            </w:r>
          </w:p>
        </w:tc>
        <w:tc>
          <w:tcPr>
            <w:tcW w:w="2823" w:type="pct"/>
            <w:gridSpan w:val="4"/>
          </w:tcPr>
          <w:p w14:paraId="371D2FCD" w14:textId="34B6C00A" w:rsidR="0005464C" w:rsidRDefault="0005464C" w:rsidP="00CA1069">
            <w:pPr>
              <w:jc w:val="both"/>
            </w:pPr>
            <w:r>
              <w:t xml:space="preserve">1) </w:t>
            </w:r>
            <w:r w:rsidR="004C3F4B">
              <w:t>EK</w:t>
            </w:r>
            <w:r>
              <w:t xml:space="preserve"> 2020.</w:t>
            </w:r>
            <w:r w:rsidR="00283D3D">
              <w:t xml:space="preserve"> </w:t>
            </w:r>
            <w:r>
              <w:t>gada 8.</w:t>
            </w:r>
            <w:r w:rsidR="00283D3D">
              <w:t xml:space="preserve"> </w:t>
            </w:r>
            <w:r>
              <w:t>aprīļa paziņojums “Vadlīnijas par optimālu un racionālu apgādi ar zālēm, lai novērstu zāļu deficītu Covid-19 uzliesmojuma laikā”</w:t>
            </w:r>
            <w:r>
              <w:rPr>
                <w:color w:val="444444"/>
                <w:shd w:val="clear" w:color="auto" w:fill="FFFFFF"/>
              </w:rPr>
              <w:t xml:space="preserve"> </w:t>
            </w:r>
            <w:r w:rsidRPr="00F051C9">
              <w:rPr>
                <w:shd w:val="clear" w:color="auto" w:fill="FFFFFF"/>
              </w:rPr>
              <w:t>(2020/C 116 I/01)</w:t>
            </w:r>
            <w:r w:rsidR="004C3F4B">
              <w:rPr>
                <w:shd w:val="clear" w:color="auto" w:fill="FFFFFF"/>
              </w:rPr>
              <w:t>;</w:t>
            </w:r>
          </w:p>
          <w:p w14:paraId="75BFA38C" w14:textId="1B7DFA09" w:rsidR="0005464C" w:rsidRPr="00F83630" w:rsidRDefault="0005464C" w:rsidP="00CA1069">
            <w:pPr>
              <w:jc w:val="both"/>
            </w:pPr>
            <w:r>
              <w:t xml:space="preserve">2) </w:t>
            </w:r>
            <w:r w:rsidR="004C3F4B">
              <w:t>EK</w:t>
            </w:r>
            <w:r>
              <w:t xml:space="preserve">, </w:t>
            </w:r>
            <w:r w:rsidR="004C3F4B">
              <w:t>EZA</w:t>
            </w:r>
            <w:r>
              <w:t xml:space="preserve"> un Eiropas </w:t>
            </w:r>
            <w:r w:rsidR="00A5089F">
              <w:t>valstu z</w:t>
            </w:r>
            <w:r>
              <w:t>āļu aģentūru vadītāju 2020.</w:t>
            </w:r>
            <w:r w:rsidR="00283D3D">
              <w:t xml:space="preserve"> </w:t>
            </w:r>
            <w:r>
              <w:t>gada 30.</w:t>
            </w:r>
            <w:r w:rsidR="00283D3D">
              <w:t xml:space="preserve"> </w:t>
            </w:r>
            <w:r>
              <w:t>aprīļa</w:t>
            </w:r>
            <w:r w:rsidRPr="00553F0A">
              <w:t xml:space="preserve"> </w:t>
            </w:r>
            <w:r>
              <w:t>paziņojums “J</w:t>
            </w:r>
            <w:r w:rsidRPr="00553F0A">
              <w:t>autājumu un atbilžu dokument</w:t>
            </w:r>
            <w:r>
              <w:t>s</w:t>
            </w:r>
            <w:r w:rsidRPr="00553F0A">
              <w:t xml:space="preserve"> par veterināro zāļu reglamentējuma jautājumiem Covid-19 pandēmijas laikā</w:t>
            </w:r>
            <w:r>
              <w:t>”</w:t>
            </w:r>
            <w:r w:rsidR="004C3F4B">
              <w:t>.</w:t>
            </w:r>
          </w:p>
        </w:tc>
      </w:tr>
      <w:tr w:rsidR="0005464C" w:rsidRPr="00674E0E" w14:paraId="51E387BD"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0D914053" w14:textId="77777777" w:rsidR="0005464C" w:rsidRPr="00674E0E" w:rsidRDefault="0005464C" w:rsidP="00CA1069">
            <w:pPr>
              <w:pStyle w:val="Paraststmeklis"/>
              <w:spacing w:before="0" w:beforeAutospacing="0" w:after="0" w:afterAutospacing="0"/>
              <w:jc w:val="both"/>
              <w:rPr>
                <w:lang w:val="lv-LV"/>
              </w:rPr>
            </w:pPr>
            <w:r w:rsidRPr="00674E0E">
              <w:rPr>
                <w:lang w:val="lv-LV"/>
              </w:rPr>
              <w:t>2. Citas starptautiskās saistības</w:t>
            </w:r>
          </w:p>
        </w:tc>
        <w:tc>
          <w:tcPr>
            <w:tcW w:w="2823" w:type="pct"/>
            <w:gridSpan w:val="4"/>
          </w:tcPr>
          <w:p w14:paraId="185D6474" w14:textId="2C2FCA55" w:rsidR="0005464C" w:rsidRPr="00674E0E" w:rsidRDefault="004C3F4B" w:rsidP="00CA1069">
            <w:r w:rsidRPr="004C3F4B">
              <w:rPr>
                <w:bCs/>
              </w:rPr>
              <w:t>Projekts šo jomu neskar.</w:t>
            </w:r>
          </w:p>
        </w:tc>
      </w:tr>
      <w:tr w:rsidR="0005464C" w:rsidRPr="00674E0E" w14:paraId="3D31AD33"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20DB3015" w14:textId="77777777" w:rsidR="0005464C" w:rsidRPr="00674E0E" w:rsidRDefault="0005464C" w:rsidP="00CA1069">
            <w:pPr>
              <w:pStyle w:val="Paraststmeklis"/>
              <w:spacing w:before="0" w:beforeAutospacing="0" w:after="0" w:afterAutospacing="0"/>
              <w:jc w:val="both"/>
              <w:rPr>
                <w:lang w:val="lv-LV"/>
              </w:rPr>
            </w:pPr>
            <w:r w:rsidRPr="00674E0E">
              <w:rPr>
                <w:lang w:val="lv-LV"/>
              </w:rPr>
              <w:t>3. Cita informācija</w:t>
            </w:r>
          </w:p>
        </w:tc>
        <w:tc>
          <w:tcPr>
            <w:tcW w:w="2823" w:type="pct"/>
            <w:gridSpan w:val="4"/>
          </w:tcPr>
          <w:p w14:paraId="13D067FA" w14:textId="535C2926" w:rsidR="0005464C" w:rsidRPr="00674E0E" w:rsidRDefault="0005464C" w:rsidP="00CA1069">
            <w:r w:rsidRPr="00674E0E">
              <w:t>Nav</w:t>
            </w:r>
            <w:r w:rsidR="00465344">
              <w:t>.</w:t>
            </w:r>
          </w:p>
        </w:tc>
      </w:tr>
      <w:tr w:rsidR="0005464C" w:rsidRPr="00674E0E" w14:paraId="7E8476C3"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35CE4D07" w14:textId="77777777" w:rsidR="0005464C" w:rsidRPr="00674E0E" w:rsidRDefault="0005464C" w:rsidP="00CA1069">
            <w:pPr>
              <w:jc w:val="center"/>
              <w:rPr>
                <w:b/>
              </w:rPr>
            </w:pPr>
            <w:r w:rsidRPr="00674E0E">
              <w:rPr>
                <w:b/>
              </w:rPr>
              <w:t xml:space="preserve">1.tabula </w:t>
            </w:r>
          </w:p>
          <w:p w14:paraId="466DD4AB" w14:textId="77777777" w:rsidR="0005464C" w:rsidRPr="00674E0E" w:rsidRDefault="0005464C" w:rsidP="00CA1069">
            <w:pPr>
              <w:jc w:val="center"/>
            </w:pPr>
            <w:r w:rsidRPr="00674E0E">
              <w:rPr>
                <w:b/>
              </w:rPr>
              <w:t>Tiesību akta projekta atbilstība ES tiesību aktiem</w:t>
            </w:r>
          </w:p>
        </w:tc>
      </w:tr>
      <w:tr w:rsidR="0005464C" w:rsidRPr="00D8317C" w14:paraId="6E558DAE"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458" w:type="pct"/>
            <w:gridSpan w:val="3"/>
          </w:tcPr>
          <w:p w14:paraId="3ACD2474" w14:textId="77777777" w:rsidR="0005464C" w:rsidRPr="00676D64" w:rsidRDefault="0005464C" w:rsidP="00CA1069">
            <w:pPr>
              <w:pStyle w:val="naisc"/>
              <w:spacing w:before="0" w:after="0"/>
              <w:jc w:val="both"/>
              <w:rPr>
                <w:sz w:val="24"/>
                <w:szCs w:val="24"/>
                <w:lang w:val="lv-LV"/>
              </w:rPr>
            </w:pPr>
            <w:r w:rsidRPr="00676D64">
              <w:rPr>
                <w:sz w:val="24"/>
                <w:szCs w:val="24"/>
                <w:lang w:val="lv-LV"/>
              </w:rPr>
              <w:t>Attiecīgo Eiropas Savienības tiesību aktu datums, numurs un nosaukums</w:t>
            </w:r>
          </w:p>
        </w:tc>
        <w:tc>
          <w:tcPr>
            <w:tcW w:w="2542" w:type="pct"/>
            <w:gridSpan w:val="3"/>
          </w:tcPr>
          <w:p w14:paraId="6AFC5BAB" w14:textId="4071FC77" w:rsidR="0005464C" w:rsidRPr="00676D64" w:rsidRDefault="004C3F4B" w:rsidP="00CA1069">
            <w:pPr>
              <w:jc w:val="both"/>
            </w:pPr>
            <w:r w:rsidRPr="004C3F4B">
              <w:rPr>
                <w:bCs/>
              </w:rPr>
              <w:t>Projekts šo jomu neskar.</w:t>
            </w:r>
          </w:p>
        </w:tc>
      </w:tr>
      <w:tr w:rsidR="0005464C" w:rsidRPr="00674E0E" w14:paraId="3DFE82F3"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3292F0A" w14:textId="77777777" w:rsidR="0005464C" w:rsidRPr="00676D64" w:rsidRDefault="0005464C" w:rsidP="00CA1069">
            <w:pPr>
              <w:pStyle w:val="naisc"/>
              <w:spacing w:before="0" w:after="0"/>
              <w:jc w:val="right"/>
              <w:rPr>
                <w:sz w:val="24"/>
                <w:szCs w:val="24"/>
                <w:lang w:val="lv-LV"/>
              </w:rPr>
            </w:pPr>
          </w:p>
        </w:tc>
      </w:tr>
      <w:tr w:rsidR="0005464C" w:rsidRPr="00674E0E" w14:paraId="64A3A4F4"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67F288D4" w14:textId="77777777" w:rsidR="0005464C" w:rsidRPr="00676D64" w:rsidRDefault="0005464C" w:rsidP="00CA1069">
            <w:pPr>
              <w:pStyle w:val="naisc"/>
              <w:spacing w:before="0" w:after="0"/>
              <w:rPr>
                <w:sz w:val="24"/>
                <w:szCs w:val="24"/>
                <w:lang w:val="lv-LV"/>
              </w:rPr>
            </w:pPr>
            <w:r w:rsidRPr="00676D64">
              <w:rPr>
                <w:sz w:val="24"/>
                <w:szCs w:val="24"/>
                <w:lang w:val="lv-LV"/>
              </w:rPr>
              <w:t>A</w:t>
            </w:r>
          </w:p>
        </w:tc>
        <w:tc>
          <w:tcPr>
            <w:tcW w:w="1512" w:type="pct"/>
            <w:gridSpan w:val="3"/>
          </w:tcPr>
          <w:p w14:paraId="5E782413" w14:textId="77777777" w:rsidR="0005464C" w:rsidRPr="00676D64" w:rsidRDefault="0005464C" w:rsidP="00CA1069">
            <w:pPr>
              <w:pStyle w:val="naisc"/>
              <w:spacing w:before="0" w:after="0"/>
              <w:rPr>
                <w:sz w:val="24"/>
                <w:szCs w:val="24"/>
                <w:lang w:val="lv-LV"/>
              </w:rPr>
            </w:pPr>
            <w:r w:rsidRPr="00676D64">
              <w:rPr>
                <w:sz w:val="24"/>
                <w:szCs w:val="24"/>
                <w:lang w:val="lv-LV"/>
              </w:rPr>
              <w:t>B</w:t>
            </w:r>
          </w:p>
        </w:tc>
        <w:tc>
          <w:tcPr>
            <w:tcW w:w="928" w:type="pct"/>
          </w:tcPr>
          <w:p w14:paraId="420CDECB" w14:textId="77777777" w:rsidR="0005464C" w:rsidRPr="00676D64" w:rsidRDefault="0005464C" w:rsidP="00CA1069">
            <w:pPr>
              <w:pStyle w:val="naisc"/>
              <w:spacing w:before="0" w:after="0"/>
              <w:rPr>
                <w:sz w:val="24"/>
                <w:szCs w:val="24"/>
                <w:lang w:val="lv-LV"/>
              </w:rPr>
            </w:pPr>
            <w:r w:rsidRPr="00676D64">
              <w:rPr>
                <w:sz w:val="24"/>
                <w:szCs w:val="24"/>
                <w:lang w:val="lv-LV"/>
              </w:rPr>
              <w:t>C</w:t>
            </w:r>
          </w:p>
        </w:tc>
        <w:tc>
          <w:tcPr>
            <w:tcW w:w="1297" w:type="pct"/>
          </w:tcPr>
          <w:p w14:paraId="02CBEF30" w14:textId="77777777" w:rsidR="0005464C" w:rsidRPr="00676D64" w:rsidRDefault="0005464C" w:rsidP="00CA1069">
            <w:pPr>
              <w:pStyle w:val="naisc"/>
              <w:spacing w:before="0" w:after="0"/>
              <w:rPr>
                <w:sz w:val="24"/>
                <w:szCs w:val="24"/>
                <w:lang w:val="lv-LV"/>
              </w:rPr>
            </w:pPr>
            <w:r w:rsidRPr="00676D64">
              <w:rPr>
                <w:sz w:val="24"/>
                <w:szCs w:val="24"/>
                <w:lang w:val="lv-LV"/>
              </w:rPr>
              <w:t>D</w:t>
            </w:r>
          </w:p>
        </w:tc>
      </w:tr>
      <w:tr w:rsidR="0005464C" w:rsidRPr="00674E0E" w14:paraId="04C38974"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74FC1E66" w14:textId="77777777" w:rsidR="0005464C" w:rsidRPr="00676D64" w:rsidRDefault="0005464C" w:rsidP="00CA1069">
            <w:pPr>
              <w:pStyle w:val="naisc"/>
              <w:spacing w:before="0" w:after="0"/>
              <w:jc w:val="both"/>
              <w:rPr>
                <w:sz w:val="24"/>
                <w:szCs w:val="24"/>
                <w:lang w:val="lv-LV"/>
              </w:rPr>
            </w:pPr>
            <w:r w:rsidRPr="00676D64">
              <w:rPr>
                <w:sz w:val="24"/>
                <w:szCs w:val="24"/>
                <w:lang w:val="lv-LV"/>
              </w:rPr>
              <w:t>Attiecīgā ES tiesību akta panta numurs (uzskaitot katru tiesību akta vienību-pantu, daļu, punktu, apakšpunktu)</w:t>
            </w:r>
          </w:p>
        </w:tc>
        <w:tc>
          <w:tcPr>
            <w:tcW w:w="1512" w:type="pct"/>
            <w:gridSpan w:val="3"/>
          </w:tcPr>
          <w:p w14:paraId="07272645" w14:textId="77777777" w:rsidR="0005464C" w:rsidRPr="00676D64" w:rsidRDefault="0005464C" w:rsidP="00CA1069">
            <w:pPr>
              <w:pStyle w:val="naisc"/>
              <w:spacing w:before="0" w:after="0"/>
              <w:jc w:val="both"/>
              <w:rPr>
                <w:sz w:val="24"/>
                <w:szCs w:val="24"/>
                <w:lang w:val="lv-LV"/>
              </w:rPr>
            </w:pPr>
            <w:r w:rsidRPr="00676D64">
              <w:rPr>
                <w:sz w:val="24"/>
                <w:szCs w:val="24"/>
                <w:lang w:val="lv-LV"/>
              </w:rPr>
              <w:t>Projekta vienība, kas pārņem vai ievieš katru šī tabulas A ailē minēto ES tiesību akta vienību</w:t>
            </w:r>
            <w:r>
              <w:rPr>
                <w:sz w:val="24"/>
                <w:szCs w:val="24"/>
                <w:lang w:val="lv-LV"/>
              </w:rPr>
              <w:t xml:space="preserve"> vai tiesību akts, kur attiecīgā ES tiesību akta vienība pārņemta vai ieviesta</w:t>
            </w:r>
          </w:p>
        </w:tc>
        <w:tc>
          <w:tcPr>
            <w:tcW w:w="928" w:type="pct"/>
          </w:tcPr>
          <w:p w14:paraId="03F3D83F" w14:textId="77777777" w:rsidR="0005464C" w:rsidRPr="00676D64" w:rsidRDefault="0005464C" w:rsidP="00CA1069">
            <w:pPr>
              <w:pStyle w:val="naisc"/>
              <w:spacing w:before="0" w:after="0"/>
              <w:jc w:val="both"/>
              <w:rPr>
                <w:sz w:val="24"/>
                <w:szCs w:val="24"/>
                <w:lang w:val="lv-LV"/>
              </w:rPr>
            </w:pPr>
            <w:r w:rsidRPr="00676D64">
              <w:rPr>
                <w:sz w:val="24"/>
                <w:szCs w:val="24"/>
                <w:lang w:val="lv-LV"/>
              </w:rPr>
              <w:t xml:space="preserve">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w:t>
            </w:r>
            <w:r>
              <w:rPr>
                <w:sz w:val="24"/>
                <w:szCs w:val="24"/>
                <w:lang w:val="lv-LV"/>
              </w:rPr>
              <w:t xml:space="preserve">pilnībā. </w:t>
            </w:r>
            <w:r w:rsidRPr="00676D64">
              <w:rPr>
                <w:sz w:val="24"/>
                <w:szCs w:val="24"/>
                <w:lang w:val="lv-LV"/>
              </w:rPr>
              <w:t>Norāda institūciju, kas ir atbildīga par šo saistību izpildi pilnībā</w:t>
            </w:r>
          </w:p>
        </w:tc>
        <w:tc>
          <w:tcPr>
            <w:tcW w:w="1297" w:type="pct"/>
          </w:tcPr>
          <w:p w14:paraId="3CBB9EB0" w14:textId="77777777" w:rsidR="0005464C" w:rsidRPr="00676D64" w:rsidRDefault="0005464C" w:rsidP="00CA1069">
            <w:pPr>
              <w:pStyle w:val="naisc"/>
              <w:spacing w:before="0" w:after="0"/>
              <w:jc w:val="both"/>
              <w:rPr>
                <w:sz w:val="24"/>
                <w:szCs w:val="24"/>
                <w:lang w:val="lv-LV"/>
              </w:rPr>
            </w:pPr>
            <w:r w:rsidRPr="00676D64">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w:t>
            </w:r>
            <w:r>
              <w:rPr>
                <w:sz w:val="24"/>
                <w:szCs w:val="24"/>
                <w:lang w:val="lv-LV"/>
              </w:rPr>
              <w:t xml:space="preserve">orāda pamatojumu un samērīgumu. </w:t>
            </w:r>
            <w:r w:rsidRPr="00676D64">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05464C" w:rsidRPr="00674E0E" w14:paraId="49052231"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5C7CCD81" w14:textId="77777777" w:rsidR="0005464C" w:rsidRPr="00676D64" w:rsidRDefault="0005464C" w:rsidP="00CA1069">
            <w:pPr>
              <w:pStyle w:val="naisc"/>
              <w:spacing w:before="0" w:after="0"/>
              <w:jc w:val="both"/>
              <w:rPr>
                <w:sz w:val="24"/>
                <w:szCs w:val="24"/>
                <w:lang w:val="lv-LV"/>
              </w:rPr>
            </w:pPr>
            <w:r w:rsidRPr="00676D64">
              <w:rPr>
                <w:sz w:val="24"/>
                <w:szCs w:val="24"/>
                <w:lang w:val="lv-LV"/>
              </w:rPr>
              <w:t>Nav.</w:t>
            </w:r>
          </w:p>
        </w:tc>
        <w:tc>
          <w:tcPr>
            <w:tcW w:w="1512" w:type="pct"/>
            <w:gridSpan w:val="3"/>
          </w:tcPr>
          <w:p w14:paraId="3AE4A7B4" w14:textId="77777777" w:rsidR="0005464C" w:rsidRPr="00676D64" w:rsidRDefault="0005464C" w:rsidP="00CA1069">
            <w:pPr>
              <w:pStyle w:val="naisc"/>
              <w:spacing w:before="0" w:after="0"/>
              <w:jc w:val="both"/>
              <w:rPr>
                <w:sz w:val="24"/>
                <w:szCs w:val="24"/>
                <w:lang w:val="lv-LV"/>
              </w:rPr>
            </w:pPr>
            <w:r w:rsidRPr="00676D64">
              <w:rPr>
                <w:sz w:val="24"/>
                <w:szCs w:val="24"/>
                <w:lang w:val="lv-LV"/>
              </w:rPr>
              <w:t>Nav.</w:t>
            </w:r>
          </w:p>
        </w:tc>
        <w:tc>
          <w:tcPr>
            <w:tcW w:w="928" w:type="pct"/>
          </w:tcPr>
          <w:p w14:paraId="7102760F" w14:textId="77777777" w:rsidR="0005464C" w:rsidRPr="00676D64" w:rsidRDefault="0005464C" w:rsidP="00CA1069">
            <w:pPr>
              <w:pStyle w:val="naisc"/>
              <w:spacing w:before="0" w:after="0"/>
              <w:jc w:val="both"/>
              <w:rPr>
                <w:sz w:val="24"/>
                <w:szCs w:val="24"/>
                <w:lang w:val="lv-LV"/>
              </w:rPr>
            </w:pPr>
            <w:r w:rsidRPr="00676D64">
              <w:rPr>
                <w:sz w:val="24"/>
                <w:szCs w:val="24"/>
                <w:lang w:val="lv-LV"/>
              </w:rPr>
              <w:t>Nav.</w:t>
            </w:r>
          </w:p>
        </w:tc>
        <w:tc>
          <w:tcPr>
            <w:tcW w:w="1297" w:type="pct"/>
          </w:tcPr>
          <w:p w14:paraId="06781D35" w14:textId="77777777" w:rsidR="0005464C" w:rsidRPr="00676D64" w:rsidRDefault="0005464C" w:rsidP="00CA1069">
            <w:pPr>
              <w:pStyle w:val="naisc"/>
              <w:spacing w:before="0" w:after="0"/>
              <w:jc w:val="both"/>
              <w:rPr>
                <w:sz w:val="24"/>
                <w:szCs w:val="24"/>
                <w:lang w:val="lv-LV"/>
              </w:rPr>
            </w:pPr>
            <w:r w:rsidRPr="00676D64">
              <w:rPr>
                <w:sz w:val="24"/>
                <w:szCs w:val="24"/>
                <w:lang w:val="lv-LV"/>
              </w:rPr>
              <w:t>Nav.</w:t>
            </w:r>
          </w:p>
        </w:tc>
      </w:tr>
      <w:tr w:rsidR="0005464C" w:rsidRPr="00674E0E" w14:paraId="4839F907"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64FD8485" w14:textId="77777777" w:rsidR="0005464C" w:rsidRPr="00676D64" w:rsidRDefault="0005464C" w:rsidP="00CA1069">
            <w:pPr>
              <w:pStyle w:val="naisc"/>
              <w:spacing w:before="0" w:after="0"/>
              <w:jc w:val="both"/>
              <w:rPr>
                <w:sz w:val="24"/>
                <w:szCs w:val="24"/>
                <w:lang w:val="lv-LV"/>
              </w:rPr>
            </w:pPr>
            <w:r w:rsidRPr="00676D64">
              <w:rPr>
                <w:sz w:val="24"/>
                <w:szCs w:val="24"/>
                <w:lang w:val="lv-LV"/>
              </w:rPr>
              <w:lastRenderedPageBreak/>
              <w:t>Kā ir i</w:t>
            </w:r>
            <w:smartTag w:uri="urn:schemas-microsoft-com:office:smarttags" w:element="place">
              <w:r w:rsidRPr="00676D64">
                <w:rPr>
                  <w:sz w:val="24"/>
                  <w:szCs w:val="24"/>
                  <w:lang w:val="lv-LV"/>
                </w:rPr>
                <w:t>zm</w:t>
              </w:r>
            </w:smartTag>
            <w:r w:rsidRPr="00676D64">
              <w:rPr>
                <w:sz w:val="24"/>
                <w:szCs w:val="24"/>
                <w:lang w:val="lv-LV"/>
              </w:rPr>
              <w:t>antota ES tiesību aktā paredzētā rīcības brīvība dalībvalstij pārņemt vai ieviest noteiktas ES tiesību akta normas.</w:t>
            </w:r>
            <w:r>
              <w:rPr>
                <w:sz w:val="24"/>
                <w:szCs w:val="24"/>
                <w:lang w:val="lv-LV"/>
              </w:rPr>
              <w:t xml:space="preserve"> Kādēļ?</w:t>
            </w:r>
          </w:p>
        </w:tc>
        <w:tc>
          <w:tcPr>
            <w:tcW w:w="3737" w:type="pct"/>
            <w:gridSpan w:val="5"/>
          </w:tcPr>
          <w:p w14:paraId="6CD1D089" w14:textId="67468168" w:rsidR="0005464C" w:rsidRPr="00676D64" w:rsidRDefault="004C3F4B" w:rsidP="00CA1069">
            <w:pPr>
              <w:pStyle w:val="naisc"/>
              <w:spacing w:before="0" w:beforeAutospacing="0" w:after="0" w:afterAutospacing="0"/>
              <w:jc w:val="both"/>
              <w:rPr>
                <w:sz w:val="24"/>
                <w:szCs w:val="24"/>
                <w:lang w:val="lv-LV"/>
              </w:rPr>
            </w:pPr>
            <w:r w:rsidRPr="004C3F4B">
              <w:rPr>
                <w:bCs/>
                <w:sz w:val="24"/>
                <w:szCs w:val="24"/>
                <w:lang w:val="lv-LV"/>
              </w:rPr>
              <w:t>Projekts šo jomu neskar.</w:t>
            </w:r>
          </w:p>
        </w:tc>
      </w:tr>
      <w:tr w:rsidR="0005464C" w:rsidRPr="00674E0E" w14:paraId="1AB4ABA8"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731352B0" w14:textId="77777777" w:rsidR="0005464C" w:rsidRPr="00676D64" w:rsidRDefault="0005464C" w:rsidP="00CA1069">
            <w:pPr>
              <w:pStyle w:val="naisc"/>
              <w:spacing w:before="0" w:after="0"/>
              <w:jc w:val="both"/>
              <w:rPr>
                <w:sz w:val="24"/>
                <w:szCs w:val="24"/>
                <w:lang w:val="lv-LV"/>
              </w:rPr>
            </w:pPr>
            <w:r w:rsidRPr="00676D64">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737" w:type="pct"/>
            <w:gridSpan w:val="5"/>
          </w:tcPr>
          <w:p w14:paraId="47581F46" w14:textId="16DF553D" w:rsidR="0005464C" w:rsidRPr="00676D64" w:rsidRDefault="004C3F4B" w:rsidP="00CA1069">
            <w:pPr>
              <w:pStyle w:val="naisc"/>
              <w:spacing w:before="0" w:after="0"/>
              <w:jc w:val="both"/>
              <w:rPr>
                <w:sz w:val="24"/>
                <w:szCs w:val="24"/>
                <w:lang w:val="lv-LV"/>
              </w:rPr>
            </w:pPr>
            <w:r w:rsidRPr="004C3F4B">
              <w:rPr>
                <w:bCs/>
                <w:sz w:val="24"/>
                <w:szCs w:val="24"/>
                <w:lang w:val="lv-LV"/>
              </w:rPr>
              <w:t>Projekts šo jomu neskar.</w:t>
            </w:r>
          </w:p>
        </w:tc>
      </w:tr>
      <w:tr w:rsidR="0005464C" w:rsidRPr="00674E0E" w14:paraId="346C152E"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263" w:type="pct"/>
          </w:tcPr>
          <w:p w14:paraId="2029FCBD" w14:textId="77777777" w:rsidR="0005464C" w:rsidRPr="00676D64" w:rsidRDefault="0005464C" w:rsidP="00CA1069">
            <w:pPr>
              <w:pStyle w:val="naisc"/>
              <w:spacing w:before="0" w:after="0"/>
              <w:jc w:val="both"/>
              <w:rPr>
                <w:sz w:val="24"/>
                <w:szCs w:val="24"/>
                <w:lang w:val="lv-LV"/>
              </w:rPr>
            </w:pPr>
            <w:r w:rsidRPr="00676D64">
              <w:rPr>
                <w:sz w:val="24"/>
                <w:szCs w:val="24"/>
                <w:lang w:val="lv-LV"/>
              </w:rPr>
              <w:t>Cita informācija</w:t>
            </w:r>
          </w:p>
        </w:tc>
        <w:tc>
          <w:tcPr>
            <w:tcW w:w="3737" w:type="pct"/>
            <w:gridSpan w:val="5"/>
          </w:tcPr>
          <w:p w14:paraId="05D194B0" w14:textId="4897DF6C" w:rsidR="0005464C" w:rsidRDefault="0005464C" w:rsidP="00CA1069">
            <w:pPr>
              <w:pStyle w:val="naisc"/>
              <w:spacing w:before="0" w:beforeAutospacing="0" w:after="0" w:afterAutospacing="0"/>
              <w:jc w:val="both"/>
              <w:rPr>
                <w:sz w:val="24"/>
                <w:szCs w:val="24"/>
                <w:lang w:val="lv-LV"/>
              </w:rPr>
            </w:pPr>
            <w:r>
              <w:rPr>
                <w:sz w:val="24"/>
                <w:szCs w:val="24"/>
                <w:lang w:val="lv-LV"/>
              </w:rPr>
              <w:t xml:space="preserve">Projekta </w:t>
            </w:r>
            <w:r w:rsidR="004C3F4B">
              <w:rPr>
                <w:sz w:val="24"/>
                <w:szCs w:val="24"/>
                <w:lang w:val="lv-LV"/>
              </w:rPr>
              <w:t>2</w:t>
            </w:r>
            <w:r>
              <w:rPr>
                <w:sz w:val="24"/>
                <w:szCs w:val="24"/>
                <w:lang w:val="lv-LV"/>
              </w:rPr>
              <w:t>.</w:t>
            </w:r>
            <w:r w:rsidR="00465344">
              <w:rPr>
                <w:sz w:val="24"/>
                <w:szCs w:val="24"/>
                <w:lang w:val="lv-LV"/>
              </w:rPr>
              <w:t> </w:t>
            </w:r>
            <w:r>
              <w:rPr>
                <w:sz w:val="24"/>
                <w:szCs w:val="24"/>
                <w:lang w:val="lv-LV"/>
              </w:rPr>
              <w:t>punkts atbilst:</w:t>
            </w:r>
          </w:p>
          <w:p w14:paraId="5441D5FD" w14:textId="5E6F7286" w:rsidR="0005464C" w:rsidRPr="00D85A28" w:rsidRDefault="0005464C" w:rsidP="00CA1069">
            <w:pPr>
              <w:jc w:val="both"/>
            </w:pPr>
            <w:r>
              <w:t>a</w:t>
            </w:r>
            <w:r w:rsidRPr="00D85A28">
              <w:t>) EK 2020.</w:t>
            </w:r>
            <w:r w:rsidR="00283D3D">
              <w:t xml:space="preserve"> </w:t>
            </w:r>
            <w:r w:rsidRPr="00D85A28">
              <w:t>gada 8.</w:t>
            </w:r>
            <w:r w:rsidR="00283D3D">
              <w:t xml:space="preserve"> </w:t>
            </w:r>
            <w:r w:rsidRPr="00D85A28">
              <w:t>aprīļa paziņojuma “Vadlīnijas par optimālu un racionālu apgādi ar zālēm, lai novērstu zāļu deficītu Covid-19 uzliesmojuma laikā”</w:t>
            </w:r>
            <w:r w:rsidRPr="00D85A28">
              <w:rPr>
                <w:color w:val="444444"/>
                <w:shd w:val="clear" w:color="auto" w:fill="FFFFFF"/>
              </w:rPr>
              <w:t xml:space="preserve"> </w:t>
            </w:r>
            <w:r w:rsidRPr="00D85A28">
              <w:rPr>
                <w:shd w:val="clear" w:color="auto" w:fill="FFFFFF"/>
              </w:rPr>
              <w:t>(2020/C 116 I/01) 4.</w:t>
            </w:r>
            <w:r w:rsidR="00465344">
              <w:rPr>
                <w:shd w:val="clear" w:color="auto" w:fill="FFFFFF"/>
              </w:rPr>
              <w:t> </w:t>
            </w:r>
            <w:r w:rsidRPr="00D85A28">
              <w:rPr>
                <w:shd w:val="clear" w:color="auto" w:fill="FFFFFF"/>
              </w:rPr>
              <w:t xml:space="preserve">punkta </w:t>
            </w:r>
            <w:r w:rsidR="005F7662">
              <w:rPr>
                <w:shd w:val="clear" w:color="auto" w:fill="FFFFFF"/>
              </w:rPr>
              <w:t>“</w:t>
            </w:r>
            <w:r w:rsidRPr="00D85A28">
              <w:rPr>
                <w:shd w:val="clear" w:color="auto" w:fill="FFFFFF"/>
              </w:rPr>
              <w:t>c</w:t>
            </w:r>
            <w:r w:rsidR="005F7662">
              <w:rPr>
                <w:shd w:val="clear" w:color="auto" w:fill="FFFFFF"/>
              </w:rPr>
              <w:t>”</w:t>
            </w:r>
            <w:r w:rsidRPr="00D85A28">
              <w:rPr>
                <w:shd w:val="clear" w:color="auto" w:fill="FFFFFF"/>
              </w:rPr>
              <w:t xml:space="preserve"> apakšpunktam;</w:t>
            </w:r>
          </w:p>
          <w:p w14:paraId="7CBB31A2" w14:textId="74896029" w:rsidR="0005464C" w:rsidRPr="00D85A28" w:rsidRDefault="0005464C" w:rsidP="00CA1069">
            <w:pPr>
              <w:pStyle w:val="naisc"/>
              <w:spacing w:before="0" w:beforeAutospacing="0" w:after="0" w:afterAutospacing="0"/>
              <w:jc w:val="both"/>
              <w:rPr>
                <w:sz w:val="24"/>
                <w:szCs w:val="24"/>
                <w:lang w:val="lv-LV"/>
              </w:rPr>
            </w:pPr>
            <w:r w:rsidRPr="00D85A28">
              <w:rPr>
                <w:sz w:val="24"/>
                <w:szCs w:val="24"/>
                <w:lang w:val="lv-LV"/>
              </w:rPr>
              <w:t xml:space="preserve">2) EK, EZA un Eiropas </w:t>
            </w:r>
            <w:r w:rsidR="00A5089F">
              <w:rPr>
                <w:sz w:val="24"/>
                <w:szCs w:val="24"/>
                <w:lang w:val="lv-LV"/>
              </w:rPr>
              <w:t>z</w:t>
            </w:r>
            <w:r w:rsidRPr="00D85A28">
              <w:rPr>
                <w:sz w:val="24"/>
                <w:szCs w:val="24"/>
                <w:lang w:val="lv-LV"/>
              </w:rPr>
              <w:t>āļu aģentūru vadītāju 2020.</w:t>
            </w:r>
            <w:r w:rsidR="00283D3D">
              <w:rPr>
                <w:sz w:val="24"/>
                <w:szCs w:val="24"/>
                <w:lang w:val="lv-LV"/>
              </w:rPr>
              <w:t xml:space="preserve"> </w:t>
            </w:r>
            <w:r w:rsidRPr="00D85A28">
              <w:rPr>
                <w:sz w:val="24"/>
                <w:szCs w:val="24"/>
                <w:lang w:val="lv-LV"/>
              </w:rPr>
              <w:t>gada 30.</w:t>
            </w:r>
            <w:r w:rsidR="00283D3D">
              <w:rPr>
                <w:sz w:val="24"/>
                <w:szCs w:val="24"/>
                <w:lang w:val="lv-LV"/>
              </w:rPr>
              <w:t xml:space="preserve"> </w:t>
            </w:r>
            <w:r w:rsidRPr="00D85A28">
              <w:rPr>
                <w:sz w:val="24"/>
                <w:szCs w:val="24"/>
                <w:lang w:val="lv-LV"/>
              </w:rPr>
              <w:t>aprīļa paziņojuma “Jautājumu un atbilžu dokuments par veterināro zāļu reglamentējuma jautājumiem Covid-19 pandēmijas laikā” A sadaļas 2.1.</w:t>
            </w:r>
            <w:r w:rsidR="00465344">
              <w:rPr>
                <w:sz w:val="24"/>
                <w:szCs w:val="24"/>
                <w:lang w:val="lv-LV"/>
              </w:rPr>
              <w:t> </w:t>
            </w:r>
            <w:r w:rsidRPr="00D85A28">
              <w:rPr>
                <w:sz w:val="24"/>
                <w:szCs w:val="24"/>
                <w:lang w:val="lv-LV"/>
              </w:rPr>
              <w:t>apakšpunktam.</w:t>
            </w:r>
          </w:p>
        </w:tc>
      </w:tr>
      <w:tr w:rsidR="0005464C" w:rsidRPr="00676D64" w14:paraId="633C8FA2"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098416B3" w14:textId="77777777" w:rsidR="0005464C" w:rsidRPr="00676D64" w:rsidRDefault="0005464C" w:rsidP="00CA1069">
            <w:pPr>
              <w:pStyle w:val="naisc"/>
              <w:spacing w:before="0" w:after="0"/>
              <w:rPr>
                <w:b/>
                <w:sz w:val="24"/>
                <w:szCs w:val="24"/>
                <w:lang w:val="lv-LV"/>
              </w:rPr>
            </w:pPr>
            <w:r w:rsidRPr="00676D64">
              <w:rPr>
                <w:b/>
                <w:sz w:val="24"/>
                <w:szCs w:val="24"/>
                <w:lang w:val="lv-LV"/>
              </w:rPr>
              <w:t>2.tabula</w:t>
            </w:r>
          </w:p>
          <w:p w14:paraId="2B678F25" w14:textId="77777777" w:rsidR="0005464C" w:rsidRPr="00676D64" w:rsidRDefault="0005464C" w:rsidP="00CA1069">
            <w:pPr>
              <w:pStyle w:val="naisc"/>
              <w:spacing w:before="0" w:after="0"/>
              <w:rPr>
                <w:b/>
                <w:sz w:val="24"/>
                <w:szCs w:val="24"/>
                <w:lang w:val="lv-LV"/>
              </w:rPr>
            </w:pPr>
            <w:r w:rsidRPr="00676D64">
              <w:rPr>
                <w:b/>
                <w:sz w:val="24"/>
                <w:szCs w:val="24"/>
                <w:lang w:val="lv-LV"/>
              </w:rPr>
              <w:t>Ar tiesību akta projektu uzņemtās saistības, kas izriet no starptautiskajiem tiesību aktiem vai starptautiskas institūcijas vai organizācijas dokumentiem</w:t>
            </w:r>
          </w:p>
          <w:p w14:paraId="3EEB482C" w14:textId="77777777" w:rsidR="0005464C" w:rsidRPr="00676D64" w:rsidRDefault="0005464C" w:rsidP="00CA1069">
            <w:pPr>
              <w:pStyle w:val="naisc"/>
              <w:spacing w:before="0" w:after="0"/>
              <w:rPr>
                <w:b/>
                <w:sz w:val="24"/>
                <w:szCs w:val="24"/>
                <w:lang w:val="lv-LV"/>
              </w:rPr>
            </w:pPr>
            <w:r w:rsidRPr="00676D64">
              <w:rPr>
                <w:b/>
                <w:sz w:val="24"/>
                <w:szCs w:val="24"/>
                <w:lang w:val="lv-LV"/>
              </w:rPr>
              <w:t>Pasākumi šo saistību izpildei</w:t>
            </w:r>
          </w:p>
        </w:tc>
      </w:tr>
      <w:tr w:rsidR="0005464C" w:rsidRPr="00676D64" w14:paraId="4BFED969" w14:textId="77777777" w:rsidTr="00CA1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255F16EA" w14:textId="1BA30D19" w:rsidR="0005464C" w:rsidRPr="00D85A28" w:rsidRDefault="00FA2EF8" w:rsidP="00A5089F">
            <w:pPr>
              <w:pStyle w:val="naisc"/>
              <w:spacing w:before="0" w:after="0"/>
              <w:rPr>
                <w:bCs/>
                <w:sz w:val="24"/>
                <w:szCs w:val="24"/>
                <w:lang w:val="lv-LV"/>
              </w:rPr>
            </w:pPr>
            <w:r w:rsidRPr="00FA2EF8">
              <w:rPr>
                <w:bCs/>
                <w:sz w:val="24"/>
                <w:szCs w:val="24"/>
                <w:lang w:val="lv-LV"/>
              </w:rPr>
              <w:t>Projekts šo jomu neskar</w:t>
            </w:r>
            <w:r w:rsidR="0005464C" w:rsidRPr="00D85A28">
              <w:rPr>
                <w:bCs/>
                <w:sz w:val="24"/>
                <w:szCs w:val="24"/>
                <w:lang w:val="lv-LV"/>
              </w:rPr>
              <w:t>.</w:t>
            </w:r>
          </w:p>
        </w:tc>
      </w:tr>
    </w:tbl>
    <w:p w14:paraId="0AE77926" w14:textId="77777777" w:rsidR="0005464C" w:rsidRPr="00044EF7" w:rsidRDefault="0005464C" w:rsidP="007520AF">
      <w:pPr>
        <w:pStyle w:val="Nosaukums"/>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5464C" w:rsidRPr="001A5641" w14:paraId="6783C611" w14:textId="77777777" w:rsidTr="00CA1069">
        <w:trPr>
          <w:cantSplit/>
        </w:trPr>
        <w:tc>
          <w:tcPr>
            <w:tcW w:w="5000" w:type="pct"/>
            <w:gridSpan w:val="3"/>
            <w:vAlign w:val="center"/>
            <w:hideMark/>
          </w:tcPr>
          <w:p w14:paraId="6D1F5EC6" w14:textId="77777777" w:rsidR="0005464C" w:rsidRPr="001A5641" w:rsidRDefault="0005464C" w:rsidP="00CA1069">
            <w:pPr>
              <w:jc w:val="center"/>
              <w:rPr>
                <w:b/>
                <w:bCs/>
              </w:rPr>
            </w:pPr>
            <w:r w:rsidRPr="001A5641">
              <w:rPr>
                <w:b/>
                <w:bCs/>
              </w:rPr>
              <w:t>VI. Sabiedrības līdzdalība un komunikācijas aktivitātes</w:t>
            </w:r>
          </w:p>
        </w:tc>
      </w:tr>
      <w:tr w:rsidR="0005464C" w:rsidRPr="001A5641" w14:paraId="7AC41147" w14:textId="77777777" w:rsidTr="00CA1069">
        <w:trPr>
          <w:cantSplit/>
        </w:trPr>
        <w:tc>
          <w:tcPr>
            <w:tcW w:w="311" w:type="pct"/>
            <w:hideMark/>
          </w:tcPr>
          <w:p w14:paraId="455268FF" w14:textId="77777777" w:rsidR="0005464C" w:rsidRPr="001A5641" w:rsidRDefault="0005464C" w:rsidP="00CA1069">
            <w:pPr>
              <w:jc w:val="center"/>
            </w:pPr>
            <w:r w:rsidRPr="001A5641">
              <w:t>1.</w:t>
            </w:r>
          </w:p>
        </w:tc>
        <w:tc>
          <w:tcPr>
            <w:tcW w:w="1479" w:type="pct"/>
            <w:hideMark/>
          </w:tcPr>
          <w:p w14:paraId="0592CAEB" w14:textId="77777777" w:rsidR="0005464C" w:rsidRPr="001A5641" w:rsidRDefault="0005464C" w:rsidP="00CA1069">
            <w:r w:rsidRPr="001A5641">
              <w:t>Plānotās sabiedrības līdzdalības un komunikācijas aktivitātes saistībā ar projektu</w:t>
            </w:r>
          </w:p>
        </w:tc>
        <w:tc>
          <w:tcPr>
            <w:tcW w:w="3210" w:type="pct"/>
            <w:hideMark/>
          </w:tcPr>
          <w:p w14:paraId="593605F1" w14:textId="22D47B61" w:rsidR="00204EC7" w:rsidRDefault="00204EC7" w:rsidP="00204EC7">
            <w:pPr>
              <w:jc w:val="both"/>
            </w:pPr>
            <w:r>
              <w:t>Saskaņā ar Ministru kabineta 2009. gada 25. augusta noteikumu Nr. 970 “Sabiedrības līdzdalības kārtība attīstības plānošanas procesā” (turpmāk – MK noteikumi Nr. 970) 7.4.</w:t>
            </w:r>
            <w:r w:rsidRPr="00E52C62">
              <w:rPr>
                <w:vertAlign w:val="superscript"/>
              </w:rPr>
              <w:t>1</w:t>
            </w:r>
            <w:r w:rsidR="00824C98">
              <w:t> </w:t>
            </w:r>
            <w:r>
              <w:t xml:space="preserve">apakšpunktu sabiedrības pārstāvji ir aicināti līdzdarboties, rakstiski sniedzot viedokli par noteikumu projektu tā izstrādes stadijā. </w:t>
            </w:r>
          </w:p>
          <w:p w14:paraId="088EDAFA" w14:textId="77777777" w:rsidR="00204EC7" w:rsidRDefault="00204EC7" w:rsidP="00204EC7">
            <w:pPr>
              <w:jc w:val="both"/>
            </w:pPr>
            <w:r>
              <w:t>Sabiedrības pārstāvji ir informēti par iespēju līdzdarboties, publicējot paziņojumu par līdzdalības procesu Zemkopības ministrijas tīmekļvietnē un Valsts kancelejas tīmekļvietnē.</w:t>
            </w:r>
          </w:p>
          <w:p w14:paraId="0D2FB875" w14:textId="504E6F26" w:rsidR="0005464C" w:rsidRPr="001A5641" w:rsidRDefault="00204EC7" w:rsidP="00CA1069">
            <w:pPr>
              <w:jc w:val="both"/>
            </w:pPr>
            <w:r>
              <w:lastRenderedPageBreak/>
              <w:t>Atbilstoši MK noteikumu Nr. 970 14. punktam elektroniski sagatavots paziņojums par līdzdalības procesu iesniegts Valsts kancelejā publicēšanai tās tīmekļvietnē.</w:t>
            </w:r>
          </w:p>
        </w:tc>
      </w:tr>
      <w:tr w:rsidR="0005464C" w:rsidRPr="001A5641" w14:paraId="3141261D" w14:textId="77777777" w:rsidTr="00CA1069">
        <w:trPr>
          <w:cantSplit/>
        </w:trPr>
        <w:tc>
          <w:tcPr>
            <w:tcW w:w="311" w:type="pct"/>
            <w:hideMark/>
          </w:tcPr>
          <w:p w14:paraId="4ED7DA83" w14:textId="77777777" w:rsidR="0005464C" w:rsidRPr="001A5641" w:rsidRDefault="0005464C" w:rsidP="00CA1069">
            <w:pPr>
              <w:jc w:val="center"/>
            </w:pPr>
            <w:r w:rsidRPr="001A5641">
              <w:lastRenderedPageBreak/>
              <w:t>2.</w:t>
            </w:r>
          </w:p>
        </w:tc>
        <w:tc>
          <w:tcPr>
            <w:tcW w:w="1479" w:type="pct"/>
            <w:hideMark/>
          </w:tcPr>
          <w:p w14:paraId="49E6A809" w14:textId="77777777" w:rsidR="0005464C" w:rsidRPr="001A5641" w:rsidRDefault="0005464C" w:rsidP="00CA1069">
            <w:r w:rsidRPr="001A5641">
              <w:t>Sabiedrības līdzdalība projekta izstrādē</w:t>
            </w:r>
          </w:p>
        </w:tc>
        <w:tc>
          <w:tcPr>
            <w:tcW w:w="3210" w:type="pct"/>
            <w:hideMark/>
          </w:tcPr>
          <w:p w14:paraId="30C92FF2" w14:textId="22EEF18B" w:rsidR="0005464C" w:rsidRPr="001A5641" w:rsidRDefault="0005464C" w:rsidP="00CA1069">
            <w:pPr>
              <w:jc w:val="both"/>
            </w:pPr>
            <w:r>
              <w:rPr>
                <w:iCs/>
              </w:rPr>
              <w:t xml:space="preserve">Informācija par noteikumu projektu no </w:t>
            </w:r>
            <w:r w:rsidR="00A5089F" w:rsidRPr="00A5089F">
              <w:rPr>
                <w:iCs/>
              </w:rPr>
              <w:t>1</w:t>
            </w:r>
            <w:r w:rsidRPr="00A5089F">
              <w:rPr>
                <w:iCs/>
              </w:rPr>
              <w:t xml:space="preserve">6.07.2020. līdz </w:t>
            </w:r>
            <w:r w:rsidR="00A5089F">
              <w:rPr>
                <w:iCs/>
              </w:rPr>
              <w:t>30</w:t>
            </w:r>
            <w:r w:rsidRPr="00A5089F">
              <w:rPr>
                <w:iCs/>
              </w:rPr>
              <w:t>.07.2020.</w:t>
            </w:r>
            <w:r w:rsidR="00465344">
              <w:rPr>
                <w:iCs/>
              </w:rPr>
              <w:t xml:space="preserve"> bija</w:t>
            </w:r>
            <w:r>
              <w:rPr>
                <w:iCs/>
              </w:rPr>
              <w:t xml:space="preserve"> ievietota Zemkopības ministrijas tīmekļvietnes </w:t>
            </w:r>
            <w:hyperlink r:id="rId7" w:history="1">
              <w:r>
                <w:rPr>
                  <w:rStyle w:val="Hipersaite"/>
                  <w:iCs/>
                </w:rPr>
                <w:t>www.zm.gov.lv</w:t>
              </w:r>
            </w:hyperlink>
            <w:r>
              <w:rPr>
                <w:iCs/>
                <w:u w:val="single"/>
              </w:rPr>
              <w:t xml:space="preserve"> </w:t>
            </w:r>
            <w:r>
              <w:rPr>
                <w:iCs/>
              </w:rPr>
              <w:t>sadaļā „Sabiedr</w:t>
            </w:r>
            <w:r w:rsidR="003E23FF">
              <w:rPr>
                <w:iCs/>
              </w:rPr>
              <w:t>ības līdzdalība</w:t>
            </w:r>
            <w:r>
              <w:rPr>
                <w:iCs/>
              </w:rPr>
              <w:t>”</w:t>
            </w:r>
            <w:r w:rsidR="003E23FF">
              <w:rPr>
                <w:iCs/>
              </w:rPr>
              <w:t xml:space="preserve"> un </w:t>
            </w:r>
            <w:r w:rsidR="003E23FF" w:rsidRPr="003E23FF">
              <w:rPr>
                <w:iCs/>
              </w:rPr>
              <w:t>Ministru kabineta tīmekļvietnes sadaļā „Valsts kanceleja”–“Sabiedrības līdzdalība”</w:t>
            </w:r>
            <w:r w:rsidR="00874201">
              <w:rPr>
                <w:iCs/>
              </w:rPr>
              <w:t xml:space="preserve"> </w:t>
            </w:r>
            <w:hyperlink r:id="rId8" w:history="1">
              <w:r w:rsidR="00874201" w:rsidRPr="00874201">
                <w:rPr>
                  <w:rStyle w:val="Hipersaite"/>
                  <w:iCs/>
                </w:rPr>
                <w:t>https://www.zm.gov.lv/zemkopibas-ministrija/arhivetas-apspriesanas/noteikumi-par-veterinaro-zalu-razosanu-un-kontroli-kartibu-kada-veteri?id=932</w:t>
              </w:r>
            </w:hyperlink>
            <w:r w:rsidR="00F434DB">
              <w:rPr>
                <w:iCs/>
              </w:rPr>
              <w:t>,</w:t>
            </w:r>
            <w:r w:rsidR="00F434DB">
              <w:t xml:space="preserve"> </w:t>
            </w:r>
            <w:r w:rsidR="00F434DB" w:rsidRPr="00F434DB">
              <w:rPr>
                <w:iCs/>
              </w:rPr>
              <w:t>kur sabiedrības pārstāvji varē</w:t>
            </w:r>
            <w:r w:rsidR="00F434DB">
              <w:rPr>
                <w:iCs/>
              </w:rPr>
              <w:t>ja</w:t>
            </w:r>
            <w:r w:rsidR="00F434DB" w:rsidRPr="00F434DB">
              <w:rPr>
                <w:iCs/>
              </w:rPr>
              <w:t xml:space="preserve"> sniegt viedokļus par projektu</w:t>
            </w:r>
            <w:r>
              <w:rPr>
                <w:iCs/>
              </w:rPr>
              <w:t>.</w:t>
            </w:r>
            <w:r>
              <w:rPr>
                <w:iCs/>
                <w:u w:val="single"/>
              </w:rPr>
              <w:t xml:space="preserve"> </w:t>
            </w:r>
          </w:p>
        </w:tc>
      </w:tr>
      <w:tr w:rsidR="0005464C" w:rsidRPr="001A5641" w14:paraId="74934CDD" w14:textId="77777777" w:rsidTr="00CA1069">
        <w:trPr>
          <w:cantSplit/>
        </w:trPr>
        <w:tc>
          <w:tcPr>
            <w:tcW w:w="311" w:type="pct"/>
            <w:hideMark/>
          </w:tcPr>
          <w:p w14:paraId="2B600027" w14:textId="77777777" w:rsidR="0005464C" w:rsidRPr="001A5641" w:rsidRDefault="0005464C" w:rsidP="00CA1069">
            <w:pPr>
              <w:jc w:val="center"/>
            </w:pPr>
            <w:r w:rsidRPr="001A5641">
              <w:t>3.</w:t>
            </w:r>
          </w:p>
        </w:tc>
        <w:tc>
          <w:tcPr>
            <w:tcW w:w="1479" w:type="pct"/>
            <w:hideMark/>
          </w:tcPr>
          <w:p w14:paraId="1CF294F0" w14:textId="77777777" w:rsidR="0005464C" w:rsidRPr="001A5641" w:rsidRDefault="0005464C" w:rsidP="00CA1069">
            <w:r w:rsidRPr="001A5641">
              <w:t>Sabiedrības līdzdalības rezultāti</w:t>
            </w:r>
          </w:p>
        </w:tc>
        <w:tc>
          <w:tcPr>
            <w:tcW w:w="3210" w:type="pct"/>
            <w:hideMark/>
          </w:tcPr>
          <w:p w14:paraId="21487A94" w14:textId="1BBF0886" w:rsidR="0005464C" w:rsidRPr="001A5641" w:rsidRDefault="00F434DB" w:rsidP="00CA1069">
            <w:pPr>
              <w:jc w:val="both"/>
            </w:pPr>
            <w:r>
              <w:t>Par noteikumu projektu n</w:t>
            </w:r>
            <w:r w:rsidR="00DC7069">
              <w:t>av saņemti iebildumi</w:t>
            </w:r>
            <w:r>
              <w:t xml:space="preserve"> un priekšlikumi</w:t>
            </w:r>
            <w:r w:rsidR="00DC7069">
              <w:t>.</w:t>
            </w:r>
          </w:p>
        </w:tc>
      </w:tr>
      <w:tr w:rsidR="0005464C" w:rsidRPr="001A5641" w14:paraId="2E054F68" w14:textId="77777777" w:rsidTr="00CA1069">
        <w:trPr>
          <w:cantSplit/>
        </w:trPr>
        <w:tc>
          <w:tcPr>
            <w:tcW w:w="311" w:type="pct"/>
            <w:hideMark/>
          </w:tcPr>
          <w:p w14:paraId="51F8B6F7" w14:textId="77777777" w:rsidR="0005464C" w:rsidRPr="001A5641" w:rsidRDefault="0005464C" w:rsidP="00CA1069">
            <w:pPr>
              <w:jc w:val="center"/>
            </w:pPr>
            <w:r w:rsidRPr="001A5641">
              <w:t>4.</w:t>
            </w:r>
          </w:p>
        </w:tc>
        <w:tc>
          <w:tcPr>
            <w:tcW w:w="1479" w:type="pct"/>
            <w:hideMark/>
          </w:tcPr>
          <w:p w14:paraId="4D900529" w14:textId="77777777" w:rsidR="0005464C" w:rsidRPr="001A5641" w:rsidRDefault="0005464C" w:rsidP="00CA1069">
            <w:r w:rsidRPr="001A5641">
              <w:t>Cita informācija</w:t>
            </w:r>
          </w:p>
        </w:tc>
        <w:tc>
          <w:tcPr>
            <w:tcW w:w="3210" w:type="pct"/>
            <w:hideMark/>
          </w:tcPr>
          <w:p w14:paraId="37BECE83" w14:textId="43B525AE" w:rsidR="0005464C" w:rsidRPr="001A5641" w:rsidRDefault="0005464C" w:rsidP="00CA1069">
            <w:r>
              <w:t>Nav.</w:t>
            </w:r>
          </w:p>
        </w:tc>
      </w:tr>
    </w:tbl>
    <w:p w14:paraId="1CC41E21" w14:textId="77777777" w:rsidR="0005464C" w:rsidRPr="001A5641" w:rsidRDefault="0005464C" w:rsidP="007520AF">
      <w:pPr>
        <w:pStyle w:val="Nosaukum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5464C" w:rsidRPr="001A5641" w14:paraId="50834D46" w14:textId="77777777" w:rsidTr="00CA1069">
        <w:trPr>
          <w:cantSplit/>
        </w:trPr>
        <w:tc>
          <w:tcPr>
            <w:tcW w:w="5000" w:type="pct"/>
            <w:gridSpan w:val="3"/>
            <w:vAlign w:val="center"/>
            <w:hideMark/>
          </w:tcPr>
          <w:p w14:paraId="2AC48732" w14:textId="77777777" w:rsidR="0005464C" w:rsidRPr="001A5641" w:rsidRDefault="0005464C" w:rsidP="00CA1069">
            <w:pPr>
              <w:jc w:val="center"/>
              <w:rPr>
                <w:b/>
                <w:bCs/>
              </w:rPr>
            </w:pPr>
            <w:r w:rsidRPr="001A5641">
              <w:rPr>
                <w:b/>
                <w:bCs/>
              </w:rPr>
              <w:t>VII. Tiesību akta projekta izpildes nodrošināšana un tās ietekme uz institūcijām</w:t>
            </w:r>
          </w:p>
        </w:tc>
      </w:tr>
      <w:tr w:rsidR="0005464C" w:rsidRPr="001A5641" w14:paraId="6B898E23" w14:textId="77777777" w:rsidTr="00CA1069">
        <w:trPr>
          <w:cantSplit/>
        </w:trPr>
        <w:tc>
          <w:tcPr>
            <w:tcW w:w="311" w:type="pct"/>
            <w:hideMark/>
          </w:tcPr>
          <w:p w14:paraId="5838548A" w14:textId="77777777" w:rsidR="0005464C" w:rsidRPr="001A5641" w:rsidRDefault="0005464C" w:rsidP="00CA1069">
            <w:pPr>
              <w:jc w:val="center"/>
            </w:pPr>
            <w:r w:rsidRPr="001A5641">
              <w:t>1.</w:t>
            </w:r>
          </w:p>
        </w:tc>
        <w:tc>
          <w:tcPr>
            <w:tcW w:w="1479" w:type="pct"/>
            <w:hideMark/>
          </w:tcPr>
          <w:p w14:paraId="0410115F" w14:textId="77777777" w:rsidR="0005464C" w:rsidRPr="001A5641" w:rsidRDefault="0005464C" w:rsidP="00CA1069">
            <w:r w:rsidRPr="001A5641">
              <w:t>Projekta izpildē iesaistītās institūcijas</w:t>
            </w:r>
          </w:p>
        </w:tc>
        <w:tc>
          <w:tcPr>
            <w:tcW w:w="3210" w:type="pct"/>
            <w:hideMark/>
          </w:tcPr>
          <w:p w14:paraId="2ED99082" w14:textId="1773694B" w:rsidR="0005464C" w:rsidRPr="001A5641" w:rsidRDefault="0005464C" w:rsidP="00CA1069">
            <w:r>
              <w:t>Pārtikas un veterinārais dienests</w:t>
            </w:r>
            <w:r w:rsidR="00975D84">
              <w:t xml:space="preserve"> un </w:t>
            </w:r>
            <w:r>
              <w:t>Zāļu valsts aģentūra</w:t>
            </w:r>
          </w:p>
        </w:tc>
      </w:tr>
      <w:tr w:rsidR="0005464C" w:rsidRPr="001A5641" w14:paraId="7954485E" w14:textId="77777777" w:rsidTr="00CA1069">
        <w:trPr>
          <w:cantSplit/>
        </w:trPr>
        <w:tc>
          <w:tcPr>
            <w:tcW w:w="311" w:type="pct"/>
            <w:hideMark/>
          </w:tcPr>
          <w:p w14:paraId="171EB66D" w14:textId="77777777" w:rsidR="0005464C" w:rsidRPr="001A5641" w:rsidRDefault="0005464C" w:rsidP="00CA1069">
            <w:pPr>
              <w:jc w:val="center"/>
            </w:pPr>
            <w:r w:rsidRPr="001A5641">
              <w:t>2.</w:t>
            </w:r>
          </w:p>
        </w:tc>
        <w:tc>
          <w:tcPr>
            <w:tcW w:w="1479" w:type="pct"/>
            <w:hideMark/>
          </w:tcPr>
          <w:p w14:paraId="104921AF" w14:textId="77777777" w:rsidR="0005464C" w:rsidRPr="001A5641" w:rsidRDefault="0005464C" w:rsidP="00CA1069">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14:paraId="609DDEE2" w14:textId="5E3D2C28" w:rsidR="0005464C" w:rsidRDefault="0005464C" w:rsidP="00CA1069">
            <w:pPr>
              <w:jc w:val="both"/>
              <w:rPr>
                <w:szCs w:val="22"/>
              </w:rPr>
            </w:pPr>
            <w:r w:rsidRPr="00C335E7">
              <w:rPr>
                <w:szCs w:val="22"/>
              </w:rPr>
              <w:t xml:space="preserve">Noteikumu projekta izpildei nav nepieciešams paplašināt </w:t>
            </w:r>
            <w:r w:rsidR="00975D84">
              <w:rPr>
                <w:szCs w:val="22"/>
              </w:rPr>
              <w:t>institūciju</w:t>
            </w:r>
            <w:r w:rsidRPr="00C335E7">
              <w:rPr>
                <w:szCs w:val="22"/>
              </w:rPr>
              <w:t xml:space="preserve"> funkcijas un uzdevumus.</w:t>
            </w:r>
          </w:p>
          <w:p w14:paraId="237C79AB" w14:textId="77777777" w:rsidR="0005464C" w:rsidRPr="00984503" w:rsidRDefault="0005464C" w:rsidP="00CA1069">
            <w:pPr>
              <w:jc w:val="both"/>
            </w:pPr>
            <w:r>
              <w:t>Noteikumu projekta izpilde neietekmēs institūcijām pieejamos cilvēkresursus.</w:t>
            </w:r>
          </w:p>
        </w:tc>
      </w:tr>
      <w:tr w:rsidR="0005464C" w:rsidRPr="001A5641" w14:paraId="295D0665" w14:textId="77777777" w:rsidTr="00CA1069">
        <w:trPr>
          <w:cantSplit/>
        </w:trPr>
        <w:tc>
          <w:tcPr>
            <w:tcW w:w="311" w:type="pct"/>
            <w:hideMark/>
          </w:tcPr>
          <w:p w14:paraId="316947A5" w14:textId="77777777" w:rsidR="0005464C" w:rsidRPr="001A5641" w:rsidRDefault="0005464C" w:rsidP="00CA1069">
            <w:pPr>
              <w:jc w:val="center"/>
            </w:pPr>
            <w:r w:rsidRPr="001A5641">
              <w:t>3.</w:t>
            </w:r>
          </w:p>
        </w:tc>
        <w:tc>
          <w:tcPr>
            <w:tcW w:w="1479" w:type="pct"/>
            <w:hideMark/>
          </w:tcPr>
          <w:p w14:paraId="2EEE4468" w14:textId="77777777" w:rsidR="0005464C" w:rsidRPr="001A5641" w:rsidRDefault="0005464C" w:rsidP="00CA1069">
            <w:r w:rsidRPr="001A5641">
              <w:t>Cita informācija</w:t>
            </w:r>
          </w:p>
        </w:tc>
        <w:tc>
          <w:tcPr>
            <w:tcW w:w="3210" w:type="pct"/>
            <w:hideMark/>
          </w:tcPr>
          <w:p w14:paraId="05C31DDB" w14:textId="77777777" w:rsidR="0005464C" w:rsidRPr="001A5641" w:rsidRDefault="0005464C" w:rsidP="00CA1069">
            <w:r>
              <w:t>Nav.</w:t>
            </w:r>
          </w:p>
        </w:tc>
      </w:tr>
    </w:tbl>
    <w:p w14:paraId="38EA0618" w14:textId="77777777" w:rsidR="0005464C" w:rsidRPr="00C6214D" w:rsidRDefault="0005464C" w:rsidP="0005464C">
      <w:pPr>
        <w:rPr>
          <w:sz w:val="28"/>
          <w:szCs w:val="28"/>
        </w:rPr>
      </w:pPr>
    </w:p>
    <w:p w14:paraId="04F8952C" w14:textId="77777777" w:rsidR="0005464C" w:rsidRPr="00C6214D" w:rsidRDefault="0005464C" w:rsidP="0005464C">
      <w:pPr>
        <w:rPr>
          <w:sz w:val="28"/>
          <w:szCs w:val="28"/>
        </w:rPr>
      </w:pPr>
    </w:p>
    <w:p w14:paraId="425CECFD" w14:textId="77777777" w:rsidR="00E12C10" w:rsidRDefault="00E12C10" w:rsidP="00E12C10">
      <w:pPr>
        <w:ind w:firstLine="720"/>
        <w:rPr>
          <w:sz w:val="28"/>
          <w:szCs w:val="28"/>
        </w:rPr>
      </w:pPr>
    </w:p>
    <w:p w14:paraId="4F7F7347" w14:textId="16331FF0" w:rsidR="0005464C" w:rsidRPr="000E1F64" w:rsidRDefault="0005464C" w:rsidP="00E12C10">
      <w:pPr>
        <w:ind w:firstLine="720"/>
        <w:rPr>
          <w:sz w:val="28"/>
          <w:szCs w:val="28"/>
        </w:rPr>
      </w:pPr>
      <w:r w:rsidRPr="000E1F64">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sidR="00465344">
        <w:rPr>
          <w:sz w:val="28"/>
          <w:szCs w:val="28"/>
        </w:rPr>
        <w:tab/>
      </w:r>
      <w:r>
        <w:rPr>
          <w:sz w:val="28"/>
          <w:szCs w:val="28"/>
        </w:rPr>
        <w:t>K. Gerhards</w:t>
      </w:r>
    </w:p>
    <w:p w14:paraId="677650C5" w14:textId="77777777" w:rsidR="0005464C" w:rsidRDefault="0005464C" w:rsidP="0005464C"/>
    <w:p w14:paraId="41057793" w14:textId="43C65358" w:rsidR="0005464C" w:rsidRDefault="0005464C" w:rsidP="0005464C"/>
    <w:p w14:paraId="2A78371A" w14:textId="21391889" w:rsidR="00B6076B" w:rsidRDefault="00B6076B" w:rsidP="0005464C"/>
    <w:p w14:paraId="266F0BE6" w14:textId="0D283F04" w:rsidR="00C6214D" w:rsidRDefault="00C6214D" w:rsidP="0005464C"/>
    <w:p w14:paraId="5C06225E" w14:textId="7261468A" w:rsidR="00C6214D" w:rsidRDefault="00C6214D" w:rsidP="0005464C"/>
    <w:p w14:paraId="18DC0689" w14:textId="4BF3668C" w:rsidR="00C6214D" w:rsidRDefault="00C6214D" w:rsidP="0005464C"/>
    <w:p w14:paraId="53B1EC37" w14:textId="6BBFCE46" w:rsidR="00C6214D" w:rsidRDefault="00C6214D" w:rsidP="0005464C"/>
    <w:p w14:paraId="38593A88" w14:textId="77777777" w:rsidR="00C6214D" w:rsidRDefault="00C6214D" w:rsidP="0005464C">
      <w:bookmarkStart w:id="1" w:name="_GoBack"/>
      <w:bookmarkEnd w:id="1"/>
    </w:p>
    <w:p w14:paraId="0EC77138" w14:textId="144F38AE" w:rsidR="00B6076B" w:rsidRDefault="00B6076B" w:rsidP="0005464C"/>
    <w:p w14:paraId="3E3E1BB1" w14:textId="6FB91CC8" w:rsidR="00B6076B" w:rsidRDefault="00B6076B" w:rsidP="0005464C"/>
    <w:p w14:paraId="2B920970" w14:textId="77777777" w:rsidR="00B6076B" w:rsidRDefault="00B6076B" w:rsidP="0005464C"/>
    <w:p w14:paraId="5D498729" w14:textId="77777777" w:rsidR="0005464C" w:rsidRPr="00C6214D" w:rsidRDefault="0005464C" w:rsidP="0005464C">
      <w:r w:rsidRPr="00C6214D">
        <w:t>Krauja 67027099</w:t>
      </w:r>
    </w:p>
    <w:p w14:paraId="4893D254" w14:textId="720286D2" w:rsidR="005A3DA3" w:rsidRPr="00C6214D" w:rsidRDefault="0005464C">
      <w:r w:rsidRPr="00C6214D">
        <w:t>inta.krauja@zm.gov.lv</w:t>
      </w:r>
    </w:p>
    <w:sectPr w:rsidR="005A3DA3" w:rsidRPr="00C6214D" w:rsidSect="0026524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A84E" w14:textId="77777777" w:rsidR="00D22BB5" w:rsidRDefault="00D22BB5">
      <w:r>
        <w:separator/>
      </w:r>
    </w:p>
  </w:endnote>
  <w:endnote w:type="continuationSeparator" w:id="0">
    <w:p w14:paraId="04FC4A30" w14:textId="77777777" w:rsidR="00D22BB5" w:rsidRDefault="00D2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E720" w14:textId="40CA0546" w:rsidR="00386F1C" w:rsidRPr="00C6214D" w:rsidRDefault="00C6214D" w:rsidP="00C6214D">
    <w:pPr>
      <w:pStyle w:val="Kjene"/>
    </w:pPr>
    <w:r w:rsidRPr="00C6214D">
      <w:rPr>
        <w:sz w:val="20"/>
        <w:szCs w:val="20"/>
      </w:rPr>
      <w:t>ZManot_031120_vetzalraz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C522" w14:textId="1378CBAD" w:rsidR="00386F1C" w:rsidRPr="00C6214D" w:rsidRDefault="00C6214D" w:rsidP="00C6214D">
    <w:pPr>
      <w:pStyle w:val="Kjene"/>
    </w:pPr>
    <w:r w:rsidRPr="00C6214D">
      <w:rPr>
        <w:sz w:val="20"/>
        <w:szCs w:val="20"/>
      </w:rPr>
      <w:t>ZManot_031120_vetzalraz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A43F" w14:textId="77777777" w:rsidR="00D22BB5" w:rsidRDefault="00D22BB5">
      <w:r>
        <w:separator/>
      </w:r>
    </w:p>
  </w:footnote>
  <w:footnote w:type="continuationSeparator" w:id="0">
    <w:p w14:paraId="08F6F2DA" w14:textId="77777777" w:rsidR="00D22BB5" w:rsidRDefault="00D2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73333"/>
      <w:docPartObj>
        <w:docPartGallery w:val="Page Numbers (Top of Page)"/>
        <w:docPartUnique/>
      </w:docPartObj>
    </w:sdtPr>
    <w:sdtEndPr>
      <w:rPr>
        <w:noProof/>
      </w:rPr>
    </w:sdtEndPr>
    <w:sdtContent>
      <w:p w14:paraId="677B4D7C" w14:textId="7A3E677A" w:rsidR="00386F1C" w:rsidRDefault="0005464C">
        <w:pPr>
          <w:pStyle w:val="Galvene"/>
          <w:jc w:val="center"/>
        </w:pPr>
        <w:r>
          <w:fldChar w:fldCharType="begin"/>
        </w:r>
        <w:r>
          <w:instrText xml:space="preserve"> PAGE   \* MERGEFORMAT </w:instrText>
        </w:r>
        <w:r>
          <w:fldChar w:fldCharType="separate"/>
        </w:r>
        <w:r w:rsidR="00824C98">
          <w:rPr>
            <w:noProof/>
          </w:rPr>
          <w:t>6</w:t>
        </w:r>
        <w:r>
          <w:rPr>
            <w:noProof/>
          </w:rPr>
          <w:fldChar w:fldCharType="end"/>
        </w:r>
      </w:p>
    </w:sdtContent>
  </w:sdt>
  <w:p w14:paraId="00586D5C" w14:textId="77777777" w:rsidR="00386F1C" w:rsidRDefault="00C6214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2283A"/>
    <w:rsid w:val="000251E6"/>
    <w:rsid w:val="0005464C"/>
    <w:rsid w:val="00061ED3"/>
    <w:rsid w:val="001730EB"/>
    <w:rsid w:val="001820F4"/>
    <w:rsid w:val="00204EC7"/>
    <w:rsid w:val="002102A2"/>
    <w:rsid w:val="0026524D"/>
    <w:rsid w:val="00283D3D"/>
    <w:rsid w:val="00283F65"/>
    <w:rsid w:val="002C0612"/>
    <w:rsid w:val="002D4BF8"/>
    <w:rsid w:val="00387020"/>
    <w:rsid w:val="003E23FF"/>
    <w:rsid w:val="00465344"/>
    <w:rsid w:val="004C3F4B"/>
    <w:rsid w:val="0052040B"/>
    <w:rsid w:val="00520459"/>
    <w:rsid w:val="00544754"/>
    <w:rsid w:val="00552D84"/>
    <w:rsid w:val="00577322"/>
    <w:rsid w:val="0058483D"/>
    <w:rsid w:val="005A3DA3"/>
    <w:rsid w:val="005C35BA"/>
    <w:rsid w:val="005F1ED2"/>
    <w:rsid w:val="005F74B4"/>
    <w:rsid w:val="005F7662"/>
    <w:rsid w:val="00684FCF"/>
    <w:rsid w:val="007233DB"/>
    <w:rsid w:val="007520AF"/>
    <w:rsid w:val="00766BF2"/>
    <w:rsid w:val="007735DB"/>
    <w:rsid w:val="007B65DC"/>
    <w:rsid w:val="007F301C"/>
    <w:rsid w:val="00824C98"/>
    <w:rsid w:val="00874201"/>
    <w:rsid w:val="00932464"/>
    <w:rsid w:val="00932AC7"/>
    <w:rsid w:val="00956857"/>
    <w:rsid w:val="00964944"/>
    <w:rsid w:val="00975D84"/>
    <w:rsid w:val="009A46B5"/>
    <w:rsid w:val="00A5089F"/>
    <w:rsid w:val="00A5331E"/>
    <w:rsid w:val="00A734BE"/>
    <w:rsid w:val="00AB0722"/>
    <w:rsid w:val="00AC495D"/>
    <w:rsid w:val="00B3027C"/>
    <w:rsid w:val="00B6076B"/>
    <w:rsid w:val="00BF49E0"/>
    <w:rsid w:val="00C01EDE"/>
    <w:rsid w:val="00C03709"/>
    <w:rsid w:val="00C6214D"/>
    <w:rsid w:val="00C86279"/>
    <w:rsid w:val="00D22BB5"/>
    <w:rsid w:val="00D269E2"/>
    <w:rsid w:val="00D32F05"/>
    <w:rsid w:val="00D86417"/>
    <w:rsid w:val="00DC7069"/>
    <w:rsid w:val="00E12C10"/>
    <w:rsid w:val="00E52C62"/>
    <w:rsid w:val="00EA1274"/>
    <w:rsid w:val="00ED32CE"/>
    <w:rsid w:val="00EE0194"/>
    <w:rsid w:val="00F41123"/>
    <w:rsid w:val="00F434DB"/>
    <w:rsid w:val="00F962D0"/>
    <w:rsid w:val="00F97E2A"/>
    <w:rsid w:val="00FA2EF8"/>
    <w:rsid w:val="00FA5A45"/>
    <w:rsid w:val="00FE0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464C"/>
    <w:pPr>
      <w:ind w:firstLine="0"/>
      <w:jc w:val="left"/>
    </w:pPr>
    <w:rPr>
      <w:rFonts w:eastAsia="Times New Roman"/>
      <w:szCs w:val="24"/>
      <w:lang w:eastAsia="lv-LV"/>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Nosaukums">
    <w:name w:val="Title"/>
    <w:basedOn w:val="Parasts"/>
    <w:link w:val="NosaukumsRakstz"/>
    <w:qFormat/>
    <w:rsid w:val="0005464C"/>
    <w:pPr>
      <w:jc w:val="center"/>
    </w:pPr>
    <w:rPr>
      <w:sz w:val="28"/>
      <w:szCs w:val="20"/>
      <w:lang w:eastAsia="en-US"/>
    </w:rPr>
  </w:style>
  <w:style w:type="character" w:customStyle="1" w:styleId="NosaukumsRakstz">
    <w:name w:val="Nosaukums Rakstz."/>
    <w:basedOn w:val="Noklusjumarindkopasfonts"/>
    <w:link w:val="Nosaukums"/>
    <w:rsid w:val="0005464C"/>
    <w:rPr>
      <w:rFonts w:eastAsia="Times New Roman"/>
      <w:sz w:val="28"/>
      <w:szCs w:val="20"/>
    </w:rPr>
  </w:style>
  <w:style w:type="character" w:styleId="Hipersaite">
    <w:name w:val="Hyperlink"/>
    <w:basedOn w:val="Noklusjumarindkopasfonts"/>
    <w:uiPriority w:val="99"/>
    <w:unhideWhenUsed/>
    <w:rsid w:val="0005464C"/>
    <w:rPr>
      <w:color w:val="0000FF"/>
      <w:u w:val="single"/>
    </w:rPr>
  </w:style>
  <w:style w:type="paragraph" w:styleId="Galvene">
    <w:name w:val="header"/>
    <w:basedOn w:val="Parasts"/>
    <w:link w:val="GalveneRakstz"/>
    <w:uiPriority w:val="99"/>
    <w:unhideWhenUsed/>
    <w:rsid w:val="0005464C"/>
    <w:pPr>
      <w:tabs>
        <w:tab w:val="center" w:pos="4153"/>
        <w:tab w:val="right" w:pos="8306"/>
      </w:tabs>
    </w:pPr>
  </w:style>
  <w:style w:type="character" w:customStyle="1" w:styleId="GalveneRakstz">
    <w:name w:val="Galvene Rakstz."/>
    <w:basedOn w:val="Noklusjumarindkopasfonts"/>
    <w:link w:val="Galvene"/>
    <w:uiPriority w:val="99"/>
    <w:rsid w:val="0005464C"/>
    <w:rPr>
      <w:rFonts w:eastAsia="Times New Roman"/>
      <w:szCs w:val="24"/>
      <w:lang w:eastAsia="lv-LV"/>
    </w:rPr>
  </w:style>
  <w:style w:type="paragraph" w:styleId="Kjene">
    <w:name w:val="footer"/>
    <w:basedOn w:val="Parasts"/>
    <w:link w:val="KjeneRakstz"/>
    <w:uiPriority w:val="99"/>
    <w:unhideWhenUsed/>
    <w:rsid w:val="0005464C"/>
    <w:pPr>
      <w:tabs>
        <w:tab w:val="center" w:pos="4153"/>
        <w:tab w:val="right" w:pos="8306"/>
      </w:tabs>
    </w:pPr>
  </w:style>
  <w:style w:type="character" w:customStyle="1" w:styleId="KjeneRakstz">
    <w:name w:val="Kājene Rakstz."/>
    <w:basedOn w:val="Noklusjumarindkopasfonts"/>
    <w:link w:val="Kjene"/>
    <w:uiPriority w:val="99"/>
    <w:rsid w:val="0005464C"/>
    <w:rPr>
      <w:rFonts w:eastAsia="Times New Roman"/>
      <w:szCs w:val="24"/>
      <w:lang w:eastAsia="lv-LV"/>
    </w:rPr>
  </w:style>
  <w:style w:type="paragraph" w:styleId="Paraststmeklis">
    <w:name w:val="Normal (Web)"/>
    <w:basedOn w:val="Parasts"/>
    <w:link w:val="ParaststmeklisRakstz"/>
    <w:rsid w:val="0005464C"/>
    <w:pPr>
      <w:spacing w:before="100" w:beforeAutospacing="1" w:after="100" w:afterAutospacing="1"/>
    </w:pPr>
    <w:rPr>
      <w:rFonts w:eastAsia="Arial Unicode MS"/>
      <w:lang w:val="en-GB" w:eastAsia="en-US"/>
    </w:rPr>
  </w:style>
  <w:style w:type="paragraph" w:customStyle="1" w:styleId="naisc">
    <w:name w:val="naisc"/>
    <w:basedOn w:val="Parasts"/>
    <w:rsid w:val="0005464C"/>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05464C"/>
    <w:rPr>
      <w:rFonts w:eastAsia="Arial Unicode MS"/>
      <w:szCs w:val="24"/>
      <w:lang w:val="en-GB"/>
    </w:rPr>
  </w:style>
  <w:style w:type="paragraph" w:styleId="Balonteksts">
    <w:name w:val="Balloon Text"/>
    <w:basedOn w:val="Parasts"/>
    <w:link w:val="BalontekstsRakstz"/>
    <w:uiPriority w:val="99"/>
    <w:semiHidden/>
    <w:unhideWhenUsed/>
    <w:rsid w:val="00975D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D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C3F4B"/>
    <w:rPr>
      <w:sz w:val="16"/>
      <w:szCs w:val="16"/>
    </w:rPr>
  </w:style>
  <w:style w:type="paragraph" w:styleId="Komentrateksts">
    <w:name w:val="annotation text"/>
    <w:basedOn w:val="Parasts"/>
    <w:link w:val="KomentratekstsRakstz"/>
    <w:uiPriority w:val="99"/>
    <w:semiHidden/>
    <w:unhideWhenUsed/>
    <w:rsid w:val="004C3F4B"/>
    <w:rPr>
      <w:sz w:val="20"/>
      <w:szCs w:val="20"/>
    </w:rPr>
  </w:style>
  <w:style w:type="character" w:customStyle="1" w:styleId="KomentratekstsRakstz">
    <w:name w:val="Komentāra teksts Rakstz."/>
    <w:basedOn w:val="Noklusjumarindkopasfonts"/>
    <w:link w:val="Komentrateksts"/>
    <w:uiPriority w:val="99"/>
    <w:semiHidden/>
    <w:rsid w:val="004C3F4B"/>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3F4B"/>
    <w:rPr>
      <w:b/>
      <w:bCs/>
    </w:rPr>
  </w:style>
  <w:style w:type="character" w:customStyle="1" w:styleId="KomentratmaRakstz">
    <w:name w:val="Komentāra tēma Rakstz."/>
    <w:basedOn w:val="KomentratekstsRakstz"/>
    <w:link w:val="Komentratma"/>
    <w:uiPriority w:val="99"/>
    <w:semiHidden/>
    <w:rsid w:val="004C3F4B"/>
    <w:rPr>
      <w:rFonts w:eastAsia="Times New Roman"/>
      <w:b/>
      <w:bCs/>
      <w:sz w:val="20"/>
      <w:szCs w:val="20"/>
      <w:lang w:eastAsia="lv-LV"/>
    </w:rPr>
  </w:style>
  <w:style w:type="character" w:styleId="Izmantotahipersaite">
    <w:name w:val="FollowedHyperlink"/>
    <w:basedOn w:val="Noklusjumarindkopasfonts"/>
    <w:uiPriority w:val="99"/>
    <w:semiHidden/>
    <w:unhideWhenUsed/>
    <w:rsid w:val="00283D3D"/>
    <w:rPr>
      <w:color w:val="954F72" w:themeColor="followedHyperlink"/>
      <w:u w:val="single"/>
    </w:rPr>
  </w:style>
  <w:style w:type="character" w:customStyle="1" w:styleId="UnresolvedMention1">
    <w:name w:val="Unresolved Mention1"/>
    <w:basedOn w:val="Noklusjumarindkopasfonts"/>
    <w:uiPriority w:val="99"/>
    <w:semiHidden/>
    <w:unhideWhenUsed/>
    <w:rsid w:val="0087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noteikumi-par-veterinaro-zalu-razosanu-un-kontroli-kartibu-kada-veteri?id=9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food/sites/food/files/animals/docs/ah_vet-med_covid-19_qandas.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9063</Words>
  <Characters>5166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 gada 15. maija noteikumos Nr. 319 “Noteikumi par veterināro zāļu ražošanu un kontroli, kārtību, kādā veterināro zāļu ražotājam izsniedz labas ražošanas prakses sertifikātu un par vete</vt:lpstr>
    </vt:vector>
  </TitlesOfParts>
  <Company>Zemkopības Ministrija</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15. maija noteikumos Nr. 319 “Noteikumi par veterināro zāļu ražošanu un kontroli, kārtību, kādā veterināro zāļu ražotājam izsniedz labas ražošanas prakses sertifikātu un par veterināro zāļu ražošanu atbildīgās amatpersonas kvalifikācijas un profesionālās pieredzes prasībām”” sākotnējās ietekmes novērtējuma ziņojums (anotācija)</dc:title>
  <dc:subject>Anotācija</dc:subject>
  <dc:creator>Inta Krauja</dc:creator>
  <cp:keywords/>
  <dc:description>Krauja 67027099_x000d_
inta.krauja@zm.gov.lv</dc:description>
  <cp:lastModifiedBy>Sanita Papinova</cp:lastModifiedBy>
  <cp:revision>4</cp:revision>
  <dcterms:created xsi:type="dcterms:W3CDTF">2020-11-02T16:10:00Z</dcterms:created>
  <dcterms:modified xsi:type="dcterms:W3CDTF">2020-11-04T08:03:00Z</dcterms:modified>
</cp:coreProperties>
</file>