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AB3" w:rsidRPr="001D0C02" w:rsidRDefault="002C4AB3" w:rsidP="007A2D4F">
      <w:pPr>
        <w:pStyle w:val="Parasts1"/>
        <w:jc w:val="center"/>
        <w:rPr>
          <w:b/>
          <w:sz w:val="28"/>
          <w:szCs w:val="28"/>
        </w:rPr>
      </w:pPr>
      <w:r w:rsidRPr="001D0C02">
        <w:rPr>
          <w:b/>
          <w:sz w:val="28"/>
          <w:szCs w:val="28"/>
        </w:rPr>
        <w:t>Izziņa par atzinum</w:t>
      </w:r>
      <w:r w:rsidR="006F3FF0" w:rsidRPr="001D0C02">
        <w:rPr>
          <w:b/>
          <w:sz w:val="28"/>
          <w:szCs w:val="28"/>
        </w:rPr>
        <w:t>os</w:t>
      </w:r>
      <w:r w:rsidR="00A57A75">
        <w:rPr>
          <w:b/>
          <w:sz w:val="28"/>
          <w:szCs w:val="28"/>
        </w:rPr>
        <w:t xml:space="preserve"> </w:t>
      </w:r>
      <w:r w:rsidRPr="001D0C02">
        <w:rPr>
          <w:b/>
          <w:sz w:val="28"/>
          <w:szCs w:val="28"/>
        </w:rPr>
        <w:t>sniegt</w:t>
      </w:r>
      <w:r w:rsidR="00AE5F9C" w:rsidRPr="001D0C02">
        <w:rPr>
          <w:b/>
          <w:sz w:val="28"/>
          <w:szCs w:val="28"/>
        </w:rPr>
        <w:t>ajiem</w:t>
      </w:r>
      <w:r w:rsidRPr="001D0C02">
        <w:rPr>
          <w:b/>
          <w:sz w:val="28"/>
          <w:szCs w:val="28"/>
        </w:rPr>
        <w:t xml:space="preserve"> iebildum</w:t>
      </w:r>
      <w:r w:rsidR="00AE5F9C" w:rsidRPr="001D0C02">
        <w:rPr>
          <w:b/>
          <w:sz w:val="28"/>
          <w:szCs w:val="28"/>
        </w:rPr>
        <w:t>iem</w:t>
      </w:r>
    </w:p>
    <w:tbl>
      <w:tblPr>
        <w:tblW w:w="0" w:type="auto"/>
        <w:jc w:val="center"/>
        <w:tblCellSpacing w:w="0" w:type="dxa"/>
        <w:tblCellMar>
          <w:left w:w="0" w:type="dxa"/>
          <w:right w:w="0" w:type="dxa"/>
        </w:tblCellMar>
        <w:tblLook w:val="0000" w:firstRow="0" w:lastRow="0" w:firstColumn="0" w:lastColumn="0" w:noHBand="0" w:noVBand="0"/>
      </w:tblPr>
      <w:tblGrid>
        <w:gridCol w:w="10185"/>
      </w:tblGrid>
      <w:tr w:rsidR="002C4AB3" w:rsidRPr="001D0C02" w:rsidTr="00054DEB">
        <w:trPr>
          <w:tblCellSpacing w:w="0" w:type="dxa"/>
          <w:jc w:val="center"/>
        </w:trPr>
        <w:tc>
          <w:tcPr>
            <w:tcW w:w="10185" w:type="dxa"/>
            <w:tcBorders>
              <w:top w:val="nil"/>
              <w:left w:val="nil"/>
              <w:bottom w:val="single" w:sz="8" w:space="0" w:color="000000"/>
              <w:right w:val="nil"/>
            </w:tcBorders>
          </w:tcPr>
          <w:p w:rsidR="002C4AB3" w:rsidRPr="001D0C02" w:rsidRDefault="00EE42EC" w:rsidP="0011035C">
            <w:pPr>
              <w:pStyle w:val="Parasts1"/>
              <w:jc w:val="both"/>
              <w:rPr>
                <w:b/>
                <w:sz w:val="28"/>
                <w:szCs w:val="28"/>
              </w:rPr>
            </w:pPr>
            <w:r>
              <w:rPr>
                <w:b/>
                <w:sz w:val="28"/>
                <w:szCs w:val="28"/>
              </w:rPr>
              <w:t xml:space="preserve">par </w:t>
            </w:r>
            <w:r w:rsidR="00831EFD" w:rsidRPr="001D0C02">
              <w:rPr>
                <w:b/>
                <w:sz w:val="28"/>
                <w:szCs w:val="28"/>
              </w:rPr>
              <w:t>Ministru kabineta noteikumu</w:t>
            </w:r>
            <w:r w:rsidR="006F3FF0" w:rsidRPr="001D0C02">
              <w:rPr>
                <w:b/>
                <w:sz w:val="28"/>
                <w:szCs w:val="28"/>
              </w:rPr>
              <w:t xml:space="preserve"> projekt</w:t>
            </w:r>
            <w:r>
              <w:rPr>
                <w:b/>
                <w:sz w:val="28"/>
                <w:szCs w:val="28"/>
              </w:rPr>
              <w:t>u</w:t>
            </w:r>
            <w:r w:rsidR="006F3FF0" w:rsidRPr="001D0C02">
              <w:rPr>
                <w:b/>
                <w:sz w:val="28"/>
                <w:szCs w:val="28"/>
              </w:rPr>
              <w:t xml:space="preserve"> </w:t>
            </w:r>
            <w:r w:rsidR="00A57A75" w:rsidRPr="00E145AD">
              <w:rPr>
                <w:b/>
                <w:sz w:val="28"/>
                <w:szCs w:val="28"/>
              </w:rPr>
              <w:t>„</w:t>
            </w:r>
            <w:r w:rsidR="00727992">
              <w:rPr>
                <w:b/>
                <w:bCs/>
                <w:sz w:val="28"/>
                <w:szCs w:val="28"/>
              </w:rPr>
              <w:t>Grozījumi Ministru kabineta 2015. gada 3. februāra noteikumos Nr. 59 „</w:t>
            </w:r>
            <w:r w:rsidR="00727992">
              <w:rPr>
                <w:b/>
                <w:bCs/>
                <w:color w:val="000000"/>
                <w:sz w:val="28"/>
                <w:szCs w:val="28"/>
              </w:rPr>
              <w:t>V</w:t>
            </w:r>
            <w:r w:rsidR="00727992" w:rsidRPr="00D86256">
              <w:rPr>
                <w:b/>
                <w:bCs/>
                <w:color w:val="000000"/>
                <w:sz w:val="28"/>
                <w:szCs w:val="28"/>
              </w:rPr>
              <w:t>alsts un Eiropas Savienības atbalsta piešķiršan</w:t>
            </w:r>
            <w:r w:rsidR="00727992">
              <w:rPr>
                <w:b/>
                <w:bCs/>
                <w:color w:val="000000"/>
                <w:sz w:val="28"/>
                <w:szCs w:val="28"/>
              </w:rPr>
              <w:t>as kārtība</w:t>
            </w:r>
            <w:r w:rsidR="00727992" w:rsidRPr="00D86256">
              <w:rPr>
                <w:b/>
                <w:bCs/>
                <w:color w:val="000000"/>
                <w:sz w:val="28"/>
                <w:szCs w:val="28"/>
              </w:rPr>
              <w:t xml:space="preserve"> investīciju veicināšanai lauksaimniecībā</w:t>
            </w:r>
            <w:r w:rsidR="00727992">
              <w:rPr>
                <w:b/>
                <w:bCs/>
                <w:sz w:val="28"/>
                <w:szCs w:val="28"/>
              </w:rPr>
              <w:t>”</w:t>
            </w:r>
            <w:r w:rsidR="00A57A75" w:rsidRPr="00E145AD">
              <w:rPr>
                <w:b/>
                <w:sz w:val="28"/>
                <w:szCs w:val="28"/>
              </w:rPr>
              <w:t>”</w:t>
            </w:r>
          </w:p>
        </w:tc>
      </w:tr>
    </w:tbl>
    <w:p w:rsidR="002C4AB3" w:rsidRPr="001D0C02" w:rsidRDefault="002C4AB3" w:rsidP="002C4AB3">
      <w:pPr>
        <w:pStyle w:val="Parasts1"/>
        <w:jc w:val="center"/>
        <w:rPr>
          <w:b/>
          <w:sz w:val="28"/>
          <w:szCs w:val="28"/>
        </w:rPr>
      </w:pPr>
      <w:r w:rsidRPr="001D0C02">
        <w:rPr>
          <w:b/>
          <w:sz w:val="28"/>
          <w:szCs w:val="28"/>
        </w:rPr>
        <w:t>(dokumenta veids un nosaukums)</w:t>
      </w:r>
    </w:p>
    <w:p w:rsidR="00E10B21" w:rsidRPr="00E11505" w:rsidRDefault="002C4AB3" w:rsidP="00E536CD">
      <w:pPr>
        <w:pStyle w:val="naislab"/>
        <w:jc w:val="both"/>
        <w:rPr>
          <w:b/>
          <w:sz w:val="28"/>
          <w:szCs w:val="28"/>
        </w:rPr>
      </w:pPr>
      <w:r w:rsidRPr="00E11505">
        <w:rPr>
          <w:b/>
          <w:sz w:val="28"/>
          <w:szCs w:val="28"/>
        </w:rPr>
        <w:t> </w:t>
      </w:r>
    </w:p>
    <w:p w:rsidR="002C4AB3" w:rsidRPr="00616213" w:rsidRDefault="002C4AB3" w:rsidP="00E536CD">
      <w:pPr>
        <w:pStyle w:val="naislab"/>
        <w:jc w:val="both"/>
        <w:rPr>
          <w:b/>
        </w:rPr>
      </w:pPr>
      <w:r w:rsidRPr="00616213">
        <w:rPr>
          <w:b/>
        </w:rPr>
        <w:t>I. Jautājumi, par kuriem saskaņošanā vienošanās nav panākta</w:t>
      </w:r>
    </w:p>
    <w:tbl>
      <w:tblPr>
        <w:tblW w:w="144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16"/>
        <w:gridCol w:w="3135"/>
        <w:gridCol w:w="3166"/>
        <w:gridCol w:w="3014"/>
        <w:gridCol w:w="2511"/>
        <w:gridCol w:w="1933"/>
      </w:tblGrid>
      <w:tr w:rsidR="002C4AB3">
        <w:trPr>
          <w:tblCellSpacing w:w="0" w:type="dxa"/>
        </w:trPr>
        <w:tc>
          <w:tcPr>
            <w:tcW w:w="716"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 Nr.</w:t>
            </w:r>
            <w:r>
              <w:br/>
              <w:t> p.k.</w:t>
            </w:r>
          </w:p>
        </w:tc>
        <w:tc>
          <w:tcPr>
            <w:tcW w:w="3135"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Saskaņošanai nosūtītā projekta redakcija (konkrēta punkta (panta) redakcija)</w:t>
            </w:r>
          </w:p>
        </w:tc>
        <w:tc>
          <w:tcPr>
            <w:tcW w:w="3166"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Atzinumā norādītais ministrijas (citas institūcijas) iebildums, kā arī saskaņošanā papildus izteiktais iebildums par projekta konkrēto punktu (pantu)</w:t>
            </w:r>
          </w:p>
        </w:tc>
        <w:tc>
          <w:tcPr>
            <w:tcW w:w="3014"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Atbildīgās ministrijas pamatojums iebilduma noraidījumam</w:t>
            </w:r>
          </w:p>
        </w:tc>
        <w:tc>
          <w:tcPr>
            <w:tcW w:w="2511"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Atzinuma sniedzēja uzturētais iebildums, ja tas atšķiras no atzinumā norādītā iebilduma pamatojuma</w:t>
            </w:r>
          </w:p>
        </w:tc>
        <w:tc>
          <w:tcPr>
            <w:tcW w:w="1933"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Projekta attiecīgā punkta (panta) galīgā redakcija</w:t>
            </w:r>
          </w:p>
        </w:tc>
      </w:tr>
      <w:tr w:rsidR="002C4AB3">
        <w:trPr>
          <w:tblCellSpacing w:w="0" w:type="dxa"/>
        </w:trPr>
        <w:tc>
          <w:tcPr>
            <w:tcW w:w="716"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1</w:t>
            </w:r>
          </w:p>
        </w:tc>
        <w:tc>
          <w:tcPr>
            <w:tcW w:w="3135"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2</w:t>
            </w:r>
          </w:p>
        </w:tc>
        <w:tc>
          <w:tcPr>
            <w:tcW w:w="3166"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3</w:t>
            </w:r>
          </w:p>
        </w:tc>
        <w:tc>
          <w:tcPr>
            <w:tcW w:w="3014"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4</w:t>
            </w:r>
          </w:p>
        </w:tc>
        <w:tc>
          <w:tcPr>
            <w:tcW w:w="2511"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5</w:t>
            </w:r>
          </w:p>
        </w:tc>
        <w:tc>
          <w:tcPr>
            <w:tcW w:w="1933"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6</w:t>
            </w:r>
          </w:p>
        </w:tc>
      </w:tr>
      <w:tr w:rsidR="002C4AB3" w:rsidTr="002068C5">
        <w:trPr>
          <w:tblCellSpacing w:w="0" w:type="dxa"/>
        </w:trPr>
        <w:tc>
          <w:tcPr>
            <w:tcW w:w="716"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Parasts1"/>
              <w:jc w:val="center"/>
            </w:pPr>
            <w:r>
              <w:t>–</w:t>
            </w:r>
          </w:p>
        </w:tc>
        <w:tc>
          <w:tcPr>
            <w:tcW w:w="3135"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Parasts1"/>
              <w:ind w:firstLine="135"/>
              <w:jc w:val="center"/>
            </w:pPr>
            <w:r>
              <w:t>–</w:t>
            </w:r>
          </w:p>
        </w:tc>
        <w:tc>
          <w:tcPr>
            <w:tcW w:w="3166" w:type="dxa"/>
            <w:tcBorders>
              <w:top w:val="single" w:sz="6" w:space="0" w:color="808080"/>
              <w:left w:val="single" w:sz="6" w:space="0" w:color="808080"/>
              <w:bottom w:val="single" w:sz="6" w:space="0" w:color="808080"/>
              <w:right w:val="single" w:sz="6" w:space="0" w:color="808080"/>
            </w:tcBorders>
          </w:tcPr>
          <w:p w:rsidR="00951DCA" w:rsidRDefault="00AD1EB9" w:rsidP="00AD1EB9">
            <w:pPr>
              <w:pStyle w:val="Parasts1"/>
              <w:jc w:val="center"/>
            </w:pPr>
            <w:r>
              <w:t>–</w:t>
            </w:r>
          </w:p>
        </w:tc>
        <w:tc>
          <w:tcPr>
            <w:tcW w:w="3014" w:type="dxa"/>
            <w:tcBorders>
              <w:top w:val="single" w:sz="6" w:space="0" w:color="808080"/>
              <w:left w:val="single" w:sz="6" w:space="0" w:color="808080"/>
              <w:bottom w:val="single" w:sz="6" w:space="0" w:color="808080"/>
              <w:right w:val="single" w:sz="6" w:space="0" w:color="808080"/>
            </w:tcBorders>
          </w:tcPr>
          <w:p w:rsidR="002068C5" w:rsidRDefault="00AD1EB9" w:rsidP="00AD1EB9">
            <w:pPr>
              <w:pStyle w:val="Parasts1"/>
              <w:jc w:val="center"/>
            </w:pPr>
            <w:r>
              <w:t>–</w:t>
            </w:r>
          </w:p>
        </w:tc>
        <w:tc>
          <w:tcPr>
            <w:tcW w:w="2511"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naislab"/>
              <w:jc w:val="center"/>
            </w:pPr>
            <w:r>
              <w:t>–</w:t>
            </w:r>
          </w:p>
        </w:tc>
        <w:tc>
          <w:tcPr>
            <w:tcW w:w="1933"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naislab"/>
              <w:jc w:val="center"/>
            </w:pPr>
            <w:r>
              <w:t>–</w:t>
            </w:r>
          </w:p>
        </w:tc>
      </w:tr>
    </w:tbl>
    <w:p w:rsidR="002C4AB3" w:rsidRPr="00E536CD" w:rsidRDefault="002C4AB3" w:rsidP="00E536CD">
      <w:pPr>
        <w:pStyle w:val="naislab"/>
        <w:jc w:val="both"/>
        <w:rPr>
          <w:b/>
        </w:rPr>
      </w:pPr>
      <w:r w:rsidRPr="00E536CD">
        <w:rPr>
          <w:b/>
        </w:rPr>
        <w:t> Informācija par starpministriju (starpinstitūciju) sanāksmi vai elektronisko saskaņošanu</w:t>
      </w:r>
    </w:p>
    <w:tbl>
      <w:tblPr>
        <w:tblW w:w="12615" w:type="dxa"/>
        <w:tblCellSpacing w:w="0" w:type="dxa"/>
        <w:tblCellMar>
          <w:left w:w="0" w:type="dxa"/>
          <w:right w:w="0" w:type="dxa"/>
        </w:tblCellMar>
        <w:tblLook w:val="0000" w:firstRow="0" w:lastRow="0" w:firstColumn="0" w:lastColumn="0" w:noHBand="0" w:noVBand="0"/>
      </w:tblPr>
      <w:tblGrid>
        <w:gridCol w:w="2826"/>
        <w:gridCol w:w="9789"/>
      </w:tblGrid>
      <w:tr w:rsidR="002C4AB3" w:rsidTr="0011035C">
        <w:trPr>
          <w:tblCellSpacing w:w="0" w:type="dxa"/>
        </w:trPr>
        <w:tc>
          <w:tcPr>
            <w:tcW w:w="2826" w:type="dxa"/>
          </w:tcPr>
          <w:p w:rsidR="002C4AB3" w:rsidRDefault="002C4AB3" w:rsidP="002C4AB3">
            <w:pPr>
              <w:pStyle w:val="Kjene"/>
              <w:jc w:val="both"/>
            </w:pPr>
            <w:r>
              <w:rPr>
                <w:b/>
                <w:bCs/>
              </w:rPr>
              <w:t> </w:t>
            </w:r>
            <w:r>
              <w:t>Datums</w:t>
            </w:r>
          </w:p>
        </w:tc>
        <w:tc>
          <w:tcPr>
            <w:tcW w:w="9789" w:type="dxa"/>
            <w:tcBorders>
              <w:top w:val="nil"/>
              <w:left w:val="nil"/>
              <w:bottom w:val="single" w:sz="8" w:space="0" w:color="000000"/>
              <w:right w:val="nil"/>
            </w:tcBorders>
          </w:tcPr>
          <w:p w:rsidR="002C4AB3" w:rsidRDefault="00AD0098" w:rsidP="00CC23D6">
            <w:pPr>
              <w:pStyle w:val="naislab"/>
              <w:jc w:val="both"/>
            </w:pPr>
            <w:r>
              <w:t>1</w:t>
            </w:r>
            <w:r w:rsidR="00CC23D6">
              <w:t>3</w:t>
            </w:r>
            <w:r w:rsidR="00F17FC9">
              <w:t>.</w:t>
            </w:r>
            <w:r>
              <w:t>11</w:t>
            </w:r>
            <w:r w:rsidR="00F17FC9">
              <w:t>.20</w:t>
            </w:r>
            <w:r w:rsidR="002A2ACE">
              <w:t>20</w:t>
            </w:r>
            <w:r w:rsidR="00F17FC9">
              <w:t>.</w:t>
            </w:r>
            <w:r w:rsidR="00821BAD">
              <w:t>, 21.11.2020.</w:t>
            </w:r>
          </w:p>
        </w:tc>
      </w:tr>
      <w:tr w:rsidR="002C4AB3" w:rsidTr="0011035C">
        <w:trPr>
          <w:tblCellSpacing w:w="0" w:type="dxa"/>
        </w:trPr>
        <w:tc>
          <w:tcPr>
            <w:tcW w:w="2826" w:type="dxa"/>
            <w:vAlign w:val="center"/>
          </w:tcPr>
          <w:p w:rsidR="002C4AB3" w:rsidRDefault="002C4AB3" w:rsidP="002C4AB3">
            <w:pPr>
              <w:pStyle w:val="Kjene"/>
              <w:jc w:val="both"/>
            </w:pPr>
            <w:r>
              <w:t>Saskaņošanas dalībnieki</w:t>
            </w:r>
          </w:p>
        </w:tc>
        <w:tc>
          <w:tcPr>
            <w:tcW w:w="9789" w:type="dxa"/>
            <w:vAlign w:val="center"/>
          </w:tcPr>
          <w:p w:rsidR="00AD0098" w:rsidRDefault="00AD0098" w:rsidP="00FD3A2F">
            <w:pPr>
              <w:pStyle w:val="Parasts1"/>
              <w:rPr>
                <w:sz w:val="20"/>
                <w:szCs w:val="20"/>
              </w:rPr>
            </w:pPr>
            <w:r>
              <w:rPr>
                <w:sz w:val="20"/>
                <w:szCs w:val="20"/>
              </w:rPr>
              <w:t>A.Mūrniece</w:t>
            </w:r>
            <w:r w:rsidR="00BF205D">
              <w:rPr>
                <w:sz w:val="20"/>
                <w:szCs w:val="20"/>
              </w:rPr>
              <w:t xml:space="preserve"> </w:t>
            </w:r>
            <w:r w:rsidR="00377BA3">
              <w:rPr>
                <w:sz w:val="20"/>
                <w:szCs w:val="20"/>
              </w:rPr>
              <w:t>Tieslietu ministrija</w:t>
            </w:r>
          </w:p>
          <w:p w:rsidR="005379C7" w:rsidRPr="00227859" w:rsidRDefault="00AD0098" w:rsidP="00FD3A2F">
            <w:pPr>
              <w:pStyle w:val="Parasts1"/>
              <w:rPr>
                <w:sz w:val="20"/>
                <w:szCs w:val="20"/>
              </w:rPr>
            </w:pPr>
            <w:r>
              <w:rPr>
                <w:sz w:val="20"/>
                <w:szCs w:val="20"/>
              </w:rPr>
              <w:t xml:space="preserve">V.Šantars, </w:t>
            </w:r>
            <w:proofErr w:type="spellStart"/>
            <w:r>
              <w:rPr>
                <w:sz w:val="20"/>
                <w:szCs w:val="20"/>
              </w:rPr>
              <w:t>A.</w:t>
            </w:r>
            <w:r w:rsidRPr="0000230E">
              <w:rPr>
                <w:sz w:val="20"/>
              </w:rPr>
              <w:t>Aperčoje</w:t>
            </w:r>
            <w:proofErr w:type="spellEnd"/>
            <w:r>
              <w:rPr>
                <w:sz w:val="20"/>
              </w:rPr>
              <w:t>, Z. Liede Finanšu ministrija</w:t>
            </w:r>
          </w:p>
        </w:tc>
      </w:tr>
      <w:tr w:rsidR="001F2B65" w:rsidTr="0011035C">
        <w:trPr>
          <w:tblCellSpacing w:w="0" w:type="dxa"/>
        </w:trPr>
        <w:tc>
          <w:tcPr>
            <w:tcW w:w="2826" w:type="dxa"/>
            <w:vAlign w:val="center"/>
          </w:tcPr>
          <w:p w:rsidR="001F2B65" w:rsidRDefault="001F2B65" w:rsidP="002C4AB3">
            <w:pPr>
              <w:pStyle w:val="Kjene"/>
              <w:jc w:val="both"/>
            </w:pPr>
          </w:p>
        </w:tc>
        <w:tc>
          <w:tcPr>
            <w:tcW w:w="9789" w:type="dxa"/>
            <w:tcBorders>
              <w:top w:val="single" w:sz="8" w:space="0" w:color="000000"/>
              <w:left w:val="nil"/>
              <w:bottom w:val="single" w:sz="8" w:space="0" w:color="000000"/>
              <w:right w:val="nil"/>
            </w:tcBorders>
            <w:vAlign w:val="center"/>
          </w:tcPr>
          <w:p w:rsidR="001F2B65" w:rsidRDefault="001F2B65" w:rsidP="002C4AB3">
            <w:pPr>
              <w:pStyle w:val="Kjene"/>
              <w:jc w:val="both"/>
            </w:pPr>
          </w:p>
        </w:tc>
      </w:tr>
      <w:tr w:rsidR="001F2B65" w:rsidTr="0066517E">
        <w:trPr>
          <w:tblCellSpacing w:w="0" w:type="dxa"/>
        </w:trPr>
        <w:tc>
          <w:tcPr>
            <w:tcW w:w="12615" w:type="dxa"/>
            <w:gridSpan w:val="2"/>
            <w:vAlign w:val="center"/>
          </w:tcPr>
          <w:p w:rsidR="001F2B65" w:rsidRPr="001F2B65" w:rsidRDefault="001F2B65" w:rsidP="001F2B65">
            <w:pPr>
              <w:pStyle w:val="Kjene"/>
              <w:ind w:firstLine="2835"/>
              <w:jc w:val="both"/>
              <w:rPr>
                <w:u w:val="single"/>
              </w:rPr>
            </w:pPr>
          </w:p>
        </w:tc>
      </w:tr>
    </w:tbl>
    <w:p w:rsidR="002C4AB3" w:rsidRDefault="002C4AB3" w:rsidP="002C4AB3">
      <w:pPr>
        <w:pStyle w:val="Parasts1"/>
        <w:jc w:val="both"/>
        <w:rPr>
          <w:vanish/>
        </w:rPr>
      </w:pPr>
    </w:p>
    <w:tbl>
      <w:tblPr>
        <w:tblW w:w="13349" w:type="dxa"/>
        <w:tblCellSpacing w:w="0" w:type="dxa"/>
        <w:tblCellMar>
          <w:left w:w="0" w:type="dxa"/>
          <w:right w:w="0" w:type="dxa"/>
        </w:tblCellMar>
        <w:tblLook w:val="0000" w:firstRow="0" w:lastRow="0" w:firstColumn="0" w:lastColumn="0" w:noHBand="0" w:noVBand="0"/>
      </w:tblPr>
      <w:tblGrid>
        <w:gridCol w:w="7527"/>
        <w:gridCol w:w="4809"/>
        <w:gridCol w:w="1013"/>
      </w:tblGrid>
      <w:tr w:rsidR="002C4AB3" w:rsidTr="002068C5">
        <w:trPr>
          <w:trHeight w:val="241"/>
          <w:tblCellSpacing w:w="0" w:type="dxa"/>
        </w:trPr>
        <w:tc>
          <w:tcPr>
            <w:tcW w:w="7527" w:type="dxa"/>
          </w:tcPr>
          <w:p w:rsidR="002C4AB3" w:rsidRDefault="002C4AB3" w:rsidP="002C4AB3">
            <w:pPr>
              <w:pStyle w:val="Kjene"/>
              <w:jc w:val="both"/>
            </w:pPr>
            <w:r>
              <w:t>Saskaņošanas dalībnieki izskatīja šādu ministriju (citu institūciju) iebildumus</w:t>
            </w:r>
          </w:p>
        </w:tc>
        <w:tc>
          <w:tcPr>
            <w:tcW w:w="4809" w:type="dxa"/>
          </w:tcPr>
          <w:p w:rsidR="00377BA3" w:rsidRDefault="002C4AB3" w:rsidP="00C31D2A">
            <w:pPr>
              <w:pStyle w:val="Kjene"/>
              <w:jc w:val="both"/>
            </w:pPr>
            <w:r>
              <w:t> </w:t>
            </w:r>
            <w:r w:rsidR="00377BA3">
              <w:t>Tieslietu ministrija</w:t>
            </w:r>
            <w:r w:rsidR="00AD0098">
              <w:t>, Finanšu ministrija</w:t>
            </w:r>
          </w:p>
        </w:tc>
        <w:tc>
          <w:tcPr>
            <w:tcW w:w="1013" w:type="dxa"/>
          </w:tcPr>
          <w:p w:rsidR="002C4AB3" w:rsidRDefault="002C4AB3" w:rsidP="002C4AB3">
            <w:pPr>
              <w:pStyle w:val="Kjene"/>
              <w:jc w:val="both"/>
            </w:pPr>
            <w:r>
              <w:t> </w:t>
            </w:r>
          </w:p>
        </w:tc>
      </w:tr>
      <w:tr w:rsidR="002C4AB3" w:rsidTr="002068C5">
        <w:trPr>
          <w:trHeight w:val="373"/>
          <w:tblCellSpacing w:w="0" w:type="dxa"/>
        </w:trPr>
        <w:tc>
          <w:tcPr>
            <w:tcW w:w="7527" w:type="dxa"/>
          </w:tcPr>
          <w:p w:rsidR="002C4AB3" w:rsidRDefault="002C4AB3" w:rsidP="002C4AB3">
            <w:pPr>
              <w:pStyle w:val="Kjene"/>
              <w:jc w:val="both"/>
            </w:pPr>
          </w:p>
        </w:tc>
        <w:tc>
          <w:tcPr>
            <w:tcW w:w="5822" w:type="dxa"/>
            <w:gridSpan w:val="2"/>
            <w:tcBorders>
              <w:top w:val="single" w:sz="8" w:space="0" w:color="000000"/>
              <w:left w:val="nil"/>
              <w:bottom w:val="single" w:sz="8" w:space="0" w:color="000000"/>
              <w:right w:val="nil"/>
            </w:tcBorders>
          </w:tcPr>
          <w:p w:rsidR="002C4AB3" w:rsidRDefault="002C4AB3" w:rsidP="00AD1EB9">
            <w:pPr>
              <w:pStyle w:val="naislab"/>
              <w:jc w:val="both"/>
            </w:pPr>
          </w:p>
        </w:tc>
      </w:tr>
      <w:tr w:rsidR="002C4AB3" w:rsidTr="002068C5">
        <w:trPr>
          <w:trHeight w:val="241"/>
          <w:tblCellSpacing w:w="0" w:type="dxa"/>
        </w:trPr>
        <w:tc>
          <w:tcPr>
            <w:tcW w:w="13349" w:type="dxa"/>
            <w:gridSpan w:val="3"/>
            <w:vAlign w:val="center"/>
          </w:tcPr>
          <w:p w:rsidR="002C4AB3" w:rsidRDefault="002C4AB3" w:rsidP="002C4AB3">
            <w:pPr>
              <w:pStyle w:val="Parasts1"/>
              <w:jc w:val="both"/>
            </w:pPr>
            <w:r>
              <w:t> </w:t>
            </w:r>
          </w:p>
        </w:tc>
      </w:tr>
      <w:tr w:rsidR="002C4AB3" w:rsidTr="002068C5">
        <w:trPr>
          <w:trHeight w:val="493"/>
          <w:tblCellSpacing w:w="0" w:type="dxa"/>
        </w:trPr>
        <w:tc>
          <w:tcPr>
            <w:tcW w:w="7527" w:type="dxa"/>
            <w:vAlign w:val="center"/>
          </w:tcPr>
          <w:p w:rsidR="002C4AB3" w:rsidRDefault="002C4AB3" w:rsidP="002C4AB3">
            <w:pPr>
              <w:pStyle w:val="Kjene"/>
              <w:jc w:val="both"/>
            </w:pPr>
            <w:r>
              <w:t>Ministrijas (citas institūcijas), kuras nav ieradušās uz sanāksmi vai kuras nav atbildējušas uz uzaicinājumu piedalīties elektroniskajā saskaņošanā</w:t>
            </w:r>
          </w:p>
        </w:tc>
        <w:tc>
          <w:tcPr>
            <w:tcW w:w="5822" w:type="dxa"/>
            <w:gridSpan w:val="2"/>
            <w:vAlign w:val="center"/>
          </w:tcPr>
          <w:p w:rsidR="002C4AB3" w:rsidRDefault="002C4AB3" w:rsidP="002C4AB3">
            <w:pPr>
              <w:pStyle w:val="Kjene"/>
              <w:jc w:val="both"/>
            </w:pPr>
            <w:r>
              <w:t> </w:t>
            </w:r>
            <w:r w:rsidR="0069412A">
              <w:t>–</w:t>
            </w:r>
          </w:p>
        </w:tc>
      </w:tr>
      <w:tr w:rsidR="002C4AB3" w:rsidTr="002068C5">
        <w:trPr>
          <w:trHeight w:val="241"/>
          <w:tblCellSpacing w:w="0" w:type="dxa"/>
        </w:trPr>
        <w:tc>
          <w:tcPr>
            <w:tcW w:w="7527" w:type="dxa"/>
            <w:vAlign w:val="center"/>
          </w:tcPr>
          <w:p w:rsidR="002C4AB3" w:rsidRDefault="002C4AB3" w:rsidP="002C4AB3">
            <w:pPr>
              <w:pStyle w:val="Kjene"/>
              <w:jc w:val="both"/>
            </w:pPr>
            <w:r>
              <w:t>  </w:t>
            </w:r>
          </w:p>
        </w:tc>
        <w:tc>
          <w:tcPr>
            <w:tcW w:w="5822" w:type="dxa"/>
            <w:gridSpan w:val="2"/>
            <w:tcBorders>
              <w:top w:val="single" w:sz="8" w:space="0" w:color="000000"/>
              <w:left w:val="nil"/>
              <w:bottom w:val="single" w:sz="8" w:space="0" w:color="000000"/>
              <w:right w:val="nil"/>
            </w:tcBorders>
            <w:vAlign w:val="center"/>
          </w:tcPr>
          <w:p w:rsidR="002C4AB3" w:rsidRDefault="002C4AB3" w:rsidP="002C4AB3">
            <w:pPr>
              <w:pStyle w:val="Kjene"/>
              <w:jc w:val="both"/>
            </w:pPr>
            <w:r>
              <w:t> </w:t>
            </w:r>
          </w:p>
        </w:tc>
      </w:tr>
    </w:tbl>
    <w:p w:rsidR="00E10B21" w:rsidRDefault="00E10B21" w:rsidP="002C4AB3">
      <w:pPr>
        <w:pStyle w:val="Parasts1"/>
        <w:jc w:val="both"/>
        <w:rPr>
          <w:b/>
        </w:rPr>
      </w:pPr>
    </w:p>
    <w:p w:rsidR="002C4AB3" w:rsidRPr="00E536CD" w:rsidRDefault="002C4AB3" w:rsidP="002C4AB3">
      <w:pPr>
        <w:pStyle w:val="Parasts1"/>
        <w:jc w:val="both"/>
        <w:rPr>
          <w:b/>
        </w:rPr>
      </w:pPr>
      <w:r w:rsidRPr="00E536CD">
        <w:rPr>
          <w:b/>
        </w:rPr>
        <w:t>II. Jautājumi, par kuriem saskaņošanā vienošanās ir panākta</w:t>
      </w:r>
    </w:p>
    <w:tbl>
      <w:tblPr>
        <w:tblW w:w="14317"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41"/>
        <w:gridCol w:w="3260"/>
        <w:gridCol w:w="4961"/>
        <w:gridCol w:w="2410"/>
        <w:gridCol w:w="3245"/>
      </w:tblGrid>
      <w:tr w:rsidR="00615F31" w:rsidTr="00A73F5E">
        <w:trPr>
          <w:tblCellSpacing w:w="0" w:type="dxa"/>
        </w:trPr>
        <w:tc>
          <w:tcPr>
            <w:tcW w:w="441" w:type="dxa"/>
            <w:vAlign w:val="center"/>
          </w:tcPr>
          <w:p w:rsidR="002C4AB3" w:rsidRDefault="002C4AB3" w:rsidP="002C4AB3">
            <w:pPr>
              <w:pStyle w:val="Parasts1"/>
              <w:jc w:val="both"/>
            </w:pPr>
            <w:r>
              <w:t> Nr. p.k.</w:t>
            </w:r>
          </w:p>
        </w:tc>
        <w:tc>
          <w:tcPr>
            <w:tcW w:w="3260" w:type="dxa"/>
            <w:vAlign w:val="center"/>
          </w:tcPr>
          <w:p w:rsidR="002C4AB3" w:rsidRPr="00E3343C" w:rsidRDefault="002C4AB3" w:rsidP="002C4AB3">
            <w:pPr>
              <w:pStyle w:val="Parasts1"/>
              <w:jc w:val="both"/>
            </w:pPr>
            <w:r w:rsidRPr="00E3343C">
              <w:t>Saskaņošanai nosūtītā projekta redakcija (konkrēta punkta (panta) redakcija)</w:t>
            </w:r>
          </w:p>
        </w:tc>
        <w:tc>
          <w:tcPr>
            <w:tcW w:w="4961" w:type="dxa"/>
            <w:vAlign w:val="center"/>
          </w:tcPr>
          <w:p w:rsidR="002C4AB3" w:rsidRDefault="002C4AB3" w:rsidP="002C4AB3">
            <w:pPr>
              <w:pStyle w:val="Parasts1"/>
              <w:jc w:val="both"/>
            </w:pPr>
            <w:r>
              <w:t>Atzinumā norādītais ministrijas (citas institūcijas) iebildums, kā arī saskaņošanā papildus izteiktais iebildums par projekta konkrēto punktu (pantu)</w:t>
            </w:r>
          </w:p>
        </w:tc>
        <w:tc>
          <w:tcPr>
            <w:tcW w:w="2410" w:type="dxa"/>
            <w:vAlign w:val="center"/>
          </w:tcPr>
          <w:p w:rsidR="002C4AB3" w:rsidRDefault="002C4AB3" w:rsidP="002C4AB3">
            <w:pPr>
              <w:pStyle w:val="Parasts1"/>
              <w:jc w:val="both"/>
            </w:pPr>
            <w:r>
              <w:t>Atbildīgās ministrijas norāde par to, ka iebildums ir ņemts vērā, vai informācija par saskaņošanā panākto alternatīvo risinājumu</w:t>
            </w:r>
          </w:p>
        </w:tc>
        <w:tc>
          <w:tcPr>
            <w:tcW w:w="3245" w:type="dxa"/>
            <w:vAlign w:val="center"/>
          </w:tcPr>
          <w:p w:rsidR="002C4AB3" w:rsidRDefault="002C4AB3" w:rsidP="002C4AB3">
            <w:pPr>
              <w:pStyle w:val="Parasts1"/>
              <w:jc w:val="both"/>
            </w:pPr>
            <w:r>
              <w:t>Projekta attiecīgā punkta (panta) galīgā redakcija</w:t>
            </w:r>
          </w:p>
        </w:tc>
      </w:tr>
      <w:tr w:rsidR="00615F31" w:rsidTr="00A73F5E">
        <w:trPr>
          <w:tblCellSpacing w:w="0" w:type="dxa"/>
        </w:trPr>
        <w:tc>
          <w:tcPr>
            <w:tcW w:w="441" w:type="dxa"/>
          </w:tcPr>
          <w:p w:rsidR="002C4AB3" w:rsidRDefault="002C4AB3" w:rsidP="002C4AB3">
            <w:pPr>
              <w:pStyle w:val="Parasts1"/>
              <w:jc w:val="center"/>
            </w:pPr>
            <w:r>
              <w:t>1</w:t>
            </w:r>
          </w:p>
        </w:tc>
        <w:tc>
          <w:tcPr>
            <w:tcW w:w="3260" w:type="dxa"/>
          </w:tcPr>
          <w:p w:rsidR="002C4AB3" w:rsidRPr="00E3343C" w:rsidRDefault="002C4AB3" w:rsidP="002C4AB3">
            <w:pPr>
              <w:pStyle w:val="Parasts1"/>
              <w:jc w:val="center"/>
            </w:pPr>
            <w:r w:rsidRPr="00E3343C">
              <w:t>2</w:t>
            </w:r>
          </w:p>
        </w:tc>
        <w:tc>
          <w:tcPr>
            <w:tcW w:w="4961" w:type="dxa"/>
          </w:tcPr>
          <w:p w:rsidR="002C4AB3" w:rsidRDefault="002C4AB3" w:rsidP="002C4AB3">
            <w:pPr>
              <w:pStyle w:val="Parasts1"/>
              <w:jc w:val="center"/>
            </w:pPr>
            <w:r>
              <w:t>3</w:t>
            </w:r>
          </w:p>
        </w:tc>
        <w:tc>
          <w:tcPr>
            <w:tcW w:w="2410" w:type="dxa"/>
          </w:tcPr>
          <w:p w:rsidR="002C4AB3" w:rsidRDefault="002C4AB3" w:rsidP="002C4AB3">
            <w:pPr>
              <w:pStyle w:val="Parasts1"/>
              <w:jc w:val="center"/>
            </w:pPr>
            <w:r>
              <w:t>4</w:t>
            </w:r>
          </w:p>
        </w:tc>
        <w:tc>
          <w:tcPr>
            <w:tcW w:w="3245" w:type="dxa"/>
          </w:tcPr>
          <w:p w:rsidR="002C4AB3" w:rsidRDefault="002C4AB3" w:rsidP="002C4AB3">
            <w:pPr>
              <w:pStyle w:val="Parasts1"/>
              <w:jc w:val="center"/>
            </w:pPr>
            <w:r>
              <w:t>5</w:t>
            </w:r>
          </w:p>
        </w:tc>
      </w:tr>
      <w:tr w:rsidR="00615F31" w:rsidTr="00A73F5E">
        <w:trPr>
          <w:tblCellSpacing w:w="0" w:type="dxa"/>
        </w:trPr>
        <w:tc>
          <w:tcPr>
            <w:tcW w:w="441" w:type="dxa"/>
          </w:tcPr>
          <w:p w:rsidR="00831EFD" w:rsidRDefault="00831EFD" w:rsidP="002C4AB3">
            <w:pPr>
              <w:pStyle w:val="Parasts1"/>
              <w:jc w:val="center"/>
            </w:pPr>
          </w:p>
        </w:tc>
        <w:tc>
          <w:tcPr>
            <w:tcW w:w="3260" w:type="dxa"/>
          </w:tcPr>
          <w:p w:rsidR="00831EFD" w:rsidRPr="00E3343C" w:rsidRDefault="00831EFD" w:rsidP="005036BE">
            <w:pPr>
              <w:pStyle w:val="Parasts1"/>
              <w:jc w:val="both"/>
            </w:pPr>
          </w:p>
        </w:tc>
        <w:tc>
          <w:tcPr>
            <w:tcW w:w="4961" w:type="dxa"/>
          </w:tcPr>
          <w:p w:rsidR="00EC4676" w:rsidRPr="00AD1268" w:rsidRDefault="002A2ACE" w:rsidP="00EC4676">
            <w:pPr>
              <w:pStyle w:val="Parasts1"/>
              <w:jc w:val="both"/>
              <w:rPr>
                <w:b/>
              </w:rPr>
            </w:pPr>
            <w:r>
              <w:rPr>
                <w:b/>
              </w:rPr>
              <w:t>Tieslietu</w:t>
            </w:r>
            <w:r w:rsidR="00367715">
              <w:rPr>
                <w:b/>
              </w:rPr>
              <w:t xml:space="preserve"> ministrija</w:t>
            </w:r>
            <w:r w:rsidR="009B3AE1">
              <w:rPr>
                <w:b/>
              </w:rPr>
              <w:t xml:space="preserve"> (11.11.2020.)</w:t>
            </w:r>
          </w:p>
        </w:tc>
        <w:tc>
          <w:tcPr>
            <w:tcW w:w="2410" w:type="dxa"/>
          </w:tcPr>
          <w:p w:rsidR="00831EFD" w:rsidRDefault="00831EFD" w:rsidP="002C4AB3">
            <w:pPr>
              <w:pStyle w:val="Parasts1"/>
              <w:jc w:val="center"/>
            </w:pPr>
          </w:p>
        </w:tc>
        <w:tc>
          <w:tcPr>
            <w:tcW w:w="3245" w:type="dxa"/>
          </w:tcPr>
          <w:p w:rsidR="00831EFD" w:rsidRDefault="00831EFD" w:rsidP="00931E24">
            <w:pPr>
              <w:pStyle w:val="Parasts1"/>
              <w:jc w:val="both"/>
            </w:pPr>
          </w:p>
        </w:tc>
      </w:tr>
      <w:tr w:rsidR="00615F31" w:rsidTr="00A73F5E">
        <w:trPr>
          <w:tblCellSpacing w:w="0" w:type="dxa"/>
        </w:trPr>
        <w:tc>
          <w:tcPr>
            <w:tcW w:w="441" w:type="dxa"/>
          </w:tcPr>
          <w:p w:rsidR="00831EFD" w:rsidRDefault="002A2ACE" w:rsidP="002C4AB3">
            <w:pPr>
              <w:pStyle w:val="Parasts1"/>
              <w:jc w:val="center"/>
            </w:pPr>
            <w:r>
              <w:t>1.</w:t>
            </w:r>
          </w:p>
        </w:tc>
        <w:tc>
          <w:tcPr>
            <w:tcW w:w="3260" w:type="dxa"/>
          </w:tcPr>
          <w:p w:rsidR="00702361" w:rsidRPr="00702361" w:rsidRDefault="00702361" w:rsidP="00702361">
            <w:pPr>
              <w:jc w:val="both"/>
              <w:rPr>
                <w:sz w:val="24"/>
                <w:szCs w:val="24"/>
                <w:lang w:eastAsia="en-US"/>
              </w:rPr>
            </w:pPr>
            <w:r w:rsidRPr="00702361">
              <w:rPr>
                <w:sz w:val="24"/>
                <w:szCs w:val="24"/>
                <w:lang w:eastAsia="en-US"/>
              </w:rPr>
              <w:t>4.</w:t>
            </w:r>
            <w:r w:rsidRPr="00702361">
              <w:rPr>
                <w:sz w:val="24"/>
                <w:szCs w:val="24"/>
                <w:lang w:eastAsia="en-US"/>
              </w:rPr>
              <w:tab/>
              <w:t>Izteikt 52.1.2. apakšpunktu šādā redakcijā:</w:t>
            </w:r>
          </w:p>
          <w:p w:rsidR="00147E13" w:rsidRDefault="00702361" w:rsidP="00702361">
            <w:pPr>
              <w:jc w:val="both"/>
              <w:rPr>
                <w:sz w:val="24"/>
                <w:szCs w:val="24"/>
                <w:lang w:eastAsia="en-US"/>
              </w:rPr>
            </w:pPr>
            <w:r w:rsidRPr="00702361">
              <w:rPr>
                <w:sz w:val="24"/>
                <w:szCs w:val="24"/>
                <w:lang w:eastAsia="en-US"/>
              </w:rPr>
              <w:t>“52.1.2. starppārskata iesniegšanu Lauku atbalsta dienestā līdz kārtējā gada 15. decembrim, lai saņemtu atlikušo papildu maksājumu 10 procentu apmērā šo noteikumu 43.1., 43.2. un 43.3. apakšpunktā minēto pasākumu turpināšanai;”.</w:t>
            </w:r>
          </w:p>
          <w:p w:rsidR="00B0600C" w:rsidRDefault="00B0600C" w:rsidP="00702361">
            <w:pPr>
              <w:jc w:val="both"/>
              <w:rPr>
                <w:sz w:val="24"/>
                <w:szCs w:val="24"/>
                <w:lang w:eastAsia="en-US"/>
              </w:rPr>
            </w:pPr>
          </w:p>
          <w:p w:rsidR="00B0600C" w:rsidRDefault="00B0600C" w:rsidP="00702361">
            <w:pPr>
              <w:jc w:val="both"/>
              <w:rPr>
                <w:sz w:val="24"/>
                <w:szCs w:val="24"/>
              </w:rPr>
            </w:pPr>
            <w:r>
              <w:rPr>
                <w:sz w:val="24"/>
                <w:szCs w:val="24"/>
              </w:rPr>
              <w:t>Anotācija:</w:t>
            </w:r>
          </w:p>
          <w:p w:rsidR="00B0600C" w:rsidRPr="00DC09A7" w:rsidRDefault="00B0600C" w:rsidP="00702361">
            <w:pPr>
              <w:jc w:val="both"/>
              <w:rPr>
                <w:sz w:val="24"/>
                <w:szCs w:val="24"/>
                <w:lang w:eastAsia="en-US"/>
              </w:rPr>
            </w:pPr>
            <w:r>
              <w:rPr>
                <w:sz w:val="24"/>
                <w:szCs w:val="24"/>
              </w:rPr>
              <w:t xml:space="preserve">Tā kā daļu projektu saskaņā ar </w:t>
            </w:r>
            <w:r w:rsidRPr="00D031B3">
              <w:rPr>
                <w:sz w:val="24"/>
                <w:szCs w:val="24"/>
              </w:rPr>
              <w:t>noteikum</w:t>
            </w:r>
            <w:r>
              <w:rPr>
                <w:sz w:val="24"/>
                <w:szCs w:val="24"/>
              </w:rPr>
              <w:t>u</w:t>
            </w:r>
            <w:r w:rsidRPr="00D031B3">
              <w:rPr>
                <w:sz w:val="24"/>
                <w:szCs w:val="24"/>
              </w:rPr>
              <w:t xml:space="preserve"> Nr. 59</w:t>
            </w:r>
            <w:r>
              <w:rPr>
                <w:sz w:val="24"/>
                <w:szCs w:val="24"/>
              </w:rPr>
              <w:t xml:space="preserve"> </w:t>
            </w:r>
            <w:r w:rsidRPr="00D031B3">
              <w:rPr>
                <w:sz w:val="24"/>
                <w:szCs w:val="24"/>
              </w:rPr>
              <w:t>43.1., 43.2. un 43.3. apakšpunkt</w:t>
            </w:r>
            <w:r>
              <w:rPr>
                <w:sz w:val="24"/>
                <w:szCs w:val="24"/>
              </w:rPr>
              <w:t>u</w:t>
            </w:r>
            <w:r w:rsidRPr="00D031B3">
              <w:rPr>
                <w:sz w:val="24"/>
                <w:szCs w:val="24"/>
              </w:rPr>
              <w:t xml:space="preserve"> </w:t>
            </w:r>
            <w:proofErr w:type="spellStart"/>
            <w:r>
              <w:rPr>
                <w:sz w:val="24"/>
                <w:szCs w:val="24"/>
              </w:rPr>
              <w:t>Covid-19</w:t>
            </w:r>
            <w:proofErr w:type="spellEnd"/>
            <w:r>
              <w:rPr>
                <w:sz w:val="24"/>
                <w:szCs w:val="24"/>
              </w:rPr>
              <w:t xml:space="preserve"> ietekmes dēļ nav iespējams īstenot līdz 2020. gada beigām, projektu īstenošanas termiņš ir pagarināts līdz 2021. gada 1.jūnijam, paredzot iesniegt starppārskatu līdz 15. decembrim, lai varētu saņemt atlikušos 10% finansējuma projekta īstenošanai.</w:t>
            </w:r>
          </w:p>
        </w:tc>
        <w:tc>
          <w:tcPr>
            <w:tcW w:w="4961" w:type="dxa"/>
          </w:tcPr>
          <w:p w:rsidR="00AD0098" w:rsidRPr="00AD0098" w:rsidRDefault="00AD0098" w:rsidP="00AD0098">
            <w:pPr>
              <w:pStyle w:val="Paraststmeklis"/>
              <w:tabs>
                <w:tab w:val="left" w:pos="993"/>
              </w:tabs>
              <w:ind w:right="11"/>
              <w:jc w:val="both"/>
            </w:pPr>
            <w:r w:rsidRPr="00AD0098">
              <w:t>Norādām, ka projekta 4. punktā izteiktā 52.1.2. un 52.1.3. apakšpunkta redakcija gramatiski neveido loģisku saikni ar spēkā esošo noteikumu 52.1. apakšpunkta ievaddaļu. Lūdzam precizēt projekta 4. punktu tā, lai tajā izteiktie grozījumi loģiski iekļautos spēkā esošo noteikumu 52. punktā.</w:t>
            </w:r>
          </w:p>
          <w:p w:rsidR="00831EFD" w:rsidRPr="00AD0098" w:rsidRDefault="00AD0098" w:rsidP="00FD3A2F">
            <w:pPr>
              <w:pStyle w:val="Sarakstarindkopa"/>
              <w:widowControl w:val="0"/>
              <w:tabs>
                <w:tab w:val="left" w:pos="0"/>
                <w:tab w:val="left" w:pos="993"/>
              </w:tabs>
              <w:ind w:left="0"/>
              <w:contextualSpacing/>
              <w:jc w:val="both"/>
              <w:rPr>
                <w:rFonts w:eastAsiaTheme="minorHAnsi"/>
                <w:lang w:val="lv-LV" w:eastAsia="lv-LV"/>
              </w:rPr>
            </w:pPr>
            <w:r w:rsidRPr="00AD0098">
              <w:rPr>
                <w:rFonts w:eastAsiaTheme="minorHAnsi"/>
                <w:lang w:val="lv-LV" w:eastAsia="lv-LV"/>
              </w:rPr>
              <w:t>Vienlaikus vēršam uzmanību, ka spēkā esošajos noteikumos nav lietots jēdziens “starppārskats”, kas ir lietots projekta 4. punktā izteiktajā 52.1.2. apakšpunktā. Lūdzam skaidrot šī jēdziena nozīmi, atšķirību no spēkā esošajos noteikumos minētā “pārskata”, kā arī projekta anotācijā izvērsti pamatot projekta 4. punktā izteikto grozījumu nepieciešamību un pamatotību.</w:t>
            </w:r>
          </w:p>
        </w:tc>
        <w:tc>
          <w:tcPr>
            <w:tcW w:w="2410" w:type="dxa"/>
          </w:tcPr>
          <w:p w:rsidR="003E7AA5" w:rsidRPr="00367715" w:rsidRDefault="00367715" w:rsidP="004B1391">
            <w:pPr>
              <w:pStyle w:val="Parasts1"/>
              <w:jc w:val="both"/>
              <w:rPr>
                <w:b/>
              </w:rPr>
            </w:pPr>
            <w:r w:rsidRPr="00367715">
              <w:rPr>
                <w:b/>
              </w:rPr>
              <w:t>Ņemts vērā</w:t>
            </w:r>
            <w:r w:rsidR="00B0600C">
              <w:rPr>
                <w:b/>
              </w:rPr>
              <w:t xml:space="preserve">, </w:t>
            </w:r>
            <w:r w:rsidR="00B0600C" w:rsidRPr="00B0600C">
              <w:t>precizēta redakcija un papildināta anotācija</w:t>
            </w:r>
          </w:p>
        </w:tc>
        <w:tc>
          <w:tcPr>
            <w:tcW w:w="3245" w:type="dxa"/>
          </w:tcPr>
          <w:p w:rsidR="00CC23D6" w:rsidRDefault="00CC23D6" w:rsidP="00B0600C">
            <w:pPr>
              <w:pStyle w:val="Parasts1"/>
              <w:jc w:val="both"/>
              <w:rPr>
                <w:color w:val="000000" w:themeColor="text1"/>
                <w:lang w:eastAsia="en-US"/>
              </w:rPr>
            </w:pPr>
            <w:r>
              <w:rPr>
                <w:color w:val="000000" w:themeColor="text1"/>
                <w:lang w:eastAsia="en-US"/>
              </w:rPr>
              <w:t xml:space="preserve">6. </w:t>
            </w:r>
            <w:r w:rsidRPr="00CC23D6">
              <w:rPr>
                <w:color w:val="000000" w:themeColor="text1"/>
                <w:lang w:eastAsia="en-US"/>
              </w:rPr>
              <w:t>Izteikt 52.1.2. apakšpunktu šādā redakcijā:</w:t>
            </w:r>
          </w:p>
          <w:p w:rsidR="000E35F6" w:rsidRDefault="00CC23D6" w:rsidP="00B0600C">
            <w:pPr>
              <w:pStyle w:val="Parasts1"/>
              <w:jc w:val="both"/>
              <w:rPr>
                <w:color w:val="000000" w:themeColor="text1"/>
                <w:lang w:eastAsia="en-US"/>
              </w:rPr>
            </w:pPr>
            <w:r>
              <w:rPr>
                <w:color w:val="000000" w:themeColor="text1"/>
                <w:lang w:eastAsia="en-US"/>
              </w:rPr>
              <w:t>“</w:t>
            </w:r>
            <w:r w:rsidRPr="00CC23D6">
              <w:rPr>
                <w:color w:val="000000" w:themeColor="text1"/>
                <w:lang w:eastAsia="en-US"/>
              </w:rPr>
              <w:t>52.1.2. un termiņu, līdz kuram atbalsta saņēmējs iesniedz Lauku atbalsta dienestā  starppārskatu, lai saņemtu atlikušo papildu maksājumu 10 procentu apmērā šo noteikumu 43.1., 43.2. un 43.3. apakšpunktā minēto pasākumu turpināšanai;</w:t>
            </w:r>
            <w:r>
              <w:rPr>
                <w:color w:val="000000" w:themeColor="text1"/>
                <w:lang w:eastAsia="en-US"/>
              </w:rPr>
              <w:t>”</w:t>
            </w:r>
          </w:p>
          <w:p w:rsidR="00B0600C" w:rsidRDefault="00B0600C" w:rsidP="00B0600C">
            <w:pPr>
              <w:pStyle w:val="Parasts1"/>
              <w:jc w:val="both"/>
              <w:rPr>
                <w:color w:val="000000" w:themeColor="text1"/>
                <w:lang w:eastAsia="en-US"/>
              </w:rPr>
            </w:pPr>
          </w:p>
          <w:p w:rsidR="00B0600C" w:rsidRDefault="00B0600C" w:rsidP="00B0600C">
            <w:pPr>
              <w:pStyle w:val="Parasts1"/>
              <w:jc w:val="both"/>
              <w:rPr>
                <w:color w:val="000000" w:themeColor="text1"/>
                <w:lang w:eastAsia="en-US"/>
              </w:rPr>
            </w:pPr>
            <w:r>
              <w:rPr>
                <w:color w:val="000000" w:themeColor="text1"/>
                <w:lang w:eastAsia="en-US"/>
              </w:rPr>
              <w:t>Anotācija:</w:t>
            </w:r>
          </w:p>
          <w:p w:rsidR="00B0600C" w:rsidRPr="009B16C1" w:rsidRDefault="00951F8A" w:rsidP="00B0600C">
            <w:pPr>
              <w:pStyle w:val="Parasts1"/>
              <w:jc w:val="both"/>
              <w:rPr>
                <w:color w:val="000000" w:themeColor="text1"/>
                <w:lang w:eastAsia="en-US"/>
              </w:rPr>
            </w:pPr>
            <w:r w:rsidRPr="00951F8A">
              <w:rPr>
                <w:color w:val="000000" w:themeColor="text1"/>
                <w:lang w:eastAsia="en-US"/>
              </w:rPr>
              <w:t xml:space="preserve">Tā kā daļu projektu saskaņā ar noteikumu Nr. 59 43.1., 43.2. un 43.3. apakšpunktu nav iespējams īstenot līdz 2020. gada beigām </w:t>
            </w:r>
            <w:proofErr w:type="spellStart"/>
            <w:r w:rsidRPr="00951F8A">
              <w:rPr>
                <w:color w:val="000000" w:themeColor="text1"/>
                <w:lang w:eastAsia="en-US"/>
              </w:rPr>
              <w:t>Covid-19</w:t>
            </w:r>
            <w:proofErr w:type="spellEnd"/>
            <w:r w:rsidRPr="00951F8A">
              <w:rPr>
                <w:color w:val="000000" w:themeColor="text1"/>
                <w:lang w:eastAsia="en-US"/>
              </w:rPr>
              <w:t xml:space="preserve"> ietekmes dēļ, jo tiek kavētas iekārtu un aprīkojuma piegādes no citām valstīm, projektu īstenošanas termiņš ir pagarināts līdz 2021. gada 1.jūnijam, paredzot iesniegt starppārskatu 2020.gadā (termiņu nosaka Lauku atbalsta dienests), lai varētu saņemt atlikušos 10% finansējuma projekta īstenošanai. Ja zinātniskās institūcijas neizlietos projektam piešķirto finansējumu 100%  apmērā, neizlietotā atbalsta summa tiks </w:t>
            </w:r>
            <w:proofErr w:type="spellStart"/>
            <w:r w:rsidRPr="00951F8A">
              <w:rPr>
                <w:color w:val="000000" w:themeColor="text1"/>
                <w:lang w:eastAsia="en-US"/>
              </w:rPr>
              <w:t>atgriesta</w:t>
            </w:r>
            <w:proofErr w:type="spellEnd"/>
            <w:r w:rsidRPr="00951F8A">
              <w:rPr>
                <w:color w:val="000000" w:themeColor="text1"/>
                <w:lang w:eastAsia="en-US"/>
              </w:rPr>
              <w:t xml:space="preserve"> Lauku atbalsta dienestam. Starppārskats satur informāciju par projektā jau īstenotajiem pasākumiem un  informāciju par tiem pasākumiem kurus plānots īstenot līdz 2021. gada 1.jūnijam.</w:t>
            </w:r>
          </w:p>
        </w:tc>
      </w:tr>
      <w:tr w:rsidR="00AD0098" w:rsidTr="00A73F5E">
        <w:trPr>
          <w:tblCellSpacing w:w="0" w:type="dxa"/>
        </w:trPr>
        <w:tc>
          <w:tcPr>
            <w:tcW w:w="441" w:type="dxa"/>
          </w:tcPr>
          <w:p w:rsidR="00AD0098" w:rsidRDefault="00AD0098" w:rsidP="002C4AB3">
            <w:pPr>
              <w:pStyle w:val="Parasts1"/>
              <w:jc w:val="center"/>
            </w:pPr>
          </w:p>
        </w:tc>
        <w:tc>
          <w:tcPr>
            <w:tcW w:w="3260" w:type="dxa"/>
          </w:tcPr>
          <w:p w:rsidR="00AD0098" w:rsidRPr="00DC09A7" w:rsidRDefault="00AD0098" w:rsidP="00DC09A7">
            <w:pPr>
              <w:jc w:val="both"/>
              <w:rPr>
                <w:sz w:val="24"/>
                <w:szCs w:val="24"/>
                <w:lang w:eastAsia="en-US"/>
              </w:rPr>
            </w:pPr>
          </w:p>
        </w:tc>
        <w:tc>
          <w:tcPr>
            <w:tcW w:w="4961" w:type="dxa"/>
          </w:tcPr>
          <w:p w:rsidR="00AD0098" w:rsidRPr="00AD0098" w:rsidRDefault="00AD0098" w:rsidP="00AD0098">
            <w:pPr>
              <w:pStyle w:val="Paraststmeklis"/>
              <w:tabs>
                <w:tab w:val="left" w:pos="993"/>
              </w:tabs>
              <w:ind w:right="11"/>
              <w:jc w:val="both"/>
              <w:rPr>
                <w:b/>
              </w:rPr>
            </w:pPr>
            <w:r w:rsidRPr="00AD0098">
              <w:rPr>
                <w:b/>
              </w:rPr>
              <w:t>Finanšu ministrija</w:t>
            </w:r>
            <w:r w:rsidR="009B3AE1">
              <w:rPr>
                <w:b/>
              </w:rPr>
              <w:t xml:space="preserve"> </w:t>
            </w:r>
            <w:r w:rsidR="009B3AE1" w:rsidRPr="009B3AE1">
              <w:rPr>
                <w:b/>
              </w:rPr>
              <w:t>(11.11.2020.)</w:t>
            </w:r>
          </w:p>
        </w:tc>
        <w:tc>
          <w:tcPr>
            <w:tcW w:w="2410" w:type="dxa"/>
          </w:tcPr>
          <w:p w:rsidR="00AD0098" w:rsidRPr="00367715" w:rsidRDefault="00AD0098" w:rsidP="004B1391">
            <w:pPr>
              <w:pStyle w:val="Parasts1"/>
              <w:jc w:val="both"/>
              <w:rPr>
                <w:b/>
              </w:rPr>
            </w:pPr>
          </w:p>
        </w:tc>
        <w:tc>
          <w:tcPr>
            <w:tcW w:w="3245" w:type="dxa"/>
          </w:tcPr>
          <w:p w:rsidR="00AD0098" w:rsidRPr="009B16C1" w:rsidRDefault="00AD0098" w:rsidP="00594ADD">
            <w:pPr>
              <w:pStyle w:val="Parasts1"/>
              <w:rPr>
                <w:color w:val="000000" w:themeColor="text1"/>
                <w:lang w:eastAsia="en-US"/>
              </w:rPr>
            </w:pPr>
          </w:p>
        </w:tc>
      </w:tr>
      <w:tr w:rsidR="002A2ACE" w:rsidTr="00A73F5E">
        <w:trPr>
          <w:tblCellSpacing w:w="0" w:type="dxa"/>
        </w:trPr>
        <w:tc>
          <w:tcPr>
            <w:tcW w:w="441" w:type="dxa"/>
          </w:tcPr>
          <w:p w:rsidR="002A2ACE" w:rsidRDefault="00AD0098" w:rsidP="002C4AB3">
            <w:pPr>
              <w:pStyle w:val="Parasts1"/>
              <w:jc w:val="center"/>
            </w:pPr>
            <w:r>
              <w:t>1</w:t>
            </w:r>
            <w:r w:rsidR="002A2ACE">
              <w:t>.</w:t>
            </w:r>
          </w:p>
        </w:tc>
        <w:tc>
          <w:tcPr>
            <w:tcW w:w="3260" w:type="dxa"/>
          </w:tcPr>
          <w:p w:rsidR="002A2ACE" w:rsidRPr="00DC09A7" w:rsidRDefault="002A2ACE" w:rsidP="00DC09A7">
            <w:pPr>
              <w:jc w:val="both"/>
              <w:rPr>
                <w:sz w:val="24"/>
                <w:szCs w:val="24"/>
                <w:lang w:eastAsia="en-US"/>
              </w:rPr>
            </w:pPr>
          </w:p>
        </w:tc>
        <w:tc>
          <w:tcPr>
            <w:tcW w:w="4961" w:type="dxa"/>
          </w:tcPr>
          <w:p w:rsidR="002A2ACE" w:rsidRPr="004E2D2D" w:rsidRDefault="00AD0098" w:rsidP="004E2D2D">
            <w:pPr>
              <w:pStyle w:val="Paraststmeklis"/>
              <w:tabs>
                <w:tab w:val="left" w:pos="993"/>
              </w:tabs>
              <w:ind w:right="11"/>
              <w:jc w:val="both"/>
            </w:pPr>
            <w:r>
              <w:t xml:space="preserve">Ņemot vērā, ka piešķirtais atbalsts ir atgūstams no atbalsta saņēmēja arī tad, ja Eiropas Komisijas 2013. gada 18. decembra Regulas (ES) Nr. 1407/2013 par Līguma par Eiropas Savienības darbību 107. un 108. panta piemērošanu </w:t>
            </w:r>
            <w:proofErr w:type="spellStart"/>
            <w:r>
              <w:t>de</w:t>
            </w:r>
            <w:proofErr w:type="spellEnd"/>
            <w:r>
              <w:t xml:space="preserve"> </w:t>
            </w:r>
            <w:proofErr w:type="spellStart"/>
            <w:r>
              <w:t>minimis</w:t>
            </w:r>
            <w:proofErr w:type="spellEnd"/>
            <w:r>
              <w:t xml:space="preserve"> atbalstam (turpmāk - Komisijas regulu Nr.1407/2013), pārkāpumu pieļāvis, piemēram, atbalsta sniedzējs, lūdzam Ministru kabineta 2015. gada 3. februāra noteikumu Nr. 59 “Valsts un Eiropas Savienības atbalsta piešķiršanas kārtība investīciju veicināšanai lauksaimniecībā” (turpmāk - MK noteikumi Nr.59) 7.</w:t>
            </w:r>
            <w:r w:rsidRPr="004E2D2D">
              <w:t>2</w:t>
            </w:r>
            <w:r>
              <w:t xml:space="preserve"> punktā vārdus “Ja atbalsta saņēmējs ir pārkāpis [..]” aizstāt ar vārdiem “Ja ir pārkāptas [..]”.</w:t>
            </w:r>
          </w:p>
        </w:tc>
        <w:tc>
          <w:tcPr>
            <w:tcW w:w="2410" w:type="dxa"/>
          </w:tcPr>
          <w:p w:rsidR="002A2ACE" w:rsidRPr="00367715" w:rsidRDefault="002A2ACE" w:rsidP="004B1391">
            <w:pPr>
              <w:pStyle w:val="Parasts1"/>
              <w:jc w:val="both"/>
              <w:rPr>
                <w:b/>
              </w:rPr>
            </w:pPr>
            <w:r>
              <w:rPr>
                <w:b/>
              </w:rPr>
              <w:t>Ņemts vērā</w:t>
            </w:r>
          </w:p>
        </w:tc>
        <w:tc>
          <w:tcPr>
            <w:tcW w:w="3245" w:type="dxa"/>
          </w:tcPr>
          <w:p w:rsidR="002A2ACE" w:rsidRPr="003B0D44" w:rsidRDefault="00702361" w:rsidP="00594ADD">
            <w:pPr>
              <w:pStyle w:val="Parasts1"/>
              <w:rPr>
                <w:lang w:eastAsia="en-US"/>
              </w:rPr>
            </w:pPr>
            <w:r>
              <w:rPr>
                <w:lang w:eastAsia="en-US"/>
              </w:rPr>
              <w:t xml:space="preserve">4. </w:t>
            </w:r>
            <w:r w:rsidRPr="00702361">
              <w:rPr>
                <w:lang w:eastAsia="en-US"/>
              </w:rPr>
              <w:t>Aizstāt 7.2 punktā vārdus “Ja atbalsta saņēmējs ir pārkāpis” ar vārdiem “Ja ir pārkāptas”.</w:t>
            </w:r>
          </w:p>
        </w:tc>
      </w:tr>
      <w:tr w:rsidR="002A2ACE" w:rsidTr="00A73F5E">
        <w:trPr>
          <w:tblCellSpacing w:w="0" w:type="dxa"/>
        </w:trPr>
        <w:tc>
          <w:tcPr>
            <w:tcW w:w="441" w:type="dxa"/>
          </w:tcPr>
          <w:p w:rsidR="002A2ACE" w:rsidRDefault="00AD0098" w:rsidP="002C4AB3">
            <w:pPr>
              <w:pStyle w:val="Parasts1"/>
              <w:jc w:val="center"/>
            </w:pPr>
            <w:r>
              <w:t>2</w:t>
            </w:r>
            <w:r w:rsidR="002A2ACE">
              <w:t>.</w:t>
            </w:r>
          </w:p>
        </w:tc>
        <w:tc>
          <w:tcPr>
            <w:tcW w:w="3260" w:type="dxa"/>
          </w:tcPr>
          <w:p w:rsidR="002A2ACE" w:rsidRPr="00DC09A7" w:rsidRDefault="002A2ACE" w:rsidP="002B5542">
            <w:pPr>
              <w:jc w:val="both"/>
              <w:rPr>
                <w:sz w:val="24"/>
                <w:szCs w:val="24"/>
                <w:lang w:eastAsia="en-US"/>
              </w:rPr>
            </w:pPr>
          </w:p>
        </w:tc>
        <w:tc>
          <w:tcPr>
            <w:tcW w:w="4961" w:type="dxa"/>
          </w:tcPr>
          <w:p w:rsidR="002A2ACE" w:rsidRPr="002A2ACE" w:rsidRDefault="00AD0098" w:rsidP="004E2D2D">
            <w:pPr>
              <w:pStyle w:val="Paraststmeklis"/>
              <w:tabs>
                <w:tab w:val="left" w:pos="993"/>
              </w:tabs>
              <w:ind w:right="11"/>
              <w:jc w:val="both"/>
            </w:pPr>
            <w:r>
              <w:t>Ņemot vērā, ka MK noteikumu Nr.59 11.8.apakšpunkts paredz atbalsta kumulāciju, lai nodrošinātu kumulācijas normu korektu ievērošanu, lūdzam papildināt noteikumu projektu un anotāciju ar informāciju, kā atbalsta sniedzējs pārliecināsies par kumulācijas normu korektu izpildi no atbalsta pretendenta puses un kādi dokumenti atbalsta pretendentam būs jāiesniedz, lai attiecīgo izvērtējumu atbalsta sniedzējs varētu veikt. Vēršam uzmanību, ka šādā gadījumā atbalsta saņēmējam ir jāiesniedz visa informācija par plānoto un piešķirto atbalstu par tām pašām attiecināmajām izmaksām un/vai atbalstu riska pasākuma ietvaros, norādot atbalsta piešķiršanas datumu, atbalsta sniedzēju, atbalsta pasākumu, atbalsta intensitāti un plānoto/piešķirto atbalsta summu.</w:t>
            </w:r>
          </w:p>
        </w:tc>
        <w:tc>
          <w:tcPr>
            <w:tcW w:w="2410" w:type="dxa"/>
          </w:tcPr>
          <w:p w:rsidR="002A2ACE" w:rsidRPr="00367715" w:rsidRDefault="002A2ACE" w:rsidP="004B1391">
            <w:pPr>
              <w:pStyle w:val="Parasts1"/>
              <w:jc w:val="both"/>
              <w:rPr>
                <w:b/>
              </w:rPr>
            </w:pPr>
            <w:r>
              <w:rPr>
                <w:b/>
              </w:rPr>
              <w:t>Ņemts vērā</w:t>
            </w:r>
          </w:p>
        </w:tc>
        <w:tc>
          <w:tcPr>
            <w:tcW w:w="3245" w:type="dxa"/>
          </w:tcPr>
          <w:p w:rsidR="00CC23D6" w:rsidRPr="00CC23D6" w:rsidRDefault="00CC23D6" w:rsidP="00CC23D6">
            <w:pPr>
              <w:rPr>
                <w:sz w:val="24"/>
                <w:szCs w:val="24"/>
                <w:lang w:eastAsia="en-US"/>
              </w:rPr>
            </w:pPr>
            <w:r>
              <w:rPr>
                <w:sz w:val="24"/>
                <w:szCs w:val="24"/>
                <w:lang w:eastAsia="en-US"/>
              </w:rPr>
              <w:t xml:space="preserve">5. </w:t>
            </w:r>
            <w:r w:rsidRPr="00CC23D6">
              <w:rPr>
                <w:sz w:val="24"/>
                <w:szCs w:val="24"/>
                <w:lang w:eastAsia="en-US"/>
              </w:rPr>
              <w:t>Papildināt ar 10.</w:t>
            </w:r>
            <w:r w:rsidRPr="00CC23D6">
              <w:rPr>
                <w:sz w:val="24"/>
                <w:szCs w:val="24"/>
                <w:vertAlign w:val="superscript"/>
                <w:lang w:eastAsia="en-US"/>
              </w:rPr>
              <w:t>1</w:t>
            </w:r>
            <w:r w:rsidRPr="00CC23D6">
              <w:rPr>
                <w:sz w:val="24"/>
                <w:szCs w:val="24"/>
                <w:lang w:eastAsia="en-US"/>
              </w:rPr>
              <w:t xml:space="preserve"> punktu šādā redakcijā:</w:t>
            </w:r>
          </w:p>
          <w:p w:rsidR="002A2ACE" w:rsidRPr="003B0D44" w:rsidRDefault="00CC23D6" w:rsidP="00AF462C">
            <w:pPr>
              <w:pStyle w:val="Parasts1"/>
              <w:jc w:val="both"/>
              <w:rPr>
                <w:lang w:eastAsia="en-US"/>
              </w:rPr>
            </w:pPr>
            <w:r>
              <w:rPr>
                <w:lang w:eastAsia="en-US"/>
              </w:rPr>
              <w:t>“</w:t>
            </w:r>
            <w:r w:rsidR="00735E57" w:rsidRPr="00CC23D6">
              <w:rPr>
                <w:lang w:eastAsia="en-US"/>
              </w:rPr>
              <w:t>10.</w:t>
            </w:r>
            <w:r w:rsidR="00735E57" w:rsidRPr="00CC23D6">
              <w:rPr>
                <w:vertAlign w:val="superscript"/>
                <w:lang w:eastAsia="en-US"/>
              </w:rPr>
              <w:t>1</w:t>
            </w:r>
            <w:r w:rsidR="00735E57">
              <w:rPr>
                <w:vertAlign w:val="superscript"/>
                <w:lang w:eastAsia="en-US"/>
              </w:rPr>
              <w:t xml:space="preserve"> </w:t>
            </w:r>
            <w:r w:rsidR="00735E57" w:rsidRPr="00735E57">
              <w:rPr>
                <w:lang w:eastAsia="en-US"/>
              </w:rPr>
              <w:t xml:space="preserve">Ja atbalstu plānots </w:t>
            </w:r>
            <w:proofErr w:type="spellStart"/>
            <w:r w:rsidR="00735E57" w:rsidRPr="00735E57">
              <w:rPr>
                <w:lang w:eastAsia="en-US"/>
              </w:rPr>
              <w:t>kumulēt</w:t>
            </w:r>
            <w:proofErr w:type="spellEnd"/>
            <w:r w:rsidR="00735E57" w:rsidRPr="00735E57">
              <w:rPr>
                <w:lang w:eastAsia="en-US"/>
              </w:rPr>
              <w:t xml:space="preserve"> par vienām un tām pašām izmaksām, ievērojot šo noteikumu 11.8. apakšpunkta nosacījumus, atbalsta </w:t>
            </w:r>
            <w:proofErr w:type="spellStart"/>
            <w:r w:rsidR="00735E57" w:rsidRPr="00735E57">
              <w:rPr>
                <w:lang w:eastAsia="en-US"/>
              </w:rPr>
              <w:t>pretenndents</w:t>
            </w:r>
            <w:proofErr w:type="spellEnd"/>
            <w:r w:rsidR="00735E57" w:rsidRPr="00735E57">
              <w:rPr>
                <w:lang w:eastAsia="en-US"/>
              </w:rPr>
              <w:t xml:space="preserve"> iesniedz informāciju par plānoto vai piešķirto atbalstu par tām pašām attiecināmajām izmaksām vai atbalstu riska pasākuma ietvaros, norādot atbalsta piešķiršanas datumu, atbalsta sniedzēju, atbalsta pasākumu, atbalsta intensitāti un plānoto vai piešķirto atbalsta summu</w:t>
            </w:r>
            <w:r w:rsidRPr="00CC23D6">
              <w:rPr>
                <w:lang w:eastAsia="en-US"/>
              </w:rPr>
              <w:t>.</w:t>
            </w:r>
            <w:r>
              <w:rPr>
                <w:lang w:eastAsia="en-US"/>
              </w:rPr>
              <w:t>”</w:t>
            </w:r>
          </w:p>
        </w:tc>
      </w:tr>
      <w:tr w:rsidR="00AD0098" w:rsidTr="00A73F5E">
        <w:trPr>
          <w:tblCellSpacing w:w="0" w:type="dxa"/>
        </w:trPr>
        <w:tc>
          <w:tcPr>
            <w:tcW w:w="441" w:type="dxa"/>
          </w:tcPr>
          <w:p w:rsidR="00AD0098" w:rsidRDefault="00AD0098" w:rsidP="002C4AB3">
            <w:pPr>
              <w:pStyle w:val="Parasts1"/>
              <w:jc w:val="center"/>
            </w:pPr>
            <w:r>
              <w:t>3.</w:t>
            </w:r>
          </w:p>
        </w:tc>
        <w:tc>
          <w:tcPr>
            <w:tcW w:w="3260" w:type="dxa"/>
          </w:tcPr>
          <w:p w:rsidR="00AD0098" w:rsidRPr="002B5542" w:rsidRDefault="00B0600C" w:rsidP="002B5542">
            <w:pPr>
              <w:jc w:val="both"/>
              <w:rPr>
                <w:sz w:val="24"/>
                <w:szCs w:val="24"/>
                <w:lang w:eastAsia="en-US"/>
              </w:rPr>
            </w:pPr>
            <w:r w:rsidRPr="00B0600C">
              <w:rPr>
                <w:sz w:val="24"/>
                <w:szCs w:val="24"/>
                <w:lang w:eastAsia="en-US"/>
              </w:rPr>
              <w:t xml:space="preserve">Tā kā daļu projektu saskaņā ar noteikumu Nr. 59 43.1., 43.2. un 43.3. apakšpunktu </w:t>
            </w:r>
            <w:proofErr w:type="spellStart"/>
            <w:r w:rsidRPr="00B0600C">
              <w:rPr>
                <w:sz w:val="24"/>
                <w:szCs w:val="24"/>
                <w:lang w:eastAsia="en-US"/>
              </w:rPr>
              <w:t>Covid-19</w:t>
            </w:r>
            <w:proofErr w:type="spellEnd"/>
            <w:r w:rsidRPr="00B0600C">
              <w:rPr>
                <w:sz w:val="24"/>
                <w:szCs w:val="24"/>
                <w:lang w:eastAsia="en-US"/>
              </w:rPr>
              <w:t xml:space="preserve"> ietekmes dēļ nav iespējams īstenot līdz 2020. gada beigām, projektu īstenošanas termiņš ir pagarināts līdz 2021. gada 1.jūnijam, paredzot iesniegt starppārskatu līdz 15. decembrim, lai varētu saņemt atlikušos 10% finansējuma projekta īstenošanai.</w:t>
            </w:r>
          </w:p>
        </w:tc>
        <w:tc>
          <w:tcPr>
            <w:tcW w:w="4961" w:type="dxa"/>
          </w:tcPr>
          <w:p w:rsidR="00AD0098" w:rsidRDefault="00AD0098" w:rsidP="004E2D2D">
            <w:pPr>
              <w:pStyle w:val="Paraststmeklis"/>
              <w:tabs>
                <w:tab w:val="left" w:pos="993"/>
              </w:tabs>
              <w:ind w:right="11"/>
              <w:jc w:val="both"/>
            </w:pPr>
            <w:r w:rsidRPr="00300A63">
              <w:t xml:space="preserve">Lūdzam anotācijā sniegt papildus skaidrojumu noteikumu projekta 4.punktā paredzētajiem grozījumiem atbalsta pasākumu maksājumu veikšanā, kas paredz atbalsta saņēmējiem, iesniedzot starppārskatu, saņemt 2020.gadā atlikušos 10% finansējuma projekta īstenošanai, jo nav skaidrs pamatojums pēc būtības, kāpēc atbalsta maksājums </w:t>
            </w:r>
            <w:r>
              <w:t>MK noteikumu Nr.59</w:t>
            </w:r>
            <w:r w:rsidRPr="00300A63">
              <w:t xml:space="preserve"> 43.1., 43.2. un 43.3. apakšpunktā minēto pasākumu īstenošanai veicams pilnā apmērā vēl pirms projekta pabeigšanas.</w:t>
            </w:r>
          </w:p>
          <w:p w:rsidR="00AD0098" w:rsidRPr="002A2ACE" w:rsidRDefault="00AD0098" w:rsidP="004E2D2D">
            <w:pPr>
              <w:pStyle w:val="Paraststmeklis"/>
              <w:tabs>
                <w:tab w:val="left" w:pos="993"/>
              </w:tabs>
              <w:ind w:right="11"/>
              <w:jc w:val="both"/>
            </w:pPr>
          </w:p>
        </w:tc>
        <w:tc>
          <w:tcPr>
            <w:tcW w:w="2410" w:type="dxa"/>
          </w:tcPr>
          <w:p w:rsidR="00AD0098" w:rsidRDefault="00AD0098" w:rsidP="004B1391">
            <w:pPr>
              <w:pStyle w:val="Parasts1"/>
              <w:jc w:val="both"/>
              <w:rPr>
                <w:b/>
              </w:rPr>
            </w:pPr>
            <w:r>
              <w:rPr>
                <w:b/>
              </w:rPr>
              <w:t>Ņemts vērā</w:t>
            </w:r>
            <w:r w:rsidR="00B0600C">
              <w:rPr>
                <w:b/>
              </w:rPr>
              <w:t>,</w:t>
            </w:r>
          </w:p>
          <w:p w:rsidR="00B0600C" w:rsidRPr="00B0600C" w:rsidRDefault="00B0600C" w:rsidP="004B1391">
            <w:pPr>
              <w:pStyle w:val="Parasts1"/>
              <w:jc w:val="both"/>
            </w:pPr>
            <w:r w:rsidRPr="00B0600C">
              <w:t>papildināta anotācija</w:t>
            </w:r>
          </w:p>
        </w:tc>
        <w:tc>
          <w:tcPr>
            <w:tcW w:w="3245" w:type="dxa"/>
          </w:tcPr>
          <w:p w:rsidR="00AD0098" w:rsidRDefault="00735E57" w:rsidP="00B0600C">
            <w:pPr>
              <w:pStyle w:val="Parasts1"/>
              <w:jc w:val="both"/>
              <w:rPr>
                <w:lang w:eastAsia="en-US"/>
              </w:rPr>
            </w:pPr>
            <w:r w:rsidRPr="00735E57">
              <w:rPr>
                <w:lang w:eastAsia="en-US"/>
              </w:rPr>
              <w:t xml:space="preserve">Tā kā daļu projektu saskaņā ar noteikumu Nr. 59 43.1., 43.2. un 43.3. apakšpunktu nav iespējams īstenot līdz 2020. gada beigām </w:t>
            </w:r>
            <w:proofErr w:type="spellStart"/>
            <w:r w:rsidRPr="00735E57">
              <w:rPr>
                <w:lang w:eastAsia="en-US"/>
              </w:rPr>
              <w:t>Covid-19</w:t>
            </w:r>
            <w:proofErr w:type="spellEnd"/>
            <w:r w:rsidRPr="00735E57">
              <w:rPr>
                <w:lang w:eastAsia="en-US"/>
              </w:rPr>
              <w:t xml:space="preserve"> ietekmes dēļ, jo tiek kavētas iekārtu un aprīkojuma piegādes no citām valstīm, projektu īstenošanas termiņš ir pagarināts līdz 2021. gada 1.jūnijam, paredzot iesniegt starppārskatu 2020.gadā (termiņu nosaka Lauku atbalsta dienests), lai varētu saņemt atlikušos 10% finansējuma projekta īstenošanai. Ja zinātniskās institūcijas neizlietos projektam piešķirto finansējumu 100%  apmērā, neizlietotā atbalsta summa tiks </w:t>
            </w:r>
            <w:proofErr w:type="spellStart"/>
            <w:r w:rsidRPr="00735E57">
              <w:rPr>
                <w:lang w:eastAsia="en-US"/>
              </w:rPr>
              <w:t>atgriesta</w:t>
            </w:r>
            <w:proofErr w:type="spellEnd"/>
            <w:r w:rsidRPr="00735E57">
              <w:rPr>
                <w:lang w:eastAsia="en-US"/>
              </w:rPr>
              <w:t xml:space="preserve"> Lauku atbalsta dienestam. Starppārskats satur informāciju par projektā jau īstenotajiem pasākumiem un  informāciju par tiem pasākumiem kurus plānots īstenot līdz 2021. gada 1.jūnijam</w:t>
            </w:r>
            <w:r w:rsidR="00B0600C" w:rsidRPr="00B0600C">
              <w:rPr>
                <w:lang w:eastAsia="en-US"/>
              </w:rPr>
              <w:t>.</w:t>
            </w:r>
          </w:p>
        </w:tc>
      </w:tr>
      <w:tr w:rsidR="009B3AE1" w:rsidTr="00A73F5E">
        <w:trPr>
          <w:tblCellSpacing w:w="0" w:type="dxa"/>
        </w:trPr>
        <w:tc>
          <w:tcPr>
            <w:tcW w:w="441" w:type="dxa"/>
          </w:tcPr>
          <w:p w:rsidR="009B3AE1" w:rsidRDefault="009B3AE1" w:rsidP="002C4AB3">
            <w:pPr>
              <w:pStyle w:val="Parasts1"/>
              <w:jc w:val="center"/>
            </w:pPr>
          </w:p>
        </w:tc>
        <w:tc>
          <w:tcPr>
            <w:tcW w:w="3260" w:type="dxa"/>
          </w:tcPr>
          <w:p w:rsidR="009B3AE1" w:rsidRPr="00B0600C" w:rsidRDefault="009B3AE1" w:rsidP="002B5542">
            <w:pPr>
              <w:jc w:val="both"/>
              <w:rPr>
                <w:sz w:val="24"/>
                <w:szCs w:val="24"/>
                <w:lang w:eastAsia="en-US"/>
              </w:rPr>
            </w:pPr>
          </w:p>
        </w:tc>
        <w:tc>
          <w:tcPr>
            <w:tcW w:w="4961" w:type="dxa"/>
          </w:tcPr>
          <w:p w:rsidR="009B3AE1" w:rsidRPr="009B3AE1" w:rsidRDefault="009B3AE1" w:rsidP="009B3AE1">
            <w:pPr>
              <w:pStyle w:val="Paraststmeklis"/>
              <w:tabs>
                <w:tab w:val="left" w:pos="993"/>
              </w:tabs>
              <w:ind w:right="11"/>
              <w:jc w:val="both"/>
              <w:rPr>
                <w:b/>
              </w:rPr>
            </w:pPr>
            <w:r w:rsidRPr="009B3AE1">
              <w:rPr>
                <w:b/>
              </w:rPr>
              <w:t>Finanšu ministrija (</w:t>
            </w:r>
            <w:r>
              <w:rPr>
                <w:b/>
              </w:rPr>
              <w:t>24</w:t>
            </w:r>
            <w:r w:rsidRPr="009B3AE1">
              <w:rPr>
                <w:b/>
              </w:rPr>
              <w:t>.11.2020.)</w:t>
            </w:r>
          </w:p>
        </w:tc>
        <w:tc>
          <w:tcPr>
            <w:tcW w:w="2410" w:type="dxa"/>
          </w:tcPr>
          <w:p w:rsidR="009B3AE1" w:rsidRDefault="009B3AE1" w:rsidP="004B1391">
            <w:pPr>
              <w:pStyle w:val="Parasts1"/>
              <w:jc w:val="both"/>
              <w:rPr>
                <w:b/>
              </w:rPr>
            </w:pPr>
          </w:p>
        </w:tc>
        <w:tc>
          <w:tcPr>
            <w:tcW w:w="3245" w:type="dxa"/>
          </w:tcPr>
          <w:p w:rsidR="009B3AE1" w:rsidRPr="00735E57" w:rsidRDefault="009B3AE1" w:rsidP="00B0600C">
            <w:pPr>
              <w:pStyle w:val="Parasts1"/>
              <w:jc w:val="both"/>
              <w:rPr>
                <w:lang w:eastAsia="en-US"/>
              </w:rPr>
            </w:pPr>
          </w:p>
        </w:tc>
      </w:tr>
      <w:tr w:rsidR="009B3AE1" w:rsidTr="00A73F5E">
        <w:trPr>
          <w:tblCellSpacing w:w="0" w:type="dxa"/>
        </w:trPr>
        <w:tc>
          <w:tcPr>
            <w:tcW w:w="441" w:type="dxa"/>
          </w:tcPr>
          <w:p w:rsidR="009B3AE1" w:rsidRDefault="009B3AE1" w:rsidP="002C4AB3">
            <w:pPr>
              <w:pStyle w:val="Parasts1"/>
              <w:jc w:val="center"/>
            </w:pPr>
            <w:r>
              <w:t>1.</w:t>
            </w:r>
          </w:p>
        </w:tc>
        <w:tc>
          <w:tcPr>
            <w:tcW w:w="3260" w:type="dxa"/>
          </w:tcPr>
          <w:p w:rsidR="009B3AE1" w:rsidRPr="00B0600C" w:rsidRDefault="009B3AE1" w:rsidP="002B5542">
            <w:pPr>
              <w:jc w:val="both"/>
              <w:rPr>
                <w:sz w:val="24"/>
                <w:szCs w:val="24"/>
                <w:lang w:eastAsia="en-US"/>
              </w:rPr>
            </w:pPr>
          </w:p>
        </w:tc>
        <w:tc>
          <w:tcPr>
            <w:tcW w:w="4961" w:type="dxa"/>
          </w:tcPr>
          <w:p w:rsidR="009B3AE1" w:rsidRPr="00300A63" w:rsidRDefault="00F11823" w:rsidP="004E2D2D">
            <w:pPr>
              <w:pStyle w:val="Paraststmeklis"/>
              <w:tabs>
                <w:tab w:val="left" w:pos="993"/>
              </w:tabs>
              <w:ind w:right="11"/>
              <w:jc w:val="both"/>
            </w:pPr>
            <w:r w:rsidRPr="00F11823">
              <w:t>Uzskatām, ka nav atbalstāmi noteikumu projekta 6.</w:t>
            </w:r>
            <w:r>
              <w:t xml:space="preserve"> </w:t>
            </w:r>
            <w:r w:rsidRPr="00F11823">
              <w:t>punktā paredzētie grozījumi, ņemot vērā, ka tie nosaka iespēju atbalsta saņēmējam atlikušos 10% finansējuma projekta īstenošanai saņemt, iesniedzot starppārskatu, kā arī izziņas II sadaļas 3.</w:t>
            </w:r>
            <w:r>
              <w:t xml:space="preserve"> </w:t>
            </w:r>
            <w:r w:rsidRPr="00F11823">
              <w:t>punktā Zemkopības ministrijas sniegto skaidrojumu, ka atlikušo finansējumu 10% apmērā plānots izmaksāt 2020.</w:t>
            </w:r>
            <w:r>
              <w:t xml:space="preserve"> </w:t>
            </w:r>
            <w:r w:rsidRPr="00F11823">
              <w:t>gadā par aktivitātēm, kas tiks veiktas tikai 2021.</w:t>
            </w:r>
            <w:r>
              <w:t xml:space="preserve"> </w:t>
            </w:r>
            <w:r w:rsidRPr="00F11823">
              <w:t>gadā, veidojot situāciju, ka atbalsta saņēmējs projekta finansējumu var saņemt 100% apmērā pirms projekta beigām.</w:t>
            </w:r>
          </w:p>
        </w:tc>
        <w:tc>
          <w:tcPr>
            <w:tcW w:w="2410" w:type="dxa"/>
          </w:tcPr>
          <w:p w:rsidR="009B3AE1" w:rsidRDefault="009B3AE1" w:rsidP="009B3AE1">
            <w:pPr>
              <w:pStyle w:val="Parasts1"/>
              <w:jc w:val="both"/>
              <w:rPr>
                <w:b/>
              </w:rPr>
            </w:pPr>
            <w:r>
              <w:rPr>
                <w:b/>
              </w:rPr>
              <w:t>Ņemts vērā,</w:t>
            </w:r>
          </w:p>
          <w:p w:rsidR="009B3AE1" w:rsidRDefault="009B3AE1" w:rsidP="009B3AE1">
            <w:pPr>
              <w:pStyle w:val="Parasts1"/>
              <w:jc w:val="both"/>
              <w:rPr>
                <w:b/>
              </w:rPr>
            </w:pPr>
            <w:r w:rsidRPr="00B0600C">
              <w:t>P</w:t>
            </w:r>
            <w:r>
              <w:t>recizēt</w:t>
            </w:r>
            <w:r w:rsidR="00F11823">
              <w:t>a informācija anotācijā</w:t>
            </w:r>
            <w:r>
              <w:t xml:space="preserve"> </w:t>
            </w:r>
            <w:r w:rsidRPr="00B0600C">
              <w:t>anotācija</w:t>
            </w:r>
          </w:p>
        </w:tc>
        <w:tc>
          <w:tcPr>
            <w:tcW w:w="3245" w:type="dxa"/>
          </w:tcPr>
          <w:p w:rsidR="009B3AE1" w:rsidRPr="00735E57" w:rsidRDefault="00F11823" w:rsidP="00B0600C">
            <w:pPr>
              <w:pStyle w:val="Parasts1"/>
              <w:jc w:val="both"/>
              <w:rPr>
                <w:lang w:eastAsia="en-US"/>
              </w:rPr>
            </w:pPr>
            <w:r w:rsidRPr="00F11823">
              <w:rPr>
                <w:lang w:eastAsia="en-US"/>
              </w:rPr>
              <w:t>Atbalsta pretendenti ir zinātniskās institūcijas, kuru pamatdarbība nav saistīta ar  saimniecisko darbību un tās negūst regulārus ieņēmumus, tādēļ tām ir ļoti grūti atrast brīvus finanšu līdzekļus, ko ieguldīt projekta pilnai realizācijai. Lai nodrošinātu piešķirtā finansējuma izlietojuma kontroli, pēc projekta realizācijas, zinātniskajām institūcijām Lauku atbalsta dienestā ir jāiesniedz samaksu apliecinošu dokumentu kopsavilkums par projekta ietvaros izlietoto finansējumu. Ja zinātniskās institūcijas neizlietos projektam piešķirto finansējumu 100%  apmērā, Lauku atbalsta dienests atprasīs neizlietoto finansējuma daļu no zinātniskās institūcijas, tā nodrošinot valsts atbalsta lietderīgu un attaisnotu izlietojumu.</w:t>
            </w:r>
          </w:p>
        </w:tc>
      </w:tr>
    </w:tbl>
    <w:p w:rsidR="00C8008D" w:rsidRDefault="00C8008D" w:rsidP="00A73F5E">
      <w:pPr>
        <w:pStyle w:val="Parasts1"/>
      </w:pPr>
    </w:p>
    <w:tbl>
      <w:tblPr>
        <w:tblW w:w="12121" w:type="dxa"/>
        <w:tblLayout w:type="fixed"/>
        <w:tblLook w:val="00A0" w:firstRow="1" w:lastRow="0" w:firstColumn="1" w:lastColumn="0" w:noHBand="0" w:noVBand="0"/>
      </w:tblPr>
      <w:tblGrid>
        <w:gridCol w:w="2469"/>
        <w:gridCol w:w="9652"/>
      </w:tblGrid>
      <w:tr w:rsidR="00C8008D" w:rsidRPr="00C8008D" w:rsidTr="008366F0">
        <w:trPr>
          <w:trHeight w:val="386"/>
        </w:trPr>
        <w:tc>
          <w:tcPr>
            <w:tcW w:w="2469" w:type="dxa"/>
          </w:tcPr>
          <w:p w:rsidR="00C8008D" w:rsidRPr="00C8008D" w:rsidRDefault="00C8008D" w:rsidP="00C8008D">
            <w:pPr>
              <w:rPr>
                <w:sz w:val="24"/>
                <w:szCs w:val="24"/>
              </w:rPr>
            </w:pPr>
            <w:r w:rsidRPr="00C8008D">
              <w:rPr>
                <w:sz w:val="24"/>
                <w:szCs w:val="24"/>
              </w:rPr>
              <w:t>Atbildīgā amatpersona</w:t>
            </w:r>
          </w:p>
        </w:tc>
        <w:tc>
          <w:tcPr>
            <w:tcW w:w="9652" w:type="dxa"/>
          </w:tcPr>
          <w:p w:rsidR="00C8008D" w:rsidRPr="00C8008D" w:rsidRDefault="00C8008D" w:rsidP="00C8008D">
            <w:pPr>
              <w:ind w:firstLine="720"/>
              <w:rPr>
                <w:sz w:val="24"/>
                <w:szCs w:val="24"/>
              </w:rPr>
            </w:pPr>
            <w:r w:rsidRPr="00C8008D">
              <w:rPr>
                <w:sz w:val="24"/>
                <w:szCs w:val="24"/>
              </w:rPr>
              <w:t>  </w:t>
            </w:r>
          </w:p>
        </w:tc>
      </w:tr>
      <w:tr w:rsidR="00C8008D" w:rsidRPr="00C8008D" w:rsidTr="008366F0">
        <w:trPr>
          <w:trHeight w:val="408"/>
        </w:trPr>
        <w:tc>
          <w:tcPr>
            <w:tcW w:w="2469" w:type="dxa"/>
          </w:tcPr>
          <w:p w:rsidR="00C8008D" w:rsidRPr="00C8008D" w:rsidRDefault="00C8008D" w:rsidP="00C8008D">
            <w:pPr>
              <w:rPr>
                <w:sz w:val="24"/>
                <w:szCs w:val="24"/>
              </w:rPr>
            </w:pPr>
          </w:p>
        </w:tc>
        <w:tc>
          <w:tcPr>
            <w:tcW w:w="9652" w:type="dxa"/>
            <w:tcBorders>
              <w:top w:val="single" w:sz="6" w:space="0" w:color="000000"/>
            </w:tcBorders>
          </w:tcPr>
          <w:p w:rsidR="00C8008D" w:rsidRPr="00C8008D" w:rsidRDefault="00C8008D" w:rsidP="00C8008D">
            <w:pPr>
              <w:ind w:firstLine="720"/>
              <w:jc w:val="center"/>
              <w:rPr>
                <w:sz w:val="24"/>
                <w:szCs w:val="24"/>
              </w:rPr>
            </w:pPr>
            <w:r w:rsidRPr="00C8008D">
              <w:rPr>
                <w:sz w:val="24"/>
                <w:szCs w:val="24"/>
              </w:rPr>
              <w:t>(paraksts*)</w:t>
            </w:r>
          </w:p>
        </w:tc>
      </w:tr>
    </w:tbl>
    <w:p w:rsidR="00C8008D" w:rsidRPr="00C8008D" w:rsidRDefault="00C8008D" w:rsidP="00C8008D">
      <w:pPr>
        <w:ind w:firstLine="720"/>
        <w:jc w:val="both"/>
        <w:rPr>
          <w:sz w:val="24"/>
          <w:szCs w:val="24"/>
        </w:rPr>
      </w:pPr>
      <w:r w:rsidRPr="00C8008D">
        <w:rPr>
          <w:sz w:val="24"/>
          <w:szCs w:val="24"/>
        </w:rPr>
        <w:t>Piezīme. * Dokumenta rekvizītu "paraksts" neaizpilda, ja elektroniskais dokuments ir sagatavots atbilstoši normatīvajiem aktiem par elektronisko dokumentu noformēšanu.</w:t>
      </w:r>
    </w:p>
    <w:p w:rsidR="00C8008D" w:rsidRPr="00C8008D" w:rsidRDefault="00C8008D" w:rsidP="00C8008D">
      <w:pPr>
        <w:ind w:firstLine="720"/>
        <w:jc w:val="both"/>
        <w:rPr>
          <w:sz w:val="32"/>
          <w:szCs w:val="24"/>
        </w:rPr>
      </w:pPr>
    </w:p>
    <w:p w:rsidR="00C8008D" w:rsidRPr="00C8008D" w:rsidRDefault="00C8008D" w:rsidP="00C8008D">
      <w:pPr>
        <w:ind w:firstLine="3402"/>
        <w:rPr>
          <w:rFonts w:eastAsia="Calibri"/>
          <w:sz w:val="32"/>
          <w:szCs w:val="24"/>
          <w:lang w:eastAsia="en-US"/>
        </w:rPr>
      </w:pPr>
      <w:r w:rsidRPr="00927C16">
        <w:rPr>
          <w:sz w:val="24"/>
        </w:rPr>
        <w:t>Linda Voiče</w:t>
      </w:r>
    </w:p>
    <w:tbl>
      <w:tblPr>
        <w:tblW w:w="0" w:type="auto"/>
        <w:tblLook w:val="00A0" w:firstRow="1" w:lastRow="0" w:firstColumn="1" w:lastColumn="0" w:noHBand="0" w:noVBand="0"/>
      </w:tblPr>
      <w:tblGrid>
        <w:gridCol w:w="8268"/>
      </w:tblGrid>
      <w:tr w:rsidR="00C8008D" w:rsidRPr="00C8008D" w:rsidTr="008366F0">
        <w:tc>
          <w:tcPr>
            <w:tcW w:w="8268" w:type="dxa"/>
            <w:tcBorders>
              <w:top w:val="single" w:sz="4" w:space="0" w:color="000000"/>
            </w:tcBorders>
          </w:tcPr>
          <w:p w:rsidR="00C8008D" w:rsidRPr="00C8008D" w:rsidRDefault="00C8008D" w:rsidP="00C8008D">
            <w:pPr>
              <w:jc w:val="center"/>
              <w:rPr>
                <w:sz w:val="24"/>
                <w:szCs w:val="24"/>
              </w:rPr>
            </w:pPr>
            <w:r w:rsidRPr="00C8008D">
              <w:rPr>
                <w:sz w:val="24"/>
                <w:szCs w:val="24"/>
              </w:rPr>
              <w:t>(par projektu atbildīgās amatpersonas vārds un uzvārds)</w:t>
            </w:r>
          </w:p>
          <w:p w:rsidR="00C8008D" w:rsidRPr="00C8008D" w:rsidRDefault="00C8008D" w:rsidP="00C8008D">
            <w:pPr>
              <w:jc w:val="center"/>
              <w:rPr>
                <w:sz w:val="24"/>
                <w:szCs w:val="24"/>
              </w:rPr>
            </w:pPr>
            <w:r>
              <w:rPr>
                <w:sz w:val="24"/>
                <w:szCs w:val="24"/>
              </w:rPr>
              <w:t>Lauku attīstības atbalsta departamenta Valsts atbalsta plānošanas nodaļas</w:t>
            </w:r>
          </w:p>
        </w:tc>
      </w:tr>
      <w:tr w:rsidR="00C8008D" w:rsidRPr="00C8008D" w:rsidTr="008366F0">
        <w:tc>
          <w:tcPr>
            <w:tcW w:w="8268" w:type="dxa"/>
            <w:tcBorders>
              <w:bottom w:val="single" w:sz="4" w:space="0" w:color="000000"/>
            </w:tcBorders>
          </w:tcPr>
          <w:p w:rsidR="00C8008D" w:rsidRPr="00C8008D" w:rsidRDefault="00C8008D" w:rsidP="00C8008D">
            <w:pPr>
              <w:jc w:val="center"/>
              <w:rPr>
                <w:rFonts w:eastAsia="Calibri"/>
                <w:sz w:val="24"/>
                <w:szCs w:val="24"/>
                <w:lang w:eastAsia="en-US"/>
              </w:rPr>
            </w:pPr>
            <w:r w:rsidRPr="00C8008D">
              <w:rPr>
                <w:rFonts w:eastAsia="Calibri"/>
                <w:sz w:val="24"/>
                <w:szCs w:val="24"/>
                <w:lang w:eastAsia="en-US"/>
              </w:rPr>
              <w:t>vecākā referente</w:t>
            </w:r>
          </w:p>
        </w:tc>
      </w:tr>
      <w:tr w:rsidR="00C8008D" w:rsidRPr="00C8008D" w:rsidTr="008366F0">
        <w:tc>
          <w:tcPr>
            <w:tcW w:w="8268" w:type="dxa"/>
            <w:tcBorders>
              <w:top w:val="single" w:sz="4" w:space="0" w:color="000000"/>
            </w:tcBorders>
          </w:tcPr>
          <w:p w:rsidR="00C8008D" w:rsidRPr="00C8008D" w:rsidRDefault="00C8008D" w:rsidP="00C8008D">
            <w:pPr>
              <w:jc w:val="center"/>
              <w:rPr>
                <w:sz w:val="24"/>
                <w:szCs w:val="24"/>
              </w:rPr>
            </w:pPr>
            <w:r w:rsidRPr="00C8008D">
              <w:rPr>
                <w:sz w:val="24"/>
                <w:szCs w:val="24"/>
              </w:rPr>
              <w:t>(amats)</w:t>
            </w:r>
          </w:p>
        </w:tc>
      </w:tr>
      <w:tr w:rsidR="00C8008D" w:rsidRPr="00C8008D" w:rsidTr="008366F0">
        <w:tc>
          <w:tcPr>
            <w:tcW w:w="8268" w:type="dxa"/>
            <w:tcBorders>
              <w:bottom w:val="single" w:sz="4" w:space="0" w:color="000000"/>
            </w:tcBorders>
          </w:tcPr>
          <w:p w:rsidR="00C8008D" w:rsidRPr="00C8008D" w:rsidRDefault="00C8008D" w:rsidP="00C8008D">
            <w:pPr>
              <w:jc w:val="center"/>
              <w:rPr>
                <w:sz w:val="24"/>
                <w:szCs w:val="24"/>
              </w:rPr>
            </w:pPr>
            <w:r w:rsidRPr="008C3358">
              <w:t> </w:t>
            </w:r>
            <w:r w:rsidRPr="00C8008D">
              <w:rPr>
                <w:sz w:val="24"/>
              </w:rPr>
              <w:t>tālr. 67027121; fakss: 67878722</w:t>
            </w:r>
          </w:p>
        </w:tc>
      </w:tr>
      <w:tr w:rsidR="00C8008D" w:rsidRPr="00C8008D" w:rsidTr="008366F0">
        <w:tc>
          <w:tcPr>
            <w:tcW w:w="8268" w:type="dxa"/>
            <w:tcBorders>
              <w:top w:val="single" w:sz="4" w:space="0" w:color="000000"/>
            </w:tcBorders>
          </w:tcPr>
          <w:p w:rsidR="00C8008D" w:rsidRPr="00C8008D" w:rsidRDefault="00C8008D" w:rsidP="00C8008D">
            <w:pPr>
              <w:jc w:val="center"/>
              <w:rPr>
                <w:sz w:val="24"/>
                <w:szCs w:val="24"/>
              </w:rPr>
            </w:pPr>
            <w:r w:rsidRPr="00C8008D">
              <w:rPr>
                <w:sz w:val="24"/>
                <w:szCs w:val="24"/>
              </w:rPr>
              <w:t>(tālruņa un faksa numurs)</w:t>
            </w:r>
          </w:p>
          <w:p w:rsidR="00C8008D" w:rsidRPr="00C8008D" w:rsidRDefault="00C8008D" w:rsidP="00C8008D">
            <w:pPr>
              <w:jc w:val="center"/>
              <w:rPr>
                <w:sz w:val="24"/>
                <w:szCs w:val="24"/>
              </w:rPr>
            </w:pPr>
          </w:p>
        </w:tc>
      </w:tr>
      <w:tr w:rsidR="00C8008D" w:rsidRPr="00C8008D" w:rsidTr="008366F0">
        <w:tc>
          <w:tcPr>
            <w:tcW w:w="8268" w:type="dxa"/>
            <w:tcBorders>
              <w:bottom w:val="single" w:sz="4" w:space="0" w:color="000000"/>
            </w:tcBorders>
          </w:tcPr>
          <w:p w:rsidR="00C8008D" w:rsidRPr="00C8008D" w:rsidRDefault="00C8008D" w:rsidP="00C8008D">
            <w:pPr>
              <w:jc w:val="center"/>
              <w:rPr>
                <w:sz w:val="24"/>
                <w:szCs w:val="24"/>
              </w:rPr>
            </w:pPr>
            <w:r w:rsidRPr="00C8008D">
              <w:rPr>
                <w:sz w:val="24"/>
              </w:rPr>
              <w:t>Linda.Voice@zm.gov.lv</w:t>
            </w:r>
          </w:p>
        </w:tc>
        <w:bookmarkStart w:id="0" w:name="_GoBack"/>
        <w:bookmarkEnd w:id="0"/>
      </w:tr>
      <w:tr w:rsidR="00C8008D" w:rsidRPr="00C8008D" w:rsidTr="008366F0">
        <w:trPr>
          <w:trHeight w:val="70"/>
        </w:trPr>
        <w:tc>
          <w:tcPr>
            <w:tcW w:w="8268" w:type="dxa"/>
            <w:tcBorders>
              <w:top w:val="single" w:sz="4" w:space="0" w:color="000000"/>
            </w:tcBorders>
          </w:tcPr>
          <w:p w:rsidR="00C8008D" w:rsidRPr="00C8008D" w:rsidRDefault="00C8008D" w:rsidP="00C8008D">
            <w:pPr>
              <w:jc w:val="center"/>
              <w:rPr>
                <w:sz w:val="24"/>
                <w:szCs w:val="24"/>
              </w:rPr>
            </w:pPr>
            <w:r w:rsidRPr="00C8008D">
              <w:rPr>
                <w:sz w:val="24"/>
                <w:szCs w:val="24"/>
              </w:rPr>
              <w:t>(e-pasta adrese)</w:t>
            </w:r>
          </w:p>
        </w:tc>
      </w:tr>
    </w:tbl>
    <w:p w:rsidR="00C8008D" w:rsidRPr="00C8008D" w:rsidRDefault="00C8008D" w:rsidP="00C8008D">
      <w:pPr>
        <w:jc w:val="both"/>
        <w:rPr>
          <w:rFonts w:eastAsia="Calibri"/>
          <w:sz w:val="24"/>
          <w:szCs w:val="24"/>
          <w:lang w:eastAsia="en-US"/>
        </w:rPr>
      </w:pPr>
    </w:p>
    <w:p w:rsidR="00C8008D" w:rsidRDefault="00C8008D" w:rsidP="00A73F5E">
      <w:pPr>
        <w:pStyle w:val="Parasts1"/>
      </w:pPr>
    </w:p>
    <w:sectPr w:rsidR="00C8008D" w:rsidSect="00C8008D">
      <w:headerReference w:type="even" r:id="rId8"/>
      <w:headerReference w:type="default" r:id="rId9"/>
      <w:footerReference w:type="default" r:id="rId10"/>
      <w:footerReference w:type="first" r:id="rId11"/>
      <w:pgSz w:w="16838" w:h="11906" w:orient="landscape" w:code="9"/>
      <w:pgMar w:top="1701" w:right="1418"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33E" w:rsidRDefault="0053733E">
      <w:pPr>
        <w:pStyle w:val="Parasts1"/>
      </w:pPr>
      <w:r>
        <w:separator/>
      </w:r>
    </w:p>
  </w:endnote>
  <w:endnote w:type="continuationSeparator" w:id="0">
    <w:p w:rsidR="0053733E" w:rsidRDefault="0053733E">
      <w:pPr>
        <w:pStyle w:val="Parast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Sitka Small"/>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E2" w:rsidRPr="00C8008D" w:rsidRDefault="00C8008D" w:rsidP="00C8008D">
    <w:pPr>
      <w:pStyle w:val="Kjene"/>
    </w:pPr>
    <w:r w:rsidRPr="00C8008D">
      <w:rPr>
        <w:sz w:val="20"/>
        <w:szCs w:val="20"/>
      </w:rPr>
      <w:t>ZMizz_241120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E2" w:rsidRPr="00C8008D" w:rsidRDefault="00C8008D" w:rsidP="00C8008D">
    <w:pPr>
      <w:pStyle w:val="Kjene"/>
    </w:pPr>
    <w:r w:rsidRPr="00C8008D">
      <w:rPr>
        <w:sz w:val="20"/>
        <w:szCs w:val="20"/>
      </w:rPr>
      <w:t>ZMizz_241120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33E" w:rsidRDefault="0053733E">
      <w:pPr>
        <w:pStyle w:val="Parasts1"/>
      </w:pPr>
      <w:r>
        <w:separator/>
      </w:r>
    </w:p>
  </w:footnote>
  <w:footnote w:type="continuationSeparator" w:id="0">
    <w:p w:rsidR="0053733E" w:rsidRDefault="0053733E">
      <w:pPr>
        <w:pStyle w:val="Parasts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E2" w:rsidRDefault="003A58C3" w:rsidP="006F6BC5">
    <w:pPr>
      <w:pStyle w:val="Galvene"/>
      <w:framePr w:wrap="around" w:vAnchor="text" w:hAnchor="margin" w:xAlign="center" w:y="1"/>
      <w:rPr>
        <w:rStyle w:val="Lappusesnumurs"/>
      </w:rPr>
    </w:pPr>
    <w:r>
      <w:rPr>
        <w:rStyle w:val="Lappusesnumurs"/>
      </w:rPr>
      <w:fldChar w:fldCharType="begin"/>
    </w:r>
    <w:r w:rsidR="00B962E2">
      <w:rPr>
        <w:rStyle w:val="Lappusesnumurs"/>
      </w:rPr>
      <w:instrText xml:space="preserve">PAGE  </w:instrText>
    </w:r>
    <w:r>
      <w:rPr>
        <w:rStyle w:val="Lappusesnumurs"/>
      </w:rPr>
      <w:fldChar w:fldCharType="end"/>
    </w:r>
  </w:p>
  <w:p w:rsidR="00B962E2" w:rsidRDefault="00B962E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E2" w:rsidRDefault="003A58C3" w:rsidP="006F6BC5">
    <w:pPr>
      <w:pStyle w:val="Galvene"/>
      <w:framePr w:wrap="around" w:vAnchor="text" w:hAnchor="margin" w:xAlign="center" w:y="1"/>
      <w:rPr>
        <w:rStyle w:val="Lappusesnumurs"/>
      </w:rPr>
    </w:pPr>
    <w:r>
      <w:rPr>
        <w:rStyle w:val="Lappusesnumurs"/>
      </w:rPr>
      <w:fldChar w:fldCharType="begin"/>
    </w:r>
    <w:r w:rsidR="00B962E2">
      <w:rPr>
        <w:rStyle w:val="Lappusesnumurs"/>
      </w:rPr>
      <w:instrText xml:space="preserve">PAGE  </w:instrText>
    </w:r>
    <w:r>
      <w:rPr>
        <w:rStyle w:val="Lappusesnumurs"/>
      </w:rPr>
      <w:fldChar w:fldCharType="separate"/>
    </w:r>
    <w:r w:rsidR="00C25CF3">
      <w:rPr>
        <w:rStyle w:val="Lappusesnumurs"/>
        <w:noProof/>
      </w:rPr>
      <w:t>2</w:t>
    </w:r>
    <w:r>
      <w:rPr>
        <w:rStyle w:val="Lappusesnumurs"/>
      </w:rPr>
      <w:fldChar w:fldCharType="end"/>
    </w:r>
  </w:p>
  <w:p w:rsidR="00B962E2" w:rsidRDefault="00B962E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F15"/>
    <w:multiLevelType w:val="hybridMultilevel"/>
    <w:tmpl w:val="6B4EF13E"/>
    <w:lvl w:ilvl="0" w:tplc="DEB8B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5FA7766"/>
    <w:multiLevelType w:val="hybridMultilevel"/>
    <w:tmpl w:val="C25E3FB8"/>
    <w:lvl w:ilvl="0" w:tplc="BA9ECA42">
      <w:start w:val="2"/>
      <w:numFmt w:val="decimal"/>
      <w:lvlText w:val="%1."/>
      <w:lvlJc w:val="left"/>
      <w:pPr>
        <w:ind w:left="1084" w:hanging="360"/>
      </w:pPr>
      <w:rPr>
        <w:rFonts w:hint="default"/>
        <w:color w:val="000000"/>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2" w15:restartNumberingAfterBreak="0">
    <w:nsid w:val="078C26F4"/>
    <w:multiLevelType w:val="hybridMultilevel"/>
    <w:tmpl w:val="031EDB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F75BE9"/>
    <w:multiLevelType w:val="hybridMultilevel"/>
    <w:tmpl w:val="97F41940"/>
    <w:lvl w:ilvl="0" w:tplc="9698DED8">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099655E"/>
    <w:multiLevelType w:val="hybridMultilevel"/>
    <w:tmpl w:val="05503F9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144A01F5"/>
    <w:multiLevelType w:val="hybridMultilevel"/>
    <w:tmpl w:val="9CF27C7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162251D7"/>
    <w:multiLevelType w:val="multilevel"/>
    <w:tmpl w:val="A7C6C7CC"/>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15:restartNumberingAfterBreak="0">
    <w:nsid w:val="16415EB1"/>
    <w:multiLevelType w:val="hybridMultilevel"/>
    <w:tmpl w:val="96364042"/>
    <w:lvl w:ilvl="0" w:tplc="A3547E1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18A6498B"/>
    <w:multiLevelType w:val="hybridMultilevel"/>
    <w:tmpl w:val="897001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0577EF"/>
    <w:multiLevelType w:val="hybridMultilevel"/>
    <w:tmpl w:val="55AC11BE"/>
    <w:lvl w:ilvl="0" w:tplc="538ECDE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1EF00229"/>
    <w:multiLevelType w:val="hybridMultilevel"/>
    <w:tmpl w:val="3108665E"/>
    <w:lvl w:ilvl="0" w:tplc="8CDC53F4">
      <w:start w:val="10"/>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D9027F"/>
    <w:multiLevelType w:val="hybridMultilevel"/>
    <w:tmpl w:val="D38895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6B4FF0"/>
    <w:multiLevelType w:val="hybridMultilevel"/>
    <w:tmpl w:val="E7566A4A"/>
    <w:lvl w:ilvl="0" w:tplc="2AFA1110">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3" w15:restartNumberingAfterBreak="0">
    <w:nsid w:val="21090B53"/>
    <w:multiLevelType w:val="hybridMultilevel"/>
    <w:tmpl w:val="7062C3F6"/>
    <w:lvl w:ilvl="0" w:tplc="2F4CEEFA">
      <w:start w:val="1"/>
      <w:numFmt w:val="decimal"/>
      <w:lvlText w:val="%1."/>
      <w:lvlJc w:val="left"/>
      <w:pPr>
        <w:ind w:left="1495"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4" w15:restartNumberingAfterBreak="0">
    <w:nsid w:val="21673236"/>
    <w:multiLevelType w:val="hybridMultilevel"/>
    <w:tmpl w:val="F632A18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23040810"/>
    <w:multiLevelType w:val="hybridMultilevel"/>
    <w:tmpl w:val="2044346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3E5539"/>
    <w:multiLevelType w:val="hybridMultilevel"/>
    <w:tmpl w:val="A73A065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493AFA"/>
    <w:multiLevelType w:val="hybridMultilevel"/>
    <w:tmpl w:val="9FFE6D2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2CF616D1"/>
    <w:multiLevelType w:val="hybridMultilevel"/>
    <w:tmpl w:val="4B542D88"/>
    <w:lvl w:ilvl="0" w:tplc="9E2C75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CFC027E"/>
    <w:multiLevelType w:val="hybridMultilevel"/>
    <w:tmpl w:val="14AC6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256A7F"/>
    <w:multiLevelType w:val="multilevel"/>
    <w:tmpl w:val="F85A1D10"/>
    <w:lvl w:ilvl="0">
      <w:start w:val="1"/>
      <w:numFmt w:val="decimal"/>
      <w:lvlText w:val="%1."/>
      <w:lvlJc w:val="left"/>
      <w:pPr>
        <w:ind w:left="720" w:hanging="360"/>
      </w:pPr>
      <w:rPr>
        <w:rFonts w:hint="default"/>
      </w:rPr>
    </w:lvl>
    <w:lvl w:ilvl="1">
      <w:start w:val="1"/>
      <w:numFmt w:val="decimal"/>
      <w:isLgl/>
      <w:lvlText w:val="%1.%2."/>
      <w:lvlJc w:val="left"/>
      <w:pPr>
        <w:ind w:left="1063" w:hanging="495"/>
      </w:pPr>
      <w:rPr>
        <w:rFonts w:ascii="Times New Roman" w:hAnsi="Times New Roman" w:cs="Times New Roman" w:hint="default"/>
        <w:sz w:val="28"/>
        <w:szCs w:val="28"/>
      </w:rPr>
    </w:lvl>
    <w:lvl w:ilvl="2">
      <w:start w:val="1"/>
      <w:numFmt w:val="decimal"/>
      <w:isLgl/>
      <w:lvlText w:val="%1.%2.%3."/>
      <w:lvlJc w:val="left"/>
      <w:pPr>
        <w:ind w:left="1080" w:hanging="720"/>
      </w:pPr>
      <w:rPr>
        <w:rFonts w:ascii="Times New Roman" w:hAnsi="Times New Roman" w:cs="Times New Roman" w:hint="default"/>
        <w:sz w:val="28"/>
        <w:szCs w:val="28"/>
      </w:rPr>
    </w:lvl>
    <w:lvl w:ilvl="3">
      <w:start w:val="1"/>
      <w:numFmt w:val="decimal"/>
      <w:isLgl/>
      <w:lvlText w:val="%1.%2.%3.%4."/>
      <w:lvlJc w:val="left"/>
      <w:pPr>
        <w:ind w:left="1080" w:hanging="720"/>
      </w:pPr>
      <w:rPr>
        <w:rFonts w:ascii="Verdana" w:hAnsi="Verdana" w:hint="default"/>
        <w:sz w:val="18"/>
      </w:rPr>
    </w:lvl>
    <w:lvl w:ilvl="4">
      <w:start w:val="1"/>
      <w:numFmt w:val="decimal"/>
      <w:isLgl/>
      <w:lvlText w:val="%1.%2.%3.%4.%5."/>
      <w:lvlJc w:val="left"/>
      <w:pPr>
        <w:ind w:left="1440" w:hanging="1080"/>
      </w:pPr>
      <w:rPr>
        <w:rFonts w:ascii="Verdana" w:hAnsi="Verdana" w:hint="default"/>
        <w:sz w:val="18"/>
      </w:rPr>
    </w:lvl>
    <w:lvl w:ilvl="5">
      <w:start w:val="1"/>
      <w:numFmt w:val="decimal"/>
      <w:isLgl/>
      <w:lvlText w:val="%1.%2.%3.%4.%5.%6."/>
      <w:lvlJc w:val="left"/>
      <w:pPr>
        <w:ind w:left="1440" w:hanging="1080"/>
      </w:pPr>
      <w:rPr>
        <w:rFonts w:ascii="Verdana" w:hAnsi="Verdana" w:hint="default"/>
        <w:sz w:val="18"/>
      </w:rPr>
    </w:lvl>
    <w:lvl w:ilvl="6">
      <w:start w:val="1"/>
      <w:numFmt w:val="decimal"/>
      <w:isLgl/>
      <w:lvlText w:val="%1.%2.%3.%4.%5.%6.%7."/>
      <w:lvlJc w:val="left"/>
      <w:pPr>
        <w:ind w:left="1800" w:hanging="1440"/>
      </w:pPr>
      <w:rPr>
        <w:rFonts w:ascii="Verdana" w:hAnsi="Verdana" w:hint="default"/>
        <w:sz w:val="18"/>
      </w:rPr>
    </w:lvl>
    <w:lvl w:ilvl="7">
      <w:start w:val="1"/>
      <w:numFmt w:val="decimal"/>
      <w:isLgl/>
      <w:lvlText w:val="%1.%2.%3.%4.%5.%6.%7.%8."/>
      <w:lvlJc w:val="left"/>
      <w:pPr>
        <w:ind w:left="1800" w:hanging="1440"/>
      </w:pPr>
      <w:rPr>
        <w:rFonts w:ascii="Verdana" w:hAnsi="Verdana" w:hint="default"/>
        <w:sz w:val="18"/>
      </w:rPr>
    </w:lvl>
    <w:lvl w:ilvl="8">
      <w:start w:val="1"/>
      <w:numFmt w:val="decimal"/>
      <w:isLgl/>
      <w:lvlText w:val="%1.%2.%3.%4.%5.%6.%7.%8.%9."/>
      <w:lvlJc w:val="left"/>
      <w:pPr>
        <w:ind w:left="2160" w:hanging="1800"/>
      </w:pPr>
      <w:rPr>
        <w:rFonts w:ascii="Verdana" w:hAnsi="Verdana" w:hint="default"/>
        <w:sz w:val="18"/>
      </w:rPr>
    </w:lvl>
  </w:abstractNum>
  <w:abstractNum w:abstractNumId="21" w15:restartNumberingAfterBreak="0">
    <w:nsid w:val="33E764DE"/>
    <w:multiLevelType w:val="hybridMultilevel"/>
    <w:tmpl w:val="87B472FA"/>
    <w:lvl w:ilvl="0" w:tplc="A34C2C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37740C4C"/>
    <w:multiLevelType w:val="hybridMultilevel"/>
    <w:tmpl w:val="346C5AD6"/>
    <w:lvl w:ilvl="0" w:tplc="3D32324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3AA1778F"/>
    <w:multiLevelType w:val="hybridMultilevel"/>
    <w:tmpl w:val="E9A4E2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47A83989"/>
    <w:multiLevelType w:val="hybridMultilevel"/>
    <w:tmpl w:val="126C0DF8"/>
    <w:lvl w:ilvl="0" w:tplc="DCCE8A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9A91A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9212B3"/>
    <w:multiLevelType w:val="hybridMultilevel"/>
    <w:tmpl w:val="AF6AF14E"/>
    <w:lvl w:ilvl="0" w:tplc="BAF4B224">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7" w15:restartNumberingAfterBreak="0">
    <w:nsid w:val="4DD07CC0"/>
    <w:multiLevelType w:val="hybridMultilevel"/>
    <w:tmpl w:val="564C2A42"/>
    <w:lvl w:ilvl="0" w:tplc="5CCC751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8" w15:restartNumberingAfterBreak="0">
    <w:nsid w:val="50D70731"/>
    <w:multiLevelType w:val="hybridMultilevel"/>
    <w:tmpl w:val="B20AA0DA"/>
    <w:lvl w:ilvl="0" w:tplc="E368B770">
      <w:start w:val="1"/>
      <w:numFmt w:val="decimal"/>
      <w:lvlText w:val="%1)"/>
      <w:lvlJc w:val="left"/>
      <w:pPr>
        <w:ind w:left="761" w:hanging="360"/>
      </w:pPr>
      <w:rPr>
        <w:rFonts w:hint="default"/>
      </w:rPr>
    </w:lvl>
    <w:lvl w:ilvl="1" w:tplc="04260019" w:tentative="1">
      <w:start w:val="1"/>
      <w:numFmt w:val="lowerLetter"/>
      <w:lvlText w:val="%2."/>
      <w:lvlJc w:val="left"/>
      <w:pPr>
        <w:ind w:left="1481" w:hanging="360"/>
      </w:pPr>
    </w:lvl>
    <w:lvl w:ilvl="2" w:tplc="0426001B" w:tentative="1">
      <w:start w:val="1"/>
      <w:numFmt w:val="lowerRoman"/>
      <w:lvlText w:val="%3."/>
      <w:lvlJc w:val="right"/>
      <w:pPr>
        <w:ind w:left="2201" w:hanging="180"/>
      </w:pPr>
    </w:lvl>
    <w:lvl w:ilvl="3" w:tplc="0426000F" w:tentative="1">
      <w:start w:val="1"/>
      <w:numFmt w:val="decimal"/>
      <w:lvlText w:val="%4."/>
      <w:lvlJc w:val="left"/>
      <w:pPr>
        <w:ind w:left="2921" w:hanging="360"/>
      </w:pPr>
    </w:lvl>
    <w:lvl w:ilvl="4" w:tplc="04260019" w:tentative="1">
      <w:start w:val="1"/>
      <w:numFmt w:val="lowerLetter"/>
      <w:lvlText w:val="%5."/>
      <w:lvlJc w:val="left"/>
      <w:pPr>
        <w:ind w:left="3641" w:hanging="360"/>
      </w:pPr>
    </w:lvl>
    <w:lvl w:ilvl="5" w:tplc="0426001B" w:tentative="1">
      <w:start w:val="1"/>
      <w:numFmt w:val="lowerRoman"/>
      <w:lvlText w:val="%6."/>
      <w:lvlJc w:val="right"/>
      <w:pPr>
        <w:ind w:left="4361" w:hanging="180"/>
      </w:pPr>
    </w:lvl>
    <w:lvl w:ilvl="6" w:tplc="0426000F" w:tentative="1">
      <w:start w:val="1"/>
      <w:numFmt w:val="decimal"/>
      <w:lvlText w:val="%7."/>
      <w:lvlJc w:val="left"/>
      <w:pPr>
        <w:ind w:left="5081" w:hanging="360"/>
      </w:pPr>
    </w:lvl>
    <w:lvl w:ilvl="7" w:tplc="04260019" w:tentative="1">
      <w:start w:val="1"/>
      <w:numFmt w:val="lowerLetter"/>
      <w:lvlText w:val="%8."/>
      <w:lvlJc w:val="left"/>
      <w:pPr>
        <w:ind w:left="5801" w:hanging="360"/>
      </w:pPr>
    </w:lvl>
    <w:lvl w:ilvl="8" w:tplc="0426001B" w:tentative="1">
      <w:start w:val="1"/>
      <w:numFmt w:val="lowerRoman"/>
      <w:lvlText w:val="%9."/>
      <w:lvlJc w:val="right"/>
      <w:pPr>
        <w:ind w:left="6521" w:hanging="180"/>
      </w:pPr>
    </w:lvl>
  </w:abstractNum>
  <w:abstractNum w:abstractNumId="29" w15:restartNumberingAfterBreak="0">
    <w:nsid w:val="521115A0"/>
    <w:multiLevelType w:val="hybridMultilevel"/>
    <w:tmpl w:val="3AA2B89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213724E"/>
    <w:multiLevelType w:val="hybridMultilevel"/>
    <w:tmpl w:val="6592E940"/>
    <w:lvl w:ilvl="0" w:tplc="647666DC">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3FD5D89"/>
    <w:multiLevelType w:val="hybridMultilevel"/>
    <w:tmpl w:val="05503F9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2" w15:restartNumberingAfterBreak="0">
    <w:nsid w:val="622F7EF7"/>
    <w:multiLevelType w:val="hybridMultilevel"/>
    <w:tmpl w:val="1676F3B4"/>
    <w:lvl w:ilvl="0" w:tplc="0426000F">
      <w:start w:val="1"/>
      <w:numFmt w:val="decimal"/>
      <w:lvlText w:val="%1."/>
      <w:lvlJc w:val="left"/>
      <w:pPr>
        <w:ind w:left="720" w:hanging="360"/>
      </w:pPr>
    </w:lvl>
    <w:lvl w:ilvl="1" w:tplc="607CE174">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676124F"/>
    <w:multiLevelType w:val="hybridMultilevel"/>
    <w:tmpl w:val="05503F9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4" w15:restartNumberingAfterBreak="0">
    <w:nsid w:val="66A8177B"/>
    <w:multiLevelType w:val="hybridMultilevel"/>
    <w:tmpl w:val="8CA633C8"/>
    <w:lvl w:ilvl="0" w:tplc="ED348526">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B310C1B"/>
    <w:multiLevelType w:val="hybridMultilevel"/>
    <w:tmpl w:val="C25E3FB8"/>
    <w:lvl w:ilvl="0" w:tplc="BA9ECA42">
      <w:start w:val="2"/>
      <w:numFmt w:val="decimal"/>
      <w:lvlText w:val="%1."/>
      <w:lvlJc w:val="left"/>
      <w:pPr>
        <w:ind w:left="1084" w:hanging="360"/>
      </w:pPr>
      <w:rPr>
        <w:rFonts w:hint="default"/>
        <w:color w:val="000000"/>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36" w15:restartNumberingAfterBreak="0">
    <w:nsid w:val="77677B7B"/>
    <w:multiLevelType w:val="hybridMultilevel"/>
    <w:tmpl w:val="CFB28C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A363C39"/>
    <w:multiLevelType w:val="hybridMultilevel"/>
    <w:tmpl w:val="031EDB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B9E3087"/>
    <w:multiLevelType w:val="hybridMultilevel"/>
    <w:tmpl w:val="5E8459CC"/>
    <w:lvl w:ilvl="0" w:tplc="07E08DAA">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7F3B5A73"/>
    <w:multiLevelType w:val="hybridMultilevel"/>
    <w:tmpl w:val="0F184D2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37"/>
  </w:num>
  <w:num w:numId="5">
    <w:abstractNumId w:val="5"/>
  </w:num>
  <w:num w:numId="6">
    <w:abstractNumId w:val="2"/>
  </w:num>
  <w:num w:numId="7">
    <w:abstractNumId w:val="31"/>
  </w:num>
  <w:num w:numId="8">
    <w:abstractNumId w:val="33"/>
  </w:num>
  <w:num w:numId="9">
    <w:abstractNumId w:val="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0"/>
  </w:num>
  <w:num w:numId="14">
    <w:abstractNumId w:val="29"/>
  </w:num>
  <w:num w:numId="15">
    <w:abstractNumId w:val="24"/>
  </w:num>
  <w:num w:numId="16">
    <w:abstractNumId w:val="32"/>
  </w:num>
  <w:num w:numId="17">
    <w:abstractNumId w:val="3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5"/>
  </w:num>
  <w:num w:numId="21">
    <w:abstractNumId w:val="1"/>
  </w:num>
  <w:num w:numId="22">
    <w:abstractNumId w:val="7"/>
  </w:num>
  <w:num w:numId="23">
    <w:abstractNumId w:val="28"/>
  </w:num>
  <w:num w:numId="24">
    <w:abstractNumId w:val="25"/>
  </w:num>
  <w:num w:numId="25">
    <w:abstractNumId w:val="38"/>
  </w:num>
  <w:num w:numId="26">
    <w:abstractNumId w:val="15"/>
  </w:num>
  <w:num w:numId="27">
    <w:abstractNumId w:val="10"/>
  </w:num>
  <w:num w:numId="28">
    <w:abstractNumId w:val="20"/>
  </w:num>
  <w:num w:numId="29">
    <w:abstractNumId w:val="6"/>
  </w:num>
  <w:num w:numId="30">
    <w:abstractNumId w:val="27"/>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1"/>
  </w:num>
  <w:num w:numId="38">
    <w:abstractNumId w:val="0"/>
  </w:num>
  <w:num w:numId="39">
    <w:abstractNumId w:val="11"/>
  </w:num>
  <w:num w:numId="40">
    <w:abstractNumId w:val="19"/>
  </w:num>
  <w:num w:numId="41">
    <w:abstractNumId w:val="39"/>
  </w:num>
  <w:num w:numId="42">
    <w:abstractNumId w:val="34"/>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2C4AB3"/>
    <w:rsid w:val="000143AC"/>
    <w:rsid w:val="000209CF"/>
    <w:rsid w:val="00021BAB"/>
    <w:rsid w:val="0002257D"/>
    <w:rsid w:val="00023B79"/>
    <w:rsid w:val="000255D5"/>
    <w:rsid w:val="0003201B"/>
    <w:rsid w:val="0003415E"/>
    <w:rsid w:val="000344B9"/>
    <w:rsid w:val="00037398"/>
    <w:rsid w:val="0004021A"/>
    <w:rsid w:val="000407C0"/>
    <w:rsid w:val="0005086D"/>
    <w:rsid w:val="00050D2A"/>
    <w:rsid w:val="00054DEB"/>
    <w:rsid w:val="00055E5F"/>
    <w:rsid w:val="00063788"/>
    <w:rsid w:val="00066005"/>
    <w:rsid w:val="00070E7F"/>
    <w:rsid w:val="00072C64"/>
    <w:rsid w:val="000733EE"/>
    <w:rsid w:val="000850CA"/>
    <w:rsid w:val="000873E6"/>
    <w:rsid w:val="00087814"/>
    <w:rsid w:val="00091EEA"/>
    <w:rsid w:val="0009351F"/>
    <w:rsid w:val="00093703"/>
    <w:rsid w:val="000953A9"/>
    <w:rsid w:val="000B0745"/>
    <w:rsid w:val="000B55A0"/>
    <w:rsid w:val="000C2DAE"/>
    <w:rsid w:val="000C5057"/>
    <w:rsid w:val="000C7787"/>
    <w:rsid w:val="000D2D90"/>
    <w:rsid w:val="000D42E7"/>
    <w:rsid w:val="000D4C21"/>
    <w:rsid w:val="000D78F0"/>
    <w:rsid w:val="000D793A"/>
    <w:rsid w:val="000E35C1"/>
    <w:rsid w:val="000E35F6"/>
    <w:rsid w:val="000E42BB"/>
    <w:rsid w:val="000F053C"/>
    <w:rsid w:val="000F4229"/>
    <w:rsid w:val="000F7B59"/>
    <w:rsid w:val="00107D72"/>
    <w:rsid w:val="0011035C"/>
    <w:rsid w:val="0011169C"/>
    <w:rsid w:val="00114EFB"/>
    <w:rsid w:val="00120B01"/>
    <w:rsid w:val="00130C06"/>
    <w:rsid w:val="00133061"/>
    <w:rsid w:val="00135703"/>
    <w:rsid w:val="00143806"/>
    <w:rsid w:val="001473AC"/>
    <w:rsid w:val="00147E13"/>
    <w:rsid w:val="001506BE"/>
    <w:rsid w:val="00162F5D"/>
    <w:rsid w:val="00165E45"/>
    <w:rsid w:val="00167211"/>
    <w:rsid w:val="00180D2B"/>
    <w:rsid w:val="00187DB2"/>
    <w:rsid w:val="00195D94"/>
    <w:rsid w:val="00195F2C"/>
    <w:rsid w:val="00197C96"/>
    <w:rsid w:val="001A3AA6"/>
    <w:rsid w:val="001A57B7"/>
    <w:rsid w:val="001A6488"/>
    <w:rsid w:val="001B02A2"/>
    <w:rsid w:val="001B0B31"/>
    <w:rsid w:val="001B2F72"/>
    <w:rsid w:val="001B3D76"/>
    <w:rsid w:val="001C3146"/>
    <w:rsid w:val="001C404E"/>
    <w:rsid w:val="001C483D"/>
    <w:rsid w:val="001D068C"/>
    <w:rsid w:val="001D0C02"/>
    <w:rsid w:val="001D3712"/>
    <w:rsid w:val="001D383C"/>
    <w:rsid w:val="001D3964"/>
    <w:rsid w:val="001E61BD"/>
    <w:rsid w:val="001F0A73"/>
    <w:rsid w:val="001F2B65"/>
    <w:rsid w:val="001F6469"/>
    <w:rsid w:val="00201EE0"/>
    <w:rsid w:val="0020476C"/>
    <w:rsid w:val="002068C5"/>
    <w:rsid w:val="00210078"/>
    <w:rsid w:val="002162E8"/>
    <w:rsid w:val="0022049B"/>
    <w:rsid w:val="00225A6F"/>
    <w:rsid w:val="00227859"/>
    <w:rsid w:val="002305B5"/>
    <w:rsid w:val="00232543"/>
    <w:rsid w:val="0025412E"/>
    <w:rsid w:val="00262F05"/>
    <w:rsid w:val="0027057B"/>
    <w:rsid w:val="00275E91"/>
    <w:rsid w:val="002879C5"/>
    <w:rsid w:val="00295DD3"/>
    <w:rsid w:val="002A2046"/>
    <w:rsid w:val="002A2ACE"/>
    <w:rsid w:val="002A5995"/>
    <w:rsid w:val="002A663C"/>
    <w:rsid w:val="002A7A89"/>
    <w:rsid w:val="002B156F"/>
    <w:rsid w:val="002B17D7"/>
    <w:rsid w:val="002B1D75"/>
    <w:rsid w:val="002B3673"/>
    <w:rsid w:val="002B5542"/>
    <w:rsid w:val="002C4AB3"/>
    <w:rsid w:val="002C5703"/>
    <w:rsid w:val="002D2605"/>
    <w:rsid w:val="002D6389"/>
    <w:rsid w:val="002E0A6D"/>
    <w:rsid w:val="002E3A2B"/>
    <w:rsid w:val="002E4DC8"/>
    <w:rsid w:val="002E7229"/>
    <w:rsid w:val="002E7C04"/>
    <w:rsid w:val="002F0765"/>
    <w:rsid w:val="002F4B2D"/>
    <w:rsid w:val="002F5A9F"/>
    <w:rsid w:val="002F5D3F"/>
    <w:rsid w:val="00302FEA"/>
    <w:rsid w:val="00307F05"/>
    <w:rsid w:val="00310132"/>
    <w:rsid w:val="00317E0B"/>
    <w:rsid w:val="00321650"/>
    <w:rsid w:val="0032559E"/>
    <w:rsid w:val="00326DC0"/>
    <w:rsid w:val="00330016"/>
    <w:rsid w:val="003329A3"/>
    <w:rsid w:val="00341E8B"/>
    <w:rsid w:val="00343BD7"/>
    <w:rsid w:val="00352DA5"/>
    <w:rsid w:val="00352E84"/>
    <w:rsid w:val="003541FC"/>
    <w:rsid w:val="00354384"/>
    <w:rsid w:val="003636EF"/>
    <w:rsid w:val="00367715"/>
    <w:rsid w:val="00371548"/>
    <w:rsid w:val="00377BA3"/>
    <w:rsid w:val="00377CEE"/>
    <w:rsid w:val="00387758"/>
    <w:rsid w:val="00391758"/>
    <w:rsid w:val="00396E3C"/>
    <w:rsid w:val="003A58C3"/>
    <w:rsid w:val="003A7DB2"/>
    <w:rsid w:val="003A7F82"/>
    <w:rsid w:val="003B0829"/>
    <w:rsid w:val="003B0D44"/>
    <w:rsid w:val="003B2277"/>
    <w:rsid w:val="003B3991"/>
    <w:rsid w:val="003B40B6"/>
    <w:rsid w:val="003B65DB"/>
    <w:rsid w:val="003C13D2"/>
    <w:rsid w:val="003C50E2"/>
    <w:rsid w:val="003D10B7"/>
    <w:rsid w:val="003E206F"/>
    <w:rsid w:val="003E3B4A"/>
    <w:rsid w:val="003E7AA5"/>
    <w:rsid w:val="003E7F50"/>
    <w:rsid w:val="003F1651"/>
    <w:rsid w:val="003F55C2"/>
    <w:rsid w:val="003F5D53"/>
    <w:rsid w:val="003F7A95"/>
    <w:rsid w:val="004022B2"/>
    <w:rsid w:val="00404D72"/>
    <w:rsid w:val="004139F4"/>
    <w:rsid w:val="0041615D"/>
    <w:rsid w:val="00420078"/>
    <w:rsid w:val="00424841"/>
    <w:rsid w:val="00432968"/>
    <w:rsid w:val="00432BE6"/>
    <w:rsid w:val="00433560"/>
    <w:rsid w:val="004463DF"/>
    <w:rsid w:val="00455441"/>
    <w:rsid w:val="00461EFC"/>
    <w:rsid w:val="0046671A"/>
    <w:rsid w:val="0046796F"/>
    <w:rsid w:val="004718CD"/>
    <w:rsid w:val="004725A4"/>
    <w:rsid w:val="00480EE8"/>
    <w:rsid w:val="004858E6"/>
    <w:rsid w:val="00486494"/>
    <w:rsid w:val="0049351F"/>
    <w:rsid w:val="004A14AB"/>
    <w:rsid w:val="004B0656"/>
    <w:rsid w:val="004B1391"/>
    <w:rsid w:val="004B1C3B"/>
    <w:rsid w:val="004C0C1B"/>
    <w:rsid w:val="004C4F50"/>
    <w:rsid w:val="004D763D"/>
    <w:rsid w:val="004E2D2D"/>
    <w:rsid w:val="004E521B"/>
    <w:rsid w:val="004F0C41"/>
    <w:rsid w:val="004F1C53"/>
    <w:rsid w:val="004F49C4"/>
    <w:rsid w:val="00502228"/>
    <w:rsid w:val="005036BE"/>
    <w:rsid w:val="00507356"/>
    <w:rsid w:val="005157F2"/>
    <w:rsid w:val="00522B66"/>
    <w:rsid w:val="00530160"/>
    <w:rsid w:val="00530770"/>
    <w:rsid w:val="00530C81"/>
    <w:rsid w:val="00532DBB"/>
    <w:rsid w:val="0053733E"/>
    <w:rsid w:val="005379C7"/>
    <w:rsid w:val="00540F41"/>
    <w:rsid w:val="005413D5"/>
    <w:rsid w:val="00544D47"/>
    <w:rsid w:val="00546131"/>
    <w:rsid w:val="0055357C"/>
    <w:rsid w:val="005543D1"/>
    <w:rsid w:val="00562476"/>
    <w:rsid w:val="005663BA"/>
    <w:rsid w:val="00566652"/>
    <w:rsid w:val="00571044"/>
    <w:rsid w:val="00575A0C"/>
    <w:rsid w:val="00576CDD"/>
    <w:rsid w:val="00580226"/>
    <w:rsid w:val="0058062F"/>
    <w:rsid w:val="00582092"/>
    <w:rsid w:val="00582AD0"/>
    <w:rsid w:val="00584AE8"/>
    <w:rsid w:val="00593599"/>
    <w:rsid w:val="005941F1"/>
    <w:rsid w:val="00594ADD"/>
    <w:rsid w:val="005A4A79"/>
    <w:rsid w:val="005A7F4B"/>
    <w:rsid w:val="005B79B3"/>
    <w:rsid w:val="005C022A"/>
    <w:rsid w:val="005D49EF"/>
    <w:rsid w:val="005E013A"/>
    <w:rsid w:val="005E1D64"/>
    <w:rsid w:val="005F2419"/>
    <w:rsid w:val="006044B4"/>
    <w:rsid w:val="00606733"/>
    <w:rsid w:val="0061565E"/>
    <w:rsid w:val="00615F31"/>
    <w:rsid w:val="00616213"/>
    <w:rsid w:val="006237F3"/>
    <w:rsid w:val="00624EDA"/>
    <w:rsid w:val="00625182"/>
    <w:rsid w:val="00633A95"/>
    <w:rsid w:val="00635033"/>
    <w:rsid w:val="00635134"/>
    <w:rsid w:val="00635173"/>
    <w:rsid w:val="00637775"/>
    <w:rsid w:val="00641216"/>
    <w:rsid w:val="006444A0"/>
    <w:rsid w:val="006463B6"/>
    <w:rsid w:val="00652C31"/>
    <w:rsid w:val="0065380F"/>
    <w:rsid w:val="0065467B"/>
    <w:rsid w:val="0066305A"/>
    <w:rsid w:val="0066517E"/>
    <w:rsid w:val="0066659B"/>
    <w:rsid w:val="00673373"/>
    <w:rsid w:val="006734CF"/>
    <w:rsid w:val="00676262"/>
    <w:rsid w:val="006770E9"/>
    <w:rsid w:val="00680FE9"/>
    <w:rsid w:val="006831F9"/>
    <w:rsid w:val="006853C3"/>
    <w:rsid w:val="006872B0"/>
    <w:rsid w:val="0069225E"/>
    <w:rsid w:val="0069412A"/>
    <w:rsid w:val="006A15FA"/>
    <w:rsid w:val="006A1DAF"/>
    <w:rsid w:val="006A51B5"/>
    <w:rsid w:val="006B6219"/>
    <w:rsid w:val="006D3AC0"/>
    <w:rsid w:val="006D674F"/>
    <w:rsid w:val="006D70FC"/>
    <w:rsid w:val="006E090F"/>
    <w:rsid w:val="006E30C3"/>
    <w:rsid w:val="006E31C7"/>
    <w:rsid w:val="006E44E3"/>
    <w:rsid w:val="006E59D9"/>
    <w:rsid w:val="006F1136"/>
    <w:rsid w:val="006F3FF0"/>
    <w:rsid w:val="006F63CC"/>
    <w:rsid w:val="006F6BC5"/>
    <w:rsid w:val="006F7AF1"/>
    <w:rsid w:val="00702361"/>
    <w:rsid w:val="00703CBB"/>
    <w:rsid w:val="00704C3E"/>
    <w:rsid w:val="00706E25"/>
    <w:rsid w:val="00720858"/>
    <w:rsid w:val="007254E7"/>
    <w:rsid w:val="00726FAC"/>
    <w:rsid w:val="00727992"/>
    <w:rsid w:val="0073233D"/>
    <w:rsid w:val="007324B3"/>
    <w:rsid w:val="00735E57"/>
    <w:rsid w:val="007372C0"/>
    <w:rsid w:val="00740331"/>
    <w:rsid w:val="00741A39"/>
    <w:rsid w:val="0074352F"/>
    <w:rsid w:val="00744E25"/>
    <w:rsid w:val="00745C1C"/>
    <w:rsid w:val="007476D1"/>
    <w:rsid w:val="0075296B"/>
    <w:rsid w:val="0076027B"/>
    <w:rsid w:val="007644A7"/>
    <w:rsid w:val="0076514A"/>
    <w:rsid w:val="00767942"/>
    <w:rsid w:val="00773ED4"/>
    <w:rsid w:val="00774E05"/>
    <w:rsid w:val="0077746B"/>
    <w:rsid w:val="007877F5"/>
    <w:rsid w:val="00791314"/>
    <w:rsid w:val="00793829"/>
    <w:rsid w:val="00796106"/>
    <w:rsid w:val="007A2D4F"/>
    <w:rsid w:val="007B2CC9"/>
    <w:rsid w:val="007B2DB2"/>
    <w:rsid w:val="007B49A6"/>
    <w:rsid w:val="007D3449"/>
    <w:rsid w:val="007D63B5"/>
    <w:rsid w:val="007D6C87"/>
    <w:rsid w:val="007E2663"/>
    <w:rsid w:val="007E26CC"/>
    <w:rsid w:val="007E506B"/>
    <w:rsid w:val="008009D8"/>
    <w:rsid w:val="00804C96"/>
    <w:rsid w:val="00807769"/>
    <w:rsid w:val="0081173D"/>
    <w:rsid w:val="00812270"/>
    <w:rsid w:val="00816C8E"/>
    <w:rsid w:val="00821BAD"/>
    <w:rsid w:val="00823110"/>
    <w:rsid w:val="00823BEE"/>
    <w:rsid w:val="00825C87"/>
    <w:rsid w:val="00827167"/>
    <w:rsid w:val="00831EFD"/>
    <w:rsid w:val="00835987"/>
    <w:rsid w:val="00840BEC"/>
    <w:rsid w:val="00842B1E"/>
    <w:rsid w:val="00851325"/>
    <w:rsid w:val="00854BA8"/>
    <w:rsid w:val="0087289D"/>
    <w:rsid w:val="0087614B"/>
    <w:rsid w:val="00876802"/>
    <w:rsid w:val="008811AC"/>
    <w:rsid w:val="008847B1"/>
    <w:rsid w:val="00884E86"/>
    <w:rsid w:val="0088785F"/>
    <w:rsid w:val="00893623"/>
    <w:rsid w:val="0089690F"/>
    <w:rsid w:val="008A3D50"/>
    <w:rsid w:val="008A66DE"/>
    <w:rsid w:val="008B0E40"/>
    <w:rsid w:val="008B670D"/>
    <w:rsid w:val="008C3358"/>
    <w:rsid w:val="008C7413"/>
    <w:rsid w:val="008C7780"/>
    <w:rsid w:val="008D1011"/>
    <w:rsid w:val="008D20BF"/>
    <w:rsid w:val="008D2B7F"/>
    <w:rsid w:val="008D2F4A"/>
    <w:rsid w:val="008D55C3"/>
    <w:rsid w:val="008E7DB4"/>
    <w:rsid w:val="008F14C3"/>
    <w:rsid w:val="008F3A97"/>
    <w:rsid w:val="008F4B34"/>
    <w:rsid w:val="008F7AE9"/>
    <w:rsid w:val="00906AA9"/>
    <w:rsid w:val="00915857"/>
    <w:rsid w:val="009238FF"/>
    <w:rsid w:val="00925058"/>
    <w:rsid w:val="00925B3A"/>
    <w:rsid w:val="00927C16"/>
    <w:rsid w:val="00931E24"/>
    <w:rsid w:val="00932AD1"/>
    <w:rsid w:val="009419A8"/>
    <w:rsid w:val="00947D79"/>
    <w:rsid w:val="0095009A"/>
    <w:rsid w:val="00950CD0"/>
    <w:rsid w:val="00951DCA"/>
    <w:rsid w:val="00951F8A"/>
    <w:rsid w:val="00953BA7"/>
    <w:rsid w:val="00955393"/>
    <w:rsid w:val="009607E6"/>
    <w:rsid w:val="009610C3"/>
    <w:rsid w:val="00964826"/>
    <w:rsid w:val="009655CF"/>
    <w:rsid w:val="009657BA"/>
    <w:rsid w:val="0096622F"/>
    <w:rsid w:val="009663BC"/>
    <w:rsid w:val="00966E32"/>
    <w:rsid w:val="009709CD"/>
    <w:rsid w:val="00970C06"/>
    <w:rsid w:val="00974AD2"/>
    <w:rsid w:val="009944D4"/>
    <w:rsid w:val="009A6DAD"/>
    <w:rsid w:val="009B16C1"/>
    <w:rsid w:val="009B1FDD"/>
    <w:rsid w:val="009B3AE1"/>
    <w:rsid w:val="009B6576"/>
    <w:rsid w:val="009B6CFF"/>
    <w:rsid w:val="009B70F5"/>
    <w:rsid w:val="009B7416"/>
    <w:rsid w:val="009C0344"/>
    <w:rsid w:val="009C0736"/>
    <w:rsid w:val="009C0B8A"/>
    <w:rsid w:val="009D039C"/>
    <w:rsid w:val="009D2BE6"/>
    <w:rsid w:val="009E5D45"/>
    <w:rsid w:val="009E7B99"/>
    <w:rsid w:val="009F6596"/>
    <w:rsid w:val="009F7764"/>
    <w:rsid w:val="009F7896"/>
    <w:rsid w:val="00A075BA"/>
    <w:rsid w:val="00A12B28"/>
    <w:rsid w:val="00A17B47"/>
    <w:rsid w:val="00A206FA"/>
    <w:rsid w:val="00A30A29"/>
    <w:rsid w:val="00A317CA"/>
    <w:rsid w:val="00A32E76"/>
    <w:rsid w:val="00A3536B"/>
    <w:rsid w:val="00A4015B"/>
    <w:rsid w:val="00A463D0"/>
    <w:rsid w:val="00A47BC4"/>
    <w:rsid w:val="00A571FB"/>
    <w:rsid w:val="00A57A75"/>
    <w:rsid w:val="00A6097A"/>
    <w:rsid w:val="00A61D49"/>
    <w:rsid w:val="00A63F01"/>
    <w:rsid w:val="00A6646E"/>
    <w:rsid w:val="00A72259"/>
    <w:rsid w:val="00A7374D"/>
    <w:rsid w:val="00A73F5E"/>
    <w:rsid w:val="00A767B5"/>
    <w:rsid w:val="00A94118"/>
    <w:rsid w:val="00A94ADF"/>
    <w:rsid w:val="00AA03AE"/>
    <w:rsid w:val="00AA0C0D"/>
    <w:rsid w:val="00AA43C3"/>
    <w:rsid w:val="00AB0202"/>
    <w:rsid w:val="00AB0CFD"/>
    <w:rsid w:val="00AB7243"/>
    <w:rsid w:val="00AC7675"/>
    <w:rsid w:val="00AD0098"/>
    <w:rsid w:val="00AD1268"/>
    <w:rsid w:val="00AD1EB9"/>
    <w:rsid w:val="00AD2A67"/>
    <w:rsid w:val="00AD5EF2"/>
    <w:rsid w:val="00AE05B3"/>
    <w:rsid w:val="00AE538E"/>
    <w:rsid w:val="00AE5F9C"/>
    <w:rsid w:val="00AE6138"/>
    <w:rsid w:val="00AE644C"/>
    <w:rsid w:val="00AF462C"/>
    <w:rsid w:val="00B021C2"/>
    <w:rsid w:val="00B022B7"/>
    <w:rsid w:val="00B05925"/>
    <w:rsid w:val="00B0600C"/>
    <w:rsid w:val="00B0674B"/>
    <w:rsid w:val="00B12FF4"/>
    <w:rsid w:val="00B13019"/>
    <w:rsid w:val="00B1410D"/>
    <w:rsid w:val="00B15E10"/>
    <w:rsid w:val="00B17878"/>
    <w:rsid w:val="00B22E93"/>
    <w:rsid w:val="00B23399"/>
    <w:rsid w:val="00B27158"/>
    <w:rsid w:val="00B27672"/>
    <w:rsid w:val="00B33832"/>
    <w:rsid w:val="00B43EA4"/>
    <w:rsid w:val="00B47064"/>
    <w:rsid w:val="00B5460B"/>
    <w:rsid w:val="00B64C34"/>
    <w:rsid w:val="00B67274"/>
    <w:rsid w:val="00B67461"/>
    <w:rsid w:val="00B677CE"/>
    <w:rsid w:val="00B8010C"/>
    <w:rsid w:val="00B838AB"/>
    <w:rsid w:val="00B83C64"/>
    <w:rsid w:val="00B87332"/>
    <w:rsid w:val="00B90370"/>
    <w:rsid w:val="00B9313D"/>
    <w:rsid w:val="00B9560D"/>
    <w:rsid w:val="00B962E2"/>
    <w:rsid w:val="00BA3C1E"/>
    <w:rsid w:val="00BA6238"/>
    <w:rsid w:val="00BA777D"/>
    <w:rsid w:val="00BB76D4"/>
    <w:rsid w:val="00BC2D63"/>
    <w:rsid w:val="00BD26BF"/>
    <w:rsid w:val="00BD354E"/>
    <w:rsid w:val="00BD6493"/>
    <w:rsid w:val="00BD66A2"/>
    <w:rsid w:val="00BE0CFD"/>
    <w:rsid w:val="00BE20BB"/>
    <w:rsid w:val="00BE7EDF"/>
    <w:rsid w:val="00BF205D"/>
    <w:rsid w:val="00BF30E3"/>
    <w:rsid w:val="00C0295D"/>
    <w:rsid w:val="00C072C5"/>
    <w:rsid w:val="00C25CF3"/>
    <w:rsid w:val="00C26E24"/>
    <w:rsid w:val="00C274ED"/>
    <w:rsid w:val="00C302A9"/>
    <w:rsid w:val="00C31D2A"/>
    <w:rsid w:val="00C320E7"/>
    <w:rsid w:val="00C32A7C"/>
    <w:rsid w:val="00C45DA3"/>
    <w:rsid w:val="00C46CCD"/>
    <w:rsid w:val="00C47EF0"/>
    <w:rsid w:val="00C541F7"/>
    <w:rsid w:val="00C64998"/>
    <w:rsid w:val="00C71BE2"/>
    <w:rsid w:val="00C8008D"/>
    <w:rsid w:val="00C82CF0"/>
    <w:rsid w:val="00C83963"/>
    <w:rsid w:val="00C86A6C"/>
    <w:rsid w:val="00C94508"/>
    <w:rsid w:val="00C967FF"/>
    <w:rsid w:val="00C974D8"/>
    <w:rsid w:val="00CA14DD"/>
    <w:rsid w:val="00CA693B"/>
    <w:rsid w:val="00CB06E7"/>
    <w:rsid w:val="00CB1FDD"/>
    <w:rsid w:val="00CB2F1C"/>
    <w:rsid w:val="00CB418E"/>
    <w:rsid w:val="00CB51A3"/>
    <w:rsid w:val="00CB7926"/>
    <w:rsid w:val="00CC23D6"/>
    <w:rsid w:val="00CC31B0"/>
    <w:rsid w:val="00CC6788"/>
    <w:rsid w:val="00CD2883"/>
    <w:rsid w:val="00CE55ED"/>
    <w:rsid w:val="00CF0C5D"/>
    <w:rsid w:val="00CF20BB"/>
    <w:rsid w:val="00D0226F"/>
    <w:rsid w:val="00D05AF4"/>
    <w:rsid w:val="00D07FA2"/>
    <w:rsid w:val="00D10418"/>
    <w:rsid w:val="00D10772"/>
    <w:rsid w:val="00D169D7"/>
    <w:rsid w:val="00D27332"/>
    <w:rsid w:val="00D43CCD"/>
    <w:rsid w:val="00D44AD0"/>
    <w:rsid w:val="00D52DB2"/>
    <w:rsid w:val="00D5461E"/>
    <w:rsid w:val="00D5605D"/>
    <w:rsid w:val="00D564E8"/>
    <w:rsid w:val="00D5664B"/>
    <w:rsid w:val="00D609AF"/>
    <w:rsid w:val="00D60CCB"/>
    <w:rsid w:val="00D62774"/>
    <w:rsid w:val="00D646DF"/>
    <w:rsid w:val="00D7733E"/>
    <w:rsid w:val="00D81EFB"/>
    <w:rsid w:val="00D823C5"/>
    <w:rsid w:val="00D834EF"/>
    <w:rsid w:val="00D848AF"/>
    <w:rsid w:val="00D84B9D"/>
    <w:rsid w:val="00D925B5"/>
    <w:rsid w:val="00D96672"/>
    <w:rsid w:val="00DB11FC"/>
    <w:rsid w:val="00DB1F80"/>
    <w:rsid w:val="00DB4BF6"/>
    <w:rsid w:val="00DB713E"/>
    <w:rsid w:val="00DB789F"/>
    <w:rsid w:val="00DC09A7"/>
    <w:rsid w:val="00DD463D"/>
    <w:rsid w:val="00DE2770"/>
    <w:rsid w:val="00DF2F32"/>
    <w:rsid w:val="00E01CEE"/>
    <w:rsid w:val="00E103C1"/>
    <w:rsid w:val="00E10B21"/>
    <w:rsid w:val="00E11505"/>
    <w:rsid w:val="00E12974"/>
    <w:rsid w:val="00E145AD"/>
    <w:rsid w:val="00E20803"/>
    <w:rsid w:val="00E216F0"/>
    <w:rsid w:val="00E2570B"/>
    <w:rsid w:val="00E332E7"/>
    <w:rsid w:val="00E3343C"/>
    <w:rsid w:val="00E371B7"/>
    <w:rsid w:val="00E46384"/>
    <w:rsid w:val="00E51E79"/>
    <w:rsid w:val="00E536CD"/>
    <w:rsid w:val="00E606A7"/>
    <w:rsid w:val="00E60F70"/>
    <w:rsid w:val="00E613E4"/>
    <w:rsid w:val="00E725E5"/>
    <w:rsid w:val="00E73B14"/>
    <w:rsid w:val="00E75EF4"/>
    <w:rsid w:val="00E76182"/>
    <w:rsid w:val="00E76DF5"/>
    <w:rsid w:val="00E80E53"/>
    <w:rsid w:val="00E8248D"/>
    <w:rsid w:val="00E84287"/>
    <w:rsid w:val="00E871D4"/>
    <w:rsid w:val="00E96E32"/>
    <w:rsid w:val="00EC4676"/>
    <w:rsid w:val="00ED3F78"/>
    <w:rsid w:val="00ED50DF"/>
    <w:rsid w:val="00ED7607"/>
    <w:rsid w:val="00EE1125"/>
    <w:rsid w:val="00EE1351"/>
    <w:rsid w:val="00EE32E6"/>
    <w:rsid w:val="00EE42EC"/>
    <w:rsid w:val="00EE612C"/>
    <w:rsid w:val="00EF18E8"/>
    <w:rsid w:val="00EF5BC9"/>
    <w:rsid w:val="00EF7053"/>
    <w:rsid w:val="00F0798A"/>
    <w:rsid w:val="00F11823"/>
    <w:rsid w:val="00F13653"/>
    <w:rsid w:val="00F17FC9"/>
    <w:rsid w:val="00F204BA"/>
    <w:rsid w:val="00F231A6"/>
    <w:rsid w:val="00F2572A"/>
    <w:rsid w:val="00F26691"/>
    <w:rsid w:val="00F2744A"/>
    <w:rsid w:val="00F32B27"/>
    <w:rsid w:val="00F334B4"/>
    <w:rsid w:val="00F3404C"/>
    <w:rsid w:val="00F353C2"/>
    <w:rsid w:val="00F521AA"/>
    <w:rsid w:val="00F530E8"/>
    <w:rsid w:val="00F55D18"/>
    <w:rsid w:val="00F579E5"/>
    <w:rsid w:val="00F654BB"/>
    <w:rsid w:val="00F67220"/>
    <w:rsid w:val="00F7282C"/>
    <w:rsid w:val="00F73D89"/>
    <w:rsid w:val="00F74917"/>
    <w:rsid w:val="00F74E83"/>
    <w:rsid w:val="00F92972"/>
    <w:rsid w:val="00F959F8"/>
    <w:rsid w:val="00FA2E3A"/>
    <w:rsid w:val="00FA3503"/>
    <w:rsid w:val="00FA7268"/>
    <w:rsid w:val="00FB3097"/>
    <w:rsid w:val="00FB44EF"/>
    <w:rsid w:val="00FC045E"/>
    <w:rsid w:val="00FC0919"/>
    <w:rsid w:val="00FC5257"/>
    <w:rsid w:val="00FD155B"/>
    <w:rsid w:val="00FD29C6"/>
    <w:rsid w:val="00FD3A2F"/>
    <w:rsid w:val="00FE0661"/>
    <w:rsid w:val="00FE5FB5"/>
    <w:rsid w:val="00FE77E6"/>
    <w:rsid w:val="00FF0543"/>
    <w:rsid w:val="00FF09C5"/>
    <w:rsid w:val="00FF2809"/>
    <w:rsid w:val="00FF5153"/>
    <w:rsid w:val="00FF71A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60A474"/>
  <w15:docId w15:val="{36C97EB4-4FF2-4456-A6CA-5D9E3DF2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EE1125"/>
  </w:style>
  <w:style w:type="paragraph" w:styleId="Virsraksts4">
    <w:name w:val="heading 4"/>
    <w:basedOn w:val="Parasts1"/>
    <w:link w:val="Virsraksts4Rakstz"/>
    <w:uiPriority w:val="99"/>
    <w:qFormat/>
    <w:rsid w:val="002F5A9F"/>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uiPriority w:val="99"/>
    <w:qFormat/>
    <w:rsid w:val="002C4AB3"/>
    <w:rPr>
      <w:sz w:val="24"/>
      <w:szCs w:val="24"/>
    </w:rPr>
  </w:style>
  <w:style w:type="paragraph" w:customStyle="1" w:styleId="naisf">
    <w:name w:val="naisf"/>
    <w:basedOn w:val="Parasts1"/>
    <w:uiPriority w:val="99"/>
    <w:rsid w:val="002C4AB3"/>
    <w:pPr>
      <w:spacing w:before="75" w:after="75"/>
      <w:ind w:firstLine="375"/>
      <w:jc w:val="both"/>
    </w:pPr>
  </w:style>
  <w:style w:type="paragraph" w:styleId="Galvene">
    <w:name w:val="header"/>
    <w:basedOn w:val="Parasts1"/>
    <w:link w:val="GalveneRakstz"/>
    <w:rsid w:val="002C4AB3"/>
    <w:pPr>
      <w:tabs>
        <w:tab w:val="center" w:pos="4153"/>
        <w:tab w:val="right" w:pos="8306"/>
      </w:tabs>
    </w:pPr>
  </w:style>
  <w:style w:type="character" w:customStyle="1" w:styleId="GalveneRakstz">
    <w:name w:val="Galvene Rakstz."/>
    <w:link w:val="Galvene"/>
    <w:semiHidden/>
    <w:locked/>
    <w:rsid w:val="002C4AB3"/>
    <w:rPr>
      <w:sz w:val="24"/>
      <w:szCs w:val="24"/>
      <w:lang w:val="lv-LV" w:eastAsia="lv-LV" w:bidi="ar-SA"/>
    </w:rPr>
  </w:style>
  <w:style w:type="character" w:styleId="Lappusesnumurs">
    <w:name w:val="page number"/>
    <w:rsid w:val="002C4AB3"/>
    <w:rPr>
      <w:rFonts w:cs="Times New Roman"/>
    </w:rPr>
  </w:style>
  <w:style w:type="paragraph" w:styleId="Kjene">
    <w:name w:val="footer"/>
    <w:basedOn w:val="Parasts1"/>
    <w:link w:val="KjeneRakstz"/>
    <w:rsid w:val="002C4AB3"/>
    <w:pPr>
      <w:tabs>
        <w:tab w:val="center" w:pos="4153"/>
        <w:tab w:val="right" w:pos="8306"/>
      </w:tabs>
    </w:pPr>
  </w:style>
  <w:style w:type="character" w:customStyle="1" w:styleId="KjeneRakstz">
    <w:name w:val="Kājene Rakstz."/>
    <w:link w:val="Kjene"/>
    <w:locked/>
    <w:rsid w:val="002C4AB3"/>
    <w:rPr>
      <w:sz w:val="24"/>
      <w:szCs w:val="24"/>
      <w:lang w:val="lv-LV" w:eastAsia="lv-LV" w:bidi="ar-SA"/>
    </w:rPr>
  </w:style>
  <w:style w:type="paragraph" w:customStyle="1" w:styleId="naislab">
    <w:name w:val="naislab"/>
    <w:basedOn w:val="Parasts1"/>
    <w:uiPriority w:val="99"/>
    <w:rsid w:val="002C4AB3"/>
    <w:pPr>
      <w:spacing w:before="75" w:after="75"/>
      <w:jc w:val="right"/>
    </w:pPr>
  </w:style>
  <w:style w:type="paragraph" w:customStyle="1" w:styleId="Sarakstarindkopa1">
    <w:name w:val="Saraksta rindkopa1"/>
    <w:basedOn w:val="Parasts1"/>
    <w:qFormat/>
    <w:rsid w:val="002C4AB3"/>
    <w:pPr>
      <w:ind w:left="720"/>
    </w:pPr>
    <w:rPr>
      <w:rFonts w:ascii="Calibri" w:eastAsia="Calibri" w:hAnsi="Calibri"/>
      <w:sz w:val="22"/>
      <w:szCs w:val="22"/>
    </w:rPr>
  </w:style>
  <w:style w:type="paragraph" w:styleId="Pamatteksts">
    <w:name w:val="Body Text"/>
    <w:basedOn w:val="Parasts1"/>
    <w:rsid w:val="002C4AB3"/>
    <w:pPr>
      <w:jc w:val="both"/>
    </w:pPr>
    <w:rPr>
      <w:sz w:val="28"/>
      <w:szCs w:val="20"/>
      <w:lang w:eastAsia="en-US"/>
    </w:rPr>
  </w:style>
  <w:style w:type="paragraph" w:customStyle="1" w:styleId="RakstzRakstzRakstzCharChar">
    <w:name w:val="Rakstz. Rakstz. Rakstz. Char Char"/>
    <w:basedOn w:val="Parasts1"/>
    <w:rsid w:val="002C4AB3"/>
    <w:pPr>
      <w:spacing w:before="40"/>
    </w:pPr>
    <w:rPr>
      <w:lang w:val="pl-PL" w:eastAsia="pl-PL"/>
    </w:rPr>
  </w:style>
  <w:style w:type="paragraph" w:styleId="Sarakstarindkopa">
    <w:name w:val="List Paragraph"/>
    <w:basedOn w:val="Parasts1"/>
    <w:uiPriority w:val="34"/>
    <w:qFormat/>
    <w:rsid w:val="009F7896"/>
    <w:pPr>
      <w:ind w:left="720"/>
    </w:pPr>
    <w:rPr>
      <w:lang w:val="en-GB" w:eastAsia="en-US"/>
    </w:rPr>
  </w:style>
  <w:style w:type="paragraph" w:customStyle="1" w:styleId="timenewroman">
    <w:name w:val="time new roman"/>
    <w:basedOn w:val="naisf"/>
    <w:rsid w:val="009F7896"/>
    <w:rPr>
      <w:sz w:val="28"/>
      <w:szCs w:val="28"/>
    </w:rPr>
  </w:style>
  <w:style w:type="paragraph" w:customStyle="1" w:styleId="RakstzRakstzRakstzCharCharRakstzRakstzCharChar">
    <w:name w:val="Rakstz. Rakstz. Rakstz. Char Char Rakstz. Rakstz. Char Char"/>
    <w:basedOn w:val="Parasts1"/>
    <w:rsid w:val="00CB2F1C"/>
    <w:pPr>
      <w:spacing w:before="40"/>
    </w:pPr>
    <w:rPr>
      <w:lang w:val="pl-PL" w:eastAsia="pl-PL"/>
    </w:rPr>
  </w:style>
  <w:style w:type="paragraph" w:customStyle="1" w:styleId="TimeNewRoman0">
    <w:name w:val="Time New Roman"/>
    <w:basedOn w:val="Nosaukums"/>
    <w:rsid w:val="00CB2F1C"/>
    <w:pPr>
      <w:spacing w:before="0" w:after="0"/>
      <w:outlineLvl w:val="9"/>
    </w:pPr>
    <w:rPr>
      <w:rFonts w:ascii="Times New Roman" w:hAnsi="Times New Roman" w:cs="Times New Roman"/>
      <w:bCs w:val="0"/>
      <w:kern w:val="0"/>
      <w:sz w:val="28"/>
      <w:szCs w:val="20"/>
    </w:rPr>
  </w:style>
  <w:style w:type="paragraph" w:styleId="Nosaukums">
    <w:name w:val="Title"/>
    <w:basedOn w:val="Parasts1"/>
    <w:qFormat/>
    <w:rsid w:val="00CB2F1C"/>
    <w:pPr>
      <w:spacing w:before="240" w:after="60"/>
      <w:jc w:val="center"/>
      <w:outlineLvl w:val="0"/>
    </w:pPr>
    <w:rPr>
      <w:rFonts w:ascii="Arial" w:hAnsi="Arial" w:cs="Arial"/>
      <w:b/>
      <w:bCs/>
      <w:kern w:val="28"/>
      <w:sz w:val="32"/>
      <w:szCs w:val="32"/>
    </w:rPr>
  </w:style>
  <w:style w:type="character" w:customStyle="1" w:styleId="BirutaIngilavicute">
    <w:name w:val="Biruta.Ingilavicute"/>
    <w:semiHidden/>
    <w:rsid w:val="00D5605D"/>
    <w:rPr>
      <w:rFonts w:ascii="Arial" w:hAnsi="Arial" w:cs="Arial"/>
      <w:color w:val="000080"/>
      <w:sz w:val="20"/>
      <w:szCs w:val="20"/>
    </w:rPr>
  </w:style>
  <w:style w:type="character" w:styleId="Izteiksmgs">
    <w:name w:val="Strong"/>
    <w:uiPriority w:val="22"/>
    <w:qFormat/>
    <w:rsid w:val="00F204BA"/>
    <w:rPr>
      <w:rFonts w:cs="Times New Roman"/>
      <w:b/>
      <w:bCs/>
    </w:rPr>
  </w:style>
  <w:style w:type="paragraph" w:customStyle="1" w:styleId="Preformatted">
    <w:name w:val="Preformatted"/>
    <w:basedOn w:val="Parasts1"/>
    <w:rsid w:val="0079131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character" w:styleId="Hipersaite">
    <w:name w:val="Hyperlink"/>
    <w:rsid w:val="005B79B3"/>
    <w:rPr>
      <w:color w:val="0000FF"/>
      <w:u w:val="single"/>
    </w:rPr>
  </w:style>
  <w:style w:type="paragraph" w:customStyle="1" w:styleId="timenewroman1">
    <w:name w:val="timenewroman"/>
    <w:basedOn w:val="Parasts1"/>
    <w:rsid w:val="00E46384"/>
    <w:pPr>
      <w:spacing w:before="75" w:after="75"/>
      <w:ind w:firstLine="375"/>
      <w:jc w:val="both"/>
    </w:pPr>
    <w:rPr>
      <w:sz w:val="28"/>
      <w:szCs w:val="28"/>
    </w:rPr>
  </w:style>
  <w:style w:type="paragraph" w:styleId="Balonteksts">
    <w:name w:val="Balloon Text"/>
    <w:basedOn w:val="Parasts1"/>
    <w:semiHidden/>
    <w:rsid w:val="00ED50DF"/>
    <w:rPr>
      <w:rFonts w:ascii="Tahoma" w:hAnsi="Tahoma" w:cs="Tahoma"/>
      <w:sz w:val="16"/>
      <w:szCs w:val="16"/>
    </w:rPr>
  </w:style>
  <w:style w:type="character" w:styleId="Komentraatsauce">
    <w:name w:val="annotation reference"/>
    <w:semiHidden/>
    <w:rsid w:val="009657BA"/>
    <w:rPr>
      <w:sz w:val="16"/>
      <w:szCs w:val="16"/>
    </w:rPr>
  </w:style>
  <w:style w:type="paragraph" w:styleId="Komentrateksts">
    <w:name w:val="annotation text"/>
    <w:basedOn w:val="Parasts1"/>
    <w:semiHidden/>
    <w:rsid w:val="009657BA"/>
    <w:rPr>
      <w:sz w:val="20"/>
      <w:szCs w:val="20"/>
    </w:rPr>
  </w:style>
  <w:style w:type="paragraph" w:styleId="Komentratma">
    <w:name w:val="annotation subject"/>
    <w:basedOn w:val="Komentrateksts"/>
    <w:next w:val="Komentrateksts"/>
    <w:semiHidden/>
    <w:rsid w:val="009657BA"/>
    <w:rPr>
      <w:b/>
      <w:bCs/>
    </w:rPr>
  </w:style>
  <w:style w:type="paragraph" w:customStyle="1" w:styleId="naisc">
    <w:name w:val="naisc"/>
    <w:basedOn w:val="Parasts1"/>
    <w:rsid w:val="001A6488"/>
    <w:pPr>
      <w:spacing w:before="100" w:beforeAutospacing="1" w:after="100" w:afterAutospacing="1"/>
    </w:pPr>
    <w:rPr>
      <w:lang w:val="en-US" w:eastAsia="en-US"/>
    </w:rPr>
  </w:style>
  <w:style w:type="paragraph" w:customStyle="1" w:styleId="Rakstz2RakstzRakstzRakstz">
    <w:name w:val="Rakstz.2 Rakstz. Rakstz. Rakstz."/>
    <w:basedOn w:val="Parasts1"/>
    <w:rsid w:val="001A6488"/>
    <w:pPr>
      <w:spacing w:after="160" w:line="240" w:lineRule="exact"/>
    </w:pPr>
    <w:rPr>
      <w:rFonts w:ascii="Tahoma" w:hAnsi="Tahoma"/>
      <w:sz w:val="20"/>
      <w:szCs w:val="20"/>
      <w:lang w:val="en-US" w:eastAsia="en-US"/>
    </w:rPr>
  </w:style>
  <w:style w:type="table" w:styleId="Reatabula">
    <w:name w:val="Table Grid"/>
    <w:basedOn w:val="Parastatabula"/>
    <w:uiPriority w:val="99"/>
    <w:rsid w:val="00420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uiPriority w:val="99"/>
    <w:rsid w:val="002F5A9F"/>
    <w:rPr>
      <w:b/>
      <w:bCs/>
      <w:sz w:val="24"/>
      <w:szCs w:val="24"/>
    </w:rPr>
  </w:style>
  <w:style w:type="paragraph" w:customStyle="1" w:styleId="naiskr">
    <w:name w:val="naiskr"/>
    <w:basedOn w:val="Parasts1"/>
    <w:rsid w:val="002B17D7"/>
    <w:pPr>
      <w:spacing w:before="75" w:after="75"/>
    </w:pPr>
  </w:style>
  <w:style w:type="paragraph" w:customStyle="1" w:styleId="Paraststmeklis1">
    <w:name w:val="Parasts (tīmeklis)1"/>
    <w:basedOn w:val="Parasts1"/>
    <w:rsid w:val="00BD26BF"/>
    <w:pPr>
      <w:spacing w:before="100" w:after="100"/>
    </w:pPr>
  </w:style>
  <w:style w:type="paragraph" w:styleId="Vienkrsteksts">
    <w:name w:val="Plain Text"/>
    <w:basedOn w:val="Parasts1"/>
    <w:link w:val="VienkrstekstsRakstz"/>
    <w:rsid w:val="006A51B5"/>
    <w:rPr>
      <w:rFonts w:ascii="Courier New" w:hAnsi="Courier New"/>
      <w:sz w:val="20"/>
      <w:szCs w:val="20"/>
    </w:rPr>
  </w:style>
  <w:style w:type="character" w:customStyle="1" w:styleId="VienkrstekstsRakstz">
    <w:name w:val="Vienkāršs teksts Rakstz."/>
    <w:link w:val="Vienkrsteksts"/>
    <w:rsid w:val="006A51B5"/>
    <w:rPr>
      <w:rFonts w:ascii="Courier New" w:hAnsi="Courier New" w:cs="Courier New"/>
    </w:rPr>
  </w:style>
  <w:style w:type="paragraph" w:styleId="Vresteksts">
    <w:name w:val="footnote text"/>
    <w:basedOn w:val="Parasts1"/>
    <w:link w:val="VrestekstsRakstz"/>
    <w:rsid w:val="008F14C3"/>
    <w:rPr>
      <w:sz w:val="20"/>
      <w:szCs w:val="20"/>
    </w:rPr>
  </w:style>
  <w:style w:type="character" w:customStyle="1" w:styleId="VrestekstsRakstz">
    <w:name w:val="Vēres teksts Rakstz."/>
    <w:basedOn w:val="Noklusjumarindkopasfonts"/>
    <w:link w:val="Vresteksts"/>
    <w:rsid w:val="008F14C3"/>
  </w:style>
  <w:style w:type="character" w:styleId="Vresatsauce">
    <w:name w:val="footnote reference"/>
    <w:rsid w:val="008F14C3"/>
    <w:rPr>
      <w:vertAlign w:val="superscript"/>
    </w:rPr>
  </w:style>
  <w:style w:type="paragraph" w:customStyle="1" w:styleId="naisnod">
    <w:name w:val="naisnod"/>
    <w:basedOn w:val="Parasts1"/>
    <w:rsid w:val="00E76182"/>
    <w:pPr>
      <w:spacing w:before="100" w:beforeAutospacing="1" w:after="100" w:afterAutospacing="1"/>
    </w:pPr>
  </w:style>
  <w:style w:type="paragraph" w:customStyle="1" w:styleId="tv2131">
    <w:name w:val="tv2131"/>
    <w:basedOn w:val="Parasts"/>
    <w:rsid w:val="00461EFC"/>
    <w:pPr>
      <w:spacing w:before="240" w:line="360" w:lineRule="auto"/>
      <w:ind w:firstLine="300"/>
      <w:jc w:val="both"/>
    </w:pPr>
    <w:rPr>
      <w:rFonts w:ascii="Verdana" w:hAnsi="Verdana"/>
      <w:sz w:val="18"/>
      <w:szCs w:val="18"/>
    </w:rPr>
  </w:style>
  <w:style w:type="paragraph" w:customStyle="1" w:styleId="Default">
    <w:name w:val="Default"/>
    <w:rsid w:val="00B022B7"/>
    <w:pPr>
      <w:autoSpaceDE w:val="0"/>
      <w:autoSpaceDN w:val="0"/>
      <w:adjustRightInd w:val="0"/>
    </w:pPr>
    <w:rPr>
      <w:color w:val="000000"/>
      <w:sz w:val="24"/>
      <w:szCs w:val="24"/>
    </w:rPr>
  </w:style>
  <w:style w:type="paragraph" w:customStyle="1" w:styleId="CM1">
    <w:name w:val="CM1"/>
    <w:basedOn w:val="Default"/>
    <w:next w:val="Default"/>
    <w:uiPriority w:val="99"/>
    <w:rsid w:val="00812270"/>
    <w:rPr>
      <w:rFonts w:ascii="EUAlbertina" w:hAnsi="EUAlbertina"/>
      <w:color w:val="auto"/>
    </w:rPr>
  </w:style>
  <w:style w:type="paragraph" w:customStyle="1" w:styleId="CM3">
    <w:name w:val="CM3"/>
    <w:basedOn w:val="Default"/>
    <w:next w:val="Default"/>
    <w:uiPriority w:val="99"/>
    <w:rsid w:val="00812270"/>
    <w:rPr>
      <w:rFonts w:ascii="EUAlbertina" w:hAnsi="EUAlbertina"/>
      <w:color w:val="auto"/>
    </w:rPr>
  </w:style>
  <w:style w:type="paragraph" w:styleId="Paraststmeklis">
    <w:name w:val="Normal (Web)"/>
    <w:basedOn w:val="Parasts"/>
    <w:uiPriority w:val="99"/>
    <w:unhideWhenUsed/>
    <w:rsid w:val="00225A6F"/>
    <w:rPr>
      <w:rFonts w:eastAsiaTheme="minorHAnsi"/>
      <w:sz w:val="24"/>
      <w:szCs w:val="24"/>
    </w:rPr>
  </w:style>
  <w:style w:type="paragraph" w:styleId="Pamattekstsaratkpi">
    <w:name w:val="Body Text Indent"/>
    <w:basedOn w:val="Parasts"/>
    <w:link w:val="PamattekstsaratkpiRakstz"/>
    <w:semiHidden/>
    <w:unhideWhenUsed/>
    <w:rsid w:val="008D2F4A"/>
    <w:pPr>
      <w:spacing w:after="120"/>
      <w:ind w:left="283"/>
    </w:pPr>
  </w:style>
  <w:style w:type="character" w:customStyle="1" w:styleId="PamattekstsaratkpiRakstz">
    <w:name w:val="Pamatteksts ar atkāpi Rakstz."/>
    <w:basedOn w:val="Noklusjumarindkopasfonts"/>
    <w:link w:val="Pamattekstsaratkpi"/>
    <w:semiHidden/>
    <w:rsid w:val="008D2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4962">
      <w:bodyDiv w:val="1"/>
      <w:marLeft w:val="0"/>
      <w:marRight w:val="0"/>
      <w:marTop w:val="0"/>
      <w:marBottom w:val="0"/>
      <w:divBdr>
        <w:top w:val="none" w:sz="0" w:space="0" w:color="auto"/>
        <w:left w:val="none" w:sz="0" w:space="0" w:color="auto"/>
        <w:bottom w:val="none" w:sz="0" w:space="0" w:color="auto"/>
        <w:right w:val="none" w:sz="0" w:space="0" w:color="auto"/>
      </w:divBdr>
    </w:div>
    <w:div w:id="545219676">
      <w:bodyDiv w:val="1"/>
      <w:marLeft w:val="0"/>
      <w:marRight w:val="0"/>
      <w:marTop w:val="0"/>
      <w:marBottom w:val="0"/>
      <w:divBdr>
        <w:top w:val="none" w:sz="0" w:space="0" w:color="auto"/>
        <w:left w:val="none" w:sz="0" w:space="0" w:color="auto"/>
        <w:bottom w:val="none" w:sz="0" w:space="0" w:color="auto"/>
        <w:right w:val="none" w:sz="0" w:space="0" w:color="auto"/>
      </w:divBdr>
    </w:div>
    <w:div w:id="592393424">
      <w:bodyDiv w:val="1"/>
      <w:marLeft w:val="0"/>
      <w:marRight w:val="0"/>
      <w:marTop w:val="0"/>
      <w:marBottom w:val="0"/>
      <w:divBdr>
        <w:top w:val="none" w:sz="0" w:space="0" w:color="auto"/>
        <w:left w:val="none" w:sz="0" w:space="0" w:color="auto"/>
        <w:bottom w:val="none" w:sz="0" w:space="0" w:color="auto"/>
        <w:right w:val="none" w:sz="0" w:space="0" w:color="auto"/>
      </w:divBdr>
    </w:div>
    <w:div w:id="634069718">
      <w:bodyDiv w:val="1"/>
      <w:marLeft w:val="0"/>
      <w:marRight w:val="0"/>
      <w:marTop w:val="0"/>
      <w:marBottom w:val="0"/>
      <w:divBdr>
        <w:top w:val="none" w:sz="0" w:space="0" w:color="auto"/>
        <w:left w:val="none" w:sz="0" w:space="0" w:color="auto"/>
        <w:bottom w:val="none" w:sz="0" w:space="0" w:color="auto"/>
        <w:right w:val="none" w:sz="0" w:space="0" w:color="auto"/>
      </w:divBdr>
    </w:div>
    <w:div w:id="636952865">
      <w:bodyDiv w:val="1"/>
      <w:marLeft w:val="0"/>
      <w:marRight w:val="0"/>
      <w:marTop w:val="0"/>
      <w:marBottom w:val="0"/>
      <w:divBdr>
        <w:top w:val="none" w:sz="0" w:space="0" w:color="auto"/>
        <w:left w:val="none" w:sz="0" w:space="0" w:color="auto"/>
        <w:bottom w:val="none" w:sz="0" w:space="0" w:color="auto"/>
        <w:right w:val="none" w:sz="0" w:space="0" w:color="auto"/>
      </w:divBdr>
    </w:div>
    <w:div w:id="687607464">
      <w:bodyDiv w:val="1"/>
      <w:marLeft w:val="0"/>
      <w:marRight w:val="0"/>
      <w:marTop w:val="0"/>
      <w:marBottom w:val="0"/>
      <w:divBdr>
        <w:top w:val="none" w:sz="0" w:space="0" w:color="auto"/>
        <w:left w:val="none" w:sz="0" w:space="0" w:color="auto"/>
        <w:bottom w:val="none" w:sz="0" w:space="0" w:color="auto"/>
        <w:right w:val="none" w:sz="0" w:space="0" w:color="auto"/>
      </w:divBdr>
    </w:div>
    <w:div w:id="692655902">
      <w:bodyDiv w:val="1"/>
      <w:marLeft w:val="0"/>
      <w:marRight w:val="0"/>
      <w:marTop w:val="0"/>
      <w:marBottom w:val="0"/>
      <w:divBdr>
        <w:top w:val="none" w:sz="0" w:space="0" w:color="auto"/>
        <w:left w:val="none" w:sz="0" w:space="0" w:color="auto"/>
        <w:bottom w:val="none" w:sz="0" w:space="0" w:color="auto"/>
        <w:right w:val="none" w:sz="0" w:space="0" w:color="auto"/>
      </w:divBdr>
    </w:div>
    <w:div w:id="749548664">
      <w:bodyDiv w:val="1"/>
      <w:marLeft w:val="0"/>
      <w:marRight w:val="0"/>
      <w:marTop w:val="0"/>
      <w:marBottom w:val="0"/>
      <w:divBdr>
        <w:top w:val="none" w:sz="0" w:space="0" w:color="auto"/>
        <w:left w:val="none" w:sz="0" w:space="0" w:color="auto"/>
        <w:bottom w:val="none" w:sz="0" w:space="0" w:color="auto"/>
        <w:right w:val="none" w:sz="0" w:space="0" w:color="auto"/>
      </w:divBdr>
    </w:div>
    <w:div w:id="802305649">
      <w:bodyDiv w:val="1"/>
      <w:marLeft w:val="0"/>
      <w:marRight w:val="0"/>
      <w:marTop w:val="0"/>
      <w:marBottom w:val="0"/>
      <w:divBdr>
        <w:top w:val="none" w:sz="0" w:space="0" w:color="auto"/>
        <w:left w:val="none" w:sz="0" w:space="0" w:color="auto"/>
        <w:bottom w:val="none" w:sz="0" w:space="0" w:color="auto"/>
        <w:right w:val="none" w:sz="0" w:space="0" w:color="auto"/>
      </w:divBdr>
    </w:div>
    <w:div w:id="1167749792">
      <w:bodyDiv w:val="1"/>
      <w:marLeft w:val="0"/>
      <w:marRight w:val="0"/>
      <w:marTop w:val="0"/>
      <w:marBottom w:val="0"/>
      <w:divBdr>
        <w:top w:val="none" w:sz="0" w:space="0" w:color="auto"/>
        <w:left w:val="none" w:sz="0" w:space="0" w:color="auto"/>
        <w:bottom w:val="none" w:sz="0" w:space="0" w:color="auto"/>
        <w:right w:val="none" w:sz="0" w:space="0" w:color="auto"/>
      </w:divBdr>
    </w:div>
    <w:div w:id="1211770784">
      <w:bodyDiv w:val="1"/>
      <w:marLeft w:val="0"/>
      <w:marRight w:val="0"/>
      <w:marTop w:val="0"/>
      <w:marBottom w:val="0"/>
      <w:divBdr>
        <w:top w:val="none" w:sz="0" w:space="0" w:color="auto"/>
        <w:left w:val="none" w:sz="0" w:space="0" w:color="auto"/>
        <w:bottom w:val="none" w:sz="0" w:space="0" w:color="auto"/>
        <w:right w:val="none" w:sz="0" w:space="0" w:color="auto"/>
      </w:divBdr>
    </w:div>
    <w:div w:id="1230188082">
      <w:bodyDiv w:val="1"/>
      <w:marLeft w:val="0"/>
      <w:marRight w:val="0"/>
      <w:marTop w:val="0"/>
      <w:marBottom w:val="0"/>
      <w:divBdr>
        <w:top w:val="none" w:sz="0" w:space="0" w:color="auto"/>
        <w:left w:val="none" w:sz="0" w:space="0" w:color="auto"/>
        <w:bottom w:val="none" w:sz="0" w:space="0" w:color="auto"/>
        <w:right w:val="none" w:sz="0" w:space="0" w:color="auto"/>
      </w:divBdr>
    </w:div>
    <w:div w:id="1254322299">
      <w:bodyDiv w:val="1"/>
      <w:marLeft w:val="0"/>
      <w:marRight w:val="0"/>
      <w:marTop w:val="0"/>
      <w:marBottom w:val="0"/>
      <w:divBdr>
        <w:top w:val="none" w:sz="0" w:space="0" w:color="auto"/>
        <w:left w:val="none" w:sz="0" w:space="0" w:color="auto"/>
        <w:bottom w:val="none" w:sz="0" w:space="0" w:color="auto"/>
        <w:right w:val="none" w:sz="0" w:space="0" w:color="auto"/>
      </w:divBdr>
    </w:div>
    <w:div w:id="1410034073">
      <w:bodyDiv w:val="1"/>
      <w:marLeft w:val="0"/>
      <w:marRight w:val="0"/>
      <w:marTop w:val="0"/>
      <w:marBottom w:val="0"/>
      <w:divBdr>
        <w:top w:val="none" w:sz="0" w:space="0" w:color="auto"/>
        <w:left w:val="none" w:sz="0" w:space="0" w:color="auto"/>
        <w:bottom w:val="none" w:sz="0" w:space="0" w:color="auto"/>
        <w:right w:val="none" w:sz="0" w:space="0" w:color="auto"/>
      </w:divBdr>
    </w:div>
    <w:div w:id="1451630604">
      <w:bodyDiv w:val="1"/>
      <w:marLeft w:val="0"/>
      <w:marRight w:val="0"/>
      <w:marTop w:val="0"/>
      <w:marBottom w:val="0"/>
      <w:divBdr>
        <w:top w:val="none" w:sz="0" w:space="0" w:color="auto"/>
        <w:left w:val="none" w:sz="0" w:space="0" w:color="auto"/>
        <w:bottom w:val="none" w:sz="0" w:space="0" w:color="auto"/>
        <w:right w:val="none" w:sz="0" w:space="0" w:color="auto"/>
      </w:divBdr>
    </w:div>
    <w:div w:id="1504127700">
      <w:bodyDiv w:val="1"/>
      <w:marLeft w:val="0"/>
      <w:marRight w:val="0"/>
      <w:marTop w:val="0"/>
      <w:marBottom w:val="0"/>
      <w:divBdr>
        <w:top w:val="none" w:sz="0" w:space="0" w:color="auto"/>
        <w:left w:val="none" w:sz="0" w:space="0" w:color="auto"/>
        <w:bottom w:val="none" w:sz="0" w:space="0" w:color="auto"/>
        <w:right w:val="none" w:sz="0" w:space="0" w:color="auto"/>
      </w:divBdr>
    </w:div>
    <w:div w:id="1539859364">
      <w:bodyDiv w:val="1"/>
      <w:marLeft w:val="0"/>
      <w:marRight w:val="0"/>
      <w:marTop w:val="0"/>
      <w:marBottom w:val="0"/>
      <w:divBdr>
        <w:top w:val="none" w:sz="0" w:space="0" w:color="auto"/>
        <w:left w:val="none" w:sz="0" w:space="0" w:color="auto"/>
        <w:bottom w:val="none" w:sz="0" w:space="0" w:color="auto"/>
        <w:right w:val="none" w:sz="0" w:space="0" w:color="auto"/>
      </w:divBdr>
    </w:div>
    <w:div w:id="1581477821">
      <w:bodyDiv w:val="1"/>
      <w:marLeft w:val="0"/>
      <w:marRight w:val="0"/>
      <w:marTop w:val="0"/>
      <w:marBottom w:val="0"/>
      <w:divBdr>
        <w:top w:val="none" w:sz="0" w:space="0" w:color="auto"/>
        <w:left w:val="none" w:sz="0" w:space="0" w:color="auto"/>
        <w:bottom w:val="none" w:sz="0" w:space="0" w:color="auto"/>
        <w:right w:val="none" w:sz="0" w:space="0" w:color="auto"/>
      </w:divBdr>
    </w:div>
    <w:div w:id="1729918721">
      <w:bodyDiv w:val="1"/>
      <w:marLeft w:val="0"/>
      <w:marRight w:val="0"/>
      <w:marTop w:val="0"/>
      <w:marBottom w:val="0"/>
      <w:divBdr>
        <w:top w:val="none" w:sz="0" w:space="0" w:color="auto"/>
        <w:left w:val="none" w:sz="0" w:space="0" w:color="auto"/>
        <w:bottom w:val="none" w:sz="0" w:space="0" w:color="auto"/>
        <w:right w:val="none" w:sz="0" w:space="0" w:color="auto"/>
      </w:divBdr>
    </w:div>
    <w:div w:id="214106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78A5F-2375-4022-B3FD-7DAE0A57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6</Pages>
  <Words>6165</Words>
  <Characters>3515</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Ministru kabineta noteikumu projekts „Kārtība, kādā piešķir valsts un Eiropas Savienības atbalstu investīciju veicināšanai lauksaimniecībā un investīcijām materiālās bāzes pilnveidošanai”</vt:lpstr>
      <vt:lpstr>Izziņa par atzinumos sniegtajiem iebildumiem Ministru kabineta noteikumu projekts „Kārtība, kādā piešķir valsts un Eiropas Savienības atbalstu investīciju veicināšanai lauksaimniecībā un investīcijām materiālās bāzes pilnveidošanai”</vt:lpstr>
    </vt:vector>
  </TitlesOfParts>
  <Company>ZM</Company>
  <LinksUpToDate>false</LinksUpToDate>
  <CharactersWithSpaces>9661</CharactersWithSpaces>
  <SharedDoc>false</SharedDoc>
  <HLinks>
    <vt:vector size="6" baseType="variant">
      <vt:variant>
        <vt:i4>8323198</vt:i4>
      </vt:variant>
      <vt:variant>
        <vt:i4>0</vt:i4>
      </vt:variant>
      <vt:variant>
        <vt:i4>0</vt:i4>
      </vt:variant>
      <vt:variant>
        <vt:i4>5</vt:i4>
      </vt:variant>
      <vt:variant>
        <vt:lpwstr>http://likumi.lv/doc.php?id=193915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projekts „Kārtība, kādā piešķir valsts un Eiropas Savienības atbalstu investīciju veicināšanai lauksaimniecībā un investīcijām materiālās bāzes pilnveidošanai”</dc:title>
  <dc:subject>izziņa</dc:subject>
  <dc:creator>Ritvars Zapereckis</dc:creator>
  <dc:description>Ritvars.Zapereckis@zm.gov.lv, 67027301</dc:description>
  <cp:lastModifiedBy>Sanita Papinova</cp:lastModifiedBy>
  <cp:revision>34</cp:revision>
  <cp:lastPrinted>2014-04-23T08:22:00Z</cp:lastPrinted>
  <dcterms:created xsi:type="dcterms:W3CDTF">2015-07-15T11:11:00Z</dcterms:created>
  <dcterms:modified xsi:type="dcterms:W3CDTF">2020-12-02T10:49:00Z</dcterms:modified>
</cp:coreProperties>
</file>