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jc w:val="center"/>
        <w:tblCellSpacing w:w="0" w:type="dxa"/>
        <w:tblCellMar>
          <w:left w:w="0" w:type="dxa"/>
          <w:right w:w="0" w:type="dxa"/>
        </w:tblCellMar>
        <w:tblLook w:val="04A0" w:firstRow="1" w:lastRow="0" w:firstColumn="1" w:lastColumn="0" w:noHBand="0" w:noVBand="1"/>
      </w:tblPr>
      <w:tblGrid>
        <w:gridCol w:w="15309"/>
      </w:tblGrid>
      <w:tr w:rsidR="007F20EE" w:rsidRPr="00DE1A22" w:rsidTr="00AD0309">
        <w:trPr>
          <w:tblCellSpacing w:w="0" w:type="dxa"/>
          <w:jc w:val="center"/>
        </w:trPr>
        <w:tc>
          <w:tcPr>
            <w:tcW w:w="15309" w:type="dxa"/>
            <w:tcBorders>
              <w:top w:val="nil"/>
              <w:left w:val="nil"/>
              <w:bottom w:val="single" w:sz="8" w:space="0" w:color="000000"/>
              <w:right w:val="nil"/>
            </w:tcBorders>
            <w:hideMark/>
          </w:tcPr>
          <w:p w:rsidR="00C31A6E" w:rsidRPr="00DE1A22" w:rsidRDefault="00BD52D8" w:rsidP="00A61A56">
            <w:pPr>
              <w:pStyle w:val="naislab"/>
              <w:jc w:val="center"/>
              <w:rPr>
                <w:b/>
                <w:sz w:val="26"/>
                <w:szCs w:val="26"/>
              </w:rPr>
            </w:pPr>
            <w:r w:rsidRPr="00DE1A22">
              <w:rPr>
                <w:b/>
                <w:sz w:val="26"/>
                <w:szCs w:val="26"/>
              </w:rPr>
              <w:t>Izziņa par atzinumos sniegtajiem iebildumiem </w:t>
            </w:r>
            <w:r w:rsidR="00DB607B" w:rsidRPr="00DE1A22">
              <w:rPr>
                <w:b/>
                <w:sz w:val="26"/>
                <w:szCs w:val="26"/>
              </w:rPr>
              <w:t xml:space="preserve">par </w:t>
            </w:r>
            <w:r w:rsidR="007F20EE" w:rsidRPr="00DE1A22">
              <w:rPr>
                <w:b/>
                <w:sz w:val="26"/>
                <w:szCs w:val="26"/>
              </w:rPr>
              <w:t xml:space="preserve">AZARTSPĒĻU UN IZLOŽU POLITIKAS PAMATNOSTĀDNĒM </w:t>
            </w:r>
            <w:r w:rsidR="00501472" w:rsidRPr="00DE1A22">
              <w:rPr>
                <w:b/>
                <w:sz w:val="26"/>
                <w:szCs w:val="26"/>
              </w:rPr>
              <w:t>202</w:t>
            </w:r>
            <w:r w:rsidR="00A61A56" w:rsidRPr="00DE1A22">
              <w:rPr>
                <w:b/>
                <w:sz w:val="26"/>
                <w:szCs w:val="26"/>
              </w:rPr>
              <w:t>1</w:t>
            </w:r>
            <w:r w:rsidR="007F20EE" w:rsidRPr="00DE1A22">
              <w:rPr>
                <w:b/>
                <w:sz w:val="26"/>
                <w:szCs w:val="26"/>
              </w:rPr>
              <w:t>.-</w:t>
            </w:r>
            <w:r w:rsidR="00501472" w:rsidRPr="00DE1A22">
              <w:rPr>
                <w:b/>
                <w:sz w:val="26"/>
                <w:szCs w:val="26"/>
              </w:rPr>
              <w:t>2027</w:t>
            </w:r>
            <w:r w:rsidR="007F20EE" w:rsidRPr="00DE1A22">
              <w:rPr>
                <w:b/>
                <w:sz w:val="26"/>
                <w:szCs w:val="26"/>
              </w:rPr>
              <w:t>.GADAM</w:t>
            </w:r>
          </w:p>
        </w:tc>
      </w:tr>
    </w:tbl>
    <w:p w:rsidR="00362EEF" w:rsidRPr="00DE1A22" w:rsidRDefault="00362EEF" w:rsidP="00362EEF">
      <w:pPr>
        <w:spacing w:before="100" w:beforeAutospacing="1" w:after="100" w:afterAutospacing="1"/>
        <w:jc w:val="center"/>
        <w:rPr>
          <w:b/>
          <w:sz w:val="24"/>
          <w:szCs w:val="24"/>
        </w:rPr>
      </w:pPr>
      <w:r w:rsidRPr="00DE1A22">
        <w:rPr>
          <w:rFonts w:eastAsia="Times New Roman"/>
          <w:b/>
          <w:sz w:val="24"/>
          <w:szCs w:val="24"/>
          <w:lang w:eastAsia="lv-LV"/>
        </w:rPr>
        <w:t xml:space="preserve">Starpministriju (starpinstitūciju) 2020.gada 13. un 20.februāra saskaņošanas sanāksme par </w:t>
      </w:r>
      <w:r w:rsidRPr="00DE1A22">
        <w:rPr>
          <w:b/>
          <w:sz w:val="24"/>
          <w:szCs w:val="24"/>
        </w:rPr>
        <w:t>Azartspēļu un izložu politikas pamatnostādnēm 2021.-2027.gadam (turpmāk – Pamatnostādnes)</w:t>
      </w:r>
    </w:p>
    <w:p w:rsidR="00DA55E9" w:rsidRPr="00DE1A22" w:rsidRDefault="00DA55E9" w:rsidP="00DA55E9">
      <w:pPr>
        <w:pStyle w:val="naisf"/>
        <w:spacing w:before="0" w:after="0"/>
        <w:jc w:val="center"/>
        <w:rPr>
          <w:b/>
        </w:rPr>
      </w:pPr>
      <w:r w:rsidRPr="00DE1A22">
        <w:rPr>
          <w:b/>
        </w:rPr>
        <w:t>Informācija par starpministriju (starpinstitūciju) sanāksmi vai elektronisko saskaņošanu</w:t>
      </w:r>
    </w:p>
    <w:tbl>
      <w:tblPr>
        <w:tblW w:w="14310" w:type="dxa"/>
        <w:tblLook w:val="00A0" w:firstRow="1" w:lastRow="0" w:firstColumn="1" w:lastColumn="0" w:noHBand="0" w:noVBand="0"/>
      </w:tblPr>
      <w:tblGrid>
        <w:gridCol w:w="6506"/>
        <w:gridCol w:w="7804"/>
      </w:tblGrid>
      <w:tr w:rsidR="00DA55E9" w:rsidRPr="00DE1A22" w:rsidTr="00132573">
        <w:tc>
          <w:tcPr>
            <w:tcW w:w="6506" w:type="dxa"/>
          </w:tcPr>
          <w:p w:rsidR="00DA55E9" w:rsidRPr="00DE1A22" w:rsidRDefault="00DA55E9" w:rsidP="00132573">
            <w:pPr>
              <w:pStyle w:val="naisf"/>
              <w:spacing w:before="0" w:after="0"/>
            </w:pPr>
            <w:r w:rsidRPr="00DE1A22">
              <w:t>Datums</w:t>
            </w:r>
          </w:p>
        </w:tc>
        <w:tc>
          <w:tcPr>
            <w:tcW w:w="7804" w:type="dxa"/>
            <w:tcBorders>
              <w:bottom w:val="single" w:sz="4" w:space="0" w:color="auto"/>
            </w:tcBorders>
          </w:tcPr>
          <w:p w:rsidR="00DA55E9" w:rsidRPr="00DE1A22" w:rsidRDefault="00DA55E9" w:rsidP="00132573">
            <w:pPr>
              <w:rPr>
                <w:sz w:val="24"/>
                <w:szCs w:val="24"/>
              </w:rPr>
            </w:pPr>
            <w:r w:rsidRPr="00DE1A22">
              <w:rPr>
                <w:sz w:val="24"/>
                <w:szCs w:val="24"/>
              </w:rPr>
              <w:t>13.02.2020</w:t>
            </w:r>
            <w:bookmarkStart w:id="0" w:name="_GoBack"/>
            <w:bookmarkEnd w:id="0"/>
            <w:r w:rsidRPr="00DE1A22">
              <w:rPr>
                <w:sz w:val="24"/>
                <w:szCs w:val="24"/>
              </w:rPr>
              <w:t>., 20.02.2020. starpministriju (starpinstitūciju) saskaņošanas sanāksme</w:t>
            </w:r>
          </w:p>
        </w:tc>
      </w:tr>
      <w:tr w:rsidR="00DA55E9" w:rsidRPr="00DE1A22" w:rsidTr="00132573">
        <w:tc>
          <w:tcPr>
            <w:tcW w:w="6506" w:type="dxa"/>
          </w:tcPr>
          <w:p w:rsidR="00DA55E9" w:rsidRPr="00DE1A22" w:rsidRDefault="00DA55E9" w:rsidP="00132573">
            <w:pPr>
              <w:pStyle w:val="naisf"/>
              <w:spacing w:before="0" w:after="0"/>
            </w:pPr>
          </w:p>
        </w:tc>
        <w:tc>
          <w:tcPr>
            <w:tcW w:w="7804" w:type="dxa"/>
            <w:tcBorders>
              <w:top w:val="single" w:sz="4" w:space="0" w:color="auto"/>
            </w:tcBorders>
          </w:tcPr>
          <w:p w:rsidR="00DA55E9" w:rsidRPr="00DE1A22" w:rsidRDefault="00DA55E9" w:rsidP="00132573">
            <w:pPr>
              <w:pStyle w:val="NormalWeb"/>
              <w:spacing w:before="0" w:beforeAutospacing="0" w:after="0" w:afterAutospacing="0"/>
              <w:jc w:val="both"/>
            </w:pPr>
          </w:p>
        </w:tc>
      </w:tr>
      <w:tr w:rsidR="00DA55E9" w:rsidRPr="00DE1A22" w:rsidTr="00132573">
        <w:trPr>
          <w:trHeight w:val="278"/>
        </w:trPr>
        <w:tc>
          <w:tcPr>
            <w:tcW w:w="6506" w:type="dxa"/>
          </w:tcPr>
          <w:p w:rsidR="00DA55E9" w:rsidRPr="00DE1A22" w:rsidRDefault="00DA55E9" w:rsidP="00132573">
            <w:pPr>
              <w:pStyle w:val="naiskr"/>
              <w:spacing w:before="0" w:after="0"/>
              <w:jc w:val="both"/>
            </w:pPr>
            <w:r w:rsidRPr="00DE1A22">
              <w:t>Saskaņošanas dalībnieki</w:t>
            </w:r>
          </w:p>
        </w:tc>
        <w:tc>
          <w:tcPr>
            <w:tcW w:w="7804" w:type="dxa"/>
            <w:tcBorders>
              <w:left w:val="nil"/>
              <w:bottom w:val="single" w:sz="4" w:space="0" w:color="auto"/>
            </w:tcBorders>
          </w:tcPr>
          <w:p w:rsidR="00DA55E9" w:rsidRPr="00DE1A22" w:rsidRDefault="00DA55E9" w:rsidP="00132573">
            <w:pPr>
              <w:pStyle w:val="NormalWeb"/>
              <w:spacing w:before="0" w:beforeAutospacing="0" w:after="0" w:afterAutospacing="0"/>
              <w:jc w:val="both"/>
              <w:rPr>
                <w:rFonts w:eastAsia="Times New Roman"/>
              </w:rPr>
            </w:pPr>
            <w:r w:rsidRPr="00DE1A22">
              <w:rPr>
                <w:rFonts w:eastAsia="Times New Roman"/>
              </w:rPr>
              <w:t>Tieslietu ministrija, Labklājības ministrija, Satiksmes ministrija, Ekonomikas ministrija, Izglītības un zinātnes ministrija, Kultūras ministrija, Vides aizsardzības un reģionālās attīstības ministrija, Veselības ministrija, Valsts kanceleja, Pārresoru koordinācijas centrs, Latvijas Brīvo arodbiedrību savienība, Latvijas Darba devēju konfederācija, Latvijas Pašvaldību savienība, Latvijas Lielo pilsētu asociācija, Latvijas Tirdzniecības un rūpniecības kamera, Latvijas Spēļu biznesa asociācija, Nacionālā elektronisko plašsaziņas līdzekļu padome, Latvijas Reklāmas asociācija un Latvijas interaktīvo azartspēļu biedrība.</w:t>
            </w:r>
          </w:p>
          <w:p w:rsidR="00DA55E9" w:rsidRPr="00DE1A22" w:rsidRDefault="00DA55E9" w:rsidP="00132573">
            <w:pPr>
              <w:pStyle w:val="NormalWeb"/>
              <w:spacing w:before="0" w:beforeAutospacing="0" w:after="0" w:afterAutospacing="0"/>
              <w:jc w:val="both"/>
              <w:rPr>
                <w:rFonts w:eastAsia="Times New Roman"/>
              </w:rPr>
            </w:pPr>
          </w:p>
          <w:p w:rsidR="00DA55E9" w:rsidRPr="00DE1A22" w:rsidRDefault="00DA55E9" w:rsidP="00132573">
            <w:pPr>
              <w:pStyle w:val="NormalWeb"/>
              <w:spacing w:before="0" w:beforeAutospacing="0" w:after="0" w:afterAutospacing="0"/>
              <w:jc w:val="both"/>
              <w:rPr>
                <w:rFonts w:eastAsia="Times New Roman"/>
              </w:rPr>
            </w:pPr>
            <w:r w:rsidRPr="00DE1A22">
              <w:rPr>
                <w:rFonts w:eastAsia="Times New Roman"/>
              </w:rPr>
              <w:t>2019.gada 28.februārī Saeimas Budžeta un finanšu (nodokļu) komisija uzdevusi atkārtoti saskaņot Pamatnostādnes. Atkārtotus atzinums sniedza Tieslietu ministrija, Labklājības ministrija, Satiksmes ministrija, Ekonomikas ministrija, Izglītības un zinātnes ministrija, Vides aizsardzības un reģionālās attīstības ministrija, Iekšlietu ministrija un Veselības ministrija.</w:t>
            </w:r>
          </w:p>
        </w:tc>
      </w:tr>
      <w:tr w:rsidR="00DA55E9" w:rsidRPr="00DE1A22" w:rsidTr="00132573">
        <w:trPr>
          <w:gridAfter w:val="1"/>
          <w:wAfter w:w="7804" w:type="dxa"/>
        </w:trPr>
        <w:tc>
          <w:tcPr>
            <w:tcW w:w="6506" w:type="dxa"/>
          </w:tcPr>
          <w:p w:rsidR="00DA55E9" w:rsidRPr="00DE1A22" w:rsidRDefault="00DA55E9" w:rsidP="00132573">
            <w:pPr>
              <w:pStyle w:val="naiskr"/>
              <w:spacing w:before="0" w:after="0"/>
              <w:jc w:val="both"/>
            </w:pPr>
          </w:p>
        </w:tc>
      </w:tr>
      <w:tr w:rsidR="00DA55E9" w:rsidRPr="00DE1A22" w:rsidTr="00132573">
        <w:trPr>
          <w:gridAfter w:val="1"/>
          <w:wAfter w:w="7804" w:type="dxa"/>
        </w:trPr>
        <w:tc>
          <w:tcPr>
            <w:tcW w:w="6506" w:type="dxa"/>
          </w:tcPr>
          <w:p w:rsidR="00DA55E9" w:rsidRPr="00DE1A22" w:rsidRDefault="00DA55E9" w:rsidP="00132573">
            <w:pPr>
              <w:pStyle w:val="naiskr"/>
              <w:spacing w:before="0" w:after="0"/>
              <w:jc w:val="both"/>
            </w:pPr>
          </w:p>
        </w:tc>
      </w:tr>
      <w:tr w:rsidR="00DA55E9" w:rsidRPr="00DE1A22" w:rsidTr="00132573">
        <w:trPr>
          <w:trHeight w:val="278"/>
        </w:trPr>
        <w:tc>
          <w:tcPr>
            <w:tcW w:w="6506" w:type="dxa"/>
            <w:vMerge w:val="restart"/>
          </w:tcPr>
          <w:p w:rsidR="005C5FC3" w:rsidRDefault="00DA55E9" w:rsidP="00132573">
            <w:pPr>
              <w:pStyle w:val="naiskr"/>
              <w:spacing w:before="0" w:after="0"/>
              <w:ind w:right="336"/>
              <w:jc w:val="both"/>
            </w:pPr>
            <w:r w:rsidRPr="00DE1A22">
              <w:t>Saskaņošanas dalībnieki izskatīja šādu ministriju (citu institūciju) iebildumus</w:t>
            </w:r>
          </w:p>
          <w:p w:rsidR="005C5FC3" w:rsidRPr="005C5FC3" w:rsidRDefault="005C5FC3" w:rsidP="005C5FC3">
            <w:pPr>
              <w:rPr>
                <w:lang w:eastAsia="lv-LV"/>
              </w:rPr>
            </w:pPr>
          </w:p>
          <w:p w:rsidR="005C5FC3" w:rsidRPr="005C5FC3" w:rsidRDefault="005C5FC3" w:rsidP="005C5FC3">
            <w:pPr>
              <w:rPr>
                <w:lang w:eastAsia="lv-LV"/>
              </w:rPr>
            </w:pPr>
          </w:p>
          <w:p w:rsidR="005C5FC3" w:rsidRPr="005C5FC3" w:rsidRDefault="005C5FC3" w:rsidP="005C5FC3">
            <w:pPr>
              <w:rPr>
                <w:lang w:eastAsia="lv-LV"/>
              </w:rPr>
            </w:pPr>
          </w:p>
          <w:p w:rsidR="00E53636" w:rsidRDefault="00E53636" w:rsidP="005C5FC3">
            <w:pPr>
              <w:rPr>
                <w:lang w:eastAsia="lv-LV"/>
              </w:rPr>
            </w:pPr>
          </w:p>
          <w:p w:rsidR="00E53636" w:rsidRPr="00E53636" w:rsidRDefault="00E53636" w:rsidP="00E53636">
            <w:pPr>
              <w:rPr>
                <w:lang w:eastAsia="lv-LV"/>
              </w:rPr>
            </w:pPr>
          </w:p>
          <w:p w:rsidR="005C5FC3" w:rsidRPr="00E53636" w:rsidRDefault="005C5FC3" w:rsidP="00E53636">
            <w:pPr>
              <w:rPr>
                <w:lang w:eastAsia="lv-LV"/>
              </w:rPr>
            </w:pPr>
          </w:p>
          <w:p w:rsidR="005C5FC3" w:rsidRPr="005C5FC3" w:rsidRDefault="005C5FC3" w:rsidP="005C5FC3">
            <w:pPr>
              <w:rPr>
                <w:lang w:eastAsia="lv-LV"/>
              </w:rPr>
            </w:pPr>
          </w:p>
          <w:p w:rsidR="00DA55E9" w:rsidRPr="005C5FC3" w:rsidRDefault="00DA55E9" w:rsidP="005C5FC3">
            <w:pPr>
              <w:rPr>
                <w:lang w:eastAsia="lv-LV"/>
              </w:rPr>
            </w:pPr>
          </w:p>
        </w:tc>
        <w:tc>
          <w:tcPr>
            <w:tcW w:w="7804" w:type="dxa"/>
            <w:tcBorders>
              <w:bottom w:val="single" w:sz="4" w:space="0" w:color="auto"/>
            </w:tcBorders>
          </w:tcPr>
          <w:p w:rsidR="00DA55E9" w:rsidRPr="00DE1A22" w:rsidRDefault="00DA55E9" w:rsidP="00132573">
            <w:pPr>
              <w:pStyle w:val="naiskr"/>
              <w:spacing w:before="0" w:after="0"/>
              <w:jc w:val="both"/>
            </w:pPr>
            <w:r w:rsidRPr="00DE1A22">
              <w:lastRenderedPageBreak/>
              <w:t>Tieslietu ministrijas, Labklājības ministrijas, Satiksmes ministrijas, Izglītības un zinātnes ministrijas, Kultūras ministrijas, Vides aizsardzības un reģionālās attīstības ministrijas, Veselības ministrijas, Pārresoru koordinācijas centrs, Latvijas Darba devēju konfederācijas, Latvijas Pašvaldību savienība, Latvijas Lielo pilsētu asociācijas, Latvijas Tirdzniecības un rūpniecības kameras, Latvijas Spēļu biznesa asociācijas un Latvijas interaktīvo azartspēļu biedrības izteiktie iebildumi un priekšlikumi.</w:t>
            </w:r>
          </w:p>
        </w:tc>
      </w:tr>
      <w:tr w:rsidR="00DA55E9" w:rsidRPr="00DE1A22" w:rsidTr="00132573">
        <w:trPr>
          <w:trHeight w:val="277"/>
        </w:trPr>
        <w:tc>
          <w:tcPr>
            <w:tcW w:w="6506" w:type="dxa"/>
            <w:vMerge/>
          </w:tcPr>
          <w:p w:rsidR="00DA55E9" w:rsidRPr="00DE1A22" w:rsidRDefault="00DA55E9" w:rsidP="00132573">
            <w:pPr>
              <w:pStyle w:val="naiskr"/>
              <w:spacing w:before="0" w:after="0"/>
            </w:pPr>
          </w:p>
        </w:tc>
        <w:tc>
          <w:tcPr>
            <w:tcW w:w="7804" w:type="dxa"/>
            <w:tcBorders>
              <w:top w:val="single" w:sz="4" w:space="0" w:color="auto"/>
              <w:bottom w:val="single" w:sz="4" w:space="0" w:color="auto"/>
            </w:tcBorders>
          </w:tcPr>
          <w:p w:rsidR="00DA55E9" w:rsidRPr="00DE1A22" w:rsidRDefault="00DA55E9" w:rsidP="00132573">
            <w:pPr>
              <w:pStyle w:val="naiskr"/>
              <w:spacing w:before="0" w:after="0"/>
              <w:jc w:val="both"/>
            </w:pPr>
          </w:p>
        </w:tc>
      </w:tr>
    </w:tbl>
    <w:p w:rsidR="00BD52D8" w:rsidRPr="00DE1A22" w:rsidRDefault="00BD52D8" w:rsidP="00BD52D8">
      <w:pPr>
        <w:spacing w:before="100" w:beforeAutospacing="1" w:after="100" w:afterAutospacing="1"/>
        <w:jc w:val="center"/>
        <w:rPr>
          <w:rFonts w:eastAsia="Times New Roman"/>
          <w:b/>
          <w:sz w:val="24"/>
          <w:szCs w:val="24"/>
          <w:lang w:eastAsia="lv-LV"/>
        </w:rPr>
      </w:pPr>
      <w:r w:rsidRPr="00DE1A22">
        <w:rPr>
          <w:rFonts w:eastAsia="Times New Roman"/>
          <w:b/>
          <w:sz w:val="24"/>
          <w:szCs w:val="24"/>
          <w:lang w:eastAsia="lv-LV"/>
        </w:rPr>
        <w:t>I. Jautājumi, par kuriem saskaņošanā vienošanās nav panākta</w:t>
      </w:r>
    </w:p>
    <w:tbl>
      <w:tblPr>
        <w:tblW w:w="15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2866"/>
        <w:gridCol w:w="4111"/>
        <w:gridCol w:w="2693"/>
        <w:gridCol w:w="2410"/>
        <w:gridCol w:w="2551"/>
      </w:tblGrid>
      <w:tr w:rsidR="00651FC9" w:rsidRPr="00DE1A22" w:rsidTr="00E34FF5">
        <w:tc>
          <w:tcPr>
            <w:tcW w:w="707" w:type="dxa"/>
            <w:vAlign w:val="center"/>
          </w:tcPr>
          <w:p w:rsidR="00BD52D8" w:rsidRPr="00DE1A22" w:rsidRDefault="00156BC2" w:rsidP="00430CB6">
            <w:pPr>
              <w:pStyle w:val="naisc"/>
            </w:pPr>
            <w:r w:rsidRPr="00DE1A22">
              <w:t> Nr.</w:t>
            </w:r>
            <w:r w:rsidRPr="00DE1A22">
              <w:br/>
              <w:t> p.k.</w:t>
            </w:r>
          </w:p>
        </w:tc>
        <w:tc>
          <w:tcPr>
            <w:tcW w:w="2866" w:type="dxa"/>
            <w:vAlign w:val="center"/>
          </w:tcPr>
          <w:p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Saskaņošanai nosūtītā projekta redakcija (konkrēta punkta (panta) redakcija)</w:t>
            </w:r>
          </w:p>
        </w:tc>
        <w:tc>
          <w:tcPr>
            <w:tcW w:w="4111" w:type="dxa"/>
            <w:vAlign w:val="center"/>
          </w:tcPr>
          <w:p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Atzinumā norādītais ministrijas (citas institūcijas) iebildums, kā arī saskaņošanā papildus izteiktais iebildums par projekta konkrēto punktu (pantu)</w:t>
            </w:r>
          </w:p>
        </w:tc>
        <w:tc>
          <w:tcPr>
            <w:tcW w:w="2693" w:type="dxa"/>
            <w:vAlign w:val="center"/>
          </w:tcPr>
          <w:p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Atbildīgās ministrijas pamatojums iebilduma noraidījumam</w:t>
            </w:r>
          </w:p>
        </w:tc>
        <w:tc>
          <w:tcPr>
            <w:tcW w:w="2410" w:type="dxa"/>
            <w:vAlign w:val="center"/>
          </w:tcPr>
          <w:p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Atzinuma sniedzēja uzturētais iebildums, ja tas atšķiras no atzinumā norādītā iebilduma pamatojuma</w:t>
            </w:r>
          </w:p>
        </w:tc>
        <w:tc>
          <w:tcPr>
            <w:tcW w:w="2551" w:type="dxa"/>
            <w:vAlign w:val="center"/>
          </w:tcPr>
          <w:p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Projekta attiecīgā punkta (panta) galīgā redakcija</w:t>
            </w:r>
          </w:p>
        </w:tc>
      </w:tr>
      <w:tr w:rsidR="00651FC9" w:rsidRPr="00DE1A22" w:rsidTr="00E34FF5">
        <w:tc>
          <w:tcPr>
            <w:tcW w:w="707" w:type="dxa"/>
          </w:tcPr>
          <w:p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p>
        </w:tc>
        <w:tc>
          <w:tcPr>
            <w:tcW w:w="2866" w:type="dxa"/>
          </w:tcPr>
          <w:p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w:t>
            </w:r>
          </w:p>
        </w:tc>
        <w:tc>
          <w:tcPr>
            <w:tcW w:w="4111" w:type="dxa"/>
          </w:tcPr>
          <w:p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3</w:t>
            </w:r>
          </w:p>
        </w:tc>
        <w:tc>
          <w:tcPr>
            <w:tcW w:w="2693" w:type="dxa"/>
          </w:tcPr>
          <w:p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4</w:t>
            </w:r>
          </w:p>
        </w:tc>
        <w:tc>
          <w:tcPr>
            <w:tcW w:w="2410" w:type="dxa"/>
          </w:tcPr>
          <w:p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5</w:t>
            </w:r>
          </w:p>
        </w:tc>
        <w:tc>
          <w:tcPr>
            <w:tcW w:w="2551" w:type="dxa"/>
          </w:tcPr>
          <w:p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6</w:t>
            </w:r>
          </w:p>
        </w:tc>
      </w:tr>
      <w:tr w:rsidR="00651FC9" w:rsidRPr="00DE1A22" w:rsidTr="00E34FF5">
        <w:tc>
          <w:tcPr>
            <w:tcW w:w="707" w:type="dxa"/>
          </w:tcPr>
          <w:p w:rsidR="00897097" w:rsidRPr="00DE1A22" w:rsidRDefault="0047381A" w:rsidP="0047381A">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r w:rsidR="00897097" w:rsidRPr="00DE1A22">
              <w:rPr>
                <w:rFonts w:eastAsia="Times New Roman"/>
                <w:sz w:val="24"/>
                <w:szCs w:val="24"/>
                <w:lang w:eastAsia="lv-LV"/>
              </w:rPr>
              <w:t>.</w:t>
            </w:r>
          </w:p>
        </w:tc>
        <w:tc>
          <w:tcPr>
            <w:tcW w:w="2866" w:type="dxa"/>
          </w:tcPr>
          <w:p w:rsidR="00897097" w:rsidRPr="00DE1A22" w:rsidRDefault="00897097" w:rsidP="00897097">
            <w:pPr>
              <w:jc w:val="both"/>
              <w:rPr>
                <w:rFonts w:eastAsia="Times New Roman"/>
                <w:sz w:val="24"/>
                <w:szCs w:val="24"/>
                <w:lang w:eastAsia="lv-LV"/>
              </w:rPr>
            </w:pPr>
            <w:r w:rsidRPr="00DE1A22">
              <w:rPr>
                <w:rFonts w:eastAsia="Times New Roman"/>
                <w:sz w:val="24"/>
                <w:szCs w:val="24"/>
                <w:lang w:eastAsia="lv-LV"/>
              </w:rPr>
              <w:t>Pamatnostādņu 4. sadaļas 1. rīcības virziena “Atkarības profilakses, preventīvie, problemātiskā spēlētāja atbalsts un sabiedrības izglītojoši pasākumi” 13. uzdevums  “AIL noteikt ierobežojumu darba laikam azartspēļu zālēs, sākot no 3:00  līdz  6:00. Nodrošināt interaktīvajā vidē ierobežojumu dalībai interaktīvajās azartspēlēs, paredzot trīs stundu pārtraukumu diennakts laikā.”</w:t>
            </w:r>
          </w:p>
        </w:tc>
        <w:tc>
          <w:tcPr>
            <w:tcW w:w="4111" w:type="dxa"/>
          </w:tcPr>
          <w:p w:rsidR="00897097" w:rsidRPr="00DE1A22" w:rsidRDefault="00897097" w:rsidP="00897097">
            <w:pPr>
              <w:jc w:val="both"/>
              <w:rPr>
                <w:rFonts w:eastAsia="Times New Roman"/>
                <w:b/>
                <w:sz w:val="24"/>
                <w:szCs w:val="24"/>
              </w:rPr>
            </w:pPr>
            <w:r w:rsidRPr="00DE1A22">
              <w:rPr>
                <w:rFonts w:eastAsia="Times New Roman"/>
                <w:b/>
                <w:sz w:val="24"/>
                <w:szCs w:val="24"/>
              </w:rPr>
              <w:t>Latvijas Pašvaldību savienība (11.03.2020. Nr.202003/INIC143)</w:t>
            </w:r>
          </w:p>
          <w:p w:rsidR="00897097" w:rsidRPr="00DE1A22" w:rsidRDefault="00897097" w:rsidP="00897097">
            <w:pPr>
              <w:contextualSpacing/>
              <w:jc w:val="both"/>
              <w:rPr>
                <w:rFonts w:eastAsia="Times New Roman"/>
                <w:b/>
                <w:sz w:val="24"/>
                <w:szCs w:val="24"/>
              </w:rPr>
            </w:pPr>
            <w:r w:rsidRPr="00DE1A22">
              <w:rPr>
                <w:rFonts w:eastAsia="Times New Roman"/>
                <w:sz w:val="24"/>
                <w:szCs w:val="24"/>
              </w:rPr>
              <w:t>Paredzēt tiesības pašvaldībām to administratīvajā teritorijā noteikt azartspēļu zālēm maksimālo darba stundu skaitu diennaktī un attiecīgi azartspēļu zāļu darba laika pārtraukumu, kā arī tiesības noteikt maksimālo azartspēļu automātu skaitu.</w:t>
            </w:r>
          </w:p>
        </w:tc>
        <w:tc>
          <w:tcPr>
            <w:tcW w:w="2693" w:type="dxa"/>
          </w:tcPr>
          <w:p w:rsidR="00897097" w:rsidRPr="00DE1A22" w:rsidRDefault="00897097" w:rsidP="00897097">
            <w:pPr>
              <w:jc w:val="both"/>
              <w:rPr>
                <w:rFonts w:eastAsia="Times New Roman"/>
                <w:b/>
                <w:bCs/>
                <w:sz w:val="24"/>
                <w:szCs w:val="24"/>
                <w:lang w:eastAsia="lv-LV"/>
              </w:rPr>
            </w:pPr>
            <w:r w:rsidRPr="00DE1A22">
              <w:rPr>
                <w:rFonts w:eastAsia="Times New Roman"/>
                <w:b/>
                <w:bCs/>
                <w:sz w:val="24"/>
                <w:szCs w:val="24"/>
                <w:lang w:eastAsia="lv-LV"/>
              </w:rPr>
              <w:t>Nav ņemts vērā.</w:t>
            </w:r>
          </w:p>
          <w:p w:rsidR="00897097" w:rsidRPr="00DE1A22" w:rsidRDefault="00AD4B70" w:rsidP="002E59CC">
            <w:pPr>
              <w:jc w:val="both"/>
              <w:rPr>
                <w:rFonts w:eastAsia="Times New Roman"/>
                <w:b/>
                <w:bCs/>
                <w:sz w:val="24"/>
                <w:szCs w:val="24"/>
                <w:lang w:eastAsia="lv-LV"/>
              </w:rPr>
            </w:pPr>
            <w:r w:rsidRPr="00DE1A22">
              <w:rPr>
                <w:rFonts w:eastAsia="Times New Roman"/>
                <w:bCs/>
                <w:sz w:val="24"/>
                <w:szCs w:val="24"/>
                <w:lang w:eastAsia="lv-LV"/>
              </w:rPr>
              <w:t xml:space="preserve">Pamatnostādņu projekts kopumā paredz veidot centralizētu procesu ieviešanu, t.sk. </w:t>
            </w:r>
            <w:r w:rsidR="00D24F46" w:rsidRPr="00DE1A22">
              <w:rPr>
                <w:rFonts w:eastAsia="Times New Roman"/>
                <w:bCs/>
                <w:sz w:val="24"/>
                <w:szCs w:val="24"/>
                <w:lang w:eastAsia="lv-LV"/>
              </w:rPr>
              <w:t>kārtību kādā IAUI izvērtē azartspēļu organizēšanas vietas atbilstību AIL prasībām un izsniedz attiecīgās atļaujas. Turklāt saskatām vairākus riskus, nosakot tiesības pašvaldībai noteikt ne tikai darba laiku, bet arī azartspēļu automātu skaitu</w:t>
            </w:r>
            <w:r w:rsidR="002E59CC" w:rsidRPr="00DE1A22">
              <w:rPr>
                <w:rFonts w:eastAsia="Times New Roman"/>
                <w:bCs/>
                <w:sz w:val="24"/>
                <w:szCs w:val="24"/>
                <w:lang w:eastAsia="lv-LV"/>
              </w:rPr>
              <w:t xml:space="preserve"> (atšķirīga pieeja dažādās pašvaldībās, vienotās izpratnes trūkums par ievainojamības kritērijiem, lēmumu </w:t>
            </w:r>
            <w:r w:rsidR="002E59CC" w:rsidRPr="00DE1A22">
              <w:rPr>
                <w:rFonts w:eastAsia="Times New Roman"/>
                <w:bCs/>
                <w:sz w:val="24"/>
                <w:szCs w:val="24"/>
                <w:lang w:eastAsia="lv-LV"/>
              </w:rPr>
              <w:lastRenderedPageBreak/>
              <w:t>pieņemšanas decentralizācija un papildu resursu piesaistes nepieciešamība to pieņemšanā)</w:t>
            </w:r>
            <w:r w:rsidR="00D24F46" w:rsidRPr="00DE1A22">
              <w:rPr>
                <w:rFonts w:eastAsia="Times New Roman"/>
                <w:bCs/>
                <w:sz w:val="24"/>
                <w:szCs w:val="24"/>
                <w:lang w:eastAsia="lv-LV"/>
              </w:rPr>
              <w:t xml:space="preserve">. Līdz ar to uzskatām, ka ir saglabājama vienas iestādes uzraudzības un </w:t>
            </w:r>
            <w:r w:rsidR="007B7319" w:rsidRPr="00DE1A22">
              <w:rPr>
                <w:rFonts w:eastAsia="Times New Roman"/>
                <w:bCs/>
                <w:sz w:val="24"/>
                <w:szCs w:val="24"/>
                <w:lang w:eastAsia="lv-LV"/>
              </w:rPr>
              <w:t xml:space="preserve">vienlīdzīgs </w:t>
            </w:r>
            <w:r w:rsidR="00D24F46" w:rsidRPr="00DE1A22">
              <w:rPr>
                <w:rFonts w:eastAsia="Times New Roman"/>
                <w:bCs/>
                <w:sz w:val="24"/>
                <w:szCs w:val="24"/>
                <w:lang w:eastAsia="lv-LV"/>
              </w:rPr>
              <w:t xml:space="preserve">kritēriju </w:t>
            </w:r>
            <w:r w:rsidR="007B7319" w:rsidRPr="00DE1A22">
              <w:rPr>
                <w:rFonts w:eastAsia="Times New Roman"/>
                <w:bCs/>
                <w:sz w:val="24"/>
                <w:szCs w:val="24"/>
                <w:lang w:eastAsia="lv-LV"/>
              </w:rPr>
              <w:t>noteikšanas</w:t>
            </w:r>
            <w:r w:rsidR="00D24F46" w:rsidRPr="00DE1A22">
              <w:rPr>
                <w:rFonts w:eastAsia="Times New Roman"/>
                <w:bCs/>
                <w:sz w:val="24"/>
                <w:szCs w:val="24"/>
                <w:lang w:eastAsia="lv-LV"/>
              </w:rPr>
              <w:t xml:space="preserve"> princips, lai novērstu atšķirīgo pieeju dažādās pašvaldībās.</w:t>
            </w:r>
          </w:p>
        </w:tc>
        <w:tc>
          <w:tcPr>
            <w:tcW w:w="2410" w:type="dxa"/>
          </w:tcPr>
          <w:p w:rsidR="00897097" w:rsidRPr="00DE1A22" w:rsidRDefault="00897097" w:rsidP="00897097">
            <w:pPr>
              <w:spacing w:before="100" w:beforeAutospacing="1" w:after="100" w:afterAutospacing="1"/>
              <w:jc w:val="both"/>
              <w:rPr>
                <w:rFonts w:eastAsia="Times New Roman"/>
                <w:sz w:val="24"/>
                <w:szCs w:val="24"/>
                <w:lang w:eastAsia="lv-LV"/>
              </w:rPr>
            </w:pPr>
          </w:p>
        </w:tc>
        <w:tc>
          <w:tcPr>
            <w:tcW w:w="2551" w:type="dxa"/>
          </w:tcPr>
          <w:p w:rsidR="00897097" w:rsidRPr="00DE1A22" w:rsidRDefault="00897097" w:rsidP="00897097">
            <w:pPr>
              <w:spacing w:after="120"/>
              <w:jc w:val="both"/>
              <w:rPr>
                <w:rFonts w:eastAsia="Times New Roman"/>
                <w:sz w:val="24"/>
                <w:szCs w:val="24"/>
                <w:lang w:eastAsia="lv-LV"/>
              </w:rPr>
            </w:pPr>
          </w:p>
        </w:tc>
      </w:tr>
      <w:tr w:rsidR="00651FC9" w:rsidRPr="00DE1A22" w:rsidTr="00CC27CA">
        <w:tc>
          <w:tcPr>
            <w:tcW w:w="707" w:type="dxa"/>
          </w:tcPr>
          <w:p w:rsidR="00422366" w:rsidRPr="00DE1A22" w:rsidRDefault="00297FE2" w:rsidP="0047381A">
            <w:pPr>
              <w:spacing w:before="100" w:beforeAutospacing="1" w:after="100" w:afterAutospacing="1"/>
              <w:jc w:val="center"/>
              <w:rPr>
                <w:rFonts w:eastAsia="Times New Roman"/>
                <w:sz w:val="24"/>
                <w:szCs w:val="24"/>
                <w:lang w:eastAsia="lv-LV"/>
              </w:rPr>
            </w:pPr>
            <w:r>
              <w:rPr>
                <w:rFonts w:eastAsia="Times New Roman"/>
                <w:sz w:val="24"/>
                <w:szCs w:val="24"/>
                <w:lang w:eastAsia="lv-LV"/>
              </w:rPr>
              <w:t>2</w:t>
            </w:r>
            <w:r w:rsidR="00422366" w:rsidRPr="00DE1A22">
              <w:rPr>
                <w:rFonts w:eastAsia="Times New Roman"/>
                <w:sz w:val="24"/>
                <w:szCs w:val="24"/>
                <w:lang w:eastAsia="lv-LV"/>
              </w:rPr>
              <w:t>.</w:t>
            </w:r>
          </w:p>
        </w:tc>
        <w:tc>
          <w:tcPr>
            <w:tcW w:w="2866" w:type="dxa"/>
            <w:shd w:val="clear" w:color="auto" w:fill="auto"/>
          </w:tcPr>
          <w:p w:rsidR="00422366" w:rsidRPr="00DE1A22" w:rsidRDefault="00422366" w:rsidP="00422366">
            <w:pPr>
              <w:jc w:val="both"/>
              <w:rPr>
                <w:rFonts w:eastAsia="Times New Roman"/>
                <w:sz w:val="24"/>
                <w:szCs w:val="24"/>
                <w:lang w:eastAsia="lv-LV"/>
              </w:rPr>
            </w:pPr>
            <w:r w:rsidRPr="00DE1A22">
              <w:rPr>
                <w:rFonts w:eastAsia="Times New Roman"/>
                <w:sz w:val="24"/>
                <w:szCs w:val="24"/>
                <w:lang w:eastAsia="lv-LV"/>
              </w:rPr>
              <w:t>Pamatnostādņu 4. sadaļas 1. rīcības virziena “Atkarības profilakses, preventīvie, problemātiskā spēlētāja atbalsts un sabiedrības izglītojoši pasākumi” 22. uzdevums  “Noteikt ierobežojumu azartspēļu spēlēšanas laikā alkohola piedāvāšanai par brīvu.”</w:t>
            </w:r>
          </w:p>
        </w:tc>
        <w:tc>
          <w:tcPr>
            <w:tcW w:w="4111" w:type="dxa"/>
            <w:shd w:val="clear" w:color="auto" w:fill="auto"/>
          </w:tcPr>
          <w:p w:rsidR="00422366" w:rsidRPr="00DE1A22" w:rsidRDefault="00422366" w:rsidP="00422366">
            <w:pPr>
              <w:jc w:val="both"/>
              <w:rPr>
                <w:rFonts w:eastAsia="Times New Roman"/>
                <w:b/>
                <w:sz w:val="24"/>
                <w:szCs w:val="24"/>
              </w:rPr>
            </w:pPr>
            <w:r w:rsidRPr="00DE1A22">
              <w:rPr>
                <w:rFonts w:eastAsia="Times New Roman"/>
                <w:b/>
                <w:sz w:val="24"/>
                <w:szCs w:val="24"/>
              </w:rPr>
              <w:t>Latvijas Spēļu biznesa asociācija (05.03.2020. Nr.6/20)</w:t>
            </w:r>
          </w:p>
          <w:p w:rsidR="00422366" w:rsidRPr="00DE1A22" w:rsidRDefault="00422366" w:rsidP="00422366">
            <w:pPr>
              <w:jc w:val="both"/>
              <w:rPr>
                <w:rFonts w:eastAsia="Times New Roman"/>
                <w:sz w:val="24"/>
                <w:szCs w:val="24"/>
              </w:rPr>
            </w:pPr>
            <w:r w:rsidRPr="00DE1A22">
              <w:rPr>
                <w:rFonts w:eastAsia="Times New Roman"/>
                <w:sz w:val="24"/>
                <w:szCs w:val="24"/>
              </w:rPr>
              <w:t xml:space="preserve">LSBA vērš uzmanību Projekta 1.rīcības virziena 22.uzdevumam “Noteikt ierobežojumu azartspēļu spēlēšanas laikā alkohola piedāvāšanai par brīvu”. Veselības ministrijas izstrādātā plāna projekta “Alkoholisko dzērienu patēriņa mazināšanas un alkoholisma ierobežošanas rīcības plāns 2020.–2022.gadam” (VSS-1268) 1.7.punktā ietverts pasākums: “Aizliegt azartspēļu zālēs un kazino piedāvāt alkoholiskos dzērienus par brīvu. </w:t>
            </w:r>
            <w:r w:rsidRPr="00DE1A22">
              <w:rPr>
                <w:rFonts w:eastAsia="Times New Roman"/>
                <w:i/>
                <w:sz w:val="24"/>
                <w:szCs w:val="24"/>
              </w:rPr>
              <w:t>Tirgot un lietot alkoholiskos dzērienus azartspēļu zālēs un kazino atļauts tikai telpās, kuras konstruktīvi nodalītas no azartspēļu organizēšanas vietas.</w:t>
            </w:r>
            <w:r w:rsidRPr="00DE1A22">
              <w:rPr>
                <w:rFonts w:eastAsia="Times New Roman"/>
                <w:sz w:val="24"/>
                <w:szCs w:val="24"/>
              </w:rPr>
              <w:t>”</w:t>
            </w:r>
          </w:p>
          <w:p w:rsidR="00422366" w:rsidRPr="00DE1A22" w:rsidRDefault="00422366" w:rsidP="00422366">
            <w:pPr>
              <w:jc w:val="both"/>
              <w:rPr>
                <w:rFonts w:eastAsia="Times New Roman"/>
                <w:b/>
                <w:sz w:val="24"/>
                <w:szCs w:val="24"/>
              </w:rPr>
            </w:pPr>
            <w:r w:rsidRPr="00DE1A22">
              <w:rPr>
                <w:rFonts w:eastAsia="Times New Roman"/>
                <w:b/>
                <w:sz w:val="24"/>
                <w:szCs w:val="24"/>
              </w:rPr>
              <w:t>LSBA iebilst pret otrajā teikumā ietverto ierobežojumu, kas mūsu ieskatā ir nesamērīgs – gan no personas rīcības brīvības, gan godīgas konkurences aspekta.</w:t>
            </w:r>
          </w:p>
          <w:p w:rsidR="00422366" w:rsidRPr="00DE1A22" w:rsidRDefault="00422366" w:rsidP="00422366">
            <w:pPr>
              <w:jc w:val="both"/>
              <w:rPr>
                <w:rFonts w:eastAsia="Times New Roman"/>
                <w:i/>
                <w:sz w:val="24"/>
                <w:szCs w:val="24"/>
              </w:rPr>
            </w:pPr>
            <w:r w:rsidRPr="00DE1A22">
              <w:rPr>
                <w:rFonts w:eastAsia="Times New Roman"/>
                <w:sz w:val="24"/>
                <w:szCs w:val="24"/>
              </w:rPr>
              <w:lastRenderedPageBreak/>
              <w:t xml:space="preserve">Kā ir norādījusi arī Latvijas Darba devēju konfederācija (02.01.2020. vēstule Veselības ministrijai un NTSP sekretariātam), </w:t>
            </w:r>
            <w:r w:rsidRPr="00DE1A22">
              <w:rPr>
                <w:rFonts w:eastAsia="Times New Roman"/>
                <w:i/>
                <w:sz w:val="24"/>
                <w:szCs w:val="24"/>
              </w:rPr>
              <w:t xml:space="preserve">šāds indivīda un komersanta tiesību ierobežojums nav samērīgs un loģisks, un nav saprotams, kāds būtu ierobežojuma sasniedzamais mērķis un ieguvums. Azartspēļu organizēšanas vieta ir tāda pati izklaides vieta kā bārs, deju klubi, sporta sacensības, utt. Ja ierobežojums saistāms ar izklaides vietas atkarību riskiem, tad būtu sākotnēji jāizvērtē izklaides vietas, kurās atkarību risks ir krietni lielāks, un jāattiecina primāri uz tām un vienlaikus jādiskutē par horizontālu izklaides industrijas regulējumu, nevis ierobežojumu vienas nozares ietvaros. </w:t>
            </w:r>
          </w:p>
          <w:p w:rsidR="00422366" w:rsidRPr="00DE1A22" w:rsidRDefault="00422366" w:rsidP="00422366">
            <w:pPr>
              <w:jc w:val="both"/>
              <w:rPr>
                <w:rFonts w:eastAsia="Times New Roman"/>
                <w:b/>
                <w:sz w:val="24"/>
                <w:szCs w:val="24"/>
              </w:rPr>
            </w:pPr>
            <w:r w:rsidRPr="00DE1A22">
              <w:rPr>
                <w:rFonts w:eastAsia="Times New Roman"/>
                <w:sz w:val="24"/>
                <w:szCs w:val="24"/>
              </w:rPr>
              <w:t>Pasākuma mērķis ir samazināt riskantu alkoholisko dzērienu lietošanu azartspēļu zālēs un kazino. LSBA lūdz skaidrot, kādēļ alkoholisko dzērienu tirgošana un lietošana azartspēļu zālēs - slēgtā un kontrolētā vidē ir riskanta, savukārt, piemēram, degvielas uzpildes stacijās, kurās iepērkas galvenokārt auto vadītāji, tāda nav. VM pētījums rāda, ka problemātiska azartspēļu spēlēšana skar 6,4% no respondentiem</w:t>
            </w:r>
            <w:r w:rsidRPr="00DE1A22">
              <w:rPr>
                <w:rFonts w:eastAsia="Times New Roman"/>
                <w:b/>
                <w:sz w:val="24"/>
                <w:szCs w:val="24"/>
              </w:rPr>
              <w:t xml:space="preserve">. </w:t>
            </w:r>
            <w:r w:rsidRPr="00DE1A22">
              <w:rPr>
                <w:rFonts w:eastAsia="Times New Roman"/>
                <w:sz w:val="24"/>
                <w:szCs w:val="24"/>
              </w:rPr>
              <w:t xml:space="preserve">Salīdzinājumam CSDD 2018. gada maijā veiktajā pētījumā “Sabiedrības attieksme pret automašīnas vadīšanu alkohola reibumā”  katrs desmitais respondents atzina, ka viņam pēdējo trīs gadu laikā nācies pie stūres sēsties </w:t>
            </w:r>
            <w:r w:rsidRPr="00DE1A22">
              <w:rPr>
                <w:rFonts w:eastAsia="Times New Roman"/>
                <w:sz w:val="24"/>
                <w:szCs w:val="24"/>
              </w:rPr>
              <w:lastRenderedPageBreak/>
              <w:t xml:space="preserve">iedzērušam. VM plāna projektā attiecībā uz transportlīdzekļa vadītāju braukšanu alkohola reibumā ir ietverts vien pasākums “pastiprināt transportlīdzekļu vadītāju kontroli” (skat. Nr. 1.6.), taču nav ieplānoti tādi pasākumi, kas varētu ierobežot piekļuvi alkoholam. </w:t>
            </w:r>
            <w:r w:rsidRPr="00DE1A22">
              <w:rPr>
                <w:rFonts w:eastAsia="Times New Roman"/>
                <w:b/>
                <w:sz w:val="24"/>
                <w:szCs w:val="24"/>
              </w:rPr>
              <w:t>LSBA ieskatā valsts politikai būtu jābūt vienotai attiecībā uz visu atkarību mazināšanu un uzņēmējdarbību ierobežojošām metodēm, ar kādām to visefektīvāk panākt.</w:t>
            </w:r>
          </w:p>
        </w:tc>
        <w:tc>
          <w:tcPr>
            <w:tcW w:w="2693" w:type="dxa"/>
            <w:shd w:val="clear" w:color="auto" w:fill="auto"/>
          </w:tcPr>
          <w:p w:rsidR="00422366" w:rsidRPr="00DE1A22" w:rsidRDefault="00422366" w:rsidP="00422366">
            <w:pPr>
              <w:jc w:val="both"/>
              <w:rPr>
                <w:rFonts w:eastAsia="Times New Roman"/>
                <w:b/>
                <w:bCs/>
                <w:sz w:val="24"/>
                <w:szCs w:val="24"/>
                <w:lang w:eastAsia="lv-LV"/>
              </w:rPr>
            </w:pPr>
            <w:r w:rsidRPr="00DE1A22">
              <w:rPr>
                <w:rFonts w:eastAsia="Times New Roman"/>
                <w:b/>
                <w:bCs/>
                <w:sz w:val="24"/>
                <w:szCs w:val="24"/>
                <w:lang w:eastAsia="lv-LV"/>
              </w:rPr>
              <w:lastRenderedPageBreak/>
              <w:t>Nav ņemts vērā.</w:t>
            </w:r>
          </w:p>
          <w:p w:rsidR="001928E1" w:rsidRPr="00DE1A22" w:rsidRDefault="001928E1" w:rsidP="001928E1">
            <w:pPr>
              <w:jc w:val="both"/>
              <w:rPr>
                <w:sz w:val="24"/>
                <w:szCs w:val="24"/>
              </w:rPr>
            </w:pPr>
            <w:r w:rsidRPr="00DE1A22">
              <w:rPr>
                <w:sz w:val="24"/>
                <w:szCs w:val="24"/>
              </w:rPr>
              <w:t>Alkohola un nikotīna (vielisko atkarību veidošanas komponentes) lietošana piedaloties azartspēļu procesā var pastiprināt azartspēļu atkarības veidošanos. Bieži procesu atkarību procesi indivīdam nenoris izolēti, bet ir cieši saistīti ar vieliskajiem atkarību procesiem. Vienlaikus saikne var būt saistīta ar personas noslieci uz atkarību, jo tām ir vienots patofizioloģiskais mehānisms.</w:t>
            </w:r>
          </w:p>
          <w:p w:rsidR="00422366" w:rsidRPr="00DE1A22" w:rsidRDefault="001928E1" w:rsidP="001928E1">
            <w:pPr>
              <w:jc w:val="both"/>
              <w:rPr>
                <w:sz w:val="24"/>
                <w:szCs w:val="24"/>
              </w:rPr>
            </w:pPr>
            <w:r w:rsidRPr="00DE1A22">
              <w:rPr>
                <w:sz w:val="24"/>
                <w:szCs w:val="24"/>
              </w:rPr>
              <w:t>LV pētījumā ir pierādīts, ka spēlēšanas paradumi ir saistīti ar atkarību izraisošu vielu lietošanu.</w:t>
            </w:r>
          </w:p>
          <w:p w:rsidR="001928E1" w:rsidRPr="00DE1A22" w:rsidRDefault="001928E1" w:rsidP="001928E1">
            <w:pPr>
              <w:jc w:val="both"/>
              <w:rPr>
                <w:sz w:val="24"/>
                <w:szCs w:val="24"/>
              </w:rPr>
            </w:pPr>
          </w:p>
          <w:p w:rsidR="001928E1" w:rsidRPr="00DE1A22" w:rsidRDefault="001928E1" w:rsidP="00A12B84">
            <w:pPr>
              <w:jc w:val="both"/>
              <w:rPr>
                <w:rFonts w:eastAsia="Times New Roman"/>
                <w:b/>
                <w:bCs/>
                <w:sz w:val="24"/>
                <w:szCs w:val="24"/>
                <w:lang w:eastAsia="lv-LV"/>
              </w:rPr>
            </w:pPr>
            <w:r w:rsidRPr="00DE1A22">
              <w:rPr>
                <w:sz w:val="24"/>
                <w:szCs w:val="24"/>
              </w:rPr>
              <w:lastRenderedPageBreak/>
              <w:t>Vienlaikus norādām, ka salīdzinājums, ka alkoholisko dzērienu tirgošana un lietošana azartspēļu zālēs ir mazāk riskanta nekā alkoholisko dzērienu tirgošana degvielas uzpildes stacijās ir nekorekta, jo nevar salīdzināt rīcības procesus, ka</w:t>
            </w:r>
            <w:r w:rsidR="00A12B84" w:rsidRPr="00DE1A22">
              <w:rPr>
                <w:sz w:val="24"/>
                <w:szCs w:val="24"/>
              </w:rPr>
              <w:t>d</w:t>
            </w:r>
            <w:r w:rsidRPr="00DE1A22">
              <w:rPr>
                <w:sz w:val="24"/>
                <w:szCs w:val="24"/>
              </w:rPr>
              <w:t xml:space="preserve"> </w:t>
            </w:r>
            <w:r w:rsidR="00A12B84" w:rsidRPr="00DE1A22">
              <w:rPr>
                <w:sz w:val="24"/>
                <w:szCs w:val="24"/>
              </w:rPr>
              <w:t xml:space="preserve">patēriņam </w:t>
            </w:r>
            <w:r w:rsidRPr="00DE1A22">
              <w:rPr>
                <w:sz w:val="24"/>
                <w:szCs w:val="24"/>
              </w:rPr>
              <w:t>tiek iegādāts alkoholisks produkts</w:t>
            </w:r>
            <w:r w:rsidR="00A12B84" w:rsidRPr="00DE1A22">
              <w:rPr>
                <w:sz w:val="24"/>
                <w:szCs w:val="24"/>
              </w:rPr>
              <w:t xml:space="preserve"> ar to, kad</w:t>
            </w:r>
            <w:r w:rsidRPr="00DE1A22">
              <w:rPr>
                <w:sz w:val="24"/>
                <w:szCs w:val="24"/>
              </w:rPr>
              <w:t xml:space="preserve"> </w:t>
            </w:r>
            <w:r w:rsidR="00A12B84" w:rsidRPr="00DE1A22">
              <w:rPr>
                <w:sz w:val="24"/>
                <w:szCs w:val="24"/>
              </w:rPr>
              <w:t>alkohols tiek</w:t>
            </w:r>
            <w:r w:rsidRPr="00DE1A22">
              <w:rPr>
                <w:sz w:val="24"/>
                <w:szCs w:val="24"/>
              </w:rPr>
              <w:t xml:space="preserve"> izmantots procesā, kas pastiprina</w:t>
            </w:r>
            <w:r w:rsidR="000A27C1" w:rsidRPr="00DE1A22">
              <w:rPr>
                <w:sz w:val="24"/>
                <w:szCs w:val="24"/>
              </w:rPr>
              <w:t xml:space="preserve"> tieksmi uz pārmērīga saistītā procesa darbībām</w:t>
            </w:r>
            <w:r w:rsidRPr="00DE1A22">
              <w:rPr>
                <w:sz w:val="24"/>
                <w:szCs w:val="24"/>
              </w:rPr>
              <w:t>.</w:t>
            </w:r>
          </w:p>
        </w:tc>
        <w:tc>
          <w:tcPr>
            <w:tcW w:w="2410" w:type="dxa"/>
            <w:shd w:val="clear" w:color="auto" w:fill="auto"/>
          </w:tcPr>
          <w:p w:rsidR="00422366" w:rsidRPr="00DE1A22" w:rsidRDefault="00422366" w:rsidP="00422366">
            <w:pPr>
              <w:spacing w:before="100" w:beforeAutospacing="1" w:after="100" w:afterAutospacing="1"/>
              <w:jc w:val="both"/>
              <w:rPr>
                <w:rFonts w:eastAsia="Times New Roman"/>
                <w:sz w:val="24"/>
                <w:szCs w:val="24"/>
                <w:lang w:eastAsia="lv-LV"/>
              </w:rPr>
            </w:pPr>
          </w:p>
        </w:tc>
        <w:tc>
          <w:tcPr>
            <w:tcW w:w="2551" w:type="dxa"/>
            <w:shd w:val="clear" w:color="auto" w:fill="auto"/>
          </w:tcPr>
          <w:p w:rsidR="00422366" w:rsidRPr="00DE1A22" w:rsidRDefault="00422366" w:rsidP="00422366">
            <w:pPr>
              <w:spacing w:after="120"/>
              <w:jc w:val="both"/>
              <w:rPr>
                <w:rFonts w:eastAsia="Times New Roman"/>
                <w:sz w:val="24"/>
                <w:szCs w:val="24"/>
                <w:lang w:eastAsia="lv-LV"/>
              </w:rPr>
            </w:pPr>
          </w:p>
        </w:tc>
      </w:tr>
      <w:tr w:rsidR="00651FC9" w:rsidRPr="00DE1A22" w:rsidTr="00CC27CA">
        <w:tc>
          <w:tcPr>
            <w:tcW w:w="707" w:type="dxa"/>
          </w:tcPr>
          <w:p w:rsidR="00651FC9" w:rsidRPr="00DE1A22" w:rsidRDefault="00297FE2" w:rsidP="00651FC9">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3</w:t>
            </w:r>
            <w:r w:rsidR="00651FC9" w:rsidRPr="00DE1A22">
              <w:rPr>
                <w:rFonts w:eastAsia="Times New Roman"/>
                <w:sz w:val="24"/>
                <w:szCs w:val="24"/>
                <w:lang w:eastAsia="lv-LV"/>
              </w:rPr>
              <w:t>.</w:t>
            </w:r>
          </w:p>
        </w:tc>
        <w:tc>
          <w:tcPr>
            <w:tcW w:w="2866" w:type="dxa"/>
            <w:shd w:val="clear" w:color="auto" w:fill="auto"/>
          </w:tcPr>
          <w:p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Pamatnostādņu 4. sadaļas 2. rīcības virziena “Azartspēļu un izložu reklāmas aizlieguma kontrole”.</w:t>
            </w:r>
          </w:p>
        </w:tc>
        <w:tc>
          <w:tcPr>
            <w:tcW w:w="4111" w:type="dxa"/>
            <w:shd w:val="clear" w:color="auto" w:fill="auto"/>
          </w:tcPr>
          <w:p w:rsidR="00651FC9" w:rsidRPr="00DE1A22" w:rsidRDefault="00651FC9" w:rsidP="00651FC9">
            <w:pPr>
              <w:contextualSpacing/>
              <w:jc w:val="both"/>
              <w:rPr>
                <w:rFonts w:eastAsia="Times New Roman"/>
                <w:b/>
                <w:sz w:val="24"/>
                <w:szCs w:val="24"/>
              </w:rPr>
            </w:pPr>
            <w:r w:rsidRPr="00DE1A22">
              <w:rPr>
                <w:rFonts w:eastAsia="Times New Roman"/>
                <w:b/>
                <w:sz w:val="24"/>
                <w:szCs w:val="24"/>
              </w:rPr>
              <w:t>Latvijas Spēļu biznesa asociācija (05.03.2020. Nr.6/20)</w:t>
            </w:r>
          </w:p>
          <w:p w:rsidR="00651FC9" w:rsidRPr="00DE1A22" w:rsidRDefault="00651FC9" w:rsidP="00651FC9">
            <w:pPr>
              <w:jc w:val="both"/>
              <w:rPr>
                <w:rFonts w:eastAsia="Times New Roman"/>
                <w:b/>
                <w:sz w:val="24"/>
                <w:szCs w:val="24"/>
              </w:rPr>
            </w:pPr>
            <w:r w:rsidRPr="00DE1A22">
              <w:rPr>
                <w:rFonts w:eastAsia="Times New Roman"/>
                <w:sz w:val="24"/>
                <w:szCs w:val="24"/>
              </w:rPr>
              <w:t>Papildināt ar uzdevumu šādā redakcijā: “Grozījumi AIL, nosakot izlozēm azartspēlēm analogus reklāmas ierobežojumus.” Pamatojums pie iebilduma par izložu nodalīšanas no azartspēlēm.</w:t>
            </w:r>
          </w:p>
        </w:tc>
        <w:tc>
          <w:tcPr>
            <w:tcW w:w="2693" w:type="dxa"/>
            <w:shd w:val="clear" w:color="auto" w:fill="auto"/>
          </w:tcPr>
          <w:p w:rsidR="00651FC9" w:rsidRPr="00DE1A22" w:rsidRDefault="00651FC9" w:rsidP="00651FC9">
            <w:pPr>
              <w:jc w:val="both"/>
              <w:rPr>
                <w:rFonts w:eastAsia="Times New Roman"/>
                <w:b/>
                <w:bCs/>
                <w:sz w:val="24"/>
                <w:szCs w:val="24"/>
                <w:lang w:eastAsia="lv-LV"/>
              </w:rPr>
            </w:pPr>
            <w:r w:rsidRPr="00DE1A22">
              <w:rPr>
                <w:rFonts w:eastAsia="Times New Roman"/>
                <w:b/>
                <w:bCs/>
                <w:sz w:val="24"/>
                <w:szCs w:val="24"/>
                <w:lang w:eastAsia="lv-LV"/>
              </w:rPr>
              <w:t>Nav ņemts vērā.</w:t>
            </w:r>
          </w:p>
          <w:p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 xml:space="preserve">Zinātniskajos pētījumos ir secināts, ka azartspēļu automāti un kazino spēles ir  tie azartspēļu veidi, kas visvairāk ir saistīti ar azartspēļu atkarības veidošanos. </w:t>
            </w:r>
          </w:p>
          <w:p w:rsidR="00651FC9" w:rsidRPr="00DE1A22" w:rsidRDefault="00651FC9" w:rsidP="00651FC9">
            <w:pPr>
              <w:jc w:val="both"/>
            </w:pPr>
            <w:r w:rsidRPr="00DE1A22">
              <w:rPr>
                <w:rFonts w:eastAsia="Times New Roman"/>
                <w:sz w:val="24"/>
                <w:szCs w:val="24"/>
                <w:lang w:eastAsia="lv-LV"/>
              </w:rPr>
              <w:t>Līdz ar to pasākumiem jābūt pēc iespējas fokusētākiem un orientētiem tieši uz būtiskāko risku mazināšanu, lai sasniegtu labāku rezultātu.  Lai sasniegtu labāko rezultatīvo rādītāju, pasākumiem jābūt salāgotiem ar riska pakāpi</w:t>
            </w:r>
            <w:r w:rsidRPr="00DE1A22">
              <w:t>.</w:t>
            </w:r>
            <w:r w:rsidRPr="00DE1A22">
              <w:rPr>
                <w:rStyle w:val="FootnoteReference"/>
              </w:rPr>
              <w:footnoteReference w:id="1"/>
            </w:r>
          </w:p>
          <w:p w:rsidR="00651FC9" w:rsidRPr="00DE1A22" w:rsidRDefault="00651FC9" w:rsidP="00651FC9">
            <w:pPr>
              <w:pStyle w:val="NoSpacing"/>
              <w:jc w:val="both"/>
              <w:rPr>
                <w:lang w:val="lv-LV"/>
              </w:rPr>
            </w:pPr>
            <w:r w:rsidRPr="00DE1A22">
              <w:rPr>
                <w:lang w:val="lv-LV"/>
              </w:rPr>
              <w:lastRenderedPageBreak/>
              <w:t>LV pētījums rāda, ka, lai arī azartspēles automātos spēlē salīdzinoši mazāks respondentu īpatsvars kā loterijas, šādi kopumā mazinot problemātisko spēlmaņu īpatsvaru populācijā, tomēr tā kaitīgā ietekme ir augstāka, skarot pat lielāko daļu aktīvo regulāro spēlētāju.</w:t>
            </w:r>
          </w:p>
          <w:p w:rsidR="00651FC9" w:rsidRPr="00DE1A22" w:rsidRDefault="00651FC9" w:rsidP="00651FC9">
            <w:pPr>
              <w:pStyle w:val="Default"/>
              <w:jc w:val="both"/>
              <w:rPr>
                <w:rFonts w:ascii="Times New Roman" w:hAnsi="Times New Roman" w:cs="Times New Roman"/>
                <w:color w:val="auto"/>
              </w:rPr>
            </w:pPr>
            <w:r w:rsidRPr="00DE1A22">
              <w:rPr>
                <w:rFonts w:ascii="Times New Roman" w:hAnsi="Times New Roman" w:cs="Times New Roman"/>
                <w:color w:val="auto"/>
              </w:rPr>
              <w:t xml:space="preserve">Aktīvo 60% spēļu automātu spēlētāju problēmas saskaņā ar indeksa vērtībām uzskatāmas nevis par zema līmeņa, bet gan par vidēja vai augsta līmeņa problēmām. </w:t>
            </w:r>
          </w:p>
          <w:p w:rsidR="00651FC9" w:rsidRPr="00DE1A22" w:rsidRDefault="00651FC9" w:rsidP="00651FC9">
            <w:pPr>
              <w:jc w:val="both"/>
              <w:rPr>
                <w:rFonts w:eastAsia="Times New Roman"/>
                <w:b/>
                <w:bCs/>
                <w:sz w:val="24"/>
                <w:szCs w:val="24"/>
                <w:lang w:eastAsia="lv-LV"/>
              </w:rPr>
            </w:pPr>
            <w:r w:rsidRPr="00DE1A22">
              <w:rPr>
                <w:sz w:val="24"/>
                <w:szCs w:val="24"/>
              </w:rPr>
              <w:t xml:space="preserve">Iepriekš minētie secinājumi nosaka, ka izložu spēlētājiem ir mazāks atkarības risks. Ņemot vērā iepriekš minēto, reklāmas aizlieguma attiecināšana uz izlozēm ir nesamērīga. </w:t>
            </w:r>
          </w:p>
        </w:tc>
        <w:tc>
          <w:tcPr>
            <w:tcW w:w="2410" w:type="dxa"/>
            <w:shd w:val="clear" w:color="auto" w:fill="auto"/>
          </w:tcPr>
          <w:p w:rsidR="00651FC9" w:rsidRPr="00DE1A22" w:rsidRDefault="00651FC9" w:rsidP="00651FC9">
            <w:pPr>
              <w:spacing w:before="100" w:beforeAutospacing="1" w:after="100" w:afterAutospacing="1"/>
              <w:jc w:val="both"/>
              <w:rPr>
                <w:rFonts w:eastAsia="Times New Roman"/>
                <w:sz w:val="24"/>
                <w:szCs w:val="24"/>
                <w:lang w:eastAsia="lv-LV"/>
              </w:rPr>
            </w:pPr>
          </w:p>
        </w:tc>
        <w:tc>
          <w:tcPr>
            <w:tcW w:w="2551" w:type="dxa"/>
            <w:shd w:val="clear" w:color="auto" w:fill="auto"/>
          </w:tcPr>
          <w:p w:rsidR="00651FC9" w:rsidRPr="00DE1A22" w:rsidRDefault="00651FC9" w:rsidP="00651FC9">
            <w:pPr>
              <w:spacing w:after="120"/>
              <w:jc w:val="both"/>
              <w:rPr>
                <w:rFonts w:eastAsia="Times New Roman"/>
                <w:sz w:val="24"/>
                <w:szCs w:val="24"/>
                <w:lang w:eastAsia="lv-LV"/>
              </w:rPr>
            </w:pPr>
          </w:p>
        </w:tc>
      </w:tr>
      <w:tr w:rsidR="00297FE2" w:rsidRPr="00DE1A22" w:rsidTr="00CC27CA">
        <w:tc>
          <w:tcPr>
            <w:tcW w:w="707" w:type="dxa"/>
          </w:tcPr>
          <w:p w:rsidR="00297FE2" w:rsidRPr="00DE1A22" w:rsidRDefault="00297FE2" w:rsidP="00297FE2">
            <w:pPr>
              <w:spacing w:before="100" w:beforeAutospacing="1" w:after="100" w:afterAutospacing="1"/>
              <w:jc w:val="center"/>
              <w:rPr>
                <w:rFonts w:eastAsia="Times New Roman"/>
                <w:sz w:val="24"/>
                <w:szCs w:val="24"/>
                <w:lang w:eastAsia="lv-LV"/>
              </w:rPr>
            </w:pPr>
            <w:r>
              <w:rPr>
                <w:rFonts w:eastAsia="Times New Roman"/>
                <w:sz w:val="24"/>
                <w:szCs w:val="24"/>
                <w:lang w:eastAsia="lv-LV"/>
              </w:rPr>
              <w:t>4</w:t>
            </w:r>
            <w:r w:rsidRPr="00DE1A22">
              <w:rPr>
                <w:rFonts w:eastAsia="Times New Roman"/>
                <w:sz w:val="24"/>
                <w:szCs w:val="24"/>
                <w:lang w:eastAsia="lv-LV"/>
              </w:rPr>
              <w:t>.</w:t>
            </w:r>
          </w:p>
        </w:tc>
        <w:tc>
          <w:tcPr>
            <w:tcW w:w="2866" w:type="dxa"/>
            <w:shd w:val="clear" w:color="auto" w:fill="auto"/>
          </w:tcPr>
          <w:p w:rsidR="00297FE2" w:rsidRPr="00DE1A22" w:rsidRDefault="00297FE2" w:rsidP="00297FE2">
            <w:pPr>
              <w:jc w:val="both"/>
              <w:rPr>
                <w:rFonts w:eastAsia="Times New Roman"/>
                <w:sz w:val="24"/>
                <w:szCs w:val="24"/>
                <w:lang w:eastAsia="lv-LV"/>
              </w:rPr>
            </w:pPr>
            <w:r w:rsidRPr="00DE1A22">
              <w:rPr>
                <w:rFonts w:eastAsia="Times New Roman"/>
                <w:sz w:val="24"/>
                <w:szCs w:val="24"/>
                <w:lang w:eastAsia="lv-LV"/>
              </w:rPr>
              <w:t>Pamatnostādņu 4. sadaļas 2. rīcības virziena “Azartspēļu un izložu reklāmas aizlieguma kontrole.”</w:t>
            </w:r>
          </w:p>
        </w:tc>
        <w:tc>
          <w:tcPr>
            <w:tcW w:w="4111" w:type="dxa"/>
            <w:shd w:val="clear" w:color="auto" w:fill="auto"/>
          </w:tcPr>
          <w:p w:rsidR="00297FE2" w:rsidRPr="00DE1A22" w:rsidRDefault="00297FE2" w:rsidP="00297FE2">
            <w:pPr>
              <w:jc w:val="both"/>
              <w:rPr>
                <w:rFonts w:eastAsia="Times New Roman"/>
                <w:b/>
                <w:sz w:val="24"/>
                <w:szCs w:val="24"/>
              </w:rPr>
            </w:pPr>
            <w:r w:rsidRPr="00DE1A22">
              <w:rPr>
                <w:rFonts w:eastAsia="Times New Roman"/>
                <w:b/>
                <w:sz w:val="24"/>
                <w:szCs w:val="24"/>
              </w:rPr>
              <w:t>Veselības ministrija (02.03.2020. Nr.01-09/1090)</w:t>
            </w:r>
          </w:p>
          <w:p w:rsidR="00297FE2" w:rsidRPr="00DE1A22" w:rsidRDefault="00297FE2" w:rsidP="00297FE2">
            <w:pPr>
              <w:jc w:val="both"/>
              <w:rPr>
                <w:rFonts w:eastAsia="Times New Roman"/>
                <w:b/>
                <w:sz w:val="24"/>
                <w:szCs w:val="24"/>
              </w:rPr>
            </w:pPr>
            <w:r w:rsidRPr="00DE1A22">
              <w:rPr>
                <w:rFonts w:eastAsia="Times New Roman"/>
                <w:b/>
                <w:sz w:val="24"/>
                <w:szCs w:val="24"/>
              </w:rPr>
              <w:t xml:space="preserve">Lūdzam pamatnostādņu projekta rīcības virzienā “Azartspēļu un izložu reklāmas aizlieguma kontrole” iekļaut jaunu uzdevumu – aizliegt reklāmu izlozēm, nosakot, ka atļauta tikai rezultātu paziņošana specializētos </w:t>
            </w:r>
            <w:r w:rsidRPr="00DE1A22">
              <w:rPr>
                <w:rFonts w:eastAsia="Times New Roman"/>
                <w:b/>
                <w:sz w:val="24"/>
                <w:szCs w:val="24"/>
              </w:rPr>
              <w:lastRenderedPageBreak/>
              <w:t>raidījumos</w:t>
            </w:r>
            <w:r w:rsidRPr="00DE1A22">
              <w:rPr>
                <w:rFonts w:eastAsia="Times New Roman"/>
                <w:sz w:val="24"/>
                <w:szCs w:val="24"/>
              </w:rPr>
              <w:t>, nosakot ierobežojumus diennakts laikam un biežumam. Attiecībā uz izlozēm un loterijām būtu jāierobežo arī vides reklāma. Veselības ministrija jau iepriekš sniegtajā atzinumā Nr.01-09/448 (2019.gada 30.janvārī) aicināja pamatnostādņu projektā iekļaut šādu pasākumu.</w:t>
            </w:r>
          </w:p>
        </w:tc>
        <w:tc>
          <w:tcPr>
            <w:tcW w:w="2693" w:type="dxa"/>
            <w:shd w:val="clear" w:color="auto" w:fill="auto"/>
          </w:tcPr>
          <w:p w:rsidR="00297FE2" w:rsidRPr="00DE1A22" w:rsidRDefault="00297FE2" w:rsidP="00297FE2">
            <w:pPr>
              <w:jc w:val="both"/>
              <w:rPr>
                <w:rFonts w:eastAsia="Times New Roman"/>
                <w:b/>
                <w:bCs/>
                <w:sz w:val="24"/>
                <w:szCs w:val="24"/>
                <w:lang w:eastAsia="lv-LV"/>
              </w:rPr>
            </w:pPr>
            <w:r w:rsidRPr="00DE1A22">
              <w:rPr>
                <w:rFonts w:eastAsia="Times New Roman"/>
                <w:b/>
                <w:bCs/>
                <w:sz w:val="24"/>
                <w:szCs w:val="24"/>
                <w:lang w:eastAsia="lv-LV"/>
              </w:rPr>
              <w:lastRenderedPageBreak/>
              <w:t>Nav ņemts vērā.</w:t>
            </w:r>
          </w:p>
          <w:p w:rsidR="00297FE2" w:rsidRPr="00DE1A22" w:rsidRDefault="00297FE2" w:rsidP="00297FE2">
            <w:pPr>
              <w:pStyle w:val="NoSpacing"/>
              <w:jc w:val="both"/>
              <w:rPr>
                <w:lang w:val="lv-LV"/>
              </w:rPr>
            </w:pPr>
            <w:r w:rsidRPr="00DE1A22">
              <w:rPr>
                <w:lang w:val="lv-LV"/>
              </w:rPr>
              <w:t xml:space="preserve">Zinātniskajos pētījumos ir secināts, ka izlozes, derības un totalizatori ir tie azartspēļu veidi, kuri vismazāk saistās ar </w:t>
            </w:r>
            <w:r w:rsidRPr="00DE1A22">
              <w:rPr>
                <w:lang w:val="lv-LV"/>
              </w:rPr>
              <w:lastRenderedPageBreak/>
              <w:t>azartspēļu atkarības veidošanos.</w:t>
            </w:r>
            <w:r w:rsidRPr="00DE1A22">
              <w:rPr>
                <w:rStyle w:val="FootnoteReference"/>
                <w:lang w:val="lv-LV"/>
              </w:rPr>
              <w:footnoteReference w:id="2"/>
            </w:r>
          </w:p>
          <w:p w:rsidR="00297FE2" w:rsidRPr="00DE1A22" w:rsidRDefault="00297FE2" w:rsidP="00297FE2">
            <w:pPr>
              <w:pStyle w:val="NoSpacing"/>
              <w:jc w:val="both"/>
              <w:rPr>
                <w:lang w:val="lv-LV"/>
              </w:rPr>
            </w:pPr>
            <w:r w:rsidRPr="00DE1A22">
              <w:rPr>
                <w:lang w:val="lv-LV"/>
              </w:rPr>
              <w:t>LV pētījums rāda, ka, lai arī azartspēles automātos spēlē salīdzinoši mazāks respondentu īpatsvars kā loterijas, šādi kopumā mazinot problemātisko spēlmaņu īpatsvaru populācijā, tomēr tā kaitīgā ietekme ir augstāka, skarot pat lielāko daļu aktīvo regulāro spēlētāju.</w:t>
            </w:r>
          </w:p>
          <w:p w:rsidR="00297FE2" w:rsidRPr="00DE1A22" w:rsidRDefault="00297FE2" w:rsidP="00297FE2">
            <w:pPr>
              <w:jc w:val="both"/>
              <w:rPr>
                <w:sz w:val="24"/>
                <w:szCs w:val="24"/>
              </w:rPr>
            </w:pPr>
            <w:r w:rsidRPr="00DE1A22">
              <w:rPr>
                <w:sz w:val="24"/>
                <w:szCs w:val="24"/>
              </w:rPr>
              <w:t>Aktīvo 60% spēļu automātu spēlētāju problēmas saskaņā ar indeksa vērtībām uzskatāmas nevis par zema līmeņa, bet gan par vidēja vai augsta līmeņa problēmām.</w:t>
            </w:r>
          </w:p>
          <w:p w:rsidR="00297FE2" w:rsidRPr="00DE1A22" w:rsidRDefault="00297FE2" w:rsidP="00297FE2">
            <w:pPr>
              <w:jc w:val="both"/>
              <w:rPr>
                <w:rFonts w:eastAsia="Times New Roman"/>
                <w:b/>
                <w:bCs/>
                <w:sz w:val="24"/>
                <w:szCs w:val="24"/>
                <w:lang w:eastAsia="lv-LV"/>
              </w:rPr>
            </w:pPr>
            <w:r w:rsidRPr="00DE1A22">
              <w:rPr>
                <w:sz w:val="24"/>
                <w:szCs w:val="24"/>
              </w:rPr>
              <w:t>Iepriekš minētie secinājumi nosaka, ka izložu spēlētājiem ir būtiski mazāks atkarības risks.</w:t>
            </w:r>
          </w:p>
        </w:tc>
        <w:tc>
          <w:tcPr>
            <w:tcW w:w="2410" w:type="dxa"/>
            <w:shd w:val="clear" w:color="auto" w:fill="auto"/>
          </w:tcPr>
          <w:p w:rsidR="00297FE2" w:rsidRPr="00DE1A22" w:rsidRDefault="00297FE2" w:rsidP="00297FE2">
            <w:pPr>
              <w:spacing w:before="100" w:beforeAutospacing="1" w:after="100" w:afterAutospacing="1"/>
              <w:jc w:val="both"/>
              <w:rPr>
                <w:rFonts w:eastAsia="Times New Roman"/>
                <w:sz w:val="24"/>
                <w:szCs w:val="24"/>
                <w:lang w:eastAsia="lv-LV"/>
              </w:rPr>
            </w:pPr>
          </w:p>
        </w:tc>
        <w:tc>
          <w:tcPr>
            <w:tcW w:w="2551" w:type="dxa"/>
            <w:shd w:val="clear" w:color="auto" w:fill="auto"/>
          </w:tcPr>
          <w:p w:rsidR="00297FE2" w:rsidRPr="00DE1A22" w:rsidRDefault="00297FE2" w:rsidP="00297FE2">
            <w:pPr>
              <w:spacing w:after="120"/>
              <w:jc w:val="both"/>
              <w:rPr>
                <w:rFonts w:eastAsia="Times New Roman"/>
                <w:sz w:val="24"/>
                <w:szCs w:val="24"/>
                <w:lang w:eastAsia="lv-LV"/>
              </w:rPr>
            </w:pPr>
          </w:p>
        </w:tc>
      </w:tr>
      <w:tr w:rsidR="00297FE2" w:rsidRPr="00DE1A22" w:rsidTr="00CC27CA">
        <w:tc>
          <w:tcPr>
            <w:tcW w:w="707" w:type="dxa"/>
          </w:tcPr>
          <w:p w:rsidR="00297FE2" w:rsidRPr="00DE1A22" w:rsidRDefault="00297FE2" w:rsidP="00297FE2">
            <w:pPr>
              <w:spacing w:before="100" w:beforeAutospacing="1" w:after="100" w:afterAutospacing="1"/>
              <w:jc w:val="center"/>
              <w:rPr>
                <w:rFonts w:eastAsia="Times New Roman"/>
                <w:sz w:val="24"/>
                <w:szCs w:val="24"/>
                <w:lang w:eastAsia="lv-LV"/>
              </w:rPr>
            </w:pPr>
            <w:r>
              <w:rPr>
                <w:rFonts w:eastAsia="Times New Roman"/>
                <w:sz w:val="24"/>
                <w:szCs w:val="24"/>
                <w:lang w:eastAsia="lv-LV"/>
              </w:rPr>
              <w:t>5</w:t>
            </w:r>
            <w:r w:rsidRPr="00DE1A22">
              <w:rPr>
                <w:rFonts w:eastAsia="Times New Roman"/>
                <w:sz w:val="24"/>
                <w:szCs w:val="24"/>
                <w:lang w:eastAsia="lv-LV"/>
              </w:rPr>
              <w:t>.</w:t>
            </w:r>
          </w:p>
        </w:tc>
        <w:tc>
          <w:tcPr>
            <w:tcW w:w="2866" w:type="dxa"/>
          </w:tcPr>
          <w:p w:rsidR="00297FE2" w:rsidRPr="00DE1A22" w:rsidRDefault="00297FE2" w:rsidP="00297FE2">
            <w:pPr>
              <w:jc w:val="both"/>
              <w:rPr>
                <w:rFonts w:eastAsia="Times New Roman"/>
                <w:sz w:val="24"/>
                <w:szCs w:val="24"/>
                <w:lang w:eastAsia="lv-LV"/>
              </w:rPr>
            </w:pPr>
            <w:r w:rsidRPr="00DE1A22">
              <w:rPr>
                <w:rFonts w:eastAsia="Times New Roman"/>
                <w:sz w:val="24"/>
                <w:szCs w:val="24"/>
                <w:lang w:eastAsia="lv-LV"/>
              </w:rPr>
              <w:t xml:space="preserve">Pamatnostādņu 4. sadaļas 2. rīcības virziena “Azartspēļu un izložu reklāmas aizlieguma kontrole” 2. uzdevums “Noteikt prasības attiecībā uz preču zīmes, kā arī </w:t>
            </w:r>
            <w:r w:rsidRPr="00DE1A22">
              <w:rPr>
                <w:rFonts w:eastAsia="Times New Roman"/>
                <w:sz w:val="24"/>
                <w:szCs w:val="24"/>
                <w:lang w:eastAsia="lv-LV"/>
              </w:rPr>
              <w:lastRenderedPageBreak/>
              <w:t>izkārtņu saturu azartspēļu jomā, aizliedzot izmantot tekstu vai grafiskos elementus, kas var vedināt uz dalību spēlē. ”</w:t>
            </w:r>
          </w:p>
        </w:tc>
        <w:tc>
          <w:tcPr>
            <w:tcW w:w="4111" w:type="dxa"/>
          </w:tcPr>
          <w:p w:rsidR="00297FE2" w:rsidRPr="00DE1A22" w:rsidRDefault="00297FE2" w:rsidP="00297FE2">
            <w:pPr>
              <w:contextualSpacing/>
              <w:jc w:val="both"/>
              <w:rPr>
                <w:rFonts w:eastAsia="Times New Roman"/>
                <w:b/>
                <w:sz w:val="24"/>
                <w:szCs w:val="24"/>
              </w:rPr>
            </w:pPr>
            <w:r w:rsidRPr="00DE1A22">
              <w:rPr>
                <w:rFonts w:eastAsia="Times New Roman"/>
                <w:b/>
                <w:sz w:val="24"/>
                <w:szCs w:val="24"/>
              </w:rPr>
              <w:lastRenderedPageBreak/>
              <w:t>Latvijas Spēļu biznesa asociācija (05.03.2020. Nr.6/20)</w:t>
            </w:r>
          </w:p>
          <w:p w:rsidR="00297FE2" w:rsidRPr="00DE1A22" w:rsidRDefault="00297FE2" w:rsidP="00297FE2">
            <w:pPr>
              <w:jc w:val="both"/>
              <w:rPr>
                <w:rFonts w:eastAsia="Times New Roman"/>
                <w:b/>
                <w:sz w:val="24"/>
                <w:szCs w:val="24"/>
              </w:rPr>
            </w:pPr>
            <w:r w:rsidRPr="00DE1A22">
              <w:rPr>
                <w:rFonts w:eastAsia="Times New Roman"/>
                <w:sz w:val="24"/>
                <w:szCs w:val="24"/>
              </w:rPr>
              <w:t xml:space="preserve">“Noteikt prasības attiecībā uz preču zīmes, kā arī izkārtņu saturu azartspēļu jomā, aizliedzot izmantot tekstu vai grafiskos elementus, kas var vedināt uz dalību spēlē” </w:t>
            </w:r>
            <w:r w:rsidRPr="00DE1A22">
              <w:rPr>
                <w:rFonts w:eastAsia="Times New Roman"/>
                <w:b/>
                <w:sz w:val="24"/>
                <w:szCs w:val="24"/>
              </w:rPr>
              <w:t xml:space="preserve">izslēgt vārdus “vai </w:t>
            </w:r>
            <w:r w:rsidRPr="00DE1A22">
              <w:rPr>
                <w:rFonts w:eastAsia="Times New Roman"/>
                <w:b/>
                <w:sz w:val="24"/>
                <w:szCs w:val="24"/>
              </w:rPr>
              <w:lastRenderedPageBreak/>
              <w:t>grafiskos elementus”</w:t>
            </w:r>
            <w:r w:rsidRPr="00DE1A22">
              <w:rPr>
                <w:rFonts w:eastAsia="Times New Roman"/>
                <w:sz w:val="24"/>
                <w:szCs w:val="24"/>
              </w:rPr>
              <w:t>. Nav iespējams skaidri definēt, kuri grafiskie elementi un to modifikācijas var un kuri nevar vedināt uz dalību spēlē, attiecīgi pastāv liels subjektīva vērtējuma risks.</w:t>
            </w:r>
          </w:p>
        </w:tc>
        <w:tc>
          <w:tcPr>
            <w:tcW w:w="2693" w:type="dxa"/>
          </w:tcPr>
          <w:p w:rsidR="00297FE2" w:rsidRPr="00DE1A22" w:rsidRDefault="00297FE2" w:rsidP="00297FE2">
            <w:pPr>
              <w:jc w:val="both"/>
              <w:rPr>
                <w:rFonts w:eastAsia="Times New Roman"/>
                <w:b/>
                <w:bCs/>
                <w:sz w:val="24"/>
                <w:szCs w:val="24"/>
                <w:lang w:eastAsia="lv-LV"/>
              </w:rPr>
            </w:pPr>
            <w:r w:rsidRPr="00DE1A22">
              <w:rPr>
                <w:rFonts w:eastAsia="Times New Roman"/>
                <w:b/>
                <w:bCs/>
                <w:sz w:val="24"/>
                <w:szCs w:val="24"/>
                <w:lang w:eastAsia="lv-LV"/>
              </w:rPr>
              <w:lastRenderedPageBreak/>
              <w:t>Nav ņemts vērā.</w:t>
            </w:r>
          </w:p>
          <w:p w:rsidR="00297FE2" w:rsidRPr="00DE1A22" w:rsidRDefault="00297FE2" w:rsidP="00297FE2">
            <w:pPr>
              <w:jc w:val="both"/>
              <w:rPr>
                <w:rFonts w:eastAsia="Times New Roman"/>
                <w:b/>
                <w:bCs/>
                <w:sz w:val="24"/>
                <w:szCs w:val="24"/>
                <w:lang w:eastAsia="lv-LV"/>
              </w:rPr>
            </w:pPr>
            <w:r w:rsidRPr="00DE1A22">
              <w:rPr>
                <w:rFonts w:eastAsia="Times New Roman"/>
                <w:bCs/>
                <w:sz w:val="24"/>
                <w:szCs w:val="24"/>
                <w:lang w:eastAsia="lv-LV"/>
              </w:rPr>
              <w:t xml:space="preserve">Pārmērīga tieksme uz azartspēļu spēlēšanu var veidoties no sistemātiskām procesu darbībām. Savukārt atgādināt vai piesaistīt </w:t>
            </w:r>
            <w:r w:rsidRPr="00DE1A22">
              <w:rPr>
                <w:rFonts w:eastAsia="Times New Roman"/>
                <w:bCs/>
                <w:sz w:val="24"/>
                <w:szCs w:val="24"/>
                <w:lang w:eastAsia="lv-LV"/>
              </w:rPr>
              <w:lastRenderedPageBreak/>
              <w:t>uzmanību var arī grafiskie elementi, kas saistīti ar azartspēļu procesu, piemēram iecienītās spēles grafiskais tēls, ar spēles procesu saistīts rīks un citi elementi, kas ietver vizuālo identifikāciju ar spēli.</w:t>
            </w:r>
          </w:p>
        </w:tc>
        <w:tc>
          <w:tcPr>
            <w:tcW w:w="2410" w:type="dxa"/>
          </w:tcPr>
          <w:p w:rsidR="00297FE2" w:rsidRPr="00DE1A22" w:rsidRDefault="00297FE2" w:rsidP="00297FE2">
            <w:pPr>
              <w:spacing w:before="100" w:beforeAutospacing="1" w:after="100" w:afterAutospacing="1"/>
              <w:jc w:val="both"/>
              <w:rPr>
                <w:rFonts w:eastAsia="Times New Roman"/>
                <w:sz w:val="24"/>
                <w:szCs w:val="24"/>
                <w:lang w:eastAsia="lv-LV"/>
              </w:rPr>
            </w:pPr>
          </w:p>
        </w:tc>
        <w:tc>
          <w:tcPr>
            <w:tcW w:w="2551" w:type="dxa"/>
          </w:tcPr>
          <w:p w:rsidR="00297FE2" w:rsidRPr="00DE1A22" w:rsidRDefault="00297FE2" w:rsidP="00297FE2">
            <w:pPr>
              <w:spacing w:after="120"/>
              <w:jc w:val="both"/>
              <w:rPr>
                <w:rFonts w:eastAsia="Times New Roman"/>
                <w:sz w:val="24"/>
                <w:szCs w:val="24"/>
                <w:lang w:eastAsia="lv-LV"/>
              </w:rPr>
            </w:pPr>
          </w:p>
        </w:tc>
      </w:tr>
      <w:tr w:rsidR="00297FE2" w:rsidRPr="00DE1A22" w:rsidTr="00CC27CA">
        <w:tc>
          <w:tcPr>
            <w:tcW w:w="707" w:type="dxa"/>
          </w:tcPr>
          <w:p w:rsidR="00297FE2" w:rsidRPr="00DE1A22" w:rsidRDefault="00297FE2" w:rsidP="00297FE2">
            <w:pPr>
              <w:spacing w:before="100" w:beforeAutospacing="1" w:after="100" w:afterAutospacing="1"/>
              <w:jc w:val="center"/>
              <w:rPr>
                <w:rFonts w:eastAsia="Times New Roman"/>
                <w:sz w:val="24"/>
                <w:szCs w:val="24"/>
                <w:lang w:eastAsia="lv-LV"/>
              </w:rPr>
            </w:pPr>
            <w:r>
              <w:rPr>
                <w:rFonts w:eastAsia="Times New Roman"/>
                <w:sz w:val="24"/>
                <w:szCs w:val="24"/>
                <w:lang w:eastAsia="lv-LV"/>
              </w:rPr>
              <w:t>6</w:t>
            </w:r>
            <w:r w:rsidRPr="00DE1A22">
              <w:rPr>
                <w:rFonts w:eastAsia="Times New Roman"/>
                <w:sz w:val="24"/>
                <w:szCs w:val="24"/>
                <w:lang w:eastAsia="lv-LV"/>
              </w:rPr>
              <w:t>.</w:t>
            </w:r>
          </w:p>
        </w:tc>
        <w:tc>
          <w:tcPr>
            <w:tcW w:w="2866" w:type="dxa"/>
          </w:tcPr>
          <w:p w:rsidR="00297FE2" w:rsidRPr="00DE1A22" w:rsidRDefault="00297FE2" w:rsidP="00297FE2">
            <w:pPr>
              <w:jc w:val="both"/>
              <w:rPr>
                <w:rFonts w:eastAsia="Times New Roman"/>
                <w:sz w:val="24"/>
                <w:szCs w:val="24"/>
                <w:lang w:eastAsia="lv-LV"/>
              </w:rPr>
            </w:pPr>
            <w:r w:rsidRPr="00DE1A22">
              <w:rPr>
                <w:rFonts w:eastAsia="Times New Roman"/>
                <w:sz w:val="24"/>
                <w:szCs w:val="24"/>
                <w:lang w:eastAsia="lv-LV"/>
              </w:rPr>
              <w:t>Pamatnostādņu 4.sadaļas 2.rīcības virziena “Azartspēļu un izložu reklāmas aizlieguma kontrole.”</w:t>
            </w:r>
          </w:p>
        </w:tc>
        <w:tc>
          <w:tcPr>
            <w:tcW w:w="4111" w:type="dxa"/>
          </w:tcPr>
          <w:p w:rsidR="00297FE2" w:rsidRPr="00DE1A22" w:rsidRDefault="00297FE2" w:rsidP="00297FE2">
            <w:pPr>
              <w:jc w:val="both"/>
              <w:rPr>
                <w:rFonts w:eastAsia="Times New Roman"/>
                <w:b/>
                <w:sz w:val="24"/>
                <w:szCs w:val="24"/>
              </w:rPr>
            </w:pPr>
            <w:r w:rsidRPr="00DE1A22">
              <w:rPr>
                <w:rFonts w:eastAsia="Times New Roman"/>
                <w:b/>
                <w:sz w:val="24"/>
                <w:szCs w:val="24"/>
              </w:rPr>
              <w:t>Latvijas interaktīvo azartspēļu biedrība (06.03.2020.)</w:t>
            </w:r>
          </w:p>
          <w:p w:rsidR="00297FE2" w:rsidRPr="00DE1A22" w:rsidRDefault="00297FE2" w:rsidP="00297FE2">
            <w:pPr>
              <w:jc w:val="both"/>
              <w:rPr>
                <w:rFonts w:eastAsia="Times New Roman"/>
                <w:sz w:val="24"/>
                <w:szCs w:val="24"/>
              </w:rPr>
            </w:pPr>
            <w:r w:rsidRPr="00DE1A22">
              <w:rPr>
                <w:rFonts w:eastAsia="Times New Roman"/>
                <w:sz w:val="24"/>
                <w:szCs w:val="24"/>
              </w:rPr>
              <w:t>Pašatteikušos personu reģistra attiecināšana arī uz izlozēm.</w:t>
            </w:r>
          </w:p>
          <w:p w:rsidR="00297FE2" w:rsidRPr="00DE1A22" w:rsidRDefault="00297FE2" w:rsidP="00297FE2">
            <w:pPr>
              <w:jc w:val="both"/>
              <w:rPr>
                <w:rFonts w:eastAsia="Times New Roman"/>
                <w:sz w:val="24"/>
                <w:szCs w:val="24"/>
              </w:rPr>
            </w:pPr>
            <w:r w:rsidRPr="00DE1A22">
              <w:rPr>
                <w:rFonts w:eastAsia="Times New Roman"/>
                <w:sz w:val="24"/>
                <w:szCs w:val="24"/>
              </w:rPr>
              <w:t xml:space="preserve">Rīkoto sanāksmju laikā LIAB pārstāvji rosināja Pamatnostādnēs paredzēt to, ka pašatteikušos personu reģistrs būtu attiecināms arī uz izlozēm. Tādējādi personām tiktu nodrošināta iespēja aizsargāt sevi arī no izložu pārmērīgas spēlēšanas. Kā pamatojums šādam ierosinājuma tika izmantots tas, ka izlozes nebūtu nošķiramas no cita veida azartspēlēm, jo arī tās ir saistāmas ar azartspēļu atkarības rašanos, turklāt saskaņā ar LV Pētījumu tas ir viens no vispopulārākajiem azartspēļu veidiem (jebkad spēlējis vismaz 31% respondentu).  Tāpat kā pamatojums šāda ierobežojuma noteikšanai tika norādīts uz Igaunijas normatīvo regulējumu, kurā ir paredzēta iespēja pašizslēgties arī no loterijām. </w:t>
            </w:r>
          </w:p>
          <w:p w:rsidR="00297FE2" w:rsidRPr="00DE1A22" w:rsidRDefault="00297FE2" w:rsidP="00297FE2">
            <w:pPr>
              <w:jc w:val="both"/>
              <w:rPr>
                <w:rFonts w:eastAsia="Times New Roman"/>
                <w:sz w:val="24"/>
                <w:szCs w:val="24"/>
              </w:rPr>
            </w:pPr>
            <w:r w:rsidRPr="00DE1A22">
              <w:rPr>
                <w:rFonts w:eastAsia="Times New Roman"/>
                <w:sz w:val="24"/>
                <w:szCs w:val="24"/>
              </w:rPr>
              <w:lastRenderedPageBreak/>
              <w:t>Tomēr LIAB pārstāvjiem sanāksmē tika norādīts, ka Igaunijā neesot paredzēta iespēja izslēgties no loterijām. Tādēļ, lai vienlaikus atrisinātu šo dažādo izpratni par Igaunijas regulējumu un arī pamatotu šāda regulējuma ieviešanas nepieciešamību, LIAB atkāroti pārskatīja Igaunijas normatīvos tiesību aktus un pārliecinājās, ka tie paredz personām iespēju pašizslēgties arī no izlozēm.</w:t>
            </w:r>
          </w:p>
          <w:p w:rsidR="00297FE2" w:rsidRPr="00DE1A22" w:rsidRDefault="00297FE2" w:rsidP="00297FE2">
            <w:pPr>
              <w:jc w:val="both"/>
              <w:rPr>
                <w:rFonts w:eastAsia="Times New Roman"/>
                <w:sz w:val="24"/>
                <w:szCs w:val="24"/>
              </w:rPr>
            </w:pPr>
            <w:r w:rsidRPr="00DE1A22">
              <w:rPr>
                <w:rFonts w:eastAsia="Times New Roman"/>
                <w:sz w:val="24"/>
                <w:szCs w:val="24"/>
              </w:rPr>
              <w:t xml:space="preserve">Igaunijas Azartspēļu likuma (Gambling Act – ang. val.) 39. panta astotajā daļā ir nepārprotami norādīts, ka veiksmes spēļu, totalizatoru un klasisko izložu organizētājam ir jāievieš tādi rīki, ar kuriem ir iespējams nodrošināt, ka personai, kas sevi ir iekļāvusi izslēgto personu sarakstā, nav iespējams spēlēt to organizētās azartspēles.  Atbilstoši Igaunijas normatīvajiem aktiem pašatteikties nav iespējams tikai attiecībā uz momentloterijām. </w:t>
            </w:r>
          </w:p>
          <w:p w:rsidR="00297FE2" w:rsidRPr="00DE1A22" w:rsidRDefault="00297FE2" w:rsidP="00297FE2">
            <w:pPr>
              <w:jc w:val="both"/>
              <w:rPr>
                <w:rFonts w:eastAsia="Times New Roman"/>
                <w:sz w:val="24"/>
                <w:szCs w:val="24"/>
              </w:rPr>
            </w:pPr>
            <w:r w:rsidRPr="00DE1A22">
              <w:rPr>
                <w:rFonts w:eastAsia="Times New Roman"/>
                <w:sz w:val="24"/>
                <w:szCs w:val="24"/>
              </w:rPr>
              <w:t>Līdz ar to Igaunijā, kurā līdzīgi kā Latvijā loteriju organizēšana arī ir valsts monopols, personām tomēr ir paredzēta iespēja pašizslēgties no loteriju spēlēšanas. Turklāt Latvijā šāda noteikuma praktiskā ieviešana būtu daudz vienkāršāka nekā Igaunijā, jo Latvijā izveidotajam pašatteikušos personu reģistram, veicot nepieciešamos pielāgojumus, varētu nodrošināt piekļuvi arī loteriju tirdzniecības vietās.</w:t>
            </w:r>
          </w:p>
          <w:p w:rsidR="00297FE2" w:rsidRPr="00DE1A22" w:rsidRDefault="00297FE2" w:rsidP="00297FE2">
            <w:pPr>
              <w:contextualSpacing/>
              <w:jc w:val="both"/>
              <w:rPr>
                <w:rFonts w:eastAsia="Times New Roman"/>
                <w:b/>
                <w:sz w:val="24"/>
                <w:szCs w:val="24"/>
              </w:rPr>
            </w:pPr>
            <w:r w:rsidRPr="00DE1A22">
              <w:rPr>
                <w:rFonts w:eastAsia="Times New Roman"/>
                <w:b/>
                <w:sz w:val="24"/>
                <w:szCs w:val="24"/>
              </w:rPr>
              <w:t xml:space="preserve">Tādēļ LIAB aicina Pamatnostādnēs iekļaut uzdevumu pašatteikušos </w:t>
            </w:r>
            <w:r w:rsidRPr="00DE1A22">
              <w:rPr>
                <w:rFonts w:eastAsia="Times New Roman"/>
                <w:b/>
                <w:sz w:val="24"/>
                <w:szCs w:val="24"/>
              </w:rPr>
              <w:lastRenderedPageBreak/>
              <w:t>personu reģistru attiecināt arī uz izlozēm neatkarīgi no tā, vai Azartspēļu un izložu likumā tiek saglabāta to nošķirtība no azartspēlēm vai nē.</w:t>
            </w:r>
          </w:p>
        </w:tc>
        <w:tc>
          <w:tcPr>
            <w:tcW w:w="2693" w:type="dxa"/>
          </w:tcPr>
          <w:p w:rsidR="00297FE2" w:rsidRPr="00DE1A22" w:rsidRDefault="00297FE2" w:rsidP="00297FE2">
            <w:pPr>
              <w:jc w:val="both"/>
              <w:rPr>
                <w:rFonts w:eastAsia="Times New Roman"/>
                <w:b/>
                <w:bCs/>
                <w:sz w:val="24"/>
                <w:szCs w:val="24"/>
                <w:lang w:eastAsia="lv-LV"/>
              </w:rPr>
            </w:pPr>
            <w:r w:rsidRPr="00DE1A22">
              <w:rPr>
                <w:rFonts w:eastAsia="Times New Roman"/>
                <w:b/>
                <w:bCs/>
                <w:sz w:val="24"/>
                <w:szCs w:val="24"/>
                <w:lang w:eastAsia="lv-LV"/>
              </w:rPr>
              <w:lastRenderedPageBreak/>
              <w:t>Nav ņemts vērā.</w:t>
            </w:r>
          </w:p>
          <w:p w:rsidR="00297FE2" w:rsidRPr="00DE1A22" w:rsidRDefault="00297FE2" w:rsidP="00297FE2">
            <w:pPr>
              <w:jc w:val="both"/>
              <w:rPr>
                <w:rFonts w:eastAsia="Times New Roman"/>
                <w:sz w:val="24"/>
                <w:szCs w:val="24"/>
                <w:lang w:eastAsia="lv-LV"/>
              </w:rPr>
            </w:pPr>
            <w:r w:rsidRPr="00DE1A22">
              <w:rPr>
                <w:rFonts w:eastAsia="Times New Roman"/>
                <w:sz w:val="24"/>
                <w:szCs w:val="24"/>
                <w:lang w:eastAsia="lv-LV"/>
              </w:rPr>
              <w:t xml:space="preserve">Zinātniskajos pētījumos ir secināts, ka azartspēļu automāti un kazino spēles ir tie azartspēļu veidi, kas ir visvairāk saistīti ar azartspēļu atkarības veidošanos. </w:t>
            </w:r>
          </w:p>
          <w:p w:rsidR="00297FE2" w:rsidRPr="00DE1A22" w:rsidRDefault="00297FE2" w:rsidP="00297FE2">
            <w:pPr>
              <w:jc w:val="both"/>
            </w:pPr>
            <w:r w:rsidRPr="00DE1A22">
              <w:rPr>
                <w:rFonts w:eastAsia="Times New Roman"/>
                <w:sz w:val="24"/>
                <w:szCs w:val="24"/>
                <w:lang w:eastAsia="lv-LV"/>
              </w:rPr>
              <w:t>Līdz ar to pasākumiem jābūt pēc iespējas fokusētākiem un orientētiem tieši uz būtiskāko risku mazināšanu , lai sasniegtu labāku rezultātu un augstāku šo pasākumu efektivitāti</w:t>
            </w:r>
            <w:r w:rsidRPr="00DE1A22">
              <w:t>.</w:t>
            </w:r>
            <w:r w:rsidRPr="00DE1A22">
              <w:rPr>
                <w:rStyle w:val="FootnoteReference"/>
              </w:rPr>
              <w:footnoteReference w:id="3"/>
            </w:r>
          </w:p>
          <w:p w:rsidR="00297FE2" w:rsidRPr="00DE1A22" w:rsidRDefault="00297FE2" w:rsidP="00297FE2">
            <w:pPr>
              <w:pStyle w:val="NoSpacing"/>
              <w:jc w:val="both"/>
              <w:rPr>
                <w:lang w:val="lv-LV"/>
              </w:rPr>
            </w:pPr>
            <w:r w:rsidRPr="00DE1A22">
              <w:rPr>
                <w:lang w:val="lv-LV"/>
              </w:rPr>
              <w:t xml:space="preserve">LV pētījums rāda, ka, lai arī azartspēles automātos spēlē salīdzinoši mazāks respondentu īpatsvars kā loterijas, šādi kopumā mazinot problemātisko </w:t>
            </w:r>
            <w:r w:rsidRPr="00DE1A22">
              <w:rPr>
                <w:lang w:val="lv-LV"/>
              </w:rPr>
              <w:lastRenderedPageBreak/>
              <w:t>spēlmaņu īpatsvaru populācijā, tomēr tā kaitīgā ietekme ir augstāka, skarot pat lielāko daļu aktīvo regulāro spēlētāju.</w:t>
            </w:r>
          </w:p>
          <w:p w:rsidR="00297FE2" w:rsidRPr="00DE1A22" w:rsidRDefault="00297FE2" w:rsidP="00297FE2">
            <w:pPr>
              <w:jc w:val="both"/>
              <w:rPr>
                <w:sz w:val="24"/>
                <w:szCs w:val="24"/>
              </w:rPr>
            </w:pPr>
            <w:r w:rsidRPr="00DE1A22">
              <w:rPr>
                <w:sz w:val="24"/>
                <w:szCs w:val="24"/>
              </w:rPr>
              <w:t>Aktīvo 60% spēļu automātu spēlētāju problēmas saskaņā ar indeksa vērtībām uzskatāmas nevis par zema līmeņa, bet gan par vidēja vai augsta līmeņa problēmām.</w:t>
            </w:r>
          </w:p>
          <w:p w:rsidR="00297FE2" w:rsidRPr="00DE1A22" w:rsidRDefault="00297FE2" w:rsidP="00297FE2">
            <w:pPr>
              <w:jc w:val="both"/>
              <w:rPr>
                <w:rFonts w:eastAsia="Times New Roman"/>
                <w:b/>
                <w:bCs/>
                <w:sz w:val="24"/>
                <w:szCs w:val="24"/>
                <w:lang w:eastAsia="lv-LV"/>
              </w:rPr>
            </w:pPr>
            <w:r w:rsidRPr="00DE1A22">
              <w:rPr>
                <w:sz w:val="24"/>
                <w:szCs w:val="24"/>
              </w:rPr>
              <w:t xml:space="preserve">Iepriekš minētie secinājumi nosaka, ka izložu spēlētājiem ir ievērojami mazāks atkarības risks un attiecīgi izložu dalībnieku uzskaites un pašatteikšanās prasības būtu nelietderīgas. Turklāt no fizisko personu datu aizsardzības viedokļa datu apstrāde par visām fiziskajām personām, kas piedalās izlozēs, tiktu iesaistītas vairākas personas, kas, ņemot vērā datu apjomu, būtu saistīt ar lielo datu apstrādes risku. Konkrētajā gadījumā datu apstrādes riski ir </w:t>
            </w:r>
            <w:r w:rsidRPr="00DE1A22">
              <w:rPr>
                <w:sz w:val="24"/>
                <w:szCs w:val="24"/>
              </w:rPr>
              <w:lastRenderedPageBreak/>
              <w:t xml:space="preserve">nesamērīgi ar apstrādes mērķī un ieguvumu.  </w:t>
            </w:r>
          </w:p>
        </w:tc>
        <w:tc>
          <w:tcPr>
            <w:tcW w:w="2410" w:type="dxa"/>
          </w:tcPr>
          <w:p w:rsidR="00297FE2" w:rsidRPr="00DE1A22" w:rsidRDefault="00297FE2" w:rsidP="00297FE2">
            <w:pPr>
              <w:spacing w:before="100" w:beforeAutospacing="1" w:after="100" w:afterAutospacing="1"/>
              <w:jc w:val="both"/>
              <w:rPr>
                <w:rFonts w:eastAsia="Times New Roman"/>
                <w:sz w:val="24"/>
                <w:szCs w:val="24"/>
                <w:lang w:eastAsia="lv-LV"/>
              </w:rPr>
            </w:pPr>
          </w:p>
        </w:tc>
        <w:tc>
          <w:tcPr>
            <w:tcW w:w="2551" w:type="dxa"/>
          </w:tcPr>
          <w:p w:rsidR="00297FE2" w:rsidRPr="00DE1A22" w:rsidRDefault="00297FE2" w:rsidP="00297FE2">
            <w:pPr>
              <w:spacing w:after="120"/>
              <w:jc w:val="both"/>
              <w:rPr>
                <w:rFonts w:eastAsia="Times New Roman"/>
                <w:sz w:val="24"/>
                <w:szCs w:val="24"/>
                <w:lang w:eastAsia="lv-LV"/>
              </w:rPr>
            </w:pPr>
          </w:p>
        </w:tc>
      </w:tr>
      <w:tr w:rsidR="00A90B73" w:rsidRPr="00DE1A22" w:rsidTr="00CC27CA">
        <w:tc>
          <w:tcPr>
            <w:tcW w:w="707" w:type="dxa"/>
          </w:tcPr>
          <w:p w:rsidR="00A90B73" w:rsidRDefault="00A90B73" w:rsidP="00A90B73">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7</w:t>
            </w:r>
            <w:r w:rsidRPr="00DE1A22">
              <w:rPr>
                <w:rFonts w:eastAsia="Times New Roman"/>
                <w:sz w:val="24"/>
                <w:szCs w:val="24"/>
                <w:lang w:eastAsia="lv-LV"/>
              </w:rPr>
              <w:t>.</w:t>
            </w:r>
          </w:p>
        </w:tc>
        <w:tc>
          <w:tcPr>
            <w:tcW w:w="2866" w:type="dxa"/>
          </w:tcPr>
          <w:p w:rsidR="00A90B73" w:rsidRPr="00DE1A22" w:rsidRDefault="00A90B73" w:rsidP="00A90B73">
            <w:pPr>
              <w:jc w:val="both"/>
              <w:rPr>
                <w:rFonts w:eastAsia="Times New Roman"/>
                <w:sz w:val="24"/>
                <w:szCs w:val="24"/>
                <w:lang w:eastAsia="lv-LV"/>
              </w:rPr>
            </w:pPr>
            <w:r w:rsidRPr="00DE1A22">
              <w:rPr>
                <w:rFonts w:eastAsia="Times New Roman"/>
                <w:sz w:val="24"/>
                <w:szCs w:val="24"/>
                <w:lang w:eastAsia="lv-LV"/>
              </w:rPr>
              <w:t>Pamatnostādņu 4. sadaļas 2. rīcības virziena “Azartspēļu un izložu reklāmas aizlieguma kontrole” 3. uzdevums “Izvērtēt azartspēļu reklāmas aizlieguma pārskatīšanu televīzijā, radio, kā arī interaktīvajā vidē.”</w:t>
            </w:r>
          </w:p>
        </w:tc>
        <w:tc>
          <w:tcPr>
            <w:tcW w:w="4111" w:type="dxa"/>
          </w:tcPr>
          <w:p w:rsidR="00A90B73" w:rsidRPr="00DE1A22" w:rsidRDefault="00A90B73" w:rsidP="00A90B73">
            <w:pPr>
              <w:jc w:val="both"/>
              <w:rPr>
                <w:rFonts w:eastAsia="Times New Roman"/>
                <w:b/>
                <w:sz w:val="24"/>
                <w:szCs w:val="24"/>
              </w:rPr>
            </w:pPr>
            <w:r w:rsidRPr="00DE1A22">
              <w:rPr>
                <w:rFonts w:eastAsia="Times New Roman"/>
                <w:b/>
                <w:sz w:val="24"/>
                <w:szCs w:val="24"/>
              </w:rPr>
              <w:t>Veselības ministrija (02.03.2020. Nr.01-09/1090)</w:t>
            </w:r>
          </w:p>
          <w:p w:rsidR="00A90B73" w:rsidRPr="00DE1A22" w:rsidRDefault="00A90B73" w:rsidP="00A90B73">
            <w:pPr>
              <w:jc w:val="both"/>
              <w:rPr>
                <w:rFonts w:eastAsia="Times New Roman"/>
                <w:b/>
                <w:sz w:val="24"/>
                <w:szCs w:val="24"/>
              </w:rPr>
            </w:pPr>
            <w:r w:rsidRPr="00DE1A22">
              <w:rPr>
                <w:rFonts w:eastAsia="Times New Roman"/>
                <w:b/>
                <w:sz w:val="24"/>
                <w:szCs w:val="24"/>
              </w:rPr>
              <w:t>Lūdzam svītrot precizētajā pamatnostādņu projektā rīcības virzienā “Azartspēļu un izložu reklāmas aizlieguma kontrole” iekļauto jauno uzdevumu – Izvērtēt azartspēļu reklāmas aizlieguma pārskatīšanu televīzijā, radio, kā arī interaktīvajā vidē.</w:t>
            </w:r>
            <w:r w:rsidRPr="00DE1A22">
              <w:rPr>
                <w:rFonts w:eastAsia="Times New Roman"/>
                <w:sz w:val="24"/>
                <w:szCs w:val="24"/>
              </w:rPr>
              <w:t xml:space="preserve"> Veselības ministrija savā 2019.gada 30.janvāra atzinumā Nr.01-09/448 Finanšu ministrijai jau iepriekš norādīja, ka neatbalsta tās piedāvāto daļēju azartspēļu reklāmas ierobežojumu noteikšanu un uzskata, ka būtu jāsaglabā spēkā esošais regulējums attiecībā uz reklāmas pilnīgu aizliegumu azartspēļu gadījumā.</w:t>
            </w:r>
          </w:p>
        </w:tc>
        <w:tc>
          <w:tcPr>
            <w:tcW w:w="2693" w:type="dxa"/>
          </w:tcPr>
          <w:p w:rsidR="00A90B73" w:rsidRPr="00DE1A22" w:rsidRDefault="00A90B73" w:rsidP="00A90B73">
            <w:pPr>
              <w:jc w:val="both"/>
              <w:rPr>
                <w:rFonts w:eastAsia="Times New Roman"/>
                <w:b/>
                <w:bCs/>
                <w:sz w:val="24"/>
                <w:szCs w:val="24"/>
                <w:lang w:eastAsia="lv-LV"/>
              </w:rPr>
            </w:pPr>
            <w:r w:rsidRPr="00DE1A22">
              <w:rPr>
                <w:rFonts w:eastAsia="Times New Roman"/>
                <w:b/>
                <w:bCs/>
                <w:sz w:val="24"/>
                <w:szCs w:val="24"/>
                <w:lang w:eastAsia="lv-LV"/>
              </w:rPr>
              <w:t>Nav ņemts vērā.</w:t>
            </w:r>
          </w:p>
          <w:p w:rsidR="00A90B73" w:rsidRPr="00DE1A22" w:rsidRDefault="00A90B73" w:rsidP="00A90B73">
            <w:pPr>
              <w:jc w:val="both"/>
              <w:rPr>
                <w:rFonts w:eastAsia="Times New Roman"/>
                <w:sz w:val="24"/>
                <w:szCs w:val="24"/>
              </w:rPr>
            </w:pPr>
            <w:r w:rsidRPr="00DE1A22">
              <w:rPr>
                <w:rFonts w:eastAsia="Times New Roman"/>
                <w:sz w:val="24"/>
                <w:szCs w:val="24"/>
              </w:rPr>
              <w:t>Pamatnostādnēs ir paredzēts izvērtēt iespēju azartspēļu reklāmas aizlieguma pārskatīšanai, nevis veikt konkrētus grozījumu normatīvajos aktos.</w:t>
            </w:r>
          </w:p>
          <w:p w:rsidR="00A90B73" w:rsidRPr="00DE1A22" w:rsidRDefault="00A90B73" w:rsidP="00A90B73">
            <w:pPr>
              <w:jc w:val="both"/>
              <w:rPr>
                <w:rFonts w:eastAsia="Times New Roman"/>
                <w:sz w:val="24"/>
                <w:szCs w:val="24"/>
              </w:rPr>
            </w:pPr>
            <w:r w:rsidRPr="00DE1A22">
              <w:rPr>
                <w:rFonts w:eastAsia="Times New Roman"/>
                <w:sz w:val="24"/>
                <w:szCs w:val="24"/>
              </w:rPr>
              <w:t>Vienlaikus biedrības “Latvijas Reklāmas asociācija” un “Latvijas Raidorganizācijas asociācija” savā 2020.gada 10.marta atzinumā Nr.07/2020 izteica šādu viedokli: “Būtiski, ka noteiktie reklāmas ierobežojumi attiecas tikai uz Latvijā reģistrētajiem medijiem, attiecīgi citu valstu medijos azartspēļu reklāmas jau šobrīd ir pieejamas un tās sasniedz Latvijas auditoriju.</w:t>
            </w:r>
            <w:r w:rsidRPr="00DE1A22">
              <w:rPr>
                <w:rFonts w:eastAsia="Times New Roman"/>
                <w:b/>
                <w:sz w:val="24"/>
                <w:szCs w:val="24"/>
              </w:rPr>
              <w:t xml:space="preserve"> </w:t>
            </w:r>
            <w:r w:rsidRPr="00DE1A22">
              <w:rPr>
                <w:rFonts w:eastAsia="Times New Roman"/>
                <w:sz w:val="24"/>
                <w:szCs w:val="24"/>
              </w:rPr>
              <w:t xml:space="preserve">Tas rada ne tikai negodīgas konkurences apstākļus starp Latvijas un citu valstu medijiem, bet pamatā šādu reklāmu saturs netiek regulēts, tas </w:t>
            </w:r>
            <w:r w:rsidRPr="00DE1A22">
              <w:rPr>
                <w:rFonts w:eastAsia="Times New Roman"/>
                <w:sz w:val="24"/>
                <w:szCs w:val="24"/>
              </w:rPr>
              <w:lastRenderedPageBreak/>
              <w:t>netiek veidots atbildīgi (kontrolēti, atbilstoši normatīvo aktu prasībām), tas vistiešākajā veidā veicina azartspēļu patēriņu, tas ir pieejams bērniem un jauniešiem, kā arī tas veicina tieši nelegālo azartspēļu izplatību un patēriņu.</w:t>
            </w:r>
          </w:p>
          <w:p w:rsidR="00A90B73" w:rsidRPr="00DE1A22" w:rsidRDefault="00A90B73" w:rsidP="00A90B73">
            <w:pPr>
              <w:jc w:val="both"/>
              <w:rPr>
                <w:rFonts w:eastAsia="Times New Roman"/>
                <w:b/>
                <w:bCs/>
                <w:sz w:val="24"/>
                <w:szCs w:val="24"/>
                <w:lang w:eastAsia="lv-LV"/>
              </w:rPr>
            </w:pPr>
            <w:r w:rsidRPr="00DE1A22">
              <w:rPr>
                <w:rFonts w:eastAsia="Times New Roman"/>
                <w:sz w:val="24"/>
                <w:szCs w:val="24"/>
              </w:rPr>
              <w:t>Minētie fakti apliecina, ka reklāmas ierobežojumi digitālajā – jaunajā mediju  vides laikmetā nedarbojas, tie ne tikai nesasniedz it kā noteiktos mērķus, bet tieši pretēji, tie veicina nelikumīgas un neregulētas darbības, kā arī rada būtisku apdraudējumu un kaitējumu patērētājiem.”.</w:t>
            </w:r>
          </w:p>
        </w:tc>
        <w:tc>
          <w:tcPr>
            <w:tcW w:w="2410" w:type="dxa"/>
          </w:tcPr>
          <w:p w:rsidR="00A90B73" w:rsidRPr="00DE1A22" w:rsidRDefault="00A90B73" w:rsidP="00A90B73">
            <w:pPr>
              <w:spacing w:before="100" w:beforeAutospacing="1" w:after="100" w:afterAutospacing="1"/>
              <w:jc w:val="both"/>
              <w:rPr>
                <w:rFonts w:eastAsia="Times New Roman"/>
                <w:sz w:val="24"/>
                <w:szCs w:val="24"/>
                <w:lang w:eastAsia="lv-LV"/>
              </w:rPr>
            </w:pPr>
          </w:p>
        </w:tc>
        <w:tc>
          <w:tcPr>
            <w:tcW w:w="2551" w:type="dxa"/>
          </w:tcPr>
          <w:p w:rsidR="00A90B73" w:rsidRPr="00DE1A22" w:rsidRDefault="00A90B73" w:rsidP="00A90B73">
            <w:pPr>
              <w:spacing w:after="120"/>
              <w:jc w:val="both"/>
              <w:rPr>
                <w:rFonts w:eastAsia="Times New Roman"/>
                <w:sz w:val="24"/>
                <w:szCs w:val="24"/>
                <w:lang w:eastAsia="lv-LV"/>
              </w:rPr>
            </w:pPr>
          </w:p>
        </w:tc>
      </w:tr>
      <w:tr w:rsidR="00A90B73" w:rsidRPr="00DE1A22" w:rsidTr="00CC27CA">
        <w:tc>
          <w:tcPr>
            <w:tcW w:w="707" w:type="dxa"/>
          </w:tcPr>
          <w:p w:rsidR="00A90B73" w:rsidRPr="00DE1A22" w:rsidRDefault="00A90B73" w:rsidP="00A90B73">
            <w:pPr>
              <w:spacing w:before="100" w:beforeAutospacing="1" w:after="100" w:afterAutospacing="1"/>
              <w:jc w:val="center"/>
              <w:rPr>
                <w:rFonts w:eastAsia="Times New Roman"/>
                <w:sz w:val="24"/>
                <w:szCs w:val="24"/>
                <w:lang w:eastAsia="lv-LV"/>
              </w:rPr>
            </w:pPr>
            <w:r>
              <w:rPr>
                <w:rFonts w:eastAsia="Times New Roman"/>
                <w:sz w:val="24"/>
                <w:szCs w:val="24"/>
                <w:lang w:eastAsia="lv-LV"/>
              </w:rPr>
              <w:t>8</w:t>
            </w:r>
            <w:r w:rsidRPr="00DE1A22">
              <w:rPr>
                <w:rFonts w:eastAsia="Times New Roman"/>
                <w:sz w:val="24"/>
                <w:szCs w:val="24"/>
                <w:lang w:eastAsia="lv-LV"/>
              </w:rPr>
              <w:t>.</w:t>
            </w:r>
          </w:p>
        </w:tc>
        <w:tc>
          <w:tcPr>
            <w:tcW w:w="2866" w:type="dxa"/>
            <w:shd w:val="clear" w:color="auto" w:fill="auto"/>
          </w:tcPr>
          <w:p w:rsidR="00A90B73" w:rsidRPr="00DE1A22" w:rsidRDefault="00A90B73" w:rsidP="00A90B73">
            <w:pPr>
              <w:jc w:val="both"/>
              <w:rPr>
                <w:rFonts w:eastAsia="Times New Roman"/>
                <w:sz w:val="24"/>
                <w:szCs w:val="24"/>
                <w:lang w:eastAsia="lv-LV"/>
              </w:rPr>
            </w:pPr>
            <w:r w:rsidRPr="00DE1A22">
              <w:rPr>
                <w:rFonts w:eastAsia="Times New Roman"/>
                <w:sz w:val="24"/>
                <w:szCs w:val="24"/>
                <w:lang w:eastAsia="lv-LV"/>
              </w:rPr>
              <w:t>Pamatnostādņu 4. sadaļas 3. rīcības virziens “Azartspēļu un izložu pieejamības regulēšana”.</w:t>
            </w:r>
          </w:p>
        </w:tc>
        <w:tc>
          <w:tcPr>
            <w:tcW w:w="4111" w:type="dxa"/>
            <w:shd w:val="clear" w:color="auto" w:fill="auto"/>
          </w:tcPr>
          <w:p w:rsidR="00A90B73" w:rsidRPr="00DE1A22" w:rsidRDefault="00A90B73" w:rsidP="00A90B73">
            <w:pPr>
              <w:jc w:val="both"/>
              <w:rPr>
                <w:rFonts w:eastAsia="Times New Roman"/>
                <w:b/>
                <w:sz w:val="24"/>
                <w:szCs w:val="24"/>
              </w:rPr>
            </w:pPr>
            <w:r w:rsidRPr="00DE1A22">
              <w:rPr>
                <w:rFonts w:eastAsia="Times New Roman"/>
                <w:b/>
                <w:sz w:val="24"/>
                <w:szCs w:val="24"/>
              </w:rPr>
              <w:t>Vides aizsardzības un reģionālās attīstības ministrija (21.02.2020. Nr.1-132/1579)</w:t>
            </w:r>
          </w:p>
          <w:p w:rsidR="00A90B73" w:rsidRPr="00DE1A22" w:rsidRDefault="00A90B73" w:rsidP="00A90B73">
            <w:pPr>
              <w:jc w:val="both"/>
              <w:rPr>
                <w:rFonts w:eastAsia="Times New Roman"/>
                <w:b/>
                <w:sz w:val="24"/>
                <w:szCs w:val="24"/>
              </w:rPr>
            </w:pPr>
            <w:r w:rsidRPr="00DE1A22">
              <w:rPr>
                <w:rFonts w:eastAsia="Times New Roman"/>
                <w:sz w:val="24"/>
                <w:szCs w:val="24"/>
              </w:rPr>
              <w:t>Lūdzam papildināt ar uzdevumu izstrādāt metodiku maksimāli pieļaujamo azartspēļu organizēšanas vietu skaitliskajam aprēķinam Republikas pilsētās un novados un atbilstoši aprēķinam noteikt maksimāli pieļaujamo skaitu azartspēļu organizēšanas vietām konkrētā teritorijā.</w:t>
            </w:r>
          </w:p>
        </w:tc>
        <w:tc>
          <w:tcPr>
            <w:tcW w:w="2693" w:type="dxa"/>
            <w:shd w:val="clear" w:color="auto" w:fill="auto"/>
          </w:tcPr>
          <w:p w:rsidR="00A90B73" w:rsidRPr="00DE1A22" w:rsidRDefault="00A90B73" w:rsidP="00A90B73">
            <w:pPr>
              <w:jc w:val="both"/>
              <w:rPr>
                <w:rFonts w:eastAsia="Times New Roman"/>
                <w:b/>
                <w:bCs/>
                <w:sz w:val="24"/>
                <w:szCs w:val="24"/>
                <w:lang w:eastAsia="lv-LV"/>
              </w:rPr>
            </w:pPr>
            <w:r w:rsidRPr="00DE1A22">
              <w:rPr>
                <w:rFonts w:eastAsia="Times New Roman"/>
                <w:b/>
                <w:bCs/>
                <w:sz w:val="24"/>
                <w:szCs w:val="24"/>
                <w:lang w:eastAsia="lv-LV"/>
              </w:rPr>
              <w:t>Nav ņemts vērā.</w:t>
            </w:r>
          </w:p>
          <w:p w:rsidR="00A90B73" w:rsidRPr="00DE1A22" w:rsidRDefault="00A90B73" w:rsidP="00A90B73">
            <w:pPr>
              <w:jc w:val="both"/>
              <w:rPr>
                <w:rFonts w:eastAsia="Times New Roman"/>
                <w:sz w:val="24"/>
                <w:szCs w:val="24"/>
              </w:rPr>
            </w:pPr>
            <w:r w:rsidRPr="00DE1A22">
              <w:rPr>
                <w:rFonts w:eastAsia="Times New Roman"/>
                <w:sz w:val="24"/>
                <w:szCs w:val="24"/>
              </w:rPr>
              <w:t xml:space="preserve">Pamatnostādņu pielikuma 4.sadaļas 2.risinājumā ietvertais mērķis ir AIL precīzi noteikt vietas, kur ir visaugstākais azartspēļu atkarības veidošanas risks, un nosakot aizliegumu organizēt azartspēles minētajās vietās, tiks pasargātas ievainojamākās personu </w:t>
            </w:r>
            <w:r w:rsidRPr="00DE1A22">
              <w:rPr>
                <w:rFonts w:eastAsia="Times New Roman"/>
                <w:sz w:val="24"/>
                <w:szCs w:val="24"/>
              </w:rPr>
              <w:lastRenderedPageBreak/>
              <w:t>grupas. Savukārt, maksimālā pieļaujamo azartspēļu organizēšanas vietu skaita noteikšana ir subjektīvs kritērijs, kas nav vērsts uz riska grupas pasargāšanu no atkarības veidošanas.</w:t>
            </w:r>
          </w:p>
          <w:p w:rsidR="00A90B73" w:rsidRPr="00DE1A22" w:rsidRDefault="00A90B73" w:rsidP="00A90B73">
            <w:pPr>
              <w:jc w:val="both"/>
              <w:rPr>
                <w:rFonts w:eastAsia="Times New Roman"/>
                <w:b/>
                <w:bCs/>
                <w:sz w:val="24"/>
                <w:szCs w:val="24"/>
                <w:lang w:eastAsia="lv-LV"/>
              </w:rPr>
            </w:pPr>
            <w:r w:rsidRPr="00DE1A22">
              <w:rPr>
                <w:rFonts w:eastAsia="Times New Roman"/>
                <w:sz w:val="24"/>
                <w:szCs w:val="24"/>
              </w:rPr>
              <w:t xml:space="preserve">Tā, piemēram spēļu zāles varētu atrasties vietās, kur to negatīvās ietekmes iespējamība uz mazāk aizsargāto indivīdu ir augstāka. </w:t>
            </w:r>
          </w:p>
        </w:tc>
        <w:tc>
          <w:tcPr>
            <w:tcW w:w="2410" w:type="dxa"/>
            <w:shd w:val="clear" w:color="auto" w:fill="auto"/>
          </w:tcPr>
          <w:p w:rsidR="00A90B73" w:rsidRPr="00DE1A22" w:rsidRDefault="00A90B73" w:rsidP="00A90B73">
            <w:pPr>
              <w:spacing w:before="100" w:beforeAutospacing="1" w:after="100" w:afterAutospacing="1"/>
              <w:jc w:val="both"/>
              <w:rPr>
                <w:rFonts w:eastAsia="Times New Roman"/>
                <w:sz w:val="24"/>
                <w:szCs w:val="24"/>
                <w:lang w:eastAsia="lv-LV"/>
              </w:rPr>
            </w:pPr>
          </w:p>
        </w:tc>
        <w:tc>
          <w:tcPr>
            <w:tcW w:w="2551" w:type="dxa"/>
            <w:shd w:val="clear" w:color="auto" w:fill="auto"/>
          </w:tcPr>
          <w:p w:rsidR="00A90B73" w:rsidRPr="00DE1A22" w:rsidRDefault="00A90B73" w:rsidP="00A90B73">
            <w:pPr>
              <w:spacing w:after="120"/>
              <w:jc w:val="both"/>
              <w:rPr>
                <w:rFonts w:eastAsia="Times New Roman"/>
                <w:sz w:val="24"/>
                <w:szCs w:val="24"/>
                <w:lang w:eastAsia="lv-LV"/>
              </w:rPr>
            </w:pPr>
          </w:p>
        </w:tc>
      </w:tr>
      <w:tr w:rsidR="00A90B73" w:rsidRPr="00DE1A22" w:rsidTr="00CC27CA">
        <w:tc>
          <w:tcPr>
            <w:tcW w:w="707" w:type="dxa"/>
          </w:tcPr>
          <w:p w:rsidR="00A90B73" w:rsidRPr="00DE1A22" w:rsidRDefault="00A90B73" w:rsidP="00A90B73">
            <w:pPr>
              <w:spacing w:before="100" w:beforeAutospacing="1" w:after="100" w:afterAutospacing="1"/>
              <w:jc w:val="center"/>
              <w:rPr>
                <w:rFonts w:eastAsia="Times New Roman"/>
                <w:sz w:val="24"/>
                <w:szCs w:val="24"/>
                <w:lang w:eastAsia="lv-LV"/>
              </w:rPr>
            </w:pPr>
            <w:r>
              <w:rPr>
                <w:rFonts w:eastAsia="Times New Roman"/>
                <w:sz w:val="24"/>
                <w:szCs w:val="24"/>
                <w:lang w:eastAsia="lv-LV"/>
              </w:rPr>
              <w:t>9</w:t>
            </w:r>
            <w:r w:rsidRPr="00DE1A22">
              <w:rPr>
                <w:rFonts w:eastAsia="Times New Roman"/>
                <w:sz w:val="24"/>
                <w:szCs w:val="24"/>
                <w:lang w:eastAsia="lv-LV"/>
              </w:rPr>
              <w:t>.</w:t>
            </w:r>
          </w:p>
        </w:tc>
        <w:tc>
          <w:tcPr>
            <w:tcW w:w="2866" w:type="dxa"/>
            <w:shd w:val="clear" w:color="auto" w:fill="auto"/>
          </w:tcPr>
          <w:p w:rsidR="00A90B73" w:rsidRPr="00DE1A22" w:rsidRDefault="00A90B73" w:rsidP="00A90B73">
            <w:pPr>
              <w:jc w:val="both"/>
              <w:rPr>
                <w:rFonts w:eastAsia="Times New Roman"/>
                <w:sz w:val="24"/>
                <w:szCs w:val="24"/>
                <w:lang w:eastAsia="lv-LV"/>
              </w:rPr>
            </w:pPr>
            <w:r w:rsidRPr="00DE1A22">
              <w:rPr>
                <w:rFonts w:eastAsia="Times New Roman"/>
                <w:sz w:val="24"/>
                <w:szCs w:val="24"/>
                <w:lang w:eastAsia="lv-LV"/>
              </w:rPr>
              <w:t>Pamatnostādņu 4. sadaļas 4.rīcības virziens “Nelegālā tirgus ierobežošana”.</w:t>
            </w:r>
          </w:p>
        </w:tc>
        <w:tc>
          <w:tcPr>
            <w:tcW w:w="4111" w:type="dxa"/>
            <w:shd w:val="clear" w:color="auto" w:fill="auto"/>
          </w:tcPr>
          <w:p w:rsidR="00A90B73" w:rsidRPr="00DE1A22" w:rsidRDefault="00A90B73" w:rsidP="00A90B73">
            <w:pPr>
              <w:jc w:val="both"/>
              <w:rPr>
                <w:rFonts w:eastAsia="Times New Roman"/>
                <w:b/>
                <w:sz w:val="24"/>
                <w:szCs w:val="24"/>
              </w:rPr>
            </w:pPr>
            <w:r w:rsidRPr="00DE1A22">
              <w:rPr>
                <w:rFonts w:eastAsia="Times New Roman"/>
                <w:b/>
                <w:sz w:val="24"/>
                <w:szCs w:val="24"/>
              </w:rPr>
              <w:t>Vides aizsardzības un reģionālās attīstības ministrija (21.02.2020. Nr.1-132/1579)</w:t>
            </w:r>
          </w:p>
          <w:p w:rsidR="00A90B73" w:rsidRPr="00DE1A22" w:rsidRDefault="00A90B73" w:rsidP="00A90B73">
            <w:pPr>
              <w:jc w:val="both"/>
              <w:rPr>
                <w:rFonts w:eastAsia="Times New Roman"/>
                <w:sz w:val="24"/>
                <w:szCs w:val="24"/>
              </w:rPr>
            </w:pPr>
            <w:r w:rsidRPr="00DE1A22">
              <w:rPr>
                <w:rFonts w:eastAsia="Times New Roman"/>
                <w:sz w:val="24"/>
                <w:szCs w:val="24"/>
              </w:rPr>
              <w:t>Lūdzam papildināt ar šādiem uzdevumiem:</w:t>
            </w:r>
          </w:p>
          <w:p w:rsidR="00A90B73" w:rsidRPr="00DE1A22" w:rsidRDefault="00A90B73" w:rsidP="00A90B73">
            <w:pPr>
              <w:jc w:val="both"/>
              <w:rPr>
                <w:rFonts w:eastAsia="Times New Roman"/>
                <w:sz w:val="24"/>
                <w:szCs w:val="24"/>
              </w:rPr>
            </w:pPr>
            <w:r w:rsidRPr="00DE1A22">
              <w:rPr>
                <w:rFonts w:eastAsia="Times New Roman"/>
                <w:sz w:val="24"/>
                <w:szCs w:val="24"/>
              </w:rPr>
              <w:t>- normatīvajos aktos noteikt lielākus naudas sodus par nelicencētu interaktīvo azartspēļu organizēšanu/piedāvāšanu Latvijas Republikā;</w:t>
            </w:r>
          </w:p>
          <w:p w:rsidR="00A90B73" w:rsidRPr="00DE1A22" w:rsidRDefault="00A90B73" w:rsidP="00A90B73">
            <w:pPr>
              <w:jc w:val="both"/>
              <w:rPr>
                <w:rFonts w:eastAsia="Times New Roman"/>
                <w:b/>
                <w:sz w:val="24"/>
                <w:szCs w:val="24"/>
              </w:rPr>
            </w:pPr>
            <w:r w:rsidRPr="00DE1A22">
              <w:rPr>
                <w:rFonts w:eastAsia="Times New Roman"/>
                <w:sz w:val="24"/>
                <w:szCs w:val="24"/>
              </w:rPr>
              <w:t>- normatīvajos aktos noteikt papildus kritērijus saistībā ar azartspēļu organizēšanas licences iegūšanu, paredzot aizliegumu saņemt licenci tādiem uzņēmumiem un personām, kuri ir iepriekš sodīti par nelikumīgām azartspēļu darbībām, kā arī piedalījušies tādā juridiskā personā, kura ir sodīta par nelicencētu azartspēļu organizēšanu, vai tās azartspēļu licence ir tikusi atcelta Latvijas Republikā vai kādā citā ES dalībvalstī.</w:t>
            </w:r>
          </w:p>
        </w:tc>
        <w:tc>
          <w:tcPr>
            <w:tcW w:w="2693" w:type="dxa"/>
            <w:shd w:val="clear" w:color="auto" w:fill="auto"/>
          </w:tcPr>
          <w:p w:rsidR="00A90B73" w:rsidRPr="00DE1A22" w:rsidRDefault="00A90B73" w:rsidP="00A90B73">
            <w:pPr>
              <w:jc w:val="both"/>
              <w:rPr>
                <w:rFonts w:eastAsia="Times New Roman"/>
                <w:b/>
                <w:bCs/>
                <w:sz w:val="24"/>
                <w:szCs w:val="24"/>
                <w:lang w:eastAsia="lv-LV"/>
              </w:rPr>
            </w:pPr>
            <w:r w:rsidRPr="00DE1A22">
              <w:rPr>
                <w:rFonts w:eastAsia="Times New Roman"/>
                <w:b/>
                <w:bCs/>
                <w:sz w:val="24"/>
                <w:szCs w:val="24"/>
                <w:lang w:eastAsia="lv-LV"/>
              </w:rPr>
              <w:t>Nav ņemts vērā.</w:t>
            </w:r>
          </w:p>
          <w:p w:rsidR="00A90B73" w:rsidRPr="00DE1A22" w:rsidRDefault="00A90B73" w:rsidP="00A90B73">
            <w:pPr>
              <w:jc w:val="both"/>
              <w:rPr>
                <w:rFonts w:eastAsia="Times New Roman"/>
                <w:bCs/>
                <w:sz w:val="24"/>
                <w:szCs w:val="24"/>
                <w:lang w:eastAsia="lv-LV"/>
              </w:rPr>
            </w:pPr>
            <w:r w:rsidRPr="00DE1A22">
              <w:rPr>
                <w:rFonts w:eastAsia="Times New Roman"/>
                <w:sz w:val="24"/>
                <w:szCs w:val="24"/>
              </w:rPr>
              <w:t>Norādām, ka Sodu sistēma tika pārskatīta dekodifikācijas procesa ietvaros 2019.-2020.gadā.</w:t>
            </w:r>
          </w:p>
          <w:p w:rsidR="00A90B73" w:rsidRPr="00DE1A22" w:rsidRDefault="00A90B73" w:rsidP="00A90B73">
            <w:pPr>
              <w:jc w:val="both"/>
              <w:rPr>
                <w:rFonts w:eastAsia="Times New Roman"/>
                <w:bCs/>
                <w:sz w:val="24"/>
                <w:szCs w:val="24"/>
                <w:lang w:eastAsia="lv-LV"/>
              </w:rPr>
            </w:pPr>
            <w:r w:rsidRPr="00DE1A22">
              <w:rPr>
                <w:rFonts w:eastAsia="Times New Roman"/>
                <w:bCs/>
                <w:sz w:val="24"/>
                <w:szCs w:val="24"/>
                <w:lang w:eastAsia="lv-LV"/>
              </w:rPr>
              <w:t xml:space="preserve">Papildus tam, Azartspēļu un izložu likuma 11.panta sestā daļa nosaka, ka iesniegumam azartspēļu organizēšanas licences saņemšanai komersants pievieno apliecinājumu, ka kapitālsabiedrības padomes un valdes locekļi un revidents atbilst šā likuma 9.panta prasībām. Savukārt Azartspēļu un izložu likuma 9.panta otrā daļa 1.punkts nosaka prasības attiecībā uz azartspēļu </w:t>
            </w:r>
            <w:r w:rsidRPr="00DE1A22">
              <w:rPr>
                <w:rFonts w:eastAsia="Times New Roman"/>
                <w:bCs/>
                <w:sz w:val="24"/>
                <w:szCs w:val="24"/>
                <w:lang w:eastAsia="lv-LV"/>
              </w:rPr>
              <w:lastRenderedPageBreak/>
              <w:t>organizētāja amatpersonām, t.i. par azartspēļu organizētāja padomes un valdes locekli un revidentu var būt persona, kurai ir nevainojama reputācija.</w:t>
            </w:r>
          </w:p>
          <w:p w:rsidR="00A90B73" w:rsidRPr="00DE1A22" w:rsidRDefault="00A90B73" w:rsidP="00A90B73">
            <w:pPr>
              <w:jc w:val="both"/>
              <w:rPr>
                <w:rFonts w:eastAsia="Times New Roman"/>
                <w:b/>
                <w:bCs/>
                <w:sz w:val="24"/>
                <w:szCs w:val="24"/>
                <w:lang w:eastAsia="lv-LV"/>
              </w:rPr>
            </w:pPr>
            <w:r w:rsidRPr="00DE1A22">
              <w:rPr>
                <w:rFonts w:eastAsia="Times New Roman"/>
                <w:bCs/>
                <w:sz w:val="24"/>
                <w:szCs w:val="24"/>
                <w:lang w:eastAsia="lv-LV"/>
              </w:rPr>
              <w:t>Līdz ar to uzskatām, ka jau šobrīd IAUI ir rīks, lai nepieļautu tādu personu dalību azartspēļu organizēšanas uzņēmumos, kuriem ir konstatēti reputācijas riski.</w:t>
            </w:r>
          </w:p>
        </w:tc>
        <w:tc>
          <w:tcPr>
            <w:tcW w:w="2410" w:type="dxa"/>
            <w:shd w:val="clear" w:color="auto" w:fill="auto"/>
          </w:tcPr>
          <w:p w:rsidR="00A90B73" w:rsidRPr="00DE1A22" w:rsidRDefault="00A90B73" w:rsidP="00A90B73">
            <w:pPr>
              <w:spacing w:before="100" w:beforeAutospacing="1" w:after="100" w:afterAutospacing="1"/>
              <w:jc w:val="both"/>
              <w:rPr>
                <w:rFonts w:eastAsia="Times New Roman"/>
                <w:sz w:val="24"/>
                <w:szCs w:val="24"/>
                <w:lang w:eastAsia="lv-LV"/>
              </w:rPr>
            </w:pPr>
          </w:p>
        </w:tc>
        <w:tc>
          <w:tcPr>
            <w:tcW w:w="2551" w:type="dxa"/>
            <w:shd w:val="clear" w:color="auto" w:fill="auto"/>
          </w:tcPr>
          <w:p w:rsidR="00A90B73" w:rsidRPr="00DE1A22" w:rsidRDefault="00A90B73" w:rsidP="00A90B73">
            <w:pPr>
              <w:spacing w:after="120"/>
              <w:jc w:val="both"/>
              <w:rPr>
                <w:rFonts w:eastAsia="Times New Roman"/>
                <w:sz w:val="24"/>
                <w:szCs w:val="24"/>
                <w:lang w:eastAsia="lv-LV"/>
              </w:rPr>
            </w:pPr>
            <w:r w:rsidRPr="00DE1A22">
              <w:rPr>
                <w:rFonts w:eastAsia="Times New Roman"/>
                <w:sz w:val="24"/>
                <w:szCs w:val="24"/>
              </w:rPr>
              <w:t xml:space="preserve"> </w:t>
            </w:r>
          </w:p>
        </w:tc>
      </w:tr>
      <w:tr w:rsidR="00A90B73" w:rsidRPr="00DE1A22" w:rsidTr="00CC27CA">
        <w:tc>
          <w:tcPr>
            <w:tcW w:w="707" w:type="dxa"/>
          </w:tcPr>
          <w:p w:rsidR="00A90B73" w:rsidRPr="00DE1A22" w:rsidRDefault="00A90B73" w:rsidP="00A90B73">
            <w:pPr>
              <w:spacing w:before="100" w:beforeAutospacing="1" w:after="100" w:afterAutospacing="1"/>
              <w:jc w:val="center"/>
              <w:rPr>
                <w:rFonts w:eastAsia="Times New Roman"/>
                <w:sz w:val="24"/>
                <w:szCs w:val="24"/>
                <w:lang w:eastAsia="lv-LV"/>
              </w:rPr>
            </w:pPr>
            <w:r>
              <w:rPr>
                <w:rFonts w:eastAsia="Times New Roman"/>
                <w:sz w:val="24"/>
                <w:szCs w:val="24"/>
                <w:lang w:eastAsia="lv-LV"/>
              </w:rPr>
              <w:t>10</w:t>
            </w:r>
            <w:r w:rsidRPr="00DE1A22">
              <w:rPr>
                <w:rFonts w:eastAsia="Times New Roman"/>
                <w:sz w:val="24"/>
                <w:szCs w:val="24"/>
                <w:lang w:eastAsia="lv-LV"/>
              </w:rPr>
              <w:t>.</w:t>
            </w:r>
          </w:p>
        </w:tc>
        <w:tc>
          <w:tcPr>
            <w:tcW w:w="2866" w:type="dxa"/>
            <w:shd w:val="clear" w:color="auto" w:fill="auto"/>
          </w:tcPr>
          <w:p w:rsidR="00A90B73" w:rsidRPr="00DE1A22" w:rsidRDefault="00A90B73" w:rsidP="00A90B73">
            <w:pPr>
              <w:jc w:val="both"/>
              <w:rPr>
                <w:rFonts w:eastAsia="Times New Roman"/>
                <w:sz w:val="24"/>
                <w:szCs w:val="24"/>
                <w:lang w:eastAsia="lv-LV"/>
              </w:rPr>
            </w:pPr>
            <w:r w:rsidRPr="00DE1A22">
              <w:rPr>
                <w:rFonts w:eastAsia="Times New Roman"/>
                <w:sz w:val="24"/>
                <w:szCs w:val="24"/>
                <w:lang w:eastAsia="lv-LV"/>
              </w:rPr>
              <w:t>Pamatnostādņu pielikuma 4.sadaļas 4.rīcības virziens “Azartspēļu un izložu pieejamības regulēšana”.</w:t>
            </w:r>
          </w:p>
        </w:tc>
        <w:tc>
          <w:tcPr>
            <w:tcW w:w="4111" w:type="dxa"/>
            <w:shd w:val="clear" w:color="auto" w:fill="auto"/>
          </w:tcPr>
          <w:p w:rsidR="00A90B73" w:rsidRPr="00DE1A22" w:rsidRDefault="00A90B73" w:rsidP="00A90B73">
            <w:pPr>
              <w:tabs>
                <w:tab w:val="left" w:pos="1666"/>
              </w:tabs>
              <w:jc w:val="both"/>
              <w:rPr>
                <w:rFonts w:eastAsia="Times New Roman"/>
                <w:b/>
                <w:sz w:val="24"/>
                <w:szCs w:val="24"/>
              </w:rPr>
            </w:pPr>
            <w:r w:rsidRPr="00DE1A22">
              <w:rPr>
                <w:rFonts w:eastAsia="Times New Roman"/>
                <w:b/>
                <w:sz w:val="24"/>
                <w:szCs w:val="24"/>
              </w:rPr>
              <w:t>Latvijas interaktīvo azartspēļu biedrība (06.03.2020.)</w:t>
            </w:r>
          </w:p>
          <w:p w:rsidR="00A90B73" w:rsidRPr="00DE1A22" w:rsidRDefault="00A90B73" w:rsidP="00A90B73">
            <w:pPr>
              <w:tabs>
                <w:tab w:val="left" w:pos="1666"/>
              </w:tabs>
              <w:jc w:val="both"/>
              <w:rPr>
                <w:rFonts w:eastAsia="Times New Roman"/>
                <w:sz w:val="24"/>
                <w:szCs w:val="24"/>
              </w:rPr>
            </w:pPr>
            <w:r w:rsidRPr="00DE1A22">
              <w:rPr>
                <w:rFonts w:eastAsia="Times New Roman"/>
                <w:sz w:val="24"/>
                <w:szCs w:val="24"/>
              </w:rPr>
              <w:t xml:space="preserve">LIAB Pamatnostādņu apspriešanas sanāksmē aicināja Pamatnostādņu 4. sadaļas 5. Rīcības virzienu “Azartspēļu un izložu nozares attīstības tendenču monitorings” papildināt 6. uzdevumu šādā redakcijā: </w:t>
            </w:r>
          </w:p>
          <w:p w:rsidR="00A90B73" w:rsidRPr="00DE1A22" w:rsidRDefault="00A90B73" w:rsidP="00A90B73">
            <w:pPr>
              <w:tabs>
                <w:tab w:val="left" w:pos="1666"/>
              </w:tabs>
              <w:jc w:val="both"/>
              <w:rPr>
                <w:rFonts w:eastAsia="Times New Roman"/>
                <w:sz w:val="24"/>
                <w:szCs w:val="24"/>
              </w:rPr>
            </w:pPr>
            <w:r w:rsidRPr="00DE1A22">
              <w:rPr>
                <w:rFonts w:eastAsia="Times New Roman"/>
                <w:b/>
                <w:sz w:val="24"/>
                <w:szCs w:val="24"/>
              </w:rPr>
              <w:t>Papildināt AIL ar jauniem spēļu veidiem un paplašināt iespējamos norēķinu veidus, tādejādi modernizējot normatīvo regulējumu un uzlabojot licencēto azartspēļu organizētāju konkurētspēju ar nelegālo tirgu.</w:t>
            </w:r>
            <w:r w:rsidRPr="00DE1A22">
              <w:rPr>
                <w:rFonts w:eastAsia="Times New Roman"/>
                <w:sz w:val="24"/>
                <w:szCs w:val="24"/>
              </w:rPr>
              <w:t>”</w:t>
            </w:r>
          </w:p>
          <w:p w:rsidR="00A90B73" w:rsidRPr="00DE1A22" w:rsidRDefault="00A90B73" w:rsidP="00A90B73">
            <w:pPr>
              <w:tabs>
                <w:tab w:val="left" w:pos="1666"/>
              </w:tabs>
              <w:jc w:val="both"/>
              <w:rPr>
                <w:rFonts w:eastAsia="Times New Roman"/>
                <w:sz w:val="24"/>
                <w:szCs w:val="24"/>
              </w:rPr>
            </w:pPr>
            <w:r w:rsidRPr="00DE1A22">
              <w:rPr>
                <w:rFonts w:eastAsia="Times New Roman"/>
                <w:sz w:val="24"/>
                <w:szCs w:val="24"/>
              </w:rPr>
              <w:t xml:space="preserve">Šādi papildinājumi ir nepieciešami tā iemesla dēļ, jo kopš 2006. gada, kad spēkā stājas AIL, ir notikusi strauja tehnoloģiju un interaktīvo azartspēļu nozares attīstība. Ir parādījušies gan daudzi jauni maksājumu veikšanas veidi, </w:t>
            </w:r>
            <w:r w:rsidRPr="00DE1A22">
              <w:rPr>
                <w:rFonts w:eastAsia="Times New Roman"/>
                <w:sz w:val="24"/>
                <w:szCs w:val="24"/>
              </w:rPr>
              <w:lastRenderedPageBreak/>
              <w:t>gan arī izveidojušies vairāki jauni interaktīvo azartspēļu produkti, kurus Latvijā nav iespējams piedāvāt, jo tie neatbilst nevienam no AIL noteiktajiem azartspēļu veidiem. Sīkāks skaidrojums un pamatojums nepieciešamībai modernizēt AIL un to attiecināt arī uz jaunākajiem azartspēļu veidiem, ir pieejams šā dokumenta pielikumā.</w:t>
            </w:r>
          </w:p>
          <w:p w:rsidR="00A90B73" w:rsidRPr="00DE1A22" w:rsidRDefault="00A90B73" w:rsidP="00A90B73">
            <w:pPr>
              <w:jc w:val="both"/>
              <w:rPr>
                <w:rFonts w:eastAsia="Times New Roman"/>
                <w:b/>
                <w:sz w:val="24"/>
                <w:szCs w:val="24"/>
              </w:rPr>
            </w:pPr>
            <w:r w:rsidRPr="00DE1A22">
              <w:rPr>
                <w:rFonts w:eastAsia="Times New Roman"/>
                <w:b/>
                <w:sz w:val="24"/>
                <w:szCs w:val="24"/>
              </w:rPr>
              <w:t>Tādēļ LIAB aicina Pamatnostādņu 4. sadaļas 5. Rīcības virzienu “Azartspēļu un izložu nozares attīstības tendenču monitorings” papildināt ar 6. uzdevumu.</w:t>
            </w:r>
          </w:p>
        </w:tc>
        <w:tc>
          <w:tcPr>
            <w:tcW w:w="2693" w:type="dxa"/>
            <w:shd w:val="clear" w:color="auto" w:fill="auto"/>
          </w:tcPr>
          <w:p w:rsidR="00A90B73" w:rsidRPr="00DE1A22" w:rsidRDefault="00A90B73" w:rsidP="00A90B73">
            <w:pPr>
              <w:jc w:val="both"/>
              <w:rPr>
                <w:rFonts w:eastAsia="Times New Roman"/>
                <w:b/>
                <w:bCs/>
                <w:sz w:val="24"/>
                <w:szCs w:val="24"/>
                <w:lang w:eastAsia="lv-LV"/>
              </w:rPr>
            </w:pPr>
            <w:r w:rsidRPr="00DE1A22">
              <w:rPr>
                <w:rFonts w:eastAsia="Times New Roman"/>
                <w:b/>
                <w:bCs/>
                <w:sz w:val="24"/>
                <w:szCs w:val="24"/>
                <w:lang w:eastAsia="lv-LV"/>
              </w:rPr>
              <w:lastRenderedPageBreak/>
              <w:t>Nav ņemts vērā.</w:t>
            </w:r>
          </w:p>
          <w:p w:rsidR="00A90B73" w:rsidRPr="00DE1A22" w:rsidRDefault="00A90B73" w:rsidP="00A90B73">
            <w:pPr>
              <w:jc w:val="both"/>
              <w:rPr>
                <w:rFonts w:eastAsia="Times New Roman"/>
                <w:bCs/>
                <w:sz w:val="24"/>
                <w:szCs w:val="24"/>
                <w:lang w:eastAsia="lv-LV"/>
              </w:rPr>
            </w:pPr>
            <w:r w:rsidRPr="00DE1A22">
              <w:rPr>
                <w:rFonts w:eastAsia="Times New Roman"/>
                <w:bCs/>
                <w:sz w:val="24"/>
                <w:szCs w:val="24"/>
                <w:lang w:eastAsia="lv-LV"/>
              </w:rPr>
              <w:t>Iespēja noteikt jaunos spēļu maksāšanas veidus tiks vērtēta Pamatnostādnēs paredzētajā jauno tendenču apspriešanas formātā, vienlaikus vērtējot iespēju ierobežot saistītos riskus un jautājumus, piemēram:</w:t>
            </w:r>
          </w:p>
          <w:p w:rsidR="00A90B73" w:rsidRPr="00DE1A22" w:rsidRDefault="00A90B73" w:rsidP="00A90B73">
            <w:pPr>
              <w:pStyle w:val="ListParagraph"/>
              <w:numPr>
                <w:ilvl w:val="0"/>
                <w:numId w:val="10"/>
              </w:numPr>
              <w:spacing w:after="0" w:line="240" w:lineRule="auto"/>
              <w:ind w:left="34" w:firstLine="0"/>
              <w:jc w:val="both"/>
              <w:rPr>
                <w:rFonts w:ascii="Times New Roman" w:eastAsia="Times New Roman" w:hAnsi="Times New Roman"/>
                <w:bCs/>
                <w:sz w:val="24"/>
                <w:szCs w:val="24"/>
                <w:lang w:eastAsia="lv-LV"/>
              </w:rPr>
            </w:pPr>
            <w:r w:rsidRPr="00DE1A22">
              <w:rPr>
                <w:rFonts w:ascii="Times New Roman" w:eastAsia="Times New Roman" w:hAnsi="Times New Roman"/>
                <w:bCs/>
                <w:sz w:val="24"/>
                <w:szCs w:val="24"/>
                <w:lang w:eastAsia="lv-LV"/>
              </w:rPr>
              <w:t>ar nodokļiem apliekamās bāzes noteikšana – laimestu uzskaites veidi;</w:t>
            </w:r>
          </w:p>
          <w:p w:rsidR="00A90B73" w:rsidRPr="00DE1A22" w:rsidRDefault="00A90B73" w:rsidP="00A90B73">
            <w:pPr>
              <w:pStyle w:val="ListParagraph"/>
              <w:numPr>
                <w:ilvl w:val="0"/>
                <w:numId w:val="10"/>
              </w:numPr>
              <w:spacing w:after="0" w:line="240" w:lineRule="auto"/>
              <w:ind w:left="34" w:firstLine="0"/>
              <w:jc w:val="both"/>
              <w:rPr>
                <w:rFonts w:ascii="Times New Roman" w:eastAsia="Times New Roman" w:hAnsi="Times New Roman"/>
                <w:bCs/>
                <w:sz w:val="24"/>
                <w:szCs w:val="24"/>
                <w:lang w:eastAsia="lv-LV"/>
              </w:rPr>
            </w:pPr>
            <w:r w:rsidRPr="00DE1A22">
              <w:rPr>
                <w:rFonts w:ascii="Times New Roman" w:eastAsia="Times New Roman" w:hAnsi="Times New Roman"/>
                <w:bCs/>
                <w:sz w:val="24"/>
                <w:szCs w:val="24"/>
                <w:lang w:eastAsia="lv-LV"/>
              </w:rPr>
              <w:t>sertificēšanas prasības.</w:t>
            </w:r>
          </w:p>
          <w:p w:rsidR="00A90B73" w:rsidRPr="00DE1A22" w:rsidRDefault="00A90B73" w:rsidP="00A90B73">
            <w:pPr>
              <w:pStyle w:val="ListParagraph"/>
              <w:spacing w:after="0" w:line="240" w:lineRule="auto"/>
              <w:ind w:left="34"/>
              <w:jc w:val="both"/>
              <w:rPr>
                <w:rFonts w:ascii="Times New Roman" w:hAnsi="Times New Roman"/>
                <w:sz w:val="24"/>
                <w:szCs w:val="24"/>
              </w:rPr>
            </w:pPr>
            <w:r w:rsidRPr="00DE1A22">
              <w:rPr>
                <w:rFonts w:ascii="Times New Roman" w:hAnsi="Times New Roman"/>
                <w:sz w:val="24"/>
                <w:szCs w:val="24"/>
              </w:rPr>
              <w:t>Attiecība uz e-makiem –</w:t>
            </w:r>
          </w:p>
          <w:p w:rsidR="00A90B73" w:rsidRPr="00DE1A22" w:rsidRDefault="00A90B73" w:rsidP="00A90B73">
            <w:pPr>
              <w:pStyle w:val="ListParagraph"/>
              <w:spacing w:after="0" w:line="240" w:lineRule="auto"/>
              <w:ind w:left="34"/>
              <w:jc w:val="both"/>
              <w:rPr>
                <w:rFonts w:ascii="Times New Roman" w:hAnsi="Times New Roman"/>
                <w:sz w:val="24"/>
                <w:szCs w:val="24"/>
              </w:rPr>
            </w:pPr>
            <w:r w:rsidRPr="00DE1A22">
              <w:rPr>
                <w:rFonts w:ascii="Times New Roman" w:hAnsi="Times New Roman"/>
                <w:sz w:val="24"/>
                <w:szCs w:val="24"/>
              </w:rPr>
              <w:t>jāveic izpēte:</w:t>
            </w:r>
          </w:p>
          <w:p w:rsidR="00A90B73" w:rsidRPr="00DE1A22" w:rsidRDefault="00A90B73" w:rsidP="00A90B73">
            <w:pPr>
              <w:pStyle w:val="ListParagraph"/>
              <w:spacing w:after="0" w:line="240" w:lineRule="auto"/>
              <w:ind w:left="34"/>
              <w:jc w:val="both"/>
              <w:rPr>
                <w:rFonts w:ascii="Times New Roman" w:eastAsia="Times New Roman" w:hAnsi="Times New Roman"/>
                <w:b/>
                <w:bCs/>
                <w:sz w:val="24"/>
                <w:szCs w:val="24"/>
                <w:lang w:eastAsia="lv-LV"/>
              </w:rPr>
            </w:pPr>
            <w:r w:rsidRPr="00DE1A22">
              <w:rPr>
                <w:rFonts w:ascii="Times New Roman" w:hAnsi="Times New Roman"/>
                <w:sz w:val="24"/>
                <w:szCs w:val="24"/>
              </w:rPr>
              <w:t xml:space="preserve">vai un ka var būt nodrošināta naudas </w:t>
            </w:r>
            <w:r w:rsidRPr="00DE1A22">
              <w:rPr>
                <w:rFonts w:ascii="Times New Roman" w:hAnsi="Times New Roman"/>
                <w:sz w:val="24"/>
                <w:szCs w:val="24"/>
              </w:rPr>
              <w:lastRenderedPageBreak/>
              <w:t xml:space="preserve">plūsmas caurskatāmība tādā līmenī, kādā tas tiek nodrošināts  attiecībā uz finanšu pakalpojumu sniedzējiem. </w:t>
            </w:r>
          </w:p>
        </w:tc>
        <w:tc>
          <w:tcPr>
            <w:tcW w:w="2410" w:type="dxa"/>
            <w:shd w:val="clear" w:color="auto" w:fill="auto"/>
          </w:tcPr>
          <w:p w:rsidR="00A90B73" w:rsidRPr="00DE1A22" w:rsidRDefault="00A90B73" w:rsidP="00A90B73">
            <w:pPr>
              <w:spacing w:before="100" w:beforeAutospacing="1" w:after="100" w:afterAutospacing="1"/>
              <w:jc w:val="both"/>
              <w:rPr>
                <w:rFonts w:eastAsia="Times New Roman"/>
                <w:sz w:val="24"/>
                <w:szCs w:val="24"/>
                <w:lang w:eastAsia="lv-LV"/>
              </w:rPr>
            </w:pPr>
          </w:p>
        </w:tc>
        <w:tc>
          <w:tcPr>
            <w:tcW w:w="2551" w:type="dxa"/>
            <w:shd w:val="clear" w:color="auto" w:fill="auto"/>
          </w:tcPr>
          <w:p w:rsidR="00A90B73" w:rsidRPr="00DE1A22" w:rsidRDefault="00A90B73" w:rsidP="00A90B73">
            <w:pPr>
              <w:spacing w:after="120"/>
              <w:jc w:val="both"/>
              <w:rPr>
                <w:rFonts w:eastAsia="Times New Roman"/>
                <w:sz w:val="24"/>
                <w:szCs w:val="24"/>
              </w:rPr>
            </w:pPr>
          </w:p>
        </w:tc>
      </w:tr>
      <w:tr w:rsidR="00A90B73" w:rsidRPr="00DE1A22" w:rsidTr="00CC27CA">
        <w:tc>
          <w:tcPr>
            <w:tcW w:w="707" w:type="dxa"/>
          </w:tcPr>
          <w:p w:rsidR="00A90B73" w:rsidRPr="00DE1A22" w:rsidRDefault="00A90B73" w:rsidP="00A90B73">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r>
              <w:rPr>
                <w:rFonts w:eastAsia="Times New Roman"/>
                <w:sz w:val="24"/>
                <w:szCs w:val="24"/>
                <w:lang w:eastAsia="lv-LV"/>
              </w:rPr>
              <w:t>1</w:t>
            </w:r>
            <w:r w:rsidRPr="00DE1A22">
              <w:rPr>
                <w:rFonts w:eastAsia="Times New Roman"/>
                <w:sz w:val="24"/>
                <w:szCs w:val="24"/>
                <w:lang w:eastAsia="lv-LV"/>
              </w:rPr>
              <w:t>.</w:t>
            </w:r>
          </w:p>
        </w:tc>
        <w:tc>
          <w:tcPr>
            <w:tcW w:w="2866" w:type="dxa"/>
            <w:shd w:val="clear" w:color="auto" w:fill="auto"/>
          </w:tcPr>
          <w:p w:rsidR="00A90B73" w:rsidRPr="00DE1A22" w:rsidRDefault="00A90B73" w:rsidP="00A90B73">
            <w:pPr>
              <w:jc w:val="both"/>
              <w:rPr>
                <w:rFonts w:eastAsia="Times New Roman"/>
                <w:sz w:val="24"/>
                <w:szCs w:val="24"/>
                <w:lang w:eastAsia="lv-LV"/>
              </w:rPr>
            </w:pPr>
            <w:r w:rsidRPr="00DE1A22">
              <w:rPr>
                <w:rFonts w:eastAsia="Times New Roman"/>
                <w:sz w:val="24"/>
                <w:szCs w:val="24"/>
                <w:lang w:eastAsia="lv-LV"/>
              </w:rPr>
              <w:t>Pamatnostādņu 4. sadaļas 6. rīcības virziena “IAUI veiktā uzraudzības procesa pilnveidošana” 3. uzdevums “Veikt grozījumus AIL, pagarināt video ieraksta glabāšanas termiņu līdz 30 dienām”.</w:t>
            </w:r>
          </w:p>
        </w:tc>
        <w:tc>
          <w:tcPr>
            <w:tcW w:w="4111" w:type="dxa"/>
            <w:shd w:val="clear" w:color="auto" w:fill="auto"/>
          </w:tcPr>
          <w:p w:rsidR="00A90B73" w:rsidRPr="00DE1A22" w:rsidRDefault="00A90B73" w:rsidP="00A90B73">
            <w:pPr>
              <w:jc w:val="both"/>
              <w:rPr>
                <w:rFonts w:eastAsia="Times New Roman"/>
                <w:b/>
                <w:sz w:val="24"/>
                <w:szCs w:val="24"/>
              </w:rPr>
            </w:pPr>
            <w:r w:rsidRPr="00DE1A22">
              <w:rPr>
                <w:rFonts w:eastAsia="Times New Roman"/>
                <w:b/>
                <w:sz w:val="24"/>
                <w:szCs w:val="24"/>
              </w:rPr>
              <w:t>Latvijas Spēļu biznesa asociācija (05.03.2020. Nr.6/20)</w:t>
            </w:r>
          </w:p>
          <w:p w:rsidR="00A90B73" w:rsidRPr="00DE1A22" w:rsidRDefault="00A90B73" w:rsidP="00A90B73">
            <w:pPr>
              <w:jc w:val="both"/>
              <w:rPr>
                <w:rFonts w:eastAsia="Times New Roman"/>
                <w:sz w:val="24"/>
                <w:szCs w:val="24"/>
              </w:rPr>
            </w:pPr>
            <w:r w:rsidRPr="00DE1A22">
              <w:rPr>
                <w:rFonts w:eastAsia="Times New Roman"/>
                <w:sz w:val="24"/>
                <w:szCs w:val="24"/>
              </w:rPr>
              <w:t>Lūdzam 6.rīcības virziena “IAUI veiktā uzraudzības procesa pilnveidošana” 3.uzdevumā “Veikt grozījumus AIL, pagarināt video ieraksta glabāšanas termiņu” paredzēt 14 dienu termiņu.</w:t>
            </w:r>
          </w:p>
          <w:p w:rsidR="00A90B73" w:rsidRPr="00DE1A22" w:rsidRDefault="00A90B73" w:rsidP="00A90B73">
            <w:pPr>
              <w:tabs>
                <w:tab w:val="left" w:pos="1666"/>
              </w:tabs>
              <w:jc w:val="both"/>
              <w:rPr>
                <w:rFonts w:eastAsia="Times New Roman"/>
                <w:b/>
                <w:sz w:val="24"/>
                <w:szCs w:val="24"/>
              </w:rPr>
            </w:pPr>
            <w:r w:rsidRPr="00DE1A22">
              <w:rPr>
                <w:rFonts w:eastAsia="Times New Roman"/>
                <w:sz w:val="24"/>
                <w:szCs w:val="24"/>
              </w:rPr>
              <w:t>Vēršam uzmanību, ka katrā spēļu zālē ir vidēji līdz pat 18 kamerām, 30 dienās uzkrātais datu apjoms ir liels un ierakstu pienācīgā kvalitātē glabāšana prasītu papildu resursus azartspēļu organizētājiem (līdz pat 6000 EUR vienas spēļu zāles aprīkošanai). Ņemot vērā nepieciešamās investīcijas, lūdzam kā uzdevuma izpildes termiņu noteikt 2023.gadu.</w:t>
            </w:r>
          </w:p>
        </w:tc>
        <w:tc>
          <w:tcPr>
            <w:tcW w:w="2693" w:type="dxa"/>
            <w:shd w:val="clear" w:color="auto" w:fill="auto"/>
          </w:tcPr>
          <w:p w:rsidR="00A90B73" w:rsidRPr="00DE1A22" w:rsidRDefault="00A90B73" w:rsidP="00A90B73">
            <w:pPr>
              <w:jc w:val="both"/>
              <w:rPr>
                <w:rFonts w:eastAsia="Times New Roman"/>
                <w:b/>
                <w:bCs/>
                <w:sz w:val="24"/>
                <w:szCs w:val="24"/>
                <w:lang w:eastAsia="lv-LV"/>
              </w:rPr>
            </w:pPr>
            <w:r w:rsidRPr="00DE1A22">
              <w:rPr>
                <w:rFonts w:eastAsia="Times New Roman"/>
                <w:b/>
                <w:bCs/>
                <w:sz w:val="24"/>
                <w:szCs w:val="24"/>
                <w:lang w:eastAsia="lv-LV"/>
              </w:rPr>
              <w:t>Nav ņemts vērā.</w:t>
            </w:r>
          </w:p>
          <w:p w:rsidR="00A90B73" w:rsidRPr="00DE1A22" w:rsidRDefault="00A90B73" w:rsidP="00A90B73">
            <w:pPr>
              <w:jc w:val="both"/>
              <w:rPr>
                <w:rFonts w:eastAsia="Times New Roman"/>
                <w:sz w:val="24"/>
                <w:szCs w:val="24"/>
              </w:rPr>
            </w:pPr>
            <w:r w:rsidRPr="00DE1A22">
              <w:rPr>
                <w:rFonts w:eastAsia="Times New Roman"/>
                <w:sz w:val="24"/>
                <w:szCs w:val="24"/>
              </w:rPr>
              <w:t>Atbilstoši Iesniegumu likuma 5.panta trešajai daļai, iestādes iesniegumu izskata un atbildi pēc būtības sniedz saprātīgā termiņā, ņemot vērā iesniegumā minētā jautājuma risināšanas steidzamību, bet ne vēlāk kā viena mēneša laikā no iesnieguma saņemšanas, ja likumā nav noteikts citādi.</w:t>
            </w:r>
          </w:p>
          <w:p w:rsidR="00A90B73" w:rsidRPr="00DE1A22" w:rsidRDefault="00A90B73" w:rsidP="00A90B73">
            <w:pPr>
              <w:jc w:val="both"/>
              <w:rPr>
                <w:rFonts w:eastAsia="Times New Roman"/>
                <w:sz w:val="24"/>
                <w:szCs w:val="24"/>
              </w:rPr>
            </w:pPr>
            <w:r w:rsidRPr="00DE1A22">
              <w:rPr>
                <w:rFonts w:eastAsia="Times New Roman"/>
                <w:sz w:val="24"/>
                <w:szCs w:val="24"/>
              </w:rPr>
              <w:t xml:space="preserve">Lai novērstu situāciju, kad IAUI izskata iesniegumu uz kuru atbildot ir nepieciešams izvērtēt iespējamos lietas apstākļus azartspēļu organizēšanas vietā ar veikto video ierakstu </w:t>
            </w:r>
            <w:r w:rsidRPr="00DE1A22">
              <w:rPr>
                <w:rFonts w:eastAsia="Times New Roman"/>
                <w:sz w:val="24"/>
                <w:szCs w:val="24"/>
              </w:rPr>
              <w:lastRenderedPageBreak/>
              <w:t>palīdzību, uzskatām, ka priekšlikums pagarināt video ieraksta glabāšanas termiņu līdz 30 dienām ir pamatots.</w:t>
            </w:r>
          </w:p>
        </w:tc>
        <w:tc>
          <w:tcPr>
            <w:tcW w:w="2410" w:type="dxa"/>
            <w:shd w:val="clear" w:color="auto" w:fill="auto"/>
          </w:tcPr>
          <w:p w:rsidR="00A90B73" w:rsidRPr="00DE1A22" w:rsidRDefault="00A90B73" w:rsidP="00A90B73">
            <w:pPr>
              <w:spacing w:before="100" w:beforeAutospacing="1" w:after="100" w:afterAutospacing="1"/>
              <w:jc w:val="both"/>
              <w:rPr>
                <w:rFonts w:eastAsia="Times New Roman"/>
                <w:sz w:val="24"/>
                <w:szCs w:val="24"/>
                <w:lang w:eastAsia="lv-LV"/>
              </w:rPr>
            </w:pPr>
          </w:p>
        </w:tc>
        <w:tc>
          <w:tcPr>
            <w:tcW w:w="2551" w:type="dxa"/>
            <w:shd w:val="clear" w:color="auto" w:fill="auto"/>
          </w:tcPr>
          <w:p w:rsidR="00A90B73" w:rsidRPr="00DE1A22" w:rsidRDefault="00A90B73" w:rsidP="00A90B73">
            <w:pPr>
              <w:spacing w:after="120"/>
              <w:jc w:val="both"/>
              <w:rPr>
                <w:rFonts w:eastAsia="Times New Roman"/>
                <w:sz w:val="24"/>
                <w:szCs w:val="24"/>
              </w:rPr>
            </w:pPr>
          </w:p>
        </w:tc>
      </w:tr>
      <w:tr w:rsidR="00A90B73" w:rsidRPr="00DE1A22" w:rsidTr="00CC27CA">
        <w:tc>
          <w:tcPr>
            <w:tcW w:w="707" w:type="dxa"/>
          </w:tcPr>
          <w:p w:rsidR="00A90B73" w:rsidRPr="00DE1A22" w:rsidRDefault="00A90B73" w:rsidP="00A90B73">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12.</w:t>
            </w:r>
          </w:p>
        </w:tc>
        <w:tc>
          <w:tcPr>
            <w:tcW w:w="2866" w:type="dxa"/>
            <w:shd w:val="clear" w:color="auto" w:fill="auto"/>
          </w:tcPr>
          <w:p w:rsidR="00A90B73" w:rsidRPr="00DE1A22" w:rsidRDefault="00A90B73" w:rsidP="00A90B73">
            <w:pPr>
              <w:jc w:val="both"/>
              <w:rPr>
                <w:rFonts w:eastAsia="Times New Roman"/>
                <w:sz w:val="24"/>
                <w:szCs w:val="24"/>
                <w:lang w:eastAsia="lv-LV"/>
              </w:rPr>
            </w:pPr>
            <w:r w:rsidRPr="00DE1A22">
              <w:rPr>
                <w:rFonts w:eastAsia="Times New Roman"/>
                <w:sz w:val="24"/>
                <w:szCs w:val="24"/>
                <w:lang w:eastAsia="lv-LV"/>
              </w:rPr>
              <w:t>Pamatnostādnes kopumā.</w:t>
            </w:r>
          </w:p>
        </w:tc>
        <w:tc>
          <w:tcPr>
            <w:tcW w:w="4111" w:type="dxa"/>
            <w:shd w:val="clear" w:color="auto" w:fill="auto"/>
          </w:tcPr>
          <w:p w:rsidR="00A90B73" w:rsidRPr="00DE1A22" w:rsidRDefault="00A90B73" w:rsidP="00A90B73">
            <w:pPr>
              <w:jc w:val="both"/>
              <w:rPr>
                <w:rFonts w:eastAsia="Times New Roman"/>
                <w:b/>
                <w:sz w:val="24"/>
                <w:szCs w:val="24"/>
              </w:rPr>
            </w:pPr>
            <w:r w:rsidRPr="00DE1A22">
              <w:rPr>
                <w:rFonts w:eastAsia="Times New Roman"/>
                <w:b/>
                <w:sz w:val="24"/>
                <w:szCs w:val="24"/>
              </w:rPr>
              <w:t>Veselības ministrija (02.03.2020. Nr.01-09/1090)</w:t>
            </w:r>
          </w:p>
          <w:p w:rsidR="00A90B73" w:rsidRPr="00DE1A22" w:rsidRDefault="00A90B73" w:rsidP="00A90B73">
            <w:pPr>
              <w:jc w:val="both"/>
              <w:rPr>
                <w:rFonts w:eastAsia="Times New Roman"/>
                <w:b/>
                <w:sz w:val="24"/>
                <w:szCs w:val="24"/>
              </w:rPr>
            </w:pPr>
            <w:r w:rsidRPr="00DE1A22">
              <w:rPr>
                <w:rFonts w:eastAsia="Times New Roman"/>
                <w:sz w:val="24"/>
                <w:szCs w:val="24"/>
              </w:rPr>
              <w:t xml:space="preserve">Veselības ministrija konceptuāli atbalsta lēmumu pieņemšanas centralizāciju valsts līmenī par azartspēļu organizēšanu. </w:t>
            </w:r>
            <w:r w:rsidRPr="00DE1A22">
              <w:rPr>
                <w:rFonts w:eastAsia="Times New Roman"/>
                <w:b/>
                <w:sz w:val="24"/>
                <w:szCs w:val="24"/>
              </w:rPr>
              <w:t>Taču vienlaikus lūdzam iekļaut kritēriju, ka lēmums par atļauju azartspēļu organizēšanas vietai tiek saskaņots ar konkrēto pašvaldību, kā arī tiek noteikti stingrāki kritēriji ierobežojumiem (piemēram, lielākas distances)</w:t>
            </w:r>
            <w:r w:rsidRPr="00DE1A22">
              <w:rPr>
                <w:rFonts w:eastAsia="Times New Roman"/>
                <w:sz w:val="24"/>
                <w:szCs w:val="24"/>
              </w:rPr>
              <w:t>, ņemot vērā, ka pašvaldību funkcija ir iedzīvotāju veselīga dzīvesveida veicināšana, t.sk. procesu atkarību mazināšana.</w:t>
            </w:r>
          </w:p>
        </w:tc>
        <w:tc>
          <w:tcPr>
            <w:tcW w:w="2693" w:type="dxa"/>
            <w:shd w:val="clear" w:color="auto" w:fill="auto"/>
          </w:tcPr>
          <w:p w:rsidR="00A90B73" w:rsidRPr="00DE1A22" w:rsidRDefault="00A90B73" w:rsidP="00A90B73">
            <w:pPr>
              <w:jc w:val="both"/>
              <w:rPr>
                <w:rFonts w:eastAsia="Times New Roman"/>
                <w:b/>
                <w:bCs/>
                <w:sz w:val="24"/>
                <w:szCs w:val="24"/>
                <w:lang w:eastAsia="lv-LV"/>
              </w:rPr>
            </w:pPr>
            <w:r w:rsidRPr="00DE1A22">
              <w:rPr>
                <w:rFonts w:eastAsia="Times New Roman"/>
                <w:b/>
                <w:bCs/>
                <w:sz w:val="24"/>
                <w:szCs w:val="24"/>
                <w:lang w:eastAsia="lv-LV"/>
              </w:rPr>
              <w:t>Nav ņemts vērā.</w:t>
            </w:r>
          </w:p>
          <w:p w:rsidR="00A90B73" w:rsidRPr="00DE1A22" w:rsidRDefault="00A90B73" w:rsidP="00A90B73">
            <w:pPr>
              <w:jc w:val="both"/>
              <w:rPr>
                <w:rFonts w:eastAsia="Times New Roman"/>
                <w:b/>
                <w:bCs/>
                <w:sz w:val="24"/>
                <w:szCs w:val="24"/>
                <w:lang w:eastAsia="lv-LV"/>
              </w:rPr>
            </w:pPr>
            <w:r w:rsidRPr="00DE1A22">
              <w:rPr>
                <w:rFonts w:eastAsia="Times New Roman"/>
                <w:bCs/>
                <w:sz w:val="24"/>
                <w:szCs w:val="24"/>
                <w:lang w:eastAsia="lv-LV"/>
              </w:rPr>
              <w:t xml:space="preserve">Norādām, ka pamatnostādņu projektā 4. sadaļas “Rīcības virzieni un uzdevumi” 3. rīcības virziena “Azartspēļu un izložu pieejamības regulēšana” 2.uzdevums “Izstrādāt kārtību kādā IAUI izvērtē azartspēļu organizēšanas vietas atbilstību AIL prasībām un izsniedz attiecīgās atļaujas”, paredz kārtības izstrādāšanu, līdz ar to tās izstrādes procesā tiks izvērtēti visi iespējamie kritēriji, lai IAUI pieņemtais lēmums būtu pamatots un ņemtas vērā konkrētās pašvaldības iedzīvotāju tiesības uz veselīgu dzīvesveidu veicinošu vidi.  </w:t>
            </w:r>
          </w:p>
        </w:tc>
        <w:tc>
          <w:tcPr>
            <w:tcW w:w="2410" w:type="dxa"/>
            <w:shd w:val="clear" w:color="auto" w:fill="auto"/>
          </w:tcPr>
          <w:p w:rsidR="00A90B73" w:rsidRPr="00DE1A22" w:rsidRDefault="00A90B73" w:rsidP="00A90B73">
            <w:pPr>
              <w:spacing w:before="100" w:beforeAutospacing="1" w:after="100" w:afterAutospacing="1"/>
              <w:jc w:val="both"/>
              <w:rPr>
                <w:rFonts w:eastAsia="Times New Roman"/>
                <w:sz w:val="24"/>
                <w:szCs w:val="24"/>
                <w:lang w:eastAsia="lv-LV"/>
              </w:rPr>
            </w:pPr>
          </w:p>
        </w:tc>
        <w:tc>
          <w:tcPr>
            <w:tcW w:w="2551" w:type="dxa"/>
            <w:shd w:val="clear" w:color="auto" w:fill="auto"/>
          </w:tcPr>
          <w:p w:rsidR="00A90B73" w:rsidRPr="00DE1A22" w:rsidRDefault="00A90B73" w:rsidP="00A90B73">
            <w:pPr>
              <w:spacing w:after="120"/>
              <w:jc w:val="both"/>
              <w:rPr>
                <w:rFonts w:eastAsia="Times New Roman"/>
                <w:sz w:val="24"/>
                <w:szCs w:val="24"/>
              </w:rPr>
            </w:pPr>
          </w:p>
        </w:tc>
      </w:tr>
    </w:tbl>
    <w:p w:rsidR="009B7496" w:rsidRPr="00DE1A22" w:rsidRDefault="009403CD" w:rsidP="00A47E6A">
      <w:pPr>
        <w:spacing w:before="100" w:beforeAutospacing="1" w:after="100" w:afterAutospacing="1"/>
        <w:jc w:val="center"/>
        <w:rPr>
          <w:rFonts w:eastAsia="Times New Roman"/>
          <w:b/>
          <w:sz w:val="24"/>
          <w:szCs w:val="24"/>
          <w:lang w:eastAsia="lv-LV"/>
        </w:rPr>
      </w:pPr>
      <w:r w:rsidRPr="00DE1A22">
        <w:rPr>
          <w:rFonts w:eastAsia="Times New Roman"/>
          <w:b/>
          <w:sz w:val="24"/>
          <w:szCs w:val="24"/>
          <w:lang w:eastAsia="lv-LV"/>
        </w:rPr>
        <w:t xml:space="preserve">II. </w:t>
      </w:r>
      <w:r w:rsidR="00CF0BAC" w:rsidRPr="00DE1A22">
        <w:rPr>
          <w:rFonts w:eastAsia="Times New Roman"/>
          <w:b/>
          <w:sz w:val="24"/>
          <w:szCs w:val="24"/>
          <w:lang w:eastAsia="lv-LV"/>
        </w:rPr>
        <w:t xml:space="preserve">Jautājumi, par kuriem saskaņošanā vienošanās ir </w:t>
      </w:r>
      <w:r w:rsidR="005D70C0" w:rsidRPr="00DE1A22">
        <w:rPr>
          <w:rFonts w:eastAsia="Times New Roman"/>
          <w:b/>
          <w:sz w:val="24"/>
          <w:szCs w:val="24"/>
          <w:lang w:eastAsia="lv-LV"/>
        </w:rPr>
        <w:t xml:space="preserve">daļēji panākta vai </w:t>
      </w:r>
      <w:r w:rsidR="00CF0BAC" w:rsidRPr="00DE1A22">
        <w:rPr>
          <w:rFonts w:eastAsia="Times New Roman"/>
          <w:b/>
          <w:sz w:val="24"/>
          <w:szCs w:val="24"/>
          <w:lang w:eastAsia="lv-LV"/>
        </w:rPr>
        <w:t>panākta</w:t>
      </w:r>
    </w:p>
    <w:tbl>
      <w:tblPr>
        <w:tblpPr w:leftFromText="180" w:rightFromText="180" w:vertAnchor="text" w:tblpY="1"/>
        <w:tblOverlap w:val="neve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
        <w:gridCol w:w="3073"/>
        <w:gridCol w:w="4394"/>
        <w:gridCol w:w="3118"/>
        <w:gridCol w:w="3402"/>
      </w:tblGrid>
      <w:tr w:rsidR="00D134C5" w:rsidRPr="00DE1A22" w:rsidTr="00AB20B2">
        <w:tc>
          <w:tcPr>
            <w:tcW w:w="750" w:type="dxa"/>
            <w:vAlign w:val="center"/>
          </w:tcPr>
          <w:p w:rsidR="00D134C5" w:rsidRPr="00DE1A22" w:rsidRDefault="00D134C5" w:rsidP="00D1684B">
            <w:pPr>
              <w:pStyle w:val="naisc"/>
            </w:pPr>
            <w:r w:rsidRPr="00DE1A22">
              <w:lastRenderedPageBreak/>
              <w:t> Nr.</w:t>
            </w:r>
            <w:r w:rsidRPr="00DE1A22">
              <w:br/>
              <w:t> p.k.</w:t>
            </w:r>
          </w:p>
        </w:tc>
        <w:tc>
          <w:tcPr>
            <w:tcW w:w="3073" w:type="dxa"/>
            <w:vAlign w:val="center"/>
          </w:tcPr>
          <w:p w:rsidR="00D134C5" w:rsidRPr="00DE1A22" w:rsidRDefault="00D134C5" w:rsidP="00D1684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Saskaņošanai nosūtītā projekta redakcija (konkrēta punkta (panta) redakcija)</w:t>
            </w:r>
          </w:p>
        </w:tc>
        <w:tc>
          <w:tcPr>
            <w:tcW w:w="4394" w:type="dxa"/>
            <w:vAlign w:val="center"/>
          </w:tcPr>
          <w:p w:rsidR="00D134C5" w:rsidRPr="00DE1A22" w:rsidRDefault="00D134C5" w:rsidP="00D1684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Atzinumā norādītais ministrijas (citas institūcijas) iebildums, kā arī saskaņošanā papildus izteiktais iebildums par projekta konkrēto punktu (pantu)</w:t>
            </w:r>
          </w:p>
        </w:tc>
        <w:tc>
          <w:tcPr>
            <w:tcW w:w="3118" w:type="dxa"/>
            <w:vAlign w:val="center"/>
          </w:tcPr>
          <w:p w:rsidR="00D134C5" w:rsidRPr="00DE1A22" w:rsidRDefault="00D134C5" w:rsidP="00D1684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Atbildīgās ministrijas norāde par to, ka iebildums ir ņemts vērā, vai informācija par saskaņošanā panākto alternatīvo risinājumu</w:t>
            </w:r>
          </w:p>
        </w:tc>
        <w:tc>
          <w:tcPr>
            <w:tcW w:w="3402" w:type="dxa"/>
            <w:vAlign w:val="center"/>
          </w:tcPr>
          <w:p w:rsidR="00D134C5" w:rsidRPr="00DE1A22" w:rsidRDefault="00D134C5" w:rsidP="00D1684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Projekta attiecīgā punkta (panta) galīgā redakcija</w:t>
            </w:r>
          </w:p>
        </w:tc>
      </w:tr>
      <w:tr w:rsidR="00D134C5" w:rsidRPr="00DE1A22" w:rsidTr="00AB20B2">
        <w:tc>
          <w:tcPr>
            <w:tcW w:w="750" w:type="dxa"/>
          </w:tcPr>
          <w:p w:rsidR="00D134C5" w:rsidRPr="00DE1A22" w:rsidRDefault="00D134C5" w:rsidP="00D1684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p>
        </w:tc>
        <w:tc>
          <w:tcPr>
            <w:tcW w:w="3073" w:type="dxa"/>
          </w:tcPr>
          <w:p w:rsidR="00D134C5" w:rsidRPr="00DE1A22" w:rsidRDefault="00D134C5" w:rsidP="00D1684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w:t>
            </w:r>
          </w:p>
        </w:tc>
        <w:tc>
          <w:tcPr>
            <w:tcW w:w="4394" w:type="dxa"/>
          </w:tcPr>
          <w:p w:rsidR="00D134C5" w:rsidRPr="00DE1A22" w:rsidRDefault="00D134C5" w:rsidP="00D1684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3</w:t>
            </w:r>
          </w:p>
        </w:tc>
        <w:tc>
          <w:tcPr>
            <w:tcW w:w="3118" w:type="dxa"/>
          </w:tcPr>
          <w:p w:rsidR="00D134C5" w:rsidRPr="00DE1A22" w:rsidRDefault="00D134C5" w:rsidP="00D1684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4</w:t>
            </w:r>
          </w:p>
        </w:tc>
        <w:tc>
          <w:tcPr>
            <w:tcW w:w="3402" w:type="dxa"/>
          </w:tcPr>
          <w:p w:rsidR="00D134C5" w:rsidRPr="00DE1A22" w:rsidRDefault="00D134C5" w:rsidP="00D1684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5</w:t>
            </w:r>
          </w:p>
        </w:tc>
      </w:tr>
      <w:tr w:rsidR="009647E5" w:rsidRPr="00DE1A22" w:rsidTr="009F0418">
        <w:tc>
          <w:tcPr>
            <w:tcW w:w="750" w:type="dxa"/>
          </w:tcPr>
          <w:p w:rsidR="009647E5" w:rsidRPr="00DE1A22" w:rsidRDefault="009647E5" w:rsidP="009647E5">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p>
        </w:tc>
        <w:tc>
          <w:tcPr>
            <w:tcW w:w="3073" w:type="dxa"/>
          </w:tcPr>
          <w:p w:rsidR="009647E5" w:rsidRPr="00DE1A22" w:rsidRDefault="009647E5" w:rsidP="009647E5">
            <w:pPr>
              <w:jc w:val="both"/>
              <w:rPr>
                <w:rFonts w:eastAsia="Times New Roman"/>
                <w:sz w:val="24"/>
                <w:szCs w:val="24"/>
                <w:lang w:eastAsia="lv-LV"/>
              </w:rPr>
            </w:pPr>
            <w:r w:rsidRPr="00DE1A22">
              <w:rPr>
                <w:rFonts w:eastAsia="Times New Roman"/>
                <w:sz w:val="24"/>
                <w:szCs w:val="24"/>
                <w:lang w:eastAsia="lv-LV"/>
              </w:rPr>
              <w:t>Pamatnostādņu 3. sadaļa 1. politikas rezultāts (PR) – “Samazinās azartspēļu un interaktīvo izložu problemātisko spēlētāju skaits”.</w:t>
            </w:r>
          </w:p>
        </w:tc>
        <w:tc>
          <w:tcPr>
            <w:tcW w:w="4394" w:type="dxa"/>
          </w:tcPr>
          <w:p w:rsidR="009647E5" w:rsidRPr="00DE1A22" w:rsidRDefault="009647E5" w:rsidP="009647E5">
            <w:pPr>
              <w:contextualSpacing/>
              <w:jc w:val="both"/>
              <w:rPr>
                <w:rFonts w:eastAsia="Times New Roman"/>
                <w:b/>
                <w:sz w:val="24"/>
                <w:szCs w:val="24"/>
              </w:rPr>
            </w:pPr>
            <w:r w:rsidRPr="00DE1A22">
              <w:rPr>
                <w:rFonts w:eastAsia="Times New Roman"/>
                <w:b/>
                <w:sz w:val="24"/>
                <w:szCs w:val="24"/>
              </w:rPr>
              <w:t>Vides aizsardzības un reģionālās attīstības ministrija (21.02.2020. Nr.1-132/1579)</w:t>
            </w:r>
          </w:p>
          <w:p w:rsidR="009647E5" w:rsidRPr="00DE1A22" w:rsidRDefault="009647E5" w:rsidP="009647E5">
            <w:pPr>
              <w:contextualSpacing/>
              <w:jc w:val="both"/>
              <w:rPr>
                <w:rFonts w:eastAsia="Times New Roman"/>
                <w:b/>
                <w:sz w:val="24"/>
                <w:szCs w:val="24"/>
              </w:rPr>
            </w:pPr>
            <w:r w:rsidRPr="00DE1A22">
              <w:rPr>
                <w:rFonts w:eastAsia="Times New Roman"/>
                <w:sz w:val="24"/>
                <w:szCs w:val="24"/>
              </w:rPr>
              <w:t>Politikas rezultāti un rezultatīvie rādītāji 1.politikas rezultāta nosaukumā un 1.1., 1.2., 1.4., un 1.6.punktā lūdzam svītrot vārdu “interaktīvās” (atbilstošā locījumā), lai regulējumu attiecinātu uz jebkuru azartspēļu organizēšanas formu.</w:t>
            </w:r>
          </w:p>
        </w:tc>
        <w:tc>
          <w:tcPr>
            <w:tcW w:w="3118" w:type="dxa"/>
          </w:tcPr>
          <w:p w:rsidR="009647E5" w:rsidRPr="00DE1A22" w:rsidRDefault="009647E5" w:rsidP="009647E5">
            <w:pPr>
              <w:jc w:val="both"/>
              <w:rPr>
                <w:rFonts w:eastAsia="Times New Roman"/>
                <w:b/>
                <w:bCs/>
                <w:sz w:val="24"/>
                <w:szCs w:val="24"/>
                <w:lang w:eastAsia="lv-LV"/>
              </w:rPr>
            </w:pPr>
            <w:r w:rsidRPr="00DE1A22">
              <w:rPr>
                <w:rFonts w:eastAsia="Times New Roman"/>
                <w:b/>
                <w:bCs/>
                <w:sz w:val="24"/>
                <w:szCs w:val="24"/>
                <w:lang w:eastAsia="lv-LV"/>
              </w:rPr>
              <w:t>Ņemts vērā.</w:t>
            </w:r>
          </w:p>
          <w:p w:rsidR="009647E5" w:rsidRPr="00DE1A22" w:rsidRDefault="009647E5" w:rsidP="009647E5">
            <w:pPr>
              <w:jc w:val="both"/>
              <w:rPr>
                <w:rFonts w:eastAsia="Times New Roman"/>
                <w:b/>
                <w:bCs/>
                <w:sz w:val="24"/>
                <w:szCs w:val="24"/>
                <w:lang w:eastAsia="lv-LV"/>
              </w:rPr>
            </w:pPr>
          </w:p>
        </w:tc>
        <w:tc>
          <w:tcPr>
            <w:tcW w:w="3402" w:type="dxa"/>
          </w:tcPr>
          <w:p w:rsidR="009647E5" w:rsidRPr="00DE1A22" w:rsidRDefault="009647E5" w:rsidP="009647E5">
            <w:pPr>
              <w:jc w:val="both"/>
              <w:rPr>
                <w:rFonts w:eastAsia="Times New Roman"/>
                <w:sz w:val="24"/>
                <w:szCs w:val="24"/>
                <w:lang w:eastAsia="lv-LV"/>
              </w:rPr>
            </w:pPr>
            <w:r w:rsidRPr="00DE1A22">
              <w:rPr>
                <w:rFonts w:eastAsia="Times New Roman"/>
                <w:sz w:val="24"/>
                <w:szCs w:val="24"/>
              </w:rPr>
              <w:t>Atbilstoši ir precizēti Pamatnostādņu 3.sadaļas 1.politikas virziena 1.1., 1.2., 1.4. un 1.6. apakšpunkti.</w:t>
            </w:r>
          </w:p>
        </w:tc>
      </w:tr>
      <w:tr w:rsidR="009647E5" w:rsidRPr="00DE1A22" w:rsidTr="009F0418">
        <w:tc>
          <w:tcPr>
            <w:tcW w:w="750" w:type="dxa"/>
          </w:tcPr>
          <w:p w:rsidR="009647E5" w:rsidRPr="00DE1A22" w:rsidRDefault="009647E5" w:rsidP="009647E5">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w:t>
            </w:r>
          </w:p>
        </w:tc>
        <w:tc>
          <w:tcPr>
            <w:tcW w:w="3073" w:type="dxa"/>
          </w:tcPr>
          <w:p w:rsidR="009647E5" w:rsidRPr="00DE1A22" w:rsidRDefault="009647E5" w:rsidP="009647E5">
            <w:pPr>
              <w:jc w:val="both"/>
              <w:rPr>
                <w:rFonts w:eastAsia="Times New Roman"/>
                <w:sz w:val="24"/>
                <w:szCs w:val="24"/>
                <w:lang w:eastAsia="lv-LV"/>
              </w:rPr>
            </w:pPr>
            <w:r w:rsidRPr="00DE1A22">
              <w:rPr>
                <w:rFonts w:eastAsia="Times New Roman"/>
                <w:sz w:val="24"/>
                <w:szCs w:val="24"/>
                <w:lang w:eastAsia="lv-LV"/>
              </w:rPr>
              <w:t>Pamatnostādņu 3. sadaļas 1. politikas rezultāts (PR) – “Samazinās azartspēļu un interaktīvo izložu problemātisko spēlētāju skaits”.</w:t>
            </w:r>
          </w:p>
        </w:tc>
        <w:tc>
          <w:tcPr>
            <w:tcW w:w="4394" w:type="dxa"/>
          </w:tcPr>
          <w:p w:rsidR="009647E5" w:rsidRPr="00DE1A22" w:rsidRDefault="009647E5" w:rsidP="009647E5">
            <w:pPr>
              <w:contextualSpacing/>
              <w:jc w:val="both"/>
              <w:rPr>
                <w:rFonts w:eastAsia="Times New Roman"/>
                <w:b/>
                <w:sz w:val="24"/>
                <w:szCs w:val="24"/>
              </w:rPr>
            </w:pPr>
            <w:r w:rsidRPr="00DE1A22">
              <w:rPr>
                <w:rFonts w:eastAsia="Times New Roman"/>
                <w:b/>
                <w:sz w:val="24"/>
                <w:szCs w:val="24"/>
              </w:rPr>
              <w:t>Latvijas Spēļu biznesa asociācija (05.03.2020. Nr.6/20)</w:t>
            </w:r>
          </w:p>
          <w:p w:rsidR="009647E5" w:rsidRPr="00DE1A22" w:rsidRDefault="009647E5" w:rsidP="009647E5">
            <w:pPr>
              <w:contextualSpacing/>
              <w:jc w:val="both"/>
              <w:rPr>
                <w:rFonts w:eastAsia="Times New Roman"/>
                <w:b/>
                <w:sz w:val="24"/>
                <w:szCs w:val="24"/>
              </w:rPr>
            </w:pPr>
            <w:r w:rsidRPr="00DE1A22">
              <w:rPr>
                <w:rFonts w:eastAsia="Times New Roman"/>
                <w:b/>
                <w:sz w:val="24"/>
                <w:szCs w:val="24"/>
              </w:rPr>
              <w:t>Lūdzam izslēgt no 1.politikas rezultāta “Samazinās azartspēļu un interaktīvo izložu problemātisko spēlētāju skaits”, tam sekojošiem rezultatīvajiem rādītājiem, 1.rīcības virziena 14., 18., 19. un 20.uzdevuma un pamatnostādņu pielikuma (kur tas ir nepieciešams) vārdu “interaktīvo”.</w:t>
            </w:r>
          </w:p>
          <w:p w:rsidR="009647E5" w:rsidRPr="00DE1A22" w:rsidRDefault="009647E5" w:rsidP="009647E5">
            <w:pPr>
              <w:contextualSpacing/>
              <w:jc w:val="both"/>
              <w:rPr>
                <w:rFonts w:eastAsia="Times New Roman"/>
                <w:sz w:val="24"/>
                <w:szCs w:val="24"/>
              </w:rPr>
            </w:pPr>
            <w:r w:rsidRPr="00DE1A22">
              <w:rPr>
                <w:rFonts w:eastAsia="Times New Roman"/>
                <w:sz w:val="24"/>
                <w:szCs w:val="24"/>
              </w:rPr>
              <w:t xml:space="preserve">Nav objektīva pamata izlozes un loterijas nošķirt no citiem azartspēļu veidiem. No Eiropas Savienības sekundārajiem tiesību aktiem izriet, ka par azartspēlēm ir uzskatāmas arī izlozes, loterijas un derības.  Eiropas Savienības Komisija zaļajā grāmatā par tiešsaistes azartspēlēm iekšējā tirgū ir norādījusi, ka loterija ir uzskatāma par bezsaistes azartspēļu pakalpojumu.  Tāpat, vērsta uzmanība, ka pie tiešsaistes </w:t>
            </w:r>
            <w:r w:rsidRPr="00DE1A22">
              <w:rPr>
                <w:rFonts w:eastAsia="Times New Roman"/>
                <w:sz w:val="24"/>
                <w:szCs w:val="24"/>
              </w:rPr>
              <w:lastRenderedPageBreak/>
              <w:t xml:space="preserve">azartspēlēm ir pieskaitāma arī loterijas pakalpojumu piegāde tiešsaistē. Eiropas Savienības Komisijas publicētajā gala ziņojumā par azartspēļu pakalpojumiem Eiropas Savienības iekšējā tirgū skaidrots, ka par azartspēļu pakalpojumiem ir uzskatāmi jebkuri pakalpojumi, kas ietver azartspēļu, tostarp loteriju un derību darījumu, likmju noteikšanu ar monetāru vērtību.  Arī no Eiropas Savienības tiesas sprieduma Schindler  lietā var secināt, ka loterija dalībvalstu starpā ierasti tiek uzskatīta par azartspēļu veidu un par to nepastāv strīds.  Uz to, ka loterija ir uzskatāma par azartspēļu veidu, norāda arī vārda “loterija” skaidrojums, kurā, cita starpā, ir noteikts, ka loterija ir azartspēle.  Tāpat arī juridiskajā literatūrā loterijas tiek viennozīmīgi uzskatītas par azartspēļu veidu kopā ar spēļu automātiem, kāršu spēlēm, u.c. </w:t>
            </w:r>
          </w:p>
          <w:p w:rsidR="009647E5" w:rsidRPr="00DE1A22" w:rsidRDefault="009647E5" w:rsidP="009647E5">
            <w:pPr>
              <w:contextualSpacing/>
              <w:jc w:val="both"/>
              <w:rPr>
                <w:rFonts w:eastAsia="Times New Roman"/>
                <w:sz w:val="24"/>
                <w:szCs w:val="24"/>
              </w:rPr>
            </w:pPr>
            <w:r w:rsidRPr="00DE1A22">
              <w:rPr>
                <w:rFonts w:eastAsia="Times New Roman"/>
                <w:sz w:val="24"/>
                <w:szCs w:val="24"/>
              </w:rPr>
              <w:t xml:space="preserve">Izlozes var izraisīt tādu pašu atkarību kā “klasiskās” azartspēles, attiecīgi nav pamatoti izložu regulējumu nošķirt no pārējo azartspēļu regulējuma – īpaši reklāmas un pieejamības jomā, kas var veicināt un izraisīt atkarību. Piemēram, VAS “Latvijas Loto” 2020.gada 18.februārī savā interneta vietnē ziņo: “Loto 5 ikdienas rituāls vainagojas 5001 eiro laimestā”.  Uzņēmums paziņojumā norāda, ka “uzcītība un neatlaidība dzīvē atmaksājas” un skaidro laimētājas izvēli piedalīties loterijā “Loto 5”, “jo tur visbiežāk ir izlozes – ik pēc piecām minūtēm”. Vērtējam kritiski šādu pozitīvas attieksmes paušanu </w:t>
            </w:r>
            <w:r w:rsidRPr="00DE1A22">
              <w:rPr>
                <w:rFonts w:eastAsia="Times New Roman"/>
                <w:sz w:val="24"/>
                <w:szCs w:val="24"/>
              </w:rPr>
              <w:lastRenderedPageBreak/>
              <w:t>pret atkarību, piedēvējot tai tikumus “uzcītība” un “neatlaidība”.</w:t>
            </w:r>
          </w:p>
          <w:p w:rsidR="009647E5" w:rsidRPr="00DE1A22" w:rsidRDefault="009647E5" w:rsidP="009647E5">
            <w:pPr>
              <w:contextualSpacing/>
              <w:jc w:val="both"/>
              <w:rPr>
                <w:rFonts w:eastAsia="Times New Roman"/>
                <w:sz w:val="24"/>
                <w:szCs w:val="24"/>
              </w:rPr>
            </w:pPr>
            <w:r w:rsidRPr="00DE1A22">
              <w:rPr>
                <w:rFonts w:eastAsia="Times New Roman"/>
                <w:sz w:val="24"/>
                <w:szCs w:val="24"/>
              </w:rPr>
              <w:t>Arī Veselības ministrijas pētījumā par azartspēļu spēlēšanas, datorspēļu un pārmērīgas interneta lietošanas paradumiem Latvijā  (turpmāk – VM pētījums) azartspēles tiek apskatītas kopā. Turklāt, 65% aptaujāto cilvēku ir piekrituši, ka Latvijā ir pārāk daudz vietu, kur iegādāties loterijas kuponus vai biļetes. Aicinām izvērtēt izložu pieejamības (brīvi pieejamas pat lielveikalu kasēs – vairāk nekā 800 tirdzniecības vietas) ierobežošanas nepieciešamību.</w:t>
            </w:r>
          </w:p>
          <w:p w:rsidR="009647E5" w:rsidRPr="00DE1A22" w:rsidRDefault="009647E5" w:rsidP="009647E5">
            <w:pPr>
              <w:contextualSpacing/>
              <w:jc w:val="both"/>
              <w:rPr>
                <w:rFonts w:eastAsia="Times New Roman"/>
                <w:b/>
                <w:sz w:val="24"/>
                <w:szCs w:val="24"/>
              </w:rPr>
            </w:pPr>
            <w:r w:rsidRPr="00DE1A22">
              <w:rPr>
                <w:rFonts w:eastAsia="Times New Roman"/>
                <w:sz w:val="24"/>
                <w:szCs w:val="24"/>
              </w:rPr>
              <w:t xml:space="preserve">Aizliegums uzturlīdzekļu nemaksātājiem piedalīties azartspēlēs un izlozēs Azartspēļu un izložu likumā (turpmāk – AIL) būtu nosakāms arī attiecībā uz uzturlīdzekļu nemaksātāju dalību izlozēs (skat. 14.uzdevumu). Citādāk uzturlīdzekļu nemaksātājiem, neskatoties uz aizliegumu piedalīties azartspēlēs, aizvien būs iespējams savus brīvo finanšu līdzekļus iztērēt, spēlējot viena noteikta veida azartspēles – izlozes, nevis nodrošinot savu bērnu uzturēšanu. Tādēļ efektīva tiesiskā regulējuma dēļ ir nepieciešams noteikt, ka uzturlīdzekļu nemaksātājiem ir aizliegts piedalīties azartspēlēs un izlozēs. Fizisko personu datu pienācīgu aizsardzību nodrošinās no azartspēlēm un interaktīvajām izlozēm pašatteikušos personu reģistra (kuru plānots sasaistīt ar Uzturlīdzekļu garantiju fonda parādnieku reģistru) sistēmas paziņojumu par tajā iekļautajām personām forma – autorizētiem </w:t>
            </w:r>
            <w:r w:rsidRPr="00DE1A22">
              <w:rPr>
                <w:rFonts w:eastAsia="Times New Roman"/>
                <w:sz w:val="24"/>
                <w:szCs w:val="24"/>
              </w:rPr>
              <w:lastRenderedPageBreak/>
              <w:t>lietotājiem ir pieejama tikai informācija, vai persona ir vai nav iekļauta reģistrā.</w:t>
            </w:r>
          </w:p>
        </w:tc>
        <w:tc>
          <w:tcPr>
            <w:tcW w:w="3118" w:type="dxa"/>
          </w:tcPr>
          <w:p w:rsidR="009647E5" w:rsidRPr="00DE1A22" w:rsidRDefault="0091689C" w:rsidP="009647E5">
            <w:pPr>
              <w:jc w:val="both"/>
              <w:rPr>
                <w:rFonts w:eastAsia="Times New Roman"/>
                <w:b/>
                <w:bCs/>
                <w:sz w:val="24"/>
                <w:szCs w:val="24"/>
                <w:lang w:eastAsia="lv-LV"/>
              </w:rPr>
            </w:pPr>
            <w:r>
              <w:rPr>
                <w:rFonts w:eastAsia="Times New Roman"/>
                <w:b/>
                <w:bCs/>
                <w:sz w:val="24"/>
                <w:szCs w:val="24"/>
                <w:lang w:eastAsia="lv-LV"/>
              </w:rPr>
              <w:lastRenderedPageBreak/>
              <w:t>Ņ</w:t>
            </w:r>
            <w:r w:rsidR="009647E5" w:rsidRPr="00DE1A22">
              <w:rPr>
                <w:rFonts w:eastAsia="Times New Roman"/>
                <w:b/>
                <w:bCs/>
                <w:sz w:val="24"/>
                <w:szCs w:val="24"/>
                <w:lang w:eastAsia="lv-LV"/>
              </w:rPr>
              <w:t>emts  vērā.</w:t>
            </w:r>
          </w:p>
          <w:p w:rsidR="009647E5" w:rsidRPr="00DE1A22" w:rsidRDefault="009647E5" w:rsidP="009647E5">
            <w:pPr>
              <w:jc w:val="both"/>
              <w:rPr>
                <w:rFonts w:eastAsia="Times New Roman"/>
                <w:sz w:val="24"/>
                <w:szCs w:val="24"/>
                <w:lang w:eastAsia="lv-LV"/>
              </w:rPr>
            </w:pPr>
            <w:r w:rsidRPr="00DE1A22">
              <w:rPr>
                <w:rFonts w:eastAsia="Times New Roman"/>
                <w:sz w:val="24"/>
                <w:szCs w:val="24"/>
                <w:lang w:eastAsia="lv-LV"/>
              </w:rPr>
              <w:t xml:space="preserve">Zinātniskajos pētījumos ir secināts, ka azartspēļu automāti un kazino spēles ir tie azartspēļu veidi, kas ir visvairāk saistīti ar azartspēļu atkarības veidošanos. </w:t>
            </w:r>
          </w:p>
          <w:p w:rsidR="009647E5" w:rsidRPr="00DE1A22" w:rsidRDefault="009647E5" w:rsidP="009647E5">
            <w:pPr>
              <w:jc w:val="both"/>
              <w:rPr>
                <w:rFonts w:eastAsia="Times New Roman"/>
                <w:sz w:val="24"/>
                <w:szCs w:val="24"/>
                <w:lang w:eastAsia="lv-LV"/>
              </w:rPr>
            </w:pPr>
            <w:r w:rsidRPr="00DE1A22">
              <w:rPr>
                <w:rFonts w:eastAsia="Times New Roman"/>
                <w:sz w:val="24"/>
                <w:szCs w:val="24"/>
                <w:lang w:eastAsia="lv-LV"/>
              </w:rPr>
              <w:t xml:space="preserve">Līdz ar to pasākumiem jābūt pēc iespējas fokusētākiem un orientētiem tieši uz būtiskāko risku mazināšanu, lai sasniegtu labāku rezultātu un augstāku šo pasākumu efektivitāti. </w:t>
            </w:r>
          </w:p>
          <w:p w:rsidR="009647E5" w:rsidRPr="00DE1A22" w:rsidRDefault="009647E5" w:rsidP="009647E5">
            <w:pPr>
              <w:jc w:val="both"/>
              <w:rPr>
                <w:rFonts w:eastAsia="Times New Roman"/>
                <w:sz w:val="24"/>
                <w:szCs w:val="24"/>
                <w:lang w:eastAsia="lv-LV"/>
              </w:rPr>
            </w:pPr>
          </w:p>
          <w:p w:rsidR="009647E5" w:rsidRPr="00DE1A22" w:rsidRDefault="009647E5" w:rsidP="009647E5">
            <w:pPr>
              <w:jc w:val="both"/>
              <w:rPr>
                <w:rFonts w:eastAsia="Times New Roman"/>
                <w:sz w:val="24"/>
                <w:szCs w:val="24"/>
                <w:lang w:eastAsia="lv-LV"/>
              </w:rPr>
            </w:pPr>
            <w:r w:rsidRPr="00DE1A22">
              <w:rPr>
                <w:rFonts w:eastAsia="Times New Roman"/>
                <w:sz w:val="24"/>
                <w:szCs w:val="24"/>
                <w:lang w:eastAsia="lv-LV"/>
              </w:rPr>
              <w:t xml:space="preserve">Latvijā 2019.gadā veiktajā  pētījumā “Pētījums par procesu atkarību (azartspēļu, sociālo mediju, datorspēļu atkarība) izplatību Latvijas </w:t>
            </w:r>
            <w:r w:rsidRPr="00DE1A22">
              <w:rPr>
                <w:rFonts w:eastAsia="Times New Roman"/>
                <w:sz w:val="24"/>
                <w:szCs w:val="24"/>
                <w:lang w:eastAsia="lv-LV"/>
              </w:rPr>
              <w:lastRenderedPageBreak/>
              <w:t>iedzīvotāju vidū un to ietekmējošiem riska faktoriem), (turpmāk – LV Pētījums)  teikts, ka, lai arī azartspēles automātos spēlē salīdzinoši mazāks respondentu īpatsvars kā loterijas, šādi kopumā mazinot problemātisko spēlmaņu īpatsvaru populācijā, tomēr tā kaitīgā ietekme ir augstāka, skarot pat lielāko daļu aktīvo regulāro spēlētāju.</w:t>
            </w:r>
          </w:p>
          <w:p w:rsidR="009647E5" w:rsidRPr="00DE1A22" w:rsidRDefault="009647E5" w:rsidP="009647E5">
            <w:pPr>
              <w:jc w:val="both"/>
              <w:rPr>
                <w:rFonts w:eastAsia="Times New Roman"/>
                <w:sz w:val="24"/>
                <w:szCs w:val="24"/>
                <w:lang w:eastAsia="lv-LV"/>
              </w:rPr>
            </w:pPr>
            <w:r w:rsidRPr="00DE1A22">
              <w:rPr>
                <w:rFonts w:eastAsia="Times New Roman"/>
                <w:sz w:val="24"/>
                <w:szCs w:val="24"/>
                <w:lang w:eastAsia="lv-LV"/>
              </w:rPr>
              <w:t xml:space="preserve">Aktīvo 60% spēļu automātu spēlētāju problēmas saskaņā ar indeksa vērtībām uzskatāmas nevis par zema līmeņa, bet gan par vidēja vai augsta līmeņa problēmām. </w:t>
            </w:r>
          </w:p>
          <w:p w:rsidR="009647E5" w:rsidRPr="00DE1A22" w:rsidRDefault="009647E5" w:rsidP="009647E5">
            <w:pPr>
              <w:jc w:val="both"/>
              <w:rPr>
                <w:rFonts w:eastAsia="Times New Roman"/>
                <w:sz w:val="24"/>
                <w:szCs w:val="24"/>
                <w:lang w:eastAsia="lv-LV"/>
              </w:rPr>
            </w:pPr>
            <w:r w:rsidRPr="00DE1A22">
              <w:rPr>
                <w:rFonts w:eastAsia="Times New Roman"/>
                <w:sz w:val="24"/>
                <w:szCs w:val="24"/>
                <w:lang w:eastAsia="lv-LV"/>
              </w:rPr>
              <w:t>Iepriekš minētie secinājumi nosaka, ka izložu spēlētājiem ir mazāks atkarības risks.</w:t>
            </w:r>
          </w:p>
          <w:p w:rsidR="009647E5" w:rsidRPr="00DE1A22" w:rsidRDefault="009647E5" w:rsidP="009647E5">
            <w:pPr>
              <w:jc w:val="both"/>
              <w:rPr>
                <w:rFonts w:eastAsia="Times New Roman"/>
                <w:sz w:val="24"/>
                <w:szCs w:val="24"/>
                <w:lang w:eastAsia="lv-LV"/>
              </w:rPr>
            </w:pPr>
          </w:p>
          <w:p w:rsidR="009647E5" w:rsidRPr="00DE1A22" w:rsidRDefault="009647E5" w:rsidP="009647E5">
            <w:pPr>
              <w:jc w:val="both"/>
              <w:rPr>
                <w:rFonts w:eastAsia="Times New Roman"/>
                <w:b/>
                <w:bCs/>
                <w:sz w:val="24"/>
                <w:szCs w:val="24"/>
                <w:lang w:eastAsia="lv-LV"/>
              </w:rPr>
            </w:pPr>
            <w:r w:rsidRPr="00DE1A22">
              <w:rPr>
                <w:rFonts w:eastAsia="Times New Roman"/>
                <w:sz w:val="24"/>
                <w:szCs w:val="24"/>
                <w:lang w:eastAsia="lv-LV"/>
              </w:rPr>
              <w:t xml:space="preserve">Vienlaikus Tieslietu ministrija ir norādījusi, ka izložu un azartspēļu veidi nav pielīdzināmi, jo tie atšķiras pēc procedūrām, kurās ir iesaistīta persona, kas piedalās izlozē vai azartspēlē, jo tieši personas iesaistes pakāpe var ietekmēt atkarības veidošanos. Tas apstiprinās arī ar projektam “Azartspēļu un izložu politikas pamatnostādnes 2020.-2027. </w:t>
            </w:r>
            <w:r w:rsidRPr="00DE1A22">
              <w:rPr>
                <w:rFonts w:eastAsia="Times New Roman"/>
                <w:sz w:val="24"/>
                <w:szCs w:val="24"/>
                <w:lang w:eastAsia="lv-LV"/>
              </w:rPr>
              <w:lastRenderedPageBreak/>
              <w:t xml:space="preserve">gadam” pievienotajā pielikumā “Esošās situācijas vispārīgs raksturojums” minētajiem pētījumiem: “[..] Attiecībā uz derībām, totalizatoriem un izlozēm ES valstu regulējums ir saudzīgāks, ko varētu izskaidrot tas, ka pētījumos, saistībā ar azartspēļu atkarības risku ir secināts, ka izlozes, derības un totalizatori ir tie azartspēļu veidi, kuri vismazāk saistās ar azartspēļu atkarības veidošanos. [..]” (atsauce uz Remote Gambling Research 42. lpp.; Pamatnostādņu projekta pielikuma 20. lpp. pēdējā rindkopa). Tādējādi Azartspēļu un izložu likuma (turpmāk – likums) 5. pantā uzskaitītās azartspēles, piemēram, spēļu automātu spēle, rulete, kāršu vai kauliņu spēle ir ar ievērojami augstāku personas iesaisti un kaitīgumu (atkarības riskiem), nekā tas ir likuma VIII nodaļā minētajiem izložu (loteriju) veidiem, kad personas iesaiste aprobežojas ar iemaksas veikšanu (konkrētas biļetes iegādi vai biļetes veidlapas iegādi un tās aizpildīšanu atbilstoši izlozes </w:t>
            </w:r>
            <w:r w:rsidRPr="00DE1A22">
              <w:rPr>
                <w:rFonts w:eastAsia="Times New Roman"/>
                <w:sz w:val="24"/>
                <w:szCs w:val="24"/>
                <w:lang w:eastAsia="lv-LV"/>
              </w:rPr>
              <w:lastRenderedPageBreak/>
              <w:t>noteikumiem), bet informācija par laimestu tiek iegūta attālināti. Vienlaikus var pieļaut, ka atsevišķas azartspēles, piemēram, bingo, ir līdzīgs ar skaitļu loterijām, bet arī šajos gadījumos nodalīšana notiek atbilstoši personas iesaistes pakāpei.</w:t>
            </w:r>
          </w:p>
        </w:tc>
        <w:tc>
          <w:tcPr>
            <w:tcW w:w="3402" w:type="dxa"/>
          </w:tcPr>
          <w:p w:rsidR="009647E5" w:rsidRPr="00DE1A22" w:rsidRDefault="009647E5" w:rsidP="009647E5">
            <w:pPr>
              <w:jc w:val="both"/>
              <w:rPr>
                <w:rFonts w:eastAsia="Times New Roman"/>
                <w:sz w:val="24"/>
                <w:szCs w:val="24"/>
                <w:lang w:eastAsia="lv-LV"/>
              </w:rPr>
            </w:pPr>
            <w:r w:rsidRPr="00DE1A22">
              <w:rPr>
                <w:rFonts w:eastAsia="Times New Roman"/>
                <w:sz w:val="24"/>
                <w:szCs w:val="24"/>
                <w:lang w:eastAsia="lv-LV"/>
              </w:rPr>
              <w:lastRenderedPageBreak/>
              <w:t>Precizēti Pamatnostādņu 3. sadaļas 1. politikas rezultāti (PR)</w:t>
            </w:r>
          </w:p>
        </w:tc>
      </w:tr>
      <w:tr w:rsidR="00DE1A22" w:rsidRPr="00DE1A22" w:rsidTr="009F0418">
        <w:tc>
          <w:tcPr>
            <w:tcW w:w="750" w:type="dxa"/>
          </w:tcPr>
          <w:p w:rsidR="00DE1A22" w:rsidRPr="00DE1A22" w:rsidDel="009647E5" w:rsidRDefault="00DE1A22" w:rsidP="00DE1A22">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3</w:t>
            </w:r>
            <w:r w:rsidRPr="00DE1A22">
              <w:rPr>
                <w:rFonts w:eastAsia="Times New Roman"/>
                <w:sz w:val="24"/>
                <w:szCs w:val="24"/>
                <w:lang w:eastAsia="lv-LV"/>
              </w:rPr>
              <w:t>.</w:t>
            </w:r>
          </w:p>
        </w:tc>
        <w:tc>
          <w:tcPr>
            <w:tcW w:w="3073" w:type="dxa"/>
          </w:tcPr>
          <w:p w:rsidR="00DE1A22" w:rsidRPr="00DE1A22" w:rsidRDefault="00DE1A22" w:rsidP="00DE1A22">
            <w:pPr>
              <w:jc w:val="both"/>
              <w:rPr>
                <w:rFonts w:eastAsia="Times New Roman"/>
                <w:sz w:val="24"/>
                <w:szCs w:val="24"/>
                <w:lang w:eastAsia="lv-LV"/>
              </w:rPr>
            </w:pPr>
            <w:r w:rsidRPr="00DE1A22">
              <w:rPr>
                <w:rFonts w:eastAsia="Times New Roman"/>
                <w:sz w:val="24"/>
                <w:szCs w:val="24"/>
                <w:lang w:eastAsia="lv-LV"/>
              </w:rPr>
              <w:t>Pamatnostādņu 4. sadaļas 1. rīcības virziena “Atkarības profilakses, preventīvie, problemātiskā spēlētāja atbalsts un sabiedrības izglītojoši pasākumi” 2. uzdevums: “Nodrošināt pašvaldībās veselības profilakses un veicināšanas pasākumus procesu atkarības (tostarp azartspēļu atkarības) risku mazināšanai.”</w:t>
            </w:r>
          </w:p>
        </w:tc>
        <w:tc>
          <w:tcPr>
            <w:tcW w:w="4394" w:type="dxa"/>
          </w:tcPr>
          <w:p w:rsidR="00DE1A22" w:rsidRPr="00DE1A22" w:rsidRDefault="00DE1A22" w:rsidP="00DE1A22">
            <w:pPr>
              <w:contextualSpacing/>
              <w:jc w:val="both"/>
              <w:rPr>
                <w:rFonts w:eastAsia="Times New Roman"/>
                <w:b/>
                <w:sz w:val="24"/>
                <w:szCs w:val="24"/>
              </w:rPr>
            </w:pPr>
            <w:r w:rsidRPr="00DE1A22">
              <w:rPr>
                <w:rFonts w:eastAsia="Times New Roman"/>
                <w:b/>
                <w:sz w:val="24"/>
                <w:szCs w:val="24"/>
              </w:rPr>
              <w:t>Latvijas Pašvaldību savienība (11.03.2020. Nr.202003/INIC143)</w:t>
            </w:r>
          </w:p>
          <w:p w:rsidR="00DE1A22" w:rsidRPr="00DE1A22" w:rsidRDefault="00DE1A22" w:rsidP="00DE1A22">
            <w:pPr>
              <w:contextualSpacing/>
              <w:jc w:val="both"/>
              <w:rPr>
                <w:rFonts w:eastAsia="Times New Roman"/>
                <w:sz w:val="24"/>
                <w:szCs w:val="24"/>
              </w:rPr>
            </w:pPr>
            <w:r w:rsidRPr="00DE1A22">
              <w:rPr>
                <w:rFonts w:eastAsia="Times New Roman"/>
                <w:sz w:val="24"/>
                <w:szCs w:val="24"/>
              </w:rPr>
              <w:t xml:space="preserve">2. uzdevums nosaka pašvaldības kā atbildīgo institūciju profilakses pasākumu procesu atkarības (tostarp azartspēļu atkarības) risku mazināšanai nodrošināšanā. Ja uzdevums attiecas tikai uz azartspēļu atkarības profilakses pasākumu īstenošanu, lūgums konkrētajā uzdevumā kā atbildīgo institūciju saglabāt tikai Slimību profilakses un kontroles centru (SPKC) un pašvaldības paredzēt kā līdzatbildīgo institūciju, jo atkarības risku izplatības novēršana un novērtēšanas pilnveidošana sabiedrībā ir viens no SPKC darbības mērķiem un šī mērķa ietvaros centra uzdevums ir piedalīties atkarības izraisošo vielu, kā arī azartspēļu un procesu atkarību izplatības un seku ierobežošanas politikas īstenošanā (Slimību profilakses un kontroles centra darbības stratēģija 2019.– 2021. gadam (20.lpp.). Viens no šī mērķa rezultatīvajiem rādītājiem ir: “īstenoto pasākumu skaits valsts mērogā un pašvaldībās atkarības slimību izplatības ierobežošanā un seku mazināšanā, tajā </w:t>
            </w:r>
            <w:r w:rsidRPr="00DE1A22">
              <w:rPr>
                <w:rFonts w:eastAsia="Times New Roman"/>
                <w:sz w:val="24"/>
                <w:szCs w:val="24"/>
              </w:rPr>
              <w:lastRenderedPageBreak/>
              <w:t>skaitā situācijas monitoringā” (stratēģijas 19.lpp.).</w:t>
            </w:r>
          </w:p>
          <w:p w:rsidR="00DE1A22" w:rsidRPr="00DE1A22" w:rsidRDefault="00DE1A22" w:rsidP="00DE1A22">
            <w:pPr>
              <w:contextualSpacing/>
              <w:jc w:val="both"/>
              <w:rPr>
                <w:rFonts w:eastAsia="Times New Roman"/>
                <w:b/>
                <w:sz w:val="24"/>
                <w:szCs w:val="24"/>
              </w:rPr>
            </w:pPr>
            <w:r w:rsidRPr="00DE1A22">
              <w:rPr>
                <w:rFonts w:eastAsia="Times New Roman"/>
                <w:sz w:val="24"/>
                <w:szCs w:val="24"/>
              </w:rPr>
              <w:t>Kā Veselības ministrija minēja 13.februāra starpministriju (starpinstitūciju) sanāksmē par precizēto Pamatnostādņu projektu, pašvaldību funkcija ir veicināt iedzīvotāju veselīgu dzīvesveidu, līdz ar to pašvaldības var būt atbildīgas tikai par iedzīvotāju veselības veicināšanas pasākumiem.</w:t>
            </w:r>
          </w:p>
        </w:tc>
        <w:tc>
          <w:tcPr>
            <w:tcW w:w="3118" w:type="dxa"/>
          </w:tcPr>
          <w:p w:rsidR="00DE1A22" w:rsidRPr="00DE1A22" w:rsidRDefault="00DE1A22" w:rsidP="00DE1A22">
            <w:pPr>
              <w:jc w:val="both"/>
              <w:rPr>
                <w:rFonts w:eastAsia="Times New Roman"/>
                <w:b/>
                <w:bCs/>
                <w:sz w:val="24"/>
                <w:szCs w:val="24"/>
                <w:lang w:eastAsia="lv-LV"/>
              </w:rPr>
            </w:pPr>
            <w:r w:rsidRPr="00DE1A22">
              <w:rPr>
                <w:rFonts w:eastAsia="Times New Roman"/>
                <w:b/>
                <w:bCs/>
                <w:sz w:val="24"/>
                <w:szCs w:val="24"/>
                <w:lang w:eastAsia="lv-LV"/>
              </w:rPr>
              <w:lastRenderedPageBreak/>
              <w:t>Ņemts vērā.</w:t>
            </w:r>
          </w:p>
          <w:p w:rsidR="00DE1A22" w:rsidRPr="00DE1A22" w:rsidRDefault="00DE1A22" w:rsidP="00DE1A22">
            <w:pPr>
              <w:jc w:val="both"/>
              <w:rPr>
                <w:rFonts w:eastAsia="Times New Roman"/>
                <w:b/>
                <w:bCs/>
                <w:sz w:val="24"/>
                <w:szCs w:val="24"/>
                <w:lang w:eastAsia="lv-LV"/>
              </w:rPr>
            </w:pPr>
          </w:p>
        </w:tc>
        <w:tc>
          <w:tcPr>
            <w:tcW w:w="3402" w:type="dxa"/>
          </w:tcPr>
          <w:p w:rsidR="00DE1A22" w:rsidRPr="00DE1A22" w:rsidRDefault="00DE1A22" w:rsidP="00DE1A22">
            <w:pPr>
              <w:jc w:val="both"/>
              <w:rPr>
                <w:rFonts w:eastAsia="Times New Roman"/>
                <w:sz w:val="24"/>
                <w:szCs w:val="24"/>
                <w:lang w:eastAsia="lv-LV"/>
              </w:rPr>
            </w:pPr>
            <w:r w:rsidRPr="00DE1A22">
              <w:rPr>
                <w:rFonts w:eastAsia="Times New Roman"/>
                <w:sz w:val="24"/>
                <w:szCs w:val="24"/>
              </w:rPr>
              <w:t>Atbilstoši ir precizēts Pamatnostādņu 4.sadaļas 1.rīcības virziena 2.uzdevums.</w:t>
            </w:r>
          </w:p>
        </w:tc>
      </w:tr>
      <w:tr w:rsidR="00DE1A22" w:rsidRPr="00DE1A22" w:rsidTr="00BF4AE7">
        <w:tc>
          <w:tcPr>
            <w:tcW w:w="750" w:type="dxa"/>
            <w:shd w:val="clear" w:color="auto" w:fill="auto"/>
          </w:tcPr>
          <w:p w:rsidR="00DE1A22" w:rsidRPr="00DE1A22" w:rsidDel="00AB74B7" w:rsidRDefault="00DE1A22" w:rsidP="00DE1A22">
            <w:pPr>
              <w:spacing w:before="100" w:beforeAutospacing="1" w:after="100" w:afterAutospacing="1"/>
              <w:jc w:val="center"/>
              <w:rPr>
                <w:rFonts w:eastAsia="Times New Roman"/>
                <w:sz w:val="24"/>
                <w:szCs w:val="24"/>
                <w:lang w:eastAsia="lv-LV"/>
              </w:rPr>
            </w:pPr>
            <w:r>
              <w:rPr>
                <w:rFonts w:eastAsia="Times New Roman"/>
                <w:sz w:val="24"/>
                <w:szCs w:val="24"/>
                <w:lang w:eastAsia="lv-LV"/>
              </w:rPr>
              <w:t>4</w:t>
            </w:r>
            <w:r w:rsidRPr="00DE1A22">
              <w:rPr>
                <w:rFonts w:eastAsia="Times New Roman"/>
                <w:sz w:val="24"/>
                <w:szCs w:val="24"/>
                <w:lang w:eastAsia="lv-LV"/>
              </w:rPr>
              <w:t>.</w:t>
            </w:r>
          </w:p>
        </w:tc>
        <w:tc>
          <w:tcPr>
            <w:tcW w:w="3073" w:type="dxa"/>
            <w:shd w:val="clear" w:color="auto" w:fill="auto"/>
          </w:tcPr>
          <w:p w:rsidR="00DE1A22" w:rsidRPr="00DE1A22" w:rsidRDefault="00DE1A22" w:rsidP="00DE1A22">
            <w:pPr>
              <w:jc w:val="both"/>
              <w:rPr>
                <w:rFonts w:eastAsia="Times New Roman"/>
                <w:sz w:val="24"/>
                <w:szCs w:val="24"/>
                <w:lang w:eastAsia="lv-LV"/>
              </w:rPr>
            </w:pPr>
            <w:r w:rsidRPr="00DE1A22">
              <w:rPr>
                <w:rFonts w:eastAsia="Times New Roman"/>
                <w:sz w:val="24"/>
                <w:szCs w:val="24"/>
                <w:lang w:eastAsia="lv-LV"/>
              </w:rPr>
              <w:t>Pamatnostādņu 4. sadaļas 1. rīcības virziena “Atkarības profilakses, preventīvie, problemātiskā spēlētāja atbalsts un sabiedrības izglītojoši pasākumi” 10. uzdevums (jaunās redakcijas uzskaitījums) “AIL noteikt vecuma ierobežojumu dalībai azartspēlēs  no 21 gada vecuma”.</w:t>
            </w:r>
          </w:p>
        </w:tc>
        <w:tc>
          <w:tcPr>
            <w:tcW w:w="4394" w:type="dxa"/>
            <w:shd w:val="clear" w:color="auto" w:fill="auto"/>
          </w:tcPr>
          <w:p w:rsidR="00DE1A22" w:rsidRPr="00DE1A22" w:rsidRDefault="00DE1A22" w:rsidP="00DE1A22">
            <w:pPr>
              <w:contextualSpacing/>
              <w:jc w:val="both"/>
              <w:rPr>
                <w:rFonts w:eastAsia="Times New Roman"/>
                <w:b/>
                <w:sz w:val="24"/>
                <w:szCs w:val="24"/>
              </w:rPr>
            </w:pPr>
            <w:r w:rsidRPr="00DE1A22">
              <w:rPr>
                <w:rFonts w:eastAsia="Times New Roman"/>
                <w:b/>
                <w:sz w:val="24"/>
                <w:szCs w:val="24"/>
              </w:rPr>
              <w:t>Latvijas Spēļu biznesa asociācija (05.03.2020. Nr.6/20)</w:t>
            </w:r>
          </w:p>
          <w:p w:rsidR="00DE1A22" w:rsidRPr="00DE1A22" w:rsidRDefault="00DE1A22" w:rsidP="00DE1A22">
            <w:pPr>
              <w:contextualSpacing/>
              <w:jc w:val="both"/>
              <w:rPr>
                <w:rFonts w:eastAsia="Times New Roman"/>
                <w:b/>
                <w:sz w:val="24"/>
                <w:szCs w:val="24"/>
              </w:rPr>
            </w:pPr>
            <w:r w:rsidRPr="00DE1A22">
              <w:rPr>
                <w:rFonts w:eastAsia="Times New Roman"/>
                <w:b/>
                <w:sz w:val="24"/>
                <w:szCs w:val="24"/>
              </w:rPr>
              <w:t>Izslēgt 11.uzdevumu “AIL noteikt vecuma ierobežojumu dalībai azartspēlēs no 21 gada vecuma”</w:t>
            </w:r>
          </w:p>
          <w:p w:rsidR="00DE1A22" w:rsidRPr="00DE1A22" w:rsidRDefault="00DE1A22" w:rsidP="00DE1A22">
            <w:pPr>
              <w:contextualSpacing/>
              <w:jc w:val="both"/>
              <w:rPr>
                <w:rFonts w:eastAsia="Times New Roman"/>
                <w:sz w:val="24"/>
                <w:szCs w:val="24"/>
              </w:rPr>
            </w:pPr>
            <w:r w:rsidRPr="00DE1A22">
              <w:rPr>
                <w:rFonts w:eastAsia="Times New Roman"/>
                <w:sz w:val="24"/>
                <w:szCs w:val="24"/>
              </w:rPr>
              <w:t>Izvērtējot vecuma ierobežojuma palielināšanas iespējamību, jāņem vērā ievērojamā nelicencēto interaktīvo azartspēļu operatoru ietekme Latvijas tirgū. Nelicencēto operatoru lielais īpatsvars Latvijas tirgū palielina risku, ka nepārdomāta vecuma ierobežojuma paaugstināšanas gadījumā liela daļa personu, it sevišķi, jaunākā spēlētāju daļa tiks novirzīta pie nelicencētajiem operatoriem, kuri neievēro atbildīgas spēles noteikumus un kuru sniegtos pakalpojumus Izložu un azartspēļu uzraudzības inspekcijas (turpmāk – IAUI) neuzrauga. Tādēļ, paaugstinot vecuma ierobežojumus, ievērojama daļa spēlētāju var tikt novirzīta bīstamā vidē, kur tiem nāksies saskarties ar bīstamu, nevis atbildīgu komercpraksi, kas ne tikai paaugstinās problemātisko spēlētāju rašanās risku, bet atsevišķos</w:t>
            </w:r>
            <w:r w:rsidRPr="00DE1A22">
              <w:rPr>
                <w:rFonts w:eastAsia="Times New Roman"/>
                <w:b/>
                <w:sz w:val="24"/>
                <w:szCs w:val="24"/>
              </w:rPr>
              <w:t xml:space="preserve"> </w:t>
            </w:r>
            <w:r w:rsidRPr="00DE1A22">
              <w:rPr>
                <w:rFonts w:eastAsia="Times New Roman"/>
                <w:sz w:val="24"/>
                <w:szCs w:val="24"/>
              </w:rPr>
              <w:t>gadījumos būs pat krāpnieciska.</w:t>
            </w:r>
          </w:p>
          <w:p w:rsidR="00DE1A22" w:rsidRPr="00DE1A22" w:rsidRDefault="00DE1A22" w:rsidP="00DE1A22">
            <w:pPr>
              <w:contextualSpacing/>
              <w:jc w:val="both"/>
              <w:rPr>
                <w:rFonts w:eastAsia="Times New Roman"/>
                <w:sz w:val="24"/>
                <w:szCs w:val="24"/>
              </w:rPr>
            </w:pPr>
            <w:r w:rsidRPr="00DE1A22">
              <w:rPr>
                <w:rFonts w:eastAsia="Times New Roman"/>
                <w:sz w:val="24"/>
                <w:szCs w:val="24"/>
              </w:rPr>
              <w:lastRenderedPageBreak/>
              <w:t xml:space="preserve">Salīdzinot Latvijas un citu ES dalībvalstu noteiktos vecuma ierobežojumus, kā arī augsto nelicencēto interaktīvo azartspēļu operatoru skaitu Latvijā, secināms, ka šobrīd – līdz nav ievērojami samazināts nelicencēto operatoru tirgus Latvijā – nav vēlams paaugstināt vecuma ierobežojumus attiecībā uz dalību azartspēlēs. Pretējā gadījumā personas, kurām tādējādi tiks liegta iespēja izmantot licencēto operatoru pakalpojumus, visticamāk, nevis atturēsies no azartspēļu spēlēšanas, bet gan, izmantojot tehnoloģiju sniegtās iespējas, vērsīsies pie nelicencētiem interaktīvo azartspēļu operatoriem. Sasniedzot 21 gadu vecumu, šie spēlētāji lielā daļā gadījumu nepāries spēlēt pie licencētajiem azartspēļu organizētājiem, jo nelicencēto operatoru piedāvāto bonusu sistēmas ir ļoti dāsnas, ar mērķi piesaistīti un noturēt spēlētāju, ar ko licencētie azartspēļu organizētāji nevar konkurēt.  </w:t>
            </w:r>
          </w:p>
          <w:p w:rsidR="00DE1A22" w:rsidRPr="00DE1A22" w:rsidRDefault="00DE1A22" w:rsidP="00DE1A22">
            <w:pPr>
              <w:contextualSpacing/>
              <w:jc w:val="both"/>
              <w:rPr>
                <w:rFonts w:eastAsia="Times New Roman"/>
                <w:sz w:val="24"/>
                <w:szCs w:val="24"/>
              </w:rPr>
            </w:pPr>
            <w:r w:rsidRPr="00DE1A22">
              <w:rPr>
                <w:rFonts w:eastAsia="Times New Roman"/>
                <w:sz w:val="24"/>
                <w:szCs w:val="24"/>
              </w:rPr>
              <w:t>Vēršam uzmanību, ka 2019.gada 19.decembrī Valsts sekretāru sanāksmē izsludināts plāna projekts “Alkoholisko dzērienu patēriņa mazināšanas un alkoholisma ierobežošanas rīcības plāns 2020.–2022.gadam”. No plāna projekta neizriet, ka būtu iecerētas vismaz līdzvērtīgas aktivitātes attiecībā uz šīs postošās atkarības apkarošanu, t.sk., palielinot vecuma cenzu. Lai gan tieši alkohola lietošanu sabiedrība uzskata par problēmu, kas nodara visbūtiskāko kaitējumu, kā liecina VM pētījums.</w:t>
            </w:r>
          </w:p>
          <w:p w:rsidR="00DE1A22" w:rsidRPr="00DE1A22" w:rsidRDefault="00DE1A22" w:rsidP="00DE1A22">
            <w:pPr>
              <w:contextualSpacing/>
              <w:jc w:val="both"/>
              <w:rPr>
                <w:rFonts w:eastAsia="Times New Roman"/>
                <w:sz w:val="24"/>
                <w:szCs w:val="24"/>
              </w:rPr>
            </w:pPr>
            <w:r w:rsidRPr="00DE1A22">
              <w:rPr>
                <w:rFonts w:eastAsia="Times New Roman"/>
                <w:sz w:val="24"/>
                <w:szCs w:val="24"/>
              </w:rPr>
              <w:lastRenderedPageBreak/>
              <w:t xml:space="preserve">Izmaiņām attiecībā uz vecuma ierobežojumu jābūt kompleksām – vienlaicīgi jānosaka vienots vecuma cenzs alkohola, cigarešu u.c. apreibinošu vielu iegādei, kā arī visu azartspēļu (t.sk. izložu), videospēļu spēlēšanai u.c. atkarību izraisošām nodarbēm. Šādu pieeju atbalstījusi arī Veselības ministrija, 2019.gada augustā reaģējot uz sabiedrības iniciatīvu par aizliegumu iegādāties un lietot alkoholiskos dzērienus personām līdz 21 gada vecumam. </w:t>
            </w:r>
          </w:p>
          <w:p w:rsidR="00DE1A22" w:rsidRPr="00DE1A22" w:rsidRDefault="00DE1A22" w:rsidP="00DE1A22">
            <w:pPr>
              <w:contextualSpacing/>
              <w:jc w:val="both"/>
              <w:rPr>
                <w:rFonts w:eastAsia="Times New Roman"/>
                <w:b/>
                <w:sz w:val="24"/>
                <w:szCs w:val="24"/>
              </w:rPr>
            </w:pPr>
            <w:r w:rsidRPr="00DE1A22">
              <w:rPr>
                <w:rFonts w:eastAsia="Times New Roman"/>
                <w:sz w:val="24"/>
                <w:szCs w:val="24"/>
              </w:rPr>
              <w:t>Lūdzam ņemt vērā arī Ieroču aprites likumā ietverto regulējumu attiecībā uz vecumu, no kura iespējams saņemt dažādu ieroču iegādāšanās, glabāšanas, nēsāšanas un pārvadāšanas</w:t>
            </w:r>
            <w:r w:rsidRPr="00DE1A22">
              <w:rPr>
                <w:rFonts w:eastAsia="Times New Roman"/>
                <w:b/>
                <w:sz w:val="24"/>
                <w:szCs w:val="24"/>
              </w:rPr>
              <w:t xml:space="preserve"> </w:t>
            </w:r>
            <w:r w:rsidRPr="00DE1A22">
              <w:rPr>
                <w:rFonts w:eastAsia="Times New Roman"/>
                <w:sz w:val="24"/>
                <w:szCs w:val="24"/>
              </w:rPr>
              <w:t>atļaujas. Fiziskajai personai, kura sasniegusi 10 gadu vecumu, ar vecāku vai likumisko pārstāvju atļauju ir tiesības simulācijas spēlēs izmantot peintbola ieročus [..], savukārt, personai, kura sasniegusi 16 gadu vecumu, bet nav sasniegusi 18 gadu vecumu, ievērojot likumā noteiktās prasības, ieroča īpašnieka tiešā klātbūtnē ir tiesības individuālajās medībās izmantot medībām klasificētu ieroci. LSBA nesaskata pamatu šādām atšķirībām novērtējumā, kad persona ir pietiekami pieaugusi, lai izklaide nerezultētos ar kādām problēmām, t.sk. atkarības rašanos vai pastiprināšanos.</w:t>
            </w:r>
          </w:p>
        </w:tc>
        <w:tc>
          <w:tcPr>
            <w:tcW w:w="3118" w:type="dxa"/>
            <w:shd w:val="clear" w:color="auto" w:fill="auto"/>
          </w:tcPr>
          <w:p w:rsidR="00DE1A22" w:rsidRPr="00DE1A22" w:rsidRDefault="00DE1A22" w:rsidP="00DE1A22">
            <w:pPr>
              <w:jc w:val="both"/>
              <w:rPr>
                <w:rFonts w:eastAsia="Times New Roman"/>
                <w:b/>
                <w:bCs/>
                <w:sz w:val="24"/>
                <w:szCs w:val="24"/>
                <w:lang w:eastAsia="lv-LV"/>
              </w:rPr>
            </w:pPr>
            <w:r w:rsidRPr="00DE1A22">
              <w:rPr>
                <w:rFonts w:eastAsia="Times New Roman"/>
                <w:b/>
                <w:bCs/>
                <w:sz w:val="24"/>
                <w:szCs w:val="24"/>
                <w:lang w:eastAsia="lv-LV"/>
              </w:rPr>
              <w:lastRenderedPageBreak/>
              <w:t>Daļēji ņemts vērā.</w:t>
            </w:r>
          </w:p>
          <w:p w:rsidR="00DE1A22" w:rsidRPr="00DE1A22" w:rsidRDefault="00DE1A22" w:rsidP="00DE1A22">
            <w:pPr>
              <w:jc w:val="both"/>
              <w:rPr>
                <w:rFonts w:eastAsia="Times New Roman"/>
                <w:sz w:val="24"/>
                <w:szCs w:val="24"/>
              </w:rPr>
            </w:pPr>
            <w:r w:rsidRPr="00DE1A22">
              <w:rPr>
                <w:rFonts w:eastAsia="Times New Roman"/>
                <w:sz w:val="24"/>
                <w:szCs w:val="24"/>
              </w:rPr>
              <w:t xml:space="preserve">Atbilstoši LV Pētījumā norādītajam,  visjutīgākā sabiedrības daļa, kas ir visaugstākajā atkarības riska grupā, ir iedzīvotāji vecumā </w:t>
            </w:r>
            <w:r w:rsidRPr="00DE1A22">
              <w:rPr>
                <w:rFonts w:eastAsia="Times New Roman"/>
                <w:b/>
                <w:sz w:val="24"/>
                <w:szCs w:val="24"/>
              </w:rPr>
              <w:t>no 16 līdz 24 gadiem</w:t>
            </w:r>
            <w:r w:rsidRPr="00DE1A22">
              <w:rPr>
                <w:rFonts w:eastAsia="Times New Roman"/>
                <w:sz w:val="24"/>
                <w:szCs w:val="24"/>
              </w:rPr>
              <w:t>.</w:t>
            </w:r>
          </w:p>
          <w:p w:rsidR="00DE1A22" w:rsidRPr="00DE1A22" w:rsidRDefault="00DE1A22" w:rsidP="00DE1A22">
            <w:pPr>
              <w:pStyle w:val="Default"/>
              <w:jc w:val="both"/>
              <w:rPr>
                <w:rFonts w:ascii="Times New Roman" w:hAnsi="Times New Roman" w:cs="Times New Roman"/>
                <w:color w:val="auto"/>
              </w:rPr>
            </w:pPr>
            <w:r w:rsidRPr="00DE1A22">
              <w:rPr>
                <w:rFonts w:ascii="Times New Roman" w:hAnsi="Times New Roman" w:cs="Times New Roman"/>
                <w:color w:val="auto"/>
              </w:rPr>
              <w:t xml:space="preserve">LV Pētījums rāda, ka personu loks, kurus varētu skart </w:t>
            </w:r>
            <w:r w:rsidRPr="00DE1A22">
              <w:rPr>
                <w:rFonts w:ascii="Times New Roman" w:hAnsi="Times New Roman" w:cs="Times New Roman"/>
                <w:bCs/>
                <w:color w:val="auto"/>
              </w:rPr>
              <w:t>problemātiska azartspēļu spēlēšana</w:t>
            </w:r>
            <w:r w:rsidRPr="00DE1A22">
              <w:rPr>
                <w:rFonts w:ascii="Times New Roman" w:hAnsi="Times New Roman" w:cs="Times New Roman"/>
                <w:color w:val="auto"/>
              </w:rPr>
              <w:t>, visu respondentu vidū ir 6,4% (salīdzinājumam Lielbritānijā 4,7%, Čehijā 5,7%), kas ir viens no lielākajiem no azartspēlēm atkarīgo spēlētāju skaits Eiropas Savienībā. Paaugstinot vecuma ierobežojumu dalībai azartspēlēs līdz 21 gada vecumam tiks mazināti riski saistībā ar atkarības rašanos.</w:t>
            </w:r>
          </w:p>
          <w:p w:rsidR="00DE1A22" w:rsidRPr="00DE1A22" w:rsidRDefault="00DE1A22" w:rsidP="00DE1A22">
            <w:pPr>
              <w:jc w:val="both"/>
              <w:rPr>
                <w:rFonts w:eastAsia="Times New Roman"/>
                <w:b/>
                <w:bCs/>
                <w:sz w:val="24"/>
                <w:szCs w:val="24"/>
                <w:lang w:eastAsia="lv-LV"/>
              </w:rPr>
            </w:pPr>
          </w:p>
          <w:p w:rsidR="00DE1A22" w:rsidRPr="00DE1A22" w:rsidRDefault="00DE1A22" w:rsidP="00DE1A22">
            <w:pPr>
              <w:jc w:val="both"/>
              <w:rPr>
                <w:rFonts w:eastAsia="Times New Roman"/>
                <w:b/>
                <w:bCs/>
                <w:sz w:val="24"/>
                <w:szCs w:val="24"/>
                <w:lang w:eastAsia="lv-LV"/>
              </w:rPr>
            </w:pPr>
          </w:p>
        </w:tc>
        <w:tc>
          <w:tcPr>
            <w:tcW w:w="3402" w:type="dxa"/>
            <w:shd w:val="clear" w:color="auto" w:fill="auto"/>
          </w:tcPr>
          <w:p w:rsidR="00DE1A22" w:rsidRPr="00DE1A22" w:rsidRDefault="00C15202" w:rsidP="00C15202">
            <w:pPr>
              <w:jc w:val="both"/>
              <w:rPr>
                <w:rFonts w:eastAsia="Times New Roman"/>
                <w:sz w:val="24"/>
                <w:szCs w:val="24"/>
                <w:lang w:eastAsia="lv-LV"/>
              </w:rPr>
            </w:pPr>
            <w:r w:rsidRPr="00C15202">
              <w:rPr>
                <w:rFonts w:eastAsia="Times New Roman"/>
                <w:sz w:val="24"/>
                <w:szCs w:val="24"/>
                <w:lang w:eastAsia="lv-LV"/>
              </w:rPr>
              <w:t xml:space="preserve">Atbilstoši ir precizēts Pamatnostādņu </w:t>
            </w:r>
            <w:r w:rsidR="00770FE6">
              <w:rPr>
                <w:rFonts w:eastAsia="Times New Roman"/>
                <w:sz w:val="24"/>
                <w:szCs w:val="24"/>
                <w:lang w:eastAsia="lv-LV"/>
              </w:rPr>
              <w:t xml:space="preserve">pielikums, papildinot to ar aprakstu. Noteikts </w:t>
            </w:r>
            <w:r w:rsidRPr="00C15202">
              <w:rPr>
                <w:rFonts w:eastAsia="Times New Roman"/>
                <w:sz w:val="24"/>
                <w:szCs w:val="24"/>
                <w:lang w:eastAsia="lv-LV"/>
              </w:rPr>
              <w:t xml:space="preserve">4.sadaļas 1.rīcības virziena </w:t>
            </w:r>
            <w:r>
              <w:rPr>
                <w:rFonts w:eastAsia="Times New Roman"/>
                <w:sz w:val="24"/>
                <w:szCs w:val="24"/>
                <w:lang w:eastAsia="lv-LV"/>
              </w:rPr>
              <w:t>10</w:t>
            </w:r>
            <w:r w:rsidRPr="00C15202">
              <w:rPr>
                <w:rFonts w:eastAsia="Times New Roman"/>
                <w:sz w:val="24"/>
                <w:szCs w:val="24"/>
                <w:lang w:eastAsia="lv-LV"/>
              </w:rPr>
              <w:t>.uzdevums</w:t>
            </w:r>
            <w:r w:rsidR="00770FE6">
              <w:rPr>
                <w:rFonts w:eastAsia="Times New Roman"/>
                <w:sz w:val="24"/>
                <w:szCs w:val="24"/>
                <w:lang w:eastAsia="lv-LV"/>
              </w:rPr>
              <w:t xml:space="preserve"> paredz </w:t>
            </w:r>
            <w:r w:rsidR="00770FE6" w:rsidRPr="00DE1A22">
              <w:rPr>
                <w:rFonts w:eastAsia="Times New Roman"/>
                <w:sz w:val="24"/>
                <w:szCs w:val="24"/>
                <w:lang w:eastAsia="lv-LV"/>
              </w:rPr>
              <w:t xml:space="preserve"> vecuma ierobežojumu dalībai azartspēlēs  no 21 gada vecuma</w:t>
            </w:r>
            <w:r w:rsidRPr="00C15202">
              <w:rPr>
                <w:rFonts w:eastAsia="Times New Roman"/>
                <w:sz w:val="24"/>
                <w:szCs w:val="24"/>
                <w:lang w:eastAsia="lv-LV"/>
              </w:rPr>
              <w:t>.</w:t>
            </w:r>
          </w:p>
        </w:tc>
      </w:tr>
      <w:tr w:rsidR="00DE1A22" w:rsidRPr="00DE1A22" w:rsidTr="009F0418">
        <w:tc>
          <w:tcPr>
            <w:tcW w:w="750" w:type="dxa"/>
          </w:tcPr>
          <w:p w:rsidR="00DE1A22" w:rsidRPr="00DE1A22" w:rsidDel="00AB74B7" w:rsidRDefault="00DE1A22" w:rsidP="00DE1A22">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5</w:t>
            </w:r>
            <w:r w:rsidRPr="00DE1A22">
              <w:rPr>
                <w:rFonts w:eastAsia="Times New Roman"/>
                <w:sz w:val="24"/>
                <w:szCs w:val="24"/>
                <w:lang w:eastAsia="lv-LV"/>
              </w:rPr>
              <w:t>.</w:t>
            </w:r>
          </w:p>
        </w:tc>
        <w:tc>
          <w:tcPr>
            <w:tcW w:w="3073" w:type="dxa"/>
          </w:tcPr>
          <w:p w:rsidR="00DE1A22" w:rsidRPr="00DE1A22" w:rsidRDefault="00DE1A22" w:rsidP="00DE1A22">
            <w:pPr>
              <w:jc w:val="both"/>
              <w:rPr>
                <w:rFonts w:eastAsia="Times New Roman"/>
                <w:sz w:val="24"/>
                <w:szCs w:val="24"/>
                <w:lang w:eastAsia="lv-LV"/>
              </w:rPr>
            </w:pPr>
            <w:r w:rsidRPr="00DE1A22">
              <w:rPr>
                <w:rFonts w:eastAsia="Times New Roman"/>
                <w:sz w:val="24"/>
                <w:szCs w:val="24"/>
                <w:lang w:eastAsia="lv-LV"/>
              </w:rPr>
              <w:t xml:space="preserve">Pamatnostādņu 4. sadaļas 1.rīcības virziena “Atkarības profilakses, preventīvie, problemātiskā spēlētāja atbalsts un sabiedrības </w:t>
            </w:r>
            <w:r w:rsidRPr="00DE1A22">
              <w:rPr>
                <w:rFonts w:eastAsia="Times New Roman"/>
                <w:sz w:val="24"/>
                <w:szCs w:val="24"/>
                <w:lang w:eastAsia="lv-LV"/>
              </w:rPr>
              <w:lastRenderedPageBreak/>
              <w:t>izglītojoši pasākumi” 11. uzdevums: “AIL noteikt vecuma ierobežojumu dalībai azartspēlēs no 21 gada vecuma”.</w:t>
            </w:r>
          </w:p>
        </w:tc>
        <w:tc>
          <w:tcPr>
            <w:tcW w:w="4394" w:type="dxa"/>
          </w:tcPr>
          <w:p w:rsidR="00DE1A22" w:rsidRPr="00DE1A22" w:rsidRDefault="00DE1A22" w:rsidP="00DE1A22">
            <w:pPr>
              <w:contextualSpacing/>
              <w:jc w:val="both"/>
              <w:rPr>
                <w:rFonts w:eastAsia="Times New Roman"/>
                <w:b/>
                <w:sz w:val="24"/>
                <w:szCs w:val="24"/>
              </w:rPr>
            </w:pPr>
            <w:r w:rsidRPr="00DE1A22">
              <w:rPr>
                <w:rFonts w:eastAsia="Times New Roman"/>
                <w:b/>
                <w:sz w:val="24"/>
                <w:szCs w:val="24"/>
              </w:rPr>
              <w:lastRenderedPageBreak/>
              <w:t>Latvijas interaktīvo azartspēļu biedrība (06.03.2020.)</w:t>
            </w:r>
          </w:p>
          <w:p w:rsidR="00DE1A22" w:rsidRPr="00DE1A22" w:rsidRDefault="00DE1A22" w:rsidP="00DE1A22">
            <w:pPr>
              <w:contextualSpacing/>
              <w:jc w:val="both"/>
              <w:rPr>
                <w:rFonts w:eastAsia="Times New Roman"/>
                <w:sz w:val="24"/>
                <w:szCs w:val="24"/>
              </w:rPr>
            </w:pPr>
            <w:r w:rsidRPr="00DE1A22">
              <w:rPr>
                <w:rFonts w:eastAsia="Times New Roman"/>
                <w:sz w:val="24"/>
                <w:szCs w:val="24"/>
              </w:rPr>
              <w:t xml:space="preserve">LIAB ieskatā no Pamatnostādņu pielikumā iekļautās informācijas (sk. 20. lpp. sadaļa “Vecuma ierobežojums dalībai azartspēlēs </w:t>
            </w:r>
            <w:r w:rsidRPr="00DE1A22">
              <w:rPr>
                <w:rFonts w:eastAsia="Times New Roman"/>
                <w:sz w:val="24"/>
                <w:szCs w:val="24"/>
              </w:rPr>
              <w:lastRenderedPageBreak/>
              <w:t>un izlozēs) neizriet objektīvs pamatojums tam, kādēļ Latvijā ir nepieciešams paaugstināt vecuma ierobežojumu dalībai interaktīvajās azartspēlēs.</w:t>
            </w:r>
          </w:p>
          <w:p w:rsidR="00DE1A22" w:rsidRPr="00DE1A22" w:rsidRDefault="00DE1A22" w:rsidP="00DE1A22">
            <w:pPr>
              <w:contextualSpacing/>
              <w:jc w:val="both"/>
              <w:rPr>
                <w:rFonts w:eastAsia="Times New Roman"/>
                <w:sz w:val="24"/>
                <w:szCs w:val="24"/>
              </w:rPr>
            </w:pPr>
            <w:r w:rsidRPr="00DE1A22">
              <w:rPr>
                <w:rFonts w:eastAsia="Times New Roman"/>
                <w:sz w:val="24"/>
                <w:szCs w:val="24"/>
              </w:rPr>
              <w:t xml:space="preserve">Pamatnostādņu pielikumā ir pamatoti analizēta citu valstu prakse un konstatēts, ka lielākoties citas valstis izvēlas noteikt 18 gadu vecuma ierobežojumu dalībai azartspēlēs. Vēl jo vairāk Pamatnostādņu pielikumā arī ir norādīts, ka attiecībā uz derībām, totalizatoriem un izlozēm Eiropas Savienības (turpmāk – ES) valstu regulējums ir saudzīgāks, ko varētu izskaidrot tas, ka pētījumos, saistībā ar azartspēļu atkarības risku ir secināts, ka izlozes, derības un totalizatori ir tie azartspēļu veidi, kuri vismazāk saistās ar azartspēļu atkarības veidošanos.  Tādēļ gandrīz visās ES valstīs derības, totalizatorus un izlozes ir atļauts spēlēt, sākot no 18 gadu vecuma. Tāpat Pamatnostādņu pielikumā ir vērtēta arī citu valstu prakse konkrēti attiecībā uz interaktīvajām azartspēlēm un ir norādīts, ka ES dalībvalstu regulējums attiecībā uz dalību interaktīvajās azartspēlēs pārsvarā ir vienveidīgs un gandrīz visas ES dalībvalstīs, izņemot Igauniju, Beļģiju un Grieķiju, ir noteikts, ka personām interaktīvajās azartspēlēs ir atļauts piedalīties no 18 gadu vecuma.  Tādējādi, izvērtējot citu ES dalībvalstu praksi, ir redzams, ka vecuma ierobežojuma </w:t>
            </w:r>
            <w:r w:rsidRPr="00DE1A22">
              <w:rPr>
                <w:rFonts w:eastAsia="Times New Roman"/>
                <w:sz w:val="24"/>
                <w:szCs w:val="24"/>
              </w:rPr>
              <w:lastRenderedPageBreak/>
              <w:t>paaugstināšana dalībai azartspēles neatbilst vispārējām tendencēm un labās prakses piemēriem citās ES dalībvalstīs ar līdzīgām problēmām un rādītājiem kā Latvijai.</w:t>
            </w:r>
          </w:p>
          <w:p w:rsidR="00DE1A22" w:rsidRPr="00DE1A22" w:rsidRDefault="00DE1A22" w:rsidP="00DE1A22">
            <w:pPr>
              <w:contextualSpacing/>
              <w:jc w:val="both"/>
              <w:rPr>
                <w:rFonts w:eastAsia="Times New Roman"/>
                <w:sz w:val="24"/>
                <w:szCs w:val="24"/>
              </w:rPr>
            </w:pPr>
            <w:r w:rsidRPr="00DE1A22">
              <w:rPr>
                <w:rFonts w:eastAsia="Times New Roman"/>
                <w:sz w:val="24"/>
                <w:szCs w:val="24"/>
              </w:rPr>
              <w:t>LIAB izprot, ka šāds ierosinājums varētu būt balstīts uz Veselības Ministrijas (turpmāk – VM) pasūtītajā pētījumā “Pētījums par procesu atkarību (azartspēļu, sociālo mediju, datorspēļu atkarība) izplatību Latvijas iedzīvotāju vidū un to ietekmējošiem riska faktoriem), (turpmāk – LV Pētījums) norādīto, ka visjutīgākā sabiedrības daļa, kas ir visaugstākajā atkarības riska grupā, ir iedzīvotāji vecumā no 16 līdz 24 gadiem.  Taču, paredzot tik būtiskas un ierobežojošas izmaiņas normatīvajā regulējumā, nevar balstīties tikai uz teorētiskiem pētījumiem. Ir jāņem vērā arī faktiskā situācija Latvijā saistībā ar personām šāda vecuma grupā un to spēlēšanas paradumiem.</w:t>
            </w:r>
          </w:p>
          <w:p w:rsidR="00DE1A22" w:rsidRPr="00DE1A22" w:rsidRDefault="00DE1A22" w:rsidP="00DE1A22">
            <w:pPr>
              <w:contextualSpacing/>
              <w:jc w:val="both"/>
              <w:rPr>
                <w:rFonts w:eastAsia="Times New Roman"/>
                <w:sz w:val="24"/>
                <w:szCs w:val="24"/>
              </w:rPr>
            </w:pPr>
            <w:r w:rsidRPr="00DE1A22">
              <w:rPr>
                <w:rFonts w:eastAsia="Times New Roman"/>
                <w:sz w:val="24"/>
                <w:szCs w:val="24"/>
              </w:rPr>
              <w:t xml:space="preserve">LIAB biedri to iespēju robežās ir apkopojuši tiem pieejamo informāciju par spēlētāju paradumiem vecuma grupā no 18 līdz 21 gadiem. Lai gan personas šajā vecuma grupā veido ievērojamu daļu no kopējā klientu skaita (aptuveni 20%), šīs personas vidēji mēnesī zaudē aptuveni 7,67 euro, tas ir, gadā šīs personas zaudē vidēji 92 euro. Tāpat ir jāņem vērā, ka vidēji mazāk nekā 1,5% šajā vecuma grupā ietilpstošo spēlētāju gada laikā ir zaudējuši vairāk par 1000 euro. Ņemot vērā šos rādītājus, nav pamatoti uzskatīt, ka Latvijā personām vecuma grupā no 18 līdz 21 gadam būtu konstatējamas būtiskas </w:t>
            </w:r>
            <w:r w:rsidRPr="00DE1A22">
              <w:rPr>
                <w:rFonts w:eastAsia="Times New Roman"/>
                <w:sz w:val="24"/>
                <w:szCs w:val="24"/>
              </w:rPr>
              <w:lastRenderedPageBreak/>
              <w:t>azartspēļu spēlēšanas problēmas, un šīs spēlēšanas rezultātā tās apdraudētu savu vai savu tuvinieku labklājību.</w:t>
            </w:r>
          </w:p>
          <w:p w:rsidR="00DE1A22" w:rsidRPr="00DE1A22" w:rsidRDefault="00DE1A22" w:rsidP="00DE1A22">
            <w:pPr>
              <w:contextualSpacing/>
              <w:jc w:val="both"/>
              <w:rPr>
                <w:rFonts w:eastAsia="Times New Roman"/>
                <w:sz w:val="24"/>
                <w:szCs w:val="24"/>
              </w:rPr>
            </w:pPr>
            <w:r w:rsidRPr="00DE1A22">
              <w:rPr>
                <w:rFonts w:eastAsia="Times New Roman"/>
                <w:sz w:val="24"/>
                <w:szCs w:val="24"/>
              </w:rPr>
              <w:t>Tāpat attiecībā uz spēlēšanas paradumiem ir jāņem vērā, ka mazāk par 15% no visām personām vecuma grupā no 18 līdz 21 gadam, kuras ir reģistrējušās interaktīvo azartspēļu vietnēs, interaktīvās azartspēles spēlē vismaz reizi mēnesi. Sevišķi nozīmīgs rādītājs, lai izprastu jauniešu spēlēšanas paradumus, ir arī tas, ka aptuveni 45% no visiem šajā vecuma grupā reģistrētiem lietotājiem, ir veikuši tikai vienu depozīta iemaksu. Tas nozīmē, ka liels skaits no šajā vecuma grupā reģistrētajiem spēlētājiem ir tikai vienreiz pamēģinājuši interaktīvās azartspēles, bet neturpina tās izmantot.</w:t>
            </w:r>
          </w:p>
          <w:p w:rsidR="00DE1A22" w:rsidRPr="00DE1A22" w:rsidRDefault="00DE1A22" w:rsidP="00DE1A22">
            <w:pPr>
              <w:contextualSpacing/>
              <w:jc w:val="both"/>
              <w:rPr>
                <w:rFonts w:eastAsia="Times New Roman"/>
                <w:sz w:val="24"/>
                <w:szCs w:val="24"/>
              </w:rPr>
            </w:pPr>
            <w:r w:rsidRPr="00DE1A22">
              <w:rPr>
                <w:rFonts w:eastAsia="Times New Roman"/>
                <w:sz w:val="24"/>
                <w:szCs w:val="24"/>
              </w:rPr>
              <w:t>Lai gan šādu statistikas datu iegūšana ir komplicēta un tos izdevās iegūt tikai daļai no LIAB biedriem, LIAB ieskatā šie dati ir izmantojami kā vispārēji indikatīvi rādītājai par kopējām interaktīvo azartspēļu spēlēšanas tendencēm 18 līdz 21 gadu vecu personu vidū. Savukārt atbilstoši šiem datiem 18 līdz 21 gadu vecuma grupā ietilpstošu personu spēlēšanas tendences nenorāda uz tādiem apstākļiem Latvijas interaktīvo azartspēļu tirgū, kas pamatotu nepieciešamību paaugstināt vecuma ierobežojumu dalībai interaktīvajās azartspēlēs.</w:t>
            </w:r>
          </w:p>
          <w:p w:rsidR="00DE1A22" w:rsidRPr="00DE1A22" w:rsidRDefault="00DE1A22" w:rsidP="00DE1A22">
            <w:pPr>
              <w:contextualSpacing/>
              <w:jc w:val="both"/>
              <w:rPr>
                <w:rFonts w:eastAsia="Times New Roman"/>
                <w:sz w:val="24"/>
                <w:szCs w:val="24"/>
              </w:rPr>
            </w:pPr>
            <w:r w:rsidRPr="00DE1A22">
              <w:rPr>
                <w:rFonts w:eastAsia="Times New Roman"/>
                <w:sz w:val="24"/>
                <w:szCs w:val="24"/>
              </w:rPr>
              <w:t xml:space="preserve">Vērtējot šāda ierobežojuma nepieciešamību, ir jāņem vērā arī šāda ierobežojuma noteikšanas negatīvie aspekti un riski, kas LIAB ieskatā Latvijā ir daudz </w:t>
            </w:r>
            <w:r w:rsidRPr="00DE1A22">
              <w:rPr>
                <w:rFonts w:eastAsia="Times New Roman"/>
                <w:sz w:val="24"/>
                <w:szCs w:val="24"/>
              </w:rPr>
              <w:lastRenderedPageBreak/>
              <w:t xml:space="preserve">satraucošāki, nekā šādā vecuma grupā ietilpstošo personu spēlēšanas paradumi. </w:t>
            </w:r>
          </w:p>
          <w:p w:rsidR="00DE1A22" w:rsidRPr="00DE1A22" w:rsidRDefault="00DE1A22" w:rsidP="00DE1A22">
            <w:pPr>
              <w:contextualSpacing/>
              <w:jc w:val="both"/>
              <w:rPr>
                <w:rFonts w:eastAsia="Times New Roman"/>
                <w:sz w:val="24"/>
                <w:szCs w:val="24"/>
              </w:rPr>
            </w:pPr>
            <w:r w:rsidRPr="00DE1A22">
              <w:rPr>
                <w:rFonts w:eastAsia="Times New Roman"/>
                <w:sz w:val="24"/>
                <w:szCs w:val="24"/>
              </w:rPr>
              <w:t xml:space="preserve">Nelegālais interaktīvo azartspēļu tirgus Latvijā šobrīd veido vismaz 38% no kopējā Latvijas interaktīvo azartspēļu tirgus jeb vismaz 33 miljonus euro gadā. LIAB uzskata, ka nelicencēto operatoru augstā īpatsvara un to vieglās pieejamības dēļ, ja tiks paaugstināts vecuma ierobežojums dalībai interaktīvajās azartspēlēs, personas, kuras sasniegušas 18 gadu vecumu, pievērsīsies nelegālajam azartspēļu tirgum, jo Latvijā tiem būs liegta pieeja legālai alternatīvai. Aizvien vairāk personām pievēršoties un izmantojot nelicencēto operatoru sniegtos pakalpojumus, tās ne tikai tiks pakļautas neuzraudzītai videi, kurā tiek īstenotas daudz agresīvākas reklāmas kampaņas, veicinot atkarības rašanos, bet arī tādai videi, kurā netiek nodrošināta atbildīgas spēles principu ievērošana, pastāv krāpniecības riski, kā arī netiek veikta nodokļu nomaksa. </w:t>
            </w:r>
          </w:p>
          <w:p w:rsidR="00DE1A22" w:rsidRPr="00DE1A22" w:rsidRDefault="00DE1A22" w:rsidP="00DE1A22">
            <w:pPr>
              <w:contextualSpacing/>
              <w:jc w:val="both"/>
              <w:rPr>
                <w:rFonts w:eastAsia="Times New Roman"/>
                <w:sz w:val="24"/>
                <w:szCs w:val="24"/>
              </w:rPr>
            </w:pPr>
            <w:r w:rsidRPr="00DE1A22">
              <w:rPr>
                <w:rFonts w:eastAsia="Times New Roman"/>
                <w:sz w:val="24"/>
                <w:szCs w:val="24"/>
              </w:rPr>
              <w:t xml:space="preserve">Līdz ar to šāda neizsvērta vecuma ierobežojuma paaugstināšana, it sevišķi, attiecībā uz dalību interaktīvajās azartspēlēs var novest pie rezultātiem, kas ir pretēji šāda ierobežojuma noteikšanas mērķim – samazināt problemātisko spēlētāju skaitu jauniešu vidu. Tā vietā šāda vecuma ierobežojuma paaugstināšanas rezultātā problemātisko spēlētāju skaits jauniešu vidū, visticamāk, pieaugs, jo liels skaits jaunieši, kuri ir vismazāk aizsargāti un ietilpst visaugstākajā riska grupā, tiks novirzītas uz nedrošu, neuzraudzītu un </w:t>
            </w:r>
            <w:r w:rsidRPr="00DE1A22">
              <w:rPr>
                <w:rFonts w:eastAsia="Times New Roman"/>
                <w:sz w:val="24"/>
                <w:szCs w:val="24"/>
              </w:rPr>
              <w:lastRenderedPageBreak/>
              <w:t>nekontrolētu vidi, kurā ir īpaši augsts risks, ka jaunieši var tikt apkrāpti vai ierauti azartspēļu atkarībā.</w:t>
            </w:r>
          </w:p>
          <w:p w:rsidR="00DE1A22" w:rsidRPr="00DE1A22" w:rsidRDefault="00DE1A22" w:rsidP="00DE1A22">
            <w:pPr>
              <w:contextualSpacing/>
              <w:jc w:val="both"/>
              <w:rPr>
                <w:rFonts w:eastAsia="Times New Roman"/>
                <w:b/>
                <w:sz w:val="24"/>
                <w:szCs w:val="24"/>
              </w:rPr>
            </w:pPr>
            <w:r w:rsidRPr="00DE1A22">
              <w:rPr>
                <w:rFonts w:eastAsia="Times New Roman"/>
                <w:b/>
                <w:sz w:val="24"/>
                <w:szCs w:val="24"/>
              </w:rPr>
              <w:t>Ņemot vērā visu iepriekš minēto, LIAB aicina dzēst Pamatnostādņu projekta 4. sadaļas 1. Rīcības virziena “Atkarības profilakses, preventīvie, problemātiskā spēlētāja atbalsts un sabiedrības izglītojoši pasākumi” 11. uzdevumu, neplānojot paaugstināt vecuma ierobežojumu dalībai interaktīvajās azartspēlēs.</w:t>
            </w:r>
          </w:p>
        </w:tc>
        <w:tc>
          <w:tcPr>
            <w:tcW w:w="3118" w:type="dxa"/>
          </w:tcPr>
          <w:p w:rsidR="00DE1A22" w:rsidRPr="00DE1A22" w:rsidRDefault="00DE1A22" w:rsidP="00DE1A22">
            <w:pPr>
              <w:jc w:val="both"/>
              <w:rPr>
                <w:rFonts w:eastAsia="Times New Roman"/>
                <w:b/>
                <w:bCs/>
                <w:sz w:val="24"/>
                <w:szCs w:val="24"/>
                <w:lang w:eastAsia="lv-LV"/>
              </w:rPr>
            </w:pPr>
            <w:r w:rsidRPr="00DE1A22">
              <w:rPr>
                <w:rFonts w:eastAsia="Times New Roman"/>
                <w:b/>
                <w:bCs/>
                <w:sz w:val="24"/>
                <w:szCs w:val="24"/>
                <w:lang w:eastAsia="lv-LV"/>
              </w:rPr>
              <w:lastRenderedPageBreak/>
              <w:t>Daļēji ņemts vērā.</w:t>
            </w:r>
          </w:p>
          <w:p w:rsidR="00DE1A22" w:rsidRPr="00DE1A22" w:rsidRDefault="00DE1A22" w:rsidP="00DE1A22">
            <w:pPr>
              <w:jc w:val="both"/>
              <w:rPr>
                <w:rFonts w:eastAsia="Times New Roman"/>
                <w:sz w:val="24"/>
                <w:szCs w:val="24"/>
              </w:rPr>
            </w:pPr>
            <w:r w:rsidRPr="00DE1A22">
              <w:rPr>
                <w:rFonts w:eastAsia="Times New Roman"/>
                <w:sz w:val="24"/>
                <w:szCs w:val="24"/>
              </w:rPr>
              <w:t xml:space="preserve">Atbilstoši LV Pētījumā norādītajam,  visjutīgākā sabiedrības daļa, kas ir visaugstākajā atkarības riska </w:t>
            </w:r>
            <w:r w:rsidRPr="00DE1A22">
              <w:rPr>
                <w:rFonts w:eastAsia="Times New Roman"/>
                <w:sz w:val="24"/>
                <w:szCs w:val="24"/>
              </w:rPr>
              <w:lastRenderedPageBreak/>
              <w:t xml:space="preserve">grupā, ir iedzīvotāji vecumā </w:t>
            </w:r>
            <w:r w:rsidRPr="00DE1A22">
              <w:rPr>
                <w:rFonts w:eastAsia="Times New Roman"/>
                <w:b/>
                <w:sz w:val="24"/>
                <w:szCs w:val="24"/>
              </w:rPr>
              <w:t>no 16 līdz 24 gadiem</w:t>
            </w:r>
            <w:r w:rsidRPr="00DE1A22">
              <w:rPr>
                <w:rFonts w:eastAsia="Times New Roman"/>
                <w:sz w:val="24"/>
                <w:szCs w:val="24"/>
              </w:rPr>
              <w:t>.</w:t>
            </w:r>
          </w:p>
          <w:p w:rsidR="00DE1A22" w:rsidRPr="00DE1A22" w:rsidRDefault="00DE1A22" w:rsidP="00DE1A22">
            <w:pPr>
              <w:pStyle w:val="Default"/>
              <w:jc w:val="both"/>
              <w:rPr>
                <w:rFonts w:ascii="Times New Roman" w:hAnsi="Times New Roman" w:cs="Times New Roman"/>
                <w:color w:val="auto"/>
              </w:rPr>
            </w:pPr>
            <w:r w:rsidRPr="00DE1A22">
              <w:rPr>
                <w:rFonts w:ascii="Times New Roman" w:hAnsi="Times New Roman" w:cs="Times New Roman"/>
                <w:color w:val="auto"/>
              </w:rPr>
              <w:t xml:space="preserve">LV Pētījums rāda, ka personu loks, kurus varētu skart </w:t>
            </w:r>
            <w:r w:rsidRPr="00DE1A22">
              <w:rPr>
                <w:rFonts w:ascii="Times New Roman" w:hAnsi="Times New Roman" w:cs="Times New Roman"/>
                <w:bCs/>
                <w:color w:val="auto"/>
              </w:rPr>
              <w:t>problemātiska azartspēļu spēlēšana</w:t>
            </w:r>
            <w:r w:rsidRPr="00DE1A22">
              <w:rPr>
                <w:rFonts w:ascii="Times New Roman" w:hAnsi="Times New Roman" w:cs="Times New Roman"/>
                <w:color w:val="auto"/>
              </w:rPr>
              <w:t>, visu respondentu vidū ir 6,4% (salīdzinājumam Lielbritānijā 4,7%, Čehijā 5,7%), kas ir viens no lielākajiem no azartspēlēm atkarīgo spēlētāju skaits Eiropas Savienībā. Paaugstinot vecuma ierobežojumu dalībai azartspēlēs līdz 21 gada vecumam tiks mazināti riski saistībā ar atkarības rašanos.</w:t>
            </w:r>
          </w:p>
          <w:p w:rsidR="00DE1A22" w:rsidRPr="00DE1A22" w:rsidRDefault="00DE1A22" w:rsidP="00DE1A22">
            <w:pPr>
              <w:jc w:val="both"/>
              <w:rPr>
                <w:rFonts w:eastAsia="Times New Roman"/>
                <w:sz w:val="24"/>
                <w:szCs w:val="24"/>
              </w:rPr>
            </w:pPr>
          </w:p>
          <w:p w:rsidR="00DE1A22" w:rsidRPr="00DE1A22" w:rsidRDefault="00DE1A22" w:rsidP="00DE1A22">
            <w:pPr>
              <w:jc w:val="both"/>
              <w:rPr>
                <w:rFonts w:eastAsia="Times New Roman"/>
                <w:b/>
                <w:bCs/>
                <w:sz w:val="24"/>
                <w:szCs w:val="24"/>
                <w:lang w:eastAsia="lv-LV"/>
              </w:rPr>
            </w:pPr>
            <w:r w:rsidRPr="00DE1A22">
              <w:rPr>
                <w:rFonts w:eastAsia="Times New Roman"/>
                <w:sz w:val="24"/>
                <w:szCs w:val="24"/>
              </w:rPr>
              <w:t xml:space="preserve">Vienlaikus ņemot vērā Latvijas interaktīvo azartspēļu biedrības sniegto informāciju, ka  personas no 18 – 21 gada vecuma grupā </w:t>
            </w:r>
            <w:r w:rsidRPr="00DE1A22">
              <w:rPr>
                <w:rFonts w:eastAsia="Times New Roman"/>
                <w:b/>
                <w:sz w:val="24"/>
                <w:szCs w:val="24"/>
              </w:rPr>
              <w:t>veido ievērojamu daļu</w:t>
            </w:r>
            <w:r w:rsidRPr="00DE1A22">
              <w:rPr>
                <w:rFonts w:eastAsia="Times New Roman"/>
                <w:sz w:val="24"/>
                <w:szCs w:val="24"/>
              </w:rPr>
              <w:t xml:space="preserve"> no kopējā klientu skaita (2019.gadā 418 552 interaktīvo azartspēļu klienti)</w:t>
            </w:r>
            <w:r w:rsidRPr="00DE1A22">
              <w:rPr>
                <w:rStyle w:val="FootnoteReference"/>
                <w:rFonts w:eastAsia="Times New Roman"/>
                <w:sz w:val="24"/>
                <w:szCs w:val="24"/>
              </w:rPr>
              <w:footnoteReference w:id="4"/>
            </w:r>
            <w:r w:rsidRPr="00DE1A22">
              <w:rPr>
                <w:rFonts w:eastAsia="Times New Roman"/>
                <w:sz w:val="24"/>
                <w:szCs w:val="24"/>
              </w:rPr>
              <w:t xml:space="preserve"> – aptuveni 20% (83 710,4  interaktīvo azartspēļu klienti), uzskatām, ka palielināt vecuma kritēriju ir tālredzīgi, nošķirot sensitīvu grupu no iespējas izmantot brīvo laiku un finanšu </w:t>
            </w:r>
            <w:r w:rsidRPr="00DE1A22">
              <w:rPr>
                <w:rFonts w:eastAsia="Times New Roman"/>
                <w:sz w:val="24"/>
                <w:szCs w:val="24"/>
              </w:rPr>
              <w:lastRenderedPageBreak/>
              <w:t>līdzekļus azartspēļu organizēšanas vietās.</w:t>
            </w:r>
          </w:p>
        </w:tc>
        <w:tc>
          <w:tcPr>
            <w:tcW w:w="3402" w:type="dxa"/>
          </w:tcPr>
          <w:p w:rsidR="00DE1A22" w:rsidRPr="00DE1A22" w:rsidRDefault="00770FE6" w:rsidP="00DE1A22">
            <w:pPr>
              <w:jc w:val="both"/>
              <w:rPr>
                <w:rFonts w:eastAsia="Times New Roman"/>
                <w:sz w:val="24"/>
                <w:szCs w:val="24"/>
                <w:lang w:eastAsia="lv-LV"/>
              </w:rPr>
            </w:pPr>
            <w:r w:rsidRPr="00C15202">
              <w:rPr>
                <w:rFonts w:eastAsia="Times New Roman"/>
                <w:sz w:val="24"/>
                <w:szCs w:val="24"/>
                <w:lang w:eastAsia="lv-LV"/>
              </w:rPr>
              <w:lastRenderedPageBreak/>
              <w:t xml:space="preserve">Atbilstoši ir precizēts Pamatnostādņu </w:t>
            </w:r>
            <w:r>
              <w:rPr>
                <w:rFonts w:eastAsia="Times New Roman"/>
                <w:sz w:val="24"/>
                <w:szCs w:val="24"/>
                <w:lang w:eastAsia="lv-LV"/>
              </w:rPr>
              <w:t xml:space="preserve">pielikums, papildinot to ar aprakstu. Noteikts </w:t>
            </w:r>
            <w:r w:rsidRPr="00C15202">
              <w:rPr>
                <w:rFonts w:eastAsia="Times New Roman"/>
                <w:sz w:val="24"/>
                <w:szCs w:val="24"/>
                <w:lang w:eastAsia="lv-LV"/>
              </w:rPr>
              <w:t xml:space="preserve">4.sadaļas 1.rīcības virziena </w:t>
            </w:r>
            <w:r>
              <w:rPr>
                <w:rFonts w:eastAsia="Times New Roman"/>
                <w:sz w:val="24"/>
                <w:szCs w:val="24"/>
                <w:lang w:eastAsia="lv-LV"/>
              </w:rPr>
              <w:t>10</w:t>
            </w:r>
            <w:r w:rsidRPr="00C15202">
              <w:rPr>
                <w:rFonts w:eastAsia="Times New Roman"/>
                <w:sz w:val="24"/>
                <w:szCs w:val="24"/>
                <w:lang w:eastAsia="lv-LV"/>
              </w:rPr>
              <w:t>.uzdevums</w:t>
            </w:r>
            <w:r>
              <w:rPr>
                <w:rFonts w:eastAsia="Times New Roman"/>
                <w:sz w:val="24"/>
                <w:szCs w:val="24"/>
                <w:lang w:eastAsia="lv-LV"/>
              </w:rPr>
              <w:t xml:space="preserve"> paredz </w:t>
            </w:r>
            <w:r w:rsidRPr="00DE1A22">
              <w:rPr>
                <w:rFonts w:eastAsia="Times New Roman"/>
                <w:sz w:val="24"/>
                <w:szCs w:val="24"/>
                <w:lang w:eastAsia="lv-LV"/>
              </w:rPr>
              <w:t xml:space="preserve"> </w:t>
            </w:r>
            <w:r w:rsidRPr="00DE1A22">
              <w:rPr>
                <w:rFonts w:eastAsia="Times New Roman"/>
                <w:sz w:val="24"/>
                <w:szCs w:val="24"/>
                <w:lang w:eastAsia="lv-LV"/>
              </w:rPr>
              <w:lastRenderedPageBreak/>
              <w:t>vecuma ierobežojumu dalībai azartspēlēs  no 21 gada vecuma</w:t>
            </w:r>
          </w:p>
        </w:tc>
      </w:tr>
      <w:tr w:rsidR="00DE1A22" w:rsidRPr="00DE1A22" w:rsidTr="009F0418">
        <w:tc>
          <w:tcPr>
            <w:tcW w:w="750" w:type="dxa"/>
          </w:tcPr>
          <w:p w:rsidR="00DE1A22" w:rsidRPr="00DE1A22" w:rsidRDefault="00DE1A22" w:rsidP="00DE1A22">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6</w:t>
            </w:r>
            <w:r w:rsidRPr="00DE1A22">
              <w:rPr>
                <w:rFonts w:eastAsia="Times New Roman"/>
                <w:sz w:val="24"/>
                <w:szCs w:val="24"/>
                <w:lang w:eastAsia="lv-LV"/>
              </w:rPr>
              <w:t>.</w:t>
            </w:r>
          </w:p>
        </w:tc>
        <w:tc>
          <w:tcPr>
            <w:tcW w:w="3073" w:type="dxa"/>
          </w:tcPr>
          <w:p w:rsidR="00DE1A22" w:rsidRPr="00DE1A22" w:rsidRDefault="00DE1A22" w:rsidP="00DE1A22">
            <w:pPr>
              <w:jc w:val="both"/>
              <w:rPr>
                <w:rFonts w:eastAsia="Times New Roman"/>
                <w:sz w:val="24"/>
                <w:szCs w:val="24"/>
                <w:lang w:eastAsia="lv-LV"/>
              </w:rPr>
            </w:pPr>
            <w:r w:rsidRPr="00DE1A22">
              <w:rPr>
                <w:rFonts w:eastAsia="Times New Roman"/>
                <w:sz w:val="24"/>
                <w:szCs w:val="24"/>
                <w:lang w:eastAsia="lv-LV"/>
              </w:rPr>
              <w:t>Pamatnostādņu 4. sadaļas 1. rīcības virziena “Atkarības profilakses, preventīvie, problemātiskā spēlētāja atbalsts un sabiedrības izglītojoši pasākumi” 13. uzdevums  “AIL noteikt ierobežojumu darba laikam azartspēļu zālēs, sākot no 3:00  līdz  6:00. Nodrošināt interaktīvajā vidē ierobežojumu dalībai interaktīvajās azartspēlēs, paredzot trīs stundu pārtraukumu diennakts laikā.”</w:t>
            </w:r>
          </w:p>
        </w:tc>
        <w:tc>
          <w:tcPr>
            <w:tcW w:w="4394" w:type="dxa"/>
          </w:tcPr>
          <w:p w:rsidR="00DE1A22" w:rsidRPr="00DE1A22" w:rsidRDefault="00DE1A22" w:rsidP="00DE1A22">
            <w:pPr>
              <w:contextualSpacing/>
              <w:jc w:val="both"/>
              <w:rPr>
                <w:rFonts w:eastAsia="Times New Roman"/>
                <w:b/>
                <w:sz w:val="24"/>
                <w:szCs w:val="24"/>
              </w:rPr>
            </w:pPr>
            <w:r w:rsidRPr="00DE1A22">
              <w:rPr>
                <w:rFonts w:eastAsia="Times New Roman"/>
                <w:b/>
                <w:sz w:val="24"/>
                <w:szCs w:val="24"/>
              </w:rPr>
              <w:t>Latvijas Spēļu biznesa asociācija (05.03.2020. Nr.6/20)</w:t>
            </w:r>
          </w:p>
          <w:p w:rsidR="00DE1A22" w:rsidRPr="00DE1A22" w:rsidRDefault="00DE1A22" w:rsidP="00DE1A22">
            <w:pPr>
              <w:contextualSpacing/>
              <w:jc w:val="both"/>
              <w:rPr>
                <w:rFonts w:eastAsia="Times New Roman"/>
                <w:sz w:val="24"/>
                <w:szCs w:val="24"/>
              </w:rPr>
            </w:pPr>
            <w:r w:rsidRPr="00DE1A22">
              <w:rPr>
                <w:rFonts w:eastAsia="Times New Roman"/>
                <w:sz w:val="24"/>
                <w:szCs w:val="24"/>
              </w:rPr>
              <w:t>Pārskatīt 13.uzdevumu “AIL noteikt ierobežojumu darba laikam azartspēļu zālēs, sākot no 3:00  līdz  6:00. Nodrošināt interaktīvajā vidē ierobežojumu dalībai interaktīvajās azartspēlēs, paredzot trīs stundu pārtraukumu diennakts laikā”.</w:t>
            </w:r>
          </w:p>
          <w:p w:rsidR="00DE1A22" w:rsidRPr="00DE1A22" w:rsidRDefault="00DE1A22" w:rsidP="00DE1A22">
            <w:pPr>
              <w:contextualSpacing/>
              <w:jc w:val="both"/>
              <w:rPr>
                <w:rFonts w:eastAsia="Times New Roman"/>
                <w:sz w:val="24"/>
                <w:szCs w:val="24"/>
              </w:rPr>
            </w:pPr>
            <w:r w:rsidRPr="00DE1A22">
              <w:rPr>
                <w:rFonts w:eastAsia="Times New Roman"/>
                <w:sz w:val="24"/>
                <w:szCs w:val="24"/>
              </w:rPr>
              <w:t xml:space="preserve">Prakse rāda, ka darba laika ierobežojuma noteikšana nedod vēlamo efektu. Piemēram, līdzīgs ierobežojums ir noteikts alkohola tirdzniecībai (alkohola tirdzniecības aizliegums no plkst. 22.00 līdz plkst. 8.00). Kopš 2005.gada reģistrētā absolūtā alkohola patēriņš litros ir audzis.  Arī 2019.gada septembrī tika ziņots par tendences saglabāšanos. </w:t>
            </w:r>
          </w:p>
          <w:p w:rsidR="00DE1A22" w:rsidRPr="00DE1A22" w:rsidRDefault="00DE1A22" w:rsidP="00DE1A22">
            <w:pPr>
              <w:contextualSpacing/>
              <w:jc w:val="both"/>
              <w:rPr>
                <w:rFonts w:eastAsia="Times New Roman"/>
                <w:sz w:val="24"/>
                <w:szCs w:val="24"/>
              </w:rPr>
            </w:pPr>
            <w:r w:rsidRPr="00DE1A22">
              <w:rPr>
                <w:rFonts w:eastAsia="Times New Roman"/>
                <w:sz w:val="24"/>
                <w:szCs w:val="24"/>
              </w:rPr>
              <w:t xml:space="preserve">Tāpat, nav iespējams nodrošināt spēļu zāļu darbinieku drošību, ja darba laiks beidzas plkst. 3.00 naktī vai sākas plkst. 6.00, jo nav pieejami sabiedriskā transporta pakalpojumi, lai nokļūtu uz vai no darba. Sarežģīta veidotos arī darbinieku darba maiņas nodošanas procedūra – t.i., visu </w:t>
            </w:r>
            <w:r w:rsidRPr="00DE1A22">
              <w:rPr>
                <w:rFonts w:eastAsia="Times New Roman"/>
                <w:sz w:val="24"/>
                <w:szCs w:val="24"/>
              </w:rPr>
              <w:lastRenderedPageBreak/>
              <w:t>normatīvo aktu attiecībā uz mantisko atbildību nodrošināšana.</w:t>
            </w:r>
          </w:p>
          <w:p w:rsidR="00DE1A22" w:rsidRPr="00DE1A22" w:rsidRDefault="00DE1A22" w:rsidP="00DE1A22">
            <w:pPr>
              <w:contextualSpacing/>
              <w:jc w:val="both"/>
              <w:rPr>
                <w:rFonts w:eastAsia="Times New Roman"/>
                <w:sz w:val="24"/>
                <w:szCs w:val="24"/>
              </w:rPr>
            </w:pPr>
            <w:r w:rsidRPr="00DE1A22">
              <w:rPr>
                <w:rFonts w:eastAsia="Times New Roman"/>
                <w:sz w:val="24"/>
                <w:szCs w:val="24"/>
              </w:rPr>
              <w:t xml:space="preserve">Lūdzam ņemt vērā arī kazino pakalpojumu īpatnības – tie lielā mērā ir vērsti uz ārvalstu viesiem un spēlētājus interesējošais darba laiks ir arī pēc plkst. 3.00. </w:t>
            </w:r>
          </w:p>
          <w:p w:rsidR="00DE1A22" w:rsidRPr="00DE1A22" w:rsidRDefault="00DE1A22" w:rsidP="00DE1A22">
            <w:pPr>
              <w:contextualSpacing/>
              <w:jc w:val="both"/>
              <w:rPr>
                <w:rFonts w:eastAsia="Times New Roman"/>
                <w:sz w:val="24"/>
                <w:szCs w:val="24"/>
              </w:rPr>
            </w:pPr>
            <w:r w:rsidRPr="00DE1A22">
              <w:rPr>
                <w:rFonts w:eastAsia="Times New Roman"/>
                <w:sz w:val="24"/>
                <w:szCs w:val="24"/>
              </w:rPr>
              <w:t>Vēršam arī uzmanību, ka LSBA biedri nav novērojuši, ka būtu spēlētāji, kuri azartspēļu zālē pavada laiku nepārtraukti ilgāk par 21 stundām.</w:t>
            </w:r>
          </w:p>
          <w:p w:rsidR="00DE1A22" w:rsidRPr="00DE1A22" w:rsidRDefault="00DE1A22" w:rsidP="00DE1A22">
            <w:pPr>
              <w:contextualSpacing/>
              <w:jc w:val="both"/>
              <w:rPr>
                <w:rFonts w:eastAsia="Times New Roman"/>
                <w:b/>
                <w:sz w:val="24"/>
                <w:szCs w:val="24"/>
              </w:rPr>
            </w:pPr>
            <w:r w:rsidRPr="00DE1A22">
              <w:rPr>
                <w:rFonts w:eastAsia="Times New Roman"/>
                <w:b/>
                <w:sz w:val="24"/>
                <w:szCs w:val="24"/>
              </w:rPr>
              <w:t xml:space="preserve">Ja azartspēļu politikas veidotājs tomēr uzskatītu, ka likumā ir jānosaka ierobežojums darba laikam, LSBA lūdz izvērtēt šādu iespējamo regulējumu: </w:t>
            </w:r>
          </w:p>
          <w:p w:rsidR="00DE1A22" w:rsidRPr="00DE1A22" w:rsidRDefault="00DE1A22" w:rsidP="00DE1A22">
            <w:pPr>
              <w:contextualSpacing/>
              <w:jc w:val="both"/>
              <w:rPr>
                <w:rFonts w:eastAsia="Times New Roman"/>
                <w:b/>
                <w:sz w:val="24"/>
                <w:szCs w:val="24"/>
              </w:rPr>
            </w:pPr>
            <w:r w:rsidRPr="00DE1A22">
              <w:rPr>
                <w:rFonts w:eastAsia="Times New Roman"/>
                <w:b/>
                <w:sz w:val="24"/>
                <w:szCs w:val="24"/>
              </w:rPr>
              <w:t>“AIL noteikt azartspēļu organizētājiem pienākumu nodrošināt, ka spēlētājs azartspēļu zālē nepavada nepārtraukti vairāk par 21 stundu.”</w:t>
            </w:r>
          </w:p>
        </w:tc>
        <w:tc>
          <w:tcPr>
            <w:tcW w:w="3118" w:type="dxa"/>
          </w:tcPr>
          <w:p w:rsidR="00DE1A22" w:rsidRPr="00DE1A22" w:rsidRDefault="00DE1A22" w:rsidP="00DE1A22">
            <w:pPr>
              <w:jc w:val="both"/>
              <w:rPr>
                <w:rFonts w:eastAsia="Times New Roman"/>
                <w:b/>
                <w:bCs/>
                <w:sz w:val="24"/>
                <w:szCs w:val="24"/>
                <w:lang w:eastAsia="lv-LV"/>
              </w:rPr>
            </w:pPr>
            <w:r w:rsidRPr="00DE1A22">
              <w:rPr>
                <w:rFonts w:eastAsia="Times New Roman"/>
                <w:b/>
                <w:bCs/>
                <w:sz w:val="24"/>
                <w:szCs w:val="24"/>
                <w:lang w:eastAsia="lv-LV"/>
              </w:rPr>
              <w:lastRenderedPageBreak/>
              <w:t>Daļēji ņemts vērā.</w:t>
            </w:r>
          </w:p>
          <w:p w:rsidR="00DE1A22" w:rsidRPr="00DE1A22" w:rsidRDefault="00DE1A22" w:rsidP="00DE1A22">
            <w:pPr>
              <w:jc w:val="both"/>
              <w:rPr>
                <w:rFonts w:eastAsia="Times New Roman"/>
                <w:b/>
                <w:bCs/>
                <w:sz w:val="24"/>
                <w:szCs w:val="24"/>
                <w:lang w:eastAsia="lv-LV"/>
              </w:rPr>
            </w:pPr>
          </w:p>
        </w:tc>
        <w:tc>
          <w:tcPr>
            <w:tcW w:w="3402" w:type="dxa"/>
          </w:tcPr>
          <w:p w:rsidR="00DE1A22" w:rsidRPr="00DE1A22" w:rsidRDefault="00DE1A22" w:rsidP="00DE1A22">
            <w:pPr>
              <w:jc w:val="both"/>
              <w:rPr>
                <w:rFonts w:eastAsia="Times New Roman"/>
                <w:sz w:val="24"/>
                <w:szCs w:val="24"/>
                <w:lang w:eastAsia="lv-LV"/>
              </w:rPr>
            </w:pPr>
            <w:r w:rsidRPr="00DE1A22">
              <w:rPr>
                <w:rFonts w:eastAsia="Times New Roman"/>
                <w:sz w:val="24"/>
                <w:szCs w:val="24"/>
                <w:lang w:eastAsia="lv-LV"/>
              </w:rPr>
              <w:t xml:space="preserve">Atbilstoši precizēts </w:t>
            </w:r>
            <w:r w:rsidRPr="00DE1A22">
              <w:rPr>
                <w:rFonts w:eastAsia="Times New Roman"/>
                <w:sz w:val="24"/>
                <w:szCs w:val="24"/>
              </w:rPr>
              <w:t xml:space="preserve"> Pamatnostādņu 4.sadaļas 1.rīcības virziena 12.uzdevums (jaunā numerācija).</w:t>
            </w:r>
          </w:p>
          <w:p w:rsidR="00DE1A22" w:rsidRPr="00DE1A22" w:rsidRDefault="00DE1A22" w:rsidP="00DE1A22">
            <w:pPr>
              <w:jc w:val="both"/>
              <w:rPr>
                <w:rFonts w:eastAsia="Times New Roman"/>
                <w:sz w:val="24"/>
                <w:szCs w:val="24"/>
                <w:lang w:eastAsia="lv-LV"/>
              </w:rPr>
            </w:pPr>
          </w:p>
          <w:p w:rsidR="00DE1A22" w:rsidRPr="00DE1A22" w:rsidRDefault="00DE1A22" w:rsidP="00DE1A22">
            <w:pPr>
              <w:jc w:val="both"/>
              <w:rPr>
                <w:rFonts w:eastAsia="Times New Roman"/>
                <w:sz w:val="24"/>
                <w:szCs w:val="24"/>
              </w:rPr>
            </w:pPr>
          </w:p>
        </w:tc>
      </w:tr>
      <w:tr w:rsidR="00DE1A22" w:rsidRPr="00DE1A22" w:rsidTr="0050428E">
        <w:tc>
          <w:tcPr>
            <w:tcW w:w="750" w:type="dxa"/>
          </w:tcPr>
          <w:p w:rsidR="00DE1A22" w:rsidRPr="00DE1A22" w:rsidRDefault="00DE1A22" w:rsidP="00DE1A22">
            <w:pPr>
              <w:spacing w:before="100" w:beforeAutospacing="1" w:after="100" w:afterAutospacing="1"/>
              <w:jc w:val="center"/>
              <w:rPr>
                <w:rFonts w:eastAsia="Times New Roman"/>
                <w:sz w:val="24"/>
                <w:szCs w:val="24"/>
                <w:lang w:eastAsia="lv-LV"/>
              </w:rPr>
            </w:pPr>
            <w:r>
              <w:rPr>
                <w:rFonts w:eastAsia="Times New Roman"/>
                <w:sz w:val="24"/>
                <w:szCs w:val="24"/>
                <w:lang w:eastAsia="lv-LV"/>
              </w:rPr>
              <w:t>7</w:t>
            </w:r>
            <w:r w:rsidRPr="00DE1A22">
              <w:rPr>
                <w:rFonts w:eastAsia="Times New Roman"/>
                <w:sz w:val="24"/>
                <w:szCs w:val="24"/>
                <w:lang w:eastAsia="lv-LV"/>
              </w:rPr>
              <w:t>.</w:t>
            </w:r>
          </w:p>
        </w:tc>
        <w:tc>
          <w:tcPr>
            <w:tcW w:w="3073" w:type="dxa"/>
            <w:shd w:val="clear" w:color="auto" w:fill="auto"/>
          </w:tcPr>
          <w:p w:rsidR="00DE1A22" w:rsidRPr="00DE1A22" w:rsidRDefault="00DE1A22" w:rsidP="00DE1A22">
            <w:pPr>
              <w:jc w:val="both"/>
              <w:rPr>
                <w:rFonts w:eastAsia="Times New Roman"/>
                <w:sz w:val="24"/>
                <w:szCs w:val="24"/>
                <w:lang w:eastAsia="lv-LV"/>
              </w:rPr>
            </w:pPr>
            <w:r w:rsidRPr="00DE1A22">
              <w:rPr>
                <w:rFonts w:eastAsia="Times New Roman"/>
                <w:sz w:val="24"/>
                <w:szCs w:val="24"/>
                <w:lang w:eastAsia="lv-LV"/>
              </w:rPr>
              <w:t xml:space="preserve">Pamatnostādņu 4. sadaļas 1. rīcības virziena “Atkarības profilakses, preventīvie, problemātiskā spēlētāja atbalsts un sabiedrības izglītojoši pasākumi” 13. uzdevumā ir paredzēts: </w:t>
            </w:r>
          </w:p>
          <w:p w:rsidR="00DE1A22" w:rsidRPr="00DE1A22" w:rsidRDefault="00DE1A22" w:rsidP="00DE1A22">
            <w:pPr>
              <w:jc w:val="both"/>
              <w:rPr>
                <w:rFonts w:eastAsia="Times New Roman"/>
                <w:sz w:val="24"/>
                <w:szCs w:val="24"/>
                <w:lang w:eastAsia="lv-LV"/>
              </w:rPr>
            </w:pPr>
            <w:r w:rsidRPr="00DE1A22">
              <w:rPr>
                <w:rFonts w:eastAsia="Times New Roman"/>
                <w:sz w:val="24"/>
                <w:szCs w:val="24"/>
                <w:lang w:eastAsia="lv-LV"/>
              </w:rPr>
              <w:t>“[..] Nodrošināt interaktīvajā vidē ierobežojumu dalībai interaktīvajās azartspēlēs, paredzot trīs stundu pārtraukumu diennakts laikā.”</w:t>
            </w:r>
          </w:p>
        </w:tc>
        <w:tc>
          <w:tcPr>
            <w:tcW w:w="4394" w:type="dxa"/>
            <w:shd w:val="clear" w:color="auto" w:fill="auto"/>
          </w:tcPr>
          <w:p w:rsidR="00DE1A22" w:rsidRPr="00DE1A22" w:rsidRDefault="00DE1A22" w:rsidP="00DE1A22">
            <w:pPr>
              <w:jc w:val="both"/>
              <w:rPr>
                <w:rFonts w:eastAsia="Times New Roman"/>
                <w:b/>
                <w:sz w:val="24"/>
                <w:szCs w:val="24"/>
              </w:rPr>
            </w:pPr>
            <w:r w:rsidRPr="00DE1A22">
              <w:rPr>
                <w:rFonts w:eastAsia="Times New Roman"/>
                <w:b/>
                <w:sz w:val="24"/>
                <w:szCs w:val="24"/>
              </w:rPr>
              <w:t>Latvijas interaktīvo azartspēļu biedrība (06.03.2020.)</w:t>
            </w:r>
          </w:p>
          <w:p w:rsidR="00DE1A22" w:rsidRPr="00DE1A22" w:rsidRDefault="00DE1A22" w:rsidP="00DE1A22">
            <w:pPr>
              <w:jc w:val="both"/>
              <w:rPr>
                <w:rFonts w:eastAsia="Times New Roman"/>
                <w:sz w:val="24"/>
                <w:szCs w:val="24"/>
              </w:rPr>
            </w:pPr>
            <w:r w:rsidRPr="00DE1A22">
              <w:rPr>
                <w:rFonts w:eastAsia="Times New Roman"/>
                <w:sz w:val="24"/>
                <w:szCs w:val="24"/>
              </w:rPr>
              <w:t xml:space="preserve">Satversmes tiesa ir uzsvērusi, ka likumdevējam, cita starpā, ir pienākums pienācīgi pamatot tiesiskā regulējuma nepieciešamību, izmantojot arī izskaidrojošus pētījumus un izvērtējot paredzētā tiesiskā regulējuma alternatīvas.  LIAB ieskatā Pamatnostādņu pielikumā nav ietverts pamatojums tam, kādēļ ir nepieciešams ierobežot interaktīvo azartspēļu darba laiku. Attiecībā uz interaktīvo azartspēļu darbības laika ierobežojumiem nav vērtēta arī citu valstu prakse. Turklāt nav norādīts arī uz to, kādas būtiskas problēmas ir konstatētas Latvijā saistībā ar interaktīvo azartspēļu spēlēšanu, </w:t>
            </w:r>
            <w:r w:rsidRPr="00DE1A22">
              <w:rPr>
                <w:rFonts w:eastAsia="Times New Roman"/>
                <w:sz w:val="24"/>
                <w:szCs w:val="24"/>
              </w:rPr>
              <w:lastRenderedPageBreak/>
              <w:t>kuru dēļ ir nepieciešams paredzēt ierobežojumus to darba laikam.</w:t>
            </w:r>
          </w:p>
          <w:p w:rsidR="00DE1A22" w:rsidRPr="00DE1A22" w:rsidRDefault="00DE1A22" w:rsidP="00DE1A22">
            <w:pPr>
              <w:jc w:val="both"/>
              <w:rPr>
                <w:rFonts w:eastAsia="Times New Roman"/>
                <w:sz w:val="24"/>
                <w:szCs w:val="24"/>
              </w:rPr>
            </w:pPr>
            <w:r w:rsidRPr="00DE1A22">
              <w:rPr>
                <w:rFonts w:eastAsia="Times New Roman"/>
                <w:sz w:val="24"/>
                <w:szCs w:val="24"/>
              </w:rPr>
              <w:t>Lai apliecinātu, ka Latvijā nepastāv būtiskas problēmas saistībā ar interaktīvo azartspēļu spēlēšanas ilgumiem, LIAB biedri apkopoja tiem pieejamo informāciju par vidējo spēlētāju sesijas ilgumu Latvijā. Saskaņā ar LIAB biedru apkopotajiem datiem vidējais sesijas ilgums interaktīvo azartspēļu lietotājiem ir aptuveni 40 min. Savukārt 99% no visām sesijām nav bijušas ilgākas par 5h un 30 min. Par 1h un 50 min ilgākas nav bijušas 90% no visām sesijām. Vērtējot šāda ierobežojuma iespējamo mērķauditoriju, jānorāda, ka tikai 0,5% no visām sesijām ir bijušas ilgākas par 10h, savukārt nav konstatēta neviena sesija, kas būtu vismaz 20h ilga.</w:t>
            </w:r>
          </w:p>
          <w:p w:rsidR="00DE1A22" w:rsidRPr="00DE1A22" w:rsidRDefault="00DE1A22" w:rsidP="00DE1A22">
            <w:pPr>
              <w:jc w:val="both"/>
              <w:rPr>
                <w:rFonts w:eastAsia="Times New Roman"/>
                <w:sz w:val="24"/>
                <w:szCs w:val="24"/>
              </w:rPr>
            </w:pPr>
            <w:r w:rsidRPr="00DE1A22">
              <w:rPr>
                <w:rFonts w:eastAsia="Times New Roman"/>
                <w:sz w:val="24"/>
                <w:szCs w:val="24"/>
              </w:rPr>
              <w:t xml:space="preserve">Minētie dati LIAB ieskatā uz to, ka Latvijā nepastāv vērā ņemamas problēmas ar nepārtrauktu un pārlieku ilgstošu interaktīvo azartspēļu spēlēšanu. Pie šādiem apstākļiem LIAB nesaredz objektīvu nepieciešamību šāda ierobežojuma ieviešanai. Turklāt ir jāņem vērā, ka šāds ierobežojums negatīvi ietekmēs interaktīvo azartspēļu operatorus un ierobežos to spēju piedāvāt kvalitatīvu un ar nelegālo tirgu konkurētspējīgu pakalpojumu. Proti, LIAB biedru dati liecina, ka vairāk nekā 80% no visām sporta likmēm tiek izdarītas tieši tā sauktajā Live likmju režīmā jeb laikā, kad noris konkrētais sporta notikums, nevis pirms tā. Līdz ar to, ja Latvijas interaktīvo azartspēļu operatoriem būs jānodrošina pakalpojumu sniegšanas pārtraukšana </w:t>
            </w:r>
            <w:r w:rsidRPr="00DE1A22">
              <w:rPr>
                <w:rFonts w:eastAsia="Times New Roman"/>
                <w:sz w:val="24"/>
                <w:szCs w:val="24"/>
              </w:rPr>
              <w:lastRenderedPageBreak/>
              <w:t>vismaz 3 h diennaktī, neatkarīgi no laika, kurā šāds pārtraukums būs jānodrošina, tas ietekmēs lielu daļu no interaktīvo azartspēļu lietotājiem, radot tiem neērtības un liedzot izdarīt Live likmes laikā, kad norit konkrētais sporta pasākums. Minētais var būt par iemeslu personām meklēt citas alternatīvas, kurās nav jāsastopas ar šādiem ierobežojumiem.</w:t>
            </w:r>
          </w:p>
          <w:p w:rsidR="00DE1A22" w:rsidRPr="00DE1A22" w:rsidRDefault="00DE1A22" w:rsidP="00DE1A22">
            <w:pPr>
              <w:jc w:val="both"/>
              <w:rPr>
                <w:rFonts w:eastAsia="Times New Roman"/>
                <w:b/>
                <w:sz w:val="24"/>
                <w:szCs w:val="24"/>
              </w:rPr>
            </w:pPr>
            <w:r w:rsidRPr="00DE1A22">
              <w:rPr>
                <w:rFonts w:eastAsia="Times New Roman"/>
                <w:b/>
                <w:sz w:val="24"/>
                <w:szCs w:val="24"/>
              </w:rPr>
              <w:t>Ņemot vērā visu iepriekš minēto, LIAB aicina dzēst Pamatnostādņu projekta 4. sadaļas 1. Rīcības virziena “Atkarības profilakses, preventīvie, problemātiskā spēlētāja atbalsts un sabiedrības izglītojoši pasākumi” 13. uzdevumu daļā par interaktīvo azartspēļu darba laika ierobežošanu, neplānojot noteikt darba laika ierobežojumus interaktīvo azartspēļu pakalpojumu sniedzējiem.</w:t>
            </w:r>
          </w:p>
          <w:p w:rsidR="00DE1A22" w:rsidRPr="00DE1A22" w:rsidRDefault="00DE1A22" w:rsidP="00DE1A22">
            <w:pPr>
              <w:contextualSpacing/>
              <w:jc w:val="both"/>
              <w:rPr>
                <w:rFonts w:eastAsia="Times New Roman"/>
                <w:b/>
                <w:sz w:val="24"/>
                <w:szCs w:val="24"/>
              </w:rPr>
            </w:pPr>
            <w:r w:rsidRPr="00DE1A22">
              <w:rPr>
                <w:rFonts w:eastAsia="Times New Roman"/>
                <w:sz w:val="24"/>
                <w:szCs w:val="24"/>
              </w:rPr>
              <w:t>Kā alternatīva varētu tikt izskatīta iespēja, ka ar šāda veida rīku tiek papildināts interaktīvo azartspēļu nozares piedāvātais atbildīgas spēles rīku komplekts.</w:t>
            </w:r>
          </w:p>
        </w:tc>
        <w:tc>
          <w:tcPr>
            <w:tcW w:w="3118" w:type="dxa"/>
            <w:shd w:val="clear" w:color="auto" w:fill="auto"/>
          </w:tcPr>
          <w:p w:rsidR="00DE1A22" w:rsidRPr="00DE1A22" w:rsidRDefault="00DE1A22" w:rsidP="00DE1A22">
            <w:pPr>
              <w:jc w:val="both"/>
              <w:rPr>
                <w:rFonts w:eastAsia="Times New Roman"/>
                <w:b/>
                <w:bCs/>
                <w:sz w:val="24"/>
                <w:szCs w:val="24"/>
                <w:lang w:eastAsia="lv-LV"/>
              </w:rPr>
            </w:pPr>
            <w:r w:rsidRPr="00DE1A22">
              <w:rPr>
                <w:rFonts w:eastAsia="Times New Roman"/>
                <w:b/>
                <w:bCs/>
                <w:sz w:val="24"/>
                <w:szCs w:val="24"/>
                <w:lang w:eastAsia="lv-LV"/>
              </w:rPr>
              <w:lastRenderedPageBreak/>
              <w:t>Daļēji ņemts vērā.</w:t>
            </w:r>
          </w:p>
          <w:p w:rsidR="00DE1A22" w:rsidRPr="00DE1A22" w:rsidRDefault="00DE1A22" w:rsidP="00DE1A22">
            <w:pPr>
              <w:jc w:val="both"/>
              <w:rPr>
                <w:rFonts w:eastAsia="Times New Roman"/>
                <w:b/>
                <w:bCs/>
                <w:sz w:val="24"/>
                <w:szCs w:val="24"/>
                <w:lang w:eastAsia="lv-LV"/>
              </w:rPr>
            </w:pPr>
          </w:p>
        </w:tc>
        <w:tc>
          <w:tcPr>
            <w:tcW w:w="3402" w:type="dxa"/>
            <w:shd w:val="clear" w:color="auto" w:fill="auto"/>
          </w:tcPr>
          <w:p w:rsidR="00DE1A22" w:rsidRPr="00DE1A22" w:rsidRDefault="00DE1A22" w:rsidP="00DE1A22">
            <w:pPr>
              <w:jc w:val="both"/>
              <w:rPr>
                <w:rFonts w:eastAsia="Times New Roman"/>
                <w:sz w:val="24"/>
                <w:szCs w:val="24"/>
              </w:rPr>
            </w:pPr>
            <w:r w:rsidRPr="00DE1A22">
              <w:rPr>
                <w:rFonts w:eastAsia="Times New Roman"/>
                <w:sz w:val="24"/>
                <w:szCs w:val="24"/>
              </w:rPr>
              <w:t>Atbilstoši precizēts Pamatnostādņu 4.sadaļas 1.rīcības virziena 12.uzdevums (jaunā numerācija).</w:t>
            </w:r>
          </w:p>
        </w:tc>
      </w:tr>
    </w:tbl>
    <w:tbl>
      <w:tblPr>
        <w:tblW w:w="14742" w:type="dxa"/>
        <w:tblInd w:w="-5"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
        <w:gridCol w:w="3066"/>
        <w:gridCol w:w="4400"/>
        <w:gridCol w:w="3118"/>
        <w:gridCol w:w="3402"/>
      </w:tblGrid>
      <w:tr w:rsidR="006064FE" w:rsidRPr="00DE1A22" w:rsidTr="00BF4AE7">
        <w:tc>
          <w:tcPr>
            <w:tcW w:w="756" w:type="dxa"/>
          </w:tcPr>
          <w:p w:rsidR="006064FE" w:rsidRPr="00DE1A22" w:rsidRDefault="00DE1A22" w:rsidP="008A2225">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8</w:t>
            </w:r>
            <w:r w:rsidR="006064FE" w:rsidRPr="00DE1A22">
              <w:rPr>
                <w:rFonts w:eastAsia="Times New Roman"/>
                <w:sz w:val="24"/>
                <w:szCs w:val="24"/>
                <w:lang w:eastAsia="lv-LV"/>
              </w:rPr>
              <w:t>.</w:t>
            </w:r>
          </w:p>
        </w:tc>
        <w:tc>
          <w:tcPr>
            <w:tcW w:w="3066" w:type="dxa"/>
          </w:tcPr>
          <w:p w:rsidR="006064FE" w:rsidRPr="00DE1A22" w:rsidRDefault="006064FE" w:rsidP="008A2225">
            <w:pPr>
              <w:jc w:val="both"/>
              <w:rPr>
                <w:rFonts w:eastAsia="Times New Roman"/>
                <w:sz w:val="24"/>
                <w:szCs w:val="24"/>
                <w:lang w:eastAsia="lv-LV"/>
              </w:rPr>
            </w:pPr>
            <w:r w:rsidRPr="00DE1A22">
              <w:rPr>
                <w:rFonts w:eastAsia="Times New Roman"/>
                <w:sz w:val="24"/>
                <w:szCs w:val="24"/>
                <w:lang w:eastAsia="lv-LV"/>
              </w:rPr>
              <w:t xml:space="preserve">Pamatnostādņu 4. sadaļas 1. rīcības virziena “Atkarības profilakses, preventīvie, problemātiskā spēlētāja atbalsts un sabiedrības izglītojoši pasākumi” 14. un 15. uzdevums (jaunās redakcijas uzskaitījums) “AIL iestrādāt deleģējumu prasību izstrādei attiecībā uz spēļu automātu dizainu, skaņu efektiem, likmes limitiem, nospēlētās summas </w:t>
            </w:r>
            <w:r w:rsidRPr="00DE1A22">
              <w:rPr>
                <w:rFonts w:eastAsia="Times New Roman"/>
                <w:sz w:val="24"/>
                <w:szCs w:val="24"/>
                <w:lang w:eastAsia="lv-LV"/>
              </w:rPr>
              <w:lastRenderedPageBreak/>
              <w:t>dienas limitus, kā arī likmes likšanas biežumu, tai skaitā attiecinot interaktīvajās azartspēlēs paredzētas spēlētāja brīdināšanas prasības par spēlē pavadīto laiku arī uz “zemes” azartspēlēm.</w:t>
            </w:r>
          </w:p>
          <w:p w:rsidR="006064FE" w:rsidRPr="00DE1A22" w:rsidRDefault="006064FE" w:rsidP="008A2225">
            <w:pPr>
              <w:jc w:val="both"/>
              <w:rPr>
                <w:rFonts w:eastAsia="Times New Roman"/>
                <w:sz w:val="24"/>
                <w:szCs w:val="24"/>
                <w:lang w:eastAsia="lv-LV"/>
              </w:rPr>
            </w:pPr>
            <w:r w:rsidRPr="00DE1A22">
              <w:rPr>
                <w:rFonts w:eastAsia="Times New Roman"/>
                <w:sz w:val="24"/>
                <w:szCs w:val="24"/>
                <w:lang w:eastAsia="lv-LV"/>
              </w:rPr>
              <w:t>AIL noteikt prasības “zemes” azartspēļu organizētājam nodrošināt, ka :</w:t>
            </w:r>
          </w:p>
          <w:p w:rsidR="006064FE" w:rsidRPr="00DE1A22" w:rsidRDefault="006064FE" w:rsidP="008A2225">
            <w:pPr>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spēlētāja reģistrācijas posmā spēlētājs var pēc noklusējuma noteikt naudas depozīta maksimālās summas ierobežojumus, kā arī pagaidu ierobežojumus. “Zemes” azartspēlēm tiek izmantotas “gudrās kartes”, kurās ir noteikti naudas limiti, piemēram, spēlei spēļu automātos;</w:t>
            </w:r>
          </w:p>
          <w:p w:rsidR="006064FE" w:rsidRPr="00DE1A22" w:rsidRDefault="006064FE" w:rsidP="008A2225">
            <w:pPr>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 xml:space="preserve">spēlētājs pēc noklusējuma var periodiski saņemt informatīvus brīdinājumus par laimestiem un zaudējumiem spēles vai derību laikā un informāciju par to, cik ilgi spēlētājs ir spēlējis. Spēlētājam jāapstiprina informatīvais brīdinājums un jādod iespēja uz laiku pārtraukt vai turpināt azartspēli;  </w:t>
            </w:r>
          </w:p>
          <w:p w:rsidR="006064FE" w:rsidRPr="00DE1A22" w:rsidRDefault="006064FE" w:rsidP="008A2225">
            <w:pPr>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 xml:space="preserve">ekrāna pulksteņa uzstādīšanu ar mērķi </w:t>
            </w:r>
            <w:r w:rsidRPr="00DE1A22">
              <w:rPr>
                <w:rFonts w:eastAsia="Times New Roman"/>
                <w:sz w:val="24"/>
                <w:szCs w:val="24"/>
                <w:lang w:eastAsia="lv-LV"/>
              </w:rPr>
              <w:lastRenderedPageBreak/>
              <w:t>spēlētājam saglabāt laika kontroles sajūtu.”.</w:t>
            </w:r>
          </w:p>
        </w:tc>
        <w:tc>
          <w:tcPr>
            <w:tcW w:w="4400" w:type="dxa"/>
          </w:tcPr>
          <w:p w:rsidR="006064FE" w:rsidRPr="00DE1A22" w:rsidRDefault="006064FE" w:rsidP="008A2225">
            <w:pPr>
              <w:contextualSpacing/>
              <w:jc w:val="both"/>
              <w:rPr>
                <w:rFonts w:eastAsia="Times New Roman"/>
                <w:b/>
                <w:sz w:val="24"/>
                <w:szCs w:val="24"/>
              </w:rPr>
            </w:pPr>
            <w:r w:rsidRPr="00DE1A22">
              <w:rPr>
                <w:rFonts w:eastAsia="Times New Roman"/>
                <w:b/>
                <w:sz w:val="24"/>
                <w:szCs w:val="24"/>
              </w:rPr>
              <w:lastRenderedPageBreak/>
              <w:t>Latvijas Spēļu biznesa asociācija (05.03.2020. Nr.6/20)</w:t>
            </w:r>
          </w:p>
          <w:p w:rsidR="006064FE" w:rsidRPr="00DE1A22" w:rsidRDefault="006064FE" w:rsidP="008A2225">
            <w:pPr>
              <w:contextualSpacing/>
              <w:jc w:val="both"/>
              <w:rPr>
                <w:rFonts w:eastAsia="Times New Roman"/>
                <w:sz w:val="24"/>
                <w:szCs w:val="24"/>
              </w:rPr>
            </w:pPr>
            <w:r w:rsidRPr="00DE1A22">
              <w:rPr>
                <w:rFonts w:eastAsia="Times New Roman"/>
                <w:sz w:val="24"/>
                <w:szCs w:val="24"/>
              </w:rPr>
              <w:t>Izslēgt 15. un 16.uzdevumu</w:t>
            </w:r>
          </w:p>
          <w:p w:rsidR="006064FE" w:rsidRPr="00DE1A22" w:rsidRDefault="006064FE" w:rsidP="008A2225">
            <w:pPr>
              <w:contextualSpacing/>
              <w:jc w:val="both"/>
              <w:rPr>
                <w:rFonts w:eastAsia="Times New Roman"/>
                <w:sz w:val="24"/>
                <w:szCs w:val="24"/>
              </w:rPr>
            </w:pPr>
            <w:r w:rsidRPr="00DE1A22">
              <w:rPr>
                <w:rFonts w:eastAsia="Times New Roman"/>
                <w:sz w:val="24"/>
                <w:szCs w:val="24"/>
              </w:rPr>
              <w:t>“AIL iestrādāt deleģējumu prasību izstrādei attiecībā uz spēļu automātu dizainu, skaņu efektiem, likmes limitiem, nospēlētās summas dienas limitus, kā arī likmes likšanas biežumu, tai skaitā attiecinot interaktīvajās azartspēlēs paredzētas spēlētāja brīdināšanas prasības par spēlē pavadīto laiku arī uz “zemes” azartspēlēm”;</w:t>
            </w:r>
          </w:p>
          <w:p w:rsidR="006064FE" w:rsidRPr="00DE1A22" w:rsidRDefault="006064FE" w:rsidP="008A2225">
            <w:pPr>
              <w:contextualSpacing/>
              <w:jc w:val="both"/>
              <w:rPr>
                <w:rFonts w:eastAsia="Times New Roman"/>
                <w:sz w:val="24"/>
                <w:szCs w:val="24"/>
              </w:rPr>
            </w:pPr>
            <w:r w:rsidRPr="00DE1A22">
              <w:rPr>
                <w:rFonts w:eastAsia="Times New Roman"/>
                <w:sz w:val="24"/>
                <w:szCs w:val="24"/>
              </w:rPr>
              <w:t>“AIL noteikt prasības “zemes” azartspēļu organizētājam nodrošināt, ka:</w:t>
            </w:r>
          </w:p>
          <w:p w:rsidR="006064FE" w:rsidRPr="00DE1A22" w:rsidRDefault="006064FE" w:rsidP="008A2225">
            <w:pPr>
              <w:contextualSpacing/>
              <w:jc w:val="both"/>
              <w:rPr>
                <w:rFonts w:eastAsia="Times New Roman"/>
                <w:sz w:val="24"/>
                <w:szCs w:val="24"/>
              </w:rPr>
            </w:pPr>
            <w:r w:rsidRPr="00DE1A22">
              <w:rPr>
                <w:rFonts w:eastAsia="Times New Roman"/>
                <w:sz w:val="24"/>
                <w:szCs w:val="24"/>
              </w:rPr>
              <w:lastRenderedPageBreak/>
              <w:t>a.</w:t>
            </w:r>
            <w:r w:rsidRPr="00DE1A22">
              <w:rPr>
                <w:rFonts w:eastAsia="Times New Roman"/>
                <w:sz w:val="24"/>
                <w:szCs w:val="24"/>
              </w:rPr>
              <w:tab/>
              <w:t>spēlētāja reģistrācijas posmā spēlētājs var pēc noklusējuma noteikt naudas depozīta maksimālās summas ierobežojumus, kā arī pagaidu ierobežojumus. “Zemes” azartspēlēm tiek izmantotas “gudrās kartes”, kurās ir noteikti naudas limiti, piemēram, spēlei spēļu automātos;</w:t>
            </w:r>
          </w:p>
          <w:p w:rsidR="006064FE" w:rsidRPr="00DE1A22" w:rsidRDefault="006064FE" w:rsidP="008A2225">
            <w:pPr>
              <w:contextualSpacing/>
              <w:jc w:val="both"/>
              <w:rPr>
                <w:rFonts w:eastAsia="Times New Roman"/>
                <w:sz w:val="24"/>
                <w:szCs w:val="24"/>
              </w:rPr>
            </w:pPr>
            <w:r w:rsidRPr="00DE1A22">
              <w:rPr>
                <w:rFonts w:eastAsia="Times New Roman"/>
                <w:sz w:val="24"/>
                <w:szCs w:val="24"/>
              </w:rPr>
              <w:t>b.</w:t>
            </w:r>
            <w:r w:rsidRPr="00DE1A22">
              <w:rPr>
                <w:rFonts w:eastAsia="Times New Roman"/>
                <w:sz w:val="24"/>
                <w:szCs w:val="24"/>
              </w:rPr>
              <w:tab/>
              <w:t>spēlētājs pēc noklusējuma var periodiski saņemt informatīvus brīdinājumus par laimestiem un zaudējumiem spēles vai derību laikā un informāciju par to, cik ilgi spēlētājs ir spēlējis. Spēlētājam jāapstiprina informatīvais brīdinājums un jādod iespēja uz laiku pārtraukt vai turpināt azartspēli;</w:t>
            </w:r>
          </w:p>
          <w:p w:rsidR="006064FE" w:rsidRPr="00DE1A22" w:rsidRDefault="006064FE" w:rsidP="008A2225">
            <w:pPr>
              <w:contextualSpacing/>
              <w:jc w:val="both"/>
              <w:rPr>
                <w:rFonts w:eastAsia="Times New Roman"/>
                <w:sz w:val="24"/>
                <w:szCs w:val="24"/>
              </w:rPr>
            </w:pPr>
            <w:r w:rsidRPr="00DE1A22">
              <w:rPr>
                <w:rFonts w:eastAsia="Times New Roman"/>
                <w:sz w:val="24"/>
                <w:szCs w:val="24"/>
              </w:rPr>
              <w:t>c.</w:t>
            </w:r>
            <w:r w:rsidRPr="00DE1A22">
              <w:rPr>
                <w:rFonts w:eastAsia="Times New Roman"/>
                <w:sz w:val="24"/>
                <w:szCs w:val="24"/>
              </w:rPr>
              <w:tab/>
              <w:t>ekrāna pulksteņa uzstādīšanu ar mērķi spēlētājam saglabāt laika kontroles sajūtu.”</w:t>
            </w:r>
          </w:p>
          <w:p w:rsidR="006064FE" w:rsidRPr="00DE1A22" w:rsidRDefault="006064FE" w:rsidP="008A2225">
            <w:pPr>
              <w:contextualSpacing/>
              <w:jc w:val="both"/>
              <w:rPr>
                <w:rFonts w:eastAsia="Times New Roman"/>
                <w:sz w:val="24"/>
                <w:szCs w:val="24"/>
              </w:rPr>
            </w:pPr>
            <w:r w:rsidRPr="00DE1A22">
              <w:rPr>
                <w:rFonts w:eastAsia="Times New Roman"/>
                <w:sz w:val="24"/>
                <w:szCs w:val="24"/>
              </w:rPr>
              <w:t>LSBA kategoriski iebilst pret ideju padarīt spēļu automātus maksimāli “nepievilcīgus” ar tehniskiem līdzekļiem (ierobežojumi dizainam, skaņu efektiem, likmju limiti). Šādi tiktu izkropļota pakalpojuma būtība, kas nenoliedzami mudinātu spēlētājus meklēt iespēju spēlēt nelegālas azartspēles.</w:t>
            </w:r>
          </w:p>
          <w:p w:rsidR="006064FE" w:rsidRPr="00DE1A22" w:rsidRDefault="006064FE" w:rsidP="008A2225">
            <w:pPr>
              <w:contextualSpacing/>
              <w:jc w:val="both"/>
              <w:rPr>
                <w:rFonts w:eastAsia="Times New Roman"/>
                <w:sz w:val="24"/>
                <w:szCs w:val="24"/>
              </w:rPr>
            </w:pPr>
            <w:r w:rsidRPr="00DE1A22">
              <w:rPr>
                <w:rFonts w:eastAsia="Times New Roman"/>
                <w:sz w:val="24"/>
                <w:szCs w:val="24"/>
              </w:rPr>
              <w:t>Pēc IAUI datiem par plānoto azartspēļu iekārtu izvietojumu spēļu zālēs uz 2020.gada februāri ekspluatēto spēļu automātu skaits ir 8207.  Latvijā spēļu zālēs tiek ekspluatēti ap 19 ražotāju spēļu automāti. Šie ražotāji nebūs ieinteresēti un neuzstādīs papildus funkcijas spēļu automātiem tikai Latvijas tirgum, kurā pārdoto iekārtu skaits ir ražotājiem nebūtisks.</w:t>
            </w:r>
          </w:p>
          <w:p w:rsidR="006064FE" w:rsidRPr="00DE1A22" w:rsidRDefault="006064FE" w:rsidP="008A2225">
            <w:pPr>
              <w:contextualSpacing/>
              <w:jc w:val="both"/>
              <w:rPr>
                <w:rFonts w:eastAsia="Times New Roman"/>
                <w:sz w:val="24"/>
                <w:szCs w:val="24"/>
              </w:rPr>
            </w:pPr>
            <w:r w:rsidRPr="00DE1A22">
              <w:rPr>
                <w:rFonts w:eastAsia="Times New Roman"/>
                <w:sz w:val="24"/>
                <w:szCs w:val="24"/>
              </w:rPr>
              <w:lastRenderedPageBreak/>
              <w:t>Spēļu automāti var tikt uzstādīti tikai spēļu zālēs vai kazino – tātad ierobežotas piekļuves telpās, kur tiek nodrošināta apmeklētāju kontrole un piekļuve ir liegta nepilngadīgām personām. Spēļu automāti neatrodas, piemēram, uz ielas, kur to dizains varētu pievilināt personas, kuras citādi nebūtu devušās uz spēļu zāli. Šā brīža tiesiskais regulējums un arī Projekta raksturs ir vērsts uz to, lai nodrošinātu, ka azartspēļu zāles apmeklē tikai klienti, kuri apzinās, kas ir atbildīga spēle, nevis nejaušs garāmgājējs vai no azartspēlēm atkarīga persona.</w:t>
            </w:r>
          </w:p>
          <w:p w:rsidR="006064FE" w:rsidRPr="00DE1A22" w:rsidRDefault="006064FE" w:rsidP="008A2225">
            <w:pPr>
              <w:contextualSpacing/>
              <w:jc w:val="both"/>
              <w:rPr>
                <w:rFonts w:eastAsia="Times New Roman"/>
                <w:sz w:val="24"/>
                <w:szCs w:val="24"/>
              </w:rPr>
            </w:pPr>
            <w:r w:rsidRPr="00DE1A22">
              <w:rPr>
                <w:rFonts w:eastAsia="Times New Roman"/>
                <w:sz w:val="24"/>
                <w:szCs w:val="24"/>
              </w:rPr>
              <w:t>Kopš Pašatteikušos personu reģistra ieviešanas katrai personai, kurai spēļu automāti šķiet pārlieku vilinoši un kura nespēj spēlēt atbildīgi, ir iespēja sevi pasargāt, iekļaujot sevi minētajā reģistrā. Ņemot vērā aktīvo personu reģistrāciju (jau vairāk nekā 5400 personu), var uzskatīt, ka pastāv mehānisms azartspēļu iespējamās nelabvēlīgās ietekmes uz personām, “kurām šis brīvā laika pavadīšanas un izklaides veids var kļūt nekontrolējams un pāriet nepārvaramā un pārmērīgā tieksmē spēlēt spēles”, efektīvai novēršanai.</w:t>
            </w:r>
          </w:p>
          <w:p w:rsidR="006064FE" w:rsidRPr="00DE1A22" w:rsidRDefault="006064FE" w:rsidP="008A2225">
            <w:pPr>
              <w:contextualSpacing/>
              <w:jc w:val="both"/>
              <w:rPr>
                <w:rFonts w:eastAsia="Times New Roman"/>
                <w:sz w:val="24"/>
                <w:szCs w:val="24"/>
              </w:rPr>
            </w:pPr>
            <w:r w:rsidRPr="00DE1A22">
              <w:rPr>
                <w:rFonts w:eastAsia="Times New Roman"/>
                <w:sz w:val="24"/>
                <w:szCs w:val="24"/>
              </w:rPr>
              <w:t>Azartspēļu pakalpojumu izkropļošana, to kvalitātes pasliktināšana, t.sk. salīdzinoši ar citās valstīs pieejamajiem pakalpojumiem, nav pieļaujama. Legāla spēļu zāle nedrīkst līdzināties nelegālai. Azartspēles Latvijā jau šobrīd ir viens no visstingrāk regulētajiem komercdarbības veidiem. Jau šobrīd eksistē virkne mehānismu spēlētāju interešu aizsardzībai.</w:t>
            </w:r>
          </w:p>
          <w:p w:rsidR="006064FE" w:rsidRPr="00DE1A22" w:rsidRDefault="006064FE" w:rsidP="008A2225">
            <w:pPr>
              <w:contextualSpacing/>
              <w:jc w:val="both"/>
              <w:rPr>
                <w:rFonts w:eastAsia="Times New Roman"/>
                <w:sz w:val="24"/>
                <w:szCs w:val="24"/>
              </w:rPr>
            </w:pPr>
            <w:r w:rsidRPr="00DE1A22">
              <w:rPr>
                <w:rFonts w:eastAsia="Times New Roman"/>
                <w:sz w:val="24"/>
                <w:szCs w:val="24"/>
              </w:rPr>
              <w:lastRenderedPageBreak/>
              <w:t>Katrā valstī ir savs ierobežojumu komplekts, kas ir radies, ievērojot konkrētās vides specifiku, tādēļ pirms ieviest kādu papildu prasību azartspēļu organizētājiem un mehāniski nepārņemtu visas teorētiski iespējamās, lūdzam paredzēt uzdevumu veikt izvērtējumu. Būtu svarīgi, lai secinājumi tiktu izdarīti pēc zināma laika perioda, kad varētu novērtēt šobrīd noteikto ierobežojumu, prasību un atbildīgas spēles rīku efektivitāti.</w:t>
            </w:r>
          </w:p>
          <w:p w:rsidR="006064FE" w:rsidRPr="00DE1A22" w:rsidRDefault="006064FE" w:rsidP="008A2225">
            <w:pPr>
              <w:jc w:val="both"/>
              <w:rPr>
                <w:rFonts w:eastAsia="Times New Roman"/>
                <w:b/>
                <w:sz w:val="24"/>
                <w:szCs w:val="24"/>
              </w:rPr>
            </w:pPr>
            <w:r w:rsidRPr="00DE1A22">
              <w:rPr>
                <w:rFonts w:eastAsia="Times New Roman"/>
                <w:sz w:val="24"/>
                <w:szCs w:val="24"/>
              </w:rPr>
              <w:t>Attiecībā uz spēlētāju karšu ieviešanu vēršam uzmanību 2019.gada oktobra GamblingCompliance ziņojumā “Spēļu zāļu regulējums un nelegālo spēļu automātu izplatība Eiropā”  izdarītajam secinājumam, ka ieviešana ļauj pārraudzīt spēli licencētos spēļu automātos un piedāvā ieguvumus, taču tā arī marginalizē spēlētājus. Turpretī nelegālais spēļu automātu tirgus turpina būt atraktīvs spēlētājiem, kuri vēlas palikt anonīmi, izvairīties no nodokļiem, kas regulētajā vidē nebūtu iespējams.</w:t>
            </w:r>
          </w:p>
        </w:tc>
        <w:tc>
          <w:tcPr>
            <w:tcW w:w="3118" w:type="dxa"/>
          </w:tcPr>
          <w:p w:rsidR="006064FE" w:rsidRPr="00DE1A22" w:rsidRDefault="006064FE" w:rsidP="008A2225">
            <w:pPr>
              <w:jc w:val="both"/>
              <w:rPr>
                <w:sz w:val="24"/>
                <w:szCs w:val="24"/>
              </w:rPr>
            </w:pPr>
            <w:r w:rsidRPr="00DE1A22">
              <w:rPr>
                <w:rFonts w:eastAsia="Times New Roman"/>
                <w:b/>
                <w:bCs/>
                <w:sz w:val="24"/>
                <w:szCs w:val="24"/>
                <w:lang w:eastAsia="lv-LV"/>
              </w:rPr>
              <w:lastRenderedPageBreak/>
              <w:t xml:space="preserve">Ņemts vērā </w:t>
            </w:r>
          </w:p>
          <w:p w:rsidR="006064FE" w:rsidRPr="00DE1A22" w:rsidRDefault="006064FE" w:rsidP="008A2225">
            <w:pPr>
              <w:jc w:val="both"/>
              <w:rPr>
                <w:rFonts w:eastAsia="Times New Roman"/>
                <w:b/>
                <w:bCs/>
                <w:sz w:val="24"/>
                <w:szCs w:val="24"/>
                <w:lang w:eastAsia="lv-LV"/>
              </w:rPr>
            </w:pPr>
          </w:p>
        </w:tc>
        <w:tc>
          <w:tcPr>
            <w:tcW w:w="3402" w:type="dxa"/>
          </w:tcPr>
          <w:p w:rsidR="006064FE" w:rsidRPr="00DE1A22" w:rsidRDefault="00EA6D59" w:rsidP="00EA6D59">
            <w:pPr>
              <w:spacing w:before="100" w:beforeAutospacing="1" w:after="100" w:afterAutospacing="1"/>
              <w:jc w:val="both"/>
              <w:rPr>
                <w:rFonts w:eastAsia="Times New Roman"/>
                <w:sz w:val="24"/>
                <w:szCs w:val="24"/>
                <w:lang w:eastAsia="lv-LV"/>
              </w:rPr>
            </w:pPr>
            <w:r w:rsidRPr="00DE1A22">
              <w:rPr>
                <w:rFonts w:eastAsia="Times New Roman"/>
                <w:sz w:val="24"/>
                <w:szCs w:val="24"/>
                <w:lang w:eastAsia="lv-LV"/>
              </w:rPr>
              <w:t>Atbilstoši iebildumam ir precizēts Pamatnostādņu 4. sadaļas 1. rīcības virziena “Atkarības profilakses, preventīvie, problemātiskā spēlētāja atbalsts un sabiedrības izglītojoši pasākumi” iekļautais uzdevums</w:t>
            </w:r>
            <w:r w:rsidR="00C15202">
              <w:rPr>
                <w:rFonts w:eastAsia="Times New Roman"/>
                <w:sz w:val="24"/>
                <w:szCs w:val="24"/>
                <w:lang w:eastAsia="lv-LV"/>
              </w:rPr>
              <w:t>.</w:t>
            </w:r>
          </w:p>
        </w:tc>
      </w:tr>
    </w:tbl>
    <w:tbl>
      <w:tblPr>
        <w:tblpPr w:leftFromText="180" w:rightFromText="180" w:vertAnchor="text" w:tblpY="1"/>
        <w:tblOverlap w:val="never"/>
        <w:tblW w:w="14737"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
        <w:gridCol w:w="3072"/>
        <w:gridCol w:w="4394"/>
        <w:gridCol w:w="3118"/>
        <w:gridCol w:w="3402"/>
      </w:tblGrid>
      <w:tr w:rsidR="00DE1A22" w:rsidRPr="00DE1A22" w:rsidTr="00BF4AE7">
        <w:tc>
          <w:tcPr>
            <w:tcW w:w="751" w:type="dxa"/>
          </w:tcPr>
          <w:p w:rsidR="00C5312B" w:rsidRPr="00DE1A22" w:rsidRDefault="00DE1A22" w:rsidP="0047381A">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9</w:t>
            </w:r>
            <w:r w:rsidR="00C5312B" w:rsidRPr="00DE1A22">
              <w:rPr>
                <w:rFonts w:eastAsia="Times New Roman"/>
                <w:sz w:val="24"/>
                <w:szCs w:val="24"/>
                <w:lang w:eastAsia="lv-LV"/>
              </w:rPr>
              <w:t>.</w:t>
            </w:r>
          </w:p>
        </w:tc>
        <w:tc>
          <w:tcPr>
            <w:tcW w:w="3072" w:type="dxa"/>
          </w:tcPr>
          <w:p w:rsidR="00C5312B" w:rsidRPr="00DE1A22" w:rsidRDefault="00C5312B" w:rsidP="00C5312B">
            <w:pPr>
              <w:jc w:val="both"/>
              <w:rPr>
                <w:rFonts w:eastAsia="Times New Roman"/>
                <w:sz w:val="24"/>
                <w:szCs w:val="24"/>
                <w:lang w:eastAsia="lv-LV"/>
              </w:rPr>
            </w:pPr>
            <w:r w:rsidRPr="00DE1A22">
              <w:rPr>
                <w:rFonts w:eastAsia="Times New Roman"/>
                <w:sz w:val="24"/>
                <w:szCs w:val="24"/>
                <w:lang w:eastAsia="lv-LV"/>
              </w:rPr>
              <w:t>Pamatnostādņu 4. sadaļas 1. rīcības virziena “Atkarības profilakses, preventīvie, problemātiskā spēlētāja atbalsts un sabiedrības izglītojoši pasākumi” 17. uzdevums “Pašvaldībām piedāvāt sabiedrībai informatīvus materiālus par alternatīviem brīva laika pavadīšanas veidiem.”</w:t>
            </w:r>
          </w:p>
        </w:tc>
        <w:tc>
          <w:tcPr>
            <w:tcW w:w="4394" w:type="dxa"/>
          </w:tcPr>
          <w:p w:rsidR="00C5312B" w:rsidRPr="00DE1A22" w:rsidRDefault="00C5312B" w:rsidP="00C5312B">
            <w:pPr>
              <w:contextualSpacing/>
              <w:jc w:val="both"/>
              <w:rPr>
                <w:rFonts w:eastAsia="Times New Roman"/>
                <w:b/>
                <w:sz w:val="24"/>
                <w:szCs w:val="24"/>
              </w:rPr>
            </w:pPr>
            <w:r w:rsidRPr="00DE1A22">
              <w:rPr>
                <w:rFonts w:eastAsia="Times New Roman"/>
                <w:b/>
                <w:sz w:val="24"/>
                <w:szCs w:val="24"/>
              </w:rPr>
              <w:t>Latvijas Pašvaldību savienība (11.03.2020. Nr.202003/INIC143)</w:t>
            </w:r>
          </w:p>
          <w:p w:rsidR="00C5312B" w:rsidRPr="00DE1A22" w:rsidRDefault="00C5312B" w:rsidP="00C5312B">
            <w:pPr>
              <w:contextualSpacing/>
              <w:jc w:val="both"/>
              <w:rPr>
                <w:rFonts w:eastAsia="Times New Roman"/>
                <w:sz w:val="24"/>
                <w:szCs w:val="24"/>
              </w:rPr>
            </w:pPr>
            <w:r w:rsidRPr="00DE1A22">
              <w:rPr>
                <w:rFonts w:eastAsia="Times New Roman"/>
                <w:sz w:val="24"/>
                <w:szCs w:val="24"/>
              </w:rPr>
              <w:t xml:space="preserve">17.uzdevums paredz pašvaldībām izstrādāt risinājumu alternatīvo brīva laika pavadīšanas veidu integrēšanai sabiedrībā, veidojot izklaides un attīstības centrus teritorijās, kur azartspēļu zāle ir vieglāk pieejama alternatīva salīdzinājumā ar citām brīvā laika pavadīšanas iespējām. </w:t>
            </w:r>
          </w:p>
          <w:p w:rsidR="00C5312B" w:rsidRPr="00DE1A22" w:rsidRDefault="00C5312B" w:rsidP="00C5312B">
            <w:pPr>
              <w:contextualSpacing/>
              <w:jc w:val="both"/>
              <w:rPr>
                <w:rFonts w:eastAsia="Times New Roman"/>
                <w:sz w:val="24"/>
                <w:szCs w:val="24"/>
              </w:rPr>
            </w:pPr>
            <w:r w:rsidRPr="00DE1A22">
              <w:rPr>
                <w:rFonts w:eastAsia="Times New Roman"/>
                <w:sz w:val="24"/>
                <w:szCs w:val="24"/>
              </w:rPr>
              <w:t xml:space="preserve">- Pirmkārt, ņemot vērā, ka atbilstoši likumam “Par pašvaldībām” pašvaldību autonomās funkcijas ir “rūpēties par kultūru un sekmēt tradicionālo kultūras vērtību </w:t>
            </w:r>
            <w:r w:rsidRPr="00DE1A22">
              <w:rPr>
                <w:rFonts w:eastAsia="Times New Roman"/>
                <w:sz w:val="24"/>
                <w:szCs w:val="24"/>
              </w:rPr>
              <w:lastRenderedPageBreak/>
              <w:t xml:space="preserve">saglabāšanu un tautas jaunrades attīstību (organizatoriska un finansiāla palīdzība kultūras iestādēm un pasākumiem, atbalsts kultūras pieminekļu saglabāšanai u.c.)” (15.panta pirmās daļas 5.punkts) un “nodrošināt veselības aprūpes pieejamību, kā arī veicināt iedzīvotāju veselīgu dzīvesveidu un sportu” (15.panta pirmās daļas 6.punkts), </w:t>
            </w:r>
            <w:r w:rsidRPr="00DE1A22">
              <w:rPr>
                <w:rFonts w:eastAsia="Times New Roman"/>
                <w:b/>
                <w:sz w:val="24"/>
                <w:szCs w:val="24"/>
              </w:rPr>
              <w:t>nav saprotams, kas Pamatnostādņu projekta uzdevumā domāts ar vārdiem “veidot izklaides un attīstības centrus teritorijās”. Paskaidrojums, kas tieši domāts ar šādiem centriem, nav sniegts arī Pamatnostādņu projekta pielikumā “Esošās situācijas vispārīgs raksturojums”;</w:t>
            </w:r>
          </w:p>
          <w:p w:rsidR="00C5312B" w:rsidRPr="00DE1A22" w:rsidRDefault="00C5312B" w:rsidP="00C5312B">
            <w:pPr>
              <w:contextualSpacing/>
              <w:jc w:val="both"/>
              <w:rPr>
                <w:rFonts w:eastAsia="Times New Roman"/>
                <w:sz w:val="24"/>
                <w:szCs w:val="24"/>
              </w:rPr>
            </w:pPr>
            <w:r w:rsidRPr="00DE1A22">
              <w:rPr>
                <w:rFonts w:eastAsia="Times New Roman"/>
                <w:sz w:val="24"/>
                <w:szCs w:val="24"/>
              </w:rPr>
              <w:t xml:space="preserve">- Otrkārt, pašvaldības jau šobrīd atbilstoši savām funkcijām nodrošina plašu un daudzveidīgu kultūras, sporta, tūrisma un sabiedrisko pakalpojumu un pasākumu klāstu, līdz ar to nodrošinot arī azartspēļu spēlēšanai alternatīvas izklaides iespējas pie nosacījuma, ja vien konkrētais iedzīvotājs tās vēlas izmantot. </w:t>
            </w:r>
          </w:p>
          <w:p w:rsidR="00C5312B" w:rsidRPr="00DE1A22" w:rsidRDefault="00C5312B" w:rsidP="00C5312B">
            <w:pPr>
              <w:contextualSpacing/>
              <w:jc w:val="both"/>
              <w:rPr>
                <w:rFonts w:eastAsia="Times New Roman"/>
                <w:sz w:val="24"/>
                <w:szCs w:val="24"/>
              </w:rPr>
            </w:pPr>
            <w:r w:rsidRPr="00DE1A22">
              <w:rPr>
                <w:rFonts w:eastAsia="Times New Roman"/>
                <w:b/>
                <w:sz w:val="24"/>
                <w:szCs w:val="24"/>
              </w:rPr>
              <w:t xml:space="preserve">Lai novērtētu, kāds šobrīd pašvaldībās ir piedāvājums atpūtas un brīvā laika pavadīšanas iespējām un vai piedāvājums ir pietiekams, tad būtu jāvienojas par vērtēšanas kritērijiem (pie kādiem nosacījumiem piedāvājums tiek uzskatīts par pietiekamu) un jāveic situācijas analīze visās pašvaldībās, kurās atrodas kaut viena azartspēļu vieta. </w:t>
            </w:r>
            <w:r w:rsidRPr="00DE1A22">
              <w:rPr>
                <w:rFonts w:eastAsia="Times New Roman"/>
                <w:sz w:val="24"/>
                <w:szCs w:val="24"/>
              </w:rPr>
              <w:t xml:space="preserve">Tas būtu nepieciešams arī tādēļ, lai varētu izvirzīt sasniedzamos rezultatīvos </w:t>
            </w:r>
            <w:r w:rsidRPr="00DE1A22">
              <w:rPr>
                <w:rFonts w:eastAsia="Times New Roman"/>
                <w:sz w:val="24"/>
                <w:szCs w:val="24"/>
              </w:rPr>
              <w:lastRenderedPageBreak/>
              <w:t>rādītājus. Nezinot atskaites punktu, nav iespējams izmērīt konkrētās politikas/virziena rezultātu noteiktā laika periodā. Neviens no šiem jautājumiem Pamatnostādņu projekta pielikumā nav apskatīts, līdz ar to uzdevums uzskatāms tikai par deklaratīvu;</w:t>
            </w:r>
          </w:p>
          <w:p w:rsidR="00C5312B" w:rsidRPr="00DE1A22" w:rsidRDefault="00C5312B" w:rsidP="00C5312B">
            <w:pPr>
              <w:contextualSpacing/>
              <w:jc w:val="both"/>
              <w:rPr>
                <w:rFonts w:eastAsia="Times New Roman"/>
                <w:sz w:val="24"/>
                <w:szCs w:val="24"/>
              </w:rPr>
            </w:pPr>
            <w:r w:rsidRPr="00DE1A22">
              <w:rPr>
                <w:rFonts w:eastAsia="Times New Roman"/>
                <w:sz w:val="24"/>
                <w:szCs w:val="24"/>
              </w:rPr>
              <w:t xml:space="preserve">- Treškārt, ņemot vērā, ka no š.g. 1.janvāra 95% no azartspēļu nodokļa tiek ieskaitīti valsts pamatbudžetā (tātad līdzekļi no azartspēļu spēlētājiem nonāk valsts budžetā), no valsts budžeta ir finansējami arī visi preventīvie pasākumi azartspēļu atkarības mazināšanai visā Latvijas teritorijā. </w:t>
            </w:r>
            <w:r w:rsidRPr="00DE1A22">
              <w:rPr>
                <w:rFonts w:eastAsia="Times New Roman"/>
                <w:b/>
                <w:sz w:val="24"/>
                <w:szCs w:val="24"/>
              </w:rPr>
              <w:t>Attiecīgi uzdevumā minētie izklaides un attīstības centri (lai kāds būtu to definējums) ir finansējami no valsts budžeta.</w:t>
            </w:r>
            <w:r w:rsidRPr="00DE1A22">
              <w:rPr>
                <w:rFonts w:eastAsia="Times New Roman"/>
                <w:sz w:val="24"/>
                <w:szCs w:val="24"/>
              </w:rPr>
              <w:t xml:space="preserve"> </w:t>
            </w:r>
          </w:p>
          <w:p w:rsidR="00C5312B" w:rsidRPr="00DE1A22" w:rsidRDefault="00C5312B" w:rsidP="00C5312B">
            <w:pPr>
              <w:contextualSpacing/>
              <w:jc w:val="both"/>
              <w:rPr>
                <w:rFonts w:eastAsia="Times New Roman"/>
                <w:sz w:val="24"/>
                <w:szCs w:val="24"/>
              </w:rPr>
            </w:pPr>
            <w:r w:rsidRPr="00DE1A22">
              <w:rPr>
                <w:rFonts w:eastAsia="Times New Roman"/>
                <w:sz w:val="24"/>
                <w:szCs w:val="24"/>
              </w:rPr>
              <w:t>Līdz 2020.gadam pašvaldību budžetā tika novirzīti 25% no ienākumiem no azartspēļu nodokļa konkrētajā pašvaldības teritorijā, kurus varēja novirzīt azartspēļu organizēšanas vietu radīto negatīvo seku mazināšanai, tai skaitā alternatīvām brīvā laika pavadīšanas iespējām. Šobrīd pašvaldību ieņēmumi no azartspēļu nodokļa ir simboliski: 2020.gadā prognozētie ieņēmumi no nodokļa pašvaldību budžetā kopumā ir 2,2 milj. euro.</w:t>
            </w:r>
          </w:p>
          <w:p w:rsidR="00C5312B" w:rsidRPr="00DE1A22" w:rsidRDefault="00C5312B" w:rsidP="00C5312B">
            <w:pPr>
              <w:contextualSpacing/>
              <w:jc w:val="both"/>
              <w:rPr>
                <w:rFonts w:eastAsia="Times New Roman"/>
                <w:b/>
                <w:sz w:val="24"/>
                <w:szCs w:val="24"/>
              </w:rPr>
            </w:pPr>
            <w:r w:rsidRPr="00DE1A22">
              <w:rPr>
                <w:rFonts w:eastAsia="Times New Roman"/>
                <w:b/>
                <w:sz w:val="24"/>
                <w:szCs w:val="24"/>
              </w:rPr>
              <w:t xml:space="preserve">Ņemot vērā iepriekš minēto, LPS lūdz svītrot Pamatnostādņu projekta 4.sadaļas 1.rīcības virziena 17.uzdevumu. </w:t>
            </w:r>
          </w:p>
          <w:p w:rsidR="00C5312B" w:rsidRPr="00DE1A22" w:rsidRDefault="00C5312B" w:rsidP="00C5312B">
            <w:pPr>
              <w:jc w:val="both"/>
              <w:rPr>
                <w:rFonts w:eastAsia="Times New Roman"/>
                <w:b/>
                <w:sz w:val="24"/>
                <w:szCs w:val="24"/>
              </w:rPr>
            </w:pPr>
            <w:r w:rsidRPr="00DE1A22">
              <w:rPr>
                <w:rFonts w:eastAsia="Times New Roman"/>
                <w:sz w:val="24"/>
                <w:szCs w:val="24"/>
              </w:rPr>
              <w:t xml:space="preserve">Alternatīva ir uzdevumu precizēt atbilstoši pašvaldību funkciju saturam, piemēram, “pašvaldībām veicināt kultūras, sporta, </w:t>
            </w:r>
            <w:r w:rsidRPr="00DE1A22">
              <w:rPr>
                <w:rFonts w:eastAsia="Times New Roman"/>
                <w:sz w:val="24"/>
                <w:szCs w:val="24"/>
              </w:rPr>
              <w:lastRenderedPageBreak/>
              <w:t>brīvā laika un atpūtas pakalpojumu attīstību iedzīvotājiem, radot azartspēļu izklaidei plašākas alternatīvas brīvā laika pavadīšanai”. Tomēr šajā gadījumā aktuāls ir iepriekš minētais, kā mērīt brīvā laika pavadīšanas iespēju, kultūras un sportisko aktivitāšu dažādošanu un paplašināšanu, ja nav zināms atskaites punkts.</w:t>
            </w:r>
          </w:p>
        </w:tc>
        <w:tc>
          <w:tcPr>
            <w:tcW w:w="3118" w:type="dxa"/>
          </w:tcPr>
          <w:p w:rsidR="00C5312B" w:rsidRPr="00DE1A22" w:rsidRDefault="00C5312B" w:rsidP="00C5312B">
            <w:pPr>
              <w:jc w:val="both"/>
              <w:rPr>
                <w:rFonts w:eastAsia="Times New Roman"/>
                <w:b/>
                <w:bCs/>
                <w:sz w:val="24"/>
                <w:szCs w:val="24"/>
                <w:lang w:eastAsia="lv-LV"/>
              </w:rPr>
            </w:pPr>
            <w:r w:rsidRPr="00DE1A22">
              <w:rPr>
                <w:rFonts w:eastAsia="Times New Roman"/>
                <w:b/>
                <w:bCs/>
                <w:sz w:val="24"/>
                <w:szCs w:val="24"/>
                <w:lang w:eastAsia="lv-LV"/>
              </w:rPr>
              <w:lastRenderedPageBreak/>
              <w:t>Daļēji ņemts vērā.</w:t>
            </w:r>
          </w:p>
          <w:p w:rsidR="00C5312B" w:rsidRPr="00DE1A22" w:rsidRDefault="00C5312B" w:rsidP="00C5312B">
            <w:pPr>
              <w:jc w:val="both"/>
              <w:rPr>
                <w:rFonts w:eastAsia="Times New Roman"/>
                <w:b/>
                <w:bCs/>
                <w:sz w:val="24"/>
                <w:szCs w:val="24"/>
                <w:lang w:eastAsia="lv-LV"/>
              </w:rPr>
            </w:pPr>
          </w:p>
        </w:tc>
        <w:tc>
          <w:tcPr>
            <w:tcW w:w="3402" w:type="dxa"/>
          </w:tcPr>
          <w:p w:rsidR="00C5312B" w:rsidRPr="00DE1A22" w:rsidRDefault="00C5312B" w:rsidP="00C5312B">
            <w:pPr>
              <w:jc w:val="both"/>
              <w:rPr>
                <w:rFonts w:eastAsia="Times New Roman"/>
                <w:sz w:val="24"/>
                <w:szCs w:val="24"/>
                <w:lang w:eastAsia="lv-LV"/>
              </w:rPr>
            </w:pPr>
            <w:r w:rsidRPr="00DE1A22">
              <w:rPr>
                <w:rFonts w:eastAsia="Times New Roman"/>
                <w:sz w:val="24"/>
                <w:szCs w:val="24"/>
                <w:lang w:eastAsia="lv-LV"/>
              </w:rPr>
              <w:t>Atbilstoši iebildumam ir precizēts Pamatnostādņu 4.sadaļas 1.rīcības virziena “Atkarības profilakses, preventīvie, problemātiskā spēlētāja atbalsts un sabiedrības izglītojoši pasākumi” 15. uzdevums (jaunā numerācija).</w:t>
            </w:r>
          </w:p>
          <w:p w:rsidR="00C5312B" w:rsidRPr="00DE1A22" w:rsidRDefault="00C5312B" w:rsidP="00C5312B">
            <w:pPr>
              <w:jc w:val="both"/>
              <w:rPr>
                <w:rFonts w:eastAsia="Times New Roman"/>
                <w:sz w:val="24"/>
                <w:szCs w:val="24"/>
              </w:rPr>
            </w:pPr>
          </w:p>
        </w:tc>
      </w:tr>
      <w:tr w:rsidR="00DE1A22" w:rsidRPr="00DE1A22" w:rsidTr="00BF4AE7">
        <w:tc>
          <w:tcPr>
            <w:tcW w:w="751" w:type="dxa"/>
          </w:tcPr>
          <w:p w:rsidR="00DE1A22" w:rsidRPr="00DE1A22" w:rsidDel="009647E5" w:rsidRDefault="00DE1A22" w:rsidP="00DE1A22">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10.</w:t>
            </w:r>
          </w:p>
        </w:tc>
        <w:tc>
          <w:tcPr>
            <w:tcW w:w="3072" w:type="dxa"/>
          </w:tcPr>
          <w:p w:rsidR="00DE1A22" w:rsidRPr="00DE1A22" w:rsidRDefault="00DE1A22" w:rsidP="00DE1A22">
            <w:pPr>
              <w:jc w:val="both"/>
              <w:rPr>
                <w:rFonts w:eastAsia="Times New Roman"/>
                <w:sz w:val="24"/>
                <w:szCs w:val="24"/>
                <w:lang w:eastAsia="lv-LV"/>
              </w:rPr>
            </w:pPr>
            <w:r w:rsidRPr="00DE1A22">
              <w:rPr>
                <w:rFonts w:eastAsia="Times New Roman"/>
                <w:sz w:val="24"/>
                <w:szCs w:val="24"/>
                <w:lang w:eastAsia="lv-LV"/>
              </w:rPr>
              <w:t>Pamatnostādņu 4. sadaļa “Rīcības virzieni un uzdevumi” 1.Rīcības virziena:</w:t>
            </w:r>
          </w:p>
          <w:p w:rsidR="00DE1A22" w:rsidRPr="00DE1A22" w:rsidRDefault="00DE1A22" w:rsidP="00DE1A22">
            <w:pPr>
              <w:jc w:val="both"/>
              <w:rPr>
                <w:rFonts w:eastAsia="Franklin Gothic Book"/>
                <w:sz w:val="24"/>
                <w:szCs w:val="24"/>
                <w:lang w:eastAsia="lv-LV"/>
              </w:rPr>
            </w:pPr>
            <w:r w:rsidRPr="00DE1A22">
              <w:rPr>
                <w:rFonts w:eastAsia="Times New Roman"/>
                <w:sz w:val="24"/>
                <w:szCs w:val="24"/>
                <w:lang w:eastAsia="lv-LV"/>
              </w:rPr>
              <w:t xml:space="preserve">18. </w:t>
            </w:r>
            <w:r w:rsidRPr="00DE1A22">
              <w:rPr>
                <w:rFonts w:eastAsia="Franklin Gothic Book"/>
                <w:sz w:val="24"/>
                <w:szCs w:val="24"/>
                <w:lang w:eastAsia="lv-LV"/>
              </w:rPr>
              <w:t xml:space="preserve"> Noteikt azartspēļu un interaktīvo izložu organizētājiem pienākumu brīvprātīgās sadarbības programmā ar spēlētājiem iekļaut atbildīgas spēles rīkus un nosacījumus, nodrošinot, ka sadarbības programmas dalībnieks nevar piedalīties spēlē vai turpināt spēli, ja nav tos izmantojis.</w:t>
            </w:r>
          </w:p>
          <w:p w:rsidR="00DE1A22" w:rsidRPr="00DE1A22" w:rsidRDefault="00DE1A22" w:rsidP="00DE1A22">
            <w:pPr>
              <w:jc w:val="both"/>
              <w:rPr>
                <w:rFonts w:eastAsia="Franklin Gothic Book"/>
                <w:sz w:val="24"/>
                <w:szCs w:val="24"/>
                <w:lang w:eastAsia="lv-LV"/>
              </w:rPr>
            </w:pPr>
            <w:r w:rsidRPr="00DE1A22">
              <w:rPr>
                <w:rFonts w:eastAsia="Franklin Gothic Book"/>
                <w:sz w:val="24"/>
                <w:szCs w:val="24"/>
                <w:lang w:eastAsia="lv-LV"/>
              </w:rPr>
              <w:t>19.  Azartspēļu un interaktīvo izložu organizētājiem, piedāvājot sadarbības programmu, noteikt pienākumu novērtēt spēlētāja uzvedību un ierobežot azartspēļu vai interaktīvo izložu spēlētāja spēlēšanu, ja ir identificētas problēmspēlētāja pazīmes.</w:t>
            </w:r>
          </w:p>
          <w:p w:rsidR="00DE1A22" w:rsidRPr="00DE1A22" w:rsidRDefault="00DE1A22" w:rsidP="00DE1A22">
            <w:pPr>
              <w:jc w:val="both"/>
              <w:rPr>
                <w:rFonts w:eastAsia="Times New Roman"/>
                <w:sz w:val="24"/>
                <w:szCs w:val="24"/>
                <w:lang w:eastAsia="lv-LV"/>
              </w:rPr>
            </w:pPr>
            <w:r w:rsidRPr="00DE1A22">
              <w:rPr>
                <w:rFonts w:eastAsia="Franklin Gothic Book"/>
                <w:sz w:val="24"/>
                <w:szCs w:val="24"/>
                <w:lang w:eastAsia="lv-LV"/>
              </w:rPr>
              <w:t xml:space="preserve">20.  Azartspēļu un interaktīvo izložu organizētājiem jāapkopo nepersonalizēta </w:t>
            </w:r>
            <w:r w:rsidRPr="00DE1A22">
              <w:rPr>
                <w:rFonts w:eastAsia="Franklin Gothic Book"/>
                <w:sz w:val="24"/>
                <w:szCs w:val="24"/>
                <w:lang w:eastAsia="lv-LV"/>
              </w:rPr>
              <w:lastRenderedPageBreak/>
              <w:t>informācija par sadarbības programmas dalībniekiem par pārskata gadu un minētā informācija reizi gadā līdz nākamā gada 1.martam jānodod IAUI azartspēļu un interaktīvo izložu nozares monitoringam.</w:t>
            </w:r>
          </w:p>
        </w:tc>
        <w:tc>
          <w:tcPr>
            <w:tcW w:w="4394" w:type="dxa"/>
          </w:tcPr>
          <w:p w:rsidR="00DE1A22" w:rsidRPr="00DE1A22" w:rsidRDefault="00DE1A22" w:rsidP="00DE1A22">
            <w:pPr>
              <w:contextualSpacing/>
              <w:jc w:val="both"/>
              <w:rPr>
                <w:rFonts w:eastAsia="Times New Roman"/>
                <w:b/>
                <w:sz w:val="24"/>
                <w:szCs w:val="24"/>
              </w:rPr>
            </w:pPr>
            <w:r w:rsidRPr="00DE1A22">
              <w:rPr>
                <w:rFonts w:eastAsia="Times New Roman"/>
                <w:b/>
                <w:sz w:val="24"/>
                <w:szCs w:val="24"/>
              </w:rPr>
              <w:lastRenderedPageBreak/>
              <w:t>Vides aizsardzības un reģionālās attīstības ministrija (21.02.2020. Nr.1-132/1579)</w:t>
            </w:r>
          </w:p>
          <w:p w:rsidR="00DE1A22" w:rsidRPr="00DE1A22" w:rsidRDefault="00DE1A22" w:rsidP="00DE1A22">
            <w:pPr>
              <w:contextualSpacing/>
              <w:jc w:val="both"/>
              <w:rPr>
                <w:rFonts w:eastAsia="Times New Roman"/>
                <w:sz w:val="24"/>
                <w:szCs w:val="24"/>
              </w:rPr>
            </w:pPr>
            <w:r w:rsidRPr="00DE1A22">
              <w:rPr>
                <w:rFonts w:eastAsia="Times New Roman"/>
                <w:sz w:val="24"/>
                <w:szCs w:val="24"/>
              </w:rPr>
              <w:t>1.rīcības virziena Atkarības profilakses, preventīvie, problemātiskā spēlētāja atbalsts un sabiedrības izglītojoši pasākumi:</w:t>
            </w:r>
          </w:p>
          <w:p w:rsidR="00DE1A22" w:rsidRPr="00DE1A22" w:rsidRDefault="00DE1A22" w:rsidP="00DE1A22">
            <w:pPr>
              <w:contextualSpacing/>
              <w:jc w:val="both"/>
              <w:rPr>
                <w:rFonts w:eastAsia="Times New Roman"/>
                <w:sz w:val="24"/>
                <w:szCs w:val="24"/>
              </w:rPr>
            </w:pPr>
            <w:r w:rsidRPr="00DE1A22">
              <w:rPr>
                <w:rFonts w:eastAsia="Times New Roman"/>
                <w:sz w:val="24"/>
                <w:szCs w:val="24"/>
              </w:rPr>
              <w:t>- 18. un 20.uzdevumā lūdzam svītrot vārdu “interaktīvās”;</w:t>
            </w:r>
          </w:p>
          <w:p w:rsidR="00DE1A22" w:rsidRPr="00DE1A22" w:rsidRDefault="00DE1A22" w:rsidP="00DE1A22">
            <w:pPr>
              <w:contextualSpacing/>
              <w:jc w:val="both"/>
              <w:rPr>
                <w:rFonts w:eastAsia="Times New Roman"/>
                <w:b/>
                <w:sz w:val="24"/>
                <w:szCs w:val="24"/>
              </w:rPr>
            </w:pPr>
            <w:r w:rsidRPr="00DE1A22">
              <w:rPr>
                <w:rFonts w:eastAsia="Times New Roman"/>
                <w:sz w:val="24"/>
                <w:szCs w:val="24"/>
              </w:rPr>
              <w:t>- 19.uzdevumā lūdzam svītrot vārdu “interaktīvās” un papildināt uzdevumu ar pienākumu Finanšu ministrijai noteikt pazīmes, pēc kurām azartspēļu un izložu organizētājiem būtu jāidentificē problēmspēlētāji.</w:t>
            </w:r>
          </w:p>
        </w:tc>
        <w:tc>
          <w:tcPr>
            <w:tcW w:w="3118" w:type="dxa"/>
          </w:tcPr>
          <w:p w:rsidR="00DE1A22" w:rsidRPr="00DE1A22" w:rsidRDefault="00DE1A22" w:rsidP="00DE1A22">
            <w:pPr>
              <w:jc w:val="both"/>
              <w:rPr>
                <w:rFonts w:eastAsia="Times New Roman"/>
                <w:b/>
                <w:bCs/>
                <w:sz w:val="24"/>
                <w:szCs w:val="24"/>
                <w:lang w:eastAsia="lv-LV"/>
              </w:rPr>
            </w:pPr>
            <w:r w:rsidRPr="00DE1A22">
              <w:rPr>
                <w:rFonts w:eastAsia="Times New Roman"/>
                <w:b/>
                <w:bCs/>
                <w:sz w:val="24"/>
                <w:szCs w:val="24"/>
                <w:lang w:eastAsia="lv-LV"/>
              </w:rPr>
              <w:t>Ņemts vērā.</w:t>
            </w:r>
          </w:p>
          <w:p w:rsidR="00DE1A22" w:rsidRPr="00DE1A22" w:rsidRDefault="00DE1A22" w:rsidP="00DE1A22">
            <w:pPr>
              <w:jc w:val="both"/>
              <w:rPr>
                <w:rFonts w:eastAsia="Times New Roman"/>
                <w:sz w:val="24"/>
                <w:szCs w:val="24"/>
              </w:rPr>
            </w:pPr>
          </w:p>
          <w:p w:rsidR="00DE1A22" w:rsidRPr="00DE1A22" w:rsidRDefault="00DE1A22" w:rsidP="00DE1A22">
            <w:pPr>
              <w:jc w:val="both"/>
              <w:rPr>
                <w:rFonts w:eastAsia="Times New Roman"/>
                <w:b/>
                <w:bCs/>
                <w:sz w:val="24"/>
                <w:szCs w:val="24"/>
                <w:lang w:eastAsia="lv-LV"/>
              </w:rPr>
            </w:pPr>
          </w:p>
        </w:tc>
        <w:tc>
          <w:tcPr>
            <w:tcW w:w="3402" w:type="dxa"/>
          </w:tcPr>
          <w:p w:rsidR="00DE1A22" w:rsidRPr="00DE1A22" w:rsidRDefault="00DE1A22" w:rsidP="00DE1A22">
            <w:pPr>
              <w:jc w:val="both"/>
              <w:rPr>
                <w:rFonts w:eastAsia="Times New Roman"/>
                <w:sz w:val="24"/>
                <w:szCs w:val="24"/>
              </w:rPr>
            </w:pPr>
            <w:r w:rsidRPr="00DE1A22">
              <w:rPr>
                <w:rFonts w:eastAsia="Times New Roman"/>
                <w:sz w:val="24"/>
                <w:szCs w:val="24"/>
              </w:rPr>
              <w:t>Atbilstoši precizēti Pamatnostādņu 4.sadaļas 1.rīcības virziena uzdevumi 17., 18. un 19.uzdevums ar jaunu numerāciju un papildināts ar jaunu 23.uzdevumu.</w:t>
            </w:r>
          </w:p>
          <w:p w:rsidR="00DE1A22" w:rsidRPr="00DE1A22" w:rsidRDefault="00DE1A22" w:rsidP="00DE1A22">
            <w:pPr>
              <w:jc w:val="both"/>
              <w:rPr>
                <w:rFonts w:eastAsia="Times New Roman"/>
                <w:sz w:val="24"/>
                <w:szCs w:val="24"/>
                <w:lang w:eastAsia="lv-LV"/>
              </w:rPr>
            </w:pPr>
          </w:p>
        </w:tc>
      </w:tr>
    </w:tbl>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
        <w:gridCol w:w="3072"/>
        <w:gridCol w:w="4394"/>
        <w:gridCol w:w="3118"/>
        <w:gridCol w:w="3402"/>
      </w:tblGrid>
      <w:tr w:rsidR="00DE1A22" w:rsidRPr="00DE1A22" w:rsidTr="00651FC9">
        <w:trPr>
          <w:trHeight w:val="6246"/>
        </w:trPr>
        <w:tc>
          <w:tcPr>
            <w:tcW w:w="756" w:type="dxa"/>
            <w:tcBorders>
              <w:top w:val="nil"/>
            </w:tcBorders>
          </w:tcPr>
          <w:p w:rsidR="006064FE" w:rsidRPr="00DE1A22" w:rsidRDefault="006064FE" w:rsidP="00DE1A22">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 xml:space="preserve"> </w:t>
            </w:r>
            <w:r w:rsidR="00DE1A22" w:rsidRPr="00DE1A22">
              <w:rPr>
                <w:rFonts w:eastAsia="Times New Roman"/>
                <w:sz w:val="24"/>
                <w:szCs w:val="24"/>
                <w:lang w:eastAsia="lv-LV"/>
              </w:rPr>
              <w:t>1</w:t>
            </w:r>
            <w:r w:rsidR="00DE1A22">
              <w:rPr>
                <w:rFonts w:eastAsia="Times New Roman"/>
                <w:sz w:val="24"/>
                <w:szCs w:val="24"/>
                <w:lang w:eastAsia="lv-LV"/>
              </w:rPr>
              <w:t>1</w:t>
            </w:r>
            <w:r w:rsidRPr="00DE1A22">
              <w:rPr>
                <w:rFonts w:eastAsia="Times New Roman"/>
                <w:sz w:val="24"/>
                <w:szCs w:val="24"/>
                <w:lang w:eastAsia="lv-LV"/>
              </w:rPr>
              <w:t>.</w:t>
            </w:r>
          </w:p>
        </w:tc>
        <w:tc>
          <w:tcPr>
            <w:tcW w:w="3072" w:type="dxa"/>
            <w:tcBorders>
              <w:top w:val="nil"/>
            </w:tcBorders>
          </w:tcPr>
          <w:p w:rsidR="006064FE" w:rsidRPr="00DE1A22" w:rsidRDefault="006064FE" w:rsidP="008A2225">
            <w:pPr>
              <w:jc w:val="both"/>
              <w:rPr>
                <w:rFonts w:eastAsia="Times New Roman"/>
                <w:sz w:val="24"/>
                <w:szCs w:val="24"/>
                <w:lang w:eastAsia="lv-LV"/>
              </w:rPr>
            </w:pPr>
            <w:r w:rsidRPr="00DE1A22">
              <w:rPr>
                <w:rFonts w:eastAsia="Times New Roman"/>
                <w:sz w:val="24"/>
                <w:szCs w:val="24"/>
                <w:lang w:eastAsia="lv-LV"/>
              </w:rPr>
              <w:t>Pamatnostādņu 4. sadaļas 1. rīcības virziena “Atkarības profilakses, preventīvie, problemātiskā spēlētāja atbalsts un sabiedrības izglītojoši pasākumi” 21. uzdevums  “Noteikt smēķēšanas aizliegumu spēļu zālēs un kazino.”</w:t>
            </w:r>
          </w:p>
        </w:tc>
        <w:tc>
          <w:tcPr>
            <w:tcW w:w="4394" w:type="dxa"/>
            <w:tcBorders>
              <w:top w:val="nil"/>
            </w:tcBorders>
          </w:tcPr>
          <w:p w:rsidR="006064FE" w:rsidRPr="00DE1A22" w:rsidRDefault="006064FE" w:rsidP="008A2225">
            <w:pPr>
              <w:contextualSpacing/>
              <w:jc w:val="both"/>
              <w:rPr>
                <w:rFonts w:eastAsia="Times New Roman"/>
                <w:b/>
                <w:sz w:val="24"/>
                <w:szCs w:val="24"/>
              </w:rPr>
            </w:pPr>
            <w:r w:rsidRPr="00DE1A22">
              <w:rPr>
                <w:rFonts w:eastAsia="Times New Roman"/>
                <w:b/>
                <w:sz w:val="24"/>
                <w:szCs w:val="24"/>
              </w:rPr>
              <w:t>Latvijas Spēļu biznesa asociācija (05.03.2020. Nr.6/20)</w:t>
            </w:r>
          </w:p>
          <w:p w:rsidR="006064FE" w:rsidRPr="00DE1A22" w:rsidRDefault="006064FE" w:rsidP="008A2225">
            <w:pPr>
              <w:contextualSpacing/>
              <w:jc w:val="both"/>
              <w:rPr>
                <w:rFonts w:eastAsia="Times New Roman"/>
                <w:sz w:val="24"/>
                <w:szCs w:val="24"/>
              </w:rPr>
            </w:pPr>
            <w:r w:rsidRPr="00DE1A22">
              <w:rPr>
                <w:rFonts w:eastAsia="Times New Roman"/>
                <w:sz w:val="24"/>
                <w:szCs w:val="24"/>
              </w:rPr>
              <w:t>Izslēgt 21.uzdevumu “Noteikt smēķēšanas aizliegumu spēļu zālēs un kazino.”</w:t>
            </w:r>
          </w:p>
          <w:p w:rsidR="006064FE" w:rsidRPr="00DE1A22" w:rsidRDefault="006064FE" w:rsidP="008A2225">
            <w:pPr>
              <w:contextualSpacing/>
              <w:jc w:val="both"/>
              <w:rPr>
                <w:rFonts w:eastAsia="Times New Roman"/>
                <w:sz w:val="24"/>
                <w:szCs w:val="24"/>
              </w:rPr>
            </w:pPr>
            <w:r w:rsidRPr="00DE1A22">
              <w:rPr>
                <w:rFonts w:eastAsia="Times New Roman"/>
                <w:sz w:val="24"/>
                <w:szCs w:val="24"/>
              </w:rPr>
              <w:t>Lai nodrošinātu spēļu zāļu un kazino telpu atbilstību Tabakas izstrādājumu, augu smēķēšanas produktu, elektronisko smēķēšanas ierīču un to šķidrumu aprites likuma 10.panta ceturtās daļas un 1.panta 15.punkta prasībām, azartspēļu organizētāji ir veikuši telpu pārbūvi, konstruktīvi nodalot telpas, kurās atļauts smēķēt. Veicot telpu pārbūvi un investējot pārbūvē ievērojamus naudas līdzekļus, azartspēļu organizētāji paļāvās, ka smēķēšanas normatīvais regulējums attiecībā uz spēļu zālēm un kazino nemainīsies. Likums tiek strikti ievērots un nekādu pārmetumu līdz šim nav bijis.</w:t>
            </w:r>
          </w:p>
          <w:p w:rsidR="006064FE" w:rsidRPr="00DE1A22" w:rsidRDefault="006064FE" w:rsidP="008A2225">
            <w:pPr>
              <w:contextualSpacing/>
              <w:jc w:val="both"/>
              <w:rPr>
                <w:rFonts w:eastAsia="Times New Roman"/>
                <w:sz w:val="24"/>
                <w:szCs w:val="24"/>
              </w:rPr>
            </w:pPr>
            <w:r w:rsidRPr="00DE1A22">
              <w:rPr>
                <w:rFonts w:eastAsia="Times New Roman"/>
                <w:sz w:val="24"/>
                <w:szCs w:val="24"/>
              </w:rPr>
              <w:t xml:space="preserve">Smēķēšanas aizliegums attiecībā uz azartspēļu organizēšanas vietām, kurās saskaņā ar AIL prasībām ieeja ir tikai personām no 18 gadu vecumam, nav pamatots. Azartspēļu spēlētājs ir pieaudzis un rīcībspējīgs indivīds. </w:t>
            </w:r>
          </w:p>
          <w:p w:rsidR="006064FE" w:rsidRPr="00DE1A22" w:rsidRDefault="006064FE" w:rsidP="008A2225">
            <w:pPr>
              <w:contextualSpacing/>
              <w:jc w:val="both"/>
              <w:rPr>
                <w:rFonts w:eastAsia="Times New Roman"/>
                <w:sz w:val="24"/>
                <w:szCs w:val="24"/>
              </w:rPr>
            </w:pPr>
            <w:r w:rsidRPr="00DE1A22">
              <w:rPr>
                <w:rFonts w:eastAsia="Times New Roman"/>
                <w:sz w:val="24"/>
                <w:szCs w:val="24"/>
              </w:rPr>
              <w:t xml:space="preserve">VM pētījumā ir secināts, ka 49% nesmēķētāju azartspēles par naudu nekad nav spēlējuši, turpretī patstāvīgo spēlētāju – </w:t>
            </w:r>
            <w:r w:rsidRPr="00DE1A22">
              <w:rPr>
                <w:rFonts w:eastAsia="Times New Roman"/>
                <w:sz w:val="24"/>
                <w:szCs w:val="24"/>
              </w:rPr>
              <w:lastRenderedPageBreak/>
              <w:t>smēķētāju īpatsvars ir 31%. Izdarīts pieņēmums, ka, ieviešot smēķēšanas ierobežojumus, cilvēkam šī vide var vairs nešķist tik pievilcīga. Skatoties uz citu valstu praksi (piemēram, Grieķijā), konstatējams, ka smēķēšanas aizliegums azartspēļu zālēs var arī nerezultēties azartspēļu spēlēšanas pārtraukšanā – spēlētāji smēķē ārpus azartspēļu zāles, tādējādi, pievēršot pastiprinātu uzmanību tai. Eiropas Kazino asociācija ir ziņojusi par Grieķijas atbildīgo institūciju nespēju nodrošināt smēķēšanas aizlieguma ievērošanu.</w:t>
            </w:r>
          </w:p>
          <w:p w:rsidR="006064FE" w:rsidRPr="00DE1A22" w:rsidRDefault="006064FE" w:rsidP="008A2225">
            <w:pPr>
              <w:contextualSpacing/>
              <w:jc w:val="both"/>
              <w:rPr>
                <w:rFonts w:eastAsia="Times New Roman"/>
                <w:sz w:val="24"/>
                <w:szCs w:val="24"/>
              </w:rPr>
            </w:pPr>
            <w:r w:rsidRPr="00DE1A22">
              <w:rPr>
                <w:rFonts w:eastAsia="Times New Roman"/>
                <w:sz w:val="24"/>
                <w:szCs w:val="24"/>
              </w:rPr>
              <w:t xml:space="preserve">Vēršam uzmanību Igaunijas regulējumam, kurā ir noteiktas pastiprinātas prasības restorāniem un bāriem – t.i., atsevišķi nodalītajā telpā, kura paredzēta pamatpakalpojumu saņemšanai un smēķēšanai, uzstādāmajai nosūces ventilācijai: </w:t>
            </w:r>
          </w:p>
          <w:p w:rsidR="006064FE" w:rsidRPr="00DE1A22" w:rsidRDefault="006064FE" w:rsidP="008A2225">
            <w:pPr>
              <w:contextualSpacing/>
              <w:jc w:val="both"/>
              <w:rPr>
                <w:rFonts w:eastAsia="Times New Roman"/>
                <w:sz w:val="24"/>
                <w:szCs w:val="24"/>
              </w:rPr>
            </w:pPr>
            <w:r w:rsidRPr="00DE1A22">
              <w:rPr>
                <w:rFonts w:eastAsia="Times New Roman"/>
                <w:sz w:val="24"/>
                <w:szCs w:val="24"/>
              </w:rPr>
              <w:t>- gaisa aizplūde telpā nav mazāka par 8,4 litriem sekundē uz kvadrātmetru, un, ja telpa netiek izmantota, gaisa aizplūšanu var samazināt līdz 25 procentiem no parastās gaisa apmaiņas;</w:t>
            </w:r>
          </w:p>
          <w:p w:rsidR="006064FE" w:rsidRPr="00DE1A22" w:rsidRDefault="006064FE" w:rsidP="008A2225">
            <w:pPr>
              <w:contextualSpacing/>
              <w:jc w:val="both"/>
              <w:rPr>
                <w:rFonts w:eastAsia="Times New Roman"/>
                <w:sz w:val="24"/>
                <w:szCs w:val="24"/>
              </w:rPr>
            </w:pPr>
            <w:r w:rsidRPr="00DE1A22">
              <w:rPr>
                <w:rFonts w:eastAsia="Times New Roman"/>
                <w:sz w:val="24"/>
                <w:szCs w:val="24"/>
              </w:rPr>
              <w:t xml:space="preserve">- gaisa izplūdes ventilācijas sistēma ir atsevišķa un nepārtraukta vai ar atsevišķu kanālu savienota ar citām nepārtraukti darbojošām gaisa izplūdes sistēmām. </w:t>
            </w:r>
          </w:p>
          <w:p w:rsidR="006064FE" w:rsidRPr="00DE1A22" w:rsidRDefault="006064FE" w:rsidP="008A2225">
            <w:pPr>
              <w:contextualSpacing/>
              <w:jc w:val="both"/>
              <w:rPr>
                <w:rFonts w:eastAsia="Times New Roman"/>
                <w:b/>
                <w:sz w:val="24"/>
                <w:szCs w:val="24"/>
              </w:rPr>
            </w:pPr>
            <w:r w:rsidRPr="00DE1A22">
              <w:rPr>
                <w:rFonts w:eastAsia="Times New Roman"/>
                <w:b/>
                <w:sz w:val="24"/>
                <w:szCs w:val="24"/>
              </w:rPr>
              <w:t>LSBA varētu atbalstīt šāda regulējuma ieviešanu.</w:t>
            </w:r>
          </w:p>
        </w:tc>
        <w:tc>
          <w:tcPr>
            <w:tcW w:w="3118" w:type="dxa"/>
            <w:tcBorders>
              <w:top w:val="nil"/>
            </w:tcBorders>
          </w:tcPr>
          <w:p w:rsidR="006064FE" w:rsidRPr="00DE1A22" w:rsidRDefault="006064FE" w:rsidP="008A2225">
            <w:pPr>
              <w:jc w:val="both"/>
              <w:rPr>
                <w:rFonts w:eastAsia="Times New Roman"/>
                <w:b/>
                <w:bCs/>
                <w:sz w:val="24"/>
                <w:szCs w:val="24"/>
                <w:lang w:eastAsia="lv-LV"/>
              </w:rPr>
            </w:pPr>
            <w:r w:rsidRPr="00DE1A22">
              <w:rPr>
                <w:rFonts w:eastAsia="Times New Roman"/>
                <w:b/>
                <w:bCs/>
                <w:sz w:val="24"/>
                <w:szCs w:val="24"/>
                <w:lang w:eastAsia="lv-LV"/>
              </w:rPr>
              <w:lastRenderedPageBreak/>
              <w:t>Ņemts vērā</w:t>
            </w:r>
            <w:r w:rsidR="008034BE" w:rsidRPr="00DE1A22">
              <w:rPr>
                <w:rFonts w:eastAsia="Times New Roman"/>
                <w:b/>
                <w:bCs/>
                <w:sz w:val="24"/>
                <w:szCs w:val="24"/>
                <w:lang w:eastAsia="lv-LV"/>
              </w:rPr>
              <w:t>.</w:t>
            </w:r>
            <w:r w:rsidRPr="00DE1A22">
              <w:rPr>
                <w:rFonts w:eastAsia="Times New Roman"/>
                <w:b/>
                <w:bCs/>
                <w:sz w:val="24"/>
                <w:szCs w:val="24"/>
                <w:lang w:eastAsia="lv-LV"/>
              </w:rPr>
              <w:t xml:space="preserve"> </w:t>
            </w:r>
          </w:p>
          <w:p w:rsidR="006064FE" w:rsidRPr="00DE1A22" w:rsidRDefault="006064FE" w:rsidP="008A2225">
            <w:pPr>
              <w:jc w:val="both"/>
              <w:rPr>
                <w:rFonts w:eastAsia="Times New Roman"/>
                <w:b/>
                <w:bCs/>
                <w:sz w:val="24"/>
                <w:szCs w:val="24"/>
                <w:lang w:eastAsia="lv-LV"/>
              </w:rPr>
            </w:pPr>
            <w:r w:rsidRPr="00DE1A22">
              <w:rPr>
                <w:rFonts w:eastAsia="Times New Roman"/>
                <w:sz w:val="24"/>
                <w:szCs w:val="24"/>
                <w:lang w:eastAsia="lv-LV"/>
              </w:rPr>
              <w:t xml:space="preserve"> </w:t>
            </w:r>
          </w:p>
        </w:tc>
        <w:tc>
          <w:tcPr>
            <w:tcW w:w="3402" w:type="dxa"/>
            <w:tcBorders>
              <w:top w:val="nil"/>
            </w:tcBorders>
          </w:tcPr>
          <w:p w:rsidR="006064FE" w:rsidRPr="00DE1A22" w:rsidRDefault="00EA6D59" w:rsidP="00297FE2">
            <w:pPr>
              <w:spacing w:before="100" w:beforeAutospacing="1" w:after="100" w:afterAutospacing="1"/>
              <w:jc w:val="both"/>
              <w:rPr>
                <w:rFonts w:eastAsia="Times New Roman"/>
                <w:sz w:val="24"/>
                <w:szCs w:val="24"/>
                <w:lang w:eastAsia="lv-LV"/>
              </w:rPr>
            </w:pPr>
            <w:r w:rsidRPr="00DE1A22">
              <w:rPr>
                <w:rFonts w:eastAsia="Times New Roman"/>
                <w:sz w:val="24"/>
                <w:szCs w:val="24"/>
                <w:lang w:eastAsia="lv-LV"/>
              </w:rPr>
              <w:t xml:space="preserve">Atbilstoši iebildumam ir precizēts Pamatnostādņu 4. sadaļas 1. rīcības virziena “Atkarības profilakses, preventīvie, problemātiskā spēlētāja atbalsts un sabiedrības izglītojoši pasākumi” </w:t>
            </w:r>
            <w:r w:rsidR="00297FE2" w:rsidRPr="00DE1A22">
              <w:rPr>
                <w:rFonts w:eastAsia="Times New Roman"/>
                <w:sz w:val="24"/>
                <w:szCs w:val="24"/>
                <w:lang w:eastAsia="lv-LV"/>
              </w:rPr>
              <w:t>2</w:t>
            </w:r>
            <w:r w:rsidR="00297FE2">
              <w:rPr>
                <w:rFonts w:eastAsia="Times New Roman"/>
                <w:sz w:val="24"/>
                <w:szCs w:val="24"/>
                <w:lang w:eastAsia="lv-LV"/>
              </w:rPr>
              <w:t>0</w:t>
            </w:r>
            <w:r w:rsidRPr="00DE1A22">
              <w:rPr>
                <w:rFonts w:eastAsia="Times New Roman"/>
                <w:sz w:val="24"/>
                <w:szCs w:val="24"/>
                <w:lang w:eastAsia="lv-LV"/>
              </w:rPr>
              <w:t>. uzdevums (jaunā numerācija)</w:t>
            </w:r>
          </w:p>
        </w:tc>
      </w:tr>
      <w:tr w:rsidR="00DE1A22" w:rsidRPr="00DE1A22" w:rsidTr="008034BE">
        <w:tc>
          <w:tcPr>
            <w:tcW w:w="756" w:type="dxa"/>
          </w:tcPr>
          <w:p w:rsidR="00DE1A22" w:rsidRPr="00DE1A22" w:rsidDel="009647E5" w:rsidRDefault="00DE1A22" w:rsidP="00DE1A22">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r>
              <w:rPr>
                <w:rFonts w:eastAsia="Times New Roman"/>
                <w:sz w:val="24"/>
                <w:szCs w:val="24"/>
                <w:lang w:eastAsia="lv-LV"/>
              </w:rPr>
              <w:t>2</w:t>
            </w:r>
            <w:r w:rsidRPr="00DE1A22">
              <w:rPr>
                <w:rFonts w:eastAsia="Times New Roman"/>
                <w:sz w:val="24"/>
                <w:szCs w:val="24"/>
                <w:lang w:eastAsia="lv-LV"/>
              </w:rPr>
              <w:t>.</w:t>
            </w:r>
          </w:p>
        </w:tc>
        <w:tc>
          <w:tcPr>
            <w:tcW w:w="3072" w:type="dxa"/>
            <w:shd w:val="clear" w:color="auto" w:fill="auto"/>
          </w:tcPr>
          <w:p w:rsidR="00DE1A22" w:rsidRPr="00DE1A22" w:rsidRDefault="00DE1A22" w:rsidP="00DE1A22">
            <w:pPr>
              <w:jc w:val="both"/>
              <w:rPr>
                <w:rFonts w:eastAsia="Times New Roman"/>
                <w:sz w:val="24"/>
                <w:szCs w:val="24"/>
                <w:lang w:eastAsia="lv-LV"/>
              </w:rPr>
            </w:pPr>
            <w:r w:rsidRPr="00DE1A22">
              <w:rPr>
                <w:rFonts w:eastAsia="Times New Roman"/>
                <w:sz w:val="24"/>
                <w:szCs w:val="24"/>
                <w:lang w:eastAsia="lv-LV"/>
              </w:rPr>
              <w:t>Pamatnostādņu 4. sadaļa “Rīcības virzieni un uzdevumi” 1.Rīcības virziens.</w:t>
            </w:r>
          </w:p>
        </w:tc>
        <w:tc>
          <w:tcPr>
            <w:tcW w:w="4394" w:type="dxa"/>
            <w:shd w:val="clear" w:color="auto" w:fill="auto"/>
          </w:tcPr>
          <w:p w:rsidR="00DE1A22" w:rsidRPr="00DE1A22" w:rsidRDefault="00DE1A22" w:rsidP="00DE1A22">
            <w:pPr>
              <w:contextualSpacing/>
              <w:jc w:val="both"/>
              <w:rPr>
                <w:rFonts w:eastAsia="Times New Roman"/>
                <w:b/>
                <w:sz w:val="24"/>
                <w:szCs w:val="24"/>
              </w:rPr>
            </w:pPr>
            <w:r w:rsidRPr="00DE1A22">
              <w:rPr>
                <w:rFonts w:eastAsia="Times New Roman"/>
                <w:b/>
                <w:sz w:val="24"/>
                <w:szCs w:val="24"/>
              </w:rPr>
              <w:t>Vides aizsardzības un reģionālās attīstības ministrija (21.02.2020. Nr.1-132/1579)</w:t>
            </w:r>
          </w:p>
          <w:p w:rsidR="00DE1A22" w:rsidRPr="00DE1A22" w:rsidRDefault="00DE1A22" w:rsidP="00DE1A22">
            <w:pPr>
              <w:contextualSpacing/>
              <w:jc w:val="both"/>
              <w:rPr>
                <w:rFonts w:eastAsia="Times New Roman"/>
                <w:sz w:val="24"/>
                <w:szCs w:val="24"/>
              </w:rPr>
            </w:pPr>
            <w:r w:rsidRPr="00DE1A22">
              <w:rPr>
                <w:rFonts w:eastAsia="Times New Roman"/>
                <w:sz w:val="24"/>
                <w:szCs w:val="24"/>
              </w:rPr>
              <w:lastRenderedPageBreak/>
              <w:t>Papildināt 1.rīcības virzienu ar jaunu uzdevumu:</w:t>
            </w:r>
          </w:p>
          <w:p w:rsidR="00DE1A22" w:rsidRPr="00DE1A22" w:rsidRDefault="00DE1A22" w:rsidP="00DE1A22">
            <w:pPr>
              <w:jc w:val="both"/>
              <w:rPr>
                <w:rFonts w:eastAsia="Times New Roman"/>
                <w:b/>
                <w:sz w:val="24"/>
                <w:szCs w:val="24"/>
              </w:rPr>
            </w:pPr>
            <w:r w:rsidRPr="00DE1A22">
              <w:rPr>
                <w:rFonts w:eastAsia="Times New Roman"/>
                <w:sz w:val="24"/>
                <w:szCs w:val="24"/>
              </w:rPr>
              <w:t>“Izveidot nozares finansētu fondu, nolūkā finansēt profilakses, preventīvās un spēlētāju atbalsta, sabiedrības izglītošanas iniciatīvas. Izveidot fonda darba un īstenoto projektu uzraudzības padomi, tajā skaitā iekļaujot padomē nozares pārstāvjus.”</w:t>
            </w:r>
          </w:p>
        </w:tc>
        <w:tc>
          <w:tcPr>
            <w:tcW w:w="3118" w:type="dxa"/>
            <w:shd w:val="clear" w:color="auto" w:fill="auto"/>
          </w:tcPr>
          <w:p w:rsidR="00DE1A22" w:rsidRPr="00DE1A22" w:rsidRDefault="00DE1A22" w:rsidP="00DE1A22">
            <w:pPr>
              <w:jc w:val="both"/>
              <w:rPr>
                <w:rFonts w:eastAsia="Times New Roman"/>
                <w:b/>
                <w:bCs/>
                <w:sz w:val="24"/>
                <w:szCs w:val="24"/>
                <w:lang w:eastAsia="lv-LV"/>
              </w:rPr>
            </w:pPr>
            <w:r w:rsidRPr="00DE1A22">
              <w:rPr>
                <w:rFonts w:eastAsia="Times New Roman"/>
                <w:b/>
                <w:bCs/>
                <w:sz w:val="24"/>
                <w:szCs w:val="24"/>
                <w:lang w:eastAsia="lv-LV"/>
              </w:rPr>
              <w:lastRenderedPageBreak/>
              <w:t>Ņemts vērā.</w:t>
            </w:r>
          </w:p>
          <w:p w:rsidR="00DE1A22" w:rsidRPr="00DE1A22" w:rsidRDefault="00DE1A22" w:rsidP="00DE1A22">
            <w:pPr>
              <w:jc w:val="both"/>
              <w:rPr>
                <w:rFonts w:eastAsia="Times New Roman"/>
                <w:b/>
                <w:bCs/>
                <w:sz w:val="24"/>
                <w:szCs w:val="24"/>
                <w:lang w:eastAsia="lv-LV"/>
              </w:rPr>
            </w:pPr>
          </w:p>
        </w:tc>
        <w:tc>
          <w:tcPr>
            <w:tcW w:w="3402" w:type="dxa"/>
            <w:shd w:val="clear" w:color="auto" w:fill="auto"/>
          </w:tcPr>
          <w:p w:rsidR="00DE1A22" w:rsidRPr="00DE1A22" w:rsidRDefault="00DE1A22" w:rsidP="00DE1A22">
            <w:pPr>
              <w:jc w:val="both"/>
              <w:rPr>
                <w:rFonts w:eastAsia="Times New Roman"/>
                <w:bCs/>
                <w:sz w:val="24"/>
                <w:szCs w:val="24"/>
                <w:lang w:eastAsia="lv-LV"/>
              </w:rPr>
            </w:pPr>
            <w:r w:rsidRPr="00DE1A22">
              <w:rPr>
                <w:rFonts w:eastAsia="Times New Roman"/>
                <w:bCs/>
                <w:sz w:val="24"/>
                <w:szCs w:val="24"/>
                <w:lang w:eastAsia="lv-LV"/>
              </w:rPr>
              <w:t xml:space="preserve">Uzdevums nav attiecināms uz publisko tiesību subjektu, attiecīgi ir papildināts </w:t>
            </w:r>
            <w:r w:rsidRPr="00DE1A22">
              <w:rPr>
                <w:rFonts w:eastAsia="Times New Roman"/>
                <w:bCs/>
                <w:sz w:val="24"/>
                <w:szCs w:val="24"/>
                <w:lang w:eastAsia="lv-LV"/>
              </w:rPr>
              <w:lastRenderedPageBreak/>
              <w:t>Pamatnostādņu pielikums. Skatīt Pamatnostādņu pielikuma 25.lpp.</w:t>
            </w:r>
          </w:p>
          <w:p w:rsidR="00DE1A22" w:rsidRPr="00DE1A22" w:rsidRDefault="00DE1A22" w:rsidP="00DE1A22">
            <w:pPr>
              <w:spacing w:after="120"/>
              <w:jc w:val="both"/>
              <w:rPr>
                <w:rFonts w:eastAsia="Times New Roman"/>
                <w:sz w:val="24"/>
                <w:szCs w:val="24"/>
                <w:lang w:eastAsia="lv-LV"/>
              </w:rPr>
            </w:pPr>
          </w:p>
        </w:tc>
      </w:tr>
      <w:tr w:rsidR="00DE1A22" w:rsidRPr="00DE1A22" w:rsidTr="001C3B74">
        <w:tc>
          <w:tcPr>
            <w:tcW w:w="756" w:type="dxa"/>
          </w:tcPr>
          <w:p w:rsidR="00DE1A22" w:rsidRPr="00DE1A22" w:rsidRDefault="00DE1A22" w:rsidP="00DE1A22">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1</w:t>
            </w:r>
            <w:r>
              <w:rPr>
                <w:rFonts w:eastAsia="Times New Roman"/>
                <w:sz w:val="24"/>
                <w:szCs w:val="24"/>
                <w:lang w:eastAsia="lv-LV"/>
              </w:rPr>
              <w:t>3</w:t>
            </w:r>
            <w:r w:rsidRPr="00DE1A22">
              <w:rPr>
                <w:rFonts w:eastAsia="Times New Roman"/>
                <w:sz w:val="24"/>
                <w:szCs w:val="24"/>
                <w:lang w:eastAsia="lv-LV"/>
              </w:rPr>
              <w:t>.</w:t>
            </w:r>
          </w:p>
        </w:tc>
        <w:tc>
          <w:tcPr>
            <w:tcW w:w="3072" w:type="dxa"/>
            <w:shd w:val="clear" w:color="auto" w:fill="auto"/>
          </w:tcPr>
          <w:p w:rsidR="00DE1A22" w:rsidRPr="00DE1A22" w:rsidRDefault="00DE1A22" w:rsidP="001C3B74">
            <w:pPr>
              <w:jc w:val="both"/>
              <w:rPr>
                <w:rFonts w:eastAsia="Times New Roman"/>
                <w:sz w:val="24"/>
                <w:szCs w:val="24"/>
                <w:lang w:eastAsia="lv-LV"/>
              </w:rPr>
            </w:pPr>
            <w:r w:rsidRPr="00DE1A22">
              <w:rPr>
                <w:rFonts w:eastAsia="Times New Roman"/>
                <w:sz w:val="24"/>
                <w:szCs w:val="24"/>
                <w:lang w:eastAsia="lv-LV"/>
              </w:rPr>
              <w:t>Pamatnostādņu 4.sadaļas 1.rīcības virziens “</w:t>
            </w:r>
            <w:r w:rsidRPr="00DE1A22">
              <w:rPr>
                <w:rFonts w:eastAsia="Times New Roman"/>
                <w:sz w:val="24"/>
                <w:szCs w:val="24"/>
              </w:rPr>
              <w:t>Atkarības profilakses, preventīvie, problemātiskā spēlētāja atbalsts un sabiedrības izglītojoši pasākumi</w:t>
            </w:r>
            <w:r w:rsidRPr="00DE1A22">
              <w:rPr>
                <w:rFonts w:eastAsia="Times New Roman"/>
                <w:sz w:val="24"/>
                <w:szCs w:val="24"/>
                <w:lang w:eastAsia="lv-LV"/>
              </w:rPr>
              <w:t>”.</w:t>
            </w:r>
          </w:p>
          <w:p w:rsidR="00DE1A22" w:rsidRPr="00DE1A22" w:rsidRDefault="00DE1A22" w:rsidP="001C3B74">
            <w:pPr>
              <w:jc w:val="both"/>
              <w:rPr>
                <w:rFonts w:eastAsia="Times New Roman"/>
                <w:sz w:val="24"/>
                <w:szCs w:val="24"/>
                <w:lang w:eastAsia="lv-LV"/>
              </w:rPr>
            </w:pPr>
          </w:p>
        </w:tc>
        <w:tc>
          <w:tcPr>
            <w:tcW w:w="4394" w:type="dxa"/>
            <w:shd w:val="clear" w:color="auto" w:fill="auto"/>
          </w:tcPr>
          <w:p w:rsidR="00DE1A22" w:rsidRPr="00DE1A22" w:rsidRDefault="00DE1A22" w:rsidP="00DE1A22">
            <w:pPr>
              <w:tabs>
                <w:tab w:val="left" w:pos="1666"/>
              </w:tabs>
              <w:jc w:val="both"/>
              <w:rPr>
                <w:rFonts w:eastAsia="Times New Roman"/>
                <w:b/>
                <w:sz w:val="24"/>
                <w:szCs w:val="24"/>
              </w:rPr>
            </w:pPr>
            <w:r w:rsidRPr="00DE1A22">
              <w:rPr>
                <w:rFonts w:eastAsia="Times New Roman"/>
                <w:b/>
                <w:sz w:val="24"/>
                <w:szCs w:val="24"/>
              </w:rPr>
              <w:t>Latvijas interaktīvo azartspēļu biedrība (06.03.2020.)</w:t>
            </w:r>
          </w:p>
          <w:p w:rsidR="00DE1A22" w:rsidRPr="00DE1A22" w:rsidRDefault="00DE1A22" w:rsidP="00DE1A22">
            <w:pPr>
              <w:tabs>
                <w:tab w:val="left" w:pos="1666"/>
              </w:tabs>
              <w:jc w:val="both"/>
              <w:rPr>
                <w:rFonts w:eastAsia="Times New Roman"/>
                <w:sz w:val="24"/>
                <w:szCs w:val="24"/>
              </w:rPr>
            </w:pPr>
            <w:r w:rsidRPr="00DE1A22">
              <w:rPr>
                <w:rFonts w:eastAsia="Times New Roman"/>
                <w:sz w:val="24"/>
                <w:szCs w:val="24"/>
              </w:rPr>
              <w:t xml:space="preserve">LIAB Pamatnostādņu apspriešanas sanāksmē aicināja Pamatnostādņu 4.sadaļas 5. Rīcības virzienu “Azartspēļu un izložu nozares attīstības tendenču monitorings” papildināt 6. uzdevumu šādā redakcijā: </w:t>
            </w:r>
          </w:p>
          <w:p w:rsidR="00DE1A22" w:rsidRPr="00DE1A22" w:rsidRDefault="00DE1A22" w:rsidP="00DE1A22">
            <w:pPr>
              <w:contextualSpacing/>
              <w:jc w:val="both"/>
              <w:rPr>
                <w:rFonts w:eastAsia="Times New Roman"/>
                <w:b/>
                <w:sz w:val="24"/>
                <w:szCs w:val="24"/>
              </w:rPr>
            </w:pPr>
            <w:r w:rsidRPr="00DE1A22">
              <w:rPr>
                <w:rFonts w:eastAsia="Times New Roman"/>
                <w:sz w:val="24"/>
                <w:szCs w:val="24"/>
              </w:rPr>
              <w:t>“</w:t>
            </w:r>
            <w:r w:rsidRPr="00DE1A22">
              <w:rPr>
                <w:rFonts w:eastAsia="Times New Roman"/>
                <w:b/>
                <w:sz w:val="24"/>
                <w:szCs w:val="24"/>
              </w:rPr>
              <w:t>Noteikt brīvprātīgās sadarbības programmās izmantojamos atļautos un aizliegtos elementus.</w:t>
            </w:r>
          </w:p>
        </w:tc>
        <w:tc>
          <w:tcPr>
            <w:tcW w:w="3118" w:type="dxa"/>
            <w:shd w:val="clear" w:color="auto" w:fill="auto"/>
          </w:tcPr>
          <w:p w:rsidR="00DE1A22" w:rsidRPr="00DE1A22" w:rsidRDefault="00DE1A22" w:rsidP="00DE1A22">
            <w:pPr>
              <w:jc w:val="both"/>
              <w:rPr>
                <w:rFonts w:eastAsia="Times New Roman"/>
                <w:b/>
                <w:bCs/>
                <w:sz w:val="24"/>
                <w:szCs w:val="24"/>
                <w:lang w:eastAsia="lv-LV"/>
              </w:rPr>
            </w:pPr>
            <w:r w:rsidRPr="00DE1A22">
              <w:rPr>
                <w:rFonts w:eastAsia="Times New Roman"/>
                <w:b/>
                <w:bCs/>
                <w:sz w:val="24"/>
                <w:szCs w:val="24"/>
                <w:lang w:eastAsia="lv-LV"/>
              </w:rPr>
              <w:t>Ņemts vērā.</w:t>
            </w:r>
          </w:p>
          <w:p w:rsidR="00DE1A22" w:rsidRPr="00DE1A22" w:rsidRDefault="00DE1A22" w:rsidP="00DE1A22">
            <w:pPr>
              <w:jc w:val="both"/>
              <w:rPr>
                <w:rFonts w:eastAsia="Times New Roman"/>
                <w:b/>
                <w:bCs/>
                <w:sz w:val="24"/>
                <w:szCs w:val="24"/>
                <w:lang w:eastAsia="lv-LV"/>
              </w:rPr>
            </w:pPr>
          </w:p>
        </w:tc>
        <w:tc>
          <w:tcPr>
            <w:tcW w:w="3402" w:type="dxa"/>
            <w:shd w:val="clear" w:color="auto" w:fill="auto"/>
          </w:tcPr>
          <w:p w:rsidR="00DE1A22" w:rsidRPr="00DE1A22" w:rsidRDefault="00DE1A22" w:rsidP="00DE1A22">
            <w:pPr>
              <w:jc w:val="both"/>
              <w:rPr>
                <w:rFonts w:eastAsia="Times New Roman"/>
                <w:bCs/>
                <w:sz w:val="24"/>
                <w:szCs w:val="24"/>
                <w:lang w:eastAsia="lv-LV"/>
              </w:rPr>
            </w:pPr>
            <w:r w:rsidRPr="00DE1A22">
              <w:rPr>
                <w:rFonts w:eastAsia="Times New Roman"/>
                <w:sz w:val="24"/>
                <w:szCs w:val="24"/>
              </w:rPr>
              <w:t>Atbilstoši ir precizēts Pamatnostādņu 4.sadaļas 1.rīcības virziena “Atkarības profilakses, preventīvie, problemātiskā spēlētāja atbalsts un sabiedrības izglītojoši pasākumi” 16.uzdevums (jaunā redakcija).</w:t>
            </w:r>
          </w:p>
        </w:tc>
      </w:tr>
      <w:tr w:rsidR="00DE1A22" w:rsidRPr="00DE1A22" w:rsidTr="00C15202">
        <w:tc>
          <w:tcPr>
            <w:tcW w:w="756" w:type="dxa"/>
          </w:tcPr>
          <w:p w:rsidR="00DE1A22" w:rsidRPr="00DE1A22" w:rsidRDefault="00DE1A22" w:rsidP="00DE1A22">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r>
              <w:rPr>
                <w:rFonts w:eastAsia="Times New Roman"/>
                <w:sz w:val="24"/>
                <w:szCs w:val="24"/>
                <w:lang w:eastAsia="lv-LV"/>
              </w:rPr>
              <w:t>4</w:t>
            </w:r>
            <w:r w:rsidRPr="00DE1A22">
              <w:rPr>
                <w:rFonts w:eastAsia="Times New Roman"/>
                <w:sz w:val="24"/>
                <w:szCs w:val="24"/>
                <w:lang w:eastAsia="lv-LV"/>
              </w:rPr>
              <w:t>.</w:t>
            </w:r>
          </w:p>
        </w:tc>
        <w:tc>
          <w:tcPr>
            <w:tcW w:w="3072" w:type="dxa"/>
            <w:shd w:val="clear" w:color="auto" w:fill="auto"/>
            <w:vAlign w:val="center"/>
          </w:tcPr>
          <w:p w:rsidR="00DE1A22" w:rsidRPr="00DE1A22" w:rsidRDefault="00DE1A22" w:rsidP="00DE1A22">
            <w:pPr>
              <w:jc w:val="both"/>
              <w:rPr>
                <w:rFonts w:eastAsia="Times New Roman"/>
                <w:sz w:val="24"/>
                <w:szCs w:val="24"/>
                <w:lang w:eastAsia="lv-LV"/>
              </w:rPr>
            </w:pPr>
            <w:r w:rsidRPr="00DE1A22">
              <w:rPr>
                <w:rFonts w:eastAsia="Times New Roman"/>
                <w:sz w:val="24"/>
                <w:szCs w:val="24"/>
                <w:lang w:eastAsia="lv-LV"/>
              </w:rPr>
              <w:t>Pamatnostādņu 4.sadaļas 1.rīcības virziens “</w:t>
            </w:r>
            <w:r w:rsidRPr="00DE1A22">
              <w:rPr>
                <w:rFonts w:eastAsia="Times New Roman"/>
                <w:sz w:val="24"/>
                <w:szCs w:val="24"/>
              </w:rPr>
              <w:t>Atkarības profilakses, preventīvie, problemātiskā spēlētāja atbalsts un sabiedrības izglītojoši pasākumi</w:t>
            </w:r>
            <w:r w:rsidRPr="00DE1A22">
              <w:rPr>
                <w:rFonts w:eastAsia="Times New Roman"/>
                <w:sz w:val="24"/>
                <w:szCs w:val="24"/>
                <w:lang w:eastAsia="lv-LV"/>
              </w:rPr>
              <w:t>”.</w:t>
            </w:r>
          </w:p>
        </w:tc>
        <w:tc>
          <w:tcPr>
            <w:tcW w:w="4394" w:type="dxa"/>
            <w:shd w:val="clear" w:color="auto" w:fill="auto"/>
          </w:tcPr>
          <w:p w:rsidR="00DE1A22" w:rsidRPr="00DE1A22" w:rsidRDefault="00DE1A22" w:rsidP="00DE1A22">
            <w:pPr>
              <w:jc w:val="both"/>
              <w:rPr>
                <w:rFonts w:eastAsia="Times New Roman"/>
                <w:b/>
                <w:sz w:val="24"/>
                <w:szCs w:val="24"/>
              </w:rPr>
            </w:pPr>
            <w:r w:rsidRPr="00DE1A22">
              <w:rPr>
                <w:rFonts w:eastAsia="Times New Roman"/>
                <w:b/>
                <w:sz w:val="24"/>
                <w:szCs w:val="24"/>
              </w:rPr>
              <w:t>Latvijas Lielo pilsētu asociācija</w:t>
            </w:r>
          </w:p>
          <w:p w:rsidR="00DE1A22" w:rsidRPr="00DE1A22" w:rsidRDefault="00DE1A22" w:rsidP="00DE1A22">
            <w:pPr>
              <w:tabs>
                <w:tab w:val="left" w:pos="1666"/>
              </w:tabs>
              <w:jc w:val="both"/>
              <w:rPr>
                <w:rFonts w:eastAsia="Times New Roman"/>
                <w:b/>
                <w:sz w:val="24"/>
                <w:szCs w:val="24"/>
              </w:rPr>
            </w:pPr>
            <w:r w:rsidRPr="00DE1A22">
              <w:rPr>
                <w:rFonts w:eastAsia="Times New Roman"/>
                <w:sz w:val="24"/>
                <w:szCs w:val="24"/>
              </w:rPr>
              <w:t>Pēc Pasaules Veselības Organizācijas rekomendācijām aicinām azartspēļu ienākumu daļu novirzīt veselības profilakses pasākumiem, kas ir atzīta un pierādīta labā prakse pasaulē.</w:t>
            </w:r>
          </w:p>
        </w:tc>
        <w:tc>
          <w:tcPr>
            <w:tcW w:w="3118" w:type="dxa"/>
            <w:shd w:val="clear" w:color="auto" w:fill="auto"/>
          </w:tcPr>
          <w:p w:rsidR="00DE1A22" w:rsidRPr="00DE1A22" w:rsidRDefault="00DE1A22" w:rsidP="00DE1A22">
            <w:pPr>
              <w:jc w:val="both"/>
              <w:rPr>
                <w:rFonts w:eastAsia="Times New Roman"/>
                <w:b/>
                <w:bCs/>
                <w:sz w:val="24"/>
                <w:szCs w:val="24"/>
                <w:lang w:eastAsia="lv-LV"/>
              </w:rPr>
            </w:pPr>
            <w:r w:rsidRPr="00DE1A22">
              <w:rPr>
                <w:rFonts w:eastAsia="Times New Roman"/>
                <w:b/>
                <w:bCs/>
                <w:sz w:val="24"/>
                <w:szCs w:val="24"/>
                <w:lang w:eastAsia="lv-LV"/>
              </w:rPr>
              <w:t>Ņemts vērā.</w:t>
            </w:r>
          </w:p>
        </w:tc>
        <w:tc>
          <w:tcPr>
            <w:tcW w:w="3402" w:type="dxa"/>
            <w:shd w:val="clear" w:color="auto" w:fill="auto"/>
          </w:tcPr>
          <w:p w:rsidR="00DE1A22" w:rsidRPr="00DE1A22" w:rsidRDefault="00DE1A22" w:rsidP="00DE1A22">
            <w:pPr>
              <w:jc w:val="both"/>
              <w:rPr>
                <w:rFonts w:eastAsia="Times New Roman"/>
                <w:sz w:val="24"/>
                <w:szCs w:val="24"/>
              </w:rPr>
            </w:pPr>
            <w:r w:rsidRPr="00DE1A22">
              <w:rPr>
                <w:rFonts w:eastAsia="Times New Roman"/>
                <w:sz w:val="24"/>
                <w:szCs w:val="24"/>
              </w:rPr>
              <w:t>Atbilstoši ir precizēts Pamatnostādnes un tās pielikums.</w:t>
            </w:r>
          </w:p>
        </w:tc>
      </w:tr>
      <w:tr w:rsidR="00DE1A22" w:rsidRPr="00DE1A22" w:rsidTr="008034BE">
        <w:tc>
          <w:tcPr>
            <w:tcW w:w="756" w:type="dxa"/>
          </w:tcPr>
          <w:p w:rsidR="00DE1A22" w:rsidRPr="00DE1A22" w:rsidRDefault="00DE1A22" w:rsidP="00DE1A22">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r>
              <w:rPr>
                <w:rFonts w:eastAsia="Times New Roman"/>
                <w:sz w:val="24"/>
                <w:szCs w:val="24"/>
                <w:lang w:eastAsia="lv-LV"/>
              </w:rPr>
              <w:t>5</w:t>
            </w:r>
            <w:r w:rsidRPr="00DE1A22">
              <w:rPr>
                <w:rFonts w:eastAsia="Times New Roman"/>
                <w:sz w:val="24"/>
                <w:szCs w:val="24"/>
                <w:lang w:eastAsia="lv-LV"/>
              </w:rPr>
              <w:t>.</w:t>
            </w:r>
          </w:p>
        </w:tc>
        <w:tc>
          <w:tcPr>
            <w:tcW w:w="3072" w:type="dxa"/>
            <w:shd w:val="clear" w:color="auto" w:fill="auto"/>
          </w:tcPr>
          <w:p w:rsidR="00DE1A22" w:rsidRPr="00DE1A22" w:rsidRDefault="00DE1A22" w:rsidP="001C3B74">
            <w:pPr>
              <w:jc w:val="both"/>
              <w:rPr>
                <w:rFonts w:eastAsia="Times New Roman"/>
                <w:sz w:val="24"/>
                <w:szCs w:val="24"/>
                <w:lang w:eastAsia="lv-LV"/>
              </w:rPr>
            </w:pPr>
            <w:r w:rsidRPr="00DE1A22">
              <w:rPr>
                <w:rFonts w:eastAsia="Times New Roman"/>
                <w:sz w:val="24"/>
                <w:szCs w:val="24"/>
                <w:lang w:eastAsia="lv-LV"/>
              </w:rPr>
              <w:t>Pamatnostādņu 4.sadaļas 2. rīcības virziena “Azartspēļu un izložu reklāmas aizlieguma kontrole” 3. uzdevums “Izvērtēt azartspēļu reklāmas aizlieguma pārskatīšanu televīzijā, radio, kā arī interaktīvajā vidē.”</w:t>
            </w:r>
          </w:p>
        </w:tc>
        <w:tc>
          <w:tcPr>
            <w:tcW w:w="4394" w:type="dxa"/>
            <w:shd w:val="clear" w:color="auto" w:fill="auto"/>
          </w:tcPr>
          <w:p w:rsidR="00DE1A22" w:rsidRPr="00DE1A22" w:rsidRDefault="00DE1A22" w:rsidP="00DE1A22">
            <w:pPr>
              <w:jc w:val="both"/>
              <w:rPr>
                <w:rFonts w:eastAsia="Times New Roman"/>
                <w:b/>
                <w:sz w:val="24"/>
                <w:szCs w:val="24"/>
              </w:rPr>
            </w:pPr>
            <w:r w:rsidRPr="00DE1A22">
              <w:rPr>
                <w:rFonts w:eastAsia="Times New Roman"/>
                <w:b/>
                <w:sz w:val="24"/>
                <w:szCs w:val="24"/>
              </w:rPr>
              <w:t>Kultūras ministrija (05.03.2020.)</w:t>
            </w:r>
          </w:p>
          <w:p w:rsidR="00DE1A22" w:rsidRPr="00DE1A22" w:rsidRDefault="00DE1A22" w:rsidP="00DE1A22">
            <w:pPr>
              <w:jc w:val="both"/>
              <w:rPr>
                <w:rFonts w:eastAsia="Times New Roman"/>
                <w:sz w:val="24"/>
                <w:szCs w:val="24"/>
              </w:rPr>
            </w:pPr>
            <w:r w:rsidRPr="00DE1A22">
              <w:rPr>
                <w:rFonts w:eastAsia="Times New Roman"/>
                <w:b/>
                <w:sz w:val="24"/>
                <w:szCs w:val="24"/>
              </w:rPr>
              <w:t>Kultūras ministrija vēlētos, lai šis punkts tiktu formulēts šādi: “Izstrādāt grozījumus normatīvajos aktos, pārskatot azartspēļu reklāmas aizliegumu”,</w:t>
            </w:r>
            <w:r w:rsidRPr="00DE1A22">
              <w:rPr>
                <w:rFonts w:eastAsia="Times New Roman"/>
                <w:sz w:val="24"/>
                <w:szCs w:val="24"/>
              </w:rPr>
              <w:t xml:space="preserve"> kā mēs to minējām savā 28.janvāra vēstulē Nr.5.1-4/161. Vienlaikus, lai neaizkavētu darbu pie minēto pamatnostādņu izstrādes, mēs varētu piekrist arī Finanšu ministrijas piedāvātajam kompromisam (uz </w:t>
            </w:r>
            <w:r w:rsidRPr="00DE1A22">
              <w:rPr>
                <w:rFonts w:eastAsia="Times New Roman"/>
                <w:sz w:val="24"/>
                <w:szCs w:val="24"/>
              </w:rPr>
              <w:lastRenderedPageBreak/>
              <w:t>13.februāra sanāksmi sagatavotajai redakcijai).</w:t>
            </w:r>
          </w:p>
          <w:p w:rsidR="00DE1A22" w:rsidRPr="00DE1A22" w:rsidRDefault="00DE1A22" w:rsidP="00DE1A22">
            <w:pPr>
              <w:contextualSpacing/>
              <w:jc w:val="both"/>
              <w:rPr>
                <w:rFonts w:eastAsia="Times New Roman"/>
                <w:b/>
                <w:sz w:val="24"/>
                <w:szCs w:val="24"/>
              </w:rPr>
            </w:pPr>
            <w:r w:rsidRPr="00DE1A22">
              <w:rPr>
                <w:rFonts w:eastAsia="Times New Roman"/>
                <w:b/>
                <w:sz w:val="24"/>
                <w:szCs w:val="24"/>
              </w:rPr>
              <w:t>Vienlaikus mēs iebilstu pret mēģinājumiem šo delikāto kompromisu mainīt vēl vairāk.</w:t>
            </w:r>
            <w:r w:rsidRPr="00DE1A22">
              <w:rPr>
                <w:rFonts w:eastAsia="Times New Roman"/>
                <w:sz w:val="24"/>
                <w:szCs w:val="24"/>
              </w:rPr>
              <w:t xml:space="preserve"> Mūsuprāt, diskusijas 13.februāra sanāksmē (un ne tikai Kultūras ministrijas paustais viedoklis) viennozīmīgi parādīja, ka apstākļi kopš aizlieguma noteikšanas ir būtiski mainījušies, kas rada nepieciešamību aizliegumu pārskatīt vai kā minimums izvērtēt šādas pārskatīšanas nepieciešamību.</w:t>
            </w:r>
          </w:p>
        </w:tc>
        <w:tc>
          <w:tcPr>
            <w:tcW w:w="3118" w:type="dxa"/>
            <w:shd w:val="clear" w:color="auto" w:fill="auto"/>
          </w:tcPr>
          <w:p w:rsidR="00DE1A22" w:rsidRPr="00DE1A22" w:rsidRDefault="00DE1A22" w:rsidP="00DE1A22">
            <w:pPr>
              <w:jc w:val="both"/>
              <w:rPr>
                <w:rFonts w:eastAsia="Times New Roman"/>
                <w:b/>
                <w:bCs/>
                <w:sz w:val="24"/>
                <w:szCs w:val="24"/>
                <w:lang w:eastAsia="lv-LV"/>
              </w:rPr>
            </w:pPr>
            <w:r w:rsidRPr="00DE1A22">
              <w:rPr>
                <w:rFonts w:eastAsia="Times New Roman"/>
                <w:b/>
                <w:bCs/>
                <w:sz w:val="24"/>
                <w:szCs w:val="24"/>
                <w:lang w:eastAsia="lv-LV"/>
              </w:rPr>
              <w:lastRenderedPageBreak/>
              <w:t>Ņemts vērā.</w:t>
            </w:r>
          </w:p>
          <w:p w:rsidR="00DE1A22" w:rsidRPr="00DE1A22" w:rsidRDefault="00DE1A22" w:rsidP="00DE1A22">
            <w:pPr>
              <w:jc w:val="both"/>
              <w:rPr>
                <w:rFonts w:eastAsia="Times New Roman"/>
                <w:b/>
                <w:bCs/>
                <w:sz w:val="24"/>
                <w:szCs w:val="24"/>
                <w:lang w:eastAsia="lv-LV"/>
              </w:rPr>
            </w:pPr>
            <w:r w:rsidRPr="00DE1A22">
              <w:rPr>
                <w:rFonts w:eastAsia="Times New Roman"/>
                <w:bCs/>
                <w:sz w:val="24"/>
                <w:szCs w:val="24"/>
                <w:lang w:eastAsia="lv-LV"/>
              </w:rPr>
              <w:t xml:space="preserve"> </w:t>
            </w:r>
          </w:p>
        </w:tc>
        <w:tc>
          <w:tcPr>
            <w:tcW w:w="3402" w:type="dxa"/>
            <w:shd w:val="clear" w:color="auto" w:fill="auto"/>
          </w:tcPr>
          <w:p w:rsidR="00DE1A22" w:rsidRPr="00DE1A22" w:rsidRDefault="00DE1A22" w:rsidP="00DE1A22">
            <w:pPr>
              <w:spacing w:after="120"/>
              <w:jc w:val="both"/>
              <w:rPr>
                <w:rFonts w:eastAsia="Times New Roman"/>
                <w:sz w:val="24"/>
                <w:szCs w:val="24"/>
                <w:lang w:eastAsia="lv-LV"/>
              </w:rPr>
            </w:pPr>
          </w:p>
        </w:tc>
      </w:tr>
    </w:tbl>
    <w:tbl>
      <w:tblPr>
        <w:tblpPr w:leftFromText="180" w:rightFromText="180" w:vertAnchor="text" w:tblpY="1"/>
        <w:tblOverlap w:val="neve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
        <w:gridCol w:w="3072"/>
        <w:gridCol w:w="4394"/>
        <w:gridCol w:w="3118"/>
        <w:gridCol w:w="3402"/>
      </w:tblGrid>
      <w:tr w:rsidR="00DE1A22" w:rsidRPr="00DE1A22" w:rsidTr="008034BE">
        <w:tc>
          <w:tcPr>
            <w:tcW w:w="751" w:type="dxa"/>
            <w:tcBorders>
              <w:top w:val="nil"/>
            </w:tcBorders>
          </w:tcPr>
          <w:p w:rsidR="00CC5C6C" w:rsidRPr="00DE1A22" w:rsidDel="006064FE" w:rsidRDefault="00DE1A22" w:rsidP="00DE1A22">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r>
              <w:rPr>
                <w:rFonts w:eastAsia="Times New Roman"/>
                <w:sz w:val="24"/>
                <w:szCs w:val="24"/>
                <w:lang w:eastAsia="lv-LV"/>
              </w:rPr>
              <w:t>6</w:t>
            </w:r>
            <w:r w:rsidR="00CC5C6C" w:rsidRPr="00DE1A22">
              <w:rPr>
                <w:rFonts w:eastAsia="Times New Roman"/>
                <w:sz w:val="24"/>
                <w:szCs w:val="24"/>
                <w:lang w:eastAsia="lv-LV"/>
              </w:rPr>
              <w:t>.</w:t>
            </w:r>
          </w:p>
        </w:tc>
        <w:tc>
          <w:tcPr>
            <w:tcW w:w="3072" w:type="dxa"/>
            <w:tcBorders>
              <w:top w:val="nil"/>
            </w:tcBorders>
          </w:tcPr>
          <w:p w:rsidR="00CC5C6C" w:rsidRPr="00DE1A22" w:rsidRDefault="00CC5C6C" w:rsidP="00CC5C6C">
            <w:pPr>
              <w:jc w:val="both"/>
              <w:rPr>
                <w:rFonts w:eastAsia="Times New Roman"/>
                <w:sz w:val="24"/>
                <w:szCs w:val="24"/>
                <w:lang w:eastAsia="lv-LV"/>
              </w:rPr>
            </w:pPr>
            <w:r w:rsidRPr="00DE1A22">
              <w:rPr>
                <w:rFonts w:eastAsia="Times New Roman"/>
                <w:sz w:val="24"/>
                <w:szCs w:val="24"/>
                <w:lang w:eastAsia="lv-LV"/>
              </w:rPr>
              <w:t>Pamatnostādņu 4. sadaļas 2. rīcības virziena “Azartspēļu un izložu reklāmas aizlieguma kontrole” 3. uzdevums “Izvērtēt azartspēļu reklāmas aizlieguma pārskatīšanu televīzijā, radio, kā arī interaktīvajā vidē.”</w:t>
            </w:r>
          </w:p>
        </w:tc>
        <w:tc>
          <w:tcPr>
            <w:tcW w:w="4394" w:type="dxa"/>
            <w:tcBorders>
              <w:top w:val="nil"/>
            </w:tcBorders>
          </w:tcPr>
          <w:p w:rsidR="00CC5C6C" w:rsidRPr="00DE1A22" w:rsidRDefault="00CC5C6C" w:rsidP="00CC5C6C">
            <w:pPr>
              <w:jc w:val="both"/>
              <w:rPr>
                <w:rFonts w:eastAsia="Times New Roman"/>
                <w:b/>
                <w:sz w:val="24"/>
                <w:szCs w:val="24"/>
              </w:rPr>
            </w:pPr>
            <w:r w:rsidRPr="00DE1A22">
              <w:rPr>
                <w:rFonts w:eastAsia="Times New Roman"/>
                <w:b/>
                <w:sz w:val="24"/>
                <w:szCs w:val="24"/>
              </w:rPr>
              <w:t>Latvijas Lielo pilsētu asociācija.</w:t>
            </w:r>
          </w:p>
          <w:p w:rsidR="00CC5C6C" w:rsidRPr="00DE1A22" w:rsidRDefault="00CC5C6C" w:rsidP="00CC5C6C">
            <w:pPr>
              <w:jc w:val="both"/>
              <w:rPr>
                <w:rFonts w:eastAsia="Times New Roman"/>
                <w:b/>
                <w:sz w:val="24"/>
                <w:szCs w:val="24"/>
              </w:rPr>
            </w:pPr>
            <w:r w:rsidRPr="00DE1A22">
              <w:rPr>
                <w:rFonts w:eastAsia="Times New Roman"/>
                <w:b/>
                <w:sz w:val="24"/>
                <w:szCs w:val="24"/>
              </w:rPr>
              <w:t xml:space="preserve">Būtu nepieciešamas noteikt konkrētas un definētas darbības azartspēļu reklāmas mazināšanai un aizliegšanai. </w:t>
            </w:r>
          </w:p>
          <w:p w:rsidR="00CC5C6C" w:rsidRPr="00DE1A22" w:rsidRDefault="00CC5C6C" w:rsidP="00CC5C6C">
            <w:pPr>
              <w:jc w:val="both"/>
              <w:rPr>
                <w:rFonts w:eastAsia="Times New Roman"/>
                <w:sz w:val="24"/>
                <w:szCs w:val="24"/>
              </w:rPr>
            </w:pPr>
            <w:r w:rsidRPr="00DE1A22">
              <w:rPr>
                <w:rFonts w:eastAsia="Times New Roman"/>
                <w:sz w:val="24"/>
                <w:szCs w:val="24"/>
              </w:rPr>
              <w:t>Kā jau zināms, azartspēles rada atkarību, t.sk. jau agrīnā vecumā, tāpēc būtu svarīgi ierobežot TV translācijas laiku un pieejamību, kas ir pieejams bērniem, (piemēram, “Super Bingo”’ plkst. 10.00 svētdiena vai “Latvijas lotto” pārraides LTV1) jo tas rada ilūzijas vieglai peļņai.</w:t>
            </w:r>
          </w:p>
          <w:p w:rsidR="00CC5C6C" w:rsidRPr="00DE1A22" w:rsidRDefault="00CC5C6C" w:rsidP="00CC5C6C">
            <w:pPr>
              <w:jc w:val="both"/>
              <w:rPr>
                <w:rFonts w:eastAsia="Times New Roman"/>
                <w:sz w:val="24"/>
                <w:szCs w:val="24"/>
              </w:rPr>
            </w:pPr>
            <w:r w:rsidRPr="00DE1A22">
              <w:rPr>
                <w:rFonts w:eastAsia="Times New Roman"/>
                <w:sz w:val="24"/>
                <w:szCs w:val="24"/>
              </w:rPr>
              <w:t>Šobrīd jau uz alkohola un tabakas izstrādājumiem ir norāde par vielu  kaitīgumu uz veselību, tādēļ nepieciešams ieviest šādas nepārprotami saprotamas norādes arī pirms azartspēļu translācijas TV vai to iegādes vietās.</w:t>
            </w:r>
          </w:p>
          <w:p w:rsidR="00CC5C6C" w:rsidRPr="00DE1A22" w:rsidRDefault="00CC5C6C" w:rsidP="00CC5C6C">
            <w:pPr>
              <w:jc w:val="both"/>
              <w:rPr>
                <w:rFonts w:eastAsia="Times New Roman"/>
                <w:sz w:val="24"/>
                <w:szCs w:val="24"/>
              </w:rPr>
            </w:pPr>
            <w:r w:rsidRPr="00DE1A22">
              <w:rPr>
                <w:rFonts w:eastAsia="Times New Roman"/>
                <w:sz w:val="24"/>
                <w:szCs w:val="24"/>
              </w:rPr>
              <w:t xml:space="preserve">Tāpat aicinām izvērtēt informāciju, kas tiek apspoguļota publiskā telpā par azartspēļu pārstāvjiem, t.sk. radot maldinošu priekštatu par tiem kā sociāli atbildīgiem uzņēmumiem. </w:t>
            </w:r>
          </w:p>
          <w:p w:rsidR="00CC5C6C" w:rsidRPr="00DE1A22" w:rsidRDefault="00CC5C6C" w:rsidP="00CC5C6C">
            <w:pPr>
              <w:contextualSpacing/>
              <w:jc w:val="both"/>
              <w:rPr>
                <w:rFonts w:eastAsia="Times New Roman"/>
                <w:b/>
                <w:sz w:val="24"/>
                <w:szCs w:val="24"/>
              </w:rPr>
            </w:pPr>
            <w:r w:rsidRPr="00DE1A22">
              <w:rPr>
                <w:rFonts w:eastAsia="Times New Roman"/>
                <w:sz w:val="24"/>
                <w:szCs w:val="24"/>
              </w:rPr>
              <w:t xml:space="preserve">Aicinām izvērtēt un ierobežot nepilngadīgo piekļuvi azartspēļu organizatoru mājas </w:t>
            </w:r>
            <w:r w:rsidRPr="00DE1A22">
              <w:rPr>
                <w:rFonts w:eastAsia="Times New Roman"/>
                <w:sz w:val="24"/>
                <w:szCs w:val="24"/>
              </w:rPr>
              <w:lastRenderedPageBreak/>
              <w:t>lapām, kā arī šajās mājas lapās paredzēt nepārprotami saprotamas  norādes par azartspēļu  atkarību (piemēram, “Latvijas Loto” mājas lapa).</w:t>
            </w:r>
          </w:p>
        </w:tc>
        <w:tc>
          <w:tcPr>
            <w:tcW w:w="3118" w:type="dxa"/>
            <w:tcBorders>
              <w:top w:val="nil"/>
            </w:tcBorders>
          </w:tcPr>
          <w:p w:rsidR="00CC5C6C" w:rsidRPr="00DE1A22" w:rsidRDefault="00CC5C6C" w:rsidP="00CC5C6C">
            <w:pPr>
              <w:jc w:val="both"/>
              <w:rPr>
                <w:b/>
                <w:bCs/>
                <w:sz w:val="24"/>
                <w:szCs w:val="24"/>
                <w:lang w:eastAsia="lv-LV"/>
              </w:rPr>
            </w:pPr>
            <w:r w:rsidRPr="00DE1A22">
              <w:rPr>
                <w:b/>
                <w:bCs/>
                <w:sz w:val="24"/>
                <w:szCs w:val="24"/>
                <w:lang w:eastAsia="lv-LV"/>
              </w:rPr>
              <w:lastRenderedPageBreak/>
              <w:t>Daļēji ņemts vērā.</w:t>
            </w:r>
          </w:p>
          <w:p w:rsidR="00CC5C6C" w:rsidRPr="00DE1A22" w:rsidRDefault="00CC5C6C" w:rsidP="00CC5C6C">
            <w:pPr>
              <w:jc w:val="both"/>
              <w:rPr>
                <w:rFonts w:eastAsia="Times New Roman"/>
                <w:sz w:val="24"/>
                <w:szCs w:val="24"/>
                <w:lang w:eastAsia="lv-LV"/>
              </w:rPr>
            </w:pPr>
          </w:p>
          <w:p w:rsidR="00CC5C6C" w:rsidRPr="00DE1A22" w:rsidRDefault="00CC5C6C" w:rsidP="00CC5C6C">
            <w:pPr>
              <w:jc w:val="both"/>
              <w:rPr>
                <w:rFonts w:eastAsia="Times New Roman"/>
                <w:sz w:val="24"/>
                <w:szCs w:val="24"/>
              </w:rPr>
            </w:pPr>
            <w:r w:rsidRPr="00DE1A22">
              <w:rPr>
                <w:rFonts w:eastAsia="Times New Roman"/>
                <w:sz w:val="24"/>
                <w:szCs w:val="24"/>
                <w:lang w:eastAsia="lv-LV"/>
              </w:rPr>
              <w:t>-</w:t>
            </w:r>
            <w:r w:rsidRPr="00DE1A22">
              <w:rPr>
                <w:rFonts w:eastAsia="Times New Roman"/>
                <w:sz w:val="24"/>
                <w:szCs w:val="24"/>
              </w:rPr>
              <w:t>Pamatnostādnēs ir paredzēts izvērtēt iespēju azartspēļu reklāmas aizlieguma pārskatīšanai, nevis veikt konkrētus grozījumu normatīvajos aktos.</w:t>
            </w:r>
          </w:p>
          <w:p w:rsidR="00CC5C6C" w:rsidRPr="00DE1A22" w:rsidRDefault="00CC5C6C" w:rsidP="00CC5C6C">
            <w:pPr>
              <w:jc w:val="both"/>
              <w:rPr>
                <w:sz w:val="24"/>
                <w:szCs w:val="24"/>
              </w:rPr>
            </w:pPr>
            <w:r w:rsidRPr="00DE1A22">
              <w:rPr>
                <w:rFonts w:eastAsia="Times New Roman"/>
                <w:sz w:val="24"/>
                <w:szCs w:val="24"/>
                <w:lang w:eastAsia="lv-LV"/>
              </w:rPr>
              <w:t xml:space="preserve">Pamatnostādnes paredz noteikt </w:t>
            </w:r>
            <w:r w:rsidRPr="00DE1A22">
              <w:rPr>
                <w:sz w:val="24"/>
                <w:szCs w:val="24"/>
              </w:rPr>
              <w:t>pienākumu</w:t>
            </w:r>
            <w:r w:rsidRPr="00DE1A22">
              <w:rPr>
                <w:rFonts w:eastAsia="Times New Roman"/>
                <w:sz w:val="24"/>
                <w:szCs w:val="24"/>
                <w:lang w:eastAsia="lv-LV"/>
              </w:rPr>
              <w:t xml:space="preserve"> </w:t>
            </w:r>
            <w:r w:rsidRPr="00DE1A22">
              <w:rPr>
                <w:sz w:val="24"/>
                <w:szCs w:val="24"/>
              </w:rPr>
              <w:t>VAS “Latvijas Loto” sertificēties Eiropas Loteriju Asociācijas Atbildīgas spēles standartam, nosakot atbilstības sertifikāta nepārtrauktības uzraudzību IAUI.</w:t>
            </w:r>
          </w:p>
          <w:p w:rsidR="00CC5C6C" w:rsidRPr="00DE1A22" w:rsidRDefault="00CC5C6C" w:rsidP="00CC5C6C">
            <w:pPr>
              <w:jc w:val="both"/>
              <w:rPr>
                <w:rFonts w:eastAsia="Times New Roman"/>
                <w:sz w:val="24"/>
                <w:szCs w:val="24"/>
                <w:lang w:eastAsia="lv-LV"/>
              </w:rPr>
            </w:pPr>
            <w:r w:rsidRPr="00DE1A22">
              <w:rPr>
                <w:sz w:val="24"/>
                <w:szCs w:val="24"/>
              </w:rPr>
              <w:t xml:space="preserve">Turklāt </w:t>
            </w:r>
            <w:r w:rsidRPr="00DE1A22">
              <w:rPr>
                <w:rFonts w:eastAsia="Times New Roman"/>
                <w:sz w:val="24"/>
                <w:szCs w:val="24"/>
                <w:lang w:eastAsia="lv-LV"/>
              </w:rPr>
              <w:t xml:space="preserve">Zinātniskajos pētījumos ir secināts, ka azartspēļu automāti un kazino spēles ir tie azartspēļu veidi, kas ir visvairāk saistīti ar azartspēļu atkarības veidošanos. Līdz ar to pasākumiem jābūt pēc </w:t>
            </w:r>
            <w:r w:rsidRPr="00DE1A22">
              <w:rPr>
                <w:rFonts w:eastAsia="Times New Roman"/>
                <w:sz w:val="24"/>
                <w:szCs w:val="24"/>
                <w:lang w:eastAsia="lv-LV"/>
              </w:rPr>
              <w:lastRenderedPageBreak/>
              <w:t xml:space="preserve">iespējas fokusētākiem un orientētiem tieši uz būtiskāko risku mazināšanu , lai sasniegtu labāku rezultātu un augstāku šo pasākumu efektivitāti. </w:t>
            </w:r>
          </w:p>
          <w:p w:rsidR="00CC5C6C" w:rsidRPr="00DE1A22" w:rsidRDefault="00CC5C6C" w:rsidP="00CC5C6C">
            <w:pPr>
              <w:jc w:val="both"/>
              <w:rPr>
                <w:sz w:val="24"/>
                <w:szCs w:val="24"/>
              </w:rPr>
            </w:pPr>
            <w:r w:rsidRPr="00DE1A22">
              <w:rPr>
                <w:sz w:val="24"/>
                <w:szCs w:val="24"/>
              </w:rPr>
              <w:t xml:space="preserve"> </w:t>
            </w:r>
          </w:p>
          <w:p w:rsidR="00CC5C6C" w:rsidRPr="00DE1A22" w:rsidRDefault="00CC5C6C" w:rsidP="00CC5C6C">
            <w:pPr>
              <w:jc w:val="both"/>
              <w:rPr>
                <w:rFonts w:eastAsia="Times New Roman"/>
                <w:b/>
                <w:bCs/>
                <w:sz w:val="24"/>
                <w:szCs w:val="24"/>
                <w:lang w:eastAsia="lv-LV"/>
              </w:rPr>
            </w:pPr>
            <w:r w:rsidRPr="00DE1A22">
              <w:rPr>
                <w:rFonts w:eastAsia="Times New Roman"/>
                <w:sz w:val="24"/>
                <w:szCs w:val="24"/>
                <w:lang w:eastAsia="lv-LV"/>
              </w:rPr>
              <w:t xml:space="preserve">Papildus tam, atbilstoši arī Tieslietu ministrijas skaidrojumam, ka izložu un azartspēļu veidi nav pielīdzināmi, jo tie atšķiras pēc procedūrām, kurās ir iesaistīta persona, kas piedalās izlozē vai azartspēlē, jo tieši personas iesaistes pakāpe var ietekmēt atkarības veidošanos. Tas apstiprinās arī ar projektam “Azartspēļu un izložu politikas pamatnostādnes 2020.-2027. gadam” pievienotajā pielikumā “Esošās situācijas vispārīgs raksturojums” minētajiem pētījumiem: “[..] Attiecībā uz derībām, totalizatoriem un izlozēm ES valstu regulējums ir saudzīgāks, ko varētu izskaidrot tas, ka pētījumos, saistībā ar azartspēļu atkarības risku ir secināts, ka izlozes, derības un totalizatori ir tie azartspēļu veidi, kuri vismazāk saistās ar azartspēļu atkarības veidošanos. [..]” </w:t>
            </w:r>
            <w:r w:rsidRPr="00DE1A22">
              <w:rPr>
                <w:rFonts w:eastAsia="Times New Roman"/>
                <w:sz w:val="24"/>
                <w:szCs w:val="24"/>
                <w:lang w:eastAsia="lv-LV"/>
              </w:rPr>
              <w:lastRenderedPageBreak/>
              <w:t>(atsauce uz Remote Gambling Research 42. lpp.; Pamatnostādņu projekta pielikuma 20. lpp. pēdējā rindkopa). Tādējādi Azartspēļu un izložu likuma (turpmāk – likums) 5. pantā uzskaitītās azartspēles, piemēram, spēļu automātu spēle, rulete, kāršu vai kauliņu spēle ir ar ievērojami augstāku personas iesaisti un kaitīgumu (atkarības riskiem), nekā tas ir likuma VIII nodaļā minētajiem izložu (loteriju) veidiem, kad personas iesaiste aprobežojas ar iemaksas veikšanu (konkrētas biļetes iegādi vai biļetes veidlapas iegādi un tās aizpildīšanu atbilstoši izlozes noteikumiem), bet informācija par laimestu tiek iegūta attālināti. Vienlaikus var pieļaut, ka atsevišķas azartspēles, piemēram, bingo, ir līdzīgs ar skaitļu loterijām, bet arī šajos gadījumos nodalīšana notiek atbilstoši personas iesaistes pakāpei.</w:t>
            </w:r>
          </w:p>
          <w:p w:rsidR="00CC5C6C" w:rsidRPr="00DE1A22" w:rsidRDefault="00CC5C6C" w:rsidP="00CC5C6C">
            <w:pPr>
              <w:pStyle w:val="NoSpacing"/>
              <w:jc w:val="both"/>
              <w:rPr>
                <w:lang w:val="lv-LV"/>
              </w:rPr>
            </w:pPr>
            <w:r w:rsidRPr="00DE1A22">
              <w:rPr>
                <w:lang w:val="lv-LV"/>
              </w:rPr>
              <w:t xml:space="preserve">Turklāt LV pētījums rāda, ka, lai arī azartspēles automātos spēlē salīdzinoši mazāks respondentu īpatsvars kā loterijas, šādi kopumā mazinot problemātisko spēlmaņu </w:t>
            </w:r>
            <w:r w:rsidRPr="00DE1A22">
              <w:rPr>
                <w:lang w:val="lv-LV"/>
              </w:rPr>
              <w:lastRenderedPageBreak/>
              <w:t>īpatsvaru populācijā, tomēr tā kaitīgā ietekme ir augstāka, skarot pat lielāko daļu aktīvo regulāro spēlētāju.</w:t>
            </w:r>
          </w:p>
          <w:p w:rsidR="00CC5C6C" w:rsidRPr="00DE1A22" w:rsidRDefault="00CC5C6C" w:rsidP="00CC5C6C">
            <w:pPr>
              <w:jc w:val="both"/>
              <w:rPr>
                <w:rFonts w:eastAsia="Times New Roman"/>
                <w:b/>
                <w:bCs/>
                <w:sz w:val="24"/>
                <w:szCs w:val="24"/>
                <w:lang w:eastAsia="lv-LV"/>
              </w:rPr>
            </w:pPr>
            <w:r w:rsidRPr="00DE1A22">
              <w:rPr>
                <w:sz w:val="24"/>
                <w:szCs w:val="24"/>
              </w:rPr>
              <w:t>Aktīvo 60% spēļu automātu spēlētāju problēmas saskaņā ar indeksa vērtībām uzskatāmas nevis par zema līmeņa, bet gan par vidēja vai augsta līmeņa problēmām.</w:t>
            </w:r>
          </w:p>
        </w:tc>
        <w:tc>
          <w:tcPr>
            <w:tcW w:w="3402" w:type="dxa"/>
            <w:tcBorders>
              <w:top w:val="nil"/>
            </w:tcBorders>
          </w:tcPr>
          <w:p w:rsidR="00CC5C6C" w:rsidRPr="00DE1A22" w:rsidRDefault="00770FE6" w:rsidP="00770FE6">
            <w:pPr>
              <w:jc w:val="both"/>
              <w:rPr>
                <w:rFonts w:eastAsia="Times New Roman"/>
                <w:sz w:val="24"/>
                <w:szCs w:val="24"/>
                <w:lang w:eastAsia="lv-LV"/>
              </w:rPr>
            </w:pPr>
            <w:r>
              <w:rPr>
                <w:rFonts w:eastAsia="Times New Roman"/>
                <w:sz w:val="24"/>
                <w:szCs w:val="24"/>
                <w:lang w:eastAsia="lv-LV"/>
              </w:rPr>
              <w:lastRenderedPageBreak/>
              <w:t>Atbilstoši precizēts Pamatnostādņu un to pielikuma teksts</w:t>
            </w:r>
            <w:r w:rsidR="00A5727F">
              <w:rPr>
                <w:rFonts w:eastAsia="Times New Roman"/>
                <w:sz w:val="24"/>
                <w:szCs w:val="24"/>
                <w:lang w:eastAsia="lv-LV"/>
              </w:rPr>
              <w:t>.</w:t>
            </w:r>
          </w:p>
        </w:tc>
      </w:tr>
      <w:tr w:rsidR="00CC5C6C" w:rsidRPr="00DE1A22" w:rsidTr="008034BE">
        <w:tc>
          <w:tcPr>
            <w:tcW w:w="751" w:type="dxa"/>
          </w:tcPr>
          <w:p w:rsidR="00CC5C6C" w:rsidRPr="00DE1A22" w:rsidRDefault="00DE1A22" w:rsidP="00DE1A22">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1</w:t>
            </w:r>
            <w:r>
              <w:rPr>
                <w:rFonts w:eastAsia="Times New Roman"/>
                <w:sz w:val="24"/>
                <w:szCs w:val="24"/>
                <w:lang w:eastAsia="lv-LV"/>
              </w:rPr>
              <w:t>7</w:t>
            </w:r>
            <w:r w:rsidR="00CC5C6C" w:rsidRPr="00DE1A22">
              <w:rPr>
                <w:rFonts w:eastAsia="Times New Roman"/>
                <w:sz w:val="24"/>
                <w:szCs w:val="24"/>
                <w:lang w:eastAsia="lv-LV"/>
              </w:rPr>
              <w:t>.</w:t>
            </w:r>
          </w:p>
        </w:tc>
        <w:tc>
          <w:tcPr>
            <w:tcW w:w="3072" w:type="dxa"/>
          </w:tcPr>
          <w:p w:rsidR="00CC5C6C" w:rsidRPr="00DE1A22" w:rsidRDefault="00CC5C6C" w:rsidP="00CC5C6C">
            <w:pPr>
              <w:jc w:val="both"/>
              <w:rPr>
                <w:rFonts w:eastAsia="Times New Roman"/>
                <w:sz w:val="24"/>
                <w:szCs w:val="24"/>
                <w:lang w:eastAsia="lv-LV"/>
              </w:rPr>
            </w:pPr>
            <w:r w:rsidRPr="00DE1A22">
              <w:rPr>
                <w:rFonts w:eastAsia="Times New Roman"/>
                <w:sz w:val="24"/>
                <w:szCs w:val="24"/>
                <w:lang w:eastAsia="lv-LV"/>
              </w:rPr>
              <w:t>Pamatnostādņu 4.sadaļas 2. rīcības virziens “Azartspēļu un izložu reklāmas aizlieguma kontrole”.</w:t>
            </w:r>
          </w:p>
        </w:tc>
        <w:tc>
          <w:tcPr>
            <w:tcW w:w="4394" w:type="dxa"/>
          </w:tcPr>
          <w:p w:rsidR="00CC5C6C" w:rsidRPr="00DE1A22" w:rsidRDefault="00CC5C6C" w:rsidP="00CC5C6C">
            <w:pPr>
              <w:contextualSpacing/>
              <w:jc w:val="both"/>
              <w:rPr>
                <w:rFonts w:eastAsia="Times New Roman"/>
                <w:b/>
                <w:sz w:val="24"/>
                <w:szCs w:val="24"/>
              </w:rPr>
            </w:pPr>
            <w:r w:rsidRPr="00DE1A22">
              <w:rPr>
                <w:rFonts w:eastAsia="Times New Roman"/>
                <w:b/>
                <w:sz w:val="24"/>
                <w:szCs w:val="24"/>
              </w:rPr>
              <w:t>Vides aizsardzības un reģionālās attīstības ministrija (21.02.2020. Nr.1-132/1579)</w:t>
            </w:r>
          </w:p>
          <w:p w:rsidR="00CC5C6C" w:rsidRPr="00DE1A22" w:rsidRDefault="00CC5C6C" w:rsidP="00CC5C6C">
            <w:pPr>
              <w:contextualSpacing/>
              <w:jc w:val="both"/>
              <w:rPr>
                <w:rFonts w:eastAsia="Times New Roman"/>
                <w:sz w:val="24"/>
                <w:szCs w:val="24"/>
              </w:rPr>
            </w:pPr>
            <w:r w:rsidRPr="00DE1A22">
              <w:rPr>
                <w:rFonts w:eastAsia="Times New Roman"/>
                <w:sz w:val="24"/>
                <w:szCs w:val="24"/>
              </w:rPr>
              <w:t>Lūdzam papildināt ar uzdevumiem sagatavot grozījumus Azartspēļu un izložu likumā:</w:t>
            </w:r>
          </w:p>
          <w:p w:rsidR="00CC5C6C" w:rsidRPr="00DE1A22" w:rsidRDefault="00CC5C6C" w:rsidP="00CC5C6C">
            <w:pPr>
              <w:contextualSpacing/>
              <w:jc w:val="both"/>
              <w:rPr>
                <w:rFonts w:eastAsia="Times New Roman"/>
                <w:sz w:val="24"/>
                <w:szCs w:val="24"/>
              </w:rPr>
            </w:pPr>
            <w:r w:rsidRPr="00DE1A22">
              <w:rPr>
                <w:rFonts w:eastAsia="Times New Roman"/>
                <w:sz w:val="24"/>
                <w:szCs w:val="24"/>
              </w:rPr>
              <w:t xml:space="preserve">- nosakot stingrākus reklāmas ierobežojumus azartspēļu reklamēšanai ārpus azartspēļu organizēšanas vietām </w:t>
            </w:r>
            <w:r w:rsidRPr="00DE1A22">
              <w:rPr>
                <w:rFonts w:eastAsia="Times New Roman"/>
                <w:b/>
                <w:sz w:val="24"/>
                <w:szCs w:val="24"/>
              </w:rPr>
              <w:t>tai skaitā paredzēt vienotu Ministru kabineta regulējumu par azartspēļu vietas nosaukuma (izkārtnes izskats, izmērs, krāsa u.tml.</w:t>
            </w:r>
            <w:r w:rsidRPr="00DE1A22">
              <w:rPr>
                <w:rFonts w:eastAsia="Times New Roman"/>
                <w:sz w:val="24"/>
                <w:szCs w:val="24"/>
              </w:rPr>
              <w:t xml:space="preserve">) izvietošanu un vienlaikus </w:t>
            </w:r>
            <w:r w:rsidRPr="00DE1A22">
              <w:rPr>
                <w:rFonts w:eastAsia="Times New Roman"/>
                <w:b/>
                <w:sz w:val="24"/>
                <w:szCs w:val="24"/>
              </w:rPr>
              <w:t>izslēdzot no spēkā esošā regulējuma azartspēļu organizētāja tiesības izvietot azartspēļu vietā tā preču zīmi</w:t>
            </w:r>
            <w:r w:rsidRPr="00DE1A22">
              <w:rPr>
                <w:rFonts w:eastAsia="Times New Roman"/>
                <w:sz w:val="24"/>
                <w:szCs w:val="24"/>
              </w:rPr>
              <w:t>.</w:t>
            </w:r>
          </w:p>
          <w:p w:rsidR="00CC5C6C" w:rsidRPr="00DE1A22" w:rsidRDefault="00CC5C6C" w:rsidP="00CC5C6C">
            <w:pPr>
              <w:contextualSpacing/>
              <w:jc w:val="both"/>
              <w:rPr>
                <w:rFonts w:eastAsia="Times New Roman"/>
                <w:b/>
                <w:sz w:val="24"/>
                <w:szCs w:val="24"/>
              </w:rPr>
            </w:pPr>
            <w:r w:rsidRPr="00DE1A22">
              <w:rPr>
                <w:rFonts w:eastAsia="Times New Roman"/>
                <w:sz w:val="24"/>
                <w:szCs w:val="24"/>
              </w:rPr>
              <w:t xml:space="preserve">- </w:t>
            </w:r>
            <w:r w:rsidRPr="00DE1A22">
              <w:rPr>
                <w:rFonts w:eastAsia="Times New Roman"/>
                <w:b/>
                <w:sz w:val="24"/>
                <w:szCs w:val="24"/>
              </w:rPr>
              <w:t>nosakot reklāmas ierobežojumus attiecībā uz izlozēm</w:t>
            </w:r>
            <w:r w:rsidRPr="00DE1A22">
              <w:rPr>
                <w:rFonts w:eastAsia="Times New Roman"/>
                <w:sz w:val="24"/>
                <w:szCs w:val="24"/>
              </w:rPr>
              <w:t xml:space="preserve"> (tai skaitā aizliegumu šādas izlozes reklamēt elektroniskajos plašsaziņas līdzekļos).</w:t>
            </w:r>
          </w:p>
        </w:tc>
        <w:tc>
          <w:tcPr>
            <w:tcW w:w="3118" w:type="dxa"/>
          </w:tcPr>
          <w:p w:rsidR="00CC5C6C" w:rsidRPr="00DE1A22" w:rsidRDefault="00CC5C6C" w:rsidP="00CC5C6C">
            <w:pPr>
              <w:jc w:val="both"/>
              <w:rPr>
                <w:rFonts w:eastAsia="Times New Roman"/>
                <w:b/>
                <w:bCs/>
                <w:sz w:val="24"/>
                <w:szCs w:val="24"/>
                <w:lang w:eastAsia="lv-LV"/>
              </w:rPr>
            </w:pPr>
            <w:r w:rsidRPr="00DE1A22">
              <w:rPr>
                <w:rFonts w:eastAsia="Times New Roman"/>
                <w:b/>
                <w:bCs/>
                <w:sz w:val="24"/>
                <w:szCs w:val="24"/>
                <w:lang w:eastAsia="lv-LV"/>
              </w:rPr>
              <w:t>Ņemts vērā.</w:t>
            </w:r>
          </w:p>
        </w:tc>
        <w:tc>
          <w:tcPr>
            <w:tcW w:w="3402" w:type="dxa"/>
          </w:tcPr>
          <w:p w:rsidR="00CC5C6C" w:rsidRPr="00DE1A22" w:rsidRDefault="00CC5C6C" w:rsidP="00CC5C6C">
            <w:pPr>
              <w:jc w:val="both"/>
              <w:rPr>
                <w:rFonts w:eastAsia="Times New Roman"/>
                <w:sz w:val="24"/>
                <w:szCs w:val="24"/>
              </w:rPr>
            </w:pPr>
            <w:r w:rsidRPr="00DE1A22">
              <w:rPr>
                <w:rFonts w:eastAsia="Times New Roman"/>
                <w:sz w:val="24"/>
                <w:szCs w:val="24"/>
              </w:rPr>
              <w:t>Atbilstoši precizēts Pamatnostādņu 4.sadaļas 2.rīcības virziens.</w:t>
            </w:r>
          </w:p>
        </w:tc>
      </w:tr>
      <w:tr w:rsidR="00651FC9" w:rsidRPr="00DE1A22" w:rsidTr="008034BE">
        <w:tc>
          <w:tcPr>
            <w:tcW w:w="751" w:type="dxa"/>
          </w:tcPr>
          <w:p w:rsidR="00651FC9" w:rsidRPr="00DE1A22" w:rsidRDefault="00651FC9" w:rsidP="00651FC9">
            <w:pPr>
              <w:spacing w:before="100" w:beforeAutospacing="1" w:after="100" w:afterAutospacing="1"/>
              <w:jc w:val="center"/>
              <w:rPr>
                <w:rFonts w:eastAsia="Times New Roman"/>
                <w:sz w:val="24"/>
                <w:szCs w:val="24"/>
                <w:lang w:eastAsia="lv-LV"/>
              </w:rPr>
            </w:pPr>
            <w:r>
              <w:rPr>
                <w:rFonts w:eastAsia="Times New Roman"/>
                <w:sz w:val="24"/>
                <w:szCs w:val="24"/>
                <w:lang w:eastAsia="lv-LV"/>
              </w:rPr>
              <w:t>18</w:t>
            </w:r>
            <w:r w:rsidRPr="00DE1A22">
              <w:rPr>
                <w:rFonts w:eastAsia="Times New Roman"/>
                <w:sz w:val="24"/>
                <w:szCs w:val="24"/>
                <w:lang w:eastAsia="lv-LV"/>
              </w:rPr>
              <w:t>.</w:t>
            </w:r>
          </w:p>
        </w:tc>
        <w:tc>
          <w:tcPr>
            <w:tcW w:w="3072" w:type="dxa"/>
          </w:tcPr>
          <w:p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Pamatnostādņu pielikuma 4. sadaļas 2. rīcības virziens “Azartspēļu un izložu reklāmas aizlieguma kontrole”.</w:t>
            </w:r>
          </w:p>
        </w:tc>
        <w:tc>
          <w:tcPr>
            <w:tcW w:w="4394" w:type="dxa"/>
          </w:tcPr>
          <w:p w:rsidR="00651FC9" w:rsidRPr="00DE1A22" w:rsidRDefault="00651FC9" w:rsidP="00651FC9">
            <w:pPr>
              <w:jc w:val="both"/>
              <w:rPr>
                <w:rFonts w:eastAsia="Times New Roman"/>
                <w:b/>
                <w:sz w:val="24"/>
                <w:szCs w:val="24"/>
              </w:rPr>
            </w:pPr>
            <w:r w:rsidRPr="00DE1A22">
              <w:rPr>
                <w:rFonts w:eastAsia="Times New Roman"/>
                <w:b/>
                <w:sz w:val="24"/>
                <w:szCs w:val="24"/>
              </w:rPr>
              <w:t>Vides aizsardzības un reģionālās attīstības ministrija (21.02.2020. Nr.1-132/1579)</w:t>
            </w:r>
          </w:p>
          <w:p w:rsidR="00651FC9" w:rsidRPr="00DE1A22" w:rsidRDefault="00651FC9" w:rsidP="00651FC9">
            <w:pPr>
              <w:jc w:val="both"/>
              <w:rPr>
                <w:rFonts w:eastAsia="Times New Roman"/>
                <w:sz w:val="24"/>
                <w:szCs w:val="24"/>
              </w:rPr>
            </w:pPr>
            <w:r w:rsidRPr="00DE1A22">
              <w:rPr>
                <w:rFonts w:eastAsia="Times New Roman"/>
                <w:sz w:val="24"/>
                <w:szCs w:val="24"/>
              </w:rPr>
              <w:t xml:space="preserve">Pielikumā Azartspēļu un izložu politikas pamatnostādnēm 2020. – 2027.gadam </w:t>
            </w:r>
            <w:r w:rsidRPr="00DE1A22">
              <w:rPr>
                <w:rFonts w:eastAsia="Times New Roman"/>
                <w:sz w:val="24"/>
                <w:szCs w:val="24"/>
              </w:rPr>
              <w:lastRenderedPageBreak/>
              <w:t>(turpmāk – pielikums) lūdzam, kopsakarībā ar izteiktajiem priekšlikumiem 4.nodaļas 2.rīcības virzienā par reklāmu aizlieguma kontroli, pārvērtēt nepieciešamību pēc tādiem pasākumiem kā:</w:t>
            </w:r>
          </w:p>
          <w:p w:rsidR="00651FC9" w:rsidRPr="00DE1A22" w:rsidRDefault="00651FC9" w:rsidP="00651FC9">
            <w:pPr>
              <w:jc w:val="both"/>
              <w:rPr>
                <w:rFonts w:eastAsia="Times New Roman"/>
                <w:sz w:val="24"/>
                <w:szCs w:val="24"/>
              </w:rPr>
            </w:pPr>
            <w:r w:rsidRPr="00DE1A22">
              <w:rPr>
                <w:rFonts w:eastAsia="Times New Roman"/>
                <w:sz w:val="24"/>
                <w:szCs w:val="24"/>
              </w:rPr>
              <w:t>- Rīgas vēsturiskajam centram, kā arī citu Latvijas pilsētu vēsturiskajam centram, izstrādāt vienotu publiskās ārtelpas (tajā skaitā skatlogu noformējuma) dizaina koncepciju, kura tiktu ņemta vērā pilsētas kopējā publiskā tēla veidošanas procesā;</w:t>
            </w:r>
          </w:p>
          <w:p w:rsidR="00651FC9" w:rsidRPr="00DE1A22" w:rsidRDefault="00651FC9" w:rsidP="00651FC9">
            <w:pPr>
              <w:jc w:val="both"/>
              <w:rPr>
                <w:rFonts w:eastAsia="Times New Roman"/>
                <w:sz w:val="24"/>
                <w:szCs w:val="24"/>
              </w:rPr>
            </w:pPr>
            <w:r w:rsidRPr="00DE1A22">
              <w:rPr>
                <w:rFonts w:eastAsia="Times New Roman"/>
                <w:sz w:val="24"/>
                <w:szCs w:val="24"/>
              </w:rPr>
              <w:t>- Noteikt aizliegumu komersantiem, kas nodarbojas ar azartspēļu organizēšanu, izkārtnes un fasādes apgaismošanai izmantot gaismas specefektus, piemēram, mirgojošās gaismas, gaismas vadus sarkanas krāsas neona lampas u.tml.</w:t>
            </w:r>
          </w:p>
          <w:p w:rsidR="00651FC9" w:rsidRPr="00DE1A22" w:rsidRDefault="00651FC9" w:rsidP="00651FC9">
            <w:pPr>
              <w:jc w:val="both"/>
              <w:rPr>
                <w:rFonts w:eastAsia="Times New Roman"/>
                <w:sz w:val="24"/>
                <w:szCs w:val="24"/>
              </w:rPr>
            </w:pPr>
            <w:r w:rsidRPr="00DE1A22">
              <w:rPr>
                <w:rFonts w:eastAsia="Times New Roman"/>
                <w:sz w:val="24"/>
                <w:szCs w:val="24"/>
              </w:rPr>
              <w:t>Ja nosacījumus informācijas izvietošanai par azartspēļu organizēšanas vietām visā valstī, ne tikai atsevišķās vēsturiskās teritorijās, noteiktu vienots normatīvs akts, tad nebūtu nepieciešamības pēc speciāla regulējuma tikai vēsturiskajiem centriem vai aizlieguma attiecībā uz konkrētu krāsu vai efektu izmantošanu azartspēļu vietu reklāmās.</w:t>
            </w:r>
          </w:p>
          <w:p w:rsidR="00651FC9" w:rsidRPr="00DE1A22" w:rsidRDefault="00651FC9" w:rsidP="00651FC9">
            <w:pPr>
              <w:jc w:val="both"/>
              <w:rPr>
                <w:rFonts w:eastAsia="Times New Roman"/>
                <w:sz w:val="24"/>
                <w:szCs w:val="24"/>
              </w:rPr>
            </w:pPr>
            <w:r w:rsidRPr="00DE1A22">
              <w:rPr>
                <w:rFonts w:eastAsia="Times New Roman"/>
                <w:sz w:val="24"/>
                <w:szCs w:val="24"/>
              </w:rPr>
              <w:t xml:space="preserve">Priekšlikumi par reklāmas ierobežojumiem skatāmi kopsakarībā arī ar pielikumā piedāvāto risinājumu, kas paredz azartspēļu organizēšanas vietas novirzīt noteiktu metru attālumā no iestādēm, bērnu laukumiem u.tml. </w:t>
            </w:r>
          </w:p>
          <w:p w:rsidR="00651FC9" w:rsidRPr="00DE1A22" w:rsidRDefault="00651FC9" w:rsidP="00651FC9">
            <w:pPr>
              <w:contextualSpacing/>
              <w:jc w:val="both"/>
              <w:rPr>
                <w:rFonts w:eastAsia="Times New Roman"/>
                <w:b/>
                <w:sz w:val="24"/>
                <w:szCs w:val="24"/>
              </w:rPr>
            </w:pPr>
            <w:r w:rsidRPr="00DE1A22">
              <w:rPr>
                <w:rFonts w:eastAsia="Times New Roman"/>
                <w:sz w:val="24"/>
                <w:szCs w:val="24"/>
              </w:rPr>
              <w:t xml:space="preserve">VARAM ieskatā šāds ierobežojums nesasniedz tam izvirzīto mērķi atturēt personas no dalības azartspēlēs (piem. interaktīvajās azartspēlēs). Taču </w:t>
            </w:r>
            <w:r w:rsidRPr="00DE1A22">
              <w:rPr>
                <w:rFonts w:eastAsia="Times New Roman"/>
                <w:sz w:val="24"/>
                <w:szCs w:val="24"/>
              </w:rPr>
              <w:lastRenderedPageBreak/>
              <w:t>ierobežojot šo spēļu vietu reklamēšanu un stingri kontrolējot personas, kas vēlas iesaistīties azartspēlēs var sasniegt līdzvērtīgu rezultātu ar mazāk ierobežojošiem pasākumiem.</w:t>
            </w:r>
          </w:p>
        </w:tc>
        <w:tc>
          <w:tcPr>
            <w:tcW w:w="3118" w:type="dxa"/>
          </w:tcPr>
          <w:p w:rsidR="00651FC9" w:rsidRPr="00DE1A22" w:rsidRDefault="00651FC9" w:rsidP="00651FC9">
            <w:pPr>
              <w:jc w:val="both"/>
              <w:rPr>
                <w:rFonts w:eastAsia="Times New Roman"/>
                <w:b/>
                <w:bCs/>
                <w:sz w:val="24"/>
                <w:szCs w:val="24"/>
                <w:lang w:eastAsia="lv-LV"/>
              </w:rPr>
            </w:pPr>
            <w:r w:rsidRPr="00DE1A22">
              <w:rPr>
                <w:rFonts w:eastAsia="Times New Roman"/>
                <w:b/>
                <w:bCs/>
                <w:sz w:val="24"/>
                <w:szCs w:val="24"/>
                <w:lang w:eastAsia="lv-LV"/>
              </w:rPr>
              <w:lastRenderedPageBreak/>
              <w:t>Ņemts vērā.</w:t>
            </w:r>
          </w:p>
          <w:p w:rsidR="00651FC9" w:rsidRPr="00DE1A22" w:rsidRDefault="00651FC9" w:rsidP="00651FC9">
            <w:pPr>
              <w:jc w:val="both"/>
              <w:rPr>
                <w:sz w:val="24"/>
                <w:szCs w:val="24"/>
              </w:rPr>
            </w:pPr>
            <w:r w:rsidRPr="00DE1A22">
              <w:rPr>
                <w:rFonts w:eastAsia="Times New Roman"/>
                <w:bCs/>
                <w:sz w:val="24"/>
                <w:szCs w:val="24"/>
                <w:lang w:eastAsia="lv-LV"/>
              </w:rPr>
              <w:t xml:space="preserve">Ņemot vērā azartspēļu atkarības veidošanās psiholoģiskās komponentes, uzskatāms, ka azartspēļu </w:t>
            </w:r>
            <w:r w:rsidRPr="00DE1A22">
              <w:rPr>
                <w:rFonts w:eastAsia="Times New Roman"/>
                <w:bCs/>
                <w:sz w:val="24"/>
                <w:szCs w:val="24"/>
                <w:lang w:eastAsia="lv-LV"/>
              </w:rPr>
              <w:lastRenderedPageBreak/>
              <w:t>organizēšanas vietu ārējam noformējumam būtu jāpieiet īpaši skrupulozi, līdz ar to Pamatnostādņu projekts ir papildināts ar uzdevumu Finanšu ministrijai izstrādāt Ministru kabineta noteikumus, nosakot vienotas p</w:t>
            </w:r>
            <w:r w:rsidRPr="00DE1A22">
              <w:rPr>
                <w:sz w:val="24"/>
                <w:szCs w:val="24"/>
              </w:rPr>
              <w:t>rasības azartspēļu zāļu publiskās ārtelpas (tajā skaitā skatlogu noformējuma) dizainam, kuros tiktu ņemts vērā pilsētas kopējais publiskā tēla koncepts.</w:t>
            </w:r>
          </w:p>
          <w:p w:rsidR="00651FC9" w:rsidRPr="00DE1A22" w:rsidRDefault="00651FC9" w:rsidP="00651FC9">
            <w:pPr>
              <w:jc w:val="both"/>
              <w:rPr>
                <w:rFonts w:eastAsia="Times New Roman"/>
                <w:b/>
                <w:bCs/>
                <w:sz w:val="24"/>
                <w:szCs w:val="24"/>
                <w:lang w:eastAsia="lv-LV"/>
              </w:rPr>
            </w:pPr>
            <w:r w:rsidRPr="00DE1A22">
              <w:rPr>
                <w:sz w:val="24"/>
                <w:szCs w:val="24"/>
              </w:rPr>
              <w:t xml:space="preserve"> </w:t>
            </w:r>
          </w:p>
        </w:tc>
        <w:tc>
          <w:tcPr>
            <w:tcW w:w="3402" w:type="dxa"/>
          </w:tcPr>
          <w:p w:rsidR="00651FC9" w:rsidRPr="00DE1A22" w:rsidRDefault="001C3B74" w:rsidP="00651FC9">
            <w:pPr>
              <w:jc w:val="both"/>
              <w:rPr>
                <w:rFonts w:eastAsia="Times New Roman"/>
                <w:sz w:val="24"/>
                <w:szCs w:val="24"/>
              </w:rPr>
            </w:pPr>
            <w:r w:rsidRPr="001C3B74">
              <w:rPr>
                <w:rFonts w:eastAsia="Times New Roman"/>
                <w:sz w:val="24"/>
                <w:szCs w:val="24"/>
              </w:rPr>
              <w:lastRenderedPageBreak/>
              <w:t xml:space="preserve">Attiecīgi ir precizēts Pamatnostādņu 4.sadaļas 2.rīcības virziena “Azartspēļu un izložu reklāmas aizlieguma </w:t>
            </w:r>
            <w:r w:rsidRPr="001C3B74">
              <w:rPr>
                <w:rFonts w:eastAsia="Times New Roman"/>
                <w:sz w:val="24"/>
                <w:szCs w:val="24"/>
              </w:rPr>
              <w:lastRenderedPageBreak/>
              <w:t>kontrole” 4.uzdevums (jaunā numerācija).</w:t>
            </w:r>
          </w:p>
        </w:tc>
      </w:tr>
      <w:tr w:rsidR="00651FC9" w:rsidRPr="00DE1A22" w:rsidTr="008034BE">
        <w:tc>
          <w:tcPr>
            <w:tcW w:w="751" w:type="dxa"/>
          </w:tcPr>
          <w:p w:rsidR="00651FC9" w:rsidRPr="00DE1A22" w:rsidRDefault="00651FC9" w:rsidP="00651FC9">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19</w:t>
            </w:r>
            <w:r w:rsidRPr="00DE1A22">
              <w:rPr>
                <w:rFonts w:eastAsia="Times New Roman"/>
                <w:sz w:val="24"/>
                <w:szCs w:val="24"/>
                <w:lang w:eastAsia="lv-LV"/>
              </w:rPr>
              <w:t>.</w:t>
            </w:r>
          </w:p>
        </w:tc>
        <w:tc>
          <w:tcPr>
            <w:tcW w:w="3072" w:type="dxa"/>
          </w:tcPr>
          <w:p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Pamatnostādņu 4. sadaļas 2. rīcības virziena “Azartspēļu un izložu reklāmas aizlieguma kontrole” 5. uzdevums “Noteikt aizliegumu komersantiem, kas nodarbojas ar azartspēļu organizēšanu, izkārtnes un fasādes apgaismošanai izmantot gaismas specefektus, piemēram, mirgojošās gaismas, gaismas vadus sarkanas krāsas neona lampas u.tml. Izvietojot reklāmu vizuālās komunikācijas objektus vecpilsētā jāievēro 20.gs. pirmās puses stilistika, izgatavošanas paņēmieni un vēsturiskās fotofiksācijas, tai jābūt pielāgotai vēsturiskai arhitektoniskai videi un ēkas arhitektūrai.”</w:t>
            </w:r>
          </w:p>
        </w:tc>
        <w:tc>
          <w:tcPr>
            <w:tcW w:w="4394" w:type="dxa"/>
          </w:tcPr>
          <w:p w:rsidR="00651FC9" w:rsidRPr="00DE1A22" w:rsidRDefault="00651FC9" w:rsidP="00651FC9">
            <w:pPr>
              <w:contextualSpacing/>
              <w:jc w:val="both"/>
              <w:rPr>
                <w:rFonts w:eastAsia="Times New Roman"/>
                <w:b/>
                <w:sz w:val="24"/>
                <w:szCs w:val="24"/>
              </w:rPr>
            </w:pPr>
            <w:r w:rsidRPr="00DE1A22">
              <w:rPr>
                <w:rFonts w:eastAsia="Times New Roman"/>
                <w:b/>
                <w:sz w:val="24"/>
                <w:szCs w:val="24"/>
              </w:rPr>
              <w:t>Latvijas Spēļu biznesa asociācija (05.03.2020. Nr.6/20)</w:t>
            </w:r>
          </w:p>
          <w:p w:rsidR="00651FC9" w:rsidRPr="00DE1A22" w:rsidRDefault="00651FC9" w:rsidP="00651FC9">
            <w:pPr>
              <w:contextualSpacing/>
              <w:jc w:val="both"/>
              <w:rPr>
                <w:rFonts w:eastAsia="Times New Roman"/>
                <w:sz w:val="24"/>
                <w:szCs w:val="24"/>
              </w:rPr>
            </w:pPr>
            <w:r w:rsidRPr="00DE1A22">
              <w:rPr>
                <w:rFonts w:eastAsia="Times New Roman"/>
                <w:sz w:val="24"/>
                <w:szCs w:val="24"/>
              </w:rPr>
              <w:t xml:space="preserve">“Noteikt aizliegumu komersantiem, kas nodarbojas ar azartspēļu organizēšanu, izkārtnes un fasādes apgaismošanai izmantot gaismas specefektus, piemēram, mirgojošās gaismas, gaismas vadus sarkanas krāsas neona lampas u.tml.” izslēgt vārdus “sarkanas krāsas”. Uzdevuma mērķis ir mazināt komersanta veiktās darbības pastiprinātu reklamēšanu, kā arī pastiprinātu apkārtējās uzmanības piesaistīšanu. </w:t>
            </w:r>
            <w:r w:rsidRPr="00DE1A22">
              <w:rPr>
                <w:rFonts w:eastAsia="Times New Roman"/>
                <w:b/>
                <w:sz w:val="24"/>
                <w:szCs w:val="24"/>
              </w:rPr>
              <w:t>Par konkrēto krāsu radītajiem efektiem mārketinga jomā, t.sk. attiecībā uz azartspēlēm  ir daudz pētījumu, taču nav viennozīmīgu rezultātu tieši par sarkano krāsu. Ir virkne blakusfaktoru, kas ietekmē personas uztveri, izvēli un uzvedību.</w:t>
            </w:r>
          </w:p>
        </w:tc>
        <w:tc>
          <w:tcPr>
            <w:tcW w:w="3118" w:type="dxa"/>
          </w:tcPr>
          <w:p w:rsidR="00651FC9" w:rsidRPr="00DE1A22" w:rsidRDefault="00651FC9" w:rsidP="00651FC9">
            <w:pPr>
              <w:jc w:val="both"/>
              <w:rPr>
                <w:rFonts w:eastAsia="Times New Roman"/>
                <w:b/>
                <w:bCs/>
                <w:sz w:val="24"/>
                <w:szCs w:val="24"/>
                <w:lang w:eastAsia="lv-LV"/>
              </w:rPr>
            </w:pPr>
            <w:r w:rsidRPr="00DE1A22">
              <w:rPr>
                <w:rFonts w:eastAsia="Times New Roman"/>
                <w:b/>
                <w:bCs/>
                <w:sz w:val="24"/>
                <w:szCs w:val="24"/>
                <w:lang w:eastAsia="lv-LV"/>
              </w:rPr>
              <w:t>Ņemts vērā.</w:t>
            </w:r>
          </w:p>
          <w:p w:rsidR="00651FC9" w:rsidRPr="00DE1A22" w:rsidRDefault="00651FC9" w:rsidP="00651FC9">
            <w:pPr>
              <w:jc w:val="both"/>
              <w:rPr>
                <w:rFonts w:eastAsia="Times New Roman"/>
                <w:bCs/>
                <w:sz w:val="24"/>
                <w:szCs w:val="24"/>
                <w:lang w:eastAsia="lv-LV"/>
              </w:rPr>
            </w:pPr>
          </w:p>
        </w:tc>
        <w:tc>
          <w:tcPr>
            <w:tcW w:w="3402" w:type="dxa"/>
          </w:tcPr>
          <w:p w:rsidR="00651FC9" w:rsidRPr="00DE1A22" w:rsidRDefault="00651FC9" w:rsidP="00651FC9">
            <w:pPr>
              <w:jc w:val="both"/>
              <w:rPr>
                <w:rFonts w:eastAsia="Times New Roman"/>
                <w:sz w:val="24"/>
                <w:szCs w:val="24"/>
              </w:rPr>
            </w:pPr>
            <w:r w:rsidRPr="00DE1A22">
              <w:rPr>
                <w:rFonts w:eastAsia="Times New Roman"/>
                <w:sz w:val="24"/>
                <w:szCs w:val="24"/>
                <w:lang w:eastAsia="lv-LV"/>
              </w:rPr>
              <w:t xml:space="preserve">Attiecīgi ir precizēts Pamatnostādņu 4.sadaļas 2.rīcības virziena “Azartspēļu un izložu reklāmas aizlieguma kontrole” 4.uzdevums (jaunā numerācija). </w:t>
            </w:r>
          </w:p>
        </w:tc>
      </w:tr>
      <w:tr w:rsidR="00651FC9" w:rsidRPr="00DE1A22" w:rsidTr="008034BE">
        <w:tc>
          <w:tcPr>
            <w:tcW w:w="751" w:type="dxa"/>
            <w:shd w:val="clear" w:color="auto" w:fill="auto"/>
          </w:tcPr>
          <w:p w:rsidR="00651FC9" w:rsidRPr="00DE1A22" w:rsidRDefault="00651FC9" w:rsidP="00651FC9">
            <w:pPr>
              <w:spacing w:before="100" w:beforeAutospacing="1" w:after="100" w:afterAutospacing="1"/>
              <w:jc w:val="center"/>
              <w:rPr>
                <w:rFonts w:eastAsia="Times New Roman"/>
                <w:sz w:val="24"/>
                <w:szCs w:val="24"/>
                <w:lang w:eastAsia="lv-LV"/>
              </w:rPr>
            </w:pPr>
            <w:r>
              <w:rPr>
                <w:rFonts w:eastAsia="Times New Roman"/>
                <w:sz w:val="24"/>
                <w:szCs w:val="24"/>
                <w:lang w:eastAsia="lv-LV"/>
              </w:rPr>
              <w:t>20</w:t>
            </w:r>
            <w:r w:rsidRPr="00DE1A22">
              <w:rPr>
                <w:rFonts w:eastAsia="Times New Roman"/>
                <w:sz w:val="24"/>
                <w:szCs w:val="24"/>
                <w:lang w:eastAsia="lv-LV"/>
              </w:rPr>
              <w:t>.</w:t>
            </w:r>
          </w:p>
        </w:tc>
        <w:tc>
          <w:tcPr>
            <w:tcW w:w="3072" w:type="dxa"/>
            <w:shd w:val="clear" w:color="auto" w:fill="auto"/>
          </w:tcPr>
          <w:p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 xml:space="preserve">Pamatnostādņu 4. sadaļas 2. rīcības virziena “Azartspēļu un izložu reklāmas aizlieguma kontrole” 5. uzdevums “Noteikt aizliegumu komersantiem, kas nodarbojas ar azartspēļu organizēšanu, izkārtnes un </w:t>
            </w:r>
            <w:r w:rsidRPr="00DE1A22">
              <w:rPr>
                <w:rFonts w:eastAsia="Times New Roman"/>
                <w:sz w:val="24"/>
                <w:szCs w:val="24"/>
                <w:lang w:eastAsia="lv-LV"/>
              </w:rPr>
              <w:lastRenderedPageBreak/>
              <w:t>fasādes apgaismošanai izmantot gaismas specefektus, piemēram, mirgojošās gaismas, gaismas vadus sarkanas krāsas neona lampas u.tml.”</w:t>
            </w:r>
          </w:p>
        </w:tc>
        <w:tc>
          <w:tcPr>
            <w:tcW w:w="4394" w:type="dxa"/>
            <w:shd w:val="clear" w:color="auto" w:fill="auto"/>
          </w:tcPr>
          <w:p w:rsidR="00651FC9" w:rsidRPr="00DE1A22" w:rsidRDefault="00651FC9" w:rsidP="00651FC9">
            <w:pPr>
              <w:jc w:val="both"/>
              <w:rPr>
                <w:rFonts w:eastAsia="Times New Roman"/>
                <w:b/>
                <w:sz w:val="24"/>
                <w:szCs w:val="24"/>
              </w:rPr>
            </w:pPr>
            <w:r w:rsidRPr="00DE1A22">
              <w:rPr>
                <w:rFonts w:eastAsia="Times New Roman"/>
                <w:b/>
                <w:sz w:val="24"/>
                <w:szCs w:val="24"/>
              </w:rPr>
              <w:lastRenderedPageBreak/>
              <w:t>Latvijas Lielo pilsētu asociācija.</w:t>
            </w:r>
          </w:p>
          <w:p w:rsidR="00651FC9" w:rsidRPr="00DE1A22" w:rsidRDefault="00651FC9" w:rsidP="001C3B74">
            <w:pPr>
              <w:jc w:val="both"/>
              <w:rPr>
                <w:rFonts w:eastAsia="Times New Roman"/>
                <w:sz w:val="24"/>
                <w:szCs w:val="24"/>
              </w:rPr>
            </w:pPr>
            <w:r w:rsidRPr="00DE1A22">
              <w:rPr>
                <w:rFonts w:eastAsia="Times New Roman"/>
                <w:sz w:val="24"/>
                <w:szCs w:val="24"/>
              </w:rPr>
              <w:t xml:space="preserve">Nepieciešams konkretizēt aizliegumu. </w:t>
            </w:r>
            <w:r w:rsidRPr="00DE1A22">
              <w:rPr>
                <w:rFonts w:eastAsia="Times New Roman"/>
                <w:b/>
                <w:sz w:val="24"/>
                <w:szCs w:val="24"/>
              </w:rPr>
              <w:t>Aicinām veidot visām spēļu zālēm vienotu ārējās izkārtnes noformējumu, kas varētu būt neitrāls.</w:t>
            </w:r>
          </w:p>
        </w:tc>
        <w:tc>
          <w:tcPr>
            <w:tcW w:w="3118" w:type="dxa"/>
            <w:shd w:val="clear" w:color="auto" w:fill="auto"/>
          </w:tcPr>
          <w:p w:rsidR="00651FC9" w:rsidRPr="00DE1A22" w:rsidRDefault="00651FC9" w:rsidP="00651FC9">
            <w:pPr>
              <w:jc w:val="both"/>
              <w:rPr>
                <w:rFonts w:eastAsia="Times New Roman"/>
                <w:b/>
                <w:bCs/>
                <w:sz w:val="24"/>
                <w:szCs w:val="24"/>
                <w:lang w:eastAsia="lv-LV"/>
              </w:rPr>
            </w:pPr>
            <w:r w:rsidRPr="00DE1A22">
              <w:rPr>
                <w:rFonts w:eastAsia="Times New Roman"/>
                <w:b/>
                <w:bCs/>
                <w:sz w:val="24"/>
                <w:szCs w:val="24"/>
                <w:lang w:eastAsia="lv-LV"/>
              </w:rPr>
              <w:t>Ņemts vērā.</w:t>
            </w:r>
          </w:p>
          <w:p w:rsidR="00651FC9" w:rsidRPr="00DE1A22" w:rsidRDefault="00651FC9" w:rsidP="00651FC9">
            <w:pPr>
              <w:jc w:val="both"/>
              <w:rPr>
                <w:rFonts w:eastAsia="Times New Roman"/>
                <w:bCs/>
                <w:sz w:val="24"/>
                <w:szCs w:val="24"/>
                <w:lang w:eastAsia="lv-LV"/>
              </w:rPr>
            </w:pPr>
          </w:p>
        </w:tc>
        <w:tc>
          <w:tcPr>
            <w:tcW w:w="3402" w:type="dxa"/>
            <w:shd w:val="clear" w:color="auto" w:fill="auto"/>
          </w:tcPr>
          <w:p w:rsidR="00651FC9" w:rsidRPr="00DE1A22" w:rsidRDefault="00651FC9" w:rsidP="00651FC9">
            <w:pPr>
              <w:spacing w:line="276" w:lineRule="auto"/>
              <w:jc w:val="both"/>
              <w:rPr>
                <w:rFonts w:eastAsia="Times New Roman"/>
                <w:b/>
                <w:bCs/>
                <w:sz w:val="24"/>
                <w:szCs w:val="24"/>
                <w:lang w:eastAsia="lv-LV"/>
              </w:rPr>
            </w:pPr>
            <w:r w:rsidRPr="00DE1A22">
              <w:rPr>
                <w:bCs/>
                <w:sz w:val="24"/>
                <w:szCs w:val="24"/>
                <w:lang w:eastAsia="lv-LV"/>
              </w:rPr>
              <w:t>Skatīt pamatojumu izziņas punktā Nr.24.</w:t>
            </w:r>
          </w:p>
          <w:p w:rsidR="00651FC9" w:rsidRPr="00DE1A22" w:rsidRDefault="00651FC9" w:rsidP="00651FC9">
            <w:pPr>
              <w:jc w:val="both"/>
              <w:rPr>
                <w:rFonts w:eastAsia="Times New Roman"/>
                <w:sz w:val="24"/>
                <w:szCs w:val="24"/>
              </w:rPr>
            </w:pPr>
          </w:p>
        </w:tc>
      </w:tr>
      <w:tr w:rsidR="00651FC9" w:rsidRPr="00DE1A22" w:rsidTr="008034BE">
        <w:tc>
          <w:tcPr>
            <w:tcW w:w="751" w:type="dxa"/>
            <w:shd w:val="clear" w:color="auto" w:fill="auto"/>
          </w:tcPr>
          <w:p w:rsidR="00651FC9" w:rsidRPr="00DE1A22" w:rsidRDefault="00651FC9" w:rsidP="00651FC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w:t>
            </w:r>
            <w:r>
              <w:rPr>
                <w:rFonts w:eastAsia="Times New Roman"/>
                <w:sz w:val="24"/>
                <w:szCs w:val="24"/>
                <w:lang w:eastAsia="lv-LV"/>
              </w:rPr>
              <w:t>1</w:t>
            </w:r>
            <w:r w:rsidRPr="00DE1A22">
              <w:rPr>
                <w:rFonts w:eastAsia="Times New Roman"/>
                <w:sz w:val="24"/>
                <w:szCs w:val="24"/>
                <w:lang w:eastAsia="lv-LV"/>
              </w:rPr>
              <w:t>.</w:t>
            </w:r>
          </w:p>
        </w:tc>
        <w:tc>
          <w:tcPr>
            <w:tcW w:w="3072" w:type="dxa"/>
            <w:shd w:val="clear" w:color="auto" w:fill="auto"/>
          </w:tcPr>
          <w:p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Pamatnostādņu 4. sadaļas 3. rīcības virziens “Azartspēļu un izložu pieejamības regulēšana”.</w:t>
            </w:r>
          </w:p>
        </w:tc>
        <w:tc>
          <w:tcPr>
            <w:tcW w:w="4394" w:type="dxa"/>
            <w:shd w:val="clear" w:color="auto" w:fill="auto"/>
          </w:tcPr>
          <w:p w:rsidR="00651FC9" w:rsidRPr="00DE1A22" w:rsidRDefault="00651FC9" w:rsidP="00651FC9">
            <w:pPr>
              <w:jc w:val="both"/>
              <w:rPr>
                <w:rFonts w:eastAsia="Times New Roman"/>
                <w:b/>
                <w:sz w:val="24"/>
                <w:szCs w:val="24"/>
              </w:rPr>
            </w:pPr>
            <w:r w:rsidRPr="00DE1A22">
              <w:rPr>
                <w:rFonts w:eastAsia="Times New Roman"/>
                <w:b/>
                <w:sz w:val="24"/>
                <w:szCs w:val="24"/>
              </w:rPr>
              <w:t>Latvijas Pašvaldību savienība (11.03.2020. Nr.202003/INIC143)</w:t>
            </w:r>
          </w:p>
          <w:p w:rsidR="00651FC9" w:rsidRPr="00DE1A22" w:rsidRDefault="00651FC9" w:rsidP="00651FC9">
            <w:pPr>
              <w:jc w:val="both"/>
              <w:rPr>
                <w:rFonts w:eastAsia="Times New Roman"/>
                <w:b/>
                <w:sz w:val="24"/>
                <w:szCs w:val="24"/>
              </w:rPr>
            </w:pPr>
            <w:r w:rsidRPr="00DE1A22">
              <w:rPr>
                <w:rFonts w:eastAsia="Times New Roman"/>
                <w:sz w:val="24"/>
                <w:szCs w:val="24"/>
              </w:rPr>
              <w:t>Aizliegt azartspēļu zālēm vērst reklāmu uz ārtelpu (ielu), izmantot gaismas reklāmas ar neona vai LED apgaismojumu, kas pastiprināti pievērš cilvēku uzmanību un var radīt nevēlamu interesi par azartspēlēm.</w:t>
            </w:r>
          </w:p>
        </w:tc>
        <w:tc>
          <w:tcPr>
            <w:tcW w:w="3118" w:type="dxa"/>
            <w:shd w:val="clear" w:color="auto" w:fill="auto"/>
          </w:tcPr>
          <w:p w:rsidR="00651FC9" w:rsidRPr="00DE1A22" w:rsidRDefault="00651FC9" w:rsidP="00651FC9">
            <w:pPr>
              <w:jc w:val="both"/>
              <w:rPr>
                <w:rFonts w:eastAsia="Times New Roman"/>
                <w:b/>
                <w:bCs/>
                <w:sz w:val="24"/>
                <w:szCs w:val="24"/>
                <w:lang w:eastAsia="lv-LV"/>
              </w:rPr>
            </w:pPr>
            <w:r w:rsidRPr="00DE1A22">
              <w:rPr>
                <w:rFonts w:eastAsia="Times New Roman"/>
                <w:b/>
                <w:bCs/>
                <w:sz w:val="24"/>
                <w:szCs w:val="24"/>
                <w:lang w:eastAsia="lv-LV"/>
              </w:rPr>
              <w:t>Ņemts vērā.</w:t>
            </w:r>
          </w:p>
          <w:p w:rsidR="00651FC9" w:rsidRPr="00DE1A22" w:rsidRDefault="00651FC9" w:rsidP="00651FC9">
            <w:pPr>
              <w:jc w:val="both"/>
              <w:rPr>
                <w:rFonts w:eastAsia="Times New Roman"/>
                <w:b/>
                <w:bCs/>
                <w:sz w:val="24"/>
                <w:szCs w:val="24"/>
                <w:lang w:eastAsia="lv-LV"/>
              </w:rPr>
            </w:pPr>
          </w:p>
        </w:tc>
        <w:tc>
          <w:tcPr>
            <w:tcW w:w="3402" w:type="dxa"/>
            <w:shd w:val="clear" w:color="auto" w:fill="auto"/>
          </w:tcPr>
          <w:p w:rsidR="00651FC9" w:rsidRPr="00DE1A22" w:rsidRDefault="001C3B74" w:rsidP="00651FC9">
            <w:pPr>
              <w:jc w:val="both"/>
              <w:rPr>
                <w:rFonts w:eastAsia="Times New Roman"/>
                <w:sz w:val="24"/>
                <w:szCs w:val="24"/>
              </w:rPr>
            </w:pPr>
            <w:r w:rsidRPr="001C3B74">
              <w:rPr>
                <w:rFonts w:eastAsia="Times New Roman"/>
                <w:sz w:val="24"/>
                <w:szCs w:val="24"/>
              </w:rPr>
              <w:t>Attiecīgi ir precizēts Pamatnostādņu 4.sadaļas 2.rīcības virziena “Azartspēļu un izložu reklāmas aizlieguma kontrole” 4.uzdevums (jaunā numerācija).</w:t>
            </w:r>
          </w:p>
        </w:tc>
      </w:tr>
      <w:tr w:rsidR="00651FC9" w:rsidRPr="00DE1A22" w:rsidTr="008034BE">
        <w:tc>
          <w:tcPr>
            <w:tcW w:w="751" w:type="dxa"/>
            <w:shd w:val="clear" w:color="auto" w:fill="auto"/>
          </w:tcPr>
          <w:p w:rsidR="00651FC9" w:rsidRPr="00DE1A22" w:rsidRDefault="00651FC9" w:rsidP="00651FC9">
            <w:pPr>
              <w:spacing w:before="100" w:beforeAutospacing="1" w:after="100" w:afterAutospacing="1"/>
              <w:jc w:val="center"/>
              <w:rPr>
                <w:rFonts w:eastAsia="Times New Roman"/>
                <w:sz w:val="24"/>
                <w:szCs w:val="24"/>
                <w:lang w:eastAsia="lv-LV"/>
              </w:rPr>
            </w:pPr>
            <w:r>
              <w:rPr>
                <w:rFonts w:eastAsia="Times New Roman"/>
                <w:sz w:val="24"/>
                <w:szCs w:val="24"/>
                <w:lang w:eastAsia="lv-LV"/>
              </w:rPr>
              <w:t>22</w:t>
            </w:r>
            <w:r w:rsidRPr="00DE1A22">
              <w:rPr>
                <w:rFonts w:eastAsia="Times New Roman"/>
                <w:sz w:val="24"/>
                <w:szCs w:val="24"/>
                <w:lang w:eastAsia="lv-LV"/>
              </w:rPr>
              <w:t>.</w:t>
            </w:r>
          </w:p>
        </w:tc>
        <w:tc>
          <w:tcPr>
            <w:tcW w:w="3072" w:type="dxa"/>
            <w:shd w:val="clear" w:color="auto" w:fill="auto"/>
          </w:tcPr>
          <w:p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Pamatnostādņu 4. sadaļas 3. rīcības virziens “Azartspēļu un izložu pieejamības regulēšana.”</w:t>
            </w:r>
          </w:p>
        </w:tc>
        <w:tc>
          <w:tcPr>
            <w:tcW w:w="4394" w:type="dxa"/>
            <w:shd w:val="clear" w:color="auto" w:fill="auto"/>
          </w:tcPr>
          <w:p w:rsidR="00651FC9" w:rsidRPr="00DE1A22" w:rsidRDefault="00651FC9" w:rsidP="00651FC9">
            <w:pPr>
              <w:jc w:val="both"/>
              <w:rPr>
                <w:rFonts w:eastAsia="Times New Roman"/>
                <w:b/>
                <w:sz w:val="24"/>
                <w:szCs w:val="24"/>
              </w:rPr>
            </w:pPr>
            <w:r w:rsidRPr="00DE1A22">
              <w:rPr>
                <w:rFonts w:eastAsia="Times New Roman"/>
                <w:b/>
                <w:sz w:val="24"/>
                <w:szCs w:val="24"/>
              </w:rPr>
              <w:t>Latvijas Pašvaldību savienība (11.03.2020. Nr.202003/INIC143)</w:t>
            </w:r>
          </w:p>
          <w:p w:rsidR="00651FC9" w:rsidRPr="00DE1A22" w:rsidRDefault="00651FC9" w:rsidP="00651FC9">
            <w:pPr>
              <w:jc w:val="both"/>
              <w:rPr>
                <w:rFonts w:eastAsia="Times New Roman"/>
                <w:sz w:val="24"/>
                <w:szCs w:val="24"/>
              </w:rPr>
            </w:pPr>
            <w:r w:rsidRPr="00DE1A22">
              <w:rPr>
                <w:rFonts w:eastAsia="Times New Roman"/>
                <w:sz w:val="24"/>
                <w:szCs w:val="24"/>
              </w:rPr>
              <w:t>Finanšu ministrija, izvērtējot nepieciešamās izmaiņas azartspēļu un izložu pieejamībā, darbības vietās un to regulēšanā, Pamatnostādņu projekta pielikumā apskata divus risinājumus, kā varētu ierobežot iedzīvotāju fizisko piekļuvi azartspēļu organizēšanas norises vietām, un par atbilstošāko uzskata 2.risinājumu. Attiecīgi Pamatnostādņu projektā doti uzdevumi: 1) paplašināt to vietu uzskaitījumu, kur aizliegts organizēt azartspēles, paredzot lēmuma pieņemšanu par azartspēļu organizēšanu tikai valsts līmenī; 2) izstrādāt kārtību, kādā Izložu un azartspēļu uzraudzības inspekcija (IAUI) izvērtē azartspēļu organizēšanas vietas atbilstību “Azartspēļu un izložu likuma” (AIL) prasībām un izsniedz attiecīgās atļaujas.</w:t>
            </w:r>
          </w:p>
          <w:p w:rsidR="00651FC9" w:rsidRPr="00DE1A22" w:rsidRDefault="00651FC9" w:rsidP="00651FC9">
            <w:pPr>
              <w:jc w:val="both"/>
              <w:rPr>
                <w:rFonts w:eastAsia="Times New Roman"/>
                <w:b/>
                <w:sz w:val="24"/>
                <w:szCs w:val="24"/>
              </w:rPr>
            </w:pPr>
            <w:r w:rsidRPr="00DE1A22">
              <w:rPr>
                <w:rFonts w:eastAsia="Times New Roman"/>
                <w:b/>
                <w:sz w:val="24"/>
                <w:szCs w:val="24"/>
              </w:rPr>
              <w:t xml:space="preserve">LPS ieskatā 2.risinājuma variants nav vērsts uz maksimālo sabiedrības interešu aizsardzību un atkarības veidošanas </w:t>
            </w:r>
            <w:r w:rsidRPr="00DE1A22">
              <w:rPr>
                <w:rFonts w:eastAsia="Times New Roman"/>
                <w:b/>
                <w:sz w:val="24"/>
                <w:szCs w:val="24"/>
              </w:rPr>
              <w:lastRenderedPageBreak/>
              <w:t xml:space="preserve">risku mazināšanos, kā arī tajā netiek līdzsvarotas sabiedrības intereses. Tieši pretēji: risinājums, kurā vērtē tikai valstiskā līmenī noteiktos vispārējos aizliegumus un neņem vērā vietējos apstākļus katrā teritorijā, ir vērsts uz sabiedrības interešu aizsardzības mazināšanu un atkarības veidošanās risku palielināšanu, un vislielākie ieguvēji no šāda risinājuma ir tieši azartspēļu vietu organizētāji. </w:t>
            </w:r>
          </w:p>
          <w:p w:rsidR="00651FC9" w:rsidRPr="00DE1A22" w:rsidRDefault="00651FC9" w:rsidP="00651FC9">
            <w:pPr>
              <w:jc w:val="both"/>
              <w:rPr>
                <w:rFonts w:eastAsia="Times New Roman"/>
                <w:sz w:val="24"/>
                <w:szCs w:val="24"/>
              </w:rPr>
            </w:pPr>
            <w:r w:rsidRPr="00DE1A22">
              <w:rPr>
                <w:rFonts w:eastAsia="Times New Roman"/>
                <w:sz w:val="24"/>
                <w:szCs w:val="24"/>
              </w:rPr>
              <w:t>Saskaņā ar Eiropas Savienības Tiesas iedibināto judikatūru (</w:t>
            </w:r>
            <w:r w:rsidRPr="00DE1A22">
              <w:rPr>
                <w:rFonts w:eastAsia="Times New Roman"/>
                <w:i/>
                <w:sz w:val="24"/>
                <w:szCs w:val="24"/>
              </w:rPr>
              <w:t>19.07.2012. spriedumu lietā Nr.C-470/11 Garkalns 36. punkts, 03.06.2010. spriedums lietā C-203/08 Sportig Exchange Ltd. 26. punkts, 2007. gada apvienotās lietas C-338/04, C-359/04 un C-360/04 Placanica 47. un 48 punkts u.c.</w:t>
            </w:r>
            <w:r w:rsidRPr="00DE1A22">
              <w:rPr>
                <w:rFonts w:eastAsia="Times New Roman"/>
                <w:sz w:val="24"/>
                <w:szCs w:val="24"/>
              </w:rPr>
              <w:t xml:space="preserve">) azartspēļu tiesiskais regulējums ir viena no jomām, kurās dalībvalstu starpā pastāv ievērojamas atšķirības morāles, reliģijas un kultūras aspektos. Ievērojot, ka azartspēles katrā Eiropas Savienības dalībvalstī tiek regulētas atšķirīgi, kā arī regulējums var atšķirties valsts iekšienē reģionālā līmenī, nav pamatots apgalvojums, ka 2. risinājums ir balstīts uz starptautiskiem labākas prakses piemēriem, kas ir vērsti uz maksimālo sabiedrības interešu aizsardzību un atkarības veidošanas risku mazināšanos. </w:t>
            </w:r>
          </w:p>
          <w:p w:rsidR="00651FC9" w:rsidRPr="00DE1A22" w:rsidRDefault="00651FC9" w:rsidP="00651FC9">
            <w:pPr>
              <w:jc w:val="both"/>
              <w:rPr>
                <w:rFonts w:eastAsia="Times New Roman"/>
                <w:sz w:val="24"/>
                <w:szCs w:val="24"/>
              </w:rPr>
            </w:pPr>
            <w:r w:rsidRPr="00DE1A22">
              <w:rPr>
                <w:rFonts w:eastAsia="Times New Roman"/>
                <w:sz w:val="24"/>
                <w:szCs w:val="24"/>
              </w:rPr>
              <w:lastRenderedPageBreak/>
              <w:t>Otrkārt, piedāvājums izslēgt AIL 42.panta trešo daļu neatbilst ne Eiropas vietējo pašvaldību hartas principiem, ne likumam “Par pašvaldībām”. Vēlamies atgādināt, ka saskaņā ar Hartā noteikto vietējā pašvaldība nozīmē vietējās varas tiesības un spēju likumā noteiktajās robežās regulēt un vadīt nozīmīgu valsts lietu daļu uz savu atbildību un vietējo iedzīvotāju interesēs. Savukārt likums  “Par pašvaldībām” nosaka, ka “</w:t>
            </w:r>
            <w:r w:rsidRPr="00DE1A22">
              <w:rPr>
                <w:rFonts w:eastAsia="Times New Roman"/>
                <w:i/>
                <w:sz w:val="24"/>
                <w:szCs w:val="24"/>
              </w:rPr>
              <w:t>vietējā pašvaldība ir vietējā pārvalde, kas ar pilsoņu vēlētas pārstāvniecības – domes – [..] nodrošina likumos noteikto funkciju [..] un pašvaldības brīvprātīgo iniciatīvu izpildi, ievērojot valsts un attiecīgās administratīvās teritorijas iedzīvotāju intereses</w:t>
            </w:r>
            <w:r w:rsidRPr="00DE1A22">
              <w:rPr>
                <w:rFonts w:eastAsia="Times New Roman"/>
                <w:sz w:val="24"/>
                <w:szCs w:val="24"/>
              </w:rPr>
              <w:t>”. Vietējā pašvaldība ir izveidota ar mērķi pārstāvēt sabiedrības intereses noteiktā teritorijā un veikt savas funkcijas saskaņā ar tiesisko regulējumu.</w:t>
            </w:r>
          </w:p>
          <w:p w:rsidR="00651FC9" w:rsidRPr="00DE1A22" w:rsidRDefault="00651FC9" w:rsidP="00651FC9">
            <w:pPr>
              <w:jc w:val="both"/>
              <w:rPr>
                <w:rFonts w:eastAsia="Times New Roman"/>
                <w:sz w:val="24"/>
                <w:szCs w:val="24"/>
              </w:rPr>
            </w:pPr>
            <w:r w:rsidRPr="00DE1A22">
              <w:rPr>
                <w:rFonts w:eastAsia="Times New Roman"/>
                <w:sz w:val="24"/>
                <w:szCs w:val="24"/>
              </w:rPr>
              <w:t xml:space="preserve">Līdz ar to LPS ieskatā 2.risinājuma variants tādā redakcijā, kādā to piedāvā Finanšu ministrija, nav atbalstāms. </w:t>
            </w:r>
          </w:p>
          <w:p w:rsidR="00651FC9" w:rsidRPr="00DE1A22" w:rsidRDefault="00651FC9" w:rsidP="00651FC9">
            <w:pPr>
              <w:jc w:val="both"/>
              <w:rPr>
                <w:rFonts w:eastAsia="Times New Roman"/>
                <w:b/>
                <w:sz w:val="24"/>
                <w:szCs w:val="24"/>
              </w:rPr>
            </w:pPr>
            <w:r w:rsidRPr="00DE1A22">
              <w:rPr>
                <w:rFonts w:eastAsia="Times New Roman"/>
                <w:sz w:val="24"/>
                <w:szCs w:val="24"/>
              </w:rPr>
              <w:t xml:space="preserve">Lai tiešām mazinātu azartspēļu pieejamību, </w:t>
            </w:r>
            <w:r w:rsidRPr="00DE1A22">
              <w:rPr>
                <w:rFonts w:eastAsia="Times New Roman"/>
                <w:b/>
                <w:sz w:val="24"/>
                <w:szCs w:val="24"/>
              </w:rPr>
              <w:t xml:space="preserve">LPS uzskata, ka atbalstāms būtu </w:t>
            </w:r>
          </w:p>
          <w:p w:rsidR="00651FC9" w:rsidRPr="00DE1A22" w:rsidRDefault="00651FC9" w:rsidP="00651FC9">
            <w:pPr>
              <w:jc w:val="both"/>
              <w:rPr>
                <w:rFonts w:eastAsia="Times New Roman"/>
                <w:b/>
                <w:sz w:val="24"/>
                <w:szCs w:val="24"/>
              </w:rPr>
            </w:pPr>
            <w:r w:rsidRPr="00DE1A22">
              <w:rPr>
                <w:rFonts w:eastAsia="Times New Roman"/>
                <w:b/>
                <w:sz w:val="24"/>
                <w:szCs w:val="24"/>
              </w:rPr>
              <w:t>- 1. risinājums: azartspēļu zāļu aizliegšana visā Latvijas teritorijā, atļaujot tās organizēt tikai 4 un 5 zvaigžņu viesnīcās;</w:t>
            </w:r>
          </w:p>
          <w:p w:rsidR="00651FC9" w:rsidRPr="00DE1A22" w:rsidRDefault="00651FC9" w:rsidP="00651FC9">
            <w:pPr>
              <w:jc w:val="both"/>
              <w:rPr>
                <w:rFonts w:eastAsia="Times New Roman"/>
                <w:b/>
                <w:sz w:val="24"/>
                <w:szCs w:val="24"/>
              </w:rPr>
            </w:pPr>
            <w:r w:rsidRPr="00DE1A22">
              <w:rPr>
                <w:rFonts w:eastAsia="Times New Roman"/>
                <w:b/>
                <w:sz w:val="24"/>
                <w:szCs w:val="24"/>
              </w:rPr>
              <w:t xml:space="preserve">vai </w:t>
            </w:r>
          </w:p>
          <w:p w:rsidR="00651FC9" w:rsidRPr="00DE1A22" w:rsidRDefault="00651FC9" w:rsidP="00651FC9">
            <w:pPr>
              <w:jc w:val="both"/>
              <w:rPr>
                <w:rFonts w:eastAsia="Times New Roman"/>
                <w:b/>
                <w:sz w:val="24"/>
                <w:szCs w:val="24"/>
              </w:rPr>
            </w:pPr>
            <w:r w:rsidRPr="00DE1A22">
              <w:rPr>
                <w:rFonts w:eastAsia="Times New Roman"/>
                <w:b/>
                <w:sz w:val="24"/>
                <w:szCs w:val="24"/>
              </w:rPr>
              <w:t xml:space="preserve">- pilnveidots 2.risinājums, kas paredzētu šādus principus: </w:t>
            </w:r>
          </w:p>
          <w:p w:rsidR="00651FC9" w:rsidRPr="00DE1A22" w:rsidRDefault="00651FC9" w:rsidP="00651FC9">
            <w:pPr>
              <w:jc w:val="both"/>
              <w:rPr>
                <w:rFonts w:eastAsia="Times New Roman"/>
                <w:b/>
                <w:sz w:val="24"/>
                <w:szCs w:val="24"/>
              </w:rPr>
            </w:pPr>
            <w:r w:rsidRPr="00DE1A22">
              <w:rPr>
                <w:rFonts w:eastAsia="Times New Roman"/>
                <w:b/>
                <w:sz w:val="24"/>
                <w:szCs w:val="24"/>
              </w:rPr>
              <w:t xml:space="preserve">1) pašvaldības teritorijas plānojumā nosaka vietas, kurās azartspēļu organizēšana ir aizliegta. </w:t>
            </w:r>
          </w:p>
          <w:p w:rsidR="00651FC9" w:rsidRPr="00DE1A22" w:rsidRDefault="00651FC9" w:rsidP="00651FC9">
            <w:pPr>
              <w:jc w:val="both"/>
              <w:rPr>
                <w:rFonts w:eastAsia="Times New Roman"/>
                <w:sz w:val="24"/>
                <w:szCs w:val="24"/>
              </w:rPr>
            </w:pPr>
            <w:r w:rsidRPr="00DE1A22">
              <w:rPr>
                <w:rFonts w:eastAsia="Times New Roman"/>
                <w:sz w:val="24"/>
                <w:szCs w:val="24"/>
              </w:rPr>
              <w:lastRenderedPageBreak/>
              <w:t>“Satversmes 105.pants, kā arī normatīvie akti teritorijas plānošanas jomā piešķir pašvaldībai rīcības brīvību noteikt tās teritorijas plānojumā darbību prioritātes, attīstības virzienus un sasniedzamos mērķus, kuru labad nepieciešams paredzēt īpašuma tiesību izmantošanas priekšnoteikumus.” (</w:t>
            </w:r>
            <w:r w:rsidRPr="00DE1A22">
              <w:rPr>
                <w:rFonts w:eastAsia="Times New Roman"/>
                <w:i/>
                <w:sz w:val="24"/>
                <w:szCs w:val="24"/>
              </w:rPr>
              <w:t>Satversmes tiesas 2019.gada 16.maija sprieduma lietā Nr. 2018-17-03 18.1.punkts</w:t>
            </w:r>
            <w:r w:rsidRPr="00DE1A22">
              <w:rPr>
                <w:rFonts w:eastAsia="Times New Roman"/>
                <w:sz w:val="24"/>
                <w:szCs w:val="24"/>
              </w:rPr>
              <w:t xml:space="preserve">). </w:t>
            </w:r>
          </w:p>
          <w:p w:rsidR="00651FC9" w:rsidRPr="00DE1A22" w:rsidRDefault="00651FC9" w:rsidP="00651FC9">
            <w:pPr>
              <w:jc w:val="both"/>
              <w:rPr>
                <w:rFonts w:eastAsia="Times New Roman"/>
                <w:sz w:val="24"/>
                <w:szCs w:val="24"/>
              </w:rPr>
            </w:pPr>
            <w:r w:rsidRPr="00DE1A22">
              <w:rPr>
                <w:rFonts w:eastAsia="Times New Roman"/>
                <w:sz w:val="24"/>
                <w:szCs w:val="24"/>
              </w:rPr>
              <w:t>Pašvaldības teritorijas plānojuma izstrādes procedūra ir reglamentēta tā, lai varētu identificēt un izsvērt dažādas intereses un noteikt, kurām no tām plānojumā dodama prioritāte. Pašvaldībai ir pienākums nodrošināt informācijas un lēmumu pieņemšanas atklātumu, kā arī noskaidrot sabiedrības viedokli un organizēt sabiedrības līdzdalību attiecīgās teritorijas attīstības plānošanā, sniedzot pēc iespējas plašu un saprotamu informāciju. Līdz ar to visām ieinteresētajām pusēm – gan azartspēļu biznesa pārstāvjiem, gan attiecīgās pašvaldības teritorijas iedzīvotājiem, ir iespēja paust savu viedokli par azartspēļu organizēšanas vietu iespējamo atrašanos. Savukārt pašvaldībai ir pienākums pieņemt lēmumu, kas balstīts uz azartspēļu organizētāja un sabiedrības interešu vispusīgu izvērtējumu un sabalansētu teritorijas attīstības redzējumu (pašvaldībai jālīdzsvaro privātpersonu un sabiedrības intereses ar teritorijas ilgtspējīgas attīstības iespējām).</w:t>
            </w:r>
          </w:p>
          <w:p w:rsidR="00651FC9" w:rsidRPr="00DE1A22" w:rsidRDefault="00651FC9" w:rsidP="00651FC9">
            <w:pPr>
              <w:jc w:val="both"/>
              <w:rPr>
                <w:rFonts w:eastAsia="Times New Roman"/>
                <w:sz w:val="24"/>
                <w:szCs w:val="24"/>
              </w:rPr>
            </w:pPr>
            <w:r w:rsidRPr="00DE1A22">
              <w:rPr>
                <w:rFonts w:eastAsia="Times New Roman"/>
                <w:sz w:val="24"/>
                <w:szCs w:val="24"/>
              </w:rPr>
              <w:t xml:space="preserve">“Azartspēļu organizēšanas ierobežojuma kā teritorijas izmantošanas aprobežojuma </w:t>
            </w:r>
            <w:r w:rsidRPr="00DE1A22">
              <w:rPr>
                <w:rFonts w:eastAsia="Times New Roman"/>
                <w:sz w:val="24"/>
                <w:szCs w:val="24"/>
              </w:rPr>
              <w:lastRenderedPageBreak/>
              <w:t>noteikšana pašvaldības teritorijas plānojumā nodrošina paredzamību gan komersantiem, gan iedzīvotājiem un sabiedrībai kopumā lielākā mērā nekā individuālo atļauju sistēma. Turklāt arī teritorijas plānojums ir pakļauts tiesas kontrolei, proti, persona var iesniegt Satversmes tiesā pieteikumu par pašvaldības pieņemto teritorijas plānojumu tāpat kā par jebkuru normatīvo aktu, ar kuru, pēc personas ieskata, tiek aizskartas tās pamattiesības. Arī līdzšinējā administratīvo tiesu praksē ir atzītas pašvaldību tiesības noteikt azartspēļu organizēšanas ierobežojumus gan teritorijas plānojumā, gan ar individuāliem lēmumiem attiecībā uz konkrētām azartspēļu organizēšanas vietām.” (</w:t>
            </w:r>
            <w:r w:rsidRPr="00DE1A22">
              <w:rPr>
                <w:rFonts w:eastAsia="Times New Roman"/>
                <w:i/>
                <w:sz w:val="24"/>
                <w:szCs w:val="24"/>
              </w:rPr>
              <w:t>Satversmes tiesas 2019.gada 16.maija sprieduma lietā Nr. 2018-17-03 18.5.punkts</w:t>
            </w:r>
            <w:r w:rsidRPr="00DE1A22">
              <w:rPr>
                <w:rFonts w:eastAsia="Times New Roman"/>
                <w:sz w:val="24"/>
                <w:szCs w:val="24"/>
              </w:rPr>
              <w:t>).</w:t>
            </w:r>
          </w:p>
          <w:p w:rsidR="00651FC9" w:rsidRPr="00DE1A22" w:rsidRDefault="00651FC9" w:rsidP="00651FC9">
            <w:pPr>
              <w:jc w:val="both"/>
              <w:rPr>
                <w:rFonts w:eastAsia="Times New Roman"/>
                <w:sz w:val="24"/>
                <w:szCs w:val="24"/>
              </w:rPr>
            </w:pPr>
            <w:r w:rsidRPr="00DE1A22">
              <w:rPr>
                <w:rFonts w:eastAsia="Times New Roman"/>
                <w:sz w:val="24"/>
                <w:szCs w:val="24"/>
              </w:rPr>
              <w:t xml:space="preserve">Ņemot vērā, ka Saeimā iesniegtais likumprojekts “Grozījums Teritorijas attīstības plānošanas likumā” (Nr. 475/Lp13) paredz uz laiku ierobežot jaunu pašvaldību teritorijas attīstības plānošanas dokumentu izstrādi un apstiprināšanu un jaunu attīstības plānošanas dokumentu izstrāde var ilgt līdz trīs gadiem, Pamatnostādņu projektā 2020.-2027.gadam paredzēt, ka AIL tiek noteikts deleģējums pašvaldībām ar saistošajiem noteikumiem noteikt teritorijas, kurās nedrīkst rīkot un organizēt azartspēles, vienlaikus paredzot, ka saistošie noteikumi pašvaldībā ir spēkā līdz jauna (vai grozīta) teritorijas plānojuma spēkā stāšanās brīdim pēc 2021.gada. </w:t>
            </w:r>
          </w:p>
          <w:p w:rsidR="00651FC9" w:rsidRPr="00DE1A22" w:rsidRDefault="00651FC9" w:rsidP="00651FC9">
            <w:pPr>
              <w:jc w:val="both"/>
              <w:rPr>
                <w:rFonts w:eastAsia="Times New Roman"/>
                <w:sz w:val="24"/>
                <w:szCs w:val="24"/>
              </w:rPr>
            </w:pPr>
            <w:r w:rsidRPr="00DE1A22">
              <w:rPr>
                <w:rFonts w:eastAsia="Times New Roman"/>
                <w:sz w:val="24"/>
                <w:szCs w:val="24"/>
              </w:rPr>
              <w:lastRenderedPageBreak/>
              <w:t xml:space="preserve">2) pārējās teritorijās (kurās nav noteikts aizliegums organizēt azartspēles) darbojas AIL noteiktie ierobežojumi, tai skaitā paredzot minimālos attāluma ierobežojumus no “ievainojamiem” objektiem. LPS ieskatā Finanšu ministrijas Pamatnostādņu projektā piedāvātie attālumi no vietām, kur azartspēles organizēt nav atļauts, ir nesamērīgi mazi un nesasniedz mērķi – mazināt cilvēku saskarsmi ar azartspēļu zālēm vai atrašanos to tuvumā, kas var veicināt nevēlamu interesi par azartspēlēm. </w:t>
            </w:r>
          </w:p>
          <w:p w:rsidR="00651FC9" w:rsidRPr="00DE1A22" w:rsidRDefault="00651FC9" w:rsidP="00651FC9">
            <w:pPr>
              <w:jc w:val="both"/>
              <w:rPr>
                <w:rFonts w:eastAsia="Times New Roman"/>
                <w:sz w:val="24"/>
                <w:szCs w:val="24"/>
              </w:rPr>
            </w:pPr>
            <w:r w:rsidRPr="00DE1A22">
              <w:rPr>
                <w:rFonts w:eastAsia="Times New Roman"/>
                <w:sz w:val="24"/>
                <w:szCs w:val="24"/>
              </w:rPr>
              <w:t xml:space="preserve">Priekšlikums AIL 41.panta otrajā daļā (Azartspēles nav atļauts organizēt...) iekļaut šādus kritērijus: </w:t>
            </w:r>
          </w:p>
          <w:p w:rsidR="00651FC9" w:rsidRPr="00DE1A22" w:rsidRDefault="00651FC9" w:rsidP="00651FC9">
            <w:pPr>
              <w:jc w:val="both"/>
              <w:rPr>
                <w:rFonts w:eastAsia="Times New Roman"/>
                <w:sz w:val="24"/>
                <w:szCs w:val="24"/>
              </w:rPr>
            </w:pPr>
            <w:r w:rsidRPr="00DE1A22">
              <w:rPr>
                <w:rFonts w:eastAsia="Times New Roman"/>
                <w:sz w:val="24"/>
                <w:szCs w:val="24"/>
              </w:rPr>
              <w:t>- Ēkās vai būvēs, kur izvietotas valsts pārvaldes iestādes un kapitālsabiedrības un 500 metru attālumā/ perimetrā no to ieejas;</w:t>
            </w:r>
          </w:p>
          <w:p w:rsidR="00651FC9" w:rsidRPr="00DE1A22" w:rsidRDefault="00651FC9" w:rsidP="00651FC9">
            <w:pPr>
              <w:jc w:val="both"/>
              <w:rPr>
                <w:rFonts w:eastAsia="Times New Roman"/>
                <w:sz w:val="24"/>
                <w:szCs w:val="24"/>
              </w:rPr>
            </w:pPr>
            <w:r w:rsidRPr="00DE1A22">
              <w:rPr>
                <w:rFonts w:eastAsia="Times New Roman"/>
                <w:sz w:val="24"/>
                <w:szCs w:val="24"/>
              </w:rPr>
              <w:t>- Ārstniecības, izglītības, kultūras iestādēs, sociālās aprūpes centros un patversmēs, un 500 metru attālumā / perimetrā no to ieejas;</w:t>
            </w:r>
          </w:p>
          <w:p w:rsidR="00651FC9" w:rsidRPr="00DE1A22" w:rsidRDefault="00651FC9" w:rsidP="00651FC9">
            <w:pPr>
              <w:jc w:val="both"/>
              <w:rPr>
                <w:rFonts w:eastAsia="Times New Roman"/>
                <w:sz w:val="24"/>
                <w:szCs w:val="24"/>
              </w:rPr>
            </w:pPr>
            <w:r w:rsidRPr="00DE1A22">
              <w:rPr>
                <w:rFonts w:eastAsia="Times New Roman"/>
                <w:sz w:val="24"/>
                <w:szCs w:val="24"/>
              </w:rPr>
              <w:t>- Bērnu rotaļu laukumos un 500 metru attālumā/ perimetrā no to ieejas;</w:t>
            </w:r>
          </w:p>
          <w:p w:rsidR="00651FC9" w:rsidRPr="00DE1A22" w:rsidRDefault="00651FC9" w:rsidP="00651FC9">
            <w:pPr>
              <w:jc w:val="both"/>
              <w:rPr>
                <w:rFonts w:eastAsia="Times New Roman"/>
                <w:sz w:val="24"/>
                <w:szCs w:val="24"/>
              </w:rPr>
            </w:pPr>
            <w:r w:rsidRPr="00DE1A22">
              <w:rPr>
                <w:rFonts w:eastAsia="Times New Roman"/>
                <w:sz w:val="24"/>
                <w:szCs w:val="24"/>
              </w:rPr>
              <w:t>- Dzelzceļa stacijās, autoostās, lidostās, ostās un 50 metru attālumā/ perimetrā no to ieejas;</w:t>
            </w:r>
          </w:p>
          <w:p w:rsidR="00651FC9" w:rsidRPr="00DE1A22" w:rsidRDefault="00651FC9" w:rsidP="00651FC9">
            <w:pPr>
              <w:jc w:val="both"/>
              <w:rPr>
                <w:rFonts w:eastAsia="Times New Roman"/>
                <w:sz w:val="24"/>
                <w:szCs w:val="24"/>
              </w:rPr>
            </w:pPr>
            <w:r w:rsidRPr="00DE1A22">
              <w:rPr>
                <w:rFonts w:eastAsia="Times New Roman"/>
                <w:sz w:val="24"/>
                <w:szCs w:val="24"/>
              </w:rPr>
              <w:t>- Tirdzniecības centros (lielveikalos) un 50 metru attālumā/ perimetrā no to ieejas;</w:t>
            </w:r>
          </w:p>
          <w:p w:rsidR="00651FC9" w:rsidRPr="00DE1A22" w:rsidRDefault="00651FC9" w:rsidP="00651FC9">
            <w:pPr>
              <w:jc w:val="both"/>
              <w:rPr>
                <w:rFonts w:eastAsia="Times New Roman"/>
                <w:sz w:val="24"/>
                <w:szCs w:val="24"/>
              </w:rPr>
            </w:pPr>
            <w:r w:rsidRPr="00DE1A22">
              <w:rPr>
                <w:rFonts w:eastAsia="Times New Roman"/>
                <w:sz w:val="24"/>
                <w:szCs w:val="24"/>
              </w:rPr>
              <w:t>- Dzīvojamās ēkās.</w:t>
            </w:r>
          </w:p>
          <w:p w:rsidR="00651FC9" w:rsidRPr="00DE1A22" w:rsidRDefault="00651FC9" w:rsidP="00651FC9">
            <w:pPr>
              <w:jc w:val="both"/>
              <w:rPr>
                <w:rFonts w:eastAsia="Times New Roman"/>
                <w:sz w:val="24"/>
                <w:szCs w:val="24"/>
              </w:rPr>
            </w:pPr>
            <w:r w:rsidRPr="00DE1A22">
              <w:rPr>
                <w:rFonts w:eastAsia="Times New Roman"/>
                <w:sz w:val="24"/>
                <w:szCs w:val="24"/>
              </w:rPr>
              <w:t xml:space="preserve">Kā minēts Pamatnostādņu projekta pielikumā (50.lpp.), “pētījumi ir apliecinājuši, ka azartspēļu norises vietu attālumam līdz iedzīvotāju dzīves vietai ir statistiski nozīmīga saikne ar paredzamo problemātisko paradumu izplatību </w:t>
            </w:r>
            <w:r w:rsidRPr="00DE1A22">
              <w:rPr>
                <w:rFonts w:eastAsia="Times New Roman"/>
                <w:sz w:val="24"/>
                <w:szCs w:val="24"/>
              </w:rPr>
              <w:lastRenderedPageBreak/>
              <w:t>pieaugušo populācijā. Iedzīvotājiem, kuri dzīvo 16 km rādiusā no spēļu zālēm vai kazino, pastāv divas reizes augstāks problemātisku spēlēšanas paradumu attīstības risks nekā iedzīvotājiem, kuri dzīvo lielākā attālumā. Šis risks visaugstākais ir 30 gadus vecu, kā arī vecāku iedzīvotāju vidū. Arī attiecībā uz citiem azartspēļu veidiem šāda saikne ir konstatēta, proti iedzīvotājiem, kuri dzīvo tuvāk nekā 0,7 km no jebkādas azartspēļu norises vietas, ir 2,05 reizes lielāks problemātisku paradumu attīstības risks nekā iedzīvotājiem, kuri dzīvo vairāk nekā 3 km attālumā. Ņemot vērā, ka risks, ka iedzīvotāji spēlēs azartspēles un ka viņiem izveidosies problemātiski spēlēšanas paradumi, ievērojami palielinās, ja dzīvesvietas tuvumā atrodas spēļu zāle vai kazino, tad šādu azartspēļu vietu ierobežošana ir visbūtiskākā teritorijās, kurās ir liels iedzīvotāju blīvums.”</w:t>
            </w:r>
          </w:p>
          <w:p w:rsidR="00651FC9" w:rsidRPr="00DE1A22" w:rsidRDefault="00651FC9" w:rsidP="00651FC9">
            <w:pPr>
              <w:jc w:val="both"/>
              <w:rPr>
                <w:rFonts w:eastAsia="Times New Roman"/>
                <w:b/>
                <w:sz w:val="24"/>
                <w:szCs w:val="24"/>
              </w:rPr>
            </w:pPr>
            <w:r w:rsidRPr="00DE1A22">
              <w:rPr>
                <w:rFonts w:eastAsia="Times New Roman"/>
                <w:sz w:val="24"/>
                <w:szCs w:val="24"/>
              </w:rPr>
              <w:t>3) IAUI izvērtē azartspēļu organizēšanas vietas atbilstību pašvaldības teritorijas plānojumam (pārejas periodā – saistošajiem noteikumiem par teritorijām, kurās nedrīkst rīkot un organizēt azartspēles) un AIL likuma prasībām un izsniedz attiecīgās atļaujas.</w:t>
            </w:r>
          </w:p>
        </w:tc>
        <w:tc>
          <w:tcPr>
            <w:tcW w:w="3118" w:type="dxa"/>
            <w:shd w:val="clear" w:color="auto" w:fill="auto"/>
          </w:tcPr>
          <w:p w:rsidR="00651FC9" w:rsidRPr="00DE1A22" w:rsidRDefault="00651FC9" w:rsidP="00651FC9">
            <w:pPr>
              <w:jc w:val="both"/>
              <w:rPr>
                <w:rFonts w:eastAsia="Times New Roman"/>
                <w:b/>
                <w:bCs/>
                <w:sz w:val="24"/>
                <w:szCs w:val="24"/>
                <w:lang w:eastAsia="lv-LV"/>
              </w:rPr>
            </w:pPr>
            <w:r w:rsidRPr="00DE1A22">
              <w:rPr>
                <w:rFonts w:eastAsia="Times New Roman"/>
                <w:b/>
                <w:bCs/>
                <w:sz w:val="24"/>
                <w:szCs w:val="24"/>
                <w:lang w:eastAsia="lv-LV"/>
              </w:rPr>
              <w:lastRenderedPageBreak/>
              <w:t>Daļēji ņemts vērā.</w:t>
            </w:r>
          </w:p>
          <w:p w:rsidR="00651FC9" w:rsidRPr="00DE1A22" w:rsidRDefault="00651FC9" w:rsidP="00651FC9">
            <w:pPr>
              <w:jc w:val="both"/>
              <w:rPr>
                <w:sz w:val="24"/>
                <w:szCs w:val="24"/>
              </w:rPr>
            </w:pPr>
            <w:r w:rsidRPr="00DE1A22">
              <w:rPr>
                <w:rFonts w:eastAsia="Times New Roman"/>
                <w:bCs/>
                <w:sz w:val="24"/>
                <w:szCs w:val="24"/>
                <w:lang w:eastAsia="lv-LV"/>
              </w:rPr>
              <w:t>Nosakot azartspēļu organizēšanas vietu tikai 4 vai 5 zvaigžņu viesnīcās, netieši tiktu veicināts nelicencētais azartspēļu tirgus, jo</w:t>
            </w:r>
            <w:r w:rsidRPr="00DE1A22">
              <w:rPr>
                <w:sz w:val="24"/>
                <w:szCs w:val="24"/>
                <w:lang w:eastAsia="lv-LV" w:bidi="lv-LV"/>
              </w:rPr>
              <w:t xml:space="preserve"> aizliegums neizslēgs cilvēku tieksmi spēlēt azartspēles.</w:t>
            </w:r>
            <w:r w:rsidRPr="00DE1A22">
              <w:rPr>
                <w:szCs w:val="28"/>
                <w:lang w:eastAsia="lv-LV" w:bidi="lv-LV"/>
              </w:rPr>
              <w:t xml:space="preserve"> </w:t>
            </w:r>
            <w:r w:rsidRPr="00DE1A22">
              <w:rPr>
                <w:sz w:val="24"/>
                <w:szCs w:val="24"/>
              </w:rPr>
              <w:t>Finanšu ministrijas rīcībā esošajos pētījumos nav uz pierādījumiem balstītas informācijas, kas apliecinātu azartspēļu pilnīgā aizlieguma efektivitāti un negatīvās sekas. Līdz ar to paliek atklāts jautājums, kādā veidā/vai tiks apmierināts pastāvošais pieprasījums pēc azartspēlēm, it īpaši ņemot vērā, ka azartspēļu fenomens ir saistīts ar sociālās frustrācijas (neapmierinātības) jautājumiem (ang. val.</w:t>
            </w:r>
            <w:r w:rsidRPr="00DE1A22">
              <w:rPr>
                <w:i/>
                <w:sz w:val="24"/>
                <w:szCs w:val="24"/>
              </w:rPr>
              <w:t xml:space="preserve"> social </w:t>
            </w:r>
            <w:r w:rsidRPr="00DE1A22">
              <w:rPr>
                <w:i/>
                <w:sz w:val="24"/>
                <w:szCs w:val="24"/>
              </w:rPr>
              <w:lastRenderedPageBreak/>
              <w:t>frustration</w:t>
            </w:r>
            <w:r w:rsidRPr="00DE1A22">
              <w:rPr>
                <w:sz w:val="24"/>
                <w:szCs w:val="24"/>
              </w:rPr>
              <w:t>)</w:t>
            </w:r>
            <w:r w:rsidRPr="00DE1A22">
              <w:rPr>
                <w:rStyle w:val="FootnoteReference"/>
                <w:sz w:val="24"/>
                <w:szCs w:val="24"/>
              </w:rPr>
              <w:footnoteReference w:id="5"/>
            </w:r>
            <w:r w:rsidRPr="00DE1A22">
              <w:rPr>
                <w:sz w:val="24"/>
                <w:szCs w:val="24"/>
              </w:rPr>
              <w:t xml:space="preserve">, indivīda mēģinājumiem aizbēgt no ikdienas (ang. val. </w:t>
            </w:r>
            <w:r w:rsidRPr="00DE1A22">
              <w:rPr>
                <w:i/>
                <w:sz w:val="24"/>
                <w:szCs w:val="24"/>
              </w:rPr>
              <w:t>escape theories</w:t>
            </w:r>
            <w:r w:rsidRPr="00DE1A22">
              <w:rPr>
                <w:sz w:val="24"/>
                <w:szCs w:val="24"/>
              </w:rPr>
              <w:t>)</w:t>
            </w:r>
            <w:r w:rsidRPr="00DE1A22">
              <w:rPr>
                <w:rStyle w:val="FootnoteReference"/>
                <w:sz w:val="24"/>
                <w:szCs w:val="24"/>
              </w:rPr>
              <w:footnoteReference w:id="6"/>
            </w:r>
            <w:r w:rsidRPr="00DE1A22">
              <w:rPr>
                <w:sz w:val="24"/>
                <w:szCs w:val="24"/>
              </w:rPr>
              <w:t xml:space="preserve"> un piederības jautājumiem azartspēļu spēlētāju subkultūrai (ang. val.</w:t>
            </w:r>
            <w:r w:rsidRPr="00DE1A22">
              <w:rPr>
                <w:rFonts w:eastAsia="SabonLT-Roman"/>
                <w:sz w:val="24"/>
                <w:szCs w:val="24"/>
              </w:rPr>
              <w:t xml:space="preserve"> </w:t>
            </w:r>
            <w:r w:rsidRPr="00DE1A22">
              <w:rPr>
                <w:rFonts w:eastAsia="SabonLT-Roman"/>
                <w:i/>
                <w:sz w:val="24"/>
                <w:szCs w:val="24"/>
              </w:rPr>
              <w:t>subculture studies</w:t>
            </w:r>
            <w:r w:rsidRPr="00DE1A22">
              <w:rPr>
                <w:sz w:val="24"/>
                <w:szCs w:val="24"/>
              </w:rPr>
              <w:t>).</w:t>
            </w:r>
            <w:r w:rsidRPr="00DE1A22">
              <w:rPr>
                <w:rStyle w:val="FootnoteReference"/>
                <w:sz w:val="24"/>
                <w:szCs w:val="24"/>
              </w:rPr>
              <w:footnoteReference w:id="7"/>
            </w:r>
          </w:p>
          <w:p w:rsidR="00651FC9" w:rsidRPr="00DE1A22" w:rsidRDefault="00651FC9" w:rsidP="00651FC9">
            <w:pPr>
              <w:jc w:val="both"/>
              <w:rPr>
                <w:sz w:val="24"/>
                <w:szCs w:val="24"/>
              </w:rPr>
            </w:pPr>
            <w:r w:rsidRPr="00DE1A22">
              <w:rPr>
                <w:sz w:val="24"/>
                <w:szCs w:val="24"/>
              </w:rPr>
              <w:t>Risinājumā ir jābūt sabalansētam visu ieinteresēto pušu interesēm, galvenokārt, ietekmējot motivāciju personu dalībai azartspēlēs (integrējot  preventīvos pasākumus, sociāli atbildīgas spēles principus, regulāra informācija par azartspēļu atkarības kaitējumu).</w:t>
            </w:r>
          </w:p>
          <w:p w:rsidR="00651FC9" w:rsidRPr="00DE1A22" w:rsidRDefault="00651FC9" w:rsidP="00651FC9">
            <w:pPr>
              <w:jc w:val="both"/>
              <w:rPr>
                <w:rFonts w:eastAsia="Times New Roman"/>
                <w:b/>
                <w:bCs/>
                <w:sz w:val="24"/>
                <w:szCs w:val="24"/>
                <w:lang w:eastAsia="lv-LV"/>
              </w:rPr>
            </w:pPr>
          </w:p>
        </w:tc>
        <w:tc>
          <w:tcPr>
            <w:tcW w:w="3402" w:type="dxa"/>
            <w:shd w:val="clear" w:color="auto" w:fill="auto"/>
          </w:tcPr>
          <w:p w:rsidR="00651FC9" w:rsidRPr="00DE1A22" w:rsidRDefault="00651FC9" w:rsidP="00651FC9">
            <w:pPr>
              <w:jc w:val="both"/>
              <w:rPr>
                <w:rFonts w:eastAsia="Times New Roman"/>
                <w:sz w:val="24"/>
                <w:szCs w:val="24"/>
              </w:rPr>
            </w:pPr>
          </w:p>
        </w:tc>
      </w:tr>
      <w:tr w:rsidR="00651FC9" w:rsidRPr="00DE1A22" w:rsidTr="008034BE">
        <w:tc>
          <w:tcPr>
            <w:tcW w:w="751" w:type="dxa"/>
            <w:shd w:val="clear" w:color="auto" w:fill="auto"/>
          </w:tcPr>
          <w:p w:rsidR="00651FC9" w:rsidRPr="00DE1A22" w:rsidRDefault="00651FC9" w:rsidP="00651FC9">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23</w:t>
            </w:r>
            <w:r w:rsidRPr="00DE1A22">
              <w:rPr>
                <w:rFonts w:eastAsia="Times New Roman"/>
                <w:sz w:val="24"/>
                <w:szCs w:val="24"/>
                <w:lang w:eastAsia="lv-LV"/>
              </w:rPr>
              <w:t>.</w:t>
            </w:r>
          </w:p>
        </w:tc>
        <w:tc>
          <w:tcPr>
            <w:tcW w:w="3072" w:type="dxa"/>
            <w:shd w:val="clear" w:color="auto" w:fill="auto"/>
          </w:tcPr>
          <w:p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 xml:space="preserve">Pamatnostādņu 4. sadaļas 3. rīcības virziena “Azartspēļu un izložu pieejamības regulēšana” 1. uzdevums “Paplašināt to vietu uzskaitījumu, kur aizliegts organizēt azartspēles, </w:t>
            </w:r>
            <w:r w:rsidRPr="00DE1A22">
              <w:rPr>
                <w:rFonts w:eastAsia="Times New Roman"/>
                <w:sz w:val="24"/>
                <w:szCs w:val="24"/>
                <w:lang w:eastAsia="lv-LV"/>
              </w:rPr>
              <w:lastRenderedPageBreak/>
              <w:t>paredzot lēmuma pieņemšanu par azartspēļu organizēšanu tikai valsts līmenī.”</w:t>
            </w:r>
          </w:p>
        </w:tc>
        <w:tc>
          <w:tcPr>
            <w:tcW w:w="4394" w:type="dxa"/>
            <w:shd w:val="clear" w:color="auto" w:fill="auto"/>
          </w:tcPr>
          <w:p w:rsidR="00651FC9" w:rsidRPr="00DE1A22" w:rsidRDefault="00651FC9" w:rsidP="00651FC9">
            <w:pPr>
              <w:jc w:val="both"/>
              <w:rPr>
                <w:rFonts w:eastAsia="Times New Roman"/>
                <w:b/>
                <w:sz w:val="24"/>
                <w:szCs w:val="24"/>
              </w:rPr>
            </w:pPr>
            <w:r w:rsidRPr="00DE1A22">
              <w:rPr>
                <w:rFonts w:eastAsia="Times New Roman"/>
                <w:b/>
                <w:sz w:val="24"/>
                <w:szCs w:val="24"/>
              </w:rPr>
              <w:lastRenderedPageBreak/>
              <w:t>Latvijas Spēļu biznesa asociācija (05.03.2020. Nr.6/20)</w:t>
            </w:r>
          </w:p>
          <w:p w:rsidR="00651FC9" w:rsidRPr="00DE1A22" w:rsidRDefault="00651FC9" w:rsidP="00651FC9">
            <w:pPr>
              <w:jc w:val="both"/>
              <w:rPr>
                <w:rFonts w:eastAsia="Times New Roman"/>
                <w:sz w:val="24"/>
                <w:szCs w:val="24"/>
              </w:rPr>
            </w:pPr>
            <w:r w:rsidRPr="00DE1A22">
              <w:rPr>
                <w:rFonts w:eastAsia="Times New Roman"/>
                <w:b/>
                <w:sz w:val="24"/>
                <w:szCs w:val="24"/>
              </w:rPr>
              <w:t>Atbalstām centralizāciju licenču izsniegšanā, taču nepiekrītam attālumu noteikšanai no AIL 41.pantā noteiktajām vietām (kā tas norādīts Projekta pielikumā).</w:t>
            </w:r>
            <w:r w:rsidRPr="00DE1A22">
              <w:rPr>
                <w:rFonts w:eastAsia="Times New Roman"/>
                <w:sz w:val="24"/>
                <w:szCs w:val="24"/>
              </w:rPr>
              <w:t xml:space="preserve"> Uzskatām, ka jau šobrīd </w:t>
            </w:r>
            <w:r w:rsidRPr="00DE1A22">
              <w:rPr>
                <w:rFonts w:eastAsia="Times New Roman"/>
                <w:sz w:val="24"/>
                <w:szCs w:val="24"/>
              </w:rPr>
              <w:lastRenderedPageBreak/>
              <w:t>pastāvošie ierobežojumi nodrošina saprātīgu azartspēļu vietu izvietojumu jau tā blīvajā pilsētvidē. Turklāt, piedāvātie papildu ierobežojumi ir pretrunā ar investīciju aizsardzības principu, jo nevar paļauties, ka blakus netiks atvērts bērnudārzs vai ārstniecības iestāde (piemēram, ģimenes ārsta prakse).</w:t>
            </w:r>
          </w:p>
          <w:p w:rsidR="00651FC9" w:rsidRPr="00DE1A22" w:rsidRDefault="00651FC9" w:rsidP="00651FC9">
            <w:pPr>
              <w:jc w:val="both"/>
              <w:rPr>
                <w:rFonts w:eastAsia="Times New Roman"/>
                <w:sz w:val="24"/>
                <w:szCs w:val="24"/>
              </w:rPr>
            </w:pPr>
            <w:r w:rsidRPr="00DE1A22">
              <w:rPr>
                <w:rFonts w:eastAsia="Times New Roman"/>
                <w:sz w:val="24"/>
                <w:szCs w:val="24"/>
              </w:rPr>
              <w:t>Sarežģīta būtu arī šādu noteikumu izpildes realizēšana un administrēšana – attālumu mērīšana dabā, iestāžu statusu pārbaude, jaunatvērtu iestāžu monitorēšana.</w:t>
            </w:r>
          </w:p>
          <w:p w:rsidR="00651FC9" w:rsidRPr="00DE1A22" w:rsidRDefault="00651FC9" w:rsidP="00651FC9">
            <w:pPr>
              <w:jc w:val="both"/>
              <w:rPr>
                <w:rFonts w:eastAsia="Times New Roman"/>
                <w:sz w:val="24"/>
                <w:szCs w:val="24"/>
              </w:rPr>
            </w:pPr>
            <w:r w:rsidRPr="00DE1A22">
              <w:rPr>
                <w:rFonts w:eastAsia="Times New Roman"/>
                <w:sz w:val="24"/>
                <w:szCs w:val="24"/>
              </w:rPr>
              <w:t>LSBA varētu piekrist vietu, kurās aizliegts organizēt azartspēles, uzskaitījuma papildināšanai ar šādām vietām:</w:t>
            </w:r>
          </w:p>
          <w:p w:rsidR="00651FC9" w:rsidRPr="00DE1A22" w:rsidRDefault="00651FC9" w:rsidP="00651FC9">
            <w:pPr>
              <w:jc w:val="both"/>
              <w:rPr>
                <w:rFonts w:eastAsia="Times New Roman"/>
                <w:sz w:val="24"/>
                <w:szCs w:val="24"/>
              </w:rPr>
            </w:pPr>
            <w:r w:rsidRPr="00DE1A22">
              <w:rPr>
                <w:rFonts w:eastAsia="Times New Roman"/>
                <w:b/>
                <w:sz w:val="24"/>
                <w:szCs w:val="24"/>
              </w:rPr>
              <w:t>-</w:t>
            </w:r>
            <w:r w:rsidRPr="00DE1A22">
              <w:rPr>
                <w:rFonts w:eastAsia="Times New Roman"/>
                <w:b/>
                <w:sz w:val="24"/>
                <w:szCs w:val="24"/>
              </w:rPr>
              <w:tab/>
            </w:r>
            <w:r w:rsidRPr="00DE1A22">
              <w:rPr>
                <w:rFonts w:eastAsia="Times New Roman"/>
                <w:sz w:val="24"/>
                <w:szCs w:val="24"/>
              </w:rPr>
              <w:t>Sociālās aprūpes centri;</w:t>
            </w:r>
          </w:p>
          <w:p w:rsidR="00651FC9" w:rsidRPr="00DE1A22" w:rsidRDefault="00651FC9" w:rsidP="00651FC9">
            <w:pPr>
              <w:jc w:val="both"/>
              <w:rPr>
                <w:rFonts w:eastAsia="Times New Roman"/>
                <w:sz w:val="24"/>
                <w:szCs w:val="24"/>
              </w:rPr>
            </w:pPr>
            <w:r w:rsidRPr="00DE1A22">
              <w:rPr>
                <w:rFonts w:eastAsia="Times New Roman"/>
                <w:sz w:val="24"/>
                <w:szCs w:val="24"/>
              </w:rPr>
              <w:t>-</w:t>
            </w:r>
            <w:r w:rsidRPr="00DE1A22">
              <w:rPr>
                <w:rFonts w:eastAsia="Times New Roman"/>
                <w:sz w:val="24"/>
                <w:szCs w:val="24"/>
              </w:rPr>
              <w:tab/>
              <w:t>Patversmes</w:t>
            </w:r>
          </w:p>
          <w:p w:rsidR="00651FC9" w:rsidRPr="00DE1A22" w:rsidRDefault="00651FC9" w:rsidP="00651FC9">
            <w:pPr>
              <w:jc w:val="both"/>
              <w:rPr>
                <w:rFonts w:eastAsia="Times New Roman"/>
                <w:sz w:val="24"/>
                <w:szCs w:val="24"/>
              </w:rPr>
            </w:pPr>
            <w:r w:rsidRPr="00DE1A22">
              <w:rPr>
                <w:rFonts w:eastAsia="Times New Roman"/>
                <w:sz w:val="24"/>
                <w:szCs w:val="24"/>
              </w:rPr>
              <w:t>-</w:t>
            </w:r>
            <w:r w:rsidRPr="00DE1A22">
              <w:rPr>
                <w:rFonts w:eastAsia="Times New Roman"/>
                <w:sz w:val="24"/>
                <w:szCs w:val="24"/>
              </w:rPr>
              <w:tab/>
              <w:t>Bērnu rotaļu laukumi.</w:t>
            </w:r>
          </w:p>
          <w:p w:rsidR="00651FC9" w:rsidRPr="00DE1A22" w:rsidRDefault="00651FC9" w:rsidP="00651FC9">
            <w:pPr>
              <w:jc w:val="both"/>
              <w:rPr>
                <w:rFonts w:eastAsia="Times New Roman"/>
                <w:sz w:val="24"/>
                <w:szCs w:val="24"/>
              </w:rPr>
            </w:pPr>
            <w:r w:rsidRPr="00DE1A22">
              <w:rPr>
                <w:rFonts w:eastAsia="Times New Roman"/>
                <w:sz w:val="24"/>
                <w:szCs w:val="24"/>
              </w:rPr>
              <w:t>Gadījumā, ja kāda no likumā minētajām vietām tiktu izveidota pēc azartspēļu zāles ierīkošanas, būtu jāparedz vismaz piecu gadu aizsardzības periods – līdzīgi kā tas ir noteikts AIL 42.panta septītajā daļā.</w:t>
            </w:r>
          </w:p>
          <w:p w:rsidR="00651FC9" w:rsidRPr="00DE1A22" w:rsidRDefault="00651FC9" w:rsidP="00651FC9">
            <w:pPr>
              <w:jc w:val="both"/>
              <w:rPr>
                <w:rFonts w:eastAsia="Times New Roman"/>
                <w:sz w:val="24"/>
                <w:szCs w:val="24"/>
              </w:rPr>
            </w:pPr>
            <w:r w:rsidRPr="00DE1A22">
              <w:rPr>
                <w:rFonts w:eastAsia="Times New Roman"/>
                <w:sz w:val="24"/>
                <w:szCs w:val="24"/>
              </w:rPr>
              <w:t>Vēršam uzmanību, piemēram, Vācijas pieredzei.  Divus gadus pēc ierobežojumu spēkā stāšanās joprojām procesā ir liels skaits tiesisku strīdu attiecībā uz lēmumiem slēgt spēļu zāles.</w:t>
            </w:r>
          </w:p>
          <w:p w:rsidR="00651FC9" w:rsidRPr="00DE1A22" w:rsidRDefault="00651FC9" w:rsidP="00651FC9">
            <w:pPr>
              <w:jc w:val="both"/>
              <w:rPr>
                <w:rFonts w:eastAsia="Times New Roman"/>
                <w:sz w:val="24"/>
                <w:szCs w:val="24"/>
              </w:rPr>
            </w:pPr>
            <w:r w:rsidRPr="00DE1A22">
              <w:rPr>
                <w:rFonts w:eastAsia="Times New Roman"/>
                <w:sz w:val="24"/>
                <w:szCs w:val="24"/>
              </w:rPr>
              <w:t>Kā norādīts arī Projekta pielikumā attiecībā uz 2.risinājuma izvēli, pastāv risks, ka aizliegumu uzskaitījums būs nepilnīgs un neaptvers visus gadījumus, kur pastāv atkarības palielināšanas riski vai aizliegs azartspēļu organizēšanas vietu atrašanos vietās, kur noteiktu apsvērumu pēc attiecīgie riski faktiski nepastāv.</w:t>
            </w:r>
          </w:p>
          <w:p w:rsidR="00651FC9" w:rsidRPr="00DE1A22" w:rsidRDefault="00651FC9" w:rsidP="00651FC9">
            <w:pPr>
              <w:jc w:val="both"/>
              <w:rPr>
                <w:rFonts w:eastAsia="Times New Roman"/>
                <w:sz w:val="24"/>
                <w:szCs w:val="24"/>
              </w:rPr>
            </w:pPr>
            <w:r w:rsidRPr="00DE1A22">
              <w:rPr>
                <w:rFonts w:eastAsia="Times New Roman"/>
                <w:sz w:val="24"/>
                <w:szCs w:val="24"/>
              </w:rPr>
              <w:lastRenderedPageBreak/>
              <w:t>LSBA kategoriski iebilst pret 2020.gada 20.februāra Projekta saskaņošanas sanāksmē izskanējušo Latvijas Pašvaldību savienības priekšlikumu – paredzēt tiesības pašvaldībām noteikt papildu ierobežojumus teritorijas plānojumos.</w:t>
            </w:r>
          </w:p>
          <w:p w:rsidR="00651FC9" w:rsidRPr="00DE1A22" w:rsidRDefault="00651FC9" w:rsidP="00651FC9">
            <w:pPr>
              <w:jc w:val="both"/>
              <w:rPr>
                <w:rFonts w:eastAsia="Times New Roman"/>
                <w:sz w:val="24"/>
                <w:szCs w:val="24"/>
              </w:rPr>
            </w:pPr>
            <w:r w:rsidRPr="00DE1A22">
              <w:rPr>
                <w:rFonts w:eastAsia="Times New Roman"/>
                <w:sz w:val="24"/>
                <w:szCs w:val="24"/>
              </w:rPr>
              <w:t>Latvijas Republikas Satversmes tiesa 2019.gada 16.maija spriedumā lietā Nr. 2018-17-03  atzina: “Ņemot vērā teritorijas attīstības plānošanas būtību un principus, jāatzīst: ja jau pašvaldībai ir piešķirtas tiesības ar individuāliem lēmumiem liegt  azartspēļu  organizēšanas  vietu  ierīkošanu  savā  teritorijā,  tad  vēl  jo  vairāk pašvaldībai  ir  tiesības  tās  teritorijas  plānojumā  noteikt  attiecīgus  teritorijas izmantošanas aprobežojumus  saskaņā ar teritorijas plānošanas tiesisko regulējumu.” Atbalstot Projekta pielikumā ietverto 2.risinājumu, sabiedrības viedokli un interešu izvērtējumu, kā arī pamattiesību ierobežojuma atbilstību leģitīmajam mērķim būs izvērtējis likumdevējs.</w:t>
            </w:r>
          </w:p>
          <w:p w:rsidR="00651FC9" w:rsidRPr="00DE1A22" w:rsidRDefault="00651FC9" w:rsidP="00651FC9">
            <w:pPr>
              <w:jc w:val="both"/>
              <w:rPr>
                <w:rFonts w:eastAsia="Times New Roman"/>
                <w:sz w:val="24"/>
                <w:szCs w:val="24"/>
              </w:rPr>
            </w:pPr>
            <w:r w:rsidRPr="00DE1A22">
              <w:rPr>
                <w:rFonts w:eastAsia="Times New Roman"/>
                <w:sz w:val="24"/>
                <w:szCs w:val="24"/>
              </w:rPr>
              <w:t>Likumā “Par izlozēm un azartspēlēm”, kas bija spēkā līdz 31.12.2005., 20.pantā bija noteikts, ka pašvaldības var noteikt teritorijas, kurās nedrīkst atrasties azartspēļu nami (šāda norma bija spēkā jau kopš 1994.gada). Kā atspoguļots</w:t>
            </w:r>
            <w:r w:rsidRPr="00DE1A22">
              <w:rPr>
                <w:rFonts w:eastAsia="Times New Roman"/>
                <w:b/>
                <w:sz w:val="24"/>
                <w:szCs w:val="24"/>
              </w:rPr>
              <w:t xml:space="preserve"> </w:t>
            </w:r>
            <w:r w:rsidRPr="00DE1A22">
              <w:rPr>
                <w:rFonts w:eastAsia="Times New Roman"/>
                <w:sz w:val="24"/>
                <w:szCs w:val="24"/>
              </w:rPr>
              <w:t xml:space="preserve">Azartspēļu un izložu likuma anotācijā, pie šāda regulējuma ļoti nevienādi tika īstenota pašvaldību loma azartspēļu biznesa regulēšanā. Katrā no pašvaldībām, kura īstenoja minētās tiesības (15 pašvaldības), izvirzītie kritēriji ierobežojumu noteikšanai </w:t>
            </w:r>
            <w:r w:rsidRPr="00DE1A22">
              <w:rPr>
                <w:rFonts w:eastAsia="Times New Roman"/>
                <w:sz w:val="24"/>
                <w:szCs w:val="24"/>
              </w:rPr>
              <w:lastRenderedPageBreak/>
              <w:t>bija atšķirīgi un mainīgi. Ievērojot minēto, nav pieļaujama situācijas atkārtošanās.</w:t>
            </w:r>
          </w:p>
          <w:p w:rsidR="00651FC9" w:rsidRPr="00DE1A22" w:rsidRDefault="00651FC9" w:rsidP="00651FC9">
            <w:pPr>
              <w:jc w:val="both"/>
              <w:rPr>
                <w:rFonts w:eastAsia="Times New Roman"/>
                <w:sz w:val="24"/>
                <w:szCs w:val="24"/>
              </w:rPr>
            </w:pPr>
            <w:r w:rsidRPr="00DE1A22">
              <w:rPr>
                <w:rFonts w:eastAsia="Times New Roman"/>
                <w:sz w:val="24"/>
                <w:szCs w:val="24"/>
              </w:rPr>
              <w:t>Uz šo brīdi ir skaidri redzama pašvaldību attieksme pret azartspēlēm – pašvaldības viena pēc otras, neslēpjot faktu, ka uz šādu soli tās ir pamudinājušas izmaiņas azartspēļu nodokļa sadalījumā (pašvaldībām 5% apmērā līdzšinējo 25% vietā), pamatojoties uz sabiedrisko apspriešanu ietvaros izteikto negatīvo viedokli pret azartspēļu zālēm, taču ignorējot iedzīvotāju daļas interesi par azartspēlēm, plāno striktus ierobežojumus.</w:t>
            </w:r>
          </w:p>
          <w:p w:rsidR="00651FC9" w:rsidRPr="00DE1A22" w:rsidRDefault="00651FC9" w:rsidP="00651FC9">
            <w:pPr>
              <w:jc w:val="both"/>
              <w:rPr>
                <w:rFonts w:eastAsia="Times New Roman"/>
                <w:b/>
                <w:sz w:val="24"/>
                <w:szCs w:val="24"/>
              </w:rPr>
            </w:pPr>
            <w:r w:rsidRPr="00DE1A22">
              <w:rPr>
                <w:rFonts w:eastAsia="Times New Roman"/>
                <w:sz w:val="24"/>
                <w:szCs w:val="24"/>
              </w:rPr>
              <w:t>Kā secināts 2019.gada oktobra GamblingCompliance ziņojumā “Spēļu zāļu regulējums un nelegālo spēļu automātu izplatība Eiropā”, centieni pamatīgi ierobežot vai pilnībā aizliegt spēļu automātus Eiropas galvenajos spēļu automātu tirgos visur bez izņēmuma ir veicinājuši redzamu nelicencētā tirgus aktivitātes pieaugumu un noveduši līdz dārgai un tikai daļēji efektīvai nelegālo automātu apkarošanai.</w:t>
            </w:r>
          </w:p>
        </w:tc>
        <w:tc>
          <w:tcPr>
            <w:tcW w:w="3118" w:type="dxa"/>
            <w:shd w:val="clear" w:color="auto" w:fill="auto"/>
          </w:tcPr>
          <w:p w:rsidR="00651FC9" w:rsidRPr="00DE1A22" w:rsidRDefault="00651FC9" w:rsidP="00651FC9">
            <w:pPr>
              <w:jc w:val="both"/>
              <w:rPr>
                <w:rFonts w:eastAsia="Times New Roman"/>
                <w:b/>
                <w:bCs/>
                <w:sz w:val="24"/>
                <w:szCs w:val="24"/>
                <w:lang w:eastAsia="lv-LV"/>
              </w:rPr>
            </w:pPr>
            <w:r w:rsidRPr="00DE1A22">
              <w:rPr>
                <w:rFonts w:eastAsia="Times New Roman"/>
                <w:b/>
                <w:bCs/>
                <w:sz w:val="24"/>
                <w:szCs w:val="24"/>
                <w:lang w:eastAsia="lv-LV"/>
              </w:rPr>
              <w:lastRenderedPageBreak/>
              <w:t>Daļēji ņemts vērā.</w:t>
            </w:r>
          </w:p>
          <w:p w:rsidR="00651FC9" w:rsidRPr="00DE1A22" w:rsidRDefault="00651FC9" w:rsidP="00651FC9">
            <w:pPr>
              <w:jc w:val="both"/>
              <w:rPr>
                <w:rFonts w:eastAsia="Times New Roman"/>
                <w:b/>
                <w:bCs/>
                <w:sz w:val="24"/>
                <w:szCs w:val="24"/>
                <w:lang w:eastAsia="lv-LV"/>
              </w:rPr>
            </w:pPr>
          </w:p>
        </w:tc>
        <w:tc>
          <w:tcPr>
            <w:tcW w:w="3402" w:type="dxa"/>
            <w:shd w:val="clear" w:color="auto" w:fill="auto"/>
          </w:tcPr>
          <w:p w:rsidR="00651FC9" w:rsidRPr="00DE1A22" w:rsidRDefault="00651FC9" w:rsidP="00651FC9">
            <w:pPr>
              <w:jc w:val="both"/>
              <w:rPr>
                <w:rFonts w:eastAsia="Times New Roman"/>
                <w:sz w:val="24"/>
                <w:szCs w:val="24"/>
              </w:rPr>
            </w:pPr>
            <w:r w:rsidRPr="00DE1A22">
              <w:rPr>
                <w:rFonts w:eastAsia="Times New Roman"/>
                <w:sz w:val="24"/>
                <w:szCs w:val="24"/>
                <w:lang w:eastAsia="lv-LV"/>
              </w:rPr>
              <w:t>Atbilstoši precizēts Pamatnostādņu pielikuma 4.sadaļas 2.risinājums – Azartspēļu organizēšanas vietu ierobežošanas nosacījumu atrunāšana likumā.</w:t>
            </w:r>
          </w:p>
        </w:tc>
      </w:tr>
      <w:tr w:rsidR="00651FC9" w:rsidRPr="00DE1A22" w:rsidTr="008034BE">
        <w:tc>
          <w:tcPr>
            <w:tcW w:w="751" w:type="dxa"/>
            <w:shd w:val="clear" w:color="auto" w:fill="auto"/>
          </w:tcPr>
          <w:p w:rsidR="00651FC9" w:rsidRPr="00DE1A22" w:rsidDel="00651FC9" w:rsidRDefault="00651FC9" w:rsidP="00651FC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2</w:t>
            </w:r>
            <w:r>
              <w:rPr>
                <w:rFonts w:eastAsia="Times New Roman"/>
                <w:sz w:val="24"/>
                <w:szCs w:val="24"/>
                <w:lang w:eastAsia="lv-LV"/>
              </w:rPr>
              <w:t>4</w:t>
            </w:r>
            <w:r w:rsidRPr="00DE1A22">
              <w:rPr>
                <w:rFonts w:eastAsia="Times New Roman"/>
                <w:sz w:val="24"/>
                <w:szCs w:val="24"/>
                <w:lang w:eastAsia="lv-LV"/>
              </w:rPr>
              <w:t>.</w:t>
            </w:r>
          </w:p>
        </w:tc>
        <w:tc>
          <w:tcPr>
            <w:tcW w:w="3072" w:type="dxa"/>
            <w:shd w:val="clear" w:color="auto" w:fill="auto"/>
          </w:tcPr>
          <w:p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Pamatnostādņu pielikuma 4.sadaļas 5. rīcības virziens “Azartspēļu un izložu nozares attīstības tendenču monitorings” 4. uzdevums “Publikācijas un informatīvie materiāli.”.</w:t>
            </w:r>
          </w:p>
        </w:tc>
        <w:tc>
          <w:tcPr>
            <w:tcW w:w="4394" w:type="dxa"/>
            <w:shd w:val="clear" w:color="auto" w:fill="auto"/>
          </w:tcPr>
          <w:p w:rsidR="00651FC9" w:rsidRPr="00DE1A22" w:rsidRDefault="00651FC9" w:rsidP="00651FC9">
            <w:pPr>
              <w:jc w:val="both"/>
              <w:rPr>
                <w:rFonts w:eastAsia="Times New Roman"/>
                <w:b/>
                <w:sz w:val="24"/>
                <w:szCs w:val="24"/>
              </w:rPr>
            </w:pPr>
            <w:r w:rsidRPr="00DE1A22">
              <w:rPr>
                <w:rFonts w:eastAsia="Times New Roman"/>
                <w:b/>
                <w:sz w:val="24"/>
                <w:szCs w:val="24"/>
              </w:rPr>
              <w:t>Veselības ministrija (02.03.2020. Nr.01-09/1090)</w:t>
            </w:r>
          </w:p>
          <w:p w:rsidR="00651FC9" w:rsidRPr="00DE1A22" w:rsidRDefault="00651FC9" w:rsidP="00651FC9">
            <w:pPr>
              <w:jc w:val="both"/>
              <w:rPr>
                <w:rFonts w:eastAsia="Times New Roman"/>
                <w:b/>
                <w:sz w:val="24"/>
                <w:szCs w:val="24"/>
              </w:rPr>
            </w:pPr>
            <w:r w:rsidRPr="00DE1A22">
              <w:rPr>
                <w:rFonts w:eastAsia="Times New Roman"/>
                <w:sz w:val="24"/>
                <w:szCs w:val="24"/>
              </w:rPr>
              <w:t>Lūdzam svītrot Veselības ministriju kā atbildīgo institūciju no pamatnostādņu projekta 5.rīcības virziena 4.uzdevuma, ņemot vērā, ka Veselības ministrijas kompetence nav sagatavot publikācijas un informatīvos materiālus par azartspēļu un izložu nozares attīstības tendenču monitoringu.</w:t>
            </w:r>
          </w:p>
        </w:tc>
        <w:tc>
          <w:tcPr>
            <w:tcW w:w="3118" w:type="dxa"/>
            <w:shd w:val="clear" w:color="auto" w:fill="auto"/>
          </w:tcPr>
          <w:p w:rsidR="00651FC9" w:rsidRPr="00DE1A22" w:rsidRDefault="00651FC9" w:rsidP="00651FC9">
            <w:pPr>
              <w:jc w:val="both"/>
              <w:rPr>
                <w:rFonts w:eastAsia="Times New Roman"/>
                <w:b/>
                <w:bCs/>
                <w:sz w:val="24"/>
                <w:szCs w:val="24"/>
                <w:lang w:eastAsia="lv-LV"/>
              </w:rPr>
            </w:pPr>
            <w:r w:rsidRPr="00DE1A22">
              <w:rPr>
                <w:rFonts w:eastAsia="Times New Roman"/>
                <w:b/>
                <w:bCs/>
                <w:sz w:val="24"/>
                <w:szCs w:val="24"/>
                <w:lang w:eastAsia="lv-LV"/>
              </w:rPr>
              <w:t>Ņemts vērā.</w:t>
            </w:r>
          </w:p>
          <w:p w:rsidR="00651FC9" w:rsidRPr="00DE1A22" w:rsidRDefault="00651FC9" w:rsidP="00651FC9">
            <w:pPr>
              <w:jc w:val="both"/>
              <w:rPr>
                <w:rFonts w:eastAsia="Times New Roman"/>
                <w:b/>
                <w:bCs/>
                <w:sz w:val="24"/>
                <w:szCs w:val="24"/>
                <w:lang w:eastAsia="lv-LV"/>
              </w:rPr>
            </w:pPr>
          </w:p>
        </w:tc>
        <w:tc>
          <w:tcPr>
            <w:tcW w:w="3402" w:type="dxa"/>
            <w:shd w:val="clear" w:color="auto" w:fill="auto"/>
          </w:tcPr>
          <w:p w:rsidR="00651FC9" w:rsidRPr="00DE1A22" w:rsidRDefault="00651FC9" w:rsidP="00651FC9">
            <w:pPr>
              <w:jc w:val="both"/>
              <w:rPr>
                <w:rFonts w:eastAsia="Times New Roman"/>
                <w:sz w:val="24"/>
                <w:szCs w:val="24"/>
              </w:rPr>
            </w:pPr>
            <w:r w:rsidRPr="00DE1A22">
              <w:rPr>
                <w:rFonts w:eastAsia="Times New Roman"/>
                <w:sz w:val="24"/>
                <w:szCs w:val="24"/>
              </w:rPr>
              <w:t>Atbilstoši precizēts Pamatnostādņu 4.sadaļas 5.rīcības virziena “</w:t>
            </w:r>
            <w:r w:rsidRPr="00DE1A22">
              <w:rPr>
                <w:bCs/>
                <w:sz w:val="24"/>
                <w:szCs w:val="24"/>
              </w:rPr>
              <w:t>Azartspēļu un izložu nozares attīstības tendenču monitorings” 4.uzdevums.</w:t>
            </w:r>
          </w:p>
        </w:tc>
      </w:tr>
      <w:tr w:rsidR="00651FC9" w:rsidRPr="00DE1A22" w:rsidTr="008034BE">
        <w:tc>
          <w:tcPr>
            <w:tcW w:w="751" w:type="dxa"/>
            <w:shd w:val="clear" w:color="auto" w:fill="auto"/>
          </w:tcPr>
          <w:p w:rsidR="00651FC9" w:rsidRPr="00DE1A22" w:rsidDel="00651FC9" w:rsidRDefault="00651FC9" w:rsidP="00651FC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2</w:t>
            </w:r>
            <w:r>
              <w:rPr>
                <w:rFonts w:eastAsia="Times New Roman"/>
                <w:sz w:val="24"/>
                <w:szCs w:val="24"/>
                <w:lang w:eastAsia="lv-LV"/>
              </w:rPr>
              <w:t>5</w:t>
            </w:r>
            <w:r w:rsidRPr="00DE1A22">
              <w:rPr>
                <w:rFonts w:eastAsia="Times New Roman"/>
                <w:sz w:val="24"/>
                <w:szCs w:val="24"/>
                <w:lang w:eastAsia="lv-LV"/>
              </w:rPr>
              <w:t>.</w:t>
            </w:r>
          </w:p>
        </w:tc>
        <w:tc>
          <w:tcPr>
            <w:tcW w:w="3072" w:type="dxa"/>
            <w:shd w:val="clear" w:color="auto" w:fill="auto"/>
          </w:tcPr>
          <w:p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Pamatnostādņu pielikuma 4. sadaļas 5. rīcības virziens “Azartspēļu un izložu nozares attīstības tendenču monitorings” 5. uzdevums “Izvērtēt nepieciešamību azartspēļu un izložu regulējumu attiecināt arī uz datorspēlēm, kā arī noteikt pasākumus  azartspēļu atkarības veidošanas risku mazināšanai datorspēlēs.”.</w:t>
            </w:r>
          </w:p>
        </w:tc>
        <w:tc>
          <w:tcPr>
            <w:tcW w:w="4394" w:type="dxa"/>
            <w:shd w:val="clear" w:color="auto" w:fill="auto"/>
          </w:tcPr>
          <w:p w:rsidR="00651FC9" w:rsidRPr="00DE1A22" w:rsidRDefault="00651FC9" w:rsidP="00651FC9">
            <w:pPr>
              <w:jc w:val="both"/>
              <w:rPr>
                <w:rFonts w:eastAsia="Times New Roman"/>
                <w:b/>
                <w:sz w:val="24"/>
                <w:szCs w:val="24"/>
              </w:rPr>
            </w:pPr>
            <w:r w:rsidRPr="00DE1A22">
              <w:rPr>
                <w:rFonts w:eastAsia="Times New Roman"/>
                <w:b/>
                <w:sz w:val="24"/>
                <w:szCs w:val="24"/>
              </w:rPr>
              <w:t>Veselības ministrija (02.03.2020. Nr.01-09/1090)</w:t>
            </w:r>
          </w:p>
          <w:p w:rsidR="00651FC9" w:rsidRPr="00DE1A22" w:rsidRDefault="00651FC9" w:rsidP="00651FC9">
            <w:pPr>
              <w:jc w:val="both"/>
              <w:rPr>
                <w:rFonts w:eastAsia="Times New Roman"/>
                <w:b/>
                <w:sz w:val="24"/>
                <w:szCs w:val="24"/>
              </w:rPr>
            </w:pPr>
            <w:r w:rsidRPr="00DE1A22">
              <w:rPr>
                <w:rFonts w:eastAsia="Times New Roman"/>
                <w:b/>
                <w:sz w:val="24"/>
                <w:szCs w:val="24"/>
              </w:rPr>
              <w:t>Lūdzam paplašināt pamatnostādņu projekta 5.rīcības virziena 5.uzdevumu to attiecinot uz visām videospēlēm</w:t>
            </w:r>
            <w:r w:rsidRPr="00DE1A22">
              <w:rPr>
                <w:rFonts w:eastAsia="Times New Roman"/>
                <w:sz w:val="24"/>
                <w:szCs w:val="24"/>
              </w:rPr>
              <w:t>, ņemot vērā, ka datorspēle ir videospēle, kuru spēlē, izmantojot personālo datoru, bet to var spēlēt arī izmantojot, piemēram, mobilos telefonus.</w:t>
            </w:r>
          </w:p>
        </w:tc>
        <w:tc>
          <w:tcPr>
            <w:tcW w:w="3118" w:type="dxa"/>
            <w:shd w:val="clear" w:color="auto" w:fill="auto"/>
          </w:tcPr>
          <w:p w:rsidR="00651FC9" w:rsidRPr="00DE1A22" w:rsidRDefault="00651FC9" w:rsidP="00651FC9">
            <w:pPr>
              <w:jc w:val="both"/>
              <w:rPr>
                <w:rFonts w:eastAsia="Times New Roman"/>
                <w:b/>
                <w:bCs/>
                <w:sz w:val="24"/>
                <w:szCs w:val="24"/>
                <w:lang w:eastAsia="lv-LV"/>
              </w:rPr>
            </w:pPr>
            <w:r w:rsidRPr="00DE1A22">
              <w:rPr>
                <w:rFonts w:eastAsia="Times New Roman"/>
                <w:b/>
                <w:bCs/>
                <w:sz w:val="24"/>
                <w:szCs w:val="24"/>
                <w:lang w:eastAsia="lv-LV"/>
              </w:rPr>
              <w:t>Ņemts vērā.</w:t>
            </w:r>
          </w:p>
          <w:p w:rsidR="00651FC9" w:rsidRPr="00DE1A22" w:rsidRDefault="00651FC9" w:rsidP="00651FC9">
            <w:pPr>
              <w:jc w:val="both"/>
              <w:rPr>
                <w:rFonts w:eastAsia="Times New Roman"/>
                <w:b/>
                <w:bCs/>
                <w:sz w:val="24"/>
                <w:szCs w:val="24"/>
                <w:lang w:eastAsia="lv-LV"/>
              </w:rPr>
            </w:pPr>
          </w:p>
        </w:tc>
        <w:tc>
          <w:tcPr>
            <w:tcW w:w="3402" w:type="dxa"/>
            <w:shd w:val="clear" w:color="auto" w:fill="auto"/>
          </w:tcPr>
          <w:p w:rsidR="00651FC9" w:rsidRPr="00DE1A22" w:rsidRDefault="00651FC9" w:rsidP="00651FC9">
            <w:pPr>
              <w:jc w:val="both"/>
              <w:rPr>
                <w:rFonts w:eastAsia="Times New Roman"/>
                <w:sz w:val="24"/>
                <w:szCs w:val="24"/>
              </w:rPr>
            </w:pPr>
            <w:r w:rsidRPr="00DE1A22">
              <w:rPr>
                <w:rFonts w:eastAsia="Times New Roman"/>
                <w:sz w:val="24"/>
                <w:szCs w:val="24"/>
              </w:rPr>
              <w:t>Atbilstoši precizēts Pamatnostādņu projekts un pielikums.</w:t>
            </w:r>
          </w:p>
        </w:tc>
      </w:tr>
      <w:tr w:rsidR="00651FC9" w:rsidRPr="00DE1A22" w:rsidTr="008034BE">
        <w:tc>
          <w:tcPr>
            <w:tcW w:w="751" w:type="dxa"/>
            <w:shd w:val="clear" w:color="auto" w:fill="auto"/>
          </w:tcPr>
          <w:p w:rsidR="00651FC9" w:rsidRPr="00DE1A22" w:rsidRDefault="00651FC9" w:rsidP="00651FC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w:t>
            </w:r>
            <w:r>
              <w:rPr>
                <w:rFonts w:eastAsia="Times New Roman"/>
                <w:sz w:val="24"/>
                <w:szCs w:val="24"/>
                <w:lang w:eastAsia="lv-LV"/>
              </w:rPr>
              <w:t>6</w:t>
            </w:r>
            <w:r w:rsidRPr="00DE1A22">
              <w:rPr>
                <w:rFonts w:eastAsia="Times New Roman"/>
                <w:sz w:val="24"/>
                <w:szCs w:val="24"/>
                <w:lang w:eastAsia="lv-LV"/>
              </w:rPr>
              <w:t>.</w:t>
            </w:r>
          </w:p>
        </w:tc>
        <w:tc>
          <w:tcPr>
            <w:tcW w:w="3072" w:type="dxa"/>
            <w:shd w:val="clear" w:color="auto" w:fill="auto"/>
          </w:tcPr>
          <w:p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 xml:space="preserve">Pamatnostādņu 6.sadaļas piektais pasākums “Īstenot izglītojošas profilakses programmas skolās par procesu atkarības riskiem, adaptējot labās prakses programmas modeli no citām valstīm: </w:t>
            </w:r>
          </w:p>
          <w:p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 xml:space="preserve">1) izstrādāt materiālus izglītojošām skolu prevencijas programmām skolēniem, programmu vadītājiem; </w:t>
            </w:r>
          </w:p>
          <w:p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2) apmācīt programmu vadītājus;</w:t>
            </w:r>
          </w:p>
          <w:p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3) īstenot programmu (norāda skaitu) skolās Latvijā”.</w:t>
            </w:r>
          </w:p>
        </w:tc>
        <w:tc>
          <w:tcPr>
            <w:tcW w:w="4394" w:type="dxa"/>
            <w:shd w:val="clear" w:color="auto" w:fill="auto"/>
          </w:tcPr>
          <w:p w:rsidR="00651FC9" w:rsidRPr="00DE1A22" w:rsidRDefault="00651FC9" w:rsidP="00651FC9">
            <w:pPr>
              <w:jc w:val="both"/>
              <w:rPr>
                <w:rFonts w:eastAsia="Times New Roman"/>
                <w:b/>
                <w:sz w:val="24"/>
                <w:szCs w:val="24"/>
              </w:rPr>
            </w:pPr>
            <w:r w:rsidRPr="00DE1A22">
              <w:rPr>
                <w:rFonts w:eastAsia="Times New Roman"/>
                <w:b/>
                <w:sz w:val="24"/>
                <w:szCs w:val="24"/>
              </w:rPr>
              <w:t>Latvijas Lielo pilsētu asociācija</w:t>
            </w:r>
          </w:p>
          <w:p w:rsidR="00651FC9" w:rsidRPr="00DE1A22" w:rsidRDefault="00651FC9" w:rsidP="00651FC9">
            <w:pPr>
              <w:jc w:val="both"/>
              <w:rPr>
                <w:rFonts w:eastAsia="Times New Roman"/>
                <w:sz w:val="24"/>
                <w:szCs w:val="24"/>
              </w:rPr>
            </w:pPr>
            <w:r w:rsidRPr="00DE1A22">
              <w:rPr>
                <w:rFonts w:eastAsia="Times New Roman"/>
                <w:sz w:val="24"/>
                <w:szCs w:val="24"/>
              </w:rPr>
              <w:t>Priekšlikums izstrādāt un izveidot ilgtspējīgu, vienotu un sistemātisku  programmu procesu atkarības profilaksē. Būtu lietderīgi apzināt jau pastāvošo labo praksi lielajās Latvijas pilsētās, to sasaistot kopā ar ārvalstu pieredzi.</w:t>
            </w:r>
          </w:p>
        </w:tc>
        <w:tc>
          <w:tcPr>
            <w:tcW w:w="3118" w:type="dxa"/>
            <w:shd w:val="clear" w:color="auto" w:fill="auto"/>
          </w:tcPr>
          <w:p w:rsidR="00651FC9" w:rsidRPr="00DE1A22" w:rsidRDefault="00651FC9" w:rsidP="00651FC9">
            <w:pPr>
              <w:jc w:val="both"/>
              <w:rPr>
                <w:rFonts w:eastAsia="Times New Roman"/>
                <w:b/>
                <w:bCs/>
                <w:sz w:val="24"/>
                <w:szCs w:val="24"/>
                <w:lang w:eastAsia="lv-LV"/>
              </w:rPr>
            </w:pPr>
            <w:r w:rsidRPr="00DE1A22">
              <w:rPr>
                <w:rFonts w:eastAsia="Times New Roman"/>
                <w:b/>
                <w:bCs/>
                <w:sz w:val="24"/>
                <w:szCs w:val="24"/>
                <w:lang w:eastAsia="lv-LV"/>
              </w:rPr>
              <w:t>Ņemts vērā.</w:t>
            </w:r>
          </w:p>
          <w:p w:rsidR="00651FC9" w:rsidRPr="00DE1A22" w:rsidRDefault="00651FC9" w:rsidP="00651FC9">
            <w:pPr>
              <w:jc w:val="both"/>
              <w:rPr>
                <w:rFonts w:eastAsia="Times New Roman"/>
                <w:bCs/>
                <w:sz w:val="24"/>
                <w:szCs w:val="24"/>
                <w:lang w:eastAsia="lv-LV"/>
              </w:rPr>
            </w:pPr>
          </w:p>
        </w:tc>
        <w:tc>
          <w:tcPr>
            <w:tcW w:w="3402" w:type="dxa"/>
            <w:shd w:val="clear" w:color="auto" w:fill="auto"/>
          </w:tcPr>
          <w:p w:rsidR="00651FC9" w:rsidRPr="00DE1A22" w:rsidRDefault="00651FC9" w:rsidP="00651FC9">
            <w:pPr>
              <w:jc w:val="both"/>
              <w:rPr>
                <w:rFonts w:eastAsia="Times New Roman"/>
                <w:sz w:val="24"/>
                <w:szCs w:val="24"/>
              </w:rPr>
            </w:pPr>
            <w:r w:rsidRPr="00DE1A22">
              <w:rPr>
                <w:rFonts w:eastAsia="Times New Roman"/>
                <w:sz w:val="24"/>
                <w:szCs w:val="24"/>
              </w:rPr>
              <w:t>Atbilstoši ir papildināts Pamatnostādņu 4.sadaļas 1.rīcības virziena “Atkarības profilakses, preventīvie, problemātiskā spēlētāja atbalsts un sabiedrības izglītojoši pasākumi” 24.uzdevums.</w:t>
            </w:r>
          </w:p>
        </w:tc>
      </w:tr>
      <w:tr w:rsidR="00651FC9" w:rsidRPr="00DE1A22" w:rsidTr="008034BE">
        <w:tc>
          <w:tcPr>
            <w:tcW w:w="751" w:type="dxa"/>
            <w:shd w:val="clear" w:color="auto" w:fill="auto"/>
          </w:tcPr>
          <w:p w:rsidR="00651FC9" w:rsidRPr="00DE1A22" w:rsidDel="006064FE" w:rsidRDefault="00651FC9" w:rsidP="00651FC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w:t>
            </w:r>
            <w:r>
              <w:rPr>
                <w:rFonts w:eastAsia="Times New Roman"/>
                <w:sz w:val="24"/>
                <w:szCs w:val="24"/>
                <w:lang w:eastAsia="lv-LV"/>
              </w:rPr>
              <w:t>7</w:t>
            </w:r>
            <w:r w:rsidRPr="00DE1A22">
              <w:rPr>
                <w:rFonts w:eastAsia="Times New Roman"/>
                <w:sz w:val="24"/>
                <w:szCs w:val="24"/>
                <w:lang w:eastAsia="lv-LV"/>
              </w:rPr>
              <w:t>.</w:t>
            </w:r>
          </w:p>
        </w:tc>
        <w:tc>
          <w:tcPr>
            <w:tcW w:w="3072" w:type="dxa"/>
            <w:shd w:val="clear" w:color="auto" w:fill="auto"/>
          </w:tcPr>
          <w:p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Pamatnostādņu 6.sadaļas otrais pasākums “Nodrošināt pašvaldībās profilakses pasākumus procesu atkarības (tostarp azartspēļu atkarības) risku mazināšanai”.</w:t>
            </w:r>
          </w:p>
        </w:tc>
        <w:tc>
          <w:tcPr>
            <w:tcW w:w="4394" w:type="dxa"/>
            <w:shd w:val="clear" w:color="auto" w:fill="auto"/>
          </w:tcPr>
          <w:p w:rsidR="00651FC9" w:rsidRPr="00DE1A22" w:rsidRDefault="00651FC9" w:rsidP="00651FC9">
            <w:pPr>
              <w:jc w:val="both"/>
              <w:rPr>
                <w:rFonts w:eastAsia="Times New Roman"/>
                <w:b/>
                <w:sz w:val="24"/>
                <w:szCs w:val="24"/>
              </w:rPr>
            </w:pPr>
            <w:r w:rsidRPr="00DE1A22">
              <w:rPr>
                <w:rFonts w:eastAsia="Times New Roman"/>
                <w:b/>
                <w:sz w:val="24"/>
                <w:szCs w:val="24"/>
              </w:rPr>
              <w:t>Latvijas Lielo pilsētu asociācija</w:t>
            </w:r>
          </w:p>
          <w:p w:rsidR="00651FC9" w:rsidRPr="00DE1A22" w:rsidRDefault="00651FC9" w:rsidP="00651FC9">
            <w:pPr>
              <w:jc w:val="both"/>
              <w:rPr>
                <w:rFonts w:eastAsia="Times New Roman"/>
                <w:b/>
                <w:sz w:val="24"/>
                <w:szCs w:val="24"/>
              </w:rPr>
            </w:pPr>
            <w:r w:rsidRPr="00DE1A22">
              <w:rPr>
                <w:rFonts w:eastAsia="Times New Roman"/>
                <w:sz w:val="24"/>
                <w:szCs w:val="24"/>
              </w:rPr>
              <w:t xml:space="preserve">Latvijas lielākajās pilsētās jau tiek nodrošinātas atbalsta grupas. Priekšlikums līdzās jau esošajiem profilaktiskiem pasākumiem nodrošināt arī sistemātisku terapeitisku atbalsta grupu azartspēļu atkarīgām personām kvalificēta speciālista </w:t>
            </w:r>
            <w:r w:rsidRPr="00DE1A22">
              <w:rPr>
                <w:rFonts w:eastAsia="Times New Roman"/>
                <w:sz w:val="24"/>
                <w:szCs w:val="24"/>
              </w:rPr>
              <w:lastRenderedPageBreak/>
              <w:t>– klīniskā vai veselības psihologa – vadībā, kurš ir specializējies atkarību jomā.</w:t>
            </w:r>
          </w:p>
        </w:tc>
        <w:tc>
          <w:tcPr>
            <w:tcW w:w="3118" w:type="dxa"/>
            <w:shd w:val="clear" w:color="auto" w:fill="auto"/>
          </w:tcPr>
          <w:p w:rsidR="00651FC9" w:rsidRPr="00DE1A22" w:rsidRDefault="00651FC9" w:rsidP="00651FC9">
            <w:pPr>
              <w:jc w:val="both"/>
              <w:rPr>
                <w:rFonts w:eastAsia="Times New Roman"/>
                <w:b/>
                <w:bCs/>
                <w:sz w:val="24"/>
                <w:szCs w:val="24"/>
                <w:lang w:eastAsia="lv-LV"/>
              </w:rPr>
            </w:pPr>
            <w:r w:rsidRPr="00DE1A22">
              <w:rPr>
                <w:rFonts w:eastAsia="Times New Roman"/>
                <w:b/>
                <w:bCs/>
                <w:sz w:val="24"/>
                <w:szCs w:val="24"/>
                <w:lang w:eastAsia="lv-LV"/>
              </w:rPr>
              <w:lastRenderedPageBreak/>
              <w:t>Daļēji ņemts vērā.</w:t>
            </w:r>
          </w:p>
          <w:p w:rsidR="00651FC9" w:rsidRPr="00DE1A22" w:rsidRDefault="00651FC9" w:rsidP="00651FC9">
            <w:pPr>
              <w:jc w:val="both"/>
              <w:rPr>
                <w:sz w:val="24"/>
                <w:szCs w:val="24"/>
              </w:rPr>
            </w:pPr>
            <w:r w:rsidRPr="00DE1A22">
              <w:rPr>
                <w:rFonts w:eastAsia="Times New Roman"/>
                <w:sz w:val="24"/>
                <w:szCs w:val="24"/>
              </w:rPr>
              <w:t>Veselības ministrijas 2020.gada 30.aprīļa atzinumā Nr.</w:t>
            </w:r>
            <w:r w:rsidRPr="00DE1A22">
              <w:rPr>
                <w:noProof/>
                <w:sz w:val="24"/>
                <w:szCs w:val="24"/>
              </w:rPr>
              <w:t>01-09/2397 ir minēts: “</w:t>
            </w:r>
            <w:r w:rsidRPr="00DE1A22">
              <w:rPr>
                <w:sz w:val="24"/>
                <w:szCs w:val="24"/>
              </w:rPr>
              <w:t>Attiecībā uz pamatnostādņu projektā iekļauto pasākumu “</w:t>
            </w:r>
            <w:r w:rsidRPr="00DE1A22">
              <w:rPr>
                <w:i/>
                <w:iCs/>
                <w:sz w:val="24"/>
                <w:szCs w:val="24"/>
              </w:rPr>
              <w:t xml:space="preserve">Nodrošināt pašvaldībās </w:t>
            </w:r>
            <w:r w:rsidRPr="00DE1A22">
              <w:rPr>
                <w:i/>
                <w:iCs/>
                <w:sz w:val="24"/>
                <w:szCs w:val="24"/>
              </w:rPr>
              <w:lastRenderedPageBreak/>
              <w:t>profilakses pasākumus procesu atkarības (tostarp azartspēļu atkarības) risku mazināšanai”</w:t>
            </w:r>
            <w:r w:rsidRPr="00DE1A22">
              <w:rPr>
                <w:sz w:val="24"/>
                <w:szCs w:val="24"/>
              </w:rPr>
              <w:t xml:space="preserve"> informējam, ka Veselības ministrija šobrīd nevar sniegt informāciju par pasākuma īstenošanai nepieciešamo finansējumu, kā arī detalizētu finansējuma aprēķinu, ņemot vērā, ka Slimību profilakses un kontroles centrs (turpmāk - SPKC) vēl nav vienojies ar pašvaldībām par īstenojamo pasākumu tematiku, plānoto finansējumu un pasākumu skaitu ESF 9.2.4.2. pasākuma “Pasākumi vietējās sabiedrības veselības veicināšanai un slimību profilaksei” (turpmāk - 9.2.4.2.pasākums) projekta Nr. 9.2.4.2/16/I/106 “Slimību profilakses un kontroles centra organizēti vietēja mēroga pasākumi sabiedrības veselības veicināšanai un slimību profilaksei pašvaldībās” papildus finansējuma veselības veicināšanas un slimību profilakses pasākumu īstenošanai no 2020.gada līdz 2023.gada beigām (2.kārtas finansējumu). Šādu informāciju SPKC varēs </w:t>
            </w:r>
            <w:r w:rsidRPr="00DE1A22">
              <w:rPr>
                <w:sz w:val="24"/>
                <w:szCs w:val="24"/>
              </w:rPr>
              <w:lastRenderedPageBreak/>
              <w:t>sniegt tad, kad tiks noslēgti pakalpojuma līgumi par attiecīgo atbalsta darbību īstenošanu, kas varētu būt š.g. beigās un būs tikai par tām pašvaldībām, kurās pasākumus īstenos SPKC.</w:t>
            </w:r>
          </w:p>
          <w:p w:rsidR="00651FC9" w:rsidRPr="00DE1A22" w:rsidRDefault="00651FC9" w:rsidP="00651FC9">
            <w:pPr>
              <w:jc w:val="both"/>
              <w:rPr>
                <w:rFonts w:eastAsia="Times New Roman"/>
                <w:b/>
                <w:bCs/>
                <w:sz w:val="24"/>
                <w:szCs w:val="24"/>
                <w:lang w:eastAsia="lv-LV"/>
              </w:rPr>
            </w:pPr>
            <w:r w:rsidRPr="00DE1A22">
              <w:rPr>
                <w:sz w:val="24"/>
                <w:szCs w:val="24"/>
              </w:rPr>
              <w:t>Ņemot vērā iepriekšminēto informējam, ka Veselības ministrija varēs sniegt informāciju par tām pašvaldībām, kurās pasākumus procesu atkarību (t.sk. azartspēļu  atkarību) risku mazināšanai īstenos SPKC ESF 9.2.4.2.pasākuma projekta ietvaros. Savukārt informāciju par īstenotajiem pasākumiem procesu atkarību (t.sk. azartspēļu  atkarību)  risku mazināšanai, kur pasākumus organizēs pašvaldības pašas, Veselības ministrija varēs sniegt pēc tam, kad būs noslēgusies ESF projekta 9.2.4.2. projekta īstenošana”.</w:t>
            </w:r>
          </w:p>
        </w:tc>
        <w:tc>
          <w:tcPr>
            <w:tcW w:w="3402" w:type="dxa"/>
            <w:shd w:val="clear" w:color="auto" w:fill="auto"/>
          </w:tcPr>
          <w:p w:rsidR="00651FC9" w:rsidRPr="00DE1A22" w:rsidRDefault="00651FC9" w:rsidP="00651FC9">
            <w:pPr>
              <w:jc w:val="both"/>
              <w:rPr>
                <w:rFonts w:eastAsia="Times New Roman"/>
                <w:sz w:val="24"/>
                <w:szCs w:val="24"/>
              </w:rPr>
            </w:pPr>
          </w:p>
        </w:tc>
      </w:tr>
      <w:tr w:rsidR="00651FC9" w:rsidRPr="00DE1A22" w:rsidTr="0025005A">
        <w:tc>
          <w:tcPr>
            <w:tcW w:w="751" w:type="dxa"/>
            <w:shd w:val="clear" w:color="auto" w:fill="auto"/>
          </w:tcPr>
          <w:p w:rsidR="00EA6D59" w:rsidRPr="00DE1A22" w:rsidRDefault="00EA6D59" w:rsidP="0047381A">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2</w:t>
            </w:r>
            <w:r w:rsidR="0047381A" w:rsidRPr="00DE1A22">
              <w:rPr>
                <w:rFonts w:eastAsia="Times New Roman"/>
                <w:sz w:val="24"/>
                <w:szCs w:val="24"/>
                <w:lang w:eastAsia="lv-LV"/>
              </w:rPr>
              <w:t>8</w:t>
            </w:r>
            <w:r w:rsidRPr="00DE1A22">
              <w:rPr>
                <w:rFonts w:eastAsia="Times New Roman"/>
                <w:sz w:val="24"/>
                <w:szCs w:val="24"/>
                <w:lang w:eastAsia="lv-LV"/>
              </w:rPr>
              <w:t>.</w:t>
            </w:r>
          </w:p>
        </w:tc>
        <w:tc>
          <w:tcPr>
            <w:tcW w:w="3072" w:type="dxa"/>
            <w:shd w:val="clear" w:color="auto" w:fill="auto"/>
          </w:tcPr>
          <w:p w:rsidR="00EA6D59" w:rsidRPr="00DE1A22" w:rsidRDefault="00EA6D59" w:rsidP="00EA6D59">
            <w:pPr>
              <w:jc w:val="both"/>
              <w:rPr>
                <w:rFonts w:eastAsia="Times New Roman"/>
                <w:sz w:val="24"/>
                <w:szCs w:val="24"/>
                <w:lang w:eastAsia="lv-LV"/>
              </w:rPr>
            </w:pPr>
            <w:r w:rsidRPr="00DE1A22">
              <w:rPr>
                <w:rFonts w:eastAsia="Times New Roman"/>
                <w:sz w:val="24"/>
                <w:szCs w:val="24"/>
                <w:lang w:eastAsia="lv-LV"/>
              </w:rPr>
              <w:t>Pamatnostādņu 6.sadaļa kopumā.</w:t>
            </w:r>
          </w:p>
        </w:tc>
        <w:tc>
          <w:tcPr>
            <w:tcW w:w="4394" w:type="dxa"/>
            <w:shd w:val="clear" w:color="auto" w:fill="auto"/>
          </w:tcPr>
          <w:p w:rsidR="00EA6D59" w:rsidRPr="00DE1A22" w:rsidRDefault="00EA6D59" w:rsidP="00EA6D59">
            <w:pPr>
              <w:jc w:val="both"/>
              <w:rPr>
                <w:rFonts w:eastAsia="Times New Roman"/>
                <w:b/>
                <w:sz w:val="24"/>
                <w:szCs w:val="24"/>
              </w:rPr>
            </w:pPr>
            <w:r w:rsidRPr="00DE1A22">
              <w:rPr>
                <w:rFonts w:eastAsia="Times New Roman"/>
                <w:b/>
                <w:sz w:val="24"/>
                <w:szCs w:val="24"/>
              </w:rPr>
              <w:t>Veselības ministrija (30.04.2020. Nr.01-09/2397)</w:t>
            </w:r>
          </w:p>
          <w:p w:rsidR="00EA6D59" w:rsidRPr="00DE1A22" w:rsidRDefault="00EA6D59" w:rsidP="00EA6D59">
            <w:pPr>
              <w:jc w:val="both"/>
              <w:rPr>
                <w:rFonts w:eastAsia="Times New Roman"/>
                <w:sz w:val="24"/>
                <w:szCs w:val="24"/>
              </w:rPr>
            </w:pPr>
            <w:r w:rsidRPr="00DE1A22">
              <w:rPr>
                <w:rFonts w:eastAsia="Times New Roman"/>
                <w:sz w:val="24"/>
                <w:szCs w:val="24"/>
              </w:rPr>
              <w:t>Veselības ministrija ir sagatavojusi nepieciešamo informāciju un lūdz Finanšu ministriju precizēt pamatnostādņu projekta  6. sadaļā “Ietekme uz valsts un pašvaldību budžetiem” paredzēto finansējumu sekojošiem pasākumiem.</w:t>
            </w:r>
          </w:p>
        </w:tc>
        <w:tc>
          <w:tcPr>
            <w:tcW w:w="3118" w:type="dxa"/>
            <w:shd w:val="clear" w:color="auto" w:fill="auto"/>
          </w:tcPr>
          <w:p w:rsidR="00EA6D59" w:rsidRPr="00DE1A22" w:rsidRDefault="00EA6D59" w:rsidP="00EA6D59">
            <w:pPr>
              <w:jc w:val="both"/>
              <w:rPr>
                <w:rFonts w:eastAsia="Times New Roman"/>
                <w:b/>
                <w:bCs/>
                <w:sz w:val="24"/>
                <w:szCs w:val="24"/>
                <w:lang w:eastAsia="lv-LV"/>
              </w:rPr>
            </w:pPr>
            <w:r w:rsidRPr="00DE1A22">
              <w:rPr>
                <w:rFonts w:eastAsia="Times New Roman"/>
                <w:b/>
                <w:bCs/>
                <w:sz w:val="24"/>
                <w:szCs w:val="24"/>
                <w:lang w:eastAsia="lv-LV"/>
              </w:rPr>
              <w:t>Ņemts vērā.</w:t>
            </w:r>
          </w:p>
          <w:p w:rsidR="00EA6D59" w:rsidRPr="00DE1A22" w:rsidRDefault="00EA6D59" w:rsidP="00EA6D59">
            <w:pPr>
              <w:jc w:val="both"/>
              <w:rPr>
                <w:rFonts w:eastAsia="Times New Roman"/>
                <w:b/>
                <w:bCs/>
                <w:sz w:val="24"/>
                <w:szCs w:val="24"/>
                <w:lang w:eastAsia="lv-LV"/>
              </w:rPr>
            </w:pPr>
          </w:p>
        </w:tc>
        <w:tc>
          <w:tcPr>
            <w:tcW w:w="3402" w:type="dxa"/>
            <w:shd w:val="clear" w:color="auto" w:fill="auto"/>
          </w:tcPr>
          <w:p w:rsidR="00EA6D59" w:rsidRPr="00DE1A22" w:rsidRDefault="00EA6D59" w:rsidP="003E7749">
            <w:pPr>
              <w:jc w:val="both"/>
              <w:rPr>
                <w:rFonts w:eastAsia="Times New Roman"/>
                <w:sz w:val="24"/>
                <w:szCs w:val="24"/>
              </w:rPr>
            </w:pPr>
            <w:r w:rsidRPr="00DE1A22">
              <w:rPr>
                <w:rFonts w:eastAsia="Times New Roman"/>
                <w:sz w:val="24"/>
                <w:szCs w:val="24"/>
              </w:rPr>
              <w:t xml:space="preserve">Atbilstoši saņemtajai informācijai ir precizēts Pamatnostādņu </w:t>
            </w:r>
            <w:r w:rsidR="003E7749">
              <w:rPr>
                <w:rFonts w:eastAsia="Times New Roman"/>
                <w:sz w:val="24"/>
                <w:szCs w:val="24"/>
              </w:rPr>
              <w:t>6</w:t>
            </w:r>
            <w:r w:rsidRPr="00DE1A22">
              <w:rPr>
                <w:rFonts w:eastAsia="Times New Roman"/>
                <w:sz w:val="24"/>
                <w:szCs w:val="24"/>
              </w:rPr>
              <w:t>.sadaļā (jaunā numerācija) iekļautais pasākumu finansējums.</w:t>
            </w:r>
          </w:p>
        </w:tc>
      </w:tr>
      <w:tr w:rsidR="00651FC9" w:rsidRPr="00DE1A22" w:rsidTr="0025005A">
        <w:tc>
          <w:tcPr>
            <w:tcW w:w="751" w:type="dxa"/>
            <w:shd w:val="clear" w:color="auto" w:fill="auto"/>
          </w:tcPr>
          <w:p w:rsidR="00EA6D59" w:rsidRPr="00DE1A22" w:rsidRDefault="00EA6D59" w:rsidP="0047381A">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2</w:t>
            </w:r>
            <w:r w:rsidR="0047381A" w:rsidRPr="00DE1A22">
              <w:rPr>
                <w:rFonts w:eastAsia="Times New Roman"/>
                <w:sz w:val="24"/>
                <w:szCs w:val="24"/>
                <w:lang w:eastAsia="lv-LV"/>
              </w:rPr>
              <w:t>9</w:t>
            </w:r>
            <w:r w:rsidRPr="00DE1A22">
              <w:rPr>
                <w:rFonts w:eastAsia="Times New Roman"/>
                <w:sz w:val="24"/>
                <w:szCs w:val="24"/>
                <w:lang w:eastAsia="lv-LV"/>
              </w:rPr>
              <w:t>.</w:t>
            </w:r>
          </w:p>
        </w:tc>
        <w:tc>
          <w:tcPr>
            <w:tcW w:w="3072" w:type="dxa"/>
            <w:shd w:val="clear" w:color="auto" w:fill="auto"/>
          </w:tcPr>
          <w:p w:rsidR="00EA6D59" w:rsidRPr="00DE1A22" w:rsidRDefault="00EA6D59" w:rsidP="00EA6D59">
            <w:pPr>
              <w:jc w:val="both"/>
              <w:rPr>
                <w:rFonts w:eastAsia="Times New Roman"/>
                <w:sz w:val="24"/>
                <w:szCs w:val="24"/>
                <w:lang w:eastAsia="lv-LV"/>
              </w:rPr>
            </w:pPr>
            <w:r w:rsidRPr="00DE1A22">
              <w:rPr>
                <w:rFonts w:eastAsia="Times New Roman"/>
                <w:sz w:val="24"/>
                <w:szCs w:val="24"/>
                <w:lang w:eastAsia="lv-LV"/>
              </w:rPr>
              <w:t>Pamatnostādnes kopumā.</w:t>
            </w:r>
          </w:p>
        </w:tc>
        <w:tc>
          <w:tcPr>
            <w:tcW w:w="4394" w:type="dxa"/>
            <w:shd w:val="clear" w:color="auto" w:fill="auto"/>
          </w:tcPr>
          <w:p w:rsidR="00EA6D59" w:rsidRPr="00DE1A22" w:rsidRDefault="00EA6D59" w:rsidP="00EA6D59">
            <w:pPr>
              <w:jc w:val="both"/>
              <w:rPr>
                <w:rFonts w:eastAsia="Times New Roman"/>
                <w:b/>
                <w:sz w:val="24"/>
                <w:szCs w:val="24"/>
              </w:rPr>
            </w:pPr>
            <w:r w:rsidRPr="00DE1A22">
              <w:rPr>
                <w:rFonts w:eastAsia="Times New Roman"/>
                <w:b/>
                <w:sz w:val="24"/>
                <w:szCs w:val="24"/>
              </w:rPr>
              <w:t>Veselības ministrija (02.03.2020. Nr.01-09/1090)</w:t>
            </w:r>
          </w:p>
          <w:p w:rsidR="00EA6D59" w:rsidRPr="00DE1A22" w:rsidRDefault="00EA6D59" w:rsidP="00EA6D59">
            <w:pPr>
              <w:jc w:val="both"/>
              <w:rPr>
                <w:rFonts w:eastAsia="Times New Roman"/>
                <w:sz w:val="24"/>
                <w:szCs w:val="24"/>
              </w:rPr>
            </w:pPr>
            <w:r w:rsidRPr="00DE1A22">
              <w:rPr>
                <w:rFonts w:eastAsia="Times New Roman"/>
                <w:sz w:val="24"/>
                <w:szCs w:val="24"/>
              </w:rPr>
              <w:t xml:space="preserve">Lūdzam pamatnostādņu projektā iekļaut Veselības ministrijas 2019.gada 26.jūnija vēstulē Nr.01-13.1/2701 minēto pasākumu – </w:t>
            </w:r>
            <w:r w:rsidRPr="00DE1A22">
              <w:rPr>
                <w:rFonts w:eastAsia="Times New Roman"/>
                <w:b/>
                <w:sz w:val="24"/>
                <w:szCs w:val="24"/>
              </w:rPr>
              <w:t>Nodalīt azartspēļu organizēšanas vietās telpas, kurās tiek sniegti ēdināšanas pakalpojumi no telpām, kurās tiek spēlētas azartspēles.</w:t>
            </w:r>
            <w:r w:rsidRPr="00DE1A22">
              <w:rPr>
                <w:rFonts w:eastAsia="Times New Roman"/>
                <w:sz w:val="24"/>
                <w:szCs w:val="24"/>
              </w:rPr>
              <w:t xml:space="preserve"> Minētā pasākuma iekļaušana pamatnostādņu projektā pamatojama ar 2019.gada Veselības ministrijas pētījumā par procesu atkarību izplatību Latvijas iedzīvotāju vidū un to ietekmējošiem riska faktoriem izteiktajām rekomendācijām un secinājumiem.</w:t>
            </w:r>
          </w:p>
        </w:tc>
        <w:tc>
          <w:tcPr>
            <w:tcW w:w="3118" w:type="dxa"/>
            <w:shd w:val="clear" w:color="auto" w:fill="auto"/>
          </w:tcPr>
          <w:p w:rsidR="00EA6D59" w:rsidRPr="00DE1A22" w:rsidRDefault="00EA6D59" w:rsidP="00EA6D59">
            <w:pPr>
              <w:jc w:val="both"/>
              <w:rPr>
                <w:rFonts w:eastAsia="Times New Roman"/>
                <w:b/>
                <w:bCs/>
                <w:sz w:val="24"/>
                <w:szCs w:val="24"/>
                <w:lang w:eastAsia="lv-LV"/>
              </w:rPr>
            </w:pPr>
            <w:r w:rsidRPr="00DE1A22">
              <w:rPr>
                <w:rFonts w:eastAsia="Times New Roman"/>
                <w:b/>
                <w:bCs/>
                <w:sz w:val="24"/>
                <w:szCs w:val="24"/>
                <w:lang w:eastAsia="lv-LV"/>
              </w:rPr>
              <w:t>Ņemts vērā.</w:t>
            </w:r>
          </w:p>
          <w:p w:rsidR="00EA6D59" w:rsidRPr="00DE1A22" w:rsidRDefault="00EA6D59" w:rsidP="00EA6D59">
            <w:pPr>
              <w:jc w:val="both"/>
              <w:rPr>
                <w:rFonts w:eastAsia="Times New Roman"/>
                <w:bCs/>
                <w:sz w:val="24"/>
                <w:szCs w:val="24"/>
                <w:lang w:eastAsia="lv-LV"/>
              </w:rPr>
            </w:pPr>
          </w:p>
        </w:tc>
        <w:tc>
          <w:tcPr>
            <w:tcW w:w="3402" w:type="dxa"/>
            <w:shd w:val="clear" w:color="auto" w:fill="auto"/>
          </w:tcPr>
          <w:p w:rsidR="00EA6D59" w:rsidRPr="00DE1A22" w:rsidRDefault="00EA6D59" w:rsidP="00EA6D59">
            <w:pPr>
              <w:jc w:val="both"/>
              <w:rPr>
                <w:rFonts w:eastAsia="Times New Roman"/>
                <w:sz w:val="24"/>
                <w:szCs w:val="24"/>
              </w:rPr>
            </w:pPr>
            <w:r w:rsidRPr="00DE1A22">
              <w:rPr>
                <w:rFonts w:eastAsia="Times New Roman"/>
                <w:sz w:val="24"/>
                <w:szCs w:val="24"/>
              </w:rPr>
              <w:t>Atbilstoši ir papildināts Pamatnostādņu  4.sadaļas 1.rīcības virziena “Atkarības profilakses, preventīvie, problemātiskā spēlētāja atbalsts un sabiedrības izglītojoši pasākumi” 22.uzdevums.</w:t>
            </w:r>
          </w:p>
        </w:tc>
      </w:tr>
      <w:tr w:rsidR="00651FC9" w:rsidRPr="00DE1A22" w:rsidTr="0025005A">
        <w:tc>
          <w:tcPr>
            <w:tcW w:w="751" w:type="dxa"/>
            <w:shd w:val="clear" w:color="auto" w:fill="auto"/>
          </w:tcPr>
          <w:p w:rsidR="00EA6D59" w:rsidRPr="00DE1A22" w:rsidRDefault="0047381A" w:rsidP="00EA6D5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30</w:t>
            </w:r>
            <w:r w:rsidR="00EA6D59" w:rsidRPr="00DE1A22">
              <w:rPr>
                <w:rFonts w:eastAsia="Times New Roman"/>
                <w:sz w:val="24"/>
                <w:szCs w:val="24"/>
                <w:lang w:eastAsia="lv-LV"/>
              </w:rPr>
              <w:t>.</w:t>
            </w:r>
          </w:p>
        </w:tc>
        <w:tc>
          <w:tcPr>
            <w:tcW w:w="3072" w:type="dxa"/>
            <w:shd w:val="clear" w:color="auto" w:fill="auto"/>
          </w:tcPr>
          <w:p w:rsidR="00EA6D59" w:rsidRPr="00DE1A22" w:rsidRDefault="00EA6D59" w:rsidP="00EA6D59">
            <w:pPr>
              <w:jc w:val="both"/>
              <w:rPr>
                <w:rFonts w:eastAsia="Times New Roman"/>
                <w:sz w:val="24"/>
                <w:szCs w:val="24"/>
                <w:lang w:eastAsia="lv-LV"/>
              </w:rPr>
            </w:pPr>
            <w:r w:rsidRPr="00DE1A22">
              <w:rPr>
                <w:rFonts w:eastAsia="Times New Roman"/>
                <w:sz w:val="24"/>
                <w:szCs w:val="24"/>
                <w:lang w:eastAsia="lv-LV"/>
              </w:rPr>
              <w:t>Pamatnostādnēm pievienotā izziņa.</w:t>
            </w:r>
          </w:p>
        </w:tc>
        <w:tc>
          <w:tcPr>
            <w:tcW w:w="4394" w:type="dxa"/>
            <w:shd w:val="clear" w:color="auto" w:fill="auto"/>
          </w:tcPr>
          <w:p w:rsidR="00EA6D59" w:rsidRPr="00DE1A22" w:rsidRDefault="00EA6D59" w:rsidP="00EA6D59">
            <w:pPr>
              <w:jc w:val="both"/>
              <w:rPr>
                <w:rFonts w:eastAsia="Times New Roman"/>
                <w:b/>
                <w:sz w:val="24"/>
                <w:szCs w:val="24"/>
              </w:rPr>
            </w:pPr>
            <w:r w:rsidRPr="00DE1A22">
              <w:rPr>
                <w:rFonts w:eastAsia="Times New Roman"/>
                <w:b/>
                <w:sz w:val="24"/>
                <w:szCs w:val="24"/>
              </w:rPr>
              <w:t>Vides aizsardzības un reģionālās attīstības ministrija (21.02.2020. Nr.1-132/1579)</w:t>
            </w:r>
          </w:p>
          <w:p w:rsidR="00EA6D59" w:rsidRPr="00DE1A22" w:rsidRDefault="00EA6D59" w:rsidP="00EA6D59">
            <w:pPr>
              <w:jc w:val="both"/>
              <w:rPr>
                <w:rFonts w:eastAsia="Times New Roman"/>
                <w:sz w:val="24"/>
                <w:szCs w:val="24"/>
              </w:rPr>
            </w:pPr>
            <w:r w:rsidRPr="00DE1A22">
              <w:rPr>
                <w:rFonts w:eastAsia="Times New Roman"/>
                <w:sz w:val="24"/>
                <w:szCs w:val="24"/>
              </w:rPr>
              <w:t xml:space="preserve">Vienlaikus izsakām priekšlikumu novērst tehnisku neprecizitāti projektam pievienotās izziņas 14.punkta ailē “Projekta attiecīgā punkta (panta) galīgā redakcija”, kura ir pretrunā projekta pielikuma 4.sadaļai, proti, projektam pievienotās izziņas par atzinumos sniegtajiem iebildumiem 14.punkta ailē “Projekta attiecīgā punkta (panta) galīgā redakcija” ir teikts, ka Ministrijas iebildums ir ņemts vērā, aizstājot projekta 4.sadaļas “Rīcības virzieni un uzdevumi” 2.Rīcības virziena “Azartspēļu un izložu pieejamības regulēšana” 4.uzdevumu ar alternatīvu risinājumu – projekta pielikuma 4.sadaļas “Azartspēļu un izložu pieejamība, darbības vietas un to regulēšana” 2.risinājums. Minētais 2.risinājums nav atrodams </w:t>
            </w:r>
            <w:r w:rsidRPr="00DE1A22">
              <w:rPr>
                <w:rFonts w:eastAsia="Times New Roman"/>
                <w:sz w:val="24"/>
                <w:szCs w:val="24"/>
              </w:rPr>
              <w:lastRenderedPageBreak/>
              <w:t>projekta pielikuma 4.sadaļā, bet pašreiz norādīts projekta pielikuma 5.sadaļā. Līdz ar to lūdzam precizēt projekta izziņu un projekta pielikumu, nodrošinot projekta un tam pievienoto dokumentu konsekvenci.</w:t>
            </w:r>
          </w:p>
        </w:tc>
        <w:tc>
          <w:tcPr>
            <w:tcW w:w="3118" w:type="dxa"/>
            <w:shd w:val="clear" w:color="auto" w:fill="auto"/>
          </w:tcPr>
          <w:p w:rsidR="00EA6D59" w:rsidRPr="00DE1A22" w:rsidRDefault="00EA6D59" w:rsidP="00EA6D59">
            <w:pPr>
              <w:jc w:val="both"/>
              <w:rPr>
                <w:rFonts w:eastAsia="Times New Roman"/>
                <w:b/>
                <w:bCs/>
                <w:sz w:val="24"/>
                <w:szCs w:val="24"/>
                <w:lang w:eastAsia="lv-LV"/>
              </w:rPr>
            </w:pPr>
            <w:r w:rsidRPr="00DE1A22">
              <w:rPr>
                <w:rFonts w:eastAsia="Times New Roman"/>
                <w:b/>
                <w:bCs/>
                <w:sz w:val="24"/>
                <w:szCs w:val="24"/>
                <w:lang w:eastAsia="lv-LV"/>
              </w:rPr>
              <w:lastRenderedPageBreak/>
              <w:t>Ņemts vērā.</w:t>
            </w:r>
          </w:p>
          <w:p w:rsidR="00EA6D59" w:rsidRPr="00DE1A22" w:rsidRDefault="00EA6D59" w:rsidP="00EA6D59">
            <w:pPr>
              <w:jc w:val="both"/>
              <w:rPr>
                <w:rFonts w:eastAsia="Times New Roman"/>
                <w:bCs/>
                <w:sz w:val="24"/>
                <w:szCs w:val="24"/>
                <w:lang w:eastAsia="lv-LV"/>
              </w:rPr>
            </w:pPr>
          </w:p>
        </w:tc>
        <w:tc>
          <w:tcPr>
            <w:tcW w:w="3402" w:type="dxa"/>
            <w:shd w:val="clear" w:color="auto" w:fill="auto"/>
          </w:tcPr>
          <w:p w:rsidR="00EA6D59" w:rsidRPr="00DE1A22" w:rsidRDefault="00EA6D59" w:rsidP="00EA6D59">
            <w:pPr>
              <w:jc w:val="both"/>
              <w:rPr>
                <w:rFonts w:eastAsia="Times New Roman"/>
                <w:sz w:val="24"/>
                <w:szCs w:val="24"/>
              </w:rPr>
            </w:pPr>
            <w:r w:rsidRPr="00DE1A22">
              <w:rPr>
                <w:rFonts w:eastAsia="Times New Roman"/>
                <w:sz w:val="24"/>
                <w:szCs w:val="24"/>
              </w:rPr>
              <w:t>Atbilstoši precizēts Pamatnostādņu projekts.</w:t>
            </w:r>
          </w:p>
        </w:tc>
      </w:tr>
    </w:tbl>
    <w:p w:rsidR="006812CB" w:rsidRPr="00DE1A22" w:rsidRDefault="006812CB" w:rsidP="00A47E6A">
      <w:pPr>
        <w:spacing w:before="100" w:beforeAutospacing="1" w:after="100" w:afterAutospacing="1"/>
        <w:jc w:val="center"/>
        <w:rPr>
          <w:rFonts w:eastAsia="Times New Roman"/>
          <w:b/>
          <w:sz w:val="24"/>
          <w:szCs w:val="24"/>
          <w:lang w:eastAsia="lv-LV"/>
        </w:rPr>
      </w:pPr>
    </w:p>
    <w:p w:rsidR="00C31A6E" w:rsidRPr="00DE1A22" w:rsidRDefault="006B67AB" w:rsidP="00A47E6A">
      <w:pPr>
        <w:spacing w:before="100" w:beforeAutospacing="1" w:after="100" w:afterAutospacing="1"/>
        <w:jc w:val="center"/>
        <w:rPr>
          <w:rFonts w:eastAsia="Times New Roman"/>
          <w:b/>
          <w:sz w:val="24"/>
          <w:szCs w:val="24"/>
          <w:lang w:eastAsia="lv-LV"/>
        </w:rPr>
      </w:pPr>
      <w:r w:rsidRPr="00DE1A22">
        <w:rPr>
          <w:rFonts w:eastAsia="Times New Roman"/>
          <w:b/>
          <w:sz w:val="24"/>
          <w:szCs w:val="24"/>
          <w:lang w:eastAsia="lv-LV"/>
        </w:rPr>
        <w:t>Starpministriju (starpinstitūciju) saskaņošanas sanāksme pēc VSS 2019.gadā</w:t>
      </w:r>
    </w:p>
    <w:p w:rsidR="00F314EB" w:rsidRPr="00DE1A22" w:rsidRDefault="00BD52D8" w:rsidP="0038346E">
      <w:pPr>
        <w:spacing w:before="100" w:beforeAutospacing="1" w:after="100" w:afterAutospacing="1"/>
        <w:jc w:val="center"/>
        <w:rPr>
          <w:rFonts w:eastAsia="Times New Roman"/>
          <w:b/>
          <w:sz w:val="24"/>
          <w:szCs w:val="24"/>
          <w:lang w:eastAsia="lv-LV"/>
        </w:rPr>
      </w:pPr>
      <w:r w:rsidRPr="00DE1A22">
        <w:rPr>
          <w:rFonts w:eastAsia="Times New Roman"/>
          <w:b/>
          <w:sz w:val="24"/>
          <w:szCs w:val="24"/>
          <w:lang w:eastAsia="lv-LV"/>
        </w:rPr>
        <w:t>I. Jautājumi, par kuriem saskaņošanā vienošanās ir panākta</w:t>
      </w:r>
    </w:p>
    <w:tbl>
      <w:tblPr>
        <w:tblpPr w:leftFromText="180" w:rightFromText="180" w:vertAnchor="text" w:tblpY="1"/>
        <w:tblOverlap w:val="neve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
        <w:gridCol w:w="96"/>
        <w:gridCol w:w="2977"/>
        <w:gridCol w:w="4394"/>
        <w:gridCol w:w="3118"/>
        <w:gridCol w:w="3402"/>
      </w:tblGrid>
      <w:tr w:rsidR="007F20EE" w:rsidRPr="00DE1A22" w:rsidTr="00E07510">
        <w:tc>
          <w:tcPr>
            <w:tcW w:w="750" w:type="dxa"/>
            <w:vAlign w:val="center"/>
          </w:tcPr>
          <w:p w:rsidR="00337007" w:rsidRPr="00DE1A22" w:rsidRDefault="00337007" w:rsidP="00435C09">
            <w:pPr>
              <w:pStyle w:val="naisc"/>
            </w:pPr>
            <w:r w:rsidRPr="00DE1A22">
              <w:t> Nr.</w:t>
            </w:r>
            <w:r w:rsidRPr="00DE1A22">
              <w:br/>
              <w:t> p.k.</w:t>
            </w:r>
          </w:p>
        </w:tc>
        <w:tc>
          <w:tcPr>
            <w:tcW w:w="3073" w:type="dxa"/>
            <w:gridSpan w:val="2"/>
            <w:vAlign w:val="center"/>
          </w:tcPr>
          <w:p w:rsidR="00337007" w:rsidRPr="00DE1A22" w:rsidRDefault="00337007" w:rsidP="00435C0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Saskaņošanai nosūtītā projekta redakcija (konkrēta punkta (panta) redakcija)</w:t>
            </w:r>
          </w:p>
        </w:tc>
        <w:tc>
          <w:tcPr>
            <w:tcW w:w="4394" w:type="dxa"/>
            <w:vAlign w:val="center"/>
          </w:tcPr>
          <w:p w:rsidR="00337007" w:rsidRPr="00DE1A22" w:rsidRDefault="00337007" w:rsidP="00435C0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Atzinumā norādītais ministrijas (citas institūcijas) iebildums, kā arī saskaņošanā papildus izteiktais iebildums par projekta konkrēto punktu (pantu)</w:t>
            </w:r>
          </w:p>
        </w:tc>
        <w:tc>
          <w:tcPr>
            <w:tcW w:w="3118" w:type="dxa"/>
            <w:vAlign w:val="center"/>
          </w:tcPr>
          <w:p w:rsidR="00337007" w:rsidRPr="00DE1A22" w:rsidRDefault="00337007" w:rsidP="00435C0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Atbildīgās ministrijas norāde par to, ka iebildums ir ņemts vērā, vai informācija par saskaņošanā panākto alternatīvo risinājumu</w:t>
            </w:r>
          </w:p>
        </w:tc>
        <w:tc>
          <w:tcPr>
            <w:tcW w:w="3402" w:type="dxa"/>
            <w:vAlign w:val="center"/>
          </w:tcPr>
          <w:p w:rsidR="00337007" w:rsidRPr="00DE1A22" w:rsidRDefault="00337007" w:rsidP="00435C0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Projekta attiecīgā punkta (panta) galīgā redakcija</w:t>
            </w:r>
          </w:p>
        </w:tc>
      </w:tr>
      <w:tr w:rsidR="007F20EE" w:rsidRPr="00DE1A22" w:rsidTr="00E07510">
        <w:tc>
          <w:tcPr>
            <w:tcW w:w="750" w:type="dxa"/>
          </w:tcPr>
          <w:p w:rsidR="00337007" w:rsidRPr="00DE1A22" w:rsidRDefault="00337007" w:rsidP="00435C0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p>
        </w:tc>
        <w:tc>
          <w:tcPr>
            <w:tcW w:w="3073" w:type="dxa"/>
            <w:gridSpan w:val="2"/>
          </w:tcPr>
          <w:p w:rsidR="00337007" w:rsidRPr="00DE1A22" w:rsidRDefault="00337007" w:rsidP="00435C0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w:t>
            </w:r>
          </w:p>
        </w:tc>
        <w:tc>
          <w:tcPr>
            <w:tcW w:w="4394" w:type="dxa"/>
          </w:tcPr>
          <w:p w:rsidR="00337007" w:rsidRPr="00DE1A22" w:rsidRDefault="00337007" w:rsidP="00435C0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3</w:t>
            </w:r>
          </w:p>
        </w:tc>
        <w:tc>
          <w:tcPr>
            <w:tcW w:w="3118" w:type="dxa"/>
          </w:tcPr>
          <w:p w:rsidR="00337007" w:rsidRPr="00DE1A22" w:rsidRDefault="00337007" w:rsidP="00435C0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4</w:t>
            </w:r>
          </w:p>
        </w:tc>
        <w:tc>
          <w:tcPr>
            <w:tcW w:w="3402" w:type="dxa"/>
          </w:tcPr>
          <w:p w:rsidR="00337007" w:rsidRPr="00DE1A22" w:rsidRDefault="00337007" w:rsidP="00435C0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5</w:t>
            </w:r>
          </w:p>
        </w:tc>
      </w:tr>
      <w:tr w:rsidR="00681F9E" w:rsidRPr="00DE1A22" w:rsidTr="00681F9E">
        <w:tc>
          <w:tcPr>
            <w:tcW w:w="14737" w:type="dxa"/>
            <w:gridSpan w:val="6"/>
            <w:shd w:val="clear" w:color="auto" w:fill="92D050"/>
          </w:tcPr>
          <w:p w:rsidR="00681F9E" w:rsidRPr="00DE1A22" w:rsidRDefault="00681F9E" w:rsidP="004D33BF">
            <w:pPr>
              <w:jc w:val="both"/>
              <w:rPr>
                <w:rFonts w:eastAsia="Times New Roman"/>
                <w:sz w:val="24"/>
                <w:szCs w:val="24"/>
              </w:rPr>
            </w:pPr>
          </w:p>
          <w:p w:rsidR="00681F9E" w:rsidRPr="00DE1A22" w:rsidRDefault="00681F9E" w:rsidP="00681F9E">
            <w:pPr>
              <w:jc w:val="center"/>
              <w:rPr>
                <w:rFonts w:eastAsia="Times New Roman"/>
                <w:b/>
                <w:sz w:val="24"/>
                <w:szCs w:val="24"/>
              </w:rPr>
            </w:pPr>
            <w:r w:rsidRPr="00DE1A22">
              <w:rPr>
                <w:rFonts w:eastAsia="Times New Roman"/>
                <w:b/>
                <w:sz w:val="24"/>
                <w:szCs w:val="24"/>
              </w:rPr>
              <w:t>Pamatnostādnes</w:t>
            </w:r>
          </w:p>
          <w:p w:rsidR="00681F9E" w:rsidRPr="00DE1A22" w:rsidRDefault="00681F9E" w:rsidP="004D33BF">
            <w:pPr>
              <w:jc w:val="both"/>
              <w:rPr>
                <w:rFonts w:eastAsia="Times New Roman"/>
                <w:sz w:val="24"/>
                <w:szCs w:val="24"/>
              </w:rPr>
            </w:pPr>
          </w:p>
        </w:tc>
      </w:tr>
      <w:tr w:rsidR="005B04CB" w:rsidRPr="00DE1A22" w:rsidTr="00BF4AE7">
        <w:tc>
          <w:tcPr>
            <w:tcW w:w="846" w:type="dxa"/>
            <w:gridSpan w:val="2"/>
          </w:tcPr>
          <w:p w:rsidR="005B04CB" w:rsidRPr="00DE1A22" w:rsidRDefault="005B04CB"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p>
        </w:tc>
        <w:tc>
          <w:tcPr>
            <w:tcW w:w="2977" w:type="dxa"/>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 xml:space="preserve">Projekta 3. sadaļas “Politikas rezultāti un rezultatīvie rādītāji” 1. Politikas rezultāta “Samazinās azartspēļu un interaktīvo izložu problemātisko spēlētāju skaits” </w:t>
            </w:r>
            <w:r w:rsidR="000C2873" w:rsidRPr="00DE1A22">
              <w:rPr>
                <w:rFonts w:eastAsia="Times New Roman"/>
                <w:sz w:val="24"/>
                <w:szCs w:val="24"/>
                <w:lang w:eastAsia="lv-LV"/>
              </w:rPr>
              <w:t>r</w:t>
            </w:r>
            <w:r w:rsidRPr="00DE1A22">
              <w:rPr>
                <w:rFonts w:eastAsia="Times New Roman"/>
                <w:sz w:val="24"/>
                <w:szCs w:val="24"/>
                <w:lang w:eastAsia="lv-LV"/>
              </w:rPr>
              <w:t xml:space="preserve">ezultatīvā rādītāja  “Pozitīvi ietekmēto problemātisko vai potenciāli problemātisko spēlētāju skaits (% no visiem potenciāli problemātiskajiem un problemātiskajiem </w:t>
            </w:r>
            <w:r w:rsidRPr="00DE1A22">
              <w:rPr>
                <w:rFonts w:eastAsia="Times New Roman"/>
                <w:sz w:val="24"/>
                <w:szCs w:val="24"/>
                <w:lang w:eastAsia="lv-LV"/>
              </w:rPr>
              <w:lastRenderedPageBreak/>
              <w:t>spēlētājiem)” novērtēšanas rādītāji:</w:t>
            </w:r>
          </w:p>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1.4. Netiek veicināta pārmērīga interese par azartspēlēm un interaktīvajām izlozēm.</w:t>
            </w:r>
          </w:p>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1.5. Personām ir izpratne par azartspēļu un izložu kaitīgo ietekmi.</w:t>
            </w:r>
          </w:p>
        </w:tc>
        <w:tc>
          <w:tcPr>
            <w:tcW w:w="4394" w:type="dxa"/>
          </w:tcPr>
          <w:p w:rsidR="005B04CB" w:rsidRPr="00DE1A22" w:rsidRDefault="005B04CB" w:rsidP="005B04CB">
            <w:pPr>
              <w:contextualSpacing/>
              <w:jc w:val="both"/>
              <w:rPr>
                <w:rFonts w:eastAsia="Times New Roman"/>
                <w:b/>
                <w:sz w:val="24"/>
                <w:szCs w:val="24"/>
              </w:rPr>
            </w:pPr>
            <w:r w:rsidRPr="00DE1A22">
              <w:rPr>
                <w:rFonts w:eastAsia="Times New Roman"/>
                <w:sz w:val="24"/>
                <w:szCs w:val="24"/>
                <w:lang w:eastAsia="lv-LV"/>
              </w:rPr>
              <w:lastRenderedPageBreak/>
              <w:t xml:space="preserve">Priekšlikums: </w:t>
            </w:r>
            <w:r w:rsidRPr="00DE1A22">
              <w:rPr>
                <w:rFonts w:eastAsia="Times New Roman"/>
                <w:b/>
                <w:sz w:val="24"/>
                <w:szCs w:val="24"/>
              </w:rPr>
              <w:t>Labklājības ministrija (25.01.2019. Nr.A-21-09/9)</w:t>
            </w:r>
          </w:p>
          <w:p w:rsidR="005B04CB" w:rsidRPr="00DE1A22" w:rsidRDefault="005B04CB" w:rsidP="005B04CB">
            <w:pPr>
              <w:contextualSpacing/>
              <w:jc w:val="both"/>
              <w:rPr>
                <w:rFonts w:eastAsia="Times New Roman"/>
                <w:b/>
                <w:sz w:val="24"/>
                <w:szCs w:val="24"/>
                <w:lang w:eastAsia="lv-LV"/>
              </w:rPr>
            </w:pPr>
            <w:r w:rsidRPr="00DE1A22">
              <w:rPr>
                <w:rFonts w:eastAsia="Times New Roman"/>
                <w:sz w:val="24"/>
                <w:szCs w:val="24"/>
              </w:rPr>
              <w:t>1.4. un 1.5. rādītāju formulējums ir vispārīgs un nav saprotams, kā varētu tikt iegūti un mērīti šie rādītāji. Lūdzam precizēt rādītāju formulējumu vai arī noteikt tādus rezultatīvos rādītājus, kas būtu nepārprotami, izmērāmi un pārbaudāmi.</w:t>
            </w:r>
          </w:p>
        </w:tc>
        <w:tc>
          <w:tcPr>
            <w:tcW w:w="3118" w:type="dxa"/>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rsidR="005B04CB" w:rsidRPr="00DE1A22" w:rsidRDefault="005B04CB" w:rsidP="00CB4782">
            <w:pPr>
              <w:jc w:val="both"/>
              <w:rPr>
                <w:rFonts w:eastAsia="Times New Roman"/>
                <w:b/>
                <w:bCs/>
                <w:sz w:val="24"/>
                <w:szCs w:val="24"/>
                <w:lang w:eastAsia="lv-LV"/>
              </w:rPr>
            </w:pPr>
            <w:r w:rsidRPr="00DE1A22">
              <w:rPr>
                <w:rFonts w:eastAsia="Times New Roman"/>
                <w:bCs/>
                <w:sz w:val="24"/>
                <w:szCs w:val="24"/>
                <w:lang w:eastAsia="lv-LV"/>
              </w:rPr>
              <w:t xml:space="preserve"> </w:t>
            </w:r>
          </w:p>
        </w:tc>
        <w:tc>
          <w:tcPr>
            <w:tcW w:w="3402" w:type="dxa"/>
          </w:tcPr>
          <w:p w:rsidR="006A5961" w:rsidRPr="00DE1A22" w:rsidRDefault="006A5961" w:rsidP="006A5961">
            <w:pPr>
              <w:jc w:val="both"/>
              <w:rPr>
                <w:rFonts w:eastAsia="Times New Roman"/>
                <w:bCs/>
                <w:sz w:val="24"/>
                <w:szCs w:val="24"/>
                <w:lang w:eastAsia="lv-LV"/>
              </w:rPr>
            </w:pPr>
            <w:r w:rsidRPr="00DE1A22">
              <w:rPr>
                <w:rFonts w:eastAsia="Times New Roman"/>
                <w:bCs/>
                <w:sz w:val="24"/>
                <w:szCs w:val="24"/>
                <w:lang w:eastAsia="lv-LV"/>
              </w:rPr>
              <w:t xml:space="preserve">Pielikuma 2.3. sadaļa “2.3. Profilaktiskie pasākumi ar azartspēlēm un izlozēm saistīto risku mazināšanai” – “- izstrādāti un pieņemti 2019.gada 16.jūlija Ministru kabineta noteikumi Nr.333 “No azartspēlēm un interaktīvajām izlozēm pašatteikušos personu reģistra noteikumi”. Noteikumi paredz no spēlēm pašatteikušos personu reģistra (turpmāk – reģistrs) izveidi, lai, pamatojoties uz fizisku personu izteiktajiem </w:t>
            </w:r>
            <w:r w:rsidRPr="00DE1A22">
              <w:rPr>
                <w:rFonts w:eastAsia="Times New Roman"/>
                <w:bCs/>
                <w:sz w:val="24"/>
                <w:szCs w:val="24"/>
                <w:lang w:eastAsia="lv-LV"/>
              </w:rPr>
              <w:lastRenderedPageBreak/>
              <w:t>pieprasījumiem, tām tiktu liegts piedalīties spēlēs.”</w:t>
            </w:r>
          </w:p>
          <w:p w:rsidR="006A5961" w:rsidRPr="00DE1A22" w:rsidRDefault="006A5961" w:rsidP="006A5961">
            <w:pPr>
              <w:jc w:val="both"/>
              <w:rPr>
                <w:rFonts w:eastAsia="Times New Roman"/>
                <w:bCs/>
                <w:sz w:val="24"/>
                <w:szCs w:val="24"/>
                <w:lang w:eastAsia="lv-LV"/>
              </w:rPr>
            </w:pPr>
            <w:r w:rsidRPr="00DE1A22">
              <w:rPr>
                <w:rFonts w:eastAsia="Times New Roman"/>
                <w:bCs/>
                <w:sz w:val="24"/>
                <w:szCs w:val="24"/>
                <w:lang w:eastAsia="lv-LV"/>
              </w:rPr>
              <w:t>Uzskatām, ka ieviestā Pašatteikušos personu reģistrā iekļauto personu skaits ir kā viens no rādītājiem, par cik samazinās personu ar pārmērīgu tieksmi uz azartspēļu spēlēm loks.</w:t>
            </w:r>
          </w:p>
          <w:p w:rsidR="005B04CB" w:rsidRPr="00DE1A22" w:rsidRDefault="006A5961" w:rsidP="006A5961">
            <w:pPr>
              <w:jc w:val="both"/>
              <w:rPr>
                <w:rFonts w:eastAsia="Times New Roman"/>
                <w:sz w:val="24"/>
                <w:szCs w:val="24"/>
              </w:rPr>
            </w:pPr>
            <w:r w:rsidRPr="00DE1A22">
              <w:rPr>
                <w:rFonts w:eastAsia="Times New Roman"/>
                <w:bCs/>
                <w:sz w:val="24"/>
                <w:szCs w:val="24"/>
                <w:lang w:eastAsia="lv-LV"/>
              </w:rPr>
              <w:t>Savukārt, atkarību no medicīniska aspekta vērtējama sadarbībā ar Veselības ministriju, apzinot, vai šobrīd ir ieviesta no pārmērīgas tieksmes uz azartspēļu spēlēšanu reģistrs/ uzskaite, iespējamā ārstēšana utt.</w:t>
            </w:r>
          </w:p>
        </w:tc>
      </w:tr>
      <w:tr w:rsidR="005B04CB" w:rsidRPr="00DE1A22" w:rsidTr="00BF4AE7">
        <w:tc>
          <w:tcPr>
            <w:tcW w:w="846" w:type="dxa"/>
            <w:gridSpan w:val="2"/>
            <w:shd w:val="clear" w:color="auto" w:fill="auto"/>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2</w:t>
            </w:r>
            <w:r w:rsidR="005B04CB" w:rsidRPr="00DE1A22">
              <w:rPr>
                <w:rFonts w:eastAsia="Times New Roman"/>
                <w:sz w:val="24"/>
                <w:szCs w:val="24"/>
                <w:lang w:eastAsia="lv-LV"/>
              </w:rPr>
              <w:t>.</w:t>
            </w:r>
          </w:p>
        </w:tc>
        <w:tc>
          <w:tcPr>
            <w:tcW w:w="2977" w:type="dxa"/>
            <w:shd w:val="clear" w:color="auto" w:fill="auto"/>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1. Rīcības virziena “Nelegālā tirgus ierobežošana” 1. uzdevums “Noteikt, ka elektronisko sakaru komersants piekļuves ierobežošanu Latvijā nelicencēta interaktīvo azartspēļu un/vai nelicencēta izložu organizētāja interneta mājaslapai nodrošina sev piemērotā veidā.”</w:t>
            </w:r>
          </w:p>
        </w:tc>
        <w:tc>
          <w:tcPr>
            <w:tcW w:w="4394" w:type="dxa"/>
            <w:shd w:val="clear" w:color="auto" w:fill="auto"/>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Latvijas Darba devēju konfederācija (25.01.2019. Nr.2-10/2)</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LDDK aicina pārskatīt Pamatnostādnēs ietverto uzdevumu: “Noteikt, ka elektronisko sakaru komersants piekļuves ierobežošanu Latvijā nelicencēta interaktīvo azartspēļu un/vai nelicencēta izložu organizētāja interneta mājaslapai nodrošina sev piemērotā veidā.”</w:t>
            </w:r>
          </w:p>
          <w:p w:rsidR="005B04CB" w:rsidRPr="00DE1A22" w:rsidRDefault="005B04CB" w:rsidP="005B04CB">
            <w:pPr>
              <w:contextualSpacing/>
              <w:jc w:val="both"/>
              <w:rPr>
                <w:rFonts w:eastAsia="Times New Roman"/>
                <w:sz w:val="24"/>
                <w:szCs w:val="24"/>
                <w:lang w:eastAsia="lv-LV"/>
              </w:rPr>
            </w:pP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Priekšlikums: Deleģēt IAUI izveidot vienotu, tiešsaistē pieejamu un elektroniski apstrādājamu bloķēto mājas lapu sarakstu, kuru elektronisko sakaru komersanti varētu izmantot automatizētai lēmumu izpildei.</w:t>
            </w:r>
          </w:p>
          <w:p w:rsidR="005B04CB" w:rsidRPr="00DE1A22" w:rsidRDefault="005B04CB" w:rsidP="005B04CB">
            <w:pPr>
              <w:contextualSpacing/>
              <w:jc w:val="both"/>
              <w:rPr>
                <w:rFonts w:eastAsia="Times New Roman"/>
                <w:sz w:val="24"/>
                <w:szCs w:val="24"/>
                <w:lang w:eastAsia="lv-LV"/>
              </w:rPr>
            </w:pP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Pamatojums:</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Elektronisko sakaru likuma 19.panta pirmās daļas 22.punkts jau šobrīd nosaka elektronisko sakaru komersantu pienākumu, pamatojoties uz IAUI lēmumu, </w:t>
            </w:r>
            <w:r w:rsidRPr="00DE1A22">
              <w:rPr>
                <w:rFonts w:eastAsia="Times New Roman"/>
                <w:sz w:val="24"/>
                <w:szCs w:val="24"/>
                <w:lang w:eastAsia="lv-LV"/>
              </w:rPr>
              <w:lastRenderedPageBreak/>
              <w:t>ierobežot piekļuvi nelicencēta interaktīvo azartspēļu organizētāja interneta mājaslapai.</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Vēršam Finanšu ministrijas uzmanību uz objektīvu apstākli, ka IAUI lēmumu izpilde ir iespējama vienīgi tiktāl, ciktāl to pieļauj katra komersanta tehnoloģiskās iespējas, piemēram, liedzot mājaslapas domēna vārda izmantošanu, ierobežojot mājaslapas apakšsadaļu pieejamību vai bloķējot servera IP adresi. Turklāt jāņem vērā arī galalietotājiem pieejamie risinājumi ierobežojumu apiešanai, piemēram, starpniekserveru un privāto tīklu izmantošana, kas būtiski samazina jebkādu ierobežojumu efektivitāti. Pamatnostādnēs ietvertais uzdevums rada neskaidrību par elektronisko sakaru komersantu pienākumu saturu, tostarp, ciktāl komersanti būtu atbildīgi par IAUI lēmuma izpildi sev objektīvi pieejamo tehnoloģisko risinājumu ietvaros, vai arī galarezultāta sasniegšanu, neraugoties uz tehnoloģiskajiem šķēršļiem un galalietotājam pieejamiem risinājumiem.</w:t>
            </w:r>
          </w:p>
          <w:p w:rsidR="005B04CB" w:rsidRPr="00DE1A22" w:rsidRDefault="005B04CB" w:rsidP="005B04CB">
            <w:pPr>
              <w:jc w:val="both"/>
              <w:rPr>
                <w:rFonts w:eastAsia="Times New Roman"/>
                <w:sz w:val="24"/>
                <w:szCs w:val="24"/>
              </w:rPr>
            </w:pPr>
            <w:r w:rsidRPr="00DE1A22">
              <w:rPr>
                <w:rFonts w:eastAsia="Times New Roman"/>
                <w:sz w:val="24"/>
                <w:szCs w:val="24"/>
                <w:lang w:eastAsia="lv-LV"/>
              </w:rPr>
              <w:t xml:space="preserve">LDDK atbalsta mūsdienīgus un efektīvus tehnoloģiskos līdzekļus nelegālo azartspēļu organizētāju interneta mājaslapu bloķēšanai. Lai veicinātu IAUI lēmumu izpildi, Pamatnostādnēs noteiktajiem uzdevumiem jātiek vērstiem uz informācijas apmaiņu starp valsts pārvaldes iestādēm un elektronisko sakaru komersantiem. Elektroniski apstrādājama bloķēto mājas lapu saraksta pieejamība IAUI mājaslapā ir būtisks priekšnoteikums </w:t>
            </w:r>
            <w:r w:rsidRPr="00DE1A22">
              <w:rPr>
                <w:rFonts w:eastAsia="Times New Roman"/>
                <w:sz w:val="24"/>
                <w:szCs w:val="24"/>
                <w:lang w:eastAsia="lv-LV"/>
              </w:rPr>
              <w:lastRenderedPageBreak/>
              <w:t>automatizētai informācijas pārnesamībai uz elektronisko sakaru komersantu informācijas sistēmām. Šāds risinājums sekmētu operatīvu un nekļūdīgu lēmumu izpildi, kā arī samazinātu administratīvo slogu elektronisko sakaru komersantiem.</w:t>
            </w:r>
          </w:p>
        </w:tc>
        <w:tc>
          <w:tcPr>
            <w:tcW w:w="3118" w:type="dxa"/>
            <w:shd w:val="clear" w:color="auto" w:fill="auto"/>
          </w:tcPr>
          <w:p w:rsidR="005B04CB" w:rsidRPr="00DE1A22" w:rsidRDefault="000C4D61" w:rsidP="000C4D61">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tc>
        <w:tc>
          <w:tcPr>
            <w:tcW w:w="3402" w:type="dxa"/>
            <w:shd w:val="clear" w:color="auto" w:fill="auto"/>
          </w:tcPr>
          <w:p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 xml:space="preserve">Uzdevums izpildīts ar 2019.gada 3.aprīlī Saeimā pieņemto likumu Par valsts budžetu 2019.gadam un to pavadošajiem 14 likumprojektiem, tai skaitā iekļautajiem četriem likumprojektiem, kas paredz ierobežot Latvijā nelicencētu interaktīvo azartspēļu un izložu pieejamību. </w:t>
            </w:r>
          </w:p>
          <w:p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Kompleksie pasākumi paredz:</w:t>
            </w:r>
          </w:p>
          <w:p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1)</w:t>
            </w:r>
            <w:r w:rsidRPr="00DE1A22">
              <w:rPr>
                <w:rFonts w:eastAsia="Times New Roman"/>
                <w:bCs/>
                <w:sz w:val="24"/>
                <w:szCs w:val="24"/>
                <w:lang w:eastAsia="lv-LV"/>
              </w:rPr>
              <w:tab/>
              <w:t>Grozījumus Maksājumu pakalpojumu un elektroniskās naudas likumā</w:t>
            </w:r>
          </w:p>
          <w:p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 xml:space="preserve">- nosakot pienākumu kredītiestādēm un maksājumu pakalpojumu sniedzējiem atteikt attālināto maksājumu veikšanu ar Latvijas Republikas rezidentam izsniegto maksājumu karti Latvijas Republikā nelicencētam </w:t>
            </w:r>
            <w:r w:rsidRPr="00DE1A22">
              <w:rPr>
                <w:rFonts w:eastAsia="Times New Roman"/>
                <w:bCs/>
                <w:sz w:val="24"/>
                <w:szCs w:val="24"/>
                <w:lang w:eastAsia="lv-LV"/>
              </w:rPr>
              <w:lastRenderedPageBreak/>
              <w:t>interaktīvo azartspēļu un interaktīvo izložu organizētājam;</w:t>
            </w:r>
          </w:p>
          <w:p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 nosakot pienākumu kredītiestādēm un citiem maksājumu pakalpojumu sniedzējiem sniegt Valsts ieņēmumu dienestam atteikumu pārskatu par kredītiestāžu un citu maksājumu pakalpojumu sniedzēju par Latvijas Republikas rezidentu attālināto maksājumu pieteikumiem Latvijas Republikā nelicencētam interaktīvo azartspēļu un interaktīvo izložu organizētājam;</w:t>
            </w:r>
          </w:p>
          <w:p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 iespēju iegūt informāciju par fizisko personu laimestu apmēru, kas nav deklarēts un par kuru nav veikti nodokļu maksājumi.</w:t>
            </w:r>
          </w:p>
          <w:p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2) Grozījumus Elektronisko sakaru likumā</w:t>
            </w:r>
          </w:p>
          <w:p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 xml:space="preserve">- elektronisko sakaru komersants, izpildot Izložu un azartspēļu uzraudzības inspekcijas lēmumu par piekļuves ierobežošanu, nodrošinās tīmekļa vietnes lietotāja pāradresāciju uz Izložu un azartspēļu uzraudzības inspekcijas tīmekļa vietni, kurā lietotājam tiks sniegta informācija par liegumu spēlēt Latvijā nelicencētas interaktīvās azartspēles un interaktīvās izlozes, par Latvijā licencētiem interaktīvajiem azartspēļu organizētājiem, kā arī </w:t>
            </w:r>
            <w:r w:rsidRPr="00DE1A22">
              <w:rPr>
                <w:rFonts w:eastAsia="Times New Roman"/>
                <w:bCs/>
                <w:sz w:val="24"/>
                <w:szCs w:val="24"/>
                <w:lang w:eastAsia="lv-LV"/>
              </w:rPr>
              <w:lastRenderedPageBreak/>
              <w:t>informācija par atkarību no azartspēlēm un izlozēm mazinošiem pasākumiem;</w:t>
            </w:r>
          </w:p>
          <w:p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 nepārprotami noteikt minimālās piekļuves ierobežošanas prasības un arī tiesības elektronisko pakalpojumu sniedzējam izvēlēties tehnoloģisko risinājumu, kā tiek ierobežota piekļuve attiecīgajai tīmekļa vietnei sev piemērotā veidā;</w:t>
            </w:r>
          </w:p>
          <w:p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 pilnveidot regulējumu attiecībā uz to, ja elektronisko sakaru komersants atbilstoši normatīvo aktu prasībām regulāri nenodrošina pieejas ierobežošanu Latvijā nelicencētu interaktīvo azartspēļu un interaktīvo izložu organizētāja tīmekļu vietnei vismaz minimālo prasību līmenī.</w:t>
            </w:r>
          </w:p>
          <w:p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3) Grozījumus Latvijas Administratīvo pārkāpumu kodeksā</w:t>
            </w:r>
          </w:p>
          <w:p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 paredzot noteikt atbildību personai par dalību Latvijas Republikā nelicencētās interaktīvās azartspēlēs vai interaktīvās izlozēs.</w:t>
            </w:r>
          </w:p>
          <w:p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4) Grozījumus Azartspēļu un izložu likumā</w:t>
            </w:r>
          </w:p>
          <w:p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 nosakot liegumu personai piedalīties Latvijā nelicencētās interaktīvās azartspēlēs un interaktīvās izlozēs;</w:t>
            </w:r>
          </w:p>
          <w:p w:rsidR="005B04CB" w:rsidRPr="00DE1A22" w:rsidRDefault="000C4D61" w:rsidP="000C4D61">
            <w:pPr>
              <w:jc w:val="both"/>
              <w:rPr>
                <w:rFonts w:eastAsia="Times New Roman"/>
                <w:sz w:val="24"/>
                <w:szCs w:val="24"/>
              </w:rPr>
            </w:pPr>
            <w:r w:rsidRPr="00DE1A22">
              <w:rPr>
                <w:rFonts w:eastAsia="Times New Roman"/>
                <w:bCs/>
                <w:sz w:val="24"/>
                <w:szCs w:val="24"/>
                <w:lang w:eastAsia="lv-LV"/>
              </w:rPr>
              <w:lastRenderedPageBreak/>
              <w:t>- iespēju fiziskai personai pieprasīt noteikt tai liegumu spēlēt azartspēles, t.sk. interaktīvās azartspēles un interaktīvās izlozes, un iekļaut to pašatteikušos personu reģistrā.</w:t>
            </w:r>
          </w:p>
        </w:tc>
      </w:tr>
      <w:tr w:rsidR="005B04CB" w:rsidRPr="00DE1A22" w:rsidTr="00BF4AE7">
        <w:tc>
          <w:tcPr>
            <w:tcW w:w="846" w:type="dxa"/>
            <w:gridSpan w:val="2"/>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3</w:t>
            </w:r>
            <w:r w:rsidR="005B04CB" w:rsidRPr="00DE1A22">
              <w:rPr>
                <w:rFonts w:eastAsia="Times New Roman"/>
                <w:sz w:val="24"/>
                <w:szCs w:val="24"/>
                <w:lang w:eastAsia="lv-LV"/>
              </w:rPr>
              <w:t>.</w:t>
            </w:r>
          </w:p>
        </w:tc>
        <w:tc>
          <w:tcPr>
            <w:tcW w:w="2977" w:type="dxa"/>
          </w:tcPr>
          <w:p w:rsidR="005B04CB" w:rsidRPr="00DE1A22" w:rsidRDefault="005B04CB" w:rsidP="00D708C6">
            <w:pPr>
              <w:jc w:val="both"/>
              <w:rPr>
                <w:rFonts w:eastAsia="Times New Roman"/>
                <w:sz w:val="24"/>
                <w:szCs w:val="24"/>
                <w:lang w:eastAsia="lv-LV"/>
              </w:rPr>
            </w:pPr>
            <w:r w:rsidRPr="00DE1A22">
              <w:rPr>
                <w:rFonts w:eastAsia="Times New Roman"/>
                <w:sz w:val="24"/>
                <w:szCs w:val="24"/>
                <w:lang w:eastAsia="lv-LV"/>
              </w:rPr>
              <w:t>Projekta 4. sadaļas “Rīcības virzieni un uzdevumi” 2. Rīcības virziena “Azartspēļu un izložu pieejamības regulēšana</w:t>
            </w:r>
            <w:r w:rsidR="00D708C6" w:rsidRPr="00DE1A22">
              <w:rPr>
                <w:rFonts w:eastAsia="Times New Roman"/>
                <w:sz w:val="24"/>
                <w:szCs w:val="24"/>
                <w:lang w:eastAsia="lv-LV"/>
              </w:rPr>
              <w:t>.</w:t>
            </w:r>
            <w:r w:rsidRPr="00DE1A22">
              <w:rPr>
                <w:rFonts w:eastAsia="Times New Roman"/>
                <w:sz w:val="24"/>
                <w:szCs w:val="24"/>
                <w:lang w:eastAsia="lv-LV"/>
              </w:rPr>
              <w:t>”</w:t>
            </w:r>
          </w:p>
        </w:tc>
        <w:tc>
          <w:tcPr>
            <w:tcW w:w="4394" w:type="dxa"/>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Izglītības un zinātnes ministrija (15.03.2019. Nr.4-3.2e-PAD/19/22)</w:t>
            </w:r>
          </w:p>
          <w:p w:rsidR="005B04CB" w:rsidRPr="00DE1A22" w:rsidRDefault="005B04CB" w:rsidP="005B04CB">
            <w:pPr>
              <w:contextualSpacing/>
              <w:jc w:val="both"/>
              <w:rPr>
                <w:rFonts w:eastAsia="Times New Roman"/>
                <w:b/>
                <w:sz w:val="24"/>
                <w:szCs w:val="24"/>
                <w:lang w:eastAsia="lv-LV"/>
              </w:rPr>
            </w:pPr>
            <w:r w:rsidRPr="00DE1A22">
              <w:rPr>
                <w:rFonts w:eastAsia="Times New Roman"/>
                <w:sz w:val="24"/>
                <w:szCs w:val="24"/>
                <w:lang w:eastAsia="lv-LV"/>
              </w:rPr>
              <w:t>Pamatnostādnes tikai daļēji piedāvā risinājumus azartspēļu pieejamības mazināšanai. Ministrijas ieskatā ir jāīsteno daudz radikālāki pasākumi, lai novērstu azartspēļu kaitīgo ietekmi, it īpaši uz bērniem un jauniešiem, tādēļ Pamatnostādņu 4.sadaļā „Rīcības virzieni un uzdevumi” iekļautais 2.Rīcības virziens „Azartspēļu un izložu pieejamības regulēšana” papildināms ar jaunu pasākumu (vienlaikus attiecīgi precizējot arī 2.Rīcības virziena „Azartspēļu un izložu pieejamības regulēšana” 4.pasākuma redakciju), kurš paredz uzdevumu normatīvajos aktos noteikt kazino un spēļu zāļu darbības aizliegumu, izņemot gadījumu, ja kazino vai spēļu zāle ir izvietota luksus klases viesnīcās (ar to saprot vismaz četru zvaigžņu viesnīca (saskaņā ar Hotelstars Union kritērijiem), vienlaikus paredzot piecus gadu ilgu pārejas periodu attiecībā uz esošajiem kazino un esošajām spēļu zālēm.</w:t>
            </w:r>
          </w:p>
        </w:tc>
        <w:tc>
          <w:tcPr>
            <w:tcW w:w="3118" w:type="dxa"/>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rsidR="005B04CB" w:rsidRPr="00DE1A22" w:rsidRDefault="005B04CB" w:rsidP="005B04CB">
            <w:pPr>
              <w:jc w:val="both"/>
              <w:rPr>
                <w:rFonts w:eastAsia="Times New Roman"/>
                <w:b/>
                <w:bCs/>
                <w:sz w:val="24"/>
                <w:szCs w:val="24"/>
                <w:lang w:eastAsia="lv-LV"/>
              </w:rPr>
            </w:pPr>
          </w:p>
        </w:tc>
        <w:tc>
          <w:tcPr>
            <w:tcW w:w="3402" w:type="dxa"/>
          </w:tcPr>
          <w:p w:rsidR="005B04CB" w:rsidRPr="00DE1A22" w:rsidRDefault="00944FDC" w:rsidP="005B04CB">
            <w:pPr>
              <w:jc w:val="both"/>
              <w:rPr>
                <w:rFonts w:eastAsia="Times New Roman"/>
                <w:sz w:val="24"/>
                <w:szCs w:val="24"/>
              </w:rPr>
            </w:pPr>
            <w:r w:rsidRPr="00DE1A22">
              <w:rPr>
                <w:rFonts w:eastAsia="Times New Roman"/>
                <w:bCs/>
                <w:sz w:val="24"/>
                <w:szCs w:val="24"/>
                <w:lang w:eastAsia="lv-LV"/>
              </w:rPr>
              <w:t>Projekta 4.sadaļas “Azartspēļu un izložu pieejamība, darbības vietas un to regulēšana”, “Labās prakses piemēri Fiziskās piekļuves ierobežošanā azartspēļu zālēm” 1. un 2. risinājums.</w:t>
            </w:r>
          </w:p>
        </w:tc>
      </w:tr>
      <w:tr w:rsidR="005B04CB" w:rsidRPr="00DE1A22" w:rsidTr="00BF4AE7">
        <w:tc>
          <w:tcPr>
            <w:tcW w:w="846" w:type="dxa"/>
            <w:gridSpan w:val="2"/>
            <w:shd w:val="clear" w:color="auto" w:fill="auto"/>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4</w:t>
            </w:r>
            <w:r w:rsidR="005B04CB" w:rsidRPr="00DE1A22">
              <w:rPr>
                <w:rFonts w:eastAsia="Times New Roman"/>
                <w:sz w:val="24"/>
                <w:szCs w:val="24"/>
                <w:lang w:eastAsia="lv-LV"/>
              </w:rPr>
              <w:t>.</w:t>
            </w:r>
          </w:p>
        </w:tc>
        <w:tc>
          <w:tcPr>
            <w:tcW w:w="2977" w:type="dxa"/>
            <w:shd w:val="clear" w:color="auto" w:fill="auto"/>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 xml:space="preserve">Projekta 4. sadaļas “Rīcības virzieni un uzdevumi” 1. Rīcības virziena “Nelegālā tirgus ierobežošana” 2. uzdevums “Noteikt </w:t>
            </w:r>
            <w:r w:rsidRPr="00DE1A22">
              <w:rPr>
                <w:rFonts w:eastAsia="Times New Roman"/>
                <w:sz w:val="24"/>
                <w:szCs w:val="24"/>
                <w:lang w:eastAsia="lv-LV"/>
              </w:rPr>
              <w:lastRenderedPageBreak/>
              <w:t>elektronisko sakaru komersantam pienākumu, īstenojot piekļuves ierobežošanu Latvijā nelicencēta interaktīvo azartspēļu un/vai nelicencēta izložu organizētāja interneta mājaslapai, norādīt informāciju par Latvijā nelicencēto interaktīvo azartspēļu un/vai nelicencēto izložu spēlētāja atbildību un norādīt, ka Latvijā licencēto interaktīvo azartspēļu un/vai izložu organizētāju saraksts ir pieejams Izložu un azartspēļu uzraudzības inspekcijas mājaslapā.”</w:t>
            </w:r>
          </w:p>
        </w:tc>
        <w:tc>
          <w:tcPr>
            <w:tcW w:w="4394" w:type="dxa"/>
            <w:shd w:val="clear" w:color="auto" w:fill="auto"/>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lastRenderedPageBreak/>
              <w:t>Latvijas Darba devēju konfederācija (25.01.2019. Nr.2-10/2)</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LDDK aicina pārskatīt Pamatnostādnēs ietverto uzdevumu: “Noteikt elektronisko sakaru komersantam pienākumu, īstenojot </w:t>
            </w:r>
            <w:r w:rsidRPr="00DE1A22">
              <w:rPr>
                <w:rFonts w:eastAsia="Times New Roman"/>
                <w:sz w:val="24"/>
                <w:szCs w:val="24"/>
                <w:lang w:eastAsia="lv-LV"/>
              </w:rPr>
              <w:lastRenderedPageBreak/>
              <w:t>piekļuves ierobežošanu Latvijā nelicencēta interaktīvo azartspēļu un/vai nelicencēta izložu organizētāja interneta mājaslapai, norādīt informāciju par Latvijā nelicencēto interaktīvo azartspēļu un/vai nelicencēto izložu spēlētāja atbildību un norādīt, ka Latvijā licencēto interaktīvo azartspēļu un/vai izložu organizētāju saraksts ir pieejams Izložu un azartspēļu uzraudzības inspekcijas mājaslapā.”</w:t>
            </w:r>
          </w:p>
          <w:p w:rsidR="005B04CB" w:rsidRPr="00DE1A22" w:rsidRDefault="005B04CB" w:rsidP="005B04CB">
            <w:pPr>
              <w:jc w:val="both"/>
              <w:rPr>
                <w:rFonts w:eastAsia="Times New Roman"/>
                <w:sz w:val="24"/>
                <w:szCs w:val="24"/>
              </w:rPr>
            </w:pPr>
          </w:p>
        </w:tc>
        <w:tc>
          <w:tcPr>
            <w:tcW w:w="3118" w:type="dxa"/>
            <w:shd w:val="clear" w:color="auto" w:fill="auto"/>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5B04CB" w:rsidRPr="00DE1A22" w:rsidRDefault="005B04CB" w:rsidP="00FA4E81">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rsidR="005B04CB" w:rsidRPr="00DE1A22" w:rsidRDefault="00944FDC" w:rsidP="005B04CB">
            <w:pPr>
              <w:jc w:val="both"/>
              <w:rPr>
                <w:rFonts w:eastAsia="Times New Roman"/>
                <w:sz w:val="24"/>
                <w:szCs w:val="24"/>
              </w:rPr>
            </w:pPr>
            <w:r w:rsidRPr="00DE1A22">
              <w:rPr>
                <w:rFonts w:eastAsia="Times New Roman"/>
                <w:bCs/>
                <w:sz w:val="24"/>
                <w:szCs w:val="24"/>
                <w:lang w:eastAsia="lv-LV"/>
              </w:rPr>
              <w:t xml:space="preserve">Uzdevums izpildīts ar 2019.gada 3.aprīlī Saeimā pieņemto likumu Par valsts budžetu 2019.gadam un to pavadošajiem 14 likumprojektiem, tai skaitā </w:t>
            </w:r>
            <w:r w:rsidRPr="00DE1A22">
              <w:rPr>
                <w:rFonts w:eastAsia="Times New Roman"/>
                <w:bCs/>
                <w:sz w:val="24"/>
                <w:szCs w:val="24"/>
                <w:lang w:eastAsia="lv-LV"/>
              </w:rPr>
              <w:lastRenderedPageBreak/>
              <w:t>iekļautajiem četriem likumprojektiem, kas paredz ierobežot Latvijā nelicencētu interaktīvo azartspēļu un izložu pieejamību.</w:t>
            </w:r>
          </w:p>
        </w:tc>
      </w:tr>
      <w:tr w:rsidR="005B04CB" w:rsidRPr="00DE1A22" w:rsidTr="00BF4AE7">
        <w:tc>
          <w:tcPr>
            <w:tcW w:w="846" w:type="dxa"/>
            <w:gridSpan w:val="2"/>
            <w:shd w:val="clear" w:color="auto" w:fill="auto"/>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5</w:t>
            </w:r>
            <w:r w:rsidR="005B04CB" w:rsidRPr="00DE1A22">
              <w:rPr>
                <w:rFonts w:eastAsia="Times New Roman"/>
                <w:sz w:val="24"/>
                <w:szCs w:val="24"/>
                <w:lang w:eastAsia="lv-LV"/>
              </w:rPr>
              <w:t>.</w:t>
            </w:r>
          </w:p>
        </w:tc>
        <w:tc>
          <w:tcPr>
            <w:tcW w:w="2977" w:type="dxa"/>
            <w:shd w:val="clear" w:color="auto" w:fill="auto"/>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1. Rīcības virziena “Nelegālā tirgus ierobežošana” 3. uzdevums “Noteikt elektronisko sakaru komersantam soda naudu par Elektronisko sakaru likuma 19.panta pirmās daļas 22.punkta neievērošanu, kā arī pienākumu valsts budžetā ieskaitīt izrietošus neiegūtos nodokļu ieņēmumus, ja gadījumā šos līdzekļus nevar piedzīt no attiecīgā normatīvo aktu pārkāpēja.”</w:t>
            </w:r>
          </w:p>
        </w:tc>
        <w:tc>
          <w:tcPr>
            <w:tcW w:w="4394" w:type="dxa"/>
            <w:shd w:val="clear" w:color="auto" w:fill="auto"/>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Latvijas Darba devēju konfederācija (25.01.2019. Nr.2-10/2)</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LDDK iebilst pret Pamatnostādnēs ietverto uzdevumu: “Noteikt elektronisko sakaru komersantam soda naudu par Elektronisko sakaru likuma 19.panta pirmās daļas 22.punkta neievērošanu, kā arī pienākumu valsts budžetā ieskaitīt izrietošus neiegūtos nodokļu ieņēmumus, ja gadījumā šos līdzekļus nevar piedzīt no attiecīgā normatīvo aktu pārkāpēja.”</w:t>
            </w:r>
          </w:p>
          <w:p w:rsidR="005B04CB" w:rsidRPr="00DE1A22" w:rsidRDefault="005B04CB" w:rsidP="002071DA">
            <w:pPr>
              <w:contextualSpacing/>
              <w:jc w:val="both"/>
              <w:rPr>
                <w:rFonts w:eastAsia="Times New Roman"/>
                <w:sz w:val="24"/>
                <w:szCs w:val="24"/>
              </w:rPr>
            </w:pPr>
          </w:p>
        </w:tc>
        <w:tc>
          <w:tcPr>
            <w:tcW w:w="3118" w:type="dxa"/>
            <w:shd w:val="clear" w:color="auto" w:fill="auto"/>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rsidR="005B04CB" w:rsidRPr="00DE1A22" w:rsidRDefault="005B04CB" w:rsidP="001B3B68">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rsidR="005B04CB" w:rsidRPr="00DE1A22" w:rsidRDefault="00D64597" w:rsidP="005B04CB">
            <w:pPr>
              <w:jc w:val="both"/>
              <w:rPr>
                <w:rFonts w:eastAsia="Times New Roman"/>
                <w:sz w:val="24"/>
                <w:szCs w:val="24"/>
              </w:rPr>
            </w:pPr>
            <w:r w:rsidRPr="00DE1A22">
              <w:rPr>
                <w:rFonts w:eastAsia="Times New Roman"/>
                <w:bCs/>
                <w:sz w:val="24"/>
                <w:szCs w:val="24"/>
                <w:lang w:eastAsia="lv-LV"/>
              </w:rPr>
              <w:t>Uzdevums izpildīts ar 2019.gada 3.aprīlī Saeimā pieņemto likumu Par valsts budžetu 2019.gadam un to pavadošajiem 14 likumprojektiem, tai skaitā iekļautajiem četriem likumprojektiem, kas paredz ierobežot Latvijā nelicencētu interaktīvo azartspēļu un izložu pieejamību.</w:t>
            </w:r>
          </w:p>
        </w:tc>
      </w:tr>
      <w:tr w:rsidR="005B04CB" w:rsidRPr="00DE1A22" w:rsidTr="00BF4AE7">
        <w:tc>
          <w:tcPr>
            <w:tcW w:w="846" w:type="dxa"/>
            <w:gridSpan w:val="2"/>
            <w:shd w:val="clear" w:color="auto" w:fill="auto"/>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6</w:t>
            </w:r>
            <w:r w:rsidR="005B04CB" w:rsidRPr="00DE1A22">
              <w:rPr>
                <w:rFonts w:eastAsia="Times New Roman"/>
                <w:sz w:val="24"/>
                <w:szCs w:val="24"/>
                <w:lang w:eastAsia="lv-LV"/>
              </w:rPr>
              <w:t>.</w:t>
            </w:r>
          </w:p>
        </w:tc>
        <w:tc>
          <w:tcPr>
            <w:tcW w:w="2977" w:type="dxa"/>
            <w:shd w:val="clear" w:color="auto" w:fill="auto"/>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 xml:space="preserve">Projekta 4. sadaļas “Rīcības virzieni un uzdevumi” 1. </w:t>
            </w:r>
            <w:r w:rsidRPr="00DE1A22">
              <w:rPr>
                <w:rFonts w:eastAsia="Times New Roman"/>
                <w:sz w:val="24"/>
                <w:szCs w:val="24"/>
                <w:lang w:eastAsia="lv-LV"/>
              </w:rPr>
              <w:lastRenderedPageBreak/>
              <w:t>Rīcības virziena “Nelegālā tirgus ierobežošana” 3. uzdevums:</w:t>
            </w:r>
          </w:p>
          <w:p w:rsidR="005B04CB" w:rsidRPr="00DE1A22" w:rsidRDefault="005B04CB" w:rsidP="000C2873">
            <w:pPr>
              <w:jc w:val="both"/>
              <w:rPr>
                <w:rFonts w:eastAsia="Times New Roman"/>
                <w:sz w:val="24"/>
                <w:szCs w:val="24"/>
                <w:lang w:eastAsia="lv-LV"/>
              </w:rPr>
            </w:pPr>
            <w:r w:rsidRPr="00DE1A22">
              <w:rPr>
                <w:rFonts w:eastAsia="Times New Roman"/>
                <w:sz w:val="24"/>
                <w:szCs w:val="24"/>
                <w:lang w:eastAsia="lv-LV"/>
              </w:rPr>
              <w:t>“Noteikt elektronisko sakaru komersantam soda naudu par Elektronisko sakaru likuma 19.panta pirmās daļas 22.punkta neievērošanu, kā arī pienākumu valsts budžetā ieskaitīt izrietošus neiegūtos nodokļu ieņēmumus, ja gadījumā šos līdzekļus nevar piedzīt no attiecīgā normatīvo aktu pārkāpēja.”</w:t>
            </w:r>
          </w:p>
        </w:tc>
        <w:tc>
          <w:tcPr>
            <w:tcW w:w="4394" w:type="dxa"/>
            <w:shd w:val="clear" w:color="auto" w:fill="auto"/>
          </w:tcPr>
          <w:p w:rsidR="005B04CB" w:rsidRPr="00DE1A22" w:rsidRDefault="005B04CB" w:rsidP="005B04CB">
            <w:pPr>
              <w:contextualSpacing/>
              <w:jc w:val="both"/>
              <w:rPr>
                <w:rFonts w:eastAsia="Times New Roman"/>
                <w:b/>
                <w:sz w:val="24"/>
                <w:szCs w:val="24"/>
              </w:rPr>
            </w:pPr>
            <w:r w:rsidRPr="00DE1A22">
              <w:rPr>
                <w:rFonts w:eastAsia="Times New Roman"/>
                <w:b/>
                <w:sz w:val="24"/>
                <w:szCs w:val="24"/>
              </w:rPr>
              <w:lastRenderedPageBreak/>
              <w:t>Tieslietu ministrija (25.01.2019. Nr.1-9.1/88).</w:t>
            </w:r>
          </w:p>
          <w:p w:rsidR="005B04CB" w:rsidRPr="00DE1A22" w:rsidRDefault="005B04CB" w:rsidP="005B04CB">
            <w:pPr>
              <w:contextualSpacing/>
              <w:jc w:val="both"/>
              <w:rPr>
                <w:rFonts w:eastAsia="Times New Roman"/>
                <w:sz w:val="24"/>
                <w:szCs w:val="24"/>
              </w:rPr>
            </w:pPr>
            <w:r w:rsidRPr="00DE1A22">
              <w:rPr>
                <w:rFonts w:eastAsia="Times New Roman"/>
                <w:sz w:val="24"/>
                <w:szCs w:val="24"/>
              </w:rPr>
              <w:lastRenderedPageBreak/>
              <w:t>Elektronisko sakaru likuma 19. panta pirmās daļas 22. punkts elektronisko sakaru komersantam uzliek pienākumu, pamatojoties uz Izložu un azartspēļu uzraudzības inspekcijas lēmumu, veikt konkrētas darbības, lai ierobežotu piekļuvi Latvijā nelicencēta interaktīvo azartspēļu organizētāja interneta mājaslapai. Izložu un azartspēļu uzraudzības inspekcijas lēmums konkrētajā gadījumā ir administratīvais akts, par kura nepienācīgu izpildi iestādei, lai panāktu atbilstošu rīcību no administratīvā akta adresāta, jārīkojas saskaņā ar Administratīvā procesa likumā (turpmāk – APL) noteikto kārtību par administratīvā akta izpildi.</w:t>
            </w:r>
          </w:p>
          <w:p w:rsidR="005B04CB" w:rsidRPr="00DE1A22" w:rsidRDefault="005B04CB" w:rsidP="005B04CB">
            <w:pPr>
              <w:jc w:val="both"/>
              <w:rPr>
                <w:rFonts w:eastAsia="Times New Roman"/>
                <w:sz w:val="24"/>
                <w:szCs w:val="24"/>
              </w:rPr>
            </w:pPr>
          </w:p>
        </w:tc>
        <w:tc>
          <w:tcPr>
            <w:tcW w:w="3118" w:type="dxa"/>
            <w:shd w:val="clear" w:color="auto" w:fill="auto"/>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5B04CB" w:rsidRPr="00DE1A22" w:rsidRDefault="005B04CB" w:rsidP="001627CF">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rsidR="005B04CB" w:rsidRPr="00DE1A22" w:rsidRDefault="00D64597" w:rsidP="005B04CB">
            <w:pPr>
              <w:jc w:val="both"/>
              <w:rPr>
                <w:rFonts w:eastAsia="Times New Roman"/>
                <w:sz w:val="24"/>
                <w:szCs w:val="24"/>
              </w:rPr>
            </w:pPr>
            <w:r w:rsidRPr="00DE1A22">
              <w:rPr>
                <w:rFonts w:eastAsia="Times New Roman"/>
                <w:bCs/>
                <w:sz w:val="24"/>
                <w:szCs w:val="24"/>
                <w:lang w:eastAsia="lv-LV"/>
              </w:rPr>
              <w:t xml:space="preserve">Uzdevums izpildīts ar 2019.gada 3.aprīlī Saeimā pieņemto likumu </w:t>
            </w:r>
            <w:r w:rsidRPr="00DE1A22">
              <w:rPr>
                <w:rFonts w:eastAsia="Times New Roman"/>
                <w:bCs/>
                <w:sz w:val="24"/>
                <w:szCs w:val="24"/>
                <w:lang w:eastAsia="lv-LV"/>
              </w:rPr>
              <w:lastRenderedPageBreak/>
              <w:t>Par valsts budžetu 2019.gadam un to pavadošajiem 14 likumprojektiem, tai skaitā iekļautajiem četriem likumprojektiem, kas paredz ierobežot Latvijā nelicencētu interaktīvo azartspēļu un izložu pieejamību.</w:t>
            </w:r>
          </w:p>
        </w:tc>
      </w:tr>
      <w:tr w:rsidR="005B04CB" w:rsidRPr="00DE1A22" w:rsidTr="00BF4AE7">
        <w:tc>
          <w:tcPr>
            <w:tcW w:w="846" w:type="dxa"/>
            <w:gridSpan w:val="2"/>
            <w:shd w:val="clear" w:color="auto" w:fill="auto"/>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7</w:t>
            </w:r>
            <w:r w:rsidR="005B04CB" w:rsidRPr="00DE1A22">
              <w:rPr>
                <w:rFonts w:eastAsia="Times New Roman"/>
                <w:sz w:val="24"/>
                <w:szCs w:val="24"/>
                <w:lang w:eastAsia="lv-LV"/>
              </w:rPr>
              <w:t>.</w:t>
            </w:r>
          </w:p>
        </w:tc>
        <w:tc>
          <w:tcPr>
            <w:tcW w:w="2977" w:type="dxa"/>
            <w:shd w:val="clear" w:color="auto" w:fill="auto"/>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1. Rīcības virziena “Nelegālā tirgus ierobežošana” 3. uzdevums:</w:t>
            </w:r>
          </w:p>
          <w:p w:rsidR="005B04CB" w:rsidRPr="00DE1A22" w:rsidRDefault="005B04CB" w:rsidP="000C2873">
            <w:pPr>
              <w:jc w:val="both"/>
              <w:rPr>
                <w:rFonts w:eastAsia="Times New Roman"/>
                <w:sz w:val="24"/>
                <w:szCs w:val="24"/>
                <w:lang w:eastAsia="lv-LV"/>
              </w:rPr>
            </w:pPr>
            <w:r w:rsidRPr="00DE1A22">
              <w:rPr>
                <w:rFonts w:eastAsia="Times New Roman"/>
                <w:sz w:val="24"/>
                <w:szCs w:val="24"/>
                <w:lang w:eastAsia="lv-LV"/>
              </w:rPr>
              <w:t>“3. Noteikt elektronisko sakaru komersantam soda naudu par Elektronisko sakaru likuma 19.panta pirmās daļas 22.punkta neievērošanu, kā arī pienākumu valsts budžetā ieskaitīt izrietošus neiegūtos nodokļu ieņēmumus, ja gadījumā šos līdzekļus nevar piedzīt no attiecīgā normatīvo aktu pārkāpēja.”</w:t>
            </w:r>
          </w:p>
        </w:tc>
        <w:tc>
          <w:tcPr>
            <w:tcW w:w="4394" w:type="dxa"/>
            <w:shd w:val="clear" w:color="auto" w:fill="auto"/>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Satiksmes ministrija (28.01.2019. Nr.03-03/13)</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Pamatnostādnēs iekļautā 4.punkta “Rīcības virzieni un uzdevumi” (1.Rīcības virziens - Nelegālā tirgus ierobežošana) 3.uzdevumā paredzēts uzdevums “noteikt elektronisko sakaru komersantiem  soda naudu par Elektronisko sakaru likuma 19.panta pirmās daļas 22.punkta neievērošanu, kā arī pienākumu valsts budžetā ieskaitīt izrietošus valsts neiegūtos nodokļu ieņēmumus, ja gadījumā šos līdzekļus nevar piedzīt no attiecīgā normatīvo aktu pārkāpēja”. </w:t>
            </w:r>
          </w:p>
          <w:p w:rsidR="005B04CB" w:rsidRPr="00DE1A22" w:rsidRDefault="005B04CB" w:rsidP="002071DA">
            <w:pPr>
              <w:contextualSpacing/>
              <w:jc w:val="both"/>
              <w:rPr>
                <w:rFonts w:eastAsia="Times New Roman"/>
                <w:sz w:val="24"/>
                <w:szCs w:val="24"/>
              </w:rPr>
            </w:pPr>
          </w:p>
        </w:tc>
        <w:tc>
          <w:tcPr>
            <w:tcW w:w="3118" w:type="dxa"/>
            <w:shd w:val="clear" w:color="auto" w:fill="auto"/>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rsidR="005B04CB" w:rsidRPr="00DE1A22" w:rsidRDefault="005B04CB" w:rsidP="00492CCF">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rsidR="005B04CB" w:rsidRPr="00DE1A22" w:rsidRDefault="00D64597" w:rsidP="005B04CB">
            <w:pPr>
              <w:jc w:val="both"/>
              <w:rPr>
                <w:rFonts w:eastAsia="Times New Roman"/>
                <w:sz w:val="24"/>
                <w:szCs w:val="24"/>
              </w:rPr>
            </w:pPr>
            <w:r w:rsidRPr="00DE1A22">
              <w:rPr>
                <w:rFonts w:eastAsia="Times New Roman"/>
                <w:bCs/>
                <w:sz w:val="24"/>
                <w:szCs w:val="24"/>
                <w:lang w:eastAsia="lv-LV"/>
              </w:rPr>
              <w:t>Uzdevums izpildīts ar 2019.gada 3.aprīlī Saeimā pieņemto likumu Par valsts budžetu 2019.gadam un to pavadošajiem 14 likumprojektiem, tai skaitā iekļautajiem četriem likumprojektiem, kas paredz ierobežot Latvijā nelicencētu interaktīvo azartspēļu un izložu pieejamību.</w:t>
            </w:r>
          </w:p>
        </w:tc>
      </w:tr>
      <w:tr w:rsidR="005B04CB" w:rsidRPr="00DE1A22" w:rsidTr="00BF4AE7">
        <w:tc>
          <w:tcPr>
            <w:tcW w:w="846" w:type="dxa"/>
            <w:gridSpan w:val="2"/>
            <w:shd w:val="clear" w:color="auto" w:fill="auto"/>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8</w:t>
            </w:r>
            <w:r w:rsidR="005B04CB" w:rsidRPr="00DE1A22">
              <w:rPr>
                <w:rFonts w:eastAsia="Times New Roman"/>
                <w:sz w:val="24"/>
                <w:szCs w:val="24"/>
                <w:lang w:eastAsia="lv-LV"/>
              </w:rPr>
              <w:t>.</w:t>
            </w:r>
          </w:p>
        </w:tc>
        <w:tc>
          <w:tcPr>
            <w:tcW w:w="2977" w:type="dxa"/>
            <w:shd w:val="clear" w:color="auto" w:fill="auto"/>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 xml:space="preserve">Projekta 4. sadaļas “Rīcības virzieni un uzdevumi” 1. </w:t>
            </w:r>
            <w:r w:rsidRPr="00DE1A22">
              <w:rPr>
                <w:rFonts w:eastAsia="Times New Roman"/>
                <w:sz w:val="24"/>
                <w:szCs w:val="24"/>
                <w:lang w:eastAsia="lv-LV"/>
              </w:rPr>
              <w:lastRenderedPageBreak/>
              <w:t>Rīcības virziena “Nelegālā tirgus ierobežošana” 1., 2. un 3.uzdevums:</w:t>
            </w:r>
          </w:p>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“1. Noteikt, ka elektronisko sakaru komersants piekļuves ierobežošanu Latvijā nelicencēta interaktīvo azartspēļu un/vai nelicencēta izložu organizētāja interneta mājaslapai nodrošina sev piemērotā veidā.</w:t>
            </w:r>
          </w:p>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2. Noteikt elektronisko sakaru komersantam pienākumu, īstenojot piekļuves ierobežošanu Latvijā nelicencēta interaktīvo azartspēļu un/vai nelicencēta izložu organizētāja interneta mājaslapai, norādīt informāciju par Latvijā nelicencēto interaktīvo azartspēļu un/vai nelicencēto izložu spēlētāja atbildību un norādīt, ka Latvijā licencēto interaktīvo azartspēļu un/vai izložu organizētāju saraksts ir pieejams Izložu un azartspēļu uzraudzības inspekcijas mājaslapā.</w:t>
            </w:r>
          </w:p>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 xml:space="preserve">3. Noteikt elektronisko sakaru komersantam soda naudu par Elektronisko sakaru likuma 19.panta pirmās daļas 22.punkta neievērošanu, kā arī </w:t>
            </w:r>
            <w:r w:rsidRPr="00DE1A22">
              <w:rPr>
                <w:rFonts w:eastAsia="Times New Roman"/>
                <w:sz w:val="24"/>
                <w:szCs w:val="24"/>
                <w:lang w:eastAsia="lv-LV"/>
              </w:rPr>
              <w:lastRenderedPageBreak/>
              <w:t>pienākumu valsts budžetā ieskaitīt izrietošus neiegūtos nodokļu ieņēmumus, ja gadījumā šos līdzekļus nevar piedzīt no attiecīgā normatīvo aktu pārkāpēja.”</w:t>
            </w:r>
          </w:p>
        </w:tc>
        <w:tc>
          <w:tcPr>
            <w:tcW w:w="4394" w:type="dxa"/>
            <w:shd w:val="clear" w:color="auto" w:fill="auto"/>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lastRenderedPageBreak/>
              <w:t>Satiksmes ministrija (28.01.2019. Nr.03-03/13)</w:t>
            </w:r>
          </w:p>
          <w:p w:rsidR="005B04CB" w:rsidRPr="00DE1A22" w:rsidRDefault="005B04CB" w:rsidP="000C2873">
            <w:pPr>
              <w:jc w:val="both"/>
              <w:rPr>
                <w:rFonts w:eastAsia="Times New Roman"/>
                <w:sz w:val="24"/>
                <w:szCs w:val="24"/>
              </w:rPr>
            </w:pPr>
            <w:r w:rsidRPr="00DE1A22">
              <w:rPr>
                <w:rFonts w:eastAsia="Times New Roman"/>
                <w:sz w:val="24"/>
                <w:szCs w:val="24"/>
                <w:lang w:eastAsia="lv-LV"/>
              </w:rPr>
              <w:lastRenderedPageBreak/>
              <w:t>Lūdzam svītrot Pamatnostādnēs iekļautā 4.punkta “Rīcības virzieni un uzdevumi” (1.</w:t>
            </w:r>
            <w:r w:rsidR="00024365" w:rsidRPr="00DE1A22">
              <w:rPr>
                <w:rFonts w:eastAsia="Times New Roman"/>
                <w:sz w:val="24"/>
                <w:szCs w:val="24"/>
                <w:lang w:eastAsia="lv-LV"/>
              </w:rPr>
              <w:t xml:space="preserve"> </w:t>
            </w:r>
            <w:r w:rsidRPr="00DE1A22">
              <w:rPr>
                <w:rFonts w:eastAsia="Times New Roman"/>
                <w:sz w:val="24"/>
                <w:szCs w:val="24"/>
                <w:lang w:eastAsia="lv-LV"/>
              </w:rPr>
              <w:t>Rīcības virziens</w:t>
            </w:r>
            <w:r w:rsidR="00024365" w:rsidRPr="00DE1A22">
              <w:rPr>
                <w:rFonts w:eastAsia="Times New Roman"/>
                <w:sz w:val="24"/>
                <w:szCs w:val="24"/>
                <w:lang w:eastAsia="lv-LV"/>
              </w:rPr>
              <w:t xml:space="preserve"> – </w:t>
            </w:r>
            <w:r w:rsidRPr="00DE1A22">
              <w:rPr>
                <w:rFonts w:eastAsia="Times New Roman"/>
                <w:sz w:val="24"/>
                <w:szCs w:val="24"/>
                <w:lang w:eastAsia="lv-LV"/>
              </w:rPr>
              <w:t>Nelegālā tirgus ierobežošana) 1., 2. un 3.uzdevumā Satiksmes ministriju kā atbildīgo iestādi, norādot Satiksmes ministriju kā līdzatbildīgo minēto uzdevumu izpildē.</w:t>
            </w:r>
          </w:p>
        </w:tc>
        <w:tc>
          <w:tcPr>
            <w:tcW w:w="3118" w:type="dxa"/>
            <w:shd w:val="clear" w:color="auto" w:fill="auto"/>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5B04CB" w:rsidRPr="00DE1A22" w:rsidRDefault="005B04CB" w:rsidP="00F87B7C">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rsidR="005B04CB" w:rsidRPr="00DE1A22" w:rsidRDefault="00D64597" w:rsidP="005B04CB">
            <w:pPr>
              <w:jc w:val="both"/>
              <w:rPr>
                <w:rFonts w:eastAsia="Times New Roman"/>
                <w:sz w:val="24"/>
                <w:szCs w:val="24"/>
              </w:rPr>
            </w:pPr>
            <w:r w:rsidRPr="00DE1A22">
              <w:rPr>
                <w:rFonts w:eastAsia="Times New Roman"/>
                <w:bCs/>
                <w:sz w:val="24"/>
                <w:szCs w:val="24"/>
                <w:lang w:eastAsia="lv-LV"/>
              </w:rPr>
              <w:t xml:space="preserve">Uzdevums izpildīts ar 2019.gada 3.aprīlī Saeimā pieņemto likumu </w:t>
            </w:r>
            <w:r w:rsidRPr="00DE1A22">
              <w:rPr>
                <w:rFonts w:eastAsia="Times New Roman"/>
                <w:bCs/>
                <w:sz w:val="24"/>
                <w:szCs w:val="24"/>
                <w:lang w:eastAsia="lv-LV"/>
              </w:rPr>
              <w:lastRenderedPageBreak/>
              <w:t>Par valsts budžetu 2019.gadam un to pavadošajiem 14 likumprojektiem, tai skaitā iekļautajiem četriem likumprojektiem, kas paredz ierobežot Latvijā nelicencētu interaktīvo azartspēļu un izložu pieejamību.</w:t>
            </w:r>
          </w:p>
        </w:tc>
      </w:tr>
      <w:tr w:rsidR="005B04CB" w:rsidRPr="00DE1A22" w:rsidTr="00BF4AE7">
        <w:tc>
          <w:tcPr>
            <w:tcW w:w="846" w:type="dxa"/>
            <w:gridSpan w:val="2"/>
            <w:shd w:val="clear" w:color="auto" w:fill="auto"/>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9</w:t>
            </w:r>
            <w:r w:rsidR="005B04CB" w:rsidRPr="00DE1A22">
              <w:rPr>
                <w:rFonts w:eastAsia="Times New Roman"/>
                <w:sz w:val="24"/>
                <w:szCs w:val="24"/>
                <w:lang w:eastAsia="lv-LV"/>
              </w:rPr>
              <w:t>.</w:t>
            </w:r>
          </w:p>
        </w:tc>
        <w:tc>
          <w:tcPr>
            <w:tcW w:w="2977" w:type="dxa"/>
            <w:shd w:val="clear" w:color="auto" w:fill="auto"/>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1. Rīcības virziena “Nelegālā tirgus ierobežošana” 5. punkts:</w:t>
            </w:r>
          </w:p>
          <w:p w:rsidR="005B04CB" w:rsidRPr="00DE1A22" w:rsidRDefault="005B04CB" w:rsidP="000C2873">
            <w:pPr>
              <w:jc w:val="both"/>
              <w:rPr>
                <w:rFonts w:eastAsia="Times New Roman"/>
                <w:sz w:val="24"/>
                <w:szCs w:val="24"/>
                <w:lang w:eastAsia="lv-LV"/>
              </w:rPr>
            </w:pPr>
            <w:r w:rsidRPr="00DE1A22">
              <w:rPr>
                <w:rFonts w:eastAsia="Times New Roman"/>
                <w:sz w:val="24"/>
                <w:szCs w:val="24"/>
                <w:lang w:eastAsia="lv-LV"/>
              </w:rPr>
              <w:t>“Noteikt fiziskajām un juridiskajām personām soda naudu 100% apmērā par valsts neiegūtiem nodokļu ieņēmumiem no personas dalības Latvijā nelicencētās interaktīvo azartspēļu organizētāja azartspēlēs un/vai nelicencētās izložu organizatoru izlozēs, kā arī pienākumu valsts budžetā ieskaitīt izrietošus neiegūtos nodokļu ieņēmumus.”</w:t>
            </w:r>
          </w:p>
        </w:tc>
        <w:tc>
          <w:tcPr>
            <w:tcW w:w="4394" w:type="dxa"/>
            <w:shd w:val="clear" w:color="auto" w:fill="auto"/>
          </w:tcPr>
          <w:p w:rsidR="005B04CB" w:rsidRPr="00DE1A22" w:rsidRDefault="005B04CB" w:rsidP="005B04CB">
            <w:pPr>
              <w:contextualSpacing/>
              <w:jc w:val="both"/>
              <w:rPr>
                <w:rFonts w:eastAsia="Times New Roman"/>
                <w:b/>
                <w:sz w:val="24"/>
                <w:szCs w:val="24"/>
              </w:rPr>
            </w:pPr>
            <w:r w:rsidRPr="00DE1A22">
              <w:rPr>
                <w:rFonts w:eastAsia="Times New Roman"/>
                <w:b/>
                <w:sz w:val="24"/>
                <w:szCs w:val="24"/>
              </w:rPr>
              <w:t>Tieslietu ministrija (25.01.2019. Nr.1-9.1/88).</w:t>
            </w:r>
          </w:p>
          <w:p w:rsidR="005B04CB" w:rsidRPr="00DE1A22" w:rsidRDefault="005B04CB" w:rsidP="005B04CB">
            <w:pPr>
              <w:jc w:val="both"/>
              <w:rPr>
                <w:rFonts w:eastAsia="Times New Roman"/>
                <w:sz w:val="24"/>
                <w:szCs w:val="24"/>
              </w:rPr>
            </w:pPr>
            <w:r w:rsidRPr="00DE1A22">
              <w:rPr>
                <w:rFonts w:eastAsia="Times New Roman"/>
                <w:sz w:val="24"/>
                <w:szCs w:val="24"/>
              </w:rPr>
              <w:t xml:space="preserve">Tieslietu ministrija neatbalsta soda naudas piemērošanu ne projekta 1. Rīcības virziena 3. punktā paredzētajā gadījumā, ne arī projekta 1. Rīcības virziena 5. punktā paredzētajā gadījumā. Vēršam uzmanību, ka tiesiskais regulējums attiecībā uz administratīvajiem sodiem Latvijā ir noteikts Latvijas Administratīvo pārkāpumu kodeksā, savukārt par kriminālsodiem – Krimināllikumā. Nav saprotams, kāda atbildība konkrētajā gadījumā tiek paredzēta, jo projektā piedāvātais atbildības veids neietilpst Latvijā spēkā esošajā regulējumā par juridiskās atbildības veidiem. </w:t>
            </w:r>
          </w:p>
        </w:tc>
        <w:tc>
          <w:tcPr>
            <w:tcW w:w="3118" w:type="dxa"/>
            <w:shd w:val="clear" w:color="auto" w:fill="auto"/>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rsidR="005B04CB" w:rsidRPr="00DE1A22" w:rsidRDefault="005B04CB" w:rsidP="00CB0CB0">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rsidR="005B04CB" w:rsidRPr="00DE1A22" w:rsidRDefault="00D64597" w:rsidP="005B04CB">
            <w:pPr>
              <w:jc w:val="both"/>
              <w:rPr>
                <w:rFonts w:eastAsia="Times New Roman"/>
                <w:sz w:val="24"/>
                <w:szCs w:val="24"/>
              </w:rPr>
            </w:pPr>
            <w:r w:rsidRPr="00DE1A22">
              <w:rPr>
                <w:rFonts w:eastAsia="Times New Roman"/>
                <w:bCs/>
                <w:sz w:val="24"/>
                <w:szCs w:val="24"/>
                <w:lang w:eastAsia="lv-LV"/>
              </w:rPr>
              <w:t>Uzdevums izpildīts ar 2019.gada 3.aprīlī Saeimā pieņemto likumu Par valsts budžetu 2019.gadam un to pavadošajiem 14 likumprojektiem, tai skaitā iekļautajiem četriem likumprojektiem, kas paredz ierobežot Latvijā nelicencētu interaktīvo azartspēļu un izložu pieejamību.</w:t>
            </w:r>
          </w:p>
        </w:tc>
      </w:tr>
      <w:tr w:rsidR="00A6269B" w:rsidRPr="00DE1A22" w:rsidTr="00BF4AE7">
        <w:tc>
          <w:tcPr>
            <w:tcW w:w="846" w:type="dxa"/>
            <w:gridSpan w:val="2"/>
            <w:shd w:val="clear" w:color="auto" w:fill="auto"/>
          </w:tcPr>
          <w:p w:rsidR="00A6269B" w:rsidRPr="00DE1A22" w:rsidRDefault="00A6269B"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10.</w:t>
            </w:r>
          </w:p>
        </w:tc>
        <w:tc>
          <w:tcPr>
            <w:tcW w:w="2977" w:type="dxa"/>
            <w:shd w:val="clear" w:color="auto" w:fill="auto"/>
          </w:tcPr>
          <w:p w:rsidR="00A6269B" w:rsidRPr="00DE1A22" w:rsidRDefault="00A6269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1. Rīcības virziena “Nelegālā tirgus ierobežošana”.</w:t>
            </w:r>
          </w:p>
        </w:tc>
        <w:tc>
          <w:tcPr>
            <w:tcW w:w="4394" w:type="dxa"/>
            <w:shd w:val="clear" w:color="auto" w:fill="auto"/>
          </w:tcPr>
          <w:p w:rsidR="00A6269B" w:rsidRPr="00DE1A22" w:rsidRDefault="00A6269B" w:rsidP="005B04CB">
            <w:pPr>
              <w:contextualSpacing/>
              <w:jc w:val="both"/>
              <w:rPr>
                <w:rFonts w:eastAsia="Times New Roman"/>
                <w:b/>
                <w:sz w:val="24"/>
                <w:szCs w:val="24"/>
              </w:rPr>
            </w:pPr>
            <w:r w:rsidRPr="00DE1A22">
              <w:rPr>
                <w:rFonts w:eastAsia="Times New Roman"/>
                <w:b/>
                <w:sz w:val="24"/>
                <w:szCs w:val="24"/>
              </w:rPr>
              <w:t>Latvijas Tirdzniecības un rūpniecības kamera (08.02.2019. Nr.2019)</w:t>
            </w:r>
          </w:p>
          <w:p w:rsidR="00A6269B" w:rsidRPr="00DE1A22" w:rsidRDefault="00A6269B" w:rsidP="00A6269B">
            <w:pPr>
              <w:contextualSpacing/>
              <w:jc w:val="both"/>
              <w:rPr>
                <w:rFonts w:eastAsia="Times New Roman"/>
                <w:sz w:val="24"/>
                <w:szCs w:val="24"/>
              </w:rPr>
            </w:pPr>
            <w:r w:rsidRPr="00DE1A22">
              <w:rPr>
                <w:rFonts w:eastAsia="Times New Roman"/>
                <w:sz w:val="24"/>
                <w:szCs w:val="24"/>
              </w:rPr>
              <w:t xml:space="preserve">Pamatnostādņu projekta Pielikumā Nr.l "Esošās situācijas vispārīgs risinājums” šobrīd par atbilstošāko variantu atzīts vispārīgā risinājuma ceturtajā sadaļā "Azartspēļu un izložu pieejamība, darbības vietas un to regulēšana” piedāvātais 2. risinājums "Divpakāpju sistēmas nostiprināšana lēmumu pieņemšanā par azartspēles vietu organizēšanu”. Ņemot vērā šā brīža situāciju un pašvaldību </w:t>
            </w:r>
            <w:r w:rsidRPr="00DE1A22">
              <w:rPr>
                <w:rFonts w:eastAsia="Times New Roman"/>
                <w:sz w:val="24"/>
                <w:szCs w:val="24"/>
              </w:rPr>
              <w:lastRenderedPageBreak/>
              <w:t>līdzšinējo rīcību, sabiedrības un nozares interešu sabalansējošāks tomēr ir Pamatnostādņu projekta Pielikumā Nr.l piedāvātais 3. risinājums: azartspēļu organizēšanas vietas ierobežošanas nosacījumu atrunāšana likumā, precizējot risinājumā izvirzītos nosacījumus.</w:t>
            </w:r>
          </w:p>
          <w:p w:rsidR="00A6269B" w:rsidRPr="00DE1A22" w:rsidRDefault="00A6269B" w:rsidP="00A6269B">
            <w:pPr>
              <w:contextualSpacing/>
              <w:jc w:val="both"/>
              <w:rPr>
                <w:rFonts w:eastAsia="Times New Roman"/>
                <w:sz w:val="24"/>
                <w:szCs w:val="24"/>
              </w:rPr>
            </w:pPr>
            <w:r w:rsidRPr="00DE1A22">
              <w:rPr>
                <w:rFonts w:eastAsia="Times New Roman"/>
                <w:sz w:val="24"/>
                <w:szCs w:val="24"/>
              </w:rPr>
              <w:t>Pamatnostādņu projekta Pielikumā Nr.l "Esošās situācijas vispārīgs risinājums" 7. sadaļa "Latvijā nelegālās un nelicencētas azartspēles un izlozes un to novēršana" paredz nepieciešamos pasākumus, lai ierobežotu nelegālo azartspēļu un izložu organizatoru aktivitāti. Minētajā vispārīgā risinājuma 7.sadaļā cita starpā konstatēta nepieciešamība veikt grozījumus Elektronisko sakaru likumā. Nevar piekrist minētajā dokumentā norādītajam, ka elektronisko sakaru komersants piekļuves ierobežošanu Latvijā nelicencēta interaktīvo azartspēļu organizētāja internēta mājaslapai nodrošina sev piemērotā veidā. LTRK norāda, ka normatīvu aktu ir jānosaka veids, kādā ir jāveic bloķēšana, to nevar atstāt katra komersanta izvēlei, ievērojot gan publisko tiesību specifiku, gan e-komercijas principu "mere conduit".</w:t>
            </w:r>
          </w:p>
          <w:p w:rsidR="00A6269B" w:rsidRPr="00DE1A22" w:rsidRDefault="00A6269B" w:rsidP="00A6269B">
            <w:pPr>
              <w:contextualSpacing/>
              <w:jc w:val="both"/>
              <w:rPr>
                <w:rFonts w:eastAsia="Times New Roman"/>
                <w:sz w:val="24"/>
                <w:szCs w:val="24"/>
              </w:rPr>
            </w:pPr>
          </w:p>
          <w:p w:rsidR="00A6269B" w:rsidRPr="00DE1A22" w:rsidRDefault="00A6269B" w:rsidP="00A6269B">
            <w:pPr>
              <w:contextualSpacing/>
              <w:jc w:val="both"/>
              <w:rPr>
                <w:rFonts w:eastAsia="Times New Roman"/>
                <w:sz w:val="24"/>
                <w:szCs w:val="24"/>
              </w:rPr>
            </w:pPr>
            <w:r w:rsidRPr="00DE1A22">
              <w:rPr>
                <w:rFonts w:eastAsia="Times New Roman"/>
                <w:sz w:val="24"/>
                <w:szCs w:val="24"/>
              </w:rPr>
              <w:t xml:space="preserve">Nevar atbalstīt elektronisko sakaru komersantam nosakāmo pienākumu īstenojot piekļuves ierobežošanu Latvijā nelicencēta interaktīvo azartspēļu organizētāja internēta mājaslapai norādīt informāciju par Latvijā nelicencēto interaktīvo azartspēļu spēlētāja atbildību un norādīt, ka Latvijā licencēto interaktīvo </w:t>
            </w:r>
            <w:r w:rsidRPr="00DE1A22">
              <w:rPr>
                <w:rFonts w:eastAsia="Times New Roman"/>
                <w:sz w:val="24"/>
                <w:szCs w:val="24"/>
              </w:rPr>
              <w:lastRenderedPageBreak/>
              <w:t xml:space="preserve">azartspēļu organizētāju saraksts ir pieejams Izložu un azartspēļu uzraudzības inspekcijas mājaslapā. Ar šādu normu sakaru komersantam tiktu uzlikts papildu neattaisnojams slogs - sekot norādāmās informācijas saturam, lai to pareizi norādītu, kā arī funkcija no uzraudzības (valsts pārvaldes) sektora tiek pārlikta uz privāta komersanta </w:t>
            </w:r>
            <w:r w:rsidRPr="00DE1A22">
              <w:t xml:space="preserve"> </w:t>
            </w:r>
            <w:r w:rsidRPr="00DE1A22">
              <w:rPr>
                <w:rFonts w:eastAsia="Times New Roman"/>
                <w:sz w:val="24"/>
                <w:szCs w:val="24"/>
              </w:rPr>
              <w:t>pleciem. Nevar piekrist ari piedāvājumam noteikt soda naudu par atsevišķu Elektronisko sakaru likuma pantu neievērošanu, kā ari pienākumam valsts budžetā ieskaitīt valsts negūtos nodokļu ieņēmumus. Ņemot vērā, ka sodīšanas mērķis pamatnostādņu kontekstā ir veicināt vietņu bloķēšanas pienākuma izpildi, pastāv virkne situāciju, kad tehnoloģisku iemeslu dēļ bloķēšana nevar notikt, neatkarīgi no komersanta labās gribas un pieliktajām pūlēm. Minētajos gadījumos soda piemērošana nav samērīga un taisnīga. Attiecībā uz neiegūto nodokļu nomaksas pienākumu jānorāda, ka šāds pienākums neatbilst nodokļu sistēmai kopumā, kur nodokļu samaksas pienākums ir katrā attiecīgajā likumā norādītajam subjektam, nevis iestādei vai privāto tiesību subjektam, kas ar darbību vai bezdarbību pieļauj vai veicina, ka nodoklis netiek samaksāts.</w:t>
            </w:r>
          </w:p>
        </w:tc>
        <w:tc>
          <w:tcPr>
            <w:tcW w:w="3118" w:type="dxa"/>
            <w:shd w:val="clear" w:color="auto" w:fill="auto"/>
          </w:tcPr>
          <w:p w:rsidR="00A6269B" w:rsidRPr="00DE1A22" w:rsidRDefault="00A6269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 vērā.</w:t>
            </w:r>
          </w:p>
        </w:tc>
        <w:tc>
          <w:tcPr>
            <w:tcW w:w="3402" w:type="dxa"/>
            <w:shd w:val="clear" w:color="auto" w:fill="auto"/>
          </w:tcPr>
          <w:p w:rsidR="00A6269B" w:rsidRPr="00DE1A22" w:rsidRDefault="00A6269B" w:rsidP="005B04CB">
            <w:pPr>
              <w:jc w:val="both"/>
              <w:rPr>
                <w:rFonts w:eastAsia="Times New Roman"/>
                <w:bCs/>
                <w:sz w:val="24"/>
                <w:szCs w:val="24"/>
                <w:lang w:eastAsia="lv-LV"/>
              </w:rPr>
            </w:pPr>
            <w:r w:rsidRPr="00DE1A22">
              <w:rPr>
                <w:rFonts w:eastAsia="Times New Roman"/>
                <w:bCs/>
                <w:sz w:val="24"/>
                <w:szCs w:val="24"/>
                <w:lang w:eastAsia="lv-LV"/>
              </w:rPr>
              <w:t>Uzdevums izpildīts ar 2019.gada 3.aprīlī Saeimā pieņemto likumu Par valsts budžetu 2019.gadam un to pavadošajiem 14 likumprojektiem, tai skaitā iekļautajiem četriem likumprojektiem, kas paredz ierobežot Latvijā nelicencētu interaktīvo azartspēļu un izložu pieejamību.</w:t>
            </w:r>
          </w:p>
        </w:tc>
      </w:tr>
      <w:tr w:rsidR="005B04CB" w:rsidRPr="00DE1A22" w:rsidTr="00BF4AE7">
        <w:tc>
          <w:tcPr>
            <w:tcW w:w="846" w:type="dxa"/>
            <w:gridSpan w:val="2"/>
            <w:shd w:val="clear" w:color="auto" w:fill="auto"/>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10</w:t>
            </w:r>
            <w:r w:rsidR="005B04CB" w:rsidRPr="00DE1A22">
              <w:rPr>
                <w:rFonts w:eastAsia="Times New Roman"/>
                <w:sz w:val="24"/>
                <w:szCs w:val="24"/>
                <w:lang w:eastAsia="lv-LV"/>
              </w:rPr>
              <w:t>.</w:t>
            </w:r>
          </w:p>
        </w:tc>
        <w:tc>
          <w:tcPr>
            <w:tcW w:w="2977" w:type="dxa"/>
            <w:shd w:val="clear" w:color="auto" w:fill="auto"/>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pielikums kopumā.</w:t>
            </w:r>
          </w:p>
        </w:tc>
        <w:tc>
          <w:tcPr>
            <w:tcW w:w="4394" w:type="dxa"/>
            <w:shd w:val="clear" w:color="auto" w:fill="auto"/>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Satiksmes ministrija (28.01.2019. Nr.03-03/13)</w:t>
            </w:r>
          </w:p>
          <w:p w:rsidR="005B04CB" w:rsidRPr="00DE1A22" w:rsidRDefault="005B04CB" w:rsidP="005B04CB">
            <w:pPr>
              <w:jc w:val="both"/>
              <w:rPr>
                <w:rFonts w:eastAsia="Times New Roman"/>
                <w:sz w:val="24"/>
                <w:szCs w:val="24"/>
              </w:rPr>
            </w:pPr>
            <w:r w:rsidRPr="00DE1A22">
              <w:rPr>
                <w:rFonts w:eastAsia="Times New Roman"/>
                <w:sz w:val="24"/>
                <w:szCs w:val="24"/>
                <w:lang w:eastAsia="lv-LV"/>
              </w:rPr>
              <w:t xml:space="preserve">Lūdzam papildināt Pamatnostādņu pielikumu “Esošās situācijas vispārīgs raksturojums” (turpmāk – Pielikums) ar skaidrojumu par Pamatnostādnēs iekļautā 4.punkta “Rīcības virzieni un uzdevumi” (1. </w:t>
            </w:r>
            <w:r w:rsidRPr="00DE1A22">
              <w:rPr>
                <w:rFonts w:eastAsia="Times New Roman"/>
                <w:sz w:val="24"/>
                <w:szCs w:val="24"/>
                <w:lang w:eastAsia="lv-LV"/>
              </w:rPr>
              <w:lastRenderedPageBreak/>
              <w:t xml:space="preserve">Rīcības virziens </w:t>
            </w:r>
            <w:r w:rsidR="008256EE" w:rsidRPr="00DE1A22">
              <w:rPr>
                <w:rFonts w:eastAsia="Times New Roman"/>
                <w:sz w:val="24"/>
                <w:szCs w:val="24"/>
                <w:lang w:eastAsia="lv-LV"/>
              </w:rPr>
              <w:t>–</w:t>
            </w:r>
            <w:r w:rsidRPr="00DE1A22">
              <w:rPr>
                <w:rFonts w:eastAsia="Times New Roman"/>
                <w:sz w:val="24"/>
                <w:szCs w:val="24"/>
                <w:lang w:eastAsia="lv-LV"/>
              </w:rPr>
              <w:t xml:space="preserve"> Nelegālā tirgus ierobežošana) 1.uzdevumā noteikto, “ka elektronisko sakaru komersants piekļuves ierobežošanu azartspēļu organizētāja mājaslapai nodrošina sev piemērotā veidā”, norādot arī, kāds rezultāts tiek sagaidīts.</w:t>
            </w:r>
          </w:p>
        </w:tc>
        <w:tc>
          <w:tcPr>
            <w:tcW w:w="3118" w:type="dxa"/>
            <w:shd w:val="clear" w:color="auto" w:fill="auto"/>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5B04CB" w:rsidRPr="00DE1A22" w:rsidRDefault="005B04CB" w:rsidP="004A16A8">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rsidR="005B04CB" w:rsidRPr="00DE1A22" w:rsidRDefault="00D64597" w:rsidP="005B04CB">
            <w:pPr>
              <w:jc w:val="both"/>
              <w:rPr>
                <w:rFonts w:eastAsia="Times New Roman"/>
                <w:sz w:val="24"/>
                <w:szCs w:val="24"/>
              </w:rPr>
            </w:pPr>
            <w:r w:rsidRPr="00DE1A22">
              <w:rPr>
                <w:rFonts w:eastAsia="Times New Roman"/>
                <w:bCs/>
                <w:sz w:val="24"/>
                <w:szCs w:val="24"/>
                <w:lang w:eastAsia="lv-LV"/>
              </w:rPr>
              <w:t xml:space="preserve">Uzdevums izpildīts ar 2019.gada 3.aprīlī Saeimā pieņemto likumu Par valsts budžetu 2019.gadam un to pavadošajiem 14 likumprojektiem, tai skaitā iekļautajiem četriem likumprojektiem, kas paredz </w:t>
            </w:r>
            <w:r w:rsidRPr="00DE1A22">
              <w:rPr>
                <w:rFonts w:eastAsia="Times New Roman"/>
                <w:bCs/>
                <w:sz w:val="24"/>
                <w:szCs w:val="24"/>
                <w:lang w:eastAsia="lv-LV"/>
              </w:rPr>
              <w:lastRenderedPageBreak/>
              <w:t>ierobežot Latvijā nelicencētu interaktīvo azartspēļu un izložu pieejamību.</w:t>
            </w:r>
          </w:p>
        </w:tc>
      </w:tr>
      <w:tr w:rsidR="005B04CB" w:rsidRPr="00DE1A22" w:rsidTr="00BF4AE7">
        <w:tc>
          <w:tcPr>
            <w:tcW w:w="846" w:type="dxa"/>
            <w:gridSpan w:val="2"/>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11</w:t>
            </w:r>
            <w:r w:rsidR="005B04CB" w:rsidRPr="00DE1A22">
              <w:rPr>
                <w:rFonts w:eastAsia="Times New Roman"/>
                <w:sz w:val="24"/>
                <w:szCs w:val="24"/>
                <w:lang w:eastAsia="lv-LV"/>
              </w:rPr>
              <w:t>.</w:t>
            </w:r>
          </w:p>
        </w:tc>
        <w:tc>
          <w:tcPr>
            <w:tcW w:w="2977" w:type="dxa"/>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2. Rīcības virziena “Azartspēļu un izložu pieejamības regulēšana” 1. uzdevums “Normatīvajos aktos noteikt ierobežojumus sociāli neaizsargāto personu dalībai azartspēlēs. Pasākuma īstenošana ir tehniski iespējama pēc vienota azartspēļu spēlētāju reģistra ieviešanas un reģistra datu savietošanas no valsts un pašvaldību informācijas sistēmām par attiecīgajiem iedzīvotājiem piešķirtajiem statusiem.”</w:t>
            </w:r>
          </w:p>
        </w:tc>
        <w:tc>
          <w:tcPr>
            <w:tcW w:w="4394" w:type="dxa"/>
          </w:tcPr>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Priekšlikums:</w:t>
            </w:r>
          </w:p>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Labklājības ministrija (25.01.2019. Nr.A-21-09/9)</w:t>
            </w:r>
          </w:p>
          <w:p w:rsidR="005B04CB" w:rsidRPr="00DE1A22" w:rsidRDefault="005B04CB" w:rsidP="005B04CB">
            <w:pPr>
              <w:jc w:val="both"/>
              <w:rPr>
                <w:rFonts w:eastAsia="Times New Roman"/>
                <w:sz w:val="24"/>
                <w:szCs w:val="24"/>
              </w:rPr>
            </w:pPr>
            <w:r w:rsidRPr="00DE1A22">
              <w:rPr>
                <w:rFonts w:eastAsia="Times New Roman"/>
                <w:sz w:val="24"/>
                <w:szCs w:val="24"/>
                <w:lang w:eastAsia="lv-LV"/>
              </w:rPr>
              <w:t>Lūdzam par līdzatbildīgo institūciju noteikt arī Tieslietu ministriju, lai tādējādi jau normatīvajos aktos noteikto ierobežojumu izstrādes procesā juridiski profesionāli izvērtētu ierobežojumu pamatotību un tiesiskumu attiecībā uz sociāli mazaizsargāto personu grupām.</w:t>
            </w:r>
          </w:p>
        </w:tc>
        <w:tc>
          <w:tcPr>
            <w:tcW w:w="3118" w:type="dxa"/>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rsidR="005B04CB" w:rsidRPr="00DE1A22" w:rsidRDefault="005B04CB" w:rsidP="00B44344">
            <w:pPr>
              <w:jc w:val="both"/>
              <w:rPr>
                <w:rFonts w:eastAsia="Times New Roman"/>
                <w:b/>
                <w:bCs/>
                <w:sz w:val="24"/>
                <w:szCs w:val="24"/>
                <w:lang w:eastAsia="lv-LV"/>
              </w:rPr>
            </w:pPr>
          </w:p>
        </w:tc>
        <w:tc>
          <w:tcPr>
            <w:tcW w:w="3402" w:type="dxa"/>
          </w:tcPr>
          <w:p w:rsidR="00B44344" w:rsidRPr="00DE1A22" w:rsidRDefault="00B44344" w:rsidP="00B44344">
            <w:pPr>
              <w:jc w:val="both"/>
              <w:rPr>
                <w:rFonts w:eastAsia="Times New Roman"/>
                <w:bCs/>
                <w:sz w:val="24"/>
                <w:szCs w:val="24"/>
                <w:lang w:eastAsia="lv-LV"/>
              </w:rPr>
            </w:pPr>
            <w:r w:rsidRPr="00DE1A22">
              <w:rPr>
                <w:rFonts w:eastAsia="Times New Roman"/>
                <w:bCs/>
                <w:sz w:val="24"/>
                <w:szCs w:val="24"/>
                <w:lang w:eastAsia="lv-LV"/>
              </w:rPr>
              <w:t>Uzdevums zaudējis aktualitāti un dzēsts no projekta.</w:t>
            </w:r>
          </w:p>
          <w:p w:rsidR="005B04CB" w:rsidRPr="00DE1A22" w:rsidRDefault="005B04CB" w:rsidP="005B04CB">
            <w:pPr>
              <w:jc w:val="both"/>
              <w:rPr>
                <w:rFonts w:eastAsia="Times New Roman"/>
                <w:sz w:val="24"/>
                <w:szCs w:val="24"/>
              </w:rPr>
            </w:pPr>
          </w:p>
        </w:tc>
      </w:tr>
      <w:tr w:rsidR="005B04CB" w:rsidRPr="00DE1A22" w:rsidTr="00BF4AE7">
        <w:tc>
          <w:tcPr>
            <w:tcW w:w="846" w:type="dxa"/>
            <w:gridSpan w:val="2"/>
          </w:tcPr>
          <w:p w:rsidR="005B04CB" w:rsidRPr="00DE1A22" w:rsidRDefault="005B04CB" w:rsidP="00CB4782">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r w:rsidR="00CB4782" w:rsidRPr="00DE1A22">
              <w:rPr>
                <w:rFonts w:eastAsia="Times New Roman"/>
                <w:sz w:val="24"/>
                <w:szCs w:val="24"/>
                <w:lang w:eastAsia="lv-LV"/>
              </w:rPr>
              <w:t>2</w:t>
            </w:r>
            <w:r w:rsidRPr="00DE1A22">
              <w:rPr>
                <w:rFonts w:eastAsia="Times New Roman"/>
                <w:sz w:val="24"/>
                <w:szCs w:val="24"/>
                <w:lang w:eastAsia="lv-LV"/>
              </w:rPr>
              <w:t>.</w:t>
            </w:r>
          </w:p>
        </w:tc>
        <w:tc>
          <w:tcPr>
            <w:tcW w:w="2977" w:type="dxa"/>
          </w:tcPr>
          <w:p w:rsidR="005B04CB" w:rsidRPr="00DE1A22" w:rsidRDefault="005B04CB" w:rsidP="000C2873">
            <w:pPr>
              <w:jc w:val="both"/>
              <w:rPr>
                <w:rFonts w:eastAsia="Times New Roman"/>
                <w:sz w:val="24"/>
                <w:szCs w:val="24"/>
                <w:lang w:eastAsia="lv-LV"/>
              </w:rPr>
            </w:pPr>
            <w:r w:rsidRPr="00DE1A22">
              <w:rPr>
                <w:rFonts w:eastAsia="Times New Roman"/>
                <w:sz w:val="24"/>
                <w:szCs w:val="24"/>
                <w:lang w:eastAsia="lv-LV"/>
              </w:rPr>
              <w:t xml:space="preserve">Projekta 4. sadaļas  “Rīcības virzieni un uzdevumi” 2. Rīcības virziena “Azartspēļu un izložu pieejamības regulēšana” 1. uzdevums “Normatīvajos aktos noteikt ierobežojumus sociāli mazaizsargāto personu grupu dalībai azartspēlēs. Pasākuma īstenošana ir tehniski iespējama pēc vienota azartspēļu spēlētāju </w:t>
            </w:r>
            <w:r w:rsidRPr="00DE1A22">
              <w:rPr>
                <w:rFonts w:eastAsia="Times New Roman"/>
                <w:sz w:val="24"/>
                <w:szCs w:val="24"/>
                <w:lang w:eastAsia="lv-LV"/>
              </w:rPr>
              <w:lastRenderedPageBreak/>
              <w:t>reģistra ieviešanas un reģistra datu savietošanas no valsts un pašvaldību informācijas sistēmām par attiecīgajiem iedzīvotājiem piešķirtajiem statusiem.”</w:t>
            </w:r>
          </w:p>
        </w:tc>
        <w:tc>
          <w:tcPr>
            <w:tcW w:w="4394" w:type="dxa"/>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lastRenderedPageBreak/>
              <w:t>Veselības ministrija (30.01.2019. Nr.01-09/448)</w:t>
            </w:r>
          </w:p>
          <w:p w:rsidR="005B04CB" w:rsidRPr="00DE1A22" w:rsidRDefault="005B04CB" w:rsidP="005B04CB">
            <w:pPr>
              <w:jc w:val="both"/>
              <w:rPr>
                <w:rFonts w:eastAsia="Times New Roman"/>
                <w:sz w:val="24"/>
                <w:szCs w:val="24"/>
              </w:rPr>
            </w:pPr>
            <w:r w:rsidRPr="00DE1A22">
              <w:rPr>
                <w:rFonts w:eastAsia="Times New Roman"/>
                <w:sz w:val="24"/>
                <w:szCs w:val="24"/>
                <w:lang w:eastAsia="lv-LV"/>
              </w:rPr>
              <w:t>Lūdzam svītrot Veselības ministriju kā līdzatbildīgo institūciju no pamatnostādņu projekta 2. rīcības virziena 1. punkta, ņemot vērā, ka augstāk minētais uzdevums nav Veselības ministrijas kompetencē.</w:t>
            </w:r>
          </w:p>
        </w:tc>
        <w:tc>
          <w:tcPr>
            <w:tcW w:w="3118" w:type="dxa"/>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rsidR="005B04CB" w:rsidRPr="00DE1A22" w:rsidRDefault="005B04CB" w:rsidP="005B04CB">
            <w:pPr>
              <w:jc w:val="both"/>
              <w:rPr>
                <w:rFonts w:eastAsia="Times New Roman"/>
                <w:bCs/>
                <w:sz w:val="24"/>
                <w:szCs w:val="24"/>
                <w:lang w:eastAsia="lv-LV"/>
              </w:rPr>
            </w:pPr>
          </w:p>
        </w:tc>
        <w:tc>
          <w:tcPr>
            <w:tcW w:w="3402" w:type="dxa"/>
          </w:tcPr>
          <w:p w:rsidR="005B04CB" w:rsidRPr="00DE1A22" w:rsidRDefault="00B44344" w:rsidP="005B04CB">
            <w:pPr>
              <w:jc w:val="both"/>
              <w:rPr>
                <w:rFonts w:eastAsia="Times New Roman"/>
                <w:sz w:val="24"/>
                <w:szCs w:val="24"/>
              </w:rPr>
            </w:pPr>
            <w:r w:rsidRPr="00DE1A22">
              <w:rPr>
                <w:rFonts w:eastAsia="Times New Roman"/>
                <w:bCs/>
                <w:sz w:val="24"/>
                <w:szCs w:val="24"/>
                <w:lang w:eastAsia="lv-LV"/>
              </w:rPr>
              <w:t>Uzdevums zaudējis aktualitāti un dzēsts no projekta.</w:t>
            </w:r>
          </w:p>
        </w:tc>
      </w:tr>
      <w:tr w:rsidR="005B04CB" w:rsidRPr="00DE1A22" w:rsidTr="00BF4AE7">
        <w:tc>
          <w:tcPr>
            <w:tcW w:w="846" w:type="dxa"/>
            <w:gridSpan w:val="2"/>
          </w:tcPr>
          <w:p w:rsidR="005B04CB" w:rsidRPr="00DE1A22" w:rsidRDefault="005B04CB" w:rsidP="00CB4782">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r w:rsidR="00CB4782" w:rsidRPr="00DE1A22">
              <w:rPr>
                <w:rFonts w:eastAsia="Times New Roman"/>
                <w:sz w:val="24"/>
                <w:szCs w:val="24"/>
                <w:lang w:eastAsia="lv-LV"/>
              </w:rPr>
              <w:t>3</w:t>
            </w:r>
            <w:r w:rsidRPr="00DE1A22">
              <w:rPr>
                <w:rFonts w:eastAsia="Times New Roman"/>
                <w:sz w:val="24"/>
                <w:szCs w:val="24"/>
                <w:lang w:eastAsia="lv-LV"/>
              </w:rPr>
              <w:t>.</w:t>
            </w:r>
          </w:p>
        </w:tc>
        <w:tc>
          <w:tcPr>
            <w:tcW w:w="2977" w:type="dxa"/>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2. Rīcības virziena “Azartspēļu un izložu pieejamības regulēšana” 1. un 2. uzdevums:</w:t>
            </w:r>
          </w:p>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“1. Normatīvajos aktos noteikt ierobežojumus sociāli neaizsargāto personu dalībai azartspēlēs. Pasākuma īstenošana ir tehniski iespējama pēc vienota azartspēļu spēlētāju reģistra ieviešanas un reģistra datu savietošanas no valsts un pašvaldību informācijas sistēmām par attiecīgajiem iedzīvotājiem piešķirtajiem statusiem.</w:t>
            </w:r>
          </w:p>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 xml:space="preserve">2. Normatīvajos aktos noteikt ierobežojumus “zemes” azartspēļu un interaktīvo azartspēļu apmeklējumu skaitam konkrētajā periodā, ja personas rīcība un apmeklējumu skaits norāda uz atkarības riskiem, labprātīgi virzot personu uz profilakses un/vai ārstēšanas </w:t>
            </w:r>
            <w:r w:rsidRPr="00DE1A22">
              <w:rPr>
                <w:rFonts w:eastAsia="Times New Roman"/>
                <w:sz w:val="24"/>
                <w:szCs w:val="24"/>
                <w:lang w:eastAsia="lv-LV"/>
              </w:rPr>
              <w:lastRenderedPageBreak/>
              <w:t>iespējām. Pasākuma īstenošana ir tehniski iespējama pēc vienota azartspēļu spēlētāju reģistra ieviešanas.”</w:t>
            </w:r>
          </w:p>
          <w:p w:rsidR="005B04CB" w:rsidRPr="00DE1A22" w:rsidRDefault="005B04CB" w:rsidP="005B04CB">
            <w:pPr>
              <w:jc w:val="both"/>
              <w:rPr>
                <w:rFonts w:eastAsia="Times New Roman"/>
                <w:sz w:val="24"/>
                <w:szCs w:val="24"/>
                <w:lang w:eastAsia="lv-LV"/>
              </w:rPr>
            </w:pPr>
          </w:p>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 xml:space="preserve">Vienlaikus projekta pielikuma 4. nodaļas “Azartspēļu un izložu pieejamība, darbības vietas un to regulēšana” sadaļa “Nepieciešamie pasākumi” (60. lpp.) paredz “normatīvajos aktos noteikt ierobežojumus sociāli neaizsargāto personu dalībai azartspēlēs. Pasākuma īstenošana ir tehniski iespējama pēc vienota azartspēļu spēlētāju reģistra ieviešanas un reģistra datu savietošanas no valsts un pašvaldību informācijas sistēmām par attiecīgajiem iedzīvotāju piešķirtajiem statusiem; normatīvajos aktos noteikt ierobežojumus “zemes” azartspēļu un interaktīvo azartspēļu apmeklējumu skaitam konkrētajā periodā, ja personas rīcība un apmeklējumu skaits norāda uz atkarības riskiem, labprātīgi virzot personu uz profilakses un/vai ārstēšanas </w:t>
            </w:r>
            <w:r w:rsidRPr="00DE1A22">
              <w:rPr>
                <w:rFonts w:eastAsia="Times New Roman"/>
                <w:sz w:val="24"/>
                <w:szCs w:val="24"/>
                <w:lang w:eastAsia="lv-LV"/>
              </w:rPr>
              <w:lastRenderedPageBreak/>
              <w:t>iespējām. Pasākuma īstenošana ir tehniski iespējama pēc vienota azartspēļu spēlētāju reģistra ieviešanas.”</w:t>
            </w:r>
          </w:p>
        </w:tc>
        <w:tc>
          <w:tcPr>
            <w:tcW w:w="4394" w:type="dxa"/>
          </w:tcPr>
          <w:p w:rsidR="005B04CB" w:rsidRPr="00DE1A22" w:rsidRDefault="005B04CB" w:rsidP="005B04CB">
            <w:pPr>
              <w:contextualSpacing/>
              <w:jc w:val="both"/>
              <w:rPr>
                <w:rFonts w:eastAsia="Times New Roman"/>
                <w:b/>
                <w:sz w:val="24"/>
                <w:szCs w:val="24"/>
              </w:rPr>
            </w:pPr>
            <w:r w:rsidRPr="00DE1A22">
              <w:rPr>
                <w:rFonts w:eastAsia="Times New Roman"/>
                <w:b/>
                <w:sz w:val="24"/>
                <w:szCs w:val="24"/>
              </w:rPr>
              <w:lastRenderedPageBreak/>
              <w:t>Tieslietu ministrija (25.01.2019. Nr.1-9.1/88).</w:t>
            </w:r>
          </w:p>
          <w:p w:rsidR="005B04CB" w:rsidRPr="00DE1A22" w:rsidRDefault="005B04CB" w:rsidP="005B04CB">
            <w:pPr>
              <w:contextualSpacing/>
              <w:jc w:val="both"/>
              <w:rPr>
                <w:rFonts w:eastAsia="Times New Roman"/>
                <w:sz w:val="24"/>
                <w:szCs w:val="24"/>
              </w:rPr>
            </w:pPr>
            <w:r w:rsidRPr="00DE1A22">
              <w:rPr>
                <w:rFonts w:eastAsia="Times New Roman"/>
                <w:sz w:val="24"/>
                <w:szCs w:val="24"/>
              </w:rPr>
              <w:t xml:space="preserve">Vēršam uzmanību, ka, projekta pielikums nesniedz skaidrojumu un neidentificē ieguvumu jeb labumu (sabiedrības intereses), ko sabiedrība iegūst, nosakot iepriekš minētos ierobežojumus privātpersonām.  </w:t>
            </w:r>
          </w:p>
          <w:p w:rsidR="005B04CB" w:rsidRPr="00DE1A22" w:rsidRDefault="005B04CB" w:rsidP="005B04CB">
            <w:pPr>
              <w:contextualSpacing/>
              <w:jc w:val="both"/>
              <w:rPr>
                <w:rFonts w:eastAsia="Times New Roman"/>
                <w:sz w:val="24"/>
                <w:szCs w:val="24"/>
              </w:rPr>
            </w:pPr>
            <w:r w:rsidRPr="00DE1A22">
              <w:rPr>
                <w:rFonts w:eastAsia="Times New Roman"/>
                <w:sz w:val="24"/>
                <w:szCs w:val="24"/>
              </w:rPr>
              <w:t xml:space="preserve">Lai nepārkāptu Eiropas Cilvēktiesību konvencijas 8. panta pirmajā daļā noteikto par tiesībām uz privāto dzīvi, ir jānodrošina piemērota un adekvāta tiesiskā aizsardzība. Arī Eiropas Savienības Pamattiesību hartas 7. pants paredz, ka ikvienai personai ir tiesības uz savas privātās un ģimenes dzīves, dzīvokļa un saziņas neaizskaramību. Tomēr tiesības uz privātās dzīves neaizskaramību nav absolūtas. Tās var ierobežot, ja ierobežojums ir noteikts ar likumu, tas kalpo leģitīmam mērķim un ir nepieciešams demokrātiskā sabiedrībā. Eiropas Savienības pamattiesību hartas 52. panta 1. punktā ir prasīts ne tikai tas, ka visiem pamattiesību ierobežojumiem ir jābūt “noteiktiem tiesību aktos”, bet arī tas, ka tie ir jāīsteno, stingri ievērojot samērīguma principu. (..) Proti, tajā samērīgums nav noteikts kā vispārējs Eiropas Savienības princips, bet daudz </w:t>
            </w:r>
            <w:r w:rsidRPr="00DE1A22">
              <w:rPr>
                <w:rFonts w:eastAsia="Times New Roman"/>
                <w:sz w:val="24"/>
                <w:szCs w:val="24"/>
              </w:rPr>
              <w:lastRenderedPageBreak/>
              <w:t>konkrētāk, kā jebkura pamattiesību ierobežojuma būtisks priekšnosacījums.</w:t>
            </w:r>
          </w:p>
          <w:p w:rsidR="005B04CB" w:rsidRPr="00DE1A22" w:rsidRDefault="005B04CB" w:rsidP="005B04CB">
            <w:pPr>
              <w:contextualSpacing/>
              <w:jc w:val="both"/>
              <w:rPr>
                <w:rFonts w:eastAsia="Times New Roman"/>
                <w:sz w:val="24"/>
                <w:szCs w:val="24"/>
              </w:rPr>
            </w:pPr>
            <w:r w:rsidRPr="00DE1A22">
              <w:rPr>
                <w:rFonts w:eastAsia="Times New Roman"/>
                <w:sz w:val="24"/>
                <w:szCs w:val="24"/>
              </w:rPr>
              <w:t xml:space="preserve">Attiecīgi, lai noskaidrotu, vai ierobežojums ir nepieciešams demokrātiskā sabiedrībā, ir jāvērtē vai ierobežojums ir sociāli nepieciešams un samērīgs. Lai izvērtētu personas pamattiesību ierobežojuma samērīgumu, jānoskaidro: </w:t>
            </w:r>
          </w:p>
          <w:p w:rsidR="005B04CB" w:rsidRPr="00DE1A22" w:rsidRDefault="005B04CB" w:rsidP="005B04CB">
            <w:pPr>
              <w:contextualSpacing/>
              <w:jc w:val="both"/>
              <w:rPr>
                <w:rFonts w:eastAsia="Times New Roman"/>
                <w:sz w:val="24"/>
                <w:szCs w:val="24"/>
              </w:rPr>
            </w:pPr>
            <w:r w:rsidRPr="00DE1A22">
              <w:rPr>
                <w:rFonts w:eastAsia="Times New Roman"/>
                <w:sz w:val="24"/>
                <w:szCs w:val="24"/>
              </w:rPr>
              <w:t xml:space="preserve">1) vai izraudzītie līdzekļi ir piemēroti leģitīmā mērķa sasniegšanai; </w:t>
            </w:r>
          </w:p>
          <w:p w:rsidR="005B04CB" w:rsidRPr="00DE1A22" w:rsidRDefault="005B04CB" w:rsidP="005B04CB">
            <w:pPr>
              <w:contextualSpacing/>
              <w:jc w:val="both"/>
              <w:rPr>
                <w:rFonts w:eastAsia="Times New Roman"/>
                <w:sz w:val="24"/>
                <w:szCs w:val="24"/>
              </w:rPr>
            </w:pPr>
            <w:r w:rsidRPr="00DE1A22">
              <w:rPr>
                <w:rFonts w:eastAsia="Times New Roman"/>
                <w:sz w:val="24"/>
                <w:szCs w:val="24"/>
              </w:rPr>
              <w:t xml:space="preserve">2) vai nepastāv personu pamattiesības mazāk ierobežojoši (saudzējošāki) līdzekļi; </w:t>
            </w:r>
          </w:p>
          <w:p w:rsidR="005B04CB" w:rsidRPr="00DE1A22" w:rsidRDefault="005B04CB" w:rsidP="005B04CB">
            <w:pPr>
              <w:contextualSpacing/>
              <w:jc w:val="both"/>
              <w:rPr>
                <w:rFonts w:eastAsia="Times New Roman"/>
                <w:sz w:val="24"/>
                <w:szCs w:val="24"/>
              </w:rPr>
            </w:pPr>
            <w:r w:rsidRPr="00DE1A22">
              <w:rPr>
                <w:rFonts w:eastAsia="Times New Roman"/>
                <w:sz w:val="24"/>
                <w:szCs w:val="24"/>
              </w:rPr>
              <w:t>3) vai labums, ko iegūs sabiedrība, ir lielāks par indivīda tiesībām un likumiskajām interesēm nodarīto zaudējumu (</w:t>
            </w:r>
            <w:r w:rsidRPr="00DE1A22">
              <w:rPr>
                <w:rFonts w:eastAsia="Times New Roman"/>
                <w:i/>
                <w:sz w:val="24"/>
                <w:szCs w:val="24"/>
              </w:rPr>
              <w:t>sk., piemēram, Satversmes tiesas 2011. gada 30. marta sprieduma lietā Nr. 2010-60-01 23. punktu</w:t>
            </w:r>
            <w:r w:rsidRPr="00DE1A22">
              <w:rPr>
                <w:rFonts w:eastAsia="Times New Roman"/>
                <w:sz w:val="24"/>
                <w:szCs w:val="24"/>
              </w:rPr>
              <w:t>).</w:t>
            </w:r>
          </w:p>
          <w:p w:rsidR="005B04CB" w:rsidRPr="00DE1A22" w:rsidRDefault="005B04CB" w:rsidP="005B04CB">
            <w:pPr>
              <w:jc w:val="both"/>
              <w:rPr>
                <w:rFonts w:eastAsia="Times New Roman"/>
                <w:sz w:val="24"/>
                <w:szCs w:val="24"/>
              </w:rPr>
            </w:pPr>
            <w:r w:rsidRPr="00DE1A22">
              <w:rPr>
                <w:rFonts w:eastAsia="Times New Roman"/>
                <w:sz w:val="24"/>
                <w:szCs w:val="24"/>
              </w:rPr>
              <w:t>Ievērojot minēto, aicinām papildināt projekta pielikumu ar pamatojumu attiecībā uz iepriekš minēto ierobežojumu ieviešanas tiesiskajiem aspektiem, ietverot tajā izvērtējumu par personas tiesību ierobežojuma samērīgumu un pamatotību.</w:t>
            </w:r>
          </w:p>
        </w:tc>
        <w:tc>
          <w:tcPr>
            <w:tcW w:w="3118" w:type="dxa"/>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5B04CB" w:rsidRPr="00DE1A22" w:rsidRDefault="005B04CB" w:rsidP="005B04CB">
            <w:pPr>
              <w:tabs>
                <w:tab w:val="left" w:pos="0"/>
                <w:tab w:val="left" w:pos="709"/>
                <w:tab w:val="left" w:pos="993"/>
              </w:tabs>
              <w:suppressAutoHyphens/>
              <w:jc w:val="both"/>
              <w:outlineLvl w:val="3"/>
              <w:rPr>
                <w:rFonts w:eastAsia="Times New Roman"/>
                <w:b/>
                <w:bCs/>
                <w:sz w:val="24"/>
                <w:szCs w:val="24"/>
                <w:lang w:eastAsia="lv-LV"/>
              </w:rPr>
            </w:pPr>
          </w:p>
        </w:tc>
        <w:tc>
          <w:tcPr>
            <w:tcW w:w="3402" w:type="dxa"/>
          </w:tcPr>
          <w:p w:rsidR="005B04CB" w:rsidRPr="00DE1A22" w:rsidRDefault="00B44344" w:rsidP="005B04CB">
            <w:pPr>
              <w:jc w:val="both"/>
              <w:rPr>
                <w:rFonts w:eastAsia="Times New Roman"/>
                <w:sz w:val="24"/>
                <w:szCs w:val="24"/>
              </w:rPr>
            </w:pPr>
            <w:r w:rsidRPr="00DE1A22">
              <w:rPr>
                <w:rFonts w:eastAsia="Times New Roman"/>
                <w:bCs/>
                <w:sz w:val="24"/>
                <w:szCs w:val="24"/>
                <w:lang w:eastAsia="lv-LV"/>
              </w:rPr>
              <w:t>Uzdevums zaudējis aktualitāti un dzēsts no projekta.</w:t>
            </w:r>
          </w:p>
        </w:tc>
      </w:tr>
      <w:tr w:rsidR="005B04CB" w:rsidRPr="00DE1A22" w:rsidTr="00BF4AE7">
        <w:tc>
          <w:tcPr>
            <w:tcW w:w="846" w:type="dxa"/>
            <w:gridSpan w:val="2"/>
          </w:tcPr>
          <w:p w:rsidR="005B04CB" w:rsidRPr="00DE1A22" w:rsidRDefault="005B04CB" w:rsidP="00CB4782">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1</w:t>
            </w:r>
            <w:r w:rsidR="00CB4782" w:rsidRPr="00DE1A22">
              <w:rPr>
                <w:rFonts w:eastAsia="Times New Roman"/>
                <w:sz w:val="24"/>
                <w:szCs w:val="24"/>
                <w:lang w:eastAsia="lv-LV"/>
              </w:rPr>
              <w:t>4</w:t>
            </w:r>
            <w:r w:rsidRPr="00DE1A22">
              <w:rPr>
                <w:rFonts w:eastAsia="Times New Roman"/>
                <w:sz w:val="24"/>
                <w:szCs w:val="24"/>
                <w:lang w:eastAsia="lv-LV"/>
              </w:rPr>
              <w:t>.</w:t>
            </w:r>
          </w:p>
        </w:tc>
        <w:tc>
          <w:tcPr>
            <w:tcW w:w="2977" w:type="dxa"/>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2.  Rīcības virziena “Azartspēļu un izložu pieejamības regulēšana” 4. uzdevums:</w:t>
            </w:r>
          </w:p>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“Normatīvajos aktos noteikt skaidrus kritērijus, pēc kuriem pašvaldībām ir jāvadās, pieņemot lēmumu par konkrētas azartspēļu organizēšanas vietas atļaušanu vai aizliegšanu (t.sk. koncentrējot azartspēļu aktivitātes uzņēmējdarbību ekonomiski un sociāli visaktīvākajā pilsētas  teritorijā, mazinot ietekmi uz kultūrvēsturisko mantojumu, koncentrēšanās uz tūristiem, vietu skaita noteikšanai proporcionāli iedzīvotāju skaitam noteiktajā pašvaldībā).”.</w:t>
            </w:r>
          </w:p>
        </w:tc>
        <w:tc>
          <w:tcPr>
            <w:tcW w:w="4394" w:type="dxa"/>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Vides aizsardzības un reģionālās attīstības ministrija (25.01.2019. Nr.1-22/693)</w:t>
            </w:r>
          </w:p>
          <w:p w:rsidR="005B04CB" w:rsidRPr="00DE1A22" w:rsidRDefault="005B04CB" w:rsidP="005B04CB">
            <w:pPr>
              <w:jc w:val="both"/>
              <w:rPr>
                <w:rFonts w:eastAsia="Times New Roman"/>
                <w:sz w:val="24"/>
                <w:szCs w:val="24"/>
              </w:rPr>
            </w:pPr>
            <w:r w:rsidRPr="00DE1A22">
              <w:rPr>
                <w:rFonts w:eastAsia="Times New Roman"/>
                <w:sz w:val="24"/>
                <w:szCs w:val="24"/>
                <w:lang w:eastAsia="lv-LV"/>
              </w:rPr>
              <w:t xml:space="preserve">Atbilstoši likuma “Par pašvaldībām” 5.panta pirmajai daļai un 7.panta pirmajai un otrajai daļai pašvaldības savas kompetences un likuma ietvaros darbojas patstāvīgi. Šā likuma 15.pantā noteiktās pašvaldību autonomās funkcijas pildāmas kārtībā, kāda paredzēta attiecīgajos likumos un Ministru kabineta noteikumos, kā arī autonomo funkciju izpildi organizē un par to atbild pašvaldības. Likuma “Par pašvaldībām” 15.panta pirmās daļas 10. un 13.punkts kā pašvaldības autonomās funkcijas noteic saimnieciskās darbības attiecīgajā administratīvajā teritorijā sekmēšanu, rūpēšanos par bezdarba samazināšanu, zemes izmantošanas un apbūves kārtības noteikšanu saskaņā ar attiecīgās pašvaldības teritorijas plānojumu. Savukārt minētā likuma 21.panta pirmās daļas 3., 5. un 23.punkts un Teritorijas attīstības plānošanas likuma 12.panta pirmā un trešā daļa paredz, ka apstiprināt pašvaldības teritorijas attīstības programmu un teritorijas plānojumu, kā arī apstiprināt pašvaldības ekonomiskās un sociālās attīstības un apkārtējās vides aizsardzības perspektīvās programmas un lemt par kārtību, kādā izpildāmas šā likuma 15.pantā </w:t>
            </w:r>
            <w:r w:rsidRPr="00DE1A22">
              <w:rPr>
                <w:rFonts w:eastAsia="Times New Roman"/>
                <w:sz w:val="24"/>
                <w:szCs w:val="24"/>
                <w:lang w:eastAsia="lv-LV"/>
              </w:rPr>
              <w:lastRenderedPageBreak/>
              <w:t xml:space="preserve">minētās funkcijas, ir pašvaldības domes ekskluzīvā kompetencē. Pašvaldībām ir saistoši Attīstības plānošanas sistēmas likuma 5.pantā noteiktie attīstības plānošanas pamatprincipi un Teritorijas attīstības plānošanas likuma 3.pantā noteiktie teritorijas attīstības plānošanas principi, tajā skaitā interešu saskaņotības princips un vienlīdzīgu iespēju princips, kas paredz nozaru un teritoriālās, kā arī privātpersonu un sabiedrības intereses vērtēt kopsakarībā ar mērķi veicināt attiecīgās teritorijas ilgtspējīgu attīstību. Līdz ar to gan teritorijas attīstības plānošanas procesā, gan lēmuma pieņemšanā par jaunas azartspēļu organizēšanas vietas atvēršanu vienīgi katras pašvaldības kompetencē ir izvērtēt esošo situāciju un pieņemt tādu lēmumu, kas balstīts uz azartspēļu organizētāja un sabiedrības interešu vispusīgu izvērtējumu un sabalansētu teritorijas attīstības redzējumu. Ievērojot minēto, lūdzam pamatnostādņu 4.sadaļas “Rīcības virzieni un uzdevumi” otrā rīcības virziena “Azartspēļu un izložu pieejamības regulēšana” 4.punktā un pamatnostādņu pielikumā (57. un 61.lpp.) svītrot vārdus “koncentrējot azartspēļu aktivitātes uzņēmējdarbību ekonomiski un sociāli visaktīvākajā pilsētas teritorijā”. Vienlaikus neiebilstam pret principa “azartspēle iet prom ar tūristu” ieviešanu, kā tas norādīts pamatnostādņu pielikumā (57.lpp.), taču tādā gadījumā konkrēti norādāma potenciālās azartspēļu organizēšanas </w:t>
            </w:r>
            <w:r w:rsidRPr="00DE1A22">
              <w:rPr>
                <w:rFonts w:eastAsia="Times New Roman"/>
                <w:sz w:val="24"/>
                <w:szCs w:val="24"/>
                <w:lang w:eastAsia="lv-LV"/>
              </w:rPr>
              <w:lastRenderedPageBreak/>
              <w:t>teritorijas sasaiste ar tūristu visvairāk apmeklētām teritorijām (objektiem), kas ne vienmēr būs “ekonomiski un sociāli visaktīvākā pilsētas teritorija”, sevišķi attiecībā uz novadu pašvaldību administratīvajām teritorijām.</w:t>
            </w:r>
          </w:p>
        </w:tc>
        <w:tc>
          <w:tcPr>
            <w:tcW w:w="3118" w:type="dxa"/>
          </w:tcPr>
          <w:p w:rsidR="005B04CB" w:rsidRPr="00DE1A22" w:rsidRDefault="005B04CB" w:rsidP="00FC5F16">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r w:rsidR="00FC5F16" w:rsidRPr="00DE1A22">
              <w:rPr>
                <w:rFonts w:eastAsia="Times New Roman"/>
                <w:b/>
                <w:bCs/>
                <w:sz w:val="24"/>
                <w:szCs w:val="24"/>
                <w:lang w:eastAsia="lv-LV"/>
              </w:rPr>
              <w:t>, aizstājot ar alternatīvu risinājumu</w:t>
            </w:r>
            <w:r w:rsidRPr="00DE1A22">
              <w:rPr>
                <w:rFonts w:eastAsia="Times New Roman"/>
                <w:b/>
                <w:bCs/>
                <w:sz w:val="24"/>
                <w:szCs w:val="24"/>
                <w:lang w:eastAsia="lv-LV"/>
              </w:rPr>
              <w:t>.</w:t>
            </w:r>
          </w:p>
        </w:tc>
        <w:tc>
          <w:tcPr>
            <w:tcW w:w="3402" w:type="dxa"/>
          </w:tcPr>
          <w:p w:rsidR="005B04CB" w:rsidRPr="00DE1A22" w:rsidRDefault="00FC5F16" w:rsidP="005B04CB">
            <w:pPr>
              <w:jc w:val="both"/>
              <w:rPr>
                <w:rFonts w:eastAsia="Times New Roman"/>
                <w:sz w:val="24"/>
                <w:szCs w:val="24"/>
              </w:rPr>
            </w:pPr>
            <w:r w:rsidRPr="00DE1A22">
              <w:rPr>
                <w:rFonts w:eastAsia="Times New Roman"/>
                <w:bCs/>
                <w:sz w:val="24"/>
                <w:szCs w:val="24"/>
                <w:lang w:eastAsia="lv-LV"/>
              </w:rPr>
              <w:t>Iebildums ņemts vērā, aizstājot</w:t>
            </w:r>
            <w:r w:rsidRPr="00DE1A22">
              <w:t xml:space="preserve"> </w:t>
            </w:r>
            <w:r w:rsidRPr="00DE1A22">
              <w:rPr>
                <w:rFonts w:eastAsia="Times New Roman"/>
                <w:bCs/>
                <w:sz w:val="24"/>
                <w:szCs w:val="24"/>
                <w:lang w:eastAsia="lv-LV"/>
              </w:rPr>
              <w:t>Projekta 4. sadaļas “Rīcības virzieni un uzdevumi” 2.  Rīcības virziena “Azartspēļu un izložu pieejamības regulēšana” 4. uzdevumu ar alternatīvu risinājumu – Projekta pielikuma 4.sadaļas “Azartspēļu un izložu pieejamība, darbības vietas un to regulēšana” 2.risinājums.</w:t>
            </w:r>
          </w:p>
        </w:tc>
      </w:tr>
      <w:tr w:rsidR="005B04CB" w:rsidRPr="00DE1A22" w:rsidTr="00BF4AE7">
        <w:tc>
          <w:tcPr>
            <w:tcW w:w="846" w:type="dxa"/>
            <w:gridSpan w:val="2"/>
          </w:tcPr>
          <w:p w:rsidR="005B04CB" w:rsidRPr="00DE1A22" w:rsidRDefault="005B04CB" w:rsidP="00CB4782">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1</w:t>
            </w:r>
            <w:r w:rsidR="00CB4782" w:rsidRPr="00DE1A22">
              <w:rPr>
                <w:rFonts w:eastAsia="Times New Roman"/>
                <w:sz w:val="24"/>
                <w:szCs w:val="24"/>
                <w:lang w:eastAsia="lv-LV"/>
              </w:rPr>
              <w:t>5</w:t>
            </w:r>
            <w:r w:rsidRPr="00DE1A22">
              <w:rPr>
                <w:rFonts w:eastAsia="Times New Roman"/>
                <w:sz w:val="24"/>
                <w:szCs w:val="24"/>
                <w:lang w:eastAsia="lv-LV"/>
              </w:rPr>
              <w:t>.</w:t>
            </w:r>
          </w:p>
        </w:tc>
        <w:tc>
          <w:tcPr>
            <w:tcW w:w="2977" w:type="dxa"/>
          </w:tcPr>
          <w:p w:rsidR="005B04CB" w:rsidRPr="00DE1A22" w:rsidRDefault="005B04CB" w:rsidP="000C2873">
            <w:pPr>
              <w:jc w:val="both"/>
              <w:rPr>
                <w:rFonts w:eastAsia="Times New Roman"/>
                <w:sz w:val="24"/>
                <w:szCs w:val="24"/>
                <w:lang w:eastAsia="lv-LV"/>
              </w:rPr>
            </w:pPr>
            <w:r w:rsidRPr="00DE1A22">
              <w:rPr>
                <w:rFonts w:eastAsia="Times New Roman"/>
                <w:sz w:val="24"/>
                <w:szCs w:val="24"/>
                <w:lang w:eastAsia="lv-LV"/>
              </w:rPr>
              <w:t>Projekta 4. sadaļas “Rīcības virzieni un uzdevumi” 2. Rīcības virziena “Azartspēļu un izložu pieejamības regulēšana” 4. uzdevums “Normatīvajos aktos noteikt skaidrus kritērijus, pēc kuriem pašvaldībām ir jāvadās, pieņemot lēmumu par konkrētas azartspēļu organizēšanas vietas atļaušanu vai aizliegšanu (t.sk. koncentrējot azartspēļu aktivitātes uzņēmējdarbību ekonomiski un sociāli visaktīvākajā pilsētas  teritorijā, mazinot ietekmi uz kultūrvēsturisko mantojumu, koncentrēšanās uz tūristiem, vietu skaita noteikšanai proporcionāli iedzīvotāju skaitam noteiktajā pašvaldībā).”</w:t>
            </w:r>
          </w:p>
        </w:tc>
        <w:tc>
          <w:tcPr>
            <w:tcW w:w="4394" w:type="dxa"/>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Latvijas Pašvaldību savienība (28.01.2019. Nr.201901/SAN102/NOS61)</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Pamatnostādņu 2.rīcības virziena “Azartspēļu un izložu pieejamības regulēšana” 4.punkts paredz normatīvajos aktos noteikt skaidrus kritērijus, pēc kuriem pašvaldībām ir jāvadās, pieņemot lēmumu par konkrētas azartspēļu organizēšanas vietas atļaušanu vai aizliegšanu (t.sk. koncentrējot azartspēļu aktivitātes uzņēmējdarbību ekonomiski un sociāli visaktīvākajā pilsētas teritorijā, mazinot ietekmi uz kultūrvēsturisko mantojumu, koncentrēšanās uz tūristiem, vietu skaita noteikšanai proporcionāli iedzīvotāju skaitam noteiktajā pašvaldībā). Savukārt Pamatnostādņu pielikumā uzskaitītas risinājuma priekšrocības un trūkumi. Iebilstam pret Pamatnostādnēs ieteikto 2. risinājumu, jo vērtējums attiecībā uz risinājuma priekšrocībām nav objektīvs: </w:t>
            </w:r>
          </w:p>
          <w:p w:rsidR="005B04CB" w:rsidRPr="00DE1A22" w:rsidRDefault="005B04CB" w:rsidP="00990D6F">
            <w:pPr>
              <w:contextualSpacing/>
              <w:jc w:val="both"/>
              <w:rPr>
                <w:rFonts w:eastAsia="Times New Roman"/>
                <w:sz w:val="24"/>
                <w:szCs w:val="24"/>
              </w:rPr>
            </w:pPr>
            <w:r w:rsidRPr="00DE1A22">
              <w:rPr>
                <w:rFonts w:eastAsia="Times New Roman"/>
                <w:sz w:val="24"/>
                <w:szCs w:val="24"/>
                <w:lang w:eastAsia="lv-LV"/>
              </w:rPr>
              <w:t>1)</w:t>
            </w:r>
            <w:r w:rsidRPr="00DE1A22">
              <w:rPr>
                <w:rFonts w:eastAsia="Times New Roman"/>
                <w:sz w:val="24"/>
                <w:szCs w:val="24"/>
                <w:lang w:eastAsia="lv-LV"/>
              </w:rPr>
              <w:tab/>
              <w:t xml:space="preserve">Normatīvo aktu interpretācijas iespējas pašvaldībās un nozarē netiks novērstas pēc būtības, jo piedāvātie kritēriji nav objektīvi izmērāmi un pielietojami teritorijas funkcionālā zonējuma un teritorijas izmantošanas un apbūves noteikumu izstrādē, kas nozīmē samērā plašas interpretācijas iespējas teritorijas plānojuma izstrādes procesā, nosakot </w:t>
            </w:r>
            <w:r w:rsidRPr="00DE1A22">
              <w:rPr>
                <w:rFonts w:eastAsia="Times New Roman"/>
                <w:sz w:val="24"/>
                <w:szCs w:val="24"/>
                <w:lang w:eastAsia="lv-LV"/>
              </w:rPr>
              <w:lastRenderedPageBreak/>
              <w:t>teritorijas, kas ir, piemēram, “ekonomiski un sociāli visaktīvākā pilsētas teritorija”. Piemēram, Rīgā šāda teritorija ir Rīgas pilsētas vēsturiskais centrs un tā aizsardzības zona, kas vienlaikus ir kultūrvēsturiski vērtīgākā pilsētas daļa, uz kuru būtu attiecināms otrs ierobežojošais kritērijs par ietekmes mazināšanu uz kultūrvēsturisko mantojumu</w:t>
            </w:r>
            <w:r w:rsidR="000F15CB" w:rsidRPr="00DE1A22">
              <w:rPr>
                <w:rFonts w:eastAsia="Times New Roman"/>
                <w:sz w:val="24"/>
                <w:szCs w:val="24"/>
                <w:lang w:eastAsia="lv-LV"/>
              </w:rPr>
              <w:t>.</w:t>
            </w:r>
          </w:p>
        </w:tc>
        <w:tc>
          <w:tcPr>
            <w:tcW w:w="3118" w:type="dxa"/>
          </w:tcPr>
          <w:p w:rsidR="005B04CB" w:rsidRPr="00DE1A22" w:rsidRDefault="00FC5F16" w:rsidP="00FC5F16">
            <w:pPr>
              <w:tabs>
                <w:tab w:val="left" w:pos="0"/>
                <w:tab w:val="left" w:pos="709"/>
                <w:tab w:val="left" w:pos="993"/>
              </w:tabs>
              <w:suppressAutoHyphens/>
              <w:jc w:val="center"/>
              <w:outlineLvl w:val="3"/>
              <w:rPr>
                <w:rFonts w:eastAsia="Times New Roman"/>
                <w:b/>
                <w:bCs/>
                <w:sz w:val="24"/>
                <w:szCs w:val="24"/>
                <w:lang w:eastAsia="lv-LV"/>
              </w:rPr>
            </w:pPr>
            <w:r w:rsidRPr="00DE1A22">
              <w:rPr>
                <w:rFonts w:eastAsia="Times New Roman"/>
                <w:b/>
                <w:bCs/>
                <w:sz w:val="24"/>
                <w:szCs w:val="24"/>
                <w:lang w:eastAsia="lv-LV"/>
              </w:rPr>
              <w:lastRenderedPageBreak/>
              <w:t>Ņemts vērā, aizstājot ar alternatīvu risinājumu.</w:t>
            </w:r>
          </w:p>
        </w:tc>
        <w:tc>
          <w:tcPr>
            <w:tcW w:w="3402" w:type="dxa"/>
          </w:tcPr>
          <w:p w:rsidR="005B04CB" w:rsidRPr="00DE1A22" w:rsidRDefault="00FC5F16" w:rsidP="005B04CB">
            <w:pPr>
              <w:jc w:val="both"/>
              <w:rPr>
                <w:rFonts w:eastAsia="Times New Roman"/>
                <w:sz w:val="24"/>
                <w:szCs w:val="24"/>
              </w:rPr>
            </w:pPr>
            <w:r w:rsidRPr="00DE1A22">
              <w:rPr>
                <w:rFonts w:eastAsia="Times New Roman"/>
                <w:bCs/>
                <w:sz w:val="24"/>
                <w:szCs w:val="24"/>
                <w:lang w:eastAsia="lv-LV"/>
              </w:rPr>
              <w:t>Iebildums ņemts vērā, aizstājot</w:t>
            </w:r>
            <w:r w:rsidRPr="00DE1A22">
              <w:t xml:space="preserve"> </w:t>
            </w:r>
            <w:r w:rsidRPr="00DE1A22">
              <w:rPr>
                <w:rFonts w:eastAsia="Times New Roman"/>
                <w:bCs/>
                <w:sz w:val="24"/>
                <w:szCs w:val="24"/>
                <w:lang w:eastAsia="lv-LV"/>
              </w:rPr>
              <w:t>Projekta 4. sadaļas “Rīcības virzieni un uzdevumi” 2.  Rīcības virziena “Azartspēļu un izložu pieejamības regulēšana” 4. uzdevumu ar alternatīvu risinājumu – Projekta pielikuma 4.sadaļas “Azartspēļu un izložu pieejamība, darbības vietas un to regulēšana” 2.risinājums.</w:t>
            </w:r>
          </w:p>
        </w:tc>
      </w:tr>
      <w:tr w:rsidR="005B04CB" w:rsidRPr="00DE1A22" w:rsidTr="00BF4AE7">
        <w:tc>
          <w:tcPr>
            <w:tcW w:w="846" w:type="dxa"/>
            <w:gridSpan w:val="2"/>
          </w:tcPr>
          <w:p w:rsidR="005B04CB" w:rsidRPr="00DE1A22" w:rsidRDefault="005B04CB" w:rsidP="00CB4782">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r w:rsidR="00CB4782" w:rsidRPr="00DE1A22">
              <w:rPr>
                <w:rFonts w:eastAsia="Times New Roman"/>
                <w:sz w:val="24"/>
                <w:szCs w:val="24"/>
                <w:lang w:eastAsia="lv-LV"/>
              </w:rPr>
              <w:t>6</w:t>
            </w:r>
            <w:r w:rsidRPr="00DE1A22">
              <w:rPr>
                <w:rFonts w:eastAsia="Times New Roman"/>
                <w:sz w:val="24"/>
                <w:szCs w:val="24"/>
                <w:lang w:eastAsia="lv-LV"/>
              </w:rPr>
              <w:t>.</w:t>
            </w:r>
          </w:p>
        </w:tc>
        <w:tc>
          <w:tcPr>
            <w:tcW w:w="2977" w:type="dxa"/>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2. Rīcības virziena “Azartspēļu un izložu pieejamības regulēšana” 4. uzdevums “Normatīvajos aktos noteikt skaidrus kritērijus, pēc kuriem pašvaldībām ir jāvadās, pieņemot lēmumu par konkrētas azartspēļu organizēšanas vietas atļaušanu vai aizliegšanu (t.sk. koncentrējot azartspēļu aktivitātes uzņēmējdarbību ekonomiski un sociāli visaktīvākajā pilsētas  teritorijā, mazinot ietekmi uz kultūrvēsturisko mantojumu, koncentrēšanās uz tūristiem, vietu skaita noteikšanai proporcionāli iedzīvotāju skaitam noteiktajā pašvaldībā).”.</w:t>
            </w:r>
          </w:p>
        </w:tc>
        <w:tc>
          <w:tcPr>
            <w:tcW w:w="4394" w:type="dxa"/>
          </w:tcPr>
          <w:p w:rsidR="005B04CB" w:rsidRPr="00DE1A22" w:rsidRDefault="005B04CB" w:rsidP="005B04CB">
            <w:pPr>
              <w:ind w:firstLine="28"/>
              <w:contextualSpacing/>
              <w:jc w:val="both"/>
              <w:rPr>
                <w:rFonts w:eastAsia="Times New Roman"/>
                <w:b/>
                <w:sz w:val="24"/>
                <w:szCs w:val="24"/>
                <w:lang w:eastAsia="lv-LV"/>
              </w:rPr>
            </w:pPr>
            <w:r w:rsidRPr="00DE1A22">
              <w:rPr>
                <w:rFonts w:eastAsia="Times New Roman"/>
                <w:b/>
                <w:sz w:val="24"/>
                <w:szCs w:val="24"/>
                <w:lang w:eastAsia="lv-LV"/>
              </w:rPr>
              <w:t>Latvijas Lielo pilsētu asociācija (25.01.2019. Nr.5-1/16)</w:t>
            </w:r>
          </w:p>
          <w:p w:rsidR="005B04CB" w:rsidRPr="00DE1A22" w:rsidRDefault="005B04CB" w:rsidP="005B04CB">
            <w:pPr>
              <w:ind w:firstLine="28"/>
              <w:jc w:val="both"/>
              <w:rPr>
                <w:sz w:val="24"/>
                <w:szCs w:val="24"/>
              </w:rPr>
            </w:pPr>
            <w:r w:rsidRPr="00DE1A22">
              <w:rPr>
                <w:sz w:val="24"/>
                <w:szCs w:val="24"/>
              </w:rPr>
              <w:t>Latvijas Lielo pilsētu asociācija (turpmāk – LLPA) iebilst pret šo risinājumu, jo LLPA ieskatā tā vērtējums attiecībā uz priekšrocībām, ko sniedz attiecīgais risinājums, nav objektīvs šādu apstākļu dēļ:</w:t>
            </w:r>
          </w:p>
          <w:p w:rsidR="005B04CB" w:rsidRPr="00DE1A22" w:rsidRDefault="005B04CB" w:rsidP="005B04CB">
            <w:pPr>
              <w:pStyle w:val="ListParagraph"/>
              <w:numPr>
                <w:ilvl w:val="0"/>
                <w:numId w:val="4"/>
              </w:numPr>
              <w:spacing w:after="160" w:line="240" w:lineRule="auto"/>
              <w:ind w:left="0" w:firstLine="28"/>
              <w:jc w:val="both"/>
              <w:rPr>
                <w:rFonts w:ascii="Times New Roman" w:hAnsi="Times New Roman"/>
                <w:sz w:val="24"/>
                <w:szCs w:val="24"/>
              </w:rPr>
            </w:pPr>
            <w:r w:rsidRPr="00DE1A22">
              <w:rPr>
                <w:rFonts w:ascii="Times New Roman" w:hAnsi="Times New Roman"/>
                <w:sz w:val="24"/>
                <w:szCs w:val="24"/>
              </w:rPr>
              <w:t>Normatīvo aktu interpretācijas iespējas pašvaldībās un nozarē netiks novērstas pēc būtības, jo piedāvātie kritēriji nav objektīvi izmērāmi, kas nozīmē samērā plašas interpretācijas iespējas teritorijas plānojuma izstrādes procesā, nosakot teritorijas, kas ir “visaktīvākajā uzņēmējdarbību ekonomiski un sociāli visaktīvākajā pilsētas  teritorijā”. Pie tam, piemēram, Rīgas situācijā tas varētu būt Rīgas pilsētas vēsturiskais centrs un tā aizsardzības zona, kas vienlaikus ir kultūrvēsturiski vērtīgākā pilsētas daļa, uz kuru būtu attiecināms otrs ierobežojošais kritērijs par ietekmes mazināšanu uz kultūrvēsturisko mantojumu;</w:t>
            </w:r>
          </w:p>
          <w:p w:rsidR="005B04CB" w:rsidRPr="00DE1A22" w:rsidRDefault="005B04CB" w:rsidP="005B04CB">
            <w:pPr>
              <w:pStyle w:val="ListParagraph"/>
              <w:numPr>
                <w:ilvl w:val="0"/>
                <w:numId w:val="4"/>
              </w:numPr>
              <w:spacing w:after="160" w:line="240" w:lineRule="auto"/>
              <w:ind w:left="0" w:firstLine="28"/>
              <w:jc w:val="both"/>
              <w:rPr>
                <w:rFonts w:ascii="Times New Roman" w:hAnsi="Times New Roman"/>
                <w:sz w:val="24"/>
                <w:szCs w:val="24"/>
              </w:rPr>
            </w:pPr>
            <w:r w:rsidRPr="00DE1A22">
              <w:rPr>
                <w:rFonts w:ascii="Times New Roman" w:hAnsi="Times New Roman"/>
                <w:sz w:val="24"/>
                <w:szCs w:val="24"/>
              </w:rPr>
              <w:t xml:space="preserve">No pamatnostādņu projekta nav skaidrs, kādām būtu jābūt prasībām azartspēļu organizēšanas vietu vizuālajām noformējumam, jo vadlīnijās šis aspekts </w:t>
            </w:r>
            <w:r w:rsidRPr="00DE1A22">
              <w:rPr>
                <w:rFonts w:ascii="Times New Roman" w:hAnsi="Times New Roman"/>
                <w:sz w:val="24"/>
                <w:szCs w:val="24"/>
              </w:rPr>
              <w:lastRenderedPageBreak/>
              <w:t>nav analizēts. No konteksta var izsecināt, ka noformējumam jābūt atbilstošam prasībām, kas mazina ietekmi uz kultūrvēsturisko mantojumu, bet tādas prasības jau šobrīd pastāv gan Vēsturiskā centra saglabāšanas un aizsardzības likumā, gan, kā, piemēram, norādījusi Rīgas dome, arī Rīgas vēsturiskā centra un tā aizsardzības zonas teritorijas plānojumā un Rīgas teritorijas plānojumā 2006.</w:t>
            </w:r>
            <w:r w:rsidR="00E94B9E" w:rsidRPr="00DE1A22">
              <w:rPr>
                <w:rFonts w:ascii="Times New Roman" w:hAnsi="Times New Roman"/>
                <w:sz w:val="24"/>
                <w:szCs w:val="24"/>
              </w:rPr>
              <w:t xml:space="preserve"> – </w:t>
            </w:r>
            <w:r w:rsidRPr="00DE1A22">
              <w:rPr>
                <w:rFonts w:ascii="Times New Roman" w:hAnsi="Times New Roman"/>
                <w:sz w:val="24"/>
                <w:szCs w:val="24"/>
              </w:rPr>
              <w:t>2018.;</w:t>
            </w:r>
          </w:p>
          <w:p w:rsidR="005B04CB" w:rsidRPr="00DE1A22" w:rsidRDefault="005B04CB" w:rsidP="005B04CB">
            <w:pPr>
              <w:pStyle w:val="ListParagraph"/>
              <w:numPr>
                <w:ilvl w:val="0"/>
                <w:numId w:val="4"/>
              </w:numPr>
              <w:spacing w:after="160" w:line="240" w:lineRule="auto"/>
              <w:ind w:left="0" w:firstLine="28"/>
              <w:jc w:val="both"/>
              <w:rPr>
                <w:rFonts w:ascii="Times New Roman" w:hAnsi="Times New Roman"/>
                <w:sz w:val="24"/>
                <w:szCs w:val="24"/>
              </w:rPr>
            </w:pPr>
            <w:r w:rsidRPr="00DE1A22">
              <w:rPr>
                <w:rFonts w:ascii="Times New Roman" w:hAnsi="Times New Roman"/>
                <w:sz w:val="24"/>
                <w:szCs w:val="24"/>
              </w:rPr>
              <w:t>Savukārt, sabiedriskās kārtības efektīva kontrole jānodrošina jebkurā pilsētas apdzīvotā teritorijā, īpaši ekonomiski un sociāli visaktīvākajās pilsētas teritorijās. Līdz ar to kritērijs nonāk pretrunā ar diviem iepriekš izvirzītajiem kritērijiem, kā rezultātā, piemēram Rīgas pilsētā, kas Latvijas mērogā ir uzskatāma par blīvi apdzīvotu teritoriju ar salīdzinoši blīvi izvietotu kultūrvēsturisko mantojumu arī ārpus Rīgas vēsturiskā centra un tā aizsardzības zonas, nav iespējams, balstoties uz iepriekš minētajiem kritērijiem, objektīvi noteikt konkrētas teritorijas.</w:t>
            </w:r>
          </w:p>
          <w:p w:rsidR="005B04CB" w:rsidRPr="00DE1A22" w:rsidRDefault="005B04CB" w:rsidP="005B04CB">
            <w:pPr>
              <w:jc w:val="both"/>
              <w:rPr>
                <w:rFonts w:eastAsia="Times New Roman"/>
                <w:sz w:val="24"/>
                <w:szCs w:val="24"/>
              </w:rPr>
            </w:pPr>
            <w:r w:rsidRPr="00DE1A22">
              <w:rPr>
                <w:sz w:val="24"/>
                <w:szCs w:val="24"/>
              </w:rPr>
              <w:t xml:space="preserve">Ņemot vērā iepriekš minēto, LLPA ieskatā likumā ir jāparedz konkrēti, objektīvi izmērāmi kritēriji, vai, ja tādus nav iespējams noteikt, tad rosinām izdarīt grozījumus Azartspēļu un izložu likumā (turpmāk – AIL), nosakot, ka azartspēļu organizēšana ir pieļaujama tikai 4 un 5 zvaigžņu viesnīcās, atsaucoties uz pielikumā pievienoto “ESOŠĀS SITUĀCIJAS VISPĀRĪGS </w:t>
            </w:r>
            <w:r w:rsidRPr="00DE1A22">
              <w:rPr>
                <w:sz w:val="24"/>
                <w:szCs w:val="24"/>
              </w:rPr>
              <w:lastRenderedPageBreak/>
              <w:t xml:space="preserve">RAKSTUROJUMS”, kurā minēts, ka </w:t>
            </w:r>
            <w:r w:rsidRPr="00DE1A22">
              <w:rPr>
                <w:i/>
                <w:sz w:val="24"/>
                <w:szCs w:val="24"/>
              </w:rPr>
              <w:t>“vēsturiski kazino ES valstīs un Amerikas Savienotajās valstīs bija izvietotas ārpus blīvi apdzīvotām vietām un koncentrētas tūristu iecienītajās teritorijās, orientējot azartspēles kā eksporta preci (“gambling go home with the tourist”). Šī principa saglabāšana un uzsvēršana ir nozīmīga azartspēļu problemātisku spēlēšanas paradumu ierobežošanā”.</w:t>
            </w:r>
          </w:p>
        </w:tc>
        <w:tc>
          <w:tcPr>
            <w:tcW w:w="3118" w:type="dxa"/>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5B04CB" w:rsidRPr="00DE1A22" w:rsidRDefault="005B04CB" w:rsidP="005B04CB">
            <w:pPr>
              <w:tabs>
                <w:tab w:val="left" w:pos="0"/>
                <w:tab w:val="left" w:pos="709"/>
                <w:tab w:val="left" w:pos="993"/>
              </w:tabs>
              <w:suppressAutoHyphens/>
              <w:jc w:val="both"/>
              <w:outlineLvl w:val="3"/>
              <w:rPr>
                <w:rFonts w:eastAsia="Times New Roman"/>
                <w:b/>
                <w:bCs/>
                <w:sz w:val="24"/>
                <w:szCs w:val="24"/>
                <w:lang w:eastAsia="lv-LV"/>
              </w:rPr>
            </w:pPr>
          </w:p>
        </w:tc>
        <w:tc>
          <w:tcPr>
            <w:tcW w:w="3402" w:type="dxa"/>
          </w:tcPr>
          <w:p w:rsidR="005B04CB" w:rsidRPr="00DE1A22" w:rsidRDefault="002635C9" w:rsidP="005B04CB">
            <w:pPr>
              <w:jc w:val="both"/>
              <w:rPr>
                <w:rFonts w:eastAsia="Times New Roman"/>
                <w:sz w:val="24"/>
                <w:szCs w:val="24"/>
              </w:rPr>
            </w:pPr>
            <w:r w:rsidRPr="00DE1A22">
              <w:rPr>
                <w:rFonts w:eastAsia="Times New Roman"/>
                <w:bCs/>
                <w:sz w:val="24"/>
                <w:szCs w:val="24"/>
                <w:lang w:eastAsia="lv-LV"/>
              </w:rPr>
              <w:t>Uzdevums zaudējis aktualitāti un dzēsts no projekta.</w:t>
            </w:r>
          </w:p>
        </w:tc>
      </w:tr>
      <w:tr w:rsidR="005B04CB" w:rsidRPr="00DE1A22" w:rsidTr="00BF4AE7">
        <w:tc>
          <w:tcPr>
            <w:tcW w:w="846" w:type="dxa"/>
            <w:gridSpan w:val="2"/>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17.</w:t>
            </w:r>
          </w:p>
        </w:tc>
        <w:tc>
          <w:tcPr>
            <w:tcW w:w="2977" w:type="dxa"/>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2. Rīcības virziena “Azartspēļu un izložu pieejamības regulēšana” 5. punkts.</w:t>
            </w:r>
          </w:p>
        </w:tc>
        <w:tc>
          <w:tcPr>
            <w:tcW w:w="4394" w:type="dxa"/>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Tieslietu ministrija (18.03.2019. Nr.1-9.1/295)</w:t>
            </w:r>
          </w:p>
          <w:p w:rsidR="005B04CB" w:rsidRPr="00DE1A22" w:rsidRDefault="005B04CB" w:rsidP="005B04CB">
            <w:pPr>
              <w:jc w:val="both"/>
              <w:rPr>
                <w:sz w:val="23"/>
                <w:szCs w:val="23"/>
              </w:rPr>
            </w:pPr>
            <w:r w:rsidRPr="00DE1A22">
              <w:rPr>
                <w:rFonts w:eastAsia="Times New Roman"/>
                <w:sz w:val="23"/>
                <w:szCs w:val="23"/>
                <w:lang w:eastAsia="lv-LV"/>
              </w:rPr>
              <w:t xml:space="preserve">Lūdzam papildināt </w:t>
            </w:r>
            <w:r w:rsidRPr="00DE1A22">
              <w:rPr>
                <w:sz w:val="23"/>
                <w:szCs w:val="23"/>
              </w:rPr>
              <w:t xml:space="preserve">pamatnostādņu projekta 2. punktu </w:t>
            </w:r>
            <w:r w:rsidRPr="00DE1A22">
              <w:rPr>
                <w:rFonts w:eastAsia="Times New Roman"/>
                <w:sz w:val="23"/>
                <w:szCs w:val="23"/>
                <w:lang w:eastAsia="lv-LV"/>
              </w:rPr>
              <w:t>“</w:t>
            </w:r>
            <w:r w:rsidRPr="00DE1A22">
              <w:rPr>
                <w:sz w:val="23"/>
                <w:szCs w:val="23"/>
              </w:rPr>
              <w:t>Azartspēļu un izložu pieejamības regulēšana” ar 5. punktu šādā redakcijā: “personām, kas ir Uzturlīdzekļu garantiju fonda administrācijas parādnieki, normatīvajos aktos nosakāms ierobežojums dalībai azartspēlēs (kazino, laimētavās) kā arī interaktīvajās azartspēlēs, vienlaicīgi nodrošinot šāda ierobežojuma kontroles mehānismu</w:t>
            </w:r>
            <w:r w:rsidRPr="00DE1A22">
              <w:rPr>
                <w:rFonts w:eastAsia="Times New Roman"/>
                <w:sz w:val="23"/>
                <w:szCs w:val="23"/>
                <w:lang w:eastAsia="lv-LV"/>
              </w:rPr>
              <w:t>”</w:t>
            </w:r>
            <w:r w:rsidRPr="00DE1A22">
              <w:rPr>
                <w:sz w:val="23"/>
                <w:szCs w:val="23"/>
              </w:rPr>
              <w:t>, ņemot vērā tālāk minēto.</w:t>
            </w:r>
          </w:p>
          <w:p w:rsidR="005B04CB" w:rsidRPr="00DE1A22" w:rsidRDefault="005B04CB" w:rsidP="005B04CB">
            <w:pPr>
              <w:jc w:val="both"/>
              <w:rPr>
                <w:rFonts w:eastAsia="Times New Roman"/>
                <w:sz w:val="23"/>
                <w:szCs w:val="23"/>
                <w:lang w:eastAsia="lv-LV"/>
              </w:rPr>
            </w:pPr>
            <w:r w:rsidRPr="00DE1A22">
              <w:rPr>
                <w:sz w:val="23"/>
                <w:szCs w:val="23"/>
              </w:rPr>
              <w:t xml:space="preserve">Izmaksāto </w:t>
            </w:r>
            <w:r w:rsidRPr="00DE1A22">
              <w:rPr>
                <w:rFonts w:eastAsia="Times New Roman"/>
                <w:sz w:val="23"/>
                <w:szCs w:val="23"/>
                <w:lang w:eastAsia="lv-LV"/>
              </w:rPr>
              <w:t>uzturlīdzekļu apmērs no Uzturlīdzekļu garantiju fonda</w:t>
            </w:r>
            <w:r w:rsidRPr="00DE1A22">
              <w:rPr>
                <w:sz w:val="23"/>
                <w:szCs w:val="23"/>
              </w:rPr>
              <w:t xml:space="preserve"> (turpmāk – Fonds) </w:t>
            </w:r>
            <w:r w:rsidRPr="00DE1A22">
              <w:rPr>
                <w:rFonts w:eastAsia="Times New Roman"/>
                <w:sz w:val="23"/>
                <w:szCs w:val="23"/>
                <w:lang w:eastAsia="lv-LV"/>
              </w:rPr>
              <w:t>joprojām ir ļoti augsts, piemēram, 2019. gada janvārī uzturlīdzekļi no Fonda tika izmaksāti kopā vairāk nekā 4 miljonu eiro apmērā 39 785 parādnieku vietā. Ņemot vērā minēto, Tieslietu ministrija turpina veikt darbu pie dažādu risinājumu ieviešanas, tajā skaitā, lai ar dažādu piespiedu līdzekļu palīdzību veicinātu vecākiem noteiktā pienākuma izpildi nodrošināt uzturlīdzekļus bērnam vismaz Ministru kabineta noteiktajā minimālajā apmērā.</w:t>
            </w:r>
          </w:p>
          <w:p w:rsidR="005B04CB" w:rsidRPr="00DE1A22" w:rsidRDefault="005B04CB" w:rsidP="005B04CB">
            <w:pPr>
              <w:jc w:val="both"/>
              <w:rPr>
                <w:rFonts w:eastAsia="Times New Roman"/>
                <w:sz w:val="23"/>
                <w:szCs w:val="23"/>
                <w:lang w:eastAsia="lv-LV"/>
              </w:rPr>
            </w:pPr>
            <w:r w:rsidRPr="00DE1A22">
              <w:rPr>
                <w:rFonts w:eastAsia="Times New Roman"/>
                <w:sz w:val="23"/>
                <w:szCs w:val="23"/>
                <w:lang w:eastAsia="lv-LV"/>
              </w:rPr>
              <w:t xml:space="preserve">Uzturlīdzekļu garantiju fonda likumā jau šobrīd paredzēti vairāki ierobežojumi </w:t>
            </w:r>
            <w:r w:rsidRPr="00DE1A22">
              <w:rPr>
                <w:rFonts w:eastAsia="Times New Roman"/>
                <w:sz w:val="23"/>
                <w:szCs w:val="23"/>
                <w:lang w:eastAsia="lv-LV"/>
              </w:rPr>
              <w:lastRenderedPageBreak/>
              <w:t xml:space="preserve">parādniekiem, lai motivētu parādniekus pildīt ar likumu noteikto pienākumu – nodrošināt bērnu ar uzturlīdzekļiem. </w:t>
            </w:r>
            <w:r w:rsidRPr="00DE1A22">
              <w:rPr>
                <w:sz w:val="23"/>
                <w:szCs w:val="23"/>
              </w:rPr>
              <w:t xml:space="preserve">No 2017. gada 1. februāra parādnieku dati pieejami, autorizējoties portālā </w:t>
            </w:r>
            <w:hyperlink r:id="rId8" w:history="1">
              <w:r w:rsidRPr="00DE1A22">
                <w:rPr>
                  <w:rStyle w:val="Hyperlink"/>
                  <w:color w:val="auto"/>
                  <w:sz w:val="23"/>
                  <w:szCs w:val="23"/>
                </w:rPr>
                <w:t>www.latvija.lv</w:t>
              </w:r>
            </w:hyperlink>
            <w:r w:rsidRPr="00DE1A22">
              <w:rPr>
                <w:rStyle w:val="Hyperlink"/>
                <w:color w:val="auto"/>
                <w:sz w:val="23"/>
                <w:szCs w:val="23"/>
              </w:rPr>
              <w:t>. Datu bāzē iekļautas ziņas par aptuveni 22 tūkstošiem personu.</w:t>
            </w:r>
          </w:p>
          <w:p w:rsidR="005B04CB" w:rsidRPr="00DE1A22" w:rsidRDefault="005B04CB" w:rsidP="005B04CB">
            <w:pPr>
              <w:autoSpaceDE w:val="0"/>
              <w:autoSpaceDN w:val="0"/>
              <w:adjustRightInd w:val="0"/>
              <w:jc w:val="both"/>
              <w:rPr>
                <w:sz w:val="23"/>
                <w:szCs w:val="23"/>
              </w:rPr>
            </w:pPr>
            <w:r w:rsidRPr="00DE1A22">
              <w:rPr>
                <w:sz w:val="23"/>
                <w:szCs w:val="23"/>
              </w:rPr>
              <w:t xml:space="preserve">Attiecībā uz aizliegumu uzturlīdzekļu parādniekiem spēlēt azartspēles, norādām, ka šobrīd Latvijā pienākums reģistrēties un katrā apmeklējuma reizē uzrādīt personu apliecinošu dokumentu vai klienta karti vai autentificēties, izmantojot savus personas datus, ir spēkā attiecībā uz 6 kazino un 7 interaktīvajiem kazino. Šie kazino ir iekļauti </w:t>
            </w:r>
            <w:r w:rsidRPr="00DE1A22">
              <w:rPr>
                <w:bCs/>
                <w:sz w:val="23"/>
                <w:szCs w:val="23"/>
              </w:rPr>
              <w:t>Centralizētajā kazino apmeklētāju reģistrā</w:t>
            </w:r>
            <w:r w:rsidRPr="00DE1A22">
              <w:rPr>
                <w:sz w:val="23"/>
                <w:szCs w:val="23"/>
              </w:rPr>
              <w:t xml:space="preserve">. Attiecīgi, lai aizliegumu varētu piemērot, būtu nepieciešams veikt Izložu un azartspēļu uzraudzības inspekcijas pārziņā esošā </w:t>
            </w:r>
            <w:r w:rsidRPr="00DE1A22">
              <w:rPr>
                <w:bCs/>
                <w:sz w:val="23"/>
                <w:szCs w:val="23"/>
              </w:rPr>
              <w:t>Centralizētā kazino apmeklētāju reģistra</w:t>
            </w:r>
            <w:r w:rsidRPr="00DE1A22">
              <w:rPr>
                <w:sz w:val="23"/>
                <w:szCs w:val="23"/>
              </w:rPr>
              <w:t xml:space="preserve"> pilnveidošanu. Vienlaikus tika diskutēts, ka aizliegums uzturlīdzekļu parādniekiem spēlēt azartspēles daudz efektīvāk sasniegtu mērķi, ja tiktu attiecināts arī uz spēļu zālēm/laimētavām, taču šāda ierobežojuma ieviešana prasa izmaiņas attiecīgās nozares normatīvajos aktos, jo šobrīd spēļu zālēs/laimētavās netiek veikta personu reģistrācija un nav kontroles mehānisma. </w:t>
            </w:r>
          </w:p>
          <w:p w:rsidR="005B04CB" w:rsidRPr="00DE1A22" w:rsidRDefault="005B04CB" w:rsidP="00173AED">
            <w:pPr>
              <w:autoSpaceDE w:val="0"/>
              <w:autoSpaceDN w:val="0"/>
              <w:adjustRightInd w:val="0"/>
              <w:jc w:val="both"/>
              <w:rPr>
                <w:rFonts w:eastAsia="Times New Roman"/>
                <w:b/>
                <w:sz w:val="24"/>
                <w:szCs w:val="24"/>
                <w:lang w:eastAsia="lv-LV"/>
              </w:rPr>
            </w:pPr>
            <w:r w:rsidRPr="00DE1A22">
              <w:rPr>
                <w:sz w:val="23"/>
                <w:szCs w:val="23"/>
              </w:rPr>
              <w:t xml:space="preserve">Ierobežojums parādniekiem spēlēt azartspēles tika atbalstīts arī Tieslietu ministrijas rīkotajā sanāksmē 2018. gada 16. maijā, kurā piedalījās </w:t>
            </w:r>
            <w:r w:rsidRPr="00DE1A22">
              <w:rPr>
                <w:sz w:val="23"/>
                <w:szCs w:val="23"/>
                <w:lang w:eastAsia="lv-LV"/>
              </w:rPr>
              <w:t xml:space="preserve">Uzturlīdzekļu garantiju fonda administrācijas, Finanšu ministrijas, </w:t>
            </w:r>
            <w:r w:rsidRPr="00DE1A22">
              <w:rPr>
                <w:sz w:val="23"/>
                <w:szCs w:val="23"/>
              </w:rPr>
              <w:t xml:space="preserve">Valsts policijas, Vides aizsardzības un reģionālās attīstības ministrijas, Iekšlietu ministrijas, Latvijas Zvērinātu tiesu </w:t>
            </w:r>
            <w:r w:rsidRPr="00DE1A22">
              <w:rPr>
                <w:sz w:val="23"/>
                <w:szCs w:val="23"/>
              </w:rPr>
              <w:lastRenderedPageBreak/>
              <w:t>izpildītāju padomes, Labklājības ministrijas pārstāvji, deputāts I. Parādnieks u.c. Sanāksmē Finanšu ministrijas Nodokļu administrēšanas un sabiedrības interešu politiku departamenta pārstāvji norādīja, ka pēc tam, kad tiks izveidots azartspēļu atkarīgo personu reģistrs, izvērtējama iespēja paredzēt arī regulējumu, kas uzturlīdzekļu parādniekiem liedz spēlēt azartspēles. Šāds regulējums būtu atbalstāms, un meklējami risinājumi nepieciešamo informācijas sistēmu izstrādei un pielāgošanai, lai ierobežojumu nostiprinātu normatīvajos ak</w:t>
            </w:r>
            <w:r w:rsidR="00173AED" w:rsidRPr="00DE1A22">
              <w:rPr>
                <w:sz w:val="23"/>
                <w:szCs w:val="23"/>
              </w:rPr>
              <w:t>tos.</w:t>
            </w:r>
          </w:p>
        </w:tc>
        <w:tc>
          <w:tcPr>
            <w:tcW w:w="3118" w:type="dxa"/>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5B04CB" w:rsidRPr="00DE1A22" w:rsidRDefault="005B04CB" w:rsidP="005B04CB">
            <w:pPr>
              <w:jc w:val="both"/>
              <w:rPr>
                <w:rFonts w:eastAsia="Times New Roman"/>
                <w:b/>
                <w:bCs/>
                <w:sz w:val="24"/>
                <w:szCs w:val="24"/>
                <w:lang w:eastAsia="lv-LV"/>
              </w:rPr>
            </w:pPr>
          </w:p>
        </w:tc>
        <w:tc>
          <w:tcPr>
            <w:tcW w:w="3402" w:type="dxa"/>
          </w:tcPr>
          <w:p w:rsidR="005B04CB" w:rsidRPr="00DE1A22" w:rsidRDefault="00173AED" w:rsidP="005B04CB">
            <w:pPr>
              <w:jc w:val="both"/>
              <w:rPr>
                <w:rFonts w:eastAsia="Times New Roman"/>
                <w:sz w:val="24"/>
                <w:szCs w:val="24"/>
                <w:lang w:eastAsia="lv-LV"/>
              </w:rPr>
            </w:pPr>
            <w:r w:rsidRPr="00DE1A22">
              <w:rPr>
                <w:rFonts w:eastAsia="Times New Roman"/>
                <w:bCs/>
                <w:sz w:val="24"/>
                <w:szCs w:val="24"/>
                <w:lang w:eastAsia="lv-LV"/>
              </w:rPr>
              <w:t>Jaunajā redakcijā 4. sadaļas “Rīcības virzieni un uzdevumi” 1. Rīcības virziens “1. Rīcības virziens – Atkarības profilakses, preventīvie, problemātiskā spēlētāja atbalsts un sabiedrības izglītojoši pasākumi” 14. punkts “AIL noteikt aizliegumu uzturlīdzekļu nemaksātajiem piedalīties azartspēlēs”.</w:t>
            </w:r>
          </w:p>
        </w:tc>
      </w:tr>
      <w:tr w:rsidR="005B04CB" w:rsidRPr="00DE1A22" w:rsidTr="00BF4AE7">
        <w:tc>
          <w:tcPr>
            <w:tcW w:w="846" w:type="dxa"/>
            <w:gridSpan w:val="2"/>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18.</w:t>
            </w:r>
          </w:p>
        </w:tc>
        <w:tc>
          <w:tcPr>
            <w:tcW w:w="2977" w:type="dxa"/>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2. Rīcības virziena “Azartspēļu un izložu pieejamības regulēšana” 5. punkts.</w:t>
            </w:r>
          </w:p>
        </w:tc>
        <w:tc>
          <w:tcPr>
            <w:tcW w:w="4394" w:type="dxa"/>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Labklājības ministrija (08.03.2019.)</w:t>
            </w:r>
          </w:p>
          <w:p w:rsidR="005B04CB" w:rsidRPr="00DE1A22" w:rsidRDefault="005B04CB" w:rsidP="005B04CB">
            <w:pPr>
              <w:contextualSpacing/>
              <w:jc w:val="both"/>
              <w:rPr>
                <w:rFonts w:eastAsia="Times New Roman"/>
                <w:b/>
                <w:sz w:val="24"/>
                <w:szCs w:val="24"/>
                <w:lang w:eastAsia="lv-LV"/>
              </w:rPr>
            </w:pPr>
            <w:r w:rsidRPr="00DE1A22">
              <w:rPr>
                <w:rFonts w:eastAsia="Times New Roman"/>
                <w:sz w:val="24"/>
                <w:szCs w:val="24"/>
                <w:lang w:eastAsia="lv-LV"/>
              </w:rPr>
              <w:t>Labklājības ministrija ierosina paredzēt ierobežojumus dalībai azartspēlēs personām, kuras izvairās maksāt uzturlīdzekļus bērna uzturam un kuru vietā uzturlīdzekļi tiek izmaksāti no Uzturlīdzekļu garantiju fonda, Pamatnostādņu projekta 4.sadaļā “Rīcības virzieni un uzdevumi” otrajā rīcības virzienā “Azartspēļu un izložu pieejamības regulēšana” iekļaujot atbilstošu uzdevumu vai papildinot uzdevumu “Normatīvajos aktos noteikt ierobežojumus sociāli neaizsargāto personu dalībai azartspēlēs. Pasākuma īstenošana ir tehniski iespējama pēc vienota azartspēļu spēlētāju reģistra ieviešanas un reģistra datu savietošanas no valsts un pašvaldību informācijas sistēmām par attiecīgajiem iedzīvotājiem piešķirtajiem statusiem.”</w:t>
            </w:r>
          </w:p>
        </w:tc>
        <w:tc>
          <w:tcPr>
            <w:tcW w:w="3118" w:type="dxa"/>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rsidR="005B04CB" w:rsidRPr="00DE1A22" w:rsidRDefault="005B04CB" w:rsidP="005B04CB">
            <w:pPr>
              <w:jc w:val="both"/>
              <w:rPr>
                <w:rFonts w:eastAsia="Times New Roman"/>
                <w:b/>
                <w:bCs/>
                <w:sz w:val="24"/>
                <w:szCs w:val="24"/>
                <w:lang w:eastAsia="lv-LV"/>
              </w:rPr>
            </w:pPr>
          </w:p>
        </w:tc>
        <w:tc>
          <w:tcPr>
            <w:tcW w:w="3402" w:type="dxa"/>
          </w:tcPr>
          <w:p w:rsidR="005B04CB" w:rsidRPr="00DE1A22" w:rsidRDefault="00173AED" w:rsidP="005B04CB">
            <w:pPr>
              <w:jc w:val="both"/>
              <w:rPr>
                <w:rFonts w:eastAsia="Times New Roman"/>
                <w:sz w:val="24"/>
                <w:szCs w:val="24"/>
                <w:lang w:eastAsia="lv-LV"/>
              </w:rPr>
            </w:pPr>
            <w:r w:rsidRPr="00DE1A22">
              <w:rPr>
                <w:rFonts w:eastAsia="Times New Roman"/>
                <w:bCs/>
                <w:sz w:val="24"/>
                <w:szCs w:val="24"/>
                <w:lang w:eastAsia="lv-LV"/>
              </w:rPr>
              <w:t>Jaunajā redakcijā 4. sadaļas “Rīcības virzieni un uzdevumi” 1. Rīcības virziens “1. Rīcības virziens – Atkarības profilakses, preventīvie, problemātiskā spēlētāja atbalsts un sabiedrības izglītojoši pasākumi” 14. punkts “AIL noteikt aizliegumu uzturlīdzekļu nemaksātajiem piedalīties azartspēlēs”.</w:t>
            </w:r>
          </w:p>
        </w:tc>
      </w:tr>
      <w:tr w:rsidR="00AB74B7" w:rsidRPr="00DE1A22" w:rsidTr="006064FE">
        <w:tc>
          <w:tcPr>
            <w:tcW w:w="846" w:type="dxa"/>
            <w:gridSpan w:val="2"/>
          </w:tcPr>
          <w:p w:rsidR="00AB74B7" w:rsidRPr="00DE1A22" w:rsidRDefault="00AB74B7" w:rsidP="00AB74B7">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13.</w:t>
            </w:r>
          </w:p>
        </w:tc>
        <w:tc>
          <w:tcPr>
            <w:tcW w:w="2977" w:type="dxa"/>
          </w:tcPr>
          <w:p w:rsidR="00AB74B7" w:rsidRPr="00DE1A22" w:rsidRDefault="00AB74B7" w:rsidP="00AB74B7">
            <w:pPr>
              <w:jc w:val="both"/>
              <w:rPr>
                <w:rFonts w:eastAsia="Times New Roman"/>
                <w:sz w:val="24"/>
                <w:szCs w:val="24"/>
                <w:lang w:eastAsia="lv-LV"/>
              </w:rPr>
            </w:pPr>
            <w:r w:rsidRPr="00DE1A22">
              <w:rPr>
                <w:rFonts w:eastAsia="Times New Roman"/>
                <w:sz w:val="24"/>
                <w:szCs w:val="24"/>
                <w:lang w:eastAsia="lv-LV"/>
              </w:rPr>
              <w:t xml:space="preserve">Pamatnostādņu 4. sadaļas 3. rīcības virziens “Azartspēļu </w:t>
            </w:r>
            <w:r w:rsidRPr="00DE1A22">
              <w:rPr>
                <w:rFonts w:eastAsia="Times New Roman"/>
                <w:sz w:val="24"/>
                <w:szCs w:val="24"/>
                <w:lang w:eastAsia="lv-LV"/>
              </w:rPr>
              <w:lastRenderedPageBreak/>
              <w:t>un izložu pieejamības regulēšana”.</w:t>
            </w:r>
          </w:p>
        </w:tc>
        <w:tc>
          <w:tcPr>
            <w:tcW w:w="4394" w:type="dxa"/>
          </w:tcPr>
          <w:p w:rsidR="00AB74B7" w:rsidRPr="00DE1A22" w:rsidRDefault="00AB74B7" w:rsidP="00AB74B7">
            <w:pPr>
              <w:jc w:val="both"/>
              <w:rPr>
                <w:rFonts w:eastAsia="Times New Roman"/>
                <w:b/>
                <w:sz w:val="24"/>
                <w:szCs w:val="24"/>
              </w:rPr>
            </w:pPr>
            <w:r w:rsidRPr="00DE1A22">
              <w:rPr>
                <w:rFonts w:eastAsia="Times New Roman"/>
                <w:b/>
                <w:sz w:val="24"/>
                <w:szCs w:val="24"/>
              </w:rPr>
              <w:lastRenderedPageBreak/>
              <w:t>Latvijas Lielo pilsētu asociācija</w:t>
            </w:r>
          </w:p>
          <w:p w:rsidR="00AB74B7" w:rsidRPr="00DE1A22" w:rsidRDefault="00AB74B7" w:rsidP="00AB74B7">
            <w:pPr>
              <w:contextualSpacing/>
              <w:jc w:val="both"/>
              <w:rPr>
                <w:rFonts w:eastAsia="Times New Roman"/>
                <w:b/>
                <w:sz w:val="24"/>
                <w:szCs w:val="24"/>
                <w:lang w:eastAsia="lv-LV"/>
              </w:rPr>
            </w:pPr>
            <w:r w:rsidRPr="00DE1A22">
              <w:rPr>
                <w:rFonts w:eastAsia="Times New Roman"/>
                <w:sz w:val="24"/>
                <w:szCs w:val="24"/>
              </w:rPr>
              <w:t xml:space="preserve">Azartspēļu un izložu likumā ir jānosaka deleģējums pašvaldībām ar saistošajiem </w:t>
            </w:r>
            <w:r w:rsidRPr="00DE1A22">
              <w:rPr>
                <w:rFonts w:eastAsia="Times New Roman"/>
                <w:sz w:val="24"/>
                <w:szCs w:val="24"/>
              </w:rPr>
              <w:lastRenderedPageBreak/>
              <w:t>noteikumiem noteikt teritorijas, kurās var (vai nevar) rīkot un organizēt azartspēles.</w:t>
            </w:r>
          </w:p>
        </w:tc>
        <w:tc>
          <w:tcPr>
            <w:tcW w:w="3118" w:type="dxa"/>
          </w:tcPr>
          <w:p w:rsidR="00AB74B7" w:rsidRPr="00DE1A22" w:rsidRDefault="00AB74B7" w:rsidP="00AB74B7">
            <w:pPr>
              <w:jc w:val="both"/>
              <w:rPr>
                <w:rFonts w:eastAsia="Times New Roman"/>
                <w:b/>
                <w:bCs/>
                <w:sz w:val="24"/>
                <w:szCs w:val="24"/>
                <w:lang w:eastAsia="lv-LV"/>
              </w:rPr>
            </w:pPr>
            <w:r w:rsidRPr="00DE1A22">
              <w:rPr>
                <w:rFonts w:eastAsia="Times New Roman"/>
                <w:b/>
                <w:bCs/>
                <w:sz w:val="24"/>
                <w:szCs w:val="24"/>
                <w:lang w:eastAsia="lv-LV"/>
              </w:rPr>
              <w:lastRenderedPageBreak/>
              <w:t>Daļēji ņemts vērā  .</w:t>
            </w:r>
          </w:p>
          <w:p w:rsidR="00AB74B7" w:rsidRPr="00DE1A22" w:rsidRDefault="00AB74B7" w:rsidP="00AB74B7">
            <w:pPr>
              <w:jc w:val="both"/>
              <w:rPr>
                <w:rFonts w:eastAsia="Times New Roman"/>
                <w:sz w:val="24"/>
                <w:szCs w:val="24"/>
              </w:rPr>
            </w:pPr>
            <w:r w:rsidRPr="00DE1A22">
              <w:rPr>
                <w:rFonts w:eastAsia="Times New Roman"/>
                <w:sz w:val="24"/>
                <w:szCs w:val="24"/>
              </w:rPr>
              <w:t xml:space="preserve">Norādām, ka Pamatnostādņu projekta  pielikuma 4.sadaļas </w:t>
            </w:r>
            <w:r w:rsidRPr="00DE1A22">
              <w:rPr>
                <w:rFonts w:eastAsia="Times New Roman"/>
                <w:sz w:val="24"/>
                <w:szCs w:val="24"/>
              </w:rPr>
              <w:lastRenderedPageBreak/>
              <w:t>“Rīcības virzieni un uzdevumi” 3. rīcības virziens “Azartspēļu un izložu pieejamības regulēšana” 1. uzdevums paredz “Paplašināt to vietu uzskaitījumu, kur aizliegts organizēt azartspēles, paredzot lēmuma pieņemšanu par azartspēļu organizēšanu tikai valsts līmenī.”, līdz ar to uzskatām, ka jau šobrīd projektā ir ietverts risinājums, kas aptver papildu riska teritorijas, kas var ietekmēt vai vērst uzmanību uz iespējamo azartspēļu organizēšanas vietu sabiedrībai.</w:t>
            </w:r>
          </w:p>
          <w:p w:rsidR="00AB74B7" w:rsidRPr="00DE1A22" w:rsidRDefault="00AB74B7" w:rsidP="00AB74B7">
            <w:pPr>
              <w:jc w:val="center"/>
              <w:rPr>
                <w:rFonts w:eastAsia="Times New Roman"/>
                <w:b/>
                <w:bCs/>
                <w:sz w:val="24"/>
                <w:szCs w:val="24"/>
                <w:lang w:eastAsia="lv-LV"/>
              </w:rPr>
            </w:pPr>
            <w:r w:rsidRPr="00DE1A22">
              <w:rPr>
                <w:rFonts w:eastAsia="Times New Roman"/>
                <w:sz w:val="24"/>
                <w:szCs w:val="24"/>
              </w:rPr>
              <w:t xml:space="preserve">Turklāt projekts kopumā paredz pāriet uz centralizētu uzraudzības un monitoringa sistēmu, tādējādi pārnesot administratīvo slogu no pašvaldībām uz IAUI. </w:t>
            </w:r>
          </w:p>
        </w:tc>
        <w:tc>
          <w:tcPr>
            <w:tcW w:w="3402" w:type="dxa"/>
          </w:tcPr>
          <w:p w:rsidR="00AB74B7" w:rsidRPr="00DE1A22" w:rsidRDefault="00AB74B7" w:rsidP="00AB74B7">
            <w:pPr>
              <w:jc w:val="both"/>
              <w:rPr>
                <w:rFonts w:eastAsia="Times New Roman"/>
                <w:bCs/>
                <w:sz w:val="24"/>
                <w:szCs w:val="24"/>
                <w:lang w:eastAsia="lv-LV"/>
              </w:rPr>
            </w:pPr>
          </w:p>
        </w:tc>
      </w:tr>
      <w:tr w:rsidR="005B04CB" w:rsidRPr="00DE1A22" w:rsidTr="00BF4AE7">
        <w:tc>
          <w:tcPr>
            <w:tcW w:w="846" w:type="dxa"/>
            <w:gridSpan w:val="2"/>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19.</w:t>
            </w:r>
          </w:p>
        </w:tc>
        <w:tc>
          <w:tcPr>
            <w:tcW w:w="2977" w:type="dxa"/>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3. Rīcības virziens “Azartspēļu un izložu reklāmas ierobežošana”.</w:t>
            </w:r>
          </w:p>
        </w:tc>
        <w:tc>
          <w:tcPr>
            <w:tcW w:w="4394" w:type="dxa"/>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Kultūras ministrija (28.01.2019. Nr.5.1-4/161)</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Pamatnostādnēs un Pamatnostādņu pielikumā “Esošās situācijas vispārīgs raksturojums” (turpmāk – Pielikums) aplūkotie jautājumi un identificētās problēmas ir sabiedrības interesēm būtiski, tomēr jautājumi par reklāmas ierobežojumiem tieši skar arī masu informācijas (plašsaziņas) līdzekļu nozari, kas saskaņā ar Ministru kabineta 2003.gada 29.aprīļa noteikumu Nr.241 “Kultūras </w:t>
            </w:r>
            <w:r w:rsidRPr="00DE1A22">
              <w:rPr>
                <w:rFonts w:eastAsia="Times New Roman"/>
                <w:sz w:val="24"/>
                <w:szCs w:val="24"/>
                <w:lang w:eastAsia="lv-LV"/>
              </w:rPr>
              <w:lastRenderedPageBreak/>
              <w:t xml:space="preserve">ministrijas nolikums” 4.7.2 apakšpunktu ietilpst Kultūras ministrijas kompetencē. </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Pielikuma 3.nodaļas “Azartspēļu un izložu reklāmas ierobežojumi” 3.1.apakšnodaļā “Azartspēļu joma” sadaļā “Konstatētā problēma” norādīts, ka Latvijā joprojām nedarbojas visaptveroši un spēcīgi reklāmas izplatīšanas ētikas principi un pastāv dažāds nozaru regulējums (brīvais ES reklāmas, preču zīmju un mediju tirgus pret strikti nacionāli regulēto azartspēļu tirgu), tādēļ reklāmas ierobežojumu pārskatīšana Latvijā ir rūpīgi izvērtējama (Pielikuma 27.lp.). Turpmāk Pielikuma sadaļā „Reklāmas ierobežojumu labā prakse un citu ES dalībvalstu pieredze” ir aprakstīta citu Eiropas Savienības dalībvalstu prakse, kā arī aplūkoti Eiropas Komisijas rekomendējošie dokumenti attiecībā uz azartspēļu reklamēšanu. Līdzīgi Pielikuma 3.2.apakšnodaļā „Izložu joma” vērtētas izložu reklāmas. Savukārt Pielikuma 3.3.apakšnodaļā „Citi viedokļi” norādīts, ka darba grupas locekļu un pārstāvju viedokļu dažādības dēļ vienošanās Pamatnostādņu izstrādes darba grupā par vienotu risinājuma variantu netika panākta (Pielikuma 43.lpp.).</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Nacionālā elektronisko plašsaziņas līdzekļu padome (turpmāk – NEPLP) pēc Veselības ministrijas Pamatnostādņu izstrādes darba grupas locekļu uzaicinājuma ir sniegusi viedokli  par plānotajiem ierobežojumiem izložu reklāmas jomā Latvijas jurisdikcijā esošajos elektroniskajos plašsaziņas līdzekļos. NEPLP kā neatkarīga, pilntiesīga </w:t>
            </w:r>
            <w:r w:rsidRPr="00DE1A22">
              <w:rPr>
                <w:rFonts w:eastAsia="Times New Roman"/>
                <w:sz w:val="24"/>
                <w:szCs w:val="24"/>
                <w:lang w:eastAsia="lv-LV"/>
              </w:rPr>
              <w:lastRenderedPageBreak/>
              <w:t>un autonoma institūcija, kuras kompetencē ir pārstāvēt sabiedrības intereses elektronisko plašsaziņas līdzekļu jomā un veicināt Latvijas jurisdikcijā esošo elektronisko plašsaziņas līdzekļu konkurētspēju Latvijas, Eiropas un pasaules tirgū</w:t>
            </w:r>
            <w:r w:rsidR="009222F7" w:rsidRPr="00DE1A22">
              <w:rPr>
                <w:rFonts w:eastAsia="Times New Roman"/>
                <w:sz w:val="24"/>
                <w:szCs w:val="24"/>
                <w:lang w:eastAsia="lv-LV"/>
              </w:rPr>
              <w:t xml:space="preserve"> </w:t>
            </w:r>
            <w:r w:rsidRPr="00DE1A22">
              <w:rPr>
                <w:rFonts w:eastAsia="Times New Roman"/>
                <w:sz w:val="24"/>
                <w:szCs w:val="24"/>
                <w:lang w:eastAsia="lv-LV"/>
              </w:rPr>
              <w:t xml:space="preserve">ir izteikusi šaubas par plānotā normatīvā regulējuma izmaiņu lietderību, kas tika apsvērts Pamatnostādņu izstrādes ietvaros. </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Kultūras ministrijas ieskatā ir nepieciešams iekļaut Pamatnostādnēs uzdevumu par azartspēļu reklāmas ierobežojumu pārskatīšanu, tādējādi, ievērojot gan sabiedrības, gan masu informācijas (plašsaziņas) līdzekļu intereses, radot vietu diskusijām, kuru rezultātā ieinteresētās puses izveidotu labākajai starptautiskajai praksei atbilstošu normatīvo regulējumu.</w:t>
            </w:r>
          </w:p>
          <w:p w:rsidR="005B04CB" w:rsidRPr="00DE1A22" w:rsidRDefault="005B04CB" w:rsidP="005B04CB">
            <w:pPr>
              <w:contextualSpacing/>
              <w:jc w:val="both"/>
              <w:rPr>
                <w:rFonts w:eastAsia="Times New Roman"/>
                <w:b/>
                <w:sz w:val="24"/>
                <w:szCs w:val="24"/>
                <w:lang w:eastAsia="lv-LV"/>
              </w:rPr>
            </w:pPr>
            <w:r w:rsidRPr="00DE1A22">
              <w:rPr>
                <w:rFonts w:eastAsia="Times New Roman"/>
                <w:sz w:val="24"/>
                <w:szCs w:val="24"/>
                <w:lang w:eastAsia="lv-LV"/>
              </w:rPr>
              <w:t>Ņemot vērā iepriekš minēto, kā arī nepieciešamību nepasliktināt Latvijas jurisdikcijā esošo mediju konkurētspēju, lūdzam papildināt Pamatnostādņu 3.rīcības virzienu „Azartspēļu un izložu reklāmas ierobežošana” ar 5.uzdevumu „Izstrādāt grozījumus normatīvajos aktos, pārskatot azartspēļu reklāmas aizliegumu”. Kā atbildīgo institūciju lūdzam noteikt Izložu un azartspēļu uzraudzības inspekciju, savukārt kā līdzatbildīgās institūcijas no masu informācijas (plašsaziņas) līdzekļu politikas aspekta uzdevuma izpildē lūdzam pievienot NEPLP un Latvijas Raidorganizāciju asociāciju, kā arī Latvijas Reklāmas asociāciju.</w:t>
            </w:r>
          </w:p>
        </w:tc>
        <w:tc>
          <w:tcPr>
            <w:tcW w:w="3118" w:type="dxa"/>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5B04CB" w:rsidRPr="00DE1A22" w:rsidRDefault="005B04CB" w:rsidP="005B04CB">
            <w:pPr>
              <w:jc w:val="center"/>
              <w:rPr>
                <w:rFonts w:eastAsia="Times New Roman"/>
                <w:b/>
                <w:bCs/>
                <w:sz w:val="24"/>
                <w:szCs w:val="24"/>
                <w:lang w:eastAsia="lv-LV"/>
              </w:rPr>
            </w:pPr>
          </w:p>
        </w:tc>
        <w:tc>
          <w:tcPr>
            <w:tcW w:w="3402" w:type="dxa"/>
          </w:tcPr>
          <w:p w:rsidR="005B04CB" w:rsidRPr="00DE1A22" w:rsidRDefault="00173AED" w:rsidP="00173AED">
            <w:pPr>
              <w:jc w:val="both"/>
              <w:rPr>
                <w:rFonts w:eastAsia="Times New Roman"/>
                <w:bCs/>
                <w:sz w:val="24"/>
                <w:szCs w:val="24"/>
                <w:lang w:eastAsia="lv-LV"/>
              </w:rPr>
            </w:pPr>
            <w:r w:rsidRPr="00DE1A22">
              <w:rPr>
                <w:rFonts w:eastAsia="Times New Roman"/>
                <w:bCs/>
                <w:sz w:val="24"/>
                <w:szCs w:val="24"/>
                <w:lang w:eastAsia="lv-LV"/>
              </w:rPr>
              <w:t>Projekta 4. sadaļas “Rīcības virzieni un uzdevumi” 2. Rīcības virziens “Azartspēļu un izložu reklāmas ierobežošana”.</w:t>
            </w:r>
          </w:p>
        </w:tc>
      </w:tr>
      <w:tr w:rsidR="005B04CB" w:rsidRPr="00DE1A22" w:rsidTr="00BF4AE7">
        <w:tc>
          <w:tcPr>
            <w:tcW w:w="846" w:type="dxa"/>
            <w:gridSpan w:val="2"/>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20</w:t>
            </w:r>
            <w:r w:rsidR="005B04CB" w:rsidRPr="00DE1A22">
              <w:rPr>
                <w:rFonts w:eastAsia="Times New Roman"/>
                <w:sz w:val="24"/>
                <w:szCs w:val="24"/>
                <w:lang w:eastAsia="lv-LV"/>
              </w:rPr>
              <w:t>.</w:t>
            </w:r>
          </w:p>
        </w:tc>
        <w:tc>
          <w:tcPr>
            <w:tcW w:w="2977" w:type="dxa"/>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4. Rīcības virziena “Atkarības profilakses, problemātiskā spēlētāja atbalsts un sabiedrības izglītojoši pasākumi” 12. uzdevums “Izglītības standartā skaidri definēti sasniedzamie rezultāti par procesu atkarību jautājumiem.”.</w:t>
            </w:r>
          </w:p>
        </w:tc>
        <w:tc>
          <w:tcPr>
            <w:tcW w:w="4394" w:type="dxa"/>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Izglītības un zinātnes ministrija (23.01.2019. Nr.4-3.2e-PAD/19/10)</w:t>
            </w:r>
          </w:p>
          <w:p w:rsidR="005B04CB" w:rsidRPr="00DE1A22" w:rsidRDefault="005B04CB" w:rsidP="000C2873">
            <w:pPr>
              <w:contextualSpacing/>
              <w:jc w:val="both"/>
              <w:rPr>
                <w:rFonts w:eastAsia="Times New Roman"/>
                <w:b/>
                <w:sz w:val="24"/>
                <w:szCs w:val="24"/>
                <w:lang w:eastAsia="lv-LV"/>
              </w:rPr>
            </w:pPr>
            <w:r w:rsidRPr="00DE1A22">
              <w:rPr>
                <w:rFonts w:eastAsia="Times New Roman"/>
                <w:sz w:val="24"/>
                <w:szCs w:val="24"/>
                <w:lang w:eastAsia="lv-LV"/>
              </w:rPr>
              <w:t>Svītrot no pamatnostādņu 4.Rīcības virziena – “Atkarības profilakses, problemātiskā spēlētāja atbalsts un sabiedrības izglītojoši pasākumi” 12.uzdevumu: “Izglītības standartā skaidri definēti sasniedzamie rezultāti par procesu atkarību jautājumiem</w:t>
            </w:r>
            <w:r w:rsidR="005B1106" w:rsidRPr="00DE1A22">
              <w:rPr>
                <w:rFonts w:eastAsia="Times New Roman"/>
                <w:sz w:val="24"/>
                <w:szCs w:val="24"/>
                <w:lang w:eastAsia="lv-LV"/>
              </w:rPr>
              <w:t>.</w:t>
            </w:r>
            <w:r w:rsidRPr="00DE1A22">
              <w:rPr>
                <w:rFonts w:eastAsia="Times New Roman"/>
                <w:sz w:val="24"/>
                <w:szCs w:val="24"/>
                <w:lang w:eastAsia="lv-LV"/>
              </w:rPr>
              <w:t>”</w:t>
            </w:r>
          </w:p>
        </w:tc>
        <w:tc>
          <w:tcPr>
            <w:tcW w:w="3118" w:type="dxa"/>
            <w:shd w:val="clear" w:color="auto" w:fill="auto"/>
          </w:tcPr>
          <w:p w:rsidR="005B04CB" w:rsidRPr="00DE1A22" w:rsidRDefault="00D81C63" w:rsidP="00D81C63">
            <w:pPr>
              <w:jc w:val="center"/>
              <w:rPr>
                <w:rFonts w:eastAsia="Times New Roman"/>
                <w:b/>
                <w:bCs/>
                <w:sz w:val="24"/>
                <w:szCs w:val="24"/>
                <w:lang w:eastAsia="lv-LV"/>
              </w:rPr>
            </w:pPr>
            <w:r w:rsidRPr="00DE1A22">
              <w:rPr>
                <w:rFonts w:eastAsia="Times New Roman"/>
                <w:b/>
                <w:bCs/>
                <w:sz w:val="24"/>
                <w:szCs w:val="24"/>
                <w:lang w:eastAsia="lv-LV"/>
              </w:rPr>
              <w:t xml:space="preserve">Ņemts vērā. </w:t>
            </w:r>
          </w:p>
        </w:tc>
        <w:tc>
          <w:tcPr>
            <w:tcW w:w="3402" w:type="dxa"/>
          </w:tcPr>
          <w:p w:rsidR="00D81C63" w:rsidRPr="00DE1A22" w:rsidRDefault="00D81C63" w:rsidP="00D81C63">
            <w:pPr>
              <w:spacing w:before="100" w:beforeAutospacing="1" w:after="100" w:afterAutospacing="1"/>
              <w:jc w:val="both"/>
              <w:rPr>
                <w:rFonts w:eastAsia="Times New Roman"/>
                <w:sz w:val="24"/>
                <w:szCs w:val="24"/>
                <w:lang w:eastAsia="lv-LV"/>
              </w:rPr>
            </w:pPr>
            <w:r w:rsidRPr="00DE1A22">
              <w:rPr>
                <w:rFonts w:eastAsia="Times New Roman"/>
                <w:sz w:val="24"/>
                <w:szCs w:val="24"/>
                <w:lang w:eastAsia="lv-LV"/>
              </w:rPr>
              <w:t xml:space="preserve">Ir būtiski precizēts </w:t>
            </w:r>
            <w:r w:rsidR="00D108C6" w:rsidRPr="00DE1A22">
              <w:rPr>
                <w:rFonts w:eastAsia="Times New Roman"/>
                <w:sz w:val="24"/>
                <w:szCs w:val="24"/>
                <w:lang w:eastAsia="lv-LV"/>
              </w:rPr>
              <w:t>10.</w:t>
            </w:r>
            <w:r w:rsidRPr="00DE1A22">
              <w:rPr>
                <w:rFonts w:eastAsia="Times New Roman"/>
                <w:sz w:val="24"/>
                <w:szCs w:val="24"/>
                <w:lang w:eastAsia="lv-LV"/>
              </w:rPr>
              <w:t>uzdevuma konteksts un saturs.</w:t>
            </w:r>
          </w:p>
          <w:p w:rsidR="005B04CB" w:rsidRPr="00DE1A22" w:rsidRDefault="005B04CB" w:rsidP="005B04CB">
            <w:pPr>
              <w:jc w:val="both"/>
              <w:rPr>
                <w:rFonts w:eastAsia="Times New Roman"/>
                <w:sz w:val="24"/>
                <w:szCs w:val="24"/>
                <w:lang w:eastAsia="lv-LV"/>
              </w:rPr>
            </w:pPr>
          </w:p>
        </w:tc>
      </w:tr>
      <w:tr w:rsidR="005B04CB" w:rsidRPr="00DE1A22" w:rsidTr="00BF4AE7">
        <w:tc>
          <w:tcPr>
            <w:tcW w:w="846" w:type="dxa"/>
            <w:gridSpan w:val="2"/>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21.</w:t>
            </w:r>
          </w:p>
        </w:tc>
        <w:tc>
          <w:tcPr>
            <w:tcW w:w="2977" w:type="dxa"/>
          </w:tcPr>
          <w:p w:rsidR="005B04CB" w:rsidRPr="00DE1A22" w:rsidRDefault="005B04CB" w:rsidP="000C2873">
            <w:pPr>
              <w:jc w:val="both"/>
              <w:rPr>
                <w:rFonts w:eastAsia="Times New Roman"/>
                <w:sz w:val="24"/>
                <w:szCs w:val="24"/>
                <w:lang w:eastAsia="lv-LV"/>
              </w:rPr>
            </w:pPr>
            <w:r w:rsidRPr="00DE1A22">
              <w:rPr>
                <w:rFonts w:eastAsia="Times New Roman"/>
                <w:sz w:val="24"/>
                <w:szCs w:val="24"/>
                <w:lang w:eastAsia="lv-LV"/>
              </w:rPr>
              <w:t>Projekta 4. sadaļas 4. Rīcības virziena “Atkarības profilakses, problemātiskā spēlētāja atbalsts un sabiedrības izglītojoši pasākumi” 2. uzdevums “Nodrošināt pašvaldībās profilakses pasākumus procesu atkarības (tostarp azartspēļu atkarības) risku mazināšanai.”</w:t>
            </w:r>
          </w:p>
        </w:tc>
        <w:tc>
          <w:tcPr>
            <w:tcW w:w="4394" w:type="dxa"/>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Latvijas Lielo pilsētu asociācija (25.01.2019. Nr.5-1/16)</w:t>
            </w:r>
          </w:p>
          <w:p w:rsidR="005B04CB" w:rsidRPr="00DE1A22" w:rsidRDefault="005B04CB" w:rsidP="000C2873">
            <w:pPr>
              <w:contextualSpacing/>
              <w:jc w:val="both"/>
              <w:rPr>
                <w:rFonts w:eastAsia="Times New Roman"/>
                <w:b/>
                <w:sz w:val="24"/>
                <w:szCs w:val="24"/>
                <w:lang w:eastAsia="lv-LV"/>
              </w:rPr>
            </w:pPr>
            <w:r w:rsidRPr="00DE1A22">
              <w:rPr>
                <w:sz w:val="24"/>
                <w:szCs w:val="24"/>
              </w:rPr>
              <w:t>Lūdzam skaidrot par plānoto pasākumu organizēšanas finansējumu, vai tiek plānots, ka minēto pasākumu organizēšana tiks nodrošināta no valsts budžeta līdzekļiem atbilstoši likuma “Par pašvaldībām” 8. pantā noteiktajam, ka ar likumu pašvaldībām var uzdot pildīt autonomās funkcijas, kas nav paredzētas šajā likumā, vienlaikus attiecīgajā likumā nosakot papildu finansēšanas avotus, ja funkciju izpilde saistīta ar izdevumu palielināšanos. Vadoties no iepriekš minētā, lūdzam norādīt finansējuma avotu vai gadījumā, ja valsts finansējums nav paredzēts, lūdzam svītrot atrunu, ka pasākumus nodrošina “pašvaldības</w:t>
            </w:r>
            <w:r w:rsidR="007E53E7" w:rsidRPr="00DE1A22">
              <w:rPr>
                <w:sz w:val="24"/>
                <w:szCs w:val="24"/>
              </w:rPr>
              <w:t>.</w:t>
            </w:r>
            <w:r w:rsidRPr="00DE1A22">
              <w:rPr>
                <w:sz w:val="24"/>
                <w:szCs w:val="24"/>
              </w:rPr>
              <w:t>”</w:t>
            </w:r>
          </w:p>
        </w:tc>
        <w:tc>
          <w:tcPr>
            <w:tcW w:w="3118" w:type="dxa"/>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rsidR="005B04CB" w:rsidRPr="00DE1A22" w:rsidRDefault="005B04CB" w:rsidP="005B04CB">
            <w:pPr>
              <w:jc w:val="both"/>
              <w:rPr>
                <w:rFonts w:eastAsia="Times New Roman"/>
                <w:b/>
                <w:bCs/>
                <w:sz w:val="24"/>
                <w:szCs w:val="24"/>
                <w:lang w:eastAsia="lv-LV"/>
              </w:rPr>
            </w:pPr>
          </w:p>
        </w:tc>
        <w:tc>
          <w:tcPr>
            <w:tcW w:w="3402" w:type="dxa"/>
          </w:tcPr>
          <w:p w:rsidR="00173AED" w:rsidRPr="00DE1A22" w:rsidRDefault="00173AED" w:rsidP="00173AED">
            <w:pPr>
              <w:jc w:val="both"/>
              <w:rPr>
                <w:rFonts w:eastAsia="Times New Roman"/>
                <w:bCs/>
                <w:sz w:val="24"/>
                <w:szCs w:val="24"/>
                <w:lang w:eastAsia="lv-LV"/>
              </w:rPr>
            </w:pPr>
            <w:r w:rsidRPr="00DE1A22">
              <w:rPr>
                <w:rFonts w:eastAsia="Times New Roman"/>
                <w:bCs/>
                <w:sz w:val="24"/>
                <w:szCs w:val="24"/>
                <w:lang w:eastAsia="lv-LV"/>
              </w:rPr>
              <w:t>Projekta 4. sadaļas 1. Rīcības virziena “Atkarības profilakses, preventīvie, problemātiskā spēlētāja atbalsts un sabiedrības izglītojoši pasākumi” 2. uzdevums “Nodrošināt pašvaldībās profilakses pasākumus procesu atkarības (tostarp azartspēļu atkarības) risku mazināšanai.”</w:t>
            </w:r>
          </w:p>
          <w:p w:rsidR="00173AED" w:rsidRPr="00DE1A22" w:rsidRDefault="00173AED" w:rsidP="00173AED">
            <w:pPr>
              <w:jc w:val="both"/>
              <w:rPr>
                <w:rFonts w:eastAsia="Times New Roman"/>
                <w:bCs/>
                <w:sz w:val="24"/>
                <w:szCs w:val="24"/>
                <w:lang w:eastAsia="lv-LV"/>
              </w:rPr>
            </w:pPr>
          </w:p>
          <w:p w:rsidR="005B04CB" w:rsidRPr="00DE1A22" w:rsidRDefault="00173AED" w:rsidP="00173AED">
            <w:pPr>
              <w:jc w:val="both"/>
              <w:rPr>
                <w:rFonts w:eastAsia="Times New Roman"/>
                <w:sz w:val="24"/>
                <w:szCs w:val="24"/>
                <w:lang w:eastAsia="lv-LV"/>
              </w:rPr>
            </w:pPr>
            <w:r w:rsidRPr="00DE1A22">
              <w:rPr>
                <w:rFonts w:eastAsia="Times New Roman"/>
                <w:bCs/>
                <w:sz w:val="24"/>
                <w:szCs w:val="24"/>
                <w:lang w:eastAsia="lv-LV"/>
              </w:rPr>
              <w:t>Projektā iekļautie pasākumi tiek īstenoti iestāžu esošā budžeta ietvarā.</w:t>
            </w:r>
          </w:p>
        </w:tc>
      </w:tr>
      <w:tr w:rsidR="005B04CB" w:rsidRPr="00DE1A22" w:rsidTr="00BF4AE7">
        <w:tc>
          <w:tcPr>
            <w:tcW w:w="846" w:type="dxa"/>
            <w:gridSpan w:val="2"/>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22.</w:t>
            </w:r>
          </w:p>
        </w:tc>
        <w:tc>
          <w:tcPr>
            <w:tcW w:w="2977" w:type="dxa"/>
          </w:tcPr>
          <w:p w:rsidR="005B04CB" w:rsidRPr="00DE1A22" w:rsidRDefault="005B04CB" w:rsidP="000C2873">
            <w:pPr>
              <w:jc w:val="both"/>
              <w:rPr>
                <w:rFonts w:eastAsia="Times New Roman"/>
                <w:sz w:val="24"/>
                <w:szCs w:val="24"/>
                <w:lang w:eastAsia="lv-LV"/>
              </w:rPr>
            </w:pPr>
            <w:r w:rsidRPr="00DE1A22">
              <w:rPr>
                <w:rFonts w:eastAsia="Times New Roman"/>
                <w:sz w:val="24"/>
                <w:szCs w:val="24"/>
                <w:lang w:eastAsia="lv-LV"/>
              </w:rPr>
              <w:t>Projekta 4. sadaļas “Rīcības virzieni un uzdevumi” 6. Rīcības virziena “Azartspēļu un izložu nozares attīstības tendenču monitorings” 6. uzdevums “Publikācijas un informatīvie materiāli.”</w:t>
            </w:r>
          </w:p>
        </w:tc>
        <w:tc>
          <w:tcPr>
            <w:tcW w:w="4394" w:type="dxa"/>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Veselības ministrija (</w:t>
            </w:r>
            <w:r w:rsidR="00414CB1" w:rsidRPr="00DE1A22">
              <w:rPr>
                <w:rFonts w:eastAsia="Times New Roman"/>
                <w:b/>
                <w:sz w:val="24"/>
                <w:szCs w:val="24"/>
                <w:lang w:eastAsia="lv-LV"/>
              </w:rPr>
              <w:t>23</w:t>
            </w:r>
            <w:r w:rsidRPr="00DE1A22">
              <w:rPr>
                <w:rFonts w:eastAsia="Times New Roman"/>
                <w:b/>
                <w:sz w:val="24"/>
                <w:szCs w:val="24"/>
                <w:lang w:eastAsia="lv-LV"/>
              </w:rPr>
              <w:t>.01.2019. Nr.01-09/448)</w:t>
            </w:r>
          </w:p>
          <w:p w:rsidR="005B04CB" w:rsidRPr="00DE1A22" w:rsidRDefault="005B04CB" w:rsidP="005B04CB">
            <w:pPr>
              <w:contextualSpacing/>
              <w:jc w:val="both"/>
              <w:rPr>
                <w:rFonts w:eastAsia="Times New Roman"/>
                <w:b/>
                <w:sz w:val="24"/>
                <w:szCs w:val="24"/>
                <w:lang w:eastAsia="lv-LV"/>
              </w:rPr>
            </w:pPr>
            <w:r w:rsidRPr="00DE1A22">
              <w:rPr>
                <w:rFonts w:eastAsia="Times New Roman"/>
                <w:sz w:val="24"/>
                <w:szCs w:val="24"/>
                <w:lang w:eastAsia="lv-LV"/>
              </w:rPr>
              <w:t xml:space="preserve">Lūdzam noteikt 6.rīcības virziena 6.punkta izpildes termiņu 2023.gadu, ņemot vērā, ka šādu publikāciju un materiālu izstrādei ir jānotiek vienlaikus ar valsts mēroga sabiedrības informēšanas pasākumiem par </w:t>
            </w:r>
            <w:r w:rsidRPr="00DE1A22">
              <w:rPr>
                <w:rFonts w:eastAsia="Times New Roman"/>
                <w:sz w:val="24"/>
                <w:szCs w:val="24"/>
                <w:lang w:eastAsia="lv-LV"/>
              </w:rPr>
              <w:lastRenderedPageBreak/>
              <w:t>procesu atkarības riskiem un pieejamo palīdzību iedzīvotājiem, kuri cieš no procesu atkarības (4.rīcības virziena 1.punkts).</w:t>
            </w:r>
          </w:p>
        </w:tc>
        <w:tc>
          <w:tcPr>
            <w:tcW w:w="3118" w:type="dxa"/>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5B04CB" w:rsidRPr="00DE1A22" w:rsidRDefault="005B04CB" w:rsidP="00173AED">
            <w:pPr>
              <w:jc w:val="both"/>
              <w:rPr>
                <w:rFonts w:eastAsia="Times New Roman"/>
                <w:b/>
                <w:bCs/>
                <w:sz w:val="24"/>
                <w:szCs w:val="24"/>
                <w:lang w:eastAsia="lv-LV"/>
              </w:rPr>
            </w:pPr>
          </w:p>
        </w:tc>
        <w:tc>
          <w:tcPr>
            <w:tcW w:w="3402" w:type="dxa"/>
          </w:tcPr>
          <w:p w:rsidR="00173AED" w:rsidRPr="00DE1A22" w:rsidRDefault="00173AED" w:rsidP="00173AED">
            <w:pPr>
              <w:jc w:val="both"/>
              <w:rPr>
                <w:rFonts w:eastAsia="Times New Roman"/>
                <w:bCs/>
                <w:sz w:val="24"/>
                <w:szCs w:val="24"/>
                <w:lang w:eastAsia="lv-LV"/>
              </w:rPr>
            </w:pPr>
            <w:r w:rsidRPr="00DE1A22">
              <w:rPr>
                <w:rFonts w:eastAsia="Times New Roman"/>
                <w:bCs/>
                <w:sz w:val="24"/>
                <w:szCs w:val="24"/>
                <w:lang w:eastAsia="lv-LV"/>
              </w:rPr>
              <w:t>Jaunā redakcija – Projekta 4. sadaļas “Rīcības virzieni un uzdevumi” 5. Rīcības virziena “Azartspēļu un izložu nozares attīstības tendenču monitorings” 4. uzdevums “Publikācijas un informatīvie materiāli.”</w:t>
            </w:r>
          </w:p>
          <w:p w:rsidR="005B04CB" w:rsidRPr="00DE1A22" w:rsidRDefault="005B04CB" w:rsidP="005B04CB">
            <w:pPr>
              <w:jc w:val="both"/>
              <w:rPr>
                <w:rFonts w:eastAsia="Times New Roman"/>
                <w:sz w:val="24"/>
                <w:szCs w:val="24"/>
                <w:lang w:eastAsia="lv-LV"/>
              </w:rPr>
            </w:pPr>
          </w:p>
        </w:tc>
      </w:tr>
      <w:tr w:rsidR="005B04CB" w:rsidRPr="00DE1A22" w:rsidTr="00BF4AE7">
        <w:tc>
          <w:tcPr>
            <w:tcW w:w="846" w:type="dxa"/>
            <w:gridSpan w:val="2"/>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23</w:t>
            </w:r>
            <w:r w:rsidR="005B04CB" w:rsidRPr="00DE1A22">
              <w:rPr>
                <w:rFonts w:eastAsia="Times New Roman"/>
                <w:sz w:val="24"/>
                <w:szCs w:val="24"/>
                <w:lang w:eastAsia="lv-LV"/>
              </w:rPr>
              <w:t>.</w:t>
            </w:r>
          </w:p>
        </w:tc>
        <w:tc>
          <w:tcPr>
            <w:tcW w:w="2977" w:type="dxa"/>
          </w:tcPr>
          <w:p w:rsidR="005B04CB" w:rsidRPr="00DE1A22" w:rsidRDefault="005B04CB" w:rsidP="000C2873">
            <w:pPr>
              <w:jc w:val="both"/>
              <w:rPr>
                <w:rFonts w:eastAsia="Times New Roman"/>
                <w:sz w:val="24"/>
                <w:szCs w:val="24"/>
                <w:lang w:eastAsia="lv-LV"/>
              </w:rPr>
            </w:pPr>
            <w:r w:rsidRPr="00DE1A22">
              <w:rPr>
                <w:rFonts w:eastAsia="Times New Roman"/>
                <w:sz w:val="24"/>
                <w:szCs w:val="24"/>
                <w:lang w:eastAsia="lv-LV"/>
              </w:rPr>
              <w:t>Projekta pielikuma 3. sadaļa “Azartspēļu un izložu reklāmas ierobežojumi” 3.1. apakšsadaļa “Azartspēļu joma</w:t>
            </w:r>
            <w:r w:rsidR="00E22008" w:rsidRPr="00DE1A22">
              <w:rPr>
                <w:rFonts w:eastAsia="Times New Roman"/>
                <w:sz w:val="24"/>
                <w:szCs w:val="24"/>
                <w:lang w:eastAsia="lv-LV"/>
              </w:rPr>
              <w:t>.</w:t>
            </w:r>
            <w:r w:rsidRPr="00DE1A22">
              <w:rPr>
                <w:rFonts w:eastAsia="Times New Roman"/>
                <w:sz w:val="24"/>
                <w:szCs w:val="24"/>
                <w:lang w:eastAsia="lv-LV"/>
              </w:rPr>
              <w:t>”</w:t>
            </w:r>
          </w:p>
        </w:tc>
        <w:tc>
          <w:tcPr>
            <w:tcW w:w="4394" w:type="dxa"/>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Biedrība “Latvijas Spēļu biznesa asociācija” (30.01.2019. Nr.2/19)</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LSBA aicina pārskatīt Pamatnostādņu 1. pielikumā (37.lpp) izteikto secinājumu:</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“Ņemot vērā nepieciešamību aizsargāt patērētāju intereses, veicinot legālās komercdarbības konkurētspēju, salīdzinot ar nekontrolēto vidi, attiecībā uz interaktīvo vidi tiek vērtēts atļaut Latvijā licencētajiem interaktīvo azartspēļu organizētājiem izvietot savas mājas lapas adresi „tīmeklī” vai elektroniskos plašsaziņas līdzekļos, jo citu instrumentu kā informēt sabiedrību par iespējām piedalīties Latvijā licencētajās interaktīvajās azartspēlēs šiem organizatoriem nav. Vienlaikus normatīvajos aktos būtu jānosaka konkrēti kritēriji, kā šī informācija par vietnes esamību tiek sniegta, piemēram, jānosaka, ka šādai informācijai jāsatur brīdinājuma teksts, ka azartspēles var izraisīt atkarību, kā arī reklāmas tehnisko formātu, tādējādi ievērojot EK rekomendācijās noteikto.”</w:t>
            </w:r>
          </w:p>
          <w:p w:rsidR="005B04CB" w:rsidRPr="00DE1A22" w:rsidRDefault="005B04CB" w:rsidP="005B04CB">
            <w:pPr>
              <w:contextualSpacing/>
              <w:jc w:val="both"/>
              <w:rPr>
                <w:rFonts w:eastAsia="Times New Roman"/>
                <w:sz w:val="24"/>
                <w:szCs w:val="24"/>
                <w:lang w:eastAsia="lv-LV"/>
              </w:rPr>
            </w:pP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Pamatojums: </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LSBA pamatnostādņu darba grupā ir paudusi skaidru viedokli – azartspēļu reklāma ir aizliegta. Piekrītam, ka, lai nodrošinātu sabiedrības informēšanu par iespējām piedalīties interaktīvajās azartspēlēs, Latvijā licencētajiem interaktīvo azartspēļu organizētājiem </w:t>
            </w:r>
            <w:r w:rsidRPr="00DE1A22">
              <w:rPr>
                <w:rFonts w:eastAsia="Times New Roman"/>
                <w:sz w:val="24"/>
                <w:szCs w:val="24"/>
                <w:lang w:eastAsia="lv-LV"/>
              </w:rPr>
              <w:lastRenderedPageBreak/>
              <w:t xml:space="preserve">jāatļauj izvietot savas mājas lapas adresi vai logo interaktīvajā vidē, konkrēti definējot izvietojamās informācijas satura un formas nosacījumus „tīmeklī”. </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Taču piedāvājums atļaut interaktīvo azartspēļu reklāmu elektroniskos plašsaziņas līdzekļos tiešā veidā konfliktē ar pamatnostādņu galveno mērķi – “samazināt riskus, kuri objektīvi un pamatoti rada kaitējumu sabiedrībai, nodrošinot šīs nozares pakalpojumu sabiedrībai kā izklaidi</w:t>
            </w:r>
            <w:r w:rsidR="00A03A25" w:rsidRPr="00DE1A22">
              <w:rPr>
                <w:rFonts w:eastAsia="Times New Roman"/>
                <w:sz w:val="24"/>
                <w:szCs w:val="24"/>
                <w:lang w:eastAsia="lv-LV"/>
              </w:rPr>
              <w:t>”</w:t>
            </w:r>
            <w:r w:rsidRPr="00DE1A22">
              <w:rPr>
                <w:rFonts w:eastAsia="Times New Roman"/>
                <w:sz w:val="24"/>
                <w:szCs w:val="24"/>
                <w:lang w:eastAsia="lv-LV"/>
              </w:rPr>
              <w:t xml:space="preserve">. Turklāt, lai nodrošinātu vienotu reklāmas regulējumu interaktīvajām un “zemes spēlēm” (spēļu zālēm, kazino, totalizatoriem), atļaujot interaktīvajām azartspēlēm reklāmu elektroniskajos plašsaziņas līdzekļos, šādas tiesības būtu jādod arī “zemes spēļu” organizētājiem. </w:t>
            </w:r>
          </w:p>
          <w:p w:rsidR="005B04CB" w:rsidRPr="00DE1A22" w:rsidRDefault="005B04CB" w:rsidP="005B04CB">
            <w:pPr>
              <w:contextualSpacing/>
              <w:jc w:val="both"/>
              <w:rPr>
                <w:rFonts w:eastAsia="Times New Roman"/>
                <w:sz w:val="24"/>
                <w:szCs w:val="24"/>
                <w:lang w:eastAsia="lv-LV"/>
              </w:rPr>
            </w:pPr>
          </w:p>
          <w:p w:rsidR="005B04CB" w:rsidRPr="00DE1A22" w:rsidRDefault="005B04CB" w:rsidP="005B04CB">
            <w:pPr>
              <w:ind w:firstLine="28"/>
              <w:contextualSpacing/>
              <w:jc w:val="both"/>
              <w:rPr>
                <w:rFonts w:eastAsia="Times New Roman"/>
                <w:b/>
                <w:sz w:val="24"/>
                <w:szCs w:val="24"/>
                <w:lang w:eastAsia="lv-LV"/>
              </w:rPr>
            </w:pPr>
            <w:r w:rsidRPr="00DE1A22">
              <w:rPr>
                <w:rFonts w:eastAsia="Times New Roman"/>
                <w:sz w:val="24"/>
                <w:szCs w:val="24"/>
                <w:lang w:eastAsia="lv-LV"/>
              </w:rPr>
              <w:t>Priekšlikums: svītrot no pamatnostādņu  1.pielikuma 37.lpp. secinājumā vārdus “vai elektroniskos plašsaziņas līdzekļos”.</w:t>
            </w:r>
          </w:p>
        </w:tc>
        <w:tc>
          <w:tcPr>
            <w:tcW w:w="3118" w:type="dxa"/>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5B04CB" w:rsidRPr="00DE1A22" w:rsidRDefault="005B04CB" w:rsidP="005B04CB">
            <w:pPr>
              <w:jc w:val="both"/>
              <w:rPr>
                <w:rFonts w:eastAsia="Times New Roman"/>
                <w:b/>
                <w:bCs/>
                <w:sz w:val="24"/>
                <w:szCs w:val="24"/>
                <w:lang w:eastAsia="lv-LV"/>
              </w:rPr>
            </w:pPr>
          </w:p>
        </w:tc>
        <w:tc>
          <w:tcPr>
            <w:tcW w:w="3402" w:type="dxa"/>
          </w:tcPr>
          <w:p w:rsidR="005B04CB" w:rsidRPr="00DE1A22" w:rsidRDefault="00FD7A62" w:rsidP="005B04CB">
            <w:pPr>
              <w:jc w:val="both"/>
              <w:rPr>
                <w:rFonts w:eastAsia="Times New Roman"/>
                <w:sz w:val="24"/>
                <w:szCs w:val="24"/>
                <w:lang w:eastAsia="lv-LV"/>
              </w:rPr>
            </w:pPr>
            <w:r w:rsidRPr="00DE1A22">
              <w:rPr>
                <w:rFonts w:eastAsia="Times New Roman"/>
                <w:bCs/>
                <w:sz w:val="24"/>
                <w:szCs w:val="24"/>
                <w:lang w:eastAsia="lv-LV"/>
              </w:rPr>
              <w:t>Projekta redakcija atbilstoši pilnveidota secinājumu dzēšot.</w:t>
            </w:r>
          </w:p>
        </w:tc>
      </w:tr>
      <w:tr w:rsidR="005B04CB" w:rsidRPr="00DE1A22" w:rsidTr="00BF4AE7">
        <w:tc>
          <w:tcPr>
            <w:tcW w:w="846" w:type="dxa"/>
            <w:gridSpan w:val="2"/>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24</w:t>
            </w:r>
            <w:r w:rsidR="005B04CB" w:rsidRPr="00DE1A22">
              <w:rPr>
                <w:rFonts w:eastAsia="Times New Roman"/>
                <w:sz w:val="24"/>
                <w:szCs w:val="24"/>
                <w:lang w:eastAsia="lv-LV"/>
              </w:rPr>
              <w:t>.</w:t>
            </w:r>
          </w:p>
        </w:tc>
        <w:tc>
          <w:tcPr>
            <w:tcW w:w="2977" w:type="dxa"/>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pielikuma 3. sadaļa “Azartspēļu un izložu reklāmas ierobežojumi” 3.2. apakšsadaļa “Izložu joma</w:t>
            </w:r>
            <w:r w:rsidR="00886971" w:rsidRPr="00DE1A22">
              <w:rPr>
                <w:rFonts w:eastAsia="Times New Roman"/>
                <w:sz w:val="24"/>
                <w:szCs w:val="24"/>
                <w:lang w:eastAsia="lv-LV"/>
              </w:rPr>
              <w:t>.</w:t>
            </w:r>
            <w:r w:rsidRPr="00DE1A22">
              <w:rPr>
                <w:rFonts w:eastAsia="Times New Roman"/>
                <w:sz w:val="24"/>
                <w:szCs w:val="24"/>
                <w:lang w:eastAsia="lv-LV"/>
              </w:rPr>
              <w:t>”</w:t>
            </w:r>
          </w:p>
        </w:tc>
        <w:tc>
          <w:tcPr>
            <w:tcW w:w="4394" w:type="dxa"/>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Biedrība “Latvijas Spēļu biznesa asociācija” (30.01.2019. Nr.2/19)</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LSBA aicina pārskatīt Pamatnostādņu 1. pielikumā (42.lpp) izteikto secinājumu:</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“Nepieciešamie pasākumi:</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 xml:space="preserve">izvērtēt iespējas panākt AIL noteiktā reklāmas aizlieguma izpildes efektīvāku nodrošināšanu, tajā skaitā, piemērojot administratīvo atbildību jebkurai personai par azartspēļu reklāmas aizlieguma izplatīšanas pārkāpumu. </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 xml:space="preserve">grozījumi AIL, nosakot VAS “Latvijas Loto” pienākumu sertificēties </w:t>
            </w:r>
            <w:r w:rsidRPr="00DE1A22">
              <w:rPr>
                <w:rFonts w:eastAsia="Times New Roman"/>
                <w:sz w:val="24"/>
                <w:szCs w:val="24"/>
                <w:lang w:eastAsia="lv-LV"/>
              </w:rPr>
              <w:lastRenderedPageBreak/>
              <w:t>Eiropas Loteriju Asociācijas Atbildīgas spēles standartam, nosakot atbilstības sertifikāta nepārtrauktības uzraudzību IAUI.</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grozījumi normatīvajos aktos, nosakot atbildīgās reklāmas principus preču un pakalpojumu loterijām.”</w:t>
            </w:r>
          </w:p>
          <w:p w:rsidR="005B04CB" w:rsidRPr="00DE1A22" w:rsidRDefault="005B04CB" w:rsidP="005B04CB">
            <w:pPr>
              <w:contextualSpacing/>
              <w:jc w:val="both"/>
              <w:rPr>
                <w:rFonts w:eastAsia="Times New Roman"/>
                <w:sz w:val="24"/>
                <w:szCs w:val="24"/>
                <w:lang w:eastAsia="lv-LV"/>
              </w:rPr>
            </w:pP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Pamatojums: nepieciešams veikt grozījumus AIL un attiecināt reklāmas ierobežojumus vienlīdzīgi uz visiem likumā minētajiem azartspēļu un izložu veidiem, jo nav objektīva pamata izlozes un loterijas nošķirt no citiem azartspēļu veidiem un tās neuzskatīt par azartspēlēm.</w:t>
            </w:r>
          </w:p>
          <w:p w:rsidR="005B04CB" w:rsidRPr="00DE1A22" w:rsidRDefault="005B04CB" w:rsidP="005B04CB">
            <w:pPr>
              <w:contextualSpacing/>
              <w:jc w:val="both"/>
              <w:rPr>
                <w:rFonts w:eastAsia="Times New Roman"/>
                <w:sz w:val="24"/>
                <w:szCs w:val="24"/>
                <w:lang w:eastAsia="lv-LV"/>
              </w:rPr>
            </w:pP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Priekšlikums: Papildināt Pamatnostādņu 1. pielikumā (42.lpp) izteikto secinājumu ar sekojošo:</w:t>
            </w:r>
          </w:p>
          <w:p w:rsidR="005B04CB" w:rsidRPr="00DE1A22" w:rsidRDefault="005B04CB" w:rsidP="00AD3FF1">
            <w:pPr>
              <w:ind w:firstLine="28"/>
              <w:contextualSpacing/>
              <w:jc w:val="both"/>
              <w:rPr>
                <w:rFonts w:eastAsia="Times New Roman"/>
                <w:b/>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veikt grozījumus AIL, nosakot komersantiem vienādus nosacījumus azartspēļu un izložu reklāmas jomā;</w:t>
            </w:r>
          </w:p>
        </w:tc>
        <w:tc>
          <w:tcPr>
            <w:tcW w:w="3118" w:type="dxa"/>
          </w:tcPr>
          <w:p w:rsidR="00AD3FF1" w:rsidRPr="00DE1A22" w:rsidRDefault="00AD3FF1" w:rsidP="00AD3FF1">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5B04CB" w:rsidRPr="00DE1A22" w:rsidRDefault="005B04CB" w:rsidP="005B04CB">
            <w:pPr>
              <w:jc w:val="both"/>
              <w:rPr>
                <w:rFonts w:eastAsia="Times New Roman"/>
                <w:b/>
                <w:bCs/>
                <w:sz w:val="24"/>
                <w:szCs w:val="24"/>
                <w:lang w:eastAsia="lv-LV"/>
              </w:rPr>
            </w:pPr>
          </w:p>
        </w:tc>
        <w:tc>
          <w:tcPr>
            <w:tcW w:w="3402" w:type="dxa"/>
          </w:tcPr>
          <w:p w:rsidR="005B04CB" w:rsidRPr="00DE1A22" w:rsidRDefault="00FD7A62" w:rsidP="005B04CB">
            <w:pPr>
              <w:jc w:val="both"/>
              <w:rPr>
                <w:rFonts w:eastAsia="Times New Roman"/>
                <w:sz w:val="24"/>
                <w:szCs w:val="24"/>
                <w:lang w:eastAsia="lv-LV"/>
              </w:rPr>
            </w:pPr>
            <w:r w:rsidRPr="00DE1A22">
              <w:rPr>
                <w:rFonts w:eastAsia="Times New Roman"/>
                <w:bCs/>
                <w:sz w:val="24"/>
                <w:szCs w:val="24"/>
                <w:lang w:eastAsia="lv-LV"/>
              </w:rPr>
              <w:t>Projekts atbilstoši precizēts – 3.sadaļas “Azartspēļu un izložu reklāmas ierobežojumi” apakšsadaļa “Nepieciešamie pasākumi”.</w:t>
            </w:r>
          </w:p>
        </w:tc>
      </w:tr>
      <w:tr w:rsidR="005B04CB" w:rsidRPr="00DE1A22" w:rsidTr="00BF4AE7">
        <w:tc>
          <w:tcPr>
            <w:tcW w:w="846" w:type="dxa"/>
            <w:gridSpan w:val="2"/>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25</w:t>
            </w:r>
            <w:r w:rsidR="005B04CB" w:rsidRPr="00DE1A22">
              <w:rPr>
                <w:rFonts w:eastAsia="Times New Roman"/>
                <w:sz w:val="24"/>
                <w:szCs w:val="24"/>
                <w:lang w:eastAsia="lv-LV"/>
              </w:rPr>
              <w:t>.</w:t>
            </w:r>
          </w:p>
        </w:tc>
        <w:tc>
          <w:tcPr>
            <w:tcW w:w="2977" w:type="dxa"/>
          </w:tcPr>
          <w:p w:rsidR="005B04CB" w:rsidRPr="00DE1A22" w:rsidRDefault="005B04CB" w:rsidP="000C2873">
            <w:pPr>
              <w:jc w:val="both"/>
              <w:rPr>
                <w:rFonts w:eastAsia="Times New Roman"/>
                <w:sz w:val="24"/>
                <w:szCs w:val="24"/>
                <w:lang w:eastAsia="lv-LV"/>
              </w:rPr>
            </w:pPr>
            <w:r w:rsidRPr="00DE1A22">
              <w:rPr>
                <w:rFonts w:eastAsia="Times New Roman"/>
                <w:sz w:val="24"/>
                <w:szCs w:val="24"/>
                <w:lang w:eastAsia="lv-LV"/>
              </w:rPr>
              <w:t>Projekta pielikuma 3. sadaļas “Azartspēļu un izložu reklāmas ierobežojumi” 4. tabula “Reklamēšanas aizlieguma īstenošana azartspēlēm</w:t>
            </w:r>
            <w:r w:rsidR="00B7453F" w:rsidRPr="00DE1A22">
              <w:rPr>
                <w:rFonts w:eastAsia="Times New Roman"/>
                <w:sz w:val="24"/>
                <w:szCs w:val="24"/>
                <w:lang w:eastAsia="lv-LV"/>
              </w:rPr>
              <w:t>.</w:t>
            </w:r>
            <w:r w:rsidRPr="00DE1A22">
              <w:rPr>
                <w:rFonts w:eastAsia="Times New Roman"/>
                <w:sz w:val="24"/>
                <w:szCs w:val="24"/>
                <w:lang w:eastAsia="lv-LV"/>
              </w:rPr>
              <w:t>”</w:t>
            </w:r>
          </w:p>
        </w:tc>
        <w:tc>
          <w:tcPr>
            <w:tcW w:w="4394" w:type="dxa"/>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Veselības ministrija (</w:t>
            </w:r>
            <w:r w:rsidR="003863B7" w:rsidRPr="00DE1A22">
              <w:rPr>
                <w:rFonts w:eastAsia="Times New Roman"/>
                <w:b/>
                <w:sz w:val="24"/>
                <w:szCs w:val="24"/>
                <w:lang w:eastAsia="lv-LV"/>
              </w:rPr>
              <w:t>23</w:t>
            </w:r>
            <w:r w:rsidRPr="00DE1A22">
              <w:rPr>
                <w:rFonts w:eastAsia="Times New Roman"/>
                <w:b/>
                <w:sz w:val="24"/>
                <w:szCs w:val="24"/>
                <w:lang w:eastAsia="lv-LV"/>
              </w:rPr>
              <w:t>.01.2019. Nr.01-09/448)</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Pielikuma 3.nodaļas “Azartspēļu un izložu reklāmas ierobežojumi” 4.tabulā ir norādīts, ka azartspēles varēs reklamēt televīzijas un radio pārraižu starplaikos laika periodā no plkst. 22.00 līdz 6.00, kā arī varēs reklamēt azartspēles internetā un elektroniskajos plašsaziņas līdzekļos, kas šobrīd saskaņā ar Azartspēļu un izložu likumā noteikto (turpmāk – Likums) ir aizliegts. Vienlaikus pielikuma 3. nodaļas 5.tabulā norādīts, ka attiecībā uz izlozēm un loterijām reklāmas ierobežojumi nav paredzēti. </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lastRenderedPageBreak/>
              <w:t xml:space="preserve">Vēršam uzmanību, ka reklāmu ierobežošanas mērķis ir samazināt reklāmas ietekmi uz neaizsargātām riska grupām, primāri jauniešiem, kas balstīts pierādījumos, ka azartspēļu spēlēšana agrīnā vecumā ir saistīta ar problemātiskiem paradumiem vēlākā dzīves laikā. </w:t>
            </w:r>
          </w:p>
          <w:p w:rsidR="005B04CB" w:rsidRPr="00DE1A22" w:rsidRDefault="005B04CB" w:rsidP="005B04CB">
            <w:pPr>
              <w:ind w:firstLine="28"/>
              <w:contextualSpacing/>
              <w:jc w:val="both"/>
              <w:rPr>
                <w:rFonts w:eastAsia="Times New Roman"/>
                <w:b/>
                <w:sz w:val="24"/>
                <w:szCs w:val="24"/>
                <w:lang w:eastAsia="lv-LV"/>
              </w:rPr>
            </w:pPr>
            <w:r w:rsidRPr="00DE1A22">
              <w:rPr>
                <w:rFonts w:eastAsia="Times New Roman"/>
                <w:sz w:val="24"/>
                <w:szCs w:val="24"/>
                <w:lang w:eastAsia="lv-LV"/>
              </w:rPr>
              <w:t>Ņemot vērā augstāk minēto, Veselības ministrija neatbalsta Finanšu ministrijas piedāvāto daļēju azartspēļu reklāmas ierobežojumu noteikšanu un uzskata, ka būtu jāsaglabā spēkā esošais regulējums attiecībā uz reklāmas aizliegumu azartspēļu gadījumā. Vienlaikus rosinām aizliegt reklāmu arī izlozēm, nosakot, ka ir atļauta tikai izložu rezultātu paziņošana, piemēram, specializētos raidījumos TV un radio, bet nosakot ierobežojumu, piemēram, attiecībā uz diennakts laiku, biežumu utt. Attiecībā uz izlozēm un loterijām būtu jāierobežo arī vides reklāma.</w:t>
            </w:r>
          </w:p>
        </w:tc>
        <w:tc>
          <w:tcPr>
            <w:tcW w:w="3118" w:type="dxa"/>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5B04CB" w:rsidRPr="00DE1A22" w:rsidRDefault="005B04CB" w:rsidP="003700BB">
            <w:pPr>
              <w:jc w:val="both"/>
              <w:rPr>
                <w:rFonts w:eastAsia="Times New Roman"/>
                <w:b/>
                <w:bCs/>
                <w:sz w:val="24"/>
                <w:szCs w:val="24"/>
                <w:lang w:eastAsia="lv-LV"/>
              </w:rPr>
            </w:pPr>
          </w:p>
        </w:tc>
        <w:tc>
          <w:tcPr>
            <w:tcW w:w="3402" w:type="dxa"/>
          </w:tcPr>
          <w:p w:rsidR="003700BB" w:rsidRPr="00DE1A22" w:rsidRDefault="00FD7A62" w:rsidP="005B04CB">
            <w:pPr>
              <w:jc w:val="both"/>
              <w:rPr>
                <w:rFonts w:eastAsia="Times New Roman"/>
                <w:sz w:val="24"/>
                <w:szCs w:val="24"/>
                <w:lang w:eastAsia="lv-LV"/>
              </w:rPr>
            </w:pPr>
            <w:r w:rsidRPr="00DE1A22">
              <w:rPr>
                <w:rFonts w:eastAsia="Times New Roman"/>
                <w:bCs/>
                <w:sz w:val="24"/>
                <w:szCs w:val="24"/>
                <w:lang w:eastAsia="lv-LV"/>
              </w:rPr>
              <w:t>Projekts atbilstoši precizēts – 3.sadaļas “Azartspēļu un izložu reklāmas ierobežojumi” apakšsadaļa “Nepieciešamie pasākumi”.</w:t>
            </w:r>
          </w:p>
        </w:tc>
      </w:tr>
      <w:tr w:rsidR="005B04CB" w:rsidRPr="00DE1A22" w:rsidTr="00BF4AE7">
        <w:tc>
          <w:tcPr>
            <w:tcW w:w="846" w:type="dxa"/>
            <w:gridSpan w:val="2"/>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26.</w:t>
            </w:r>
          </w:p>
        </w:tc>
        <w:tc>
          <w:tcPr>
            <w:tcW w:w="2977" w:type="dxa"/>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6. sadaļas “Ietekme uz valsts un pašvaldību budžetiem” tabulas “Pamatnostādņu īstenošanai plānotie finanšu avoti ir valsts un pašvaldību budžets” informācija pie norādītā pasākuma “Nodrošināt pašvaldībās profilakses pasākumus procesu atkarības (tostarp azartspēļu atkarības) risku mazināšanai</w:t>
            </w:r>
            <w:r w:rsidR="00107864" w:rsidRPr="00DE1A22">
              <w:rPr>
                <w:rFonts w:eastAsia="Times New Roman"/>
                <w:sz w:val="24"/>
                <w:szCs w:val="24"/>
                <w:lang w:eastAsia="lv-LV"/>
              </w:rPr>
              <w:t>.</w:t>
            </w:r>
            <w:r w:rsidRPr="00DE1A22">
              <w:rPr>
                <w:rFonts w:eastAsia="Times New Roman"/>
                <w:sz w:val="24"/>
                <w:szCs w:val="24"/>
                <w:lang w:eastAsia="lv-LV"/>
              </w:rPr>
              <w:t>”</w:t>
            </w:r>
          </w:p>
        </w:tc>
        <w:tc>
          <w:tcPr>
            <w:tcW w:w="4394" w:type="dxa"/>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Vides aizsardzības un reģionālās attīstības ministrija (25.01.2019. Nr.1-22/693)</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Precizēt pamatnostādnēs 6.sadaļas “Ietekme uz valsts un pašvaldību budžetiem” tabulas “Pamatnostādņu īstenošanas plānotie finanšu avoti ir valsts un pašvaldību budžets” informāciju pie norādītā pasākuma “Nodrošināt pašvaldībās profilakses pasākumus procesu atkarības (tostarp azartspēļu atkarības) risku mazināšanai”, mainot ailē “Atbildīgā institūcija” vārdu  “pašvaldības” ar vārdiem “Veselības ministrija”, jo saskaņā ar </w:t>
            </w:r>
            <w:r w:rsidRPr="00DE1A22">
              <w:rPr>
                <w:rFonts w:eastAsia="Times New Roman"/>
                <w:sz w:val="24"/>
                <w:szCs w:val="24"/>
                <w:lang w:eastAsia="lv-LV"/>
              </w:rPr>
              <w:lastRenderedPageBreak/>
              <w:t>rīkojumā 4.punktā norādīto jautājumu par atbildīgajām institūcijām papildu nepieciešamā finansējuma piešķiršanu pamatnostādnēs paredzēto uzdevumu un pasākumu īstenošanai skatīt gadskārtējā valsts budžeta projekta un vidējā termiņa budžeta ietvara projekta sagatavošanas procesā kopā ar visu ministriju un citu centrālo valsts iestāžu prioritāšu pieteikumiem, ievērojot valsts budžeta finansiālās iespējas.</w:t>
            </w:r>
          </w:p>
          <w:p w:rsidR="005B04CB" w:rsidRPr="00DE1A22" w:rsidRDefault="005B04CB" w:rsidP="005B04CB">
            <w:pPr>
              <w:contextualSpacing/>
              <w:jc w:val="both"/>
              <w:rPr>
                <w:rFonts w:eastAsia="Times New Roman"/>
                <w:b/>
                <w:sz w:val="24"/>
                <w:szCs w:val="24"/>
                <w:lang w:eastAsia="lv-LV"/>
              </w:rPr>
            </w:pPr>
          </w:p>
        </w:tc>
        <w:tc>
          <w:tcPr>
            <w:tcW w:w="3118" w:type="dxa"/>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5B04CB" w:rsidRPr="00DE1A22" w:rsidRDefault="005B04CB" w:rsidP="00A33290">
            <w:pPr>
              <w:jc w:val="both"/>
              <w:rPr>
                <w:rFonts w:eastAsia="Times New Roman"/>
                <w:b/>
                <w:bCs/>
                <w:sz w:val="24"/>
                <w:szCs w:val="24"/>
                <w:lang w:eastAsia="lv-LV"/>
              </w:rPr>
            </w:pPr>
          </w:p>
        </w:tc>
        <w:tc>
          <w:tcPr>
            <w:tcW w:w="3402" w:type="dxa"/>
          </w:tcPr>
          <w:p w:rsidR="005B04CB" w:rsidRPr="00DE1A22" w:rsidRDefault="00173AED" w:rsidP="005B04CB">
            <w:pPr>
              <w:spacing w:before="100" w:beforeAutospacing="1" w:after="100" w:afterAutospacing="1"/>
              <w:jc w:val="both"/>
              <w:rPr>
                <w:rFonts w:eastAsia="Times New Roman"/>
                <w:sz w:val="24"/>
                <w:szCs w:val="24"/>
                <w:lang w:eastAsia="lv-LV"/>
              </w:rPr>
            </w:pPr>
            <w:r w:rsidRPr="00DE1A22">
              <w:rPr>
                <w:rFonts w:eastAsia="Times New Roman"/>
                <w:bCs/>
                <w:sz w:val="24"/>
                <w:szCs w:val="24"/>
                <w:lang w:eastAsia="lv-LV"/>
              </w:rPr>
              <w:t>Projekts atbilstoši precizēts.</w:t>
            </w:r>
          </w:p>
        </w:tc>
      </w:tr>
      <w:tr w:rsidR="005B04CB" w:rsidRPr="00DE1A22" w:rsidTr="00BF4AE7">
        <w:tc>
          <w:tcPr>
            <w:tcW w:w="846" w:type="dxa"/>
            <w:gridSpan w:val="2"/>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27.</w:t>
            </w:r>
          </w:p>
        </w:tc>
        <w:tc>
          <w:tcPr>
            <w:tcW w:w="2977" w:type="dxa"/>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6. sadaļa “Ietekme uz valsts un pašvaldību budžetiem</w:t>
            </w:r>
            <w:r w:rsidR="00107864" w:rsidRPr="00DE1A22">
              <w:rPr>
                <w:rFonts w:eastAsia="Times New Roman"/>
                <w:sz w:val="24"/>
                <w:szCs w:val="24"/>
                <w:lang w:eastAsia="lv-LV"/>
              </w:rPr>
              <w:t>.</w:t>
            </w:r>
            <w:r w:rsidRPr="00DE1A22">
              <w:rPr>
                <w:rFonts w:eastAsia="Times New Roman"/>
                <w:sz w:val="24"/>
                <w:szCs w:val="24"/>
                <w:lang w:eastAsia="lv-LV"/>
              </w:rPr>
              <w:t>”</w:t>
            </w:r>
          </w:p>
        </w:tc>
        <w:tc>
          <w:tcPr>
            <w:tcW w:w="4394" w:type="dxa"/>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Veselības ministrija (</w:t>
            </w:r>
            <w:r w:rsidR="001C2E38" w:rsidRPr="00DE1A22">
              <w:rPr>
                <w:rFonts w:eastAsia="Times New Roman"/>
                <w:b/>
                <w:sz w:val="24"/>
                <w:szCs w:val="24"/>
                <w:lang w:eastAsia="lv-LV"/>
              </w:rPr>
              <w:t>23</w:t>
            </w:r>
            <w:r w:rsidRPr="00DE1A22">
              <w:rPr>
                <w:rFonts w:eastAsia="Times New Roman"/>
                <w:b/>
                <w:sz w:val="24"/>
                <w:szCs w:val="24"/>
                <w:lang w:eastAsia="lv-LV"/>
              </w:rPr>
              <w:t>.01.2019. Nr.01-09/448)</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Lūdzam precizēt pamatnostādņu projekta punktā “6.</w:t>
            </w:r>
            <w:r w:rsidR="007D1BA5" w:rsidRPr="00DE1A22">
              <w:rPr>
                <w:rFonts w:eastAsia="Times New Roman"/>
                <w:sz w:val="24"/>
                <w:szCs w:val="24"/>
                <w:lang w:eastAsia="lv-LV"/>
              </w:rPr>
              <w:t xml:space="preserve">  </w:t>
            </w:r>
            <w:r w:rsidRPr="00DE1A22">
              <w:rPr>
                <w:rFonts w:eastAsia="Times New Roman"/>
                <w:sz w:val="24"/>
                <w:szCs w:val="24"/>
                <w:lang w:eastAsia="lv-LV"/>
              </w:rPr>
              <w:t>Ietekme uz valsts un pašvaldību budžetiem” paredzēto finansējumu sekojošiem pasākumiem:</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Pasākumam, kurā paredzēts īstenot valsts mēroga sabiedrības informēšanas pasākumus par procesu atkarības riskiem un pieejamo palīdzību iedzīvotājiem, kuri cieš no procesu atkarības, nepieciešams precizēt ESF finansējumu 2020.gadā 50 000 €, 2021.gadā 50 000 €, 2022.gadā 50 000 €.</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 xml:space="preserve">Pasākumam, kurā paredzēts īstenot izglītojošas profilakses programmas skolās par procesu atkarības riskiem, adaptējot labās prakses programmas modeli no citām valstīm: 1) izstrādāt materiālus izglītojošām skolu prevencijas programmām skolēniem, programmu vadītājiem; 2) apmācīt programmu vadītājus; 3) īstenot programmu (norāda skaitu) skolās Latvijā, precizēt finansējuma avotus. ESF finansējums paredzēts 2021.gadā 75 756 € </w:t>
            </w:r>
            <w:r w:rsidRPr="00DE1A22">
              <w:rPr>
                <w:rFonts w:eastAsia="Times New Roman"/>
                <w:sz w:val="24"/>
                <w:szCs w:val="24"/>
                <w:lang w:eastAsia="lv-LV"/>
              </w:rPr>
              <w:lastRenderedPageBreak/>
              <w:t xml:space="preserve">apmērā. Savukārt no 2022.gada līdz 2026.gadam paredzēt valsts budžeta papildu finansējumu 11 652 € katru gadu; </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Pasākumam, kurā paredzēts uzlabot pieejamību valsts apmaksātai Minesotas stacionārās ārstēšanas programmai personām, kurām diagnosticēta patoloģiska tieksme uz azartspēlēm, palielinot apmaksāto ārstēšanas vietu skaitu (aptuveni par 100 pacientiem gada laikā), neparedzēt finansējumu 2019.gadam. Norādīt no 2020.gada līdz 2026.gadam valsts budžeta papildu finansējumu 109 086 € katru gadu;</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 xml:space="preserve">Pasākumam, kurā paredzēts nodrošināt valsts apmaksātas veselības vai klīnisko psihologu vadītās ambulatorās atbalsta grupas personām, kurām diagnosticēta patoloģiska tieksme uz azartspēlēm, neparedzēt finansējumu 2019.gadam. Norādīt no 2020.gada līdz 2026.gadam valsts budžeta papildu finansējumu 40 872 € katru gadu; </w:t>
            </w:r>
          </w:p>
          <w:p w:rsidR="005B04CB" w:rsidRPr="00DE1A22" w:rsidRDefault="005B04CB" w:rsidP="005B04CB">
            <w:pPr>
              <w:contextualSpacing/>
              <w:jc w:val="both"/>
              <w:rPr>
                <w:rFonts w:eastAsia="Times New Roman"/>
                <w:b/>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Pasākumam, kurā paredzēts īstenot apmācības klīniskajiem un veselības psihologiem, lai pilnveidotu profesionālās zināšanas un iemaņas attiecībā uz palīdzības sniegšanu izložu un azartspēļu spēlētājiem, tai skaitā personām, kurām raksturīga patoloģiska tieksme uz azartspēļu spēlēšanu, neparedzēt finansējumu 2019.gadam un 2020.gadam. Precizēt ESF finansējumu šādā redakcijā: 2021. gadam 65 822 €, 2022.gadam 24 768 €.</w:t>
            </w:r>
          </w:p>
        </w:tc>
        <w:tc>
          <w:tcPr>
            <w:tcW w:w="3118" w:type="dxa"/>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5B04CB" w:rsidRPr="00DE1A22" w:rsidRDefault="005B04CB" w:rsidP="00773B54">
            <w:pPr>
              <w:jc w:val="both"/>
              <w:rPr>
                <w:rFonts w:eastAsia="Times New Roman"/>
                <w:b/>
                <w:bCs/>
                <w:sz w:val="24"/>
                <w:szCs w:val="24"/>
                <w:lang w:eastAsia="lv-LV"/>
              </w:rPr>
            </w:pPr>
          </w:p>
        </w:tc>
        <w:tc>
          <w:tcPr>
            <w:tcW w:w="3402" w:type="dxa"/>
          </w:tcPr>
          <w:p w:rsidR="005B04CB" w:rsidRPr="00DE1A22" w:rsidRDefault="00173AED" w:rsidP="005B04CB">
            <w:pPr>
              <w:spacing w:before="100" w:beforeAutospacing="1" w:after="100" w:afterAutospacing="1"/>
              <w:jc w:val="both"/>
              <w:rPr>
                <w:rFonts w:eastAsia="Times New Roman"/>
                <w:sz w:val="24"/>
                <w:szCs w:val="24"/>
                <w:lang w:eastAsia="lv-LV"/>
              </w:rPr>
            </w:pPr>
            <w:r w:rsidRPr="00DE1A22">
              <w:rPr>
                <w:rFonts w:eastAsia="Times New Roman"/>
                <w:bCs/>
                <w:sz w:val="24"/>
                <w:szCs w:val="24"/>
                <w:lang w:eastAsia="lv-LV"/>
              </w:rPr>
              <w:t>Projektā iekļautie uzdevumi tiek pildīti esošo budžetu ietvaros.</w:t>
            </w:r>
          </w:p>
        </w:tc>
      </w:tr>
      <w:tr w:rsidR="005B04CB" w:rsidRPr="00DE1A22" w:rsidTr="00BF4AE7">
        <w:tc>
          <w:tcPr>
            <w:tcW w:w="846" w:type="dxa"/>
            <w:gridSpan w:val="2"/>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28</w:t>
            </w:r>
            <w:r w:rsidR="005B04CB" w:rsidRPr="00DE1A22">
              <w:rPr>
                <w:rFonts w:eastAsia="Times New Roman"/>
                <w:sz w:val="24"/>
                <w:szCs w:val="24"/>
                <w:lang w:eastAsia="lv-LV"/>
              </w:rPr>
              <w:t>.</w:t>
            </w:r>
          </w:p>
        </w:tc>
        <w:tc>
          <w:tcPr>
            <w:tcW w:w="2977" w:type="dxa"/>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 xml:space="preserve">Projekta pielikuma 7. sadaļa “Latvijā nelegālās un </w:t>
            </w:r>
            <w:r w:rsidRPr="00DE1A22">
              <w:rPr>
                <w:rFonts w:eastAsia="Times New Roman"/>
                <w:sz w:val="24"/>
                <w:szCs w:val="24"/>
                <w:lang w:eastAsia="lv-LV"/>
              </w:rPr>
              <w:lastRenderedPageBreak/>
              <w:t>nelicencētas azartspēles un izlozes un to novēršana</w:t>
            </w:r>
            <w:r w:rsidR="00C37758" w:rsidRPr="00DE1A22">
              <w:rPr>
                <w:rFonts w:eastAsia="Times New Roman"/>
                <w:sz w:val="24"/>
                <w:szCs w:val="24"/>
                <w:lang w:eastAsia="lv-LV"/>
              </w:rPr>
              <w:t>.</w:t>
            </w:r>
            <w:r w:rsidRPr="00DE1A22">
              <w:rPr>
                <w:rFonts w:eastAsia="Times New Roman"/>
                <w:sz w:val="24"/>
                <w:szCs w:val="24"/>
                <w:lang w:eastAsia="lv-LV"/>
              </w:rPr>
              <w:t>”</w:t>
            </w:r>
          </w:p>
        </w:tc>
        <w:tc>
          <w:tcPr>
            <w:tcW w:w="4394" w:type="dxa"/>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lastRenderedPageBreak/>
              <w:t>Satiksmes ministrija (28.01.2019. Nr.03-03/13)</w:t>
            </w:r>
          </w:p>
          <w:p w:rsidR="005B04CB" w:rsidRPr="00DE1A22" w:rsidRDefault="005B04CB" w:rsidP="005B04CB">
            <w:pPr>
              <w:contextualSpacing/>
              <w:jc w:val="both"/>
              <w:rPr>
                <w:rFonts w:eastAsia="Times New Roman"/>
                <w:b/>
                <w:sz w:val="24"/>
                <w:szCs w:val="24"/>
                <w:lang w:eastAsia="lv-LV"/>
              </w:rPr>
            </w:pPr>
            <w:r w:rsidRPr="00DE1A22">
              <w:rPr>
                <w:rFonts w:eastAsia="Times New Roman"/>
                <w:sz w:val="24"/>
                <w:szCs w:val="24"/>
                <w:lang w:eastAsia="lv-LV"/>
              </w:rPr>
              <w:lastRenderedPageBreak/>
              <w:t>Pielikumā sadaļā “7. Latvijā nelegālās un nelicencētas azartspēles un izlozes un to novēršana” ir norādīts, ka tas, ka ir “liels elektronisko sakaru komersantu skaits, kas regulāri mainās, jo tiek reģistrēti jauni, bet citi pārtrauc pakalpojumu sniegšanu, apgrūtina veikt visaptverošu detalizētu analīzi par katra elektronisko sakaru komersanta sniegtā pakalpojuma izpildes kvalitāti un pakalpojuma sniegšanas vietu.</w:t>
            </w:r>
            <w:r w:rsidR="00BD2AC1" w:rsidRPr="00DE1A22">
              <w:rPr>
                <w:rFonts w:eastAsia="Times New Roman"/>
                <w:sz w:val="24"/>
                <w:szCs w:val="24"/>
                <w:lang w:eastAsia="lv-LV"/>
              </w:rPr>
              <w:t>”</w:t>
            </w:r>
            <w:r w:rsidRPr="00DE1A22">
              <w:rPr>
                <w:rFonts w:eastAsia="Times New Roman"/>
                <w:sz w:val="24"/>
                <w:szCs w:val="24"/>
                <w:lang w:eastAsia="lv-LV"/>
              </w:rPr>
              <w:t xml:space="preserve"> Informējam, ka elektronisko sakaru komersantu sniegto pakalpojumu kvalitāti uzrauga Sabiedrisko pakalpojumu regulēšanas komisija. Ievērojot minēto, lūdzam izvērtēt minēto redakciju un to precizēt.</w:t>
            </w:r>
          </w:p>
        </w:tc>
        <w:tc>
          <w:tcPr>
            <w:tcW w:w="3118" w:type="dxa"/>
          </w:tcPr>
          <w:p w:rsidR="00AD3FF1" w:rsidRPr="00DE1A22" w:rsidRDefault="00AD3FF1" w:rsidP="00AD3FF1">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5B04CB" w:rsidRPr="00DE1A22" w:rsidRDefault="005B04CB" w:rsidP="005B04CB">
            <w:pPr>
              <w:jc w:val="both"/>
              <w:rPr>
                <w:rFonts w:eastAsia="Times New Roman"/>
                <w:b/>
                <w:bCs/>
                <w:sz w:val="24"/>
                <w:szCs w:val="24"/>
                <w:lang w:eastAsia="lv-LV"/>
              </w:rPr>
            </w:pPr>
          </w:p>
        </w:tc>
        <w:tc>
          <w:tcPr>
            <w:tcW w:w="3402" w:type="dxa"/>
          </w:tcPr>
          <w:p w:rsidR="005B04CB" w:rsidRPr="00DE1A22" w:rsidRDefault="00FC5F16" w:rsidP="005B04CB">
            <w:pPr>
              <w:jc w:val="both"/>
              <w:rPr>
                <w:rFonts w:eastAsia="Times New Roman"/>
                <w:sz w:val="24"/>
                <w:szCs w:val="24"/>
                <w:lang w:eastAsia="lv-LV"/>
              </w:rPr>
            </w:pPr>
            <w:r w:rsidRPr="00DE1A22">
              <w:rPr>
                <w:rFonts w:eastAsia="Times New Roman"/>
                <w:bCs/>
                <w:sz w:val="24"/>
                <w:szCs w:val="24"/>
                <w:lang w:eastAsia="lv-LV"/>
              </w:rPr>
              <w:t xml:space="preserve">Uzdevums izpildīts ar 2019.gada 3.aprīlī Saeimā pieņemto likumu </w:t>
            </w:r>
            <w:r w:rsidRPr="00DE1A22">
              <w:rPr>
                <w:rFonts w:eastAsia="Times New Roman"/>
                <w:bCs/>
                <w:sz w:val="24"/>
                <w:szCs w:val="24"/>
                <w:lang w:eastAsia="lv-LV"/>
              </w:rPr>
              <w:lastRenderedPageBreak/>
              <w:t>par 2019.gada valsts budžetu un to pavadošajiem 14 likumprojektiem, tai skaitā iekļautajiem četriem likumprojektiem, kas paredz ierobežot Latvijā nelicencētu interaktīvo azartspēļu un izložu pieejamību.</w:t>
            </w:r>
          </w:p>
        </w:tc>
      </w:tr>
      <w:tr w:rsidR="005B04CB" w:rsidRPr="00DE1A22" w:rsidTr="00BF4AE7">
        <w:tc>
          <w:tcPr>
            <w:tcW w:w="846" w:type="dxa"/>
            <w:gridSpan w:val="2"/>
            <w:shd w:val="clear" w:color="auto" w:fill="auto"/>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29</w:t>
            </w:r>
            <w:r w:rsidR="005B04CB" w:rsidRPr="00DE1A22">
              <w:rPr>
                <w:rFonts w:eastAsia="Times New Roman"/>
                <w:sz w:val="24"/>
                <w:szCs w:val="24"/>
                <w:lang w:eastAsia="lv-LV"/>
              </w:rPr>
              <w:t>.</w:t>
            </w:r>
          </w:p>
        </w:tc>
        <w:tc>
          <w:tcPr>
            <w:tcW w:w="2977" w:type="dxa"/>
            <w:shd w:val="clear" w:color="auto" w:fill="auto"/>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 “Rīcības virzieni un uzdevumi” (7. lpp.) un projekta pielikums “Esošās situācijas vispārīgs novērtējums” (55. un 61. lpp.).</w:t>
            </w:r>
          </w:p>
        </w:tc>
        <w:tc>
          <w:tcPr>
            <w:tcW w:w="4394" w:type="dxa"/>
            <w:shd w:val="clear" w:color="auto" w:fill="auto"/>
          </w:tcPr>
          <w:p w:rsidR="005B04CB" w:rsidRPr="00DE1A22" w:rsidRDefault="005B04CB" w:rsidP="005B04CB">
            <w:pPr>
              <w:jc w:val="both"/>
              <w:rPr>
                <w:rFonts w:eastAsia="Times New Roman"/>
                <w:sz w:val="24"/>
                <w:szCs w:val="24"/>
              </w:rPr>
            </w:pPr>
            <w:r w:rsidRPr="00DE1A22">
              <w:rPr>
                <w:rFonts w:eastAsia="Times New Roman"/>
                <w:sz w:val="24"/>
                <w:szCs w:val="24"/>
              </w:rPr>
              <w:t>Priekšlikums:</w:t>
            </w:r>
          </w:p>
          <w:p w:rsidR="005B04CB" w:rsidRPr="00DE1A22" w:rsidRDefault="005B04CB" w:rsidP="005B04CB">
            <w:pPr>
              <w:jc w:val="both"/>
              <w:rPr>
                <w:rFonts w:eastAsia="Times New Roman"/>
                <w:b/>
                <w:sz w:val="24"/>
                <w:szCs w:val="24"/>
              </w:rPr>
            </w:pPr>
            <w:r w:rsidRPr="00DE1A22">
              <w:rPr>
                <w:rFonts w:eastAsia="Times New Roman"/>
                <w:b/>
                <w:sz w:val="24"/>
                <w:szCs w:val="24"/>
              </w:rPr>
              <w:t>Labklājības ministrija (25.01.2019. Nr.A-21-09/9)</w:t>
            </w:r>
          </w:p>
          <w:p w:rsidR="005B04CB" w:rsidRPr="00DE1A22" w:rsidRDefault="005B04CB" w:rsidP="000C2873">
            <w:pPr>
              <w:jc w:val="both"/>
              <w:rPr>
                <w:rFonts w:eastAsia="Times New Roman"/>
                <w:sz w:val="24"/>
                <w:szCs w:val="24"/>
              </w:rPr>
            </w:pPr>
            <w:r w:rsidRPr="00DE1A22">
              <w:rPr>
                <w:rFonts w:eastAsia="Times New Roman"/>
                <w:sz w:val="24"/>
                <w:szCs w:val="24"/>
              </w:rPr>
              <w:t>Projekta 4.sadaļā “Rīcības virzieni un uzdevumi” (7. lpp.) un pielikumā “Esošās situācijas vispārīgs novērtējums” (55. un 61. lpp.) lietoto jēdzienu “sociāli neaizsargātās personas” aizstāt ar terminu, kāds tiek lietots Latvijas normatīvajos aktos un politikas plānošanas un attīstības plānošanas dokumentos, t.i. “sociāli mazaizsargāto personu grupas</w:t>
            </w:r>
            <w:r w:rsidR="00A3425A" w:rsidRPr="00DE1A22">
              <w:rPr>
                <w:rFonts w:eastAsia="Times New Roman"/>
                <w:sz w:val="24"/>
                <w:szCs w:val="24"/>
              </w:rPr>
              <w:t>.</w:t>
            </w:r>
            <w:r w:rsidRPr="00DE1A22">
              <w:rPr>
                <w:rFonts w:eastAsia="Times New Roman"/>
                <w:sz w:val="24"/>
                <w:szCs w:val="24"/>
              </w:rPr>
              <w:t xml:space="preserve">” 2005.gada 11.janvāra Ministru kabineta noteikumi Nr. 32 “Noteikumi par sociāli mazaizsargāto personu grupām” nosaka to personu loku, kuras atbilst sociāli mazaizsargāto personu grupas statusam – pavisam 16 grupas, tostarp ģimenes, kuras audzina trīs un vairāk bērnus, nepilnās ģimenes, personas ar invaliditāti, personas virs darbaspējas </w:t>
            </w:r>
            <w:r w:rsidRPr="00DE1A22">
              <w:rPr>
                <w:rFonts w:eastAsia="Times New Roman"/>
                <w:sz w:val="24"/>
                <w:szCs w:val="24"/>
              </w:rPr>
              <w:lastRenderedPageBreak/>
              <w:t>vecuma, 15 – 25 gadus veci jaunieši, personas, kuras atbrīvotas no brīvības atņemšanas iestādēm, bezpajumtnieki, ilgstošie bezdarbnieki, politiski represētās personas, cilvēktirdzniecības upuri u.c.</w:t>
            </w:r>
          </w:p>
        </w:tc>
        <w:tc>
          <w:tcPr>
            <w:tcW w:w="3118" w:type="dxa"/>
            <w:shd w:val="clear" w:color="auto" w:fill="auto"/>
          </w:tcPr>
          <w:p w:rsidR="005B04CB" w:rsidRPr="00DE1A22" w:rsidRDefault="005B04CB" w:rsidP="00100BCE">
            <w:pPr>
              <w:tabs>
                <w:tab w:val="left" w:pos="0"/>
                <w:tab w:val="left" w:pos="709"/>
                <w:tab w:val="left" w:pos="993"/>
              </w:tabs>
              <w:suppressAutoHyphens/>
              <w:jc w:val="center"/>
              <w:outlineLvl w:val="3"/>
              <w:rPr>
                <w:rFonts w:eastAsia="Times New Roman"/>
                <w:b/>
                <w:bCs/>
                <w:sz w:val="24"/>
                <w:szCs w:val="24"/>
                <w:lang w:eastAsia="lv-LV"/>
              </w:rPr>
            </w:pPr>
            <w:r w:rsidRPr="00DE1A22">
              <w:rPr>
                <w:rFonts w:eastAsia="Times New Roman"/>
                <w:b/>
                <w:bCs/>
                <w:sz w:val="24"/>
                <w:szCs w:val="24"/>
                <w:lang w:eastAsia="lv-LV"/>
              </w:rPr>
              <w:lastRenderedPageBreak/>
              <w:t>Ņemts vērā.</w:t>
            </w:r>
          </w:p>
        </w:tc>
        <w:tc>
          <w:tcPr>
            <w:tcW w:w="3402" w:type="dxa"/>
            <w:shd w:val="clear" w:color="auto" w:fill="auto"/>
          </w:tcPr>
          <w:p w:rsidR="00D256A7" w:rsidRPr="00DE1A22" w:rsidRDefault="00D256A7" w:rsidP="00D256A7">
            <w:pPr>
              <w:jc w:val="both"/>
              <w:rPr>
                <w:rFonts w:eastAsia="Times New Roman"/>
                <w:sz w:val="24"/>
                <w:szCs w:val="24"/>
              </w:rPr>
            </w:pPr>
            <w:r w:rsidRPr="00DE1A22">
              <w:rPr>
                <w:rFonts w:eastAsia="Times New Roman"/>
                <w:sz w:val="24"/>
                <w:szCs w:val="24"/>
              </w:rPr>
              <w:t xml:space="preserve">Projekts un projekta pielikums atbilstoši precizēts. </w:t>
            </w:r>
          </w:p>
          <w:p w:rsidR="005B04CB" w:rsidRPr="00DE1A22" w:rsidRDefault="005B04CB" w:rsidP="005B04CB">
            <w:pPr>
              <w:jc w:val="both"/>
              <w:rPr>
                <w:rFonts w:eastAsia="Times New Roman"/>
                <w:sz w:val="24"/>
                <w:szCs w:val="24"/>
              </w:rPr>
            </w:pPr>
          </w:p>
        </w:tc>
      </w:tr>
      <w:tr w:rsidR="005B04CB" w:rsidRPr="00DE1A22" w:rsidTr="00BF4AE7">
        <w:tc>
          <w:tcPr>
            <w:tcW w:w="846" w:type="dxa"/>
            <w:gridSpan w:val="2"/>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30</w:t>
            </w:r>
            <w:r w:rsidR="005B04CB" w:rsidRPr="00DE1A22">
              <w:rPr>
                <w:rFonts w:eastAsia="Times New Roman"/>
                <w:sz w:val="24"/>
                <w:szCs w:val="24"/>
                <w:lang w:eastAsia="lv-LV"/>
              </w:rPr>
              <w:t>.</w:t>
            </w:r>
          </w:p>
        </w:tc>
        <w:tc>
          <w:tcPr>
            <w:tcW w:w="2977" w:type="dxa"/>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tcPr>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Priekšlikums: </w:t>
            </w:r>
          </w:p>
          <w:p w:rsidR="005B04CB" w:rsidRPr="00DE1A22" w:rsidRDefault="005B04CB" w:rsidP="005B04CB">
            <w:pPr>
              <w:contextualSpacing/>
              <w:jc w:val="both"/>
              <w:rPr>
                <w:rFonts w:eastAsia="Times New Roman"/>
                <w:b/>
                <w:sz w:val="24"/>
                <w:szCs w:val="24"/>
              </w:rPr>
            </w:pPr>
            <w:r w:rsidRPr="00DE1A22">
              <w:rPr>
                <w:rFonts w:eastAsia="Times New Roman"/>
                <w:b/>
                <w:sz w:val="24"/>
                <w:szCs w:val="24"/>
              </w:rPr>
              <w:t>Tieslietu ministrija (25.01.2019. Nr.1-9.1/88).</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rPr>
              <w:t>Lūdzam projektā paredzēt atvieglotus nosacījumus probācijas klientiem, kuriem identificētas azartspēļu vai izložu atkarības, attiecībā uz Minesotas programmas un citu atkarību ārstniecības pakalpojumu un speciālistu pieejamību.</w:t>
            </w:r>
          </w:p>
        </w:tc>
        <w:tc>
          <w:tcPr>
            <w:tcW w:w="3118" w:type="dxa"/>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rsidR="005B04CB" w:rsidRPr="00DE1A22" w:rsidRDefault="005B04CB" w:rsidP="0047627D">
            <w:pPr>
              <w:jc w:val="both"/>
              <w:rPr>
                <w:rFonts w:eastAsia="Times New Roman"/>
                <w:b/>
                <w:bCs/>
                <w:sz w:val="24"/>
                <w:szCs w:val="24"/>
                <w:lang w:eastAsia="lv-LV"/>
              </w:rPr>
            </w:pPr>
          </w:p>
        </w:tc>
        <w:tc>
          <w:tcPr>
            <w:tcW w:w="3402" w:type="dxa"/>
          </w:tcPr>
          <w:p w:rsidR="005B04CB" w:rsidRPr="00DE1A22" w:rsidRDefault="00173AED" w:rsidP="005B04CB">
            <w:pPr>
              <w:spacing w:before="100" w:beforeAutospacing="1" w:after="100" w:afterAutospacing="1"/>
              <w:jc w:val="both"/>
              <w:rPr>
                <w:rFonts w:eastAsia="Times New Roman"/>
                <w:sz w:val="24"/>
                <w:szCs w:val="24"/>
                <w:lang w:eastAsia="lv-LV"/>
              </w:rPr>
            </w:pPr>
            <w:r w:rsidRPr="00DE1A22">
              <w:rPr>
                <w:rFonts w:eastAsia="Times New Roman"/>
                <w:bCs/>
                <w:sz w:val="24"/>
                <w:szCs w:val="24"/>
                <w:lang w:eastAsia="lv-LV"/>
              </w:rPr>
              <w:t>Vēršam uzmanību, ka jau šobrīd psihologi ir apmācīti un strādā ar personām, kurām ir dažādu atkarību problēmas, t.sk., arī no pārmērīgas tieksmes spēlēt  azartspēlēs un izlozes. Līdz ar to projektā īpaši paredzēt apmācības kursu probācijas dienestā strādājošajam personālam, kas paredz identificēt un rast risinājumu no izlozēm un azartspēlēm atkarību, šobrīd nav paredzēts, un skatāms plašāk, izvērtējot probācijas dienesta funkcijas un iespējams nākotnē paplašinot dienesta personālu ar atbilstošas izglītības psihologiem.</w:t>
            </w:r>
          </w:p>
        </w:tc>
      </w:tr>
      <w:tr w:rsidR="005B04CB" w:rsidRPr="00DE1A22" w:rsidTr="00BF4AE7">
        <w:tc>
          <w:tcPr>
            <w:tcW w:w="846" w:type="dxa"/>
            <w:gridSpan w:val="2"/>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31</w:t>
            </w:r>
            <w:r w:rsidR="005B04CB" w:rsidRPr="00DE1A22">
              <w:rPr>
                <w:rFonts w:eastAsia="Times New Roman"/>
                <w:sz w:val="24"/>
                <w:szCs w:val="24"/>
                <w:lang w:eastAsia="lv-LV"/>
              </w:rPr>
              <w:t>.</w:t>
            </w:r>
          </w:p>
        </w:tc>
        <w:tc>
          <w:tcPr>
            <w:tcW w:w="2977" w:type="dxa"/>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tcPr>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Priekšlikums: </w:t>
            </w:r>
          </w:p>
          <w:p w:rsidR="005B04CB" w:rsidRPr="00DE1A22" w:rsidRDefault="005B04CB" w:rsidP="005B04CB">
            <w:pPr>
              <w:contextualSpacing/>
              <w:jc w:val="both"/>
              <w:rPr>
                <w:rFonts w:eastAsia="Times New Roman"/>
                <w:b/>
                <w:sz w:val="24"/>
                <w:szCs w:val="24"/>
              </w:rPr>
            </w:pPr>
            <w:r w:rsidRPr="00DE1A22">
              <w:rPr>
                <w:rFonts w:eastAsia="Times New Roman"/>
                <w:b/>
                <w:sz w:val="24"/>
                <w:szCs w:val="24"/>
              </w:rPr>
              <w:t>Tieslietu ministrija (25.01.2019. Nr.1-9.1/88).</w:t>
            </w:r>
          </w:p>
          <w:p w:rsidR="005B04CB" w:rsidRPr="00DE1A22" w:rsidRDefault="005B04CB" w:rsidP="005B04CB">
            <w:pPr>
              <w:contextualSpacing/>
              <w:jc w:val="both"/>
              <w:rPr>
                <w:rFonts w:eastAsia="Times New Roman"/>
                <w:sz w:val="24"/>
                <w:szCs w:val="24"/>
              </w:rPr>
            </w:pPr>
            <w:r w:rsidRPr="00DE1A22">
              <w:rPr>
                <w:rFonts w:eastAsia="Times New Roman"/>
                <w:sz w:val="24"/>
                <w:szCs w:val="24"/>
              </w:rPr>
              <w:t xml:space="preserve">Vēršam uzmanību, ka Valsts probācijas dienests ikdienā strādā ar vairākiem tūkstošiem notiesāto personu un aptuveni 35% šo personu likumpārkāpumu izdarīšana ir tieši saistīta ar dažāda veida atkarībām, tai skaitā no azartspēlēm. Probācijas klientu aktīvas atkarību problēmas būtiski ierobežo probācijas speciālistu sekmīgumu individuālo terapeitisko un citu intervenču īstenošanā. </w:t>
            </w:r>
            <w:r w:rsidRPr="00DE1A22">
              <w:rPr>
                <w:rFonts w:eastAsia="Times New Roman"/>
                <w:sz w:val="24"/>
                <w:szCs w:val="24"/>
              </w:rPr>
              <w:lastRenderedPageBreak/>
              <w:t>Līdz ar šo pamatnostādņu ieviešanu praksē, tiks attīstīti jauni resursi, kuri Valsts probācijas dienestam būs pieejami darbam ar probācijas klientiem sabiedrībā, piemēram, ambulatorās terapijas aktivitātes, kā arī, pateicoties azartspēļu pieejamības ierobežošanai, tiks radīti labāki priekšnosacījumi likumpārkāpumus izdarījušo personu resocializācijai, viņu spējām strādāt un rūpēties ne tikai par sevi, bet arī savu ģimeni un citiem cilvēkiem.</w:t>
            </w:r>
          </w:p>
          <w:p w:rsidR="005B04CB" w:rsidRPr="00DE1A22" w:rsidRDefault="005B04CB" w:rsidP="005B04CB">
            <w:pPr>
              <w:contextualSpacing/>
              <w:jc w:val="both"/>
              <w:rPr>
                <w:rFonts w:eastAsia="Times New Roman"/>
                <w:b/>
                <w:sz w:val="24"/>
                <w:szCs w:val="24"/>
                <w:lang w:eastAsia="lv-LV"/>
              </w:rPr>
            </w:pPr>
            <w:r w:rsidRPr="00DE1A22">
              <w:rPr>
                <w:rFonts w:eastAsia="Times New Roman"/>
                <w:sz w:val="24"/>
                <w:szCs w:val="24"/>
              </w:rPr>
              <w:t>Ievērojot minēto, lūdzam projektā iekļaut mācības vismaz daļai probācijas speciālistu, lai pilnveidotu profesionālās zināšanas un iemaņas attiecībā uz palīdzības sniegšanu izložu un azartspēļu spēlētājiem, tai skaitā personām, kurām raksturīga patoloģiska tieksme uz azartspēļu spēlēšanu, līdzīgi kā klīniskajiem un veselības psihologiem, vai citas mācības par šo tematiku, kas būtu īpaši pielāgotas probācijas darba specifikai (piemēram, par azartspēļu atkarības veidošanās mehānismu, iespējamiem riskiem, sekām, valstī pieejamajiem resursiem un rīkiem šīs problēmas mazināšanai, procedūru, kā šos resursus un rīkus iespējams piesaistīt probācijas darbā ar procesu atkarīgām personām u.tml.).</w:t>
            </w:r>
          </w:p>
        </w:tc>
        <w:tc>
          <w:tcPr>
            <w:tcW w:w="3118" w:type="dxa"/>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5B04CB" w:rsidRPr="00DE1A22" w:rsidRDefault="005B04CB" w:rsidP="00704EE2">
            <w:pPr>
              <w:jc w:val="both"/>
              <w:rPr>
                <w:rFonts w:eastAsia="Times New Roman"/>
                <w:b/>
                <w:bCs/>
                <w:sz w:val="24"/>
                <w:szCs w:val="24"/>
                <w:lang w:eastAsia="lv-LV"/>
              </w:rPr>
            </w:pPr>
          </w:p>
        </w:tc>
        <w:tc>
          <w:tcPr>
            <w:tcW w:w="3402" w:type="dxa"/>
          </w:tcPr>
          <w:p w:rsidR="005B04CB" w:rsidRPr="00DE1A22" w:rsidRDefault="00173AED" w:rsidP="005B04CB">
            <w:pPr>
              <w:spacing w:before="100" w:beforeAutospacing="1" w:after="100" w:afterAutospacing="1"/>
              <w:jc w:val="both"/>
              <w:rPr>
                <w:rFonts w:eastAsia="Times New Roman"/>
                <w:sz w:val="24"/>
                <w:szCs w:val="24"/>
                <w:lang w:eastAsia="lv-LV"/>
              </w:rPr>
            </w:pPr>
            <w:r w:rsidRPr="00DE1A22">
              <w:rPr>
                <w:rFonts w:eastAsia="Times New Roman"/>
                <w:bCs/>
                <w:sz w:val="24"/>
                <w:szCs w:val="24"/>
                <w:lang w:eastAsia="lv-LV"/>
              </w:rPr>
              <w:t xml:space="preserve">Vēršam uzmanību, ka jau šobrīd psihologi ir apmācīti un strādā ar personām, kurām ir dažādu atkarību problēmas, t.sk., arī no pārmērīgas tieksmes spēlēt azartspēles un izlozes . Līdz ar to projektā īpaši paredzēt apmācības kursu probācijas dienestā strādājošajam personālam, kas paredz identificēt un rast risinājumu no izlozēm un azartspēlēm atkarību, šobrīd nav paredzēts, un skatāms </w:t>
            </w:r>
            <w:r w:rsidRPr="00DE1A22">
              <w:rPr>
                <w:rFonts w:eastAsia="Times New Roman"/>
                <w:bCs/>
                <w:sz w:val="24"/>
                <w:szCs w:val="24"/>
                <w:lang w:eastAsia="lv-LV"/>
              </w:rPr>
              <w:lastRenderedPageBreak/>
              <w:t>plašāk, izvērtējot probācijas dienesta funkcijas un iespējams nākotnē paplašinot dienesta personālu ar atbilstošas izglītības psihologiem.</w:t>
            </w:r>
          </w:p>
        </w:tc>
      </w:tr>
      <w:tr w:rsidR="005B04CB" w:rsidRPr="00DE1A22" w:rsidTr="00BF4AE7">
        <w:tc>
          <w:tcPr>
            <w:tcW w:w="846" w:type="dxa"/>
            <w:gridSpan w:val="2"/>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32</w:t>
            </w:r>
            <w:r w:rsidR="005B04CB" w:rsidRPr="00DE1A22">
              <w:rPr>
                <w:rFonts w:eastAsia="Times New Roman"/>
                <w:sz w:val="24"/>
                <w:szCs w:val="24"/>
                <w:lang w:eastAsia="lv-LV"/>
              </w:rPr>
              <w:t>.</w:t>
            </w:r>
          </w:p>
        </w:tc>
        <w:tc>
          <w:tcPr>
            <w:tcW w:w="2977" w:type="dxa"/>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Tieslietu ministrija (18.03.2019. Nr.1-9.1/295)</w:t>
            </w:r>
          </w:p>
          <w:p w:rsidR="005B04CB" w:rsidRPr="00DE1A22" w:rsidRDefault="005B04CB" w:rsidP="005B04CB">
            <w:pPr>
              <w:ind w:right="-2"/>
              <w:jc w:val="both"/>
              <w:rPr>
                <w:sz w:val="23"/>
                <w:szCs w:val="23"/>
              </w:rPr>
            </w:pPr>
            <w:r w:rsidRPr="00DE1A22">
              <w:rPr>
                <w:sz w:val="23"/>
                <w:szCs w:val="23"/>
              </w:rPr>
              <w:t xml:space="preserve">Ņemot vērā </w:t>
            </w:r>
            <w:r w:rsidRPr="00DE1A22">
              <w:rPr>
                <w:rFonts w:eastAsia="Times New Roman"/>
                <w:sz w:val="23"/>
                <w:szCs w:val="23"/>
                <w:lang w:eastAsia="lv-LV"/>
              </w:rPr>
              <w:t xml:space="preserve">Latvijas pilsoņu kolektīvajā iesniegumā pausto gribu azartspēļu zāļu pieejamības ierobežošanai Latvijā, Tieslietu ministrijas ieskatā ir būtiski turpmāko valsts politiku attīstīt tā, lai tā atbilstu sabiedrības interesēm un tās aizsargātu. </w:t>
            </w:r>
            <w:r w:rsidRPr="00DE1A22">
              <w:rPr>
                <w:sz w:val="23"/>
                <w:szCs w:val="23"/>
              </w:rPr>
              <w:t xml:space="preserve">Pamatnostādņu </w:t>
            </w:r>
            <w:r w:rsidRPr="00DE1A22">
              <w:rPr>
                <w:sz w:val="23"/>
                <w:szCs w:val="23"/>
              </w:rPr>
              <w:lastRenderedPageBreak/>
              <w:t xml:space="preserve">projekta 2. punktā noteikts azartspēļu un izložu politikas pamatnostādņu izstrādes mērķis, kas paredz </w:t>
            </w:r>
            <w:r w:rsidRPr="00DE1A22">
              <w:rPr>
                <w:i/>
                <w:sz w:val="23"/>
                <w:szCs w:val="23"/>
                <w:u w:val="single"/>
              </w:rPr>
              <w:t>veicināt</w:t>
            </w:r>
            <w:r w:rsidRPr="00DE1A22">
              <w:rPr>
                <w:i/>
                <w:sz w:val="23"/>
                <w:szCs w:val="23"/>
              </w:rPr>
              <w:t xml:space="preserve"> uz ilgtermiņa attīstību orientētu, caurskatāmu, godīgu, legālu </w:t>
            </w:r>
            <w:r w:rsidRPr="00DE1A22">
              <w:rPr>
                <w:i/>
                <w:sz w:val="23"/>
                <w:szCs w:val="23"/>
                <w:u w:val="single"/>
              </w:rPr>
              <w:t>azartspēļu organizēšanu Latvijā</w:t>
            </w:r>
            <w:r w:rsidRPr="00DE1A22">
              <w:rPr>
                <w:i/>
                <w:sz w:val="23"/>
                <w:szCs w:val="23"/>
              </w:rPr>
              <w:t>, vienlaikus nodrošinot sabiedrības interešu, sabiedrības veselības un personas/spēlētāja tiesību aizsardzību un labklājību, tādējādi nodrošinot kvalitatīvus izklaides pasākumus sociāli atbildīgā un atkarības riskus neradošā veidā un mazinot nozares izraisītās sekas</w:t>
            </w:r>
            <w:r w:rsidRPr="00DE1A22">
              <w:rPr>
                <w:sz w:val="23"/>
                <w:szCs w:val="23"/>
              </w:rPr>
              <w:t xml:space="preserve">. No tā izriet, ka pašlaik azartspēļu un izložu politikas mērķis ir vērsts uz azartspēļu organizēšanas, proti, uzņēmējdarbības attīstību, savukārt sabiedrības intereses ir tikai sekundārs mērķis. Lūdzam pārskatīt pamatnostādņu projektu un kā galveno politikas mērķi izvirzīt </w:t>
            </w:r>
            <w:r w:rsidRPr="00DE1A22">
              <w:rPr>
                <w:sz w:val="23"/>
                <w:szCs w:val="23"/>
                <w:u w:val="single"/>
              </w:rPr>
              <w:t>azartspēļu un izložu kaitīgās ietekmes uz sabiedrību mazināšanu</w:t>
            </w:r>
            <w:r w:rsidRPr="00DE1A22">
              <w:rPr>
                <w:sz w:val="23"/>
                <w:szCs w:val="23"/>
              </w:rPr>
              <w:t>.</w:t>
            </w:r>
          </w:p>
          <w:p w:rsidR="005B04CB" w:rsidRPr="00DE1A22" w:rsidRDefault="005B04CB" w:rsidP="005B04CB">
            <w:pPr>
              <w:jc w:val="both"/>
              <w:rPr>
                <w:rFonts w:eastAsia="Times New Roman"/>
                <w:sz w:val="23"/>
                <w:szCs w:val="23"/>
                <w:lang w:eastAsia="lv-LV"/>
              </w:rPr>
            </w:pPr>
            <w:r w:rsidRPr="00DE1A22">
              <w:rPr>
                <w:sz w:val="23"/>
                <w:szCs w:val="23"/>
              </w:rPr>
              <w:t>Lūdzam pārskatīt iespējamos rīcības virzienus un uzdevumus, balstoties uz mērķi mazināt izložu un azartspēļu kaitīgo ietekmi uz sabiedrību.</w:t>
            </w:r>
            <w:r w:rsidRPr="00DE1A22">
              <w:rPr>
                <w:rFonts w:eastAsia="Times New Roman"/>
                <w:sz w:val="23"/>
                <w:szCs w:val="23"/>
                <w:lang w:eastAsia="lv-LV"/>
              </w:rPr>
              <w:t xml:space="preserve"> Vēršam uzmanību, ka pamatnostādņu projektā par atbilstošāko atzīts 2. risinājuma variants, kas paredz divpakāpju sistēmas nostiprināšanu lēmumu pieņemšanā par azartspēļu vietu organizēšanu, proti, </w:t>
            </w:r>
            <w:r w:rsidRPr="00DE1A22">
              <w:rPr>
                <w:rFonts w:eastAsia="Times New Roman"/>
                <w:i/>
                <w:sz w:val="23"/>
                <w:szCs w:val="23"/>
                <w:lang w:eastAsia="lv-LV"/>
              </w:rPr>
              <w:t xml:space="preserve">risinājums paredz </w:t>
            </w:r>
            <w:r w:rsidRPr="00DE1A22">
              <w:rPr>
                <w:rFonts w:eastAsia="Times New Roman"/>
                <w:i/>
                <w:sz w:val="23"/>
                <w:szCs w:val="23"/>
                <w:u w:val="single"/>
                <w:lang w:eastAsia="lv-LV"/>
              </w:rPr>
              <w:t>likuma līmenī noteikt skaidrus kritērijus, pēc kuriem pašvaldībām ir jāvadās, pieņemot lēmumu par konkrētu azartspēļu organizēšanas vietu</w:t>
            </w:r>
            <w:r w:rsidRPr="00DE1A22">
              <w:rPr>
                <w:rFonts w:eastAsia="Times New Roman"/>
                <w:i/>
                <w:sz w:val="23"/>
                <w:szCs w:val="23"/>
                <w:lang w:eastAsia="lv-LV"/>
              </w:rPr>
              <w:t xml:space="preserve">. Pasākums ir īstenojams, nosakot likuma līmenī konkrētus kritērijus, atbilstoši kuriem pašvaldība teritoriālajā plānojumā nosaka teritorijas, kurās azartspēles ir atļautas, tai skaitā: 1) koncentrējot azartspēļu aktivitātes uzņēmējdarbību ekonomiski un sociāli </w:t>
            </w:r>
            <w:r w:rsidRPr="00DE1A22">
              <w:rPr>
                <w:rFonts w:eastAsia="Times New Roman"/>
                <w:i/>
                <w:sz w:val="23"/>
                <w:szCs w:val="23"/>
                <w:lang w:eastAsia="lv-LV"/>
              </w:rPr>
              <w:lastRenderedPageBreak/>
              <w:t xml:space="preserve">visaktīvākajā pilsētas teritorijā (ieviešot principu </w:t>
            </w:r>
            <w:r w:rsidRPr="00DE1A22">
              <w:rPr>
                <w:rFonts w:eastAsia="Times New Roman"/>
                <w:i/>
                <w:sz w:val="23"/>
                <w:szCs w:val="23"/>
              </w:rPr>
              <w:t>"</w:t>
            </w:r>
            <w:r w:rsidRPr="00DE1A22">
              <w:rPr>
                <w:rFonts w:eastAsia="Times New Roman"/>
                <w:i/>
                <w:sz w:val="23"/>
                <w:szCs w:val="23"/>
                <w:lang w:eastAsia="lv-LV"/>
              </w:rPr>
              <w:t>azartspēle iet prom ar tūristu</w:t>
            </w:r>
            <w:r w:rsidRPr="00DE1A22">
              <w:rPr>
                <w:rFonts w:eastAsia="Times New Roman"/>
                <w:i/>
                <w:sz w:val="23"/>
                <w:szCs w:val="23"/>
              </w:rPr>
              <w:t>"</w:t>
            </w:r>
            <w:r w:rsidRPr="00DE1A22">
              <w:rPr>
                <w:rFonts w:eastAsia="Times New Roman"/>
                <w:i/>
                <w:sz w:val="23"/>
                <w:szCs w:val="23"/>
                <w:lang w:eastAsia="lv-LV"/>
              </w:rPr>
              <w:t>); 2) mazinot ietekmi uz kultūrvēsturisko mantojumu (nosakot citas prasības azartspēļu organizēšanas vietu vizuālajam noformējumam); 3) atļaujot azartspēļu organizēšanu teritorijās, kuras ir efektīvi kontrolējamas no sabiedriskās kārtības nodrošināšanas viedokļa. Kā papildu elementu pašvaldībām, kurās azartspēles izmanto lielākoties pašvaldību iedzīvotāji un koncentrēšanās uz tūristiem nav izteikta, paredzēt tiesības azartspēļu vietu skaita noteikšanai proporcionāli iedzīvotāju skaitam noteiktajā pašvaldībā</w:t>
            </w:r>
            <w:r w:rsidRPr="00DE1A22">
              <w:rPr>
                <w:rFonts w:eastAsia="Times New Roman"/>
                <w:sz w:val="23"/>
                <w:szCs w:val="23"/>
                <w:lang w:eastAsia="lv-LV"/>
              </w:rPr>
              <w:t>. Piedāvātais risinājums ietver vairākus elementus, kas būtu detalizētāk jāizvērtē pamatnostādņu projektā, aplūkojot tos tieši no sabiedrības aizsardzības puses.</w:t>
            </w:r>
          </w:p>
          <w:p w:rsidR="005B04CB" w:rsidRPr="00DE1A22" w:rsidRDefault="005B04CB" w:rsidP="005B04CB">
            <w:pPr>
              <w:jc w:val="both"/>
              <w:rPr>
                <w:rFonts w:eastAsia="Times New Roman"/>
                <w:sz w:val="23"/>
                <w:szCs w:val="23"/>
                <w:lang w:eastAsia="lv-LV"/>
              </w:rPr>
            </w:pPr>
            <w:r w:rsidRPr="00DE1A22">
              <w:rPr>
                <w:sz w:val="23"/>
                <w:szCs w:val="23"/>
              </w:rPr>
              <w:t xml:space="preserve">Vienlaikus lūdzam ne vien ierobežot turpmāku azartspēļu organizēšanas vietu izplatību, bet arī izvērtēt iespējas ierobežot esošo spēļu zāļu skaitu. Šobrīd azartspēļu organizēšanas vietas ir plaši izplatītas un viegli pieejamas ikvienam, kas rada draudus iesaistīt azartspēlēs ne vien personas, kurām jau ir problēmas ar azartspēļu atkarību, bet arī citas personas, tostarp jauniešus, kas neapzinās azartspēļu kaitīgo ietekmi. Lai arī nepilngadīgas personas netiek ielaistas azartspēļu organizēšanas vietās, brīvi pieejamās azartspēļu organizēšanas vietas var radīt maldīgu priekšstatu, ka azartspēļu organizēšanas vietas ir tikai populāras izklaides vietas, kas nerada nekādu kaitīgu ietekmi. </w:t>
            </w:r>
          </w:p>
          <w:p w:rsidR="005B04CB" w:rsidRPr="00DE1A22" w:rsidRDefault="005B04CB" w:rsidP="005B04CB">
            <w:pPr>
              <w:ind w:right="-2"/>
              <w:jc w:val="both"/>
              <w:rPr>
                <w:rFonts w:eastAsia="Times New Roman"/>
                <w:sz w:val="23"/>
                <w:szCs w:val="23"/>
                <w:lang w:eastAsia="lv-LV"/>
              </w:rPr>
            </w:pPr>
            <w:r w:rsidRPr="00DE1A22">
              <w:rPr>
                <w:sz w:val="23"/>
                <w:szCs w:val="23"/>
              </w:rPr>
              <w:lastRenderedPageBreak/>
              <w:t xml:space="preserve">Ierobežojot </w:t>
            </w:r>
            <w:r w:rsidRPr="00DE1A22">
              <w:rPr>
                <w:rFonts w:eastAsia="Times New Roman"/>
                <w:sz w:val="23"/>
                <w:szCs w:val="23"/>
                <w:lang w:eastAsia="lv-LV"/>
              </w:rPr>
              <w:t>“zemes” azartspēļu organizēšanas vietas, pastāv risks, ka azartspēļu organizētāji savu darbību pārorientēs uz interaktīvajām azartspēlēm, tomēr lūdzam nošķirti izvērtēt “zemes” azartspēļu un interaktīvo azartspēļu kaitīgo ietekmi uz sabiedrību. Vēršam uzmanību, ka “zemes” azartspēļu organizēšanas vietās nereti tiek izveidoti tādi apstākļi, kas apgrūtina iespēju orientēties laikā, ko persona ir pavadījusi spēļu zālē, turklāt spēļu zālēs ir pieejami alkoholiskie dzērieni, kuru ietekmē persona azartspēlēs var iztērēt ievērojami vairāk naudas līdzekļu, nekā atrodoties savās mājās pie datora. Lai panāktu efektīvāko azartspēļu organizēšanas vietu ierobežošanas un privātpersonu tiesību aizsardzības risinājumu, ir jāizvērtē katra ierobežojuma tiesiskums un samērīgums.</w:t>
            </w:r>
          </w:p>
          <w:p w:rsidR="005B04CB" w:rsidRPr="00DE1A22" w:rsidRDefault="005B04CB" w:rsidP="000C2873">
            <w:pPr>
              <w:contextualSpacing/>
              <w:jc w:val="both"/>
              <w:rPr>
                <w:rFonts w:eastAsia="Times New Roman"/>
                <w:b/>
                <w:sz w:val="24"/>
                <w:szCs w:val="24"/>
                <w:lang w:eastAsia="lv-LV"/>
              </w:rPr>
            </w:pPr>
            <w:r w:rsidRPr="00DE1A22">
              <w:rPr>
                <w:rFonts w:eastAsia="Times New Roman"/>
                <w:sz w:val="23"/>
                <w:szCs w:val="23"/>
                <w:lang w:eastAsia="lv-LV"/>
              </w:rPr>
              <w:t xml:space="preserve">Papildus vēršam uzmanību, ka šobrīd Azartspēļu un izložu likuma 41. panta otrā daļa paredz, ka azartspēles nav atļauts organizēt likumā skaidri noteiktās vietās. Vienlaikus Azartspēļu un izložu likuma 42. panta trešā daļa nosaka, ja azartspēles paredzēts rīkot vietā, uz kuru nav attiecināmi šā likuma </w:t>
            </w:r>
            <w:hyperlink r:id="rId9" w:anchor="p41" w:history="1">
              <w:r w:rsidRPr="00DE1A22">
                <w:rPr>
                  <w:rFonts w:eastAsia="Times New Roman"/>
                  <w:sz w:val="23"/>
                  <w:szCs w:val="23"/>
                  <w:lang w:eastAsia="lv-LV"/>
                </w:rPr>
                <w:t>41.panta</w:t>
              </w:r>
            </w:hyperlink>
            <w:r w:rsidRPr="00DE1A22">
              <w:rPr>
                <w:rFonts w:eastAsia="Times New Roman"/>
                <w:sz w:val="23"/>
                <w:szCs w:val="23"/>
                <w:lang w:eastAsia="lv-LV"/>
              </w:rPr>
              <w:t xml:space="preserve"> otrajā daļā noteiktie ierobežojumi, par atļauju organizēt azartspēles katrā konkrētajā gadījumā lemj pašvaldības dome, izvērtējot to, vai azartspēļu organizēšana konkrētajā vietā nerada būtisku valsts un attiecīgās administratīvās teritorijas iedzīvotāju interešu aizskārumu. Tieslietu ministrija ieskatā valsts var noteikt ierobežojumus organizēt azartspēles konkrētās vietās, kā tas ir paredzēts arī šī brīža regulējumā, tomēr katrs ierobežojums ir </w:t>
            </w:r>
            <w:r w:rsidRPr="00DE1A22">
              <w:rPr>
                <w:rFonts w:eastAsia="Times New Roman"/>
                <w:sz w:val="23"/>
                <w:szCs w:val="23"/>
                <w:lang w:eastAsia="lv-LV"/>
              </w:rPr>
              <w:lastRenderedPageBreak/>
              <w:t>jāizvērtē individuāli un tam jāizriet no konkrētiem kritērijiem.</w:t>
            </w:r>
          </w:p>
        </w:tc>
        <w:tc>
          <w:tcPr>
            <w:tcW w:w="3118" w:type="dxa"/>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5B04CB" w:rsidRPr="00DE1A22" w:rsidRDefault="005B04CB" w:rsidP="005B04CB">
            <w:pPr>
              <w:jc w:val="both"/>
              <w:rPr>
                <w:rFonts w:eastAsia="Times New Roman"/>
                <w:b/>
                <w:bCs/>
                <w:sz w:val="24"/>
                <w:szCs w:val="24"/>
                <w:lang w:eastAsia="lv-LV"/>
              </w:rPr>
            </w:pPr>
          </w:p>
        </w:tc>
        <w:tc>
          <w:tcPr>
            <w:tcW w:w="3402" w:type="dxa"/>
          </w:tcPr>
          <w:p w:rsidR="005B04CB" w:rsidRPr="00DE1A22" w:rsidRDefault="00173AED" w:rsidP="005B04CB">
            <w:pPr>
              <w:contextualSpacing/>
              <w:jc w:val="both"/>
              <w:rPr>
                <w:rFonts w:eastAsia="Times New Roman"/>
                <w:sz w:val="24"/>
                <w:szCs w:val="24"/>
                <w:lang w:eastAsia="lv-LV"/>
              </w:rPr>
            </w:pPr>
            <w:r w:rsidRPr="00DE1A22">
              <w:rPr>
                <w:rFonts w:eastAsia="Times New Roman"/>
                <w:bCs/>
                <w:sz w:val="24"/>
                <w:szCs w:val="24"/>
                <w:lang w:eastAsia="lv-LV"/>
              </w:rPr>
              <w:t>Projekta 4.sadaļas “Azartspēļu un izložu pieejamība, darbības vietas un to regulēšana”, “Labās prakses piemēri Fiziskās piekļuves ierobežošanā azartspēļu zālēm” 1. un 2. risinājums.</w:t>
            </w:r>
          </w:p>
        </w:tc>
      </w:tr>
      <w:tr w:rsidR="005B04CB" w:rsidRPr="00DE1A22" w:rsidTr="00BF4AE7">
        <w:tc>
          <w:tcPr>
            <w:tcW w:w="846" w:type="dxa"/>
            <w:gridSpan w:val="2"/>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33</w:t>
            </w:r>
            <w:r w:rsidR="005B04CB" w:rsidRPr="00DE1A22">
              <w:rPr>
                <w:rFonts w:eastAsia="Times New Roman"/>
                <w:sz w:val="24"/>
                <w:szCs w:val="24"/>
                <w:lang w:eastAsia="lv-LV"/>
              </w:rPr>
              <w:t>.</w:t>
            </w:r>
          </w:p>
        </w:tc>
        <w:tc>
          <w:tcPr>
            <w:tcW w:w="2977" w:type="dxa"/>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Biedrība “Latvijas Spēļu biznesa asociācija” (30.01.2019. Nr.2/19)</w:t>
            </w:r>
          </w:p>
          <w:p w:rsidR="005B04CB" w:rsidRPr="00DE1A22" w:rsidRDefault="005B04CB" w:rsidP="000C2873">
            <w:pPr>
              <w:contextualSpacing/>
              <w:jc w:val="both"/>
              <w:rPr>
                <w:rFonts w:eastAsia="Times New Roman"/>
                <w:b/>
                <w:sz w:val="24"/>
                <w:szCs w:val="24"/>
                <w:lang w:eastAsia="lv-LV"/>
              </w:rPr>
            </w:pPr>
            <w:r w:rsidRPr="00DE1A22">
              <w:rPr>
                <w:rFonts w:eastAsia="Times New Roman"/>
                <w:sz w:val="24"/>
                <w:szCs w:val="24"/>
                <w:lang w:eastAsia="lv-LV"/>
              </w:rPr>
              <w:t>LSBA izvērtējot piedāvātos politikas rezultātus un potenciālās darbības, norāda, ka jebkurām darbībām ir jābūt secīgām ar skaidru rezultātu, vienlaikus ievērojot pamatnostādņu mērķi – “Azartspēļu un izložu politikas pamatnostādņu izstrādes mērķis ir veicināt uz ilgtermiņa attīstību orientētu, caurskatāmu, godīgu, legālu azartspēļu un izložu organizēšanu Latvijā…” Uzliekot dažādus pienākumus nozares uzņēmumiem politikas veidotājam ir jāspēj nodrošināt balanss starp dažādiem nozares ierobežojumiem. LSBA ieskatā pamatnostādņu saturs un kopsavilkums neievieš skaidrību par viena vai otra risinājuma efektivitāti un samērību, līdz ar to LSBA aicina vienoties par skaidru grafiku un uzdevumiem, kuri būtu prioritāri vērtējami.</w:t>
            </w:r>
          </w:p>
        </w:tc>
        <w:tc>
          <w:tcPr>
            <w:tcW w:w="3118" w:type="dxa"/>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rsidR="005B04CB" w:rsidRPr="00DE1A22" w:rsidRDefault="005B04CB" w:rsidP="005B04CB">
            <w:pPr>
              <w:jc w:val="both"/>
              <w:rPr>
                <w:rFonts w:eastAsia="Times New Roman"/>
                <w:b/>
                <w:bCs/>
                <w:sz w:val="24"/>
                <w:szCs w:val="24"/>
                <w:lang w:eastAsia="lv-LV"/>
              </w:rPr>
            </w:pPr>
          </w:p>
        </w:tc>
        <w:tc>
          <w:tcPr>
            <w:tcW w:w="3402" w:type="dxa"/>
            <w:shd w:val="clear" w:color="auto" w:fill="auto"/>
          </w:tcPr>
          <w:p w:rsidR="005B04CB" w:rsidRPr="00DE1A22" w:rsidRDefault="00173AED" w:rsidP="005B04CB">
            <w:pPr>
              <w:contextualSpacing/>
              <w:jc w:val="both"/>
              <w:rPr>
                <w:rFonts w:eastAsia="Times New Roman"/>
                <w:sz w:val="24"/>
                <w:szCs w:val="24"/>
                <w:lang w:eastAsia="lv-LV"/>
              </w:rPr>
            </w:pPr>
            <w:r w:rsidRPr="00DE1A22">
              <w:rPr>
                <w:rFonts w:eastAsia="Times New Roman"/>
                <w:bCs/>
                <w:sz w:val="24"/>
                <w:szCs w:val="24"/>
                <w:lang w:eastAsia="lv-LV"/>
              </w:rPr>
              <w:t>Izstrādājot projektu, Finanšu ministrija sadarbībā ar citām ministrijā, nevalstiskajām organizācijām un nozares pārstāvjiem izskata priekšlikumus, diskutē par piemērotāko risinājumu un pieņem abpusēji saskaņotu lēmumu, līdz ar to uzskatām, ka projekta izstrādes process un izvirzīto uzdevumu plāns un termiņi ir secīgi un ar skaidru rezultātu.</w:t>
            </w:r>
          </w:p>
        </w:tc>
      </w:tr>
      <w:tr w:rsidR="005B04CB" w:rsidRPr="00DE1A22" w:rsidTr="00BF4AE7">
        <w:tc>
          <w:tcPr>
            <w:tcW w:w="846" w:type="dxa"/>
            <w:gridSpan w:val="2"/>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34.</w:t>
            </w:r>
          </w:p>
        </w:tc>
        <w:tc>
          <w:tcPr>
            <w:tcW w:w="2977" w:type="dxa"/>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Vides aizsardzības un reģionālās attīstības ministrija (15.03.2019. Nr.1-132/2379)</w:t>
            </w:r>
          </w:p>
          <w:p w:rsidR="005B04CB" w:rsidRPr="00DE1A22" w:rsidRDefault="005B04CB" w:rsidP="005B04CB">
            <w:pPr>
              <w:contextualSpacing/>
              <w:jc w:val="both"/>
              <w:rPr>
                <w:rFonts w:eastAsia="Times New Roman"/>
                <w:b/>
                <w:sz w:val="24"/>
                <w:szCs w:val="24"/>
                <w:lang w:eastAsia="lv-LV"/>
              </w:rPr>
            </w:pPr>
            <w:r w:rsidRPr="00DE1A22">
              <w:rPr>
                <w:rFonts w:eastAsia="Times New Roman"/>
                <w:sz w:val="24"/>
                <w:szCs w:val="24"/>
                <w:lang w:eastAsia="lv-LV"/>
              </w:rPr>
              <w:t xml:space="preserve">Ministrija izsaka iebildumu un aicina apsvērt iespēju grozīt tiesisko regulējumu un izveidot tādu modeli, kur azartspēļu zāles atvēršanas iespējamību nosaka konkrēts iedzīvotāju skaits pašvaldībā (minimālais iedzīvotāju skaits uz vienu azartspēļu zāli) kā kritērijs, un lēmumu par zāles atvēršanu līdz ar to neatkarīgi un centralizēti pieņem Izložu un azartspēļu uzraudzības inspekcija, nevis pašvaldība. </w:t>
            </w:r>
            <w:r w:rsidRPr="00DE1A22">
              <w:rPr>
                <w:rFonts w:eastAsia="Times New Roman"/>
                <w:sz w:val="24"/>
                <w:szCs w:val="24"/>
                <w:lang w:eastAsia="lv-LV"/>
              </w:rPr>
              <w:lastRenderedPageBreak/>
              <w:t>Konkrētais iedzīvotājus skaits, kas būtu nosakāms kā kritērijs, pie kura esamības būtu iespējams atvērt spēļu zāli, ir atsevišķi diskutējams jautājums. Šāda prakse mazinātu korupcijas risku iespējamību, kā arī definētu skaidras vadlīnijas uzņēmējdarbībai.</w:t>
            </w:r>
          </w:p>
        </w:tc>
        <w:tc>
          <w:tcPr>
            <w:tcW w:w="3118" w:type="dxa"/>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5B04CB" w:rsidRPr="00DE1A22" w:rsidRDefault="005B04CB" w:rsidP="005B04CB">
            <w:pPr>
              <w:jc w:val="both"/>
              <w:rPr>
                <w:rFonts w:eastAsia="Times New Roman"/>
                <w:b/>
                <w:bCs/>
                <w:sz w:val="24"/>
                <w:szCs w:val="24"/>
                <w:lang w:eastAsia="lv-LV"/>
              </w:rPr>
            </w:pPr>
          </w:p>
        </w:tc>
        <w:tc>
          <w:tcPr>
            <w:tcW w:w="3402" w:type="dxa"/>
            <w:shd w:val="clear" w:color="auto" w:fill="auto"/>
          </w:tcPr>
          <w:p w:rsidR="005B04CB" w:rsidRPr="00DE1A22" w:rsidRDefault="00173AED" w:rsidP="005B04CB">
            <w:pPr>
              <w:contextualSpacing/>
              <w:jc w:val="both"/>
              <w:rPr>
                <w:rFonts w:eastAsia="Times New Roman"/>
                <w:sz w:val="24"/>
                <w:szCs w:val="24"/>
                <w:lang w:eastAsia="lv-LV"/>
              </w:rPr>
            </w:pPr>
            <w:r w:rsidRPr="00DE1A22">
              <w:rPr>
                <w:rFonts w:eastAsia="Times New Roman"/>
                <w:bCs/>
                <w:sz w:val="24"/>
                <w:szCs w:val="24"/>
                <w:lang w:eastAsia="lv-LV"/>
              </w:rPr>
              <w:t xml:space="preserve">Projekts atbilstoši precizēts – 4. sadaļa “Rīcības virzieni un uzdevumi” 3. rīcības virziena “Azartspēļu un izložu pieejamības regulēšana” 1. uzdevums – “Veikt grozījumus Azartspēļu un izložu likuma 41.panta otrajā daļā, paplašinot to vietu uzskaitījumu, kur aizliegts organizēt azartspēles, kā arī izslēgt no Azartspēļu un izložu likuma 42.panta trešo daļu, paredzot lēmuma pieņemšanu </w:t>
            </w:r>
            <w:r w:rsidRPr="00DE1A22">
              <w:rPr>
                <w:rFonts w:eastAsia="Times New Roman"/>
                <w:bCs/>
                <w:sz w:val="24"/>
                <w:szCs w:val="24"/>
                <w:lang w:eastAsia="lv-LV"/>
              </w:rPr>
              <w:lastRenderedPageBreak/>
              <w:t>par azartspēļu organizēšanu tikai valsts līmenī”.</w:t>
            </w:r>
          </w:p>
        </w:tc>
      </w:tr>
      <w:tr w:rsidR="005B04CB" w:rsidRPr="00DE1A22" w:rsidTr="00BF4AE7">
        <w:tc>
          <w:tcPr>
            <w:tcW w:w="846" w:type="dxa"/>
            <w:gridSpan w:val="2"/>
            <w:shd w:val="clear" w:color="auto" w:fill="auto"/>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35.</w:t>
            </w:r>
          </w:p>
        </w:tc>
        <w:tc>
          <w:tcPr>
            <w:tcW w:w="2977" w:type="dxa"/>
            <w:shd w:val="clear" w:color="auto" w:fill="auto"/>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shd w:val="clear" w:color="auto" w:fill="auto"/>
          </w:tcPr>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Pārresoru koordinācijas centrs (24.01.2019. Nr.1.2-7/7)</w:t>
            </w:r>
          </w:p>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1)</w:t>
            </w:r>
            <w:r w:rsidRPr="00DE1A22">
              <w:rPr>
                <w:rFonts w:eastAsia="Times New Roman"/>
                <w:sz w:val="24"/>
                <w:szCs w:val="24"/>
                <w:lang w:eastAsia="lv-LV"/>
              </w:rPr>
              <w:tab/>
              <w:t xml:space="preserve">šobrīd azartspēļu un izložu nozares darbība tiek regulēta atbilstoši Azartspēļu un izložu likumam un citiem, t.sk., Eiropas Savienības, tiesību aktiem. Tādējādi valsts politiku šajā jomā nosaka Saeimā un Ministru kabinetā pieņemtais normatīvais regulējums un ir jābūt pietiekami argumentētam iemeslam un lietderībai papildus normatīvajiem aktiem izstrādāt vēl arī politikas plānošanas dokumentu. Saskaņā ar Ministru kabineta 2014.gada 2.decembra noteikumu Nr.737 “Attīstības plānošanas dokumentu izstrādes un ietekmes izvērtēšanas noteikumi” (turpmāk – Noteikumi Nr.737) 12.punktu pamatnostādnes izstrādā gadījumos, ja nepieciešams mainīt esošo politiku un noteikt jaunus vidēja termiņa politikas attīstības virzienus. Projekts neatbilst šim nosacījumam, jo paredz tikai un vienīgi dažādus operacionāla līmeņa pasākumus – grozījumi normatīvajos aktos, informēšanas/pieredzes apmaiņas pasākumi, apmācības utml.  Līdz ar to, ja Finanšu ministrijas ieskatā ir nepieciešams atsevišķs politikas plānošanas dokuments azartspēļu un izložu jomā, tad PKC uzskata, </w:t>
            </w:r>
            <w:r w:rsidRPr="00DE1A22">
              <w:rPr>
                <w:rFonts w:eastAsia="Times New Roman"/>
                <w:sz w:val="24"/>
                <w:szCs w:val="24"/>
                <w:lang w:eastAsia="lv-LV"/>
              </w:rPr>
              <w:lastRenderedPageBreak/>
              <w:t>ka šis dokuments ir izstrādājams un virzāms kā plāns</w:t>
            </w:r>
            <w:r w:rsidR="00DA00D0" w:rsidRPr="00DE1A22">
              <w:rPr>
                <w:rFonts w:eastAsia="Times New Roman"/>
                <w:sz w:val="24"/>
                <w:szCs w:val="24"/>
                <w:lang w:eastAsia="lv-LV"/>
              </w:rPr>
              <w:t>.</w:t>
            </w:r>
          </w:p>
          <w:p w:rsidR="005B04CB" w:rsidRPr="00DE1A22" w:rsidRDefault="005B04CB" w:rsidP="005B04CB">
            <w:pPr>
              <w:jc w:val="both"/>
              <w:rPr>
                <w:rFonts w:eastAsia="Times New Roman"/>
                <w:b/>
                <w:sz w:val="24"/>
                <w:szCs w:val="24"/>
                <w:lang w:eastAsia="lv-LV"/>
              </w:rPr>
            </w:pPr>
          </w:p>
        </w:tc>
        <w:tc>
          <w:tcPr>
            <w:tcW w:w="3118" w:type="dxa"/>
            <w:shd w:val="clear" w:color="auto" w:fill="auto"/>
          </w:tcPr>
          <w:p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5B04CB" w:rsidRPr="00DE1A22" w:rsidRDefault="005B04CB" w:rsidP="005B04CB">
            <w:pPr>
              <w:spacing w:before="100" w:beforeAutospacing="1" w:after="100" w:afterAutospacing="1"/>
              <w:jc w:val="both"/>
              <w:rPr>
                <w:rFonts w:eastAsia="Times New Roman"/>
                <w:b/>
                <w:sz w:val="24"/>
                <w:szCs w:val="24"/>
                <w:lang w:eastAsia="lv-LV"/>
              </w:rPr>
            </w:pPr>
          </w:p>
        </w:tc>
        <w:tc>
          <w:tcPr>
            <w:tcW w:w="3402" w:type="dxa"/>
            <w:shd w:val="clear" w:color="auto" w:fill="auto"/>
          </w:tcPr>
          <w:p w:rsidR="00173AED" w:rsidRPr="00DE1A22" w:rsidRDefault="00173AED" w:rsidP="00173AED">
            <w:pPr>
              <w:jc w:val="both"/>
              <w:rPr>
                <w:sz w:val="24"/>
                <w:szCs w:val="24"/>
              </w:rPr>
            </w:pPr>
            <w:r w:rsidRPr="00DE1A22">
              <w:rPr>
                <w:sz w:val="24"/>
                <w:szCs w:val="24"/>
              </w:rPr>
              <w:t xml:space="preserve">Projektā iekļautie  rīcības virzieni ir saistīti ar būtiskām izmaiņām azartspēļu un izložu jomas politikas attīstības virzieniem, sasaistoties ar veselības politikas, sabiedrības izglītības politikas, reģionālās politikas, digitālās politikas e-vides drošības kontekstā un azartspēļu un izložu nozares mazo un vidējo uzņēmumu attīstības politikas virzieniem.  </w:t>
            </w:r>
          </w:p>
          <w:p w:rsidR="00173AED" w:rsidRPr="00DE1A22" w:rsidRDefault="00173AED" w:rsidP="00173AED">
            <w:pPr>
              <w:jc w:val="both"/>
              <w:rPr>
                <w:sz w:val="24"/>
                <w:szCs w:val="24"/>
              </w:rPr>
            </w:pPr>
            <w:r w:rsidRPr="00DE1A22">
              <w:rPr>
                <w:sz w:val="24"/>
                <w:szCs w:val="24"/>
              </w:rPr>
              <w:t xml:space="preserve">Projekts ir cieša sasaiste ar Nacionālā attīstības plāna 2014 – 2020.gadam rīcības virzienu “Vesels un darbspējīgs cilvēks”, kura mērķis, veicināt veselīgu dzīvesveidu, […] mazināt hronisku slimību un ārējo nāves cēloņu riska faktoru izplatību sabiedrībā, sekmējot iedzīvotāju veselības saglabāšanu un uzlabošanu, tiešā veidā sasaucas ar projektā iekļautajiem politikas rīcības virzieniem. Latvijas Nacionālā attīstības plāna projektā 2021. – 2027.gadam kā prioritāte ir izvirzīta “Stipras ģimenes, veseli un aktīvi </w:t>
            </w:r>
            <w:r w:rsidRPr="00DE1A22">
              <w:rPr>
                <w:sz w:val="24"/>
                <w:szCs w:val="24"/>
              </w:rPr>
              <w:lastRenderedPageBreak/>
              <w:t>cilvēki”, paredzot rīcības virziena “Psiholoģiskā un emocionālā labklājība” rīcības mērķi “Psiholoģiskās un emocionālās labklājības veicināšana cilvēku atbalstam krīzes situācijās, individuālā potenciāla attīstībai un deviantas uzvedības veidošanās risku mazināšanai, nostiprinot veselību kā vērtību” īstenot, izvirzot citā starpā kā uzdevumu – pierādījumos balstīti efektīvi un inovatīvi risinājumi atkarību izraisošo vielu un procesu izplatības ierobežošanai, […], uzlabojot sabiedrības kognitīvās spējas un psihisko veselību.</w:t>
            </w:r>
          </w:p>
          <w:p w:rsidR="00173AED" w:rsidRPr="00DE1A22" w:rsidRDefault="00173AED" w:rsidP="00173AED">
            <w:pPr>
              <w:jc w:val="both"/>
              <w:rPr>
                <w:sz w:val="24"/>
                <w:szCs w:val="24"/>
              </w:rPr>
            </w:pPr>
            <w:r w:rsidRPr="00DE1A22">
              <w:rPr>
                <w:sz w:val="24"/>
                <w:szCs w:val="24"/>
              </w:rPr>
              <w:t xml:space="preserve">Projektā, izvērtējot faktisko situāciju Latvijā, paredz ieviest sistēmiski jaunus virzienus atkarības profilaksei, izvirzot stingras prasības azartspēļu organizētājiem ievainojamības līmeņa mazināšanai un kontrolei, problemātisku spēlētāju atbalstam un sabiedrības izglītošanai. Ņemot vērā Veselības ministrijas pētījuma “Pētījums par procesu atkarību (azartspēļu, sociālo mediju, datorspēļu atkarība) izplatību Latvijas iedzīvotāju vidū un to ietekmējošiem riska faktoriem” (Veselības ministrija, Rīga, </w:t>
            </w:r>
            <w:r w:rsidRPr="00DE1A22">
              <w:rPr>
                <w:sz w:val="24"/>
                <w:szCs w:val="24"/>
              </w:rPr>
              <w:lastRenderedPageBreak/>
              <w:t xml:space="preserve">2019.gads) secināto, problemātisko azartspēļu prevelence sabiedrībā ir 6,4%, t.i. Latvijā no azartspēlēm dažādā pakāpē varētu ciest 79 119 personas 15 – 64 gadu vecumā, no tām 16 162 personām problēmas varētu būt smagākajā pakāpē. </w:t>
            </w:r>
          </w:p>
          <w:p w:rsidR="00173AED" w:rsidRPr="00DE1A22" w:rsidRDefault="00173AED" w:rsidP="00173AED">
            <w:pPr>
              <w:jc w:val="both"/>
              <w:rPr>
                <w:sz w:val="24"/>
                <w:szCs w:val="24"/>
              </w:rPr>
            </w:pPr>
            <w:r w:rsidRPr="00DE1A22">
              <w:rPr>
                <w:sz w:val="24"/>
                <w:szCs w:val="24"/>
              </w:rPr>
              <w:t>Tas liecina, ka, lai veicinātu sabiedrības veselību, ir nepieciešamas visaptverošas izmaiņas arī azartspēļu un izložu nozares politikā visos aspektos, kas attiecas gan uz azartspēļu un izložu pieejamību, gan arī azartspēļu atkarības līmeņa profilakses ieviešanu un ievainojamības līmeņa kontroles nodrošināšanu.</w:t>
            </w:r>
          </w:p>
          <w:p w:rsidR="00173AED" w:rsidRPr="00DE1A22" w:rsidRDefault="00173AED" w:rsidP="00173AED">
            <w:pPr>
              <w:jc w:val="both"/>
              <w:rPr>
                <w:sz w:val="24"/>
                <w:szCs w:val="24"/>
              </w:rPr>
            </w:pPr>
            <w:r w:rsidRPr="00DE1A22">
              <w:rPr>
                <w:sz w:val="24"/>
                <w:szCs w:val="24"/>
              </w:rPr>
              <w:t xml:space="preserve">Projektā atbilstoši labākajai starptautiskajai praksei ir piedāvāts jauns modelis lēmumu pieņemšanas sistēmai par azartspēļu organizēšanas vietām, pārskatot valsts iestāžu kompetences, samazinot administratīvo slogu gan uzņēmēju pusē, gan optimizējot valsts pārvaldes darbību. </w:t>
            </w:r>
          </w:p>
          <w:p w:rsidR="005B04CB" w:rsidRPr="00DE1A22" w:rsidRDefault="00173AED" w:rsidP="00173AED">
            <w:pPr>
              <w:contextualSpacing/>
              <w:jc w:val="both"/>
              <w:rPr>
                <w:rFonts w:eastAsia="Times New Roman"/>
                <w:sz w:val="24"/>
                <w:szCs w:val="24"/>
                <w:lang w:eastAsia="lv-LV"/>
              </w:rPr>
            </w:pPr>
            <w:r w:rsidRPr="00DE1A22">
              <w:rPr>
                <w:sz w:val="24"/>
                <w:szCs w:val="24"/>
              </w:rPr>
              <w:t xml:space="preserve">Projekts paredz veikt būtiskas izmaiņas azartspēļu un izložu nozares uzraudzības procesos un modelī, kas ietvers valsts institūciju funkciju pārdali, kā arī patstāvīgu un visaptverošu </w:t>
            </w:r>
            <w:r w:rsidRPr="00DE1A22">
              <w:rPr>
                <w:sz w:val="24"/>
                <w:szCs w:val="24"/>
              </w:rPr>
              <w:lastRenderedPageBreak/>
              <w:t>azartspēļu un izložu nozares attīstības tendenču monitoringu, lai nodrošinātu līdzsvaru starp sabiedrības interesēm un nozares attīstību.</w:t>
            </w:r>
          </w:p>
        </w:tc>
      </w:tr>
      <w:tr w:rsidR="006D6BFD" w:rsidRPr="00DE1A22" w:rsidTr="00BF4AE7">
        <w:tc>
          <w:tcPr>
            <w:tcW w:w="846" w:type="dxa"/>
            <w:gridSpan w:val="2"/>
            <w:shd w:val="clear" w:color="auto" w:fill="auto"/>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36</w:t>
            </w:r>
            <w:r w:rsidR="005B04CB" w:rsidRPr="00DE1A22">
              <w:rPr>
                <w:rFonts w:eastAsia="Times New Roman"/>
                <w:sz w:val="24"/>
                <w:szCs w:val="24"/>
                <w:lang w:eastAsia="lv-LV"/>
              </w:rPr>
              <w:t>.</w:t>
            </w:r>
          </w:p>
        </w:tc>
        <w:tc>
          <w:tcPr>
            <w:tcW w:w="2977" w:type="dxa"/>
            <w:shd w:val="clear" w:color="auto" w:fill="auto"/>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shd w:val="clear" w:color="auto" w:fill="auto"/>
          </w:tcPr>
          <w:p w:rsidR="005B04CB" w:rsidRPr="00DE1A22" w:rsidRDefault="005B04CB" w:rsidP="005B04CB">
            <w:pPr>
              <w:jc w:val="both"/>
              <w:rPr>
                <w:rFonts w:eastAsia="Times New Roman"/>
                <w:b/>
                <w:sz w:val="24"/>
                <w:szCs w:val="24"/>
                <w:lang w:eastAsia="lv-LV"/>
              </w:rPr>
            </w:pPr>
            <w:r w:rsidRPr="00DE1A22">
              <w:rPr>
                <w:rFonts w:eastAsia="Times New Roman"/>
                <w:b/>
                <w:sz w:val="24"/>
                <w:szCs w:val="24"/>
                <w:lang w:eastAsia="lv-LV"/>
              </w:rPr>
              <w:t>Tieslietu ministrija (25.01.2019. Nr.1-9.1/88).</w:t>
            </w:r>
          </w:p>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Lūdzam precizēt projektā lietotos saīsinājumus. Pirmo reizi pieminot attiecīgo institūciju, lietot tās pilno nosaukumu ar norādi turpmāk lietotajam saīsinājumam. Projektā nav atrunāti tādi saīsinājumi, kā FM, VM, LM, IAUI, savukārt saīsinājumi SPKC un RPNC ir lietoti gan projektā, gan projekta pielikumā, bet skaidrojumi atrunāti projekta pielikumā.</w:t>
            </w:r>
          </w:p>
        </w:tc>
        <w:tc>
          <w:tcPr>
            <w:tcW w:w="3118" w:type="dxa"/>
            <w:shd w:val="clear" w:color="auto" w:fill="auto"/>
          </w:tcPr>
          <w:p w:rsidR="005B04CB" w:rsidRPr="00DE1A22" w:rsidRDefault="005B04CB" w:rsidP="006D6BFD">
            <w:pPr>
              <w:jc w:val="center"/>
              <w:rPr>
                <w:rFonts w:eastAsia="Times New Roman"/>
                <w:b/>
                <w:sz w:val="24"/>
                <w:szCs w:val="24"/>
                <w:lang w:eastAsia="lv-LV"/>
              </w:rPr>
            </w:pPr>
            <w:r w:rsidRPr="00DE1A22">
              <w:rPr>
                <w:rFonts w:eastAsia="Times New Roman"/>
                <w:b/>
                <w:sz w:val="24"/>
                <w:szCs w:val="24"/>
                <w:lang w:eastAsia="lv-LV"/>
              </w:rPr>
              <w:t>Ņemts vērā.</w:t>
            </w:r>
          </w:p>
          <w:p w:rsidR="006D6BFD" w:rsidRPr="00DE1A22" w:rsidRDefault="006D6BFD" w:rsidP="006D6BFD">
            <w:pPr>
              <w:jc w:val="both"/>
              <w:rPr>
                <w:rFonts w:eastAsia="Times New Roman"/>
                <w:b/>
                <w:sz w:val="24"/>
                <w:szCs w:val="24"/>
                <w:lang w:eastAsia="lv-LV"/>
              </w:rPr>
            </w:pPr>
          </w:p>
        </w:tc>
        <w:tc>
          <w:tcPr>
            <w:tcW w:w="3402" w:type="dxa"/>
            <w:shd w:val="clear" w:color="auto" w:fill="auto"/>
          </w:tcPr>
          <w:p w:rsidR="005B04CB" w:rsidRPr="00DE1A22" w:rsidRDefault="00173AED" w:rsidP="005B04CB">
            <w:pPr>
              <w:contextualSpacing/>
              <w:jc w:val="both"/>
              <w:rPr>
                <w:rFonts w:eastAsia="Times New Roman"/>
                <w:sz w:val="24"/>
                <w:szCs w:val="24"/>
                <w:lang w:eastAsia="lv-LV"/>
              </w:rPr>
            </w:pPr>
            <w:r w:rsidRPr="00DE1A22">
              <w:rPr>
                <w:rFonts w:eastAsia="Times New Roman"/>
                <w:sz w:val="24"/>
                <w:szCs w:val="24"/>
                <w:lang w:eastAsia="lv-LV"/>
              </w:rPr>
              <w:t>Projekts atbilstoši precizēts.</w:t>
            </w:r>
          </w:p>
        </w:tc>
      </w:tr>
      <w:tr w:rsidR="005B04CB" w:rsidRPr="00DE1A22" w:rsidTr="00BF4AE7">
        <w:tc>
          <w:tcPr>
            <w:tcW w:w="846" w:type="dxa"/>
            <w:gridSpan w:val="2"/>
            <w:shd w:val="clear" w:color="auto" w:fill="auto"/>
          </w:tcPr>
          <w:p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37</w:t>
            </w:r>
            <w:r w:rsidR="005B04CB" w:rsidRPr="00DE1A22">
              <w:rPr>
                <w:rFonts w:eastAsia="Times New Roman"/>
                <w:sz w:val="24"/>
                <w:szCs w:val="24"/>
                <w:lang w:eastAsia="lv-LV"/>
              </w:rPr>
              <w:t>.</w:t>
            </w:r>
          </w:p>
        </w:tc>
        <w:tc>
          <w:tcPr>
            <w:tcW w:w="2977" w:type="dxa"/>
            <w:shd w:val="clear" w:color="auto" w:fill="auto"/>
          </w:tcPr>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shd w:val="clear" w:color="auto" w:fill="auto"/>
          </w:tcPr>
          <w:p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Priekšlikums:</w:t>
            </w:r>
          </w:p>
          <w:p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Vides aizsardzības un reģionālās attīstības ministrija (25.01.2019. Nr.1-22/693)</w:t>
            </w:r>
          </w:p>
          <w:p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Paskaidrot pamatnostādnēs lietoto saīsinājumu SPKC.</w:t>
            </w:r>
          </w:p>
        </w:tc>
        <w:tc>
          <w:tcPr>
            <w:tcW w:w="3118" w:type="dxa"/>
            <w:shd w:val="clear" w:color="auto" w:fill="auto"/>
          </w:tcPr>
          <w:p w:rsidR="006D6BFD" w:rsidRPr="00DE1A22" w:rsidRDefault="005B04CB" w:rsidP="006D6BFD">
            <w:pPr>
              <w:jc w:val="center"/>
              <w:rPr>
                <w:rFonts w:eastAsia="Times New Roman"/>
                <w:b/>
                <w:sz w:val="24"/>
                <w:szCs w:val="24"/>
                <w:lang w:eastAsia="lv-LV"/>
              </w:rPr>
            </w:pPr>
            <w:r w:rsidRPr="00DE1A22">
              <w:rPr>
                <w:rFonts w:eastAsia="Times New Roman"/>
                <w:b/>
                <w:sz w:val="24"/>
                <w:szCs w:val="24"/>
                <w:lang w:eastAsia="lv-LV"/>
              </w:rPr>
              <w:t>Ņemts vērā.</w:t>
            </w:r>
          </w:p>
          <w:p w:rsidR="006D6BFD" w:rsidRPr="00DE1A22" w:rsidRDefault="006D6BFD" w:rsidP="006D6BFD">
            <w:pPr>
              <w:jc w:val="both"/>
              <w:rPr>
                <w:rFonts w:eastAsia="Times New Roman"/>
                <w:sz w:val="24"/>
                <w:szCs w:val="24"/>
                <w:lang w:eastAsia="lv-LV"/>
              </w:rPr>
            </w:pPr>
          </w:p>
        </w:tc>
        <w:tc>
          <w:tcPr>
            <w:tcW w:w="3402" w:type="dxa"/>
            <w:shd w:val="clear" w:color="auto" w:fill="auto"/>
          </w:tcPr>
          <w:p w:rsidR="005B04CB" w:rsidRPr="00DE1A22" w:rsidRDefault="00173AED" w:rsidP="005B04CB">
            <w:pPr>
              <w:contextualSpacing/>
              <w:jc w:val="both"/>
              <w:rPr>
                <w:rFonts w:eastAsia="Times New Roman"/>
                <w:sz w:val="24"/>
                <w:szCs w:val="24"/>
                <w:lang w:eastAsia="lv-LV"/>
              </w:rPr>
            </w:pPr>
            <w:r w:rsidRPr="00DE1A22">
              <w:rPr>
                <w:rFonts w:eastAsia="Times New Roman"/>
                <w:sz w:val="24"/>
                <w:szCs w:val="24"/>
                <w:lang w:eastAsia="lv-LV"/>
              </w:rPr>
              <w:t>Projekts atbilstoši precizēts.</w:t>
            </w:r>
          </w:p>
        </w:tc>
      </w:tr>
      <w:tr w:rsidR="005B04CB" w:rsidRPr="00DE1A22" w:rsidTr="00681F9E">
        <w:tc>
          <w:tcPr>
            <w:tcW w:w="14737" w:type="dxa"/>
            <w:gridSpan w:val="6"/>
            <w:shd w:val="clear" w:color="auto" w:fill="92D050"/>
          </w:tcPr>
          <w:p w:rsidR="005B04CB" w:rsidRPr="00DE1A22" w:rsidRDefault="005B04CB" w:rsidP="005B04CB">
            <w:pPr>
              <w:contextualSpacing/>
              <w:jc w:val="both"/>
              <w:rPr>
                <w:rFonts w:eastAsia="Times New Roman"/>
                <w:sz w:val="24"/>
                <w:szCs w:val="24"/>
                <w:lang w:eastAsia="lv-LV"/>
              </w:rPr>
            </w:pPr>
          </w:p>
          <w:p w:rsidR="005B04CB" w:rsidRPr="00DE1A22" w:rsidRDefault="005B04CB" w:rsidP="005B04CB">
            <w:pPr>
              <w:contextualSpacing/>
              <w:jc w:val="center"/>
              <w:rPr>
                <w:rFonts w:eastAsia="Times New Roman"/>
                <w:b/>
                <w:sz w:val="24"/>
                <w:szCs w:val="24"/>
                <w:lang w:eastAsia="lv-LV"/>
              </w:rPr>
            </w:pPr>
            <w:r w:rsidRPr="00DE1A22">
              <w:rPr>
                <w:rFonts w:eastAsia="Times New Roman"/>
                <w:b/>
                <w:sz w:val="24"/>
                <w:szCs w:val="24"/>
                <w:lang w:eastAsia="lv-LV"/>
              </w:rPr>
              <w:t>Pamatnostādņu pielikums</w:t>
            </w:r>
          </w:p>
          <w:p w:rsidR="005B04CB" w:rsidRPr="00DE1A22" w:rsidRDefault="005B04CB" w:rsidP="005B04CB">
            <w:pPr>
              <w:contextualSpacing/>
              <w:jc w:val="both"/>
              <w:rPr>
                <w:rFonts w:eastAsia="Times New Roman"/>
                <w:sz w:val="24"/>
                <w:szCs w:val="24"/>
                <w:lang w:eastAsia="lv-LV"/>
              </w:rPr>
            </w:pPr>
          </w:p>
        </w:tc>
      </w:tr>
      <w:tr w:rsidR="00F55516" w:rsidRPr="00DE1A22" w:rsidTr="00BF4AE7">
        <w:tc>
          <w:tcPr>
            <w:tcW w:w="846" w:type="dxa"/>
            <w:gridSpan w:val="2"/>
            <w:shd w:val="clear" w:color="auto" w:fill="auto"/>
          </w:tcPr>
          <w:p w:rsidR="00F55516" w:rsidRPr="00DE1A22" w:rsidRDefault="00F55516" w:rsidP="00F55516">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38.</w:t>
            </w:r>
          </w:p>
        </w:tc>
        <w:tc>
          <w:tcPr>
            <w:tcW w:w="2977" w:type="dxa"/>
            <w:shd w:val="clear" w:color="auto" w:fill="auto"/>
          </w:tcPr>
          <w:p w:rsidR="00F55516" w:rsidRPr="00DE1A22" w:rsidRDefault="003D2A2B" w:rsidP="00F55516">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shd w:val="clear" w:color="auto" w:fill="auto"/>
          </w:tcPr>
          <w:p w:rsidR="00F55516" w:rsidRPr="00DE1A22" w:rsidRDefault="00F55516" w:rsidP="00F55516">
            <w:pPr>
              <w:jc w:val="both"/>
              <w:rPr>
                <w:rFonts w:eastAsia="Times New Roman"/>
                <w:b/>
                <w:sz w:val="24"/>
                <w:szCs w:val="24"/>
              </w:rPr>
            </w:pPr>
            <w:r w:rsidRPr="00DE1A22">
              <w:rPr>
                <w:rFonts w:eastAsia="Times New Roman"/>
                <w:b/>
                <w:sz w:val="24"/>
                <w:szCs w:val="24"/>
              </w:rPr>
              <w:t>Latvijas interaktīvo azartspēļu biedrība (25.01.2019. Nr.20190125)</w:t>
            </w:r>
          </w:p>
          <w:p w:rsidR="004C5EE6" w:rsidRPr="00DE1A22" w:rsidRDefault="004C5EE6" w:rsidP="004C5EE6">
            <w:pPr>
              <w:jc w:val="both"/>
              <w:rPr>
                <w:sz w:val="24"/>
                <w:szCs w:val="24"/>
                <w:lang w:eastAsia="lv-LV"/>
              </w:rPr>
            </w:pPr>
            <w:r w:rsidRPr="00DE1A22">
              <w:rPr>
                <w:sz w:val="24"/>
                <w:szCs w:val="24"/>
                <w:u w:val="single"/>
              </w:rPr>
              <w:t>Pirmkārt,</w:t>
            </w:r>
            <w:r w:rsidRPr="00DE1A22">
              <w:rPr>
                <w:sz w:val="24"/>
                <w:szCs w:val="24"/>
              </w:rPr>
              <w:t xml:space="preserve"> </w:t>
            </w:r>
            <w:r w:rsidRPr="00DE1A22">
              <w:rPr>
                <w:sz w:val="24"/>
                <w:szCs w:val="24"/>
                <w:lang w:eastAsia="lv-LV"/>
              </w:rPr>
              <w:t>azartspēļu un izložu politikas pamatnostādņu pielikuma “Esošās situāci</w:t>
            </w:r>
            <w:r w:rsidR="0033183F" w:rsidRPr="00DE1A22">
              <w:rPr>
                <w:sz w:val="24"/>
                <w:szCs w:val="24"/>
                <w:lang w:eastAsia="lv-LV"/>
              </w:rPr>
              <w:t>jas vispārīgs raksturojums” 1. p</w:t>
            </w:r>
            <w:r w:rsidRPr="00DE1A22">
              <w:rPr>
                <w:sz w:val="24"/>
                <w:szCs w:val="24"/>
                <w:lang w:eastAsia="lv-LV"/>
              </w:rPr>
              <w:t>unkts, 4.lpp., kur norādīts:</w:t>
            </w:r>
          </w:p>
          <w:p w:rsidR="004C5EE6" w:rsidRPr="00DE1A22" w:rsidRDefault="004C5EE6" w:rsidP="004C5EE6">
            <w:pPr>
              <w:jc w:val="both"/>
              <w:rPr>
                <w:sz w:val="24"/>
                <w:szCs w:val="24"/>
                <w:lang w:eastAsia="lv-LV"/>
              </w:rPr>
            </w:pPr>
          </w:p>
          <w:p w:rsidR="004C5EE6" w:rsidRPr="00DE1A22" w:rsidRDefault="004C5EE6" w:rsidP="004C5EE6">
            <w:pPr>
              <w:jc w:val="both"/>
              <w:rPr>
                <w:sz w:val="24"/>
                <w:szCs w:val="24"/>
              </w:rPr>
            </w:pPr>
            <w:r w:rsidRPr="00DE1A22">
              <w:rPr>
                <w:sz w:val="24"/>
                <w:szCs w:val="24"/>
              </w:rPr>
              <w:t xml:space="preserve">Ņemot vērā azartspēļu un izložu specifiku, minētās darbības nav tiešā veidā salīdzināmas. Azartspēle ir spēle, kurā </w:t>
            </w:r>
            <w:r w:rsidRPr="00DE1A22">
              <w:rPr>
                <w:sz w:val="24"/>
                <w:szCs w:val="24"/>
              </w:rPr>
              <w:lastRenderedPageBreak/>
              <w:t>laimests pilnīgi vai daļēji ir atkarīgs no veiksmes gadījuma un apstākļiem, kuri iepriekš nav zināmi (programma ģenerē laimestu). Savukārt izloze ir spēle, kurā laimestam pilnīgi vai daļēji ir gadījuma raksturs (laimesti ir jau fiksēti). Līdz ar to normatīvais regulējums AIL attiecībā uz šīm jomām ir atšķirīgs.</w:t>
            </w:r>
          </w:p>
          <w:p w:rsidR="004C5EE6" w:rsidRPr="00DE1A22" w:rsidRDefault="004C5EE6" w:rsidP="004C5EE6">
            <w:pPr>
              <w:jc w:val="both"/>
              <w:rPr>
                <w:rFonts w:eastAsia="Times New Roman"/>
                <w:sz w:val="24"/>
                <w:szCs w:val="24"/>
              </w:rPr>
            </w:pPr>
            <w:r w:rsidRPr="00DE1A22">
              <w:rPr>
                <w:sz w:val="24"/>
                <w:szCs w:val="24"/>
              </w:rPr>
              <w:t xml:space="preserve">LIAB pauž izbrīnu par šāda nošķīruma ietveršanu, jo azartspēļu un izložu pamatnostādņu kontekstā laimesta veidošanās algoritms, proti, vai laimests ir iepriekš fiksēts vai veidojas atkarībā no iepriekš nezināmiem apstākļiem, nav izšķiroši svarīgs. Gan izlozes, gan azartspēles pēc būtības atzīstamas par laimes līgumiem, kad laimesta iegūšanai pilnīgi vai daļēji ir gadījuma (veiksmes) raksturs. Neskatoties uz to, ka Eiropas Savienībā nav atsevišķa un vienota azartspēļu regulējuma, no Eiropas Savienības sekundārajiem tiesību aktiem izriet, </w:t>
            </w:r>
            <w:r w:rsidRPr="00DE1A22">
              <w:rPr>
                <w:sz w:val="24"/>
                <w:szCs w:val="24"/>
                <w:u w:val="single"/>
              </w:rPr>
              <w:t>ka par azartspēlēm ir uzskatāmas arī izlozes, loterijas un derības.</w:t>
            </w:r>
            <w:r w:rsidRPr="00DE1A22">
              <w:rPr>
                <w:rStyle w:val="FootnoteReference"/>
                <w:sz w:val="24"/>
                <w:szCs w:val="24"/>
              </w:rPr>
              <w:footnoteReference w:id="8"/>
            </w:r>
            <w:r w:rsidRPr="00DE1A22">
              <w:rPr>
                <w:sz w:val="24"/>
                <w:szCs w:val="24"/>
              </w:rPr>
              <w:t xml:space="preserve"> Tādējādi pamatnostādnēs veiktais nošķīrums ir atzīstams par nepamatotu, bet iepriekš citētā rindkopa labojama vai svītrojama.</w:t>
            </w:r>
          </w:p>
        </w:tc>
        <w:tc>
          <w:tcPr>
            <w:tcW w:w="3118" w:type="dxa"/>
            <w:shd w:val="clear" w:color="auto" w:fill="auto"/>
          </w:tcPr>
          <w:p w:rsidR="00F55516" w:rsidRPr="00DE1A22" w:rsidRDefault="00824F6A" w:rsidP="00F55516">
            <w:pPr>
              <w:tabs>
                <w:tab w:val="left" w:pos="0"/>
                <w:tab w:val="left" w:pos="709"/>
                <w:tab w:val="left" w:pos="993"/>
              </w:tabs>
              <w:suppressAutoHyphens/>
              <w:jc w:val="center"/>
              <w:outlineLvl w:val="3"/>
              <w:rPr>
                <w:rFonts w:eastAsia="Times New Roman"/>
                <w:b/>
                <w:bCs/>
                <w:sz w:val="24"/>
                <w:szCs w:val="24"/>
                <w:lang w:eastAsia="lv-LV"/>
              </w:rPr>
            </w:pPr>
            <w:r w:rsidRPr="00DE1A22">
              <w:rPr>
                <w:rFonts w:eastAsia="Times New Roman"/>
                <w:b/>
                <w:bCs/>
                <w:sz w:val="24"/>
                <w:szCs w:val="24"/>
                <w:lang w:eastAsia="lv-LV"/>
              </w:rPr>
              <w:lastRenderedPageBreak/>
              <w:t>Daļēji ņemts vērā.</w:t>
            </w:r>
          </w:p>
        </w:tc>
        <w:tc>
          <w:tcPr>
            <w:tcW w:w="3402" w:type="dxa"/>
            <w:shd w:val="clear" w:color="auto" w:fill="auto"/>
          </w:tcPr>
          <w:p w:rsidR="00F55516" w:rsidRPr="00DE1A22" w:rsidRDefault="00576E90" w:rsidP="00F55516">
            <w:pPr>
              <w:jc w:val="both"/>
              <w:rPr>
                <w:rFonts w:eastAsia="Times New Roman"/>
                <w:sz w:val="24"/>
                <w:szCs w:val="24"/>
              </w:rPr>
            </w:pPr>
            <w:r w:rsidRPr="00DE1A22">
              <w:rPr>
                <w:rFonts w:eastAsia="Times New Roman"/>
                <w:sz w:val="24"/>
                <w:szCs w:val="24"/>
              </w:rPr>
              <w:t>Ir būtiski pārskatīts jautājuma konteksts un saturs.</w:t>
            </w:r>
          </w:p>
        </w:tc>
      </w:tr>
      <w:tr w:rsidR="000A3B4B" w:rsidRPr="00DE1A22" w:rsidTr="00BF4AE7">
        <w:tc>
          <w:tcPr>
            <w:tcW w:w="846" w:type="dxa"/>
            <w:gridSpan w:val="2"/>
            <w:shd w:val="clear" w:color="auto" w:fill="auto"/>
          </w:tcPr>
          <w:p w:rsidR="000A3B4B" w:rsidRPr="00DE1A22" w:rsidRDefault="000A3B4B" w:rsidP="000A3B4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39.</w:t>
            </w:r>
          </w:p>
        </w:tc>
        <w:tc>
          <w:tcPr>
            <w:tcW w:w="2977" w:type="dxa"/>
            <w:shd w:val="clear" w:color="auto" w:fill="auto"/>
          </w:tcPr>
          <w:p w:rsidR="000A3B4B" w:rsidRPr="00DE1A22" w:rsidRDefault="000A3B4B" w:rsidP="000A3B4B">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shd w:val="clear" w:color="auto" w:fill="auto"/>
          </w:tcPr>
          <w:p w:rsidR="000A3B4B" w:rsidRPr="00DE1A22" w:rsidRDefault="000A3B4B" w:rsidP="000A3B4B">
            <w:pPr>
              <w:jc w:val="both"/>
              <w:rPr>
                <w:rFonts w:eastAsia="Times New Roman"/>
                <w:b/>
                <w:sz w:val="24"/>
                <w:szCs w:val="24"/>
              </w:rPr>
            </w:pPr>
            <w:r w:rsidRPr="00DE1A22">
              <w:rPr>
                <w:rFonts w:eastAsia="Times New Roman"/>
                <w:b/>
                <w:sz w:val="24"/>
                <w:szCs w:val="24"/>
              </w:rPr>
              <w:t>Latvijas interaktīvo azartspēļu biedrība (25.01.2019. Nr.20190125)</w:t>
            </w:r>
          </w:p>
          <w:p w:rsidR="000A3B4B" w:rsidRPr="00DE1A22" w:rsidRDefault="000A3B4B" w:rsidP="000A3B4B">
            <w:pPr>
              <w:ind w:right="42"/>
              <w:jc w:val="both"/>
              <w:rPr>
                <w:sz w:val="24"/>
                <w:szCs w:val="24"/>
              </w:rPr>
            </w:pPr>
            <w:r w:rsidRPr="00DE1A22">
              <w:rPr>
                <w:sz w:val="24"/>
                <w:szCs w:val="24"/>
                <w:lang w:eastAsia="lv-LV"/>
              </w:rPr>
              <w:lastRenderedPageBreak/>
              <w:t xml:space="preserve">Azartspēļu un izložu politikas pamatnostādņu pielikuma “Esošās situācijas vispārīgs raksturojums” 30. lpp. norādīts, ka </w:t>
            </w:r>
            <w:r w:rsidRPr="00DE1A22">
              <w:rPr>
                <w:sz w:val="24"/>
                <w:szCs w:val="24"/>
              </w:rPr>
              <w:t xml:space="preserve">atbilstoši EK ieteikumam azartspēļu reklamēšanā jāievēro šādi principi: </w:t>
            </w:r>
          </w:p>
          <w:p w:rsidR="000A3B4B" w:rsidRPr="00DE1A22" w:rsidRDefault="000A3B4B" w:rsidP="000A3B4B">
            <w:pPr>
              <w:ind w:right="42"/>
              <w:jc w:val="both"/>
              <w:rPr>
                <w:sz w:val="24"/>
                <w:szCs w:val="24"/>
              </w:rPr>
            </w:pPr>
            <w:r w:rsidRPr="00DE1A22">
              <w:rPr>
                <w:sz w:val="24"/>
                <w:szCs w:val="24"/>
              </w:rPr>
              <w:t>- jānodrošina, ka tiešsaistes azartspēļu pakalpojumu komercpaziņojumi nekaitē nepilngadīgajām personām vai nemudina viņus uzlūkot azartspēles kā dabisku to brīvā laika aktivitāšu elementu;</w:t>
            </w:r>
          </w:p>
          <w:p w:rsidR="000A3B4B" w:rsidRPr="00DE1A22" w:rsidRDefault="000A3B4B" w:rsidP="000A3B4B">
            <w:pPr>
              <w:ind w:right="42"/>
              <w:jc w:val="both"/>
              <w:rPr>
                <w:sz w:val="24"/>
                <w:szCs w:val="24"/>
              </w:rPr>
            </w:pPr>
            <w:r w:rsidRPr="00DE1A22">
              <w:rPr>
                <w:sz w:val="24"/>
                <w:szCs w:val="24"/>
              </w:rPr>
              <w:t>- komercpaziņojumos jāietver skaidrs ziņojums “nepilngadīgajām personām azartspēles nav atļautas”, kurā norādīts vecums, līdz kuram nav atļauts spēlēt azartspēles;</w:t>
            </w:r>
          </w:p>
          <w:p w:rsidR="000A3B4B" w:rsidRPr="00DE1A22" w:rsidRDefault="000A3B4B" w:rsidP="000A3B4B">
            <w:pPr>
              <w:jc w:val="both"/>
              <w:rPr>
                <w:sz w:val="24"/>
                <w:szCs w:val="24"/>
              </w:rPr>
            </w:pPr>
            <w:r w:rsidRPr="00DE1A22">
              <w:rPr>
                <w:sz w:val="24"/>
                <w:szCs w:val="24"/>
              </w:rPr>
              <w:t xml:space="preserve">LIAB uzskata, ka šie principi ir attiecināmi ne tikai uz interaktīvajām un “zemes” azartspēlēm, bet arī uz izlozēm. Ievērojot, ka Komisijas ieteikumu attiecībā uz reklāmu ir vērsti uz komercpaziņojumu satura ierobežošanu, ievērojot nepilngadīgu personu intereses, šādu principu attiecināšana uz izlozēm un, būtu vairāk kā atbalstāma, ņemot vērā, ka no Eiropas Savienības sekundārajiem tiesību aktiem izriet, </w:t>
            </w:r>
            <w:r w:rsidRPr="00DE1A22">
              <w:rPr>
                <w:sz w:val="24"/>
                <w:szCs w:val="24"/>
                <w:u w:val="single"/>
              </w:rPr>
              <w:t xml:space="preserve">ka par azartspēlēm ir uzskatāmas arī izlozes, loterijas un derības. </w:t>
            </w:r>
            <w:r w:rsidRPr="00DE1A22">
              <w:rPr>
                <w:sz w:val="24"/>
                <w:szCs w:val="24"/>
              </w:rPr>
              <w:t>Tā kā pamatnostādnes jau satur aicinājumu šos principus paplašināti attiecināt arī uz “zemes” azartspēlēm, LIAB atkārtoti aicina papildināt tekstu, paredzot, šos principus attiecināt arī uz izlozēm.</w:t>
            </w:r>
          </w:p>
          <w:p w:rsidR="000A3B4B" w:rsidRPr="00DE1A22" w:rsidRDefault="000A3B4B" w:rsidP="000A3B4B">
            <w:pPr>
              <w:jc w:val="both"/>
              <w:rPr>
                <w:rFonts w:eastAsia="Times New Roman"/>
                <w:sz w:val="24"/>
                <w:szCs w:val="24"/>
              </w:rPr>
            </w:pPr>
            <w:r w:rsidRPr="00DE1A22">
              <w:rPr>
                <w:sz w:val="24"/>
                <w:szCs w:val="24"/>
              </w:rPr>
              <w:t xml:space="preserve">Pielikuma 40. lpp. norādīts uz ES Tiesas pamatnoteikumiem komercpaziņojumiem par azartspēļu pakalpojumiem, kurus sniedz </w:t>
            </w:r>
            <w:r w:rsidRPr="00DE1A22">
              <w:rPr>
                <w:sz w:val="24"/>
                <w:szCs w:val="24"/>
              </w:rPr>
              <w:lastRenderedPageBreak/>
              <w:t>monopola apstākļos. Šie principi atbilstoši pamatnostādnēs norādītajam neakcentē nepilngadīgu personu aizsardzību, kas LIAB ieskatā būtu īpaši jāakcentē.</w:t>
            </w:r>
          </w:p>
        </w:tc>
        <w:tc>
          <w:tcPr>
            <w:tcW w:w="3118" w:type="dxa"/>
            <w:shd w:val="clear" w:color="auto" w:fill="auto"/>
          </w:tcPr>
          <w:p w:rsidR="000A3B4B" w:rsidRPr="00DE1A22" w:rsidRDefault="000A3B4B" w:rsidP="000A3B4B">
            <w:pPr>
              <w:tabs>
                <w:tab w:val="left" w:pos="0"/>
                <w:tab w:val="left" w:pos="709"/>
                <w:tab w:val="left" w:pos="993"/>
              </w:tabs>
              <w:suppressAutoHyphens/>
              <w:jc w:val="center"/>
              <w:outlineLvl w:val="3"/>
              <w:rPr>
                <w:rFonts w:eastAsia="Times New Roman"/>
                <w:b/>
                <w:bCs/>
                <w:sz w:val="24"/>
                <w:szCs w:val="24"/>
                <w:lang w:eastAsia="lv-LV"/>
              </w:rPr>
            </w:pPr>
            <w:r w:rsidRPr="00DE1A22">
              <w:rPr>
                <w:rFonts w:eastAsia="Times New Roman"/>
                <w:b/>
                <w:bCs/>
                <w:sz w:val="24"/>
                <w:szCs w:val="24"/>
                <w:lang w:eastAsia="lv-LV"/>
              </w:rPr>
              <w:lastRenderedPageBreak/>
              <w:t>Daļēji ņemts vērā.</w:t>
            </w:r>
          </w:p>
        </w:tc>
        <w:tc>
          <w:tcPr>
            <w:tcW w:w="3402" w:type="dxa"/>
            <w:shd w:val="clear" w:color="auto" w:fill="auto"/>
          </w:tcPr>
          <w:p w:rsidR="000A3B4B" w:rsidRPr="00DE1A22" w:rsidRDefault="000A3B4B" w:rsidP="000A3B4B">
            <w:pPr>
              <w:jc w:val="both"/>
              <w:rPr>
                <w:rFonts w:eastAsia="Times New Roman"/>
                <w:sz w:val="24"/>
                <w:szCs w:val="24"/>
              </w:rPr>
            </w:pPr>
            <w:r w:rsidRPr="00DE1A22">
              <w:rPr>
                <w:rFonts w:eastAsia="Times New Roman"/>
                <w:sz w:val="24"/>
                <w:szCs w:val="24"/>
              </w:rPr>
              <w:t>Ir būtiski pārskatīts jautājuma konteksts un saturs.</w:t>
            </w:r>
          </w:p>
        </w:tc>
      </w:tr>
      <w:tr w:rsidR="00B90571" w:rsidRPr="00DE1A22" w:rsidTr="00BF4AE7">
        <w:tc>
          <w:tcPr>
            <w:tcW w:w="846" w:type="dxa"/>
            <w:gridSpan w:val="2"/>
            <w:shd w:val="clear" w:color="auto" w:fill="auto"/>
          </w:tcPr>
          <w:p w:rsidR="00B90571" w:rsidRPr="00DE1A22" w:rsidRDefault="00B90571" w:rsidP="00B90571">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40.</w:t>
            </w:r>
          </w:p>
        </w:tc>
        <w:tc>
          <w:tcPr>
            <w:tcW w:w="2977" w:type="dxa"/>
            <w:shd w:val="clear" w:color="auto" w:fill="auto"/>
          </w:tcPr>
          <w:p w:rsidR="00B90571" w:rsidRPr="00DE1A22" w:rsidRDefault="00B90571" w:rsidP="00B90571">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shd w:val="clear" w:color="auto" w:fill="auto"/>
          </w:tcPr>
          <w:p w:rsidR="00B90571" w:rsidRPr="00DE1A22" w:rsidRDefault="00B90571" w:rsidP="00B90571">
            <w:pPr>
              <w:jc w:val="both"/>
              <w:rPr>
                <w:rFonts w:eastAsia="Times New Roman"/>
                <w:b/>
                <w:sz w:val="24"/>
                <w:szCs w:val="24"/>
              </w:rPr>
            </w:pPr>
            <w:r w:rsidRPr="00DE1A22">
              <w:rPr>
                <w:rFonts w:eastAsia="Times New Roman"/>
                <w:b/>
                <w:sz w:val="24"/>
                <w:szCs w:val="24"/>
              </w:rPr>
              <w:t>Latvijas interaktīvo azartspēļu biedrība (25.01.2019. Nr.20190125)</w:t>
            </w:r>
          </w:p>
          <w:p w:rsidR="00B90571" w:rsidRPr="00DE1A22" w:rsidRDefault="00B90571" w:rsidP="00B90571">
            <w:pPr>
              <w:jc w:val="both"/>
              <w:rPr>
                <w:rFonts w:eastAsia="Times New Roman"/>
                <w:sz w:val="24"/>
                <w:szCs w:val="24"/>
              </w:rPr>
            </w:pPr>
            <w:r w:rsidRPr="00DE1A22">
              <w:rPr>
                <w:sz w:val="24"/>
                <w:szCs w:val="24"/>
              </w:rPr>
              <w:t xml:space="preserve">Nepieciešams papildināt, </w:t>
            </w:r>
            <w:r w:rsidRPr="00DE1A22">
              <w:rPr>
                <w:sz w:val="24"/>
                <w:szCs w:val="24"/>
                <w:lang w:eastAsia="lv-LV"/>
              </w:rPr>
              <w:t xml:space="preserve">azartspēļu un izložu politikas pamatnostādņu pielikuma “Esošās situācijas vispārīgs raksturojums” 3.1. Punktu, 31.lpp., kur norādīts: </w:t>
            </w:r>
            <w:r w:rsidRPr="00DE1A22">
              <w:rPr>
                <w:i/>
                <w:sz w:val="24"/>
                <w:szCs w:val="24"/>
                <w:lang w:eastAsia="lv-LV"/>
              </w:rPr>
              <w:t>“EK ieteikumā noteiktie principi būtu piemērojami ne tikai interaktīvajās azartspēlēs (uz kurām Eiropas Komisija fokusējās savā izvērtējumā), bet arī “zemes” azartspēļu jomā.”</w:t>
            </w:r>
          </w:p>
        </w:tc>
        <w:tc>
          <w:tcPr>
            <w:tcW w:w="3118" w:type="dxa"/>
            <w:shd w:val="clear" w:color="auto" w:fill="auto"/>
          </w:tcPr>
          <w:p w:rsidR="00B90571" w:rsidRPr="00DE1A22" w:rsidRDefault="00B90571" w:rsidP="00B90571">
            <w:pPr>
              <w:tabs>
                <w:tab w:val="left" w:pos="0"/>
                <w:tab w:val="left" w:pos="709"/>
                <w:tab w:val="left" w:pos="993"/>
              </w:tabs>
              <w:suppressAutoHyphens/>
              <w:jc w:val="center"/>
              <w:outlineLvl w:val="3"/>
              <w:rPr>
                <w:rFonts w:eastAsia="Times New Roman"/>
                <w:b/>
                <w:bCs/>
                <w:sz w:val="24"/>
                <w:szCs w:val="24"/>
                <w:lang w:eastAsia="lv-LV"/>
              </w:rPr>
            </w:pPr>
            <w:r w:rsidRPr="00DE1A22">
              <w:rPr>
                <w:rFonts w:eastAsia="Times New Roman"/>
                <w:b/>
                <w:bCs/>
                <w:sz w:val="24"/>
                <w:szCs w:val="24"/>
                <w:lang w:eastAsia="lv-LV"/>
              </w:rPr>
              <w:t>Daļēji ņemts vērā.</w:t>
            </w:r>
          </w:p>
        </w:tc>
        <w:tc>
          <w:tcPr>
            <w:tcW w:w="3402" w:type="dxa"/>
            <w:shd w:val="clear" w:color="auto" w:fill="auto"/>
          </w:tcPr>
          <w:p w:rsidR="00B90571" w:rsidRPr="00DE1A22" w:rsidRDefault="00B90571" w:rsidP="00B90571">
            <w:pPr>
              <w:jc w:val="both"/>
              <w:rPr>
                <w:rFonts w:eastAsia="Times New Roman"/>
                <w:sz w:val="24"/>
                <w:szCs w:val="24"/>
              </w:rPr>
            </w:pPr>
            <w:r w:rsidRPr="00DE1A22">
              <w:rPr>
                <w:rFonts w:eastAsia="Times New Roman"/>
                <w:sz w:val="24"/>
                <w:szCs w:val="24"/>
              </w:rPr>
              <w:t>Ir būtiski pārskatīts jautājuma konteksts un saturs.</w:t>
            </w:r>
          </w:p>
        </w:tc>
      </w:tr>
      <w:tr w:rsidR="00685F29" w:rsidRPr="00DE1A22" w:rsidTr="00BF4AE7">
        <w:tc>
          <w:tcPr>
            <w:tcW w:w="846" w:type="dxa"/>
            <w:gridSpan w:val="2"/>
            <w:shd w:val="clear" w:color="auto" w:fill="auto"/>
          </w:tcPr>
          <w:p w:rsidR="00685F29" w:rsidRPr="00DE1A22" w:rsidDel="00640A1C" w:rsidRDefault="00685F29" w:rsidP="00EB12CC">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41.</w:t>
            </w:r>
          </w:p>
        </w:tc>
        <w:tc>
          <w:tcPr>
            <w:tcW w:w="2977" w:type="dxa"/>
            <w:shd w:val="clear" w:color="auto" w:fill="auto"/>
          </w:tcPr>
          <w:p w:rsidR="00685F29" w:rsidRPr="00DE1A22" w:rsidRDefault="00685F29" w:rsidP="00EB12CC">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shd w:val="clear" w:color="auto" w:fill="auto"/>
          </w:tcPr>
          <w:p w:rsidR="00CC79DF" w:rsidRPr="00DE1A22" w:rsidRDefault="00CC79DF" w:rsidP="00CC79DF">
            <w:pPr>
              <w:jc w:val="both"/>
              <w:rPr>
                <w:rFonts w:eastAsia="Times New Roman"/>
                <w:b/>
                <w:sz w:val="24"/>
                <w:szCs w:val="24"/>
              </w:rPr>
            </w:pPr>
            <w:r w:rsidRPr="00DE1A22">
              <w:rPr>
                <w:rFonts w:eastAsia="Times New Roman"/>
                <w:b/>
                <w:sz w:val="24"/>
                <w:szCs w:val="24"/>
              </w:rPr>
              <w:t>Latvijas interaktīvo azartspēļu biedrība (25.01.2019. Nr.20190125)</w:t>
            </w:r>
          </w:p>
          <w:p w:rsidR="00685F29" w:rsidRPr="00DE1A22" w:rsidRDefault="00685F29" w:rsidP="00EB12CC">
            <w:pPr>
              <w:jc w:val="both"/>
              <w:rPr>
                <w:sz w:val="24"/>
                <w:szCs w:val="24"/>
                <w:lang w:eastAsia="lv-LV"/>
              </w:rPr>
            </w:pPr>
            <w:r w:rsidRPr="00DE1A22">
              <w:rPr>
                <w:sz w:val="24"/>
                <w:szCs w:val="24"/>
              </w:rPr>
              <w:t>“</w:t>
            </w:r>
            <w:r w:rsidRPr="00DE1A22">
              <w:rPr>
                <w:sz w:val="24"/>
                <w:szCs w:val="24"/>
                <w:lang w:eastAsia="lv-LV"/>
              </w:rPr>
              <w:t>Azartspēļu un izložu politikas pamatnostādnēs” 6.lpp. (uzdevums Nr. 5) un to pielikuma “Esošās situācijas vispārīgs raksturojums” 79. lpp. kā nepieciešamais pasākums norādīts:</w:t>
            </w:r>
          </w:p>
          <w:p w:rsidR="00685F29" w:rsidRPr="00DE1A22" w:rsidRDefault="00685F29" w:rsidP="00EB12CC">
            <w:pPr>
              <w:jc w:val="both"/>
              <w:rPr>
                <w:sz w:val="24"/>
                <w:szCs w:val="24"/>
              </w:rPr>
            </w:pPr>
            <w:r w:rsidRPr="00DE1A22">
              <w:rPr>
                <w:sz w:val="24"/>
                <w:szCs w:val="24"/>
              </w:rPr>
              <w:t>“-noteikt fiziskajām un juridiskajām personām soda naudu 100% apmērā par valsts neiegūtiem nodokļu ieņēmumiem no personas dalības Latvijā nelicencētās interaktīvo azartspēļu organizētāja azartspēlēs un/vai nelicencētās izložu organizatoru izlozēs, kā arī pienākumu minētos valsts neiegūtos nodokļu ieņēmumus ieskaitīt valsts budžetā. Pienākums veikt attiecīgās pārbaudes tiek noteikts VID;”</w:t>
            </w:r>
          </w:p>
          <w:p w:rsidR="00CE58BF" w:rsidRPr="00DE1A22" w:rsidRDefault="00CE58BF" w:rsidP="00EB12CC">
            <w:pPr>
              <w:jc w:val="both"/>
              <w:rPr>
                <w:rFonts w:eastAsia="Times New Roman"/>
                <w:sz w:val="24"/>
                <w:szCs w:val="24"/>
              </w:rPr>
            </w:pPr>
            <w:r w:rsidRPr="00DE1A22">
              <w:rPr>
                <w:sz w:val="24"/>
                <w:szCs w:val="24"/>
              </w:rPr>
              <w:t xml:space="preserve">Ievērojot, ka nepieciešamā pasākuma mērķis ir sodīt personas par dalību Latvijā nelicencēta interaktīvo azartspēļu </w:t>
            </w:r>
            <w:r w:rsidRPr="00DE1A22">
              <w:rPr>
                <w:sz w:val="24"/>
                <w:szCs w:val="24"/>
              </w:rPr>
              <w:lastRenderedPageBreak/>
              <w:t xml:space="preserve">organizētāja azartspēlēs, noteiktais sods ir nepietiekams. Ikvienam sodam jābūt samērīgam, bet šajā gadījumā soda nauda sasniedz 100%, kas nav atzīstams par samērīgu. Ja soda nauda </w:t>
            </w:r>
            <w:r w:rsidRPr="00DE1A22">
              <w:rPr>
                <w:sz w:val="24"/>
                <w:szCs w:val="24"/>
                <w:lang w:eastAsia="lv-LV"/>
              </w:rPr>
              <w:t xml:space="preserve">juridiskām personām ir paredzēta 100% par valsts neiegūtajiem nodokļiem, tas atbilst nodokļa apmēram, kuru maksā licencētie operatori (kas nodokļus maksā pilnā apmērā). Attiecīgi, pastāv risks, ka būs operatori, kas izvēlēsies maksāt šo sodu, gadījumā, ja to dalība </w:t>
            </w:r>
            <w:r w:rsidRPr="00DE1A22">
              <w:rPr>
                <w:sz w:val="24"/>
                <w:szCs w:val="24"/>
              </w:rPr>
              <w:t>Latvijā nelicencēta interaktīvo azartspēļu organizētāja azartspēlēs</w:t>
            </w:r>
            <w:r w:rsidRPr="00DE1A22">
              <w:rPr>
                <w:sz w:val="24"/>
                <w:szCs w:val="24"/>
                <w:lang w:eastAsia="lv-LV"/>
              </w:rPr>
              <w:t>, tiks konstatēta, bet nelicencēties Latvijā un nemaksāt licences maksu. Šī situācija nostāda licencētos operatorus nekonkurētspējīgā situācijā. Lūdzam pārskatīt šo priekšlikumu, nosakot soda naudu 300% apmērā.</w:t>
            </w:r>
          </w:p>
        </w:tc>
        <w:tc>
          <w:tcPr>
            <w:tcW w:w="3118" w:type="dxa"/>
            <w:shd w:val="clear" w:color="auto" w:fill="auto"/>
          </w:tcPr>
          <w:p w:rsidR="00685F29" w:rsidRPr="00DE1A22" w:rsidRDefault="00FC5F16" w:rsidP="00EB12CC">
            <w:pPr>
              <w:tabs>
                <w:tab w:val="left" w:pos="0"/>
                <w:tab w:val="left" w:pos="709"/>
                <w:tab w:val="left" w:pos="993"/>
              </w:tabs>
              <w:suppressAutoHyphens/>
              <w:jc w:val="center"/>
              <w:outlineLvl w:val="3"/>
              <w:rPr>
                <w:rFonts w:eastAsia="Times New Roman"/>
                <w:b/>
                <w:bCs/>
                <w:sz w:val="24"/>
                <w:szCs w:val="24"/>
                <w:lang w:eastAsia="lv-LV"/>
              </w:rPr>
            </w:pPr>
            <w:r w:rsidRPr="00DE1A22">
              <w:rPr>
                <w:rFonts w:eastAsia="Times New Roman"/>
                <w:b/>
                <w:bCs/>
                <w:sz w:val="24"/>
                <w:szCs w:val="24"/>
                <w:lang w:eastAsia="lv-LV"/>
              </w:rPr>
              <w:lastRenderedPageBreak/>
              <w:t>Ņemt vērā.</w:t>
            </w:r>
          </w:p>
        </w:tc>
        <w:tc>
          <w:tcPr>
            <w:tcW w:w="3402" w:type="dxa"/>
            <w:shd w:val="clear" w:color="auto" w:fill="auto"/>
          </w:tcPr>
          <w:p w:rsidR="00685F29" w:rsidRPr="00DE1A22" w:rsidRDefault="00FC5F16" w:rsidP="00EB12CC">
            <w:pPr>
              <w:jc w:val="both"/>
              <w:rPr>
                <w:rFonts w:eastAsia="Times New Roman"/>
                <w:sz w:val="24"/>
                <w:szCs w:val="24"/>
              </w:rPr>
            </w:pPr>
            <w:r w:rsidRPr="00DE1A22">
              <w:rPr>
                <w:rFonts w:eastAsia="Times New Roman"/>
                <w:bCs/>
                <w:sz w:val="24"/>
                <w:szCs w:val="24"/>
                <w:lang w:eastAsia="lv-LV"/>
              </w:rPr>
              <w:t>Uzdevums izpildīts ar 2019.gada 3.aprīlī Saeimā pieņemto likumu Par valsts budžetu 2019.gadam un to pavadošajiem 14 likumprojektiem, tai skaitā iekļautajiem četriem likumprojektiem, kas paredz ierobežot Latvijā nelicencētu interaktīvo azartspēļu un izložu pieejamību.</w:t>
            </w:r>
          </w:p>
        </w:tc>
      </w:tr>
      <w:tr w:rsidR="00EB12CC" w:rsidRPr="00DE1A22" w:rsidTr="00BF4AE7">
        <w:tc>
          <w:tcPr>
            <w:tcW w:w="846" w:type="dxa"/>
            <w:gridSpan w:val="2"/>
            <w:shd w:val="clear" w:color="auto" w:fill="auto"/>
          </w:tcPr>
          <w:p w:rsidR="00EB12CC" w:rsidRPr="00DE1A22" w:rsidRDefault="00EB12CC" w:rsidP="00EB12CC">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4</w:t>
            </w:r>
            <w:r w:rsidR="00331383" w:rsidRPr="00DE1A22">
              <w:rPr>
                <w:rFonts w:eastAsia="Times New Roman"/>
                <w:sz w:val="24"/>
                <w:szCs w:val="24"/>
                <w:lang w:eastAsia="lv-LV"/>
              </w:rPr>
              <w:t>2</w:t>
            </w:r>
            <w:r w:rsidRPr="00DE1A22">
              <w:rPr>
                <w:rFonts w:eastAsia="Times New Roman"/>
                <w:sz w:val="24"/>
                <w:szCs w:val="24"/>
                <w:lang w:eastAsia="lv-LV"/>
              </w:rPr>
              <w:t>.</w:t>
            </w:r>
          </w:p>
        </w:tc>
        <w:tc>
          <w:tcPr>
            <w:tcW w:w="2977" w:type="dxa"/>
            <w:shd w:val="clear" w:color="auto" w:fill="auto"/>
          </w:tcPr>
          <w:p w:rsidR="00EB12CC" w:rsidRPr="00DE1A22" w:rsidRDefault="00EB12CC" w:rsidP="00EB12CC">
            <w:pPr>
              <w:jc w:val="both"/>
              <w:rPr>
                <w:rFonts w:eastAsia="Times New Roman"/>
                <w:sz w:val="24"/>
                <w:szCs w:val="24"/>
                <w:lang w:eastAsia="lv-LV"/>
              </w:rPr>
            </w:pPr>
            <w:r w:rsidRPr="00DE1A22">
              <w:rPr>
                <w:rFonts w:eastAsia="Times New Roman"/>
                <w:sz w:val="24"/>
                <w:szCs w:val="24"/>
                <w:lang w:eastAsia="lv-LV"/>
              </w:rPr>
              <w:t>Projekta pielikuma “Esošās situācijas vispārīgs novērtējums” (74.lpp.) pie nepieciešamajiem pasākumiem, lai nodrošinātu efektīvu informācijas apmaiņu, tiek plānots pasākums “Nozares konsultatīvā sanāksme”, kas paredz nozares regulāro sanāksmju organizēšanu, kur ne retāk kā reizi pusgadā iesaistītās puses diskutētu par aktuālajiem jautājumiem nozarē un informētu par tendencēm.</w:t>
            </w:r>
          </w:p>
        </w:tc>
        <w:tc>
          <w:tcPr>
            <w:tcW w:w="4394" w:type="dxa"/>
            <w:shd w:val="clear" w:color="auto" w:fill="auto"/>
          </w:tcPr>
          <w:p w:rsidR="00EB12CC" w:rsidRPr="00DE1A22" w:rsidRDefault="00EB12CC" w:rsidP="00EB12CC">
            <w:pPr>
              <w:jc w:val="both"/>
              <w:rPr>
                <w:rFonts w:eastAsia="Times New Roman"/>
                <w:sz w:val="24"/>
                <w:szCs w:val="24"/>
              </w:rPr>
            </w:pPr>
            <w:r w:rsidRPr="00DE1A22">
              <w:rPr>
                <w:rFonts w:eastAsia="Times New Roman"/>
                <w:sz w:val="24"/>
                <w:szCs w:val="24"/>
              </w:rPr>
              <w:t>Priekšlikums:</w:t>
            </w:r>
          </w:p>
          <w:p w:rsidR="00EB12CC" w:rsidRPr="00DE1A22" w:rsidRDefault="00EB12CC" w:rsidP="00EB12CC">
            <w:pPr>
              <w:jc w:val="both"/>
              <w:rPr>
                <w:rFonts w:eastAsia="Times New Roman"/>
                <w:b/>
                <w:sz w:val="24"/>
                <w:szCs w:val="24"/>
              </w:rPr>
            </w:pPr>
            <w:r w:rsidRPr="00DE1A22">
              <w:rPr>
                <w:rFonts w:eastAsia="Times New Roman"/>
                <w:b/>
                <w:sz w:val="24"/>
                <w:szCs w:val="24"/>
              </w:rPr>
              <w:t>Labklājības ministrija (25.01.2019. Nr.A-21-09/9)</w:t>
            </w:r>
          </w:p>
          <w:p w:rsidR="00EB12CC" w:rsidRPr="00DE1A22" w:rsidRDefault="00EB12CC" w:rsidP="00EB12CC">
            <w:pPr>
              <w:jc w:val="both"/>
              <w:rPr>
                <w:rFonts w:eastAsia="Times New Roman"/>
                <w:sz w:val="24"/>
                <w:szCs w:val="24"/>
              </w:rPr>
            </w:pPr>
            <w:r w:rsidRPr="00DE1A22">
              <w:rPr>
                <w:rFonts w:eastAsia="Times New Roman"/>
                <w:sz w:val="24"/>
                <w:szCs w:val="24"/>
              </w:rPr>
              <w:t>Ņemot vērā, ka azartspēļu atkarība izraisa nelabvēlīgas sekas gan indivīda, gan ģimenes līmenī arī tādos aspektos, kas attiecas uz labklājības nozari (piem., attiecību un ģimenes disfunkcija, problēmas ar nodarbinātību, sociālās palīdzības nepieciešamība u.tml.), uzskatām, ka nozares konsultatīvajās sanāksmēs būtu lietderīga arī Labklājības ministrijas kā iesaistītās puses līdzdalība.</w:t>
            </w:r>
          </w:p>
        </w:tc>
        <w:tc>
          <w:tcPr>
            <w:tcW w:w="3118" w:type="dxa"/>
            <w:shd w:val="clear" w:color="auto" w:fill="auto"/>
          </w:tcPr>
          <w:p w:rsidR="00EB12CC" w:rsidRPr="00DE1A22" w:rsidRDefault="00EB12CC" w:rsidP="00EB12CC">
            <w:pPr>
              <w:tabs>
                <w:tab w:val="left" w:pos="0"/>
                <w:tab w:val="left" w:pos="709"/>
                <w:tab w:val="left" w:pos="993"/>
              </w:tabs>
              <w:suppressAutoHyphens/>
              <w:jc w:val="center"/>
              <w:outlineLvl w:val="3"/>
              <w:rPr>
                <w:rFonts w:eastAsia="Times New Roman"/>
                <w:sz w:val="24"/>
                <w:szCs w:val="24"/>
              </w:rPr>
            </w:pPr>
            <w:r w:rsidRPr="00DE1A22">
              <w:rPr>
                <w:rFonts w:eastAsia="Times New Roman"/>
                <w:b/>
                <w:bCs/>
                <w:sz w:val="24"/>
                <w:szCs w:val="24"/>
                <w:lang w:eastAsia="lv-LV"/>
              </w:rPr>
              <w:t>Ņemts vērā.</w:t>
            </w:r>
            <w:r w:rsidRPr="00DE1A22">
              <w:rPr>
                <w:rFonts w:eastAsia="Times New Roman"/>
                <w:sz w:val="24"/>
                <w:szCs w:val="24"/>
              </w:rPr>
              <w:t xml:space="preserve"> </w:t>
            </w:r>
          </w:p>
          <w:p w:rsidR="00EB12CC" w:rsidRPr="00DE1A22" w:rsidRDefault="00EB12CC" w:rsidP="00EB12CC">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rsidR="00EB12CC" w:rsidRPr="00DE1A22" w:rsidRDefault="00CC79DF" w:rsidP="00EB12CC">
            <w:pPr>
              <w:jc w:val="both"/>
              <w:rPr>
                <w:rFonts w:eastAsia="Times New Roman"/>
                <w:sz w:val="24"/>
                <w:szCs w:val="24"/>
              </w:rPr>
            </w:pPr>
            <w:r w:rsidRPr="00DE1A22">
              <w:rPr>
                <w:rFonts w:eastAsia="Times New Roman"/>
                <w:sz w:val="24"/>
                <w:szCs w:val="24"/>
              </w:rPr>
              <w:t xml:space="preserve">Projekta pielikuma 6. sadaļa “Azartspēļu un izložu nozares tendences”: “LSBA, LIAB, Finanšu ministrija, VAS “Latvijas Loto”, Izglītības un zinātnes ministrija, Veselības ministrija, Ekonomikas ministrija, Satiksmes ministrija </w:t>
            </w:r>
            <w:r w:rsidRPr="00DE1A22">
              <w:rPr>
                <w:rFonts w:eastAsia="Times New Roman"/>
                <w:b/>
                <w:sz w:val="24"/>
                <w:szCs w:val="24"/>
              </w:rPr>
              <w:t>un Labklājības ministrija</w:t>
            </w:r>
            <w:r w:rsidRPr="00DE1A22">
              <w:rPr>
                <w:rFonts w:eastAsia="Times New Roman"/>
                <w:sz w:val="24"/>
                <w:szCs w:val="24"/>
              </w:rPr>
              <w:t xml:space="preserve"> nozares konsultatīvajā sanāksmē sniedz priekšlikumus reģionālajā sadarbības formātā pārrunājamiem jautājumiem”.</w:t>
            </w:r>
          </w:p>
        </w:tc>
      </w:tr>
      <w:tr w:rsidR="00EB12CC" w:rsidRPr="00DE1A22" w:rsidTr="00BF4AE7">
        <w:tc>
          <w:tcPr>
            <w:tcW w:w="846" w:type="dxa"/>
            <w:gridSpan w:val="2"/>
            <w:shd w:val="clear" w:color="auto" w:fill="auto"/>
          </w:tcPr>
          <w:p w:rsidR="00EB12CC" w:rsidRPr="00DE1A22" w:rsidRDefault="003D73B0" w:rsidP="00EB12CC">
            <w:pPr>
              <w:jc w:val="center"/>
              <w:rPr>
                <w:rFonts w:eastAsia="Times New Roman"/>
                <w:sz w:val="24"/>
                <w:szCs w:val="24"/>
                <w:lang w:eastAsia="lv-LV"/>
              </w:rPr>
            </w:pPr>
            <w:r w:rsidRPr="00DE1A22">
              <w:rPr>
                <w:rFonts w:eastAsia="Times New Roman"/>
                <w:sz w:val="24"/>
                <w:szCs w:val="24"/>
                <w:lang w:eastAsia="lv-LV"/>
              </w:rPr>
              <w:lastRenderedPageBreak/>
              <w:t>43</w:t>
            </w:r>
            <w:r w:rsidR="00EB12CC" w:rsidRPr="00DE1A22">
              <w:rPr>
                <w:rFonts w:eastAsia="Times New Roman"/>
                <w:sz w:val="24"/>
                <w:szCs w:val="24"/>
                <w:lang w:eastAsia="lv-LV"/>
              </w:rPr>
              <w:t>.</w:t>
            </w:r>
          </w:p>
        </w:tc>
        <w:tc>
          <w:tcPr>
            <w:tcW w:w="2977" w:type="dxa"/>
            <w:shd w:val="clear" w:color="auto" w:fill="auto"/>
          </w:tcPr>
          <w:p w:rsidR="00EB12CC" w:rsidRPr="00DE1A22" w:rsidRDefault="00EB12CC" w:rsidP="00EB12CC">
            <w:pPr>
              <w:jc w:val="both"/>
              <w:rPr>
                <w:rFonts w:eastAsia="Times New Roman"/>
                <w:sz w:val="24"/>
                <w:szCs w:val="24"/>
                <w:lang w:eastAsia="lv-LV"/>
              </w:rPr>
            </w:pPr>
            <w:r w:rsidRPr="00DE1A22">
              <w:rPr>
                <w:rFonts w:eastAsia="Times New Roman"/>
                <w:sz w:val="24"/>
                <w:szCs w:val="24"/>
                <w:lang w:eastAsia="lv-LV"/>
              </w:rPr>
              <w:t>Projekta pielikums 2.2.1. apakšpunkts “Izglītība un informētība”.</w:t>
            </w:r>
          </w:p>
        </w:tc>
        <w:tc>
          <w:tcPr>
            <w:tcW w:w="4394" w:type="dxa"/>
            <w:shd w:val="clear" w:color="auto" w:fill="auto"/>
          </w:tcPr>
          <w:p w:rsidR="00EB12CC" w:rsidRPr="00DE1A22" w:rsidRDefault="00EB12CC" w:rsidP="00EB12CC">
            <w:pPr>
              <w:contextualSpacing/>
              <w:jc w:val="both"/>
              <w:rPr>
                <w:rFonts w:eastAsia="Times New Roman"/>
                <w:b/>
                <w:sz w:val="24"/>
                <w:szCs w:val="24"/>
              </w:rPr>
            </w:pPr>
            <w:r w:rsidRPr="00DE1A22">
              <w:rPr>
                <w:rFonts w:eastAsia="Times New Roman"/>
                <w:b/>
                <w:sz w:val="24"/>
                <w:szCs w:val="24"/>
              </w:rPr>
              <w:t>Izglītības un zinātnes ministrija (23.01.2019. Nr.4-3.2e-PAD/19/10)</w:t>
            </w:r>
          </w:p>
          <w:p w:rsidR="00EB12CC" w:rsidRPr="00DE1A22" w:rsidRDefault="00EB12CC" w:rsidP="00EB12CC">
            <w:pPr>
              <w:contextualSpacing/>
              <w:jc w:val="both"/>
              <w:rPr>
                <w:rFonts w:eastAsia="Times New Roman"/>
                <w:sz w:val="24"/>
                <w:szCs w:val="24"/>
              </w:rPr>
            </w:pPr>
            <w:r w:rsidRPr="00DE1A22">
              <w:rPr>
                <w:rFonts w:eastAsia="Times New Roman"/>
                <w:sz w:val="24"/>
                <w:szCs w:val="24"/>
              </w:rPr>
              <w:t>Papildināt pamatnostādņu pielikuma 2.2.1.apakšpunktu “Izglītība un informētība” ar jaunu pēdējo rindkopu, ko izteikt šādā redakcijā – Jautājumi par atkarībām (t.sk. azartspēļu atkarību) ir iekļauti arī metodiskā līdzekļa “Klases stundu programmas paraugs 1. – 12.klasei” tēmā “Veselība un vide”, piemēram, klašu grupā 1. – 3.klasei: Datoratkarība un citi atkarību izraisošie procesi. To izraisošie faktori; klašu grupā 7. – 9.klasei: Azartspēļu atkarība; Datorspēļu atkarība; Interneta atkarība, kā arī metodisko ieteikumu “Ieteikumi Klases stundu programmas īstenošanai” saturā.</w:t>
            </w:r>
          </w:p>
          <w:p w:rsidR="00EB12CC" w:rsidRPr="00DE1A22" w:rsidRDefault="00EB12CC" w:rsidP="00EB12CC">
            <w:pPr>
              <w:contextualSpacing/>
              <w:jc w:val="both"/>
              <w:rPr>
                <w:rFonts w:eastAsia="Times New Roman"/>
                <w:sz w:val="24"/>
                <w:szCs w:val="24"/>
              </w:rPr>
            </w:pPr>
          </w:p>
          <w:p w:rsidR="00EB12CC" w:rsidRPr="00DE1A22" w:rsidRDefault="00EB12CC" w:rsidP="00EB12CC">
            <w:pPr>
              <w:contextualSpacing/>
              <w:jc w:val="both"/>
              <w:rPr>
                <w:rFonts w:eastAsia="Times New Roman"/>
                <w:b/>
                <w:sz w:val="24"/>
                <w:szCs w:val="24"/>
              </w:rPr>
            </w:pPr>
            <w:r w:rsidRPr="00DE1A22">
              <w:rPr>
                <w:rFonts w:eastAsia="Times New Roman"/>
                <w:sz w:val="24"/>
                <w:szCs w:val="24"/>
              </w:rPr>
              <w:t xml:space="preserve">Minētie materiāli pieejami Valsts izglītības satura centra mājaslapas sadaļā – Audzināšana – Metodiskie materiāli: </w:t>
            </w:r>
            <w:hyperlink r:id="rId10" w:history="1">
              <w:r w:rsidRPr="00DE1A22">
                <w:rPr>
                  <w:rStyle w:val="Hyperlink"/>
                  <w:rFonts w:eastAsia="Times New Roman"/>
                  <w:color w:val="auto"/>
                  <w:sz w:val="24"/>
                  <w:szCs w:val="24"/>
                </w:rPr>
                <w:t>https://visc.gov.lv/audzinasana/dokumenti/metmat/klases_stundu_progr_%20paraugs.pdf</w:t>
              </w:r>
            </w:hyperlink>
            <w:r w:rsidRPr="00DE1A22">
              <w:rPr>
                <w:rFonts w:eastAsia="Times New Roman"/>
                <w:sz w:val="24"/>
                <w:szCs w:val="24"/>
              </w:rPr>
              <w:t xml:space="preserve">  un </w:t>
            </w:r>
            <w:hyperlink r:id="rId11" w:history="1">
              <w:r w:rsidRPr="00DE1A22">
                <w:rPr>
                  <w:rStyle w:val="Hyperlink"/>
                  <w:rFonts w:eastAsia="Times New Roman"/>
                  <w:color w:val="auto"/>
                  <w:sz w:val="24"/>
                  <w:szCs w:val="24"/>
                </w:rPr>
                <w:t>https://visc.gov.lv/audzinasana/dokumenti/metmat/ieteikumi_klases_st_progr_ist.pdf</w:t>
              </w:r>
            </w:hyperlink>
            <w:r w:rsidRPr="00DE1A22">
              <w:rPr>
                <w:rFonts w:eastAsia="Times New Roman"/>
                <w:sz w:val="24"/>
                <w:szCs w:val="24"/>
              </w:rPr>
              <w:t xml:space="preserve"> </w:t>
            </w:r>
          </w:p>
        </w:tc>
        <w:tc>
          <w:tcPr>
            <w:tcW w:w="3118" w:type="dxa"/>
            <w:shd w:val="clear" w:color="auto" w:fill="auto"/>
          </w:tcPr>
          <w:p w:rsidR="00EB12CC" w:rsidRPr="00DE1A22" w:rsidRDefault="00EB12CC" w:rsidP="00EB12CC">
            <w:pPr>
              <w:jc w:val="center"/>
              <w:rPr>
                <w:rFonts w:eastAsia="Times New Roman"/>
                <w:b/>
                <w:bCs/>
                <w:sz w:val="24"/>
                <w:szCs w:val="24"/>
                <w:lang w:eastAsia="lv-LV"/>
              </w:rPr>
            </w:pPr>
            <w:r w:rsidRPr="00DE1A22">
              <w:rPr>
                <w:rFonts w:eastAsia="Times New Roman"/>
                <w:b/>
                <w:bCs/>
                <w:sz w:val="24"/>
                <w:szCs w:val="24"/>
                <w:lang w:eastAsia="lv-LV"/>
              </w:rPr>
              <w:t>Ņemts vērā.</w:t>
            </w:r>
          </w:p>
          <w:p w:rsidR="00EB12CC" w:rsidRPr="00DE1A22" w:rsidRDefault="00EB12CC" w:rsidP="00EB12CC">
            <w:pPr>
              <w:jc w:val="both"/>
              <w:rPr>
                <w:rFonts w:eastAsia="Times New Roman"/>
                <w:bCs/>
                <w:sz w:val="24"/>
                <w:szCs w:val="24"/>
                <w:lang w:eastAsia="lv-LV"/>
              </w:rPr>
            </w:pPr>
          </w:p>
        </w:tc>
        <w:tc>
          <w:tcPr>
            <w:tcW w:w="3402" w:type="dxa"/>
            <w:shd w:val="clear" w:color="auto" w:fill="auto"/>
          </w:tcPr>
          <w:p w:rsidR="00EB12CC" w:rsidRPr="00DE1A22" w:rsidRDefault="00CC79DF" w:rsidP="00EB12CC">
            <w:pPr>
              <w:jc w:val="both"/>
              <w:rPr>
                <w:rFonts w:eastAsia="Times New Roman"/>
                <w:sz w:val="24"/>
                <w:szCs w:val="24"/>
              </w:rPr>
            </w:pPr>
            <w:r w:rsidRPr="00DE1A22">
              <w:rPr>
                <w:rFonts w:eastAsia="Times New Roman"/>
                <w:bCs/>
                <w:sz w:val="24"/>
                <w:szCs w:val="24"/>
                <w:lang w:eastAsia="lv-LV"/>
              </w:rPr>
              <w:t>Projekta pielikums papildināts – jaunajā versijā 2.3.1.: “Atkarību jautājumi (t.sk. azartspēļu atkarību) ir iekļauti dažādu vispārējās izglītības mācību priekšmetu standartu, piemēram, Sociālās zinības, Bioloģija, Veselības mācība, kā arī mācību priekšmetu programmu paraugu saturā”.</w:t>
            </w:r>
          </w:p>
        </w:tc>
      </w:tr>
      <w:tr w:rsidR="00EB12CC" w:rsidRPr="00DE1A22" w:rsidTr="00BF4AE7">
        <w:trPr>
          <w:trHeight w:val="2543"/>
        </w:trPr>
        <w:tc>
          <w:tcPr>
            <w:tcW w:w="846" w:type="dxa"/>
            <w:gridSpan w:val="2"/>
            <w:shd w:val="clear" w:color="auto" w:fill="auto"/>
          </w:tcPr>
          <w:p w:rsidR="00EB12CC" w:rsidRPr="00DE1A22" w:rsidRDefault="00EB12CC" w:rsidP="00EB12CC">
            <w:pPr>
              <w:jc w:val="center"/>
              <w:rPr>
                <w:rFonts w:eastAsia="Times New Roman"/>
                <w:sz w:val="24"/>
                <w:szCs w:val="24"/>
                <w:lang w:eastAsia="lv-LV"/>
              </w:rPr>
            </w:pPr>
            <w:r w:rsidRPr="00DE1A22">
              <w:rPr>
                <w:rFonts w:eastAsia="Times New Roman"/>
                <w:sz w:val="24"/>
                <w:szCs w:val="24"/>
                <w:lang w:eastAsia="lv-LV"/>
              </w:rPr>
              <w:t>4</w:t>
            </w:r>
            <w:r w:rsidR="003D73B0" w:rsidRPr="00DE1A22">
              <w:rPr>
                <w:rFonts w:eastAsia="Times New Roman"/>
                <w:sz w:val="24"/>
                <w:szCs w:val="24"/>
                <w:lang w:eastAsia="lv-LV"/>
              </w:rPr>
              <w:t>4</w:t>
            </w:r>
            <w:r w:rsidRPr="00DE1A22">
              <w:rPr>
                <w:rFonts w:eastAsia="Times New Roman"/>
                <w:sz w:val="24"/>
                <w:szCs w:val="24"/>
                <w:lang w:eastAsia="lv-LV"/>
              </w:rPr>
              <w:t>.</w:t>
            </w:r>
          </w:p>
        </w:tc>
        <w:tc>
          <w:tcPr>
            <w:tcW w:w="2977" w:type="dxa"/>
            <w:shd w:val="clear" w:color="auto" w:fill="auto"/>
          </w:tcPr>
          <w:p w:rsidR="00EB12CC" w:rsidRPr="00DE1A22" w:rsidRDefault="00EB12CC" w:rsidP="00EB12CC">
            <w:pPr>
              <w:jc w:val="both"/>
              <w:rPr>
                <w:rFonts w:eastAsia="Times New Roman"/>
                <w:sz w:val="24"/>
                <w:szCs w:val="24"/>
                <w:lang w:eastAsia="lv-LV"/>
              </w:rPr>
            </w:pPr>
            <w:r w:rsidRPr="00DE1A22">
              <w:rPr>
                <w:rFonts w:eastAsia="Times New Roman"/>
                <w:sz w:val="24"/>
                <w:szCs w:val="24"/>
                <w:lang w:eastAsia="lv-LV"/>
              </w:rPr>
              <w:t>Projekta pielikuma 2.2.1. apakšpunkts “Izglītība un informētība”.</w:t>
            </w:r>
          </w:p>
        </w:tc>
        <w:tc>
          <w:tcPr>
            <w:tcW w:w="4394" w:type="dxa"/>
            <w:shd w:val="clear" w:color="auto" w:fill="auto"/>
          </w:tcPr>
          <w:p w:rsidR="00EB12CC" w:rsidRPr="00DE1A22" w:rsidRDefault="00EB12CC" w:rsidP="00EB12CC">
            <w:pPr>
              <w:contextualSpacing/>
              <w:jc w:val="both"/>
              <w:rPr>
                <w:rFonts w:eastAsia="Times New Roman"/>
                <w:b/>
                <w:sz w:val="24"/>
                <w:szCs w:val="24"/>
                <w:lang w:eastAsia="lv-LV"/>
              </w:rPr>
            </w:pPr>
            <w:r w:rsidRPr="00DE1A22">
              <w:rPr>
                <w:rFonts w:eastAsia="Times New Roman"/>
                <w:b/>
                <w:sz w:val="24"/>
                <w:szCs w:val="24"/>
                <w:lang w:eastAsia="lv-LV"/>
              </w:rPr>
              <w:t>Izglītības un zinātnes ministrija (23.01.2019. Nr.4-3.2e-PAD/19/10)</w:t>
            </w:r>
          </w:p>
          <w:p w:rsidR="00EB12CC" w:rsidRPr="00DE1A22" w:rsidRDefault="00EB12CC" w:rsidP="00EB12CC">
            <w:pPr>
              <w:contextualSpacing/>
              <w:jc w:val="both"/>
              <w:rPr>
                <w:rFonts w:eastAsia="Times New Roman"/>
                <w:sz w:val="24"/>
                <w:szCs w:val="24"/>
                <w:lang w:eastAsia="lv-LV"/>
              </w:rPr>
            </w:pPr>
            <w:r w:rsidRPr="00DE1A22">
              <w:rPr>
                <w:rFonts w:eastAsia="Times New Roman"/>
                <w:sz w:val="24"/>
                <w:szCs w:val="24"/>
                <w:lang w:eastAsia="lv-LV"/>
              </w:rPr>
              <w:t xml:space="preserve">Papildināt pamatnostādņu pielikuma 2.2.1.apakšpunktu „Izglītība un informētība” ar jaunu ceturto rindkopu, ko izteikt šādā redakcijā: Ministru kabineta 2018.gada 27.novembra noteikumi Nr. 747 „Noteikumi par valsts pamatizglītības standartu un pamatizglītības programmu paraugiem” nosaka, ka plānotie skolēnam </w:t>
            </w:r>
            <w:r w:rsidRPr="00DE1A22">
              <w:rPr>
                <w:rFonts w:eastAsia="Times New Roman"/>
                <w:sz w:val="24"/>
                <w:szCs w:val="24"/>
                <w:lang w:eastAsia="lv-LV"/>
              </w:rPr>
              <w:lastRenderedPageBreak/>
              <w:t>sasniedzamie rezultāti ir kompleksi, tie atklāj gala rezultātu darbībā, ietver zināšanas, izpratni un pamatprasmes mācību jomās, caurviju prasmes, vērtības un tikumus un ir izteikti kā pratības, piemēram, šādās mācību jomās:</w:t>
            </w:r>
          </w:p>
          <w:p w:rsidR="00EB12CC" w:rsidRPr="00DE1A22" w:rsidRDefault="00EB12CC" w:rsidP="00EB12CC">
            <w:pPr>
              <w:contextualSpacing/>
              <w:jc w:val="both"/>
              <w:rPr>
                <w:rFonts w:eastAsia="Times New Roman"/>
                <w:sz w:val="24"/>
                <w:szCs w:val="24"/>
                <w:lang w:eastAsia="lv-LV"/>
              </w:rPr>
            </w:pPr>
            <w:r w:rsidRPr="00DE1A22">
              <w:rPr>
                <w:rFonts w:eastAsia="Times New Roman"/>
                <w:sz w:val="24"/>
                <w:szCs w:val="24"/>
                <w:lang w:eastAsia="lv-LV"/>
              </w:rPr>
              <w:t>- dabaszinātņu mācību joma – skolēns atpazīst, piedāvā un izvērtē skaidrojumus noteiktām dabas parādībām un procesiem, izmanto pētnieciskās prasmes problēmu risināšanā, pētījumu veikšanā, izvērtējot riskus un ievērojot drošības nosacījumus, analizē un izvērtē datus, izsaka viedokli un argumentus dažādos veidos un secina no datiem, rīkojas personiski atbildīgi savas un citu veselības veicināšanā, vides kvalitātes saglabāšanā un dabas resursu ilgtspējīgā izmantošanā;</w:t>
            </w:r>
          </w:p>
          <w:p w:rsidR="00EB12CC" w:rsidRPr="00DE1A22" w:rsidRDefault="00EB12CC" w:rsidP="00EB12CC">
            <w:pPr>
              <w:contextualSpacing/>
              <w:jc w:val="both"/>
              <w:rPr>
                <w:rFonts w:eastAsia="Times New Roman"/>
                <w:sz w:val="24"/>
                <w:szCs w:val="24"/>
                <w:lang w:eastAsia="lv-LV"/>
              </w:rPr>
            </w:pPr>
            <w:r w:rsidRPr="00DE1A22">
              <w:rPr>
                <w:rFonts w:eastAsia="Times New Roman"/>
                <w:sz w:val="24"/>
                <w:szCs w:val="24"/>
                <w:lang w:eastAsia="lv-LV"/>
              </w:rPr>
              <w:t>- veselības un fiziskās aktivitātes mācību joma – skolēns izprot un praktizē veselīga dzīvesveida paradumus, atpazīst riskus dažādās, tai skaitā ekstremālās, situācijās un pieņem lēmumus drošai un aktīvai rīcībai, prasmīgi, atbildīgi un ieinteresēti iesaistās daudzveidīgās fiziskās aktivitātēs, kas veicina garīgās un fiziskās spējas, piedalās komandas veidošanā, plāno, sadala darba uzdevumus, palīdz un atbalsta citus.</w:t>
            </w:r>
          </w:p>
          <w:p w:rsidR="00EB12CC" w:rsidRPr="00DE1A22" w:rsidRDefault="00EB12CC" w:rsidP="00EB12CC">
            <w:pPr>
              <w:contextualSpacing/>
              <w:jc w:val="both"/>
              <w:rPr>
                <w:rFonts w:eastAsia="Times New Roman"/>
                <w:sz w:val="24"/>
                <w:szCs w:val="24"/>
                <w:lang w:eastAsia="lv-LV"/>
              </w:rPr>
            </w:pPr>
          </w:p>
          <w:p w:rsidR="00EB12CC" w:rsidRPr="00DE1A22" w:rsidRDefault="00EB12CC" w:rsidP="00EB12CC">
            <w:pPr>
              <w:jc w:val="both"/>
              <w:rPr>
                <w:rFonts w:eastAsia="Times New Roman"/>
                <w:sz w:val="24"/>
                <w:szCs w:val="24"/>
              </w:rPr>
            </w:pPr>
            <w:r w:rsidRPr="00DE1A22">
              <w:rPr>
                <w:rFonts w:eastAsia="Times New Roman"/>
                <w:sz w:val="24"/>
                <w:szCs w:val="24"/>
                <w:lang w:eastAsia="lv-LV"/>
              </w:rPr>
              <w:t xml:space="preserve">Sasniedzamie rezultāti dabaszinātņu mācību jomā, beidzot 9.klasi, piemēram, nosaka, ka skolēns rīkojas atbildīgi pret savu un citu veselību, veidojot ieteikumus un secinot par dzīvesveida (uzturs, fiziskās aktivitātes, kaitīgie ieradumi), dienas režīma un vides apstākļu ietekmi uz </w:t>
            </w:r>
            <w:r w:rsidRPr="00DE1A22">
              <w:rPr>
                <w:rFonts w:eastAsia="Times New Roman"/>
                <w:sz w:val="24"/>
                <w:szCs w:val="24"/>
                <w:lang w:eastAsia="lv-LV"/>
              </w:rPr>
              <w:lastRenderedPageBreak/>
              <w:t>organisma veselību, izmantojot daudzveidīgos informācijas avotos atspoguļoto informāciju un izvērtējot tās ticamību.</w:t>
            </w:r>
          </w:p>
        </w:tc>
        <w:tc>
          <w:tcPr>
            <w:tcW w:w="3118" w:type="dxa"/>
            <w:shd w:val="clear" w:color="auto" w:fill="auto"/>
          </w:tcPr>
          <w:p w:rsidR="00EB12CC" w:rsidRPr="00DE1A22" w:rsidRDefault="00EB12CC" w:rsidP="00EB12CC">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EB12CC" w:rsidRPr="00DE1A22" w:rsidRDefault="00EB12CC" w:rsidP="00EB12CC">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rsidR="00EB12CC" w:rsidRPr="00DE1A22" w:rsidRDefault="00CC79DF" w:rsidP="00EB12CC">
            <w:pPr>
              <w:jc w:val="both"/>
              <w:rPr>
                <w:rFonts w:eastAsia="Times New Roman"/>
                <w:sz w:val="24"/>
                <w:szCs w:val="24"/>
              </w:rPr>
            </w:pPr>
            <w:r w:rsidRPr="00DE1A22">
              <w:rPr>
                <w:rFonts w:eastAsia="Times New Roman"/>
                <w:bCs/>
                <w:sz w:val="24"/>
                <w:szCs w:val="24"/>
                <w:lang w:eastAsia="lv-LV"/>
              </w:rPr>
              <w:t>Jaunā redakcija – 2.3.1. apakšpunkts.</w:t>
            </w:r>
          </w:p>
        </w:tc>
      </w:tr>
      <w:tr w:rsidR="00EB12CC" w:rsidRPr="00DE1A22" w:rsidTr="00BF4AE7">
        <w:trPr>
          <w:trHeight w:val="1959"/>
        </w:trPr>
        <w:tc>
          <w:tcPr>
            <w:tcW w:w="846" w:type="dxa"/>
            <w:gridSpan w:val="2"/>
            <w:shd w:val="clear" w:color="auto" w:fill="auto"/>
          </w:tcPr>
          <w:p w:rsidR="00EB12CC" w:rsidRPr="00DE1A22" w:rsidRDefault="00EB12CC" w:rsidP="00EB12CC">
            <w:pPr>
              <w:jc w:val="center"/>
              <w:rPr>
                <w:rFonts w:eastAsia="Times New Roman"/>
                <w:sz w:val="24"/>
                <w:szCs w:val="24"/>
                <w:lang w:eastAsia="lv-LV"/>
              </w:rPr>
            </w:pPr>
            <w:r w:rsidRPr="00DE1A22">
              <w:rPr>
                <w:rFonts w:eastAsia="Times New Roman"/>
                <w:sz w:val="24"/>
                <w:szCs w:val="24"/>
                <w:lang w:eastAsia="lv-LV"/>
              </w:rPr>
              <w:lastRenderedPageBreak/>
              <w:t>4</w:t>
            </w:r>
            <w:r w:rsidR="003D73B0" w:rsidRPr="00DE1A22">
              <w:rPr>
                <w:rFonts w:eastAsia="Times New Roman"/>
                <w:sz w:val="24"/>
                <w:szCs w:val="24"/>
                <w:lang w:eastAsia="lv-LV"/>
              </w:rPr>
              <w:t>5</w:t>
            </w:r>
            <w:r w:rsidRPr="00DE1A22">
              <w:rPr>
                <w:rFonts w:eastAsia="Times New Roman"/>
                <w:sz w:val="24"/>
                <w:szCs w:val="24"/>
                <w:lang w:eastAsia="lv-LV"/>
              </w:rPr>
              <w:t>.</w:t>
            </w:r>
          </w:p>
        </w:tc>
        <w:tc>
          <w:tcPr>
            <w:tcW w:w="2977" w:type="dxa"/>
            <w:shd w:val="clear" w:color="auto" w:fill="auto"/>
          </w:tcPr>
          <w:p w:rsidR="00EB12CC" w:rsidRPr="00DE1A22" w:rsidRDefault="00EB12CC" w:rsidP="00EB12CC">
            <w:pPr>
              <w:jc w:val="both"/>
              <w:rPr>
                <w:rFonts w:eastAsia="Times New Roman"/>
                <w:sz w:val="24"/>
                <w:szCs w:val="24"/>
                <w:lang w:eastAsia="lv-LV"/>
              </w:rPr>
            </w:pPr>
            <w:r w:rsidRPr="00DE1A22">
              <w:rPr>
                <w:rFonts w:eastAsia="Times New Roman"/>
                <w:sz w:val="24"/>
                <w:szCs w:val="24"/>
                <w:lang w:eastAsia="lv-LV"/>
              </w:rPr>
              <w:t>Projekta pielikuma 2.2.1. apakšpunkts “Izglītība un informētība”.</w:t>
            </w:r>
          </w:p>
        </w:tc>
        <w:tc>
          <w:tcPr>
            <w:tcW w:w="4394" w:type="dxa"/>
            <w:shd w:val="clear" w:color="auto" w:fill="auto"/>
          </w:tcPr>
          <w:p w:rsidR="00EB12CC" w:rsidRPr="00DE1A22" w:rsidRDefault="00EB12CC" w:rsidP="00EB12CC">
            <w:pPr>
              <w:contextualSpacing/>
              <w:jc w:val="both"/>
              <w:rPr>
                <w:rFonts w:eastAsia="Times New Roman"/>
                <w:b/>
                <w:sz w:val="24"/>
                <w:szCs w:val="24"/>
                <w:lang w:eastAsia="lv-LV"/>
              </w:rPr>
            </w:pPr>
            <w:r w:rsidRPr="00DE1A22">
              <w:rPr>
                <w:rFonts w:eastAsia="Times New Roman"/>
                <w:b/>
                <w:sz w:val="24"/>
                <w:szCs w:val="24"/>
                <w:lang w:eastAsia="lv-LV"/>
              </w:rPr>
              <w:t>Izglītības un zinātnes ministrija (23.01.2019. Nr.4-3.2e-PAD/19/10)</w:t>
            </w:r>
          </w:p>
          <w:p w:rsidR="00EB12CC" w:rsidRPr="00DE1A22" w:rsidRDefault="00EB12CC" w:rsidP="00EB12CC">
            <w:pPr>
              <w:jc w:val="both"/>
              <w:rPr>
                <w:rFonts w:eastAsia="Times New Roman"/>
                <w:sz w:val="24"/>
                <w:szCs w:val="24"/>
              </w:rPr>
            </w:pPr>
            <w:r w:rsidRPr="00DE1A22">
              <w:rPr>
                <w:rFonts w:eastAsia="Times New Roman"/>
                <w:sz w:val="24"/>
                <w:szCs w:val="24"/>
                <w:lang w:eastAsia="lv-LV"/>
              </w:rPr>
              <w:t>Svītrot no pamatnostādņu pielikuma 2.2.1.apakšpunkta ceturtās rindkopas pēdējos divus teikumus, kas sākas ar vārdiem – Jaunajā izglītības standartā... – tālāk kā tekstā.</w:t>
            </w:r>
          </w:p>
        </w:tc>
        <w:tc>
          <w:tcPr>
            <w:tcW w:w="3118" w:type="dxa"/>
            <w:shd w:val="clear" w:color="auto" w:fill="auto"/>
          </w:tcPr>
          <w:p w:rsidR="00EB12CC" w:rsidRPr="00DE1A22" w:rsidRDefault="00EB12CC" w:rsidP="00EB12CC">
            <w:pPr>
              <w:jc w:val="center"/>
              <w:rPr>
                <w:rFonts w:eastAsia="Times New Roman"/>
                <w:b/>
                <w:bCs/>
                <w:sz w:val="24"/>
                <w:szCs w:val="24"/>
                <w:lang w:eastAsia="lv-LV"/>
              </w:rPr>
            </w:pPr>
            <w:r w:rsidRPr="00DE1A22">
              <w:rPr>
                <w:rFonts w:eastAsia="Times New Roman"/>
                <w:b/>
                <w:bCs/>
                <w:sz w:val="24"/>
                <w:szCs w:val="24"/>
                <w:lang w:eastAsia="lv-LV"/>
              </w:rPr>
              <w:t>Ņemts vērā.</w:t>
            </w:r>
          </w:p>
          <w:p w:rsidR="00EB12CC" w:rsidRPr="00DE1A22" w:rsidRDefault="00EB12CC" w:rsidP="00EB12CC">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rsidR="00EB12CC" w:rsidRPr="00DE1A22" w:rsidRDefault="00CC79DF" w:rsidP="00EB12CC">
            <w:pPr>
              <w:jc w:val="both"/>
              <w:rPr>
                <w:rFonts w:eastAsia="Times New Roman"/>
                <w:sz w:val="24"/>
                <w:szCs w:val="24"/>
              </w:rPr>
            </w:pPr>
            <w:r w:rsidRPr="00DE1A22">
              <w:rPr>
                <w:rFonts w:eastAsia="Times New Roman"/>
                <w:bCs/>
                <w:sz w:val="24"/>
                <w:szCs w:val="24"/>
                <w:lang w:eastAsia="lv-LV"/>
              </w:rPr>
              <w:t>Jaunā redakcija – 2.3.1. apakšpunkts.</w:t>
            </w:r>
          </w:p>
        </w:tc>
      </w:tr>
      <w:tr w:rsidR="00EB12CC" w:rsidRPr="00DE1A22" w:rsidTr="00BF4AE7">
        <w:trPr>
          <w:trHeight w:val="1978"/>
        </w:trPr>
        <w:tc>
          <w:tcPr>
            <w:tcW w:w="846" w:type="dxa"/>
            <w:gridSpan w:val="2"/>
            <w:shd w:val="clear" w:color="auto" w:fill="auto"/>
          </w:tcPr>
          <w:p w:rsidR="00EB12CC" w:rsidRPr="00DE1A22" w:rsidRDefault="00EB12CC" w:rsidP="00EB12CC">
            <w:pPr>
              <w:jc w:val="center"/>
              <w:rPr>
                <w:rFonts w:eastAsia="Times New Roman"/>
                <w:sz w:val="24"/>
                <w:szCs w:val="24"/>
                <w:lang w:eastAsia="lv-LV"/>
              </w:rPr>
            </w:pPr>
            <w:r w:rsidRPr="00DE1A22">
              <w:rPr>
                <w:rFonts w:eastAsia="Times New Roman"/>
                <w:sz w:val="24"/>
                <w:szCs w:val="24"/>
                <w:lang w:eastAsia="lv-LV"/>
              </w:rPr>
              <w:t>4</w:t>
            </w:r>
            <w:r w:rsidR="003D73B0" w:rsidRPr="00DE1A22">
              <w:rPr>
                <w:rFonts w:eastAsia="Times New Roman"/>
                <w:sz w:val="24"/>
                <w:szCs w:val="24"/>
                <w:lang w:eastAsia="lv-LV"/>
              </w:rPr>
              <w:t>6</w:t>
            </w:r>
            <w:r w:rsidRPr="00DE1A22">
              <w:rPr>
                <w:rFonts w:eastAsia="Times New Roman"/>
                <w:sz w:val="24"/>
                <w:szCs w:val="24"/>
                <w:lang w:eastAsia="lv-LV"/>
              </w:rPr>
              <w:t>.</w:t>
            </w:r>
          </w:p>
        </w:tc>
        <w:tc>
          <w:tcPr>
            <w:tcW w:w="2977" w:type="dxa"/>
            <w:shd w:val="clear" w:color="auto" w:fill="auto"/>
          </w:tcPr>
          <w:p w:rsidR="00EB12CC" w:rsidRPr="00DE1A22" w:rsidRDefault="00EB12CC" w:rsidP="00EB12CC">
            <w:pPr>
              <w:jc w:val="both"/>
              <w:rPr>
                <w:rFonts w:eastAsia="Times New Roman"/>
                <w:sz w:val="24"/>
                <w:szCs w:val="24"/>
                <w:lang w:eastAsia="lv-LV"/>
              </w:rPr>
            </w:pPr>
            <w:r w:rsidRPr="00DE1A22">
              <w:rPr>
                <w:rFonts w:eastAsia="Times New Roman"/>
                <w:sz w:val="24"/>
                <w:szCs w:val="24"/>
                <w:lang w:eastAsia="lv-LV"/>
              </w:rPr>
              <w:t>Projekta pielikuma 2.2.1.apakšpunkts “Izglītība un informētība”.</w:t>
            </w:r>
          </w:p>
        </w:tc>
        <w:tc>
          <w:tcPr>
            <w:tcW w:w="4394" w:type="dxa"/>
            <w:shd w:val="clear" w:color="auto" w:fill="auto"/>
          </w:tcPr>
          <w:p w:rsidR="00EB12CC" w:rsidRPr="00DE1A22" w:rsidRDefault="00EB12CC" w:rsidP="00EB12CC">
            <w:pPr>
              <w:contextualSpacing/>
              <w:jc w:val="both"/>
              <w:rPr>
                <w:rFonts w:eastAsia="Times New Roman"/>
                <w:b/>
                <w:sz w:val="24"/>
                <w:szCs w:val="24"/>
                <w:lang w:eastAsia="lv-LV"/>
              </w:rPr>
            </w:pPr>
            <w:r w:rsidRPr="00DE1A22">
              <w:rPr>
                <w:rFonts w:eastAsia="Times New Roman"/>
                <w:b/>
                <w:sz w:val="24"/>
                <w:szCs w:val="24"/>
                <w:lang w:eastAsia="lv-LV"/>
              </w:rPr>
              <w:t>Izglītības un zinātnes ministrija (23.01.2019. Nr.4-3.2e-PAD/19/10)</w:t>
            </w:r>
          </w:p>
          <w:p w:rsidR="00EB12CC" w:rsidRPr="00DE1A22" w:rsidRDefault="00EB12CC" w:rsidP="00EB12CC">
            <w:pPr>
              <w:jc w:val="both"/>
              <w:rPr>
                <w:rFonts w:eastAsia="Times New Roman"/>
                <w:sz w:val="24"/>
                <w:szCs w:val="24"/>
              </w:rPr>
            </w:pPr>
            <w:r w:rsidRPr="00DE1A22">
              <w:rPr>
                <w:rFonts w:eastAsia="Times New Roman"/>
                <w:sz w:val="24"/>
                <w:szCs w:val="24"/>
                <w:lang w:eastAsia="lv-LV"/>
              </w:rPr>
              <w:t>Svītrot no pamatnostādņu pielikuma 2.2.1.apakšpunkta pēdējo rindkopu, kas sākas ar vārdiem – 7.5.1. Rīkojas atbildīgi pret savu un citu veselību... – tālāk kā tekstā.</w:t>
            </w:r>
          </w:p>
        </w:tc>
        <w:tc>
          <w:tcPr>
            <w:tcW w:w="3118" w:type="dxa"/>
            <w:shd w:val="clear" w:color="auto" w:fill="auto"/>
          </w:tcPr>
          <w:p w:rsidR="00EB12CC" w:rsidRPr="00DE1A22" w:rsidRDefault="00EB12CC" w:rsidP="00EB12CC">
            <w:pPr>
              <w:jc w:val="center"/>
              <w:rPr>
                <w:rFonts w:eastAsia="Times New Roman"/>
                <w:b/>
                <w:bCs/>
                <w:sz w:val="24"/>
                <w:szCs w:val="24"/>
                <w:lang w:eastAsia="lv-LV"/>
              </w:rPr>
            </w:pPr>
            <w:r w:rsidRPr="00DE1A22">
              <w:rPr>
                <w:rFonts w:eastAsia="Times New Roman"/>
                <w:b/>
                <w:bCs/>
                <w:sz w:val="24"/>
                <w:szCs w:val="24"/>
                <w:lang w:eastAsia="lv-LV"/>
              </w:rPr>
              <w:t>Ņemts vērā.</w:t>
            </w:r>
          </w:p>
          <w:p w:rsidR="00EB12CC" w:rsidRPr="00DE1A22" w:rsidRDefault="00EB12CC" w:rsidP="00EB12CC">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rsidR="00EB12CC" w:rsidRPr="00DE1A22" w:rsidRDefault="00CC79DF" w:rsidP="00EB12CC">
            <w:pPr>
              <w:jc w:val="both"/>
              <w:rPr>
                <w:rFonts w:eastAsia="Times New Roman"/>
                <w:sz w:val="24"/>
                <w:szCs w:val="24"/>
              </w:rPr>
            </w:pPr>
            <w:r w:rsidRPr="00DE1A22">
              <w:rPr>
                <w:rFonts w:eastAsia="Times New Roman"/>
                <w:bCs/>
                <w:sz w:val="24"/>
                <w:szCs w:val="24"/>
                <w:lang w:eastAsia="lv-LV"/>
              </w:rPr>
              <w:t>Jaunā redakcija – 2.3.1. apakšpunkts.</w:t>
            </w:r>
          </w:p>
        </w:tc>
      </w:tr>
      <w:tr w:rsidR="00EB12CC" w:rsidRPr="00DE1A22" w:rsidTr="00BF4AE7">
        <w:trPr>
          <w:trHeight w:val="2543"/>
        </w:trPr>
        <w:tc>
          <w:tcPr>
            <w:tcW w:w="846" w:type="dxa"/>
            <w:gridSpan w:val="2"/>
            <w:shd w:val="clear" w:color="auto" w:fill="auto"/>
          </w:tcPr>
          <w:p w:rsidR="00EB12CC" w:rsidRPr="00DE1A22" w:rsidRDefault="00EB12CC" w:rsidP="00EB12CC">
            <w:pPr>
              <w:jc w:val="center"/>
              <w:rPr>
                <w:rFonts w:eastAsia="Times New Roman"/>
                <w:sz w:val="24"/>
                <w:szCs w:val="24"/>
                <w:lang w:eastAsia="lv-LV"/>
              </w:rPr>
            </w:pPr>
            <w:r w:rsidRPr="00DE1A22">
              <w:rPr>
                <w:rFonts w:eastAsia="Times New Roman"/>
                <w:sz w:val="24"/>
                <w:szCs w:val="24"/>
                <w:lang w:eastAsia="lv-LV"/>
              </w:rPr>
              <w:t>4</w:t>
            </w:r>
            <w:r w:rsidR="003D73B0" w:rsidRPr="00DE1A22">
              <w:rPr>
                <w:rFonts w:eastAsia="Times New Roman"/>
                <w:sz w:val="24"/>
                <w:szCs w:val="24"/>
                <w:lang w:eastAsia="lv-LV"/>
              </w:rPr>
              <w:t>7</w:t>
            </w:r>
            <w:r w:rsidRPr="00DE1A22">
              <w:rPr>
                <w:rFonts w:eastAsia="Times New Roman"/>
                <w:sz w:val="24"/>
                <w:szCs w:val="24"/>
                <w:lang w:eastAsia="lv-LV"/>
              </w:rPr>
              <w:t>.</w:t>
            </w:r>
          </w:p>
        </w:tc>
        <w:tc>
          <w:tcPr>
            <w:tcW w:w="2977" w:type="dxa"/>
            <w:shd w:val="clear" w:color="auto" w:fill="auto"/>
          </w:tcPr>
          <w:p w:rsidR="00EB12CC" w:rsidRPr="00DE1A22" w:rsidRDefault="00EB12CC" w:rsidP="00EB12CC">
            <w:pPr>
              <w:jc w:val="both"/>
              <w:rPr>
                <w:rFonts w:eastAsia="Times New Roman"/>
                <w:sz w:val="24"/>
                <w:szCs w:val="24"/>
                <w:lang w:eastAsia="lv-LV"/>
              </w:rPr>
            </w:pPr>
            <w:r w:rsidRPr="00DE1A22">
              <w:rPr>
                <w:rFonts w:eastAsia="Times New Roman"/>
                <w:sz w:val="24"/>
                <w:szCs w:val="24"/>
                <w:lang w:eastAsia="lv-LV"/>
              </w:rPr>
              <w:t>Projekta pielikuma 4. sadaļa “Azartspēļu un izložu pieejamība, darbības vietas un to regulēšana” (59.lpp.)</w:t>
            </w:r>
          </w:p>
        </w:tc>
        <w:tc>
          <w:tcPr>
            <w:tcW w:w="4394" w:type="dxa"/>
            <w:shd w:val="clear" w:color="auto" w:fill="auto"/>
          </w:tcPr>
          <w:p w:rsidR="00EB12CC" w:rsidRPr="00DE1A22" w:rsidRDefault="00EB12CC" w:rsidP="00EB12CC">
            <w:pPr>
              <w:contextualSpacing/>
              <w:jc w:val="both"/>
              <w:rPr>
                <w:rFonts w:eastAsia="Times New Roman"/>
                <w:b/>
                <w:sz w:val="24"/>
                <w:szCs w:val="24"/>
                <w:lang w:eastAsia="lv-LV"/>
              </w:rPr>
            </w:pPr>
            <w:r w:rsidRPr="00DE1A22">
              <w:rPr>
                <w:rFonts w:eastAsia="Times New Roman"/>
                <w:b/>
                <w:sz w:val="24"/>
                <w:szCs w:val="24"/>
                <w:lang w:eastAsia="lv-LV"/>
              </w:rPr>
              <w:t>Latvijas Lielo pilsētu asociācija (25.01.2019. Nr.5-1/16)</w:t>
            </w:r>
          </w:p>
          <w:p w:rsidR="00EB12CC" w:rsidRPr="00DE1A22" w:rsidRDefault="00EB12CC" w:rsidP="000C2873">
            <w:pPr>
              <w:jc w:val="both"/>
              <w:rPr>
                <w:rFonts w:eastAsia="Times New Roman"/>
                <w:sz w:val="24"/>
                <w:szCs w:val="24"/>
              </w:rPr>
            </w:pPr>
            <w:r w:rsidRPr="00DE1A22">
              <w:rPr>
                <w:rFonts w:eastAsia="Times New Roman"/>
                <w:sz w:val="24"/>
                <w:szCs w:val="24"/>
                <w:lang w:eastAsia="lv-LV"/>
              </w:rPr>
              <w:t xml:space="preserve">LLPA jau iepriekš ir sniegusi priekšlikumu par konkrētu teritoriju noteikšanu, tādēļ atbalstāms ir 4.variants, kur pašvaldībai izvērtējot konkrētos pilsētas attīstības modeļus tiesības noteikt teritorijas. Vienlaikus, papildinot ar 3.variantā noteikto par tiesībām paplašināt AIL minēto azartspēļu organizēšanas vietu ierobežojumu uzskaitījumu, papildus AIL šobrīd atrunātajam, azartspēles tiek </w:t>
            </w:r>
            <w:r w:rsidRPr="00DE1A22">
              <w:rPr>
                <w:rFonts w:eastAsia="Times New Roman"/>
                <w:sz w:val="24"/>
                <w:szCs w:val="24"/>
                <w:lang w:eastAsia="lv-LV"/>
              </w:rPr>
              <w:lastRenderedPageBreak/>
              <w:t>aizliegts organizēt dzīvojamo rajonu teritorijās, kā arī 0,2 km attālumā no AIL 41. panta otrajā daļā minētajām vietām.</w:t>
            </w:r>
          </w:p>
        </w:tc>
        <w:tc>
          <w:tcPr>
            <w:tcW w:w="3118" w:type="dxa"/>
            <w:shd w:val="clear" w:color="auto" w:fill="auto"/>
          </w:tcPr>
          <w:p w:rsidR="00EB12CC" w:rsidRPr="00DE1A22" w:rsidRDefault="00EB12CC" w:rsidP="00EB12CC">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EB12CC" w:rsidRPr="00DE1A22" w:rsidRDefault="00EB12CC" w:rsidP="00EB12CC">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rsidR="00EB12CC" w:rsidRPr="00DE1A22" w:rsidRDefault="00CC79DF" w:rsidP="00EB12CC">
            <w:pPr>
              <w:jc w:val="both"/>
              <w:rPr>
                <w:rFonts w:eastAsia="Times New Roman"/>
                <w:sz w:val="24"/>
                <w:szCs w:val="24"/>
              </w:rPr>
            </w:pPr>
            <w:r w:rsidRPr="00DE1A22">
              <w:rPr>
                <w:rFonts w:eastAsia="Times New Roman"/>
                <w:bCs/>
                <w:sz w:val="24"/>
                <w:szCs w:val="24"/>
                <w:lang w:eastAsia="lv-LV"/>
              </w:rPr>
              <w:t>Projekts atbilstošu precizēts.</w:t>
            </w:r>
          </w:p>
        </w:tc>
      </w:tr>
      <w:tr w:rsidR="00EB12CC" w:rsidRPr="00DE1A22" w:rsidTr="00BF4AE7">
        <w:trPr>
          <w:trHeight w:val="2543"/>
        </w:trPr>
        <w:tc>
          <w:tcPr>
            <w:tcW w:w="846" w:type="dxa"/>
            <w:gridSpan w:val="2"/>
            <w:shd w:val="clear" w:color="auto" w:fill="auto"/>
          </w:tcPr>
          <w:p w:rsidR="00EB12CC" w:rsidRPr="00DE1A22" w:rsidRDefault="00EB12CC" w:rsidP="00EB12CC">
            <w:pPr>
              <w:jc w:val="center"/>
              <w:rPr>
                <w:rFonts w:eastAsia="Times New Roman"/>
                <w:sz w:val="24"/>
                <w:szCs w:val="24"/>
                <w:lang w:eastAsia="lv-LV"/>
              </w:rPr>
            </w:pPr>
            <w:r w:rsidRPr="00DE1A22">
              <w:rPr>
                <w:rFonts w:eastAsia="Times New Roman"/>
                <w:sz w:val="24"/>
                <w:szCs w:val="24"/>
                <w:lang w:eastAsia="lv-LV"/>
              </w:rPr>
              <w:t>4</w:t>
            </w:r>
            <w:r w:rsidR="003D73B0" w:rsidRPr="00DE1A22">
              <w:rPr>
                <w:rFonts w:eastAsia="Times New Roman"/>
                <w:sz w:val="24"/>
                <w:szCs w:val="24"/>
                <w:lang w:eastAsia="lv-LV"/>
              </w:rPr>
              <w:t>8</w:t>
            </w:r>
            <w:r w:rsidRPr="00DE1A22">
              <w:rPr>
                <w:rFonts w:eastAsia="Times New Roman"/>
                <w:sz w:val="24"/>
                <w:szCs w:val="24"/>
                <w:lang w:eastAsia="lv-LV"/>
              </w:rPr>
              <w:t>.</w:t>
            </w:r>
          </w:p>
        </w:tc>
        <w:tc>
          <w:tcPr>
            <w:tcW w:w="2977" w:type="dxa"/>
            <w:shd w:val="clear" w:color="auto" w:fill="auto"/>
          </w:tcPr>
          <w:p w:rsidR="00EB12CC" w:rsidRPr="00DE1A22" w:rsidRDefault="00EB12CC" w:rsidP="00EB12CC">
            <w:pPr>
              <w:jc w:val="both"/>
              <w:rPr>
                <w:rFonts w:eastAsia="Times New Roman"/>
                <w:sz w:val="24"/>
                <w:szCs w:val="24"/>
                <w:lang w:eastAsia="lv-LV"/>
              </w:rPr>
            </w:pPr>
            <w:r w:rsidRPr="00DE1A22">
              <w:rPr>
                <w:rFonts w:eastAsia="Times New Roman"/>
                <w:sz w:val="24"/>
                <w:szCs w:val="24"/>
                <w:lang w:eastAsia="lv-LV"/>
              </w:rPr>
              <w:t>Projekta pielikuma 4. sadaļa “Azartspēļu un izložu pieejamība, darbības vietas un to regulēšana” 3. risinājums “Azartspēļu organizēšanas vietas ierobežošanas nosacījumu atrunāšana likumā”.</w:t>
            </w:r>
          </w:p>
        </w:tc>
        <w:tc>
          <w:tcPr>
            <w:tcW w:w="4394" w:type="dxa"/>
            <w:shd w:val="clear" w:color="auto" w:fill="auto"/>
          </w:tcPr>
          <w:p w:rsidR="00EB12CC" w:rsidRPr="00DE1A22" w:rsidRDefault="00EB12CC" w:rsidP="00EB12CC">
            <w:pPr>
              <w:contextualSpacing/>
              <w:jc w:val="both"/>
              <w:rPr>
                <w:rFonts w:eastAsia="Times New Roman"/>
                <w:b/>
                <w:sz w:val="24"/>
                <w:szCs w:val="24"/>
                <w:lang w:eastAsia="lv-LV"/>
              </w:rPr>
            </w:pPr>
            <w:r w:rsidRPr="00DE1A22">
              <w:rPr>
                <w:rFonts w:eastAsia="Times New Roman"/>
                <w:b/>
                <w:sz w:val="24"/>
                <w:szCs w:val="24"/>
                <w:lang w:eastAsia="lv-LV"/>
              </w:rPr>
              <w:t>Biedrība “Latvijas Spēļu biznesa asociācija” (30.01.2019. Nr.2/19)</w:t>
            </w:r>
          </w:p>
          <w:p w:rsidR="00EB12CC" w:rsidRPr="00DE1A22" w:rsidRDefault="00EB12CC" w:rsidP="00EB12CC">
            <w:pPr>
              <w:contextualSpacing/>
              <w:jc w:val="both"/>
              <w:rPr>
                <w:rFonts w:eastAsia="Times New Roman"/>
                <w:sz w:val="24"/>
                <w:szCs w:val="24"/>
                <w:lang w:eastAsia="lv-LV"/>
              </w:rPr>
            </w:pPr>
            <w:r w:rsidRPr="00DE1A22">
              <w:rPr>
                <w:rFonts w:eastAsia="Times New Roman"/>
                <w:sz w:val="24"/>
                <w:szCs w:val="24"/>
                <w:lang w:eastAsia="lv-LV"/>
              </w:rPr>
              <w:t xml:space="preserve">Ņemot vērā, ka jautājums jau ilgstoši ir radījis strīdus situācijas – pamatnostādnēs izvirzītos potenciālos priekšlikumus ir nepieciešams detalizēti diskutēt VARAM, pašvaldību, FM un nozares sarunu formātā - atbilstoši vienošanai, kāda tika panākta pamatnostādņu izstrādes darba grupā. </w:t>
            </w:r>
          </w:p>
          <w:p w:rsidR="00EB12CC" w:rsidRPr="00DE1A22" w:rsidRDefault="00EB12CC" w:rsidP="00EB12CC">
            <w:pPr>
              <w:contextualSpacing/>
              <w:jc w:val="both"/>
              <w:rPr>
                <w:rFonts w:eastAsia="Times New Roman"/>
                <w:sz w:val="24"/>
                <w:szCs w:val="24"/>
                <w:lang w:eastAsia="lv-LV"/>
              </w:rPr>
            </w:pPr>
            <w:r w:rsidRPr="00DE1A22">
              <w:rPr>
                <w:rFonts w:eastAsia="Times New Roman"/>
                <w:sz w:val="24"/>
                <w:szCs w:val="24"/>
                <w:lang w:eastAsia="lv-LV"/>
              </w:rPr>
              <w:t>LSBA norāda, ka diskusiju pamats un tēze – nosakot ierobežojumus azartspēļu pieejamībai, būtu jāvērtē, vai konkrētajā gadījumā tieši aizliegums ir samērīgākais veids, kā sabalansēt nozares ilgtermiņa attīstību un atkarības mazināšanas aspektus, ņemot vēra spēlētāja neierobežotās iespējas pāriet uz interaktīvo vidi un nelicencētām azartspēlēm – ir precizējuma, skaidri norādot, ka risks ir tieši nelegālajām piedāvājumā gan interaktīvajā vidē, gan arī uz zemes.</w:t>
            </w:r>
          </w:p>
          <w:p w:rsidR="00EB12CC" w:rsidRPr="00DE1A22" w:rsidRDefault="00EB12CC" w:rsidP="00EB12CC">
            <w:pPr>
              <w:contextualSpacing/>
              <w:jc w:val="both"/>
              <w:rPr>
                <w:rFonts w:eastAsia="Times New Roman"/>
                <w:sz w:val="24"/>
                <w:szCs w:val="24"/>
                <w:lang w:eastAsia="lv-LV"/>
              </w:rPr>
            </w:pPr>
            <w:r w:rsidRPr="00DE1A22">
              <w:rPr>
                <w:rFonts w:eastAsia="Times New Roman"/>
                <w:sz w:val="24"/>
                <w:szCs w:val="24"/>
                <w:lang w:eastAsia="lv-LV"/>
              </w:rPr>
              <w:t xml:space="preserve">LSBA vērtējumā būtu atbalstāms koncepts, ka ir nepieciešama kompleksa pieeja, lai neradītu, piemēram, iemeslus faktiski manipulēt ar lozungu par azartspēļu vietu </w:t>
            </w:r>
            <w:r w:rsidRPr="00DE1A22">
              <w:rPr>
                <w:rFonts w:eastAsia="Times New Roman"/>
                <w:sz w:val="24"/>
                <w:szCs w:val="24"/>
                <w:lang w:eastAsia="lv-LV"/>
              </w:rPr>
              <w:lastRenderedPageBreak/>
              <w:t xml:space="preserve">aizvēršanu kā politisku instrumentu priekšvēlēšanu cīņās.  </w:t>
            </w:r>
          </w:p>
          <w:p w:rsidR="00EB12CC" w:rsidRPr="00DE1A22" w:rsidRDefault="00EB12CC" w:rsidP="00EB12CC">
            <w:pPr>
              <w:contextualSpacing/>
              <w:jc w:val="both"/>
              <w:rPr>
                <w:rFonts w:eastAsia="Times New Roman"/>
                <w:sz w:val="24"/>
                <w:szCs w:val="24"/>
                <w:lang w:eastAsia="lv-LV"/>
              </w:rPr>
            </w:pPr>
            <w:r w:rsidRPr="00DE1A22">
              <w:rPr>
                <w:rFonts w:eastAsia="Times New Roman"/>
                <w:sz w:val="24"/>
                <w:szCs w:val="24"/>
                <w:lang w:eastAsia="lv-LV"/>
              </w:rPr>
              <w:t>Ievērojot minēto, LSBA aicina pārskatīt Pamatnostādņu 1.pielikumā (60.lpp.) ietverto secinājumu:</w:t>
            </w:r>
          </w:p>
          <w:p w:rsidR="00EB12CC" w:rsidRPr="00DE1A22" w:rsidRDefault="00EB12CC" w:rsidP="000C2873">
            <w:pPr>
              <w:jc w:val="both"/>
              <w:rPr>
                <w:rFonts w:eastAsia="Times New Roman"/>
                <w:sz w:val="24"/>
                <w:szCs w:val="24"/>
              </w:rPr>
            </w:pPr>
            <w:r w:rsidRPr="00DE1A22">
              <w:rPr>
                <w:rFonts w:eastAsia="Times New Roman"/>
                <w:sz w:val="24"/>
                <w:szCs w:val="24"/>
                <w:lang w:eastAsia="lv-LV"/>
              </w:rPr>
              <w:t>“Izvērtējot piedāvāto risinājumu priekšrocības un trūkumus, par atbilstošāko tiek uzskatīts 2.risinājuma variants, ņemot vērā tā samērīgumu, kā arī sabiedrības un nozares interešu sabalansētību.”</w:t>
            </w:r>
          </w:p>
        </w:tc>
        <w:tc>
          <w:tcPr>
            <w:tcW w:w="3118" w:type="dxa"/>
            <w:shd w:val="clear" w:color="auto" w:fill="auto"/>
          </w:tcPr>
          <w:p w:rsidR="00EB12CC" w:rsidRPr="00DE1A22" w:rsidRDefault="00EB12CC" w:rsidP="00EB12CC">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EB12CC" w:rsidRPr="00DE1A22" w:rsidRDefault="00EB12CC" w:rsidP="00EB12CC">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rsidR="00EB12CC" w:rsidRPr="00DE1A22" w:rsidRDefault="00CC79DF" w:rsidP="00EB12CC">
            <w:pPr>
              <w:jc w:val="both"/>
              <w:rPr>
                <w:rFonts w:eastAsia="Times New Roman"/>
                <w:sz w:val="24"/>
                <w:szCs w:val="24"/>
              </w:rPr>
            </w:pPr>
            <w:r w:rsidRPr="00DE1A22">
              <w:rPr>
                <w:rFonts w:eastAsia="Times New Roman"/>
                <w:bCs/>
                <w:sz w:val="24"/>
                <w:szCs w:val="24"/>
                <w:lang w:eastAsia="lv-LV"/>
              </w:rPr>
              <w:t>Projekts atbilstošu precizēts.</w:t>
            </w:r>
          </w:p>
        </w:tc>
      </w:tr>
      <w:tr w:rsidR="00EB12CC" w:rsidRPr="00DE1A22" w:rsidTr="00BF4AE7">
        <w:trPr>
          <w:trHeight w:val="2543"/>
        </w:trPr>
        <w:tc>
          <w:tcPr>
            <w:tcW w:w="846" w:type="dxa"/>
            <w:gridSpan w:val="2"/>
          </w:tcPr>
          <w:p w:rsidR="00EB12CC" w:rsidRPr="00DE1A22" w:rsidRDefault="00EB12CC" w:rsidP="00EB12CC">
            <w:pPr>
              <w:jc w:val="center"/>
              <w:rPr>
                <w:rFonts w:eastAsia="Times New Roman"/>
                <w:sz w:val="24"/>
                <w:szCs w:val="24"/>
                <w:lang w:eastAsia="lv-LV"/>
              </w:rPr>
            </w:pPr>
            <w:r w:rsidRPr="00DE1A22">
              <w:rPr>
                <w:rFonts w:eastAsia="Times New Roman"/>
                <w:sz w:val="24"/>
                <w:szCs w:val="24"/>
                <w:lang w:eastAsia="lv-LV"/>
              </w:rPr>
              <w:t>4</w:t>
            </w:r>
            <w:r w:rsidR="003D73B0" w:rsidRPr="00DE1A22">
              <w:rPr>
                <w:rFonts w:eastAsia="Times New Roman"/>
                <w:sz w:val="24"/>
                <w:szCs w:val="24"/>
                <w:lang w:eastAsia="lv-LV"/>
              </w:rPr>
              <w:t>9</w:t>
            </w:r>
            <w:r w:rsidRPr="00DE1A22">
              <w:rPr>
                <w:rFonts w:eastAsia="Times New Roman"/>
                <w:sz w:val="24"/>
                <w:szCs w:val="24"/>
                <w:lang w:eastAsia="lv-LV"/>
              </w:rPr>
              <w:t>.</w:t>
            </w:r>
          </w:p>
        </w:tc>
        <w:tc>
          <w:tcPr>
            <w:tcW w:w="2977" w:type="dxa"/>
          </w:tcPr>
          <w:p w:rsidR="00EB12CC" w:rsidRPr="00DE1A22" w:rsidRDefault="00EB12CC" w:rsidP="000C2873">
            <w:pPr>
              <w:jc w:val="both"/>
              <w:rPr>
                <w:rFonts w:eastAsia="Times New Roman"/>
                <w:sz w:val="24"/>
                <w:szCs w:val="24"/>
                <w:lang w:eastAsia="lv-LV"/>
              </w:rPr>
            </w:pPr>
            <w:r w:rsidRPr="00DE1A22">
              <w:rPr>
                <w:rFonts w:eastAsia="Times New Roman"/>
                <w:sz w:val="24"/>
                <w:szCs w:val="24"/>
                <w:lang w:eastAsia="lv-LV"/>
              </w:rPr>
              <w:t>Projekta pielikuma 7. sadaļa “Latvijā nelegālās un nelicencētas azartspēles un izlozes un to novēršana</w:t>
            </w:r>
            <w:r w:rsidR="009F4FBC" w:rsidRPr="00DE1A22">
              <w:rPr>
                <w:rFonts w:eastAsia="Times New Roman"/>
                <w:sz w:val="24"/>
                <w:szCs w:val="24"/>
                <w:lang w:eastAsia="lv-LV"/>
              </w:rPr>
              <w:t>.</w:t>
            </w:r>
            <w:r w:rsidRPr="00DE1A22">
              <w:rPr>
                <w:rFonts w:eastAsia="Times New Roman"/>
                <w:sz w:val="24"/>
                <w:szCs w:val="24"/>
                <w:lang w:eastAsia="lv-LV"/>
              </w:rPr>
              <w:t>”</w:t>
            </w:r>
          </w:p>
        </w:tc>
        <w:tc>
          <w:tcPr>
            <w:tcW w:w="4394" w:type="dxa"/>
          </w:tcPr>
          <w:p w:rsidR="00EB12CC" w:rsidRPr="00DE1A22" w:rsidRDefault="00EB12CC" w:rsidP="00EB12CC">
            <w:pPr>
              <w:contextualSpacing/>
              <w:jc w:val="both"/>
              <w:rPr>
                <w:rFonts w:eastAsia="Times New Roman"/>
                <w:b/>
                <w:sz w:val="24"/>
                <w:szCs w:val="24"/>
                <w:lang w:eastAsia="lv-LV"/>
              </w:rPr>
            </w:pPr>
            <w:r w:rsidRPr="00DE1A22">
              <w:rPr>
                <w:rFonts w:eastAsia="Times New Roman"/>
                <w:b/>
                <w:sz w:val="24"/>
                <w:szCs w:val="24"/>
                <w:lang w:eastAsia="lv-LV"/>
              </w:rPr>
              <w:t>Satiksmes ministrija (28.01.2019. Nr.03-03/13)</w:t>
            </w:r>
          </w:p>
          <w:p w:rsidR="00EB12CC" w:rsidRPr="00DE1A22" w:rsidRDefault="00EB12CC" w:rsidP="00EB12CC">
            <w:pPr>
              <w:contextualSpacing/>
              <w:jc w:val="both"/>
              <w:rPr>
                <w:rFonts w:eastAsia="Times New Roman"/>
                <w:sz w:val="24"/>
                <w:szCs w:val="24"/>
                <w:lang w:eastAsia="lv-LV"/>
              </w:rPr>
            </w:pPr>
            <w:r w:rsidRPr="00DE1A22">
              <w:rPr>
                <w:rFonts w:eastAsia="Times New Roman"/>
                <w:sz w:val="24"/>
                <w:szCs w:val="24"/>
                <w:lang w:eastAsia="lv-LV"/>
              </w:rPr>
              <w:t>Norādām uz Pielikuma sadaļā “7. Latvijā nelegālās un nelicencētas azartspēles un izlozes un to novēršana” minēto pētījumu atsauču neatbilstībām un lūdzam tās precizēt:</w:t>
            </w:r>
          </w:p>
          <w:p w:rsidR="00EB12CC" w:rsidRPr="00DE1A22" w:rsidRDefault="00EB12CC" w:rsidP="00EB12CC">
            <w:pPr>
              <w:contextualSpacing/>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Pielikuma sadaļā “7. Latvijā nelegālās un nelicencētas azartspēles un izlozes un to novēršana” ir minēts H2 Gambling Capital 2018.gada pētījums. Turpat ir norādīta atsauce (hiperlinks) uz pētījumu, bet, izmantojot minēto atsauci, lai iepazītos ar pētījuma datiem, pētījums nav atrodams, līdz ar to nav iespējams izvērtēt Pielikumā iekļauto datu atbilstību pētījumam. Lūdzam ievietot darbojošos atsauci.</w:t>
            </w:r>
          </w:p>
          <w:p w:rsidR="00EB12CC" w:rsidRPr="00DE1A22" w:rsidRDefault="00EB12CC" w:rsidP="00EB12CC">
            <w:pPr>
              <w:contextualSpacing/>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 xml:space="preserve">Pielikuma sadaļā “7. Latvijā nelegālās un nelicencētas azartspēles un izlozes un to novēršana” ir minēts VAS “Latvijas Loto” organizēti Idea Havas Media pētījumi “Tiešsaistes spēlēšanas pieredzes un pakalpojumu sniedzēju atpazīstamības izvērtējums Latvijā”. Vēršam uzmanību, ka, izmantojot norādīto </w:t>
            </w:r>
            <w:r w:rsidRPr="00DE1A22">
              <w:rPr>
                <w:rFonts w:eastAsia="Times New Roman"/>
                <w:sz w:val="24"/>
                <w:szCs w:val="24"/>
                <w:lang w:eastAsia="lv-LV"/>
              </w:rPr>
              <w:lastRenderedPageBreak/>
              <w:t>informāciju par pētījumu, ar pētījuma datiem nav iespējams iepazīties. Lūdzam precizēt atsauci uz pētījumu.</w:t>
            </w:r>
          </w:p>
          <w:p w:rsidR="00EB12CC" w:rsidRPr="00DE1A22" w:rsidRDefault="00EB12CC" w:rsidP="00EB12CC">
            <w:pPr>
              <w:contextualSpacing/>
              <w:jc w:val="both"/>
              <w:rPr>
                <w:rFonts w:eastAsia="Times New Roman"/>
                <w:b/>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Pielikuma sadaļā “7. Latvijā nelegālās un nelicencētas azartspēles un izlozes un to novēršana” ir minēts Latvijas spēļu biznesa asociācijas (turpmāk</w:t>
            </w:r>
            <w:r w:rsidR="00C72E59" w:rsidRPr="00DE1A22">
              <w:rPr>
                <w:rFonts w:eastAsia="Times New Roman"/>
                <w:sz w:val="24"/>
                <w:szCs w:val="24"/>
                <w:lang w:eastAsia="lv-LV"/>
              </w:rPr>
              <w:t xml:space="preserve"> –</w:t>
            </w:r>
            <w:r w:rsidRPr="00DE1A22">
              <w:rPr>
                <w:rFonts w:eastAsia="Times New Roman"/>
                <w:sz w:val="24"/>
                <w:szCs w:val="24"/>
                <w:lang w:eastAsia="lv-LV"/>
              </w:rPr>
              <w:t xml:space="preserve"> LSBA) organizētais eksperiments, noskaidrojot, vai 10 vadošie Latvijas interneta pakalpojumu sniedzēji ir pilnībā nobloķējuši piekļuvi nelicencētām interneta azartspēļu vietnēm, norādot arī statistikas datus. Pie teksta ir norādīta atsauce uz pētījumu, kuru izmantojot ir pieejama LSBA preses relīze, bet nav iespējams iepazīties ar pašu pētījumu. Ievērojot minēto, lūdzam nodrošināt iespēju iepazīties ar pētījumu, nevis preses relīzi.</w:t>
            </w:r>
          </w:p>
        </w:tc>
        <w:tc>
          <w:tcPr>
            <w:tcW w:w="3118" w:type="dxa"/>
          </w:tcPr>
          <w:p w:rsidR="00EB12CC" w:rsidRPr="00DE1A22" w:rsidRDefault="00EB12CC" w:rsidP="00EB12CC">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rsidR="00EB12CC" w:rsidRPr="00DE1A22" w:rsidRDefault="00EB12CC" w:rsidP="00EB12CC">
            <w:pPr>
              <w:jc w:val="both"/>
              <w:rPr>
                <w:rFonts w:eastAsia="Times New Roman"/>
                <w:b/>
                <w:bCs/>
                <w:sz w:val="24"/>
                <w:szCs w:val="24"/>
                <w:lang w:eastAsia="lv-LV"/>
              </w:rPr>
            </w:pPr>
          </w:p>
        </w:tc>
        <w:tc>
          <w:tcPr>
            <w:tcW w:w="3402" w:type="dxa"/>
          </w:tcPr>
          <w:p w:rsidR="00EB12CC" w:rsidRPr="00DE1A22" w:rsidRDefault="00CC79DF" w:rsidP="00CC79DF">
            <w:pPr>
              <w:jc w:val="both"/>
              <w:rPr>
                <w:rFonts w:eastAsia="Times New Roman"/>
                <w:sz w:val="24"/>
                <w:szCs w:val="24"/>
              </w:rPr>
            </w:pPr>
            <w:r w:rsidRPr="00DE1A22">
              <w:rPr>
                <w:rFonts w:eastAsia="Times New Roman"/>
                <w:bCs/>
                <w:sz w:val="24"/>
                <w:szCs w:val="24"/>
                <w:lang w:eastAsia="lv-LV"/>
              </w:rPr>
              <w:t>Projekts atbilstoši precizēts.</w:t>
            </w:r>
          </w:p>
        </w:tc>
      </w:tr>
      <w:tr w:rsidR="00EB12CC" w:rsidRPr="00DE1A22" w:rsidTr="00BF4AE7">
        <w:trPr>
          <w:trHeight w:val="2543"/>
        </w:trPr>
        <w:tc>
          <w:tcPr>
            <w:tcW w:w="846" w:type="dxa"/>
            <w:gridSpan w:val="2"/>
            <w:shd w:val="clear" w:color="auto" w:fill="auto"/>
          </w:tcPr>
          <w:p w:rsidR="00EB12CC" w:rsidRPr="00DE1A22" w:rsidRDefault="003D73B0" w:rsidP="00EB12CC">
            <w:pPr>
              <w:jc w:val="center"/>
              <w:rPr>
                <w:rFonts w:eastAsia="Times New Roman"/>
                <w:sz w:val="24"/>
                <w:szCs w:val="24"/>
                <w:lang w:eastAsia="lv-LV"/>
              </w:rPr>
            </w:pPr>
            <w:r w:rsidRPr="00DE1A22">
              <w:rPr>
                <w:rFonts w:eastAsia="Times New Roman"/>
                <w:sz w:val="24"/>
                <w:szCs w:val="24"/>
                <w:lang w:eastAsia="lv-LV"/>
              </w:rPr>
              <w:t>50</w:t>
            </w:r>
            <w:r w:rsidR="00EB12CC" w:rsidRPr="00DE1A22">
              <w:rPr>
                <w:rFonts w:eastAsia="Times New Roman"/>
                <w:sz w:val="24"/>
                <w:szCs w:val="24"/>
                <w:lang w:eastAsia="lv-LV"/>
              </w:rPr>
              <w:t>.</w:t>
            </w:r>
          </w:p>
        </w:tc>
        <w:tc>
          <w:tcPr>
            <w:tcW w:w="2977" w:type="dxa"/>
            <w:shd w:val="clear" w:color="auto" w:fill="auto"/>
          </w:tcPr>
          <w:p w:rsidR="00EB12CC" w:rsidRPr="00DE1A22" w:rsidRDefault="00EB12CC" w:rsidP="00EB12CC">
            <w:pPr>
              <w:jc w:val="both"/>
              <w:rPr>
                <w:rFonts w:eastAsia="Times New Roman"/>
                <w:sz w:val="24"/>
                <w:szCs w:val="24"/>
                <w:lang w:eastAsia="lv-LV"/>
              </w:rPr>
            </w:pPr>
            <w:r w:rsidRPr="00DE1A22">
              <w:rPr>
                <w:rFonts w:eastAsia="Times New Roman"/>
                <w:sz w:val="24"/>
                <w:szCs w:val="24"/>
                <w:lang w:eastAsia="lv-LV"/>
              </w:rPr>
              <w:t>Projekta pielikuma 7. sadaļa “Latvijā nelegālās un nelicencētas azartspēles un izlozes un to novēršana</w:t>
            </w:r>
            <w:r w:rsidR="00B03E27" w:rsidRPr="00DE1A22">
              <w:rPr>
                <w:rFonts w:eastAsia="Times New Roman"/>
                <w:sz w:val="24"/>
                <w:szCs w:val="24"/>
                <w:lang w:eastAsia="lv-LV"/>
              </w:rPr>
              <w:t>.</w:t>
            </w:r>
            <w:r w:rsidRPr="00DE1A22">
              <w:rPr>
                <w:rFonts w:eastAsia="Times New Roman"/>
                <w:sz w:val="24"/>
                <w:szCs w:val="24"/>
                <w:lang w:eastAsia="lv-LV"/>
              </w:rPr>
              <w:t>”</w:t>
            </w:r>
          </w:p>
        </w:tc>
        <w:tc>
          <w:tcPr>
            <w:tcW w:w="4394" w:type="dxa"/>
            <w:shd w:val="clear" w:color="auto" w:fill="auto"/>
          </w:tcPr>
          <w:p w:rsidR="00EB12CC" w:rsidRPr="00DE1A22" w:rsidRDefault="00EB12CC" w:rsidP="00EB12CC">
            <w:pPr>
              <w:contextualSpacing/>
              <w:jc w:val="both"/>
              <w:rPr>
                <w:rFonts w:eastAsia="Times New Roman"/>
                <w:b/>
                <w:sz w:val="24"/>
                <w:szCs w:val="24"/>
                <w:lang w:eastAsia="lv-LV"/>
              </w:rPr>
            </w:pPr>
            <w:r w:rsidRPr="00DE1A22">
              <w:rPr>
                <w:rFonts w:eastAsia="Times New Roman"/>
                <w:b/>
                <w:sz w:val="24"/>
                <w:szCs w:val="24"/>
                <w:lang w:eastAsia="lv-LV"/>
              </w:rPr>
              <w:t>Satiksmes ministrija (28.01.2019. Nr.03-03/13)</w:t>
            </w:r>
          </w:p>
          <w:p w:rsidR="00EB12CC" w:rsidRPr="00DE1A22" w:rsidRDefault="00EB12CC" w:rsidP="00EB12CC">
            <w:pPr>
              <w:jc w:val="both"/>
              <w:rPr>
                <w:rFonts w:eastAsia="Times New Roman"/>
                <w:sz w:val="24"/>
                <w:szCs w:val="24"/>
              </w:rPr>
            </w:pPr>
            <w:r w:rsidRPr="00DE1A22">
              <w:rPr>
                <w:rFonts w:eastAsia="Times New Roman"/>
                <w:sz w:val="24"/>
                <w:szCs w:val="24"/>
                <w:lang w:eastAsia="lv-LV"/>
              </w:rPr>
              <w:t>Pielikuma sadaļā “7. Latvijā nelegālās un nelicencētas azartspēles un izlozes un to novēršana” ir norādīts “kā vienu no iemesliem Latvijas interneta pakalpojumu sniedzēji min tiesību aktos noteikto regulējumu, kas nav efektīvi izpildāms un būtu pielāgojams aktuālajam bloķēšanas tehniskajām iespējām”. Lūdzam papildināt Pielikumu ar minēto regulējumu, kas norādīts kā neefektīvs, kā arī konkretizēt plānotās izmaiņas tajā.</w:t>
            </w:r>
          </w:p>
        </w:tc>
        <w:tc>
          <w:tcPr>
            <w:tcW w:w="3118" w:type="dxa"/>
            <w:shd w:val="clear" w:color="auto" w:fill="auto"/>
          </w:tcPr>
          <w:p w:rsidR="00EB12CC" w:rsidRPr="00DE1A22" w:rsidRDefault="00EB12CC" w:rsidP="00EB12CC">
            <w:pPr>
              <w:jc w:val="center"/>
              <w:rPr>
                <w:rFonts w:eastAsia="Times New Roman"/>
                <w:b/>
                <w:bCs/>
                <w:sz w:val="24"/>
                <w:szCs w:val="24"/>
                <w:lang w:eastAsia="lv-LV"/>
              </w:rPr>
            </w:pPr>
            <w:r w:rsidRPr="00DE1A22">
              <w:rPr>
                <w:rFonts w:eastAsia="Times New Roman"/>
                <w:b/>
                <w:bCs/>
                <w:sz w:val="24"/>
                <w:szCs w:val="24"/>
                <w:lang w:eastAsia="lv-LV"/>
              </w:rPr>
              <w:t>Ņemts vērā.</w:t>
            </w:r>
          </w:p>
          <w:p w:rsidR="00EB12CC" w:rsidRPr="00DE1A22" w:rsidRDefault="00EB12CC" w:rsidP="00EB12CC">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rsidR="00EB12CC" w:rsidRPr="00DE1A22" w:rsidRDefault="00CC79DF" w:rsidP="00EB12CC">
            <w:pPr>
              <w:jc w:val="both"/>
              <w:rPr>
                <w:rFonts w:eastAsia="Times New Roman"/>
                <w:sz w:val="24"/>
                <w:szCs w:val="24"/>
              </w:rPr>
            </w:pPr>
            <w:r w:rsidRPr="00DE1A22">
              <w:rPr>
                <w:rFonts w:eastAsia="Times New Roman"/>
                <w:bCs/>
                <w:sz w:val="24"/>
                <w:szCs w:val="24"/>
                <w:lang w:eastAsia="lv-LV"/>
              </w:rPr>
              <w:t>Projekts atbilstoši precizēts.</w:t>
            </w:r>
          </w:p>
        </w:tc>
      </w:tr>
      <w:tr w:rsidR="00EB12CC" w:rsidRPr="00DE1A22" w:rsidTr="00BF4AE7">
        <w:trPr>
          <w:trHeight w:val="2543"/>
        </w:trPr>
        <w:tc>
          <w:tcPr>
            <w:tcW w:w="846" w:type="dxa"/>
            <w:gridSpan w:val="2"/>
            <w:shd w:val="clear" w:color="auto" w:fill="auto"/>
          </w:tcPr>
          <w:p w:rsidR="00EB12CC" w:rsidRPr="00DE1A22" w:rsidRDefault="003D73B0" w:rsidP="00F03234">
            <w:pPr>
              <w:jc w:val="center"/>
              <w:rPr>
                <w:rFonts w:eastAsia="Times New Roman"/>
                <w:sz w:val="24"/>
                <w:szCs w:val="24"/>
                <w:lang w:eastAsia="lv-LV"/>
              </w:rPr>
            </w:pPr>
            <w:r w:rsidRPr="00DE1A22">
              <w:rPr>
                <w:rFonts w:eastAsia="Times New Roman"/>
                <w:sz w:val="24"/>
                <w:szCs w:val="24"/>
                <w:lang w:eastAsia="lv-LV"/>
              </w:rPr>
              <w:lastRenderedPageBreak/>
              <w:t>5</w:t>
            </w:r>
            <w:r w:rsidR="00F03234" w:rsidRPr="00DE1A22">
              <w:rPr>
                <w:rFonts w:eastAsia="Times New Roman"/>
                <w:sz w:val="24"/>
                <w:szCs w:val="24"/>
                <w:lang w:eastAsia="lv-LV"/>
              </w:rPr>
              <w:t>1</w:t>
            </w:r>
            <w:r w:rsidR="00EB12CC" w:rsidRPr="00DE1A22">
              <w:rPr>
                <w:rFonts w:eastAsia="Times New Roman"/>
                <w:sz w:val="24"/>
                <w:szCs w:val="24"/>
                <w:lang w:eastAsia="lv-LV"/>
              </w:rPr>
              <w:t>.</w:t>
            </w:r>
          </w:p>
        </w:tc>
        <w:tc>
          <w:tcPr>
            <w:tcW w:w="2977" w:type="dxa"/>
            <w:shd w:val="clear" w:color="auto" w:fill="auto"/>
          </w:tcPr>
          <w:p w:rsidR="00EB12CC" w:rsidRPr="00DE1A22" w:rsidRDefault="00EB12CC" w:rsidP="00EB12CC">
            <w:pPr>
              <w:jc w:val="both"/>
              <w:rPr>
                <w:rFonts w:eastAsia="Times New Roman"/>
                <w:sz w:val="24"/>
                <w:szCs w:val="24"/>
                <w:lang w:eastAsia="lv-LV"/>
              </w:rPr>
            </w:pPr>
            <w:r w:rsidRPr="00DE1A22">
              <w:rPr>
                <w:rFonts w:eastAsia="Times New Roman"/>
                <w:sz w:val="24"/>
                <w:szCs w:val="24"/>
                <w:lang w:eastAsia="lv-LV"/>
              </w:rPr>
              <w:t>Projekta pielikums kopumā.</w:t>
            </w:r>
          </w:p>
        </w:tc>
        <w:tc>
          <w:tcPr>
            <w:tcW w:w="4394" w:type="dxa"/>
            <w:shd w:val="clear" w:color="auto" w:fill="auto"/>
          </w:tcPr>
          <w:p w:rsidR="00EB12CC" w:rsidRPr="00DE1A22" w:rsidRDefault="00EB12CC" w:rsidP="00EB12CC">
            <w:pPr>
              <w:jc w:val="both"/>
              <w:rPr>
                <w:rFonts w:eastAsia="Times New Roman"/>
                <w:sz w:val="24"/>
                <w:szCs w:val="24"/>
              </w:rPr>
            </w:pPr>
            <w:r w:rsidRPr="00DE1A22">
              <w:rPr>
                <w:rFonts w:eastAsia="Times New Roman"/>
                <w:sz w:val="24"/>
                <w:szCs w:val="24"/>
              </w:rPr>
              <w:t>Priekšlikums:</w:t>
            </w:r>
          </w:p>
          <w:p w:rsidR="00EB12CC" w:rsidRPr="00DE1A22" w:rsidRDefault="00EB12CC" w:rsidP="00EB12CC">
            <w:pPr>
              <w:jc w:val="both"/>
              <w:rPr>
                <w:rFonts w:eastAsia="Times New Roman"/>
                <w:b/>
                <w:sz w:val="24"/>
                <w:szCs w:val="24"/>
              </w:rPr>
            </w:pPr>
            <w:r w:rsidRPr="00DE1A22">
              <w:rPr>
                <w:rFonts w:eastAsia="Times New Roman"/>
                <w:b/>
                <w:sz w:val="24"/>
                <w:szCs w:val="24"/>
              </w:rPr>
              <w:t>Vides aizsardzības un reģionālās attīstības ministrija (1-22/693)</w:t>
            </w:r>
          </w:p>
          <w:p w:rsidR="00EB12CC" w:rsidRPr="00DE1A22" w:rsidRDefault="00EB12CC" w:rsidP="00EB12CC">
            <w:pPr>
              <w:jc w:val="both"/>
              <w:rPr>
                <w:rFonts w:eastAsia="Times New Roman"/>
                <w:sz w:val="24"/>
                <w:szCs w:val="24"/>
              </w:rPr>
            </w:pPr>
            <w:r w:rsidRPr="00DE1A22">
              <w:rPr>
                <w:rFonts w:eastAsia="Times New Roman"/>
                <w:sz w:val="24"/>
                <w:szCs w:val="24"/>
              </w:rPr>
              <w:t>Pamatnostādnēs lietoto terminu “teritoriālais plānojums” un “teritoriālā plānošana” precizēt atbilstoši Teritorijas attīstības plānošanas likuma lietotajai terminoloģijai – “teritorijas plānojums” un “teritorijas plānošana”.</w:t>
            </w:r>
          </w:p>
        </w:tc>
        <w:tc>
          <w:tcPr>
            <w:tcW w:w="3118" w:type="dxa"/>
            <w:shd w:val="clear" w:color="auto" w:fill="auto"/>
          </w:tcPr>
          <w:p w:rsidR="00EB12CC" w:rsidRPr="00DE1A22" w:rsidRDefault="00EB12CC" w:rsidP="00EB12CC">
            <w:pPr>
              <w:tabs>
                <w:tab w:val="left" w:pos="0"/>
                <w:tab w:val="left" w:pos="709"/>
                <w:tab w:val="left" w:pos="993"/>
              </w:tabs>
              <w:suppressAutoHyphens/>
              <w:jc w:val="center"/>
              <w:outlineLvl w:val="3"/>
              <w:rPr>
                <w:rFonts w:eastAsia="Times New Roman"/>
                <w:sz w:val="24"/>
                <w:szCs w:val="24"/>
              </w:rPr>
            </w:pPr>
            <w:r w:rsidRPr="00DE1A22">
              <w:rPr>
                <w:rFonts w:eastAsia="Times New Roman"/>
                <w:b/>
                <w:bCs/>
                <w:sz w:val="24"/>
                <w:szCs w:val="24"/>
                <w:lang w:eastAsia="lv-LV"/>
              </w:rPr>
              <w:t>Ņemts vērā.</w:t>
            </w:r>
          </w:p>
          <w:p w:rsidR="00EB12CC" w:rsidRPr="00DE1A22" w:rsidRDefault="00EB12CC" w:rsidP="00EB12CC">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rsidR="00EB12CC" w:rsidRPr="00DE1A22" w:rsidRDefault="00CC79DF" w:rsidP="00EB12CC">
            <w:pPr>
              <w:jc w:val="both"/>
              <w:rPr>
                <w:rFonts w:eastAsia="Times New Roman"/>
                <w:sz w:val="24"/>
                <w:szCs w:val="24"/>
              </w:rPr>
            </w:pPr>
            <w:r w:rsidRPr="00DE1A22">
              <w:rPr>
                <w:rFonts w:eastAsia="Times New Roman"/>
                <w:sz w:val="24"/>
                <w:szCs w:val="24"/>
              </w:rPr>
              <w:t>Projekta pielikums atbilstoši precizēts.</w:t>
            </w:r>
          </w:p>
        </w:tc>
      </w:tr>
      <w:tr w:rsidR="00F03234" w:rsidRPr="00DE1A22" w:rsidTr="00BF4AE7">
        <w:trPr>
          <w:trHeight w:val="2543"/>
        </w:trPr>
        <w:tc>
          <w:tcPr>
            <w:tcW w:w="846" w:type="dxa"/>
            <w:gridSpan w:val="2"/>
            <w:shd w:val="clear" w:color="auto" w:fill="auto"/>
          </w:tcPr>
          <w:p w:rsidR="00F03234" w:rsidRPr="00DE1A22" w:rsidRDefault="00F03234" w:rsidP="00F03234">
            <w:pPr>
              <w:jc w:val="center"/>
              <w:rPr>
                <w:rFonts w:eastAsia="Times New Roman"/>
                <w:sz w:val="24"/>
                <w:szCs w:val="24"/>
                <w:lang w:eastAsia="lv-LV"/>
              </w:rPr>
            </w:pPr>
            <w:r w:rsidRPr="00DE1A22">
              <w:rPr>
                <w:rFonts w:eastAsia="Times New Roman"/>
                <w:sz w:val="24"/>
                <w:szCs w:val="24"/>
                <w:lang w:eastAsia="lv-LV"/>
              </w:rPr>
              <w:t>52.</w:t>
            </w:r>
          </w:p>
        </w:tc>
        <w:tc>
          <w:tcPr>
            <w:tcW w:w="2977" w:type="dxa"/>
            <w:shd w:val="clear" w:color="auto" w:fill="auto"/>
          </w:tcPr>
          <w:p w:rsidR="00F03234" w:rsidRPr="00DE1A22" w:rsidRDefault="00F03234" w:rsidP="00F03234">
            <w:pPr>
              <w:jc w:val="both"/>
              <w:rPr>
                <w:rFonts w:eastAsia="Times New Roman"/>
                <w:sz w:val="24"/>
                <w:szCs w:val="24"/>
                <w:lang w:eastAsia="lv-LV"/>
              </w:rPr>
            </w:pPr>
            <w:r w:rsidRPr="00DE1A22">
              <w:rPr>
                <w:rFonts w:eastAsia="Times New Roman"/>
                <w:sz w:val="24"/>
                <w:szCs w:val="24"/>
                <w:lang w:eastAsia="lv-LV"/>
              </w:rPr>
              <w:t>Projekts un projekta pielikums.</w:t>
            </w:r>
          </w:p>
        </w:tc>
        <w:tc>
          <w:tcPr>
            <w:tcW w:w="4394" w:type="dxa"/>
            <w:shd w:val="clear" w:color="auto" w:fill="auto"/>
          </w:tcPr>
          <w:p w:rsidR="00F03234" w:rsidRPr="00DE1A22" w:rsidRDefault="00F03234" w:rsidP="00F03234">
            <w:pPr>
              <w:jc w:val="both"/>
              <w:rPr>
                <w:rFonts w:eastAsia="Times New Roman"/>
                <w:b/>
                <w:sz w:val="24"/>
                <w:szCs w:val="24"/>
              </w:rPr>
            </w:pPr>
            <w:r w:rsidRPr="00DE1A22">
              <w:rPr>
                <w:rFonts w:eastAsia="Times New Roman"/>
                <w:b/>
                <w:sz w:val="24"/>
                <w:szCs w:val="24"/>
              </w:rPr>
              <w:t>Latvijas Reklāmas asociācija, Latvijas Raidorganizāciju asociācija (24.01.2019. Nr.2019/4)</w:t>
            </w:r>
          </w:p>
          <w:p w:rsidR="00F03234" w:rsidRPr="00DE1A22" w:rsidRDefault="00F03234" w:rsidP="00F03234">
            <w:pPr>
              <w:jc w:val="both"/>
              <w:rPr>
                <w:rFonts w:eastAsia="Times New Roman"/>
                <w:sz w:val="24"/>
                <w:szCs w:val="24"/>
              </w:rPr>
            </w:pPr>
            <w:r w:rsidRPr="00DE1A22">
              <w:rPr>
                <w:rFonts w:eastAsia="Times New Roman"/>
                <w:sz w:val="24"/>
                <w:szCs w:val="24"/>
              </w:rPr>
              <w:t xml:space="preserve">Pamatnostādnes ietver rīcības plānu izložu un azartspēļu jomā no 2019. līdz 2026.gadam un tas tiek balstīts uz Pamatnostādnēm pievienoto “Esošās situācijas vispārīgo raksturojumu”, turpmāk tekstā – Situācijas raksturojums. Lai gan Situācijas raksturojums attiecībā uz reklāmas jautājumiem ir korekts un tajā pat ir iekļauts Latvijas Raidorganizāciju asociācijas un Latvijas Reklāmas asociācijas kopīgais viedoklis par izlozēm un loterijām, esam neizpratnē par Pamatnostādņu izstrādes procesu un saturu. </w:t>
            </w:r>
          </w:p>
          <w:p w:rsidR="00F03234" w:rsidRPr="00DE1A22" w:rsidRDefault="00F03234" w:rsidP="00F03234">
            <w:pPr>
              <w:jc w:val="both"/>
              <w:rPr>
                <w:rFonts w:eastAsia="Times New Roman"/>
                <w:sz w:val="24"/>
                <w:szCs w:val="24"/>
              </w:rPr>
            </w:pPr>
            <w:r w:rsidRPr="00DE1A22">
              <w:rPr>
                <w:rFonts w:eastAsia="Times New Roman"/>
                <w:sz w:val="24"/>
                <w:szCs w:val="24"/>
              </w:rPr>
              <w:tab/>
              <w:t xml:space="preserve">Pirmkārt, Pamatnostādņu izstrādes procesā netika iesaistītas ne tikai ar mediju un reklāmas vidi saistītās nevalstiskās organizācijas, bet pat par mediju nozari atbildīgās Kultūras ministrija un Nacionālo elektronisko plašsaziņas līdzekļu padome. Situācijas raksturojumā ir iekļauts tikai mūsu  viedoklis par izlozēm un loterijām, kuru uz savu iniciatīvu, nezinot par Pamatnostādņu izstrādes procesu, bet </w:t>
            </w:r>
            <w:r w:rsidRPr="00DE1A22">
              <w:rPr>
                <w:rFonts w:eastAsia="Times New Roman"/>
                <w:sz w:val="24"/>
                <w:szCs w:val="24"/>
              </w:rPr>
              <w:lastRenderedPageBreak/>
              <w:t>pamatojoties uz mūsu rīcībā pieejamo informāciju par iespējamajiem (apspriežamajiem) ierobežojumiem izlozēm un loterijām, nosūtījām Finanšu ministrijai. Nedz atbildi uz šo vēstuli no Finanšu ministrijas, nedz uzaicinājumu dalībai darba grupā, nedz kādu citu informāciju par Pamatnostādņu izstrādi, saņēmuši neesam.</w:t>
            </w:r>
          </w:p>
          <w:p w:rsidR="00F03234" w:rsidRPr="00DE1A22" w:rsidRDefault="00F03234" w:rsidP="00F03234">
            <w:pPr>
              <w:jc w:val="both"/>
              <w:rPr>
                <w:rFonts w:eastAsia="Times New Roman"/>
                <w:sz w:val="24"/>
                <w:szCs w:val="24"/>
              </w:rPr>
            </w:pPr>
            <w:r w:rsidRPr="00DE1A22">
              <w:rPr>
                <w:rFonts w:eastAsia="Times New Roman"/>
                <w:sz w:val="24"/>
                <w:szCs w:val="24"/>
              </w:rPr>
              <w:t>Otrkārt, izvērtējot Pamatnostādnes, esam konstatējuši, ka Pamatnostādnes ne tikai nerisina Situācijas raksturojumā minētās problēmas, bet arī nesatur tajā iekļautos priekšlikumus. Šāda prakse, kad politikas plānošanas dokuments ir pretrunā situācijas analīzei, kas pamato politikas plānošanas dokumentu, neatbilsts labas pārvaldības principam un attiecīgi nenodrošina konstatēto problēmu risināšanu.</w:t>
            </w:r>
          </w:p>
          <w:p w:rsidR="00F03234" w:rsidRPr="00DE1A22" w:rsidRDefault="00F03234" w:rsidP="00F03234">
            <w:pPr>
              <w:jc w:val="both"/>
              <w:rPr>
                <w:rFonts w:eastAsia="Times New Roman"/>
                <w:sz w:val="24"/>
                <w:szCs w:val="24"/>
              </w:rPr>
            </w:pPr>
            <w:r w:rsidRPr="00DE1A22">
              <w:rPr>
                <w:rFonts w:eastAsia="Times New Roman"/>
                <w:sz w:val="24"/>
                <w:szCs w:val="24"/>
              </w:rPr>
              <w:t>Lai novērstu minētās negatīvās sekas, ir jārealizē Situācijas aprakstā minētā Eiropas valstu pieredze un Eiropas Komisijas rekomendācijas (Situācijas apraksta rekomendācijas), kas nosaka, ka azartspēlēm nav jānosaka strikti reklāmas izplatīšanas ierobežojumi, bet reklāmas izvietošana ir jāregulē nosakot, kur tās var tikt izplatītas, kā arī strikti regulējot to saturu. Pamatojoties uz minēto, lūdzam papildināt Pamatnostādņu 3. rīcības virzienu – Azartspēļu un izložu reklāmas ierobežošana ar sekojošu punktu:</w:t>
            </w:r>
          </w:p>
          <w:p w:rsidR="00F03234" w:rsidRPr="00DE1A22" w:rsidRDefault="00F03234" w:rsidP="00F03234">
            <w:pPr>
              <w:jc w:val="both"/>
              <w:rPr>
                <w:rFonts w:eastAsia="Times New Roman"/>
                <w:sz w:val="24"/>
                <w:szCs w:val="24"/>
              </w:rPr>
            </w:pPr>
            <w:r w:rsidRPr="00DE1A22">
              <w:rPr>
                <w:rFonts w:eastAsia="Times New Roman"/>
                <w:sz w:val="24"/>
                <w:szCs w:val="24"/>
              </w:rPr>
              <w:t>“Respektējot citu valstu pieredzi un Eiropas Komisijas rekomendācijas, pārskatīt azartspēļu reklāmas aizliegumu.”</w:t>
            </w:r>
          </w:p>
        </w:tc>
        <w:tc>
          <w:tcPr>
            <w:tcW w:w="3118" w:type="dxa"/>
            <w:shd w:val="clear" w:color="auto" w:fill="auto"/>
          </w:tcPr>
          <w:p w:rsidR="00F03234" w:rsidRPr="00DE1A22" w:rsidRDefault="00F03234" w:rsidP="00F03234">
            <w:pPr>
              <w:tabs>
                <w:tab w:val="left" w:pos="0"/>
                <w:tab w:val="left" w:pos="709"/>
                <w:tab w:val="left" w:pos="993"/>
              </w:tabs>
              <w:suppressAutoHyphens/>
              <w:jc w:val="center"/>
              <w:outlineLvl w:val="3"/>
              <w:rPr>
                <w:rFonts w:eastAsia="Times New Roman"/>
                <w:b/>
                <w:bCs/>
                <w:sz w:val="24"/>
                <w:szCs w:val="24"/>
                <w:lang w:eastAsia="lv-LV"/>
              </w:rPr>
            </w:pPr>
            <w:r w:rsidRPr="00DE1A22">
              <w:rPr>
                <w:rFonts w:eastAsia="Times New Roman"/>
                <w:b/>
                <w:bCs/>
                <w:sz w:val="24"/>
                <w:szCs w:val="24"/>
                <w:lang w:eastAsia="lv-LV"/>
              </w:rPr>
              <w:lastRenderedPageBreak/>
              <w:t>Ņemts vērā.</w:t>
            </w:r>
          </w:p>
        </w:tc>
        <w:tc>
          <w:tcPr>
            <w:tcW w:w="3402" w:type="dxa"/>
            <w:shd w:val="clear" w:color="auto" w:fill="auto"/>
          </w:tcPr>
          <w:p w:rsidR="00F03234" w:rsidRPr="00DE1A22" w:rsidRDefault="00F03234" w:rsidP="00F03234">
            <w:pPr>
              <w:jc w:val="both"/>
              <w:rPr>
                <w:rFonts w:eastAsia="Times New Roman"/>
                <w:sz w:val="24"/>
                <w:szCs w:val="24"/>
              </w:rPr>
            </w:pPr>
            <w:r w:rsidRPr="00DE1A22">
              <w:rPr>
                <w:rFonts w:eastAsia="Times New Roman"/>
                <w:sz w:val="24"/>
                <w:szCs w:val="24"/>
              </w:rPr>
              <w:t>Projekts un projekta pielikums atbilstoši precizēts.</w:t>
            </w:r>
          </w:p>
        </w:tc>
      </w:tr>
      <w:tr w:rsidR="00C311AB" w:rsidRPr="00DE1A22" w:rsidTr="00BF4AE7">
        <w:trPr>
          <w:trHeight w:val="2543"/>
        </w:trPr>
        <w:tc>
          <w:tcPr>
            <w:tcW w:w="846" w:type="dxa"/>
            <w:gridSpan w:val="2"/>
            <w:shd w:val="clear" w:color="auto" w:fill="auto"/>
          </w:tcPr>
          <w:p w:rsidR="00C311AB" w:rsidRPr="00DE1A22" w:rsidRDefault="00C311AB" w:rsidP="00F03234">
            <w:pPr>
              <w:jc w:val="center"/>
              <w:rPr>
                <w:rFonts w:eastAsia="Times New Roman"/>
                <w:sz w:val="24"/>
                <w:szCs w:val="24"/>
                <w:lang w:eastAsia="lv-LV"/>
              </w:rPr>
            </w:pPr>
            <w:r w:rsidRPr="00DE1A22">
              <w:rPr>
                <w:rFonts w:eastAsia="Times New Roman"/>
                <w:sz w:val="24"/>
                <w:szCs w:val="24"/>
                <w:lang w:eastAsia="lv-LV"/>
              </w:rPr>
              <w:lastRenderedPageBreak/>
              <w:t>53.</w:t>
            </w:r>
          </w:p>
        </w:tc>
        <w:tc>
          <w:tcPr>
            <w:tcW w:w="2977" w:type="dxa"/>
            <w:shd w:val="clear" w:color="auto" w:fill="auto"/>
          </w:tcPr>
          <w:p w:rsidR="00C311AB" w:rsidRPr="00DE1A22" w:rsidRDefault="00C311AB" w:rsidP="00F03234">
            <w:pPr>
              <w:jc w:val="both"/>
              <w:rPr>
                <w:rFonts w:eastAsia="Times New Roman"/>
                <w:sz w:val="24"/>
                <w:szCs w:val="24"/>
                <w:lang w:eastAsia="lv-LV"/>
              </w:rPr>
            </w:pPr>
            <w:r w:rsidRPr="00DE1A22">
              <w:rPr>
                <w:rFonts w:eastAsia="Times New Roman"/>
                <w:sz w:val="24"/>
                <w:szCs w:val="24"/>
                <w:lang w:eastAsia="lv-LV"/>
              </w:rPr>
              <w:t>Projekts un projekta pielikums.</w:t>
            </w:r>
          </w:p>
        </w:tc>
        <w:tc>
          <w:tcPr>
            <w:tcW w:w="4394" w:type="dxa"/>
            <w:shd w:val="clear" w:color="auto" w:fill="auto"/>
          </w:tcPr>
          <w:p w:rsidR="00C311AB" w:rsidRPr="00DE1A22" w:rsidRDefault="00C311AB" w:rsidP="00F03234">
            <w:pPr>
              <w:jc w:val="both"/>
              <w:rPr>
                <w:rFonts w:eastAsia="Times New Roman"/>
                <w:b/>
                <w:sz w:val="24"/>
                <w:szCs w:val="24"/>
              </w:rPr>
            </w:pPr>
            <w:r w:rsidRPr="00DE1A22">
              <w:rPr>
                <w:rFonts w:eastAsia="Times New Roman"/>
                <w:b/>
                <w:sz w:val="24"/>
                <w:szCs w:val="24"/>
              </w:rPr>
              <w:t>Nacionālā elektronisko plašsaziņas līdzekļu padome (04.02.2019. Nr.4-3/119)</w:t>
            </w:r>
          </w:p>
          <w:p w:rsidR="008A55AA" w:rsidRPr="00DE1A22" w:rsidRDefault="008A55AA" w:rsidP="008A55AA">
            <w:pPr>
              <w:jc w:val="both"/>
              <w:rPr>
                <w:rFonts w:eastAsia="Times New Roman"/>
                <w:sz w:val="24"/>
                <w:szCs w:val="24"/>
              </w:rPr>
            </w:pPr>
            <w:r w:rsidRPr="00DE1A22">
              <w:rPr>
                <w:rFonts w:eastAsia="Times New Roman"/>
                <w:sz w:val="24"/>
                <w:szCs w:val="24"/>
              </w:rPr>
              <w:t>Izanalizējot pamatnostādņu pielikumu “Esošās situācijas raksturojums”, konstatējams, ka pamatnostādnes nepilnīgi aptver situācijas raksturojumā ietvertās problēmas kā arī tajā iekļautos priekšlikumus, proti, netiek noteikta azartspēļu reklāmas aizlieguma pārskatīšana, respektējot citu valstu pieredzi un Eiropas Komisijas rekomendācijas.</w:t>
            </w:r>
          </w:p>
          <w:p w:rsidR="008A55AA" w:rsidRPr="00DE1A22" w:rsidRDefault="008A55AA" w:rsidP="008A55AA">
            <w:pPr>
              <w:jc w:val="both"/>
              <w:rPr>
                <w:rFonts w:eastAsia="Times New Roman"/>
                <w:sz w:val="24"/>
                <w:szCs w:val="24"/>
              </w:rPr>
            </w:pPr>
            <w:r w:rsidRPr="00DE1A22">
              <w:rPr>
                <w:rFonts w:eastAsia="Times New Roman"/>
                <w:sz w:val="24"/>
                <w:szCs w:val="24"/>
              </w:rPr>
              <w:t>Padome norāda, ka spēkā esošie ierobežojumi azartspēļu un izložu reklāmas jomā Latvijas jurisdikcijā esošajos elektroniskajos plašsaziņas līdzekļos ir diskriminējoši un neefektīvi, pamatojot savu viedokli ar šādiem apsvērumiem:</w:t>
            </w:r>
          </w:p>
          <w:p w:rsidR="008A55AA" w:rsidRPr="00DE1A22" w:rsidRDefault="008A55AA" w:rsidP="008A55AA">
            <w:pPr>
              <w:jc w:val="both"/>
              <w:rPr>
                <w:rFonts w:eastAsia="Times New Roman"/>
                <w:sz w:val="24"/>
                <w:szCs w:val="24"/>
              </w:rPr>
            </w:pPr>
            <w:r w:rsidRPr="00DE1A22">
              <w:rPr>
                <w:rFonts w:eastAsia="Times New Roman"/>
                <w:sz w:val="24"/>
                <w:szCs w:val="24"/>
              </w:rPr>
              <w:t>1) tie neattiecas un nevar atteikties uz citiem ES valstīs reģistrētiem elektroniskiem plašsaziņas līdzekļiem, kā arī trešajās valstīs reģistrētiem elektroniskajiem plašsaziņas līdzekļiem. Šis nosacījums izriet no starptautiskajām saistībām, kuras Latvija ir uzņēmusies, pievienojoties ES tiesību un saistību kopumam, kā arī ratificējot Eiropas Padomes konvenciju par pārrobežu televīziju, kas nosaka brīvu pakalpojumu kustību vienotajā ES tirgū un paredz retranslācijas brīvību (4.pants). Latvijā šobrīd tiek translētas vairāk nekā 300 dažādu valstu televīzijas programmas, kurās tiek izvietota reklāma;</w:t>
            </w:r>
          </w:p>
          <w:p w:rsidR="008A55AA" w:rsidRPr="00DE1A22" w:rsidRDefault="008A55AA" w:rsidP="008A55AA">
            <w:pPr>
              <w:jc w:val="both"/>
              <w:rPr>
                <w:rFonts w:eastAsia="Times New Roman"/>
                <w:sz w:val="24"/>
                <w:szCs w:val="24"/>
              </w:rPr>
            </w:pPr>
            <w:r w:rsidRPr="00DE1A22">
              <w:rPr>
                <w:rFonts w:eastAsia="Times New Roman"/>
                <w:sz w:val="24"/>
                <w:szCs w:val="24"/>
              </w:rPr>
              <w:t xml:space="preserve">2) ierobežojumi neattiecas uz intemeta vietnēm, un tos principā nebūtu iespējams attiecināt uz citās valstīs reģistrētajām </w:t>
            </w:r>
            <w:r w:rsidRPr="00DE1A22">
              <w:rPr>
                <w:rFonts w:eastAsia="Times New Roman"/>
                <w:sz w:val="24"/>
                <w:szCs w:val="24"/>
              </w:rPr>
              <w:lastRenderedPageBreak/>
              <w:t>intemeta vietnēm. Proti, šīm vietnēm nav piemērojams nacionālais regulējums, jo tās neatrodas Latvijas jurisdikcijā;</w:t>
            </w:r>
          </w:p>
          <w:p w:rsidR="008A55AA" w:rsidRPr="00DE1A22" w:rsidRDefault="008A55AA" w:rsidP="008A55AA">
            <w:pPr>
              <w:jc w:val="both"/>
              <w:rPr>
                <w:rFonts w:eastAsia="Times New Roman"/>
                <w:sz w:val="24"/>
                <w:szCs w:val="24"/>
              </w:rPr>
            </w:pPr>
            <w:r w:rsidRPr="00DE1A22">
              <w:rPr>
                <w:rFonts w:eastAsia="Times New Roman"/>
                <w:sz w:val="24"/>
                <w:szCs w:val="24"/>
              </w:rPr>
              <w:t>3) finanšu resursi, kurus reklāmdevēji iegulda Latvijā reģistrētajos elektroniskajos</w:t>
            </w:r>
          </w:p>
          <w:p w:rsidR="008A55AA" w:rsidRPr="00DE1A22" w:rsidRDefault="008A55AA" w:rsidP="008A55AA">
            <w:pPr>
              <w:jc w:val="both"/>
              <w:rPr>
                <w:rFonts w:eastAsia="Times New Roman"/>
                <w:sz w:val="24"/>
                <w:szCs w:val="24"/>
              </w:rPr>
            </w:pPr>
            <w:r w:rsidRPr="00DE1A22">
              <w:rPr>
                <w:rFonts w:eastAsia="Times New Roman"/>
                <w:sz w:val="24"/>
                <w:szCs w:val="24"/>
              </w:rPr>
              <w:t>plašsaziņas līdzekļos, nonāks pārrobežu medijos, kropļojot tirgu, mazinot nacionālās informatīvās vides konkurētspēju un nacionālā mediju satura veidošanas kapacitāti. Tas negatīvi ietekmēs sabiedrības intereses, samazinot satura apjomu un daudzveidību, tādējādi samazinot nacionālo kultūras telpu.</w:t>
            </w:r>
          </w:p>
          <w:p w:rsidR="008A55AA" w:rsidRPr="00DE1A22" w:rsidRDefault="008A55AA" w:rsidP="008A55AA">
            <w:pPr>
              <w:jc w:val="both"/>
              <w:rPr>
                <w:rFonts w:eastAsia="Times New Roman"/>
                <w:sz w:val="24"/>
                <w:szCs w:val="24"/>
              </w:rPr>
            </w:pPr>
            <w:r w:rsidRPr="00DE1A22">
              <w:rPr>
                <w:rFonts w:eastAsia="Times New Roman"/>
                <w:sz w:val="24"/>
                <w:szCs w:val="24"/>
              </w:rPr>
              <w:t>Lai novērstu minētās negatīvās sekas, ir jārealizē pamatnostādņu pielikumā esošās</w:t>
            </w:r>
          </w:p>
          <w:p w:rsidR="00C311AB" w:rsidRPr="00DE1A22" w:rsidRDefault="008A55AA" w:rsidP="008A55AA">
            <w:pPr>
              <w:jc w:val="both"/>
              <w:rPr>
                <w:rFonts w:eastAsia="Times New Roman"/>
                <w:sz w:val="24"/>
                <w:szCs w:val="24"/>
              </w:rPr>
            </w:pPr>
            <w:r w:rsidRPr="00DE1A22">
              <w:rPr>
                <w:rFonts w:eastAsia="Times New Roman"/>
                <w:sz w:val="24"/>
                <w:szCs w:val="24"/>
              </w:rPr>
              <w:t>situācijas aprakstā minētā Eiropas valstu pieredze un Eiropas Komisijas rekomendācijas, kas nosaka, ka azartspēlēm nav jānosaka strikti reklāmas izplatīšanas ierobežojumi, bet reklāmas izvietošana ir jāregulē nosakot, kur tās var tikt izplatītas, kā arī strikti regulējot to saturu. Ārvalstu pieredze, ierobežojot azartspēļu reklāmas, ir dažāda, paredzot rūpīgu kontroli, skaidri nosakot reklāmas saturu, reklamēšanas vietu un laiku, gan brīvu azartspēļu reklamēšanu dažādās informācijas platformās.</w:t>
            </w:r>
          </w:p>
          <w:p w:rsidR="008A55AA" w:rsidRPr="00DE1A22" w:rsidRDefault="008A55AA" w:rsidP="008A55AA">
            <w:pPr>
              <w:jc w:val="both"/>
              <w:rPr>
                <w:rFonts w:eastAsia="Times New Roman"/>
                <w:sz w:val="24"/>
                <w:szCs w:val="24"/>
              </w:rPr>
            </w:pPr>
            <w:r w:rsidRPr="00DE1A22">
              <w:rPr>
                <w:rFonts w:eastAsia="Times New Roman"/>
                <w:sz w:val="24"/>
                <w:szCs w:val="24"/>
              </w:rPr>
              <w:t>Mediju vides pēdējie pētījumi skaidri norāda, ka, ierobežojot azartspēļu un izložu</w:t>
            </w:r>
          </w:p>
          <w:p w:rsidR="008A55AA" w:rsidRPr="00DE1A22" w:rsidRDefault="008A55AA" w:rsidP="008A55AA">
            <w:pPr>
              <w:jc w:val="both"/>
              <w:rPr>
                <w:rFonts w:eastAsia="Times New Roman"/>
                <w:sz w:val="24"/>
                <w:szCs w:val="24"/>
              </w:rPr>
            </w:pPr>
            <w:r w:rsidRPr="00DE1A22">
              <w:rPr>
                <w:rFonts w:eastAsia="Times New Roman"/>
                <w:sz w:val="24"/>
                <w:szCs w:val="24"/>
              </w:rPr>
              <w:t xml:space="preserve">reklāmas ietekmi uz sabiedrību, pieaugs pārrobežu mediju patēriņš, kas jau šobrīd būtiski dominē gados jauno iedzīvotāju vidū. Savukārt nacionālie mediji šajā auditorijas daļā kļūst mazāk ietekmīgi, jo zaudē pārrobežu medijiem satura </w:t>
            </w:r>
            <w:r w:rsidRPr="00DE1A22">
              <w:rPr>
                <w:rFonts w:eastAsia="Times New Roman"/>
                <w:sz w:val="24"/>
                <w:szCs w:val="24"/>
              </w:rPr>
              <w:lastRenderedPageBreak/>
              <w:t>daudzveidības un kvalitātes ziņā. Samazinot no reklāmas gūto ieņēmumu apjomu un nosakot jaunus ierobežojumus nacionālajiem medijiem, šī tendence pastiprināsies.</w:t>
            </w:r>
          </w:p>
          <w:p w:rsidR="008A55AA" w:rsidRPr="00DE1A22" w:rsidRDefault="008A55AA" w:rsidP="008A55AA">
            <w:pPr>
              <w:jc w:val="both"/>
              <w:rPr>
                <w:rFonts w:eastAsia="Times New Roman"/>
                <w:sz w:val="24"/>
                <w:szCs w:val="24"/>
              </w:rPr>
            </w:pPr>
            <w:r w:rsidRPr="00DE1A22">
              <w:rPr>
                <w:rFonts w:eastAsia="Times New Roman"/>
                <w:sz w:val="24"/>
                <w:szCs w:val="24"/>
              </w:rPr>
              <w:t>Ņemot vērā iepriekš minētos argumentus, aicinām Finanšu ministriju izvērtēt iespēju papildināt "Azartspēļu un izložu politikas pamatnostādņu 2019.-2026.gadam" 3. rīcības virzienu - Azartspēļu un izložu reklāmas ierobežošana ar sekojošu punktu: “Respektējot citu valstu pieredzi un Eiropas Komisijas rekomendācijas, pārskatīt reklāmas aizliegumu.”</w:t>
            </w:r>
          </w:p>
        </w:tc>
        <w:tc>
          <w:tcPr>
            <w:tcW w:w="3118" w:type="dxa"/>
            <w:shd w:val="clear" w:color="auto" w:fill="auto"/>
          </w:tcPr>
          <w:p w:rsidR="00C311AB" w:rsidRPr="00DE1A22" w:rsidRDefault="00C311AB" w:rsidP="00F03234">
            <w:pPr>
              <w:tabs>
                <w:tab w:val="left" w:pos="0"/>
                <w:tab w:val="left" w:pos="709"/>
                <w:tab w:val="left" w:pos="993"/>
              </w:tabs>
              <w:suppressAutoHyphens/>
              <w:jc w:val="center"/>
              <w:outlineLvl w:val="3"/>
              <w:rPr>
                <w:rFonts w:eastAsia="Times New Roman"/>
                <w:b/>
                <w:bCs/>
                <w:sz w:val="24"/>
                <w:szCs w:val="24"/>
                <w:lang w:eastAsia="lv-LV"/>
              </w:rPr>
            </w:pPr>
            <w:r w:rsidRPr="00DE1A22">
              <w:rPr>
                <w:rFonts w:eastAsia="Times New Roman"/>
                <w:b/>
                <w:bCs/>
                <w:sz w:val="24"/>
                <w:szCs w:val="24"/>
                <w:lang w:eastAsia="lv-LV"/>
              </w:rPr>
              <w:lastRenderedPageBreak/>
              <w:t>Ņemts vērā.</w:t>
            </w:r>
          </w:p>
        </w:tc>
        <w:tc>
          <w:tcPr>
            <w:tcW w:w="3402" w:type="dxa"/>
            <w:shd w:val="clear" w:color="auto" w:fill="auto"/>
          </w:tcPr>
          <w:p w:rsidR="00C311AB" w:rsidRPr="00DE1A22" w:rsidRDefault="00C311AB" w:rsidP="00F03234">
            <w:pPr>
              <w:jc w:val="both"/>
              <w:rPr>
                <w:rFonts w:eastAsia="Times New Roman"/>
                <w:sz w:val="24"/>
                <w:szCs w:val="24"/>
              </w:rPr>
            </w:pPr>
            <w:r w:rsidRPr="00DE1A22">
              <w:rPr>
                <w:rFonts w:eastAsia="Times New Roman"/>
                <w:sz w:val="24"/>
                <w:szCs w:val="24"/>
              </w:rPr>
              <w:t>Projekts un projekta pielikums atbilstoši precizēts.</w:t>
            </w:r>
          </w:p>
        </w:tc>
      </w:tr>
    </w:tbl>
    <w:tbl>
      <w:tblPr>
        <w:tblW w:w="14000" w:type="dxa"/>
        <w:tblInd w:w="-108" w:type="dxa"/>
        <w:tblLayout w:type="fixed"/>
        <w:tblLook w:val="00A0" w:firstRow="1" w:lastRow="0" w:firstColumn="1" w:lastColumn="0" w:noHBand="0" w:noVBand="0"/>
      </w:tblPr>
      <w:tblGrid>
        <w:gridCol w:w="108"/>
        <w:gridCol w:w="3402"/>
        <w:gridCol w:w="4866"/>
        <w:gridCol w:w="5624"/>
      </w:tblGrid>
      <w:tr w:rsidR="00CF69B7" w:rsidRPr="00DE1A22" w:rsidTr="00681F9E">
        <w:tc>
          <w:tcPr>
            <w:tcW w:w="3510" w:type="dxa"/>
            <w:gridSpan w:val="2"/>
          </w:tcPr>
          <w:p w:rsidR="00CF69B7" w:rsidRPr="00DE1A22" w:rsidRDefault="00CF69B7" w:rsidP="009A546B">
            <w:pPr>
              <w:pStyle w:val="naiskr"/>
              <w:spacing w:before="0" w:after="0"/>
              <w:ind w:firstLine="720"/>
            </w:pPr>
          </w:p>
          <w:p w:rsidR="00990D6F" w:rsidRPr="00DE1A22" w:rsidRDefault="00990D6F" w:rsidP="009A546B">
            <w:pPr>
              <w:pStyle w:val="naiskr"/>
              <w:spacing w:before="0" w:after="0"/>
              <w:ind w:firstLine="720"/>
            </w:pPr>
          </w:p>
        </w:tc>
        <w:tc>
          <w:tcPr>
            <w:tcW w:w="10490" w:type="dxa"/>
            <w:gridSpan w:val="2"/>
            <w:tcBorders>
              <w:top w:val="single" w:sz="6" w:space="0" w:color="000000"/>
              <w:bottom w:val="single" w:sz="6" w:space="0" w:color="000000"/>
            </w:tcBorders>
          </w:tcPr>
          <w:p w:rsidR="00CF69B7" w:rsidRPr="00DE1A22" w:rsidRDefault="00CF69B7" w:rsidP="009A546B">
            <w:pPr>
              <w:rPr>
                <w:sz w:val="24"/>
                <w:szCs w:val="24"/>
              </w:rPr>
            </w:pPr>
            <w:r w:rsidRPr="00DE1A22">
              <w:rPr>
                <w:sz w:val="24"/>
                <w:szCs w:val="24"/>
              </w:rPr>
              <w:t xml:space="preserve">(paraksts)* </w:t>
            </w:r>
          </w:p>
          <w:p w:rsidR="00CF69B7" w:rsidRPr="00DE1A22" w:rsidRDefault="00CF69B7" w:rsidP="009A546B">
            <w:pPr>
              <w:ind w:left="-108"/>
              <w:jc w:val="both"/>
              <w:rPr>
                <w:sz w:val="24"/>
                <w:szCs w:val="24"/>
              </w:rPr>
            </w:pPr>
            <w:r w:rsidRPr="00DE1A22">
              <w:rPr>
                <w:sz w:val="24"/>
                <w:szCs w:val="24"/>
              </w:rPr>
              <w:t>Piezīme. *Dokumenta rekvizītu "paraksts" neaizpilda, ja elektroniskais dokuments ir sagatavots atbilstoši normatīvajiem aktiem par elektronisko dokumentu noformēšanu.</w:t>
            </w:r>
          </w:p>
          <w:p w:rsidR="00CF69B7" w:rsidRPr="00DE1A22" w:rsidRDefault="00CF69B7" w:rsidP="009A546B">
            <w:pPr>
              <w:jc w:val="both"/>
              <w:rPr>
                <w:sz w:val="24"/>
                <w:szCs w:val="24"/>
              </w:rPr>
            </w:pPr>
          </w:p>
        </w:tc>
      </w:tr>
      <w:tr w:rsidR="00CF69B7" w:rsidRPr="00DE1A22" w:rsidTr="00681F9E">
        <w:tc>
          <w:tcPr>
            <w:tcW w:w="3510" w:type="dxa"/>
            <w:gridSpan w:val="2"/>
          </w:tcPr>
          <w:p w:rsidR="00CF69B7" w:rsidRPr="00DE1A22" w:rsidRDefault="00CF69B7" w:rsidP="009A546B">
            <w:pPr>
              <w:pStyle w:val="naiskr"/>
              <w:spacing w:before="0" w:after="0"/>
              <w:ind w:firstLine="720"/>
            </w:pPr>
          </w:p>
        </w:tc>
        <w:tc>
          <w:tcPr>
            <w:tcW w:w="10490" w:type="dxa"/>
            <w:gridSpan w:val="2"/>
            <w:tcBorders>
              <w:top w:val="single" w:sz="6" w:space="0" w:color="000000"/>
            </w:tcBorders>
          </w:tcPr>
          <w:p w:rsidR="00CF69B7" w:rsidRPr="00DE1A22" w:rsidRDefault="00CF69B7" w:rsidP="009A546B">
            <w:pPr>
              <w:rPr>
                <w:sz w:val="24"/>
                <w:szCs w:val="24"/>
              </w:rPr>
            </w:pPr>
          </w:p>
        </w:tc>
      </w:tr>
      <w:tr w:rsidR="00CF69B7" w:rsidRPr="00DE1A22" w:rsidTr="00681F9E">
        <w:trPr>
          <w:gridBefore w:val="1"/>
          <w:gridAfter w:val="1"/>
          <w:wBefore w:w="108" w:type="dxa"/>
          <w:wAfter w:w="5624" w:type="dxa"/>
        </w:trPr>
        <w:tc>
          <w:tcPr>
            <w:tcW w:w="8268" w:type="dxa"/>
            <w:gridSpan w:val="2"/>
            <w:tcBorders>
              <w:top w:val="single" w:sz="4" w:space="0" w:color="000000"/>
            </w:tcBorders>
          </w:tcPr>
          <w:p w:rsidR="00CF69B7" w:rsidRPr="00DE1A22" w:rsidRDefault="00CF69B7" w:rsidP="009A546B">
            <w:pPr>
              <w:jc w:val="center"/>
              <w:rPr>
                <w:sz w:val="24"/>
                <w:szCs w:val="24"/>
              </w:rPr>
            </w:pPr>
            <w:r w:rsidRPr="00DE1A22">
              <w:rPr>
                <w:sz w:val="24"/>
                <w:szCs w:val="24"/>
              </w:rPr>
              <w:t xml:space="preserve"> (par projektu atbildīgās amatpersonas vārds un uzvārds)</w:t>
            </w:r>
          </w:p>
        </w:tc>
      </w:tr>
      <w:tr w:rsidR="00CF69B7" w:rsidRPr="00DE1A22" w:rsidTr="00681F9E">
        <w:trPr>
          <w:gridBefore w:val="1"/>
          <w:gridAfter w:val="1"/>
          <w:wBefore w:w="108" w:type="dxa"/>
          <w:wAfter w:w="5624" w:type="dxa"/>
        </w:trPr>
        <w:tc>
          <w:tcPr>
            <w:tcW w:w="8268" w:type="dxa"/>
            <w:gridSpan w:val="2"/>
            <w:tcBorders>
              <w:bottom w:val="single" w:sz="4" w:space="0" w:color="000000"/>
            </w:tcBorders>
          </w:tcPr>
          <w:p w:rsidR="00CF69B7" w:rsidRPr="00DE1A22" w:rsidRDefault="00CF69B7" w:rsidP="009A546B">
            <w:pPr>
              <w:tabs>
                <w:tab w:val="left" w:pos="6990"/>
              </w:tabs>
              <w:ind w:firstLine="720"/>
              <w:jc w:val="center"/>
              <w:rPr>
                <w:sz w:val="24"/>
                <w:szCs w:val="24"/>
              </w:rPr>
            </w:pPr>
          </w:p>
        </w:tc>
      </w:tr>
      <w:tr w:rsidR="00CF69B7" w:rsidRPr="00DE1A22" w:rsidTr="00681F9E">
        <w:trPr>
          <w:gridBefore w:val="1"/>
          <w:gridAfter w:val="1"/>
          <w:wBefore w:w="108" w:type="dxa"/>
          <w:wAfter w:w="5624" w:type="dxa"/>
        </w:trPr>
        <w:tc>
          <w:tcPr>
            <w:tcW w:w="8268" w:type="dxa"/>
            <w:gridSpan w:val="2"/>
            <w:tcBorders>
              <w:top w:val="single" w:sz="4" w:space="0" w:color="000000"/>
            </w:tcBorders>
          </w:tcPr>
          <w:p w:rsidR="00CF69B7" w:rsidRPr="00DE1A22" w:rsidRDefault="00CF69B7" w:rsidP="009A546B">
            <w:pPr>
              <w:jc w:val="center"/>
              <w:rPr>
                <w:sz w:val="24"/>
                <w:szCs w:val="24"/>
              </w:rPr>
            </w:pPr>
            <w:r w:rsidRPr="00DE1A22">
              <w:rPr>
                <w:sz w:val="24"/>
                <w:szCs w:val="24"/>
              </w:rPr>
              <w:t>(amats)</w:t>
            </w:r>
          </w:p>
        </w:tc>
      </w:tr>
      <w:tr w:rsidR="00CF69B7" w:rsidRPr="00DE1A22" w:rsidTr="00681F9E">
        <w:trPr>
          <w:gridBefore w:val="1"/>
          <w:gridAfter w:val="1"/>
          <w:wBefore w:w="108" w:type="dxa"/>
          <w:wAfter w:w="5624" w:type="dxa"/>
        </w:trPr>
        <w:tc>
          <w:tcPr>
            <w:tcW w:w="8268" w:type="dxa"/>
            <w:gridSpan w:val="2"/>
            <w:tcBorders>
              <w:bottom w:val="single" w:sz="4" w:space="0" w:color="000000"/>
            </w:tcBorders>
          </w:tcPr>
          <w:p w:rsidR="00CF69B7" w:rsidRPr="00DE1A22" w:rsidRDefault="00CF69B7" w:rsidP="009A546B">
            <w:pPr>
              <w:jc w:val="center"/>
              <w:rPr>
                <w:sz w:val="24"/>
                <w:szCs w:val="24"/>
              </w:rPr>
            </w:pPr>
          </w:p>
        </w:tc>
      </w:tr>
      <w:tr w:rsidR="00CF69B7" w:rsidRPr="00DE1A22" w:rsidTr="00681F9E">
        <w:trPr>
          <w:gridBefore w:val="1"/>
          <w:gridAfter w:val="1"/>
          <w:wBefore w:w="108" w:type="dxa"/>
          <w:wAfter w:w="5624" w:type="dxa"/>
        </w:trPr>
        <w:tc>
          <w:tcPr>
            <w:tcW w:w="8268" w:type="dxa"/>
            <w:gridSpan w:val="2"/>
            <w:tcBorders>
              <w:top w:val="single" w:sz="4" w:space="0" w:color="000000"/>
            </w:tcBorders>
          </w:tcPr>
          <w:p w:rsidR="00CF69B7" w:rsidRPr="00DE1A22" w:rsidRDefault="00CF69B7" w:rsidP="009A546B">
            <w:pPr>
              <w:jc w:val="center"/>
              <w:rPr>
                <w:sz w:val="24"/>
                <w:szCs w:val="24"/>
              </w:rPr>
            </w:pPr>
            <w:r w:rsidRPr="00DE1A22">
              <w:rPr>
                <w:sz w:val="24"/>
                <w:szCs w:val="24"/>
              </w:rPr>
              <w:t>(tālruņa un faksa numurs)</w:t>
            </w:r>
          </w:p>
        </w:tc>
      </w:tr>
      <w:tr w:rsidR="00CF69B7" w:rsidRPr="00DE1A22" w:rsidTr="00681F9E">
        <w:trPr>
          <w:gridBefore w:val="1"/>
          <w:gridAfter w:val="1"/>
          <w:wBefore w:w="108" w:type="dxa"/>
          <w:wAfter w:w="5624" w:type="dxa"/>
        </w:trPr>
        <w:tc>
          <w:tcPr>
            <w:tcW w:w="8268" w:type="dxa"/>
            <w:gridSpan w:val="2"/>
            <w:tcBorders>
              <w:bottom w:val="single" w:sz="4" w:space="0" w:color="000000"/>
            </w:tcBorders>
          </w:tcPr>
          <w:p w:rsidR="00CF69B7" w:rsidRPr="00DE1A22" w:rsidRDefault="00CF69B7" w:rsidP="009A546B">
            <w:pPr>
              <w:jc w:val="center"/>
              <w:rPr>
                <w:sz w:val="24"/>
                <w:szCs w:val="24"/>
              </w:rPr>
            </w:pPr>
          </w:p>
        </w:tc>
      </w:tr>
      <w:tr w:rsidR="00CF69B7" w:rsidRPr="00DE1A22" w:rsidTr="00681F9E">
        <w:trPr>
          <w:gridBefore w:val="1"/>
          <w:gridAfter w:val="1"/>
          <w:wBefore w:w="108" w:type="dxa"/>
          <w:wAfter w:w="5624" w:type="dxa"/>
        </w:trPr>
        <w:tc>
          <w:tcPr>
            <w:tcW w:w="8268" w:type="dxa"/>
            <w:gridSpan w:val="2"/>
            <w:tcBorders>
              <w:top w:val="single" w:sz="4" w:space="0" w:color="000000"/>
            </w:tcBorders>
          </w:tcPr>
          <w:p w:rsidR="00CF69B7" w:rsidRPr="00DE1A22" w:rsidRDefault="00CF69B7" w:rsidP="009A546B">
            <w:pPr>
              <w:jc w:val="center"/>
              <w:rPr>
                <w:sz w:val="24"/>
                <w:szCs w:val="24"/>
              </w:rPr>
            </w:pPr>
            <w:r w:rsidRPr="00DE1A22">
              <w:rPr>
                <w:sz w:val="24"/>
                <w:szCs w:val="24"/>
              </w:rPr>
              <w:t>(e-pasta adrese)</w:t>
            </w:r>
          </w:p>
        </w:tc>
      </w:tr>
    </w:tbl>
    <w:p w:rsidR="00CF69B7" w:rsidRPr="00DE1A22" w:rsidRDefault="00CF69B7" w:rsidP="00CF69B7">
      <w:pPr>
        <w:pStyle w:val="BodyText0"/>
        <w:tabs>
          <w:tab w:val="left" w:pos="12150"/>
        </w:tabs>
        <w:jc w:val="both"/>
        <w:rPr>
          <w:i/>
          <w:lang w:val="fr-FR"/>
        </w:rPr>
      </w:pPr>
    </w:p>
    <w:p w:rsidR="00983AB0" w:rsidRPr="00DE1A22" w:rsidRDefault="005735EB" w:rsidP="0027190D">
      <w:pPr>
        <w:jc w:val="both"/>
        <w:rPr>
          <w:sz w:val="23"/>
          <w:szCs w:val="23"/>
        </w:rPr>
      </w:pPr>
      <w:r w:rsidRPr="00DE1A22">
        <w:rPr>
          <w:sz w:val="23"/>
          <w:szCs w:val="23"/>
        </w:rPr>
        <w:t>E.Šidlovskis</w:t>
      </w:r>
      <w:r w:rsidR="00C502C8" w:rsidRPr="00DE1A22">
        <w:rPr>
          <w:sz w:val="23"/>
          <w:szCs w:val="23"/>
        </w:rPr>
        <w:t xml:space="preserve">, </w:t>
      </w:r>
      <w:r w:rsidRPr="00DE1A22">
        <w:rPr>
          <w:sz w:val="23"/>
          <w:szCs w:val="23"/>
        </w:rPr>
        <w:t>67083894</w:t>
      </w:r>
    </w:p>
    <w:p w:rsidR="005959CA" w:rsidRPr="00DE1A22" w:rsidRDefault="00035131" w:rsidP="004879F3">
      <w:pPr>
        <w:tabs>
          <w:tab w:val="left" w:pos="6181"/>
        </w:tabs>
        <w:jc w:val="both"/>
        <w:rPr>
          <w:sz w:val="23"/>
          <w:szCs w:val="23"/>
        </w:rPr>
      </w:pPr>
      <w:hyperlink r:id="rId12" w:history="1">
        <w:r w:rsidR="005735EB" w:rsidRPr="00DE1A22">
          <w:rPr>
            <w:rStyle w:val="Hyperlink"/>
            <w:color w:val="auto"/>
            <w:sz w:val="23"/>
            <w:szCs w:val="23"/>
          </w:rPr>
          <w:t>Edgars.Sidlovskis@fm.gov.lv</w:t>
        </w:r>
      </w:hyperlink>
      <w:r w:rsidR="00EF3F03" w:rsidRPr="00DE1A22">
        <w:rPr>
          <w:sz w:val="23"/>
          <w:szCs w:val="23"/>
        </w:rPr>
        <w:t xml:space="preserve"> </w:t>
      </w:r>
      <w:r w:rsidR="004879F3" w:rsidRPr="00DE1A22">
        <w:rPr>
          <w:sz w:val="23"/>
          <w:szCs w:val="23"/>
        </w:rPr>
        <w:tab/>
      </w:r>
    </w:p>
    <w:p w:rsidR="008B0F35" w:rsidRPr="00DE1A22" w:rsidRDefault="008B0F35" w:rsidP="005959CA">
      <w:pPr>
        <w:tabs>
          <w:tab w:val="left" w:pos="4424"/>
        </w:tabs>
        <w:rPr>
          <w:sz w:val="23"/>
          <w:szCs w:val="23"/>
        </w:rPr>
      </w:pPr>
    </w:p>
    <w:sectPr w:rsidR="008B0F35" w:rsidRPr="00DE1A22" w:rsidSect="00103790">
      <w:headerReference w:type="default" r:id="rId13"/>
      <w:footerReference w:type="default" r:id="rId14"/>
      <w:footerReference w:type="first" r:id="rId15"/>
      <w:pgSz w:w="16838" w:h="11906" w:orient="landscape"/>
      <w:pgMar w:top="709" w:right="851" w:bottom="426" w:left="96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131" w:rsidRDefault="00035131" w:rsidP="00B70481">
      <w:r>
        <w:separator/>
      </w:r>
    </w:p>
  </w:endnote>
  <w:endnote w:type="continuationSeparator" w:id="0">
    <w:p w:rsidR="00035131" w:rsidRDefault="00035131" w:rsidP="00B7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Franklin Gothic Book">
    <w:charset w:val="BA"/>
    <w:family w:val="swiss"/>
    <w:pitch w:val="variable"/>
    <w:sig w:usb0="00000287" w:usb1="00000000" w:usb2="00000000" w:usb3="00000000" w:csb0="0000009F" w:csb1="00000000"/>
  </w:font>
  <w:font w:name="SabonLT-Roman">
    <w:altName w:val="MS Gothic"/>
    <w:panose1 w:val="00000000000000000000"/>
    <w:charset w:val="80"/>
    <w:family w:val="roman"/>
    <w:notTrueType/>
    <w:pitch w:val="default"/>
    <w:sig w:usb0="00000000" w:usb1="08070000" w:usb2="00000010" w:usb3="00000000" w:csb0="00020000"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9C" w:rsidRPr="007F20EE" w:rsidRDefault="0091689C" w:rsidP="007F20EE">
    <w:pPr>
      <w:pStyle w:val="Footer"/>
    </w:pPr>
    <w:r w:rsidRPr="007F20EE">
      <w:rPr>
        <w:sz w:val="20"/>
        <w:szCs w:val="20"/>
      </w:rPr>
      <w:t>FMIzz_</w:t>
    </w:r>
    <w:r w:rsidR="00E53636">
      <w:rPr>
        <w:sz w:val="20"/>
        <w:szCs w:val="20"/>
      </w:rPr>
      <w:t>1211</w:t>
    </w:r>
    <w:r>
      <w:rPr>
        <w:sz w:val="20"/>
        <w:szCs w:val="20"/>
      </w:rPr>
      <w:t>20</w:t>
    </w:r>
    <w:r w:rsidRPr="007F20EE">
      <w:rPr>
        <w:sz w:val="20"/>
        <w:szCs w:val="20"/>
      </w:rPr>
      <w:t>_IA_pamat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9C" w:rsidRPr="007F20EE" w:rsidRDefault="0091689C" w:rsidP="007F20EE">
    <w:pPr>
      <w:pStyle w:val="Footer"/>
    </w:pPr>
    <w:r w:rsidRPr="007F20EE">
      <w:rPr>
        <w:sz w:val="20"/>
        <w:szCs w:val="20"/>
      </w:rPr>
      <w:t>FMIzz_</w:t>
    </w:r>
    <w:r w:rsidR="00E53636">
      <w:rPr>
        <w:sz w:val="20"/>
        <w:szCs w:val="20"/>
      </w:rPr>
      <w:t>121120</w:t>
    </w:r>
    <w:r w:rsidRPr="007F20EE">
      <w:rPr>
        <w:sz w:val="20"/>
        <w:szCs w:val="20"/>
      </w:rPr>
      <w:t>_IA_pamat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131" w:rsidRDefault="00035131" w:rsidP="00B70481">
      <w:r>
        <w:separator/>
      </w:r>
    </w:p>
  </w:footnote>
  <w:footnote w:type="continuationSeparator" w:id="0">
    <w:p w:rsidR="00035131" w:rsidRDefault="00035131" w:rsidP="00B70481">
      <w:r>
        <w:continuationSeparator/>
      </w:r>
    </w:p>
  </w:footnote>
  <w:footnote w:id="1">
    <w:p w:rsidR="0091689C" w:rsidRPr="003D694C" w:rsidRDefault="0091689C" w:rsidP="00D313A4">
      <w:pPr>
        <w:pStyle w:val="FootnoteText"/>
        <w:jc w:val="both"/>
        <w:rPr>
          <w:rFonts w:ascii="Times New Roman" w:hAnsi="Times New Roman"/>
          <w:lang w:val="lv-LV"/>
        </w:rPr>
      </w:pPr>
      <w:r w:rsidRPr="003D694C">
        <w:rPr>
          <w:rStyle w:val="FootnoteReference"/>
          <w:rFonts w:ascii="Times New Roman" w:hAnsi="Times New Roman"/>
        </w:rPr>
        <w:footnoteRef/>
      </w:r>
      <w:r w:rsidRPr="003D694C">
        <w:rPr>
          <w:rFonts w:ascii="Times New Roman" w:hAnsi="Times New Roman"/>
        </w:rPr>
        <w:t xml:space="preserve"> Remote Gambling Research </w:t>
      </w:r>
      <w:r w:rsidRPr="003D694C">
        <w:rPr>
          <w:rFonts w:ascii="Times New Roman" w:hAnsi="Times New Roman"/>
          <w:lang w:val="lv-LV"/>
        </w:rPr>
        <w:t>42. lpp.</w:t>
      </w:r>
    </w:p>
  </w:footnote>
  <w:footnote w:id="2">
    <w:p w:rsidR="0091689C" w:rsidRPr="003D694C" w:rsidRDefault="0091689C" w:rsidP="00A92DCB">
      <w:pPr>
        <w:pStyle w:val="FootnoteText"/>
        <w:jc w:val="both"/>
        <w:rPr>
          <w:rFonts w:ascii="Times New Roman" w:hAnsi="Times New Roman"/>
          <w:lang w:val="lv-LV"/>
        </w:rPr>
      </w:pPr>
      <w:r w:rsidRPr="003D694C">
        <w:rPr>
          <w:rStyle w:val="FootnoteReference"/>
          <w:rFonts w:ascii="Times New Roman" w:hAnsi="Times New Roman"/>
        </w:rPr>
        <w:footnoteRef/>
      </w:r>
      <w:r w:rsidRPr="003D694C">
        <w:rPr>
          <w:rFonts w:ascii="Times New Roman" w:hAnsi="Times New Roman"/>
        </w:rPr>
        <w:t xml:space="preserve"> Remote Gambling Research </w:t>
      </w:r>
      <w:r w:rsidRPr="003D694C">
        <w:rPr>
          <w:rFonts w:ascii="Times New Roman" w:hAnsi="Times New Roman"/>
          <w:lang w:val="lv-LV"/>
        </w:rPr>
        <w:t>42. lpp.</w:t>
      </w:r>
    </w:p>
  </w:footnote>
  <w:footnote w:id="3">
    <w:p w:rsidR="0091689C" w:rsidRPr="003D694C" w:rsidRDefault="0091689C" w:rsidP="00C10A28">
      <w:pPr>
        <w:pStyle w:val="FootnoteText"/>
        <w:jc w:val="both"/>
        <w:rPr>
          <w:rFonts w:ascii="Times New Roman" w:hAnsi="Times New Roman"/>
          <w:lang w:val="lv-LV"/>
        </w:rPr>
      </w:pPr>
      <w:r w:rsidRPr="003D694C">
        <w:rPr>
          <w:rStyle w:val="FootnoteReference"/>
          <w:rFonts w:ascii="Times New Roman" w:hAnsi="Times New Roman"/>
        </w:rPr>
        <w:footnoteRef/>
      </w:r>
      <w:r w:rsidRPr="009647E5">
        <w:rPr>
          <w:rFonts w:ascii="Times New Roman" w:hAnsi="Times New Roman"/>
          <w:lang w:val="lv-LV"/>
        </w:rPr>
        <w:t xml:space="preserve"> Remote Gambling Research </w:t>
      </w:r>
      <w:r w:rsidRPr="003D694C">
        <w:rPr>
          <w:rFonts w:ascii="Times New Roman" w:hAnsi="Times New Roman"/>
          <w:lang w:val="lv-LV"/>
        </w:rPr>
        <w:t>42. lpp.</w:t>
      </w:r>
    </w:p>
  </w:footnote>
  <w:footnote w:id="4">
    <w:p w:rsidR="0091689C" w:rsidRPr="00D359F3" w:rsidRDefault="0091689C" w:rsidP="00782D76">
      <w:pPr>
        <w:pStyle w:val="FootnoteText"/>
        <w:jc w:val="both"/>
        <w:rPr>
          <w:rFonts w:ascii="Times New Roman" w:hAnsi="Times New Roman" w:cs="Times New Roman"/>
          <w:lang w:val="lv-LV"/>
        </w:rPr>
      </w:pPr>
      <w:r>
        <w:rPr>
          <w:rStyle w:val="FootnoteReference"/>
        </w:rPr>
        <w:footnoteRef/>
      </w:r>
      <w:r w:rsidRPr="00BF4AE7">
        <w:rPr>
          <w:lang w:val="lv-LV"/>
        </w:rPr>
        <w:t xml:space="preserve"> </w:t>
      </w:r>
      <w:r>
        <w:rPr>
          <w:rFonts w:ascii="Times New Roman" w:hAnsi="Times New Roman" w:cs="Times New Roman"/>
          <w:lang w:val="lv-LV"/>
        </w:rPr>
        <w:t xml:space="preserve">Atbilstoši Izložu un azartspēļu uzraudzības inspekcijas sniegtajai informācijai par On-line klientu skaitu no 2016.-2019.gadam. </w:t>
      </w:r>
      <w:r w:rsidRPr="00D359F3">
        <w:rPr>
          <w:rFonts w:ascii="Times New Roman" w:hAnsi="Times New Roman" w:cs="Times New Roman"/>
          <w:lang w:val="lv-LV"/>
        </w:rPr>
        <w:t>Reģistrēto klientu skaits nav unikālo spēlētāju skaits, jo nepastāv vienots reģistrs, bet katrs spēlētājs (klients) var būt reģistrēts 9 reizes.</w:t>
      </w:r>
    </w:p>
  </w:footnote>
  <w:footnote w:id="5">
    <w:p w:rsidR="0091689C" w:rsidRPr="0030022C" w:rsidRDefault="0091689C" w:rsidP="00EB79A6">
      <w:pPr>
        <w:pStyle w:val="FootnoteText"/>
        <w:jc w:val="both"/>
        <w:rPr>
          <w:rFonts w:ascii="Times New Roman" w:hAnsi="Times New Roman"/>
        </w:rPr>
      </w:pPr>
      <w:r w:rsidRPr="0030022C">
        <w:rPr>
          <w:rStyle w:val="FootnoteReference"/>
          <w:rFonts w:ascii="Times New Roman" w:eastAsiaTheme="majorEastAsia" w:hAnsi="Times New Roman"/>
        </w:rPr>
        <w:footnoteRef/>
      </w:r>
      <w:r w:rsidRPr="0030022C">
        <w:rPr>
          <w:rFonts w:ascii="Times New Roman" w:hAnsi="Times New Roman"/>
        </w:rPr>
        <w:t xml:space="preserve"> Per Binde, Gambling motivation and involvement,  Swedish National Institute of Public health, p.15 </w:t>
      </w:r>
    </w:p>
  </w:footnote>
  <w:footnote w:id="6">
    <w:p w:rsidR="0091689C" w:rsidRPr="0030022C" w:rsidRDefault="0091689C" w:rsidP="00EB79A6">
      <w:pPr>
        <w:pStyle w:val="FootnoteText"/>
        <w:jc w:val="both"/>
        <w:rPr>
          <w:rFonts w:ascii="Times New Roman" w:hAnsi="Times New Roman"/>
        </w:rPr>
      </w:pPr>
      <w:r w:rsidRPr="0030022C">
        <w:rPr>
          <w:rStyle w:val="FootnoteReference"/>
          <w:rFonts w:ascii="Times New Roman" w:eastAsiaTheme="majorEastAsia" w:hAnsi="Times New Roman"/>
        </w:rPr>
        <w:footnoteRef/>
      </w:r>
      <w:r w:rsidRPr="0030022C">
        <w:rPr>
          <w:rFonts w:ascii="Times New Roman" w:hAnsi="Times New Roman"/>
        </w:rPr>
        <w:t xml:space="preserve"> Per Binde, Gambling motivation and involvement,  Swedish National Institute of Public health, p.6 </w:t>
      </w:r>
    </w:p>
  </w:footnote>
  <w:footnote w:id="7">
    <w:p w:rsidR="0091689C" w:rsidRPr="000F1653" w:rsidRDefault="0091689C" w:rsidP="00EB79A6">
      <w:pPr>
        <w:pStyle w:val="FootnoteText"/>
        <w:jc w:val="both"/>
        <w:rPr>
          <w:rFonts w:ascii="Times New Roman" w:hAnsi="Times New Roman"/>
        </w:rPr>
      </w:pPr>
      <w:r w:rsidRPr="0030022C">
        <w:rPr>
          <w:rStyle w:val="FootnoteReference"/>
          <w:rFonts w:ascii="Times New Roman" w:eastAsiaTheme="majorEastAsia" w:hAnsi="Times New Roman"/>
        </w:rPr>
        <w:footnoteRef/>
      </w:r>
      <w:r w:rsidRPr="0030022C">
        <w:rPr>
          <w:rFonts w:ascii="Times New Roman" w:hAnsi="Times New Roman"/>
        </w:rPr>
        <w:t xml:space="preserve"> Per Binde, Gambling motivation and involvement,  Swedish National Institute of Public health, p.18</w:t>
      </w:r>
    </w:p>
  </w:footnote>
  <w:footnote w:id="8">
    <w:p w:rsidR="0091689C" w:rsidRPr="00840A47" w:rsidRDefault="0091689C" w:rsidP="004C5EE6">
      <w:pPr>
        <w:pStyle w:val="FootnoteText"/>
        <w:spacing w:after="120"/>
        <w:jc w:val="both"/>
        <w:rPr>
          <w:rFonts w:ascii="Verdana" w:hAnsi="Verdana" w:cs="Times New Roman"/>
          <w:sz w:val="16"/>
          <w:szCs w:val="16"/>
        </w:rPr>
      </w:pPr>
      <w:r w:rsidRPr="00840A47">
        <w:rPr>
          <w:rStyle w:val="FootnoteReference"/>
          <w:rFonts w:ascii="Verdana" w:hAnsi="Verdana" w:cs="Times New Roman"/>
          <w:sz w:val="16"/>
          <w:szCs w:val="16"/>
        </w:rPr>
        <w:footnoteRef/>
      </w:r>
      <w:r w:rsidRPr="00840A47">
        <w:rPr>
          <w:rFonts w:ascii="Verdana" w:hAnsi="Verdana" w:cs="Times New Roman"/>
          <w:sz w:val="16"/>
          <w:szCs w:val="16"/>
        </w:rPr>
        <w:t xml:space="preserve"> Eiropas Parlamenta un Padomes direktīvas 2010/13/ES par to, lai koordinētu dažus dalībvalstu normatīvajos un administratīvajos aktos paredzētus noteikumus par audiovizuālo mediju pakalpojumu sniegšanu (Audiovizuālo mediju pakalpojumu direktīva), Eiropas Savienības Oficiālais Vēstnesis L95/1 (2010.gada 10.marta redakcija), 22.apsvērums; Eiropas Parlamenta un Padomes Direktīvas 2000/31/EK par dažiem informācijas sabiedrības pakalpojumu tiesiskiem aspektiem, jo īpaši elektronisko tirdzniecību, iekšējā tirgū (Direktīva par elektronisko tirdzniecību), Eiropas Savienības Oficiālais Vēstnesis L 178 (2000.gada 8.jūnija redakcija) 16.apsvērums; sk.arī: Eiropas Savienības Komisijas Zaļā grāmata par tiešsaistes azartspēlēm iekšējā tirgū. COM(2011) 128 galīgā redakcija. Pieejams: </w:t>
      </w:r>
      <w:hyperlink r:id="rId1" w:history="1">
        <w:r w:rsidRPr="00840A47">
          <w:rPr>
            <w:rStyle w:val="Hyperlink"/>
            <w:rFonts w:ascii="Verdana" w:hAnsi="Verdana" w:cs="Times New Roman"/>
            <w:sz w:val="16"/>
            <w:szCs w:val="16"/>
          </w:rPr>
          <w:t>https://eur-lex.europa.eu/legal-content/LV/TXT/?uri=CELEX:52011DC0128</w:t>
        </w:r>
      </w:hyperlink>
      <w:r w:rsidRPr="00840A47">
        <w:rPr>
          <w:rFonts w:ascii="Verdana" w:hAnsi="Verdana" w:cs="Times New Roman"/>
          <w:sz w:val="16"/>
          <w:szCs w:val="16"/>
        </w:rPr>
        <w:t xml:space="preserve"> [skatīts 03.07.2018.], 13.lpp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9C" w:rsidRDefault="0091689C" w:rsidP="0094708D">
    <w:pPr>
      <w:pStyle w:val="Header"/>
      <w:jc w:val="center"/>
    </w:pPr>
    <w:r w:rsidRPr="00B70481">
      <w:rPr>
        <w:sz w:val="24"/>
        <w:szCs w:val="24"/>
      </w:rPr>
      <w:fldChar w:fldCharType="begin"/>
    </w:r>
    <w:r w:rsidRPr="00B70481">
      <w:rPr>
        <w:sz w:val="24"/>
        <w:szCs w:val="24"/>
      </w:rPr>
      <w:instrText xml:space="preserve"> PAGE   \* MERGEFORMAT </w:instrText>
    </w:r>
    <w:r w:rsidRPr="00B70481">
      <w:rPr>
        <w:sz w:val="24"/>
        <w:szCs w:val="24"/>
      </w:rPr>
      <w:fldChar w:fldCharType="separate"/>
    </w:r>
    <w:r w:rsidR="00382959">
      <w:rPr>
        <w:noProof/>
        <w:sz w:val="24"/>
        <w:szCs w:val="24"/>
      </w:rPr>
      <w:t>15</w:t>
    </w:r>
    <w:r w:rsidRPr="00B70481">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252A19"/>
    <w:multiLevelType w:val="hybridMultilevel"/>
    <w:tmpl w:val="9E302462"/>
    <w:lvl w:ilvl="0" w:tplc="BBD42A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A5351"/>
    <w:multiLevelType w:val="hybridMultilevel"/>
    <w:tmpl w:val="6368F4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163D33"/>
    <w:multiLevelType w:val="hybridMultilevel"/>
    <w:tmpl w:val="7FCACE2C"/>
    <w:lvl w:ilvl="0" w:tplc="3F761C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306900"/>
    <w:multiLevelType w:val="multilevel"/>
    <w:tmpl w:val="2ED0531E"/>
    <w:lvl w:ilvl="0">
      <w:start w:val="1"/>
      <w:numFmt w:val="decimal"/>
      <w:lvlText w:val="%1."/>
      <w:lvlJc w:val="left"/>
      <w:pPr>
        <w:ind w:left="660" w:hanging="360"/>
      </w:pPr>
      <w:rPr>
        <w:rFonts w:hint="default"/>
      </w:rPr>
    </w:lvl>
    <w:lvl w:ilvl="1">
      <w:start w:val="1"/>
      <w:numFmt w:val="decimal"/>
      <w:isLgl/>
      <w:lvlText w:val="%1.%2."/>
      <w:lvlJc w:val="left"/>
      <w:pPr>
        <w:ind w:left="4548" w:hanging="720"/>
      </w:pPr>
      <w:rPr>
        <w:rFonts w:hint="default"/>
        <w:color w:val="auto"/>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6" w15:restartNumberingAfterBreak="0">
    <w:nsid w:val="3CF71D62"/>
    <w:multiLevelType w:val="hybridMultilevel"/>
    <w:tmpl w:val="6A36F9BE"/>
    <w:lvl w:ilvl="0" w:tplc="0A6C443E">
      <w:start w:val="1"/>
      <w:numFmt w:val="decimal"/>
      <w:lvlText w:val="%1)"/>
      <w:lvlJc w:val="left"/>
      <w:pPr>
        <w:ind w:left="879" w:hanging="360"/>
      </w:pPr>
      <w:rPr>
        <w:rFonts w:hint="default"/>
      </w:rPr>
    </w:lvl>
    <w:lvl w:ilvl="1" w:tplc="04260019" w:tentative="1">
      <w:start w:val="1"/>
      <w:numFmt w:val="lowerLetter"/>
      <w:lvlText w:val="%2."/>
      <w:lvlJc w:val="left"/>
      <w:pPr>
        <w:ind w:left="1599" w:hanging="360"/>
      </w:pPr>
    </w:lvl>
    <w:lvl w:ilvl="2" w:tplc="0426001B" w:tentative="1">
      <w:start w:val="1"/>
      <w:numFmt w:val="lowerRoman"/>
      <w:lvlText w:val="%3."/>
      <w:lvlJc w:val="right"/>
      <w:pPr>
        <w:ind w:left="2319" w:hanging="180"/>
      </w:pPr>
    </w:lvl>
    <w:lvl w:ilvl="3" w:tplc="0426000F" w:tentative="1">
      <w:start w:val="1"/>
      <w:numFmt w:val="decimal"/>
      <w:lvlText w:val="%4."/>
      <w:lvlJc w:val="left"/>
      <w:pPr>
        <w:ind w:left="3039" w:hanging="360"/>
      </w:pPr>
    </w:lvl>
    <w:lvl w:ilvl="4" w:tplc="04260019" w:tentative="1">
      <w:start w:val="1"/>
      <w:numFmt w:val="lowerLetter"/>
      <w:lvlText w:val="%5."/>
      <w:lvlJc w:val="left"/>
      <w:pPr>
        <w:ind w:left="3759" w:hanging="360"/>
      </w:pPr>
    </w:lvl>
    <w:lvl w:ilvl="5" w:tplc="0426001B" w:tentative="1">
      <w:start w:val="1"/>
      <w:numFmt w:val="lowerRoman"/>
      <w:lvlText w:val="%6."/>
      <w:lvlJc w:val="right"/>
      <w:pPr>
        <w:ind w:left="4479" w:hanging="180"/>
      </w:pPr>
    </w:lvl>
    <w:lvl w:ilvl="6" w:tplc="0426000F" w:tentative="1">
      <w:start w:val="1"/>
      <w:numFmt w:val="decimal"/>
      <w:lvlText w:val="%7."/>
      <w:lvlJc w:val="left"/>
      <w:pPr>
        <w:ind w:left="5199" w:hanging="360"/>
      </w:pPr>
    </w:lvl>
    <w:lvl w:ilvl="7" w:tplc="04260019" w:tentative="1">
      <w:start w:val="1"/>
      <w:numFmt w:val="lowerLetter"/>
      <w:lvlText w:val="%8."/>
      <w:lvlJc w:val="left"/>
      <w:pPr>
        <w:ind w:left="5919" w:hanging="360"/>
      </w:pPr>
    </w:lvl>
    <w:lvl w:ilvl="8" w:tplc="0426001B" w:tentative="1">
      <w:start w:val="1"/>
      <w:numFmt w:val="lowerRoman"/>
      <w:lvlText w:val="%9."/>
      <w:lvlJc w:val="right"/>
      <w:pPr>
        <w:ind w:left="6639" w:hanging="180"/>
      </w:pPr>
    </w:lvl>
  </w:abstractNum>
  <w:abstractNum w:abstractNumId="7" w15:restartNumberingAfterBreak="0">
    <w:nsid w:val="4897026D"/>
    <w:multiLevelType w:val="hybridMultilevel"/>
    <w:tmpl w:val="8ED8588C"/>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4FB512E5"/>
    <w:multiLevelType w:val="hybridMultilevel"/>
    <w:tmpl w:val="ED7673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774D4E"/>
    <w:multiLevelType w:val="hybridMultilevel"/>
    <w:tmpl w:val="460A6250"/>
    <w:lvl w:ilvl="0" w:tplc="4DFE7FEE">
      <w:start w:val="1"/>
      <w:numFmt w:val="decimal"/>
      <w:lvlText w:val="%1)"/>
      <w:lvlJc w:val="left"/>
      <w:pPr>
        <w:ind w:left="720" w:hanging="360"/>
      </w:pPr>
      <w:rPr>
        <w:rFonts w:hint="default"/>
        <w:color w:val="1818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1A2FEA"/>
    <w:multiLevelType w:val="multilevel"/>
    <w:tmpl w:val="ED86CC36"/>
    <w:styleLink w:val="Style1"/>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63F9147D"/>
    <w:multiLevelType w:val="multilevel"/>
    <w:tmpl w:val="A740D244"/>
    <w:lvl w:ilvl="0">
      <w:start w:val="1"/>
      <w:numFmt w:val="decimal"/>
      <w:lvlText w:val="%1."/>
      <w:lvlJc w:val="left"/>
      <w:pPr>
        <w:ind w:left="792" w:hanging="360"/>
      </w:pPr>
      <w:rPr>
        <w:rFonts w:hint="default"/>
      </w:rPr>
    </w:lvl>
    <w:lvl w:ilvl="1">
      <w:start w:val="1"/>
      <w:numFmt w:val="decimal"/>
      <w:isLgl/>
      <w:lvlText w:val="%1.%2."/>
      <w:lvlJc w:val="left"/>
      <w:pPr>
        <w:ind w:left="1296" w:hanging="720"/>
      </w:pPr>
      <w:rPr>
        <w:rFonts w:ascii="Times New Roman" w:hAnsi="Times New Roman" w:cs="Times New Roman" w:hint="default"/>
        <w:color w:val="auto"/>
      </w:rPr>
    </w:lvl>
    <w:lvl w:ilvl="2">
      <w:start w:val="1"/>
      <w:numFmt w:val="decimal"/>
      <w:isLgl/>
      <w:lvlText w:val="%1.%2.%3."/>
      <w:lvlJc w:val="left"/>
      <w:pPr>
        <w:ind w:left="1440" w:hanging="720"/>
      </w:pPr>
      <w:rPr>
        <w:rFonts w:ascii="Times New Roman" w:hAnsi="Times New Roman" w:cs="Times New Roman" w:hint="default"/>
        <w:i w:val="0"/>
      </w:rPr>
    </w:lvl>
    <w:lvl w:ilvl="3">
      <w:start w:val="1"/>
      <w:numFmt w:val="decimal"/>
      <w:isLgl/>
      <w:lvlText w:val="%1.%2.%3.%4."/>
      <w:lvlJc w:val="left"/>
      <w:pPr>
        <w:ind w:left="1944"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384" w:hanging="1800"/>
      </w:pPr>
      <w:rPr>
        <w:rFonts w:hint="default"/>
      </w:rPr>
    </w:lvl>
  </w:abstractNum>
  <w:abstractNum w:abstractNumId="12" w15:restartNumberingAfterBreak="0">
    <w:nsid w:val="69227851"/>
    <w:multiLevelType w:val="hybridMultilevel"/>
    <w:tmpl w:val="3E5CD050"/>
    <w:lvl w:ilvl="0" w:tplc="B494418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3" w15:restartNumberingAfterBreak="0">
    <w:nsid w:val="6C316769"/>
    <w:multiLevelType w:val="hybridMultilevel"/>
    <w:tmpl w:val="5686B8D0"/>
    <w:lvl w:ilvl="0" w:tplc="B53A1E3C">
      <w:start w:val="1"/>
      <w:numFmt w:val="decimal"/>
      <w:lvlText w:val="%1)"/>
      <w:lvlJc w:val="left"/>
      <w:pPr>
        <w:ind w:left="1070" w:hanging="360"/>
      </w:pPr>
      <w:rPr>
        <w:rFonts w:hint="default"/>
        <w:strike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0"/>
  </w:num>
  <w:num w:numId="2">
    <w:abstractNumId w:val="2"/>
  </w:num>
  <w:num w:numId="3">
    <w:abstractNumId w:val="5"/>
  </w:num>
  <w:num w:numId="4">
    <w:abstractNumId w:val="7"/>
  </w:num>
  <w:num w:numId="5">
    <w:abstractNumId w:val="6"/>
  </w:num>
  <w:num w:numId="6">
    <w:abstractNumId w:val="11"/>
  </w:num>
  <w:num w:numId="7">
    <w:abstractNumId w:val="8"/>
  </w:num>
  <w:num w:numId="8">
    <w:abstractNumId w:val="9"/>
  </w:num>
  <w:num w:numId="9">
    <w:abstractNumId w:val="13"/>
  </w:num>
  <w:num w:numId="10">
    <w:abstractNumId w:val="4"/>
  </w:num>
  <w:num w:numId="11">
    <w:abstractNumId w:val="3"/>
  </w:num>
  <w:num w:numId="1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D8"/>
    <w:rsid w:val="0000129E"/>
    <w:rsid w:val="00001895"/>
    <w:rsid w:val="000029EF"/>
    <w:rsid w:val="00002B33"/>
    <w:rsid w:val="00003888"/>
    <w:rsid w:val="0000426A"/>
    <w:rsid w:val="000058A7"/>
    <w:rsid w:val="00005B21"/>
    <w:rsid w:val="00005E69"/>
    <w:rsid w:val="00006FC3"/>
    <w:rsid w:val="000074EA"/>
    <w:rsid w:val="000102DD"/>
    <w:rsid w:val="0001079F"/>
    <w:rsid w:val="000109A3"/>
    <w:rsid w:val="00011966"/>
    <w:rsid w:val="00011DA1"/>
    <w:rsid w:val="00012121"/>
    <w:rsid w:val="00012215"/>
    <w:rsid w:val="000134F8"/>
    <w:rsid w:val="00014CFF"/>
    <w:rsid w:val="000153EB"/>
    <w:rsid w:val="000155C5"/>
    <w:rsid w:val="00015BA4"/>
    <w:rsid w:val="00016FF6"/>
    <w:rsid w:val="00017262"/>
    <w:rsid w:val="0002029E"/>
    <w:rsid w:val="00020DCF"/>
    <w:rsid w:val="0002105A"/>
    <w:rsid w:val="000210B8"/>
    <w:rsid w:val="000212A7"/>
    <w:rsid w:val="00021686"/>
    <w:rsid w:val="00022508"/>
    <w:rsid w:val="00022806"/>
    <w:rsid w:val="00022975"/>
    <w:rsid w:val="0002420E"/>
    <w:rsid w:val="00024365"/>
    <w:rsid w:val="000247FE"/>
    <w:rsid w:val="00024C71"/>
    <w:rsid w:val="000257CC"/>
    <w:rsid w:val="00025A94"/>
    <w:rsid w:val="00026226"/>
    <w:rsid w:val="000263DA"/>
    <w:rsid w:val="00026872"/>
    <w:rsid w:val="000269E7"/>
    <w:rsid w:val="0002766A"/>
    <w:rsid w:val="00027705"/>
    <w:rsid w:val="0002776E"/>
    <w:rsid w:val="00027C74"/>
    <w:rsid w:val="0003147F"/>
    <w:rsid w:val="00031774"/>
    <w:rsid w:val="000321FA"/>
    <w:rsid w:val="00032D08"/>
    <w:rsid w:val="000332DD"/>
    <w:rsid w:val="00033637"/>
    <w:rsid w:val="00033F8F"/>
    <w:rsid w:val="00035131"/>
    <w:rsid w:val="000356D2"/>
    <w:rsid w:val="00035A08"/>
    <w:rsid w:val="00035FF6"/>
    <w:rsid w:val="00036354"/>
    <w:rsid w:val="00036752"/>
    <w:rsid w:val="00036ED0"/>
    <w:rsid w:val="000377FC"/>
    <w:rsid w:val="00037F97"/>
    <w:rsid w:val="00037FDE"/>
    <w:rsid w:val="0004083D"/>
    <w:rsid w:val="00041379"/>
    <w:rsid w:val="000414D7"/>
    <w:rsid w:val="00041650"/>
    <w:rsid w:val="000416D6"/>
    <w:rsid w:val="00041964"/>
    <w:rsid w:val="00041C24"/>
    <w:rsid w:val="00041FDD"/>
    <w:rsid w:val="000425F2"/>
    <w:rsid w:val="00043078"/>
    <w:rsid w:val="000437EB"/>
    <w:rsid w:val="000438AD"/>
    <w:rsid w:val="000445CA"/>
    <w:rsid w:val="00044E5B"/>
    <w:rsid w:val="00045EB5"/>
    <w:rsid w:val="0004631E"/>
    <w:rsid w:val="00047867"/>
    <w:rsid w:val="00047F4C"/>
    <w:rsid w:val="00050815"/>
    <w:rsid w:val="00050F01"/>
    <w:rsid w:val="00050F71"/>
    <w:rsid w:val="0005101A"/>
    <w:rsid w:val="0005114D"/>
    <w:rsid w:val="0005135E"/>
    <w:rsid w:val="0005180B"/>
    <w:rsid w:val="000523AB"/>
    <w:rsid w:val="00053BDD"/>
    <w:rsid w:val="00053D18"/>
    <w:rsid w:val="00054229"/>
    <w:rsid w:val="00055033"/>
    <w:rsid w:val="000559FC"/>
    <w:rsid w:val="00055A4F"/>
    <w:rsid w:val="000561DE"/>
    <w:rsid w:val="00056655"/>
    <w:rsid w:val="00056685"/>
    <w:rsid w:val="0005690B"/>
    <w:rsid w:val="00056B66"/>
    <w:rsid w:val="00056DD8"/>
    <w:rsid w:val="000575E9"/>
    <w:rsid w:val="00057875"/>
    <w:rsid w:val="0006065C"/>
    <w:rsid w:val="00060E2E"/>
    <w:rsid w:val="00061002"/>
    <w:rsid w:val="00061A67"/>
    <w:rsid w:val="00061C02"/>
    <w:rsid w:val="00062637"/>
    <w:rsid w:val="0006263A"/>
    <w:rsid w:val="00063264"/>
    <w:rsid w:val="00063524"/>
    <w:rsid w:val="00064115"/>
    <w:rsid w:val="00065057"/>
    <w:rsid w:val="00065AA6"/>
    <w:rsid w:val="00065C1E"/>
    <w:rsid w:val="00065CE4"/>
    <w:rsid w:val="00066219"/>
    <w:rsid w:val="0006622A"/>
    <w:rsid w:val="000664C6"/>
    <w:rsid w:val="00066717"/>
    <w:rsid w:val="00066839"/>
    <w:rsid w:val="000672DE"/>
    <w:rsid w:val="0006733F"/>
    <w:rsid w:val="00067B92"/>
    <w:rsid w:val="0007069B"/>
    <w:rsid w:val="000710F2"/>
    <w:rsid w:val="00071975"/>
    <w:rsid w:val="00071AFB"/>
    <w:rsid w:val="00071CA6"/>
    <w:rsid w:val="000734CB"/>
    <w:rsid w:val="00073C57"/>
    <w:rsid w:val="000743CF"/>
    <w:rsid w:val="00074598"/>
    <w:rsid w:val="00074AA4"/>
    <w:rsid w:val="00075C80"/>
    <w:rsid w:val="0007627D"/>
    <w:rsid w:val="00077124"/>
    <w:rsid w:val="0007712C"/>
    <w:rsid w:val="00077267"/>
    <w:rsid w:val="0008127E"/>
    <w:rsid w:val="00083191"/>
    <w:rsid w:val="00083273"/>
    <w:rsid w:val="00083439"/>
    <w:rsid w:val="000835B9"/>
    <w:rsid w:val="00083657"/>
    <w:rsid w:val="00083B88"/>
    <w:rsid w:val="0008406C"/>
    <w:rsid w:val="0008407A"/>
    <w:rsid w:val="0008445A"/>
    <w:rsid w:val="00084D13"/>
    <w:rsid w:val="0008592A"/>
    <w:rsid w:val="00085DAE"/>
    <w:rsid w:val="00086AB8"/>
    <w:rsid w:val="00086E08"/>
    <w:rsid w:val="000873D3"/>
    <w:rsid w:val="000915EC"/>
    <w:rsid w:val="0009233E"/>
    <w:rsid w:val="00092802"/>
    <w:rsid w:val="0009349F"/>
    <w:rsid w:val="000935E9"/>
    <w:rsid w:val="0009384E"/>
    <w:rsid w:val="00093FE6"/>
    <w:rsid w:val="0009429D"/>
    <w:rsid w:val="00094408"/>
    <w:rsid w:val="00094762"/>
    <w:rsid w:val="00094DE4"/>
    <w:rsid w:val="00095824"/>
    <w:rsid w:val="00095D23"/>
    <w:rsid w:val="00096CD2"/>
    <w:rsid w:val="000A02DE"/>
    <w:rsid w:val="000A13E3"/>
    <w:rsid w:val="000A1A75"/>
    <w:rsid w:val="000A2162"/>
    <w:rsid w:val="000A2700"/>
    <w:rsid w:val="000A27C1"/>
    <w:rsid w:val="000A28AE"/>
    <w:rsid w:val="000A2F33"/>
    <w:rsid w:val="000A36C7"/>
    <w:rsid w:val="000A3B4B"/>
    <w:rsid w:val="000A4EB0"/>
    <w:rsid w:val="000A537C"/>
    <w:rsid w:val="000A563F"/>
    <w:rsid w:val="000A572C"/>
    <w:rsid w:val="000A63D6"/>
    <w:rsid w:val="000A67B6"/>
    <w:rsid w:val="000A67F9"/>
    <w:rsid w:val="000A6F27"/>
    <w:rsid w:val="000A7113"/>
    <w:rsid w:val="000A78CF"/>
    <w:rsid w:val="000A798E"/>
    <w:rsid w:val="000A7C44"/>
    <w:rsid w:val="000B126B"/>
    <w:rsid w:val="000B2793"/>
    <w:rsid w:val="000B2C1B"/>
    <w:rsid w:val="000B3AE7"/>
    <w:rsid w:val="000B3D1A"/>
    <w:rsid w:val="000B5351"/>
    <w:rsid w:val="000B556D"/>
    <w:rsid w:val="000B5DF4"/>
    <w:rsid w:val="000B604A"/>
    <w:rsid w:val="000B70BD"/>
    <w:rsid w:val="000B7419"/>
    <w:rsid w:val="000B74FA"/>
    <w:rsid w:val="000B7CF7"/>
    <w:rsid w:val="000C02EE"/>
    <w:rsid w:val="000C044B"/>
    <w:rsid w:val="000C057E"/>
    <w:rsid w:val="000C096E"/>
    <w:rsid w:val="000C099E"/>
    <w:rsid w:val="000C0C7B"/>
    <w:rsid w:val="000C0CF4"/>
    <w:rsid w:val="000C141F"/>
    <w:rsid w:val="000C176F"/>
    <w:rsid w:val="000C19FA"/>
    <w:rsid w:val="000C2129"/>
    <w:rsid w:val="000C26A4"/>
    <w:rsid w:val="000C2873"/>
    <w:rsid w:val="000C48C8"/>
    <w:rsid w:val="000C4D61"/>
    <w:rsid w:val="000C55D9"/>
    <w:rsid w:val="000C5B44"/>
    <w:rsid w:val="000C5EC5"/>
    <w:rsid w:val="000C5ED3"/>
    <w:rsid w:val="000C67AF"/>
    <w:rsid w:val="000C681C"/>
    <w:rsid w:val="000C682A"/>
    <w:rsid w:val="000C7477"/>
    <w:rsid w:val="000C7685"/>
    <w:rsid w:val="000D00A0"/>
    <w:rsid w:val="000D01D7"/>
    <w:rsid w:val="000D01EB"/>
    <w:rsid w:val="000D0408"/>
    <w:rsid w:val="000D0548"/>
    <w:rsid w:val="000D0C2D"/>
    <w:rsid w:val="000D0F99"/>
    <w:rsid w:val="000D13C6"/>
    <w:rsid w:val="000D1412"/>
    <w:rsid w:val="000D1624"/>
    <w:rsid w:val="000D17F2"/>
    <w:rsid w:val="000D20E2"/>
    <w:rsid w:val="000D232D"/>
    <w:rsid w:val="000D31EE"/>
    <w:rsid w:val="000D36A7"/>
    <w:rsid w:val="000D3848"/>
    <w:rsid w:val="000D3B54"/>
    <w:rsid w:val="000D4E51"/>
    <w:rsid w:val="000D60F7"/>
    <w:rsid w:val="000D6924"/>
    <w:rsid w:val="000D6EAE"/>
    <w:rsid w:val="000D7334"/>
    <w:rsid w:val="000D761D"/>
    <w:rsid w:val="000E0EF6"/>
    <w:rsid w:val="000E1720"/>
    <w:rsid w:val="000E226B"/>
    <w:rsid w:val="000E3105"/>
    <w:rsid w:val="000E5A1A"/>
    <w:rsid w:val="000E5FC4"/>
    <w:rsid w:val="000E6035"/>
    <w:rsid w:val="000E62D3"/>
    <w:rsid w:val="000E6ABC"/>
    <w:rsid w:val="000E6DF6"/>
    <w:rsid w:val="000E6FB4"/>
    <w:rsid w:val="000E6FC1"/>
    <w:rsid w:val="000F00CD"/>
    <w:rsid w:val="000F0902"/>
    <w:rsid w:val="000F0E88"/>
    <w:rsid w:val="000F15CB"/>
    <w:rsid w:val="000F1A88"/>
    <w:rsid w:val="000F1AB4"/>
    <w:rsid w:val="000F1E08"/>
    <w:rsid w:val="000F26CF"/>
    <w:rsid w:val="000F270F"/>
    <w:rsid w:val="000F34C3"/>
    <w:rsid w:val="000F4F54"/>
    <w:rsid w:val="000F558A"/>
    <w:rsid w:val="000F59D3"/>
    <w:rsid w:val="000F5F23"/>
    <w:rsid w:val="000F606C"/>
    <w:rsid w:val="000F6585"/>
    <w:rsid w:val="000F6A9E"/>
    <w:rsid w:val="000F73AD"/>
    <w:rsid w:val="000F7690"/>
    <w:rsid w:val="000F77C7"/>
    <w:rsid w:val="000F7DA3"/>
    <w:rsid w:val="000F7EEB"/>
    <w:rsid w:val="001005A7"/>
    <w:rsid w:val="00100865"/>
    <w:rsid w:val="00100BCE"/>
    <w:rsid w:val="00101F15"/>
    <w:rsid w:val="00102174"/>
    <w:rsid w:val="00102394"/>
    <w:rsid w:val="00102C90"/>
    <w:rsid w:val="00102DC4"/>
    <w:rsid w:val="00103790"/>
    <w:rsid w:val="00103E7C"/>
    <w:rsid w:val="00103F33"/>
    <w:rsid w:val="00105256"/>
    <w:rsid w:val="001053F2"/>
    <w:rsid w:val="001059D5"/>
    <w:rsid w:val="00105D64"/>
    <w:rsid w:val="00106627"/>
    <w:rsid w:val="00106B5D"/>
    <w:rsid w:val="00106C90"/>
    <w:rsid w:val="00107664"/>
    <w:rsid w:val="00107864"/>
    <w:rsid w:val="00107FED"/>
    <w:rsid w:val="001102E8"/>
    <w:rsid w:val="00110780"/>
    <w:rsid w:val="0011168A"/>
    <w:rsid w:val="00113969"/>
    <w:rsid w:val="00114AB8"/>
    <w:rsid w:val="00114ECF"/>
    <w:rsid w:val="00115126"/>
    <w:rsid w:val="00115146"/>
    <w:rsid w:val="00115CDE"/>
    <w:rsid w:val="00117093"/>
    <w:rsid w:val="0011743D"/>
    <w:rsid w:val="00120B85"/>
    <w:rsid w:val="00121803"/>
    <w:rsid w:val="00121F8C"/>
    <w:rsid w:val="001223EF"/>
    <w:rsid w:val="001235A6"/>
    <w:rsid w:val="00123681"/>
    <w:rsid w:val="00123E13"/>
    <w:rsid w:val="001246D9"/>
    <w:rsid w:val="00125449"/>
    <w:rsid w:val="00125983"/>
    <w:rsid w:val="001259F1"/>
    <w:rsid w:val="00125A2E"/>
    <w:rsid w:val="00125BD3"/>
    <w:rsid w:val="00125C1A"/>
    <w:rsid w:val="001261D2"/>
    <w:rsid w:val="00126B47"/>
    <w:rsid w:val="00126F88"/>
    <w:rsid w:val="001270F7"/>
    <w:rsid w:val="0012724D"/>
    <w:rsid w:val="001275CB"/>
    <w:rsid w:val="00127976"/>
    <w:rsid w:val="001279DB"/>
    <w:rsid w:val="00130AEB"/>
    <w:rsid w:val="00131211"/>
    <w:rsid w:val="00132573"/>
    <w:rsid w:val="001325B6"/>
    <w:rsid w:val="001330D5"/>
    <w:rsid w:val="001330DB"/>
    <w:rsid w:val="001338DD"/>
    <w:rsid w:val="00133B3B"/>
    <w:rsid w:val="00133FF7"/>
    <w:rsid w:val="00134798"/>
    <w:rsid w:val="001348B2"/>
    <w:rsid w:val="00134DE0"/>
    <w:rsid w:val="0013565F"/>
    <w:rsid w:val="00135974"/>
    <w:rsid w:val="00137882"/>
    <w:rsid w:val="00137DD1"/>
    <w:rsid w:val="00140551"/>
    <w:rsid w:val="0014065A"/>
    <w:rsid w:val="001407CE"/>
    <w:rsid w:val="00140E8A"/>
    <w:rsid w:val="00141044"/>
    <w:rsid w:val="00141046"/>
    <w:rsid w:val="001416D1"/>
    <w:rsid w:val="001418E7"/>
    <w:rsid w:val="00141C0A"/>
    <w:rsid w:val="00143EC5"/>
    <w:rsid w:val="001457BC"/>
    <w:rsid w:val="00145D44"/>
    <w:rsid w:val="00146757"/>
    <w:rsid w:val="001469B5"/>
    <w:rsid w:val="00146C12"/>
    <w:rsid w:val="00146DBE"/>
    <w:rsid w:val="00147419"/>
    <w:rsid w:val="00150C7C"/>
    <w:rsid w:val="00150C7E"/>
    <w:rsid w:val="00151352"/>
    <w:rsid w:val="00151C22"/>
    <w:rsid w:val="001523E7"/>
    <w:rsid w:val="00152C23"/>
    <w:rsid w:val="00152E4F"/>
    <w:rsid w:val="001533C8"/>
    <w:rsid w:val="00155453"/>
    <w:rsid w:val="00155E96"/>
    <w:rsid w:val="00156BC2"/>
    <w:rsid w:val="00156C9D"/>
    <w:rsid w:val="00160BAE"/>
    <w:rsid w:val="00160DDD"/>
    <w:rsid w:val="0016101F"/>
    <w:rsid w:val="001610DD"/>
    <w:rsid w:val="00162210"/>
    <w:rsid w:val="001627CF"/>
    <w:rsid w:val="001631F6"/>
    <w:rsid w:val="0016322F"/>
    <w:rsid w:val="00163783"/>
    <w:rsid w:val="001646AF"/>
    <w:rsid w:val="00165786"/>
    <w:rsid w:val="00165D2B"/>
    <w:rsid w:val="00166871"/>
    <w:rsid w:val="00166F12"/>
    <w:rsid w:val="001675A7"/>
    <w:rsid w:val="001676BD"/>
    <w:rsid w:val="00170306"/>
    <w:rsid w:val="0017135D"/>
    <w:rsid w:val="001718CB"/>
    <w:rsid w:val="00172781"/>
    <w:rsid w:val="0017321D"/>
    <w:rsid w:val="0017347E"/>
    <w:rsid w:val="00173566"/>
    <w:rsid w:val="00173871"/>
    <w:rsid w:val="00173AED"/>
    <w:rsid w:val="00173F4C"/>
    <w:rsid w:val="00174504"/>
    <w:rsid w:val="0017575D"/>
    <w:rsid w:val="00175B51"/>
    <w:rsid w:val="00176CF3"/>
    <w:rsid w:val="00176E5C"/>
    <w:rsid w:val="00176F94"/>
    <w:rsid w:val="001773BE"/>
    <w:rsid w:val="00177A20"/>
    <w:rsid w:val="0018038E"/>
    <w:rsid w:val="001805FF"/>
    <w:rsid w:val="00180702"/>
    <w:rsid w:val="00180841"/>
    <w:rsid w:val="00180D3C"/>
    <w:rsid w:val="00181857"/>
    <w:rsid w:val="00181F40"/>
    <w:rsid w:val="0018215C"/>
    <w:rsid w:val="00182868"/>
    <w:rsid w:val="00182F8E"/>
    <w:rsid w:val="0018383B"/>
    <w:rsid w:val="001847FC"/>
    <w:rsid w:val="001850BC"/>
    <w:rsid w:val="001859AD"/>
    <w:rsid w:val="0018612E"/>
    <w:rsid w:val="00186164"/>
    <w:rsid w:val="00186B44"/>
    <w:rsid w:val="00186EA7"/>
    <w:rsid w:val="0018712B"/>
    <w:rsid w:val="001871C6"/>
    <w:rsid w:val="001876C4"/>
    <w:rsid w:val="0018770B"/>
    <w:rsid w:val="00187815"/>
    <w:rsid w:val="00187A24"/>
    <w:rsid w:val="0019086B"/>
    <w:rsid w:val="00190A00"/>
    <w:rsid w:val="00191157"/>
    <w:rsid w:val="0019237D"/>
    <w:rsid w:val="001928E1"/>
    <w:rsid w:val="00193DE6"/>
    <w:rsid w:val="00193FB4"/>
    <w:rsid w:val="00195A6E"/>
    <w:rsid w:val="001963AB"/>
    <w:rsid w:val="00197291"/>
    <w:rsid w:val="00197AA3"/>
    <w:rsid w:val="00197E03"/>
    <w:rsid w:val="001A0002"/>
    <w:rsid w:val="001A0807"/>
    <w:rsid w:val="001A0C14"/>
    <w:rsid w:val="001A0E60"/>
    <w:rsid w:val="001A16D5"/>
    <w:rsid w:val="001A1F34"/>
    <w:rsid w:val="001A22FC"/>
    <w:rsid w:val="001A29D2"/>
    <w:rsid w:val="001A300D"/>
    <w:rsid w:val="001A32A3"/>
    <w:rsid w:val="001A32BF"/>
    <w:rsid w:val="001A391E"/>
    <w:rsid w:val="001A3F44"/>
    <w:rsid w:val="001A42EE"/>
    <w:rsid w:val="001A4360"/>
    <w:rsid w:val="001A449E"/>
    <w:rsid w:val="001A45D1"/>
    <w:rsid w:val="001A470C"/>
    <w:rsid w:val="001A52F9"/>
    <w:rsid w:val="001A5313"/>
    <w:rsid w:val="001A5D5C"/>
    <w:rsid w:val="001A6CA8"/>
    <w:rsid w:val="001A6D81"/>
    <w:rsid w:val="001A6F37"/>
    <w:rsid w:val="001A6FCD"/>
    <w:rsid w:val="001B1234"/>
    <w:rsid w:val="001B16BD"/>
    <w:rsid w:val="001B1F13"/>
    <w:rsid w:val="001B1F28"/>
    <w:rsid w:val="001B3B68"/>
    <w:rsid w:val="001B46D6"/>
    <w:rsid w:val="001B59E4"/>
    <w:rsid w:val="001B5B42"/>
    <w:rsid w:val="001B62BE"/>
    <w:rsid w:val="001B69A9"/>
    <w:rsid w:val="001B70D8"/>
    <w:rsid w:val="001B764D"/>
    <w:rsid w:val="001B7AB5"/>
    <w:rsid w:val="001B7EA2"/>
    <w:rsid w:val="001C06E3"/>
    <w:rsid w:val="001C1CE1"/>
    <w:rsid w:val="001C24A5"/>
    <w:rsid w:val="001C2C3A"/>
    <w:rsid w:val="001C2E38"/>
    <w:rsid w:val="001C31D5"/>
    <w:rsid w:val="001C386D"/>
    <w:rsid w:val="001C3B74"/>
    <w:rsid w:val="001C3D4F"/>
    <w:rsid w:val="001C41E8"/>
    <w:rsid w:val="001C454E"/>
    <w:rsid w:val="001C4B56"/>
    <w:rsid w:val="001C4DF0"/>
    <w:rsid w:val="001C522C"/>
    <w:rsid w:val="001C594F"/>
    <w:rsid w:val="001C5979"/>
    <w:rsid w:val="001C59E7"/>
    <w:rsid w:val="001C62A8"/>
    <w:rsid w:val="001C70C5"/>
    <w:rsid w:val="001C70F4"/>
    <w:rsid w:val="001C79DB"/>
    <w:rsid w:val="001D0C5A"/>
    <w:rsid w:val="001D0F7D"/>
    <w:rsid w:val="001D1090"/>
    <w:rsid w:val="001D1EB4"/>
    <w:rsid w:val="001D1FA5"/>
    <w:rsid w:val="001D2309"/>
    <w:rsid w:val="001D3DE1"/>
    <w:rsid w:val="001D408F"/>
    <w:rsid w:val="001D47C6"/>
    <w:rsid w:val="001D4B88"/>
    <w:rsid w:val="001D4E6E"/>
    <w:rsid w:val="001D51FA"/>
    <w:rsid w:val="001D5332"/>
    <w:rsid w:val="001D5345"/>
    <w:rsid w:val="001D5B32"/>
    <w:rsid w:val="001D6994"/>
    <w:rsid w:val="001D6B87"/>
    <w:rsid w:val="001D702B"/>
    <w:rsid w:val="001D7444"/>
    <w:rsid w:val="001D7665"/>
    <w:rsid w:val="001D7C0B"/>
    <w:rsid w:val="001E02BB"/>
    <w:rsid w:val="001E0573"/>
    <w:rsid w:val="001E0ECE"/>
    <w:rsid w:val="001E0F8B"/>
    <w:rsid w:val="001E1E2A"/>
    <w:rsid w:val="001E2643"/>
    <w:rsid w:val="001E2DF1"/>
    <w:rsid w:val="001E3B77"/>
    <w:rsid w:val="001E429C"/>
    <w:rsid w:val="001E515E"/>
    <w:rsid w:val="001E6517"/>
    <w:rsid w:val="001E65D5"/>
    <w:rsid w:val="001E75CC"/>
    <w:rsid w:val="001E77D3"/>
    <w:rsid w:val="001E79DA"/>
    <w:rsid w:val="001F061C"/>
    <w:rsid w:val="001F1973"/>
    <w:rsid w:val="001F1AE5"/>
    <w:rsid w:val="001F25EC"/>
    <w:rsid w:val="001F3E03"/>
    <w:rsid w:val="001F4617"/>
    <w:rsid w:val="001F4BFC"/>
    <w:rsid w:val="001F582E"/>
    <w:rsid w:val="001F5F1D"/>
    <w:rsid w:val="001F5FBA"/>
    <w:rsid w:val="001F692C"/>
    <w:rsid w:val="001F7F5B"/>
    <w:rsid w:val="00200961"/>
    <w:rsid w:val="00200DD5"/>
    <w:rsid w:val="00200E28"/>
    <w:rsid w:val="0020219F"/>
    <w:rsid w:val="002023E2"/>
    <w:rsid w:val="00202D8C"/>
    <w:rsid w:val="00202F85"/>
    <w:rsid w:val="00203BBC"/>
    <w:rsid w:val="00203E0D"/>
    <w:rsid w:val="0020420B"/>
    <w:rsid w:val="00204985"/>
    <w:rsid w:val="0020526B"/>
    <w:rsid w:val="002053E1"/>
    <w:rsid w:val="002056BC"/>
    <w:rsid w:val="00205827"/>
    <w:rsid w:val="00205FFF"/>
    <w:rsid w:val="002068B7"/>
    <w:rsid w:val="002071DA"/>
    <w:rsid w:val="002078C5"/>
    <w:rsid w:val="00207E4B"/>
    <w:rsid w:val="00207ED6"/>
    <w:rsid w:val="002103CF"/>
    <w:rsid w:val="00210B31"/>
    <w:rsid w:val="00210C31"/>
    <w:rsid w:val="00210F23"/>
    <w:rsid w:val="002119C4"/>
    <w:rsid w:val="00211AF0"/>
    <w:rsid w:val="00211C6C"/>
    <w:rsid w:val="002129F1"/>
    <w:rsid w:val="00212F8D"/>
    <w:rsid w:val="002137E5"/>
    <w:rsid w:val="002137F9"/>
    <w:rsid w:val="00213A5C"/>
    <w:rsid w:val="00213C3A"/>
    <w:rsid w:val="00213E56"/>
    <w:rsid w:val="002147F0"/>
    <w:rsid w:val="00214E33"/>
    <w:rsid w:val="0021538D"/>
    <w:rsid w:val="0021542D"/>
    <w:rsid w:val="00216B8B"/>
    <w:rsid w:val="00217A4B"/>
    <w:rsid w:val="00221002"/>
    <w:rsid w:val="002216CB"/>
    <w:rsid w:val="00222D75"/>
    <w:rsid w:val="00222DC5"/>
    <w:rsid w:val="00223B35"/>
    <w:rsid w:val="00223EE1"/>
    <w:rsid w:val="00224A52"/>
    <w:rsid w:val="00224A8C"/>
    <w:rsid w:val="00224FCA"/>
    <w:rsid w:val="00225AE8"/>
    <w:rsid w:val="00225EEE"/>
    <w:rsid w:val="0022603E"/>
    <w:rsid w:val="0022639F"/>
    <w:rsid w:val="00226B6A"/>
    <w:rsid w:val="002301D5"/>
    <w:rsid w:val="00230882"/>
    <w:rsid w:val="002308B9"/>
    <w:rsid w:val="00231381"/>
    <w:rsid w:val="00231659"/>
    <w:rsid w:val="0023174F"/>
    <w:rsid w:val="00231757"/>
    <w:rsid w:val="002322C8"/>
    <w:rsid w:val="0023237B"/>
    <w:rsid w:val="00232D96"/>
    <w:rsid w:val="00232F07"/>
    <w:rsid w:val="0023311D"/>
    <w:rsid w:val="00233936"/>
    <w:rsid w:val="00233968"/>
    <w:rsid w:val="002343B6"/>
    <w:rsid w:val="0023545F"/>
    <w:rsid w:val="00235480"/>
    <w:rsid w:val="002358CB"/>
    <w:rsid w:val="00236528"/>
    <w:rsid w:val="00236DE0"/>
    <w:rsid w:val="00237C51"/>
    <w:rsid w:val="00237FFA"/>
    <w:rsid w:val="002404A7"/>
    <w:rsid w:val="00241C97"/>
    <w:rsid w:val="00241D75"/>
    <w:rsid w:val="00242790"/>
    <w:rsid w:val="00242CB1"/>
    <w:rsid w:val="00242DC2"/>
    <w:rsid w:val="00242EB2"/>
    <w:rsid w:val="00242F39"/>
    <w:rsid w:val="00243E45"/>
    <w:rsid w:val="0024493B"/>
    <w:rsid w:val="00244A5D"/>
    <w:rsid w:val="00244D66"/>
    <w:rsid w:val="00246FD8"/>
    <w:rsid w:val="0024770C"/>
    <w:rsid w:val="00247A69"/>
    <w:rsid w:val="0025005A"/>
    <w:rsid w:val="002501CF"/>
    <w:rsid w:val="0025021F"/>
    <w:rsid w:val="00251C61"/>
    <w:rsid w:val="002526F9"/>
    <w:rsid w:val="002542CB"/>
    <w:rsid w:val="002543ED"/>
    <w:rsid w:val="0025470B"/>
    <w:rsid w:val="00255126"/>
    <w:rsid w:val="002558B1"/>
    <w:rsid w:val="00255FB0"/>
    <w:rsid w:val="00256024"/>
    <w:rsid w:val="00256E83"/>
    <w:rsid w:val="00256F32"/>
    <w:rsid w:val="00257B9A"/>
    <w:rsid w:val="00260D17"/>
    <w:rsid w:val="00261375"/>
    <w:rsid w:val="0026256C"/>
    <w:rsid w:val="00262A26"/>
    <w:rsid w:val="002635C9"/>
    <w:rsid w:val="00263E86"/>
    <w:rsid w:val="00264BFD"/>
    <w:rsid w:val="002650A4"/>
    <w:rsid w:val="00265216"/>
    <w:rsid w:val="00265DB7"/>
    <w:rsid w:val="002668A9"/>
    <w:rsid w:val="00266980"/>
    <w:rsid w:val="00270C35"/>
    <w:rsid w:val="002712AE"/>
    <w:rsid w:val="0027148E"/>
    <w:rsid w:val="00271858"/>
    <w:rsid w:val="0027190D"/>
    <w:rsid w:val="00271944"/>
    <w:rsid w:val="00272204"/>
    <w:rsid w:val="0027249E"/>
    <w:rsid w:val="00272B61"/>
    <w:rsid w:val="00272DE5"/>
    <w:rsid w:val="00273060"/>
    <w:rsid w:val="002739D6"/>
    <w:rsid w:val="002745F6"/>
    <w:rsid w:val="00274B06"/>
    <w:rsid w:val="00275014"/>
    <w:rsid w:val="0027556D"/>
    <w:rsid w:val="00275A24"/>
    <w:rsid w:val="00276178"/>
    <w:rsid w:val="00276466"/>
    <w:rsid w:val="00276E0E"/>
    <w:rsid w:val="00276ECF"/>
    <w:rsid w:val="00277766"/>
    <w:rsid w:val="00280AB2"/>
    <w:rsid w:val="00280BA6"/>
    <w:rsid w:val="00280C14"/>
    <w:rsid w:val="00280D3E"/>
    <w:rsid w:val="00280E4D"/>
    <w:rsid w:val="00280F7C"/>
    <w:rsid w:val="0028141B"/>
    <w:rsid w:val="00281531"/>
    <w:rsid w:val="002816D6"/>
    <w:rsid w:val="00281710"/>
    <w:rsid w:val="002819B5"/>
    <w:rsid w:val="0028247C"/>
    <w:rsid w:val="00283219"/>
    <w:rsid w:val="00285C21"/>
    <w:rsid w:val="00285D2F"/>
    <w:rsid w:val="0028671F"/>
    <w:rsid w:val="00286B15"/>
    <w:rsid w:val="002874B1"/>
    <w:rsid w:val="00287D9C"/>
    <w:rsid w:val="00287F0D"/>
    <w:rsid w:val="00290403"/>
    <w:rsid w:val="002906F3"/>
    <w:rsid w:val="00290C5C"/>
    <w:rsid w:val="00291503"/>
    <w:rsid w:val="0029163C"/>
    <w:rsid w:val="00291792"/>
    <w:rsid w:val="002918A4"/>
    <w:rsid w:val="00292FD2"/>
    <w:rsid w:val="00293C8E"/>
    <w:rsid w:val="00294110"/>
    <w:rsid w:val="0029471A"/>
    <w:rsid w:val="002947C3"/>
    <w:rsid w:val="00294E63"/>
    <w:rsid w:val="002951DC"/>
    <w:rsid w:val="00295D9C"/>
    <w:rsid w:val="00296899"/>
    <w:rsid w:val="00297076"/>
    <w:rsid w:val="00297F09"/>
    <w:rsid w:val="00297FE2"/>
    <w:rsid w:val="002A0F16"/>
    <w:rsid w:val="002A14A5"/>
    <w:rsid w:val="002A207A"/>
    <w:rsid w:val="002A2E85"/>
    <w:rsid w:val="002A31F3"/>
    <w:rsid w:val="002A470D"/>
    <w:rsid w:val="002A4BDB"/>
    <w:rsid w:val="002A513E"/>
    <w:rsid w:val="002A6E36"/>
    <w:rsid w:val="002A6F92"/>
    <w:rsid w:val="002A7FB8"/>
    <w:rsid w:val="002A7FD4"/>
    <w:rsid w:val="002B0278"/>
    <w:rsid w:val="002B1404"/>
    <w:rsid w:val="002B1674"/>
    <w:rsid w:val="002B2FD9"/>
    <w:rsid w:val="002B37CF"/>
    <w:rsid w:val="002B3822"/>
    <w:rsid w:val="002B4097"/>
    <w:rsid w:val="002B40A9"/>
    <w:rsid w:val="002B4CA5"/>
    <w:rsid w:val="002B50A9"/>
    <w:rsid w:val="002B5C90"/>
    <w:rsid w:val="002B5CF4"/>
    <w:rsid w:val="002B602D"/>
    <w:rsid w:val="002B68E2"/>
    <w:rsid w:val="002B6954"/>
    <w:rsid w:val="002B6A56"/>
    <w:rsid w:val="002B6B5A"/>
    <w:rsid w:val="002B6D0D"/>
    <w:rsid w:val="002B7361"/>
    <w:rsid w:val="002B77A2"/>
    <w:rsid w:val="002B77FD"/>
    <w:rsid w:val="002B787F"/>
    <w:rsid w:val="002C015F"/>
    <w:rsid w:val="002C05E6"/>
    <w:rsid w:val="002C0870"/>
    <w:rsid w:val="002C09F1"/>
    <w:rsid w:val="002C253A"/>
    <w:rsid w:val="002C2804"/>
    <w:rsid w:val="002C29BA"/>
    <w:rsid w:val="002C412F"/>
    <w:rsid w:val="002C4235"/>
    <w:rsid w:val="002C42FF"/>
    <w:rsid w:val="002C5A28"/>
    <w:rsid w:val="002C674E"/>
    <w:rsid w:val="002C7165"/>
    <w:rsid w:val="002C7B97"/>
    <w:rsid w:val="002D01B9"/>
    <w:rsid w:val="002D08CB"/>
    <w:rsid w:val="002D1F99"/>
    <w:rsid w:val="002D23E1"/>
    <w:rsid w:val="002D2EA6"/>
    <w:rsid w:val="002D2F1A"/>
    <w:rsid w:val="002D3438"/>
    <w:rsid w:val="002D3661"/>
    <w:rsid w:val="002D4659"/>
    <w:rsid w:val="002D4CC1"/>
    <w:rsid w:val="002D4EDB"/>
    <w:rsid w:val="002D4FDB"/>
    <w:rsid w:val="002D5111"/>
    <w:rsid w:val="002D53DE"/>
    <w:rsid w:val="002D6069"/>
    <w:rsid w:val="002D6166"/>
    <w:rsid w:val="002D7180"/>
    <w:rsid w:val="002D7CDA"/>
    <w:rsid w:val="002E1421"/>
    <w:rsid w:val="002E1E32"/>
    <w:rsid w:val="002E20AE"/>
    <w:rsid w:val="002E2E70"/>
    <w:rsid w:val="002E3213"/>
    <w:rsid w:val="002E33C4"/>
    <w:rsid w:val="002E453C"/>
    <w:rsid w:val="002E590B"/>
    <w:rsid w:val="002E59CC"/>
    <w:rsid w:val="002E5F29"/>
    <w:rsid w:val="002E66EB"/>
    <w:rsid w:val="002E6DB0"/>
    <w:rsid w:val="002E7665"/>
    <w:rsid w:val="002E797F"/>
    <w:rsid w:val="002E7B50"/>
    <w:rsid w:val="002E7FEC"/>
    <w:rsid w:val="002F069D"/>
    <w:rsid w:val="002F1270"/>
    <w:rsid w:val="002F14F1"/>
    <w:rsid w:val="002F1B5C"/>
    <w:rsid w:val="002F2557"/>
    <w:rsid w:val="002F267F"/>
    <w:rsid w:val="002F36AD"/>
    <w:rsid w:val="002F3C13"/>
    <w:rsid w:val="002F426F"/>
    <w:rsid w:val="002F46CF"/>
    <w:rsid w:val="002F4CD0"/>
    <w:rsid w:val="002F5445"/>
    <w:rsid w:val="002F57B7"/>
    <w:rsid w:val="002F5CAB"/>
    <w:rsid w:val="002F5DC9"/>
    <w:rsid w:val="002F6816"/>
    <w:rsid w:val="002F6E20"/>
    <w:rsid w:val="002F70DE"/>
    <w:rsid w:val="00300713"/>
    <w:rsid w:val="00300EBE"/>
    <w:rsid w:val="003023B3"/>
    <w:rsid w:val="00302F9C"/>
    <w:rsid w:val="003034FB"/>
    <w:rsid w:val="0030407D"/>
    <w:rsid w:val="0030429C"/>
    <w:rsid w:val="00304565"/>
    <w:rsid w:val="00304740"/>
    <w:rsid w:val="00304F83"/>
    <w:rsid w:val="00305AE9"/>
    <w:rsid w:val="00306209"/>
    <w:rsid w:val="00306EF4"/>
    <w:rsid w:val="0030749D"/>
    <w:rsid w:val="003075E9"/>
    <w:rsid w:val="0030783D"/>
    <w:rsid w:val="00307B4C"/>
    <w:rsid w:val="00307F4B"/>
    <w:rsid w:val="00310232"/>
    <w:rsid w:val="003109A0"/>
    <w:rsid w:val="00310CC0"/>
    <w:rsid w:val="00311274"/>
    <w:rsid w:val="003119FB"/>
    <w:rsid w:val="00312406"/>
    <w:rsid w:val="003129DF"/>
    <w:rsid w:val="00313D43"/>
    <w:rsid w:val="00314400"/>
    <w:rsid w:val="00314D6A"/>
    <w:rsid w:val="003151E0"/>
    <w:rsid w:val="00315E31"/>
    <w:rsid w:val="00315FE1"/>
    <w:rsid w:val="0031650D"/>
    <w:rsid w:val="0031654B"/>
    <w:rsid w:val="00316D2E"/>
    <w:rsid w:val="00316E79"/>
    <w:rsid w:val="003201B2"/>
    <w:rsid w:val="003231BF"/>
    <w:rsid w:val="00324C5F"/>
    <w:rsid w:val="00324D72"/>
    <w:rsid w:val="00325DCF"/>
    <w:rsid w:val="00326A34"/>
    <w:rsid w:val="00326A4F"/>
    <w:rsid w:val="003278E9"/>
    <w:rsid w:val="00327A18"/>
    <w:rsid w:val="00327E2A"/>
    <w:rsid w:val="003302F5"/>
    <w:rsid w:val="003304EC"/>
    <w:rsid w:val="00330D67"/>
    <w:rsid w:val="00331154"/>
    <w:rsid w:val="00331383"/>
    <w:rsid w:val="003315A3"/>
    <w:rsid w:val="0033183F"/>
    <w:rsid w:val="00331840"/>
    <w:rsid w:val="00331ECD"/>
    <w:rsid w:val="00333AD7"/>
    <w:rsid w:val="003347F3"/>
    <w:rsid w:val="0033531C"/>
    <w:rsid w:val="00335902"/>
    <w:rsid w:val="00335AD5"/>
    <w:rsid w:val="00335F81"/>
    <w:rsid w:val="003361A7"/>
    <w:rsid w:val="003362AA"/>
    <w:rsid w:val="0033645A"/>
    <w:rsid w:val="00336510"/>
    <w:rsid w:val="0033654B"/>
    <w:rsid w:val="0033688B"/>
    <w:rsid w:val="00336E6A"/>
    <w:rsid w:val="00336E6E"/>
    <w:rsid w:val="00337007"/>
    <w:rsid w:val="003377A3"/>
    <w:rsid w:val="00340DA0"/>
    <w:rsid w:val="00341572"/>
    <w:rsid w:val="0034157E"/>
    <w:rsid w:val="0034184F"/>
    <w:rsid w:val="0034241C"/>
    <w:rsid w:val="003425F6"/>
    <w:rsid w:val="0034262F"/>
    <w:rsid w:val="0034265B"/>
    <w:rsid w:val="00343222"/>
    <w:rsid w:val="003435F7"/>
    <w:rsid w:val="00343965"/>
    <w:rsid w:val="00344A19"/>
    <w:rsid w:val="00346457"/>
    <w:rsid w:val="003504A4"/>
    <w:rsid w:val="00350DC9"/>
    <w:rsid w:val="00351848"/>
    <w:rsid w:val="00352348"/>
    <w:rsid w:val="0035270C"/>
    <w:rsid w:val="00352BDB"/>
    <w:rsid w:val="003536BF"/>
    <w:rsid w:val="00354BCD"/>
    <w:rsid w:val="003551AC"/>
    <w:rsid w:val="00355651"/>
    <w:rsid w:val="00355D94"/>
    <w:rsid w:val="00356091"/>
    <w:rsid w:val="00356483"/>
    <w:rsid w:val="00356664"/>
    <w:rsid w:val="0035715B"/>
    <w:rsid w:val="00357DD6"/>
    <w:rsid w:val="003608AB"/>
    <w:rsid w:val="00360A21"/>
    <w:rsid w:val="003613AE"/>
    <w:rsid w:val="00362341"/>
    <w:rsid w:val="0036266A"/>
    <w:rsid w:val="003629BF"/>
    <w:rsid w:val="00362EEF"/>
    <w:rsid w:val="00363FCD"/>
    <w:rsid w:val="003646FA"/>
    <w:rsid w:val="00365B48"/>
    <w:rsid w:val="00365C59"/>
    <w:rsid w:val="00366239"/>
    <w:rsid w:val="003676A6"/>
    <w:rsid w:val="00367A14"/>
    <w:rsid w:val="00367A18"/>
    <w:rsid w:val="00367E35"/>
    <w:rsid w:val="00367FEA"/>
    <w:rsid w:val="003700BB"/>
    <w:rsid w:val="00370318"/>
    <w:rsid w:val="00370C09"/>
    <w:rsid w:val="00370E10"/>
    <w:rsid w:val="00371476"/>
    <w:rsid w:val="00371E43"/>
    <w:rsid w:val="00372065"/>
    <w:rsid w:val="00372518"/>
    <w:rsid w:val="00372847"/>
    <w:rsid w:val="003731E2"/>
    <w:rsid w:val="00373360"/>
    <w:rsid w:val="00373427"/>
    <w:rsid w:val="003739B9"/>
    <w:rsid w:val="00373A7A"/>
    <w:rsid w:val="00374110"/>
    <w:rsid w:val="0037440F"/>
    <w:rsid w:val="0037502E"/>
    <w:rsid w:val="00375619"/>
    <w:rsid w:val="00375FC2"/>
    <w:rsid w:val="00376099"/>
    <w:rsid w:val="00376950"/>
    <w:rsid w:val="00376FFE"/>
    <w:rsid w:val="003777E5"/>
    <w:rsid w:val="00377C45"/>
    <w:rsid w:val="00380F13"/>
    <w:rsid w:val="00381CC1"/>
    <w:rsid w:val="00381D6B"/>
    <w:rsid w:val="00382148"/>
    <w:rsid w:val="003821EC"/>
    <w:rsid w:val="00382959"/>
    <w:rsid w:val="00382ADF"/>
    <w:rsid w:val="00382CD8"/>
    <w:rsid w:val="00382CF8"/>
    <w:rsid w:val="0038346E"/>
    <w:rsid w:val="00383C63"/>
    <w:rsid w:val="003840BE"/>
    <w:rsid w:val="00384258"/>
    <w:rsid w:val="003845D4"/>
    <w:rsid w:val="00385360"/>
    <w:rsid w:val="00385863"/>
    <w:rsid w:val="00385B18"/>
    <w:rsid w:val="003863B7"/>
    <w:rsid w:val="003869EE"/>
    <w:rsid w:val="00386A64"/>
    <w:rsid w:val="00386C5A"/>
    <w:rsid w:val="00390138"/>
    <w:rsid w:val="00390A63"/>
    <w:rsid w:val="003915D4"/>
    <w:rsid w:val="003922F0"/>
    <w:rsid w:val="003923A9"/>
    <w:rsid w:val="003924CF"/>
    <w:rsid w:val="00392545"/>
    <w:rsid w:val="003928F7"/>
    <w:rsid w:val="00392ACE"/>
    <w:rsid w:val="00392B02"/>
    <w:rsid w:val="0039305D"/>
    <w:rsid w:val="0039316C"/>
    <w:rsid w:val="0039330E"/>
    <w:rsid w:val="00393B2A"/>
    <w:rsid w:val="00394A66"/>
    <w:rsid w:val="00395335"/>
    <w:rsid w:val="0039625E"/>
    <w:rsid w:val="00396430"/>
    <w:rsid w:val="00396BE8"/>
    <w:rsid w:val="0039709A"/>
    <w:rsid w:val="00397296"/>
    <w:rsid w:val="00397387"/>
    <w:rsid w:val="00397B22"/>
    <w:rsid w:val="003A16FB"/>
    <w:rsid w:val="003A1EF8"/>
    <w:rsid w:val="003A1F48"/>
    <w:rsid w:val="003A2927"/>
    <w:rsid w:val="003A2F88"/>
    <w:rsid w:val="003A31DB"/>
    <w:rsid w:val="003A36E0"/>
    <w:rsid w:val="003A3AD7"/>
    <w:rsid w:val="003A42BD"/>
    <w:rsid w:val="003A449E"/>
    <w:rsid w:val="003A4557"/>
    <w:rsid w:val="003A4669"/>
    <w:rsid w:val="003A4A92"/>
    <w:rsid w:val="003A5CE3"/>
    <w:rsid w:val="003A5CE6"/>
    <w:rsid w:val="003A6007"/>
    <w:rsid w:val="003A640D"/>
    <w:rsid w:val="003A6543"/>
    <w:rsid w:val="003A6E58"/>
    <w:rsid w:val="003B0385"/>
    <w:rsid w:val="003B0616"/>
    <w:rsid w:val="003B08AF"/>
    <w:rsid w:val="003B08E5"/>
    <w:rsid w:val="003B09AB"/>
    <w:rsid w:val="003B0A1F"/>
    <w:rsid w:val="003B0EB3"/>
    <w:rsid w:val="003B11B2"/>
    <w:rsid w:val="003B20C6"/>
    <w:rsid w:val="003B24D5"/>
    <w:rsid w:val="003B2BC4"/>
    <w:rsid w:val="003B2D52"/>
    <w:rsid w:val="003B3524"/>
    <w:rsid w:val="003B3E6C"/>
    <w:rsid w:val="003B4643"/>
    <w:rsid w:val="003B4662"/>
    <w:rsid w:val="003B4A35"/>
    <w:rsid w:val="003B4AC2"/>
    <w:rsid w:val="003B50DF"/>
    <w:rsid w:val="003B592E"/>
    <w:rsid w:val="003B6384"/>
    <w:rsid w:val="003B685B"/>
    <w:rsid w:val="003B79CE"/>
    <w:rsid w:val="003B79DB"/>
    <w:rsid w:val="003B7C01"/>
    <w:rsid w:val="003B7D7D"/>
    <w:rsid w:val="003C004C"/>
    <w:rsid w:val="003C04DA"/>
    <w:rsid w:val="003C1A45"/>
    <w:rsid w:val="003C2414"/>
    <w:rsid w:val="003C2C1D"/>
    <w:rsid w:val="003C3025"/>
    <w:rsid w:val="003C3892"/>
    <w:rsid w:val="003C42DC"/>
    <w:rsid w:val="003C43FC"/>
    <w:rsid w:val="003C4B5A"/>
    <w:rsid w:val="003C4F80"/>
    <w:rsid w:val="003C6903"/>
    <w:rsid w:val="003C6AD2"/>
    <w:rsid w:val="003C6C90"/>
    <w:rsid w:val="003C73FD"/>
    <w:rsid w:val="003C7A51"/>
    <w:rsid w:val="003C7E0D"/>
    <w:rsid w:val="003D004E"/>
    <w:rsid w:val="003D04A0"/>
    <w:rsid w:val="003D0551"/>
    <w:rsid w:val="003D0B0B"/>
    <w:rsid w:val="003D0B1F"/>
    <w:rsid w:val="003D1FC2"/>
    <w:rsid w:val="003D2A2B"/>
    <w:rsid w:val="003D37D7"/>
    <w:rsid w:val="003D4AA3"/>
    <w:rsid w:val="003D55AD"/>
    <w:rsid w:val="003D5CF8"/>
    <w:rsid w:val="003D6167"/>
    <w:rsid w:val="003D6526"/>
    <w:rsid w:val="003D68C4"/>
    <w:rsid w:val="003D707E"/>
    <w:rsid w:val="003D73B0"/>
    <w:rsid w:val="003E0AE9"/>
    <w:rsid w:val="003E1A91"/>
    <w:rsid w:val="003E1C36"/>
    <w:rsid w:val="003E21AC"/>
    <w:rsid w:val="003E2D27"/>
    <w:rsid w:val="003E3FDB"/>
    <w:rsid w:val="003E40CA"/>
    <w:rsid w:val="003E4788"/>
    <w:rsid w:val="003E57D5"/>
    <w:rsid w:val="003E5894"/>
    <w:rsid w:val="003E59A2"/>
    <w:rsid w:val="003E5B75"/>
    <w:rsid w:val="003E62F8"/>
    <w:rsid w:val="003E7485"/>
    <w:rsid w:val="003E7749"/>
    <w:rsid w:val="003E7915"/>
    <w:rsid w:val="003F0601"/>
    <w:rsid w:val="003F19EF"/>
    <w:rsid w:val="003F1BD8"/>
    <w:rsid w:val="003F2288"/>
    <w:rsid w:val="003F2F40"/>
    <w:rsid w:val="003F2F57"/>
    <w:rsid w:val="003F301D"/>
    <w:rsid w:val="003F31BC"/>
    <w:rsid w:val="003F3D93"/>
    <w:rsid w:val="003F5C0D"/>
    <w:rsid w:val="003F69CD"/>
    <w:rsid w:val="003F6B67"/>
    <w:rsid w:val="003F79E0"/>
    <w:rsid w:val="004001F8"/>
    <w:rsid w:val="00400905"/>
    <w:rsid w:val="00400A0D"/>
    <w:rsid w:val="00401FC7"/>
    <w:rsid w:val="004024E3"/>
    <w:rsid w:val="004026E5"/>
    <w:rsid w:val="00402EF1"/>
    <w:rsid w:val="00403D3C"/>
    <w:rsid w:val="00403E91"/>
    <w:rsid w:val="00404025"/>
    <w:rsid w:val="00404541"/>
    <w:rsid w:val="004047DC"/>
    <w:rsid w:val="00404D88"/>
    <w:rsid w:val="00405170"/>
    <w:rsid w:val="00406102"/>
    <w:rsid w:val="004061B5"/>
    <w:rsid w:val="00406837"/>
    <w:rsid w:val="00407524"/>
    <w:rsid w:val="00410723"/>
    <w:rsid w:val="00411990"/>
    <w:rsid w:val="00411C94"/>
    <w:rsid w:val="004120DC"/>
    <w:rsid w:val="0041246C"/>
    <w:rsid w:val="00413C7A"/>
    <w:rsid w:val="00414A86"/>
    <w:rsid w:val="00414CB1"/>
    <w:rsid w:val="0041644D"/>
    <w:rsid w:val="00416B02"/>
    <w:rsid w:val="00417D52"/>
    <w:rsid w:val="00421BE7"/>
    <w:rsid w:val="00421C99"/>
    <w:rsid w:val="0042224C"/>
    <w:rsid w:val="00422366"/>
    <w:rsid w:val="00422A71"/>
    <w:rsid w:val="00422F96"/>
    <w:rsid w:val="004243AC"/>
    <w:rsid w:val="004245D5"/>
    <w:rsid w:val="00424676"/>
    <w:rsid w:val="0042496D"/>
    <w:rsid w:val="00424B5C"/>
    <w:rsid w:val="0042585B"/>
    <w:rsid w:val="00426671"/>
    <w:rsid w:val="00426FAD"/>
    <w:rsid w:val="0042746B"/>
    <w:rsid w:val="00427EB7"/>
    <w:rsid w:val="0043015D"/>
    <w:rsid w:val="00430889"/>
    <w:rsid w:val="00430CB6"/>
    <w:rsid w:val="00430D7C"/>
    <w:rsid w:val="00430E05"/>
    <w:rsid w:val="004313EF"/>
    <w:rsid w:val="00431C83"/>
    <w:rsid w:val="00431E2B"/>
    <w:rsid w:val="00432002"/>
    <w:rsid w:val="00432CD4"/>
    <w:rsid w:val="00433274"/>
    <w:rsid w:val="00434EA4"/>
    <w:rsid w:val="00435C09"/>
    <w:rsid w:val="0043627A"/>
    <w:rsid w:val="00436E0F"/>
    <w:rsid w:val="004374B9"/>
    <w:rsid w:val="00437582"/>
    <w:rsid w:val="00437E92"/>
    <w:rsid w:val="00440A47"/>
    <w:rsid w:val="00440D4A"/>
    <w:rsid w:val="004417A4"/>
    <w:rsid w:val="00441B88"/>
    <w:rsid w:val="00441DC3"/>
    <w:rsid w:val="00441E58"/>
    <w:rsid w:val="00442307"/>
    <w:rsid w:val="00442FCE"/>
    <w:rsid w:val="0044338B"/>
    <w:rsid w:val="004437CF"/>
    <w:rsid w:val="00443BE6"/>
    <w:rsid w:val="00444188"/>
    <w:rsid w:val="0044444D"/>
    <w:rsid w:val="00444787"/>
    <w:rsid w:val="004448A0"/>
    <w:rsid w:val="00444A31"/>
    <w:rsid w:val="00444DA0"/>
    <w:rsid w:val="00445511"/>
    <w:rsid w:val="004457E4"/>
    <w:rsid w:val="00445B98"/>
    <w:rsid w:val="00445E51"/>
    <w:rsid w:val="00446EE6"/>
    <w:rsid w:val="00447059"/>
    <w:rsid w:val="00447D17"/>
    <w:rsid w:val="0045114E"/>
    <w:rsid w:val="00451CA6"/>
    <w:rsid w:val="00452847"/>
    <w:rsid w:val="00452F62"/>
    <w:rsid w:val="004538EC"/>
    <w:rsid w:val="00453EF0"/>
    <w:rsid w:val="004547EC"/>
    <w:rsid w:val="00455494"/>
    <w:rsid w:val="00455A34"/>
    <w:rsid w:val="00455C62"/>
    <w:rsid w:val="0045672E"/>
    <w:rsid w:val="004567BD"/>
    <w:rsid w:val="0046034E"/>
    <w:rsid w:val="00461376"/>
    <w:rsid w:val="0046177F"/>
    <w:rsid w:val="004621CF"/>
    <w:rsid w:val="00462D97"/>
    <w:rsid w:val="00464840"/>
    <w:rsid w:val="00465150"/>
    <w:rsid w:val="0046574C"/>
    <w:rsid w:val="0046577B"/>
    <w:rsid w:val="00465D27"/>
    <w:rsid w:val="00466346"/>
    <w:rsid w:val="00466CAB"/>
    <w:rsid w:val="00467AE1"/>
    <w:rsid w:val="0047040E"/>
    <w:rsid w:val="0047113A"/>
    <w:rsid w:val="0047231D"/>
    <w:rsid w:val="00472E12"/>
    <w:rsid w:val="0047381A"/>
    <w:rsid w:val="004744DA"/>
    <w:rsid w:val="00474909"/>
    <w:rsid w:val="0047522A"/>
    <w:rsid w:val="004756B5"/>
    <w:rsid w:val="00475897"/>
    <w:rsid w:val="0047591A"/>
    <w:rsid w:val="00475F2A"/>
    <w:rsid w:val="0047627D"/>
    <w:rsid w:val="00476E9C"/>
    <w:rsid w:val="004770A4"/>
    <w:rsid w:val="00477261"/>
    <w:rsid w:val="0047733B"/>
    <w:rsid w:val="00480F00"/>
    <w:rsid w:val="00481A37"/>
    <w:rsid w:val="0048202E"/>
    <w:rsid w:val="004822C5"/>
    <w:rsid w:val="0048238E"/>
    <w:rsid w:val="00482400"/>
    <w:rsid w:val="00482EC7"/>
    <w:rsid w:val="004839CD"/>
    <w:rsid w:val="00483A63"/>
    <w:rsid w:val="004840E5"/>
    <w:rsid w:val="00484367"/>
    <w:rsid w:val="0048525A"/>
    <w:rsid w:val="00485A48"/>
    <w:rsid w:val="00485F4C"/>
    <w:rsid w:val="0048667B"/>
    <w:rsid w:val="004879F3"/>
    <w:rsid w:val="00487DAC"/>
    <w:rsid w:val="00490B35"/>
    <w:rsid w:val="0049152C"/>
    <w:rsid w:val="0049242D"/>
    <w:rsid w:val="004925CB"/>
    <w:rsid w:val="00492CCF"/>
    <w:rsid w:val="00493281"/>
    <w:rsid w:val="0049515E"/>
    <w:rsid w:val="00496010"/>
    <w:rsid w:val="00496EAE"/>
    <w:rsid w:val="00497C04"/>
    <w:rsid w:val="004A0430"/>
    <w:rsid w:val="004A084E"/>
    <w:rsid w:val="004A0AB5"/>
    <w:rsid w:val="004A0B79"/>
    <w:rsid w:val="004A16A8"/>
    <w:rsid w:val="004A1EEB"/>
    <w:rsid w:val="004A2076"/>
    <w:rsid w:val="004A29FC"/>
    <w:rsid w:val="004A3377"/>
    <w:rsid w:val="004A34B2"/>
    <w:rsid w:val="004A386A"/>
    <w:rsid w:val="004A389E"/>
    <w:rsid w:val="004A3E51"/>
    <w:rsid w:val="004A419E"/>
    <w:rsid w:val="004A4462"/>
    <w:rsid w:val="004A456B"/>
    <w:rsid w:val="004A46BE"/>
    <w:rsid w:val="004A4740"/>
    <w:rsid w:val="004A4ECE"/>
    <w:rsid w:val="004A68BD"/>
    <w:rsid w:val="004A6C41"/>
    <w:rsid w:val="004A7333"/>
    <w:rsid w:val="004A73F3"/>
    <w:rsid w:val="004A77D0"/>
    <w:rsid w:val="004B20A1"/>
    <w:rsid w:val="004B2708"/>
    <w:rsid w:val="004B2831"/>
    <w:rsid w:val="004B2CC1"/>
    <w:rsid w:val="004B43A4"/>
    <w:rsid w:val="004B4A82"/>
    <w:rsid w:val="004B4B72"/>
    <w:rsid w:val="004B53E2"/>
    <w:rsid w:val="004B5C6D"/>
    <w:rsid w:val="004B6F29"/>
    <w:rsid w:val="004B709A"/>
    <w:rsid w:val="004B7464"/>
    <w:rsid w:val="004B7D20"/>
    <w:rsid w:val="004C0305"/>
    <w:rsid w:val="004C0466"/>
    <w:rsid w:val="004C05FB"/>
    <w:rsid w:val="004C0FF4"/>
    <w:rsid w:val="004C1562"/>
    <w:rsid w:val="004C23CA"/>
    <w:rsid w:val="004C41AD"/>
    <w:rsid w:val="004C47BF"/>
    <w:rsid w:val="004C47CA"/>
    <w:rsid w:val="004C4E07"/>
    <w:rsid w:val="004C5315"/>
    <w:rsid w:val="004C584E"/>
    <w:rsid w:val="004C5D2E"/>
    <w:rsid w:val="004C5EE6"/>
    <w:rsid w:val="004C6A3D"/>
    <w:rsid w:val="004D0173"/>
    <w:rsid w:val="004D02E9"/>
    <w:rsid w:val="004D0463"/>
    <w:rsid w:val="004D0A75"/>
    <w:rsid w:val="004D0DAE"/>
    <w:rsid w:val="004D0FC3"/>
    <w:rsid w:val="004D178B"/>
    <w:rsid w:val="004D1912"/>
    <w:rsid w:val="004D2157"/>
    <w:rsid w:val="004D33BF"/>
    <w:rsid w:val="004D395E"/>
    <w:rsid w:val="004D3DD8"/>
    <w:rsid w:val="004D3F06"/>
    <w:rsid w:val="004D495E"/>
    <w:rsid w:val="004D4A7E"/>
    <w:rsid w:val="004D4BD3"/>
    <w:rsid w:val="004D5F54"/>
    <w:rsid w:val="004D6588"/>
    <w:rsid w:val="004D70F6"/>
    <w:rsid w:val="004D7991"/>
    <w:rsid w:val="004E08BA"/>
    <w:rsid w:val="004E13CF"/>
    <w:rsid w:val="004E16F5"/>
    <w:rsid w:val="004E2062"/>
    <w:rsid w:val="004E21F2"/>
    <w:rsid w:val="004E2267"/>
    <w:rsid w:val="004E22DF"/>
    <w:rsid w:val="004E3192"/>
    <w:rsid w:val="004E3F0B"/>
    <w:rsid w:val="004E427D"/>
    <w:rsid w:val="004E5879"/>
    <w:rsid w:val="004E5C70"/>
    <w:rsid w:val="004E6076"/>
    <w:rsid w:val="004E7747"/>
    <w:rsid w:val="004E780C"/>
    <w:rsid w:val="004E7943"/>
    <w:rsid w:val="004E7983"/>
    <w:rsid w:val="004E7D2A"/>
    <w:rsid w:val="004F124F"/>
    <w:rsid w:val="004F17B8"/>
    <w:rsid w:val="004F2347"/>
    <w:rsid w:val="004F23F7"/>
    <w:rsid w:val="004F24A1"/>
    <w:rsid w:val="004F24DC"/>
    <w:rsid w:val="004F25F5"/>
    <w:rsid w:val="004F2996"/>
    <w:rsid w:val="004F2B5E"/>
    <w:rsid w:val="004F2FC7"/>
    <w:rsid w:val="004F32DC"/>
    <w:rsid w:val="004F3B59"/>
    <w:rsid w:val="004F3CA8"/>
    <w:rsid w:val="004F43EA"/>
    <w:rsid w:val="004F4AAD"/>
    <w:rsid w:val="004F56A4"/>
    <w:rsid w:val="004F586A"/>
    <w:rsid w:val="004F5C62"/>
    <w:rsid w:val="004F6432"/>
    <w:rsid w:val="004F7142"/>
    <w:rsid w:val="004F71F4"/>
    <w:rsid w:val="004F7542"/>
    <w:rsid w:val="005000EB"/>
    <w:rsid w:val="00501313"/>
    <w:rsid w:val="00501472"/>
    <w:rsid w:val="0050179E"/>
    <w:rsid w:val="00502D74"/>
    <w:rsid w:val="005033DF"/>
    <w:rsid w:val="005035FC"/>
    <w:rsid w:val="00503632"/>
    <w:rsid w:val="00503AFD"/>
    <w:rsid w:val="0050428E"/>
    <w:rsid w:val="005042B0"/>
    <w:rsid w:val="00504AEA"/>
    <w:rsid w:val="005053BD"/>
    <w:rsid w:val="005055B0"/>
    <w:rsid w:val="00505761"/>
    <w:rsid w:val="0050602E"/>
    <w:rsid w:val="0050690C"/>
    <w:rsid w:val="00507856"/>
    <w:rsid w:val="00507F83"/>
    <w:rsid w:val="005104D4"/>
    <w:rsid w:val="00511367"/>
    <w:rsid w:val="005115AD"/>
    <w:rsid w:val="00511760"/>
    <w:rsid w:val="00511C3A"/>
    <w:rsid w:val="00511ED3"/>
    <w:rsid w:val="005122E9"/>
    <w:rsid w:val="00512A27"/>
    <w:rsid w:val="00513522"/>
    <w:rsid w:val="005136F3"/>
    <w:rsid w:val="00514289"/>
    <w:rsid w:val="005165B5"/>
    <w:rsid w:val="00516B83"/>
    <w:rsid w:val="00517B0D"/>
    <w:rsid w:val="00520473"/>
    <w:rsid w:val="00520945"/>
    <w:rsid w:val="00520BEC"/>
    <w:rsid w:val="005215F8"/>
    <w:rsid w:val="00522EE9"/>
    <w:rsid w:val="00523582"/>
    <w:rsid w:val="005235F8"/>
    <w:rsid w:val="0052413A"/>
    <w:rsid w:val="0052449E"/>
    <w:rsid w:val="005257FA"/>
    <w:rsid w:val="0052620F"/>
    <w:rsid w:val="00526C35"/>
    <w:rsid w:val="005270F3"/>
    <w:rsid w:val="005273EB"/>
    <w:rsid w:val="00530116"/>
    <w:rsid w:val="005319F9"/>
    <w:rsid w:val="00531B7A"/>
    <w:rsid w:val="00531F24"/>
    <w:rsid w:val="0053215B"/>
    <w:rsid w:val="0053264F"/>
    <w:rsid w:val="00532C01"/>
    <w:rsid w:val="00534DB3"/>
    <w:rsid w:val="005351EC"/>
    <w:rsid w:val="005353C9"/>
    <w:rsid w:val="00535881"/>
    <w:rsid w:val="00535EBD"/>
    <w:rsid w:val="005365C3"/>
    <w:rsid w:val="00537078"/>
    <w:rsid w:val="00537D8D"/>
    <w:rsid w:val="00540AF3"/>
    <w:rsid w:val="00540CE5"/>
    <w:rsid w:val="00540D81"/>
    <w:rsid w:val="005414F3"/>
    <w:rsid w:val="00541EF5"/>
    <w:rsid w:val="00542146"/>
    <w:rsid w:val="0054223D"/>
    <w:rsid w:val="00542A94"/>
    <w:rsid w:val="00543343"/>
    <w:rsid w:val="0054370B"/>
    <w:rsid w:val="00543B13"/>
    <w:rsid w:val="00544683"/>
    <w:rsid w:val="00544741"/>
    <w:rsid w:val="0054500E"/>
    <w:rsid w:val="0054535E"/>
    <w:rsid w:val="005453F9"/>
    <w:rsid w:val="0054564F"/>
    <w:rsid w:val="005463B7"/>
    <w:rsid w:val="00547090"/>
    <w:rsid w:val="00547698"/>
    <w:rsid w:val="00547C20"/>
    <w:rsid w:val="005507C1"/>
    <w:rsid w:val="00550942"/>
    <w:rsid w:val="0055095C"/>
    <w:rsid w:val="00550C75"/>
    <w:rsid w:val="005513E6"/>
    <w:rsid w:val="00551EAB"/>
    <w:rsid w:val="0055244A"/>
    <w:rsid w:val="00552813"/>
    <w:rsid w:val="005535F5"/>
    <w:rsid w:val="00553A94"/>
    <w:rsid w:val="00553C31"/>
    <w:rsid w:val="005545CE"/>
    <w:rsid w:val="005545D3"/>
    <w:rsid w:val="005549CC"/>
    <w:rsid w:val="00555AC5"/>
    <w:rsid w:val="00555DE6"/>
    <w:rsid w:val="00555E41"/>
    <w:rsid w:val="00556D6B"/>
    <w:rsid w:val="00560B7F"/>
    <w:rsid w:val="0056159D"/>
    <w:rsid w:val="00561613"/>
    <w:rsid w:val="00561CDB"/>
    <w:rsid w:val="0056232A"/>
    <w:rsid w:val="00562E9E"/>
    <w:rsid w:val="00563F67"/>
    <w:rsid w:val="00564266"/>
    <w:rsid w:val="00564D27"/>
    <w:rsid w:val="00565135"/>
    <w:rsid w:val="00565194"/>
    <w:rsid w:val="00565300"/>
    <w:rsid w:val="00565509"/>
    <w:rsid w:val="0056590A"/>
    <w:rsid w:val="00565E81"/>
    <w:rsid w:val="00566DC1"/>
    <w:rsid w:val="00567982"/>
    <w:rsid w:val="00567C1C"/>
    <w:rsid w:val="00567E2D"/>
    <w:rsid w:val="0057012E"/>
    <w:rsid w:val="00570303"/>
    <w:rsid w:val="005707AE"/>
    <w:rsid w:val="00570FC0"/>
    <w:rsid w:val="0057136E"/>
    <w:rsid w:val="005713D1"/>
    <w:rsid w:val="00571489"/>
    <w:rsid w:val="00571AA9"/>
    <w:rsid w:val="00572180"/>
    <w:rsid w:val="00573201"/>
    <w:rsid w:val="005735EB"/>
    <w:rsid w:val="00573D8A"/>
    <w:rsid w:val="0057426B"/>
    <w:rsid w:val="00574C71"/>
    <w:rsid w:val="00574F0D"/>
    <w:rsid w:val="005753E9"/>
    <w:rsid w:val="005758AF"/>
    <w:rsid w:val="00576087"/>
    <w:rsid w:val="00576519"/>
    <w:rsid w:val="005767CC"/>
    <w:rsid w:val="00576DF9"/>
    <w:rsid w:val="00576E90"/>
    <w:rsid w:val="00577C4D"/>
    <w:rsid w:val="00580A0E"/>
    <w:rsid w:val="00580C8B"/>
    <w:rsid w:val="00581422"/>
    <w:rsid w:val="005815D5"/>
    <w:rsid w:val="0058192A"/>
    <w:rsid w:val="00581AE7"/>
    <w:rsid w:val="0058234F"/>
    <w:rsid w:val="00582A3D"/>
    <w:rsid w:val="00582FA2"/>
    <w:rsid w:val="005831DA"/>
    <w:rsid w:val="005846B3"/>
    <w:rsid w:val="00584726"/>
    <w:rsid w:val="00584EA6"/>
    <w:rsid w:val="00585F7D"/>
    <w:rsid w:val="00586C2A"/>
    <w:rsid w:val="0058780F"/>
    <w:rsid w:val="00587CAB"/>
    <w:rsid w:val="00590ADF"/>
    <w:rsid w:val="00590B6E"/>
    <w:rsid w:val="00590BC1"/>
    <w:rsid w:val="00591551"/>
    <w:rsid w:val="00591E5B"/>
    <w:rsid w:val="00592909"/>
    <w:rsid w:val="005933FC"/>
    <w:rsid w:val="00594231"/>
    <w:rsid w:val="00594313"/>
    <w:rsid w:val="005959CA"/>
    <w:rsid w:val="00596244"/>
    <w:rsid w:val="00597CE3"/>
    <w:rsid w:val="005A0018"/>
    <w:rsid w:val="005A0710"/>
    <w:rsid w:val="005A0821"/>
    <w:rsid w:val="005A0C0E"/>
    <w:rsid w:val="005A0DF1"/>
    <w:rsid w:val="005A26CD"/>
    <w:rsid w:val="005A298A"/>
    <w:rsid w:val="005A2B96"/>
    <w:rsid w:val="005A306B"/>
    <w:rsid w:val="005A3DCA"/>
    <w:rsid w:val="005A4D48"/>
    <w:rsid w:val="005A5553"/>
    <w:rsid w:val="005A5601"/>
    <w:rsid w:val="005A6925"/>
    <w:rsid w:val="005A6F11"/>
    <w:rsid w:val="005B0340"/>
    <w:rsid w:val="005B036F"/>
    <w:rsid w:val="005B04CB"/>
    <w:rsid w:val="005B06BF"/>
    <w:rsid w:val="005B0E23"/>
    <w:rsid w:val="005B1106"/>
    <w:rsid w:val="005B1968"/>
    <w:rsid w:val="005B1C27"/>
    <w:rsid w:val="005B1D50"/>
    <w:rsid w:val="005B22FB"/>
    <w:rsid w:val="005B289F"/>
    <w:rsid w:val="005B381C"/>
    <w:rsid w:val="005B3E22"/>
    <w:rsid w:val="005B4631"/>
    <w:rsid w:val="005B49B1"/>
    <w:rsid w:val="005B51C6"/>
    <w:rsid w:val="005B5971"/>
    <w:rsid w:val="005B5B1D"/>
    <w:rsid w:val="005B6631"/>
    <w:rsid w:val="005B6A9A"/>
    <w:rsid w:val="005B6B44"/>
    <w:rsid w:val="005B7226"/>
    <w:rsid w:val="005C041A"/>
    <w:rsid w:val="005C17A4"/>
    <w:rsid w:val="005C1BB5"/>
    <w:rsid w:val="005C1C80"/>
    <w:rsid w:val="005C2822"/>
    <w:rsid w:val="005C291E"/>
    <w:rsid w:val="005C2DF9"/>
    <w:rsid w:val="005C31A8"/>
    <w:rsid w:val="005C3C15"/>
    <w:rsid w:val="005C3CBF"/>
    <w:rsid w:val="005C4008"/>
    <w:rsid w:val="005C4214"/>
    <w:rsid w:val="005C5169"/>
    <w:rsid w:val="005C5FC3"/>
    <w:rsid w:val="005C6087"/>
    <w:rsid w:val="005C64FD"/>
    <w:rsid w:val="005C6569"/>
    <w:rsid w:val="005C694F"/>
    <w:rsid w:val="005C6EC9"/>
    <w:rsid w:val="005C6EED"/>
    <w:rsid w:val="005C726F"/>
    <w:rsid w:val="005C72ED"/>
    <w:rsid w:val="005C788B"/>
    <w:rsid w:val="005D023C"/>
    <w:rsid w:val="005D0823"/>
    <w:rsid w:val="005D1176"/>
    <w:rsid w:val="005D14B7"/>
    <w:rsid w:val="005D151C"/>
    <w:rsid w:val="005D170F"/>
    <w:rsid w:val="005D1AFB"/>
    <w:rsid w:val="005D1FB8"/>
    <w:rsid w:val="005D21A6"/>
    <w:rsid w:val="005D2624"/>
    <w:rsid w:val="005D2E7C"/>
    <w:rsid w:val="005D3AB8"/>
    <w:rsid w:val="005D3D0E"/>
    <w:rsid w:val="005D3DF4"/>
    <w:rsid w:val="005D3E14"/>
    <w:rsid w:val="005D4163"/>
    <w:rsid w:val="005D46A1"/>
    <w:rsid w:val="005D4F1A"/>
    <w:rsid w:val="005D5FFF"/>
    <w:rsid w:val="005D6416"/>
    <w:rsid w:val="005D66B8"/>
    <w:rsid w:val="005D6738"/>
    <w:rsid w:val="005D6DB8"/>
    <w:rsid w:val="005D70C0"/>
    <w:rsid w:val="005E0344"/>
    <w:rsid w:val="005E0855"/>
    <w:rsid w:val="005E08F2"/>
    <w:rsid w:val="005E0A5B"/>
    <w:rsid w:val="005E10B0"/>
    <w:rsid w:val="005E1254"/>
    <w:rsid w:val="005E153D"/>
    <w:rsid w:val="005E1DEB"/>
    <w:rsid w:val="005E3812"/>
    <w:rsid w:val="005E39EC"/>
    <w:rsid w:val="005E3A43"/>
    <w:rsid w:val="005E41DC"/>
    <w:rsid w:val="005E491B"/>
    <w:rsid w:val="005E4EE8"/>
    <w:rsid w:val="005E4EFE"/>
    <w:rsid w:val="005E62EC"/>
    <w:rsid w:val="005E64F5"/>
    <w:rsid w:val="005E65D4"/>
    <w:rsid w:val="005E7924"/>
    <w:rsid w:val="005E7EFB"/>
    <w:rsid w:val="005F078D"/>
    <w:rsid w:val="005F0908"/>
    <w:rsid w:val="005F1362"/>
    <w:rsid w:val="005F15AC"/>
    <w:rsid w:val="005F15DD"/>
    <w:rsid w:val="005F17D8"/>
    <w:rsid w:val="005F1C3A"/>
    <w:rsid w:val="005F23DB"/>
    <w:rsid w:val="005F24FF"/>
    <w:rsid w:val="005F34B8"/>
    <w:rsid w:val="005F497D"/>
    <w:rsid w:val="005F4D60"/>
    <w:rsid w:val="005F5C25"/>
    <w:rsid w:val="005F6159"/>
    <w:rsid w:val="005F6A9E"/>
    <w:rsid w:val="005F6C2B"/>
    <w:rsid w:val="005F7388"/>
    <w:rsid w:val="006000A9"/>
    <w:rsid w:val="006015F2"/>
    <w:rsid w:val="00601743"/>
    <w:rsid w:val="00601AE4"/>
    <w:rsid w:val="00601DD8"/>
    <w:rsid w:val="006020AF"/>
    <w:rsid w:val="006020EC"/>
    <w:rsid w:val="00602278"/>
    <w:rsid w:val="0060236D"/>
    <w:rsid w:val="0060275B"/>
    <w:rsid w:val="00602C8A"/>
    <w:rsid w:val="00602E15"/>
    <w:rsid w:val="00603091"/>
    <w:rsid w:val="0060324C"/>
    <w:rsid w:val="00603398"/>
    <w:rsid w:val="006064FE"/>
    <w:rsid w:val="00606C4F"/>
    <w:rsid w:val="00607E60"/>
    <w:rsid w:val="00607F15"/>
    <w:rsid w:val="00610CAD"/>
    <w:rsid w:val="00611054"/>
    <w:rsid w:val="00611A80"/>
    <w:rsid w:val="00611F66"/>
    <w:rsid w:val="00613140"/>
    <w:rsid w:val="00613C72"/>
    <w:rsid w:val="00613D79"/>
    <w:rsid w:val="00613E9A"/>
    <w:rsid w:val="0061427B"/>
    <w:rsid w:val="0061505B"/>
    <w:rsid w:val="0061515B"/>
    <w:rsid w:val="00615364"/>
    <w:rsid w:val="00615BED"/>
    <w:rsid w:val="00615DC4"/>
    <w:rsid w:val="00616880"/>
    <w:rsid w:val="00616F1D"/>
    <w:rsid w:val="00616F9B"/>
    <w:rsid w:val="006172D9"/>
    <w:rsid w:val="00617653"/>
    <w:rsid w:val="006178A3"/>
    <w:rsid w:val="00620BE4"/>
    <w:rsid w:val="00621349"/>
    <w:rsid w:val="0062211F"/>
    <w:rsid w:val="0062277E"/>
    <w:rsid w:val="00622835"/>
    <w:rsid w:val="00622C35"/>
    <w:rsid w:val="00622CD7"/>
    <w:rsid w:val="0062375B"/>
    <w:rsid w:val="00623FEA"/>
    <w:rsid w:val="006306CC"/>
    <w:rsid w:val="006308E0"/>
    <w:rsid w:val="00630CF6"/>
    <w:rsid w:val="00630E3A"/>
    <w:rsid w:val="00633392"/>
    <w:rsid w:val="00633983"/>
    <w:rsid w:val="006353C8"/>
    <w:rsid w:val="00635746"/>
    <w:rsid w:val="00635A2D"/>
    <w:rsid w:val="00635E95"/>
    <w:rsid w:val="006367F5"/>
    <w:rsid w:val="00636AFB"/>
    <w:rsid w:val="00636EA4"/>
    <w:rsid w:val="00637267"/>
    <w:rsid w:val="0063733D"/>
    <w:rsid w:val="006377E9"/>
    <w:rsid w:val="00640136"/>
    <w:rsid w:val="006404D4"/>
    <w:rsid w:val="006405A6"/>
    <w:rsid w:val="00640991"/>
    <w:rsid w:val="00640A1C"/>
    <w:rsid w:val="0064119F"/>
    <w:rsid w:val="006411E1"/>
    <w:rsid w:val="006413D0"/>
    <w:rsid w:val="00641414"/>
    <w:rsid w:val="00641B2F"/>
    <w:rsid w:val="00642C8B"/>
    <w:rsid w:val="006434D0"/>
    <w:rsid w:val="00643770"/>
    <w:rsid w:val="006449BF"/>
    <w:rsid w:val="00645A23"/>
    <w:rsid w:val="00645D87"/>
    <w:rsid w:val="00646213"/>
    <w:rsid w:val="00647DAE"/>
    <w:rsid w:val="0065062B"/>
    <w:rsid w:val="00650B52"/>
    <w:rsid w:val="00651045"/>
    <w:rsid w:val="00651564"/>
    <w:rsid w:val="006516FF"/>
    <w:rsid w:val="00651FBB"/>
    <w:rsid w:val="00651FC9"/>
    <w:rsid w:val="00652202"/>
    <w:rsid w:val="00653E9D"/>
    <w:rsid w:val="0065507F"/>
    <w:rsid w:val="0065520B"/>
    <w:rsid w:val="006553A8"/>
    <w:rsid w:val="00655A78"/>
    <w:rsid w:val="00657D31"/>
    <w:rsid w:val="006607E6"/>
    <w:rsid w:val="00660DCE"/>
    <w:rsid w:val="00661546"/>
    <w:rsid w:val="006616DD"/>
    <w:rsid w:val="00661831"/>
    <w:rsid w:val="00661931"/>
    <w:rsid w:val="00661D6C"/>
    <w:rsid w:val="00661F06"/>
    <w:rsid w:val="0066204C"/>
    <w:rsid w:val="0066225B"/>
    <w:rsid w:val="00662488"/>
    <w:rsid w:val="0066272D"/>
    <w:rsid w:val="00662899"/>
    <w:rsid w:val="00663785"/>
    <w:rsid w:val="0066499C"/>
    <w:rsid w:val="00664B0F"/>
    <w:rsid w:val="00664EFF"/>
    <w:rsid w:val="00665156"/>
    <w:rsid w:val="00665982"/>
    <w:rsid w:val="00665B3F"/>
    <w:rsid w:val="00665E20"/>
    <w:rsid w:val="00666520"/>
    <w:rsid w:val="006674AB"/>
    <w:rsid w:val="006676F9"/>
    <w:rsid w:val="00670064"/>
    <w:rsid w:val="006704F3"/>
    <w:rsid w:val="00670651"/>
    <w:rsid w:val="00671CEE"/>
    <w:rsid w:val="006723C9"/>
    <w:rsid w:val="006730C6"/>
    <w:rsid w:val="00673B75"/>
    <w:rsid w:val="00673FBF"/>
    <w:rsid w:val="0067400D"/>
    <w:rsid w:val="00675059"/>
    <w:rsid w:val="006759E4"/>
    <w:rsid w:val="00675F10"/>
    <w:rsid w:val="006764BF"/>
    <w:rsid w:val="006766DE"/>
    <w:rsid w:val="00676A91"/>
    <w:rsid w:val="00676DA5"/>
    <w:rsid w:val="00677C1F"/>
    <w:rsid w:val="00680D3A"/>
    <w:rsid w:val="006812CB"/>
    <w:rsid w:val="00681600"/>
    <w:rsid w:val="00681895"/>
    <w:rsid w:val="00681F9E"/>
    <w:rsid w:val="00681FEF"/>
    <w:rsid w:val="0068227E"/>
    <w:rsid w:val="006829F5"/>
    <w:rsid w:val="00682D6F"/>
    <w:rsid w:val="00683260"/>
    <w:rsid w:val="006836D0"/>
    <w:rsid w:val="00683A24"/>
    <w:rsid w:val="00683DFD"/>
    <w:rsid w:val="0068431C"/>
    <w:rsid w:val="00684740"/>
    <w:rsid w:val="00685F29"/>
    <w:rsid w:val="006860CE"/>
    <w:rsid w:val="00686343"/>
    <w:rsid w:val="00686BEE"/>
    <w:rsid w:val="00687655"/>
    <w:rsid w:val="00687D13"/>
    <w:rsid w:val="00687FAF"/>
    <w:rsid w:val="0069008D"/>
    <w:rsid w:val="00690A14"/>
    <w:rsid w:val="00690B7E"/>
    <w:rsid w:val="00690DBA"/>
    <w:rsid w:val="00690EEA"/>
    <w:rsid w:val="006919F5"/>
    <w:rsid w:val="00691DD2"/>
    <w:rsid w:val="0069347B"/>
    <w:rsid w:val="00693567"/>
    <w:rsid w:val="0069366B"/>
    <w:rsid w:val="00693934"/>
    <w:rsid w:val="00693FCF"/>
    <w:rsid w:val="0069475B"/>
    <w:rsid w:val="00694908"/>
    <w:rsid w:val="00695309"/>
    <w:rsid w:val="00695AFF"/>
    <w:rsid w:val="00695E93"/>
    <w:rsid w:val="0069625B"/>
    <w:rsid w:val="006969E9"/>
    <w:rsid w:val="00696AAA"/>
    <w:rsid w:val="00696B5B"/>
    <w:rsid w:val="00696C75"/>
    <w:rsid w:val="00696D08"/>
    <w:rsid w:val="00697298"/>
    <w:rsid w:val="00697383"/>
    <w:rsid w:val="00697E50"/>
    <w:rsid w:val="00697F5B"/>
    <w:rsid w:val="006A02B7"/>
    <w:rsid w:val="006A02F2"/>
    <w:rsid w:val="006A06A3"/>
    <w:rsid w:val="006A0CA4"/>
    <w:rsid w:val="006A0FDE"/>
    <w:rsid w:val="006A10D9"/>
    <w:rsid w:val="006A1829"/>
    <w:rsid w:val="006A215C"/>
    <w:rsid w:val="006A2214"/>
    <w:rsid w:val="006A2C08"/>
    <w:rsid w:val="006A2DFE"/>
    <w:rsid w:val="006A307E"/>
    <w:rsid w:val="006A3850"/>
    <w:rsid w:val="006A3DE3"/>
    <w:rsid w:val="006A499A"/>
    <w:rsid w:val="006A4FBE"/>
    <w:rsid w:val="006A5961"/>
    <w:rsid w:val="006A702A"/>
    <w:rsid w:val="006B039F"/>
    <w:rsid w:val="006B068D"/>
    <w:rsid w:val="006B0753"/>
    <w:rsid w:val="006B0D35"/>
    <w:rsid w:val="006B0D43"/>
    <w:rsid w:val="006B0E3D"/>
    <w:rsid w:val="006B14B1"/>
    <w:rsid w:val="006B22EB"/>
    <w:rsid w:val="006B3696"/>
    <w:rsid w:val="006B50C8"/>
    <w:rsid w:val="006B56A7"/>
    <w:rsid w:val="006B5917"/>
    <w:rsid w:val="006B59AF"/>
    <w:rsid w:val="006B67AB"/>
    <w:rsid w:val="006B6FC7"/>
    <w:rsid w:val="006B7035"/>
    <w:rsid w:val="006B7200"/>
    <w:rsid w:val="006B7C5A"/>
    <w:rsid w:val="006B7D80"/>
    <w:rsid w:val="006C0373"/>
    <w:rsid w:val="006C037E"/>
    <w:rsid w:val="006C08D0"/>
    <w:rsid w:val="006C1540"/>
    <w:rsid w:val="006C1A2D"/>
    <w:rsid w:val="006C1E64"/>
    <w:rsid w:val="006C1F44"/>
    <w:rsid w:val="006C2656"/>
    <w:rsid w:val="006C284F"/>
    <w:rsid w:val="006C3237"/>
    <w:rsid w:val="006C409F"/>
    <w:rsid w:val="006C42AD"/>
    <w:rsid w:val="006C4EF0"/>
    <w:rsid w:val="006C6A0A"/>
    <w:rsid w:val="006C6DF6"/>
    <w:rsid w:val="006C6EDA"/>
    <w:rsid w:val="006C7FE3"/>
    <w:rsid w:val="006D0129"/>
    <w:rsid w:val="006D10A3"/>
    <w:rsid w:val="006D45A9"/>
    <w:rsid w:val="006D5F89"/>
    <w:rsid w:val="006D640C"/>
    <w:rsid w:val="006D6BFD"/>
    <w:rsid w:val="006D76DA"/>
    <w:rsid w:val="006E0712"/>
    <w:rsid w:val="006E0E36"/>
    <w:rsid w:val="006E257C"/>
    <w:rsid w:val="006E2584"/>
    <w:rsid w:val="006E28D4"/>
    <w:rsid w:val="006E298B"/>
    <w:rsid w:val="006E54C2"/>
    <w:rsid w:val="006E5673"/>
    <w:rsid w:val="006E5EEE"/>
    <w:rsid w:val="006E613D"/>
    <w:rsid w:val="006E6494"/>
    <w:rsid w:val="006E6876"/>
    <w:rsid w:val="006E692A"/>
    <w:rsid w:val="006E796D"/>
    <w:rsid w:val="006E7D79"/>
    <w:rsid w:val="006F044B"/>
    <w:rsid w:val="006F0451"/>
    <w:rsid w:val="006F0A30"/>
    <w:rsid w:val="006F0C2D"/>
    <w:rsid w:val="006F0EAD"/>
    <w:rsid w:val="006F10D5"/>
    <w:rsid w:val="006F18D1"/>
    <w:rsid w:val="006F261F"/>
    <w:rsid w:val="006F2779"/>
    <w:rsid w:val="006F2863"/>
    <w:rsid w:val="006F289E"/>
    <w:rsid w:val="006F2AF3"/>
    <w:rsid w:val="006F2D9C"/>
    <w:rsid w:val="006F2F1A"/>
    <w:rsid w:val="006F30A3"/>
    <w:rsid w:val="006F330B"/>
    <w:rsid w:val="006F3647"/>
    <w:rsid w:val="006F37B9"/>
    <w:rsid w:val="006F3E5C"/>
    <w:rsid w:val="006F4E8A"/>
    <w:rsid w:val="006F507C"/>
    <w:rsid w:val="006F52A1"/>
    <w:rsid w:val="006F70C9"/>
    <w:rsid w:val="006F721B"/>
    <w:rsid w:val="006F79C6"/>
    <w:rsid w:val="006F7B29"/>
    <w:rsid w:val="006F7C38"/>
    <w:rsid w:val="007005F7"/>
    <w:rsid w:val="00700643"/>
    <w:rsid w:val="007006AD"/>
    <w:rsid w:val="007009A2"/>
    <w:rsid w:val="007028AD"/>
    <w:rsid w:val="007034F8"/>
    <w:rsid w:val="00703E8C"/>
    <w:rsid w:val="00704111"/>
    <w:rsid w:val="007042FC"/>
    <w:rsid w:val="00704EE2"/>
    <w:rsid w:val="0070573C"/>
    <w:rsid w:val="00706DC6"/>
    <w:rsid w:val="0070702C"/>
    <w:rsid w:val="007070AA"/>
    <w:rsid w:val="007072BB"/>
    <w:rsid w:val="0070770B"/>
    <w:rsid w:val="0071033C"/>
    <w:rsid w:val="007104E6"/>
    <w:rsid w:val="007107C8"/>
    <w:rsid w:val="00710971"/>
    <w:rsid w:val="00710DE6"/>
    <w:rsid w:val="00710E6E"/>
    <w:rsid w:val="00711879"/>
    <w:rsid w:val="00711B42"/>
    <w:rsid w:val="00711DFB"/>
    <w:rsid w:val="00711E1F"/>
    <w:rsid w:val="007122F1"/>
    <w:rsid w:val="00712B22"/>
    <w:rsid w:val="00714015"/>
    <w:rsid w:val="007146C9"/>
    <w:rsid w:val="00714869"/>
    <w:rsid w:val="007154D1"/>
    <w:rsid w:val="00715745"/>
    <w:rsid w:val="007166D0"/>
    <w:rsid w:val="00716A78"/>
    <w:rsid w:val="00716AD1"/>
    <w:rsid w:val="00717234"/>
    <w:rsid w:val="007175F5"/>
    <w:rsid w:val="007209B4"/>
    <w:rsid w:val="0072101A"/>
    <w:rsid w:val="007218B5"/>
    <w:rsid w:val="00721D42"/>
    <w:rsid w:val="007225C9"/>
    <w:rsid w:val="0072265F"/>
    <w:rsid w:val="007229B8"/>
    <w:rsid w:val="00722A1A"/>
    <w:rsid w:val="007241A8"/>
    <w:rsid w:val="00724C61"/>
    <w:rsid w:val="00725766"/>
    <w:rsid w:val="00725AFB"/>
    <w:rsid w:val="00726676"/>
    <w:rsid w:val="007267A7"/>
    <w:rsid w:val="00726EC7"/>
    <w:rsid w:val="007272BA"/>
    <w:rsid w:val="00727525"/>
    <w:rsid w:val="0072772B"/>
    <w:rsid w:val="00727D4D"/>
    <w:rsid w:val="00727DDD"/>
    <w:rsid w:val="0073016E"/>
    <w:rsid w:val="0073058C"/>
    <w:rsid w:val="0073067B"/>
    <w:rsid w:val="0073202A"/>
    <w:rsid w:val="0073204C"/>
    <w:rsid w:val="00732321"/>
    <w:rsid w:val="0073251C"/>
    <w:rsid w:val="007348E1"/>
    <w:rsid w:val="00735581"/>
    <w:rsid w:val="00735E92"/>
    <w:rsid w:val="007361B4"/>
    <w:rsid w:val="0073683D"/>
    <w:rsid w:val="00736A10"/>
    <w:rsid w:val="00736D28"/>
    <w:rsid w:val="007371DC"/>
    <w:rsid w:val="007376CC"/>
    <w:rsid w:val="00737724"/>
    <w:rsid w:val="00737E7E"/>
    <w:rsid w:val="007409C3"/>
    <w:rsid w:val="00740AC2"/>
    <w:rsid w:val="00741AEA"/>
    <w:rsid w:val="00741E93"/>
    <w:rsid w:val="0074289E"/>
    <w:rsid w:val="00742D19"/>
    <w:rsid w:val="00742EDD"/>
    <w:rsid w:val="00743E29"/>
    <w:rsid w:val="0074485C"/>
    <w:rsid w:val="00744E65"/>
    <w:rsid w:val="00744F58"/>
    <w:rsid w:val="00745A44"/>
    <w:rsid w:val="00745ADE"/>
    <w:rsid w:val="00747260"/>
    <w:rsid w:val="00747469"/>
    <w:rsid w:val="007479F5"/>
    <w:rsid w:val="00747DBA"/>
    <w:rsid w:val="0075036B"/>
    <w:rsid w:val="0075099B"/>
    <w:rsid w:val="00751986"/>
    <w:rsid w:val="00751E21"/>
    <w:rsid w:val="007521B4"/>
    <w:rsid w:val="007524B5"/>
    <w:rsid w:val="007525AE"/>
    <w:rsid w:val="007539AE"/>
    <w:rsid w:val="00753D98"/>
    <w:rsid w:val="00753E78"/>
    <w:rsid w:val="00754188"/>
    <w:rsid w:val="0075490C"/>
    <w:rsid w:val="00754AF1"/>
    <w:rsid w:val="007550B1"/>
    <w:rsid w:val="00755CF0"/>
    <w:rsid w:val="007564D3"/>
    <w:rsid w:val="007568A8"/>
    <w:rsid w:val="00756D61"/>
    <w:rsid w:val="0075756C"/>
    <w:rsid w:val="0075767F"/>
    <w:rsid w:val="007607A9"/>
    <w:rsid w:val="00760850"/>
    <w:rsid w:val="00761521"/>
    <w:rsid w:val="00761A2B"/>
    <w:rsid w:val="00761E3B"/>
    <w:rsid w:val="007621C4"/>
    <w:rsid w:val="00762391"/>
    <w:rsid w:val="00762899"/>
    <w:rsid w:val="00762F70"/>
    <w:rsid w:val="00763970"/>
    <w:rsid w:val="00765078"/>
    <w:rsid w:val="007651C2"/>
    <w:rsid w:val="00765211"/>
    <w:rsid w:val="00766288"/>
    <w:rsid w:val="00766374"/>
    <w:rsid w:val="00766966"/>
    <w:rsid w:val="00766F83"/>
    <w:rsid w:val="0076763B"/>
    <w:rsid w:val="00767880"/>
    <w:rsid w:val="00770FE6"/>
    <w:rsid w:val="00772E6E"/>
    <w:rsid w:val="00773284"/>
    <w:rsid w:val="00773756"/>
    <w:rsid w:val="00773934"/>
    <w:rsid w:val="00773B54"/>
    <w:rsid w:val="00773CBB"/>
    <w:rsid w:val="00774E8E"/>
    <w:rsid w:val="007752B2"/>
    <w:rsid w:val="00775BA6"/>
    <w:rsid w:val="00776E3E"/>
    <w:rsid w:val="0077722F"/>
    <w:rsid w:val="00777605"/>
    <w:rsid w:val="0077788F"/>
    <w:rsid w:val="00777AB6"/>
    <w:rsid w:val="00777F5B"/>
    <w:rsid w:val="0078040B"/>
    <w:rsid w:val="0078040F"/>
    <w:rsid w:val="00780A3F"/>
    <w:rsid w:val="00781385"/>
    <w:rsid w:val="007819B3"/>
    <w:rsid w:val="007823FE"/>
    <w:rsid w:val="007827CD"/>
    <w:rsid w:val="00782CB1"/>
    <w:rsid w:val="00782D76"/>
    <w:rsid w:val="00783323"/>
    <w:rsid w:val="00783849"/>
    <w:rsid w:val="00783A7F"/>
    <w:rsid w:val="00785287"/>
    <w:rsid w:val="00785649"/>
    <w:rsid w:val="00785A13"/>
    <w:rsid w:val="00785E97"/>
    <w:rsid w:val="00786155"/>
    <w:rsid w:val="00786970"/>
    <w:rsid w:val="00786B09"/>
    <w:rsid w:val="007871F9"/>
    <w:rsid w:val="007906EE"/>
    <w:rsid w:val="0079071B"/>
    <w:rsid w:val="0079078F"/>
    <w:rsid w:val="00790AA5"/>
    <w:rsid w:val="007912B4"/>
    <w:rsid w:val="007920D4"/>
    <w:rsid w:val="007925CF"/>
    <w:rsid w:val="00793A03"/>
    <w:rsid w:val="00793EB2"/>
    <w:rsid w:val="007944D4"/>
    <w:rsid w:val="007944E1"/>
    <w:rsid w:val="00795D94"/>
    <w:rsid w:val="00797073"/>
    <w:rsid w:val="0079719D"/>
    <w:rsid w:val="00797876"/>
    <w:rsid w:val="007978EC"/>
    <w:rsid w:val="007979F2"/>
    <w:rsid w:val="00797EB5"/>
    <w:rsid w:val="007A07D5"/>
    <w:rsid w:val="007A09FD"/>
    <w:rsid w:val="007A0FEE"/>
    <w:rsid w:val="007A1AC9"/>
    <w:rsid w:val="007A1B96"/>
    <w:rsid w:val="007A20FB"/>
    <w:rsid w:val="007A2363"/>
    <w:rsid w:val="007A2E50"/>
    <w:rsid w:val="007A336E"/>
    <w:rsid w:val="007A36D5"/>
    <w:rsid w:val="007A3D52"/>
    <w:rsid w:val="007A4D13"/>
    <w:rsid w:val="007A55FB"/>
    <w:rsid w:val="007A578B"/>
    <w:rsid w:val="007A5918"/>
    <w:rsid w:val="007A5A56"/>
    <w:rsid w:val="007A5E26"/>
    <w:rsid w:val="007A6330"/>
    <w:rsid w:val="007A661E"/>
    <w:rsid w:val="007A6B64"/>
    <w:rsid w:val="007A6BCD"/>
    <w:rsid w:val="007A7255"/>
    <w:rsid w:val="007A7B42"/>
    <w:rsid w:val="007A7DA4"/>
    <w:rsid w:val="007B00F3"/>
    <w:rsid w:val="007B0875"/>
    <w:rsid w:val="007B0B13"/>
    <w:rsid w:val="007B1524"/>
    <w:rsid w:val="007B204B"/>
    <w:rsid w:val="007B22C4"/>
    <w:rsid w:val="007B23E6"/>
    <w:rsid w:val="007B2D1A"/>
    <w:rsid w:val="007B2F58"/>
    <w:rsid w:val="007B357B"/>
    <w:rsid w:val="007B3F42"/>
    <w:rsid w:val="007B4592"/>
    <w:rsid w:val="007B4C2F"/>
    <w:rsid w:val="007B52E5"/>
    <w:rsid w:val="007B5465"/>
    <w:rsid w:val="007B555E"/>
    <w:rsid w:val="007B5B0D"/>
    <w:rsid w:val="007B5CA1"/>
    <w:rsid w:val="007B7319"/>
    <w:rsid w:val="007C01D4"/>
    <w:rsid w:val="007C01DE"/>
    <w:rsid w:val="007C043C"/>
    <w:rsid w:val="007C084C"/>
    <w:rsid w:val="007C0E75"/>
    <w:rsid w:val="007C1896"/>
    <w:rsid w:val="007C2036"/>
    <w:rsid w:val="007C2296"/>
    <w:rsid w:val="007C232B"/>
    <w:rsid w:val="007C2F85"/>
    <w:rsid w:val="007C3209"/>
    <w:rsid w:val="007C326F"/>
    <w:rsid w:val="007C40DB"/>
    <w:rsid w:val="007C44DD"/>
    <w:rsid w:val="007C44F4"/>
    <w:rsid w:val="007C4545"/>
    <w:rsid w:val="007C49DB"/>
    <w:rsid w:val="007C4A4E"/>
    <w:rsid w:val="007C5149"/>
    <w:rsid w:val="007C5E89"/>
    <w:rsid w:val="007C6B36"/>
    <w:rsid w:val="007C6B7D"/>
    <w:rsid w:val="007C7C5B"/>
    <w:rsid w:val="007D03D2"/>
    <w:rsid w:val="007D0EEC"/>
    <w:rsid w:val="007D1BA5"/>
    <w:rsid w:val="007D2A4D"/>
    <w:rsid w:val="007D3965"/>
    <w:rsid w:val="007D3F5C"/>
    <w:rsid w:val="007D4A92"/>
    <w:rsid w:val="007D4F92"/>
    <w:rsid w:val="007D5CBF"/>
    <w:rsid w:val="007D6CA9"/>
    <w:rsid w:val="007D702C"/>
    <w:rsid w:val="007E0518"/>
    <w:rsid w:val="007E10DC"/>
    <w:rsid w:val="007E14E0"/>
    <w:rsid w:val="007E277A"/>
    <w:rsid w:val="007E3998"/>
    <w:rsid w:val="007E3F41"/>
    <w:rsid w:val="007E4736"/>
    <w:rsid w:val="007E531C"/>
    <w:rsid w:val="007E53E7"/>
    <w:rsid w:val="007E566F"/>
    <w:rsid w:val="007E5F4F"/>
    <w:rsid w:val="007E63A5"/>
    <w:rsid w:val="007E7625"/>
    <w:rsid w:val="007E7E15"/>
    <w:rsid w:val="007F010A"/>
    <w:rsid w:val="007F07AC"/>
    <w:rsid w:val="007F1023"/>
    <w:rsid w:val="007F17E6"/>
    <w:rsid w:val="007F1903"/>
    <w:rsid w:val="007F20EE"/>
    <w:rsid w:val="007F2394"/>
    <w:rsid w:val="007F24D7"/>
    <w:rsid w:val="007F3275"/>
    <w:rsid w:val="007F3956"/>
    <w:rsid w:val="007F4CEE"/>
    <w:rsid w:val="007F5B63"/>
    <w:rsid w:val="007F5BC7"/>
    <w:rsid w:val="007F61D6"/>
    <w:rsid w:val="007F65EC"/>
    <w:rsid w:val="007F7121"/>
    <w:rsid w:val="007F7DAB"/>
    <w:rsid w:val="007F7FAB"/>
    <w:rsid w:val="0080174A"/>
    <w:rsid w:val="00802A5D"/>
    <w:rsid w:val="00802E3C"/>
    <w:rsid w:val="008034BE"/>
    <w:rsid w:val="0080354B"/>
    <w:rsid w:val="00804348"/>
    <w:rsid w:val="008053E1"/>
    <w:rsid w:val="008054C2"/>
    <w:rsid w:val="00805A42"/>
    <w:rsid w:val="00806183"/>
    <w:rsid w:val="008061DD"/>
    <w:rsid w:val="008061E8"/>
    <w:rsid w:val="0080680C"/>
    <w:rsid w:val="008071F8"/>
    <w:rsid w:val="00807623"/>
    <w:rsid w:val="0080766D"/>
    <w:rsid w:val="00807B2B"/>
    <w:rsid w:val="008108A1"/>
    <w:rsid w:val="00810B25"/>
    <w:rsid w:val="00811380"/>
    <w:rsid w:val="008129B1"/>
    <w:rsid w:val="008129CA"/>
    <w:rsid w:val="008137AC"/>
    <w:rsid w:val="008138E0"/>
    <w:rsid w:val="008149ED"/>
    <w:rsid w:val="00814EF1"/>
    <w:rsid w:val="00815621"/>
    <w:rsid w:val="008159EF"/>
    <w:rsid w:val="00816532"/>
    <w:rsid w:val="00816563"/>
    <w:rsid w:val="0081665F"/>
    <w:rsid w:val="00817867"/>
    <w:rsid w:val="008206C8"/>
    <w:rsid w:val="008212DA"/>
    <w:rsid w:val="00821A65"/>
    <w:rsid w:val="00822A2A"/>
    <w:rsid w:val="00822F0D"/>
    <w:rsid w:val="00824F6A"/>
    <w:rsid w:val="008252E9"/>
    <w:rsid w:val="008256EE"/>
    <w:rsid w:val="008258D6"/>
    <w:rsid w:val="00826291"/>
    <w:rsid w:val="00826488"/>
    <w:rsid w:val="0083003B"/>
    <w:rsid w:val="00830FA8"/>
    <w:rsid w:val="00831182"/>
    <w:rsid w:val="00831618"/>
    <w:rsid w:val="00831779"/>
    <w:rsid w:val="00831CA6"/>
    <w:rsid w:val="00832392"/>
    <w:rsid w:val="00832C72"/>
    <w:rsid w:val="00834533"/>
    <w:rsid w:val="00835043"/>
    <w:rsid w:val="008351CF"/>
    <w:rsid w:val="008351D3"/>
    <w:rsid w:val="00836006"/>
    <w:rsid w:val="0083745D"/>
    <w:rsid w:val="00837A94"/>
    <w:rsid w:val="00840ACD"/>
    <w:rsid w:val="00840C14"/>
    <w:rsid w:val="00840F71"/>
    <w:rsid w:val="008421CC"/>
    <w:rsid w:val="008424B1"/>
    <w:rsid w:val="00842CFD"/>
    <w:rsid w:val="00844254"/>
    <w:rsid w:val="008443BA"/>
    <w:rsid w:val="008460C8"/>
    <w:rsid w:val="0084613C"/>
    <w:rsid w:val="00847728"/>
    <w:rsid w:val="00847ABB"/>
    <w:rsid w:val="008502AC"/>
    <w:rsid w:val="00850B1A"/>
    <w:rsid w:val="00850BA4"/>
    <w:rsid w:val="008510A1"/>
    <w:rsid w:val="0085118B"/>
    <w:rsid w:val="008513C3"/>
    <w:rsid w:val="008516D3"/>
    <w:rsid w:val="0085206B"/>
    <w:rsid w:val="0085235E"/>
    <w:rsid w:val="00852B38"/>
    <w:rsid w:val="00853437"/>
    <w:rsid w:val="00853BD4"/>
    <w:rsid w:val="00853F9F"/>
    <w:rsid w:val="008540AE"/>
    <w:rsid w:val="008542E1"/>
    <w:rsid w:val="008548DE"/>
    <w:rsid w:val="008549CF"/>
    <w:rsid w:val="00854F4E"/>
    <w:rsid w:val="00855352"/>
    <w:rsid w:val="008556EE"/>
    <w:rsid w:val="00856578"/>
    <w:rsid w:val="00857586"/>
    <w:rsid w:val="008577D3"/>
    <w:rsid w:val="008605AD"/>
    <w:rsid w:val="00860CB9"/>
    <w:rsid w:val="00861C43"/>
    <w:rsid w:val="008629D4"/>
    <w:rsid w:val="00862A0A"/>
    <w:rsid w:val="00862F9D"/>
    <w:rsid w:val="008635C2"/>
    <w:rsid w:val="00863A67"/>
    <w:rsid w:val="00863E06"/>
    <w:rsid w:val="0086524E"/>
    <w:rsid w:val="00865CA4"/>
    <w:rsid w:val="008666F1"/>
    <w:rsid w:val="008668B6"/>
    <w:rsid w:val="00866941"/>
    <w:rsid w:val="0086704F"/>
    <w:rsid w:val="008671ED"/>
    <w:rsid w:val="0086730C"/>
    <w:rsid w:val="00867727"/>
    <w:rsid w:val="00867733"/>
    <w:rsid w:val="00867C79"/>
    <w:rsid w:val="00870357"/>
    <w:rsid w:val="008705DE"/>
    <w:rsid w:val="008707EB"/>
    <w:rsid w:val="00870949"/>
    <w:rsid w:val="00870D3E"/>
    <w:rsid w:val="0087133B"/>
    <w:rsid w:val="00871B80"/>
    <w:rsid w:val="00872192"/>
    <w:rsid w:val="00872286"/>
    <w:rsid w:val="00873A2B"/>
    <w:rsid w:val="0087456E"/>
    <w:rsid w:val="00875433"/>
    <w:rsid w:val="0087558D"/>
    <w:rsid w:val="00876AEC"/>
    <w:rsid w:val="00876EAD"/>
    <w:rsid w:val="008773C4"/>
    <w:rsid w:val="00877916"/>
    <w:rsid w:val="00877A41"/>
    <w:rsid w:val="00880B0B"/>
    <w:rsid w:val="00880B4D"/>
    <w:rsid w:val="00880E74"/>
    <w:rsid w:val="00880F41"/>
    <w:rsid w:val="008814C5"/>
    <w:rsid w:val="008816C0"/>
    <w:rsid w:val="008821A3"/>
    <w:rsid w:val="00882D51"/>
    <w:rsid w:val="008830C4"/>
    <w:rsid w:val="00883F7F"/>
    <w:rsid w:val="008840F0"/>
    <w:rsid w:val="00885197"/>
    <w:rsid w:val="00885902"/>
    <w:rsid w:val="00886971"/>
    <w:rsid w:val="00892110"/>
    <w:rsid w:val="00892148"/>
    <w:rsid w:val="00892214"/>
    <w:rsid w:val="00892BC6"/>
    <w:rsid w:val="008940A7"/>
    <w:rsid w:val="00894D55"/>
    <w:rsid w:val="0089566F"/>
    <w:rsid w:val="00895D05"/>
    <w:rsid w:val="00895D58"/>
    <w:rsid w:val="00896597"/>
    <w:rsid w:val="008966D5"/>
    <w:rsid w:val="008967AF"/>
    <w:rsid w:val="00896AC8"/>
    <w:rsid w:val="00897097"/>
    <w:rsid w:val="0089757F"/>
    <w:rsid w:val="00897B4F"/>
    <w:rsid w:val="00897D8D"/>
    <w:rsid w:val="008A025D"/>
    <w:rsid w:val="008A055A"/>
    <w:rsid w:val="008A0740"/>
    <w:rsid w:val="008A1288"/>
    <w:rsid w:val="008A2225"/>
    <w:rsid w:val="008A2709"/>
    <w:rsid w:val="008A293E"/>
    <w:rsid w:val="008A2944"/>
    <w:rsid w:val="008A2F97"/>
    <w:rsid w:val="008A3086"/>
    <w:rsid w:val="008A389E"/>
    <w:rsid w:val="008A3E05"/>
    <w:rsid w:val="008A4799"/>
    <w:rsid w:val="008A55AA"/>
    <w:rsid w:val="008A672A"/>
    <w:rsid w:val="008A6810"/>
    <w:rsid w:val="008A6DD0"/>
    <w:rsid w:val="008A75F7"/>
    <w:rsid w:val="008A7AA5"/>
    <w:rsid w:val="008A7BDE"/>
    <w:rsid w:val="008A7C1F"/>
    <w:rsid w:val="008B05C8"/>
    <w:rsid w:val="008B08E0"/>
    <w:rsid w:val="008B0F35"/>
    <w:rsid w:val="008B19D9"/>
    <w:rsid w:val="008B1C36"/>
    <w:rsid w:val="008B2A39"/>
    <w:rsid w:val="008B2A8B"/>
    <w:rsid w:val="008B307A"/>
    <w:rsid w:val="008B5203"/>
    <w:rsid w:val="008B5E7B"/>
    <w:rsid w:val="008B69D3"/>
    <w:rsid w:val="008B6B7F"/>
    <w:rsid w:val="008B7FBD"/>
    <w:rsid w:val="008C0462"/>
    <w:rsid w:val="008C06F2"/>
    <w:rsid w:val="008C0800"/>
    <w:rsid w:val="008C0801"/>
    <w:rsid w:val="008C2166"/>
    <w:rsid w:val="008C25FD"/>
    <w:rsid w:val="008C260F"/>
    <w:rsid w:val="008C2E6D"/>
    <w:rsid w:val="008C3152"/>
    <w:rsid w:val="008C37AF"/>
    <w:rsid w:val="008C3ABB"/>
    <w:rsid w:val="008C4151"/>
    <w:rsid w:val="008C5716"/>
    <w:rsid w:val="008C5CF1"/>
    <w:rsid w:val="008C68CF"/>
    <w:rsid w:val="008C7327"/>
    <w:rsid w:val="008C74AF"/>
    <w:rsid w:val="008C7800"/>
    <w:rsid w:val="008C797F"/>
    <w:rsid w:val="008D07D2"/>
    <w:rsid w:val="008D1560"/>
    <w:rsid w:val="008D16C5"/>
    <w:rsid w:val="008D2412"/>
    <w:rsid w:val="008D309A"/>
    <w:rsid w:val="008D35D1"/>
    <w:rsid w:val="008D3999"/>
    <w:rsid w:val="008D40B8"/>
    <w:rsid w:val="008D4887"/>
    <w:rsid w:val="008D6756"/>
    <w:rsid w:val="008D6812"/>
    <w:rsid w:val="008D6915"/>
    <w:rsid w:val="008D7C0E"/>
    <w:rsid w:val="008E2003"/>
    <w:rsid w:val="008E2283"/>
    <w:rsid w:val="008E248D"/>
    <w:rsid w:val="008E2DEB"/>
    <w:rsid w:val="008E2F5F"/>
    <w:rsid w:val="008E3044"/>
    <w:rsid w:val="008E36D4"/>
    <w:rsid w:val="008E399D"/>
    <w:rsid w:val="008E3A8C"/>
    <w:rsid w:val="008E3CC1"/>
    <w:rsid w:val="008E4255"/>
    <w:rsid w:val="008E5536"/>
    <w:rsid w:val="008E5B48"/>
    <w:rsid w:val="008E798C"/>
    <w:rsid w:val="008E7DE4"/>
    <w:rsid w:val="008E7F0F"/>
    <w:rsid w:val="008F06C4"/>
    <w:rsid w:val="008F1A72"/>
    <w:rsid w:val="008F28B1"/>
    <w:rsid w:val="008F3B1D"/>
    <w:rsid w:val="008F4BE2"/>
    <w:rsid w:val="008F4BF0"/>
    <w:rsid w:val="008F4C25"/>
    <w:rsid w:val="008F4E5C"/>
    <w:rsid w:val="008F5023"/>
    <w:rsid w:val="008F5A00"/>
    <w:rsid w:val="008F5FD2"/>
    <w:rsid w:val="008F6482"/>
    <w:rsid w:val="008F673F"/>
    <w:rsid w:val="008F7487"/>
    <w:rsid w:val="00900588"/>
    <w:rsid w:val="0090063A"/>
    <w:rsid w:val="009007C1"/>
    <w:rsid w:val="009008CF"/>
    <w:rsid w:val="00900F4A"/>
    <w:rsid w:val="00901A69"/>
    <w:rsid w:val="00901FE7"/>
    <w:rsid w:val="00902A82"/>
    <w:rsid w:val="00903BE1"/>
    <w:rsid w:val="009056CE"/>
    <w:rsid w:val="00906801"/>
    <w:rsid w:val="00906DC9"/>
    <w:rsid w:val="00907560"/>
    <w:rsid w:val="00907665"/>
    <w:rsid w:val="0091095F"/>
    <w:rsid w:val="00911AE6"/>
    <w:rsid w:val="009120F3"/>
    <w:rsid w:val="00913419"/>
    <w:rsid w:val="009136D3"/>
    <w:rsid w:val="0091440D"/>
    <w:rsid w:val="00914FED"/>
    <w:rsid w:val="00915159"/>
    <w:rsid w:val="00915586"/>
    <w:rsid w:val="0091591C"/>
    <w:rsid w:val="009159AB"/>
    <w:rsid w:val="00915FBB"/>
    <w:rsid w:val="0091642D"/>
    <w:rsid w:val="009164A4"/>
    <w:rsid w:val="0091689C"/>
    <w:rsid w:val="00916BF7"/>
    <w:rsid w:val="00917326"/>
    <w:rsid w:val="00917DB2"/>
    <w:rsid w:val="009200AD"/>
    <w:rsid w:val="00920371"/>
    <w:rsid w:val="0092086B"/>
    <w:rsid w:val="0092091B"/>
    <w:rsid w:val="0092094F"/>
    <w:rsid w:val="00920E9A"/>
    <w:rsid w:val="0092108E"/>
    <w:rsid w:val="009216E1"/>
    <w:rsid w:val="0092194B"/>
    <w:rsid w:val="00921BD9"/>
    <w:rsid w:val="00922266"/>
    <w:rsid w:val="009222F7"/>
    <w:rsid w:val="009232E9"/>
    <w:rsid w:val="00923E06"/>
    <w:rsid w:val="00923EC5"/>
    <w:rsid w:val="00923FDB"/>
    <w:rsid w:val="009242B6"/>
    <w:rsid w:val="00924A67"/>
    <w:rsid w:val="00925060"/>
    <w:rsid w:val="009259F1"/>
    <w:rsid w:val="00925E9B"/>
    <w:rsid w:val="0092757B"/>
    <w:rsid w:val="009275D4"/>
    <w:rsid w:val="00927794"/>
    <w:rsid w:val="00927E12"/>
    <w:rsid w:val="009307CE"/>
    <w:rsid w:val="009312AF"/>
    <w:rsid w:val="009318E9"/>
    <w:rsid w:val="00931E55"/>
    <w:rsid w:val="00932B52"/>
    <w:rsid w:val="00932BB5"/>
    <w:rsid w:val="0093398E"/>
    <w:rsid w:val="00933AA9"/>
    <w:rsid w:val="00933EFD"/>
    <w:rsid w:val="0093422E"/>
    <w:rsid w:val="00935262"/>
    <w:rsid w:val="00937387"/>
    <w:rsid w:val="00937C21"/>
    <w:rsid w:val="009403CD"/>
    <w:rsid w:val="00940BA7"/>
    <w:rsid w:val="00940D88"/>
    <w:rsid w:val="0094121F"/>
    <w:rsid w:val="00941BBF"/>
    <w:rsid w:val="00941C2D"/>
    <w:rsid w:val="00941C59"/>
    <w:rsid w:val="00942443"/>
    <w:rsid w:val="00942711"/>
    <w:rsid w:val="00942989"/>
    <w:rsid w:val="0094317B"/>
    <w:rsid w:val="009442BC"/>
    <w:rsid w:val="00944A49"/>
    <w:rsid w:val="00944E28"/>
    <w:rsid w:val="00944FDC"/>
    <w:rsid w:val="00945861"/>
    <w:rsid w:val="00945A7B"/>
    <w:rsid w:val="00945D98"/>
    <w:rsid w:val="0094708D"/>
    <w:rsid w:val="00947127"/>
    <w:rsid w:val="009477A4"/>
    <w:rsid w:val="009479A4"/>
    <w:rsid w:val="00951CF8"/>
    <w:rsid w:val="009521EA"/>
    <w:rsid w:val="00953533"/>
    <w:rsid w:val="00953BF5"/>
    <w:rsid w:val="00954E34"/>
    <w:rsid w:val="00954EDB"/>
    <w:rsid w:val="00954FC4"/>
    <w:rsid w:val="00955CD2"/>
    <w:rsid w:val="0095600E"/>
    <w:rsid w:val="00956ACD"/>
    <w:rsid w:val="00957020"/>
    <w:rsid w:val="009571C0"/>
    <w:rsid w:val="009573B3"/>
    <w:rsid w:val="00957B32"/>
    <w:rsid w:val="00957F9E"/>
    <w:rsid w:val="009619BC"/>
    <w:rsid w:val="00962793"/>
    <w:rsid w:val="00963B99"/>
    <w:rsid w:val="00964389"/>
    <w:rsid w:val="0096455F"/>
    <w:rsid w:val="009647E5"/>
    <w:rsid w:val="00965531"/>
    <w:rsid w:val="0096579A"/>
    <w:rsid w:val="00965AF5"/>
    <w:rsid w:val="00966058"/>
    <w:rsid w:val="00966072"/>
    <w:rsid w:val="009665E1"/>
    <w:rsid w:val="00966981"/>
    <w:rsid w:val="00966F11"/>
    <w:rsid w:val="00966F9C"/>
    <w:rsid w:val="00967045"/>
    <w:rsid w:val="00967232"/>
    <w:rsid w:val="00967BE9"/>
    <w:rsid w:val="009703BA"/>
    <w:rsid w:val="009707E0"/>
    <w:rsid w:val="00970F3D"/>
    <w:rsid w:val="00971979"/>
    <w:rsid w:val="009719F0"/>
    <w:rsid w:val="00971F7A"/>
    <w:rsid w:val="00973E35"/>
    <w:rsid w:val="00973FAC"/>
    <w:rsid w:val="00974300"/>
    <w:rsid w:val="00975AC4"/>
    <w:rsid w:val="0097600C"/>
    <w:rsid w:val="00976A10"/>
    <w:rsid w:val="00976A61"/>
    <w:rsid w:val="00977716"/>
    <w:rsid w:val="009801CE"/>
    <w:rsid w:val="0098082C"/>
    <w:rsid w:val="009810F7"/>
    <w:rsid w:val="0098196F"/>
    <w:rsid w:val="00981B80"/>
    <w:rsid w:val="00982099"/>
    <w:rsid w:val="00982598"/>
    <w:rsid w:val="00982610"/>
    <w:rsid w:val="009831CF"/>
    <w:rsid w:val="009834C9"/>
    <w:rsid w:val="009836C2"/>
    <w:rsid w:val="009836EA"/>
    <w:rsid w:val="00983AB0"/>
    <w:rsid w:val="00984132"/>
    <w:rsid w:val="009841A4"/>
    <w:rsid w:val="00984308"/>
    <w:rsid w:val="0098503F"/>
    <w:rsid w:val="00985446"/>
    <w:rsid w:val="0098575B"/>
    <w:rsid w:val="009858EE"/>
    <w:rsid w:val="00985C1E"/>
    <w:rsid w:val="009863BC"/>
    <w:rsid w:val="00986AC6"/>
    <w:rsid w:val="00986D34"/>
    <w:rsid w:val="00986E1B"/>
    <w:rsid w:val="00987BAC"/>
    <w:rsid w:val="00987EE0"/>
    <w:rsid w:val="0099009E"/>
    <w:rsid w:val="009909EC"/>
    <w:rsid w:val="00990D6F"/>
    <w:rsid w:val="00990E91"/>
    <w:rsid w:val="00990F53"/>
    <w:rsid w:val="00991B21"/>
    <w:rsid w:val="00991CA1"/>
    <w:rsid w:val="009925A7"/>
    <w:rsid w:val="00992B21"/>
    <w:rsid w:val="009940CA"/>
    <w:rsid w:val="00994244"/>
    <w:rsid w:val="00994450"/>
    <w:rsid w:val="00994C0A"/>
    <w:rsid w:val="009951C8"/>
    <w:rsid w:val="00995BD3"/>
    <w:rsid w:val="00996770"/>
    <w:rsid w:val="00997861"/>
    <w:rsid w:val="00997976"/>
    <w:rsid w:val="00997F0C"/>
    <w:rsid w:val="009A0384"/>
    <w:rsid w:val="009A0E20"/>
    <w:rsid w:val="009A133D"/>
    <w:rsid w:val="009A14BF"/>
    <w:rsid w:val="009A1A4D"/>
    <w:rsid w:val="009A1D31"/>
    <w:rsid w:val="009A279B"/>
    <w:rsid w:val="009A3108"/>
    <w:rsid w:val="009A389B"/>
    <w:rsid w:val="009A4166"/>
    <w:rsid w:val="009A466A"/>
    <w:rsid w:val="009A47C6"/>
    <w:rsid w:val="009A48BF"/>
    <w:rsid w:val="009A52D9"/>
    <w:rsid w:val="009A546B"/>
    <w:rsid w:val="009A6E00"/>
    <w:rsid w:val="009B019F"/>
    <w:rsid w:val="009B15D8"/>
    <w:rsid w:val="009B16F2"/>
    <w:rsid w:val="009B1869"/>
    <w:rsid w:val="009B1872"/>
    <w:rsid w:val="009B203A"/>
    <w:rsid w:val="009B294C"/>
    <w:rsid w:val="009B2AB0"/>
    <w:rsid w:val="009B2C16"/>
    <w:rsid w:val="009B2D68"/>
    <w:rsid w:val="009B3294"/>
    <w:rsid w:val="009B346C"/>
    <w:rsid w:val="009B3C61"/>
    <w:rsid w:val="009B4AA0"/>
    <w:rsid w:val="009B6555"/>
    <w:rsid w:val="009B6F8D"/>
    <w:rsid w:val="009B7496"/>
    <w:rsid w:val="009B749C"/>
    <w:rsid w:val="009C06C2"/>
    <w:rsid w:val="009C0FA0"/>
    <w:rsid w:val="009C17A5"/>
    <w:rsid w:val="009C1B91"/>
    <w:rsid w:val="009C1BC7"/>
    <w:rsid w:val="009C1E3B"/>
    <w:rsid w:val="009C2269"/>
    <w:rsid w:val="009C2478"/>
    <w:rsid w:val="009C3612"/>
    <w:rsid w:val="009C38F6"/>
    <w:rsid w:val="009C4080"/>
    <w:rsid w:val="009C4AFC"/>
    <w:rsid w:val="009C4C31"/>
    <w:rsid w:val="009C4D00"/>
    <w:rsid w:val="009C4E2B"/>
    <w:rsid w:val="009C5553"/>
    <w:rsid w:val="009C5568"/>
    <w:rsid w:val="009C57D1"/>
    <w:rsid w:val="009C66F2"/>
    <w:rsid w:val="009C693B"/>
    <w:rsid w:val="009C73F1"/>
    <w:rsid w:val="009C7596"/>
    <w:rsid w:val="009C7927"/>
    <w:rsid w:val="009C7DF3"/>
    <w:rsid w:val="009D0046"/>
    <w:rsid w:val="009D08B0"/>
    <w:rsid w:val="009D12C4"/>
    <w:rsid w:val="009D135A"/>
    <w:rsid w:val="009D1D9B"/>
    <w:rsid w:val="009D23F1"/>
    <w:rsid w:val="009D2423"/>
    <w:rsid w:val="009D28B8"/>
    <w:rsid w:val="009D3355"/>
    <w:rsid w:val="009D3503"/>
    <w:rsid w:val="009D3BC4"/>
    <w:rsid w:val="009D3EBF"/>
    <w:rsid w:val="009D40CC"/>
    <w:rsid w:val="009D4758"/>
    <w:rsid w:val="009D48D9"/>
    <w:rsid w:val="009D4CA6"/>
    <w:rsid w:val="009D4D54"/>
    <w:rsid w:val="009D529D"/>
    <w:rsid w:val="009D5440"/>
    <w:rsid w:val="009D5582"/>
    <w:rsid w:val="009D56D5"/>
    <w:rsid w:val="009D5EA0"/>
    <w:rsid w:val="009D5EB7"/>
    <w:rsid w:val="009D627F"/>
    <w:rsid w:val="009D6301"/>
    <w:rsid w:val="009D6E59"/>
    <w:rsid w:val="009D70B0"/>
    <w:rsid w:val="009D751D"/>
    <w:rsid w:val="009E037A"/>
    <w:rsid w:val="009E10D7"/>
    <w:rsid w:val="009E1ED8"/>
    <w:rsid w:val="009E256F"/>
    <w:rsid w:val="009E2741"/>
    <w:rsid w:val="009E2B12"/>
    <w:rsid w:val="009E2F6F"/>
    <w:rsid w:val="009E2FA2"/>
    <w:rsid w:val="009E3089"/>
    <w:rsid w:val="009E3901"/>
    <w:rsid w:val="009E4183"/>
    <w:rsid w:val="009E4A35"/>
    <w:rsid w:val="009E4BB8"/>
    <w:rsid w:val="009E4D46"/>
    <w:rsid w:val="009E6027"/>
    <w:rsid w:val="009E6647"/>
    <w:rsid w:val="009E6C5B"/>
    <w:rsid w:val="009E6CE1"/>
    <w:rsid w:val="009E6DA5"/>
    <w:rsid w:val="009E6F39"/>
    <w:rsid w:val="009E737A"/>
    <w:rsid w:val="009E78F3"/>
    <w:rsid w:val="009E7AA1"/>
    <w:rsid w:val="009F0418"/>
    <w:rsid w:val="009F08F3"/>
    <w:rsid w:val="009F0B05"/>
    <w:rsid w:val="009F0DFB"/>
    <w:rsid w:val="009F0E03"/>
    <w:rsid w:val="009F0F49"/>
    <w:rsid w:val="009F12BC"/>
    <w:rsid w:val="009F1D29"/>
    <w:rsid w:val="009F3184"/>
    <w:rsid w:val="009F353A"/>
    <w:rsid w:val="009F3E01"/>
    <w:rsid w:val="009F404A"/>
    <w:rsid w:val="009F449A"/>
    <w:rsid w:val="009F4FBC"/>
    <w:rsid w:val="009F53AD"/>
    <w:rsid w:val="009F5FA0"/>
    <w:rsid w:val="009F7410"/>
    <w:rsid w:val="009F7584"/>
    <w:rsid w:val="00A0011D"/>
    <w:rsid w:val="00A0049A"/>
    <w:rsid w:val="00A00D03"/>
    <w:rsid w:val="00A0178B"/>
    <w:rsid w:val="00A01DDD"/>
    <w:rsid w:val="00A01F99"/>
    <w:rsid w:val="00A02C5D"/>
    <w:rsid w:val="00A030A1"/>
    <w:rsid w:val="00A031C7"/>
    <w:rsid w:val="00A03A25"/>
    <w:rsid w:val="00A054FE"/>
    <w:rsid w:val="00A05C2E"/>
    <w:rsid w:val="00A1026A"/>
    <w:rsid w:val="00A10B04"/>
    <w:rsid w:val="00A10EDB"/>
    <w:rsid w:val="00A12382"/>
    <w:rsid w:val="00A12773"/>
    <w:rsid w:val="00A12B84"/>
    <w:rsid w:val="00A12BAB"/>
    <w:rsid w:val="00A134B3"/>
    <w:rsid w:val="00A13C31"/>
    <w:rsid w:val="00A13CA3"/>
    <w:rsid w:val="00A13E88"/>
    <w:rsid w:val="00A13F79"/>
    <w:rsid w:val="00A1559A"/>
    <w:rsid w:val="00A15D8D"/>
    <w:rsid w:val="00A164E5"/>
    <w:rsid w:val="00A16567"/>
    <w:rsid w:val="00A16854"/>
    <w:rsid w:val="00A16EEF"/>
    <w:rsid w:val="00A17469"/>
    <w:rsid w:val="00A17841"/>
    <w:rsid w:val="00A17878"/>
    <w:rsid w:val="00A1790F"/>
    <w:rsid w:val="00A179A4"/>
    <w:rsid w:val="00A17AB9"/>
    <w:rsid w:val="00A17E2F"/>
    <w:rsid w:val="00A17F39"/>
    <w:rsid w:val="00A20515"/>
    <w:rsid w:val="00A20CC4"/>
    <w:rsid w:val="00A21020"/>
    <w:rsid w:val="00A2176C"/>
    <w:rsid w:val="00A2198B"/>
    <w:rsid w:val="00A2278E"/>
    <w:rsid w:val="00A228FF"/>
    <w:rsid w:val="00A22F72"/>
    <w:rsid w:val="00A23BE5"/>
    <w:rsid w:val="00A2449F"/>
    <w:rsid w:val="00A2482A"/>
    <w:rsid w:val="00A25034"/>
    <w:rsid w:val="00A26003"/>
    <w:rsid w:val="00A2637A"/>
    <w:rsid w:val="00A26489"/>
    <w:rsid w:val="00A277D4"/>
    <w:rsid w:val="00A27B94"/>
    <w:rsid w:val="00A30E39"/>
    <w:rsid w:val="00A30F6E"/>
    <w:rsid w:val="00A31A52"/>
    <w:rsid w:val="00A32C80"/>
    <w:rsid w:val="00A3323F"/>
    <w:rsid w:val="00A33290"/>
    <w:rsid w:val="00A333A4"/>
    <w:rsid w:val="00A3425A"/>
    <w:rsid w:val="00A34B18"/>
    <w:rsid w:val="00A35DB2"/>
    <w:rsid w:val="00A35F54"/>
    <w:rsid w:val="00A36439"/>
    <w:rsid w:val="00A3692C"/>
    <w:rsid w:val="00A36BFE"/>
    <w:rsid w:val="00A36EBD"/>
    <w:rsid w:val="00A375A5"/>
    <w:rsid w:val="00A376E6"/>
    <w:rsid w:val="00A37FAB"/>
    <w:rsid w:val="00A40312"/>
    <w:rsid w:val="00A40D92"/>
    <w:rsid w:val="00A40F1F"/>
    <w:rsid w:val="00A4134D"/>
    <w:rsid w:val="00A41B3D"/>
    <w:rsid w:val="00A420A7"/>
    <w:rsid w:val="00A42593"/>
    <w:rsid w:val="00A426BE"/>
    <w:rsid w:val="00A426D7"/>
    <w:rsid w:val="00A4366A"/>
    <w:rsid w:val="00A446D9"/>
    <w:rsid w:val="00A44732"/>
    <w:rsid w:val="00A452F8"/>
    <w:rsid w:val="00A45333"/>
    <w:rsid w:val="00A45659"/>
    <w:rsid w:val="00A459DC"/>
    <w:rsid w:val="00A47E6A"/>
    <w:rsid w:val="00A508C0"/>
    <w:rsid w:val="00A51A2F"/>
    <w:rsid w:val="00A52828"/>
    <w:rsid w:val="00A52850"/>
    <w:rsid w:val="00A52C74"/>
    <w:rsid w:val="00A5341A"/>
    <w:rsid w:val="00A54256"/>
    <w:rsid w:val="00A556C4"/>
    <w:rsid w:val="00A55B0B"/>
    <w:rsid w:val="00A55BF0"/>
    <w:rsid w:val="00A56F97"/>
    <w:rsid w:val="00A5727F"/>
    <w:rsid w:val="00A57E8D"/>
    <w:rsid w:val="00A601FD"/>
    <w:rsid w:val="00A60E74"/>
    <w:rsid w:val="00A60F6E"/>
    <w:rsid w:val="00A6127B"/>
    <w:rsid w:val="00A61887"/>
    <w:rsid w:val="00A61A56"/>
    <w:rsid w:val="00A6269B"/>
    <w:rsid w:val="00A637B8"/>
    <w:rsid w:val="00A639C0"/>
    <w:rsid w:val="00A6431B"/>
    <w:rsid w:val="00A64406"/>
    <w:rsid w:val="00A648FC"/>
    <w:rsid w:val="00A64E82"/>
    <w:rsid w:val="00A650E9"/>
    <w:rsid w:val="00A6577B"/>
    <w:rsid w:val="00A65B79"/>
    <w:rsid w:val="00A65C2F"/>
    <w:rsid w:val="00A666DE"/>
    <w:rsid w:val="00A66D52"/>
    <w:rsid w:val="00A66F90"/>
    <w:rsid w:val="00A671C4"/>
    <w:rsid w:val="00A677C4"/>
    <w:rsid w:val="00A70C21"/>
    <w:rsid w:val="00A70C56"/>
    <w:rsid w:val="00A715EF"/>
    <w:rsid w:val="00A71A8D"/>
    <w:rsid w:val="00A71B66"/>
    <w:rsid w:val="00A7314D"/>
    <w:rsid w:val="00A73220"/>
    <w:rsid w:val="00A73316"/>
    <w:rsid w:val="00A73770"/>
    <w:rsid w:val="00A73D5A"/>
    <w:rsid w:val="00A741E0"/>
    <w:rsid w:val="00A742A6"/>
    <w:rsid w:val="00A74706"/>
    <w:rsid w:val="00A74903"/>
    <w:rsid w:val="00A74954"/>
    <w:rsid w:val="00A74AA9"/>
    <w:rsid w:val="00A74AB7"/>
    <w:rsid w:val="00A74B1E"/>
    <w:rsid w:val="00A7523E"/>
    <w:rsid w:val="00A754AA"/>
    <w:rsid w:val="00A75562"/>
    <w:rsid w:val="00A756C0"/>
    <w:rsid w:val="00A759F9"/>
    <w:rsid w:val="00A76995"/>
    <w:rsid w:val="00A769BB"/>
    <w:rsid w:val="00A76BF4"/>
    <w:rsid w:val="00A76F56"/>
    <w:rsid w:val="00A77738"/>
    <w:rsid w:val="00A77A38"/>
    <w:rsid w:val="00A77A6E"/>
    <w:rsid w:val="00A77FAA"/>
    <w:rsid w:val="00A80407"/>
    <w:rsid w:val="00A80631"/>
    <w:rsid w:val="00A80703"/>
    <w:rsid w:val="00A810FC"/>
    <w:rsid w:val="00A812E3"/>
    <w:rsid w:val="00A822BC"/>
    <w:rsid w:val="00A833EA"/>
    <w:rsid w:val="00A83530"/>
    <w:rsid w:val="00A83AEF"/>
    <w:rsid w:val="00A8404C"/>
    <w:rsid w:val="00A84120"/>
    <w:rsid w:val="00A848FF"/>
    <w:rsid w:val="00A84E6E"/>
    <w:rsid w:val="00A854A8"/>
    <w:rsid w:val="00A855D7"/>
    <w:rsid w:val="00A85C20"/>
    <w:rsid w:val="00A86057"/>
    <w:rsid w:val="00A86311"/>
    <w:rsid w:val="00A8789A"/>
    <w:rsid w:val="00A879F2"/>
    <w:rsid w:val="00A87A8D"/>
    <w:rsid w:val="00A87CC3"/>
    <w:rsid w:val="00A87F93"/>
    <w:rsid w:val="00A90B73"/>
    <w:rsid w:val="00A90E40"/>
    <w:rsid w:val="00A925CC"/>
    <w:rsid w:val="00A92852"/>
    <w:rsid w:val="00A92CF6"/>
    <w:rsid w:val="00A92DCB"/>
    <w:rsid w:val="00A93DB2"/>
    <w:rsid w:val="00A959DE"/>
    <w:rsid w:val="00A974B8"/>
    <w:rsid w:val="00A97783"/>
    <w:rsid w:val="00AA1070"/>
    <w:rsid w:val="00AA1B5C"/>
    <w:rsid w:val="00AA4E80"/>
    <w:rsid w:val="00AA5486"/>
    <w:rsid w:val="00AA5CED"/>
    <w:rsid w:val="00AA5DB0"/>
    <w:rsid w:val="00AA5EC9"/>
    <w:rsid w:val="00AA6032"/>
    <w:rsid w:val="00AA712A"/>
    <w:rsid w:val="00AA7AB1"/>
    <w:rsid w:val="00AB027A"/>
    <w:rsid w:val="00AB0667"/>
    <w:rsid w:val="00AB066D"/>
    <w:rsid w:val="00AB1215"/>
    <w:rsid w:val="00AB17A4"/>
    <w:rsid w:val="00AB1BC4"/>
    <w:rsid w:val="00AB20B2"/>
    <w:rsid w:val="00AB2DA2"/>
    <w:rsid w:val="00AB314B"/>
    <w:rsid w:val="00AB3882"/>
    <w:rsid w:val="00AB4155"/>
    <w:rsid w:val="00AB49CF"/>
    <w:rsid w:val="00AB4EC7"/>
    <w:rsid w:val="00AB5625"/>
    <w:rsid w:val="00AB577F"/>
    <w:rsid w:val="00AB5B0D"/>
    <w:rsid w:val="00AB6F22"/>
    <w:rsid w:val="00AB6FB1"/>
    <w:rsid w:val="00AB74B7"/>
    <w:rsid w:val="00AB75CA"/>
    <w:rsid w:val="00AC0306"/>
    <w:rsid w:val="00AC07E6"/>
    <w:rsid w:val="00AC1BFA"/>
    <w:rsid w:val="00AC1E29"/>
    <w:rsid w:val="00AC1FEC"/>
    <w:rsid w:val="00AC274C"/>
    <w:rsid w:val="00AC2D00"/>
    <w:rsid w:val="00AC42A0"/>
    <w:rsid w:val="00AC43B8"/>
    <w:rsid w:val="00AC4C89"/>
    <w:rsid w:val="00AC5549"/>
    <w:rsid w:val="00AC5D82"/>
    <w:rsid w:val="00AC651F"/>
    <w:rsid w:val="00AC6588"/>
    <w:rsid w:val="00AC6FE7"/>
    <w:rsid w:val="00AC761E"/>
    <w:rsid w:val="00AC7B3B"/>
    <w:rsid w:val="00AC7D1E"/>
    <w:rsid w:val="00AD0309"/>
    <w:rsid w:val="00AD06CF"/>
    <w:rsid w:val="00AD0FBE"/>
    <w:rsid w:val="00AD13BA"/>
    <w:rsid w:val="00AD1F1A"/>
    <w:rsid w:val="00AD2210"/>
    <w:rsid w:val="00AD241D"/>
    <w:rsid w:val="00AD27BD"/>
    <w:rsid w:val="00AD363D"/>
    <w:rsid w:val="00AD3FF1"/>
    <w:rsid w:val="00AD43A9"/>
    <w:rsid w:val="00AD4B70"/>
    <w:rsid w:val="00AD4BF1"/>
    <w:rsid w:val="00AD4DBA"/>
    <w:rsid w:val="00AD5335"/>
    <w:rsid w:val="00AD5408"/>
    <w:rsid w:val="00AD5411"/>
    <w:rsid w:val="00AD55F9"/>
    <w:rsid w:val="00AD5631"/>
    <w:rsid w:val="00AD63B6"/>
    <w:rsid w:val="00AD6403"/>
    <w:rsid w:val="00AD6A6E"/>
    <w:rsid w:val="00AD6BE7"/>
    <w:rsid w:val="00AD70B4"/>
    <w:rsid w:val="00AD74ED"/>
    <w:rsid w:val="00AD7823"/>
    <w:rsid w:val="00AD7BAD"/>
    <w:rsid w:val="00AE0C33"/>
    <w:rsid w:val="00AE0E53"/>
    <w:rsid w:val="00AE0F84"/>
    <w:rsid w:val="00AE1BA6"/>
    <w:rsid w:val="00AE2487"/>
    <w:rsid w:val="00AE293E"/>
    <w:rsid w:val="00AE2D0A"/>
    <w:rsid w:val="00AE2F10"/>
    <w:rsid w:val="00AE4B51"/>
    <w:rsid w:val="00AE52D8"/>
    <w:rsid w:val="00AE54AF"/>
    <w:rsid w:val="00AE5709"/>
    <w:rsid w:val="00AE575F"/>
    <w:rsid w:val="00AE5C77"/>
    <w:rsid w:val="00AE6AE0"/>
    <w:rsid w:val="00AE6BE9"/>
    <w:rsid w:val="00AE6CD2"/>
    <w:rsid w:val="00AE6E64"/>
    <w:rsid w:val="00AE7D6E"/>
    <w:rsid w:val="00AF07DF"/>
    <w:rsid w:val="00AF0F8B"/>
    <w:rsid w:val="00AF11E1"/>
    <w:rsid w:val="00AF148C"/>
    <w:rsid w:val="00AF2C21"/>
    <w:rsid w:val="00AF30CB"/>
    <w:rsid w:val="00AF30CE"/>
    <w:rsid w:val="00AF335D"/>
    <w:rsid w:val="00AF341D"/>
    <w:rsid w:val="00AF3515"/>
    <w:rsid w:val="00AF36B0"/>
    <w:rsid w:val="00AF417F"/>
    <w:rsid w:val="00AF4A40"/>
    <w:rsid w:val="00AF4F0C"/>
    <w:rsid w:val="00AF5756"/>
    <w:rsid w:val="00AF5A9D"/>
    <w:rsid w:val="00AF5DB9"/>
    <w:rsid w:val="00AF68D0"/>
    <w:rsid w:val="00AF7380"/>
    <w:rsid w:val="00B01144"/>
    <w:rsid w:val="00B0226B"/>
    <w:rsid w:val="00B022C0"/>
    <w:rsid w:val="00B02953"/>
    <w:rsid w:val="00B02A92"/>
    <w:rsid w:val="00B02CA2"/>
    <w:rsid w:val="00B032BD"/>
    <w:rsid w:val="00B03E27"/>
    <w:rsid w:val="00B04137"/>
    <w:rsid w:val="00B041D6"/>
    <w:rsid w:val="00B0421F"/>
    <w:rsid w:val="00B047FB"/>
    <w:rsid w:val="00B04F1A"/>
    <w:rsid w:val="00B0550F"/>
    <w:rsid w:val="00B05A32"/>
    <w:rsid w:val="00B05E61"/>
    <w:rsid w:val="00B06635"/>
    <w:rsid w:val="00B06A0F"/>
    <w:rsid w:val="00B07E01"/>
    <w:rsid w:val="00B104DB"/>
    <w:rsid w:val="00B10FBD"/>
    <w:rsid w:val="00B110ED"/>
    <w:rsid w:val="00B1139D"/>
    <w:rsid w:val="00B119B2"/>
    <w:rsid w:val="00B11D4A"/>
    <w:rsid w:val="00B12A27"/>
    <w:rsid w:val="00B1323D"/>
    <w:rsid w:val="00B16ACE"/>
    <w:rsid w:val="00B17528"/>
    <w:rsid w:val="00B207C4"/>
    <w:rsid w:val="00B20922"/>
    <w:rsid w:val="00B20D23"/>
    <w:rsid w:val="00B216AE"/>
    <w:rsid w:val="00B21E9B"/>
    <w:rsid w:val="00B224C3"/>
    <w:rsid w:val="00B23F50"/>
    <w:rsid w:val="00B24A47"/>
    <w:rsid w:val="00B24C4A"/>
    <w:rsid w:val="00B24C71"/>
    <w:rsid w:val="00B24E8B"/>
    <w:rsid w:val="00B25D1B"/>
    <w:rsid w:val="00B25E4D"/>
    <w:rsid w:val="00B2617F"/>
    <w:rsid w:val="00B2627D"/>
    <w:rsid w:val="00B269B0"/>
    <w:rsid w:val="00B31DC7"/>
    <w:rsid w:val="00B3236B"/>
    <w:rsid w:val="00B3298F"/>
    <w:rsid w:val="00B32B12"/>
    <w:rsid w:val="00B32FE3"/>
    <w:rsid w:val="00B3368B"/>
    <w:rsid w:val="00B342F0"/>
    <w:rsid w:val="00B34792"/>
    <w:rsid w:val="00B34D00"/>
    <w:rsid w:val="00B34DA2"/>
    <w:rsid w:val="00B34F48"/>
    <w:rsid w:val="00B35353"/>
    <w:rsid w:val="00B35C90"/>
    <w:rsid w:val="00B35E48"/>
    <w:rsid w:val="00B36700"/>
    <w:rsid w:val="00B370E0"/>
    <w:rsid w:val="00B3714F"/>
    <w:rsid w:val="00B37D60"/>
    <w:rsid w:val="00B40311"/>
    <w:rsid w:val="00B40D5F"/>
    <w:rsid w:val="00B418D9"/>
    <w:rsid w:val="00B42BA5"/>
    <w:rsid w:val="00B43005"/>
    <w:rsid w:val="00B43571"/>
    <w:rsid w:val="00B438A6"/>
    <w:rsid w:val="00B439DC"/>
    <w:rsid w:val="00B43F35"/>
    <w:rsid w:val="00B441F0"/>
    <w:rsid w:val="00B44344"/>
    <w:rsid w:val="00B44DC3"/>
    <w:rsid w:val="00B45161"/>
    <w:rsid w:val="00B46168"/>
    <w:rsid w:val="00B465C6"/>
    <w:rsid w:val="00B46806"/>
    <w:rsid w:val="00B47095"/>
    <w:rsid w:val="00B471FD"/>
    <w:rsid w:val="00B479D8"/>
    <w:rsid w:val="00B47CDB"/>
    <w:rsid w:val="00B500C1"/>
    <w:rsid w:val="00B5062E"/>
    <w:rsid w:val="00B50FD4"/>
    <w:rsid w:val="00B51218"/>
    <w:rsid w:val="00B51773"/>
    <w:rsid w:val="00B520CA"/>
    <w:rsid w:val="00B5234A"/>
    <w:rsid w:val="00B5465A"/>
    <w:rsid w:val="00B548EA"/>
    <w:rsid w:val="00B54B41"/>
    <w:rsid w:val="00B57256"/>
    <w:rsid w:val="00B572A2"/>
    <w:rsid w:val="00B574C7"/>
    <w:rsid w:val="00B57871"/>
    <w:rsid w:val="00B60224"/>
    <w:rsid w:val="00B6115F"/>
    <w:rsid w:val="00B614B4"/>
    <w:rsid w:val="00B61AD0"/>
    <w:rsid w:val="00B62C29"/>
    <w:rsid w:val="00B62D9A"/>
    <w:rsid w:val="00B63B55"/>
    <w:rsid w:val="00B644E4"/>
    <w:rsid w:val="00B645E0"/>
    <w:rsid w:val="00B647C8"/>
    <w:rsid w:val="00B64DB1"/>
    <w:rsid w:val="00B650AA"/>
    <w:rsid w:val="00B6518C"/>
    <w:rsid w:val="00B65919"/>
    <w:rsid w:val="00B660C2"/>
    <w:rsid w:val="00B66725"/>
    <w:rsid w:val="00B66814"/>
    <w:rsid w:val="00B66BF5"/>
    <w:rsid w:val="00B674EF"/>
    <w:rsid w:val="00B6758B"/>
    <w:rsid w:val="00B677A6"/>
    <w:rsid w:val="00B67FAC"/>
    <w:rsid w:val="00B70481"/>
    <w:rsid w:val="00B708AD"/>
    <w:rsid w:val="00B715D7"/>
    <w:rsid w:val="00B717D8"/>
    <w:rsid w:val="00B71D71"/>
    <w:rsid w:val="00B72179"/>
    <w:rsid w:val="00B7219C"/>
    <w:rsid w:val="00B72BE4"/>
    <w:rsid w:val="00B73881"/>
    <w:rsid w:val="00B738B6"/>
    <w:rsid w:val="00B73DE9"/>
    <w:rsid w:val="00B741C4"/>
    <w:rsid w:val="00B7453F"/>
    <w:rsid w:val="00B7457B"/>
    <w:rsid w:val="00B75B86"/>
    <w:rsid w:val="00B75DF2"/>
    <w:rsid w:val="00B75E61"/>
    <w:rsid w:val="00B760A8"/>
    <w:rsid w:val="00B761BB"/>
    <w:rsid w:val="00B76227"/>
    <w:rsid w:val="00B762B5"/>
    <w:rsid w:val="00B76396"/>
    <w:rsid w:val="00B7674C"/>
    <w:rsid w:val="00B777A9"/>
    <w:rsid w:val="00B77856"/>
    <w:rsid w:val="00B807FD"/>
    <w:rsid w:val="00B80E1B"/>
    <w:rsid w:val="00B810BE"/>
    <w:rsid w:val="00B81CC6"/>
    <w:rsid w:val="00B82F02"/>
    <w:rsid w:val="00B83FD4"/>
    <w:rsid w:val="00B84AEF"/>
    <w:rsid w:val="00B85330"/>
    <w:rsid w:val="00B85657"/>
    <w:rsid w:val="00B86A46"/>
    <w:rsid w:val="00B86D8A"/>
    <w:rsid w:val="00B87AF6"/>
    <w:rsid w:val="00B90571"/>
    <w:rsid w:val="00B90F62"/>
    <w:rsid w:val="00B913B6"/>
    <w:rsid w:val="00B91A93"/>
    <w:rsid w:val="00B91C3F"/>
    <w:rsid w:val="00B920A1"/>
    <w:rsid w:val="00B92418"/>
    <w:rsid w:val="00B925E6"/>
    <w:rsid w:val="00B92EBE"/>
    <w:rsid w:val="00B9345C"/>
    <w:rsid w:val="00B93645"/>
    <w:rsid w:val="00B93687"/>
    <w:rsid w:val="00B9468F"/>
    <w:rsid w:val="00B94838"/>
    <w:rsid w:val="00B94916"/>
    <w:rsid w:val="00B95A2D"/>
    <w:rsid w:val="00B96028"/>
    <w:rsid w:val="00B9679C"/>
    <w:rsid w:val="00B970A5"/>
    <w:rsid w:val="00B97E62"/>
    <w:rsid w:val="00BA0795"/>
    <w:rsid w:val="00BA07CE"/>
    <w:rsid w:val="00BA1189"/>
    <w:rsid w:val="00BA149E"/>
    <w:rsid w:val="00BA2427"/>
    <w:rsid w:val="00BA38C5"/>
    <w:rsid w:val="00BA4CC8"/>
    <w:rsid w:val="00BA50E6"/>
    <w:rsid w:val="00BA5719"/>
    <w:rsid w:val="00BA5EE8"/>
    <w:rsid w:val="00BA613C"/>
    <w:rsid w:val="00BA65D3"/>
    <w:rsid w:val="00BA7575"/>
    <w:rsid w:val="00BA7713"/>
    <w:rsid w:val="00BA7C75"/>
    <w:rsid w:val="00BB03C0"/>
    <w:rsid w:val="00BB10E7"/>
    <w:rsid w:val="00BB1182"/>
    <w:rsid w:val="00BB1438"/>
    <w:rsid w:val="00BB1B2B"/>
    <w:rsid w:val="00BB2195"/>
    <w:rsid w:val="00BB2308"/>
    <w:rsid w:val="00BB23EB"/>
    <w:rsid w:val="00BB2911"/>
    <w:rsid w:val="00BB2928"/>
    <w:rsid w:val="00BB2C50"/>
    <w:rsid w:val="00BB3843"/>
    <w:rsid w:val="00BB3DBA"/>
    <w:rsid w:val="00BB3EF0"/>
    <w:rsid w:val="00BB4503"/>
    <w:rsid w:val="00BB4859"/>
    <w:rsid w:val="00BB5818"/>
    <w:rsid w:val="00BB5ABE"/>
    <w:rsid w:val="00BB5C4B"/>
    <w:rsid w:val="00BB6E95"/>
    <w:rsid w:val="00BC04D7"/>
    <w:rsid w:val="00BC0669"/>
    <w:rsid w:val="00BC0B47"/>
    <w:rsid w:val="00BC10BB"/>
    <w:rsid w:val="00BC11E1"/>
    <w:rsid w:val="00BC16B4"/>
    <w:rsid w:val="00BC245C"/>
    <w:rsid w:val="00BC2496"/>
    <w:rsid w:val="00BC2621"/>
    <w:rsid w:val="00BC2759"/>
    <w:rsid w:val="00BC2B48"/>
    <w:rsid w:val="00BC2B96"/>
    <w:rsid w:val="00BC30D4"/>
    <w:rsid w:val="00BC315E"/>
    <w:rsid w:val="00BC461F"/>
    <w:rsid w:val="00BC462C"/>
    <w:rsid w:val="00BC4AC2"/>
    <w:rsid w:val="00BC5796"/>
    <w:rsid w:val="00BC5827"/>
    <w:rsid w:val="00BC696D"/>
    <w:rsid w:val="00BC7604"/>
    <w:rsid w:val="00BC7B08"/>
    <w:rsid w:val="00BD0580"/>
    <w:rsid w:val="00BD07AA"/>
    <w:rsid w:val="00BD0A2A"/>
    <w:rsid w:val="00BD0A79"/>
    <w:rsid w:val="00BD0D4A"/>
    <w:rsid w:val="00BD1781"/>
    <w:rsid w:val="00BD2713"/>
    <w:rsid w:val="00BD2735"/>
    <w:rsid w:val="00BD2AC1"/>
    <w:rsid w:val="00BD2F8C"/>
    <w:rsid w:val="00BD2FC6"/>
    <w:rsid w:val="00BD33F7"/>
    <w:rsid w:val="00BD4E27"/>
    <w:rsid w:val="00BD52D8"/>
    <w:rsid w:val="00BD6CF0"/>
    <w:rsid w:val="00BD79B6"/>
    <w:rsid w:val="00BD7D8A"/>
    <w:rsid w:val="00BE021A"/>
    <w:rsid w:val="00BE0685"/>
    <w:rsid w:val="00BE0764"/>
    <w:rsid w:val="00BE1A63"/>
    <w:rsid w:val="00BE1C07"/>
    <w:rsid w:val="00BE1DFB"/>
    <w:rsid w:val="00BE1E7A"/>
    <w:rsid w:val="00BE2D7B"/>
    <w:rsid w:val="00BE3099"/>
    <w:rsid w:val="00BE36EA"/>
    <w:rsid w:val="00BE40B8"/>
    <w:rsid w:val="00BE422A"/>
    <w:rsid w:val="00BE529E"/>
    <w:rsid w:val="00BE5E10"/>
    <w:rsid w:val="00BE6D5A"/>
    <w:rsid w:val="00BF0352"/>
    <w:rsid w:val="00BF044D"/>
    <w:rsid w:val="00BF0660"/>
    <w:rsid w:val="00BF07F6"/>
    <w:rsid w:val="00BF0D76"/>
    <w:rsid w:val="00BF1647"/>
    <w:rsid w:val="00BF18AE"/>
    <w:rsid w:val="00BF199F"/>
    <w:rsid w:val="00BF1A30"/>
    <w:rsid w:val="00BF1C30"/>
    <w:rsid w:val="00BF2BE5"/>
    <w:rsid w:val="00BF3C3F"/>
    <w:rsid w:val="00BF3DB6"/>
    <w:rsid w:val="00BF40B2"/>
    <w:rsid w:val="00BF4AE7"/>
    <w:rsid w:val="00BF6CE6"/>
    <w:rsid w:val="00BF6CF2"/>
    <w:rsid w:val="00BF79ED"/>
    <w:rsid w:val="00BF7D36"/>
    <w:rsid w:val="00C00BA3"/>
    <w:rsid w:val="00C00F52"/>
    <w:rsid w:val="00C01122"/>
    <w:rsid w:val="00C029C1"/>
    <w:rsid w:val="00C03684"/>
    <w:rsid w:val="00C04E77"/>
    <w:rsid w:val="00C05436"/>
    <w:rsid w:val="00C06155"/>
    <w:rsid w:val="00C063B8"/>
    <w:rsid w:val="00C06B23"/>
    <w:rsid w:val="00C06E22"/>
    <w:rsid w:val="00C07B50"/>
    <w:rsid w:val="00C07DCA"/>
    <w:rsid w:val="00C104EB"/>
    <w:rsid w:val="00C1053E"/>
    <w:rsid w:val="00C106A1"/>
    <w:rsid w:val="00C10A28"/>
    <w:rsid w:val="00C10C52"/>
    <w:rsid w:val="00C114B0"/>
    <w:rsid w:val="00C11A18"/>
    <w:rsid w:val="00C11C88"/>
    <w:rsid w:val="00C11E33"/>
    <w:rsid w:val="00C12662"/>
    <w:rsid w:val="00C12A70"/>
    <w:rsid w:val="00C12D4E"/>
    <w:rsid w:val="00C14633"/>
    <w:rsid w:val="00C15202"/>
    <w:rsid w:val="00C16168"/>
    <w:rsid w:val="00C1650C"/>
    <w:rsid w:val="00C16BBA"/>
    <w:rsid w:val="00C17C43"/>
    <w:rsid w:val="00C21686"/>
    <w:rsid w:val="00C2174E"/>
    <w:rsid w:val="00C21A44"/>
    <w:rsid w:val="00C21B71"/>
    <w:rsid w:val="00C24622"/>
    <w:rsid w:val="00C25B2B"/>
    <w:rsid w:val="00C267D4"/>
    <w:rsid w:val="00C26AB8"/>
    <w:rsid w:val="00C26BDC"/>
    <w:rsid w:val="00C27A2A"/>
    <w:rsid w:val="00C27C5E"/>
    <w:rsid w:val="00C27E66"/>
    <w:rsid w:val="00C27EEF"/>
    <w:rsid w:val="00C309BB"/>
    <w:rsid w:val="00C310E1"/>
    <w:rsid w:val="00C311AB"/>
    <w:rsid w:val="00C319A2"/>
    <w:rsid w:val="00C31A6E"/>
    <w:rsid w:val="00C32689"/>
    <w:rsid w:val="00C32AD1"/>
    <w:rsid w:val="00C32CDE"/>
    <w:rsid w:val="00C33C47"/>
    <w:rsid w:val="00C33E70"/>
    <w:rsid w:val="00C34AAC"/>
    <w:rsid w:val="00C34BC7"/>
    <w:rsid w:val="00C35328"/>
    <w:rsid w:val="00C35837"/>
    <w:rsid w:val="00C358F5"/>
    <w:rsid w:val="00C35AE4"/>
    <w:rsid w:val="00C36345"/>
    <w:rsid w:val="00C364B7"/>
    <w:rsid w:val="00C36699"/>
    <w:rsid w:val="00C36A5F"/>
    <w:rsid w:val="00C3708D"/>
    <w:rsid w:val="00C374F3"/>
    <w:rsid w:val="00C37758"/>
    <w:rsid w:val="00C3778D"/>
    <w:rsid w:val="00C3783C"/>
    <w:rsid w:val="00C401BD"/>
    <w:rsid w:val="00C407ED"/>
    <w:rsid w:val="00C409E3"/>
    <w:rsid w:val="00C40E10"/>
    <w:rsid w:val="00C41278"/>
    <w:rsid w:val="00C4146E"/>
    <w:rsid w:val="00C417B6"/>
    <w:rsid w:val="00C41B1E"/>
    <w:rsid w:val="00C41F33"/>
    <w:rsid w:val="00C422D3"/>
    <w:rsid w:val="00C42442"/>
    <w:rsid w:val="00C42530"/>
    <w:rsid w:val="00C43B53"/>
    <w:rsid w:val="00C43B68"/>
    <w:rsid w:val="00C443BD"/>
    <w:rsid w:val="00C4480A"/>
    <w:rsid w:val="00C44AC5"/>
    <w:rsid w:val="00C44C10"/>
    <w:rsid w:val="00C4587D"/>
    <w:rsid w:val="00C45BDD"/>
    <w:rsid w:val="00C4605A"/>
    <w:rsid w:val="00C46E6D"/>
    <w:rsid w:val="00C502C8"/>
    <w:rsid w:val="00C5148E"/>
    <w:rsid w:val="00C519D2"/>
    <w:rsid w:val="00C51E13"/>
    <w:rsid w:val="00C528BE"/>
    <w:rsid w:val="00C5312B"/>
    <w:rsid w:val="00C537D1"/>
    <w:rsid w:val="00C53B1E"/>
    <w:rsid w:val="00C53E63"/>
    <w:rsid w:val="00C5505A"/>
    <w:rsid w:val="00C55B5F"/>
    <w:rsid w:val="00C5637A"/>
    <w:rsid w:val="00C566AA"/>
    <w:rsid w:val="00C5772D"/>
    <w:rsid w:val="00C61A69"/>
    <w:rsid w:val="00C623F1"/>
    <w:rsid w:val="00C62640"/>
    <w:rsid w:val="00C64AA3"/>
    <w:rsid w:val="00C65224"/>
    <w:rsid w:val="00C6544B"/>
    <w:rsid w:val="00C65A7B"/>
    <w:rsid w:val="00C65E5B"/>
    <w:rsid w:val="00C66F58"/>
    <w:rsid w:val="00C70031"/>
    <w:rsid w:val="00C703CF"/>
    <w:rsid w:val="00C7084C"/>
    <w:rsid w:val="00C712C1"/>
    <w:rsid w:val="00C7256B"/>
    <w:rsid w:val="00C7265C"/>
    <w:rsid w:val="00C72E59"/>
    <w:rsid w:val="00C7302A"/>
    <w:rsid w:val="00C73319"/>
    <w:rsid w:val="00C73466"/>
    <w:rsid w:val="00C73948"/>
    <w:rsid w:val="00C7528C"/>
    <w:rsid w:val="00C757F3"/>
    <w:rsid w:val="00C75AB8"/>
    <w:rsid w:val="00C76117"/>
    <w:rsid w:val="00C76A73"/>
    <w:rsid w:val="00C772F1"/>
    <w:rsid w:val="00C80FBB"/>
    <w:rsid w:val="00C81132"/>
    <w:rsid w:val="00C81621"/>
    <w:rsid w:val="00C818D7"/>
    <w:rsid w:val="00C83C56"/>
    <w:rsid w:val="00C83EBF"/>
    <w:rsid w:val="00C845AE"/>
    <w:rsid w:val="00C8506D"/>
    <w:rsid w:val="00C857F7"/>
    <w:rsid w:val="00C86A5A"/>
    <w:rsid w:val="00C871F4"/>
    <w:rsid w:val="00C87783"/>
    <w:rsid w:val="00C901A9"/>
    <w:rsid w:val="00C9057C"/>
    <w:rsid w:val="00C90BCC"/>
    <w:rsid w:val="00C90CD3"/>
    <w:rsid w:val="00C9103C"/>
    <w:rsid w:val="00C916D5"/>
    <w:rsid w:val="00C922ED"/>
    <w:rsid w:val="00C937F0"/>
    <w:rsid w:val="00C93CC4"/>
    <w:rsid w:val="00C93F36"/>
    <w:rsid w:val="00C94E65"/>
    <w:rsid w:val="00C962A3"/>
    <w:rsid w:val="00C96A2F"/>
    <w:rsid w:val="00C96FE2"/>
    <w:rsid w:val="00C972D6"/>
    <w:rsid w:val="00C97A58"/>
    <w:rsid w:val="00C97A70"/>
    <w:rsid w:val="00C97FA1"/>
    <w:rsid w:val="00CA053F"/>
    <w:rsid w:val="00CA0601"/>
    <w:rsid w:val="00CA0DCB"/>
    <w:rsid w:val="00CA2A50"/>
    <w:rsid w:val="00CA2C3F"/>
    <w:rsid w:val="00CA3102"/>
    <w:rsid w:val="00CA3501"/>
    <w:rsid w:val="00CA3697"/>
    <w:rsid w:val="00CA36C0"/>
    <w:rsid w:val="00CA399A"/>
    <w:rsid w:val="00CA44A7"/>
    <w:rsid w:val="00CA477F"/>
    <w:rsid w:val="00CA4A3C"/>
    <w:rsid w:val="00CA538F"/>
    <w:rsid w:val="00CA53BA"/>
    <w:rsid w:val="00CA557F"/>
    <w:rsid w:val="00CA55CB"/>
    <w:rsid w:val="00CA5691"/>
    <w:rsid w:val="00CA656F"/>
    <w:rsid w:val="00CA6F76"/>
    <w:rsid w:val="00CB0CB0"/>
    <w:rsid w:val="00CB0F5E"/>
    <w:rsid w:val="00CB2F27"/>
    <w:rsid w:val="00CB371E"/>
    <w:rsid w:val="00CB3945"/>
    <w:rsid w:val="00CB3F35"/>
    <w:rsid w:val="00CB3F5D"/>
    <w:rsid w:val="00CB3FA6"/>
    <w:rsid w:val="00CB43AA"/>
    <w:rsid w:val="00CB4782"/>
    <w:rsid w:val="00CB6700"/>
    <w:rsid w:val="00CB6FF7"/>
    <w:rsid w:val="00CC03EA"/>
    <w:rsid w:val="00CC0B83"/>
    <w:rsid w:val="00CC0C9D"/>
    <w:rsid w:val="00CC0E28"/>
    <w:rsid w:val="00CC14D7"/>
    <w:rsid w:val="00CC1A0F"/>
    <w:rsid w:val="00CC1DCD"/>
    <w:rsid w:val="00CC2382"/>
    <w:rsid w:val="00CC271B"/>
    <w:rsid w:val="00CC27CA"/>
    <w:rsid w:val="00CC2B98"/>
    <w:rsid w:val="00CC2F6B"/>
    <w:rsid w:val="00CC44FB"/>
    <w:rsid w:val="00CC5C6C"/>
    <w:rsid w:val="00CC60E6"/>
    <w:rsid w:val="00CC65BA"/>
    <w:rsid w:val="00CC69DA"/>
    <w:rsid w:val="00CC6C7D"/>
    <w:rsid w:val="00CC6D79"/>
    <w:rsid w:val="00CC6DEE"/>
    <w:rsid w:val="00CC7559"/>
    <w:rsid w:val="00CC79DF"/>
    <w:rsid w:val="00CC7BD7"/>
    <w:rsid w:val="00CD08AE"/>
    <w:rsid w:val="00CD0C57"/>
    <w:rsid w:val="00CD136E"/>
    <w:rsid w:val="00CD1373"/>
    <w:rsid w:val="00CD156A"/>
    <w:rsid w:val="00CD2022"/>
    <w:rsid w:val="00CD265F"/>
    <w:rsid w:val="00CD2B35"/>
    <w:rsid w:val="00CD2ED7"/>
    <w:rsid w:val="00CD377B"/>
    <w:rsid w:val="00CD4095"/>
    <w:rsid w:val="00CD4308"/>
    <w:rsid w:val="00CD47BA"/>
    <w:rsid w:val="00CD4C9C"/>
    <w:rsid w:val="00CD4CDC"/>
    <w:rsid w:val="00CD61A6"/>
    <w:rsid w:val="00CD71A5"/>
    <w:rsid w:val="00CD7735"/>
    <w:rsid w:val="00CE026B"/>
    <w:rsid w:val="00CE0A73"/>
    <w:rsid w:val="00CE138C"/>
    <w:rsid w:val="00CE1B51"/>
    <w:rsid w:val="00CE1EBB"/>
    <w:rsid w:val="00CE2719"/>
    <w:rsid w:val="00CE2DB3"/>
    <w:rsid w:val="00CE317B"/>
    <w:rsid w:val="00CE3469"/>
    <w:rsid w:val="00CE4137"/>
    <w:rsid w:val="00CE4459"/>
    <w:rsid w:val="00CE4EF8"/>
    <w:rsid w:val="00CE4FD4"/>
    <w:rsid w:val="00CE52E2"/>
    <w:rsid w:val="00CE58BF"/>
    <w:rsid w:val="00CE597E"/>
    <w:rsid w:val="00CE5BB7"/>
    <w:rsid w:val="00CE6213"/>
    <w:rsid w:val="00CE6236"/>
    <w:rsid w:val="00CE665D"/>
    <w:rsid w:val="00CE6E2A"/>
    <w:rsid w:val="00CE78D7"/>
    <w:rsid w:val="00CF04E8"/>
    <w:rsid w:val="00CF0BAC"/>
    <w:rsid w:val="00CF1403"/>
    <w:rsid w:val="00CF1906"/>
    <w:rsid w:val="00CF26F9"/>
    <w:rsid w:val="00CF2E3C"/>
    <w:rsid w:val="00CF3ADB"/>
    <w:rsid w:val="00CF3CBC"/>
    <w:rsid w:val="00CF4325"/>
    <w:rsid w:val="00CF4BFE"/>
    <w:rsid w:val="00CF4C27"/>
    <w:rsid w:val="00CF5A31"/>
    <w:rsid w:val="00CF6428"/>
    <w:rsid w:val="00CF69B7"/>
    <w:rsid w:val="00CF7D01"/>
    <w:rsid w:val="00D00274"/>
    <w:rsid w:val="00D003A1"/>
    <w:rsid w:val="00D00695"/>
    <w:rsid w:val="00D013C4"/>
    <w:rsid w:val="00D017D1"/>
    <w:rsid w:val="00D01F14"/>
    <w:rsid w:val="00D02676"/>
    <w:rsid w:val="00D026DD"/>
    <w:rsid w:val="00D0291E"/>
    <w:rsid w:val="00D033E6"/>
    <w:rsid w:val="00D03AC7"/>
    <w:rsid w:val="00D03DFA"/>
    <w:rsid w:val="00D04216"/>
    <w:rsid w:val="00D0434C"/>
    <w:rsid w:val="00D04CE0"/>
    <w:rsid w:val="00D05EF2"/>
    <w:rsid w:val="00D061F9"/>
    <w:rsid w:val="00D06BAA"/>
    <w:rsid w:val="00D07077"/>
    <w:rsid w:val="00D0730E"/>
    <w:rsid w:val="00D07740"/>
    <w:rsid w:val="00D079F5"/>
    <w:rsid w:val="00D1024D"/>
    <w:rsid w:val="00D10389"/>
    <w:rsid w:val="00D108C6"/>
    <w:rsid w:val="00D112F8"/>
    <w:rsid w:val="00D115DF"/>
    <w:rsid w:val="00D11B25"/>
    <w:rsid w:val="00D11BFC"/>
    <w:rsid w:val="00D11DAE"/>
    <w:rsid w:val="00D1207A"/>
    <w:rsid w:val="00D12AB6"/>
    <w:rsid w:val="00D12EB0"/>
    <w:rsid w:val="00D13494"/>
    <w:rsid w:val="00D134C5"/>
    <w:rsid w:val="00D13A32"/>
    <w:rsid w:val="00D13BA2"/>
    <w:rsid w:val="00D13D1D"/>
    <w:rsid w:val="00D14C05"/>
    <w:rsid w:val="00D15B6D"/>
    <w:rsid w:val="00D15E10"/>
    <w:rsid w:val="00D15F0A"/>
    <w:rsid w:val="00D167F7"/>
    <w:rsid w:val="00D1684B"/>
    <w:rsid w:val="00D1725B"/>
    <w:rsid w:val="00D179AA"/>
    <w:rsid w:val="00D179AE"/>
    <w:rsid w:val="00D17C27"/>
    <w:rsid w:val="00D17DB0"/>
    <w:rsid w:val="00D20058"/>
    <w:rsid w:val="00D20DA1"/>
    <w:rsid w:val="00D212DB"/>
    <w:rsid w:val="00D21C7E"/>
    <w:rsid w:val="00D22108"/>
    <w:rsid w:val="00D24DB3"/>
    <w:rsid w:val="00D24F46"/>
    <w:rsid w:val="00D25650"/>
    <w:rsid w:val="00D256A7"/>
    <w:rsid w:val="00D25A48"/>
    <w:rsid w:val="00D25C5E"/>
    <w:rsid w:val="00D25DD6"/>
    <w:rsid w:val="00D25F54"/>
    <w:rsid w:val="00D2719B"/>
    <w:rsid w:val="00D2740C"/>
    <w:rsid w:val="00D31081"/>
    <w:rsid w:val="00D313A4"/>
    <w:rsid w:val="00D34F6A"/>
    <w:rsid w:val="00D34FAF"/>
    <w:rsid w:val="00D351B1"/>
    <w:rsid w:val="00D3593B"/>
    <w:rsid w:val="00D359F3"/>
    <w:rsid w:val="00D3621C"/>
    <w:rsid w:val="00D364C9"/>
    <w:rsid w:val="00D372B0"/>
    <w:rsid w:val="00D3785A"/>
    <w:rsid w:val="00D4068A"/>
    <w:rsid w:val="00D40750"/>
    <w:rsid w:val="00D40F1A"/>
    <w:rsid w:val="00D41FC1"/>
    <w:rsid w:val="00D4275E"/>
    <w:rsid w:val="00D42DD4"/>
    <w:rsid w:val="00D43945"/>
    <w:rsid w:val="00D43EEC"/>
    <w:rsid w:val="00D441C2"/>
    <w:rsid w:val="00D443D4"/>
    <w:rsid w:val="00D44749"/>
    <w:rsid w:val="00D449EC"/>
    <w:rsid w:val="00D450AA"/>
    <w:rsid w:val="00D45203"/>
    <w:rsid w:val="00D45587"/>
    <w:rsid w:val="00D45919"/>
    <w:rsid w:val="00D5004A"/>
    <w:rsid w:val="00D50071"/>
    <w:rsid w:val="00D50A3B"/>
    <w:rsid w:val="00D50CFF"/>
    <w:rsid w:val="00D5105C"/>
    <w:rsid w:val="00D510B2"/>
    <w:rsid w:val="00D51C11"/>
    <w:rsid w:val="00D5287B"/>
    <w:rsid w:val="00D53313"/>
    <w:rsid w:val="00D53603"/>
    <w:rsid w:val="00D53D8C"/>
    <w:rsid w:val="00D541C1"/>
    <w:rsid w:val="00D542C6"/>
    <w:rsid w:val="00D544DA"/>
    <w:rsid w:val="00D5472B"/>
    <w:rsid w:val="00D552A4"/>
    <w:rsid w:val="00D5577A"/>
    <w:rsid w:val="00D56D5A"/>
    <w:rsid w:val="00D56EA3"/>
    <w:rsid w:val="00D57D5A"/>
    <w:rsid w:val="00D60527"/>
    <w:rsid w:val="00D60CFD"/>
    <w:rsid w:val="00D614B7"/>
    <w:rsid w:val="00D614FF"/>
    <w:rsid w:val="00D619BC"/>
    <w:rsid w:val="00D6209E"/>
    <w:rsid w:val="00D622BF"/>
    <w:rsid w:val="00D62B59"/>
    <w:rsid w:val="00D62ED1"/>
    <w:rsid w:val="00D632BA"/>
    <w:rsid w:val="00D64597"/>
    <w:rsid w:val="00D6463C"/>
    <w:rsid w:val="00D652AF"/>
    <w:rsid w:val="00D656F0"/>
    <w:rsid w:val="00D65913"/>
    <w:rsid w:val="00D66B1E"/>
    <w:rsid w:val="00D66EE7"/>
    <w:rsid w:val="00D67219"/>
    <w:rsid w:val="00D67C16"/>
    <w:rsid w:val="00D70580"/>
    <w:rsid w:val="00D70810"/>
    <w:rsid w:val="00D708C6"/>
    <w:rsid w:val="00D7104B"/>
    <w:rsid w:val="00D7170A"/>
    <w:rsid w:val="00D71A02"/>
    <w:rsid w:val="00D71D22"/>
    <w:rsid w:val="00D71FF6"/>
    <w:rsid w:val="00D72A82"/>
    <w:rsid w:val="00D72D4B"/>
    <w:rsid w:val="00D7316E"/>
    <w:rsid w:val="00D74127"/>
    <w:rsid w:val="00D74AF1"/>
    <w:rsid w:val="00D753DF"/>
    <w:rsid w:val="00D754DC"/>
    <w:rsid w:val="00D75C44"/>
    <w:rsid w:val="00D75D57"/>
    <w:rsid w:val="00D76623"/>
    <w:rsid w:val="00D76C20"/>
    <w:rsid w:val="00D772C6"/>
    <w:rsid w:val="00D80656"/>
    <w:rsid w:val="00D8074D"/>
    <w:rsid w:val="00D8151F"/>
    <w:rsid w:val="00D817F3"/>
    <w:rsid w:val="00D81C63"/>
    <w:rsid w:val="00D81DC5"/>
    <w:rsid w:val="00D8224C"/>
    <w:rsid w:val="00D822C8"/>
    <w:rsid w:val="00D82805"/>
    <w:rsid w:val="00D82BC7"/>
    <w:rsid w:val="00D83017"/>
    <w:rsid w:val="00D83505"/>
    <w:rsid w:val="00D8370B"/>
    <w:rsid w:val="00D84298"/>
    <w:rsid w:val="00D84816"/>
    <w:rsid w:val="00D852F2"/>
    <w:rsid w:val="00D85666"/>
    <w:rsid w:val="00D86996"/>
    <w:rsid w:val="00D86A96"/>
    <w:rsid w:val="00D86E21"/>
    <w:rsid w:val="00D8713D"/>
    <w:rsid w:val="00D87DD4"/>
    <w:rsid w:val="00D90AE5"/>
    <w:rsid w:val="00D912A8"/>
    <w:rsid w:val="00D923E7"/>
    <w:rsid w:val="00D92E1F"/>
    <w:rsid w:val="00D92FC5"/>
    <w:rsid w:val="00D95DA2"/>
    <w:rsid w:val="00D95FC6"/>
    <w:rsid w:val="00D9604D"/>
    <w:rsid w:val="00D96E4F"/>
    <w:rsid w:val="00D97938"/>
    <w:rsid w:val="00D97F16"/>
    <w:rsid w:val="00DA007C"/>
    <w:rsid w:val="00DA00D0"/>
    <w:rsid w:val="00DA0A71"/>
    <w:rsid w:val="00DA10BC"/>
    <w:rsid w:val="00DA14F3"/>
    <w:rsid w:val="00DA1AEA"/>
    <w:rsid w:val="00DA1F4F"/>
    <w:rsid w:val="00DA1FD7"/>
    <w:rsid w:val="00DA24AB"/>
    <w:rsid w:val="00DA2AFB"/>
    <w:rsid w:val="00DA332E"/>
    <w:rsid w:val="00DA3774"/>
    <w:rsid w:val="00DA4A7F"/>
    <w:rsid w:val="00DA55E9"/>
    <w:rsid w:val="00DA5BA0"/>
    <w:rsid w:val="00DA5C6C"/>
    <w:rsid w:val="00DA61AC"/>
    <w:rsid w:val="00DA66B7"/>
    <w:rsid w:val="00DA7B87"/>
    <w:rsid w:val="00DB0049"/>
    <w:rsid w:val="00DB0A23"/>
    <w:rsid w:val="00DB1435"/>
    <w:rsid w:val="00DB153A"/>
    <w:rsid w:val="00DB176B"/>
    <w:rsid w:val="00DB1B12"/>
    <w:rsid w:val="00DB1DF4"/>
    <w:rsid w:val="00DB37F6"/>
    <w:rsid w:val="00DB45C0"/>
    <w:rsid w:val="00DB4A92"/>
    <w:rsid w:val="00DB5344"/>
    <w:rsid w:val="00DB607B"/>
    <w:rsid w:val="00DB641D"/>
    <w:rsid w:val="00DB6495"/>
    <w:rsid w:val="00DB650A"/>
    <w:rsid w:val="00DB6A4E"/>
    <w:rsid w:val="00DB7230"/>
    <w:rsid w:val="00DB7664"/>
    <w:rsid w:val="00DB771C"/>
    <w:rsid w:val="00DB7CB3"/>
    <w:rsid w:val="00DB7EDC"/>
    <w:rsid w:val="00DC05D7"/>
    <w:rsid w:val="00DC0D78"/>
    <w:rsid w:val="00DC1715"/>
    <w:rsid w:val="00DC1E98"/>
    <w:rsid w:val="00DC2CE1"/>
    <w:rsid w:val="00DC35D7"/>
    <w:rsid w:val="00DC381B"/>
    <w:rsid w:val="00DC3E97"/>
    <w:rsid w:val="00DC5367"/>
    <w:rsid w:val="00DC6983"/>
    <w:rsid w:val="00DC6BF9"/>
    <w:rsid w:val="00DC6D54"/>
    <w:rsid w:val="00DC748B"/>
    <w:rsid w:val="00DD26FD"/>
    <w:rsid w:val="00DD2CC2"/>
    <w:rsid w:val="00DD30C8"/>
    <w:rsid w:val="00DD4C0B"/>
    <w:rsid w:val="00DD672C"/>
    <w:rsid w:val="00DD7765"/>
    <w:rsid w:val="00DD7CA1"/>
    <w:rsid w:val="00DE06A5"/>
    <w:rsid w:val="00DE0A07"/>
    <w:rsid w:val="00DE1A22"/>
    <w:rsid w:val="00DE1B95"/>
    <w:rsid w:val="00DE1D22"/>
    <w:rsid w:val="00DE1EB5"/>
    <w:rsid w:val="00DE2DED"/>
    <w:rsid w:val="00DE2E84"/>
    <w:rsid w:val="00DE34DA"/>
    <w:rsid w:val="00DE43D8"/>
    <w:rsid w:val="00DE4742"/>
    <w:rsid w:val="00DE4B6E"/>
    <w:rsid w:val="00DE50E1"/>
    <w:rsid w:val="00DE522B"/>
    <w:rsid w:val="00DE5517"/>
    <w:rsid w:val="00DE5669"/>
    <w:rsid w:val="00DE57CE"/>
    <w:rsid w:val="00DE57E5"/>
    <w:rsid w:val="00DE59A3"/>
    <w:rsid w:val="00DE5CE7"/>
    <w:rsid w:val="00DE6258"/>
    <w:rsid w:val="00DE6417"/>
    <w:rsid w:val="00DE6C5E"/>
    <w:rsid w:val="00DE7B82"/>
    <w:rsid w:val="00DF0297"/>
    <w:rsid w:val="00DF02E2"/>
    <w:rsid w:val="00DF0CBA"/>
    <w:rsid w:val="00DF0CD5"/>
    <w:rsid w:val="00DF107D"/>
    <w:rsid w:val="00DF1423"/>
    <w:rsid w:val="00DF21C0"/>
    <w:rsid w:val="00DF25D6"/>
    <w:rsid w:val="00DF3386"/>
    <w:rsid w:val="00DF3CC2"/>
    <w:rsid w:val="00DF4161"/>
    <w:rsid w:val="00DF50DC"/>
    <w:rsid w:val="00DF650D"/>
    <w:rsid w:val="00DF65DC"/>
    <w:rsid w:val="00DF6B52"/>
    <w:rsid w:val="00DF7990"/>
    <w:rsid w:val="00DF7B2B"/>
    <w:rsid w:val="00E00261"/>
    <w:rsid w:val="00E00E99"/>
    <w:rsid w:val="00E01090"/>
    <w:rsid w:val="00E019B5"/>
    <w:rsid w:val="00E0212F"/>
    <w:rsid w:val="00E02187"/>
    <w:rsid w:val="00E02D46"/>
    <w:rsid w:val="00E0326E"/>
    <w:rsid w:val="00E03687"/>
    <w:rsid w:val="00E03AA4"/>
    <w:rsid w:val="00E03E04"/>
    <w:rsid w:val="00E03E7C"/>
    <w:rsid w:val="00E03F75"/>
    <w:rsid w:val="00E04413"/>
    <w:rsid w:val="00E04BDD"/>
    <w:rsid w:val="00E056BC"/>
    <w:rsid w:val="00E0570B"/>
    <w:rsid w:val="00E0594D"/>
    <w:rsid w:val="00E0732F"/>
    <w:rsid w:val="00E07413"/>
    <w:rsid w:val="00E07510"/>
    <w:rsid w:val="00E07520"/>
    <w:rsid w:val="00E10029"/>
    <w:rsid w:val="00E101D6"/>
    <w:rsid w:val="00E11F73"/>
    <w:rsid w:val="00E12BD2"/>
    <w:rsid w:val="00E136B7"/>
    <w:rsid w:val="00E1374F"/>
    <w:rsid w:val="00E13E82"/>
    <w:rsid w:val="00E14682"/>
    <w:rsid w:val="00E15D75"/>
    <w:rsid w:val="00E16167"/>
    <w:rsid w:val="00E17CF8"/>
    <w:rsid w:val="00E2048F"/>
    <w:rsid w:val="00E20494"/>
    <w:rsid w:val="00E20693"/>
    <w:rsid w:val="00E212EC"/>
    <w:rsid w:val="00E21460"/>
    <w:rsid w:val="00E21761"/>
    <w:rsid w:val="00E22008"/>
    <w:rsid w:val="00E22449"/>
    <w:rsid w:val="00E224D6"/>
    <w:rsid w:val="00E22A07"/>
    <w:rsid w:val="00E22F45"/>
    <w:rsid w:val="00E231EE"/>
    <w:rsid w:val="00E24939"/>
    <w:rsid w:val="00E2505A"/>
    <w:rsid w:val="00E27AA3"/>
    <w:rsid w:val="00E27D5A"/>
    <w:rsid w:val="00E3046F"/>
    <w:rsid w:val="00E307DA"/>
    <w:rsid w:val="00E30A73"/>
    <w:rsid w:val="00E30C83"/>
    <w:rsid w:val="00E311CF"/>
    <w:rsid w:val="00E317CC"/>
    <w:rsid w:val="00E3188C"/>
    <w:rsid w:val="00E31ED7"/>
    <w:rsid w:val="00E33234"/>
    <w:rsid w:val="00E34E00"/>
    <w:rsid w:val="00E34FF5"/>
    <w:rsid w:val="00E351FE"/>
    <w:rsid w:val="00E35BB3"/>
    <w:rsid w:val="00E35C5A"/>
    <w:rsid w:val="00E35E31"/>
    <w:rsid w:val="00E36025"/>
    <w:rsid w:val="00E36494"/>
    <w:rsid w:val="00E36A44"/>
    <w:rsid w:val="00E36D9F"/>
    <w:rsid w:val="00E3723B"/>
    <w:rsid w:val="00E375FC"/>
    <w:rsid w:val="00E37CBF"/>
    <w:rsid w:val="00E40527"/>
    <w:rsid w:val="00E40BD9"/>
    <w:rsid w:val="00E4173A"/>
    <w:rsid w:val="00E41A38"/>
    <w:rsid w:val="00E41C82"/>
    <w:rsid w:val="00E421BD"/>
    <w:rsid w:val="00E42211"/>
    <w:rsid w:val="00E42487"/>
    <w:rsid w:val="00E427CB"/>
    <w:rsid w:val="00E4292A"/>
    <w:rsid w:val="00E431C9"/>
    <w:rsid w:val="00E432E6"/>
    <w:rsid w:val="00E433BE"/>
    <w:rsid w:val="00E434B7"/>
    <w:rsid w:val="00E43523"/>
    <w:rsid w:val="00E439FA"/>
    <w:rsid w:val="00E44732"/>
    <w:rsid w:val="00E44788"/>
    <w:rsid w:val="00E4487E"/>
    <w:rsid w:val="00E44D20"/>
    <w:rsid w:val="00E450CC"/>
    <w:rsid w:val="00E456C2"/>
    <w:rsid w:val="00E45A01"/>
    <w:rsid w:val="00E45B40"/>
    <w:rsid w:val="00E45C88"/>
    <w:rsid w:val="00E467E2"/>
    <w:rsid w:val="00E469C2"/>
    <w:rsid w:val="00E46BE0"/>
    <w:rsid w:val="00E46FDA"/>
    <w:rsid w:val="00E5001E"/>
    <w:rsid w:val="00E50D08"/>
    <w:rsid w:val="00E50F0E"/>
    <w:rsid w:val="00E5210D"/>
    <w:rsid w:val="00E52195"/>
    <w:rsid w:val="00E53357"/>
    <w:rsid w:val="00E53636"/>
    <w:rsid w:val="00E53FB7"/>
    <w:rsid w:val="00E542FE"/>
    <w:rsid w:val="00E548C7"/>
    <w:rsid w:val="00E5796D"/>
    <w:rsid w:val="00E57A46"/>
    <w:rsid w:val="00E6002B"/>
    <w:rsid w:val="00E60252"/>
    <w:rsid w:val="00E60C53"/>
    <w:rsid w:val="00E613DF"/>
    <w:rsid w:val="00E6203E"/>
    <w:rsid w:val="00E62E48"/>
    <w:rsid w:val="00E648FB"/>
    <w:rsid w:val="00E64A54"/>
    <w:rsid w:val="00E64B19"/>
    <w:rsid w:val="00E64BB8"/>
    <w:rsid w:val="00E64EFD"/>
    <w:rsid w:val="00E66431"/>
    <w:rsid w:val="00E6647D"/>
    <w:rsid w:val="00E66563"/>
    <w:rsid w:val="00E66869"/>
    <w:rsid w:val="00E675C6"/>
    <w:rsid w:val="00E67E07"/>
    <w:rsid w:val="00E7043D"/>
    <w:rsid w:val="00E70D64"/>
    <w:rsid w:val="00E729DA"/>
    <w:rsid w:val="00E72DC2"/>
    <w:rsid w:val="00E73AD8"/>
    <w:rsid w:val="00E73BF4"/>
    <w:rsid w:val="00E742D1"/>
    <w:rsid w:val="00E749FB"/>
    <w:rsid w:val="00E74CBD"/>
    <w:rsid w:val="00E7559D"/>
    <w:rsid w:val="00E75704"/>
    <w:rsid w:val="00E75E3E"/>
    <w:rsid w:val="00E75E55"/>
    <w:rsid w:val="00E76022"/>
    <w:rsid w:val="00E77215"/>
    <w:rsid w:val="00E779D3"/>
    <w:rsid w:val="00E77EA1"/>
    <w:rsid w:val="00E77F9B"/>
    <w:rsid w:val="00E80B49"/>
    <w:rsid w:val="00E80F04"/>
    <w:rsid w:val="00E8161F"/>
    <w:rsid w:val="00E8167D"/>
    <w:rsid w:val="00E81D0E"/>
    <w:rsid w:val="00E81E53"/>
    <w:rsid w:val="00E8261B"/>
    <w:rsid w:val="00E82D5A"/>
    <w:rsid w:val="00E83078"/>
    <w:rsid w:val="00E83AAB"/>
    <w:rsid w:val="00E84B3B"/>
    <w:rsid w:val="00E84C57"/>
    <w:rsid w:val="00E84C74"/>
    <w:rsid w:val="00E84CEB"/>
    <w:rsid w:val="00E84D69"/>
    <w:rsid w:val="00E84E79"/>
    <w:rsid w:val="00E850CE"/>
    <w:rsid w:val="00E8611C"/>
    <w:rsid w:val="00E8684F"/>
    <w:rsid w:val="00E869D9"/>
    <w:rsid w:val="00E86D8B"/>
    <w:rsid w:val="00E87C8D"/>
    <w:rsid w:val="00E908E9"/>
    <w:rsid w:val="00E91702"/>
    <w:rsid w:val="00E9183A"/>
    <w:rsid w:val="00E932E1"/>
    <w:rsid w:val="00E9339C"/>
    <w:rsid w:val="00E93E9D"/>
    <w:rsid w:val="00E9440B"/>
    <w:rsid w:val="00E947AC"/>
    <w:rsid w:val="00E94B9E"/>
    <w:rsid w:val="00E9567A"/>
    <w:rsid w:val="00E96247"/>
    <w:rsid w:val="00E965E9"/>
    <w:rsid w:val="00E96E1F"/>
    <w:rsid w:val="00E97D94"/>
    <w:rsid w:val="00EA0197"/>
    <w:rsid w:val="00EA0428"/>
    <w:rsid w:val="00EA0E5F"/>
    <w:rsid w:val="00EA190D"/>
    <w:rsid w:val="00EA1EFA"/>
    <w:rsid w:val="00EA2505"/>
    <w:rsid w:val="00EA3925"/>
    <w:rsid w:val="00EA3B3D"/>
    <w:rsid w:val="00EA50ED"/>
    <w:rsid w:val="00EA6298"/>
    <w:rsid w:val="00EA6D59"/>
    <w:rsid w:val="00EA6FC1"/>
    <w:rsid w:val="00EA7592"/>
    <w:rsid w:val="00EA7FE5"/>
    <w:rsid w:val="00EB00A0"/>
    <w:rsid w:val="00EB0189"/>
    <w:rsid w:val="00EB0492"/>
    <w:rsid w:val="00EB0894"/>
    <w:rsid w:val="00EB0E49"/>
    <w:rsid w:val="00EB12CC"/>
    <w:rsid w:val="00EB18DA"/>
    <w:rsid w:val="00EB3083"/>
    <w:rsid w:val="00EB3253"/>
    <w:rsid w:val="00EB3815"/>
    <w:rsid w:val="00EB40B1"/>
    <w:rsid w:val="00EB57F5"/>
    <w:rsid w:val="00EB59E9"/>
    <w:rsid w:val="00EB69BF"/>
    <w:rsid w:val="00EB6B43"/>
    <w:rsid w:val="00EB7524"/>
    <w:rsid w:val="00EB79A6"/>
    <w:rsid w:val="00EB7A9F"/>
    <w:rsid w:val="00EC2339"/>
    <w:rsid w:val="00EC2BAE"/>
    <w:rsid w:val="00EC2C3C"/>
    <w:rsid w:val="00EC30E0"/>
    <w:rsid w:val="00EC4029"/>
    <w:rsid w:val="00EC40A5"/>
    <w:rsid w:val="00EC5BF3"/>
    <w:rsid w:val="00EC5DE5"/>
    <w:rsid w:val="00EC6FB2"/>
    <w:rsid w:val="00EC7166"/>
    <w:rsid w:val="00EC723E"/>
    <w:rsid w:val="00EC7270"/>
    <w:rsid w:val="00EC7662"/>
    <w:rsid w:val="00EC7AEC"/>
    <w:rsid w:val="00EC7E0A"/>
    <w:rsid w:val="00ED03CA"/>
    <w:rsid w:val="00ED0B9B"/>
    <w:rsid w:val="00ED12EE"/>
    <w:rsid w:val="00ED139C"/>
    <w:rsid w:val="00ED1424"/>
    <w:rsid w:val="00ED219A"/>
    <w:rsid w:val="00ED272E"/>
    <w:rsid w:val="00ED279A"/>
    <w:rsid w:val="00ED3A55"/>
    <w:rsid w:val="00ED41DE"/>
    <w:rsid w:val="00ED4382"/>
    <w:rsid w:val="00ED50EE"/>
    <w:rsid w:val="00ED642A"/>
    <w:rsid w:val="00ED7349"/>
    <w:rsid w:val="00ED73ED"/>
    <w:rsid w:val="00EE02D8"/>
    <w:rsid w:val="00EE09D2"/>
    <w:rsid w:val="00EE112E"/>
    <w:rsid w:val="00EE1962"/>
    <w:rsid w:val="00EE1A99"/>
    <w:rsid w:val="00EE20DA"/>
    <w:rsid w:val="00EE33B7"/>
    <w:rsid w:val="00EE4F07"/>
    <w:rsid w:val="00EE60AF"/>
    <w:rsid w:val="00EE6414"/>
    <w:rsid w:val="00EE6B29"/>
    <w:rsid w:val="00EE7AA4"/>
    <w:rsid w:val="00EF0139"/>
    <w:rsid w:val="00EF02D7"/>
    <w:rsid w:val="00EF0BD7"/>
    <w:rsid w:val="00EF10AA"/>
    <w:rsid w:val="00EF1980"/>
    <w:rsid w:val="00EF1A19"/>
    <w:rsid w:val="00EF1AAA"/>
    <w:rsid w:val="00EF1E5A"/>
    <w:rsid w:val="00EF20D8"/>
    <w:rsid w:val="00EF2298"/>
    <w:rsid w:val="00EF291E"/>
    <w:rsid w:val="00EF2EE3"/>
    <w:rsid w:val="00EF3196"/>
    <w:rsid w:val="00EF39D9"/>
    <w:rsid w:val="00EF3B1E"/>
    <w:rsid w:val="00EF3F03"/>
    <w:rsid w:val="00EF489F"/>
    <w:rsid w:val="00EF49A1"/>
    <w:rsid w:val="00EF4CAF"/>
    <w:rsid w:val="00EF64D2"/>
    <w:rsid w:val="00EF6C87"/>
    <w:rsid w:val="00EF796C"/>
    <w:rsid w:val="00F00D77"/>
    <w:rsid w:val="00F01665"/>
    <w:rsid w:val="00F019DF"/>
    <w:rsid w:val="00F02A26"/>
    <w:rsid w:val="00F031E6"/>
    <w:rsid w:val="00F03234"/>
    <w:rsid w:val="00F03C64"/>
    <w:rsid w:val="00F04412"/>
    <w:rsid w:val="00F05275"/>
    <w:rsid w:val="00F055F6"/>
    <w:rsid w:val="00F05684"/>
    <w:rsid w:val="00F056A6"/>
    <w:rsid w:val="00F06473"/>
    <w:rsid w:val="00F11289"/>
    <w:rsid w:val="00F11371"/>
    <w:rsid w:val="00F113A9"/>
    <w:rsid w:val="00F11996"/>
    <w:rsid w:val="00F12CC4"/>
    <w:rsid w:val="00F13095"/>
    <w:rsid w:val="00F13DD4"/>
    <w:rsid w:val="00F147F1"/>
    <w:rsid w:val="00F14DBA"/>
    <w:rsid w:val="00F1572D"/>
    <w:rsid w:val="00F15F0F"/>
    <w:rsid w:val="00F171CF"/>
    <w:rsid w:val="00F17732"/>
    <w:rsid w:val="00F17F5E"/>
    <w:rsid w:val="00F208EF"/>
    <w:rsid w:val="00F20A37"/>
    <w:rsid w:val="00F2241A"/>
    <w:rsid w:val="00F224FB"/>
    <w:rsid w:val="00F22998"/>
    <w:rsid w:val="00F22D7B"/>
    <w:rsid w:val="00F22ED7"/>
    <w:rsid w:val="00F23362"/>
    <w:rsid w:val="00F234C8"/>
    <w:rsid w:val="00F234F5"/>
    <w:rsid w:val="00F23D33"/>
    <w:rsid w:val="00F2506B"/>
    <w:rsid w:val="00F25A37"/>
    <w:rsid w:val="00F25CB4"/>
    <w:rsid w:val="00F25CDE"/>
    <w:rsid w:val="00F26E49"/>
    <w:rsid w:val="00F26F13"/>
    <w:rsid w:val="00F314EB"/>
    <w:rsid w:val="00F31DA3"/>
    <w:rsid w:val="00F31EDC"/>
    <w:rsid w:val="00F31F58"/>
    <w:rsid w:val="00F32022"/>
    <w:rsid w:val="00F32559"/>
    <w:rsid w:val="00F327E6"/>
    <w:rsid w:val="00F32A26"/>
    <w:rsid w:val="00F32D22"/>
    <w:rsid w:val="00F335D7"/>
    <w:rsid w:val="00F33A69"/>
    <w:rsid w:val="00F34463"/>
    <w:rsid w:val="00F353B2"/>
    <w:rsid w:val="00F356F4"/>
    <w:rsid w:val="00F35857"/>
    <w:rsid w:val="00F35B65"/>
    <w:rsid w:val="00F36088"/>
    <w:rsid w:val="00F36725"/>
    <w:rsid w:val="00F36BF4"/>
    <w:rsid w:val="00F37051"/>
    <w:rsid w:val="00F401A6"/>
    <w:rsid w:val="00F4037E"/>
    <w:rsid w:val="00F42320"/>
    <w:rsid w:val="00F4262C"/>
    <w:rsid w:val="00F428B9"/>
    <w:rsid w:val="00F42938"/>
    <w:rsid w:val="00F42ECA"/>
    <w:rsid w:val="00F42F72"/>
    <w:rsid w:val="00F4322F"/>
    <w:rsid w:val="00F43CFC"/>
    <w:rsid w:val="00F4417D"/>
    <w:rsid w:val="00F44A50"/>
    <w:rsid w:val="00F45273"/>
    <w:rsid w:val="00F452D0"/>
    <w:rsid w:val="00F45828"/>
    <w:rsid w:val="00F458A9"/>
    <w:rsid w:val="00F458D7"/>
    <w:rsid w:val="00F45CB0"/>
    <w:rsid w:val="00F45E83"/>
    <w:rsid w:val="00F46332"/>
    <w:rsid w:val="00F46B1E"/>
    <w:rsid w:val="00F47034"/>
    <w:rsid w:val="00F4711F"/>
    <w:rsid w:val="00F4715F"/>
    <w:rsid w:val="00F5033A"/>
    <w:rsid w:val="00F50539"/>
    <w:rsid w:val="00F50C4F"/>
    <w:rsid w:val="00F5182D"/>
    <w:rsid w:val="00F518A3"/>
    <w:rsid w:val="00F51FF9"/>
    <w:rsid w:val="00F539C6"/>
    <w:rsid w:val="00F53A02"/>
    <w:rsid w:val="00F53AD9"/>
    <w:rsid w:val="00F53B9E"/>
    <w:rsid w:val="00F53E0E"/>
    <w:rsid w:val="00F546D1"/>
    <w:rsid w:val="00F546EE"/>
    <w:rsid w:val="00F54FC0"/>
    <w:rsid w:val="00F55516"/>
    <w:rsid w:val="00F55796"/>
    <w:rsid w:val="00F5771F"/>
    <w:rsid w:val="00F579D6"/>
    <w:rsid w:val="00F57A0B"/>
    <w:rsid w:val="00F57A42"/>
    <w:rsid w:val="00F57DDB"/>
    <w:rsid w:val="00F60A13"/>
    <w:rsid w:val="00F612C9"/>
    <w:rsid w:val="00F61DB0"/>
    <w:rsid w:val="00F62627"/>
    <w:rsid w:val="00F6282F"/>
    <w:rsid w:val="00F62D8C"/>
    <w:rsid w:val="00F63085"/>
    <w:rsid w:val="00F631DB"/>
    <w:rsid w:val="00F636C0"/>
    <w:rsid w:val="00F638C8"/>
    <w:rsid w:val="00F63D7A"/>
    <w:rsid w:val="00F64111"/>
    <w:rsid w:val="00F644B2"/>
    <w:rsid w:val="00F645C9"/>
    <w:rsid w:val="00F64D2D"/>
    <w:rsid w:val="00F651A3"/>
    <w:rsid w:val="00F65A0F"/>
    <w:rsid w:val="00F65EB2"/>
    <w:rsid w:val="00F660DB"/>
    <w:rsid w:val="00F66126"/>
    <w:rsid w:val="00F664D5"/>
    <w:rsid w:val="00F676B3"/>
    <w:rsid w:val="00F67854"/>
    <w:rsid w:val="00F67F86"/>
    <w:rsid w:val="00F67FAC"/>
    <w:rsid w:val="00F7067D"/>
    <w:rsid w:val="00F708D5"/>
    <w:rsid w:val="00F70F43"/>
    <w:rsid w:val="00F71247"/>
    <w:rsid w:val="00F71D9D"/>
    <w:rsid w:val="00F72243"/>
    <w:rsid w:val="00F72974"/>
    <w:rsid w:val="00F743AE"/>
    <w:rsid w:val="00F74EA5"/>
    <w:rsid w:val="00F74FE1"/>
    <w:rsid w:val="00F75225"/>
    <w:rsid w:val="00F75330"/>
    <w:rsid w:val="00F75EF4"/>
    <w:rsid w:val="00F76412"/>
    <w:rsid w:val="00F76864"/>
    <w:rsid w:val="00F76946"/>
    <w:rsid w:val="00F76DB8"/>
    <w:rsid w:val="00F80ED6"/>
    <w:rsid w:val="00F81000"/>
    <w:rsid w:val="00F8187B"/>
    <w:rsid w:val="00F81C59"/>
    <w:rsid w:val="00F82429"/>
    <w:rsid w:val="00F8303C"/>
    <w:rsid w:val="00F8380F"/>
    <w:rsid w:val="00F8492A"/>
    <w:rsid w:val="00F849A9"/>
    <w:rsid w:val="00F84C87"/>
    <w:rsid w:val="00F85568"/>
    <w:rsid w:val="00F87A7F"/>
    <w:rsid w:val="00F87B7C"/>
    <w:rsid w:val="00F90647"/>
    <w:rsid w:val="00F908C0"/>
    <w:rsid w:val="00F908F4"/>
    <w:rsid w:val="00F91CE8"/>
    <w:rsid w:val="00F929D5"/>
    <w:rsid w:val="00F933A3"/>
    <w:rsid w:val="00F9344D"/>
    <w:rsid w:val="00F93DC5"/>
    <w:rsid w:val="00F941DE"/>
    <w:rsid w:val="00F94308"/>
    <w:rsid w:val="00F94CC9"/>
    <w:rsid w:val="00F950AE"/>
    <w:rsid w:val="00F957AB"/>
    <w:rsid w:val="00F95EA2"/>
    <w:rsid w:val="00F96084"/>
    <w:rsid w:val="00F965E0"/>
    <w:rsid w:val="00F9713A"/>
    <w:rsid w:val="00F972D8"/>
    <w:rsid w:val="00F977EF"/>
    <w:rsid w:val="00FA13E3"/>
    <w:rsid w:val="00FA272F"/>
    <w:rsid w:val="00FA2FA8"/>
    <w:rsid w:val="00FA42CE"/>
    <w:rsid w:val="00FA4E81"/>
    <w:rsid w:val="00FA596B"/>
    <w:rsid w:val="00FB14B5"/>
    <w:rsid w:val="00FB14C3"/>
    <w:rsid w:val="00FB1818"/>
    <w:rsid w:val="00FB181B"/>
    <w:rsid w:val="00FB19F1"/>
    <w:rsid w:val="00FB2903"/>
    <w:rsid w:val="00FB2C73"/>
    <w:rsid w:val="00FB2C8E"/>
    <w:rsid w:val="00FB2CFB"/>
    <w:rsid w:val="00FB3782"/>
    <w:rsid w:val="00FB37D0"/>
    <w:rsid w:val="00FB3EB8"/>
    <w:rsid w:val="00FB3EC5"/>
    <w:rsid w:val="00FB3F78"/>
    <w:rsid w:val="00FB47F6"/>
    <w:rsid w:val="00FB4FCF"/>
    <w:rsid w:val="00FB5AFD"/>
    <w:rsid w:val="00FB6C30"/>
    <w:rsid w:val="00FB7F93"/>
    <w:rsid w:val="00FC0292"/>
    <w:rsid w:val="00FC056C"/>
    <w:rsid w:val="00FC096D"/>
    <w:rsid w:val="00FC0C91"/>
    <w:rsid w:val="00FC16A1"/>
    <w:rsid w:val="00FC295F"/>
    <w:rsid w:val="00FC3442"/>
    <w:rsid w:val="00FC3D20"/>
    <w:rsid w:val="00FC5F16"/>
    <w:rsid w:val="00FC6C56"/>
    <w:rsid w:val="00FC6E44"/>
    <w:rsid w:val="00FD0990"/>
    <w:rsid w:val="00FD40A8"/>
    <w:rsid w:val="00FD432B"/>
    <w:rsid w:val="00FD484C"/>
    <w:rsid w:val="00FD4A66"/>
    <w:rsid w:val="00FD4CFB"/>
    <w:rsid w:val="00FD509D"/>
    <w:rsid w:val="00FD5718"/>
    <w:rsid w:val="00FD5C47"/>
    <w:rsid w:val="00FD5C88"/>
    <w:rsid w:val="00FD628F"/>
    <w:rsid w:val="00FD6C2A"/>
    <w:rsid w:val="00FD7A62"/>
    <w:rsid w:val="00FE0847"/>
    <w:rsid w:val="00FE0B57"/>
    <w:rsid w:val="00FE0CA0"/>
    <w:rsid w:val="00FE10A0"/>
    <w:rsid w:val="00FE13F2"/>
    <w:rsid w:val="00FE1E0E"/>
    <w:rsid w:val="00FE2516"/>
    <w:rsid w:val="00FE2BC9"/>
    <w:rsid w:val="00FE2BF9"/>
    <w:rsid w:val="00FE399C"/>
    <w:rsid w:val="00FE40B4"/>
    <w:rsid w:val="00FE40F2"/>
    <w:rsid w:val="00FE477D"/>
    <w:rsid w:val="00FE4DA2"/>
    <w:rsid w:val="00FE50A1"/>
    <w:rsid w:val="00FE5388"/>
    <w:rsid w:val="00FE6840"/>
    <w:rsid w:val="00FE6F34"/>
    <w:rsid w:val="00FE6F51"/>
    <w:rsid w:val="00FE7061"/>
    <w:rsid w:val="00FE79A8"/>
    <w:rsid w:val="00FE7CAD"/>
    <w:rsid w:val="00FF0EB2"/>
    <w:rsid w:val="00FF108A"/>
    <w:rsid w:val="00FF1944"/>
    <w:rsid w:val="00FF1E33"/>
    <w:rsid w:val="00FF1E34"/>
    <w:rsid w:val="00FF21AE"/>
    <w:rsid w:val="00FF23B4"/>
    <w:rsid w:val="00FF2789"/>
    <w:rsid w:val="00FF28E9"/>
    <w:rsid w:val="00FF362D"/>
    <w:rsid w:val="00FF377E"/>
    <w:rsid w:val="00FF4201"/>
    <w:rsid w:val="00FF426B"/>
    <w:rsid w:val="00FF4784"/>
    <w:rsid w:val="00FF48D2"/>
    <w:rsid w:val="00FF5474"/>
    <w:rsid w:val="00FF5657"/>
    <w:rsid w:val="00FF5B00"/>
    <w:rsid w:val="00FF62BE"/>
    <w:rsid w:val="00FF663A"/>
    <w:rsid w:val="00FF6D61"/>
    <w:rsid w:val="00FF70AB"/>
    <w:rsid w:val="00FF71A6"/>
    <w:rsid w:val="00FF72B2"/>
    <w:rsid w:val="00FF743B"/>
    <w:rsid w:val="00FF7720"/>
    <w:rsid w:val="00FF7B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637136-5FC6-4980-B7C2-FD5EB421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FF1"/>
    <w:rPr>
      <w:sz w:val="28"/>
      <w:szCs w:val="22"/>
      <w:lang w:eastAsia="en-US"/>
    </w:rPr>
  </w:style>
  <w:style w:type="paragraph" w:styleId="Heading1">
    <w:name w:val="heading 1"/>
    <w:basedOn w:val="Normal"/>
    <w:next w:val="Normal"/>
    <w:link w:val="Heading1Char"/>
    <w:uiPriority w:val="9"/>
    <w:qFormat/>
    <w:rsid w:val="006F04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04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D52D8"/>
    <w:pPr>
      <w:keepNext/>
      <w:jc w:val="center"/>
      <w:outlineLvl w:val="2"/>
    </w:pPr>
    <w:rPr>
      <w:rFonts w:eastAsia="Times New Roman"/>
      <w:i/>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2D8"/>
    <w:rPr>
      <w:color w:val="0000FF"/>
      <w:u w:val="single"/>
    </w:rPr>
  </w:style>
  <w:style w:type="paragraph" w:customStyle="1" w:styleId="naisnod">
    <w:name w:val="naisnod"/>
    <w:basedOn w:val="Normal"/>
    <w:rsid w:val="00BD52D8"/>
    <w:pPr>
      <w:spacing w:before="100" w:beforeAutospacing="1" w:after="100" w:afterAutospacing="1"/>
    </w:pPr>
    <w:rPr>
      <w:rFonts w:eastAsia="Times New Roman"/>
      <w:sz w:val="24"/>
      <w:szCs w:val="24"/>
      <w:lang w:eastAsia="lv-LV"/>
    </w:rPr>
  </w:style>
  <w:style w:type="paragraph" w:customStyle="1" w:styleId="naisf">
    <w:name w:val="naisf"/>
    <w:basedOn w:val="Normal"/>
    <w:rsid w:val="00BD52D8"/>
    <w:pPr>
      <w:spacing w:before="100" w:beforeAutospacing="1" w:after="100" w:afterAutospacing="1"/>
    </w:pPr>
    <w:rPr>
      <w:rFonts w:eastAsia="Times New Roman"/>
      <w:sz w:val="24"/>
      <w:szCs w:val="24"/>
      <w:lang w:eastAsia="lv-LV"/>
    </w:rPr>
  </w:style>
  <w:style w:type="paragraph" w:customStyle="1" w:styleId="naisc">
    <w:name w:val="naisc"/>
    <w:basedOn w:val="Normal"/>
    <w:rsid w:val="00BD52D8"/>
    <w:pPr>
      <w:spacing w:before="100" w:beforeAutospacing="1" w:after="100" w:afterAutospacing="1"/>
    </w:pPr>
    <w:rPr>
      <w:rFonts w:eastAsia="Times New Roman"/>
      <w:sz w:val="24"/>
      <w:szCs w:val="24"/>
      <w:lang w:eastAsia="lv-LV"/>
    </w:rPr>
  </w:style>
  <w:style w:type="paragraph" w:customStyle="1" w:styleId="naiskr">
    <w:name w:val="naiskr"/>
    <w:basedOn w:val="Normal"/>
    <w:rsid w:val="00BD52D8"/>
    <w:pPr>
      <w:spacing w:before="100" w:beforeAutospacing="1" w:after="100" w:afterAutospacing="1"/>
    </w:pPr>
    <w:rPr>
      <w:rFonts w:eastAsia="Times New Roman"/>
      <w:sz w:val="24"/>
      <w:szCs w:val="24"/>
      <w:lang w:eastAsia="lv-LV"/>
    </w:rPr>
  </w:style>
  <w:style w:type="paragraph" w:customStyle="1" w:styleId="naislab">
    <w:name w:val="naislab"/>
    <w:basedOn w:val="Normal"/>
    <w:rsid w:val="00BD52D8"/>
    <w:pPr>
      <w:spacing w:before="100" w:beforeAutospacing="1" w:after="100" w:afterAutospacing="1"/>
    </w:pPr>
    <w:rPr>
      <w:rFonts w:eastAsia="Times New Roman"/>
      <w:sz w:val="24"/>
      <w:szCs w:val="24"/>
      <w:lang w:eastAsia="lv-LV"/>
    </w:rPr>
  </w:style>
  <w:style w:type="character" w:customStyle="1" w:styleId="Heading3Char">
    <w:name w:val="Heading 3 Char"/>
    <w:link w:val="Heading3"/>
    <w:rsid w:val="00BD52D8"/>
    <w:rPr>
      <w:rFonts w:eastAsia="Times New Roman" w:cs="Times New Roman"/>
      <w:i/>
      <w:sz w:val="32"/>
      <w:szCs w:val="20"/>
    </w:rPr>
  </w:style>
  <w:style w:type="table" w:styleId="TableGrid">
    <w:name w:val="Table Grid"/>
    <w:basedOn w:val="TableNormal"/>
    <w:uiPriority w:val="59"/>
    <w:rsid w:val="004840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nhideWhenUsed/>
    <w:rsid w:val="004840E5"/>
    <w:pPr>
      <w:spacing w:after="120"/>
      <w:ind w:left="1440" w:right="1440"/>
    </w:pPr>
    <w:rPr>
      <w:rFonts w:eastAsia="Times New Roman"/>
      <w:szCs w:val="20"/>
    </w:rPr>
  </w:style>
  <w:style w:type="paragraph" w:customStyle="1" w:styleId="mans">
    <w:name w:val="mans"/>
    <w:basedOn w:val="Normal"/>
    <w:qFormat/>
    <w:rsid w:val="004840E5"/>
    <w:pPr>
      <w:spacing w:before="240" w:after="240"/>
      <w:ind w:firstLine="567"/>
      <w:jc w:val="both"/>
    </w:pPr>
    <w:rPr>
      <w:rFonts w:eastAsia="Times New Roman"/>
      <w:szCs w:val="24"/>
      <w:lang w:val="en-GB"/>
    </w:rPr>
  </w:style>
  <w:style w:type="paragraph" w:styleId="Header">
    <w:name w:val="header"/>
    <w:basedOn w:val="Normal"/>
    <w:link w:val="HeaderChar"/>
    <w:unhideWhenUsed/>
    <w:rsid w:val="00B70481"/>
    <w:pPr>
      <w:tabs>
        <w:tab w:val="center" w:pos="4153"/>
        <w:tab w:val="right" w:pos="8306"/>
      </w:tabs>
    </w:pPr>
  </w:style>
  <w:style w:type="character" w:customStyle="1" w:styleId="HeaderChar">
    <w:name w:val="Header Char"/>
    <w:basedOn w:val="DefaultParagraphFont"/>
    <w:link w:val="Header"/>
    <w:uiPriority w:val="99"/>
    <w:rsid w:val="00B70481"/>
  </w:style>
  <w:style w:type="paragraph" w:styleId="Footer">
    <w:name w:val="footer"/>
    <w:basedOn w:val="Normal"/>
    <w:link w:val="FooterChar"/>
    <w:uiPriority w:val="99"/>
    <w:unhideWhenUsed/>
    <w:rsid w:val="00B70481"/>
    <w:pPr>
      <w:tabs>
        <w:tab w:val="center" w:pos="4153"/>
        <w:tab w:val="right" w:pos="8306"/>
      </w:tabs>
    </w:pPr>
  </w:style>
  <w:style w:type="character" w:customStyle="1" w:styleId="FooterChar">
    <w:name w:val="Footer Char"/>
    <w:basedOn w:val="DefaultParagraphFont"/>
    <w:link w:val="Footer"/>
    <w:uiPriority w:val="99"/>
    <w:rsid w:val="00B70481"/>
  </w:style>
  <w:style w:type="paragraph" w:styleId="BalloonText">
    <w:name w:val="Balloon Text"/>
    <w:basedOn w:val="Normal"/>
    <w:link w:val="BalloonTextChar"/>
    <w:uiPriority w:val="99"/>
    <w:semiHidden/>
    <w:unhideWhenUsed/>
    <w:rsid w:val="00F67854"/>
    <w:rPr>
      <w:rFonts w:ascii="Tahoma" w:hAnsi="Tahoma"/>
      <w:sz w:val="16"/>
      <w:szCs w:val="16"/>
      <w:lang w:val="x-none"/>
    </w:rPr>
  </w:style>
  <w:style w:type="character" w:customStyle="1" w:styleId="BalloonTextChar">
    <w:name w:val="Balloon Text Char"/>
    <w:link w:val="BalloonText"/>
    <w:uiPriority w:val="99"/>
    <w:semiHidden/>
    <w:rsid w:val="00F67854"/>
    <w:rPr>
      <w:rFonts w:ascii="Tahoma" w:hAnsi="Tahoma" w:cs="Tahoma"/>
      <w:sz w:val="16"/>
      <w:szCs w:val="16"/>
      <w:lang w:eastAsia="en-US"/>
    </w:rPr>
  </w:style>
  <w:style w:type="paragraph" w:styleId="NoSpacing">
    <w:name w:val="No Spacing"/>
    <w:uiPriority w:val="1"/>
    <w:qFormat/>
    <w:rsid w:val="00D364C9"/>
    <w:rPr>
      <w:rFonts w:eastAsia="Times New Roman"/>
      <w:sz w:val="24"/>
      <w:szCs w:val="24"/>
      <w:lang w:val="en-GB" w:eastAsia="en-US"/>
    </w:rPr>
  </w:style>
  <w:style w:type="paragraph" w:styleId="BodyTextIndent">
    <w:name w:val="Body Text Indent"/>
    <w:basedOn w:val="Normal"/>
    <w:link w:val="BodyTextIndentChar"/>
    <w:uiPriority w:val="99"/>
    <w:semiHidden/>
    <w:unhideWhenUsed/>
    <w:rsid w:val="000E3105"/>
    <w:pPr>
      <w:spacing w:after="120"/>
      <w:ind w:left="283"/>
    </w:pPr>
    <w:rPr>
      <w:lang w:val="x-none"/>
    </w:rPr>
  </w:style>
  <w:style w:type="character" w:customStyle="1" w:styleId="BodyTextIndentChar">
    <w:name w:val="Body Text Indent Char"/>
    <w:link w:val="BodyTextIndent"/>
    <w:uiPriority w:val="99"/>
    <w:semiHidden/>
    <w:rsid w:val="000E3105"/>
    <w:rPr>
      <w:sz w:val="28"/>
      <w:szCs w:val="22"/>
      <w:lang w:eastAsia="en-US"/>
    </w:rPr>
  </w:style>
  <w:style w:type="numbering" w:customStyle="1" w:styleId="Style1">
    <w:name w:val="Style1"/>
    <w:uiPriority w:val="99"/>
    <w:rsid w:val="000E3105"/>
    <w:pPr>
      <w:numPr>
        <w:numId w:val="1"/>
      </w:numPr>
    </w:pPr>
  </w:style>
  <w:style w:type="paragraph" w:styleId="ListParagraph">
    <w:name w:val="List Paragraph"/>
    <w:aliases w:val="2,Akapit z listą BS,H&amp;P List Paragraph,Strip,Saraksta rindkopa1,Numbered Para 1,Dot pt,No Spacing1,List Paragraph Char Char Char,Indicator Text,List Paragraph1,Bullet 1,Bullet Points,MAIN CONTENT,IFCL - List Paragraph,List Paragraph12"/>
    <w:basedOn w:val="Normal"/>
    <w:link w:val="ListParagraphChar"/>
    <w:uiPriority w:val="34"/>
    <w:qFormat/>
    <w:rsid w:val="00556D6B"/>
    <w:pPr>
      <w:spacing w:after="200" w:line="276" w:lineRule="auto"/>
      <w:ind w:left="720"/>
      <w:contextualSpacing/>
    </w:pPr>
    <w:rPr>
      <w:rFonts w:ascii="Calibri" w:hAnsi="Calibri"/>
      <w:sz w:val="22"/>
    </w:rPr>
  </w:style>
  <w:style w:type="paragraph" w:styleId="BodyText2">
    <w:name w:val="Body Text 2"/>
    <w:basedOn w:val="Normal"/>
    <w:link w:val="BodyText2Char"/>
    <w:uiPriority w:val="99"/>
    <w:unhideWhenUsed/>
    <w:rsid w:val="007F61D6"/>
    <w:pPr>
      <w:spacing w:after="120" w:line="480" w:lineRule="auto"/>
    </w:pPr>
    <w:rPr>
      <w:lang w:val="x-none"/>
    </w:rPr>
  </w:style>
  <w:style w:type="character" w:customStyle="1" w:styleId="BodyText2Char">
    <w:name w:val="Body Text 2 Char"/>
    <w:link w:val="BodyText2"/>
    <w:uiPriority w:val="99"/>
    <w:rsid w:val="007F61D6"/>
    <w:rPr>
      <w:sz w:val="28"/>
      <w:szCs w:val="22"/>
      <w:lang w:eastAsia="en-US"/>
    </w:rPr>
  </w:style>
  <w:style w:type="character" w:styleId="Strong">
    <w:name w:val="Strong"/>
    <w:uiPriority w:val="22"/>
    <w:qFormat/>
    <w:rsid w:val="00382CF8"/>
    <w:rPr>
      <w:rFonts w:ascii="Garamond" w:hAnsi="Garamond"/>
      <w:b/>
      <w:bCs/>
      <w:noProof w:val="0"/>
      <w:lang w:val="lv-LV"/>
    </w:rPr>
  </w:style>
  <w:style w:type="paragraph" w:customStyle="1" w:styleId="naispant">
    <w:name w:val="naispant"/>
    <w:basedOn w:val="Normal"/>
    <w:rsid w:val="00507856"/>
    <w:pPr>
      <w:spacing w:before="225" w:after="75"/>
      <w:ind w:left="375" w:firstLine="375"/>
      <w:jc w:val="both"/>
    </w:pPr>
    <w:rPr>
      <w:rFonts w:eastAsia="Times New Roman"/>
      <w:b/>
      <w:bCs/>
      <w:sz w:val="24"/>
      <w:szCs w:val="24"/>
      <w:lang w:eastAsia="lv-LV"/>
    </w:rPr>
  </w:style>
  <w:style w:type="paragraph" w:customStyle="1" w:styleId="Normal1">
    <w:name w:val="Normal1"/>
    <w:basedOn w:val="Normal"/>
    <w:rsid w:val="00422F96"/>
    <w:pPr>
      <w:spacing w:before="100" w:beforeAutospacing="1" w:after="100" w:afterAutospacing="1"/>
    </w:pPr>
    <w:rPr>
      <w:rFonts w:eastAsia="Times New Roman"/>
      <w:sz w:val="24"/>
      <w:szCs w:val="24"/>
      <w:lang w:eastAsia="lv-LV"/>
    </w:rPr>
  </w:style>
  <w:style w:type="character" w:styleId="CommentReference">
    <w:name w:val="annotation reference"/>
    <w:uiPriority w:val="99"/>
    <w:unhideWhenUsed/>
    <w:rsid w:val="00221002"/>
    <w:rPr>
      <w:sz w:val="16"/>
      <w:szCs w:val="16"/>
    </w:rPr>
  </w:style>
  <w:style w:type="paragraph" w:styleId="CommentText">
    <w:name w:val="annotation text"/>
    <w:basedOn w:val="Normal"/>
    <w:link w:val="CommentTextChar"/>
    <w:uiPriority w:val="99"/>
    <w:unhideWhenUsed/>
    <w:rsid w:val="00221002"/>
    <w:rPr>
      <w:sz w:val="20"/>
      <w:szCs w:val="20"/>
      <w:lang w:val="x-none"/>
    </w:rPr>
  </w:style>
  <w:style w:type="character" w:customStyle="1" w:styleId="CommentTextChar">
    <w:name w:val="Comment Text Char"/>
    <w:link w:val="CommentText"/>
    <w:uiPriority w:val="99"/>
    <w:rsid w:val="00221002"/>
    <w:rPr>
      <w:lang w:eastAsia="en-US"/>
    </w:rPr>
  </w:style>
  <w:style w:type="paragraph" w:styleId="CommentSubject">
    <w:name w:val="annotation subject"/>
    <w:basedOn w:val="CommentText"/>
    <w:next w:val="CommentText"/>
    <w:link w:val="CommentSubjectChar"/>
    <w:uiPriority w:val="99"/>
    <w:semiHidden/>
    <w:unhideWhenUsed/>
    <w:rsid w:val="00221002"/>
    <w:rPr>
      <w:b/>
      <w:bCs/>
    </w:rPr>
  </w:style>
  <w:style w:type="character" w:customStyle="1" w:styleId="CommentSubjectChar">
    <w:name w:val="Comment Subject Char"/>
    <w:link w:val="CommentSubject"/>
    <w:uiPriority w:val="99"/>
    <w:semiHidden/>
    <w:rsid w:val="00221002"/>
    <w:rPr>
      <w:b/>
      <w:bCs/>
      <w:lang w:eastAsia="en-US"/>
    </w:rPr>
  </w:style>
  <w:style w:type="paragraph" w:customStyle="1" w:styleId="naisvisr">
    <w:name w:val="naisvisr"/>
    <w:basedOn w:val="Normal"/>
    <w:rsid w:val="007C44DD"/>
    <w:pPr>
      <w:spacing w:before="150" w:after="150"/>
      <w:jc w:val="center"/>
    </w:pPr>
    <w:rPr>
      <w:rFonts w:eastAsia="Times New Roman"/>
      <w:b/>
      <w:bCs/>
      <w:szCs w:val="28"/>
      <w:lang w:eastAsia="lv-LV"/>
    </w:rPr>
  </w:style>
  <w:style w:type="paragraph" w:customStyle="1" w:styleId="Bezatstarpm1">
    <w:name w:val="Bez atstarpēm1"/>
    <w:qFormat/>
    <w:rsid w:val="00A228FF"/>
    <w:rPr>
      <w:rFonts w:eastAsia="Times New Roman"/>
      <w:lang w:eastAsia="en-US"/>
    </w:rPr>
  </w:style>
  <w:style w:type="paragraph" w:styleId="HTMLPreformatted">
    <w:name w:val="HTML Preformatted"/>
    <w:basedOn w:val="Normal"/>
    <w:link w:val="HTMLPreformattedChar"/>
    <w:uiPriority w:val="99"/>
    <w:unhideWhenUsed/>
    <w:rsid w:val="00F0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ja-JP"/>
    </w:rPr>
  </w:style>
  <w:style w:type="character" w:customStyle="1" w:styleId="HTMLPreformattedChar">
    <w:name w:val="HTML Preformatted Char"/>
    <w:link w:val="HTMLPreformatted"/>
    <w:uiPriority w:val="99"/>
    <w:rsid w:val="00F02A26"/>
    <w:rPr>
      <w:rFonts w:ascii="Courier New" w:eastAsia="Times New Roman" w:hAnsi="Courier New" w:cs="Courier New"/>
      <w:lang w:eastAsia="ja-JP"/>
    </w:rPr>
  </w:style>
  <w:style w:type="paragraph" w:customStyle="1" w:styleId="Saturardtjs">
    <w:name w:val="Satura rādītājs"/>
    <w:basedOn w:val="Normal"/>
    <w:rsid w:val="002308B9"/>
    <w:pPr>
      <w:widowControl w:val="0"/>
      <w:suppressLineNumbers/>
      <w:suppressAutoHyphens/>
    </w:pPr>
    <w:rPr>
      <w:rFonts w:eastAsia="SimSun" w:cs="Mangal"/>
      <w:kern w:val="1"/>
      <w:sz w:val="24"/>
      <w:szCs w:val="24"/>
      <w:lang w:eastAsia="hi-IN" w:bidi="hi-IN"/>
    </w:rPr>
  </w:style>
  <w:style w:type="paragraph" w:customStyle="1" w:styleId="tv213">
    <w:name w:val="tv213"/>
    <w:basedOn w:val="Normal"/>
    <w:rsid w:val="00D112F8"/>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E86D8B"/>
    <w:pPr>
      <w:spacing w:before="100" w:beforeAutospacing="1" w:after="100" w:afterAutospacing="1"/>
    </w:pPr>
    <w:rPr>
      <w:sz w:val="24"/>
      <w:szCs w:val="24"/>
      <w:lang w:eastAsia="lv-LV"/>
    </w:rPr>
  </w:style>
  <w:style w:type="character" w:styleId="Emphasis">
    <w:name w:val="Emphasis"/>
    <w:uiPriority w:val="20"/>
    <w:qFormat/>
    <w:rsid w:val="00E86D8B"/>
    <w:rPr>
      <w:i/>
      <w:iCs/>
    </w:rPr>
  </w:style>
  <w:style w:type="paragraph" w:styleId="BodyTextIndent3">
    <w:name w:val="Body Text Indent 3"/>
    <w:basedOn w:val="Normal"/>
    <w:link w:val="BodyTextIndent3Char"/>
    <w:uiPriority w:val="99"/>
    <w:semiHidden/>
    <w:unhideWhenUsed/>
    <w:rsid w:val="00E6002B"/>
    <w:pPr>
      <w:spacing w:after="120"/>
      <w:ind w:left="283"/>
    </w:pPr>
    <w:rPr>
      <w:sz w:val="16"/>
      <w:szCs w:val="16"/>
    </w:rPr>
  </w:style>
  <w:style w:type="character" w:customStyle="1" w:styleId="BodyTextIndent3Char">
    <w:name w:val="Body Text Indent 3 Char"/>
    <w:link w:val="BodyTextIndent3"/>
    <w:uiPriority w:val="99"/>
    <w:semiHidden/>
    <w:rsid w:val="00E6002B"/>
    <w:rPr>
      <w:sz w:val="16"/>
      <w:szCs w:val="16"/>
      <w:lang w:eastAsia="en-US"/>
    </w:rPr>
  </w:style>
  <w:style w:type="character" w:customStyle="1" w:styleId="apple-converted-space">
    <w:name w:val="apple-converted-space"/>
    <w:basedOn w:val="DefaultParagraphFont"/>
    <w:rsid w:val="005B51C6"/>
  </w:style>
  <w:style w:type="paragraph" w:customStyle="1" w:styleId="tv2133">
    <w:name w:val="tv2133"/>
    <w:basedOn w:val="Normal"/>
    <w:rsid w:val="00A65B79"/>
    <w:pPr>
      <w:spacing w:line="360" w:lineRule="auto"/>
      <w:ind w:firstLine="300"/>
    </w:pPr>
    <w:rPr>
      <w:rFonts w:eastAsia="Times New Roman"/>
      <w:color w:val="414142"/>
      <w:sz w:val="20"/>
      <w:szCs w:val="20"/>
      <w:lang w:eastAsia="lv-LV"/>
    </w:rPr>
  </w:style>
  <w:style w:type="character" w:customStyle="1" w:styleId="ListParagraphChar">
    <w:name w:val="List Paragraph Char"/>
    <w:aliases w:val="2 Char,Akapit z listą BS Char,H&amp;P List Paragraph Char,Strip Char,Saraksta rindkopa1 Char,Numbered Para 1 Char,Dot pt Char,No Spacing1 Char,List Paragraph Char Char Char Char,Indicator Text Char,List Paragraph1 Char,Bullet 1 Char"/>
    <w:link w:val="ListParagraph"/>
    <w:uiPriority w:val="34"/>
    <w:qFormat/>
    <w:rsid w:val="00F81000"/>
    <w:rPr>
      <w:rFonts w:ascii="Calibri" w:hAnsi="Calibri"/>
      <w:sz w:val="22"/>
      <w:szCs w:val="22"/>
      <w:lang w:eastAsia="en-US"/>
    </w:rPr>
  </w:style>
  <w:style w:type="character" w:customStyle="1" w:styleId="Bodytext">
    <w:name w:val="Body text_"/>
    <w:basedOn w:val="DefaultParagraphFont"/>
    <w:link w:val="BodyText20"/>
    <w:rsid w:val="00A16854"/>
    <w:rPr>
      <w:rFonts w:ascii="Calibri" w:hAnsi="Calibri" w:cs="Calibri"/>
      <w:sz w:val="19"/>
      <w:szCs w:val="19"/>
      <w:shd w:val="clear" w:color="auto" w:fill="FFFFFF"/>
    </w:rPr>
  </w:style>
  <w:style w:type="character" w:customStyle="1" w:styleId="Bodytext4">
    <w:name w:val="Body text (4)_"/>
    <w:basedOn w:val="DefaultParagraphFont"/>
    <w:link w:val="Bodytext40"/>
    <w:rsid w:val="00A16854"/>
    <w:rPr>
      <w:rFonts w:ascii="Calibri" w:hAnsi="Calibri" w:cs="Calibri"/>
      <w:b/>
      <w:bCs/>
      <w:sz w:val="19"/>
      <w:szCs w:val="19"/>
      <w:shd w:val="clear" w:color="auto" w:fill="FFFFFF"/>
    </w:rPr>
  </w:style>
  <w:style w:type="character" w:customStyle="1" w:styleId="BodytextBold">
    <w:name w:val="Body text + Bold"/>
    <w:basedOn w:val="Bodytext"/>
    <w:rsid w:val="00A16854"/>
    <w:rPr>
      <w:rFonts w:ascii="Calibri" w:hAnsi="Calibri" w:cs="Calibri"/>
      <w:b/>
      <w:bCs/>
      <w:color w:val="000000"/>
      <w:spacing w:val="0"/>
      <w:w w:val="100"/>
      <w:position w:val="0"/>
      <w:sz w:val="19"/>
      <w:szCs w:val="19"/>
      <w:shd w:val="clear" w:color="auto" w:fill="FFFFFF"/>
      <w:lang w:val="lv-LV" w:eastAsia="lv-LV" w:bidi="lv-LV"/>
    </w:rPr>
  </w:style>
  <w:style w:type="paragraph" w:customStyle="1" w:styleId="BodyText20">
    <w:name w:val="Body Text2"/>
    <w:basedOn w:val="Normal"/>
    <w:link w:val="Bodytext"/>
    <w:rsid w:val="00A16854"/>
    <w:pPr>
      <w:widowControl w:val="0"/>
      <w:shd w:val="clear" w:color="auto" w:fill="FFFFFF"/>
      <w:spacing w:before="1320" w:line="0" w:lineRule="atLeast"/>
    </w:pPr>
    <w:rPr>
      <w:rFonts w:ascii="Calibri" w:hAnsi="Calibri" w:cs="Calibri"/>
      <w:sz w:val="19"/>
      <w:szCs w:val="19"/>
      <w:lang w:eastAsia="lv-LV"/>
    </w:rPr>
  </w:style>
  <w:style w:type="paragraph" w:customStyle="1" w:styleId="Bodytext40">
    <w:name w:val="Body text (4)"/>
    <w:basedOn w:val="Normal"/>
    <w:link w:val="Bodytext4"/>
    <w:rsid w:val="00A16854"/>
    <w:pPr>
      <w:widowControl w:val="0"/>
      <w:shd w:val="clear" w:color="auto" w:fill="FFFFFF"/>
      <w:spacing w:after="480" w:line="264" w:lineRule="exact"/>
      <w:jc w:val="right"/>
    </w:pPr>
    <w:rPr>
      <w:rFonts w:ascii="Calibri" w:hAnsi="Calibri" w:cs="Calibri"/>
      <w:b/>
      <w:bCs/>
      <w:sz w:val="19"/>
      <w:szCs w:val="19"/>
      <w:lang w:eastAsia="lv-LV"/>
    </w:rPr>
  </w:style>
  <w:style w:type="paragraph" w:customStyle="1" w:styleId="tv2132">
    <w:name w:val="tv2132"/>
    <w:basedOn w:val="Normal"/>
    <w:rsid w:val="00781385"/>
    <w:pPr>
      <w:spacing w:line="360" w:lineRule="auto"/>
      <w:ind w:firstLine="300"/>
    </w:pPr>
    <w:rPr>
      <w:rFonts w:eastAsia="Times New Roman"/>
      <w:color w:val="414142"/>
      <w:sz w:val="20"/>
      <w:szCs w:val="20"/>
      <w:lang w:eastAsia="lv-LV"/>
    </w:rPr>
  </w:style>
  <w:style w:type="character" w:customStyle="1" w:styleId="Heading1Char">
    <w:name w:val="Heading 1 Char"/>
    <w:basedOn w:val="DefaultParagraphFont"/>
    <w:link w:val="Heading1"/>
    <w:uiPriority w:val="9"/>
    <w:rsid w:val="006F0451"/>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semiHidden/>
    <w:rsid w:val="006F0451"/>
    <w:rPr>
      <w:rFonts w:asciiTheme="majorHAnsi" w:eastAsiaTheme="majorEastAsia" w:hAnsiTheme="majorHAnsi" w:cstheme="majorBidi"/>
      <w:color w:val="2E74B5" w:themeColor="accent1" w:themeShade="BF"/>
      <w:sz w:val="26"/>
      <w:szCs w:val="26"/>
      <w:lang w:eastAsia="en-US"/>
    </w:rPr>
  </w:style>
  <w:style w:type="character" w:styleId="FollowedHyperlink">
    <w:name w:val="FollowedHyperlink"/>
    <w:basedOn w:val="DefaultParagraphFont"/>
    <w:uiPriority w:val="99"/>
    <w:semiHidden/>
    <w:unhideWhenUsed/>
    <w:rsid w:val="00A17E2F"/>
    <w:rPr>
      <w:color w:val="954F72" w:themeColor="followedHyperlink"/>
      <w:u w:val="single"/>
    </w:rPr>
  </w:style>
  <w:style w:type="paragraph" w:styleId="Revision">
    <w:name w:val="Revision"/>
    <w:hidden/>
    <w:uiPriority w:val="99"/>
    <w:semiHidden/>
    <w:rsid w:val="00F64D2D"/>
    <w:rPr>
      <w:sz w:val="28"/>
      <w:szCs w:val="22"/>
      <w:lang w:eastAsia="en-US"/>
    </w:rPr>
  </w:style>
  <w:style w:type="paragraph" w:styleId="BodyText0">
    <w:name w:val="Body Text"/>
    <w:basedOn w:val="Normal"/>
    <w:link w:val="BodyTextChar"/>
    <w:uiPriority w:val="99"/>
    <w:semiHidden/>
    <w:unhideWhenUsed/>
    <w:rsid w:val="00CF69B7"/>
    <w:pPr>
      <w:spacing w:after="120"/>
    </w:pPr>
    <w:rPr>
      <w:rFonts w:eastAsia="Times New Roman"/>
      <w:sz w:val="24"/>
      <w:szCs w:val="24"/>
      <w:lang w:eastAsia="lv-LV"/>
    </w:rPr>
  </w:style>
  <w:style w:type="character" w:customStyle="1" w:styleId="BodyTextChar">
    <w:name w:val="Body Text Char"/>
    <w:basedOn w:val="DefaultParagraphFont"/>
    <w:link w:val="BodyText0"/>
    <w:uiPriority w:val="99"/>
    <w:semiHidden/>
    <w:rsid w:val="00CF69B7"/>
    <w:rPr>
      <w:rFonts w:eastAsia="Times New Roman"/>
      <w:sz w:val="24"/>
      <w:szCs w:val="24"/>
    </w:rPr>
  </w:style>
  <w:style w:type="paragraph" w:styleId="FootnoteText">
    <w:name w:val="footnote text"/>
    <w:aliases w:val="Footnote Text1,Char Char Char1,Char1,Char Char Char Char Char1,Char Char Char Char Char Char Char,Char Char Char Char Char Char Char Char Char,Char Char Char Char Char Char Char C Char,Footnote Text Char2 Char,Footnote,Footnote Char,Znak"/>
    <w:basedOn w:val="Normal"/>
    <w:link w:val="FootnoteTextChar"/>
    <w:uiPriority w:val="99"/>
    <w:unhideWhenUsed/>
    <w:qFormat/>
    <w:rsid w:val="004C5EE6"/>
    <w:rPr>
      <w:rFonts w:asciiTheme="minorHAnsi" w:eastAsiaTheme="minorHAnsi" w:hAnsiTheme="minorHAnsi" w:cstheme="minorBidi"/>
      <w:sz w:val="20"/>
      <w:szCs w:val="20"/>
      <w:lang w:val="en-GB"/>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Footnote Char1"/>
    <w:basedOn w:val="DefaultParagraphFont"/>
    <w:link w:val="FootnoteText"/>
    <w:uiPriority w:val="99"/>
    <w:rsid w:val="004C5EE6"/>
    <w:rPr>
      <w:rFonts w:asciiTheme="minorHAnsi" w:eastAsiaTheme="minorHAnsi" w:hAnsiTheme="minorHAnsi" w:cstheme="minorBidi"/>
      <w:lang w:val="en-GB" w:eastAsia="en-US"/>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basedOn w:val="DefaultParagraphFont"/>
    <w:link w:val="CharCharCharChar"/>
    <w:uiPriority w:val="99"/>
    <w:unhideWhenUsed/>
    <w:qFormat/>
    <w:rsid w:val="004C5EE6"/>
    <w:rPr>
      <w:vertAlign w:val="superscript"/>
    </w:rPr>
  </w:style>
  <w:style w:type="paragraph" w:styleId="Quote">
    <w:name w:val="Quote"/>
    <w:basedOn w:val="Normal"/>
    <w:next w:val="Normal"/>
    <w:link w:val="QuoteChar"/>
    <w:uiPriority w:val="29"/>
    <w:qFormat/>
    <w:rsid w:val="004C5EE6"/>
    <w:pPr>
      <w:spacing w:before="200" w:after="160"/>
      <w:ind w:left="864" w:right="864"/>
      <w:jc w:val="center"/>
    </w:pPr>
    <w:rPr>
      <w:rFonts w:asciiTheme="minorHAnsi" w:eastAsiaTheme="minorHAnsi" w:hAnsiTheme="minorHAnsi" w:cstheme="minorBidi"/>
      <w:i/>
      <w:iCs/>
      <w:color w:val="404040" w:themeColor="text1" w:themeTint="BF"/>
      <w:sz w:val="24"/>
      <w:szCs w:val="24"/>
      <w:lang w:val="en-GB"/>
    </w:rPr>
  </w:style>
  <w:style w:type="character" w:customStyle="1" w:styleId="QuoteChar">
    <w:name w:val="Quote Char"/>
    <w:basedOn w:val="DefaultParagraphFont"/>
    <w:link w:val="Quote"/>
    <w:uiPriority w:val="29"/>
    <w:rsid w:val="004C5EE6"/>
    <w:rPr>
      <w:rFonts w:asciiTheme="minorHAnsi" w:eastAsiaTheme="minorHAnsi" w:hAnsiTheme="minorHAnsi" w:cstheme="minorBidi"/>
      <w:i/>
      <w:iCs/>
      <w:color w:val="404040" w:themeColor="text1" w:themeTint="BF"/>
      <w:sz w:val="24"/>
      <w:szCs w:val="24"/>
      <w:lang w:val="en-GB" w:eastAsia="en-US"/>
    </w:rPr>
  </w:style>
  <w:style w:type="paragraph" w:customStyle="1" w:styleId="CharCharCharChar">
    <w:name w:val="Char Char Char Char"/>
    <w:aliases w:val="Char2"/>
    <w:basedOn w:val="Normal"/>
    <w:next w:val="Normal"/>
    <w:link w:val="FootnoteReference"/>
    <w:uiPriority w:val="99"/>
    <w:rsid w:val="00C029C1"/>
    <w:pPr>
      <w:keepNext/>
      <w:keepLines/>
      <w:spacing w:before="120" w:after="160" w:line="240" w:lineRule="exact"/>
      <w:jc w:val="both"/>
      <w:outlineLvl w:val="0"/>
    </w:pPr>
    <w:rPr>
      <w:sz w:val="20"/>
      <w:szCs w:val="20"/>
      <w:vertAlign w:val="superscript"/>
      <w:lang w:eastAsia="lv-LV"/>
    </w:rPr>
  </w:style>
  <w:style w:type="paragraph" w:styleId="EndnoteText">
    <w:name w:val="endnote text"/>
    <w:basedOn w:val="Normal"/>
    <w:link w:val="EndnoteTextChar1"/>
    <w:uiPriority w:val="99"/>
    <w:unhideWhenUsed/>
    <w:rsid w:val="00C029C1"/>
    <w:rPr>
      <w:rFonts w:eastAsiaTheme="minorHAnsi"/>
      <w:sz w:val="20"/>
      <w:szCs w:val="20"/>
      <w:lang w:val="en-US"/>
    </w:rPr>
  </w:style>
  <w:style w:type="character" w:customStyle="1" w:styleId="EndnoteTextChar">
    <w:name w:val="Endnote Text Char"/>
    <w:basedOn w:val="DefaultParagraphFont"/>
    <w:uiPriority w:val="99"/>
    <w:semiHidden/>
    <w:rsid w:val="00C029C1"/>
    <w:rPr>
      <w:lang w:eastAsia="en-US"/>
    </w:rPr>
  </w:style>
  <w:style w:type="character" w:customStyle="1" w:styleId="EndnoteTextChar1">
    <w:name w:val="Endnote Text Char1"/>
    <w:basedOn w:val="DefaultParagraphFont"/>
    <w:link w:val="EndnoteText"/>
    <w:uiPriority w:val="99"/>
    <w:rsid w:val="00C029C1"/>
    <w:rPr>
      <w:rFonts w:eastAsiaTheme="minorHAnsi"/>
      <w:lang w:val="en-US" w:eastAsia="en-US"/>
    </w:rPr>
  </w:style>
  <w:style w:type="paragraph" w:customStyle="1" w:styleId="Default">
    <w:name w:val="Default"/>
    <w:rsid w:val="000416D6"/>
    <w:pPr>
      <w:autoSpaceDE w:val="0"/>
      <w:autoSpaceDN w:val="0"/>
      <w:adjustRightInd w:val="0"/>
    </w:pPr>
    <w:rPr>
      <w:rFonts w:ascii="Calibri" w:hAnsi="Calibri" w:cs="Calibri"/>
      <w:color w:val="000000"/>
      <w:sz w:val="24"/>
      <w:szCs w:val="24"/>
    </w:rPr>
  </w:style>
  <w:style w:type="character" w:styleId="EndnoteReference">
    <w:name w:val="endnote reference"/>
    <w:basedOn w:val="DefaultParagraphFont"/>
    <w:uiPriority w:val="99"/>
    <w:semiHidden/>
    <w:unhideWhenUsed/>
    <w:rsid w:val="003365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053">
      <w:bodyDiv w:val="1"/>
      <w:marLeft w:val="0"/>
      <w:marRight w:val="0"/>
      <w:marTop w:val="0"/>
      <w:marBottom w:val="0"/>
      <w:divBdr>
        <w:top w:val="none" w:sz="0" w:space="0" w:color="auto"/>
        <w:left w:val="none" w:sz="0" w:space="0" w:color="auto"/>
        <w:bottom w:val="none" w:sz="0" w:space="0" w:color="auto"/>
        <w:right w:val="none" w:sz="0" w:space="0" w:color="auto"/>
      </w:divBdr>
    </w:div>
    <w:div w:id="3557354">
      <w:bodyDiv w:val="1"/>
      <w:marLeft w:val="0"/>
      <w:marRight w:val="0"/>
      <w:marTop w:val="0"/>
      <w:marBottom w:val="0"/>
      <w:divBdr>
        <w:top w:val="none" w:sz="0" w:space="0" w:color="auto"/>
        <w:left w:val="none" w:sz="0" w:space="0" w:color="auto"/>
        <w:bottom w:val="none" w:sz="0" w:space="0" w:color="auto"/>
        <w:right w:val="none" w:sz="0" w:space="0" w:color="auto"/>
      </w:divBdr>
    </w:div>
    <w:div w:id="30814027">
      <w:bodyDiv w:val="1"/>
      <w:marLeft w:val="0"/>
      <w:marRight w:val="0"/>
      <w:marTop w:val="0"/>
      <w:marBottom w:val="0"/>
      <w:divBdr>
        <w:top w:val="none" w:sz="0" w:space="0" w:color="auto"/>
        <w:left w:val="none" w:sz="0" w:space="0" w:color="auto"/>
        <w:bottom w:val="none" w:sz="0" w:space="0" w:color="auto"/>
        <w:right w:val="none" w:sz="0" w:space="0" w:color="auto"/>
      </w:divBdr>
    </w:div>
    <w:div w:id="46342794">
      <w:bodyDiv w:val="1"/>
      <w:marLeft w:val="0"/>
      <w:marRight w:val="0"/>
      <w:marTop w:val="0"/>
      <w:marBottom w:val="0"/>
      <w:divBdr>
        <w:top w:val="none" w:sz="0" w:space="0" w:color="auto"/>
        <w:left w:val="none" w:sz="0" w:space="0" w:color="auto"/>
        <w:bottom w:val="none" w:sz="0" w:space="0" w:color="auto"/>
        <w:right w:val="none" w:sz="0" w:space="0" w:color="auto"/>
      </w:divBdr>
    </w:div>
    <w:div w:id="113713423">
      <w:bodyDiv w:val="1"/>
      <w:marLeft w:val="0"/>
      <w:marRight w:val="0"/>
      <w:marTop w:val="0"/>
      <w:marBottom w:val="0"/>
      <w:divBdr>
        <w:top w:val="none" w:sz="0" w:space="0" w:color="auto"/>
        <w:left w:val="none" w:sz="0" w:space="0" w:color="auto"/>
        <w:bottom w:val="none" w:sz="0" w:space="0" w:color="auto"/>
        <w:right w:val="none" w:sz="0" w:space="0" w:color="auto"/>
      </w:divBdr>
    </w:div>
    <w:div w:id="146829618">
      <w:bodyDiv w:val="1"/>
      <w:marLeft w:val="0"/>
      <w:marRight w:val="0"/>
      <w:marTop w:val="0"/>
      <w:marBottom w:val="0"/>
      <w:divBdr>
        <w:top w:val="none" w:sz="0" w:space="0" w:color="auto"/>
        <w:left w:val="none" w:sz="0" w:space="0" w:color="auto"/>
        <w:bottom w:val="none" w:sz="0" w:space="0" w:color="auto"/>
        <w:right w:val="none" w:sz="0" w:space="0" w:color="auto"/>
      </w:divBdr>
    </w:div>
    <w:div w:id="218328755">
      <w:bodyDiv w:val="1"/>
      <w:marLeft w:val="0"/>
      <w:marRight w:val="0"/>
      <w:marTop w:val="0"/>
      <w:marBottom w:val="0"/>
      <w:divBdr>
        <w:top w:val="none" w:sz="0" w:space="0" w:color="auto"/>
        <w:left w:val="none" w:sz="0" w:space="0" w:color="auto"/>
        <w:bottom w:val="none" w:sz="0" w:space="0" w:color="auto"/>
        <w:right w:val="none" w:sz="0" w:space="0" w:color="auto"/>
      </w:divBdr>
    </w:div>
    <w:div w:id="295062480">
      <w:bodyDiv w:val="1"/>
      <w:marLeft w:val="0"/>
      <w:marRight w:val="0"/>
      <w:marTop w:val="0"/>
      <w:marBottom w:val="0"/>
      <w:divBdr>
        <w:top w:val="none" w:sz="0" w:space="0" w:color="auto"/>
        <w:left w:val="none" w:sz="0" w:space="0" w:color="auto"/>
        <w:bottom w:val="none" w:sz="0" w:space="0" w:color="auto"/>
        <w:right w:val="none" w:sz="0" w:space="0" w:color="auto"/>
      </w:divBdr>
    </w:div>
    <w:div w:id="311328613">
      <w:bodyDiv w:val="1"/>
      <w:marLeft w:val="0"/>
      <w:marRight w:val="0"/>
      <w:marTop w:val="0"/>
      <w:marBottom w:val="0"/>
      <w:divBdr>
        <w:top w:val="none" w:sz="0" w:space="0" w:color="auto"/>
        <w:left w:val="none" w:sz="0" w:space="0" w:color="auto"/>
        <w:bottom w:val="none" w:sz="0" w:space="0" w:color="auto"/>
        <w:right w:val="none" w:sz="0" w:space="0" w:color="auto"/>
      </w:divBdr>
    </w:div>
    <w:div w:id="339047557">
      <w:bodyDiv w:val="1"/>
      <w:marLeft w:val="0"/>
      <w:marRight w:val="0"/>
      <w:marTop w:val="0"/>
      <w:marBottom w:val="0"/>
      <w:divBdr>
        <w:top w:val="none" w:sz="0" w:space="0" w:color="auto"/>
        <w:left w:val="none" w:sz="0" w:space="0" w:color="auto"/>
        <w:bottom w:val="none" w:sz="0" w:space="0" w:color="auto"/>
        <w:right w:val="none" w:sz="0" w:space="0" w:color="auto"/>
      </w:divBdr>
    </w:div>
    <w:div w:id="400258050">
      <w:bodyDiv w:val="1"/>
      <w:marLeft w:val="0"/>
      <w:marRight w:val="0"/>
      <w:marTop w:val="0"/>
      <w:marBottom w:val="0"/>
      <w:divBdr>
        <w:top w:val="none" w:sz="0" w:space="0" w:color="auto"/>
        <w:left w:val="none" w:sz="0" w:space="0" w:color="auto"/>
        <w:bottom w:val="none" w:sz="0" w:space="0" w:color="auto"/>
        <w:right w:val="none" w:sz="0" w:space="0" w:color="auto"/>
      </w:divBdr>
    </w:div>
    <w:div w:id="416246880">
      <w:bodyDiv w:val="1"/>
      <w:marLeft w:val="0"/>
      <w:marRight w:val="0"/>
      <w:marTop w:val="0"/>
      <w:marBottom w:val="0"/>
      <w:divBdr>
        <w:top w:val="none" w:sz="0" w:space="0" w:color="auto"/>
        <w:left w:val="none" w:sz="0" w:space="0" w:color="auto"/>
        <w:bottom w:val="none" w:sz="0" w:space="0" w:color="auto"/>
        <w:right w:val="none" w:sz="0" w:space="0" w:color="auto"/>
      </w:divBdr>
    </w:div>
    <w:div w:id="464545041">
      <w:bodyDiv w:val="1"/>
      <w:marLeft w:val="0"/>
      <w:marRight w:val="0"/>
      <w:marTop w:val="0"/>
      <w:marBottom w:val="0"/>
      <w:divBdr>
        <w:top w:val="none" w:sz="0" w:space="0" w:color="auto"/>
        <w:left w:val="none" w:sz="0" w:space="0" w:color="auto"/>
        <w:bottom w:val="none" w:sz="0" w:space="0" w:color="auto"/>
        <w:right w:val="none" w:sz="0" w:space="0" w:color="auto"/>
      </w:divBdr>
    </w:div>
    <w:div w:id="474883511">
      <w:bodyDiv w:val="1"/>
      <w:marLeft w:val="0"/>
      <w:marRight w:val="0"/>
      <w:marTop w:val="0"/>
      <w:marBottom w:val="0"/>
      <w:divBdr>
        <w:top w:val="none" w:sz="0" w:space="0" w:color="auto"/>
        <w:left w:val="none" w:sz="0" w:space="0" w:color="auto"/>
        <w:bottom w:val="none" w:sz="0" w:space="0" w:color="auto"/>
        <w:right w:val="none" w:sz="0" w:space="0" w:color="auto"/>
      </w:divBdr>
    </w:div>
    <w:div w:id="480076487">
      <w:bodyDiv w:val="1"/>
      <w:marLeft w:val="0"/>
      <w:marRight w:val="0"/>
      <w:marTop w:val="0"/>
      <w:marBottom w:val="0"/>
      <w:divBdr>
        <w:top w:val="none" w:sz="0" w:space="0" w:color="auto"/>
        <w:left w:val="none" w:sz="0" w:space="0" w:color="auto"/>
        <w:bottom w:val="none" w:sz="0" w:space="0" w:color="auto"/>
        <w:right w:val="none" w:sz="0" w:space="0" w:color="auto"/>
      </w:divBdr>
    </w:div>
    <w:div w:id="500777109">
      <w:bodyDiv w:val="1"/>
      <w:marLeft w:val="0"/>
      <w:marRight w:val="0"/>
      <w:marTop w:val="0"/>
      <w:marBottom w:val="0"/>
      <w:divBdr>
        <w:top w:val="none" w:sz="0" w:space="0" w:color="auto"/>
        <w:left w:val="none" w:sz="0" w:space="0" w:color="auto"/>
        <w:bottom w:val="none" w:sz="0" w:space="0" w:color="auto"/>
        <w:right w:val="none" w:sz="0" w:space="0" w:color="auto"/>
      </w:divBdr>
    </w:div>
    <w:div w:id="517350905">
      <w:bodyDiv w:val="1"/>
      <w:marLeft w:val="0"/>
      <w:marRight w:val="0"/>
      <w:marTop w:val="0"/>
      <w:marBottom w:val="0"/>
      <w:divBdr>
        <w:top w:val="none" w:sz="0" w:space="0" w:color="auto"/>
        <w:left w:val="none" w:sz="0" w:space="0" w:color="auto"/>
        <w:bottom w:val="none" w:sz="0" w:space="0" w:color="auto"/>
        <w:right w:val="none" w:sz="0" w:space="0" w:color="auto"/>
      </w:divBdr>
    </w:div>
    <w:div w:id="525870246">
      <w:bodyDiv w:val="1"/>
      <w:marLeft w:val="0"/>
      <w:marRight w:val="0"/>
      <w:marTop w:val="0"/>
      <w:marBottom w:val="0"/>
      <w:divBdr>
        <w:top w:val="none" w:sz="0" w:space="0" w:color="auto"/>
        <w:left w:val="none" w:sz="0" w:space="0" w:color="auto"/>
        <w:bottom w:val="none" w:sz="0" w:space="0" w:color="auto"/>
        <w:right w:val="none" w:sz="0" w:space="0" w:color="auto"/>
      </w:divBdr>
    </w:div>
    <w:div w:id="610626515">
      <w:bodyDiv w:val="1"/>
      <w:marLeft w:val="0"/>
      <w:marRight w:val="0"/>
      <w:marTop w:val="0"/>
      <w:marBottom w:val="0"/>
      <w:divBdr>
        <w:top w:val="none" w:sz="0" w:space="0" w:color="auto"/>
        <w:left w:val="none" w:sz="0" w:space="0" w:color="auto"/>
        <w:bottom w:val="none" w:sz="0" w:space="0" w:color="auto"/>
        <w:right w:val="none" w:sz="0" w:space="0" w:color="auto"/>
      </w:divBdr>
    </w:div>
    <w:div w:id="619997303">
      <w:bodyDiv w:val="1"/>
      <w:marLeft w:val="0"/>
      <w:marRight w:val="0"/>
      <w:marTop w:val="0"/>
      <w:marBottom w:val="0"/>
      <w:divBdr>
        <w:top w:val="none" w:sz="0" w:space="0" w:color="auto"/>
        <w:left w:val="none" w:sz="0" w:space="0" w:color="auto"/>
        <w:bottom w:val="none" w:sz="0" w:space="0" w:color="auto"/>
        <w:right w:val="none" w:sz="0" w:space="0" w:color="auto"/>
      </w:divBdr>
    </w:div>
    <w:div w:id="621152818">
      <w:bodyDiv w:val="1"/>
      <w:marLeft w:val="0"/>
      <w:marRight w:val="0"/>
      <w:marTop w:val="0"/>
      <w:marBottom w:val="0"/>
      <w:divBdr>
        <w:top w:val="none" w:sz="0" w:space="0" w:color="auto"/>
        <w:left w:val="none" w:sz="0" w:space="0" w:color="auto"/>
        <w:bottom w:val="none" w:sz="0" w:space="0" w:color="auto"/>
        <w:right w:val="none" w:sz="0" w:space="0" w:color="auto"/>
      </w:divBdr>
    </w:div>
    <w:div w:id="742875006">
      <w:bodyDiv w:val="1"/>
      <w:marLeft w:val="0"/>
      <w:marRight w:val="0"/>
      <w:marTop w:val="0"/>
      <w:marBottom w:val="0"/>
      <w:divBdr>
        <w:top w:val="none" w:sz="0" w:space="0" w:color="auto"/>
        <w:left w:val="none" w:sz="0" w:space="0" w:color="auto"/>
        <w:bottom w:val="none" w:sz="0" w:space="0" w:color="auto"/>
        <w:right w:val="none" w:sz="0" w:space="0" w:color="auto"/>
      </w:divBdr>
    </w:div>
    <w:div w:id="828447689">
      <w:bodyDiv w:val="1"/>
      <w:marLeft w:val="0"/>
      <w:marRight w:val="0"/>
      <w:marTop w:val="0"/>
      <w:marBottom w:val="0"/>
      <w:divBdr>
        <w:top w:val="none" w:sz="0" w:space="0" w:color="auto"/>
        <w:left w:val="none" w:sz="0" w:space="0" w:color="auto"/>
        <w:bottom w:val="none" w:sz="0" w:space="0" w:color="auto"/>
        <w:right w:val="none" w:sz="0" w:space="0" w:color="auto"/>
      </w:divBdr>
    </w:div>
    <w:div w:id="852305892">
      <w:bodyDiv w:val="1"/>
      <w:marLeft w:val="0"/>
      <w:marRight w:val="0"/>
      <w:marTop w:val="0"/>
      <w:marBottom w:val="0"/>
      <w:divBdr>
        <w:top w:val="none" w:sz="0" w:space="0" w:color="auto"/>
        <w:left w:val="none" w:sz="0" w:space="0" w:color="auto"/>
        <w:bottom w:val="none" w:sz="0" w:space="0" w:color="auto"/>
        <w:right w:val="none" w:sz="0" w:space="0" w:color="auto"/>
      </w:divBdr>
    </w:div>
    <w:div w:id="876160649">
      <w:bodyDiv w:val="1"/>
      <w:marLeft w:val="0"/>
      <w:marRight w:val="0"/>
      <w:marTop w:val="0"/>
      <w:marBottom w:val="0"/>
      <w:divBdr>
        <w:top w:val="none" w:sz="0" w:space="0" w:color="auto"/>
        <w:left w:val="none" w:sz="0" w:space="0" w:color="auto"/>
        <w:bottom w:val="none" w:sz="0" w:space="0" w:color="auto"/>
        <w:right w:val="none" w:sz="0" w:space="0" w:color="auto"/>
      </w:divBdr>
    </w:div>
    <w:div w:id="958880181">
      <w:bodyDiv w:val="1"/>
      <w:marLeft w:val="0"/>
      <w:marRight w:val="0"/>
      <w:marTop w:val="0"/>
      <w:marBottom w:val="0"/>
      <w:divBdr>
        <w:top w:val="none" w:sz="0" w:space="0" w:color="auto"/>
        <w:left w:val="none" w:sz="0" w:space="0" w:color="auto"/>
        <w:bottom w:val="none" w:sz="0" w:space="0" w:color="auto"/>
        <w:right w:val="none" w:sz="0" w:space="0" w:color="auto"/>
      </w:divBdr>
    </w:div>
    <w:div w:id="1017122059">
      <w:bodyDiv w:val="1"/>
      <w:marLeft w:val="0"/>
      <w:marRight w:val="0"/>
      <w:marTop w:val="0"/>
      <w:marBottom w:val="0"/>
      <w:divBdr>
        <w:top w:val="none" w:sz="0" w:space="0" w:color="auto"/>
        <w:left w:val="none" w:sz="0" w:space="0" w:color="auto"/>
        <w:bottom w:val="none" w:sz="0" w:space="0" w:color="auto"/>
        <w:right w:val="none" w:sz="0" w:space="0" w:color="auto"/>
      </w:divBdr>
      <w:divsChild>
        <w:div w:id="1885168934">
          <w:marLeft w:val="0"/>
          <w:marRight w:val="0"/>
          <w:marTop w:val="0"/>
          <w:marBottom w:val="0"/>
          <w:divBdr>
            <w:top w:val="none" w:sz="0" w:space="0" w:color="auto"/>
            <w:left w:val="none" w:sz="0" w:space="0" w:color="auto"/>
            <w:bottom w:val="none" w:sz="0" w:space="0" w:color="auto"/>
            <w:right w:val="none" w:sz="0" w:space="0" w:color="auto"/>
          </w:divBdr>
        </w:div>
      </w:divsChild>
    </w:div>
    <w:div w:id="1034772317">
      <w:bodyDiv w:val="1"/>
      <w:marLeft w:val="0"/>
      <w:marRight w:val="0"/>
      <w:marTop w:val="0"/>
      <w:marBottom w:val="0"/>
      <w:divBdr>
        <w:top w:val="none" w:sz="0" w:space="0" w:color="auto"/>
        <w:left w:val="none" w:sz="0" w:space="0" w:color="auto"/>
        <w:bottom w:val="none" w:sz="0" w:space="0" w:color="auto"/>
        <w:right w:val="none" w:sz="0" w:space="0" w:color="auto"/>
      </w:divBdr>
    </w:div>
    <w:div w:id="1051461218">
      <w:bodyDiv w:val="1"/>
      <w:marLeft w:val="0"/>
      <w:marRight w:val="0"/>
      <w:marTop w:val="0"/>
      <w:marBottom w:val="0"/>
      <w:divBdr>
        <w:top w:val="none" w:sz="0" w:space="0" w:color="auto"/>
        <w:left w:val="none" w:sz="0" w:space="0" w:color="auto"/>
        <w:bottom w:val="none" w:sz="0" w:space="0" w:color="auto"/>
        <w:right w:val="none" w:sz="0" w:space="0" w:color="auto"/>
      </w:divBdr>
    </w:div>
    <w:div w:id="1160081125">
      <w:bodyDiv w:val="1"/>
      <w:marLeft w:val="0"/>
      <w:marRight w:val="0"/>
      <w:marTop w:val="0"/>
      <w:marBottom w:val="0"/>
      <w:divBdr>
        <w:top w:val="none" w:sz="0" w:space="0" w:color="auto"/>
        <w:left w:val="none" w:sz="0" w:space="0" w:color="auto"/>
        <w:bottom w:val="none" w:sz="0" w:space="0" w:color="auto"/>
        <w:right w:val="none" w:sz="0" w:space="0" w:color="auto"/>
      </w:divBdr>
    </w:div>
    <w:div w:id="1192065769">
      <w:bodyDiv w:val="1"/>
      <w:marLeft w:val="0"/>
      <w:marRight w:val="0"/>
      <w:marTop w:val="0"/>
      <w:marBottom w:val="0"/>
      <w:divBdr>
        <w:top w:val="none" w:sz="0" w:space="0" w:color="auto"/>
        <w:left w:val="none" w:sz="0" w:space="0" w:color="auto"/>
        <w:bottom w:val="none" w:sz="0" w:space="0" w:color="auto"/>
        <w:right w:val="none" w:sz="0" w:space="0" w:color="auto"/>
      </w:divBdr>
    </w:div>
    <w:div w:id="1218131757">
      <w:bodyDiv w:val="1"/>
      <w:marLeft w:val="0"/>
      <w:marRight w:val="0"/>
      <w:marTop w:val="0"/>
      <w:marBottom w:val="0"/>
      <w:divBdr>
        <w:top w:val="none" w:sz="0" w:space="0" w:color="auto"/>
        <w:left w:val="none" w:sz="0" w:space="0" w:color="auto"/>
        <w:bottom w:val="none" w:sz="0" w:space="0" w:color="auto"/>
        <w:right w:val="none" w:sz="0" w:space="0" w:color="auto"/>
      </w:divBdr>
    </w:div>
    <w:div w:id="1224675890">
      <w:bodyDiv w:val="1"/>
      <w:marLeft w:val="0"/>
      <w:marRight w:val="0"/>
      <w:marTop w:val="0"/>
      <w:marBottom w:val="0"/>
      <w:divBdr>
        <w:top w:val="none" w:sz="0" w:space="0" w:color="auto"/>
        <w:left w:val="none" w:sz="0" w:space="0" w:color="auto"/>
        <w:bottom w:val="none" w:sz="0" w:space="0" w:color="auto"/>
        <w:right w:val="none" w:sz="0" w:space="0" w:color="auto"/>
      </w:divBdr>
    </w:div>
    <w:div w:id="1229345700">
      <w:bodyDiv w:val="1"/>
      <w:marLeft w:val="0"/>
      <w:marRight w:val="0"/>
      <w:marTop w:val="0"/>
      <w:marBottom w:val="0"/>
      <w:divBdr>
        <w:top w:val="none" w:sz="0" w:space="0" w:color="auto"/>
        <w:left w:val="none" w:sz="0" w:space="0" w:color="auto"/>
        <w:bottom w:val="none" w:sz="0" w:space="0" w:color="auto"/>
        <w:right w:val="none" w:sz="0" w:space="0" w:color="auto"/>
      </w:divBdr>
    </w:div>
    <w:div w:id="1250577886">
      <w:bodyDiv w:val="1"/>
      <w:marLeft w:val="0"/>
      <w:marRight w:val="0"/>
      <w:marTop w:val="0"/>
      <w:marBottom w:val="0"/>
      <w:divBdr>
        <w:top w:val="none" w:sz="0" w:space="0" w:color="auto"/>
        <w:left w:val="none" w:sz="0" w:space="0" w:color="auto"/>
        <w:bottom w:val="none" w:sz="0" w:space="0" w:color="auto"/>
        <w:right w:val="none" w:sz="0" w:space="0" w:color="auto"/>
      </w:divBdr>
    </w:div>
    <w:div w:id="1263950596">
      <w:bodyDiv w:val="1"/>
      <w:marLeft w:val="0"/>
      <w:marRight w:val="0"/>
      <w:marTop w:val="0"/>
      <w:marBottom w:val="0"/>
      <w:divBdr>
        <w:top w:val="none" w:sz="0" w:space="0" w:color="auto"/>
        <w:left w:val="none" w:sz="0" w:space="0" w:color="auto"/>
        <w:bottom w:val="none" w:sz="0" w:space="0" w:color="auto"/>
        <w:right w:val="none" w:sz="0" w:space="0" w:color="auto"/>
      </w:divBdr>
    </w:div>
    <w:div w:id="1264609475">
      <w:bodyDiv w:val="1"/>
      <w:marLeft w:val="0"/>
      <w:marRight w:val="0"/>
      <w:marTop w:val="0"/>
      <w:marBottom w:val="0"/>
      <w:divBdr>
        <w:top w:val="none" w:sz="0" w:space="0" w:color="auto"/>
        <w:left w:val="none" w:sz="0" w:space="0" w:color="auto"/>
        <w:bottom w:val="none" w:sz="0" w:space="0" w:color="auto"/>
        <w:right w:val="none" w:sz="0" w:space="0" w:color="auto"/>
      </w:divBdr>
    </w:div>
    <w:div w:id="1273975846">
      <w:bodyDiv w:val="1"/>
      <w:marLeft w:val="0"/>
      <w:marRight w:val="0"/>
      <w:marTop w:val="0"/>
      <w:marBottom w:val="0"/>
      <w:divBdr>
        <w:top w:val="none" w:sz="0" w:space="0" w:color="auto"/>
        <w:left w:val="none" w:sz="0" w:space="0" w:color="auto"/>
        <w:bottom w:val="none" w:sz="0" w:space="0" w:color="auto"/>
        <w:right w:val="none" w:sz="0" w:space="0" w:color="auto"/>
      </w:divBdr>
    </w:div>
    <w:div w:id="1310792788">
      <w:bodyDiv w:val="1"/>
      <w:marLeft w:val="0"/>
      <w:marRight w:val="0"/>
      <w:marTop w:val="0"/>
      <w:marBottom w:val="0"/>
      <w:divBdr>
        <w:top w:val="none" w:sz="0" w:space="0" w:color="auto"/>
        <w:left w:val="none" w:sz="0" w:space="0" w:color="auto"/>
        <w:bottom w:val="none" w:sz="0" w:space="0" w:color="auto"/>
        <w:right w:val="none" w:sz="0" w:space="0" w:color="auto"/>
      </w:divBdr>
    </w:div>
    <w:div w:id="1331182025">
      <w:bodyDiv w:val="1"/>
      <w:marLeft w:val="0"/>
      <w:marRight w:val="0"/>
      <w:marTop w:val="0"/>
      <w:marBottom w:val="0"/>
      <w:divBdr>
        <w:top w:val="none" w:sz="0" w:space="0" w:color="auto"/>
        <w:left w:val="none" w:sz="0" w:space="0" w:color="auto"/>
        <w:bottom w:val="none" w:sz="0" w:space="0" w:color="auto"/>
        <w:right w:val="none" w:sz="0" w:space="0" w:color="auto"/>
      </w:divBdr>
    </w:div>
    <w:div w:id="1371564911">
      <w:bodyDiv w:val="1"/>
      <w:marLeft w:val="0"/>
      <w:marRight w:val="0"/>
      <w:marTop w:val="0"/>
      <w:marBottom w:val="0"/>
      <w:divBdr>
        <w:top w:val="none" w:sz="0" w:space="0" w:color="auto"/>
        <w:left w:val="none" w:sz="0" w:space="0" w:color="auto"/>
        <w:bottom w:val="none" w:sz="0" w:space="0" w:color="auto"/>
        <w:right w:val="none" w:sz="0" w:space="0" w:color="auto"/>
      </w:divBdr>
    </w:div>
    <w:div w:id="1405105994">
      <w:bodyDiv w:val="1"/>
      <w:marLeft w:val="0"/>
      <w:marRight w:val="0"/>
      <w:marTop w:val="0"/>
      <w:marBottom w:val="0"/>
      <w:divBdr>
        <w:top w:val="none" w:sz="0" w:space="0" w:color="auto"/>
        <w:left w:val="none" w:sz="0" w:space="0" w:color="auto"/>
        <w:bottom w:val="none" w:sz="0" w:space="0" w:color="auto"/>
        <w:right w:val="none" w:sz="0" w:space="0" w:color="auto"/>
      </w:divBdr>
    </w:div>
    <w:div w:id="1499883011">
      <w:bodyDiv w:val="1"/>
      <w:marLeft w:val="0"/>
      <w:marRight w:val="0"/>
      <w:marTop w:val="0"/>
      <w:marBottom w:val="0"/>
      <w:divBdr>
        <w:top w:val="none" w:sz="0" w:space="0" w:color="auto"/>
        <w:left w:val="none" w:sz="0" w:space="0" w:color="auto"/>
        <w:bottom w:val="none" w:sz="0" w:space="0" w:color="auto"/>
        <w:right w:val="none" w:sz="0" w:space="0" w:color="auto"/>
      </w:divBdr>
    </w:div>
    <w:div w:id="1567103188">
      <w:bodyDiv w:val="1"/>
      <w:marLeft w:val="0"/>
      <w:marRight w:val="0"/>
      <w:marTop w:val="0"/>
      <w:marBottom w:val="0"/>
      <w:divBdr>
        <w:top w:val="none" w:sz="0" w:space="0" w:color="auto"/>
        <w:left w:val="none" w:sz="0" w:space="0" w:color="auto"/>
        <w:bottom w:val="none" w:sz="0" w:space="0" w:color="auto"/>
        <w:right w:val="none" w:sz="0" w:space="0" w:color="auto"/>
      </w:divBdr>
    </w:div>
    <w:div w:id="1624460419">
      <w:bodyDiv w:val="1"/>
      <w:marLeft w:val="0"/>
      <w:marRight w:val="0"/>
      <w:marTop w:val="0"/>
      <w:marBottom w:val="0"/>
      <w:divBdr>
        <w:top w:val="none" w:sz="0" w:space="0" w:color="auto"/>
        <w:left w:val="none" w:sz="0" w:space="0" w:color="auto"/>
        <w:bottom w:val="none" w:sz="0" w:space="0" w:color="auto"/>
        <w:right w:val="none" w:sz="0" w:space="0" w:color="auto"/>
      </w:divBdr>
    </w:div>
    <w:div w:id="1660695174">
      <w:bodyDiv w:val="1"/>
      <w:marLeft w:val="0"/>
      <w:marRight w:val="0"/>
      <w:marTop w:val="0"/>
      <w:marBottom w:val="0"/>
      <w:divBdr>
        <w:top w:val="none" w:sz="0" w:space="0" w:color="auto"/>
        <w:left w:val="none" w:sz="0" w:space="0" w:color="auto"/>
        <w:bottom w:val="none" w:sz="0" w:space="0" w:color="auto"/>
        <w:right w:val="none" w:sz="0" w:space="0" w:color="auto"/>
      </w:divBdr>
    </w:div>
    <w:div w:id="1677145234">
      <w:bodyDiv w:val="1"/>
      <w:marLeft w:val="0"/>
      <w:marRight w:val="0"/>
      <w:marTop w:val="0"/>
      <w:marBottom w:val="0"/>
      <w:divBdr>
        <w:top w:val="none" w:sz="0" w:space="0" w:color="auto"/>
        <w:left w:val="none" w:sz="0" w:space="0" w:color="auto"/>
        <w:bottom w:val="none" w:sz="0" w:space="0" w:color="auto"/>
        <w:right w:val="none" w:sz="0" w:space="0" w:color="auto"/>
      </w:divBdr>
    </w:div>
    <w:div w:id="1693611574">
      <w:bodyDiv w:val="1"/>
      <w:marLeft w:val="0"/>
      <w:marRight w:val="0"/>
      <w:marTop w:val="0"/>
      <w:marBottom w:val="0"/>
      <w:divBdr>
        <w:top w:val="none" w:sz="0" w:space="0" w:color="auto"/>
        <w:left w:val="none" w:sz="0" w:space="0" w:color="auto"/>
        <w:bottom w:val="none" w:sz="0" w:space="0" w:color="auto"/>
        <w:right w:val="none" w:sz="0" w:space="0" w:color="auto"/>
      </w:divBdr>
    </w:div>
    <w:div w:id="1737319693">
      <w:bodyDiv w:val="1"/>
      <w:marLeft w:val="0"/>
      <w:marRight w:val="0"/>
      <w:marTop w:val="0"/>
      <w:marBottom w:val="0"/>
      <w:divBdr>
        <w:top w:val="none" w:sz="0" w:space="0" w:color="auto"/>
        <w:left w:val="none" w:sz="0" w:space="0" w:color="auto"/>
        <w:bottom w:val="none" w:sz="0" w:space="0" w:color="auto"/>
        <w:right w:val="none" w:sz="0" w:space="0" w:color="auto"/>
      </w:divBdr>
    </w:div>
    <w:div w:id="1805931413">
      <w:bodyDiv w:val="1"/>
      <w:marLeft w:val="0"/>
      <w:marRight w:val="0"/>
      <w:marTop w:val="0"/>
      <w:marBottom w:val="0"/>
      <w:divBdr>
        <w:top w:val="none" w:sz="0" w:space="0" w:color="auto"/>
        <w:left w:val="none" w:sz="0" w:space="0" w:color="auto"/>
        <w:bottom w:val="none" w:sz="0" w:space="0" w:color="auto"/>
        <w:right w:val="none" w:sz="0" w:space="0" w:color="auto"/>
      </w:divBdr>
    </w:div>
    <w:div w:id="1888301927">
      <w:bodyDiv w:val="1"/>
      <w:marLeft w:val="0"/>
      <w:marRight w:val="0"/>
      <w:marTop w:val="0"/>
      <w:marBottom w:val="0"/>
      <w:divBdr>
        <w:top w:val="none" w:sz="0" w:space="0" w:color="auto"/>
        <w:left w:val="none" w:sz="0" w:space="0" w:color="auto"/>
        <w:bottom w:val="none" w:sz="0" w:space="0" w:color="auto"/>
        <w:right w:val="none" w:sz="0" w:space="0" w:color="auto"/>
      </w:divBdr>
    </w:div>
    <w:div w:id="2016225263">
      <w:bodyDiv w:val="1"/>
      <w:marLeft w:val="0"/>
      <w:marRight w:val="0"/>
      <w:marTop w:val="0"/>
      <w:marBottom w:val="0"/>
      <w:divBdr>
        <w:top w:val="none" w:sz="0" w:space="0" w:color="auto"/>
        <w:left w:val="none" w:sz="0" w:space="0" w:color="auto"/>
        <w:bottom w:val="none" w:sz="0" w:space="0" w:color="auto"/>
        <w:right w:val="none" w:sz="0" w:space="0" w:color="auto"/>
      </w:divBdr>
    </w:div>
    <w:div w:id="2047023001">
      <w:bodyDiv w:val="1"/>
      <w:marLeft w:val="0"/>
      <w:marRight w:val="0"/>
      <w:marTop w:val="0"/>
      <w:marBottom w:val="0"/>
      <w:divBdr>
        <w:top w:val="none" w:sz="0" w:space="0" w:color="auto"/>
        <w:left w:val="none" w:sz="0" w:space="0" w:color="auto"/>
        <w:bottom w:val="none" w:sz="0" w:space="0" w:color="auto"/>
        <w:right w:val="none" w:sz="0" w:space="0" w:color="auto"/>
      </w:divBdr>
    </w:div>
    <w:div w:id="20539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gars.Sidlovskis@f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audzinasana/dokumenti/metmat/ieteikumi_klases_st_progr_is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isc.gov.lv/audzinasana/dokumenti/metmat/klases_stundu_progr_%20paraugs.pdf" TargetMode="External"/><Relationship Id="rId4" Type="http://schemas.openxmlformats.org/officeDocument/2006/relationships/settings" Target="settings.xml"/><Relationship Id="rId9" Type="http://schemas.openxmlformats.org/officeDocument/2006/relationships/hyperlink" Target="https://likumi.lv/ta/id/12294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CELEX:52011DC0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4E0A-4C4F-480E-81E5-065EDA37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6364</TotalTime>
  <Pages>1</Pages>
  <Words>124293</Words>
  <Characters>70848</Characters>
  <Application>Microsoft Office Word</Application>
  <DocSecurity>0</DocSecurity>
  <Lines>590</Lines>
  <Paragraphs>389</Paragraphs>
  <ScaleCrop>false</ScaleCrop>
  <HeadingPairs>
    <vt:vector size="2" baseType="variant">
      <vt:variant>
        <vt:lpstr>Title</vt:lpstr>
      </vt:variant>
      <vt:variant>
        <vt:i4>1</vt:i4>
      </vt:variant>
    </vt:vector>
  </HeadingPairs>
  <TitlesOfParts>
    <vt:vector size="1" baseType="lpstr">
      <vt:lpstr>AZARTSPĒĻU UN IZLOŽU POLITIKAS PAMATNOSTĀDNES 2019.-2026.GADAM</vt:lpstr>
    </vt:vector>
  </TitlesOfParts>
  <Company>Finanšu ministrija</Company>
  <LinksUpToDate>false</LinksUpToDate>
  <CharactersWithSpaces>194752</CharactersWithSpaces>
  <SharedDoc>false</SharedDoc>
  <HLinks>
    <vt:vector size="18" baseType="variant">
      <vt:variant>
        <vt:i4>3080201</vt:i4>
      </vt:variant>
      <vt:variant>
        <vt:i4>6</vt:i4>
      </vt:variant>
      <vt:variant>
        <vt:i4>0</vt:i4>
      </vt:variant>
      <vt:variant>
        <vt:i4>5</vt:i4>
      </vt:variant>
      <vt:variant>
        <vt:lpwstr>mailto:Astra.Kalane@fm.gov.lv</vt:lpwstr>
      </vt:variant>
      <vt:variant>
        <vt:lpwstr/>
      </vt:variant>
      <vt:variant>
        <vt:i4>3276860</vt:i4>
      </vt:variant>
      <vt:variant>
        <vt:i4>3</vt:i4>
      </vt:variant>
      <vt:variant>
        <vt:i4>0</vt:i4>
      </vt:variant>
      <vt:variant>
        <vt:i4>5</vt:i4>
      </vt:variant>
      <vt:variant>
        <vt:lpwstr>http://tpi.mk.gov.lv/Terms.html</vt:lpwstr>
      </vt:variant>
      <vt:variant>
        <vt:lpwstr/>
      </vt:variant>
      <vt:variant>
        <vt:i4>2359408</vt:i4>
      </vt:variant>
      <vt:variant>
        <vt:i4>0</vt:i4>
      </vt:variant>
      <vt:variant>
        <vt:i4>0</vt:i4>
      </vt:variant>
      <vt:variant>
        <vt:i4>5</vt:i4>
      </vt:variant>
      <vt:variant>
        <vt:lpwstr>http://www.legaltext.ee/et/andmebaas/tekst.asp?loc=text&amp;dok=XXX0044K4&amp;keel=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AZARTSPĒĻU UN IZLOŽU POLITIKAS PAMATNOSTĀDNES 2019.-2026.GADAM</dc:title>
  <dc:subject>Izziņa par atzinumos sniegtajiem iebildumiem</dc:subject>
  <dc:creator>E.Šidlovskis</dc:creator>
  <cp:keywords/>
  <dc:description>edgars.sidlovskis@fm.gov.lv, 67083894_x000d_
</dc:description>
  <cp:lastModifiedBy>Edgars Šidlovskis</cp:lastModifiedBy>
  <cp:revision>1442</cp:revision>
  <cp:lastPrinted>2020-07-08T13:13:00Z</cp:lastPrinted>
  <dcterms:created xsi:type="dcterms:W3CDTF">2018-10-29T14:21:00Z</dcterms:created>
  <dcterms:modified xsi:type="dcterms:W3CDTF">2020-11-12T14:26:00Z</dcterms:modified>
</cp:coreProperties>
</file>