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AFA" w:rsidRPr="0087512B" w:rsidRDefault="00635AFA" w:rsidP="001400F6">
      <w:pPr>
        <w:tabs>
          <w:tab w:val="left" w:pos="1440"/>
        </w:tabs>
        <w:ind w:left="1440" w:firstLine="720"/>
        <w:jc w:val="right"/>
        <w:rPr>
          <w:rFonts w:cs="Times New Roman"/>
          <w:sz w:val="28"/>
          <w:szCs w:val="28"/>
        </w:rPr>
      </w:pPr>
      <w:bookmarkStart w:id="0" w:name="_GoBack"/>
      <w:bookmarkEnd w:id="0"/>
      <w:r w:rsidRPr="0087512B">
        <w:rPr>
          <w:rFonts w:cs="Times New Roman"/>
          <w:sz w:val="28"/>
          <w:szCs w:val="28"/>
        </w:rPr>
        <w:t xml:space="preserve">Pielikums </w:t>
      </w:r>
    </w:p>
    <w:p w:rsidR="00635AFA" w:rsidRPr="0087512B" w:rsidRDefault="00635AFA" w:rsidP="0087512B">
      <w:pPr>
        <w:ind w:left="3600"/>
        <w:jc w:val="right"/>
        <w:rPr>
          <w:rFonts w:eastAsia="Times New Roman" w:cs="Times New Roman"/>
          <w:bCs/>
          <w:sz w:val="28"/>
          <w:szCs w:val="28"/>
          <w:lang w:eastAsia="lv-LV"/>
        </w:rPr>
      </w:pPr>
      <w:r w:rsidRPr="0087512B">
        <w:rPr>
          <w:rFonts w:eastAsia="Times New Roman" w:cs="Times New Roman"/>
          <w:bCs/>
          <w:sz w:val="28"/>
          <w:szCs w:val="28"/>
          <w:lang w:eastAsia="lv-LV"/>
        </w:rPr>
        <w:t xml:space="preserve">Azartspēļu un izložu </w:t>
      </w:r>
    </w:p>
    <w:p w:rsidR="00635AFA" w:rsidRPr="0087512B" w:rsidRDefault="00635AFA" w:rsidP="0087512B">
      <w:pPr>
        <w:ind w:left="3600"/>
        <w:jc w:val="right"/>
        <w:rPr>
          <w:rFonts w:cs="Times New Roman"/>
          <w:sz w:val="28"/>
          <w:szCs w:val="28"/>
        </w:rPr>
      </w:pPr>
      <w:r w:rsidRPr="0087512B">
        <w:rPr>
          <w:rFonts w:eastAsia="Times New Roman" w:cs="Times New Roman"/>
          <w:bCs/>
          <w:sz w:val="28"/>
          <w:szCs w:val="28"/>
          <w:lang w:eastAsia="lv-LV"/>
        </w:rPr>
        <w:t>politikas</w:t>
      </w:r>
      <w:r w:rsidRPr="0087512B">
        <w:rPr>
          <w:rFonts w:cs="Times New Roman"/>
          <w:sz w:val="28"/>
          <w:szCs w:val="28"/>
        </w:rPr>
        <w:t xml:space="preserve"> pamatnostādnēm</w:t>
      </w:r>
    </w:p>
    <w:p w:rsidR="00635AFA" w:rsidRPr="0087512B" w:rsidRDefault="00635AFA" w:rsidP="0087512B">
      <w:pPr>
        <w:jc w:val="right"/>
        <w:rPr>
          <w:rFonts w:eastAsia="Times New Roman" w:cs="Times New Roman"/>
          <w:bCs/>
          <w:sz w:val="28"/>
          <w:szCs w:val="28"/>
          <w:lang w:eastAsia="lv-LV"/>
        </w:rPr>
      </w:pPr>
      <w:r w:rsidRPr="0087512B">
        <w:rPr>
          <w:rFonts w:cs="Times New Roman"/>
          <w:sz w:val="28"/>
          <w:szCs w:val="28"/>
        </w:rPr>
        <w:t>20</w:t>
      </w:r>
      <w:r w:rsidR="004E5D55">
        <w:rPr>
          <w:rFonts w:cs="Times New Roman"/>
          <w:sz w:val="28"/>
          <w:szCs w:val="28"/>
        </w:rPr>
        <w:t>2</w:t>
      </w:r>
      <w:r w:rsidR="0046129F">
        <w:rPr>
          <w:rFonts w:cs="Times New Roman"/>
          <w:sz w:val="28"/>
          <w:szCs w:val="28"/>
        </w:rPr>
        <w:t>1</w:t>
      </w:r>
      <w:r w:rsidRPr="0087512B">
        <w:rPr>
          <w:rFonts w:cs="Times New Roman"/>
          <w:sz w:val="28"/>
          <w:szCs w:val="28"/>
        </w:rPr>
        <w:t>.-202</w:t>
      </w:r>
      <w:r w:rsidR="004E5D55">
        <w:rPr>
          <w:rFonts w:cs="Times New Roman"/>
          <w:sz w:val="28"/>
          <w:szCs w:val="28"/>
        </w:rPr>
        <w:t>7</w:t>
      </w:r>
      <w:r w:rsidRPr="0087512B">
        <w:rPr>
          <w:rFonts w:cs="Times New Roman"/>
          <w:sz w:val="28"/>
          <w:szCs w:val="28"/>
        </w:rPr>
        <w:t>.gadam</w:t>
      </w: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eastAsia="Times New Roman" w:cs="Times New Roman"/>
          <w:b/>
          <w:bCs/>
          <w:sz w:val="28"/>
          <w:szCs w:val="28"/>
          <w:lang w:eastAsia="lv-LV"/>
        </w:rPr>
      </w:pPr>
    </w:p>
    <w:p w:rsidR="00635AFA" w:rsidRPr="0087512B" w:rsidRDefault="00635AFA" w:rsidP="0087512B">
      <w:pPr>
        <w:jc w:val="center"/>
        <w:rPr>
          <w:rFonts w:cs="Times New Roman"/>
          <w:b/>
          <w:sz w:val="28"/>
          <w:szCs w:val="28"/>
        </w:rPr>
      </w:pPr>
      <w:r w:rsidRPr="0087512B">
        <w:rPr>
          <w:rFonts w:cs="Times New Roman"/>
          <w:b/>
          <w:sz w:val="28"/>
          <w:szCs w:val="28"/>
        </w:rPr>
        <w:t xml:space="preserve">PIELIKUMS </w:t>
      </w:r>
    </w:p>
    <w:p w:rsidR="00635AFA" w:rsidRPr="0087512B" w:rsidRDefault="00635AFA" w:rsidP="0087512B">
      <w:pPr>
        <w:jc w:val="center"/>
        <w:rPr>
          <w:rFonts w:cs="Times New Roman"/>
          <w:b/>
          <w:sz w:val="28"/>
          <w:szCs w:val="28"/>
        </w:rPr>
      </w:pPr>
      <w:r w:rsidRPr="0087512B">
        <w:rPr>
          <w:rFonts w:cs="Times New Roman"/>
          <w:b/>
          <w:sz w:val="28"/>
          <w:szCs w:val="28"/>
        </w:rPr>
        <w:t>“ESOŠĀS SITUĀCIJAS VISPĀRĪGS RAKSTUROJUMS”</w:t>
      </w:r>
    </w:p>
    <w:p w:rsidR="00635AFA" w:rsidRPr="0087512B" w:rsidRDefault="00635AFA" w:rsidP="0087512B">
      <w:pPr>
        <w:rPr>
          <w:rFonts w:eastAsia="Times New Roman" w:cs="Times New Roman"/>
          <w:b/>
          <w:bCs/>
          <w:sz w:val="28"/>
          <w:szCs w:val="28"/>
          <w:lang w:eastAsia="lv-LV"/>
        </w:rPr>
      </w:pPr>
      <w:r w:rsidRPr="0087512B">
        <w:rPr>
          <w:rFonts w:eastAsia="Times New Roman" w:cs="Times New Roman"/>
          <w:b/>
          <w:bCs/>
          <w:sz w:val="28"/>
          <w:szCs w:val="28"/>
          <w:lang w:eastAsia="lv-LV"/>
        </w:rPr>
        <w:br w:type="page"/>
      </w:r>
    </w:p>
    <w:sdt>
      <w:sdtPr>
        <w:rPr>
          <w:rFonts w:ascii="Times New Roman" w:eastAsiaTheme="minorHAnsi" w:hAnsi="Times New Roman" w:cstheme="minorBidi"/>
          <w:color w:val="auto"/>
          <w:sz w:val="24"/>
          <w:szCs w:val="22"/>
          <w:lang w:val="lv-LV"/>
        </w:rPr>
        <w:id w:val="-2106801530"/>
        <w:docPartObj>
          <w:docPartGallery w:val="Table of Contents"/>
          <w:docPartUnique/>
        </w:docPartObj>
      </w:sdtPr>
      <w:sdtEndPr>
        <w:rPr>
          <w:b/>
          <w:bCs/>
          <w:noProof/>
        </w:rPr>
      </w:sdtEndPr>
      <w:sdtContent>
        <w:p w:rsidR="00635AFA" w:rsidRPr="0087512B" w:rsidRDefault="00635AFA" w:rsidP="0087512B">
          <w:pPr>
            <w:pStyle w:val="TOCHeading"/>
          </w:pPr>
        </w:p>
        <w:p w:rsidR="003A7DD9" w:rsidRDefault="00635AFA" w:rsidP="00077CCD">
          <w:pPr>
            <w:pStyle w:val="TOC1"/>
            <w:rPr>
              <w:rFonts w:asciiTheme="minorHAnsi" w:eastAsiaTheme="minorEastAsia" w:hAnsiTheme="minorHAnsi"/>
              <w:noProof/>
              <w:sz w:val="22"/>
              <w:lang w:eastAsia="lv-LV"/>
            </w:rPr>
          </w:pPr>
          <w:r w:rsidRPr="0087512B">
            <w:rPr>
              <w:bCs/>
              <w:noProof/>
            </w:rPr>
            <w:fldChar w:fldCharType="begin"/>
          </w:r>
          <w:r w:rsidRPr="0087512B">
            <w:rPr>
              <w:bCs/>
              <w:noProof/>
            </w:rPr>
            <w:instrText xml:space="preserve"> TOC \o "1-3" \h \z \u </w:instrText>
          </w:r>
          <w:r w:rsidRPr="0087512B">
            <w:rPr>
              <w:bCs/>
              <w:noProof/>
            </w:rPr>
            <w:fldChar w:fldCharType="separate"/>
          </w:r>
          <w:hyperlink w:anchor="_Toc56087177" w:history="1">
            <w:r w:rsidR="003A7DD9" w:rsidRPr="00AD75A4">
              <w:rPr>
                <w:rStyle w:val="Hyperlink"/>
                <w:rFonts w:eastAsia="Times New Roman" w:cs="Times New Roman"/>
                <w:b/>
                <w:noProof/>
                <w:lang w:eastAsia="lv-LV"/>
              </w:rPr>
              <w:t>1.</w:t>
            </w:r>
            <w:r w:rsidR="003A7DD9">
              <w:rPr>
                <w:rFonts w:asciiTheme="minorHAnsi" w:eastAsiaTheme="minorEastAsia" w:hAnsiTheme="minorHAnsi"/>
                <w:noProof/>
                <w:sz w:val="22"/>
                <w:lang w:eastAsia="lv-LV"/>
              </w:rPr>
              <w:tab/>
            </w:r>
            <w:r w:rsidR="003A7DD9" w:rsidRPr="00AD75A4">
              <w:rPr>
                <w:rStyle w:val="Hyperlink"/>
                <w:rFonts w:eastAsia="Times New Roman" w:cs="Times New Roman"/>
                <w:b/>
                <w:noProof/>
                <w:lang w:eastAsia="lv-LV"/>
              </w:rPr>
              <w:t>Azartspēļu un izložu nozares tiesiskais regulējums</w:t>
            </w:r>
            <w:r w:rsidR="003A7DD9">
              <w:rPr>
                <w:noProof/>
                <w:webHidden/>
              </w:rPr>
              <w:tab/>
            </w:r>
            <w:r w:rsidR="003A7DD9">
              <w:rPr>
                <w:noProof/>
                <w:webHidden/>
              </w:rPr>
              <w:fldChar w:fldCharType="begin"/>
            </w:r>
            <w:r w:rsidR="003A7DD9">
              <w:rPr>
                <w:noProof/>
                <w:webHidden/>
              </w:rPr>
              <w:instrText xml:space="preserve"> PAGEREF _Toc56087177 \h </w:instrText>
            </w:r>
            <w:r w:rsidR="003A7DD9">
              <w:rPr>
                <w:noProof/>
                <w:webHidden/>
              </w:rPr>
            </w:r>
            <w:r w:rsidR="003A7DD9">
              <w:rPr>
                <w:noProof/>
                <w:webHidden/>
              </w:rPr>
              <w:fldChar w:fldCharType="separate"/>
            </w:r>
            <w:r w:rsidR="003A7DD9">
              <w:rPr>
                <w:noProof/>
                <w:webHidden/>
              </w:rPr>
              <w:t>3</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78" w:history="1">
            <w:r w:rsidR="003A7DD9" w:rsidRPr="00AD75A4">
              <w:rPr>
                <w:rStyle w:val="Hyperlink"/>
                <w:rFonts w:eastAsia="Times New Roman" w:cs="Times New Roman"/>
                <w:b/>
                <w:noProof/>
                <w:lang w:eastAsia="lv-LV"/>
              </w:rPr>
              <w:t>2.</w:t>
            </w:r>
            <w:r w:rsidR="003A7DD9">
              <w:rPr>
                <w:rFonts w:asciiTheme="minorHAnsi" w:eastAsiaTheme="minorEastAsia" w:hAnsiTheme="minorHAnsi"/>
                <w:noProof/>
                <w:sz w:val="22"/>
                <w:lang w:eastAsia="lv-LV"/>
              </w:rPr>
              <w:tab/>
            </w:r>
            <w:r w:rsidR="003A7DD9" w:rsidRPr="00AD75A4">
              <w:rPr>
                <w:rStyle w:val="Hyperlink"/>
                <w:rFonts w:eastAsia="Times New Roman" w:cs="Times New Roman"/>
                <w:b/>
                <w:noProof/>
                <w:lang w:eastAsia="lv-LV"/>
              </w:rPr>
              <w:t>Sabiedrības interešu aizstāvība un personu/spēlētāju tiesības</w:t>
            </w:r>
            <w:r w:rsidR="003A7DD9">
              <w:rPr>
                <w:noProof/>
                <w:webHidden/>
              </w:rPr>
              <w:tab/>
            </w:r>
            <w:r w:rsidR="003A7DD9">
              <w:rPr>
                <w:noProof/>
                <w:webHidden/>
              </w:rPr>
              <w:fldChar w:fldCharType="begin"/>
            </w:r>
            <w:r w:rsidR="003A7DD9">
              <w:rPr>
                <w:noProof/>
                <w:webHidden/>
              </w:rPr>
              <w:instrText xml:space="preserve"> PAGEREF _Toc56087178 \h </w:instrText>
            </w:r>
            <w:r w:rsidR="003A7DD9">
              <w:rPr>
                <w:noProof/>
                <w:webHidden/>
              </w:rPr>
            </w:r>
            <w:r w:rsidR="003A7DD9">
              <w:rPr>
                <w:noProof/>
                <w:webHidden/>
              </w:rPr>
              <w:fldChar w:fldCharType="separate"/>
            </w:r>
            <w:r w:rsidR="003A7DD9">
              <w:rPr>
                <w:noProof/>
                <w:webHidden/>
              </w:rPr>
              <w:t>5</w:t>
            </w:r>
            <w:r w:rsidR="003A7DD9">
              <w:rPr>
                <w:noProof/>
                <w:webHidden/>
              </w:rPr>
              <w:fldChar w:fldCharType="end"/>
            </w:r>
          </w:hyperlink>
        </w:p>
        <w:p w:rsidR="003A7DD9" w:rsidRDefault="008C0E6A">
          <w:pPr>
            <w:pStyle w:val="TOC2"/>
            <w:rPr>
              <w:rFonts w:asciiTheme="minorHAnsi" w:eastAsiaTheme="minorEastAsia" w:hAnsiTheme="minorHAnsi"/>
              <w:noProof/>
              <w:sz w:val="22"/>
              <w:lang w:eastAsia="lv-LV"/>
            </w:rPr>
          </w:pPr>
          <w:hyperlink w:anchor="_Toc56087179" w:history="1">
            <w:r w:rsidR="003A7DD9" w:rsidRPr="00AD75A4">
              <w:rPr>
                <w:rStyle w:val="Hyperlink"/>
                <w:rFonts w:cs="Times New Roman"/>
                <w:b/>
                <w:noProof/>
              </w:rPr>
              <w:t>2.1.</w:t>
            </w:r>
            <w:r w:rsidR="003A7DD9">
              <w:rPr>
                <w:rFonts w:asciiTheme="minorHAnsi" w:eastAsiaTheme="minorEastAsia" w:hAnsiTheme="minorHAnsi"/>
                <w:noProof/>
                <w:sz w:val="22"/>
                <w:lang w:eastAsia="lv-LV"/>
              </w:rPr>
              <w:tab/>
            </w:r>
            <w:r w:rsidR="003A7DD9" w:rsidRPr="00AD75A4">
              <w:rPr>
                <w:rStyle w:val="Hyperlink"/>
                <w:rFonts w:cs="Times New Roman"/>
                <w:b/>
                <w:noProof/>
              </w:rPr>
              <w:t>Azartspēļu un izložu ietekme un ar to saistītie riski</w:t>
            </w:r>
            <w:r w:rsidR="003A7DD9">
              <w:rPr>
                <w:noProof/>
                <w:webHidden/>
              </w:rPr>
              <w:tab/>
            </w:r>
            <w:r w:rsidR="003A7DD9">
              <w:rPr>
                <w:noProof/>
                <w:webHidden/>
              </w:rPr>
              <w:fldChar w:fldCharType="begin"/>
            </w:r>
            <w:r w:rsidR="003A7DD9">
              <w:rPr>
                <w:noProof/>
                <w:webHidden/>
              </w:rPr>
              <w:instrText xml:space="preserve"> PAGEREF _Toc56087179 \h </w:instrText>
            </w:r>
            <w:r w:rsidR="003A7DD9">
              <w:rPr>
                <w:noProof/>
                <w:webHidden/>
              </w:rPr>
            </w:r>
            <w:r w:rsidR="003A7DD9">
              <w:rPr>
                <w:noProof/>
                <w:webHidden/>
              </w:rPr>
              <w:fldChar w:fldCharType="separate"/>
            </w:r>
            <w:r w:rsidR="003A7DD9">
              <w:rPr>
                <w:noProof/>
                <w:webHidden/>
              </w:rPr>
              <w:t>6</w:t>
            </w:r>
            <w:r w:rsidR="003A7DD9">
              <w:rPr>
                <w:noProof/>
                <w:webHidden/>
              </w:rPr>
              <w:fldChar w:fldCharType="end"/>
            </w:r>
          </w:hyperlink>
        </w:p>
        <w:p w:rsidR="003A7DD9" w:rsidRDefault="008C0E6A">
          <w:pPr>
            <w:pStyle w:val="TOC2"/>
            <w:rPr>
              <w:rFonts w:asciiTheme="minorHAnsi" w:eastAsiaTheme="minorEastAsia" w:hAnsiTheme="minorHAnsi"/>
              <w:noProof/>
              <w:sz w:val="22"/>
              <w:lang w:eastAsia="lv-LV"/>
            </w:rPr>
          </w:pPr>
          <w:hyperlink w:anchor="_Toc56087180" w:history="1">
            <w:r w:rsidR="003A7DD9" w:rsidRPr="00AD75A4">
              <w:rPr>
                <w:rStyle w:val="Hyperlink"/>
                <w:rFonts w:cs="Times New Roman"/>
                <w:b/>
                <w:noProof/>
              </w:rPr>
              <w:t>2.2.</w:t>
            </w:r>
            <w:r w:rsidR="003A7DD9">
              <w:rPr>
                <w:rFonts w:asciiTheme="minorHAnsi" w:eastAsiaTheme="minorEastAsia" w:hAnsiTheme="minorHAnsi"/>
                <w:noProof/>
                <w:sz w:val="22"/>
                <w:lang w:eastAsia="lv-LV"/>
              </w:rPr>
              <w:tab/>
            </w:r>
            <w:r w:rsidR="003A7DD9" w:rsidRPr="00AD75A4">
              <w:rPr>
                <w:rStyle w:val="Hyperlink"/>
                <w:rFonts w:cs="Times New Roman"/>
                <w:b/>
                <w:noProof/>
              </w:rPr>
              <w:t>Spēlētāju motivācija dalībai azartspēlēs</w:t>
            </w:r>
            <w:r w:rsidR="003A7DD9">
              <w:rPr>
                <w:noProof/>
                <w:webHidden/>
              </w:rPr>
              <w:tab/>
            </w:r>
            <w:r w:rsidR="003A7DD9">
              <w:rPr>
                <w:noProof/>
                <w:webHidden/>
              </w:rPr>
              <w:fldChar w:fldCharType="begin"/>
            </w:r>
            <w:r w:rsidR="003A7DD9">
              <w:rPr>
                <w:noProof/>
                <w:webHidden/>
              </w:rPr>
              <w:instrText xml:space="preserve"> PAGEREF _Toc56087180 \h </w:instrText>
            </w:r>
            <w:r w:rsidR="003A7DD9">
              <w:rPr>
                <w:noProof/>
                <w:webHidden/>
              </w:rPr>
            </w:r>
            <w:r w:rsidR="003A7DD9">
              <w:rPr>
                <w:noProof/>
                <w:webHidden/>
              </w:rPr>
              <w:fldChar w:fldCharType="separate"/>
            </w:r>
            <w:r w:rsidR="003A7DD9">
              <w:rPr>
                <w:noProof/>
                <w:webHidden/>
              </w:rPr>
              <w:t>10</w:t>
            </w:r>
            <w:r w:rsidR="003A7DD9">
              <w:rPr>
                <w:noProof/>
                <w:webHidden/>
              </w:rPr>
              <w:fldChar w:fldCharType="end"/>
            </w:r>
          </w:hyperlink>
        </w:p>
        <w:p w:rsidR="003A7DD9" w:rsidRDefault="008C0E6A">
          <w:pPr>
            <w:pStyle w:val="TOC2"/>
            <w:rPr>
              <w:rFonts w:asciiTheme="minorHAnsi" w:eastAsiaTheme="minorEastAsia" w:hAnsiTheme="minorHAnsi"/>
              <w:noProof/>
              <w:sz w:val="22"/>
              <w:lang w:eastAsia="lv-LV"/>
            </w:rPr>
          </w:pPr>
          <w:hyperlink w:anchor="_Toc56087181" w:history="1">
            <w:r w:rsidR="003A7DD9" w:rsidRPr="00AD75A4">
              <w:rPr>
                <w:rStyle w:val="Hyperlink"/>
                <w:rFonts w:cs="Times New Roman"/>
                <w:b/>
                <w:noProof/>
              </w:rPr>
              <w:t>2.3.</w:t>
            </w:r>
            <w:r w:rsidR="003A7DD9">
              <w:rPr>
                <w:rFonts w:asciiTheme="minorHAnsi" w:eastAsiaTheme="minorEastAsia" w:hAnsiTheme="minorHAnsi"/>
                <w:noProof/>
                <w:sz w:val="22"/>
                <w:lang w:eastAsia="lv-LV"/>
              </w:rPr>
              <w:tab/>
            </w:r>
            <w:r w:rsidR="003A7DD9" w:rsidRPr="00AD75A4">
              <w:rPr>
                <w:rStyle w:val="Hyperlink"/>
                <w:rFonts w:cs="Times New Roman"/>
                <w:b/>
                <w:noProof/>
              </w:rPr>
              <w:t>Profilaktiskie pasākumi ar azartspēlēm un izlozēm saistīto risku mazināšanai</w:t>
            </w:r>
            <w:r w:rsidR="003A7DD9">
              <w:rPr>
                <w:noProof/>
                <w:webHidden/>
              </w:rPr>
              <w:tab/>
            </w:r>
            <w:r w:rsidR="003A7DD9">
              <w:rPr>
                <w:noProof/>
                <w:webHidden/>
              </w:rPr>
              <w:fldChar w:fldCharType="begin"/>
            </w:r>
            <w:r w:rsidR="003A7DD9">
              <w:rPr>
                <w:noProof/>
                <w:webHidden/>
              </w:rPr>
              <w:instrText xml:space="preserve"> PAGEREF _Toc56087181 \h </w:instrText>
            </w:r>
            <w:r w:rsidR="003A7DD9">
              <w:rPr>
                <w:noProof/>
                <w:webHidden/>
              </w:rPr>
            </w:r>
            <w:r w:rsidR="003A7DD9">
              <w:rPr>
                <w:noProof/>
                <w:webHidden/>
              </w:rPr>
              <w:fldChar w:fldCharType="separate"/>
            </w:r>
            <w:r w:rsidR="003A7DD9">
              <w:rPr>
                <w:noProof/>
                <w:webHidden/>
              </w:rPr>
              <w:t>13</w:t>
            </w:r>
            <w:r w:rsidR="003A7DD9">
              <w:rPr>
                <w:noProof/>
                <w:webHidden/>
              </w:rPr>
              <w:fldChar w:fldCharType="end"/>
            </w:r>
          </w:hyperlink>
        </w:p>
        <w:p w:rsidR="003A7DD9" w:rsidRDefault="008C0E6A">
          <w:pPr>
            <w:pStyle w:val="TOC3"/>
            <w:rPr>
              <w:rFonts w:asciiTheme="minorHAnsi" w:eastAsiaTheme="minorEastAsia" w:hAnsiTheme="minorHAnsi"/>
              <w:noProof/>
              <w:sz w:val="22"/>
              <w:lang w:eastAsia="lv-LV"/>
            </w:rPr>
          </w:pPr>
          <w:hyperlink w:anchor="_Toc56087182" w:history="1">
            <w:r w:rsidR="003A7DD9" w:rsidRPr="00AD75A4">
              <w:rPr>
                <w:rStyle w:val="Hyperlink"/>
                <w:rFonts w:cs="Times New Roman"/>
                <w:b/>
                <w:noProof/>
              </w:rPr>
              <w:t>2.3.1.</w:t>
            </w:r>
            <w:r w:rsidR="003A7DD9">
              <w:rPr>
                <w:rFonts w:asciiTheme="minorHAnsi" w:eastAsiaTheme="minorEastAsia" w:hAnsiTheme="minorHAnsi"/>
                <w:noProof/>
                <w:sz w:val="22"/>
                <w:lang w:eastAsia="lv-LV"/>
              </w:rPr>
              <w:tab/>
            </w:r>
            <w:r w:rsidR="003A7DD9" w:rsidRPr="00AD75A4">
              <w:rPr>
                <w:rStyle w:val="Hyperlink"/>
                <w:rFonts w:cs="Times New Roman"/>
                <w:b/>
                <w:noProof/>
              </w:rPr>
              <w:t>Izglītība un informētība</w:t>
            </w:r>
            <w:r w:rsidR="003A7DD9">
              <w:rPr>
                <w:noProof/>
                <w:webHidden/>
              </w:rPr>
              <w:tab/>
            </w:r>
            <w:r w:rsidR="003A7DD9">
              <w:rPr>
                <w:noProof/>
                <w:webHidden/>
              </w:rPr>
              <w:fldChar w:fldCharType="begin"/>
            </w:r>
            <w:r w:rsidR="003A7DD9">
              <w:rPr>
                <w:noProof/>
                <w:webHidden/>
              </w:rPr>
              <w:instrText xml:space="preserve"> PAGEREF _Toc56087182 \h </w:instrText>
            </w:r>
            <w:r w:rsidR="003A7DD9">
              <w:rPr>
                <w:noProof/>
                <w:webHidden/>
              </w:rPr>
            </w:r>
            <w:r w:rsidR="003A7DD9">
              <w:rPr>
                <w:noProof/>
                <w:webHidden/>
              </w:rPr>
              <w:fldChar w:fldCharType="separate"/>
            </w:r>
            <w:r w:rsidR="003A7DD9">
              <w:rPr>
                <w:noProof/>
                <w:webHidden/>
              </w:rPr>
              <w:t>15</w:t>
            </w:r>
            <w:r w:rsidR="003A7DD9">
              <w:rPr>
                <w:noProof/>
                <w:webHidden/>
              </w:rPr>
              <w:fldChar w:fldCharType="end"/>
            </w:r>
          </w:hyperlink>
        </w:p>
        <w:p w:rsidR="003A7DD9" w:rsidRDefault="008C0E6A">
          <w:pPr>
            <w:pStyle w:val="TOC3"/>
            <w:rPr>
              <w:rFonts w:asciiTheme="minorHAnsi" w:eastAsiaTheme="minorEastAsia" w:hAnsiTheme="minorHAnsi"/>
              <w:noProof/>
              <w:sz w:val="22"/>
              <w:lang w:eastAsia="lv-LV"/>
            </w:rPr>
          </w:pPr>
          <w:hyperlink w:anchor="_Toc56087183" w:history="1">
            <w:r w:rsidR="003A7DD9" w:rsidRPr="00AD75A4">
              <w:rPr>
                <w:rStyle w:val="Hyperlink"/>
                <w:rFonts w:cs="Times New Roman"/>
                <w:b/>
                <w:noProof/>
              </w:rPr>
              <w:t>2.3.2.</w:t>
            </w:r>
            <w:r w:rsidR="003A7DD9">
              <w:rPr>
                <w:rFonts w:asciiTheme="minorHAnsi" w:eastAsiaTheme="minorEastAsia" w:hAnsiTheme="minorHAnsi"/>
                <w:noProof/>
                <w:sz w:val="22"/>
                <w:lang w:eastAsia="lv-LV"/>
              </w:rPr>
              <w:tab/>
            </w:r>
            <w:r w:rsidR="003A7DD9" w:rsidRPr="00AD75A4">
              <w:rPr>
                <w:rStyle w:val="Hyperlink"/>
                <w:rFonts w:cs="Times New Roman"/>
                <w:b/>
                <w:noProof/>
              </w:rPr>
              <w:t>Atbalsts problemātiskam spēlētājam</w:t>
            </w:r>
            <w:r w:rsidR="003A7DD9">
              <w:rPr>
                <w:noProof/>
                <w:webHidden/>
              </w:rPr>
              <w:tab/>
            </w:r>
            <w:r w:rsidR="003A7DD9">
              <w:rPr>
                <w:noProof/>
                <w:webHidden/>
              </w:rPr>
              <w:fldChar w:fldCharType="begin"/>
            </w:r>
            <w:r w:rsidR="003A7DD9">
              <w:rPr>
                <w:noProof/>
                <w:webHidden/>
              </w:rPr>
              <w:instrText xml:space="preserve"> PAGEREF _Toc56087183 \h </w:instrText>
            </w:r>
            <w:r w:rsidR="003A7DD9">
              <w:rPr>
                <w:noProof/>
                <w:webHidden/>
              </w:rPr>
            </w:r>
            <w:r w:rsidR="003A7DD9">
              <w:rPr>
                <w:noProof/>
                <w:webHidden/>
              </w:rPr>
              <w:fldChar w:fldCharType="separate"/>
            </w:r>
            <w:r w:rsidR="003A7DD9">
              <w:rPr>
                <w:noProof/>
                <w:webHidden/>
              </w:rPr>
              <w:t>16</w:t>
            </w:r>
            <w:r w:rsidR="003A7DD9">
              <w:rPr>
                <w:noProof/>
                <w:webHidden/>
              </w:rPr>
              <w:fldChar w:fldCharType="end"/>
            </w:r>
          </w:hyperlink>
        </w:p>
        <w:p w:rsidR="003A7DD9" w:rsidRDefault="008C0E6A">
          <w:pPr>
            <w:pStyle w:val="TOC2"/>
            <w:rPr>
              <w:rFonts w:asciiTheme="minorHAnsi" w:eastAsiaTheme="minorEastAsia" w:hAnsiTheme="minorHAnsi"/>
              <w:noProof/>
              <w:sz w:val="22"/>
              <w:lang w:eastAsia="lv-LV"/>
            </w:rPr>
          </w:pPr>
          <w:hyperlink w:anchor="_Toc56087184" w:history="1">
            <w:r w:rsidR="003A7DD9" w:rsidRPr="00AD75A4">
              <w:rPr>
                <w:rStyle w:val="Hyperlink"/>
                <w:rFonts w:cs="Times New Roman"/>
                <w:b/>
                <w:noProof/>
              </w:rPr>
              <w:t>2.4.</w:t>
            </w:r>
            <w:r w:rsidR="003A7DD9">
              <w:rPr>
                <w:rFonts w:asciiTheme="minorHAnsi" w:eastAsiaTheme="minorEastAsia" w:hAnsiTheme="minorHAnsi"/>
                <w:noProof/>
                <w:sz w:val="22"/>
                <w:lang w:eastAsia="lv-LV"/>
              </w:rPr>
              <w:tab/>
            </w:r>
            <w:r w:rsidR="003A7DD9" w:rsidRPr="00AD75A4">
              <w:rPr>
                <w:rStyle w:val="Hyperlink"/>
                <w:rFonts w:cs="Times New Roman"/>
                <w:b/>
                <w:noProof/>
              </w:rPr>
              <w:t>Azartspēļu un izložu nozares preventīvie pasākumi</w:t>
            </w:r>
            <w:r w:rsidR="003A7DD9">
              <w:rPr>
                <w:noProof/>
                <w:webHidden/>
              </w:rPr>
              <w:tab/>
            </w:r>
            <w:r w:rsidR="003A7DD9">
              <w:rPr>
                <w:noProof/>
                <w:webHidden/>
              </w:rPr>
              <w:fldChar w:fldCharType="begin"/>
            </w:r>
            <w:r w:rsidR="003A7DD9">
              <w:rPr>
                <w:noProof/>
                <w:webHidden/>
              </w:rPr>
              <w:instrText xml:space="preserve"> PAGEREF _Toc56087184 \h </w:instrText>
            </w:r>
            <w:r w:rsidR="003A7DD9">
              <w:rPr>
                <w:noProof/>
                <w:webHidden/>
              </w:rPr>
            </w:r>
            <w:r w:rsidR="003A7DD9">
              <w:rPr>
                <w:noProof/>
                <w:webHidden/>
              </w:rPr>
              <w:fldChar w:fldCharType="separate"/>
            </w:r>
            <w:r w:rsidR="003A7DD9">
              <w:rPr>
                <w:noProof/>
                <w:webHidden/>
              </w:rPr>
              <w:t>18</w:t>
            </w:r>
            <w:r w:rsidR="003A7DD9">
              <w:rPr>
                <w:noProof/>
                <w:webHidden/>
              </w:rPr>
              <w:fldChar w:fldCharType="end"/>
            </w:r>
          </w:hyperlink>
        </w:p>
        <w:p w:rsidR="003A7DD9" w:rsidRDefault="008C0E6A">
          <w:pPr>
            <w:pStyle w:val="TOC2"/>
            <w:rPr>
              <w:rFonts w:asciiTheme="minorHAnsi" w:eastAsiaTheme="minorEastAsia" w:hAnsiTheme="minorHAnsi"/>
              <w:noProof/>
              <w:sz w:val="22"/>
              <w:lang w:eastAsia="lv-LV"/>
            </w:rPr>
          </w:pPr>
          <w:hyperlink w:anchor="_Toc56087185" w:history="1">
            <w:r w:rsidR="003A7DD9" w:rsidRPr="00AD75A4">
              <w:rPr>
                <w:rStyle w:val="Hyperlink"/>
                <w:rFonts w:cs="Times New Roman"/>
                <w:b/>
                <w:noProof/>
                <w:lang w:eastAsia="lv-LV"/>
              </w:rPr>
              <w:t>2.5.</w:t>
            </w:r>
            <w:r w:rsidR="003A7DD9">
              <w:rPr>
                <w:rFonts w:asciiTheme="minorHAnsi" w:eastAsiaTheme="minorEastAsia" w:hAnsiTheme="minorHAnsi"/>
                <w:noProof/>
                <w:sz w:val="22"/>
                <w:lang w:eastAsia="lv-LV"/>
              </w:rPr>
              <w:tab/>
            </w:r>
            <w:r w:rsidR="003A7DD9" w:rsidRPr="00AD75A4">
              <w:rPr>
                <w:rStyle w:val="Hyperlink"/>
                <w:rFonts w:cs="Times New Roman"/>
                <w:b/>
                <w:noProof/>
                <w:lang w:eastAsia="lv-LV"/>
              </w:rPr>
              <w:t>Spēlētāju uzvedības monitorings azartspēļu un izložu nozarē</w:t>
            </w:r>
            <w:r w:rsidR="003A7DD9">
              <w:rPr>
                <w:noProof/>
                <w:webHidden/>
              </w:rPr>
              <w:tab/>
            </w:r>
            <w:r w:rsidR="003A7DD9">
              <w:rPr>
                <w:noProof/>
                <w:webHidden/>
              </w:rPr>
              <w:fldChar w:fldCharType="begin"/>
            </w:r>
            <w:r w:rsidR="003A7DD9">
              <w:rPr>
                <w:noProof/>
                <w:webHidden/>
              </w:rPr>
              <w:instrText xml:space="preserve"> PAGEREF _Toc56087185 \h </w:instrText>
            </w:r>
            <w:r w:rsidR="003A7DD9">
              <w:rPr>
                <w:noProof/>
                <w:webHidden/>
              </w:rPr>
            </w:r>
            <w:r w:rsidR="003A7DD9">
              <w:rPr>
                <w:noProof/>
                <w:webHidden/>
              </w:rPr>
              <w:fldChar w:fldCharType="separate"/>
            </w:r>
            <w:r w:rsidR="003A7DD9">
              <w:rPr>
                <w:noProof/>
                <w:webHidden/>
              </w:rPr>
              <w:t>29</w:t>
            </w:r>
            <w:r w:rsidR="003A7DD9">
              <w:rPr>
                <w:noProof/>
                <w:webHidden/>
              </w:rPr>
              <w:fldChar w:fldCharType="end"/>
            </w:r>
          </w:hyperlink>
        </w:p>
        <w:p w:rsidR="003A7DD9" w:rsidRDefault="00077CCD" w:rsidP="00077CCD">
          <w:pPr>
            <w:pStyle w:val="TOC1"/>
            <w:rPr>
              <w:rFonts w:asciiTheme="minorHAnsi" w:eastAsiaTheme="minorEastAsia" w:hAnsiTheme="minorHAnsi"/>
              <w:noProof/>
              <w:sz w:val="22"/>
              <w:lang w:eastAsia="lv-LV"/>
            </w:rPr>
          </w:pPr>
          <w:r>
            <w:rPr>
              <w:noProof/>
            </w:rPr>
            <w:tab/>
          </w:r>
          <w:hyperlink w:anchor="_Toc56087186" w:history="1">
            <w:r w:rsidR="003A7DD9" w:rsidRPr="00AD75A4">
              <w:rPr>
                <w:rStyle w:val="Hyperlink"/>
                <w:rFonts w:cs="Times New Roman"/>
                <w:b/>
                <w:noProof/>
              </w:rPr>
              <w:t>2.6.</w:t>
            </w:r>
            <w:r>
              <w:rPr>
                <w:rFonts w:asciiTheme="minorHAnsi" w:eastAsiaTheme="minorEastAsia" w:hAnsiTheme="minorHAnsi"/>
                <w:noProof/>
                <w:sz w:val="22"/>
                <w:lang w:eastAsia="lv-LV"/>
              </w:rPr>
              <w:t> </w:t>
            </w:r>
            <w:r w:rsidR="003A7DD9" w:rsidRPr="00AD75A4">
              <w:rPr>
                <w:rStyle w:val="Hyperlink"/>
                <w:rFonts w:cs="Times New Roman"/>
                <w:b/>
                <w:noProof/>
              </w:rPr>
              <w:t>Indicētās profilakses nepieciešamība azartspēļu atkarības mazināšanai</w:t>
            </w:r>
            <w:r w:rsidR="003A7DD9">
              <w:rPr>
                <w:noProof/>
                <w:webHidden/>
              </w:rPr>
              <w:tab/>
            </w:r>
            <w:r w:rsidR="003A7DD9">
              <w:rPr>
                <w:noProof/>
                <w:webHidden/>
              </w:rPr>
              <w:fldChar w:fldCharType="begin"/>
            </w:r>
            <w:r w:rsidR="003A7DD9">
              <w:rPr>
                <w:noProof/>
                <w:webHidden/>
              </w:rPr>
              <w:instrText xml:space="preserve"> PAGEREF _Toc56087186 \h </w:instrText>
            </w:r>
            <w:r w:rsidR="003A7DD9">
              <w:rPr>
                <w:noProof/>
                <w:webHidden/>
              </w:rPr>
            </w:r>
            <w:r w:rsidR="003A7DD9">
              <w:rPr>
                <w:noProof/>
                <w:webHidden/>
              </w:rPr>
              <w:fldChar w:fldCharType="separate"/>
            </w:r>
            <w:r w:rsidR="003A7DD9">
              <w:rPr>
                <w:noProof/>
                <w:webHidden/>
              </w:rPr>
              <w:t>35</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87" w:history="1">
            <w:r w:rsidR="003A7DD9" w:rsidRPr="00AD75A4">
              <w:rPr>
                <w:rStyle w:val="Hyperlink"/>
                <w:rFonts w:eastAsia="Times New Roman" w:cs="Times New Roman"/>
                <w:b/>
                <w:noProof/>
                <w:lang w:eastAsia="lv-LV"/>
              </w:rPr>
              <w:t>3.</w:t>
            </w:r>
            <w:r w:rsidR="003A7DD9">
              <w:rPr>
                <w:rFonts w:asciiTheme="minorHAnsi" w:eastAsiaTheme="minorEastAsia" w:hAnsiTheme="minorHAnsi"/>
                <w:noProof/>
                <w:sz w:val="22"/>
                <w:lang w:eastAsia="lv-LV"/>
              </w:rPr>
              <w:tab/>
            </w:r>
            <w:r w:rsidR="003A7DD9" w:rsidRPr="00AD75A4">
              <w:rPr>
                <w:rStyle w:val="Hyperlink"/>
                <w:noProof/>
              </w:rPr>
              <w:t xml:space="preserve"> </w:t>
            </w:r>
            <w:r w:rsidR="003A7DD9" w:rsidRPr="00AD75A4">
              <w:rPr>
                <w:rStyle w:val="Hyperlink"/>
                <w:rFonts w:eastAsia="Times New Roman" w:cs="Times New Roman"/>
                <w:b/>
                <w:noProof/>
                <w:lang w:eastAsia="lv-LV"/>
              </w:rPr>
              <w:t>Azartspēļu un izložu reklāmas aizlieguma kontrole un vizuālā noformējuma prasības</w:t>
            </w:r>
            <w:r w:rsidR="003A7DD9">
              <w:rPr>
                <w:noProof/>
                <w:webHidden/>
              </w:rPr>
              <w:tab/>
            </w:r>
            <w:r w:rsidR="003A7DD9">
              <w:rPr>
                <w:noProof/>
                <w:webHidden/>
              </w:rPr>
              <w:fldChar w:fldCharType="begin"/>
            </w:r>
            <w:r w:rsidR="003A7DD9">
              <w:rPr>
                <w:noProof/>
                <w:webHidden/>
              </w:rPr>
              <w:instrText xml:space="preserve"> PAGEREF _Toc56087187 \h </w:instrText>
            </w:r>
            <w:r w:rsidR="003A7DD9">
              <w:rPr>
                <w:noProof/>
                <w:webHidden/>
              </w:rPr>
            </w:r>
            <w:r w:rsidR="003A7DD9">
              <w:rPr>
                <w:noProof/>
                <w:webHidden/>
              </w:rPr>
              <w:fldChar w:fldCharType="separate"/>
            </w:r>
            <w:r w:rsidR="003A7DD9">
              <w:rPr>
                <w:noProof/>
                <w:webHidden/>
              </w:rPr>
              <w:t>37</w:t>
            </w:r>
            <w:r w:rsidR="003A7DD9">
              <w:rPr>
                <w:noProof/>
                <w:webHidden/>
              </w:rPr>
              <w:fldChar w:fldCharType="end"/>
            </w:r>
          </w:hyperlink>
        </w:p>
        <w:p w:rsidR="003A7DD9" w:rsidRDefault="008C0E6A">
          <w:pPr>
            <w:pStyle w:val="TOC3"/>
            <w:rPr>
              <w:rFonts w:asciiTheme="minorHAnsi" w:eastAsiaTheme="minorEastAsia" w:hAnsiTheme="minorHAnsi"/>
              <w:noProof/>
              <w:sz w:val="22"/>
              <w:lang w:eastAsia="lv-LV"/>
            </w:rPr>
          </w:pPr>
          <w:hyperlink w:anchor="_Toc56087188" w:history="1">
            <w:r w:rsidR="003A7DD9" w:rsidRPr="00AD75A4">
              <w:rPr>
                <w:rStyle w:val="Hyperlink"/>
                <w:rFonts w:cs="Times New Roman"/>
                <w:b/>
                <w:noProof/>
              </w:rPr>
              <w:t>3.1.</w:t>
            </w:r>
            <w:r w:rsidR="003A7DD9">
              <w:rPr>
                <w:rFonts w:asciiTheme="minorHAnsi" w:eastAsiaTheme="minorEastAsia" w:hAnsiTheme="minorHAnsi"/>
                <w:noProof/>
                <w:sz w:val="22"/>
                <w:lang w:eastAsia="lv-LV"/>
              </w:rPr>
              <w:tab/>
            </w:r>
            <w:r w:rsidR="003A7DD9" w:rsidRPr="00AD75A4">
              <w:rPr>
                <w:rStyle w:val="Hyperlink"/>
                <w:rFonts w:cs="Times New Roman"/>
                <w:b/>
                <w:noProof/>
              </w:rPr>
              <w:t>“Zemes” azartspēles</w:t>
            </w:r>
            <w:r w:rsidR="003A7DD9">
              <w:rPr>
                <w:noProof/>
                <w:webHidden/>
              </w:rPr>
              <w:tab/>
            </w:r>
            <w:r w:rsidR="003A7DD9">
              <w:rPr>
                <w:noProof/>
                <w:webHidden/>
              </w:rPr>
              <w:fldChar w:fldCharType="begin"/>
            </w:r>
            <w:r w:rsidR="003A7DD9">
              <w:rPr>
                <w:noProof/>
                <w:webHidden/>
              </w:rPr>
              <w:instrText xml:space="preserve"> PAGEREF _Toc56087188 \h </w:instrText>
            </w:r>
            <w:r w:rsidR="003A7DD9">
              <w:rPr>
                <w:noProof/>
                <w:webHidden/>
              </w:rPr>
            </w:r>
            <w:r w:rsidR="003A7DD9">
              <w:rPr>
                <w:noProof/>
                <w:webHidden/>
              </w:rPr>
              <w:fldChar w:fldCharType="separate"/>
            </w:r>
            <w:r w:rsidR="003A7DD9">
              <w:rPr>
                <w:noProof/>
                <w:webHidden/>
              </w:rPr>
              <w:t>37</w:t>
            </w:r>
            <w:r w:rsidR="003A7DD9">
              <w:rPr>
                <w:noProof/>
                <w:webHidden/>
              </w:rPr>
              <w:fldChar w:fldCharType="end"/>
            </w:r>
          </w:hyperlink>
        </w:p>
        <w:p w:rsidR="003A7DD9" w:rsidRDefault="008C0E6A">
          <w:pPr>
            <w:pStyle w:val="TOC3"/>
            <w:rPr>
              <w:rFonts w:asciiTheme="minorHAnsi" w:eastAsiaTheme="minorEastAsia" w:hAnsiTheme="minorHAnsi"/>
              <w:noProof/>
              <w:sz w:val="22"/>
              <w:lang w:eastAsia="lv-LV"/>
            </w:rPr>
          </w:pPr>
          <w:hyperlink w:anchor="_Toc56087189" w:history="1">
            <w:r w:rsidR="003A7DD9" w:rsidRPr="00AD75A4">
              <w:rPr>
                <w:rStyle w:val="Hyperlink"/>
                <w:rFonts w:eastAsia="Calibri" w:cs="Times New Roman"/>
                <w:b/>
                <w:noProof/>
              </w:rPr>
              <w:t>3.2. Izložu joma</w:t>
            </w:r>
            <w:r w:rsidR="003A7DD9">
              <w:rPr>
                <w:noProof/>
                <w:webHidden/>
              </w:rPr>
              <w:tab/>
            </w:r>
            <w:r w:rsidR="003A7DD9">
              <w:rPr>
                <w:noProof/>
                <w:webHidden/>
              </w:rPr>
              <w:fldChar w:fldCharType="begin"/>
            </w:r>
            <w:r w:rsidR="003A7DD9">
              <w:rPr>
                <w:noProof/>
                <w:webHidden/>
              </w:rPr>
              <w:instrText xml:space="preserve"> PAGEREF _Toc56087189 \h </w:instrText>
            </w:r>
            <w:r w:rsidR="003A7DD9">
              <w:rPr>
                <w:noProof/>
                <w:webHidden/>
              </w:rPr>
            </w:r>
            <w:r w:rsidR="003A7DD9">
              <w:rPr>
                <w:noProof/>
                <w:webHidden/>
              </w:rPr>
              <w:fldChar w:fldCharType="separate"/>
            </w:r>
            <w:r w:rsidR="003A7DD9">
              <w:rPr>
                <w:noProof/>
                <w:webHidden/>
              </w:rPr>
              <w:t>48</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90" w:history="1">
            <w:r w:rsidR="003A7DD9" w:rsidRPr="00AD75A4">
              <w:rPr>
                <w:rStyle w:val="Hyperlink"/>
                <w:rFonts w:eastAsia="Times New Roman" w:cs="Times New Roman"/>
                <w:b/>
                <w:noProof/>
                <w:lang w:eastAsia="lv-LV"/>
              </w:rPr>
              <w:t>4.</w:t>
            </w:r>
            <w:r w:rsidR="003A7DD9">
              <w:rPr>
                <w:rFonts w:asciiTheme="minorHAnsi" w:eastAsiaTheme="minorEastAsia" w:hAnsiTheme="minorHAnsi"/>
                <w:noProof/>
                <w:sz w:val="22"/>
                <w:lang w:eastAsia="lv-LV"/>
              </w:rPr>
              <w:tab/>
            </w:r>
            <w:r w:rsidR="003A7DD9" w:rsidRPr="00AD75A4">
              <w:rPr>
                <w:rStyle w:val="Hyperlink"/>
                <w:rFonts w:eastAsia="Times New Roman" w:cs="Times New Roman"/>
                <w:b/>
                <w:noProof/>
                <w:lang w:eastAsia="lv-LV"/>
              </w:rPr>
              <w:t>Azartspēļu un izložu pieejamība, darbības vietas un to regulēšana</w:t>
            </w:r>
            <w:r w:rsidR="003A7DD9">
              <w:rPr>
                <w:noProof/>
                <w:webHidden/>
              </w:rPr>
              <w:tab/>
            </w:r>
            <w:r w:rsidR="003A7DD9">
              <w:rPr>
                <w:noProof/>
                <w:webHidden/>
              </w:rPr>
              <w:fldChar w:fldCharType="begin"/>
            </w:r>
            <w:r w:rsidR="003A7DD9">
              <w:rPr>
                <w:noProof/>
                <w:webHidden/>
              </w:rPr>
              <w:instrText xml:space="preserve"> PAGEREF _Toc56087190 \h </w:instrText>
            </w:r>
            <w:r w:rsidR="003A7DD9">
              <w:rPr>
                <w:noProof/>
                <w:webHidden/>
              </w:rPr>
            </w:r>
            <w:r w:rsidR="003A7DD9">
              <w:rPr>
                <w:noProof/>
                <w:webHidden/>
              </w:rPr>
              <w:fldChar w:fldCharType="separate"/>
            </w:r>
            <w:r w:rsidR="003A7DD9">
              <w:rPr>
                <w:noProof/>
                <w:webHidden/>
              </w:rPr>
              <w:t>54</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91" w:history="1">
            <w:r w:rsidR="003A7DD9" w:rsidRPr="00AD75A4">
              <w:rPr>
                <w:rStyle w:val="Hyperlink"/>
                <w:rFonts w:cs="Times New Roman"/>
                <w:b/>
                <w:noProof/>
              </w:rPr>
              <w:t>5.</w:t>
            </w:r>
            <w:r w:rsidR="003A7DD9">
              <w:rPr>
                <w:rFonts w:asciiTheme="minorHAnsi" w:eastAsiaTheme="minorEastAsia" w:hAnsiTheme="minorHAnsi"/>
                <w:noProof/>
                <w:sz w:val="22"/>
                <w:lang w:eastAsia="lv-LV"/>
              </w:rPr>
              <w:tab/>
            </w:r>
            <w:r w:rsidR="003A7DD9" w:rsidRPr="00AD75A4">
              <w:rPr>
                <w:rStyle w:val="Hyperlink"/>
                <w:rFonts w:cs="Times New Roman"/>
                <w:b/>
                <w:noProof/>
              </w:rPr>
              <w:t>Latvijā nelicencēto azartspēļu un izložu novēršanas pasākumi</w:t>
            </w:r>
            <w:r w:rsidR="003A7DD9">
              <w:rPr>
                <w:noProof/>
                <w:webHidden/>
              </w:rPr>
              <w:tab/>
            </w:r>
            <w:r w:rsidR="003A7DD9">
              <w:rPr>
                <w:noProof/>
                <w:webHidden/>
              </w:rPr>
              <w:fldChar w:fldCharType="begin"/>
            </w:r>
            <w:r w:rsidR="003A7DD9">
              <w:rPr>
                <w:noProof/>
                <w:webHidden/>
              </w:rPr>
              <w:instrText xml:space="preserve"> PAGEREF _Toc56087191 \h </w:instrText>
            </w:r>
            <w:r w:rsidR="003A7DD9">
              <w:rPr>
                <w:noProof/>
                <w:webHidden/>
              </w:rPr>
            </w:r>
            <w:r w:rsidR="003A7DD9">
              <w:rPr>
                <w:noProof/>
                <w:webHidden/>
              </w:rPr>
              <w:fldChar w:fldCharType="separate"/>
            </w:r>
            <w:r w:rsidR="003A7DD9">
              <w:rPr>
                <w:noProof/>
                <w:webHidden/>
              </w:rPr>
              <w:t>63</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92" w:history="1">
            <w:r w:rsidR="003A7DD9" w:rsidRPr="00AD75A4">
              <w:rPr>
                <w:rStyle w:val="Hyperlink"/>
                <w:rFonts w:cs="Times New Roman"/>
                <w:b/>
                <w:noProof/>
                <w:lang w:eastAsia="lv-LV"/>
              </w:rPr>
              <w:t>6.</w:t>
            </w:r>
            <w:r w:rsidR="003A7DD9">
              <w:rPr>
                <w:rFonts w:asciiTheme="minorHAnsi" w:eastAsiaTheme="minorEastAsia" w:hAnsiTheme="minorHAnsi"/>
                <w:noProof/>
                <w:sz w:val="22"/>
                <w:lang w:eastAsia="lv-LV"/>
              </w:rPr>
              <w:tab/>
            </w:r>
            <w:r w:rsidR="003A7DD9" w:rsidRPr="00AD75A4">
              <w:rPr>
                <w:rStyle w:val="Hyperlink"/>
                <w:rFonts w:eastAsia="Times New Roman" w:cs="Times New Roman"/>
                <w:b/>
                <w:noProof/>
                <w:lang w:eastAsia="lv-LV"/>
              </w:rPr>
              <w:t>Azartspēļu un izložu nozares tendences</w:t>
            </w:r>
            <w:r w:rsidR="003A7DD9">
              <w:rPr>
                <w:noProof/>
                <w:webHidden/>
              </w:rPr>
              <w:tab/>
            </w:r>
            <w:r w:rsidR="003A7DD9">
              <w:rPr>
                <w:noProof/>
                <w:webHidden/>
              </w:rPr>
              <w:fldChar w:fldCharType="begin"/>
            </w:r>
            <w:r w:rsidR="003A7DD9">
              <w:rPr>
                <w:noProof/>
                <w:webHidden/>
              </w:rPr>
              <w:instrText xml:space="preserve"> PAGEREF _Toc56087192 \h </w:instrText>
            </w:r>
            <w:r w:rsidR="003A7DD9">
              <w:rPr>
                <w:noProof/>
                <w:webHidden/>
              </w:rPr>
            </w:r>
            <w:r w:rsidR="003A7DD9">
              <w:rPr>
                <w:noProof/>
                <w:webHidden/>
              </w:rPr>
              <w:fldChar w:fldCharType="separate"/>
            </w:r>
            <w:r w:rsidR="003A7DD9">
              <w:rPr>
                <w:noProof/>
                <w:webHidden/>
              </w:rPr>
              <w:t>67</w:t>
            </w:r>
            <w:r w:rsidR="003A7DD9">
              <w:rPr>
                <w:noProof/>
                <w:webHidden/>
              </w:rPr>
              <w:fldChar w:fldCharType="end"/>
            </w:r>
          </w:hyperlink>
        </w:p>
        <w:p w:rsidR="003A7DD9" w:rsidRDefault="008C0E6A" w:rsidP="00077CCD">
          <w:pPr>
            <w:pStyle w:val="TOC1"/>
            <w:rPr>
              <w:rFonts w:asciiTheme="minorHAnsi" w:eastAsiaTheme="minorEastAsia" w:hAnsiTheme="minorHAnsi"/>
              <w:noProof/>
              <w:sz w:val="22"/>
              <w:lang w:eastAsia="lv-LV"/>
            </w:rPr>
          </w:pPr>
          <w:hyperlink w:anchor="_Toc56087193" w:history="1">
            <w:r w:rsidR="003A7DD9" w:rsidRPr="00AD75A4">
              <w:rPr>
                <w:rStyle w:val="Hyperlink"/>
                <w:rFonts w:eastAsia="Times New Roman" w:cs="Times New Roman"/>
                <w:b/>
                <w:noProof/>
                <w:lang w:eastAsia="lv-LV"/>
              </w:rPr>
              <w:t>7.</w:t>
            </w:r>
            <w:r w:rsidR="003A7DD9">
              <w:rPr>
                <w:rFonts w:asciiTheme="minorHAnsi" w:eastAsiaTheme="minorEastAsia" w:hAnsiTheme="minorHAnsi"/>
                <w:noProof/>
                <w:sz w:val="22"/>
                <w:lang w:eastAsia="lv-LV"/>
              </w:rPr>
              <w:tab/>
            </w:r>
            <w:r w:rsidR="003A7DD9" w:rsidRPr="00AD75A4">
              <w:rPr>
                <w:rStyle w:val="Hyperlink"/>
                <w:rFonts w:eastAsia="Times New Roman" w:cs="Times New Roman"/>
                <w:b/>
                <w:noProof/>
                <w:lang w:eastAsia="lv-LV"/>
              </w:rPr>
              <w:t>Azartspēļu un izložu nozares uzraudzība</w:t>
            </w:r>
            <w:r w:rsidR="003A7DD9">
              <w:rPr>
                <w:noProof/>
                <w:webHidden/>
              </w:rPr>
              <w:tab/>
            </w:r>
            <w:r w:rsidR="003A7DD9">
              <w:rPr>
                <w:noProof/>
                <w:webHidden/>
              </w:rPr>
              <w:fldChar w:fldCharType="begin"/>
            </w:r>
            <w:r w:rsidR="003A7DD9">
              <w:rPr>
                <w:noProof/>
                <w:webHidden/>
              </w:rPr>
              <w:instrText xml:space="preserve"> PAGEREF _Toc56087193 \h </w:instrText>
            </w:r>
            <w:r w:rsidR="003A7DD9">
              <w:rPr>
                <w:noProof/>
                <w:webHidden/>
              </w:rPr>
            </w:r>
            <w:r w:rsidR="003A7DD9">
              <w:rPr>
                <w:noProof/>
                <w:webHidden/>
              </w:rPr>
              <w:fldChar w:fldCharType="separate"/>
            </w:r>
            <w:r w:rsidR="003A7DD9">
              <w:rPr>
                <w:noProof/>
                <w:webHidden/>
              </w:rPr>
              <w:t>78</w:t>
            </w:r>
            <w:r w:rsidR="003A7DD9">
              <w:rPr>
                <w:noProof/>
                <w:webHidden/>
              </w:rPr>
              <w:fldChar w:fldCharType="end"/>
            </w:r>
          </w:hyperlink>
        </w:p>
        <w:p w:rsidR="00635AFA" w:rsidRPr="0087512B" w:rsidRDefault="00635AFA" w:rsidP="00802464">
          <w:pPr>
            <w:tabs>
              <w:tab w:val="left" w:pos="709"/>
              <w:tab w:val="right" w:leader="dot" w:pos="9072"/>
            </w:tabs>
            <w:ind w:left="284"/>
            <w:jc w:val="both"/>
          </w:pPr>
          <w:r w:rsidRPr="0087512B">
            <w:rPr>
              <w:b/>
              <w:bCs/>
              <w:noProof/>
            </w:rPr>
            <w:fldChar w:fldCharType="end"/>
          </w:r>
        </w:p>
      </w:sdtContent>
    </w:sdt>
    <w:p w:rsidR="00635AFA" w:rsidRPr="0087512B" w:rsidRDefault="00635AFA" w:rsidP="0087512B">
      <w:pPr>
        <w:rPr>
          <w:rFonts w:cs="Times New Roman"/>
          <w:b/>
          <w:sz w:val="28"/>
          <w:szCs w:val="28"/>
          <w:lang w:eastAsia="lv-LV"/>
        </w:rPr>
      </w:pPr>
      <w:r w:rsidRPr="0087512B">
        <w:rPr>
          <w:rFonts w:cs="Times New Roman"/>
          <w:b/>
          <w:sz w:val="28"/>
          <w:szCs w:val="28"/>
          <w:lang w:eastAsia="lv-LV"/>
        </w:rPr>
        <w:br w:type="page"/>
      </w:r>
    </w:p>
    <w:p w:rsidR="00635AFA" w:rsidRPr="007571C1" w:rsidRDefault="00635AFA" w:rsidP="007571C1">
      <w:pPr>
        <w:pStyle w:val="NoSpacing"/>
        <w:jc w:val="center"/>
        <w:rPr>
          <w:rFonts w:ascii="Times New Roman" w:hAnsi="Times New Roman" w:cs="Times New Roman"/>
          <w:b/>
          <w:sz w:val="28"/>
          <w:szCs w:val="28"/>
          <w:lang w:eastAsia="lv-LV"/>
        </w:rPr>
      </w:pPr>
      <w:bookmarkStart w:id="1" w:name="_Toc528224418"/>
      <w:r w:rsidRPr="007571C1">
        <w:rPr>
          <w:rFonts w:ascii="Times New Roman" w:hAnsi="Times New Roman" w:cs="Times New Roman"/>
          <w:b/>
          <w:sz w:val="28"/>
          <w:szCs w:val="28"/>
          <w:lang w:eastAsia="lv-LV"/>
        </w:rPr>
        <w:lastRenderedPageBreak/>
        <w:t>ESOŠĀS SITUĀCIJAS VISPĀRĪGS RAKSTUROJUMS</w:t>
      </w:r>
      <w:bookmarkEnd w:id="1"/>
    </w:p>
    <w:p w:rsidR="00635AFA" w:rsidRPr="0087512B" w:rsidRDefault="00635AFA" w:rsidP="0087512B">
      <w:pPr>
        <w:rPr>
          <w:rFonts w:cs="Times New Roman"/>
          <w:sz w:val="28"/>
          <w:szCs w:val="28"/>
          <w:lang w:eastAsia="lv-LV"/>
        </w:rPr>
      </w:pPr>
    </w:p>
    <w:p w:rsidR="00635AFA" w:rsidRPr="0087512B" w:rsidRDefault="00635AFA" w:rsidP="0087512B">
      <w:pPr>
        <w:ind w:firstLine="567"/>
        <w:jc w:val="both"/>
        <w:rPr>
          <w:rFonts w:eastAsia="Times New Roman" w:cs="Times New Roman"/>
          <w:sz w:val="28"/>
          <w:szCs w:val="28"/>
          <w:lang w:eastAsia="lv-LV"/>
        </w:rPr>
      </w:pPr>
      <w:r w:rsidRPr="0087512B">
        <w:rPr>
          <w:rFonts w:cs="Times New Roman"/>
          <w:sz w:val="28"/>
          <w:szCs w:val="28"/>
        </w:rPr>
        <w:t xml:space="preserve">Šajā nodaļā sniegta informācija par esošo situāciju azartspēļu un izložu nozarē </w:t>
      </w:r>
      <w:r w:rsidRPr="0087512B">
        <w:rPr>
          <w:rFonts w:eastAsia="Times New Roman" w:cs="Times New Roman"/>
          <w:sz w:val="28"/>
          <w:szCs w:val="28"/>
          <w:lang w:eastAsia="lv-LV"/>
        </w:rPr>
        <w:t xml:space="preserve">(turpmāk </w:t>
      </w:r>
      <w:r w:rsidR="003A4FC9" w:rsidRPr="0087512B">
        <w:rPr>
          <w:rFonts w:eastAsia="Times New Roman" w:cs="Times New Roman"/>
          <w:sz w:val="28"/>
          <w:szCs w:val="28"/>
          <w:lang w:eastAsia="lv-LV"/>
        </w:rPr>
        <w:t>–</w:t>
      </w:r>
      <w:r w:rsidRPr="0087512B">
        <w:rPr>
          <w:rFonts w:eastAsia="Times New Roman" w:cs="Times New Roman"/>
          <w:sz w:val="28"/>
          <w:szCs w:val="28"/>
          <w:lang w:eastAsia="lv-LV"/>
        </w:rPr>
        <w:t xml:space="preserve"> AI nozare)</w:t>
      </w:r>
      <w:r w:rsidRPr="0087512B">
        <w:rPr>
          <w:rFonts w:cs="Times New Roman"/>
          <w:sz w:val="28"/>
          <w:szCs w:val="28"/>
        </w:rPr>
        <w:t xml:space="preserve">, skaidrojot </w:t>
      </w:r>
      <w:r w:rsidR="00F8172A">
        <w:rPr>
          <w:rFonts w:cs="Times New Roman"/>
          <w:sz w:val="28"/>
          <w:szCs w:val="28"/>
        </w:rPr>
        <w:t>tajā skaitā</w:t>
      </w:r>
      <w:r w:rsidRPr="0087512B">
        <w:rPr>
          <w:rFonts w:cs="Times New Roman"/>
          <w:sz w:val="28"/>
          <w:szCs w:val="28"/>
        </w:rPr>
        <w:t xml:space="preserve"> arī identificētās problēmas, kas </w:t>
      </w:r>
      <w:r w:rsidR="005E3EEF">
        <w:rPr>
          <w:rFonts w:cs="Times New Roman"/>
          <w:sz w:val="28"/>
          <w:szCs w:val="28"/>
        </w:rPr>
        <w:t>tiek</w:t>
      </w:r>
      <w:r w:rsidRPr="0087512B">
        <w:rPr>
          <w:rFonts w:cs="Times New Roman"/>
          <w:sz w:val="28"/>
          <w:szCs w:val="28"/>
        </w:rPr>
        <w:t xml:space="preserve"> risinā</w:t>
      </w:r>
      <w:r w:rsidR="005E3EEF">
        <w:rPr>
          <w:rFonts w:cs="Times New Roman"/>
          <w:sz w:val="28"/>
          <w:szCs w:val="28"/>
        </w:rPr>
        <w:t>ta</w:t>
      </w:r>
      <w:r w:rsidRPr="0087512B">
        <w:rPr>
          <w:rFonts w:cs="Times New Roman"/>
          <w:sz w:val="28"/>
          <w:szCs w:val="28"/>
        </w:rPr>
        <w:t xml:space="preserve">s </w:t>
      </w:r>
      <w:r w:rsidRPr="0087512B">
        <w:rPr>
          <w:rFonts w:eastAsia="Times New Roman" w:cs="Times New Roman"/>
          <w:sz w:val="28"/>
          <w:szCs w:val="28"/>
          <w:lang w:eastAsia="lv-LV"/>
        </w:rPr>
        <w:t xml:space="preserve">azartspēļu un izložu politikas pamatnostādnēs </w:t>
      </w:r>
      <w:r w:rsidR="00F52B67">
        <w:rPr>
          <w:rFonts w:eastAsia="Times New Roman" w:cs="Times New Roman"/>
          <w:sz w:val="28"/>
          <w:szCs w:val="28"/>
          <w:lang w:eastAsia="lv-LV"/>
        </w:rPr>
        <w:t>202</w:t>
      </w:r>
      <w:r w:rsidR="00A236DF">
        <w:rPr>
          <w:rFonts w:eastAsia="Times New Roman" w:cs="Times New Roman"/>
          <w:sz w:val="28"/>
          <w:szCs w:val="28"/>
          <w:lang w:eastAsia="lv-LV"/>
        </w:rPr>
        <w:t>1</w:t>
      </w:r>
      <w:r w:rsidR="00F52B67">
        <w:rPr>
          <w:rFonts w:eastAsia="Times New Roman" w:cs="Times New Roman"/>
          <w:sz w:val="28"/>
          <w:szCs w:val="28"/>
          <w:lang w:eastAsia="lv-LV"/>
        </w:rPr>
        <w:t xml:space="preserve">. – 2027.gadam </w:t>
      </w:r>
      <w:r w:rsidRPr="0087512B">
        <w:rPr>
          <w:rFonts w:eastAsia="Times New Roman" w:cs="Times New Roman"/>
          <w:sz w:val="28"/>
          <w:szCs w:val="28"/>
          <w:lang w:eastAsia="lv-LV"/>
        </w:rPr>
        <w:t xml:space="preserve">(turpmāk </w:t>
      </w:r>
      <w:r w:rsidR="003A4FC9" w:rsidRPr="0087512B">
        <w:rPr>
          <w:rFonts w:eastAsia="Times New Roman" w:cs="Times New Roman"/>
          <w:sz w:val="28"/>
          <w:szCs w:val="28"/>
          <w:lang w:eastAsia="lv-LV"/>
        </w:rPr>
        <w:t>–</w:t>
      </w:r>
      <w:r w:rsidRPr="0087512B">
        <w:rPr>
          <w:rFonts w:eastAsia="Times New Roman" w:cs="Times New Roman"/>
          <w:sz w:val="28"/>
          <w:szCs w:val="28"/>
          <w:lang w:eastAsia="lv-LV"/>
        </w:rPr>
        <w:t xml:space="preserve"> Pamatnostādnes).</w:t>
      </w:r>
    </w:p>
    <w:p w:rsidR="00635AFA" w:rsidRPr="0087512B" w:rsidRDefault="00635AFA" w:rsidP="0087512B">
      <w:pPr>
        <w:ind w:firstLine="567"/>
        <w:jc w:val="both"/>
        <w:rPr>
          <w:rFonts w:eastAsia="Times New Roman" w:cs="Times New Roman"/>
          <w:sz w:val="28"/>
          <w:szCs w:val="28"/>
          <w:lang w:eastAsia="lv-LV"/>
        </w:rPr>
      </w:pPr>
      <w:r w:rsidRPr="0087512B">
        <w:rPr>
          <w:rFonts w:eastAsia="Times New Roman" w:cs="Times New Roman"/>
          <w:sz w:val="28"/>
          <w:szCs w:val="28"/>
          <w:lang w:eastAsia="lv-LV"/>
        </w:rPr>
        <w:t xml:space="preserve">Zemāk minētajās apakšnodaļās īsi tiek raksturots AI nozares tiesiskais regulējums, sabiedrības interešu aizstāvība un personu/spēlētāju tiesības, </w:t>
      </w:r>
      <w:r w:rsidR="005E3EEF">
        <w:rPr>
          <w:rFonts w:eastAsia="Times New Roman" w:cs="Times New Roman"/>
          <w:sz w:val="28"/>
          <w:szCs w:val="28"/>
          <w:lang w:eastAsia="lv-LV"/>
        </w:rPr>
        <w:t xml:space="preserve">nelegālā tirgus ierobežošana, </w:t>
      </w:r>
      <w:r w:rsidRPr="0087512B">
        <w:rPr>
          <w:rFonts w:eastAsia="Times New Roman" w:cs="Times New Roman"/>
          <w:sz w:val="28"/>
          <w:szCs w:val="28"/>
          <w:lang w:eastAsia="lv-LV"/>
        </w:rPr>
        <w:t>azartspēļu un izložu reklām</w:t>
      </w:r>
      <w:r w:rsidR="005E3EEF">
        <w:rPr>
          <w:rFonts w:eastAsia="Times New Roman" w:cs="Times New Roman"/>
          <w:sz w:val="28"/>
          <w:szCs w:val="28"/>
          <w:lang w:eastAsia="lv-LV"/>
        </w:rPr>
        <w:t xml:space="preserve">as </w:t>
      </w:r>
      <w:r w:rsidR="00F12BDA">
        <w:rPr>
          <w:rFonts w:eastAsia="Times New Roman" w:cs="Times New Roman"/>
          <w:sz w:val="28"/>
          <w:szCs w:val="28"/>
          <w:lang w:eastAsia="lv-LV"/>
        </w:rPr>
        <w:t>aizlieguma kontrole</w:t>
      </w:r>
      <w:r w:rsidRPr="0087512B">
        <w:rPr>
          <w:rFonts w:eastAsia="Times New Roman" w:cs="Times New Roman"/>
          <w:sz w:val="28"/>
          <w:szCs w:val="28"/>
          <w:lang w:eastAsia="lv-LV"/>
        </w:rPr>
        <w:t>, azartspēļu un izložu pieejamība, darbības vietas un to regulēšana, AI nozares uzraudzība</w:t>
      </w:r>
      <w:r w:rsidR="00F675A9">
        <w:rPr>
          <w:rFonts w:eastAsia="Times New Roman" w:cs="Times New Roman"/>
          <w:sz w:val="28"/>
          <w:szCs w:val="28"/>
          <w:lang w:eastAsia="lv-LV"/>
        </w:rPr>
        <w:t>, kā arī analizētas esošās problēmas un iespējamie risinājumi</w:t>
      </w:r>
      <w:r w:rsidRPr="0087512B">
        <w:rPr>
          <w:rFonts w:eastAsia="Times New Roman" w:cs="Times New Roman"/>
          <w:sz w:val="28"/>
          <w:szCs w:val="28"/>
          <w:lang w:eastAsia="lv-LV"/>
        </w:rPr>
        <w:t>.</w:t>
      </w:r>
    </w:p>
    <w:p w:rsidR="00635AFA" w:rsidRPr="0087512B" w:rsidRDefault="00635AFA" w:rsidP="0087512B">
      <w:pPr>
        <w:ind w:firstLine="720"/>
        <w:jc w:val="both"/>
        <w:rPr>
          <w:rFonts w:eastAsia="Times New Roman" w:cs="Times New Roman"/>
          <w:sz w:val="28"/>
          <w:szCs w:val="28"/>
          <w:lang w:eastAsia="lv-LV"/>
        </w:rPr>
      </w:pPr>
    </w:p>
    <w:p w:rsidR="00635AFA" w:rsidRPr="007571C1" w:rsidRDefault="00635AFA" w:rsidP="009E0A36">
      <w:pPr>
        <w:pStyle w:val="Heading1"/>
        <w:numPr>
          <w:ilvl w:val="0"/>
          <w:numId w:val="36"/>
        </w:numPr>
        <w:jc w:val="center"/>
        <w:rPr>
          <w:rFonts w:ascii="Times New Roman" w:eastAsia="Times New Roman" w:hAnsi="Times New Roman" w:cs="Times New Roman"/>
          <w:b/>
          <w:color w:val="auto"/>
          <w:sz w:val="28"/>
          <w:szCs w:val="28"/>
          <w:lang w:eastAsia="lv-LV"/>
        </w:rPr>
      </w:pPr>
      <w:bookmarkStart w:id="2" w:name="_Toc56087177"/>
      <w:r w:rsidRPr="007571C1">
        <w:rPr>
          <w:rFonts w:ascii="Times New Roman" w:eastAsia="Times New Roman" w:hAnsi="Times New Roman" w:cs="Times New Roman"/>
          <w:b/>
          <w:color w:val="auto"/>
          <w:sz w:val="28"/>
          <w:szCs w:val="28"/>
          <w:lang w:eastAsia="lv-LV"/>
        </w:rPr>
        <w:t>Azartspēļu un izložu nozares tiesiskais regulējums</w:t>
      </w:r>
      <w:bookmarkEnd w:id="2"/>
    </w:p>
    <w:p w:rsidR="00635AFA" w:rsidRPr="0087512B" w:rsidRDefault="00635AFA" w:rsidP="0087512B">
      <w:pPr>
        <w:rPr>
          <w:rFonts w:cs="Times New Roman"/>
          <w:sz w:val="28"/>
          <w:szCs w:val="28"/>
          <w:lang w:eastAsia="lv-LV"/>
        </w:rPr>
      </w:pPr>
    </w:p>
    <w:p w:rsidR="00635AFA" w:rsidRPr="0087512B" w:rsidRDefault="00635AFA" w:rsidP="0087512B">
      <w:pPr>
        <w:ind w:firstLine="567"/>
        <w:jc w:val="both"/>
        <w:rPr>
          <w:rFonts w:eastAsia="Times New Roman" w:cs="Times New Roman"/>
          <w:sz w:val="28"/>
          <w:szCs w:val="28"/>
          <w:lang w:eastAsia="lv-LV"/>
        </w:rPr>
      </w:pPr>
      <w:r w:rsidRPr="0087512B">
        <w:rPr>
          <w:rFonts w:eastAsia="Times New Roman" w:cs="Times New Roman"/>
          <w:sz w:val="28"/>
          <w:szCs w:val="28"/>
          <w:lang w:eastAsia="lv-LV"/>
        </w:rPr>
        <w:t xml:space="preserve">AI nozares darbība tiek regulēta atbilstoši Azartspēļu un izložu likumam (turpmāk – AIL), kas stājās spēkā 2006.gada 1.janvārī, kā arī uz AIL pamata izdotajiem Ministru kabineta noteikumiem. </w:t>
      </w:r>
    </w:p>
    <w:p w:rsidR="000374B4" w:rsidRDefault="00635AFA" w:rsidP="000374B4">
      <w:pPr>
        <w:ind w:firstLine="567"/>
        <w:jc w:val="both"/>
        <w:rPr>
          <w:rFonts w:cs="Times New Roman"/>
          <w:sz w:val="28"/>
          <w:szCs w:val="28"/>
        </w:rPr>
      </w:pPr>
      <w:r w:rsidRPr="0087512B">
        <w:rPr>
          <w:rFonts w:eastAsia="Times New Roman" w:cs="Times New Roman"/>
          <w:sz w:val="28"/>
          <w:szCs w:val="28"/>
          <w:lang w:eastAsia="lv-LV"/>
        </w:rPr>
        <w:t>AIL mērķis ir</w:t>
      </w:r>
      <w:r w:rsidRPr="0087512B">
        <w:rPr>
          <w:rFonts w:cs="Times New Roman"/>
          <w:sz w:val="28"/>
          <w:szCs w:val="28"/>
        </w:rPr>
        <w:t xml:space="preserve"> nodrošināt sabiedrības interešu un spēlētāju tiesību aizsardzību. </w:t>
      </w:r>
      <w:r w:rsidR="000102CF">
        <w:rPr>
          <w:rFonts w:cs="Times New Roman"/>
          <w:sz w:val="28"/>
          <w:szCs w:val="28"/>
        </w:rPr>
        <w:t>AIL</w:t>
      </w:r>
      <w:r w:rsidR="000102CF" w:rsidRPr="0087512B">
        <w:rPr>
          <w:rFonts w:cs="Times New Roman"/>
          <w:sz w:val="28"/>
          <w:szCs w:val="28"/>
        </w:rPr>
        <w:t xml:space="preserve"> </w:t>
      </w:r>
      <w:r w:rsidRPr="0087512B">
        <w:rPr>
          <w:rFonts w:cs="Times New Roman"/>
          <w:sz w:val="28"/>
          <w:szCs w:val="28"/>
        </w:rPr>
        <w:t xml:space="preserve">ir </w:t>
      </w:r>
      <w:r w:rsidR="00F8172A" w:rsidRPr="0087512B">
        <w:rPr>
          <w:rFonts w:cs="Times New Roman"/>
          <w:sz w:val="28"/>
          <w:szCs w:val="28"/>
        </w:rPr>
        <w:t>noteikt</w:t>
      </w:r>
      <w:r w:rsidR="00F8172A">
        <w:rPr>
          <w:rFonts w:cs="Times New Roman"/>
          <w:sz w:val="28"/>
          <w:szCs w:val="28"/>
        </w:rPr>
        <w:t>s šāds regulējums</w:t>
      </w:r>
      <w:r w:rsidRPr="0087512B">
        <w:rPr>
          <w:rFonts w:cs="Times New Roman"/>
          <w:sz w:val="28"/>
          <w:szCs w:val="28"/>
        </w:rPr>
        <w:t xml:space="preserve">: </w:t>
      </w:r>
    </w:p>
    <w:p w:rsidR="00635AFA" w:rsidRPr="000374B4" w:rsidRDefault="00635AFA" w:rsidP="00537917">
      <w:pPr>
        <w:pStyle w:val="ListParagraph"/>
        <w:numPr>
          <w:ilvl w:val="0"/>
          <w:numId w:val="43"/>
        </w:numPr>
        <w:ind w:left="0" w:firstLine="709"/>
        <w:jc w:val="both"/>
        <w:rPr>
          <w:rFonts w:cs="Times New Roman"/>
          <w:sz w:val="28"/>
          <w:szCs w:val="28"/>
        </w:rPr>
      </w:pPr>
      <w:r w:rsidRPr="000374B4">
        <w:rPr>
          <w:rFonts w:cs="Times New Roman"/>
          <w:sz w:val="28"/>
          <w:szCs w:val="28"/>
        </w:rPr>
        <w:t>azartspēļu un izložu organizēšanas kārtība;</w:t>
      </w:r>
    </w:p>
    <w:p w:rsidR="00635AFA" w:rsidRPr="000374B4" w:rsidRDefault="00635AFA" w:rsidP="00537917">
      <w:pPr>
        <w:pStyle w:val="ListParagraph"/>
        <w:numPr>
          <w:ilvl w:val="0"/>
          <w:numId w:val="43"/>
        </w:numPr>
        <w:ind w:left="0" w:firstLine="709"/>
        <w:jc w:val="both"/>
        <w:rPr>
          <w:rFonts w:cs="Times New Roman"/>
          <w:sz w:val="28"/>
          <w:szCs w:val="28"/>
        </w:rPr>
      </w:pPr>
      <w:r w:rsidRPr="000374B4">
        <w:rPr>
          <w:rFonts w:cs="Times New Roman"/>
          <w:sz w:val="28"/>
          <w:szCs w:val="28"/>
        </w:rPr>
        <w:t>azartspēļu pakalpojumu sniegšanas kārtība;</w:t>
      </w:r>
    </w:p>
    <w:p w:rsidR="00635AFA" w:rsidRPr="000374B4" w:rsidRDefault="00635AFA" w:rsidP="00537917">
      <w:pPr>
        <w:pStyle w:val="ListParagraph"/>
        <w:numPr>
          <w:ilvl w:val="0"/>
          <w:numId w:val="43"/>
        </w:numPr>
        <w:ind w:left="0" w:firstLine="709"/>
        <w:jc w:val="both"/>
        <w:rPr>
          <w:rFonts w:cs="Times New Roman"/>
          <w:sz w:val="28"/>
          <w:szCs w:val="28"/>
        </w:rPr>
      </w:pPr>
      <w:r w:rsidRPr="000374B4">
        <w:rPr>
          <w:rFonts w:cs="Times New Roman"/>
          <w:sz w:val="28"/>
          <w:szCs w:val="28"/>
        </w:rPr>
        <w:t>nosacījumi azartspēļu un izložu organizētāja darbībai;</w:t>
      </w:r>
    </w:p>
    <w:p w:rsidR="00635AFA" w:rsidRPr="0087512B" w:rsidRDefault="00635AFA" w:rsidP="00537917">
      <w:pPr>
        <w:pStyle w:val="ListParagraph"/>
        <w:numPr>
          <w:ilvl w:val="0"/>
          <w:numId w:val="43"/>
        </w:numPr>
        <w:ind w:left="0" w:firstLine="709"/>
        <w:jc w:val="both"/>
        <w:rPr>
          <w:rFonts w:cs="Times New Roman"/>
          <w:sz w:val="28"/>
          <w:szCs w:val="28"/>
        </w:rPr>
      </w:pPr>
      <w:r w:rsidRPr="0087512B">
        <w:rPr>
          <w:rFonts w:cs="Times New Roman"/>
          <w:sz w:val="28"/>
          <w:szCs w:val="28"/>
        </w:rPr>
        <w:t>azartspēļu pakalpojumu sniedzēja darbība, atbildība un uzraudzība;</w:t>
      </w:r>
    </w:p>
    <w:p w:rsidR="00635AFA" w:rsidRPr="0087512B" w:rsidRDefault="00635AFA" w:rsidP="00537917">
      <w:pPr>
        <w:pStyle w:val="ListParagraph"/>
        <w:numPr>
          <w:ilvl w:val="0"/>
          <w:numId w:val="43"/>
        </w:numPr>
        <w:ind w:left="0" w:firstLine="709"/>
        <w:jc w:val="both"/>
        <w:rPr>
          <w:rFonts w:cs="Times New Roman"/>
          <w:sz w:val="28"/>
          <w:szCs w:val="28"/>
        </w:rPr>
      </w:pPr>
      <w:r w:rsidRPr="0087512B">
        <w:rPr>
          <w:rFonts w:cs="Times New Roman"/>
          <w:sz w:val="28"/>
          <w:szCs w:val="28"/>
        </w:rPr>
        <w:t>personas, uz kurām attiecas šā likuma prasības, tiesības, pienākumi un atbildība.</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Uz AI nozari attiecas arī citi Latvijas un Eiropas Savienības (turpmāk – ES) tiesību akti, tajā skaitā likuma </w:t>
      </w:r>
      <w:r w:rsidRPr="005B6B78">
        <w:rPr>
          <w:rFonts w:cs="Times New Roman"/>
          <w:sz w:val="28"/>
          <w:szCs w:val="28"/>
        </w:rPr>
        <w:t>“Par izložu un azartspēļu nodevu un nodokli” regulējums</w:t>
      </w:r>
      <w:r w:rsidRPr="0087512B">
        <w:rPr>
          <w:rFonts w:cs="Times New Roman"/>
          <w:sz w:val="28"/>
          <w:szCs w:val="28"/>
        </w:rPr>
        <w:t xml:space="preserve"> un </w:t>
      </w:r>
      <w:r w:rsidR="008C64AF">
        <w:rPr>
          <w:color w:val="000000"/>
          <w:sz w:val="28"/>
          <w:szCs w:val="28"/>
        </w:rPr>
        <w:t>Noziedzīgi iegūtu līdzekļu legalizācijas un terorisma un proliferācijas finansēšanas novēršanas likum</w:t>
      </w:r>
      <w:r w:rsidR="00916392">
        <w:rPr>
          <w:color w:val="000000"/>
          <w:sz w:val="28"/>
          <w:szCs w:val="28"/>
        </w:rPr>
        <w:t>a</w:t>
      </w:r>
      <w:r w:rsidR="008C64AF" w:rsidRPr="0087512B" w:rsidDel="008C64AF">
        <w:rPr>
          <w:rFonts w:cs="Times New Roman"/>
          <w:sz w:val="28"/>
          <w:szCs w:val="28"/>
        </w:rPr>
        <w:t xml:space="preserve"> </w:t>
      </w:r>
      <w:r w:rsidRPr="0087512B">
        <w:rPr>
          <w:rFonts w:cs="Times New Roman"/>
          <w:sz w:val="28"/>
          <w:szCs w:val="28"/>
        </w:rPr>
        <w:t>(turpmāk – NILLT</w:t>
      </w:r>
      <w:r w:rsidR="008C64AF">
        <w:rPr>
          <w:rFonts w:cs="Times New Roman"/>
          <w:sz w:val="28"/>
          <w:szCs w:val="28"/>
        </w:rPr>
        <w:t>P</w:t>
      </w:r>
      <w:r w:rsidRPr="0087512B">
        <w:rPr>
          <w:rFonts w:cs="Times New Roman"/>
          <w:sz w:val="28"/>
          <w:szCs w:val="28"/>
        </w:rPr>
        <w:t>FNL) regulējums attiecībā uz azartspēļu un izložu organizētāja tiesībām un pienākumiem noziedzīgi iegūtu līdzekļu legalizācijas un terorisma finansēšanas novēršanā.</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ES līmenī AI nozare ir atzīta kā </w:t>
      </w:r>
      <w:r w:rsidRPr="0087512B">
        <w:rPr>
          <w:rFonts w:cs="Times New Roman"/>
          <w:sz w:val="28"/>
          <w:szCs w:val="28"/>
          <w:shd w:val="clear" w:color="auto" w:fill="FFFFFF"/>
        </w:rPr>
        <w:t>īpaša rakstura saimnieciska darbība</w:t>
      </w:r>
      <w:r w:rsidRPr="0087512B">
        <w:rPr>
          <w:rFonts w:cs="Times New Roman"/>
          <w:sz w:val="28"/>
          <w:szCs w:val="28"/>
        </w:rPr>
        <w:t xml:space="preserve">, kura ņem vērā katras dalībvalsts īpatnības un tradīcijas. AI nozares regulējumam jāpiemēro subsidiaritātes princips un tam jābūt regulējuma pamatā, </w:t>
      </w:r>
      <w:r w:rsidR="00167873">
        <w:rPr>
          <w:rFonts w:cs="Times New Roman"/>
          <w:sz w:val="28"/>
          <w:szCs w:val="28"/>
        </w:rPr>
        <w:t>ņemot vērā dalībvalstu atšķirīga</w:t>
      </w:r>
      <w:r w:rsidRPr="0087512B">
        <w:rPr>
          <w:rFonts w:cs="Times New Roman"/>
          <w:sz w:val="28"/>
          <w:szCs w:val="28"/>
        </w:rPr>
        <w:t>s tradīcijas un kultūru.</w:t>
      </w:r>
      <w:r w:rsidRPr="0087512B">
        <w:rPr>
          <w:rStyle w:val="FootnoteReference"/>
          <w:sz w:val="28"/>
          <w:szCs w:val="28"/>
        </w:rPr>
        <w:footnoteReference w:id="1"/>
      </w:r>
      <w:r w:rsidRPr="0087512B">
        <w:rPr>
          <w:rFonts w:cs="Times New Roman"/>
          <w:sz w:val="28"/>
          <w:szCs w:val="28"/>
        </w:rPr>
        <w:t xml:space="preserve"> Azartspēļu nozares </w:t>
      </w:r>
      <w:r w:rsidR="00DB40E5">
        <w:rPr>
          <w:rFonts w:cs="Times New Roman"/>
          <w:sz w:val="28"/>
          <w:szCs w:val="28"/>
        </w:rPr>
        <w:t>regulējums</w:t>
      </w:r>
      <w:r w:rsidRPr="0087512B">
        <w:rPr>
          <w:rFonts w:cs="Times New Roman"/>
          <w:sz w:val="28"/>
          <w:szCs w:val="28"/>
        </w:rPr>
        <w:t xml:space="preserve"> nav harmonizēt</w:t>
      </w:r>
      <w:r w:rsidR="00DB40E5">
        <w:rPr>
          <w:rFonts w:cs="Times New Roman"/>
          <w:sz w:val="28"/>
          <w:szCs w:val="28"/>
        </w:rPr>
        <w:t>s</w:t>
      </w:r>
      <w:r w:rsidRPr="0087512B">
        <w:rPr>
          <w:rFonts w:cs="Times New Roman"/>
          <w:sz w:val="28"/>
          <w:szCs w:val="28"/>
        </w:rPr>
        <w:t xml:space="preserve"> ES, līdz ar to katra valsts nosaka savas prasības atkarībā no kultūras, reliģiskajām un citām tradīcijām, kā arī esošo un iespējamo sociālo problēmu riska. Vienlaikus azartspēles nav iekļautas Eiropas Parlamenta un Padomes Direktīvā </w:t>
      </w:r>
      <w:r w:rsidRPr="0087512B">
        <w:rPr>
          <w:rFonts w:cs="Times New Roman"/>
          <w:sz w:val="28"/>
          <w:szCs w:val="28"/>
        </w:rPr>
        <w:lastRenderedPageBreak/>
        <w:t>Nr.2006/123/EK (2006.gada 12.decembris) “Par pakalpojumiem iekšējā tirgū” to īpašā regulējuma un uzraudzības dēļ.</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Neskatoties uz to, ka azartspēļu nozares </w:t>
      </w:r>
      <w:r w:rsidR="00265FCE">
        <w:rPr>
          <w:rFonts w:cs="Times New Roman"/>
          <w:sz w:val="28"/>
          <w:szCs w:val="28"/>
        </w:rPr>
        <w:t>regulējums nav harmonizēts</w:t>
      </w:r>
      <w:r w:rsidRPr="0087512B">
        <w:rPr>
          <w:rFonts w:cs="Times New Roman"/>
          <w:sz w:val="28"/>
          <w:szCs w:val="28"/>
        </w:rPr>
        <w:t>, ievērojot sekas, kas var ietekmēt indivīdu, Eiropas Komisija ir izstrādājusi vairākus dokumentus, kas var tikt izmantoti, strādājot pie nacionālā</w:t>
      </w:r>
      <w:r w:rsidR="00916392">
        <w:rPr>
          <w:rFonts w:cs="Times New Roman"/>
          <w:sz w:val="28"/>
          <w:szCs w:val="28"/>
        </w:rPr>
        <w:t xml:space="preserve"> regulējuma</w:t>
      </w:r>
      <w:r w:rsidRPr="0087512B">
        <w:rPr>
          <w:rFonts w:cs="Times New Roman"/>
          <w:sz w:val="28"/>
          <w:szCs w:val="28"/>
        </w:rPr>
        <w:t xml:space="preserve"> pilnveid</w:t>
      </w:r>
      <w:r w:rsidR="00265FCE">
        <w:rPr>
          <w:rFonts w:cs="Times New Roman"/>
          <w:sz w:val="28"/>
          <w:szCs w:val="28"/>
        </w:rPr>
        <w:t>es</w:t>
      </w:r>
      <w:r w:rsidRPr="0087512B">
        <w:rPr>
          <w:rFonts w:cs="Times New Roman"/>
          <w:sz w:val="28"/>
          <w:szCs w:val="28"/>
        </w:rPr>
        <w:t>. Turklāt svarīgi ir atzīmēt, ka, izstrādājot ieteikumus, Eiropas Komisija apkopoja labākās prakses piemērus, kā arī veica pētījumus par problemātisko spēlētāju skaitu ES teritorijā.</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Attiecībā uz tiešsaistes azartspēļu pakalpojumiem Eiropas Komisija 2011.gada 24.martā </w:t>
      </w:r>
      <w:r w:rsidR="00F11F3A">
        <w:rPr>
          <w:rFonts w:cs="Times New Roman"/>
          <w:sz w:val="28"/>
          <w:szCs w:val="28"/>
        </w:rPr>
        <w:t>publicēja</w:t>
      </w:r>
      <w:r w:rsidRPr="0087512B">
        <w:rPr>
          <w:rFonts w:cs="Times New Roman"/>
          <w:sz w:val="28"/>
          <w:szCs w:val="28"/>
        </w:rPr>
        <w:t xml:space="preserve"> Zaļo grāmatu</w:t>
      </w:r>
      <w:r w:rsidR="007B146C">
        <w:rPr>
          <w:rFonts w:cs="Times New Roman"/>
          <w:sz w:val="28"/>
          <w:szCs w:val="28"/>
        </w:rPr>
        <w:t xml:space="preserve"> </w:t>
      </w:r>
      <w:r w:rsidRPr="0087512B">
        <w:rPr>
          <w:rFonts w:cs="Times New Roman"/>
          <w:sz w:val="28"/>
          <w:szCs w:val="28"/>
        </w:rPr>
        <w:t xml:space="preserve"> par tiešsaistes azartspēlēm iekšējā tirgū</w:t>
      </w:r>
      <w:r w:rsidR="006140A8">
        <w:rPr>
          <w:rStyle w:val="FootnoteReference"/>
          <w:sz w:val="28"/>
          <w:szCs w:val="28"/>
        </w:rPr>
        <w:footnoteReference w:id="2"/>
      </w:r>
      <w:r w:rsidR="007B146C">
        <w:rPr>
          <w:rFonts w:cs="Times New Roman"/>
          <w:sz w:val="28"/>
          <w:szCs w:val="28"/>
        </w:rPr>
        <w:t xml:space="preserve"> (</w:t>
      </w:r>
      <w:r w:rsidR="007B146C" w:rsidRPr="007B146C">
        <w:rPr>
          <w:rFonts w:cs="Times New Roman"/>
          <w:sz w:val="28"/>
          <w:szCs w:val="28"/>
        </w:rPr>
        <w:t>turpmāk – Zaļā grāmata</w:t>
      </w:r>
      <w:r w:rsidR="007B146C">
        <w:rPr>
          <w:rFonts w:cs="Times New Roman"/>
          <w:sz w:val="28"/>
          <w:szCs w:val="28"/>
        </w:rPr>
        <w:t>)</w:t>
      </w:r>
      <w:r w:rsidR="00127F30">
        <w:rPr>
          <w:rFonts w:cs="Times New Roman"/>
          <w:sz w:val="28"/>
          <w:szCs w:val="28"/>
        </w:rPr>
        <w:t>.</w:t>
      </w:r>
      <w:r w:rsidRPr="0087512B">
        <w:rPr>
          <w:rFonts w:cs="Times New Roman"/>
          <w:sz w:val="28"/>
          <w:szCs w:val="28"/>
        </w:rPr>
        <w:t xml:space="preserve"> </w:t>
      </w:r>
      <w:r w:rsidR="00127F30">
        <w:rPr>
          <w:rFonts w:cs="Times New Roman"/>
          <w:sz w:val="28"/>
          <w:szCs w:val="28"/>
        </w:rPr>
        <w:t>A</w:t>
      </w:r>
      <w:r w:rsidRPr="0087512B">
        <w:rPr>
          <w:rFonts w:cs="Times New Roman"/>
          <w:sz w:val="28"/>
          <w:szCs w:val="28"/>
        </w:rPr>
        <w:t>r</w:t>
      </w:r>
      <w:r w:rsidR="00127F30">
        <w:rPr>
          <w:rFonts w:cs="Times New Roman"/>
          <w:sz w:val="28"/>
          <w:szCs w:val="28"/>
        </w:rPr>
        <w:t xml:space="preserve"> Zaļās grāmatas </w:t>
      </w:r>
      <w:r w:rsidRPr="0087512B">
        <w:rPr>
          <w:rFonts w:cs="Times New Roman"/>
          <w:sz w:val="28"/>
          <w:szCs w:val="28"/>
        </w:rPr>
        <w:t xml:space="preserve">publicēšanu tika uzsākts visaptverošs tiešsaistes </w:t>
      </w:r>
      <w:r w:rsidR="00F8172A">
        <w:rPr>
          <w:rFonts w:cs="Times New Roman"/>
          <w:sz w:val="28"/>
          <w:szCs w:val="28"/>
        </w:rPr>
        <w:t xml:space="preserve">azartspēļu </w:t>
      </w:r>
      <w:r w:rsidRPr="0087512B">
        <w:rPr>
          <w:rFonts w:cs="Times New Roman"/>
          <w:sz w:val="28"/>
          <w:szCs w:val="28"/>
        </w:rPr>
        <w:t xml:space="preserve">tirgus izpētes process. </w:t>
      </w:r>
      <w:r w:rsidR="00F8172A">
        <w:rPr>
          <w:rFonts w:cs="Times New Roman"/>
          <w:sz w:val="28"/>
          <w:szCs w:val="28"/>
        </w:rPr>
        <w:t xml:space="preserve">Tam </w:t>
      </w:r>
      <w:bookmarkStart w:id="3" w:name="_Hlk533000375"/>
      <w:r w:rsidR="00F8172A">
        <w:rPr>
          <w:rFonts w:cs="Times New Roman"/>
          <w:sz w:val="28"/>
          <w:szCs w:val="28"/>
        </w:rPr>
        <w:t>s</w:t>
      </w:r>
      <w:r w:rsidR="00F8172A" w:rsidRPr="0087512B">
        <w:rPr>
          <w:rFonts w:cs="Times New Roman"/>
          <w:sz w:val="28"/>
          <w:szCs w:val="28"/>
        </w:rPr>
        <w:t xml:space="preserve">ekoja </w:t>
      </w:r>
      <w:r w:rsidRPr="0087512B">
        <w:rPr>
          <w:rFonts w:cs="Times New Roman"/>
          <w:sz w:val="28"/>
          <w:szCs w:val="28"/>
        </w:rPr>
        <w:t>Eiropas Komisijas</w:t>
      </w:r>
      <w:r w:rsidRPr="0087512B">
        <w:rPr>
          <w:rFonts w:cs="Times New Roman"/>
          <w:bCs/>
          <w:sz w:val="28"/>
          <w:szCs w:val="28"/>
        </w:rPr>
        <w:t xml:space="preserve"> 2012.gada 23.oktobra paziņojums</w:t>
      </w:r>
      <w:bookmarkEnd w:id="3"/>
      <w:r w:rsidRPr="0087512B">
        <w:rPr>
          <w:rFonts w:cs="Times New Roman"/>
          <w:bCs/>
          <w:sz w:val="28"/>
          <w:szCs w:val="28"/>
        </w:rPr>
        <w:t xml:space="preserve"> Eiropas Parlamentam, Padomei un Ekonomikas un sociālo lietu komitejai un reģionu komitejai “Ceļā uz visaptverošu Eiropas regulējumu tiešsaistes azartspēlēm”</w:t>
      </w:r>
      <w:r w:rsidR="00CA2123">
        <w:rPr>
          <w:rFonts w:cs="Times New Roman"/>
          <w:bCs/>
          <w:sz w:val="28"/>
          <w:szCs w:val="28"/>
        </w:rPr>
        <w:t>.</w:t>
      </w:r>
      <w:r w:rsidR="0065215A">
        <w:rPr>
          <w:rStyle w:val="FootnoteReference"/>
          <w:bCs/>
          <w:sz w:val="28"/>
          <w:szCs w:val="28"/>
        </w:rPr>
        <w:footnoteReference w:id="3"/>
      </w:r>
      <w:r w:rsidRPr="0087512B">
        <w:rPr>
          <w:rFonts w:cs="Times New Roman"/>
          <w:bCs/>
          <w:sz w:val="28"/>
          <w:szCs w:val="28"/>
        </w:rPr>
        <w:t xml:space="preserve"> Turklāt ir sagatavots</w:t>
      </w:r>
      <w:r w:rsidRPr="0087512B">
        <w:rPr>
          <w:rFonts w:cs="Times New Roman"/>
          <w:b/>
          <w:bCs/>
          <w:sz w:val="28"/>
          <w:szCs w:val="28"/>
        </w:rPr>
        <w:t xml:space="preserve"> </w:t>
      </w:r>
      <w:r w:rsidRPr="0087512B">
        <w:rPr>
          <w:rFonts w:cs="Times New Roman"/>
          <w:sz w:val="28"/>
          <w:szCs w:val="28"/>
        </w:rPr>
        <w:t>Eiropas Komisijas 2012.gada 23.oktobra darba dokuments “On-line azartspēles Iekšējā tirgū”</w:t>
      </w:r>
      <w:r w:rsidR="0065215A">
        <w:rPr>
          <w:rStyle w:val="FootnoteReference"/>
          <w:sz w:val="28"/>
          <w:szCs w:val="28"/>
        </w:rPr>
        <w:footnoteReference w:id="4"/>
      </w:r>
      <w:r w:rsidRPr="0087512B">
        <w:rPr>
          <w:rFonts w:cs="Times New Roman"/>
          <w:sz w:val="28"/>
          <w:szCs w:val="28"/>
        </w:rPr>
        <w:t xml:space="preserve">, kurā detalizēti </w:t>
      </w:r>
      <w:r w:rsidR="004D4626">
        <w:rPr>
          <w:rFonts w:cs="Times New Roman"/>
          <w:sz w:val="28"/>
          <w:szCs w:val="28"/>
        </w:rPr>
        <w:t>ir</w:t>
      </w:r>
      <w:r w:rsidRPr="0087512B">
        <w:rPr>
          <w:rFonts w:cs="Times New Roman"/>
          <w:sz w:val="28"/>
          <w:szCs w:val="28"/>
        </w:rPr>
        <w:t xml:space="preserve"> aprakstīti labākās prakses piemēri un pieejas attiecība uz reklāmas prasībām, finanšu transakciju bloķēšanu un citiem konceptuālajiem jautājumiem. </w:t>
      </w:r>
      <w:r w:rsidR="0065215A">
        <w:rPr>
          <w:rFonts w:cs="Times New Roman"/>
          <w:sz w:val="28"/>
          <w:szCs w:val="28"/>
        </w:rPr>
        <w:t>Šo dokumentu izstrādes r</w:t>
      </w:r>
      <w:r w:rsidRPr="0087512B">
        <w:rPr>
          <w:rFonts w:cs="Times New Roman"/>
          <w:sz w:val="28"/>
          <w:szCs w:val="28"/>
        </w:rPr>
        <w:t xml:space="preserve">ezultātā ir publicēts </w:t>
      </w:r>
      <w:r w:rsidR="00916392">
        <w:rPr>
          <w:rFonts w:cs="Times New Roman"/>
          <w:sz w:val="28"/>
          <w:szCs w:val="28"/>
        </w:rPr>
        <w:t xml:space="preserve">Eiropas </w:t>
      </w:r>
      <w:r w:rsidRPr="0087512B">
        <w:rPr>
          <w:rFonts w:cs="Times New Roman"/>
          <w:sz w:val="28"/>
          <w:szCs w:val="28"/>
        </w:rPr>
        <w:t>Komisija</w:t>
      </w:r>
      <w:r w:rsidR="00916392">
        <w:rPr>
          <w:rFonts w:cs="Times New Roman"/>
          <w:sz w:val="28"/>
          <w:szCs w:val="28"/>
        </w:rPr>
        <w:t>s</w:t>
      </w:r>
      <w:r w:rsidRPr="0087512B">
        <w:rPr>
          <w:rFonts w:cs="Times New Roman"/>
          <w:sz w:val="28"/>
          <w:szCs w:val="28"/>
        </w:rPr>
        <w:t xml:space="preserve"> Ieteikums </w:t>
      </w:r>
      <w:r w:rsidR="00A10FC7" w:rsidRPr="0087512B">
        <w:rPr>
          <w:rFonts w:cs="Times New Roman"/>
          <w:sz w:val="28"/>
          <w:szCs w:val="28"/>
        </w:rPr>
        <w:t xml:space="preserve">Nr.2014/478/ES </w:t>
      </w:r>
      <w:r w:rsidRPr="0087512B">
        <w:rPr>
          <w:rFonts w:cs="Times New Roman"/>
          <w:sz w:val="28"/>
          <w:szCs w:val="28"/>
        </w:rPr>
        <w:t>(2014.gada 14.jūlijs) par principiem, ko piemēro, lai aizsargātu tiešsaistes azartspēļu pakalpojumu patērētājus un spē</w:t>
      </w:r>
      <w:r w:rsidR="001F7850" w:rsidRPr="0087512B">
        <w:rPr>
          <w:rFonts w:cs="Times New Roman"/>
          <w:sz w:val="28"/>
          <w:szCs w:val="28"/>
        </w:rPr>
        <w:t>lētājus</w:t>
      </w:r>
      <w:r w:rsidR="0060689D">
        <w:rPr>
          <w:rFonts w:cs="Times New Roman"/>
          <w:sz w:val="28"/>
          <w:szCs w:val="28"/>
        </w:rPr>
        <w:t>,</w:t>
      </w:r>
      <w:r w:rsidR="001F7850" w:rsidRPr="0087512B">
        <w:rPr>
          <w:rFonts w:cs="Times New Roman"/>
          <w:sz w:val="28"/>
          <w:szCs w:val="28"/>
        </w:rPr>
        <w:t xml:space="preserve"> un novērstu nepilngadīgu</w:t>
      </w:r>
      <w:r w:rsidRPr="0087512B">
        <w:rPr>
          <w:rFonts w:cs="Times New Roman"/>
          <w:sz w:val="28"/>
          <w:szCs w:val="28"/>
        </w:rPr>
        <w:t xml:space="preserve"> </w:t>
      </w:r>
      <w:r w:rsidR="001F7850" w:rsidRPr="0087512B">
        <w:rPr>
          <w:rFonts w:cs="Times New Roman"/>
          <w:sz w:val="28"/>
          <w:szCs w:val="28"/>
        </w:rPr>
        <w:t xml:space="preserve">personu </w:t>
      </w:r>
      <w:r w:rsidRPr="0087512B">
        <w:rPr>
          <w:rFonts w:cs="Times New Roman"/>
          <w:sz w:val="28"/>
          <w:szCs w:val="28"/>
        </w:rPr>
        <w:t xml:space="preserve">iesaistīšanos tiešsaistes azartspēlēs, kurus var pilnībā vai daļēji attiecināt uz to azartspēļu, kurās, spēlējot klātienē, spēlētājs iesaistās fiziski klātesot (turpmāk – “zemes” azartspēles), organizēšanas procesu. </w:t>
      </w:r>
    </w:p>
    <w:p w:rsidR="00635AFA" w:rsidRPr="0087512B" w:rsidRDefault="00635AFA" w:rsidP="0087512B">
      <w:pPr>
        <w:ind w:firstLine="567"/>
        <w:jc w:val="both"/>
        <w:rPr>
          <w:rFonts w:cs="Times New Roman"/>
          <w:sz w:val="28"/>
          <w:szCs w:val="28"/>
        </w:rPr>
      </w:pPr>
      <w:r w:rsidRPr="006140A8">
        <w:rPr>
          <w:rFonts w:cs="Times New Roman"/>
          <w:sz w:val="28"/>
          <w:szCs w:val="28"/>
        </w:rPr>
        <w:t>Ņemot vērā azartspēļu un izložu specifiku, minētās darbības nav tiešā veidā salīdzināmas. Azartspēle ir spēle, kurā laimests pilnīgi vai daļēji ir atkarīgs no veiksmes gadījuma un apstākļiem, kuri iepriekš nav zināmi (programma ģenerē laimestu). Savukārt izloze ir spēle, kurā laimestam pilnīgi vai daļēji ir gadījuma raksturs (laimesti ir jau fiksēti). Līdz ar to normatīvais regulējums AIL attiecībā uz šīm jomām ir atšķirīgs.</w:t>
      </w:r>
    </w:p>
    <w:p w:rsidR="00635AFA" w:rsidRPr="0087512B" w:rsidRDefault="00635AFA" w:rsidP="0087512B">
      <w:pPr>
        <w:ind w:left="567"/>
        <w:jc w:val="both"/>
        <w:rPr>
          <w:rFonts w:cs="Times New Roman"/>
          <w:sz w:val="28"/>
          <w:szCs w:val="28"/>
        </w:rPr>
      </w:pPr>
      <w:r w:rsidRPr="0087512B">
        <w:rPr>
          <w:rFonts w:cs="Times New Roman"/>
          <w:sz w:val="28"/>
          <w:szCs w:val="28"/>
        </w:rPr>
        <w:t xml:space="preserve">AIL </w:t>
      </w:r>
      <w:r w:rsidR="00916392">
        <w:rPr>
          <w:rFonts w:cs="Times New Roman"/>
          <w:sz w:val="28"/>
          <w:szCs w:val="28"/>
        </w:rPr>
        <w:t xml:space="preserve">regulē </w:t>
      </w:r>
      <w:r w:rsidR="006140A8">
        <w:rPr>
          <w:rFonts w:cs="Times New Roman"/>
          <w:sz w:val="28"/>
          <w:szCs w:val="28"/>
        </w:rPr>
        <w:t>šādas</w:t>
      </w:r>
      <w:r w:rsidR="006140A8" w:rsidRPr="0087512B">
        <w:rPr>
          <w:rFonts w:cs="Times New Roman"/>
          <w:sz w:val="28"/>
          <w:szCs w:val="28"/>
        </w:rPr>
        <w:t xml:space="preserve"> </w:t>
      </w:r>
      <w:r w:rsidRPr="0087512B">
        <w:rPr>
          <w:rFonts w:cs="Times New Roman"/>
          <w:sz w:val="28"/>
          <w:szCs w:val="28"/>
        </w:rPr>
        <w:t>Latvijā atzītās azartspēles:</w:t>
      </w:r>
    </w:p>
    <w:p w:rsidR="00635AFA" w:rsidRPr="000374B4" w:rsidRDefault="00635AFA" w:rsidP="00537917">
      <w:pPr>
        <w:pStyle w:val="ListParagraph"/>
        <w:numPr>
          <w:ilvl w:val="0"/>
          <w:numId w:val="44"/>
        </w:numPr>
        <w:ind w:left="0" w:firstLine="709"/>
        <w:jc w:val="both"/>
        <w:rPr>
          <w:rFonts w:cs="Times New Roman"/>
          <w:sz w:val="28"/>
          <w:szCs w:val="28"/>
        </w:rPr>
      </w:pPr>
      <w:r w:rsidRPr="000374B4">
        <w:rPr>
          <w:rFonts w:cs="Times New Roman"/>
          <w:sz w:val="28"/>
          <w:szCs w:val="28"/>
        </w:rPr>
        <w:t>spēļu automāta spēle</w:t>
      </w:r>
      <w:r w:rsidR="00A10FC7" w:rsidRPr="000374B4">
        <w:rPr>
          <w:rFonts w:cs="Times New Roman"/>
          <w:sz w:val="28"/>
          <w:szCs w:val="28"/>
        </w:rPr>
        <w:t>;</w:t>
      </w:r>
    </w:p>
    <w:p w:rsidR="00635AFA" w:rsidRPr="0087512B" w:rsidRDefault="00A10FC7" w:rsidP="00537917">
      <w:pPr>
        <w:pStyle w:val="ListParagraph"/>
        <w:numPr>
          <w:ilvl w:val="0"/>
          <w:numId w:val="44"/>
        </w:numPr>
        <w:ind w:left="0" w:firstLine="709"/>
        <w:jc w:val="both"/>
        <w:rPr>
          <w:rFonts w:cs="Times New Roman"/>
          <w:sz w:val="28"/>
          <w:szCs w:val="28"/>
        </w:rPr>
      </w:pPr>
      <w:r w:rsidRPr="0087512B">
        <w:rPr>
          <w:rFonts w:cs="Times New Roman"/>
          <w:sz w:val="28"/>
          <w:szCs w:val="28"/>
        </w:rPr>
        <w:t>rulete (cilindriskā spēle);</w:t>
      </w:r>
    </w:p>
    <w:p w:rsidR="00635AFA" w:rsidRPr="0087512B" w:rsidRDefault="00A10FC7" w:rsidP="00537917">
      <w:pPr>
        <w:pStyle w:val="ListParagraph"/>
        <w:numPr>
          <w:ilvl w:val="0"/>
          <w:numId w:val="44"/>
        </w:numPr>
        <w:ind w:left="0" w:firstLine="709"/>
        <w:jc w:val="both"/>
        <w:rPr>
          <w:rFonts w:cs="Times New Roman"/>
          <w:sz w:val="28"/>
          <w:szCs w:val="28"/>
        </w:rPr>
      </w:pPr>
      <w:r w:rsidRPr="0087512B">
        <w:rPr>
          <w:rFonts w:cs="Times New Roman"/>
          <w:sz w:val="28"/>
          <w:szCs w:val="28"/>
        </w:rPr>
        <w:t>kāršu spēle;</w:t>
      </w:r>
    </w:p>
    <w:p w:rsidR="00635AFA" w:rsidRPr="0087512B" w:rsidRDefault="00635AFA" w:rsidP="00537917">
      <w:pPr>
        <w:pStyle w:val="ListParagraph"/>
        <w:numPr>
          <w:ilvl w:val="0"/>
          <w:numId w:val="44"/>
        </w:numPr>
        <w:ind w:left="0" w:firstLine="709"/>
        <w:jc w:val="both"/>
        <w:rPr>
          <w:rFonts w:cs="Times New Roman"/>
          <w:sz w:val="28"/>
          <w:szCs w:val="28"/>
        </w:rPr>
      </w:pPr>
      <w:r w:rsidRPr="0087512B">
        <w:rPr>
          <w:rFonts w:cs="Times New Roman"/>
          <w:sz w:val="28"/>
          <w:szCs w:val="28"/>
        </w:rPr>
        <w:t>kauliņu spēle</w:t>
      </w:r>
      <w:r w:rsidR="000102CF">
        <w:rPr>
          <w:rFonts w:cs="Times New Roman"/>
          <w:sz w:val="28"/>
          <w:szCs w:val="28"/>
        </w:rPr>
        <w:t>;</w:t>
      </w:r>
      <w:r w:rsidRPr="0087512B">
        <w:rPr>
          <w:rFonts w:cs="Times New Roman"/>
          <w:sz w:val="28"/>
          <w:szCs w:val="28"/>
        </w:rPr>
        <w:t xml:space="preserve"> </w:t>
      </w:r>
    </w:p>
    <w:p w:rsidR="00635AFA" w:rsidRPr="0087512B" w:rsidRDefault="00A10FC7" w:rsidP="00537917">
      <w:pPr>
        <w:pStyle w:val="ListParagraph"/>
        <w:numPr>
          <w:ilvl w:val="0"/>
          <w:numId w:val="44"/>
        </w:numPr>
        <w:ind w:left="0" w:firstLine="709"/>
        <w:jc w:val="both"/>
        <w:rPr>
          <w:rFonts w:cs="Times New Roman"/>
          <w:sz w:val="28"/>
          <w:szCs w:val="28"/>
        </w:rPr>
      </w:pPr>
      <w:r w:rsidRPr="0087512B">
        <w:rPr>
          <w:rFonts w:cs="Times New Roman"/>
          <w:sz w:val="28"/>
          <w:szCs w:val="28"/>
        </w:rPr>
        <w:t>derības;</w:t>
      </w:r>
    </w:p>
    <w:p w:rsidR="00635AFA" w:rsidRPr="0087512B" w:rsidRDefault="00635AFA" w:rsidP="00537917">
      <w:pPr>
        <w:pStyle w:val="ListParagraph"/>
        <w:numPr>
          <w:ilvl w:val="0"/>
          <w:numId w:val="44"/>
        </w:numPr>
        <w:ind w:left="0" w:firstLine="709"/>
        <w:jc w:val="both"/>
        <w:rPr>
          <w:rFonts w:cs="Times New Roman"/>
          <w:sz w:val="28"/>
          <w:szCs w:val="28"/>
        </w:rPr>
      </w:pPr>
      <w:r w:rsidRPr="0087512B">
        <w:rPr>
          <w:rFonts w:cs="Times New Roman"/>
          <w:sz w:val="28"/>
          <w:szCs w:val="28"/>
        </w:rPr>
        <w:t>totaliza</w:t>
      </w:r>
      <w:r w:rsidR="00A10FC7" w:rsidRPr="0087512B">
        <w:rPr>
          <w:rFonts w:cs="Times New Roman"/>
          <w:sz w:val="28"/>
          <w:szCs w:val="28"/>
        </w:rPr>
        <w:t>tors;</w:t>
      </w:r>
    </w:p>
    <w:p w:rsidR="00635AFA" w:rsidRPr="0087512B" w:rsidRDefault="00A10FC7" w:rsidP="00537917">
      <w:pPr>
        <w:pStyle w:val="ListParagraph"/>
        <w:numPr>
          <w:ilvl w:val="0"/>
          <w:numId w:val="44"/>
        </w:numPr>
        <w:ind w:left="0" w:firstLine="709"/>
        <w:jc w:val="both"/>
        <w:rPr>
          <w:rFonts w:cs="Times New Roman"/>
          <w:sz w:val="28"/>
          <w:szCs w:val="28"/>
        </w:rPr>
      </w:pPr>
      <w:r w:rsidRPr="0087512B">
        <w:rPr>
          <w:rFonts w:cs="Times New Roman"/>
          <w:sz w:val="28"/>
          <w:szCs w:val="28"/>
        </w:rPr>
        <w:t>bingo;</w:t>
      </w:r>
    </w:p>
    <w:p w:rsidR="00635AFA" w:rsidRPr="0087512B" w:rsidRDefault="00635AFA" w:rsidP="00537917">
      <w:pPr>
        <w:pStyle w:val="ListParagraph"/>
        <w:numPr>
          <w:ilvl w:val="0"/>
          <w:numId w:val="44"/>
        </w:numPr>
        <w:ind w:left="0" w:firstLine="709"/>
        <w:jc w:val="both"/>
        <w:rPr>
          <w:rFonts w:cs="Times New Roman"/>
          <w:sz w:val="28"/>
          <w:szCs w:val="28"/>
        </w:rPr>
      </w:pPr>
      <w:r w:rsidRPr="0087512B">
        <w:rPr>
          <w:rFonts w:cs="Times New Roman"/>
          <w:sz w:val="28"/>
          <w:szCs w:val="28"/>
        </w:rPr>
        <w:lastRenderedPageBreak/>
        <w:t xml:space="preserve">veiksmes spēle pa tālruni. </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Iepriekš minētās spēles tiek organizētas, spēlējot klātienē spēļu zālēs un kazino </w:t>
      </w:r>
      <w:r w:rsidR="006140A8">
        <w:rPr>
          <w:rFonts w:cs="Times New Roman"/>
          <w:sz w:val="28"/>
          <w:szCs w:val="28"/>
        </w:rPr>
        <w:t xml:space="preserve">un </w:t>
      </w:r>
      <w:r w:rsidRPr="0087512B">
        <w:rPr>
          <w:rFonts w:cs="Times New Roman"/>
          <w:sz w:val="28"/>
          <w:szCs w:val="28"/>
        </w:rPr>
        <w:t xml:space="preserve">interaktīvajā vidē. Vienlaikus AIL ir noteikts, ka azartspēļu organizētājam ir pienākums sagatavot katras azartspēles, </w:t>
      </w:r>
      <w:r w:rsidR="006140A8">
        <w:rPr>
          <w:rFonts w:cs="Times New Roman"/>
          <w:sz w:val="28"/>
          <w:szCs w:val="28"/>
        </w:rPr>
        <w:t xml:space="preserve">tostarp </w:t>
      </w:r>
      <w:r w:rsidRPr="0087512B">
        <w:rPr>
          <w:rFonts w:cs="Times New Roman"/>
          <w:sz w:val="28"/>
          <w:szCs w:val="28"/>
        </w:rPr>
        <w:t>interaktīvās azartspēles noteikumus.</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Saistībā ar derībām un totalizatoriem tiek uzskatīts, ka tie atsevišķos gadījumos var būt manipulāciju veicinošs faktors attiecībā uz </w:t>
      </w:r>
      <w:r w:rsidR="006140A8">
        <w:rPr>
          <w:rFonts w:cs="Times New Roman"/>
          <w:sz w:val="28"/>
          <w:szCs w:val="28"/>
        </w:rPr>
        <w:t>sacensībām</w:t>
      </w:r>
      <w:r w:rsidR="00F8172A">
        <w:rPr>
          <w:rFonts w:cs="Times New Roman"/>
          <w:sz w:val="28"/>
          <w:szCs w:val="28"/>
        </w:rPr>
        <w:t xml:space="preserve"> -</w:t>
      </w:r>
      <w:r w:rsidR="00F8172A" w:rsidRPr="0087512B">
        <w:rPr>
          <w:rFonts w:cs="Times New Roman"/>
          <w:sz w:val="28"/>
          <w:szCs w:val="28"/>
        </w:rPr>
        <w:t xml:space="preserve"> </w:t>
      </w:r>
      <w:r w:rsidRPr="0087512B">
        <w:rPr>
          <w:rFonts w:cs="Times New Roman"/>
          <w:sz w:val="28"/>
          <w:szCs w:val="28"/>
        </w:rPr>
        <w:t>sacensību gaitas un rezultātu neparedzamības</w:t>
      </w:r>
      <w:r w:rsidR="006140A8" w:rsidRPr="006140A8">
        <w:rPr>
          <w:rFonts w:cs="Times New Roman"/>
          <w:sz w:val="28"/>
          <w:szCs w:val="28"/>
        </w:rPr>
        <w:t xml:space="preserve"> </w:t>
      </w:r>
      <w:r w:rsidR="006140A8" w:rsidRPr="0087512B">
        <w:rPr>
          <w:rFonts w:cs="Times New Roman"/>
          <w:sz w:val="28"/>
          <w:szCs w:val="28"/>
        </w:rPr>
        <w:t>dēļ</w:t>
      </w:r>
      <w:r w:rsidRPr="0087512B">
        <w:rPr>
          <w:rFonts w:cs="Times New Roman"/>
          <w:sz w:val="28"/>
          <w:szCs w:val="28"/>
        </w:rPr>
        <w:t>. Lai mazinātu iepriekš minētos riskus, Latvijā Sporta likumā</w:t>
      </w:r>
      <w:r w:rsidRPr="0087512B">
        <w:rPr>
          <w:rStyle w:val="FootnoteReference"/>
          <w:sz w:val="28"/>
          <w:szCs w:val="28"/>
        </w:rPr>
        <w:footnoteReference w:id="5"/>
      </w:r>
      <w:r w:rsidRPr="0087512B">
        <w:rPr>
          <w:rFonts w:cs="Times New Roman"/>
          <w:sz w:val="28"/>
          <w:szCs w:val="28"/>
        </w:rPr>
        <w:t xml:space="preserve"> ir noteikts aizliegums manipulēt ar sporta sacensībām. Šis aizliegums ir attiecināms uz jebkurām sacensībām neatkarīgi no sacensību sportiskā līmeņa, dalībniekiem, organizatora vai citiem aspektiem.</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Tomēr ir jāņem vērā šī azartspēļu veida pārrobežu jeb </w:t>
      </w:r>
      <w:r w:rsidR="006140A8">
        <w:rPr>
          <w:rFonts w:cs="Times New Roman"/>
          <w:sz w:val="28"/>
          <w:szCs w:val="28"/>
        </w:rPr>
        <w:t>starptautiskais raksturs</w:t>
      </w:r>
      <w:r w:rsidRPr="0087512B">
        <w:rPr>
          <w:rFonts w:cs="Times New Roman"/>
          <w:sz w:val="28"/>
          <w:szCs w:val="28"/>
        </w:rPr>
        <w:t>. 2014.gada 9.jūlijā Eiropas Padomes Ministru komitejas ministru vietnieku 1205.sanāksmē tika pieņemta Eiropas Padomes Konvencija pret manipulācijām ar sporta sacensībām (nav ratificēta), kuras galvenie mērķi ir:</w:t>
      </w:r>
    </w:p>
    <w:p w:rsidR="00635AFA" w:rsidRPr="0087512B" w:rsidRDefault="00635AFA" w:rsidP="000374B4">
      <w:pPr>
        <w:ind w:firstLine="709"/>
        <w:jc w:val="both"/>
        <w:rPr>
          <w:rFonts w:cs="Times New Roman"/>
          <w:sz w:val="28"/>
          <w:szCs w:val="28"/>
        </w:rPr>
      </w:pPr>
      <w:r w:rsidRPr="0087512B">
        <w:rPr>
          <w:rFonts w:cs="Times New Roman"/>
          <w:sz w:val="28"/>
          <w:szCs w:val="28"/>
        </w:rPr>
        <w:t xml:space="preserve">1) novērst un konstatēt vietēja vai pārrobežu līmeņa manipulācijas valsts vai starptautiska līmeņa sacensībās, kā arī šādu manipulāciju gadījumā piemērot attiecīgas sankcijas; </w:t>
      </w:r>
    </w:p>
    <w:p w:rsidR="00635AFA" w:rsidRPr="0087512B" w:rsidRDefault="00635AFA" w:rsidP="000374B4">
      <w:pPr>
        <w:ind w:firstLine="709"/>
        <w:jc w:val="both"/>
        <w:rPr>
          <w:rFonts w:cs="Times New Roman"/>
          <w:sz w:val="28"/>
          <w:szCs w:val="28"/>
        </w:rPr>
      </w:pPr>
      <w:r w:rsidRPr="0087512B">
        <w:rPr>
          <w:rFonts w:cs="Times New Roman"/>
          <w:sz w:val="28"/>
          <w:szCs w:val="28"/>
        </w:rPr>
        <w:t>2) veicināt valsts un starptautiska līmeņa sadarbību cīņā pret manipulācijām starp iesaistītajām iestādēm un organizācijām, kuras ir iesaistītas sportā un sporta derībās.</w:t>
      </w:r>
    </w:p>
    <w:p w:rsidR="000374B4" w:rsidRDefault="00916392" w:rsidP="000374B4">
      <w:pPr>
        <w:ind w:firstLine="567"/>
        <w:jc w:val="both"/>
        <w:rPr>
          <w:rFonts w:cs="Times New Roman"/>
          <w:sz w:val="28"/>
          <w:szCs w:val="28"/>
        </w:rPr>
      </w:pPr>
      <w:r>
        <w:rPr>
          <w:rFonts w:cs="Times New Roman"/>
          <w:sz w:val="28"/>
          <w:szCs w:val="28"/>
        </w:rPr>
        <w:t>Atbilstoši AIL,</w:t>
      </w:r>
      <w:r w:rsidR="00635AFA" w:rsidRPr="0087512B">
        <w:rPr>
          <w:rFonts w:cs="Times New Roman"/>
          <w:sz w:val="28"/>
          <w:szCs w:val="28"/>
        </w:rPr>
        <w:t xml:space="preserve"> Latvijā ir atļauts organizēt šādas izlozes: </w:t>
      </w:r>
    </w:p>
    <w:p w:rsidR="00635AFA" w:rsidRPr="000374B4" w:rsidRDefault="00635AFA" w:rsidP="009E0A36">
      <w:pPr>
        <w:pStyle w:val="ListParagraph"/>
        <w:numPr>
          <w:ilvl w:val="0"/>
          <w:numId w:val="5"/>
        </w:numPr>
        <w:ind w:left="0" w:firstLine="709"/>
        <w:jc w:val="both"/>
        <w:rPr>
          <w:rFonts w:cs="Times New Roman"/>
          <w:sz w:val="28"/>
          <w:szCs w:val="28"/>
        </w:rPr>
      </w:pPr>
      <w:r w:rsidRPr="000374B4">
        <w:rPr>
          <w:rFonts w:cs="Times New Roman"/>
          <w:sz w:val="28"/>
          <w:szCs w:val="28"/>
        </w:rPr>
        <w:t>naudas un mantu izlozes</w:t>
      </w:r>
      <w:r w:rsidR="00A10FC7" w:rsidRPr="000374B4">
        <w:rPr>
          <w:rFonts w:cs="Times New Roman"/>
          <w:sz w:val="28"/>
          <w:szCs w:val="28"/>
        </w:rPr>
        <w:t>;</w:t>
      </w:r>
    </w:p>
    <w:p w:rsidR="00635AFA" w:rsidRPr="0087512B" w:rsidRDefault="00635AFA" w:rsidP="009E0A36">
      <w:pPr>
        <w:pStyle w:val="ListParagraph"/>
        <w:numPr>
          <w:ilvl w:val="0"/>
          <w:numId w:val="5"/>
        </w:numPr>
        <w:ind w:left="0" w:firstLine="709"/>
        <w:jc w:val="both"/>
        <w:rPr>
          <w:rFonts w:cs="Times New Roman"/>
          <w:sz w:val="28"/>
          <w:szCs w:val="28"/>
        </w:rPr>
      </w:pPr>
      <w:r w:rsidRPr="0087512B">
        <w:rPr>
          <w:rFonts w:cs="Times New Roman"/>
          <w:sz w:val="28"/>
          <w:szCs w:val="28"/>
        </w:rPr>
        <w:t>skaitļu izlozes (loto, toto, keno, sportloto, skaitļu loto)</w:t>
      </w:r>
      <w:r w:rsidR="00A10FC7" w:rsidRPr="0087512B">
        <w:rPr>
          <w:rFonts w:cs="Times New Roman"/>
          <w:sz w:val="28"/>
          <w:szCs w:val="28"/>
        </w:rPr>
        <w:t>;</w:t>
      </w:r>
    </w:p>
    <w:p w:rsidR="00635AFA" w:rsidRPr="0087512B" w:rsidRDefault="00635AFA" w:rsidP="009E0A36">
      <w:pPr>
        <w:pStyle w:val="ListParagraph"/>
        <w:numPr>
          <w:ilvl w:val="0"/>
          <w:numId w:val="5"/>
        </w:numPr>
        <w:ind w:left="567" w:firstLine="142"/>
        <w:jc w:val="both"/>
        <w:rPr>
          <w:rFonts w:cs="Times New Roman"/>
          <w:sz w:val="28"/>
          <w:szCs w:val="28"/>
        </w:rPr>
      </w:pPr>
      <w:r w:rsidRPr="0087512B">
        <w:rPr>
          <w:rFonts w:cs="Times New Roman"/>
          <w:sz w:val="28"/>
          <w:szCs w:val="28"/>
        </w:rPr>
        <w:t>momentloterijas</w:t>
      </w:r>
      <w:r w:rsidRPr="0087512B">
        <w:rPr>
          <w:rStyle w:val="FootnoteReference"/>
          <w:sz w:val="28"/>
          <w:szCs w:val="28"/>
        </w:rPr>
        <w:footnoteReference w:id="6"/>
      </w:r>
      <w:r w:rsidRPr="0087512B">
        <w:rPr>
          <w:rFonts w:cs="Times New Roman"/>
          <w:sz w:val="28"/>
          <w:szCs w:val="28"/>
        </w:rPr>
        <w:t>.</w:t>
      </w:r>
    </w:p>
    <w:p w:rsidR="00635AFA" w:rsidRPr="0087512B" w:rsidRDefault="00635AFA" w:rsidP="0087512B">
      <w:pPr>
        <w:ind w:firstLine="567"/>
        <w:jc w:val="both"/>
        <w:rPr>
          <w:rFonts w:cs="Times New Roman"/>
          <w:bCs/>
          <w:sz w:val="28"/>
          <w:szCs w:val="28"/>
        </w:rPr>
      </w:pPr>
      <w:r w:rsidRPr="0087512B">
        <w:rPr>
          <w:rFonts w:cs="Times New Roman"/>
          <w:sz w:val="28"/>
          <w:szCs w:val="28"/>
        </w:rPr>
        <w:t>Ir v</w:t>
      </w:r>
      <w:r w:rsidRPr="0087512B">
        <w:rPr>
          <w:rFonts w:cs="Times New Roman"/>
          <w:bCs/>
          <w:sz w:val="28"/>
          <w:szCs w:val="28"/>
        </w:rPr>
        <w:t>alsts mēroga izlozes (</w:t>
      </w:r>
      <w:r w:rsidRPr="0087512B">
        <w:rPr>
          <w:rFonts w:cs="Times New Roman"/>
          <w:sz w:val="28"/>
          <w:szCs w:val="28"/>
        </w:rPr>
        <w:t xml:space="preserve">valsts mēroga izložu organizēšanas monopols </w:t>
      </w:r>
      <w:r w:rsidR="005C050F">
        <w:rPr>
          <w:rFonts w:cs="Times New Roman"/>
          <w:sz w:val="28"/>
          <w:szCs w:val="28"/>
        </w:rPr>
        <w:t xml:space="preserve">– </w:t>
      </w:r>
      <w:r w:rsidRPr="0087512B">
        <w:rPr>
          <w:rFonts w:cs="Times New Roman"/>
          <w:sz w:val="28"/>
          <w:szCs w:val="28"/>
        </w:rPr>
        <w:t>VAS “Latvijas Loto”</w:t>
      </w:r>
      <w:r w:rsidR="002E22E4">
        <w:rPr>
          <w:rFonts w:cs="Times New Roman"/>
          <w:sz w:val="28"/>
          <w:szCs w:val="28"/>
        </w:rPr>
        <w:t xml:space="preserve"> (turpmāk – Loto)</w:t>
      </w:r>
      <w:r w:rsidRPr="0087512B">
        <w:rPr>
          <w:rFonts w:cs="Times New Roman"/>
          <w:sz w:val="28"/>
          <w:szCs w:val="28"/>
        </w:rPr>
        <w:t xml:space="preserve"> pieder valstij), </w:t>
      </w:r>
      <w:bookmarkStart w:id="4" w:name="p-484390"/>
      <w:bookmarkStart w:id="5" w:name="p61"/>
      <w:bookmarkEnd w:id="4"/>
      <w:bookmarkEnd w:id="5"/>
      <w:r w:rsidRPr="0087512B">
        <w:rPr>
          <w:rFonts w:cs="Times New Roman"/>
          <w:sz w:val="28"/>
          <w:szCs w:val="28"/>
        </w:rPr>
        <w:t>v</w:t>
      </w:r>
      <w:r w:rsidRPr="0087512B">
        <w:rPr>
          <w:rFonts w:cs="Times New Roman"/>
          <w:bCs/>
          <w:sz w:val="28"/>
          <w:szCs w:val="28"/>
        </w:rPr>
        <w:t>ietēja mēroga izlozes (</w:t>
      </w:r>
      <w:r w:rsidRPr="0087512B">
        <w:rPr>
          <w:rFonts w:cs="Times New Roman"/>
          <w:sz w:val="28"/>
          <w:szCs w:val="28"/>
        </w:rPr>
        <w:t xml:space="preserve">tās organizējamas tikai attiecīgās pilsētas, rajona, novada vai pagasta teritorijā) un </w:t>
      </w:r>
      <w:bookmarkStart w:id="6" w:name="p-484391"/>
      <w:bookmarkStart w:id="7" w:name="p62"/>
      <w:bookmarkEnd w:id="6"/>
      <w:bookmarkEnd w:id="7"/>
      <w:r w:rsidRPr="0087512B">
        <w:rPr>
          <w:rFonts w:cs="Times New Roman"/>
          <w:sz w:val="28"/>
          <w:szCs w:val="28"/>
        </w:rPr>
        <w:t>v</w:t>
      </w:r>
      <w:r w:rsidRPr="0087512B">
        <w:rPr>
          <w:rFonts w:cs="Times New Roman"/>
          <w:bCs/>
          <w:sz w:val="28"/>
          <w:szCs w:val="28"/>
        </w:rPr>
        <w:t>ietēja mēroga vienreizējās izlozes (laimesti tiek noteikti publiskas izlozes veidā, un tās organizējamas tikai attiecīgās pilsētas, rajona, novada vai pagasta teritorijā).</w:t>
      </w:r>
      <w:r w:rsidRPr="0087512B">
        <w:rPr>
          <w:rStyle w:val="FootnoteReference"/>
          <w:bCs/>
          <w:sz w:val="28"/>
          <w:szCs w:val="28"/>
        </w:rPr>
        <w:footnoteReference w:id="7"/>
      </w:r>
    </w:p>
    <w:p w:rsidR="00635AFA" w:rsidRPr="0087512B" w:rsidRDefault="00635AFA" w:rsidP="0087512B">
      <w:pPr>
        <w:pStyle w:val="BodyText"/>
        <w:ind w:firstLine="567"/>
        <w:jc w:val="both"/>
        <w:rPr>
          <w:sz w:val="28"/>
          <w:szCs w:val="28"/>
        </w:rPr>
      </w:pPr>
      <w:r w:rsidRPr="0087512B">
        <w:rPr>
          <w:sz w:val="28"/>
          <w:szCs w:val="28"/>
        </w:rPr>
        <w:t>Latvijā iepriekš minētās azartspēles un izlozes drīkst organizēt tikai pēc attiecīgo licenču saņemšanas.</w:t>
      </w:r>
      <w:r w:rsidRPr="0087512B">
        <w:rPr>
          <w:rStyle w:val="FootnoteReference"/>
          <w:sz w:val="28"/>
          <w:szCs w:val="28"/>
        </w:rPr>
        <w:footnoteReference w:id="8"/>
      </w:r>
    </w:p>
    <w:p w:rsidR="00635AFA" w:rsidRPr="007571C1" w:rsidRDefault="00635AFA" w:rsidP="009E0A36">
      <w:pPr>
        <w:pStyle w:val="Heading1"/>
        <w:numPr>
          <w:ilvl w:val="0"/>
          <w:numId w:val="36"/>
        </w:numPr>
        <w:ind w:left="0" w:firstLine="0"/>
        <w:jc w:val="center"/>
        <w:rPr>
          <w:rFonts w:ascii="Times New Roman" w:eastAsia="Times New Roman" w:hAnsi="Times New Roman" w:cs="Times New Roman"/>
          <w:b/>
          <w:color w:val="auto"/>
          <w:sz w:val="28"/>
          <w:szCs w:val="28"/>
          <w:lang w:eastAsia="lv-LV"/>
        </w:rPr>
      </w:pPr>
      <w:bookmarkStart w:id="8" w:name="_Toc19696555"/>
      <w:bookmarkStart w:id="9" w:name="_Toc19697131"/>
      <w:bookmarkStart w:id="10" w:name="_Toc19697709"/>
      <w:bookmarkStart w:id="11" w:name="_Toc19698286"/>
      <w:bookmarkStart w:id="12" w:name="_Toc19696556"/>
      <w:bookmarkStart w:id="13" w:name="_Toc19697132"/>
      <w:bookmarkStart w:id="14" w:name="_Toc19697710"/>
      <w:bookmarkStart w:id="15" w:name="_Toc19698287"/>
      <w:bookmarkStart w:id="16" w:name="_Toc528224420"/>
      <w:bookmarkStart w:id="17" w:name="_Toc56087178"/>
      <w:bookmarkEnd w:id="8"/>
      <w:bookmarkEnd w:id="9"/>
      <w:bookmarkEnd w:id="10"/>
      <w:bookmarkEnd w:id="11"/>
      <w:bookmarkEnd w:id="12"/>
      <w:bookmarkEnd w:id="13"/>
      <w:bookmarkEnd w:id="14"/>
      <w:bookmarkEnd w:id="15"/>
      <w:r w:rsidRPr="007571C1">
        <w:rPr>
          <w:rFonts w:ascii="Times New Roman" w:eastAsia="Times New Roman" w:hAnsi="Times New Roman" w:cs="Times New Roman"/>
          <w:b/>
          <w:color w:val="auto"/>
          <w:sz w:val="28"/>
          <w:szCs w:val="28"/>
          <w:lang w:eastAsia="lv-LV"/>
        </w:rPr>
        <w:t>Sabiedrības interešu aizstāvība un personu/spēlētāju tiesības</w:t>
      </w:r>
      <w:bookmarkEnd w:id="16"/>
      <w:bookmarkEnd w:id="17"/>
    </w:p>
    <w:p w:rsidR="00635AFA" w:rsidRPr="0087512B" w:rsidRDefault="00635AFA" w:rsidP="0087512B">
      <w:pPr>
        <w:rPr>
          <w:rFonts w:cs="Times New Roman"/>
          <w:sz w:val="28"/>
          <w:szCs w:val="28"/>
          <w:lang w:eastAsia="lv-LV"/>
        </w:rPr>
      </w:pPr>
    </w:p>
    <w:p w:rsidR="00635AFA" w:rsidRPr="0087512B" w:rsidRDefault="00635AFA" w:rsidP="0087512B">
      <w:pPr>
        <w:ind w:firstLine="567"/>
        <w:jc w:val="both"/>
        <w:rPr>
          <w:rFonts w:eastAsia="Times New Roman" w:cs="Times New Roman"/>
          <w:bCs/>
          <w:sz w:val="28"/>
          <w:szCs w:val="28"/>
          <w:lang w:eastAsia="lv-LV"/>
        </w:rPr>
      </w:pPr>
      <w:r w:rsidRPr="0087512B">
        <w:rPr>
          <w:rFonts w:cs="Times New Roman"/>
          <w:sz w:val="28"/>
          <w:szCs w:val="28"/>
        </w:rPr>
        <w:t xml:space="preserve">Latvijā azartspēļu un izložu organizētāju uzņēmumiem jānodrošina šo pakalpojumu sniegšana likumīgā un stingri kontrolētā veidā, tādējādi radot drošu un godīgu vidi, </w:t>
      </w:r>
      <w:r w:rsidR="00CE7CA1">
        <w:rPr>
          <w:rFonts w:cs="Times New Roman"/>
          <w:sz w:val="28"/>
          <w:szCs w:val="28"/>
        </w:rPr>
        <w:t>mazinot iespējamo</w:t>
      </w:r>
      <w:r w:rsidRPr="0087512B">
        <w:rPr>
          <w:rFonts w:cs="Times New Roman"/>
          <w:sz w:val="28"/>
          <w:szCs w:val="28"/>
        </w:rPr>
        <w:t xml:space="preserve"> negatīvu ietekmi sabiedrības kopējām interesēm, t</w:t>
      </w:r>
      <w:r w:rsidR="006140A8">
        <w:rPr>
          <w:rFonts w:cs="Times New Roman"/>
          <w:sz w:val="28"/>
          <w:szCs w:val="28"/>
        </w:rPr>
        <w:t>ajā skaitā</w:t>
      </w:r>
      <w:r w:rsidRPr="0087512B">
        <w:rPr>
          <w:rFonts w:cs="Times New Roman"/>
          <w:sz w:val="28"/>
          <w:szCs w:val="28"/>
        </w:rPr>
        <w:t xml:space="preserve"> cilvēku fiziskai drošībai un veselībai. </w:t>
      </w:r>
      <w:r w:rsidRPr="0087512B">
        <w:rPr>
          <w:rFonts w:eastAsia="Times New Roman" w:cs="Times New Roman"/>
          <w:bCs/>
          <w:sz w:val="28"/>
          <w:szCs w:val="28"/>
          <w:lang w:eastAsia="lv-LV"/>
        </w:rPr>
        <w:t xml:space="preserve">Valsts līmenī AI nozare tiek normatīvi regulēta un kontrolēta, ievērojot sabiedrības intereses un personu/spēlētāju tiesības. </w:t>
      </w:r>
    </w:p>
    <w:p w:rsidR="00635AFA" w:rsidRPr="0087512B" w:rsidRDefault="00635AFA" w:rsidP="0087512B">
      <w:pPr>
        <w:ind w:firstLine="567"/>
        <w:jc w:val="both"/>
        <w:rPr>
          <w:rFonts w:eastAsia="Times New Roman" w:cs="Times New Roman"/>
          <w:b/>
          <w:bCs/>
          <w:sz w:val="28"/>
          <w:szCs w:val="28"/>
          <w:lang w:eastAsia="lv-LV"/>
        </w:rPr>
      </w:pPr>
      <w:r w:rsidRPr="0087512B">
        <w:rPr>
          <w:rFonts w:cs="Times New Roman"/>
          <w:sz w:val="28"/>
          <w:szCs w:val="28"/>
        </w:rPr>
        <w:lastRenderedPageBreak/>
        <w:t>Veidojot AI nozares politiku, nepieciešams nodrošināt</w:t>
      </w:r>
      <w:r w:rsidRPr="0087512B" w:rsidDel="00FE52A1">
        <w:rPr>
          <w:rFonts w:eastAsia="Times New Roman" w:cs="Times New Roman"/>
          <w:bCs/>
          <w:sz w:val="28"/>
          <w:szCs w:val="28"/>
          <w:lang w:eastAsia="lv-LV"/>
        </w:rPr>
        <w:t xml:space="preserve"> </w:t>
      </w:r>
      <w:r w:rsidRPr="0087512B">
        <w:rPr>
          <w:rFonts w:eastAsia="Times New Roman" w:cs="Times New Roman"/>
          <w:bCs/>
          <w:sz w:val="28"/>
          <w:szCs w:val="28"/>
          <w:lang w:eastAsia="lv-LV"/>
        </w:rPr>
        <w:t xml:space="preserve">līdzsvaru starp azartspēļu un izložu organizēšanu kā </w:t>
      </w:r>
      <w:r w:rsidR="00F8172A">
        <w:rPr>
          <w:rFonts w:eastAsia="Times New Roman" w:cs="Times New Roman"/>
          <w:bCs/>
          <w:sz w:val="28"/>
          <w:szCs w:val="28"/>
          <w:lang w:eastAsia="lv-LV"/>
        </w:rPr>
        <w:t>brīva laika pavadīšanas veidu</w:t>
      </w:r>
      <w:r w:rsidR="00F8172A"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 xml:space="preserve">un sabiedrības interesēm, </w:t>
      </w:r>
      <w:r w:rsidR="006140A8">
        <w:rPr>
          <w:rFonts w:eastAsia="Times New Roman" w:cs="Times New Roman"/>
          <w:bCs/>
          <w:sz w:val="28"/>
          <w:szCs w:val="28"/>
          <w:lang w:eastAsia="lv-LV"/>
        </w:rPr>
        <w:t>tostarp</w:t>
      </w:r>
      <w:r w:rsidRPr="0087512B">
        <w:rPr>
          <w:rFonts w:eastAsia="Times New Roman" w:cs="Times New Roman"/>
          <w:bCs/>
          <w:sz w:val="28"/>
          <w:szCs w:val="28"/>
          <w:lang w:eastAsia="lv-LV"/>
        </w:rPr>
        <w:t xml:space="preserve"> personu tiesību aizsardzību</w:t>
      </w:r>
      <w:r w:rsidR="00BC04E6">
        <w:rPr>
          <w:rFonts w:eastAsia="Times New Roman" w:cs="Times New Roman"/>
          <w:bCs/>
          <w:sz w:val="28"/>
          <w:szCs w:val="28"/>
          <w:lang w:eastAsia="lv-LV"/>
        </w:rPr>
        <w:t>,</w:t>
      </w:r>
      <w:r w:rsidRPr="0087512B">
        <w:rPr>
          <w:rFonts w:eastAsia="Times New Roman" w:cs="Times New Roman"/>
          <w:bCs/>
          <w:sz w:val="28"/>
          <w:szCs w:val="28"/>
          <w:lang w:eastAsia="lv-LV"/>
        </w:rPr>
        <w:t xml:space="preserve"> </w:t>
      </w:r>
      <w:r w:rsidR="00BC04E6">
        <w:rPr>
          <w:rFonts w:eastAsia="Times New Roman" w:cs="Times New Roman"/>
          <w:bCs/>
          <w:sz w:val="28"/>
          <w:szCs w:val="28"/>
          <w:lang w:eastAsia="lv-LV"/>
        </w:rPr>
        <w:t xml:space="preserve">tajā skaitā </w:t>
      </w:r>
      <w:r w:rsidRPr="0087512B">
        <w:rPr>
          <w:rFonts w:eastAsia="Times New Roman" w:cs="Times New Roman"/>
          <w:bCs/>
          <w:sz w:val="28"/>
          <w:szCs w:val="28"/>
          <w:lang w:eastAsia="lv-LV"/>
        </w:rPr>
        <w:t>novēršot iespējamo atkarības rašanos no azartspēlēm un izlozēm</w:t>
      </w:r>
      <w:r w:rsidR="008A5619">
        <w:rPr>
          <w:rFonts w:eastAsia="Times New Roman" w:cs="Times New Roman"/>
          <w:bCs/>
          <w:sz w:val="28"/>
          <w:szCs w:val="28"/>
          <w:lang w:eastAsia="lv-LV"/>
        </w:rPr>
        <w:t>, kā arī</w:t>
      </w:r>
      <w:r w:rsidR="006140A8"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mazinot sabiedrības veselības risku</w:t>
      </w:r>
      <w:r w:rsidR="006140A8">
        <w:rPr>
          <w:rFonts w:eastAsia="Times New Roman" w:cs="Times New Roman"/>
          <w:bCs/>
          <w:sz w:val="28"/>
          <w:szCs w:val="28"/>
          <w:lang w:eastAsia="lv-LV"/>
        </w:rPr>
        <w:t>s</w:t>
      </w:r>
      <w:r w:rsidR="008A5619">
        <w:rPr>
          <w:rFonts w:eastAsia="Times New Roman" w:cs="Times New Roman"/>
          <w:bCs/>
          <w:sz w:val="28"/>
          <w:szCs w:val="28"/>
          <w:lang w:eastAsia="lv-LV"/>
        </w:rPr>
        <w:t xml:space="preserve"> un</w:t>
      </w:r>
      <w:r w:rsidRPr="0087512B">
        <w:rPr>
          <w:rFonts w:eastAsia="Times New Roman" w:cs="Times New Roman"/>
          <w:bCs/>
          <w:sz w:val="28"/>
          <w:szCs w:val="28"/>
          <w:lang w:eastAsia="lv-LV"/>
        </w:rPr>
        <w:t xml:space="preserve"> sociālos riskus.</w:t>
      </w:r>
    </w:p>
    <w:p w:rsidR="00635AFA" w:rsidRPr="0087512B" w:rsidRDefault="00635AFA" w:rsidP="0087512B">
      <w:pPr>
        <w:ind w:firstLine="567"/>
        <w:jc w:val="both"/>
        <w:rPr>
          <w:rFonts w:eastAsia="Times New Roman" w:cs="Times New Roman"/>
          <w:bCs/>
          <w:sz w:val="28"/>
          <w:szCs w:val="28"/>
          <w:lang w:eastAsia="lv-LV"/>
        </w:rPr>
      </w:pPr>
      <w:r w:rsidRPr="0087512B">
        <w:rPr>
          <w:rFonts w:eastAsia="Times New Roman" w:cs="Times New Roman"/>
          <w:bCs/>
          <w:sz w:val="28"/>
          <w:szCs w:val="28"/>
          <w:lang w:eastAsia="lv-LV"/>
        </w:rPr>
        <w:t>Būtiski spēlētājus pasargāt no riskiem, kas var rasties</w:t>
      </w:r>
      <w:r w:rsidR="00CE7CA1">
        <w:rPr>
          <w:rFonts w:eastAsia="Times New Roman" w:cs="Times New Roman"/>
          <w:bCs/>
          <w:sz w:val="28"/>
          <w:szCs w:val="28"/>
          <w:lang w:eastAsia="lv-LV"/>
        </w:rPr>
        <w:t>,</w:t>
      </w:r>
      <w:r w:rsidRPr="0087512B">
        <w:rPr>
          <w:rFonts w:eastAsia="Times New Roman" w:cs="Times New Roman"/>
          <w:bCs/>
          <w:sz w:val="28"/>
          <w:szCs w:val="28"/>
          <w:lang w:eastAsia="lv-LV"/>
        </w:rPr>
        <w:t xml:space="preserve"> </w:t>
      </w:r>
      <w:r w:rsidR="00F8172A">
        <w:rPr>
          <w:rFonts w:eastAsia="Times New Roman" w:cs="Times New Roman"/>
          <w:bCs/>
          <w:sz w:val="28"/>
          <w:szCs w:val="28"/>
          <w:lang w:eastAsia="lv-LV"/>
        </w:rPr>
        <w:t>brīva laika pavadīšanai</w:t>
      </w:r>
      <w:r w:rsidR="00F8172A"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izmantojot Latvijā nelicencētās interaktīvas azartspēļu un izložu platformas. Papildu atkarības izraisošiem riskiem nekontrolētā vidē prevalē finansiāla rakstura riski (krāpniecība), kā arī riski, kas ir saistīti ar personu datu aizsardzības prasību neievērošanu. Turklāt nekontrolētajā vidē personai netiek dota iespēja pašizslēgties</w:t>
      </w:r>
      <w:r w:rsidR="006140A8">
        <w:rPr>
          <w:rFonts w:eastAsia="Times New Roman" w:cs="Times New Roman"/>
          <w:bCs/>
          <w:sz w:val="28"/>
          <w:szCs w:val="28"/>
          <w:lang w:eastAsia="lv-LV"/>
        </w:rPr>
        <w:t xml:space="preserve"> </w:t>
      </w:r>
      <w:r w:rsidR="00BC04E6">
        <w:rPr>
          <w:rFonts w:eastAsia="Times New Roman" w:cs="Times New Roman"/>
          <w:bCs/>
          <w:sz w:val="28"/>
          <w:szCs w:val="28"/>
          <w:lang w:eastAsia="lv-LV"/>
        </w:rPr>
        <w:t xml:space="preserve">no dalības spēlē </w:t>
      </w:r>
      <w:r w:rsidR="006140A8">
        <w:rPr>
          <w:rFonts w:eastAsia="Times New Roman" w:cs="Times New Roman"/>
          <w:bCs/>
          <w:sz w:val="28"/>
          <w:szCs w:val="28"/>
          <w:lang w:eastAsia="lv-LV"/>
        </w:rPr>
        <w:t>un</w:t>
      </w:r>
      <w:r w:rsidR="006140A8"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piemērot spēles ierobežošanas mehānismus. Ņemot vērā iepriekšminēto, svarīgi uzsvērt spēlētāju inform</w:t>
      </w:r>
      <w:r w:rsidR="006C58CE">
        <w:rPr>
          <w:rFonts w:eastAsia="Times New Roman" w:cs="Times New Roman"/>
          <w:bCs/>
          <w:sz w:val="28"/>
          <w:szCs w:val="28"/>
          <w:lang w:eastAsia="lv-LV"/>
        </w:rPr>
        <w:t>ēšanu par minētajiem riskiem, kā</w:t>
      </w:r>
      <w:r w:rsidRPr="0087512B">
        <w:rPr>
          <w:rFonts w:eastAsia="Times New Roman" w:cs="Times New Roman"/>
          <w:bCs/>
          <w:sz w:val="28"/>
          <w:szCs w:val="28"/>
          <w:lang w:eastAsia="lv-LV"/>
        </w:rPr>
        <w:t xml:space="preserve"> arī sadarbības nepieciešamību starp AI nozari uzraugošām institūcijām, nevalstiskajām organizācijām, licencētajiem </w:t>
      </w:r>
      <w:r w:rsidR="006C58CE">
        <w:rPr>
          <w:rFonts w:eastAsia="Times New Roman" w:cs="Times New Roman"/>
          <w:bCs/>
          <w:sz w:val="28"/>
          <w:szCs w:val="28"/>
          <w:lang w:eastAsia="lv-LV"/>
        </w:rPr>
        <w:t>organizatoriem</w:t>
      </w:r>
      <w:r w:rsidRPr="0087512B">
        <w:rPr>
          <w:rFonts w:eastAsia="Times New Roman" w:cs="Times New Roman"/>
          <w:bCs/>
          <w:sz w:val="28"/>
          <w:szCs w:val="28"/>
          <w:lang w:eastAsia="lv-LV"/>
        </w:rPr>
        <w:t xml:space="preserve">. </w:t>
      </w:r>
    </w:p>
    <w:p w:rsidR="00635AFA" w:rsidRPr="0087512B" w:rsidRDefault="00635AFA" w:rsidP="0087512B">
      <w:pPr>
        <w:ind w:firstLine="485"/>
        <w:jc w:val="both"/>
        <w:rPr>
          <w:rFonts w:eastAsia="Times New Roman" w:cs="Times New Roman"/>
          <w:bCs/>
          <w:sz w:val="28"/>
          <w:szCs w:val="28"/>
          <w:lang w:eastAsia="lv-LV"/>
        </w:rPr>
      </w:pPr>
    </w:p>
    <w:p w:rsidR="00635AFA" w:rsidRPr="007571C1" w:rsidRDefault="00635AFA" w:rsidP="009E0A36">
      <w:pPr>
        <w:pStyle w:val="Heading2"/>
        <w:numPr>
          <w:ilvl w:val="1"/>
          <w:numId w:val="36"/>
        </w:numPr>
        <w:ind w:left="0" w:firstLine="0"/>
        <w:jc w:val="center"/>
        <w:rPr>
          <w:rFonts w:ascii="Times New Roman" w:hAnsi="Times New Roman" w:cs="Times New Roman"/>
          <w:b/>
          <w:color w:val="auto"/>
          <w:sz w:val="28"/>
          <w:szCs w:val="28"/>
        </w:rPr>
      </w:pPr>
      <w:bookmarkStart w:id="18" w:name="_Toc56087179"/>
      <w:r w:rsidRPr="007571C1">
        <w:rPr>
          <w:rFonts w:ascii="Times New Roman" w:hAnsi="Times New Roman" w:cs="Times New Roman"/>
          <w:b/>
          <w:color w:val="auto"/>
          <w:sz w:val="28"/>
          <w:szCs w:val="28"/>
        </w:rPr>
        <w:t>Azartspēļu</w:t>
      </w:r>
      <w:r w:rsidR="006140A8">
        <w:rPr>
          <w:rFonts w:ascii="Times New Roman" w:hAnsi="Times New Roman" w:cs="Times New Roman"/>
          <w:b/>
          <w:color w:val="auto"/>
          <w:sz w:val="28"/>
          <w:szCs w:val="28"/>
        </w:rPr>
        <w:t xml:space="preserve"> un izložu</w:t>
      </w:r>
      <w:r w:rsidRPr="007571C1">
        <w:rPr>
          <w:rFonts w:ascii="Times New Roman" w:hAnsi="Times New Roman" w:cs="Times New Roman"/>
          <w:b/>
          <w:color w:val="auto"/>
          <w:sz w:val="28"/>
          <w:szCs w:val="28"/>
        </w:rPr>
        <w:t xml:space="preserve"> ietekme un ar to saistītie riski</w:t>
      </w:r>
      <w:bookmarkEnd w:id="18"/>
    </w:p>
    <w:p w:rsidR="00635AFA" w:rsidRPr="0087512B" w:rsidRDefault="00635AFA" w:rsidP="0087512B"/>
    <w:p w:rsidR="00635AFA" w:rsidRPr="00F56908" w:rsidRDefault="00635AFA" w:rsidP="0087512B">
      <w:pPr>
        <w:ind w:firstLine="567"/>
        <w:jc w:val="both"/>
        <w:rPr>
          <w:rFonts w:cs="Times New Roman"/>
          <w:sz w:val="28"/>
          <w:szCs w:val="28"/>
        </w:rPr>
      </w:pPr>
      <w:r w:rsidRPr="0087512B">
        <w:rPr>
          <w:rFonts w:cs="Times New Roman"/>
          <w:sz w:val="28"/>
          <w:szCs w:val="28"/>
        </w:rPr>
        <w:t>Personas, kas piedalās azartspēlēs un izlozēs, ir pakļautas pārmērīgas aizraušanās ar šo darbību riskam. Azartspēļu atkarība jeb patoloģiska tieksme uz azartspēlēm</w:t>
      </w:r>
      <w:r w:rsidR="00DA501B">
        <w:rPr>
          <w:rFonts w:cs="Times New Roman"/>
          <w:sz w:val="28"/>
          <w:szCs w:val="28"/>
        </w:rPr>
        <w:t>,</w:t>
      </w:r>
      <w:r w:rsidRPr="0087512B">
        <w:rPr>
          <w:rFonts w:cs="Times New Roman"/>
          <w:sz w:val="28"/>
          <w:szCs w:val="28"/>
        </w:rPr>
        <w:t xml:space="preserve"> saskaņā ar Starptautisko slimību klasifikāciju (SSK-10, F63.0)</w:t>
      </w:r>
      <w:r w:rsidR="00DA501B">
        <w:rPr>
          <w:rFonts w:cs="Times New Roman"/>
          <w:sz w:val="28"/>
          <w:szCs w:val="28"/>
        </w:rPr>
        <w:t>,</w:t>
      </w:r>
      <w:r w:rsidRPr="0087512B">
        <w:rPr>
          <w:rFonts w:cs="Times New Roman"/>
          <w:sz w:val="28"/>
          <w:szCs w:val="28"/>
        </w:rPr>
        <w:t xml:space="preserve"> raksturojas ar biežām un atkārtotām azartspēļu epizodēm, kas ieņem galveno vietu cilvēka dzīvē un atstāj kaitīgu ietekmi uz viņa sociālās, profesionālās un ģimenes dzīves vērtībām un saistībām, kā arī </w:t>
      </w:r>
      <w:r w:rsidRPr="00F56908">
        <w:rPr>
          <w:rFonts w:cs="Times New Roman"/>
          <w:sz w:val="28"/>
          <w:szCs w:val="28"/>
        </w:rPr>
        <w:t>viņa materiālo stāvokli</w:t>
      </w:r>
      <w:r w:rsidRPr="00F56908">
        <w:rPr>
          <w:rStyle w:val="FootnoteReference"/>
          <w:sz w:val="28"/>
          <w:szCs w:val="28"/>
        </w:rPr>
        <w:footnoteReference w:id="9"/>
      </w:r>
      <w:r w:rsidRPr="00F56908">
        <w:rPr>
          <w:rFonts w:cs="Times New Roman"/>
          <w:sz w:val="28"/>
          <w:szCs w:val="28"/>
        </w:rPr>
        <w:t xml:space="preserve">. </w:t>
      </w:r>
    </w:p>
    <w:p w:rsidR="00E03935" w:rsidRDefault="00774483" w:rsidP="0087512B">
      <w:pPr>
        <w:ind w:firstLine="567"/>
        <w:jc w:val="both"/>
        <w:rPr>
          <w:rFonts w:cs="Times New Roman"/>
          <w:sz w:val="28"/>
          <w:szCs w:val="28"/>
        </w:rPr>
      </w:pPr>
      <w:r>
        <w:rPr>
          <w:rFonts w:cs="Times New Roman"/>
          <w:sz w:val="28"/>
          <w:szCs w:val="28"/>
        </w:rPr>
        <w:t xml:space="preserve">2019.gada </w:t>
      </w:r>
      <w:r w:rsidR="00CE7CA1" w:rsidRPr="007571C1">
        <w:rPr>
          <w:rFonts w:cs="Times New Roman"/>
          <w:sz w:val="28"/>
          <w:szCs w:val="28"/>
        </w:rPr>
        <w:t xml:space="preserve">jūnijā </w:t>
      </w:r>
      <w:r w:rsidR="00E03935" w:rsidRPr="00F56908">
        <w:rPr>
          <w:rFonts w:cs="Times New Roman"/>
          <w:sz w:val="28"/>
          <w:szCs w:val="28"/>
        </w:rPr>
        <w:t xml:space="preserve">Veselības ministrija </w:t>
      </w:r>
      <w:r w:rsidR="00CE7CA1" w:rsidRPr="007571C1">
        <w:rPr>
          <w:rFonts w:cs="Times New Roman"/>
          <w:sz w:val="28"/>
          <w:szCs w:val="28"/>
        </w:rPr>
        <w:t>ir publicējusi pētījumu</w:t>
      </w:r>
      <w:r w:rsidR="00E03935" w:rsidRPr="00F56908">
        <w:rPr>
          <w:rFonts w:cs="Times New Roman"/>
          <w:sz w:val="28"/>
          <w:szCs w:val="28"/>
        </w:rPr>
        <w:t xml:space="preserve"> “Pētījums par procesu atkarību (azartspēļu, sociālo mediju, </w:t>
      </w:r>
      <w:r w:rsidR="007E738E">
        <w:rPr>
          <w:rFonts w:cs="Times New Roman"/>
          <w:sz w:val="28"/>
          <w:szCs w:val="28"/>
        </w:rPr>
        <w:t>videospē</w:t>
      </w:r>
      <w:r w:rsidR="007E738E" w:rsidRPr="00F56908">
        <w:rPr>
          <w:rFonts w:cs="Times New Roman"/>
          <w:sz w:val="28"/>
          <w:szCs w:val="28"/>
        </w:rPr>
        <w:t xml:space="preserve">ļu </w:t>
      </w:r>
      <w:r w:rsidR="00E03935" w:rsidRPr="00F56908">
        <w:rPr>
          <w:rFonts w:cs="Times New Roman"/>
          <w:sz w:val="28"/>
          <w:szCs w:val="28"/>
        </w:rPr>
        <w:t>atkarība) izplatību Latvijas iedzīvotāju vidū un to ietekmējošiem riska faktoriem”</w:t>
      </w:r>
      <w:r w:rsidR="00CD1AF2">
        <w:rPr>
          <w:rStyle w:val="FootnoteReference"/>
          <w:sz w:val="28"/>
          <w:szCs w:val="28"/>
        </w:rPr>
        <w:footnoteReference w:id="10"/>
      </w:r>
      <w:r w:rsidR="00E03935" w:rsidRPr="00F56908">
        <w:rPr>
          <w:rFonts w:cs="Times New Roman"/>
          <w:sz w:val="28"/>
          <w:szCs w:val="28"/>
        </w:rPr>
        <w:t xml:space="preserve"> (turpmāk – Latvijas </w:t>
      </w:r>
      <w:r w:rsidR="000102CF">
        <w:rPr>
          <w:rFonts w:cs="Times New Roman"/>
          <w:sz w:val="28"/>
          <w:szCs w:val="28"/>
        </w:rPr>
        <w:t>p</w:t>
      </w:r>
      <w:r w:rsidR="000102CF" w:rsidRPr="00F56908">
        <w:rPr>
          <w:rFonts w:cs="Times New Roman"/>
          <w:sz w:val="28"/>
          <w:szCs w:val="28"/>
        </w:rPr>
        <w:t xml:space="preserve">ētījums </w:t>
      </w:r>
      <w:r w:rsidR="00E03935" w:rsidRPr="00F56908">
        <w:rPr>
          <w:rFonts w:cs="Times New Roman"/>
          <w:sz w:val="28"/>
          <w:szCs w:val="28"/>
        </w:rPr>
        <w:t>par procesu atkarībām)</w:t>
      </w:r>
      <w:r w:rsidR="00CE7CA1" w:rsidRPr="007571C1">
        <w:rPr>
          <w:rFonts w:cs="Times New Roman"/>
          <w:sz w:val="28"/>
          <w:szCs w:val="28"/>
        </w:rPr>
        <w:t xml:space="preserve">, tā ietvaros aptaujājot </w:t>
      </w:r>
      <w:r w:rsidR="00CD1AF2">
        <w:rPr>
          <w:rFonts w:cs="Times New Roman"/>
          <w:sz w:val="28"/>
          <w:szCs w:val="28"/>
        </w:rPr>
        <w:t>4912</w:t>
      </w:r>
      <w:r w:rsidR="00CE7CA1" w:rsidRPr="007571C1">
        <w:rPr>
          <w:rFonts w:cs="Times New Roman"/>
          <w:sz w:val="28"/>
          <w:szCs w:val="28"/>
        </w:rPr>
        <w:t xml:space="preserve"> Latvijas iedzīvotājus.</w:t>
      </w:r>
      <w:r w:rsidR="00E03935" w:rsidRPr="00F56908">
        <w:rPr>
          <w:rFonts w:cs="Times New Roman"/>
          <w:sz w:val="28"/>
          <w:szCs w:val="28"/>
        </w:rPr>
        <w:t xml:space="preserve"> </w:t>
      </w:r>
      <w:r w:rsidR="00431DA2">
        <w:rPr>
          <w:rFonts w:cs="Times New Roman"/>
          <w:sz w:val="28"/>
          <w:szCs w:val="28"/>
        </w:rPr>
        <w:t>Latvijas pētījum</w:t>
      </w:r>
      <w:r w:rsidR="00755E22">
        <w:rPr>
          <w:rFonts w:cs="Times New Roman"/>
          <w:sz w:val="28"/>
          <w:szCs w:val="28"/>
        </w:rPr>
        <w:t>ā</w:t>
      </w:r>
      <w:r w:rsidR="00431DA2">
        <w:rPr>
          <w:rFonts w:cs="Times New Roman"/>
          <w:sz w:val="28"/>
          <w:szCs w:val="28"/>
        </w:rPr>
        <w:t xml:space="preserve"> par procesu atkarībām secināts</w:t>
      </w:r>
      <w:r w:rsidR="00E03935" w:rsidRPr="00F56908">
        <w:rPr>
          <w:rFonts w:cs="Times New Roman"/>
          <w:sz w:val="28"/>
          <w:szCs w:val="28"/>
        </w:rPr>
        <w:t xml:space="preserve">, </w:t>
      </w:r>
      <w:r w:rsidR="00431DA2">
        <w:rPr>
          <w:rFonts w:cs="Times New Roman"/>
          <w:sz w:val="28"/>
          <w:szCs w:val="28"/>
        </w:rPr>
        <w:t xml:space="preserve">ka </w:t>
      </w:r>
      <w:r w:rsidR="00E03935" w:rsidRPr="00F56908">
        <w:rPr>
          <w:rFonts w:cs="Times New Roman"/>
          <w:sz w:val="28"/>
          <w:szCs w:val="28"/>
        </w:rPr>
        <w:t>personu loks, kuru varētu skart problemātiska azartspēļu spēlēšana, t</w:t>
      </w:r>
      <w:r w:rsidR="00431DA2">
        <w:rPr>
          <w:rFonts w:cs="Times New Roman"/>
          <w:sz w:val="28"/>
          <w:szCs w:val="28"/>
        </w:rPr>
        <w:t>ajā skaitā</w:t>
      </w:r>
      <w:r w:rsidR="00E03935" w:rsidRPr="00F56908">
        <w:rPr>
          <w:rFonts w:cs="Times New Roman"/>
          <w:sz w:val="28"/>
          <w:szCs w:val="28"/>
        </w:rPr>
        <w:t xml:space="preserve"> loterijas, </w:t>
      </w:r>
      <w:r w:rsidR="00CE7CA1" w:rsidRPr="007571C1">
        <w:rPr>
          <w:rFonts w:cs="Times New Roman"/>
          <w:sz w:val="28"/>
          <w:szCs w:val="28"/>
        </w:rPr>
        <w:t>attiecīg</w:t>
      </w:r>
      <w:r w:rsidR="00E52187">
        <w:rPr>
          <w:rFonts w:cs="Times New Roman"/>
          <w:sz w:val="28"/>
          <w:szCs w:val="28"/>
        </w:rPr>
        <w:t>i</w:t>
      </w:r>
      <w:r w:rsidR="00CE7CA1" w:rsidRPr="007571C1">
        <w:rPr>
          <w:rFonts w:cs="Times New Roman"/>
          <w:sz w:val="28"/>
          <w:szCs w:val="28"/>
        </w:rPr>
        <w:t xml:space="preserve"> pētījuma</w:t>
      </w:r>
      <w:r w:rsidR="00E03935" w:rsidRPr="00F56908">
        <w:rPr>
          <w:rFonts w:cs="Times New Roman"/>
          <w:sz w:val="28"/>
          <w:szCs w:val="28"/>
        </w:rPr>
        <w:t xml:space="preserve"> respondentu vidū ir 6,4%</w:t>
      </w:r>
      <w:r w:rsidR="00501172">
        <w:rPr>
          <w:rFonts w:cs="Times New Roman"/>
          <w:sz w:val="28"/>
          <w:szCs w:val="28"/>
        </w:rPr>
        <w:t xml:space="preserve">. Attiecinot šo respondentu grupu uz ģenerālkopu, Latvijā no azartspēlēm dažādā pakāpē varētu ciest </w:t>
      </w:r>
      <w:r w:rsidR="00E03935" w:rsidRPr="00F56908">
        <w:rPr>
          <w:rFonts w:cs="Times New Roman"/>
          <w:sz w:val="28"/>
          <w:szCs w:val="28"/>
        </w:rPr>
        <w:t>79 119 personas 15</w:t>
      </w:r>
      <w:r w:rsidR="00007D7D">
        <w:rPr>
          <w:rFonts w:cs="Times New Roman"/>
          <w:sz w:val="28"/>
          <w:szCs w:val="28"/>
        </w:rPr>
        <w:t xml:space="preserve"> – </w:t>
      </w:r>
      <w:r w:rsidR="00E03935" w:rsidRPr="00F56908">
        <w:rPr>
          <w:rFonts w:cs="Times New Roman"/>
          <w:sz w:val="28"/>
          <w:szCs w:val="28"/>
        </w:rPr>
        <w:t>64 gadu vecum</w:t>
      </w:r>
      <w:r w:rsidR="000102CF">
        <w:rPr>
          <w:rFonts w:cs="Times New Roman"/>
          <w:sz w:val="28"/>
          <w:szCs w:val="28"/>
        </w:rPr>
        <w:t>ā</w:t>
      </w:r>
      <w:r w:rsidR="00E03935" w:rsidRPr="00F56908">
        <w:rPr>
          <w:rFonts w:cs="Times New Roman"/>
          <w:sz w:val="28"/>
          <w:szCs w:val="28"/>
        </w:rPr>
        <w:t xml:space="preserve">, no </w:t>
      </w:r>
      <w:r w:rsidR="00431DA2">
        <w:rPr>
          <w:rFonts w:cs="Times New Roman"/>
          <w:sz w:val="28"/>
          <w:szCs w:val="28"/>
        </w:rPr>
        <w:t>kurām</w:t>
      </w:r>
      <w:r w:rsidR="00431DA2" w:rsidRPr="00F56908">
        <w:rPr>
          <w:rFonts w:cs="Times New Roman"/>
          <w:sz w:val="28"/>
          <w:szCs w:val="28"/>
        </w:rPr>
        <w:t xml:space="preserve"> </w:t>
      </w:r>
      <w:r w:rsidR="00E03935" w:rsidRPr="00F56908">
        <w:rPr>
          <w:rFonts w:cs="Times New Roman"/>
          <w:sz w:val="28"/>
          <w:szCs w:val="28"/>
        </w:rPr>
        <w:t>16</w:t>
      </w:r>
      <w:r w:rsidR="0037028F">
        <w:rPr>
          <w:rFonts w:cs="Times New Roman"/>
          <w:sz w:val="28"/>
          <w:szCs w:val="28"/>
        </w:rPr>
        <w:t xml:space="preserve"> </w:t>
      </w:r>
      <w:r w:rsidR="00E03935" w:rsidRPr="00F56908">
        <w:rPr>
          <w:rFonts w:cs="Times New Roman"/>
          <w:sz w:val="28"/>
          <w:szCs w:val="28"/>
        </w:rPr>
        <w:t>162</w:t>
      </w:r>
      <w:r w:rsidR="00431DA2">
        <w:rPr>
          <w:rFonts w:cs="Times New Roman"/>
          <w:sz w:val="28"/>
          <w:szCs w:val="28"/>
        </w:rPr>
        <w:t xml:space="preserve"> personām</w:t>
      </w:r>
      <w:r w:rsidR="00E03935" w:rsidRPr="00F56908">
        <w:rPr>
          <w:rFonts w:cs="Times New Roman"/>
          <w:sz w:val="28"/>
          <w:szCs w:val="28"/>
        </w:rPr>
        <w:t xml:space="preserve"> problēmas ir smagākajā pakāpē.</w:t>
      </w:r>
    </w:p>
    <w:p w:rsidR="00635AFA" w:rsidRPr="0087512B" w:rsidRDefault="00635AFA" w:rsidP="0087512B">
      <w:pPr>
        <w:ind w:firstLine="567"/>
        <w:jc w:val="both"/>
        <w:rPr>
          <w:rFonts w:cs="Times New Roman"/>
          <w:sz w:val="28"/>
          <w:szCs w:val="28"/>
        </w:rPr>
      </w:pPr>
      <w:r w:rsidRPr="0087512B">
        <w:rPr>
          <w:rFonts w:cs="Times New Roman"/>
          <w:sz w:val="28"/>
          <w:szCs w:val="28"/>
        </w:rPr>
        <w:t>Atbilstoši Ziemeļamerikas azartspēļu atkarības palīdzības fonda 2016.gada pētījumam</w:t>
      </w:r>
      <w:r w:rsidR="00C8339F">
        <w:rPr>
          <w:rFonts w:cs="Times New Roman"/>
          <w:sz w:val="28"/>
          <w:szCs w:val="28"/>
        </w:rPr>
        <w:t>,</w:t>
      </w:r>
      <w:r w:rsidRPr="0087512B">
        <w:rPr>
          <w:rFonts w:cs="Times New Roman"/>
          <w:sz w:val="28"/>
          <w:szCs w:val="28"/>
        </w:rPr>
        <w:t xml:space="preserve"> visjutīgākā sabiedrības </w:t>
      </w:r>
      <w:r w:rsidR="006E50C2" w:rsidRPr="0087512B">
        <w:rPr>
          <w:rFonts w:cs="Times New Roman"/>
          <w:sz w:val="28"/>
          <w:szCs w:val="28"/>
        </w:rPr>
        <w:t>da</w:t>
      </w:r>
      <w:r w:rsidR="006E50C2">
        <w:rPr>
          <w:rFonts w:cs="Times New Roman"/>
          <w:sz w:val="28"/>
          <w:szCs w:val="28"/>
        </w:rPr>
        <w:t>ļ</w:t>
      </w:r>
      <w:r w:rsidR="006E50C2" w:rsidRPr="0087512B">
        <w:rPr>
          <w:rFonts w:cs="Times New Roman"/>
          <w:sz w:val="28"/>
          <w:szCs w:val="28"/>
        </w:rPr>
        <w:t>a</w:t>
      </w:r>
      <w:r w:rsidRPr="0087512B">
        <w:rPr>
          <w:rFonts w:cs="Times New Roman"/>
          <w:sz w:val="28"/>
          <w:szCs w:val="28"/>
        </w:rPr>
        <w:t xml:space="preserve">, kas ir visaugstākajā atkarības riska grupā, ir iedzīvotāji vecumā no 16 līdz 24 gadiem un 35 līdz 44 gadiem. Tieši tā sabiedrības daļa, kas cieš no azartspēļu atkarības, </w:t>
      </w:r>
      <w:r w:rsidR="00431DA2">
        <w:rPr>
          <w:rFonts w:cs="Times New Roman"/>
          <w:sz w:val="28"/>
          <w:szCs w:val="28"/>
        </w:rPr>
        <w:t>tajā skaitā</w:t>
      </w:r>
      <w:r w:rsidRPr="0087512B">
        <w:rPr>
          <w:rFonts w:cs="Times New Roman"/>
          <w:sz w:val="28"/>
          <w:szCs w:val="28"/>
        </w:rPr>
        <w:t>, kas iegūta nekontrolētajā vidē, tiek pakļauta papildu riskiem, kas ir saistīti ar:</w:t>
      </w:r>
    </w:p>
    <w:p w:rsidR="00635AFA" w:rsidRPr="000374B4" w:rsidRDefault="00635AFA" w:rsidP="002B73BA">
      <w:pPr>
        <w:pStyle w:val="ListParagraph"/>
        <w:numPr>
          <w:ilvl w:val="0"/>
          <w:numId w:val="4"/>
        </w:numPr>
        <w:ind w:left="0" w:firstLine="709"/>
        <w:jc w:val="both"/>
        <w:rPr>
          <w:rFonts w:cs="Times New Roman"/>
          <w:sz w:val="28"/>
          <w:szCs w:val="28"/>
        </w:rPr>
      </w:pPr>
      <w:r w:rsidRPr="000374B4">
        <w:rPr>
          <w:rFonts w:cs="Times New Roman"/>
          <w:sz w:val="28"/>
          <w:szCs w:val="28"/>
        </w:rPr>
        <w:t>nespēju konkurēt darba spēka tirgū;</w:t>
      </w:r>
    </w:p>
    <w:p w:rsidR="00635AFA" w:rsidRPr="0087512B" w:rsidRDefault="00635AFA" w:rsidP="002B73BA">
      <w:pPr>
        <w:pStyle w:val="ListParagraph"/>
        <w:numPr>
          <w:ilvl w:val="0"/>
          <w:numId w:val="4"/>
        </w:numPr>
        <w:ind w:left="0" w:firstLine="709"/>
        <w:jc w:val="both"/>
        <w:rPr>
          <w:rFonts w:cs="Times New Roman"/>
          <w:sz w:val="28"/>
          <w:szCs w:val="28"/>
        </w:rPr>
      </w:pPr>
      <w:r w:rsidRPr="0087512B">
        <w:rPr>
          <w:rFonts w:cs="Times New Roman"/>
          <w:sz w:val="28"/>
          <w:szCs w:val="28"/>
        </w:rPr>
        <w:t>noslieci uz kriminālsodāmo darbību veikšanu;</w:t>
      </w:r>
    </w:p>
    <w:p w:rsidR="00635AFA" w:rsidRPr="0087512B" w:rsidRDefault="00635AFA" w:rsidP="002B73BA">
      <w:pPr>
        <w:pStyle w:val="ListParagraph"/>
        <w:numPr>
          <w:ilvl w:val="0"/>
          <w:numId w:val="4"/>
        </w:numPr>
        <w:ind w:left="0" w:firstLine="709"/>
        <w:jc w:val="both"/>
        <w:rPr>
          <w:rFonts w:cs="Times New Roman"/>
          <w:sz w:val="28"/>
          <w:szCs w:val="28"/>
        </w:rPr>
      </w:pPr>
      <w:r w:rsidRPr="0087512B">
        <w:rPr>
          <w:rFonts w:cs="Times New Roman"/>
          <w:sz w:val="28"/>
          <w:szCs w:val="28"/>
        </w:rPr>
        <w:lastRenderedPageBreak/>
        <w:t>demogrāfisko rādītāju pasliktināšanos utt.</w:t>
      </w:r>
      <w:r w:rsidRPr="0087512B">
        <w:rPr>
          <w:rStyle w:val="FootnoteReference"/>
          <w:sz w:val="28"/>
          <w:szCs w:val="28"/>
        </w:rPr>
        <w:footnoteReference w:id="11"/>
      </w:r>
    </w:p>
    <w:p w:rsidR="00431DA2" w:rsidRDefault="00635AFA" w:rsidP="007571C1">
      <w:pPr>
        <w:ind w:firstLine="567"/>
        <w:jc w:val="both"/>
        <w:rPr>
          <w:rFonts w:cs="Times New Roman"/>
          <w:sz w:val="28"/>
          <w:szCs w:val="28"/>
        </w:rPr>
      </w:pPr>
      <w:r w:rsidRPr="0087512B">
        <w:rPr>
          <w:rFonts w:cs="Times New Roman"/>
          <w:sz w:val="28"/>
          <w:szCs w:val="28"/>
        </w:rPr>
        <w:t>Līdzīgus datus attiecībā uz grupu, kas tiek pakļauta visaugstākajam riskam</w:t>
      </w:r>
      <w:r w:rsidR="00F11D92">
        <w:rPr>
          <w:rFonts w:cs="Times New Roman"/>
          <w:sz w:val="28"/>
          <w:szCs w:val="28"/>
        </w:rPr>
        <w:t>,</w:t>
      </w:r>
      <w:r w:rsidRPr="0087512B">
        <w:rPr>
          <w:rFonts w:cs="Times New Roman"/>
          <w:sz w:val="28"/>
          <w:szCs w:val="28"/>
        </w:rPr>
        <w:t xml:space="preserve"> ir identificējis </w:t>
      </w:r>
      <w:r w:rsidR="00431DA2">
        <w:rPr>
          <w:rFonts w:cs="Times New Roman"/>
          <w:sz w:val="28"/>
          <w:szCs w:val="28"/>
        </w:rPr>
        <w:t xml:space="preserve">arī </w:t>
      </w:r>
      <w:r w:rsidRPr="0087512B">
        <w:rPr>
          <w:rFonts w:cs="Times New Roman"/>
          <w:sz w:val="28"/>
          <w:szCs w:val="28"/>
        </w:rPr>
        <w:t>Tirgus un sabiedriskās domas pētījumu centrs SKDS (turpmāk – SKDS) savā 2016.gada veiktajā aptaujā. Atbilstoši SKDS 2016.gada veiktajai aptaujai</w:t>
      </w:r>
      <w:r w:rsidR="00111D91">
        <w:rPr>
          <w:rFonts w:cs="Times New Roman"/>
          <w:sz w:val="28"/>
          <w:szCs w:val="28"/>
        </w:rPr>
        <w:t>,</w:t>
      </w:r>
      <w:r w:rsidRPr="0087512B">
        <w:rPr>
          <w:rFonts w:cs="Times New Roman"/>
          <w:sz w:val="28"/>
          <w:szCs w:val="28"/>
        </w:rPr>
        <w:t xml:space="preserve"> 26% no tiem respondentiem, kuri pēdējo 12 mēnešu laikā ir spēlējuši azartspēles, ir bijuši gadījumi, kad spēle tik lielā mērā pārņem savā varā, ka apkārtēja pasaule uz brī</w:t>
      </w:r>
      <w:r w:rsidR="00FE3F42">
        <w:rPr>
          <w:rFonts w:cs="Times New Roman"/>
          <w:sz w:val="28"/>
          <w:szCs w:val="28"/>
        </w:rPr>
        <w:t>d</w:t>
      </w:r>
      <w:r w:rsidR="0088594C">
        <w:rPr>
          <w:rFonts w:cs="Times New Roman"/>
          <w:sz w:val="28"/>
          <w:szCs w:val="28"/>
        </w:rPr>
        <w:t>i pārstāj</w:t>
      </w:r>
      <w:r w:rsidR="00642A2E">
        <w:rPr>
          <w:rFonts w:cs="Times New Roman"/>
          <w:sz w:val="28"/>
          <w:szCs w:val="28"/>
        </w:rPr>
        <w:t xml:space="preserve"> eksistēt; no tiem 8% - bieži</w:t>
      </w:r>
      <w:r w:rsidRPr="0087512B">
        <w:rPr>
          <w:rFonts w:cs="Times New Roman"/>
          <w:sz w:val="28"/>
          <w:szCs w:val="28"/>
        </w:rPr>
        <w:t>, bet 18%</w:t>
      </w:r>
      <w:r w:rsidR="0088594C">
        <w:rPr>
          <w:rFonts w:cs="Times New Roman"/>
          <w:sz w:val="28"/>
          <w:szCs w:val="28"/>
        </w:rPr>
        <w:t xml:space="preserve"> - reti</w:t>
      </w:r>
      <w:r w:rsidRPr="0087512B">
        <w:rPr>
          <w:rFonts w:cs="Times New Roman"/>
          <w:sz w:val="28"/>
          <w:szCs w:val="28"/>
        </w:rPr>
        <w:t>. Biežāk ar šādām situācijām ir saskārušies iedzīvotāji vecumā no 25 līdz 54 gadiem</w:t>
      </w:r>
      <w:r w:rsidRPr="0087512B">
        <w:rPr>
          <w:rStyle w:val="FootnoteReference"/>
          <w:sz w:val="28"/>
          <w:szCs w:val="28"/>
        </w:rPr>
        <w:footnoteReference w:id="12"/>
      </w:r>
      <w:r w:rsidRPr="0087512B">
        <w:rPr>
          <w:rFonts w:cs="Times New Roman"/>
          <w:sz w:val="28"/>
          <w:szCs w:val="28"/>
        </w:rPr>
        <w:t xml:space="preserve">. </w:t>
      </w:r>
    </w:p>
    <w:p w:rsidR="00635AFA" w:rsidRPr="0087512B" w:rsidRDefault="00635AFA" w:rsidP="007571C1">
      <w:pPr>
        <w:ind w:firstLine="567"/>
        <w:jc w:val="both"/>
        <w:rPr>
          <w:rFonts w:eastAsia="Times New Roman" w:cs="Times New Roman"/>
          <w:sz w:val="28"/>
          <w:szCs w:val="28"/>
        </w:rPr>
      </w:pPr>
      <w:r w:rsidRPr="0087512B">
        <w:rPr>
          <w:rFonts w:cs="Times New Roman"/>
          <w:sz w:val="28"/>
          <w:szCs w:val="28"/>
        </w:rPr>
        <w:t>Minētie dati viennozīmīgi norāda uz nepieciešamību sistēmiski nodrošināt preventīvus, kā arī atkarību mazinošos pasākumus azartspēļu un izložu organizēšanas procesā, t</w:t>
      </w:r>
      <w:r w:rsidR="00431DA2">
        <w:rPr>
          <w:rFonts w:cs="Times New Roman"/>
          <w:sz w:val="28"/>
          <w:szCs w:val="28"/>
        </w:rPr>
        <w:t>ostarp</w:t>
      </w:r>
      <w:r w:rsidRPr="0087512B">
        <w:rPr>
          <w:rFonts w:cs="Times New Roman"/>
          <w:sz w:val="28"/>
          <w:szCs w:val="28"/>
        </w:rPr>
        <w:t xml:space="preserve"> būtiski ierobežojot iespēju indivīdam izmantot nelicencēto azartspēļu un izložu organizētāju pakalpojumus. </w:t>
      </w:r>
    </w:p>
    <w:p w:rsidR="00635AFA" w:rsidRPr="0087512B" w:rsidRDefault="00635AFA">
      <w:pPr>
        <w:ind w:firstLine="567"/>
        <w:jc w:val="both"/>
        <w:rPr>
          <w:rFonts w:cs="Times New Roman"/>
          <w:sz w:val="28"/>
          <w:szCs w:val="28"/>
        </w:rPr>
      </w:pPr>
      <w:r w:rsidRPr="0087512B">
        <w:rPr>
          <w:rFonts w:cs="Times New Roman"/>
          <w:sz w:val="28"/>
          <w:szCs w:val="28"/>
        </w:rPr>
        <w:t>Ir zinātniski pierādīts, ka azartspēļu atkarība izraisa nelabvēlīgas sekas gan indivīda, gan ģimenes, gan kopienas, gan sabiedrības līmenī. Tipiskākās seku grupas ir šādas:</w:t>
      </w:r>
    </w:p>
    <w:p w:rsidR="00635AFA" w:rsidRPr="000374B4" w:rsidRDefault="00635AFA" w:rsidP="009E0A36">
      <w:pPr>
        <w:pStyle w:val="ListParagraph"/>
        <w:numPr>
          <w:ilvl w:val="0"/>
          <w:numId w:val="45"/>
        </w:numPr>
        <w:ind w:left="0" w:firstLine="709"/>
        <w:jc w:val="both"/>
        <w:rPr>
          <w:rFonts w:cs="Times New Roman"/>
          <w:sz w:val="28"/>
          <w:szCs w:val="28"/>
        </w:rPr>
      </w:pPr>
      <w:r w:rsidRPr="000374B4">
        <w:rPr>
          <w:rFonts w:cs="Times New Roman"/>
          <w:sz w:val="28"/>
          <w:szCs w:val="28"/>
        </w:rPr>
        <w:t>kaitējums psihiskajai veselībai (</w:t>
      </w:r>
      <w:r w:rsidRPr="000374B4">
        <w:rPr>
          <w:rFonts w:cs="Times New Roman"/>
          <w:color w:val="000000"/>
          <w:sz w:val="28"/>
          <w:szCs w:val="28"/>
        </w:rPr>
        <w:t>depresija, trauksme, personības traucējumi, vielu atkarības u.c.)</w:t>
      </w:r>
      <w:r w:rsidRPr="000374B4">
        <w:rPr>
          <w:rFonts w:cs="Times New Roman"/>
          <w:sz w:val="28"/>
          <w:szCs w:val="28"/>
        </w:rPr>
        <w:t>;</w:t>
      </w:r>
    </w:p>
    <w:p w:rsidR="00635AFA" w:rsidRPr="0087512B" w:rsidRDefault="00635AFA" w:rsidP="009E0A36">
      <w:pPr>
        <w:pStyle w:val="ListParagraph"/>
        <w:numPr>
          <w:ilvl w:val="0"/>
          <w:numId w:val="45"/>
        </w:numPr>
        <w:spacing w:after="120"/>
        <w:ind w:left="0" w:firstLine="709"/>
        <w:jc w:val="both"/>
        <w:rPr>
          <w:rFonts w:cs="Times New Roman"/>
          <w:sz w:val="28"/>
          <w:szCs w:val="28"/>
        </w:rPr>
      </w:pPr>
      <w:r w:rsidRPr="0087512B">
        <w:rPr>
          <w:rFonts w:cs="Times New Roman"/>
          <w:sz w:val="28"/>
          <w:szCs w:val="28"/>
        </w:rPr>
        <w:t>nelabvēlīga ietekme uz fizisko veselību (sirds un asinsvadu sistēmas jeb kardioloģiski traucējumi, imūnās sistēmas traucējumi u.c.);</w:t>
      </w:r>
    </w:p>
    <w:p w:rsidR="00635AFA" w:rsidRPr="0087512B" w:rsidRDefault="00635AFA" w:rsidP="009E0A36">
      <w:pPr>
        <w:pStyle w:val="ListParagraph"/>
        <w:numPr>
          <w:ilvl w:val="0"/>
          <w:numId w:val="45"/>
        </w:numPr>
        <w:spacing w:after="120"/>
        <w:ind w:left="0" w:firstLine="709"/>
        <w:jc w:val="both"/>
        <w:rPr>
          <w:rFonts w:cs="Times New Roman"/>
          <w:sz w:val="28"/>
          <w:szCs w:val="28"/>
        </w:rPr>
      </w:pPr>
      <w:r w:rsidRPr="0087512B">
        <w:rPr>
          <w:rFonts w:cs="Times New Roman"/>
          <w:sz w:val="28"/>
          <w:szCs w:val="28"/>
        </w:rPr>
        <w:t>attiecību un ģimenes disfunkcija;</w:t>
      </w:r>
    </w:p>
    <w:p w:rsidR="00635AFA" w:rsidRPr="0087512B" w:rsidRDefault="00635AFA" w:rsidP="009E0A36">
      <w:pPr>
        <w:pStyle w:val="ListParagraph"/>
        <w:numPr>
          <w:ilvl w:val="0"/>
          <w:numId w:val="45"/>
        </w:numPr>
        <w:spacing w:after="120"/>
        <w:ind w:left="0" w:firstLine="709"/>
        <w:jc w:val="both"/>
        <w:rPr>
          <w:rFonts w:cs="Times New Roman"/>
          <w:sz w:val="28"/>
          <w:szCs w:val="28"/>
        </w:rPr>
      </w:pPr>
      <w:r w:rsidRPr="0087512B">
        <w:rPr>
          <w:rFonts w:cs="Times New Roman"/>
          <w:sz w:val="28"/>
          <w:szCs w:val="28"/>
        </w:rPr>
        <w:t>finansiālas problēmas;</w:t>
      </w:r>
    </w:p>
    <w:p w:rsidR="00635AFA" w:rsidRPr="0087512B" w:rsidRDefault="00635AFA" w:rsidP="009E0A36">
      <w:pPr>
        <w:pStyle w:val="ListParagraph"/>
        <w:numPr>
          <w:ilvl w:val="0"/>
          <w:numId w:val="45"/>
        </w:numPr>
        <w:ind w:left="0" w:firstLine="709"/>
        <w:jc w:val="both"/>
        <w:rPr>
          <w:rFonts w:cs="Times New Roman"/>
          <w:sz w:val="28"/>
          <w:szCs w:val="28"/>
        </w:rPr>
      </w:pPr>
      <w:r w:rsidRPr="0087512B">
        <w:rPr>
          <w:rFonts w:cs="Times New Roman"/>
          <w:sz w:val="28"/>
          <w:szCs w:val="28"/>
        </w:rPr>
        <w:t>problēmas ar nodarbinātību / darbu / studijām / mācībām;</w:t>
      </w:r>
    </w:p>
    <w:p w:rsidR="00635AFA" w:rsidRPr="0087512B" w:rsidRDefault="00635AFA" w:rsidP="009E0A36">
      <w:pPr>
        <w:pStyle w:val="ListParagraph"/>
        <w:numPr>
          <w:ilvl w:val="0"/>
          <w:numId w:val="45"/>
        </w:numPr>
        <w:ind w:left="0" w:firstLine="709"/>
        <w:jc w:val="both"/>
        <w:rPr>
          <w:rFonts w:cs="Times New Roman"/>
          <w:sz w:val="28"/>
          <w:szCs w:val="28"/>
        </w:rPr>
      </w:pPr>
      <w:r w:rsidRPr="0087512B">
        <w:rPr>
          <w:rFonts w:cs="Times New Roman"/>
          <w:sz w:val="28"/>
          <w:szCs w:val="28"/>
        </w:rPr>
        <w:t xml:space="preserve">likumpārkāpumi. </w:t>
      </w:r>
    </w:p>
    <w:p w:rsidR="00635AFA" w:rsidRPr="0087512B" w:rsidRDefault="00635AFA" w:rsidP="000A3334">
      <w:pPr>
        <w:ind w:firstLine="567"/>
        <w:jc w:val="both"/>
        <w:rPr>
          <w:rFonts w:cs="Times New Roman"/>
          <w:sz w:val="28"/>
          <w:szCs w:val="28"/>
          <w:vertAlign w:val="superscript"/>
        </w:rPr>
      </w:pPr>
      <w:r w:rsidRPr="0087512B">
        <w:rPr>
          <w:rFonts w:cs="Times New Roman"/>
          <w:sz w:val="28"/>
          <w:szCs w:val="28"/>
        </w:rPr>
        <w:t>2017.gadā publicētais sistemātiskais apskats un metaanalīze liecina par plaša spektra dažādiem azartspēļu spēlēšanas riska un asociētajiem faktoriem. Pierādījumu līmenis katram no tiem ir atšķirīgs, taču ir vērojamas atsevišķas faktoru grupas, kas viennozīmīgi ir saistītas ar azartspēļu atkarību</w:t>
      </w:r>
      <w:r w:rsidRPr="0087512B">
        <w:rPr>
          <w:rStyle w:val="FootnoteReference"/>
          <w:sz w:val="28"/>
          <w:szCs w:val="28"/>
        </w:rPr>
        <w:footnoteReference w:id="13"/>
      </w:r>
      <w:r w:rsidRPr="0087512B">
        <w:rPr>
          <w:rFonts w:cs="Times New Roman"/>
          <w:sz w:val="28"/>
          <w:szCs w:val="28"/>
        </w:rPr>
        <w:t>:</w:t>
      </w:r>
    </w:p>
    <w:p w:rsidR="00635AFA" w:rsidRPr="0087512B" w:rsidRDefault="00635AFA" w:rsidP="000374B4">
      <w:pPr>
        <w:pStyle w:val="ListParagraph"/>
        <w:numPr>
          <w:ilvl w:val="0"/>
          <w:numId w:val="3"/>
        </w:numPr>
        <w:ind w:left="0" w:firstLine="709"/>
        <w:jc w:val="both"/>
        <w:rPr>
          <w:rFonts w:cs="Times New Roman"/>
          <w:strike/>
          <w:sz w:val="28"/>
          <w:szCs w:val="28"/>
        </w:rPr>
      </w:pPr>
      <w:r w:rsidRPr="0087512B">
        <w:rPr>
          <w:rFonts w:cs="Times New Roman"/>
          <w:sz w:val="28"/>
          <w:szCs w:val="28"/>
        </w:rPr>
        <w:t>sociāli demogrāfiskie faktori – metaanalīze liecina, ka no visiem šiem faktoriem dzimums ir visnozīmīgākais neatkarīgais riska faktors. Proti, vīriešiem ir ievērojami augstāks azartspēļu atkarības risks nekā sievietēm. Vienlaikus tiek atzīts, ka cēlonība var nebūt bioloģiskas dabas;</w:t>
      </w:r>
    </w:p>
    <w:p w:rsidR="00635AFA" w:rsidRPr="0087512B" w:rsidRDefault="00635AFA" w:rsidP="000374B4">
      <w:pPr>
        <w:pStyle w:val="ListParagraph"/>
        <w:numPr>
          <w:ilvl w:val="0"/>
          <w:numId w:val="3"/>
        </w:numPr>
        <w:spacing w:after="120"/>
        <w:ind w:left="0" w:firstLine="709"/>
        <w:jc w:val="both"/>
        <w:rPr>
          <w:rFonts w:cs="Times New Roman"/>
          <w:strike/>
          <w:sz w:val="28"/>
          <w:szCs w:val="28"/>
        </w:rPr>
      </w:pPr>
      <w:r w:rsidRPr="0087512B">
        <w:rPr>
          <w:rFonts w:cs="Times New Roman"/>
          <w:sz w:val="28"/>
          <w:szCs w:val="28"/>
        </w:rPr>
        <w:t xml:space="preserve">vēl ir pierādīts, ka azartspēļu spēlēšana bērnībā un pusaudža gados ir saistīta ar augstāku risku veidoties azartspēļu atkarībai turpmākās dzīves laikā; </w:t>
      </w:r>
    </w:p>
    <w:p w:rsidR="00635AFA" w:rsidRPr="0087512B" w:rsidRDefault="00635AFA" w:rsidP="000374B4">
      <w:pPr>
        <w:pStyle w:val="ListParagraph"/>
        <w:numPr>
          <w:ilvl w:val="0"/>
          <w:numId w:val="3"/>
        </w:numPr>
        <w:spacing w:after="120"/>
        <w:ind w:left="0" w:firstLine="709"/>
        <w:jc w:val="both"/>
        <w:rPr>
          <w:rFonts w:cs="Times New Roman"/>
          <w:strike/>
          <w:sz w:val="28"/>
          <w:szCs w:val="28"/>
        </w:rPr>
      </w:pPr>
      <w:r w:rsidRPr="0087512B">
        <w:rPr>
          <w:rFonts w:cs="Times New Roman"/>
          <w:sz w:val="28"/>
          <w:szCs w:val="28"/>
        </w:rPr>
        <w:t xml:space="preserve">atkarību izraisošās vielas – tabakas, alkohola, kā arī kanabisa un citu nelegālo vielu lietošana literatūrā ir konstanti saistīta ar azartspēļu spēlēšanu un atkarību; </w:t>
      </w:r>
    </w:p>
    <w:p w:rsidR="00635AFA" w:rsidRPr="0087512B" w:rsidRDefault="00635AFA" w:rsidP="000374B4">
      <w:pPr>
        <w:pStyle w:val="ListParagraph"/>
        <w:numPr>
          <w:ilvl w:val="0"/>
          <w:numId w:val="3"/>
        </w:numPr>
        <w:spacing w:after="120"/>
        <w:ind w:left="0" w:firstLine="709"/>
        <w:jc w:val="both"/>
        <w:rPr>
          <w:rFonts w:cs="Times New Roman"/>
          <w:sz w:val="28"/>
          <w:szCs w:val="28"/>
        </w:rPr>
      </w:pPr>
      <w:r w:rsidRPr="0087512B">
        <w:rPr>
          <w:rFonts w:cs="Times New Roman"/>
          <w:sz w:val="28"/>
          <w:szCs w:val="28"/>
        </w:rPr>
        <w:lastRenderedPageBreak/>
        <w:t>uzvedības faktori – atrasta cieša sakarība starp azartspēļu spēlēšanu un antisociālu un vardarbīgu uzvedību, īpaši jauniešu vidū. Arī vājas sekmes mācībās ir asociētas ar azartspēļu spēlēšanu;</w:t>
      </w:r>
    </w:p>
    <w:p w:rsidR="00635AFA" w:rsidRPr="0087512B" w:rsidRDefault="00635AFA" w:rsidP="000374B4">
      <w:pPr>
        <w:pStyle w:val="ListParagraph"/>
        <w:numPr>
          <w:ilvl w:val="0"/>
          <w:numId w:val="3"/>
        </w:numPr>
        <w:spacing w:after="120"/>
        <w:ind w:left="0" w:firstLine="709"/>
        <w:jc w:val="both"/>
        <w:rPr>
          <w:rFonts w:cs="Times New Roman"/>
          <w:sz w:val="28"/>
          <w:szCs w:val="28"/>
        </w:rPr>
      </w:pPr>
      <w:r w:rsidRPr="0087512B">
        <w:rPr>
          <w:rFonts w:cs="Times New Roman"/>
          <w:sz w:val="28"/>
          <w:szCs w:val="28"/>
        </w:rPr>
        <w:t>personības faktori – azartspēļu spēlēšana ir raksturīga impulsīvām, temperamentīgām personām (ar tendenci būt nepacietīgām, ļoti aktīvām, impulsīvām, viegli aizkaitināmām, tādām, kas nespēj paredzēt negatīvas sekas savai rīcībai, kas nespēj neatbildēt impulsam, neskatoties uz potenciāli negatīvām sekām u.tml.);</w:t>
      </w:r>
    </w:p>
    <w:p w:rsidR="00635AFA" w:rsidRPr="0087512B" w:rsidRDefault="00635AFA" w:rsidP="000374B4">
      <w:pPr>
        <w:pStyle w:val="ListParagraph"/>
        <w:numPr>
          <w:ilvl w:val="0"/>
          <w:numId w:val="3"/>
        </w:numPr>
        <w:ind w:left="0" w:firstLine="709"/>
        <w:jc w:val="both"/>
        <w:rPr>
          <w:rFonts w:cs="Times New Roman"/>
          <w:sz w:val="28"/>
          <w:szCs w:val="28"/>
        </w:rPr>
      </w:pPr>
      <w:r w:rsidRPr="0087512B">
        <w:rPr>
          <w:rFonts w:cs="Times New Roman"/>
          <w:sz w:val="28"/>
          <w:szCs w:val="28"/>
        </w:rPr>
        <w:t xml:space="preserve">internalizēti simptomi – depresija, trauksme, distress, suicidālas domas arī ir cieši saistītas ar azartspēļu atkarību, sevišķi jauniešu populācijā. </w:t>
      </w:r>
    </w:p>
    <w:p w:rsidR="00635AFA" w:rsidRPr="0087512B" w:rsidRDefault="00635AFA" w:rsidP="0087512B">
      <w:pPr>
        <w:ind w:firstLine="567"/>
        <w:jc w:val="both"/>
        <w:rPr>
          <w:rFonts w:cs="Times New Roman"/>
          <w:sz w:val="28"/>
          <w:szCs w:val="28"/>
        </w:rPr>
      </w:pPr>
      <w:r w:rsidRPr="0087512B">
        <w:rPr>
          <w:rFonts w:cs="Times New Roman"/>
          <w:sz w:val="28"/>
          <w:szCs w:val="28"/>
        </w:rPr>
        <w:t>Papildus tam minēta arī ģenētiska predispozīcija un vides faktori, proti, augstāks azartspēļu attīstības risks ir personām, kuru pirmās pakāpes radiniekiem ir vērojamas līdzīgas atkarības problēmas vai kuri auguši ģimenēs ar radiniekiem, kuriem diagnosticēta atkarība (tostarp alkohola un citu vielu atkarība).</w:t>
      </w:r>
    </w:p>
    <w:p w:rsidR="00635AFA" w:rsidRPr="00C3614C" w:rsidRDefault="00635AFA" w:rsidP="0087512B">
      <w:pPr>
        <w:ind w:firstLine="567"/>
        <w:jc w:val="both"/>
        <w:rPr>
          <w:rFonts w:eastAsia="Times New Roman" w:cs="Times New Roman"/>
          <w:b/>
          <w:bCs/>
          <w:sz w:val="28"/>
          <w:szCs w:val="28"/>
          <w:lang w:eastAsia="lv-LV"/>
        </w:rPr>
      </w:pPr>
      <w:r w:rsidRPr="0087512B">
        <w:rPr>
          <w:rFonts w:cs="Times New Roman"/>
          <w:sz w:val="28"/>
          <w:szCs w:val="28"/>
        </w:rPr>
        <w:t>Riska faktori ir arī netiešie vides faktori, piemēram, augsta azartspēļu pieejamība, kuru iespējams daudz vieglāk ietekmēt atšķirībā no ģenētiskiem faktoriem</w:t>
      </w:r>
      <w:r w:rsidRPr="0087512B">
        <w:rPr>
          <w:rStyle w:val="FootnoteReference"/>
          <w:sz w:val="28"/>
          <w:szCs w:val="28"/>
        </w:rPr>
        <w:footnoteReference w:id="14"/>
      </w:r>
      <w:r w:rsidRPr="0087512B">
        <w:rPr>
          <w:rFonts w:cs="Times New Roman"/>
          <w:sz w:val="28"/>
          <w:szCs w:val="28"/>
        </w:rPr>
        <w:t xml:space="preserve">. </w:t>
      </w:r>
    </w:p>
    <w:p w:rsidR="00635AFA" w:rsidRPr="0087512B" w:rsidRDefault="00CD1AF2" w:rsidP="009220DB">
      <w:pPr>
        <w:ind w:firstLine="567"/>
        <w:jc w:val="both"/>
        <w:rPr>
          <w:rFonts w:eastAsia="Times New Roman" w:cs="Times New Roman"/>
          <w:sz w:val="28"/>
          <w:szCs w:val="28"/>
        </w:rPr>
      </w:pPr>
      <w:r>
        <w:rPr>
          <w:rFonts w:eastAsia="Times New Roman" w:cs="Times New Roman"/>
          <w:sz w:val="28"/>
          <w:szCs w:val="28"/>
        </w:rPr>
        <w:t>A</w:t>
      </w:r>
      <w:r w:rsidR="00635AFA" w:rsidRPr="0087512B">
        <w:rPr>
          <w:rFonts w:eastAsia="Times New Roman" w:cs="Times New Roman"/>
          <w:sz w:val="28"/>
          <w:szCs w:val="28"/>
        </w:rPr>
        <w:t>plūkojot situāciju kaimiņvalstīs ar līdzīgu azartspēļu biznesa un attīstības vēsturi</w:t>
      </w:r>
      <w:r w:rsidR="00431DA2">
        <w:rPr>
          <w:rFonts w:eastAsia="Times New Roman" w:cs="Times New Roman"/>
          <w:sz w:val="28"/>
          <w:szCs w:val="28"/>
        </w:rPr>
        <w:t xml:space="preserve">, </w:t>
      </w:r>
      <w:r>
        <w:rPr>
          <w:rFonts w:eastAsia="Times New Roman" w:cs="Times New Roman"/>
          <w:sz w:val="28"/>
          <w:szCs w:val="28"/>
        </w:rPr>
        <w:t>p</w:t>
      </w:r>
      <w:r w:rsidR="00635AFA" w:rsidRPr="0087512B">
        <w:rPr>
          <w:rFonts w:eastAsia="Times New Roman" w:cs="Times New Roman"/>
          <w:sz w:val="28"/>
          <w:szCs w:val="28"/>
        </w:rPr>
        <w:t>iemēram, Igaunijā veikts un 2009.gadā publicēts nacionāli reprezentatīvs pētījums</w:t>
      </w:r>
      <w:r w:rsidR="00F56908">
        <w:rPr>
          <w:rFonts w:eastAsia="Times New Roman" w:cs="Times New Roman"/>
          <w:sz w:val="28"/>
          <w:szCs w:val="28"/>
        </w:rPr>
        <w:t>, kas</w:t>
      </w:r>
      <w:r w:rsidR="00635AFA" w:rsidRPr="0087512B">
        <w:rPr>
          <w:rFonts w:eastAsia="Times New Roman" w:cs="Times New Roman"/>
          <w:sz w:val="28"/>
          <w:szCs w:val="28"/>
        </w:rPr>
        <w:t xml:space="preserve"> liecina, ka azartspēļu atkarības mūža prevalence 15</w:t>
      </w:r>
      <w:r w:rsidR="00F72FAE">
        <w:rPr>
          <w:rFonts w:eastAsia="Times New Roman" w:cs="Times New Roman"/>
          <w:sz w:val="28"/>
          <w:szCs w:val="28"/>
        </w:rPr>
        <w:t xml:space="preserve"> – </w:t>
      </w:r>
      <w:r w:rsidR="00635AFA" w:rsidRPr="0087512B">
        <w:rPr>
          <w:rFonts w:eastAsia="Times New Roman" w:cs="Times New Roman"/>
          <w:sz w:val="28"/>
          <w:szCs w:val="28"/>
        </w:rPr>
        <w:t>74 gadus vecu iedzīvotāju vidū ir 3,4%</w:t>
      </w:r>
      <w:r w:rsidR="00635AFA" w:rsidRPr="0087512B">
        <w:rPr>
          <w:rStyle w:val="FootnoteReference"/>
          <w:sz w:val="28"/>
          <w:szCs w:val="28"/>
        </w:rPr>
        <w:footnoteReference w:id="15"/>
      </w:r>
      <w:r w:rsidR="00635AFA" w:rsidRPr="0087512B">
        <w:rPr>
          <w:rFonts w:eastAsia="Times New Roman" w:cs="Times New Roman"/>
          <w:sz w:val="28"/>
          <w:szCs w:val="28"/>
          <w:vertAlign w:val="superscript"/>
        </w:rPr>
        <w:t>,</w:t>
      </w:r>
      <w:r w:rsidR="00635AFA" w:rsidRPr="0087512B">
        <w:rPr>
          <w:rStyle w:val="FootnoteReference"/>
          <w:sz w:val="28"/>
          <w:szCs w:val="28"/>
        </w:rPr>
        <w:footnoteReference w:id="16"/>
      </w:r>
      <w:r w:rsidR="00635AFA" w:rsidRPr="0087512B">
        <w:rPr>
          <w:rFonts w:eastAsia="Times New Roman" w:cs="Times New Roman"/>
          <w:sz w:val="28"/>
          <w:szCs w:val="28"/>
        </w:rPr>
        <w:t xml:space="preserve">. Savukārt </w:t>
      </w:r>
      <w:r w:rsidR="009220DB" w:rsidRPr="0087512B">
        <w:rPr>
          <w:rFonts w:eastAsia="Times New Roman" w:cs="Times New Roman"/>
          <w:sz w:val="28"/>
          <w:szCs w:val="28"/>
        </w:rPr>
        <w:t>201</w:t>
      </w:r>
      <w:r w:rsidR="009220DB">
        <w:rPr>
          <w:rFonts w:eastAsia="Times New Roman" w:cs="Times New Roman"/>
          <w:sz w:val="28"/>
          <w:szCs w:val="28"/>
        </w:rPr>
        <w:t>9</w:t>
      </w:r>
      <w:r w:rsidR="00635AFA" w:rsidRPr="0087512B">
        <w:rPr>
          <w:rFonts w:eastAsia="Times New Roman" w:cs="Times New Roman"/>
          <w:sz w:val="28"/>
          <w:szCs w:val="28"/>
        </w:rPr>
        <w:t>.gadā veikts reprezentatīvs pētījums 15</w:t>
      </w:r>
      <w:r w:rsidR="008346C1">
        <w:rPr>
          <w:rFonts w:eastAsia="Times New Roman" w:cs="Times New Roman"/>
          <w:sz w:val="28"/>
          <w:szCs w:val="28"/>
        </w:rPr>
        <w:t xml:space="preserve"> – </w:t>
      </w:r>
      <w:r w:rsidR="00635AFA" w:rsidRPr="0087512B">
        <w:rPr>
          <w:rFonts w:eastAsia="Times New Roman" w:cs="Times New Roman"/>
          <w:sz w:val="28"/>
          <w:szCs w:val="28"/>
        </w:rPr>
        <w:t xml:space="preserve">74 gadus vecu iedzīvotāju vidū liecina, ka pašreizējā azartspēļu atkarības prevalence Igaunijā veido </w:t>
      </w:r>
      <w:r w:rsidR="009220DB">
        <w:rPr>
          <w:rFonts w:eastAsia="Times New Roman" w:cs="Times New Roman"/>
          <w:sz w:val="28"/>
          <w:szCs w:val="28"/>
        </w:rPr>
        <w:t>7</w:t>
      </w:r>
      <w:r w:rsidR="00635AFA" w:rsidRPr="0087512B">
        <w:rPr>
          <w:rFonts w:eastAsia="Times New Roman" w:cs="Times New Roman"/>
          <w:sz w:val="28"/>
          <w:szCs w:val="28"/>
        </w:rPr>
        <w:t>%</w:t>
      </w:r>
      <w:r w:rsidR="00635AFA" w:rsidRPr="0087512B">
        <w:rPr>
          <w:rStyle w:val="FootnoteReference"/>
          <w:sz w:val="28"/>
          <w:szCs w:val="28"/>
        </w:rPr>
        <w:footnoteReference w:id="17"/>
      </w:r>
      <w:r w:rsidR="00635AFA" w:rsidRPr="0087512B">
        <w:rPr>
          <w:rFonts w:eastAsia="Times New Roman" w:cs="Times New Roman"/>
          <w:sz w:val="28"/>
          <w:szCs w:val="28"/>
        </w:rPr>
        <w:t xml:space="preserve">. </w:t>
      </w:r>
    </w:p>
    <w:p w:rsidR="00635AFA" w:rsidRPr="0087512B" w:rsidRDefault="00635AFA" w:rsidP="0087512B">
      <w:pPr>
        <w:ind w:firstLine="567"/>
        <w:jc w:val="both"/>
        <w:rPr>
          <w:rFonts w:cs="Times New Roman"/>
          <w:sz w:val="28"/>
          <w:szCs w:val="28"/>
        </w:rPr>
      </w:pPr>
      <w:r w:rsidRPr="0087512B">
        <w:rPr>
          <w:rFonts w:eastAsia="Times New Roman" w:cs="Times New Roman"/>
          <w:sz w:val="28"/>
          <w:szCs w:val="28"/>
        </w:rPr>
        <w:t>Ar noteiktām slimībām slimojošu pacientu reģistra dati par pacientiem ar psihiskiem un uzvedības traucējumiem Latvijā liecina, ka 2017.gadā pirmreizēji reģistrēta 21 persona ar patoloģisku tieksmi uz azartspēlēm (kopumā gada laikā ārstētas 40 šādas personas). Salīdzinot ar 2016.gadu, skaits nav ievērojami audzis (minētajā gadā pirmreizēji ārstēti 39 indivīdi)</w:t>
      </w:r>
      <w:r w:rsidRPr="0087512B">
        <w:rPr>
          <w:rStyle w:val="FootnoteReference"/>
          <w:sz w:val="28"/>
          <w:szCs w:val="28"/>
        </w:rPr>
        <w:footnoteReference w:id="18"/>
      </w:r>
      <w:r w:rsidRPr="0087512B">
        <w:rPr>
          <w:rFonts w:eastAsia="Times New Roman" w:cs="Times New Roman"/>
          <w:sz w:val="28"/>
          <w:szCs w:val="28"/>
        </w:rPr>
        <w:t>.</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Valsts un AI nozares kopīgais uzdevums ir maksimāli samazināt riskus, kuri objektīvi un pamatoti rada kaitējumu sabiedrībai, nodrošinot šīs nozares pakalpojumu sabiedrībai kā </w:t>
      </w:r>
      <w:r w:rsidR="00F8172A">
        <w:rPr>
          <w:rFonts w:cs="Times New Roman"/>
          <w:sz w:val="28"/>
          <w:szCs w:val="28"/>
        </w:rPr>
        <w:t>brīva laika pavadīšanas veidu</w:t>
      </w:r>
      <w:r w:rsidR="00431DA2">
        <w:rPr>
          <w:rFonts w:cs="Times New Roman"/>
          <w:sz w:val="28"/>
          <w:szCs w:val="28"/>
        </w:rPr>
        <w:t>,</w:t>
      </w:r>
      <w:r w:rsidR="000A3334">
        <w:rPr>
          <w:rFonts w:cs="Times New Roman"/>
          <w:sz w:val="28"/>
          <w:szCs w:val="28"/>
        </w:rPr>
        <w:t xml:space="preserve"> </w:t>
      </w:r>
      <w:r w:rsidRPr="0087512B">
        <w:rPr>
          <w:rFonts w:cs="Times New Roman"/>
          <w:sz w:val="28"/>
          <w:szCs w:val="28"/>
        </w:rPr>
        <w:t>vienlaikus ievērojot samērīgumu leģitīmo azartspēļu un izložu organizatoru uzņēmējdarbības ierobežošanā.</w:t>
      </w:r>
    </w:p>
    <w:p w:rsidR="00635AFA" w:rsidRPr="0087512B" w:rsidRDefault="00635AFA" w:rsidP="0087512B">
      <w:pPr>
        <w:ind w:firstLine="567"/>
        <w:jc w:val="both"/>
        <w:rPr>
          <w:rFonts w:eastAsia="Times New Roman" w:cs="Times New Roman"/>
          <w:bCs/>
          <w:sz w:val="28"/>
          <w:szCs w:val="28"/>
          <w:lang w:eastAsia="lv-LV"/>
        </w:rPr>
      </w:pPr>
      <w:r w:rsidRPr="0087512B">
        <w:rPr>
          <w:rFonts w:eastAsia="Times New Roman" w:cs="Times New Roman"/>
          <w:bCs/>
          <w:sz w:val="28"/>
          <w:szCs w:val="28"/>
          <w:lang w:eastAsia="lv-LV"/>
        </w:rPr>
        <w:lastRenderedPageBreak/>
        <w:t xml:space="preserve">Ņemot vērā AIL mērķi nodrošināt sabiedrības interešu un spēlētāju tiesību aizsardzību, </w:t>
      </w:r>
      <w:r w:rsidR="00F11D92">
        <w:rPr>
          <w:rFonts w:eastAsia="Times New Roman" w:cs="Times New Roman"/>
          <w:bCs/>
          <w:sz w:val="28"/>
          <w:szCs w:val="28"/>
          <w:lang w:eastAsia="lv-LV"/>
        </w:rPr>
        <w:t>AIL</w:t>
      </w:r>
      <w:r w:rsidRPr="0087512B">
        <w:rPr>
          <w:rFonts w:eastAsia="Times New Roman" w:cs="Times New Roman"/>
          <w:bCs/>
          <w:sz w:val="28"/>
          <w:szCs w:val="28"/>
          <w:lang w:eastAsia="lv-LV"/>
        </w:rPr>
        <w:t xml:space="preserve"> ir </w:t>
      </w:r>
      <w:r w:rsidR="00F8172A" w:rsidRPr="0087512B">
        <w:rPr>
          <w:rFonts w:eastAsia="Times New Roman" w:cs="Times New Roman"/>
          <w:bCs/>
          <w:sz w:val="28"/>
          <w:szCs w:val="28"/>
          <w:lang w:eastAsia="lv-LV"/>
        </w:rPr>
        <w:t>noteikt</w:t>
      </w:r>
      <w:r w:rsidR="00F8172A">
        <w:rPr>
          <w:rFonts w:eastAsia="Times New Roman" w:cs="Times New Roman"/>
          <w:bCs/>
          <w:sz w:val="28"/>
          <w:szCs w:val="28"/>
          <w:lang w:eastAsia="lv-LV"/>
        </w:rPr>
        <w:t>s šāds regulējums</w:t>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azartspēļu organizēšanas vietas ierobežojumi</w:t>
      </w:r>
      <w:r w:rsidRPr="0087512B">
        <w:rPr>
          <w:rStyle w:val="FootnoteReference"/>
          <w:bCs/>
          <w:sz w:val="28"/>
          <w:szCs w:val="28"/>
          <w:lang w:eastAsia="lv-LV"/>
        </w:rPr>
        <w:footnoteReference w:id="19"/>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aizliegums atrasties kazino, spēļu un bingo zālēs, kā arī piedalīties spēlē personām, kuras nav sasniegušas 18 gadu vecumu</w:t>
      </w:r>
      <w:r w:rsidRPr="0087512B">
        <w:rPr>
          <w:rStyle w:val="FootnoteReference"/>
          <w:bCs/>
          <w:sz w:val="28"/>
          <w:szCs w:val="28"/>
          <w:lang w:eastAsia="lv-LV"/>
        </w:rPr>
        <w:footnoteReference w:id="20"/>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azartspēļu organizētāju pienākumi nodrošināt informāciju, kas brīdina, ka azartspēles var izraisīt atkarību. Kazino un spēļu zālēs redzamā vietā jāizliek paškontroles tests un jānodrošina iespēja saņemt to rakstveidā, kā arī saņemt informāciju par to, kur vērsties pēc palīdzības, ja azartspēles izraisījušas atkarību</w:t>
      </w:r>
      <w:r w:rsidRPr="0087512B">
        <w:rPr>
          <w:rStyle w:val="FootnoteReference"/>
          <w:bCs/>
          <w:sz w:val="28"/>
          <w:szCs w:val="28"/>
          <w:lang w:eastAsia="lv-LV"/>
        </w:rPr>
        <w:footnoteReference w:id="21"/>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aizliegums azartspēļu organizētājam izsniegt spēlētājiem jebkāda veida aizdevumus vai kredītus</w:t>
      </w:r>
      <w:r w:rsidRPr="0087512B">
        <w:rPr>
          <w:rStyle w:val="FootnoteReference"/>
          <w:bCs/>
          <w:sz w:val="28"/>
          <w:szCs w:val="28"/>
          <w:lang w:eastAsia="lv-LV"/>
        </w:rPr>
        <w:footnoteReference w:id="22"/>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azartspēļu reklāmas aizliegums ārpus azartspēļu organizēšanas vietām. Azartspēļu organizēšanas vietās atļauts norādīt tikai azartspēļu vietas nosaukumu un azartspēļu organizētāja reģistrētu preču zīmi</w:t>
      </w:r>
      <w:r w:rsidRPr="0087512B">
        <w:rPr>
          <w:rStyle w:val="FootnoteReference"/>
          <w:bCs/>
          <w:sz w:val="28"/>
          <w:szCs w:val="28"/>
          <w:lang w:eastAsia="lv-LV"/>
        </w:rPr>
        <w:footnoteReference w:id="23"/>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aizliegums piedāvāt piedalīšanos azartspēlē par velti, kā dāvanu vai balvu vai kā kompensāciju par preces iegādi vai pakalpojumu saņemšanu</w:t>
      </w:r>
      <w:r w:rsidRPr="0087512B">
        <w:rPr>
          <w:rStyle w:val="FootnoteReference"/>
          <w:bCs/>
          <w:sz w:val="28"/>
          <w:szCs w:val="28"/>
          <w:lang w:eastAsia="lv-LV"/>
        </w:rPr>
        <w:footnoteReference w:id="24"/>
      </w:r>
      <w:r w:rsidRPr="0087512B">
        <w:rPr>
          <w:rFonts w:eastAsia="Times New Roman" w:cs="Times New Roman"/>
          <w:bCs/>
          <w:sz w:val="28"/>
          <w:szCs w:val="28"/>
          <w:lang w:eastAsia="lv-LV"/>
        </w:rPr>
        <w:t>;</w:t>
      </w:r>
    </w:p>
    <w:p w:rsidR="00635AFA" w:rsidRPr="0087512B" w:rsidRDefault="00635AFA" w:rsidP="000374B4">
      <w:pPr>
        <w:pStyle w:val="ListParagraph"/>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 xml:space="preserve">prasības personas aizsardzībai interaktīvajās azartspēlēs un interaktīvajās izlozēs </w:t>
      </w:r>
      <w:r w:rsidR="00610145" w:rsidRPr="0087512B">
        <w:rPr>
          <w:rFonts w:eastAsia="Times New Roman" w:cs="Times New Roman"/>
          <w:bCs/>
          <w:sz w:val="28"/>
          <w:szCs w:val="28"/>
          <w:lang w:eastAsia="lv-LV"/>
        </w:rPr>
        <w:t>–</w:t>
      </w:r>
      <w:r w:rsidRPr="0087512B">
        <w:rPr>
          <w:rFonts w:eastAsia="Times New Roman" w:cs="Times New Roman"/>
          <w:bCs/>
          <w:sz w:val="28"/>
          <w:szCs w:val="28"/>
          <w:lang w:eastAsia="lv-LV"/>
        </w:rPr>
        <w:t xml:space="preserve"> Ministru kabinets nosaka spēlētāju reģistrācijas un identitātes pārbaudes kārtību, kā arī minimālās prasības, kas jāievēro, lai novērstu no interaktīvajām azartspēlēm vai interaktīvajām izlozēm atkarīgo spēlētāju tālāku dalību azartspēlēs un izlozēs</w:t>
      </w:r>
      <w:r w:rsidRPr="0087512B">
        <w:rPr>
          <w:rStyle w:val="FootnoteReference"/>
          <w:bCs/>
          <w:sz w:val="28"/>
          <w:szCs w:val="28"/>
          <w:lang w:eastAsia="lv-LV"/>
        </w:rPr>
        <w:footnoteReference w:id="25"/>
      </w:r>
      <w:r w:rsidRPr="0087512B">
        <w:rPr>
          <w:rFonts w:eastAsia="Times New Roman" w:cs="Times New Roman"/>
          <w:bCs/>
          <w:sz w:val="28"/>
          <w:szCs w:val="28"/>
          <w:lang w:eastAsia="lv-LV"/>
        </w:rPr>
        <w:t>;</w:t>
      </w:r>
    </w:p>
    <w:p w:rsidR="00635AFA" w:rsidRPr="008E3F36" w:rsidRDefault="00635AFA" w:rsidP="000374B4">
      <w:pPr>
        <w:pStyle w:val="ListParagraph"/>
        <w:numPr>
          <w:ilvl w:val="0"/>
          <w:numId w:val="2"/>
        </w:numPr>
        <w:ind w:left="0" w:firstLine="709"/>
        <w:jc w:val="both"/>
        <w:rPr>
          <w:rFonts w:cs="Times New Roman"/>
          <w:sz w:val="28"/>
          <w:szCs w:val="28"/>
        </w:rPr>
      </w:pPr>
      <w:r w:rsidRPr="0087512B">
        <w:rPr>
          <w:rFonts w:eastAsia="Times New Roman" w:cs="Times New Roman"/>
          <w:bCs/>
          <w:sz w:val="28"/>
          <w:szCs w:val="28"/>
          <w:lang w:eastAsia="lv-LV"/>
        </w:rPr>
        <w:t>pienākums katram interaktīvās azartspēles, t.sk. derību un totalizatora, vai interaktīvās izlozes organizētājam izveidot attiecīgi interaktīvo azartspēļu vai interaktīvo izložu spēlētāju reģistru ar mērķi noteikt spēlētāju identitāti, nepieļaut nepilngadīgu personu dalību un novērst atkarīgo spēlētāju tālāku dalību interaktīvajās azartspēlēs vai interaktīvajās izlozēs</w:t>
      </w:r>
      <w:r w:rsidRPr="0087512B">
        <w:rPr>
          <w:rStyle w:val="FootnoteReference"/>
          <w:bCs/>
          <w:sz w:val="28"/>
          <w:szCs w:val="28"/>
          <w:lang w:eastAsia="lv-LV"/>
        </w:rPr>
        <w:footnoteReference w:id="26"/>
      </w:r>
      <w:r w:rsidR="008E3F36">
        <w:rPr>
          <w:rFonts w:eastAsia="Times New Roman" w:cs="Times New Roman"/>
          <w:bCs/>
          <w:sz w:val="28"/>
          <w:szCs w:val="28"/>
          <w:lang w:eastAsia="lv-LV"/>
        </w:rPr>
        <w:t>;</w:t>
      </w:r>
    </w:p>
    <w:p w:rsidR="008E3F36" w:rsidRPr="008E3F36" w:rsidRDefault="003E19CB" w:rsidP="000374B4">
      <w:pPr>
        <w:pStyle w:val="ListParagraph"/>
        <w:numPr>
          <w:ilvl w:val="0"/>
          <w:numId w:val="2"/>
        </w:numPr>
        <w:ind w:left="0" w:firstLine="709"/>
        <w:jc w:val="both"/>
        <w:rPr>
          <w:rFonts w:cs="Times New Roman"/>
          <w:color w:val="000000" w:themeColor="text1"/>
          <w:sz w:val="28"/>
          <w:szCs w:val="28"/>
        </w:rPr>
      </w:pPr>
      <w:r>
        <w:rPr>
          <w:rFonts w:cs="Times New Roman"/>
          <w:color w:val="000000" w:themeColor="text1"/>
          <w:sz w:val="28"/>
          <w:szCs w:val="28"/>
          <w:shd w:val="clear" w:color="auto" w:fill="FFFFFF"/>
        </w:rPr>
        <w:t xml:space="preserve">izveidots no azartspēlēm </w:t>
      </w:r>
      <w:r w:rsidR="008E3F36" w:rsidRPr="008E3F36">
        <w:rPr>
          <w:rFonts w:cs="Times New Roman"/>
          <w:color w:val="000000" w:themeColor="text1"/>
          <w:sz w:val="28"/>
          <w:szCs w:val="28"/>
          <w:shd w:val="clear" w:color="auto" w:fill="FFFFFF"/>
        </w:rPr>
        <w:t xml:space="preserve">pašatteikušos personu </w:t>
      </w:r>
      <w:r>
        <w:rPr>
          <w:rFonts w:cs="Times New Roman"/>
          <w:color w:val="000000" w:themeColor="text1"/>
          <w:sz w:val="28"/>
          <w:szCs w:val="28"/>
          <w:shd w:val="clear" w:color="auto" w:fill="FFFFFF"/>
        </w:rPr>
        <w:t xml:space="preserve">vienotais </w:t>
      </w:r>
      <w:r w:rsidR="008E3F36" w:rsidRPr="008E3F36">
        <w:rPr>
          <w:rFonts w:cs="Times New Roman"/>
          <w:color w:val="000000" w:themeColor="text1"/>
          <w:sz w:val="28"/>
          <w:szCs w:val="28"/>
          <w:shd w:val="clear" w:color="auto" w:fill="FFFFFF"/>
        </w:rPr>
        <w:t>reģistrs</w:t>
      </w:r>
      <w:r w:rsidR="00BB3B27">
        <w:rPr>
          <w:rFonts w:cs="Times New Roman"/>
          <w:color w:val="000000" w:themeColor="text1"/>
          <w:sz w:val="28"/>
          <w:szCs w:val="28"/>
          <w:shd w:val="clear" w:color="auto" w:fill="FFFFFF"/>
        </w:rPr>
        <w:t xml:space="preserve"> (turpmāk – </w:t>
      </w:r>
      <w:r w:rsidR="00BC5CAF">
        <w:rPr>
          <w:rFonts w:cs="Times New Roman"/>
          <w:color w:val="000000" w:themeColor="text1"/>
          <w:sz w:val="28"/>
          <w:szCs w:val="28"/>
          <w:shd w:val="clear" w:color="auto" w:fill="FFFFFF"/>
        </w:rPr>
        <w:t xml:space="preserve">pašatteikušos personu </w:t>
      </w:r>
      <w:r w:rsidR="00BB3B27">
        <w:rPr>
          <w:rFonts w:cs="Times New Roman"/>
          <w:color w:val="000000" w:themeColor="text1"/>
          <w:sz w:val="28"/>
          <w:szCs w:val="28"/>
          <w:shd w:val="clear" w:color="auto" w:fill="FFFFFF"/>
        </w:rPr>
        <w:t>reģistrs)</w:t>
      </w:r>
      <w:r w:rsidR="008E3F36" w:rsidRPr="008E3F36">
        <w:rPr>
          <w:rFonts w:cs="Times New Roman"/>
          <w:color w:val="000000" w:themeColor="text1"/>
          <w:sz w:val="28"/>
          <w:szCs w:val="28"/>
          <w:shd w:val="clear" w:color="auto" w:fill="FFFFFF"/>
        </w:rPr>
        <w:t>, kura mērķis ir aizsargāt sabiedrības intereses un fizisko personu tiesības atturēties no pārmērīgas tieksmes uz azartspēļu, tai skaitā interaktīvo azartspēļu, spēlēšanu vai piedalīšanos interaktīvajās izlozēs.</w:t>
      </w:r>
    </w:p>
    <w:p w:rsidR="00635AFA" w:rsidRPr="0087512B" w:rsidRDefault="00635AFA" w:rsidP="0087512B">
      <w:pPr>
        <w:pStyle w:val="pamattekststabul"/>
        <w:spacing w:before="0" w:beforeAutospacing="0" w:after="0" w:afterAutospacing="0"/>
        <w:ind w:firstLine="567"/>
        <w:jc w:val="both"/>
        <w:rPr>
          <w:sz w:val="28"/>
          <w:szCs w:val="28"/>
          <w:lang w:val="lv-LV"/>
        </w:rPr>
      </w:pPr>
      <w:r w:rsidRPr="0087512B">
        <w:rPr>
          <w:sz w:val="28"/>
          <w:szCs w:val="28"/>
          <w:lang w:val="lv-LV"/>
        </w:rPr>
        <w:t xml:space="preserve">Minēto pasākumu mērķis ir ierobežot azartspēļu atkarības, tādējādi mazinot to nodarīto kaitējumu indivīdam un sabiedrības veselībai, jo azartspēļu un izložu plaša pieejamība ir veicinošs faktors. </w:t>
      </w:r>
      <w:r w:rsidRPr="00F11D92">
        <w:rPr>
          <w:sz w:val="28"/>
          <w:szCs w:val="28"/>
          <w:lang w:val="lv-LV"/>
        </w:rPr>
        <w:t>P</w:t>
      </w:r>
      <w:r w:rsidRPr="0087512B">
        <w:rPr>
          <w:sz w:val="28"/>
          <w:szCs w:val="28"/>
          <w:lang w:val="lv-LV"/>
        </w:rPr>
        <w:t xml:space="preserve">apildus tam </w:t>
      </w:r>
      <w:r w:rsidR="00C60E08">
        <w:rPr>
          <w:sz w:val="28"/>
          <w:szCs w:val="28"/>
          <w:lang w:val="lv-LV"/>
        </w:rPr>
        <w:t xml:space="preserve">ir </w:t>
      </w:r>
      <w:r w:rsidRPr="0087512B">
        <w:rPr>
          <w:sz w:val="28"/>
          <w:szCs w:val="28"/>
          <w:lang w:val="lv-LV"/>
        </w:rPr>
        <w:t xml:space="preserve">nepieciešams veikt izglītojošus pasākumus, lai informētu sabiedrību par azartspēļu atkarības veidošanās mehānismu, iespējamiem riskiem, sekām, kā arī palīdzības iespējām. </w:t>
      </w:r>
    </w:p>
    <w:p w:rsidR="003725D7" w:rsidRDefault="003725D7">
      <w:pPr>
        <w:ind w:firstLine="567"/>
        <w:jc w:val="both"/>
        <w:rPr>
          <w:rFonts w:cs="Times New Roman"/>
          <w:sz w:val="28"/>
          <w:szCs w:val="28"/>
        </w:rPr>
      </w:pPr>
    </w:p>
    <w:p w:rsidR="003725D7" w:rsidRPr="007571C1" w:rsidRDefault="003725D7" w:rsidP="009E0A36">
      <w:pPr>
        <w:pStyle w:val="Heading2"/>
        <w:numPr>
          <w:ilvl w:val="1"/>
          <w:numId w:val="36"/>
        </w:numPr>
        <w:ind w:left="0" w:firstLine="0"/>
        <w:jc w:val="center"/>
        <w:rPr>
          <w:rFonts w:cs="Times New Roman"/>
          <w:b/>
          <w:sz w:val="28"/>
          <w:szCs w:val="28"/>
        </w:rPr>
      </w:pPr>
      <w:bookmarkStart w:id="19" w:name="_Toc56087180"/>
      <w:r w:rsidRPr="007571C1">
        <w:rPr>
          <w:rFonts w:ascii="Times New Roman" w:hAnsi="Times New Roman" w:cs="Times New Roman"/>
          <w:b/>
          <w:color w:val="auto"/>
          <w:sz w:val="28"/>
          <w:szCs w:val="28"/>
        </w:rPr>
        <w:lastRenderedPageBreak/>
        <w:t>Spēlētāju motivācija dalībai azartspēlēs</w:t>
      </w:r>
      <w:bookmarkEnd w:id="19"/>
    </w:p>
    <w:p w:rsidR="003725D7" w:rsidRPr="003725D7" w:rsidRDefault="003725D7" w:rsidP="007571C1">
      <w:pPr>
        <w:pStyle w:val="ListParagraph"/>
        <w:ind w:left="450"/>
        <w:jc w:val="both"/>
        <w:rPr>
          <w:rFonts w:cs="Times New Roman"/>
        </w:rPr>
      </w:pPr>
    </w:p>
    <w:p w:rsidR="003725D7" w:rsidRPr="007571C1" w:rsidRDefault="003725D7" w:rsidP="000A3334">
      <w:pPr>
        <w:ind w:firstLine="567"/>
        <w:jc w:val="both"/>
        <w:rPr>
          <w:rFonts w:cs="Times New Roman"/>
          <w:b/>
          <w:sz w:val="28"/>
          <w:szCs w:val="28"/>
        </w:rPr>
      </w:pPr>
      <w:r w:rsidRPr="007571C1">
        <w:rPr>
          <w:rFonts w:cs="Times New Roman"/>
          <w:sz w:val="28"/>
          <w:szCs w:val="28"/>
        </w:rPr>
        <w:t xml:space="preserve">Lai izstrādātu preventīvās programmas un stratēģijas azartspēļu atkarības mazināšanai, ir svarīgi </w:t>
      </w:r>
      <w:r w:rsidR="004F737D">
        <w:rPr>
          <w:rFonts w:cs="Times New Roman"/>
          <w:sz w:val="28"/>
          <w:szCs w:val="28"/>
        </w:rPr>
        <w:t>apzināt</w:t>
      </w:r>
      <w:r w:rsidRPr="007571C1">
        <w:rPr>
          <w:rFonts w:cs="Times New Roman"/>
          <w:sz w:val="28"/>
          <w:szCs w:val="28"/>
        </w:rPr>
        <w:t xml:space="preserve"> iemesl</w:t>
      </w:r>
      <w:r w:rsidR="004F737D">
        <w:rPr>
          <w:rFonts w:cs="Times New Roman"/>
          <w:sz w:val="28"/>
          <w:szCs w:val="28"/>
        </w:rPr>
        <w:t>us</w:t>
      </w:r>
      <w:r w:rsidR="00C81724">
        <w:rPr>
          <w:rFonts w:cs="Times New Roman"/>
          <w:sz w:val="28"/>
          <w:szCs w:val="28"/>
        </w:rPr>
        <w:t xml:space="preserve"> indivīda</w:t>
      </w:r>
      <w:r w:rsidRPr="007571C1">
        <w:rPr>
          <w:rFonts w:cs="Times New Roman"/>
          <w:sz w:val="28"/>
          <w:szCs w:val="28"/>
        </w:rPr>
        <w:t xml:space="preserve"> dalībai azartspēlēs.</w:t>
      </w:r>
    </w:p>
    <w:p w:rsidR="003725D7" w:rsidRPr="007571C1" w:rsidRDefault="003725D7" w:rsidP="000A3334">
      <w:pPr>
        <w:autoSpaceDE w:val="0"/>
        <w:autoSpaceDN w:val="0"/>
        <w:adjustRightInd w:val="0"/>
        <w:ind w:firstLine="567"/>
        <w:jc w:val="both"/>
        <w:rPr>
          <w:rFonts w:cs="Times New Roman"/>
          <w:color w:val="222222"/>
          <w:sz w:val="28"/>
          <w:szCs w:val="28"/>
        </w:rPr>
      </w:pPr>
      <w:r w:rsidRPr="007571C1">
        <w:rPr>
          <w:rFonts w:cs="Times New Roman"/>
          <w:sz w:val="28"/>
          <w:szCs w:val="28"/>
        </w:rPr>
        <w:t>Atbilstoši SKDS 2016.gadā veiktā pētījuma “</w:t>
      </w:r>
      <w:r w:rsidRPr="007571C1">
        <w:rPr>
          <w:rFonts w:cs="Times New Roman"/>
          <w:bCs/>
          <w:sz w:val="28"/>
          <w:szCs w:val="28"/>
        </w:rPr>
        <w:t xml:space="preserve">Latvijas iedzīvotāju attieksme pret azartspēlēm” (turpmāk </w:t>
      </w:r>
      <w:r w:rsidR="00C60E08">
        <w:rPr>
          <w:rFonts w:cs="Times New Roman"/>
          <w:bCs/>
          <w:sz w:val="28"/>
          <w:szCs w:val="28"/>
        </w:rPr>
        <w:t>–</w:t>
      </w:r>
      <w:r w:rsidRPr="007571C1">
        <w:rPr>
          <w:rFonts w:cs="Times New Roman"/>
          <w:bCs/>
          <w:sz w:val="28"/>
          <w:szCs w:val="28"/>
        </w:rPr>
        <w:t xml:space="preserve"> SKDS pētījums)</w:t>
      </w:r>
      <w:r w:rsidRPr="007571C1">
        <w:rPr>
          <w:rFonts w:cs="Times New Roman"/>
          <w:sz w:val="28"/>
          <w:szCs w:val="28"/>
        </w:rPr>
        <w:t xml:space="preserve"> rezultātiem 16% aptaujāto Latvijas iedzīvotāju vecumā no 18 līdz 74 gadiem pēdējo 12 mēnešu laikā spēlējuši jebkāda veida “zemes” azartspēles. SKDS pētījumā norādīts, ka starp tiem iedzīvotājiem, kuri pēdējo 12 mēnešu laikā ir spēlējuši azartspēles (gan internetā, gan “zemes”), </w:t>
      </w:r>
      <w:r w:rsidR="00F11D92">
        <w:rPr>
          <w:rFonts w:cs="Times New Roman"/>
          <w:sz w:val="28"/>
          <w:szCs w:val="28"/>
        </w:rPr>
        <w:t>lielāku īpatsvaru veido vīrieši</w:t>
      </w:r>
      <w:r w:rsidRPr="007571C1">
        <w:rPr>
          <w:rFonts w:cs="Times New Roman"/>
          <w:sz w:val="28"/>
          <w:szCs w:val="28"/>
        </w:rPr>
        <w:t xml:space="preserve"> vecumā līdz 34 gadiem, Vidzemes iedzīvotāji</w:t>
      </w:r>
      <w:r w:rsidR="00AE23F4">
        <w:rPr>
          <w:rFonts w:cs="Times New Roman"/>
          <w:sz w:val="28"/>
          <w:szCs w:val="28"/>
        </w:rPr>
        <w:t xml:space="preserve"> un</w:t>
      </w:r>
      <w:r w:rsidRPr="007571C1">
        <w:rPr>
          <w:rFonts w:cs="Times New Roman"/>
          <w:sz w:val="28"/>
          <w:szCs w:val="28"/>
        </w:rPr>
        <w:t xml:space="preserve"> iedzīvotāji, kuru sarunvaloda ģimenē ir latviešu valoda, kā arī iedzīvotāji ar augstiem ienākumiem. </w:t>
      </w:r>
      <w:r w:rsidRPr="007571C1">
        <w:rPr>
          <w:rFonts w:cs="Times New Roman"/>
          <w:color w:val="222222"/>
          <w:sz w:val="28"/>
          <w:szCs w:val="28"/>
        </w:rPr>
        <w:t>Vienlaikus 26% no tiem respondentiem, kuri pēdējo 12 mēnešu laikā ir spēlējuši azartspēles, bijuši gadījumi, kad spēle tik lielā mērā pārņem savā varā, ka apkārtējā pasaule uz brīdi pārstāj eksistēt</w:t>
      </w:r>
      <w:r w:rsidR="00431DA2">
        <w:rPr>
          <w:rFonts w:cs="Times New Roman"/>
          <w:color w:val="222222"/>
          <w:sz w:val="28"/>
          <w:szCs w:val="28"/>
        </w:rPr>
        <w:t>.</w:t>
      </w:r>
      <w:r w:rsidRPr="007571C1">
        <w:rPr>
          <w:rFonts w:cs="Times New Roman"/>
          <w:color w:val="222222"/>
          <w:sz w:val="28"/>
          <w:szCs w:val="28"/>
        </w:rPr>
        <w:t xml:space="preserve"> Biežāk ar šādām situācijām ir saskārušies iedzīvotāji, kuri ģimenē runā krievu valodā, kā arī iedzīvotāji vecumā no 25 līdz 54 gadiem.</w:t>
      </w:r>
    </w:p>
    <w:p w:rsidR="003725D7" w:rsidRPr="007571C1" w:rsidRDefault="003725D7" w:rsidP="000A3334">
      <w:pPr>
        <w:autoSpaceDE w:val="0"/>
        <w:autoSpaceDN w:val="0"/>
        <w:adjustRightInd w:val="0"/>
        <w:ind w:firstLine="567"/>
        <w:jc w:val="both"/>
        <w:rPr>
          <w:rFonts w:cs="Times New Roman"/>
          <w:sz w:val="28"/>
          <w:szCs w:val="28"/>
        </w:rPr>
      </w:pPr>
      <w:r w:rsidRPr="007571C1">
        <w:rPr>
          <w:rFonts w:cs="Times New Roman"/>
          <w:color w:val="222222"/>
          <w:sz w:val="28"/>
          <w:szCs w:val="28"/>
        </w:rPr>
        <w:t xml:space="preserve">SKDS pētījumā kā </w:t>
      </w:r>
      <w:r w:rsidRPr="007571C1">
        <w:rPr>
          <w:rFonts w:cs="Times New Roman"/>
          <w:sz w:val="28"/>
          <w:szCs w:val="28"/>
        </w:rPr>
        <w:t xml:space="preserve">galvenais iemesls, </w:t>
      </w:r>
      <w:r w:rsidR="00431DA2" w:rsidRPr="007571C1">
        <w:rPr>
          <w:rFonts w:cs="Times New Roman"/>
          <w:sz w:val="28"/>
          <w:szCs w:val="28"/>
        </w:rPr>
        <w:t>kā</w:t>
      </w:r>
      <w:r w:rsidR="00431DA2">
        <w:rPr>
          <w:rFonts w:cs="Times New Roman"/>
          <w:sz w:val="28"/>
          <w:szCs w:val="28"/>
        </w:rPr>
        <w:t>dēļ</w:t>
      </w:r>
      <w:r w:rsidR="00431DA2" w:rsidRPr="007571C1">
        <w:rPr>
          <w:rFonts w:cs="Times New Roman"/>
          <w:sz w:val="28"/>
          <w:szCs w:val="28"/>
        </w:rPr>
        <w:t xml:space="preserve"> </w:t>
      </w:r>
      <w:r w:rsidRPr="007571C1">
        <w:rPr>
          <w:rFonts w:cs="Times New Roman"/>
          <w:sz w:val="28"/>
          <w:szCs w:val="28"/>
        </w:rPr>
        <w:t xml:space="preserve">vairākums respondentu, kuri pēdējo 12 mēnešu laikā ir spēlējuši azartspēles, tās spēlē, ir vēlme </w:t>
      </w:r>
      <w:r w:rsidR="00431DA2">
        <w:rPr>
          <w:rFonts w:cs="Times New Roman"/>
          <w:sz w:val="28"/>
          <w:szCs w:val="28"/>
        </w:rPr>
        <w:t>laimē</w:t>
      </w:r>
      <w:r w:rsidR="00431DA2" w:rsidRPr="007571C1">
        <w:rPr>
          <w:rFonts w:cs="Times New Roman"/>
          <w:sz w:val="28"/>
          <w:szCs w:val="28"/>
        </w:rPr>
        <w:t xml:space="preserve">t </w:t>
      </w:r>
      <w:r w:rsidRPr="007571C1">
        <w:rPr>
          <w:rFonts w:cs="Times New Roman"/>
          <w:sz w:val="28"/>
          <w:szCs w:val="28"/>
        </w:rPr>
        <w:t xml:space="preserve">naudu (67%). </w:t>
      </w:r>
      <w:r w:rsidR="00431DA2">
        <w:rPr>
          <w:rFonts w:cs="Times New Roman"/>
          <w:sz w:val="28"/>
          <w:szCs w:val="28"/>
        </w:rPr>
        <w:t xml:space="preserve">Savukārt </w:t>
      </w:r>
      <w:r w:rsidRPr="007571C1">
        <w:rPr>
          <w:rFonts w:cs="Times New Roman"/>
          <w:sz w:val="28"/>
          <w:szCs w:val="28"/>
        </w:rPr>
        <w:t xml:space="preserve">43% </w:t>
      </w:r>
      <w:r w:rsidR="00431DA2">
        <w:rPr>
          <w:rFonts w:cs="Times New Roman"/>
          <w:sz w:val="28"/>
          <w:szCs w:val="28"/>
        </w:rPr>
        <w:t xml:space="preserve">aptaujāto </w:t>
      </w:r>
      <w:r w:rsidRPr="007571C1">
        <w:rPr>
          <w:rFonts w:cs="Times New Roman"/>
          <w:sz w:val="28"/>
          <w:szCs w:val="28"/>
        </w:rPr>
        <w:t xml:space="preserve">vērtē, ka tā ir laba izklaides un brīvā laika pavadīšanas iespēja, </w:t>
      </w:r>
      <w:r w:rsidR="00431DA2">
        <w:rPr>
          <w:rFonts w:cs="Times New Roman"/>
          <w:sz w:val="28"/>
          <w:szCs w:val="28"/>
        </w:rPr>
        <w:t xml:space="preserve">bet </w:t>
      </w:r>
      <w:r w:rsidRPr="007571C1">
        <w:rPr>
          <w:rFonts w:cs="Times New Roman"/>
          <w:sz w:val="28"/>
          <w:szCs w:val="28"/>
        </w:rPr>
        <w:t>24% sevi uzskata par azartisku cilvēku, kurš izjūt patīkamas emocijas spēlējot azartspēles</w:t>
      </w:r>
      <w:r w:rsidRPr="00871C12">
        <w:rPr>
          <w:rStyle w:val="FootnoteReference"/>
          <w:sz w:val="28"/>
          <w:szCs w:val="28"/>
        </w:rPr>
        <w:footnoteReference w:id="27"/>
      </w:r>
      <w:r w:rsidRPr="007571C1">
        <w:rPr>
          <w:rFonts w:cs="Times New Roman"/>
          <w:sz w:val="28"/>
          <w:szCs w:val="28"/>
        </w:rPr>
        <w:t>.</w:t>
      </w:r>
    </w:p>
    <w:p w:rsidR="003725D7" w:rsidRPr="00871C12" w:rsidRDefault="003725D7" w:rsidP="000A3334">
      <w:pPr>
        <w:pStyle w:val="Default"/>
        <w:ind w:firstLine="567"/>
        <w:jc w:val="both"/>
        <w:rPr>
          <w:sz w:val="28"/>
          <w:szCs w:val="28"/>
        </w:rPr>
      </w:pPr>
      <w:r w:rsidRPr="00871C12">
        <w:rPr>
          <w:sz w:val="28"/>
          <w:szCs w:val="28"/>
        </w:rPr>
        <w:t>Ņemot vērā, ka atbilstoši dažiem pētījumiem gados jaunāko cilvēku vidū (no 18 līdz 30 gadiem) problemātisko spēlētāju ir divreiz vairāk nekā citās grupās</w:t>
      </w:r>
      <w:r w:rsidRPr="00871C12">
        <w:rPr>
          <w:rStyle w:val="FootnoteReference"/>
          <w:rFonts w:eastAsiaTheme="majorEastAsia"/>
          <w:sz w:val="28"/>
          <w:szCs w:val="28"/>
        </w:rPr>
        <w:footnoteReference w:id="28"/>
      </w:r>
      <w:r w:rsidRPr="00871C12">
        <w:rPr>
          <w:sz w:val="28"/>
          <w:szCs w:val="28"/>
        </w:rPr>
        <w:t>, īpaša uzmanība būtu pievēršama jaunāko cilvēku motivācijai dalībai azartspēlēs. Atbilstoši pētījuma</w:t>
      </w:r>
      <w:r w:rsidRPr="00871C12">
        <w:rPr>
          <w:rStyle w:val="FootnoteReference"/>
          <w:rFonts w:eastAsiaTheme="majorEastAsia"/>
          <w:sz w:val="28"/>
          <w:szCs w:val="28"/>
        </w:rPr>
        <w:footnoteReference w:id="29"/>
      </w:r>
      <w:r w:rsidRPr="00871C12">
        <w:rPr>
          <w:sz w:val="28"/>
          <w:szCs w:val="28"/>
        </w:rPr>
        <w:t xml:space="preserve"> datiem jauniešu motivācija dalībai azartspēlēs ir </w:t>
      </w:r>
      <w:r w:rsidR="00F11D92">
        <w:rPr>
          <w:sz w:val="28"/>
          <w:szCs w:val="28"/>
        </w:rPr>
        <w:t>dažāda (</w:t>
      </w:r>
      <w:r w:rsidR="00CD398C">
        <w:rPr>
          <w:sz w:val="28"/>
          <w:szCs w:val="28"/>
        </w:rPr>
        <w:t>skat. 1.tabula).</w:t>
      </w:r>
    </w:p>
    <w:p w:rsidR="003725D7" w:rsidRPr="00871C12" w:rsidRDefault="003725D7" w:rsidP="007571C1">
      <w:pPr>
        <w:pStyle w:val="Default"/>
        <w:jc w:val="right"/>
        <w:rPr>
          <w:sz w:val="28"/>
          <w:szCs w:val="28"/>
        </w:rPr>
      </w:pPr>
      <w:r w:rsidRPr="007571C1">
        <w:rPr>
          <w:sz w:val="28"/>
          <w:szCs w:val="28"/>
        </w:rPr>
        <w:t>1</w:t>
      </w:r>
      <w:r w:rsidRPr="004324A6">
        <w:rPr>
          <w:sz w:val="28"/>
          <w:szCs w:val="28"/>
        </w:rPr>
        <w:t>.tabula</w:t>
      </w:r>
    </w:p>
    <w:p w:rsidR="003725D7" w:rsidRPr="0008597D" w:rsidRDefault="003725D7" w:rsidP="007571C1">
      <w:pPr>
        <w:pStyle w:val="Default"/>
        <w:ind w:left="1868"/>
        <w:rPr>
          <w:sz w:val="28"/>
          <w:szCs w:val="28"/>
        </w:rPr>
      </w:pPr>
      <w:r w:rsidRPr="00871C12">
        <w:rPr>
          <w:sz w:val="28"/>
          <w:szCs w:val="28"/>
        </w:rPr>
        <w:t xml:space="preserve">Azartspēļu dalībnieku motivācija </w:t>
      </w:r>
      <w:r w:rsidRPr="0008597D">
        <w:rPr>
          <w:sz w:val="28"/>
          <w:szCs w:val="28"/>
        </w:rPr>
        <w:t>dalībai spēlē</w:t>
      </w:r>
    </w:p>
    <w:tbl>
      <w:tblPr>
        <w:tblStyle w:val="TableGrid"/>
        <w:tblW w:w="8359" w:type="dxa"/>
        <w:jc w:val="center"/>
        <w:tblLook w:val="04A0" w:firstRow="1" w:lastRow="0" w:firstColumn="1" w:lastColumn="0" w:noHBand="0" w:noVBand="1"/>
      </w:tblPr>
      <w:tblGrid>
        <w:gridCol w:w="6232"/>
        <w:gridCol w:w="2127"/>
      </w:tblGrid>
      <w:tr w:rsidR="00A14EEF" w:rsidRPr="00B80E6E" w:rsidTr="00CB3E6C">
        <w:trPr>
          <w:trHeight w:val="530"/>
          <w:jc w:val="center"/>
        </w:trPr>
        <w:tc>
          <w:tcPr>
            <w:tcW w:w="6232" w:type="dxa"/>
          </w:tcPr>
          <w:p w:rsidR="00A14EEF" w:rsidRPr="00505C37" w:rsidRDefault="00A14EEF" w:rsidP="008C64AF">
            <w:pPr>
              <w:pStyle w:val="Default"/>
              <w:jc w:val="both"/>
              <w:rPr>
                <w:sz w:val="28"/>
                <w:szCs w:val="28"/>
              </w:rPr>
            </w:pPr>
            <w:r w:rsidRPr="0008597D">
              <w:rPr>
                <w:sz w:val="28"/>
                <w:szCs w:val="28"/>
              </w:rPr>
              <w:t xml:space="preserve">Motivācijas kategorija </w:t>
            </w:r>
          </w:p>
        </w:tc>
        <w:tc>
          <w:tcPr>
            <w:tcW w:w="2127" w:type="dxa"/>
          </w:tcPr>
          <w:p w:rsidR="00A14EEF" w:rsidRPr="0008597D" w:rsidRDefault="00A14EEF" w:rsidP="008C64AF">
            <w:pPr>
              <w:pStyle w:val="Default"/>
              <w:jc w:val="both"/>
              <w:rPr>
                <w:sz w:val="28"/>
                <w:szCs w:val="28"/>
              </w:rPr>
            </w:pPr>
            <w:r w:rsidRPr="00044461">
              <w:rPr>
                <w:sz w:val="28"/>
                <w:szCs w:val="28"/>
              </w:rPr>
              <w:t>M</w:t>
            </w:r>
            <w:r w:rsidRPr="0008597D">
              <w:rPr>
                <w:sz w:val="28"/>
                <w:szCs w:val="28"/>
              </w:rPr>
              <w:t xml:space="preserve">otivācija </w:t>
            </w:r>
          </w:p>
        </w:tc>
      </w:tr>
      <w:tr w:rsidR="00A14EEF" w:rsidRPr="00B80E6E" w:rsidTr="00CB3E6C">
        <w:trPr>
          <w:trHeight w:val="280"/>
          <w:jc w:val="center"/>
        </w:trPr>
        <w:tc>
          <w:tcPr>
            <w:tcW w:w="6232" w:type="dxa"/>
          </w:tcPr>
          <w:p w:rsidR="00A14EEF" w:rsidRPr="00871C12" w:rsidRDefault="00A14EEF" w:rsidP="008C64AF">
            <w:pPr>
              <w:pStyle w:val="Default"/>
              <w:jc w:val="both"/>
              <w:rPr>
                <w:sz w:val="28"/>
                <w:szCs w:val="28"/>
              </w:rPr>
            </w:pPr>
            <w:r w:rsidRPr="00871C12">
              <w:rPr>
                <w:rFonts w:eastAsia="Calibri"/>
                <w:sz w:val="28"/>
                <w:szCs w:val="28"/>
              </w:rPr>
              <w:t>Lai laimētu naudu</w:t>
            </w:r>
          </w:p>
        </w:tc>
        <w:tc>
          <w:tcPr>
            <w:tcW w:w="2127" w:type="dxa"/>
          </w:tcPr>
          <w:p w:rsidR="00A14EEF" w:rsidRPr="00871C12" w:rsidRDefault="00A14EEF" w:rsidP="008C64AF">
            <w:pPr>
              <w:pStyle w:val="Default"/>
              <w:jc w:val="both"/>
              <w:rPr>
                <w:sz w:val="28"/>
                <w:szCs w:val="28"/>
              </w:rPr>
            </w:pPr>
            <w:r w:rsidRPr="00871C12">
              <w:rPr>
                <w:sz w:val="28"/>
                <w:szCs w:val="28"/>
              </w:rPr>
              <w:t>42,7%</w:t>
            </w:r>
          </w:p>
        </w:tc>
      </w:tr>
      <w:tr w:rsidR="00A14EEF" w:rsidRPr="00B80E6E" w:rsidTr="00CB3E6C">
        <w:trPr>
          <w:trHeight w:val="265"/>
          <w:jc w:val="center"/>
        </w:trPr>
        <w:tc>
          <w:tcPr>
            <w:tcW w:w="6232" w:type="dxa"/>
          </w:tcPr>
          <w:p w:rsidR="00A14EEF" w:rsidRPr="00871C12" w:rsidRDefault="0082212A" w:rsidP="008C64AF">
            <w:pPr>
              <w:pStyle w:val="Default"/>
              <w:jc w:val="both"/>
              <w:rPr>
                <w:sz w:val="28"/>
                <w:szCs w:val="28"/>
              </w:rPr>
            </w:pPr>
            <w:r>
              <w:rPr>
                <w:rFonts w:eastAsia="Calibri"/>
                <w:sz w:val="28"/>
                <w:szCs w:val="28"/>
              </w:rPr>
              <w:t>T</w:t>
            </w:r>
            <w:r w:rsidR="00A14EEF" w:rsidRPr="00871C12">
              <w:rPr>
                <w:rFonts w:eastAsia="Calibri"/>
                <w:sz w:val="28"/>
                <w:szCs w:val="28"/>
              </w:rPr>
              <w:t>as ir izklaidējoši, jautri</w:t>
            </w:r>
          </w:p>
        </w:tc>
        <w:tc>
          <w:tcPr>
            <w:tcW w:w="2127" w:type="dxa"/>
          </w:tcPr>
          <w:p w:rsidR="00A14EEF" w:rsidRPr="00871C12" w:rsidRDefault="00A14EEF" w:rsidP="008C64AF">
            <w:pPr>
              <w:pStyle w:val="Default"/>
              <w:jc w:val="both"/>
              <w:rPr>
                <w:sz w:val="28"/>
                <w:szCs w:val="28"/>
              </w:rPr>
            </w:pPr>
            <w:r w:rsidRPr="00871C12">
              <w:rPr>
                <w:sz w:val="28"/>
                <w:szCs w:val="28"/>
              </w:rPr>
              <w:t>23,0%</w:t>
            </w:r>
          </w:p>
        </w:tc>
      </w:tr>
      <w:tr w:rsidR="00A14EEF" w:rsidRPr="00B80E6E" w:rsidTr="0056099B">
        <w:trPr>
          <w:trHeight w:val="599"/>
          <w:jc w:val="center"/>
        </w:trPr>
        <w:tc>
          <w:tcPr>
            <w:tcW w:w="6232" w:type="dxa"/>
          </w:tcPr>
          <w:p w:rsidR="00A14EEF" w:rsidRPr="00871C12" w:rsidRDefault="00A14EEF" w:rsidP="008C64AF">
            <w:pPr>
              <w:pStyle w:val="Default"/>
              <w:jc w:val="both"/>
              <w:rPr>
                <w:sz w:val="28"/>
                <w:szCs w:val="28"/>
              </w:rPr>
            </w:pPr>
            <w:r w:rsidRPr="00871C12">
              <w:rPr>
                <w:rFonts w:eastAsia="Calibri"/>
                <w:sz w:val="28"/>
                <w:szCs w:val="28"/>
              </w:rPr>
              <w:t>Šādā veidā es pavadu laiku ar draugiem vai ģimeni (socializācija)</w:t>
            </w:r>
          </w:p>
        </w:tc>
        <w:tc>
          <w:tcPr>
            <w:tcW w:w="2127" w:type="dxa"/>
          </w:tcPr>
          <w:p w:rsidR="00A14EEF" w:rsidRPr="00871C12" w:rsidRDefault="00A14EEF" w:rsidP="008C64AF">
            <w:pPr>
              <w:pStyle w:val="Default"/>
              <w:jc w:val="both"/>
              <w:rPr>
                <w:sz w:val="28"/>
                <w:szCs w:val="28"/>
              </w:rPr>
            </w:pPr>
            <w:r w:rsidRPr="00871C12">
              <w:rPr>
                <w:sz w:val="28"/>
                <w:szCs w:val="28"/>
              </w:rPr>
              <w:t>11,2%</w:t>
            </w:r>
          </w:p>
        </w:tc>
      </w:tr>
      <w:tr w:rsidR="00A14EEF" w:rsidRPr="00B80E6E" w:rsidTr="00CB3E6C">
        <w:trPr>
          <w:trHeight w:val="545"/>
          <w:jc w:val="center"/>
        </w:trPr>
        <w:tc>
          <w:tcPr>
            <w:tcW w:w="6232" w:type="dxa"/>
          </w:tcPr>
          <w:p w:rsidR="00A14EEF" w:rsidRPr="00871C12" w:rsidRDefault="00A14EEF" w:rsidP="00F11D92">
            <w:pPr>
              <w:pStyle w:val="Default"/>
              <w:jc w:val="both"/>
              <w:rPr>
                <w:sz w:val="28"/>
                <w:szCs w:val="28"/>
              </w:rPr>
            </w:pPr>
            <w:r w:rsidRPr="00871C12">
              <w:rPr>
                <w:sz w:val="28"/>
                <w:szCs w:val="28"/>
              </w:rPr>
              <w:t>Aizrautība</w:t>
            </w:r>
            <w:r w:rsidR="00F11D92">
              <w:rPr>
                <w:sz w:val="28"/>
                <w:szCs w:val="28"/>
              </w:rPr>
              <w:t xml:space="preserve"> </w:t>
            </w:r>
            <w:r w:rsidRPr="00871C12">
              <w:rPr>
                <w:sz w:val="28"/>
                <w:szCs w:val="28"/>
              </w:rPr>
              <w:t>(uzbudinājums), azarts</w:t>
            </w:r>
          </w:p>
        </w:tc>
        <w:tc>
          <w:tcPr>
            <w:tcW w:w="2127" w:type="dxa"/>
          </w:tcPr>
          <w:p w:rsidR="00A14EEF" w:rsidRPr="00871C12" w:rsidRDefault="00A14EEF" w:rsidP="008C64AF">
            <w:pPr>
              <w:pStyle w:val="Default"/>
              <w:jc w:val="both"/>
              <w:rPr>
                <w:sz w:val="28"/>
                <w:szCs w:val="28"/>
              </w:rPr>
            </w:pPr>
            <w:r w:rsidRPr="00871C12">
              <w:rPr>
                <w:sz w:val="28"/>
                <w:szCs w:val="28"/>
              </w:rPr>
              <w:t>7,3%</w:t>
            </w:r>
          </w:p>
        </w:tc>
      </w:tr>
      <w:tr w:rsidR="00A14EEF" w:rsidRPr="00B80E6E" w:rsidTr="0056099B">
        <w:trPr>
          <w:trHeight w:val="407"/>
          <w:jc w:val="center"/>
        </w:trPr>
        <w:tc>
          <w:tcPr>
            <w:tcW w:w="6232" w:type="dxa"/>
          </w:tcPr>
          <w:p w:rsidR="00A14EEF" w:rsidRPr="00871C12" w:rsidRDefault="00A14EEF" w:rsidP="008C64AF">
            <w:pPr>
              <w:pStyle w:val="Default"/>
              <w:jc w:val="both"/>
              <w:rPr>
                <w:sz w:val="28"/>
                <w:szCs w:val="28"/>
              </w:rPr>
            </w:pPr>
            <w:r w:rsidRPr="00871C12">
              <w:rPr>
                <w:sz w:val="28"/>
                <w:szCs w:val="28"/>
              </w:rPr>
              <w:lastRenderedPageBreak/>
              <w:t>Garlaicībā (nav alternatīva izklaides veida)</w:t>
            </w:r>
          </w:p>
        </w:tc>
        <w:tc>
          <w:tcPr>
            <w:tcW w:w="2127" w:type="dxa"/>
          </w:tcPr>
          <w:p w:rsidR="00A14EEF" w:rsidRPr="00871C12" w:rsidRDefault="00A14EEF" w:rsidP="008C64AF">
            <w:pPr>
              <w:pStyle w:val="Default"/>
              <w:jc w:val="both"/>
              <w:rPr>
                <w:sz w:val="28"/>
                <w:szCs w:val="28"/>
              </w:rPr>
            </w:pPr>
            <w:r w:rsidRPr="00871C12">
              <w:rPr>
                <w:sz w:val="28"/>
                <w:szCs w:val="28"/>
              </w:rPr>
              <w:t>2,8%</w:t>
            </w:r>
          </w:p>
        </w:tc>
      </w:tr>
      <w:tr w:rsidR="00A14EEF" w:rsidRPr="00B80E6E" w:rsidTr="0056099B">
        <w:trPr>
          <w:trHeight w:val="429"/>
          <w:jc w:val="center"/>
        </w:trPr>
        <w:tc>
          <w:tcPr>
            <w:tcW w:w="6232" w:type="dxa"/>
          </w:tcPr>
          <w:p w:rsidR="00A14EEF" w:rsidRPr="00871C12" w:rsidRDefault="00C82657" w:rsidP="008C64AF">
            <w:pPr>
              <w:pStyle w:val="Default"/>
              <w:jc w:val="both"/>
              <w:rPr>
                <w:sz w:val="28"/>
                <w:szCs w:val="28"/>
              </w:rPr>
            </w:pPr>
            <w:r>
              <w:rPr>
                <w:rFonts w:eastAsia="Calibri"/>
                <w:sz w:val="28"/>
                <w:szCs w:val="28"/>
              </w:rPr>
              <w:t>U</w:t>
            </w:r>
            <w:r w:rsidR="00A14EEF" w:rsidRPr="00871C12">
              <w:rPr>
                <w:rFonts w:eastAsia="Calibri"/>
                <w:sz w:val="28"/>
                <w:szCs w:val="28"/>
              </w:rPr>
              <w:t>zvaras sniedz panākumu sajūtu</w:t>
            </w:r>
          </w:p>
        </w:tc>
        <w:tc>
          <w:tcPr>
            <w:tcW w:w="2127" w:type="dxa"/>
          </w:tcPr>
          <w:p w:rsidR="00A14EEF" w:rsidRPr="00871C12" w:rsidRDefault="00A14EEF" w:rsidP="008C64AF">
            <w:pPr>
              <w:pStyle w:val="Default"/>
              <w:jc w:val="both"/>
              <w:rPr>
                <w:sz w:val="28"/>
                <w:szCs w:val="28"/>
              </w:rPr>
            </w:pPr>
            <w:r w:rsidRPr="00871C12">
              <w:rPr>
                <w:sz w:val="28"/>
                <w:szCs w:val="28"/>
              </w:rPr>
              <w:t>3,9%</w:t>
            </w:r>
          </w:p>
        </w:tc>
      </w:tr>
      <w:tr w:rsidR="00A14EEF" w:rsidRPr="00B80E6E" w:rsidTr="00CB3E6C">
        <w:trPr>
          <w:trHeight w:val="265"/>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 xml:space="preserve">Pūļa efekts </w:t>
            </w:r>
          </w:p>
        </w:tc>
        <w:tc>
          <w:tcPr>
            <w:tcW w:w="2127" w:type="dxa"/>
          </w:tcPr>
          <w:p w:rsidR="00A14EEF" w:rsidRPr="00871C12" w:rsidRDefault="00A14EEF" w:rsidP="008C64AF">
            <w:pPr>
              <w:pStyle w:val="Default"/>
              <w:jc w:val="both"/>
              <w:rPr>
                <w:sz w:val="28"/>
                <w:szCs w:val="28"/>
              </w:rPr>
            </w:pPr>
            <w:r w:rsidRPr="00871C12">
              <w:rPr>
                <w:sz w:val="28"/>
                <w:szCs w:val="28"/>
              </w:rPr>
              <w:t>0,0%</w:t>
            </w:r>
          </w:p>
        </w:tc>
      </w:tr>
      <w:tr w:rsidR="00A14EEF" w:rsidRPr="00B80E6E" w:rsidTr="003A3838">
        <w:trPr>
          <w:trHeight w:val="561"/>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Lai sacenstos ar citiem (ar bukmeikeri, ar citiem spēlētājiem)</w:t>
            </w:r>
          </w:p>
        </w:tc>
        <w:tc>
          <w:tcPr>
            <w:tcW w:w="2127" w:type="dxa"/>
          </w:tcPr>
          <w:p w:rsidR="00A14EEF" w:rsidRPr="00871C12" w:rsidRDefault="00A14EEF" w:rsidP="008C64AF">
            <w:pPr>
              <w:pStyle w:val="Default"/>
              <w:jc w:val="both"/>
              <w:rPr>
                <w:sz w:val="28"/>
                <w:szCs w:val="28"/>
              </w:rPr>
            </w:pPr>
            <w:r w:rsidRPr="00871C12">
              <w:rPr>
                <w:sz w:val="28"/>
                <w:szCs w:val="28"/>
              </w:rPr>
              <w:t>3,4%</w:t>
            </w:r>
          </w:p>
        </w:tc>
      </w:tr>
      <w:tr w:rsidR="00A14EEF" w:rsidRPr="00B80E6E" w:rsidTr="00CB3E6C">
        <w:trPr>
          <w:trHeight w:val="265"/>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 xml:space="preserve">Riska izjūtas </w:t>
            </w:r>
          </w:p>
        </w:tc>
        <w:tc>
          <w:tcPr>
            <w:tcW w:w="2127" w:type="dxa"/>
          </w:tcPr>
          <w:p w:rsidR="00A14EEF" w:rsidRPr="00871C12" w:rsidRDefault="00A14EEF" w:rsidP="008C64AF">
            <w:pPr>
              <w:pStyle w:val="Default"/>
              <w:jc w:val="both"/>
              <w:rPr>
                <w:sz w:val="28"/>
                <w:szCs w:val="28"/>
              </w:rPr>
            </w:pPr>
            <w:r w:rsidRPr="00871C12">
              <w:rPr>
                <w:sz w:val="28"/>
                <w:szCs w:val="28"/>
              </w:rPr>
              <w:t>2,2%</w:t>
            </w:r>
          </w:p>
        </w:tc>
      </w:tr>
      <w:tr w:rsidR="00A14EEF" w:rsidRPr="00B80E6E" w:rsidTr="00CB3E6C">
        <w:trPr>
          <w:trHeight w:val="265"/>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 xml:space="preserve">Hobijs </w:t>
            </w:r>
          </w:p>
        </w:tc>
        <w:tc>
          <w:tcPr>
            <w:tcW w:w="2127" w:type="dxa"/>
          </w:tcPr>
          <w:p w:rsidR="00A14EEF" w:rsidRPr="00871C12" w:rsidRDefault="00A14EEF" w:rsidP="008C64AF">
            <w:pPr>
              <w:pStyle w:val="Default"/>
              <w:jc w:val="both"/>
              <w:rPr>
                <w:sz w:val="28"/>
                <w:szCs w:val="28"/>
              </w:rPr>
            </w:pPr>
            <w:r w:rsidRPr="00871C12">
              <w:rPr>
                <w:sz w:val="28"/>
                <w:szCs w:val="28"/>
              </w:rPr>
              <w:t>1,7%</w:t>
            </w:r>
          </w:p>
        </w:tc>
      </w:tr>
      <w:tr w:rsidR="00A14EEF" w:rsidRPr="00B80E6E" w:rsidTr="00CB3E6C">
        <w:trPr>
          <w:trHeight w:val="265"/>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Iemaņu iegūšana</w:t>
            </w:r>
          </w:p>
        </w:tc>
        <w:tc>
          <w:tcPr>
            <w:tcW w:w="2127" w:type="dxa"/>
          </w:tcPr>
          <w:p w:rsidR="00A14EEF" w:rsidRPr="00871C12" w:rsidRDefault="00A14EEF" w:rsidP="008C64AF">
            <w:pPr>
              <w:pStyle w:val="Default"/>
              <w:jc w:val="both"/>
              <w:rPr>
                <w:sz w:val="28"/>
                <w:szCs w:val="28"/>
              </w:rPr>
            </w:pPr>
            <w:r w:rsidRPr="00871C12">
              <w:rPr>
                <w:sz w:val="28"/>
                <w:szCs w:val="28"/>
              </w:rPr>
              <w:t>1,1%</w:t>
            </w:r>
          </w:p>
        </w:tc>
      </w:tr>
      <w:tr w:rsidR="00A14EEF" w:rsidRPr="00B80E6E" w:rsidTr="003A3838">
        <w:trPr>
          <w:trHeight w:val="278"/>
          <w:jc w:val="center"/>
        </w:trPr>
        <w:tc>
          <w:tcPr>
            <w:tcW w:w="6232" w:type="dxa"/>
          </w:tcPr>
          <w:p w:rsidR="00A14EEF" w:rsidRPr="00871C12" w:rsidRDefault="00A14EEF" w:rsidP="008C64AF">
            <w:pPr>
              <w:pStyle w:val="Default"/>
              <w:jc w:val="both"/>
              <w:rPr>
                <w:rFonts w:eastAsia="Calibri"/>
                <w:sz w:val="28"/>
                <w:szCs w:val="28"/>
              </w:rPr>
            </w:pPr>
            <w:r w:rsidRPr="00871C12">
              <w:rPr>
                <w:rFonts w:eastAsia="Calibri"/>
                <w:sz w:val="28"/>
                <w:szCs w:val="28"/>
              </w:rPr>
              <w:t>Tas palīdz atslābināties, kad jūtos saspringts</w:t>
            </w:r>
          </w:p>
        </w:tc>
        <w:tc>
          <w:tcPr>
            <w:tcW w:w="2127" w:type="dxa"/>
          </w:tcPr>
          <w:p w:rsidR="00A14EEF" w:rsidRPr="00871C12" w:rsidRDefault="00A14EEF" w:rsidP="008C64AF">
            <w:pPr>
              <w:pStyle w:val="Default"/>
              <w:jc w:val="both"/>
              <w:rPr>
                <w:sz w:val="28"/>
                <w:szCs w:val="28"/>
              </w:rPr>
            </w:pPr>
            <w:r w:rsidRPr="00871C12">
              <w:rPr>
                <w:sz w:val="28"/>
                <w:szCs w:val="28"/>
              </w:rPr>
              <w:t>0,0%</w:t>
            </w:r>
          </w:p>
        </w:tc>
      </w:tr>
    </w:tbl>
    <w:p w:rsidR="003725D7" w:rsidRPr="003725D7" w:rsidRDefault="003725D7" w:rsidP="007571C1">
      <w:pPr>
        <w:pStyle w:val="ListParagraph"/>
        <w:ind w:left="450"/>
        <w:jc w:val="both"/>
        <w:rPr>
          <w:rFonts w:cs="Times New Roman"/>
          <w:sz w:val="28"/>
          <w:szCs w:val="28"/>
        </w:rPr>
      </w:pPr>
    </w:p>
    <w:p w:rsidR="003725D7" w:rsidRPr="007571C1" w:rsidRDefault="003725D7" w:rsidP="000A3334">
      <w:pPr>
        <w:autoSpaceDE w:val="0"/>
        <w:autoSpaceDN w:val="0"/>
        <w:adjustRightInd w:val="0"/>
        <w:ind w:firstLine="567"/>
        <w:jc w:val="both"/>
        <w:rPr>
          <w:rFonts w:cs="Times New Roman"/>
          <w:color w:val="000000"/>
          <w:sz w:val="28"/>
          <w:szCs w:val="28"/>
        </w:rPr>
      </w:pPr>
      <w:r w:rsidRPr="007571C1">
        <w:rPr>
          <w:rFonts w:cs="Times New Roman"/>
          <w:color w:val="000000"/>
          <w:sz w:val="28"/>
          <w:szCs w:val="28"/>
        </w:rPr>
        <w:t xml:space="preserve">Atbilstoši </w:t>
      </w:r>
      <w:r w:rsidR="00E03935">
        <w:rPr>
          <w:rFonts w:cs="Times New Roman"/>
          <w:color w:val="000000"/>
          <w:sz w:val="28"/>
          <w:szCs w:val="28"/>
        </w:rPr>
        <w:t xml:space="preserve">Latvijas </w:t>
      </w:r>
      <w:r w:rsidR="00CD398C">
        <w:rPr>
          <w:rFonts w:cs="Times New Roman"/>
          <w:sz w:val="28"/>
          <w:szCs w:val="28"/>
        </w:rPr>
        <w:t>p</w:t>
      </w:r>
      <w:r w:rsidR="00E03935">
        <w:rPr>
          <w:rFonts w:cs="Times New Roman"/>
          <w:sz w:val="28"/>
          <w:szCs w:val="28"/>
        </w:rPr>
        <w:t>ētījuma par procesu atkarībām</w:t>
      </w:r>
      <w:r w:rsidR="00CD1AF2">
        <w:rPr>
          <w:rStyle w:val="FootnoteReference"/>
          <w:sz w:val="28"/>
          <w:szCs w:val="28"/>
        </w:rPr>
        <w:footnoteReference w:id="30"/>
      </w:r>
      <w:r w:rsidR="00E03935" w:rsidRPr="003725D7">
        <w:rPr>
          <w:rFonts w:cs="Times New Roman"/>
          <w:color w:val="000000"/>
          <w:sz w:val="28"/>
          <w:szCs w:val="28"/>
        </w:rPr>
        <w:t xml:space="preserve"> </w:t>
      </w:r>
      <w:r w:rsidRPr="007571C1">
        <w:rPr>
          <w:rFonts w:cs="Times New Roman"/>
          <w:color w:val="000000"/>
          <w:sz w:val="28"/>
          <w:szCs w:val="28"/>
        </w:rPr>
        <w:t>datiem</w:t>
      </w:r>
      <w:r w:rsidR="00CD398C">
        <w:rPr>
          <w:rFonts w:cs="Times New Roman"/>
          <w:color w:val="000000"/>
          <w:sz w:val="28"/>
          <w:szCs w:val="28"/>
        </w:rPr>
        <w:t>,</w:t>
      </w:r>
      <w:r w:rsidRPr="007571C1">
        <w:rPr>
          <w:rFonts w:cs="Times New Roman"/>
          <w:color w:val="000000"/>
          <w:sz w:val="28"/>
          <w:szCs w:val="28"/>
        </w:rPr>
        <w:t xml:space="preserve"> bez tā, ka uzvaras sniedz panākumu sajūtu, spēļu automātu spēlētāji</w:t>
      </w:r>
      <w:r w:rsidR="00A92098">
        <w:rPr>
          <w:rFonts w:cs="Times New Roman"/>
          <w:color w:val="000000"/>
          <w:sz w:val="28"/>
          <w:szCs w:val="28"/>
        </w:rPr>
        <w:t xml:space="preserve"> uz citu spēlētāju fona</w:t>
      </w:r>
      <w:r w:rsidRPr="007571C1">
        <w:rPr>
          <w:rFonts w:cs="Times New Roman"/>
          <w:color w:val="000000"/>
          <w:sz w:val="28"/>
          <w:szCs w:val="28"/>
        </w:rPr>
        <w:t xml:space="preserve"> izceļas arī ar biežākām atbildēm, ka spēlēšana palīdz atslābināties</w:t>
      </w:r>
      <w:r w:rsidR="00A5735B">
        <w:rPr>
          <w:rFonts w:cs="Times New Roman"/>
          <w:color w:val="000000"/>
          <w:sz w:val="28"/>
          <w:szCs w:val="28"/>
        </w:rPr>
        <w:t xml:space="preserve">, </w:t>
      </w:r>
      <w:r w:rsidRPr="007571C1">
        <w:rPr>
          <w:rFonts w:cs="Times New Roman"/>
          <w:color w:val="000000"/>
          <w:sz w:val="28"/>
          <w:szCs w:val="28"/>
        </w:rPr>
        <w:t>sniedz prāta izaicinājumu (īpaši, ja ir runa par spēlēšanu internetā). Savukārt retāk nekā citu spēļu veidu spēlētājiem sniegta atbilde, ka šādā veidā viņi pavada laiku ar draugiem vai ģimeni. Acīmredzot</w:t>
      </w:r>
      <w:r w:rsidR="00C2367F">
        <w:rPr>
          <w:rFonts w:cs="Times New Roman"/>
          <w:color w:val="000000"/>
          <w:sz w:val="28"/>
          <w:szCs w:val="28"/>
        </w:rPr>
        <w:t>,</w:t>
      </w:r>
      <w:r w:rsidRPr="007571C1">
        <w:rPr>
          <w:rFonts w:cs="Times New Roman"/>
          <w:color w:val="000000"/>
          <w:sz w:val="28"/>
          <w:szCs w:val="28"/>
        </w:rPr>
        <w:t xml:space="preserve"> te spēļu automāts tiek zināmā mērā personificēts – ar automātu tiek kopā pavadīts laiks, bet tā apmānīšana sniedz prāta izaicinājumu un tamlīdzīgas sajūtas. Interneta gadījumā automāta personificēšana pēc pieejamās informācijas ir vēl izteiktāka</w:t>
      </w:r>
      <w:r w:rsidR="002912A0">
        <w:rPr>
          <w:rFonts w:cs="Times New Roman"/>
          <w:color w:val="000000"/>
          <w:sz w:val="28"/>
          <w:szCs w:val="28"/>
        </w:rPr>
        <w:t>.</w:t>
      </w:r>
      <w:r w:rsidRPr="007571C1">
        <w:rPr>
          <w:rFonts w:cs="Times New Roman"/>
          <w:color w:val="000000"/>
          <w:sz w:val="28"/>
          <w:szCs w:val="28"/>
        </w:rPr>
        <w:t xml:space="preserve"> </w:t>
      </w:r>
      <w:r w:rsidR="002912A0">
        <w:rPr>
          <w:rFonts w:cs="Times New Roman"/>
          <w:color w:val="000000"/>
          <w:sz w:val="28"/>
          <w:szCs w:val="28"/>
        </w:rPr>
        <w:t>T</w:t>
      </w:r>
      <w:r w:rsidRPr="007571C1">
        <w:rPr>
          <w:rFonts w:cs="Times New Roman"/>
          <w:color w:val="000000"/>
          <w:sz w:val="28"/>
          <w:szCs w:val="28"/>
        </w:rPr>
        <w:t>ie, kas spēļu automātus spēlē internetā, retāk par citiem spēlētājiem izvēlējušies atbildes, ka viņi šādā veidā cer laimēt lielu naudu, kā arī</w:t>
      </w:r>
      <w:r w:rsidR="00684A4F">
        <w:rPr>
          <w:rFonts w:cs="Times New Roman"/>
          <w:color w:val="000000"/>
          <w:sz w:val="28"/>
          <w:szCs w:val="28"/>
        </w:rPr>
        <w:t>,</w:t>
      </w:r>
      <w:r w:rsidR="00B06390">
        <w:rPr>
          <w:rFonts w:cs="Times New Roman"/>
          <w:color w:val="000000"/>
          <w:sz w:val="28"/>
          <w:szCs w:val="28"/>
        </w:rPr>
        <w:t xml:space="preserve"> </w:t>
      </w:r>
      <w:r w:rsidRPr="007571C1">
        <w:rPr>
          <w:rFonts w:cs="Times New Roman"/>
          <w:color w:val="000000"/>
          <w:sz w:val="28"/>
          <w:szCs w:val="28"/>
        </w:rPr>
        <w:t xml:space="preserve">ka tā viņi sacenšas ar citiem cilvēkiem vai mēģina atstāt uz tiem iespaidu. </w:t>
      </w:r>
    </w:p>
    <w:p w:rsidR="003725D7" w:rsidRPr="007571C1" w:rsidRDefault="003725D7" w:rsidP="000A3334">
      <w:pPr>
        <w:ind w:firstLine="567"/>
        <w:jc w:val="both"/>
        <w:rPr>
          <w:rFonts w:cs="Times New Roman"/>
          <w:color w:val="000000"/>
          <w:sz w:val="28"/>
          <w:szCs w:val="28"/>
        </w:rPr>
      </w:pPr>
      <w:r w:rsidRPr="007571C1">
        <w:rPr>
          <w:rFonts w:cs="Times New Roman"/>
          <w:color w:val="000000"/>
          <w:sz w:val="28"/>
          <w:szCs w:val="28"/>
        </w:rPr>
        <w:t>Kvalitatīvie dati lielā mērā apstiprina kvantitatīvos rādījumus par emocionālā stāvokļa nozīmi spēlēšanas motivācijā, taču interviju dalībnieki uzsver tieši ar azartu saistīto sajūtu nozīmi spēlēšanas procesā. Spēlējošās personas bieži apzinās, ka šī veida sajūtas viņos raisa uzmācīgu nepieciešamību turpināt spēli, taču pietrūkst resursu kā šīs sajūtas pārvarēt.</w:t>
      </w:r>
    </w:p>
    <w:p w:rsidR="003725D7" w:rsidRPr="007571C1" w:rsidRDefault="00EA2741" w:rsidP="000A3334">
      <w:pPr>
        <w:ind w:firstLine="567"/>
        <w:jc w:val="both"/>
        <w:rPr>
          <w:rFonts w:cs="Times New Roman"/>
          <w:sz w:val="28"/>
          <w:szCs w:val="28"/>
        </w:rPr>
      </w:pPr>
      <w:r>
        <w:rPr>
          <w:rFonts w:cs="Times New Roman"/>
          <w:sz w:val="28"/>
          <w:szCs w:val="28"/>
        </w:rPr>
        <w:t>A</w:t>
      </w:r>
      <w:r w:rsidR="00A92098">
        <w:rPr>
          <w:rFonts w:cs="Times New Roman"/>
          <w:sz w:val="28"/>
          <w:szCs w:val="28"/>
        </w:rPr>
        <w:t>z</w:t>
      </w:r>
      <w:r w:rsidR="003725D7" w:rsidRPr="007571C1">
        <w:rPr>
          <w:rFonts w:cs="Times New Roman"/>
          <w:sz w:val="28"/>
          <w:szCs w:val="28"/>
        </w:rPr>
        <w:t>artspēļu fenomens ir saistīts ar sociālās frustrācijas (neapmierinātības) jautājumiem (ang.</w:t>
      </w:r>
      <w:r w:rsidR="0066503A">
        <w:rPr>
          <w:rFonts w:cs="Times New Roman"/>
          <w:sz w:val="28"/>
          <w:szCs w:val="28"/>
        </w:rPr>
        <w:t xml:space="preserve"> val.</w:t>
      </w:r>
      <w:r w:rsidR="00A92098">
        <w:rPr>
          <w:rFonts w:cs="Times New Roman"/>
          <w:sz w:val="28"/>
          <w:szCs w:val="28"/>
        </w:rPr>
        <w:t xml:space="preserve"> </w:t>
      </w:r>
      <w:r w:rsidR="003725D7" w:rsidRPr="007571C1">
        <w:rPr>
          <w:rFonts w:cs="Times New Roman"/>
          <w:i/>
          <w:sz w:val="28"/>
          <w:szCs w:val="28"/>
        </w:rPr>
        <w:t>social frustration</w:t>
      </w:r>
      <w:r w:rsidR="003725D7" w:rsidRPr="007571C1">
        <w:rPr>
          <w:rFonts w:cs="Times New Roman"/>
          <w:sz w:val="28"/>
          <w:szCs w:val="28"/>
        </w:rPr>
        <w:t>)</w:t>
      </w:r>
      <w:r w:rsidR="003725D7" w:rsidRPr="00871C12">
        <w:rPr>
          <w:rStyle w:val="FootnoteReference"/>
          <w:sz w:val="28"/>
          <w:szCs w:val="28"/>
        </w:rPr>
        <w:footnoteReference w:id="31"/>
      </w:r>
      <w:r w:rsidR="003725D7" w:rsidRPr="007571C1">
        <w:rPr>
          <w:rFonts w:cs="Times New Roman"/>
          <w:sz w:val="28"/>
          <w:szCs w:val="28"/>
        </w:rPr>
        <w:t>, indivīda mēģinājumiem aizbēgt no ikdienas (ang.</w:t>
      </w:r>
      <w:r w:rsidR="0066503A">
        <w:rPr>
          <w:rFonts w:cs="Times New Roman"/>
          <w:sz w:val="28"/>
          <w:szCs w:val="28"/>
        </w:rPr>
        <w:t xml:space="preserve"> val.</w:t>
      </w:r>
      <w:r w:rsidR="00A92098">
        <w:rPr>
          <w:rFonts w:cs="Times New Roman"/>
          <w:sz w:val="28"/>
          <w:szCs w:val="28"/>
        </w:rPr>
        <w:t xml:space="preserve"> </w:t>
      </w:r>
      <w:r w:rsidR="002F06C4">
        <w:rPr>
          <w:rFonts w:cs="Times New Roman"/>
          <w:sz w:val="28"/>
          <w:szCs w:val="28"/>
        </w:rPr>
        <w:t xml:space="preserve"> </w:t>
      </w:r>
      <w:r w:rsidR="003725D7" w:rsidRPr="007571C1">
        <w:rPr>
          <w:rFonts w:cs="Times New Roman"/>
          <w:i/>
          <w:sz w:val="28"/>
          <w:szCs w:val="28"/>
        </w:rPr>
        <w:t>escape theories</w:t>
      </w:r>
      <w:r w:rsidR="003725D7" w:rsidRPr="007571C1">
        <w:rPr>
          <w:rFonts w:cs="Times New Roman"/>
          <w:sz w:val="28"/>
          <w:szCs w:val="28"/>
        </w:rPr>
        <w:t>)</w:t>
      </w:r>
      <w:r w:rsidR="003725D7" w:rsidRPr="00871C12">
        <w:rPr>
          <w:rStyle w:val="FootnoteReference"/>
          <w:sz w:val="28"/>
          <w:szCs w:val="28"/>
        </w:rPr>
        <w:footnoteReference w:id="32"/>
      </w:r>
      <w:r w:rsidR="003725D7" w:rsidRPr="007571C1">
        <w:rPr>
          <w:rFonts w:cs="Times New Roman"/>
          <w:sz w:val="28"/>
          <w:szCs w:val="28"/>
        </w:rPr>
        <w:t xml:space="preserve"> un piederības jautājumiem azartspēļu spēlētāju subkultūrai (ang.</w:t>
      </w:r>
      <w:r w:rsidR="0066503A">
        <w:rPr>
          <w:rFonts w:cs="Times New Roman"/>
          <w:sz w:val="28"/>
          <w:szCs w:val="28"/>
        </w:rPr>
        <w:t xml:space="preserve"> val.</w:t>
      </w:r>
      <w:r w:rsidR="00A92098">
        <w:rPr>
          <w:rFonts w:cs="Times New Roman"/>
          <w:sz w:val="28"/>
          <w:szCs w:val="28"/>
        </w:rPr>
        <w:t xml:space="preserve"> </w:t>
      </w:r>
      <w:r w:rsidR="002F06C4">
        <w:rPr>
          <w:rFonts w:eastAsia="SabonLT-Roman" w:cs="Times New Roman"/>
          <w:sz w:val="28"/>
          <w:szCs w:val="28"/>
        </w:rPr>
        <w:t xml:space="preserve"> </w:t>
      </w:r>
      <w:r w:rsidR="003725D7" w:rsidRPr="007571C1">
        <w:rPr>
          <w:rFonts w:eastAsia="SabonLT-Roman" w:cs="Times New Roman"/>
          <w:i/>
          <w:sz w:val="28"/>
          <w:szCs w:val="28"/>
        </w:rPr>
        <w:t>subculture studies</w:t>
      </w:r>
      <w:r w:rsidR="003725D7" w:rsidRPr="007571C1">
        <w:rPr>
          <w:rFonts w:cs="Times New Roman"/>
          <w:sz w:val="28"/>
          <w:szCs w:val="28"/>
        </w:rPr>
        <w:t>)</w:t>
      </w:r>
      <w:r w:rsidR="003725D7" w:rsidRPr="003725D7">
        <w:rPr>
          <w:rStyle w:val="FootnoteReference"/>
          <w:sz w:val="28"/>
          <w:szCs w:val="28"/>
        </w:rPr>
        <w:t xml:space="preserve"> </w:t>
      </w:r>
      <w:r w:rsidR="003725D7" w:rsidRPr="00871C12">
        <w:rPr>
          <w:rStyle w:val="FootnoteReference"/>
          <w:sz w:val="28"/>
          <w:szCs w:val="28"/>
        </w:rPr>
        <w:footnoteReference w:id="33"/>
      </w:r>
      <w:r w:rsidR="003725D7" w:rsidRPr="007571C1">
        <w:rPr>
          <w:rFonts w:cs="Times New Roman"/>
          <w:sz w:val="28"/>
          <w:szCs w:val="28"/>
        </w:rPr>
        <w:t xml:space="preserve">. </w:t>
      </w:r>
    </w:p>
    <w:p w:rsidR="00CD398C" w:rsidRDefault="00CD398C" w:rsidP="000A3334">
      <w:pPr>
        <w:pStyle w:val="ListParagraph"/>
        <w:ind w:left="567"/>
        <w:rPr>
          <w:rFonts w:cs="Times New Roman"/>
          <w:i/>
          <w:sz w:val="28"/>
          <w:szCs w:val="28"/>
        </w:rPr>
      </w:pPr>
    </w:p>
    <w:p w:rsidR="003725D7" w:rsidRPr="003725D7" w:rsidRDefault="003725D7" w:rsidP="000A3334">
      <w:pPr>
        <w:pStyle w:val="ListParagraph"/>
        <w:ind w:left="567"/>
        <w:rPr>
          <w:rFonts w:cs="Times New Roman"/>
          <w:i/>
          <w:sz w:val="28"/>
          <w:szCs w:val="28"/>
        </w:rPr>
      </w:pPr>
      <w:r w:rsidRPr="003725D7">
        <w:rPr>
          <w:rFonts w:cs="Times New Roman"/>
          <w:i/>
          <w:sz w:val="28"/>
          <w:szCs w:val="28"/>
        </w:rPr>
        <w:t>Strukturālais funkcionālisms</w:t>
      </w:r>
      <w:r w:rsidRPr="00871C12">
        <w:rPr>
          <w:rStyle w:val="FootnoteReference"/>
          <w:sz w:val="28"/>
          <w:szCs w:val="28"/>
        </w:rPr>
        <w:footnoteReference w:id="34"/>
      </w:r>
      <w:r w:rsidRPr="003725D7">
        <w:rPr>
          <w:rFonts w:cs="Times New Roman"/>
          <w:i/>
          <w:sz w:val="28"/>
          <w:szCs w:val="28"/>
        </w:rPr>
        <w:t xml:space="preserve"> </w:t>
      </w:r>
    </w:p>
    <w:p w:rsidR="003725D7" w:rsidRDefault="00131A44" w:rsidP="0043183F">
      <w:pPr>
        <w:ind w:firstLine="567"/>
        <w:jc w:val="both"/>
        <w:rPr>
          <w:rFonts w:eastAsia="Times New Roman" w:cs="Times New Roman"/>
          <w:sz w:val="28"/>
          <w:szCs w:val="28"/>
          <w:lang w:eastAsia="lv-LV"/>
        </w:rPr>
      </w:pPr>
      <w:r>
        <w:rPr>
          <w:rFonts w:eastAsia="Times New Roman" w:cs="Times New Roman"/>
          <w:sz w:val="28"/>
          <w:szCs w:val="28"/>
          <w:lang w:eastAsia="lv-LV"/>
        </w:rPr>
        <w:lastRenderedPageBreak/>
        <w:t>Stefans Deveroks  (</w:t>
      </w:r>
      <w:r w:rsidRPr="0066503A">
        <w:rPr>
          <w:rFonts w:eastAsia="Times New Roman" w:cs="Times New Roman"/>
          <w:sz w:val="28"/>
          <w:szCs w:val="28"/>
          <w:lang w:eastAsia="lv-LV"/>
        </w:rPr>
        <w:t>ang.</w:t>
      </w:r>
      <w:r w:rsidR="00AD7092" w:rsidRPr="0066503A">
        <w:rPr>
          <w:rFonts w:eastAsia="Times New Roman" w:cs="Times New Roman"/>
          <w:sz w:val="28"/>
          <w:szCs w:val="28"/>
          <w:lang w:eastAsia="lv-LV"/>
        </w:rPr>
        <w:t xml:space="preserve"> val.</w:t>
      </w:r>
      <w:r>
        <w:rPr>
          <w:rFonts w:eastAsia="Times New Roman" w:cs="Times New Roman"/>
          <w:sz w:val="28"/>
          <w:szCs w:val="28"/>
          <w:lang w:eastAsia="lv-LV"/>
        </w:rPr>
        <w:t xml:space="preserve"> </w:t>
      </w:r>
      <w:r w:rsidRPr="00A80C1E">
        <w:rPr>
          <w:rFonts w:eastAsia="Times New Roman" w:cs="Times New Roman"/>
          <w:i/>
          <w:sz w:val="28"/>
          <w:szCs w:val="28"/>
          <w:lang w:eastAsia="lv-LV"/>
        </w:rPr>
        <w:t xml:space="preserve">Stephen </w:t>
      </w:r>
      <w:r w:rsidR="003725D7" w:rsidRPr="00A80C1E">
        <w:rPr>
          <w:rFonts w:eastAsia="Times New Roman" w:cs="Times New Roman"/>
          <w:i/>
          <w:sz w:val="28"/>
          <w:szCs w:val="28"/>
          <w:lang w:eastAsia="lv-LV"/>
        </w:rPr>
        <w:t>Devereux</w:t>
      </w:r>
      <w:r>
        <w:rPr>
          <w:rFonts w:eastAsia="Times New Roman" w:cs="Times New Roman"/>
          <w:sz w:val="28"/>
          <w:szCs w:val="28"/>
          <w:lang w:eastAsia="lv-LV"/>
        </w:rPr>
        <w:t>)</w:t>
      </w:r>
      <w:r w:rsidR="003725D7" w:rsidRPr="007571C1">
        <w:rPr>
          <w:rFonts w:eastAsia="Times New Roman" w:cs="Times New Roman"/>
          <w:sz w:val="28"/>
          <w:szCs w:val="28"/>
          <w:lang w:eastAsia="lv-LV"/>
        </w:rPr>
        <w:t xml:space="preserve"> apgalvoja, ka azartsp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l</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m ir pozit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va sabiedr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bas funkcija, jo 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m ir dro</w:t>
      </w:r>
      <w:r w:rsidR="003725D7" w:rsidRPr="007571C1">
        <w:rPr>
          <w:rFonts w:eastAsia="Times New Roman" w:cs="Times New Roman" w:hint="eastAsia"/>
          <w:sz w:val="28"/>
          <w:szCs w:val="28"/>
          <w:lang w:eastAsia="lv-LV"/>
        </w:rPr>
        <w:t>šī</w:t>
      </w:r>
      <w:r w:rsidR="003725D7" w:rsidRPr="007571C1">
        <w:rPr>
          <w:rFonts w:eastAsia="Times New Roman" w:cs="Times New Roman"/>
          <w:sz w:val="28"/>
          <w:szCs w:val="28"/>
          <w:lang w:eastAsia="lv-LV"/>
        </w:rPr>
        <w:t xml:space="preserve">bas </w:t>
      </w:r>
      <w:r w:rsidR="003725D7" w:rsidRPr="007571C1">
        <w:rPr>
          <w:rFonts w:eastAsia="Times New Roman" w:cs="Times New Roman" w:hint="eastAsia"/>
          <w:sz w:val="28"/>
          <w:szCs w:val="28"/>
          <w:lang w:eastAsia="lv-LV"/>
        </w:rPr>
        <w:t>“</w:t>
      </w:r>
      <w:r w:rsidR="003725D7" w:rsidRPr="007571C1">
        <w:rPr>
          <w:rFonts w:eastAsia="Times New Roman" w:cs="Times New Roman"/>
          <w:sz w:val="28"/>
          <w:szCs w:val="28"/>
          <w:lang w:eastAsia="lv-LV"/>
        </w:rPr>
        <w:t>v</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rsta</w:t>
      </w:r>
      <w:r w:rsidR="003725D7" w:rsidRPr="007571C1">
        <w:rPr>
          <w:rFonts w:eastAsia="Times New Roman" w:cs="Times New Roman" w:hint="eastAsia"/>
          <w:sz w:val="28"/>
          <w:szCs w:val="28"/>
          <w:lang w:eastAsia="lv-LV"/>
        </w:rPr>
        <w:t>”</w:t>
      </w:r>
      <w:r w:rsidR="003725D7" w:rsidRPr="007571C1">
        <w:rPr>
          <w:rFonts w:eastAsia="Times New Roman" w:cs="Times New Roman"/>
          <w:sz w:val="28"/>
          <w:szCs w:val="28"/>
          <w:lang w:eastAsia="lv-LV"/>
        </w:rPr>
        <w:t xml:space="preserve"> noz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me spriedzes un neapmierin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bas saj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 mazin</w:t>
      </w:r>
      <w:r w:rsidR="003725D7" w:rsidRPr="007571C1">
        <w:rPr>
          <w:rFonts w:eastAsia="Times New Roman" w:cs="Times New Roman" w:hint="eastAsia"/>
          <w:sz w:val="28"/>
          <w:szCs w:val="28"/>
          <w:lang w:eastAsia="lv-LV"/>
        </w:rPr>
        <w:t>āš</w:t>
      </w:r>
      <w:r w:rsidR="003725D7" w:rsidRPr="007571C1">
        <w:rPr>
          <w:rFonts w:eastAsia="Times New Roman" w:cs="Times New Roman"/>
          <w:sz w:val="28"/>
          <w:szCs w:val="28"/>
          <w:lang w:eastAsia="lv-LV"/>
        </w:rPr>
        <w:t>anai sabiedr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Saska</w:t>
      </w:r>
      <w:r w:rsidR="003725D7" w:rsidRPr="007571C1">
        <w:rPr>
          <w:rFonts w:eastAsia="Times New Roman" w:cs="Times New Roman" w:hint="eastAsia"/>
          <w:sz w:val="28"/>
          <w:szCs w:val="28"/>
          <w:lang w:eastAsia="lv-LV"/>
        </w:rPr>
        <w:t>ņā</w:t>
      </w:r>
      <w:r w:rsidR="003725D7" w:rsidRPr="007571C1">
        <w:rPr>
          <w:rFonts w:eastAsia="Times New Roman" w:cs="Times New Roman"/>
          <w:sz w:val="28"/>
          <w:szCs w:val="28"/>
          <w:lang w:eastAsia="lv-LV"/>
        </w:rPr>
        <w:t xml:space="preserve"> ar </w:t>
      </w:r>
      <w:r>
        <w:rPr>
          <w:rFonts w:eastAsia="Times New Roman" w:cs="Times New Roman"/>
          <w:sz w:val="28"/>
          <w:szCs w:val="28"/>
          <w:lang w:eastAsia="lv-LV"/>
        </w:rPr>
        <w:t xml:space="preserve">Stefanu Deveroku  </w:t>
      </w:r>
      <w:r w:rsidR="003725D7" w:rsidRPr="007571C1">
        <w:rPr>
          <w:rFonts w:eastAsia="Times New Roman" w:cs="Times New Roman"/>
          <w:sz w:val="28"/>
          <w:szCs w:val="28"/>
          <w:lang w:eastAsia="lv-LV"/>
        </w:rPr>
        <w:t xml:space="preserve">  </w:t>
      </w:r>
      <w:r w:rsidR="003725D7" w:rsidRPr="007571C1">
        <w:rPr>
          <w:rFonts w:eastAsia="Times New Roman" w:cs="Times New Roman" w:hint="eastAsia"/>
          <w:sz w:val="28"/>
          <w:szCs w:val="28"/>
          <w:lang w:eastAsia="lv-LV"/>
        </w:rPr>
        <w:t>šā</w:t>
      </w:r>
      <w:r w:rsidR="003725D7" w:rsidRPr="007571C1">
        <w:rPr>
          <w:rFonts w:eastAsia="Times New Roman" w:cs="Times New Roman"/>
          <w:sz w:val="28"/>
          <w:szCs w:val="28"/>
          <w:lang w:eastAsia="lv-LV"/>
        </w:rPr>
        <w:t>das izj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tas ir izveidojusi hierarhiska kapit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listiskas iek</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rtas sist</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ma, kur</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indiv</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ds ir pak</w:t>
      </w:r>
      <w:r w:rsidR="003725D7" w:rsidRPr="007571C1">
        <w:rPr>
          <w:rFonts w:eastAsia="Times New Roman" w:cs="Times New Roman" w:hint="eastAsia"/>
          <w:sz w:val="28"/>
          <w:szCs w:val="28"/>
          <w:lang w:eastAsia="lv-LV"/>
        </w:rPr>
        <w:t>ļ</w:t>
      </w:r>
      <w:r w:rsidR="003725D7" w:rsidRPr="007571C1">
        <w:rPr>
          <w:rFonts w:eastAsia="Times New Roman" w:cs="Times New Roman"/>
          <w:sz w:val="28"/>
          <w:szCs w:val="28"/>
          <w:lang w:eastAsia="lv-LV"/>
        </w:rPr>
        <w:t>auts spiedienam sasniegt rezult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tu (b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veiksm</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gam) un kur ne visiem var 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vienl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 veiksm</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gs rezult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ts. Azartsp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les var pal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t samazin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t </w:t>
      </w:r>
      <w:r w:rsidR="003725D7" w:rsidRPr="007571C1">
        <w:rPr>
          <w:rFonts w:eastAsia="Times New Roman" w:cs="Times New Roman" w:hint="eastAsia"/>
          <w:sz w:val="28"/>
          <w:szCs w:val="28"/>
          <w:lang w:eastAsia="lv-LV"/>
        </w:rPr>
        <w:t>š</w:t>
      </w:r>
      <w:r w:rsidR="003725D7" w:rsidRPr="007571C1">
        <w:rPr>
          <w:rFonts w:eastAsia="Times New Roman" w:cs="Times New Roman"/>
          <w:sz w:val="28"/>
          <w:szCs w:val="28"/>
          <w:lang w:eastAsia="lv-LV"/>
        </w:rPr>
        <w:t>o spriedzi un neapmierin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bu. Iesaistoties loterij</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s, indiv</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di var sap</w:t>
      </w:r>
      <w:r w:rsidR="003725D7" w:rsidRPr="007571C1">
        <w:rPr>
          <w:rFonts w:eastAsia="Times New Roman" w:cs="Times New Roman" w:hint="eastAsia"/>
          <w:sz w:val="28"/>
          <w:szCs w:val="28"/>
          <w:lang w:eastAsia="lv-LV"/>
        </w:rPr>
        <w:t>ņ</w:t>
      </w:r>
      <w:r w:rsidR="003725D7" w:rsidRPr="007571C1">
        <w:rPr>
          <w:rFonts w:eastAsia="Times New Roman" w:cs="Times New Roman"/>
          <w:sz w:val="28"/>
          <w:szCs w:val="28"/>
          <w:lang w:eastAsia="lv-LV"/>
        </w:rPr>
        <w:t>ot par uzvaras laimi un 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d</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j</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di 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t ieg</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visus pan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kumu atrib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tus. Cilv</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ki var ar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 likt likmes uz zirgiem un 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 ar to piedz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vot pieredzi, kad tie </w:t>
      </w:r>
      <w:r w:rsidR="00CD398C" w:rsidRPr="007571C1">
        <w:rPr>
          <w:rFonts w:eastAsia="Times New Roman" w:cs="Times New Roman"/>
          <w:sz w:val="28"/>
          <w:szCs w:val="28"/>
          <w:lang w:eastAsia="lv-LV"/>
        </w:rPr>
        <w:t>kontrol</w:t>
      </w:r>
      <w:r w:rsidR="00CD398C">
        <w:rPr>
          <w:rFonts w:eastAsia="Times New Roman" w:cs="Times New Roman"/>
          <w:sz w:val="28"/>
          <w:szCs w:val="28"/>
          <w:lang w:eastAsia="lv-LV"/>
        </w:rPr>
        <w:t>ē</w:t>
      </w:r>
      <w:r w:rsidR="00CD398C" w:rsidRPr="007571C1">
        <w:rPr>
          <w:rFonts w:eastAsia="Times New Roman" w:cs="Times New Roman"/>
          <w:sz w:val="28"/>
          <w:szCs w:val="28"/>
          <w:lang w:eastAsia="lv-LV"/>
        </w:rPr>
        <w:t xml:space="preserve"> </w:t>
      </w:r>
      <w:r w:rsidR="003725D7" w:rsidRPr="007571C1">
        <w:rPr>
          <w:rFonts w:eastAsia="Times New Roman" w:cs="Times New Roman"/>
          <w:sz w:val="28"/>
          <w:szCs w:val="28"/>
          <w:lang w:eastAsia="lv-LV"/>
        </w:rPr>
        <w:t>un p</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rvalda resursus, k</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ar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 piedz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vot saj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 ka tie</w:t>
      </w:r>
      <w:r w:rsidR="003725D7" w:rsidRPr="007571C1">
        <w:rPr>
          <w:rFonts w:eastAsia="Times New Roman" w:cs="Times New Roman" w:hint="eastAsia"/>
          <w:sz w:val="28"/>
          <w:szCs w:val="28"/>
          <w:lang w:eastAsia="lv-LV"/>
        </w:rPr>
        <w:t>š</w:t>
      </w:r>
      <w:r w:rsidR="003725D7" w:rsidRPr="007571C1">
        <w:rPr>
          <w:rFonts w:eastAsia="Times New Roman" w:cs="Times New Roman"/>
          <w:sz w:val="28"/>
          <w:szCs w:val="28"/>
          <w:lang w:eastAsia="lv-LV"/>
        </w:rPr>
        <w:t xml:space="preserve">i </w:t>
      </w:r>
      <w:r w:rsidR="003725D7" w:rsidRPr="007571C1">
        <w:rPr>
          <w:rFonts w:eastAsia="Times New Roman" w:cs="Times New Roman" w:hint="eastAsia"/>
          <w:sz w:val="28"/>
          <w:szCs w:val="28"/>
          <w:lang w:eastAsia="lv-LV"/>
        </w:rPr>
        <w:t>šī</w:t>
      </w:r>
      <w:r w:rsidR="003725D7" w:rsidRPr="007571C1">
        <w:rPr>
          <w:rFonts w:eastAsia="Times New Roman" w:cs="Times New Roman"/>
          <w:sz w:val="28"/>
          <w:szCs w:val="28"/>
          <w:lang w:eastAsia="lv-LV"/>
        </w:rPr>
        <w:t xml:space="preserve"> ir vi</w:t>
      </w:r>
      <w:r w:rsidR="003725D7" w:rsidRPr="007571C1">
        <w:rPr>
          <w:rFonts w:eastAsia="Times New Roman" w:cs="Times New Roman" w:hint="eastAsia"/>
          <w:sz w:val="28"/>
          <w:szCs w:val="28"/>
          <w:lang w:eastAsia="lv-LV"/>
        </w:rPr>
        <w:t>ņ</w:t>
      </w:r>
      <w:r w:rsidR="003725D7" w:rsidRPr="007571C1">
        <w:rPr>
          <w:rFonts w:eastAsia="Times New Roman" w:cs="Times New Roman"/>
          <w:sz w:val="28"/>
          <w:szCs w:val="28"/>
          <w:lang w:eastAsia="lv-LV"/>
        </w:rPr>
        <w:t xml:space="preserve">u </w:t>
      </w:r>
      <w:r w:rsidR="00CD398C" w:rsidRPr="007571C1">
        <w:rPr>
          <w:rFonts w:eastAsia="Times New Roman" w:cs="Times New Roman"/>
          <w:sz w:val="28"/>
          <w:szCs w:val="28"/>
          <w:lang w:eastAsia="lv-LV"/>
        </w:rPr>
        <w:t>re</w:t>
      </w:r>
      <w:r w:rsidR="00CD398C" w:rsidRPr="007571C1">
        <w:rPr>
          <w:rFonts w:eastAsia="Times New Roman" w:cs="Times New Roman" w:hint="eastAsia"/>
          <w:sz w:val="28"/>
          <w:szCs w:val="28"/>
          <w:lang w:eastAsia="lv-LV"/>
        </w:rPr>
        <w:t>ā</w:t>
      </w:r>
      <w:r w:rsidR="00CD398C" w:rsidRPr="007571C1">
        <w:rPr>
          <w:rFonts w:eastAsia="Times New Roman" w:cs="Times New Roman"/>
          <w:sz w:val="28"/>
          <w:szCs w:val="28"/>
          <w:lang w:eastAsia="lv-LV"/>
        </w:rPr>
        <w:t>l</w:t>
      </w:r>
      <w:r w:rsidR="00CD398C">
        <w:rPr>
          <w:rFonts w:eastAsia="Times New Roman" w:cs="Times New Roman"/>
          <w:sz w:val="28"/>
          <w:szCs w:val="28"/>
          <w:lang w:eastAsia="lv-LV"/>
        </w:rPr>
        <w:t>ā</w:t>
      </w:r>
      <w:r w:rsidR="00CD398C" w:rsidRPr="007571C1">
        <w:rPr>
          <w:rFonts w:eastAsia="Times New Roman" w:cs="Times New Roman"/>
          <w:sz w:val="28"/>
          <w:szCs w:val="28"/>
          <w:lang w:eastAsia="lv-LV"/>
        </w:rPr>
        <w:t xml:space="preserve"> </w:t>
      </w:r>
      <w:r w:rsidR="003725D7" w:rsidRPr="007571C1">
        <w:rPr>
          <w:rFonts w:eastAsia="Times New Roman" w:cs="Times New Roman"/>
          <w:sz w:val="28"/>
          <w:szCs w:val="28"/>
          <w:lang w:eastAsia="lv-LV"/>
        </w:rPr>
        <w:t>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ve, nevis darbs ierobe</w:t>
      </w:r>
      <w:r w:rsidR="003725D7" w:rsidRPr="007571C1">
        <w:rPr>
          <w:rFonts w:eastAsia="Times New Roman" w:cs="Times New Roman" w:hint="eastAsia"/>
          <w:sz w:val="28"/>
          <w:szCs w:val="28"/>
          <w:lang w:eastAsia="lv-LV"/>
        </w:rPr>
        <w:t>ž</w:t>
      </w:r>
      <w:r w:rsidR="003725D7" w:rsidRPr="007571C1">
        <w:rPr>
          <w:rFonts w:eastAsia="Times New Roman" w:cs="Times New Roman"/>
          <w:sz w:val="28"/>
          <w:szCs w:val="28"/>
          <w:lang w:eastAsia="lv-LV"/>
        </w:rPr>
        <w:t>ot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biroja telp</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vai r</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pn</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c</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w:t>
      </w:r>
    </w:p>
    <w:p w:rsidR="00CF19DF" w:rsidRDefault="00CF19DF" w:rsidP="000A3334">
      <w:pPr>
        <w:pStyle w:val="ListParagraph"/>
        <w:ind w:left="567"/>
        <w:jc w:val="both"/>
        <w:rPr>
          <w:rFonts w:cs="Times New Roman"/>
          <w:i/>
          <w:sz w:val="28"/>
          <w:szCs w:val="28"/>
        </w:rPr>
      </w:pPr>
    </w:p>
    <w:p w:rsidR="003725D7" w:rsidRPr="003725D7" w:rsidRDefault="00CD398C" w:rsidP="000A3334">
      <w:pPr>
        <w:pStyle w:val="ListParagraph"/>
        <w:ind w:left="567"/>
        <w:jc w:val="both"/>
        <w:rPr>
          <w:rFonts w:cs="Times New Roman"/>
          <w:i/>
          <w:sz w:val="28"/>
          <w:szCs w:val="28"/>
        </w:rPr>
      </w:pPr>
      <w:r>
        <w:rPr>
          <w:rFonts w:cs="Times New Roman"/>
          <w:i/>
          <w:sz w:val="28"/>
          <w:szCs w:val="28"/>
        </w:rPr>
        <w:t>S</w:t>
      </w:r>
      <w:r w:rsidR="003725D7" w:rsidRPr="003725D7">
        <w:rPr>
          <w:rFonts w:cs="Times New Roman"/>
          <w:i/>
          <w:sz w:val="28"/>
          <w:szCs w:val="28"/>
        </w:rPr>
        <w:t>ociāl</w:t>
      </w:r>
      <w:r>
        <w:rPr>
          <w:rFonts w:cs="Times New Roman"/>
          <w:i/>
          <w:sz w:val="28"/>
          <w:szCs w:val="28"/>
        </w:rPr>
        <w:t>ās</w:t>
      </w:r>
      <w:r w:rsidR="003725D7" w:rsidRPr="003725D7">
        <w:rPr>
          <w:rFonts w:cs="Times New Roman"/>
          <w:i/>
          <w:sz w:val="28"/>
          <w:szCs w:val="28"/>
        </w:rPr>
        <w:t xml:space="preserve"> neapmierinātības un aizbēgšanas no realitātes teorija</w:t>
      </w:r>
      <w:r w:rsidR="003725D7" w:rsidRPr="00871C12">
        <w:rPr>
          <w:rStyle w:val="FootnoteReference"/>
          <w:sz w:val="28"/>
          <w:szCs w:val="28"/>
        </w:rPr>
        <w:footnoteReference w:id="35"/>
      </w:r>
      <w:r w:rsidR="003725D7" w:rsidRPr="003725D7">
        <w:rPr>
          <w:rFonts w:cs="Times New Roman"/>
          <w:i/>
          <w:sz w:val="28"/>
          <w:szCs w:val="28"/>
        </w:rPr>
        <w:t xml:space="preserve"> </w:t>
      </w:r>
    </w:p>
    <w:p w:rsidR="003725D7" w:rsidRPr="007571C1" w:rsidRDefault="003725D7" w:rsidP="00A80C1E">
      <w:pPr>
        <w:autoSpaceDE w:val="0"/>
        <w:autoSpaceDN w:val="0"/>
        <w:adjustRightInd w:val="0"/>
        <w:ind w:firstLine="567"/>
        <w:jc w:val="both"/>
        <w:rPr>
          <w:rFonts w:eastAsia="SabonLT-Roman" w:cs="Times New Roman"/>
          <w:sz w:val="28"/>
          <w:szCs w:val="28"/>
        </w:rPr>
      </w:pPr>
      <w:r w:rsidRPr="003725D7">
        <w:rPr>
          <w:rStyle w:val="word"/>
          <w:rFonts w:cs="Times New Roman"/>
          <w:sz w:val="28"/>
          <w:szCs w:val="28"/>
        </w:rPr>
        <w:t>Cilv</w:t>
      </w:r>
      <w:r w:rsidRPr="003725D7">
        <w:rPr>
          <w:rStyle w:val="word"/>
          <w:rFonts w:cs="Times New Roman" w:hint="eastAsia"/>
          <w:sz w:val="28"/>
          <w:szCs w:val="28"/>
        </w:rPr>
        <w:t>ē</w:t>
      </w:r>
      <w:r w:rsidRPr="003725D7">
        <w:rPr>
          <w:rStyle w:val="word"/>
          <w:rFonts w:cs="Times New Roman"/>
          <w:sz w:val="28"/>
          <w:szCs w:val="28"/>
        </w:rPr>
        <w:t>ki piedal</w:t>
      </w:r>
      <w:r w:rsidRPr="003725D7">
        <w:rPr>
          <w:rStyle w:val="word"/>
          <w:rFonts w:cs="Times New Roman" w:hint="eastAsia"/>
          <w:sz w:val="28"/>
          <w:szCs w:val="28"/>
        </w:rPr>
        <w:t>ā</w:t>
      </w:r>
      <w:r w:rsidRPr="003725D7">
        <w:rPr>
          <w:rStyle w:val="word"/>
          <w:rFonts w:cs="Times New Roman"/>
          <w:sz w:val="28"/>
          <w:szCs w:val="28"/>
        </w:rPr>
        <w:t>s azartsp</w:t>
      </w:r>
      <w:r w:rsidRPr="003725D7">
        <w:rPr>
          <w:rStyle w:val="word"/>
          <w:rFonts w:cs="Times New Roman" w:hint="eastAsia"/>
          <w:sz w:val="28"/>
          <w:szCs w:val="28"/>
        </w:rPr>
        <w:t>ē</w:t>
      </w:r>
      <w:r w:rsidRPr="003725D7">
        <w:rPr>
          <w:rStyle w:val="word"/>
          <w:rFonts w:cs="Times New Roman"/>
          <w:sz w:val="28"/>
          <w:szCs w:val="28"/>
        </w:rPr>
        <w:t>l</w:t>
      </w:r>
      <w:r w:rsidRPr="003725D7">
        <w:rPr>
          <w:rStyle w:val="word"/>
          <w:rFonts w:cs="Times New Roman" w:hint="eastAsia"/>
          <w:sz w:val="28"/>
          <w:szCs w:val="28"/>
        </w:rPr>
        <w:t>ē</w:t>
      </w:r>
      <w:r w:rsidRPr="003725D7">
        <w:rPr>
          <w:rStyle w:val="word"/>
          <w:rFonts w:cs="Times New Roman"/>
          <w:sz w:val="28"/>
          <w:szCs w:val="28"/>
        </w:rPr>
        <w:t>s vair</w:t>
      </w:r>
      <w:r w:rsidRPr="003725D7">
        <w:rPr>
          <w:rStyle w:val="word"/>
          <w:rFonts w:cs="Times New Roman" w:hint="eastAsia"/>
          <w:sz w:val="28"/>
          <w:szCs w:val="28"/>
        </w:rPr>
        <w:t>ā</w:t>
      </w:r>
      <w:r w:rsidRPr="003725D7">
        <w:rPr>
          <w:rStyle w:val="word"/>
          <w:rFonts w:cs="Times New Roman"/>
          <w:sz w:val="28"/>
          <w:szCs w:val="28"/>
        </w:rPr>
        <w:t>ku iemeslu d</w:t>
      </w:r>
      <w:r w:rsidRPr="003725D7">
        <w:rPr>
          <w:rStyle w:val="word"/>
          <w:rFonts w:cs="Times New Roman" w:hint="eastAsia"/>
          <w:sz w:val="28"/>
          <w:szCs w:val="28"/>
        </w:rPr>
        <w:t>ēļ</w:t>
      </w:r>
      <w:r w:rsidR="00131A44">
        <w:rPr>
          <w:rStyle w:val="word"/>
          <w:rFonts w:cs="Times New Roman"/>
          <w:sz w:val="28"/>
          <w:szCs w:val="28"/>
        </w:rPr>
        <w:t xml:space="preserve"> </w:t>
      </w:r>
      <w:r w:rsidRPr="003725D7">
        <w:rPr>
          <w:rStyle w:val="word"/>
          <w:rFonts w:cs="Times New Roman"/>
          <w:sz w:val="28"/>
          <w:szCs w:val="28"/>
        </w:rPr>
        <w:t>un soci</w:t>
      </w:r>
      <w:r w:rsidRPr="003725D7">
        <w:rPr>
          <w:rStyle w:val="word"/>
          <w:rFonts w:cs="Times New Roman" w:hint="eastAsia"/>
          <w:sz w:val="28"/>
          <w:szCs w:val="28"/>
        </w:rPr>
        <w:t>ā</w:t>
      </w:r>
      <w:r w:rsidRPr="003725D7">
        <w:rPr>
          <w:rStyle w:val="word"/>
          <w:rFonts w:cs="Times New Roman"/>
          <w:sz w:val="28"/>
          <w:szCs w:val="28"/>
        </w:rPr>
        <w:t>la neapmierin</w:t>
      </w:r>
      <w:r w:rsidRPr="003725D7">
        <w:rPr>
          <w:rStyle w:val="word"/>
          <w:rFonts w:cs="Times New Roman" w:hint="eastAsia"/>
          <w:sz w:val="28"/>
          <w:szCs w:val="28"/>
        </w:rPr>
        <w:t>ā</w:t>
      </w:r>
      <w:r w:rsidRPr="003725D7">
        <w:rPr>
          <w:rStyle w:val="word"/>
          <w:rFonts w:cs="Times New Roman"/>
          <w:sz w:val="28"/>
          <w:szCs w:val="28"/>
        </w:rPr>
        <w:t>t</w:t>
      </w:r>
      <w:r w:rsidRPr="003725D7">
        <w:rPr>
          <w:rStyle w:val="word"/>
          <w:rFonts w:cs="Times New Roman" w:hint="eastAsia"/>
          <w:sz w:val="28"/>
          <w:szCs w:val="28"/>
        </w:rPr>
        <w:t>ī</w:t>
      </w:r>
      <w:r w:rsidRPr="003725D7">
        <w:rPr>
          <w:rStyle w:val="word"/>
          <w:rFonts w:cs="Times New Roman"/>
          <w:sz w:val="28"/>
          <w:szCs w:val="28"/>
        </w:rPr>
        <w:t>ba ir viens no mot</w:t>
      </w:r>
      <w:r w:rsidRPr="003725D7">
        <w:rPr>
          <w:rStyle w:val="word"/>
          <w:rFonts w:cs="Times New Roman" w:hint="eastAsia"/>
          <w:sz w:val="28"/>
          <w:szCs w:val="28"/>
        </w:rPr>
        <w:t>ī</w:t>
      </w:r>
      <w:r w:rsidRPr="003725D7">
        <w:rPr>
          <w:rStyle w:val="word"/>
          <w:rFonts w:cs="Times New Roman"/>
          <w:sz w:val="28"/>
          <w:szCs w:val="28"/>
        </w:rPr>
        <w:t xml:space="preserve">viem.  </w:t>
      </w:r>
    </w:p>
    <w:p w:rsidR="003725D7" w:rsidRPr="00871C12" w:rsidRDefault="003725D7" w:rsidP="000A3334">
      <w:pPr>
        <w:pStyle w:val="mt-translation"/>
        <w:spacing w:before="0" w:beforeAutospacing="0" w:after="0" w:afterAutospacing="0"/>
        <w:ind w:firstLine="567"/>
        <w:jc w:val="both"/>
        <w:rPr>
          <w:sz w:val="28"/>
          <w:szCs w:val="28"/>
        </w:rPr>
      </w:pPr>
      <w:r w:rsidRPr="00871C12">
        <w:rPr>
          <w:rFonts w:eastAsia="SabonLT-Roman"/>
          <w:sz w:val="28"/>
          <w:szCs w:val="28"/>
        </w:rPr>
        <w:t xml:space="preserve">Vairāki pētījumi uzsver, ka aizbēgšana no dzīves rutīnas modernajā sabiedrībā ir vadmotīvs dalībai azartspēlēs.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gl</w:t>
      </w:r>
      <w:r w:rsidRPr="00871C12">
        <w:rPr>
          <w:rStyle w:val="word"/>
          <w:rFonts w:hint="eastAsia"/>
          <w:sz w:val="28"/>
          <w:szCs w:val="28"/>
        </w:rPr>
        <w:t>ā</w:t>
      </w:r>
      <w:r w:rsidRPr="00871C12">
        <w:rPr>
          <w:rStyle w:val="word"/>
          <w:sz w:val="28"/>
          <w:szCs w:val="28"/>
        </w:rPr>
        <w:t>bi</w:t>
      </w:r>
      <w:r w:rsidRPr="00871C12">
        <w:rPr>
          <w:rStyle w:val="word"/>
          <w:rFonts w:hint="eastAsia"/>
          <w:sz w:val="28"/>
          <w:szCs w:val="28"/>
        </w:rPr>
        <w:t>ņ</w:t>
      </w:r>
      <w:r w:rsidRPr="00871C12">
        <w:rPr>
          <w:rStyle w:val="word"/>
          <w:sz w:val="28"/>
          <w:szCs w:val="28"/>
        </w:rPr>
        <w:t>u</w:t>
      </w:r>
      <w:r w:rsidRPr="00871C12">
        <w:rPr>
          <w:rStyle w:val="phrase"/>
          <w:sz w:val="28"/>
          <w:szCs w:val="28"/>
        </w:rPr>
        <w:t xml:space="preserve"> </w:t>
      </w:r>
      <w:r w:rsidRPr="00871C12">
        <w:rPr>
          <w:rStyle w:val="word"/>
          <w:sz w:val="28"/>
          <w:szCs w:val="28"/>
        </w:rPr>
        <w:t>ne</w:t>
      </w:r>
      <w:r w:rsidRPr="00871C12">
        <w:rPr>
          <w:rStyle w:val="phrase"/>
          <w:sz w:val="28"/>
          <w:szCs w:val="28"/>
        </w:rPr>
        <w:t xml:space="preserve"> </w:t>
      </w:r>
      <w:r w:rsidRPr="00871C12">
        <w:rPr>
          <w:rStyle w:val="word"/>
          <w:sz w:val="28"/>
          <w:szCs w:val="28"/>
        </w:rPr>
        <w:t>tikai</w:t>
      </w:r>
      <w:r w:rsidRPr="00871C12">
        <w:rPr>
          <w:rStyle w:val="phrase"/>
          <w:sz w:val="28"/>
          <w:szCs w:val="28"/>
        </w:rPr>
        <w:t xml:space="preserve"> </w:t>
      </w:r>
      <w:r w:rsidRPr="00871C12">
        <w:rPr>
          <w:rStyle w:val="word"/>
          <w:sz w:val="28"/>
          <w:szCs w:val="28"/>
        </w:rPr>
        <w:t>no</w:t>
      </w:r>
      <w:r w:rsidRPr="00871C12">
        <w:rPr>
          <w:rStyle w:val="phrase"/>
          <w:sz w:val="28"/>
          <w:szCs w:val="28"/>
        </w:rPr>
        <w:t xml:space="preserve"> </w:t>
      </w:r>
      <w:r w:rsidRPr="00871C12">
        <w:rPr>
          <w:rStyle w:val="word"/>
          <w:sz w:val="28"/>
          <w:szCs w:val="28"/>
        </w:rPr>
        <w:t>neapmierin</w:t>
      </w:r>
      <w:r w:rsidRPr="00871C12">
        <w:rPr>
          <w:rStyle w:val="word"/>
          <w:rFonts w:hint="eastAsia"/>
          <w:sz w:val="28"/>
          <w:szCs w:val="28"/>
        </w:rPr>
        <w:t>ā</w:t>
      </w:r>
      <w:r w:rsidRPr="00871C12">
        <w:rPr>
          <w:rStyle w:val="word"/>
          <w:sz w:val="28"/>
          <w:szCs w:val="28"/>
        </w:rPr>
        <w:t>t</w:t>
      </w:r>
      <w:r w:rsidRPr="00871C12">
        <w:rPr>
          <w:rStyle w:val="word"/>
          <w:rFonts w:hint="eastAsia"/>
          <w:sz w:val="28"/>
          <w:szCs w:val="28"/>
        </w:rPr>
        <w:t>ī</w:t>
      </w:r>
      <w:r w:rsidRPr="00871C12">
        <w:rPr>
          <w:rStyle w:val="word"/>
          <w:sz w:val="28"/>
          <w:szCs w:val="28"/>
        </w:rPr>
        <w:t>bas,</w:t>
      </w:r>
      <w:r w:rsidRPr="00871C12">
        <w:rPr>
          <w:sz w:val="28"/>
          <w:szCs w:val="28"/>
        </w:rPr>
        <w:t xml:space="preserve"> </w:t>
      </w:r>
      <w:r w:rsidRPr="00871C12">
        <w:rPr>
          <w:rStyle w:val="word"/>
          <w:sz w:val="28"/>
          <w:szCs w:val="28"/>
        </w:rPr>
        <w:t>ko</w:t>
      </w:r>
      <w:r w:rsidRPr="00871C12">
        <w:rPr>
          <w:rStyle w:val="phrase"/>
          <w:sz w:val="28"/>
          <w:szCs w:val="28"/>
        </w:rPr>
        <w:t xml:space="preserve"> </w:t>
      </w:r>
      <w:r w:rsidRPr="00871C12">
        <w:rPr>
          <w:rStyle w:val="word"/>
          <w:sz w:val="28"/>
          <w:szCs w:val="28"/>
        </w:rPr>
        <w:t>izraisa</w:t>
      </w:r>
      <w:r w:rsidRPr="00871C12">
        <w:rPr>
          <w:rStyle w:val="phrase"/>
          <w:sz w:val="28"/>
          <w:szCs w:val="28"/>
        </w:rPr>
        <w:t xml:space="preserve"> </w:t>
      </w:r>
      <w:r w:rsidRPr="00871C12">
        <w:rPr>
          <w:rStyle w:val="word"/>
          <w:sz w:val="28"/>
          <w:szCs w:val="28"/>
        </w:rPr>
        <w:t>to</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soci</w:t>
      </w:r>
      <w:r w:rsidRPr="00871C12">
        <w:rPr>
          <w:rStyle w:val="word"/>
          <w:rFonts w:hint="eastAsia"/>
          <w:sz w:val="28"/>
          <w:szCs w:val="28"/>
        </w:rPr>
        <w:t>ā</w:t>
      </w:r>
      <w:r w:rsidRPr="00871C12">
        <w:rPr>
          <w:rStyle w:val="word"/>
          <w:sz w:val="28"/>
          <w:szCs w:val="28"/>
        </w:rPr>
        <w:t>laj</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Pr="00871C12">
        <w:rPr>
          <w:rStyle w:val="word"/>
          <w:sz w:val="28"/>
          <w:szCs w:val="28"/>
        </w:rPr>
        <w:t>strukt</w:t>
      </w:r>
      <w:r w:rsidRPr="00871C12">
        <w:rPr>
          <w:rStyle w:val="word"/>
          <w:rFonts w:hint="eastAsia"/>
          <w:sz w:val="28"/>
          <w:szCs w:val="28"/>
        </w:rPr>
        <w:t>ū</w:t>
      </w:r>
      <w:r w:rsidRPr="00871C12">
        <w:rPr>
          <w:rStyle w:val="word"/>
          <w:sz w:val="28"/>
          <w:szCs w:val="28"/>
        </w:rPr>
        <w:t>r</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004F0952">
        <w:rPr>
          <w:rStyle w:val="word"/>
          <w:sz w:val="28"/>
          <w:szCs w:val="28"/>
        </w:rPr>
        <w:t xml:space="preserve">bet </w:t>
      </w:r>
      <w:r w:rsidR="0085476E">
        <w:rPr>
          <w:rStyle w:val="word"/>
          <w:sz w:val="28"/>
          <w:szCs w:val="28"/>
        </w:rPr>
        <w:t xml:space="preserve">arī no </w:t>
      </w:r>
      <w:r w:rsidR="00A93203">
        <w:rPr>
          <w:rStyle w:val="word"/>
          <w:sz w:val="28"/>
          <w:szCs w:val="28"/>
        </w:rPr>
        <w:t xml:space="preserve">citām </w:t>
      </w:r>
      <w:r w:rsidRPr="00871C12">
        <w:rPr>
          <w:rStyle w:val="word"/>
          <w:sz w:val="28"/>
          <w:szCs w:val="28"/>
        </w:rPr>
        <w:t>par</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ī</w:t>
      </w:r>
      <w:r w:rsidRPr="00871C12">
        <w:rPr>
          <w:rStyle w:val="word"/>
          <w:sz w:val="28"/>
          <w:szCs w:val="28"/>
        </w:rPr>
        <w:t>b</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u</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ē</w:t>
      </w:r>
      <w:r w:rsidRPr="00871C12">
        <w:rPr>
          <w:rStyle w:val="word"/>
          <w:sz w:val="28"/>
          <w:szCs w:val="28"/>
        </w:rPr>
        <w:t>,</w:t>
      </w:r>
      <w:r w:rsidRPr="00871C12">
        <w:rPr>
          <w:rStyle w:val="phrase"/>
          <w:sz w:val="28"/>
          <w:szCs w:val="28"/>
        </w:rPr>
        <w:t xml:space="preserve"> </w:t>
      </w:r>
      <w:r w:rsidRPr="00871C12">
        <w:rPr>
          <w:rStyle w:val="word"/>
          <w:sz w:val="28"/>
          <w:szCs w:val="28"/>
        </w:rPr>
        <w:t>ko</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i</w:t>
      </w:r>
      <w:r w:rsidRPr="00871C12">
        <w:rPr>
          <w:rStyle w:val="phrase"/>
          <w:sz w:val="28"/>
          <w:szCs w:val="28"/>
        </w:rPr>
        <w:t xml:space="preserve"> </w:t>
      </w:r>
      <w:r w:rsidRPr="00871C12">
        <w:rPr>
          <w:rStyle w:val="word"/>
          <w:sz w:val="28"/>
          <w:szCs w:val="28"/>
        </w:rPr>
        <w:t>uzskata</w:t>
      </w:r>
      <w:r w:rsidRPr="00871C12">
        <w:rPr>
          <w:rStyle w:val="phrase"/>
          <w:sz w:val="28"/>
          <w:szCs w:val="28"/>
        </w:rPr>
        <w:t xml:space="preserve"> par </w:t>
      </w:r>
      <w:r w:rsidRPr="00871C12">
        <w:rPr>
          <w:rStyle w:val="word"/>
          <w:sz w:val="28"/>
          <w:szCs w:val="28"/>
        </w:rPr>
        <w:t>garlaic</w:t>
      </w:r>
      <w:r w:rsidRPr="00871C12">
        <w:rPr>
          <w:rStyle w:val="word"/>
          <w:rFonts w:hint="eastAsia"/>
          <w:sz w:val="28"/>
          <w:szCs w:val="28"/>
        </w:rPr>
        <w:t>ī</w:t>
      </w:r>
      <w:r w:rsidRPr="00871C12">
        <w:rPr>
          <w:rStyle w:val="word"/>
          <w:sz w:val="28"/>
          <w:szCs w:val="28"/>
        </w:rPr>
        <w:t>g</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trauc</w:t>
      </w:r>
      <w:r w:rsidRPr="00871C12">
        <w:rPr>
          <w:rStyle w:val="word"/>
          <w:rFonts w:hint="eastAsia"/>
          <w:sz w:val="28"/>
          <w:szCs w:val="28"/>
        </w:rPr>
        <w:t>ē</w:t>
      </w:r>
      <w:r w:rsidRPr="00871C12">
        <w:rPr>
          <w:rStyle w:val="word"/>
          <w:sz w:val="28"/>
          <w:szCs w:val="28"/>
        </w:rPr>
        <w:t>jo</w:t>
      </w:r>
      <w:r w:rsidRPr="00871C12">
        <w:rPr>
          <w:rStyle w:val="word"/>
          <w:rFonts w:hint="eastAsia"/>
          <w:sz w:val="28"/>
          <w:szCs w:val="28"/>
        </w:rPr>
        <w:t>šā</w:t>
      </w:r>
      <w:r w:rsidRPr="00871C12">
        <w:rPr>
          <w:rStyle w:val="word"/>
          <w:sz w:val="28"/>
          <w:szCs w:val="28"/>
        </w:rPr>
        <w:t>m.</w:t>
      </w:r>
    </w:p>
    <w:p w:rsidR="003725D7" w:rsidRPr="00871C12" w:rsidRDefault="003725D7" w:rsidP="000A3334">
      <w:pPr>
        <w:pStyle w:val="mt-translation"/>
        <w:spacing w:before="0" w:beforeAutospacing="0" w:after="0" w:afterAutospacing="0"/>
        <w:ind w:firstLine="567"/>
        <w:jc w:val="both"/>
        <w:rPr>
          <w:rStyle w:val="word"/>
          <w:sz w:val="28"/>
          <w:szCs w:val="28"/>
        </w:rPr>
      </w:pPr>
      <w:r w:rsidRPr="00871C12">
        <w:rPr>
          <w:rStyle w:val="word"/>
          <w:rFonts w:hint="eastAsia"/>
          <w:sz w:val="28"/>
          <w:szCs w:val="28"/>
        </w:rPr>
        <w:t>Š</w:t>
      </w:r>
      <w:r w:rsidRPr="00871C12">
        <w:rPr>
          <w:rStyle w:val="word"/>
          <w:sz w:val="28"/>
          <w:szCs w:val="28"/>
        </w:rPr>
        <w:t>is</w:t>
      </w:r>
      <w:r w:rsidRPr="00871C12">
        <w:rPr>
          <w:rStyle w:val="phrase"/>
          <w:sz w:val="28"/>
          <w:szCs w:val="28"/>
        </w:rPr>
        <w:t xml:space="preserve"> </w:t>
      </w:r>
      <w:r w:rsidRPr="00871C12">
        <w:rPr>
          <w:rStyle w:val="word"/>
          <w:sz w:val="28"/>
          <w:szCs w:val="28"/>
        </w:rPr>
        <w:t>arguments</w:t>
      </w:r>
      <w:r w:rsidRPr="00871C12">
        <w:rPr>
          <w:rStyle w:val="phrase"/>
          <w:sz w:val="28"/>
          <w:szCs w:val="28"/>
        </w:rPr>
        <w:t xml:space="preserve"> </w:t>
      </w:r>
      <w:r w:rsidRPr="00871C12">
        <w:rPr>
          <w:rStyle w:val="word"/>
          <w:sz w:val="28"/>
          <w:szCs w:val="28"/>
        </w:rPr>
        <w:t>sakr</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kop</w:t>
      </w:r>
      <w:r w:rsidRPr="00871C12">
        <w:rPr>
          <w:rStyle w:val="word"/>
          <w:rFonts w:hint="eastAsia"/>
          <w:sz w:val="28"/>
          <w:szCs w:val="28"/>
        </w:rPr>
        <w:t>ē</w:t>
      </w:r>
      <w:r w:rsidRPr="00871C12">
        <w:rPr>
          <w:rStyle w:val="word"/>
          <w:sz w:val="28"/>
          <w:szCs w:val="28"/>
        </w:rPr>
        <w:t>jo</w:t>
      </w:r>
      <w:r w:rsidRPr="00871C12">
        <w:rPr>
          <w:rStyle w:val="phrase"/>
          <w:sz w:val="28"/>
          <w:szCs w:val="28"/>
        </w:rPr>
        <w:t xml:space="preserve"> </w:t>
      </w:r>
      <w:r w:rsidRPr="00871C12">
        <w:rPr>
          <w:rStyle w:val="word"/>
          <w:sz w:val="28"/>
          <w:szCs w:val="28"/>
        </w:rPr>
        <w:t>uzst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ī</w:t>
      </w:r>
      <w:r w:rsidRPr="00871C12">
        <w:rPr>
          <w:rStyle w:val="word"/>
          <w:sz w:val="28"/>
          <w:szCs w:val="28"/>
        </w:rPr>
        <w:t>jumu</w:t>
      </w:r>
      <w:r w:rsidRPr="00871C12">
        <w:rPr>
          <w:sz w:val="28"/>
          <w:szCs w:val="28"/>
        </w:rPr>
        <w:t xml:space="preserve"> </w:t>
      </w:r>
      <w:r w:rsidRPr="00871C12">
        <w:rPr>
          <w:rStyle w:val="word"/>
          <w:sz w:val="28"/>
          <w:szCs w:val="28"/>
        </w:rPr>
        <w:t>psiholog</w:t>
      </w:r>
      <w:r w:rsidR="00131A44">
        <w:rPr>
          <w:rStyle w:val="word"/>
          <w:sz w:val="28"/>
          <w:szCs w:val="28"/>
        </w:rPr>
        <w:t>u starpā</w:t>
      </w:r>
      <w:r w:rsidRPr="00871C12">
        <w:rPr>
          <w:rStyle w:val="word"/>
          <w:sz w:val="28"/>
          <w:szCs w:val="28"/>
        </w:rPr>
        <w:t>,</w:t>
      </w:r>
      <w:r w:rsidRPr="00871C12">
        <w:rPr>
          <w:rStyle w:val="phrase"/>
          <w:sz w:val="28"/>
          <w:szCs w:val="28"/>
        </w:rPr>
        <w:t xml:space="preserve"> </w:t>
      </w:r>
      <w:r w:rsidRPr="00871C12">
        <w:rPr>
          <w:rStyle w:val="word"/>
          <w:sz w:val="28"/>
          <w:szCs w:val="28"/>
        </w:rPr>
        <w:t>ka</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lmanis</w:t>
      </w:r>
      <w:r w:rsidRPr="00871C12">
        <w:rPr>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relaks</w:t>
      </w:r>
      <w:r w:rsidRPr="00871C12">
        <w:rPr>
          <w:rStyle w:val="word"/>
          <w:rFonts w:hint="eastAsia"/>
          <w:sz w:val="28"/>
          <w:szCs w:val="28"/>
        </w:rPr>
        <w:t>ā</w:t>
      </w:r>
      <w:r w:rsidRPr="00871C12">
        <w:rPr>
          <w:rStyle w:val="word"/>
          <w:sz w:val="28"/>
          <w:szCs w:val="28"/>
        </w:rPr>
        <w:t>ciju</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vesprieku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izmanto</w:t>
      </w:r>
      <w:r w:rsidRPr="00871C12">
        <w:rPr>
          <w:rStyle w:val="phrase"/>
          <w:sz w:val="28"/>
          <w:szCs w:val="28"/>
        </w:rPr>
        <w:t xml:space="preserve"> </w:t>
      </w:r>
      <w:r w:rsidRPr="00871C12">
        <w:rPr>
          <w:rStyle w:val="word"/>
          <w:sz w:val="28"/>
          <w:szCs w:val="28"/>
        </w:rPr>
        <w:t>azartsp</w:t>
      </w:r>
      <w:r w:rsidRPr="00871C12">
        <w:rPr>
          <w:rStyle w:val="word"/>
          <w:rFonts w:hint="eastAsia"/>
          <w:sz w:val="28"/>
          <w:szCs w:val="28"/>
        </w:rPr>
        <w:t>ē</w:t>
      </w:r>
      <w:r w:rsidRPr="00871C12">
        <w:rPr>
          <w:rStyle w:val="word"/>
          <w:sz w:val="28"/>
          <w:szCs w:val="28"/>
        </w:rPr>
        <w:t>les</w:t>
      </w:r>
      <w:r w:rsidRPr="00871C12">
        <w:rPr>
          <w:rStyle w:val="phrase"/>
          <w:sz w:val="28"/>
          <w:szCs w:val="28"/>
        </w:rPr>
        <w:t xml:space="preserve"> </w:t>
      </w:r>
      <w:r w:rsidRPr="00871C12">
        <w:rPr>
          <w:rStyle w:val="word"/>
          <w:sz w:val="28"/>
          <w:szCs w:val="28"/>
        </w:rPr>
        <w:t>k</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pa</w:t>
      </w:r>
      <w:r w:rsidRPr="00871C12">
        <w:rPr>
          <w:rStyle w:val="word"/>
          <w:rFonts w:hint="eastAsia"/>
          <w:sz w:val="28"/>
          <w:szCs w:val="28"/>
        </w:rPr>
        <w:t>šā</w:t>
      </w:r>
      <w:r w:rsidRPr="00871C12">
        <w:rPr>
          <w:rStyle w:val="word"/>
          <w:sz w:val="28"/>
          <w:szCs w:val="28"/>
        </w:rPr>
        <w:t>rst</w:t>
      </w:r>
      <w:r w:rsidRPr="00871C12">
        <w:rPr>
          <w:rStyle w:val="word"/>
          <w:rFonts w:hint="eastAsia"/>
          <w:sz w:val="28"/>
          <w:szCs w:val="28"/>
        </w:rPr>
        <w:t>ēš</w:t>
      </w:r>
      <w:r w:rsidRPr="00871C12">
        <w:rPr>
          <w:rStyle w:val="word"/>
          <w:sz w:val="28"/>
          <w:szCs w:val="28"/>
        </w:rPr>
        <w:t>anos</w:t>
      </w:r>
      <w:r w:rsidRPr="00871C12">
        <w:rPr>
          <w:rStyle w:val="phrase"/>
          <w:sz w:val="28"/>
          <w:szCs w:val="28"/>
        </w:rPr>
        <w:t xml:space="preserve"> </w:t>
      </w:r>
      <w:r w:rsidRPr="00871C12">
        <w:rPr>
          <w:rStyle w:val="word"/>
          <w:sz w:val="28"/>
          <w:szCs w:val="28"/>
        </w:rPr>
        <w:t>patolo</w:t>
      </w:r>
      <w:r w:rsidRPr="00871C12">
        <w:rPr>
          <w:rStyle w:val="word"/>
          <w:rFonts w:hint="eastAsia"/>
          <w:sz w:val="28"/>
          <w:szCs w:val="28"/>
        </w:rPr>
        <w:t>ģ</w:t>
      </w:r>
      <w:r w:rsidRPr="00871C12">
        <w:rPr>
          <w:rStyle w:val="word"/>
          <w:sz w:val="28"/>
          <w:szCs w:val="28"/>
        </w:rPr>
        <w:t>isku</w:t>
      </w:r>
      <w:r w:rsidRPr="00871C12">
        <w:rPr>
          <w:rStyle w:val="phrase"/>
          <w:sz w:val="28"/>
          <w:szCs w:val="28"/>
        </w:rPr>
        <w:t xml:space="preserve"> </w:t>
      </w:r>
      <w:r w:rsidRPr="00871C12">
        <w:rPr>
          <w:rStyle w:val="word"/>
          <w:sz w:val="28"/>
          <w:szCs w:val="28"/>
        </w:rPr>
        <w:t>iemeslu</w:t>
      </w:r>
      <w:r w:rsidRPr="00871C12">
        <w:rPr>
          <w:rStyle w:val="phrase"/>
          <w:sz w:val="28"/>
          <w:szCs w:val="28"/>
        </w:rPr>
        <w:t xml:space="preserve"> </w:t>
      </w:r>
      <w:r w:rsidRPr="00871C12">
        <w:rPr>
          <w:rStyle w:val="word"/>
          <w:sz w:val="28"/>
          <w:szCs w:val="28"/>
        </w:rPr>
        <w:t>d</w:t>
      </w:r>
      <w:r w:rsidRPr="00871C12">
        <w:rPr>
          <w:rStyle w:val="word"/>
          <w:rFonts w:hint="eastAsia"/>
          <w:sz w:val="28"/>
          <w:szCs w:val="28"/>
        </w:rPr>
        <w:t>ēļ</w:t>
      </w:r>
      <w:r w:rsidRPr="00871C12">
        <w:rPr>
          <w:sz w:val="28"/>
          <w:szCs w:val="28"/>
        </w:rPr>
        <w:t>.</w:t>
      </w:r>
    </w:p>
    <w:p w:rsidR="003725D7" w:rsidRPr="001433E9" w:rsidRDefault="003725D7" w:rsidP="000A3334">
      <w:pPr>
        <w:pStyle w:val="mt-translation"/>
        <w:spacing w:before="0" w:beforeAutospacing="0" w:after="0" w:afterAutospacing="0"/>
        <w:ind w:firstLine="567"/>
        <w:jc w:val="both"/>
        <w:rPr>
          <w:sz w:val="28"/>
          <w:szCs w:val="28"/>
        </w:rPr>
      </w:pP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teorija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atrodas pa vidu</w:t>
      </w:r>
      <w:r w:rsidRPr="00871C12">
        <w:rPr>
          <w:rStyle w:val="phrase"/>
          <w:sz w:val="28"/>
          <w:szCs w:val="28"/>
        </w:rPr>
        <w:t xml:space="preserve"> </w:t>
      </w:r>
      <w:r w:rsidRPr="00871C12">
        <w:rPr>
          <w:rStyle w:val="word"/>
          <w:sz w:val="28"/>
          <w:szCs w:val="28"/>
        </w:rPr>
        <w:t>starp</w:t>
      </w:r>
      <w:r w:rsidRPr="00871C12">
        <w:rPr>
          <w:rStyle w:val="phrase"/>
          <w:sz w:val="28"/>
          <w:szCs w:val="28"/>
        </w:rPr>
        <w:t xml:space="preserve"> </w:t>
      </w:r>
      <w:r w:rsidRPr="00871C12">
        <w:rPr>
          <w:rStyle w:val="word"/>
          <w:sz w:val="28"/>
          <w:szCs w:val="28"/>
        </w:rPr>
        <w:t>min</w:t>
      </w:r>
      <w:r w:rsidRPr="00871C12">
        <w:rPr>
          <w:rStyle w:val="word"/>
          <w:rFonts w:hint="eastAsia"/>
          <w:sz w:val="28"/>
          <w:szCs w:val="28"/>
        </w:rPr>
        <w:t>ē</w:t>
      </w:r>
      <w:r w:rsidRPr="00871C12">
        <w:rPr>
          <w:rStyle w:val="word"/>
          <w:sz w:val="28"/>
          <w:szCs w:val="28"/>
        </w:rPr>
        <w:t>to sociolo</w:t>
      </w:r>
      <w:r w:rsidRPr="00871C12">
        <w:rPr>
          <w:rStyle w:val="word"/>
          <w:rFonts w:hint="eastAsia"/>
          <w:sz w:val="28"/>
          <w:szCs w:val="28"/>
        </w:rPr>
        <w:t>ģ</w:t>
      </w:r>
      <w:r w:rsidRPr="00871C12">
        <w:rPr>
          <w:rStyle w:val="word"/>
          <w:sz w:val="28"/>
          <w:szCs w:val="28"/>
        </w:rPr>
        <w:t>isko</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psiholo</w:t>
      </w:r>
      <w:r w:rsidRPr="00871C12">
        <w:rPr>
          <w:rStyle w:val="word"/>
          <w:rFonts w:hint="eastAsia"/>
          <w:sz w:val="28"/>
          <w:szCs w:val="28"/>
        </w:rPr>
        <w:t>ģ</w:t>
      </w:r>
      <w:r w:rsidRPr="00871C12">
        <w:rPr>
          <w:rStyle w:val="word"/>
          <w:sz w:val="28"/>
          <w:szCs w:val="28"/>
        </w:rPr>
        <w:t>isko</w:t>
      </w:r>
      <w:r w:rsidRPr="00871C12">
        <w:rPr>
          <w:sz w:val="28"/>
          <w:szCs w:val="28"/>
        </w:rPr>
        <w:t xml:space="preserve"> </w:t>
      </w:r>
      <w:r w:rsidR="00E62969">
        <w:rPr>
          <w:rStyle w:val="word"/>
          <w:sz w:val="28"/>
          <w:szCs w:val="28"/>
        </w:rPr>
        <w:t xml:space="preserve">pieeju: </w:t>
      </w:r>
      <w:r w:rsidRPr="00871C12">
        <w:rPr>
          <w:rStyle w:val="word"/>
          <w:sz w:val="28"/>
          <w:szCs w:val="28"/>
        </w:rPr>
        <w:t>fokus</w:t>
      </w:r>
      <w:r w:rsidRPr="00871C12">
        <w:rPr>
          <w:rStyle w:val="word"/>
          <w:rFonts w:hint="eastAsia"/>
          <w:sz w:val="28"/>
          <w:szCs w:val="28"/>
        </w:rPr>
        <w:t>ē</w:t>
      </w:r>
      <w:r w:rsidRPr="00871C12">
        <w:rPr>
          <w:rStyle w:val="word"/>
          <w:sz w:val="28"/>
          <w:szCs w:val="28"/>
        </w:rPr>
        <w:t>jas maz</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uz</w:t>
      </w:r>
      <w:r w:rsidRPr="00871C12">
        <w:rPr>
          <w:rStyle w:val="phrase"/>
          <w:sz w:val="28"/>
          <w:szCs w:val="28"/>
        </w:rPr>
        <w:t xml:space="preserve"> </w:t>
      </w:r>
      <w:r w:rsidRPr="00871C12">
        <w:rPr>
          <w:rStyle w:val="word"/>
          <w:sz w:val="28"/>
          <w:szCs w:val="28"/>
        </w:rPr>
        <w:t>pozit</w:t>
      </w:r>
      <w:r w:rsidRPr="00871C12">
        <w:rPr>
          <w:rStyle w:val="word"/>
          <w:rFonts w:hint="eastAsia"/>
          <w:sz w:val="28"/>
          <w:szCs w:val="28"/>
        </w:rPr>
        <w:t>ī</w:t>
      </w:r>
      <w:r w:rsidRPr="00871C12">
        <w:rPr>
          <w:rStyle w:val="word"/>
          <w:sz w:val="28"/>
          <w:szCs w:val="28"/>
        </w:rPr>
        <w:t>vu</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ēš</w:t>
      </w:r>
      <w:r w:rsidRPr="00871C12">
        <w:rPr>
          <w:rStyle w:val="word"/>
          <w:sz w:val="28"/>
          <w:szCs w:val="28"/>
        </w:rPr>
        <w:t>anas</w:t>
      </w:r>
      <w:r w:rsidRPr="00871C12">
        <w:rPr>
          <w:rStyle w:val="phrase"/>
          <w:sz w:val="28"/>
          <w:szCs w:val="28"/>
        </w:rPr>
        <w:t xml:space="preserve"> </w:t>
      </w:r>
      <w:r w:rsidRPr="00871C12">
        <w:rPr>
          <w:rStyle w:val="word"/>
          <w:sz w:val="28"/>
          <w:szCs w:val="28"/>
        </w:rPr>
        <w:t>pieredzi,</w:t>
      </w:r>
      <w:r w:rsidRPr="00871C12">
        <w:rPr>
          <w:rStyle w:val="phrase"/>
          <w:sz w:val="28"/>
          <w:szCs w:val="28"/>
        </w:rPr>
        <w:t xml:space="preserve"> </w:t>
      </w:r>
      <w:r w:rsidRPr="00871C12">
        <w:rPr>
          <w:rStyle w:val="word"/>
          <w:sz w:val="28"/>
          <w:szCs w:val="28"/>
        </w:rPr>
        <w:t>bet vair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run</w:t>
      </w:r>
      <w:r w:rsidRPr="00871C12">
        <w:rPr>
          <w:rStyle w:val="word"/>
          <w:rFonts w:hint="eastAsia"/>
          <w:sz w:val="28"/>
          <w:szCs w:val="28"/>
        </w:rPr>
        <w:t>ā</w:t>
      </w:r>
      <w:r w:rsidRPr="00871C12">
        <w:rPr>
          <w:rStyle w:val="word"/>
          <w:sz w:val="28"/>
          <w:szCs w:val="28"/>
        </w:rPr>
        <w:t xml:space="preserve"> par br</w:t>
      </w:r>
      <w:r w:rsidRPr="00871C12">
        <w:rPr>
          <w:rStyle w:val="word"/>
          <w:rFonts w:hint="eastAsia"/>
          <w:sz w:val="28"/>
          <w:szCs w:val="28"/>
        </w:rPr>
        <w:t>ī</w:t>
      </w:r>
      <w:r w:rsidRPr="00871C12">
        <w:rPr>
          <w:rStyle w:val="word"/>
          <w:sz w:val="28"/>
          <w:szCs w:val="28"/>
        </w:rPr>
        <w:t>va laika pavad</w:t>
      </w:r>
      <w:r w:rsidRPr="00871C12">
        <w:rPr>
          <w:rStyle w:val="word"/>
          <w:rFonts w:hint="eastAsia"/>
          <w:sz w:val="28"/>
          <w:szCs w:val="28"/>
        </w:rPr>
        <w:t>īš</w:t>
      </w:r>
      <w:r w:rsidRPr="00871C12">
        <w:rPr>
          <w:rStyle w:val="word"/>
          <w:sz w:val="28"/>
          <w:szCs w:val="28"/>
        </w:rPr>
        <w:t>anu, nevis patolo</w:t>
      </w:r>
      <w:r w:rsidRPr="00871C12">
        <w:rPr>
          <w:rStyle w:val="word"/>
          <w:rFonts w:hint="eastAsia"/>
          <w:sz w:val="28"/>
          <w:szCs w:val="28"/>
        </w:rPr>
        <w:t>ģ</w:t>
      </w:r>
      <w:r w:rsidRPr="00871C12">
        <w:rPr>
          <w:rStyle w:val="word"/>
          <w:sz w:val="28"/>
          <w:szCs w:val="28"/>
        </w:rPr>
        <w:t xml:space="preserve">isko tieksmi.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teorija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apvieno</w:t>
      </w:r>
      <w:r w:rsidRPr="00871C12">
        <w:rPr>
          <w:rStyle w:val="phrase"/>
          <w:sz w:val="28"/>
          <w:szCs w:val="28"/>
        </w:rPr>
        <w:t xml:space="preserve"> </w:t>
      </w:r>
      <w:r w:rsidRPr="00871C12">
        <w:rPr>
          <w:rStyle w:val="word"/>
          <w:sz w:val="28"/>
          <w:szCs w:val="28"/>
        </w:rPr>
        <w:t>sociolo</w:t>
      </w:r>
      <w:r w:rsidRPr="00871C12">
        <w:rPr>
          <w:rStyle w:val="word"/>
          <w:rFonts w:hint="eastAsia"/>
          <w:sz w:val="28"/>
          <w:szCs w:val="28"/>
        </w:rPr>
        <w:t>ģ</w:t>
      </w:r>
      <w:r w:rsidRPr="00871C12">
        <w:rPr>
          <w:rStyle w:val="word"/>
          <w:sz w:val="28"/>
          <w:szCs w:val="28"/>
        </w:rPr>
        <w:t>isku,</w:t>
      </w:r>
      <w:r w:rsidRPr="00871C12">
        <w:rPr>
          <w:sz w:val="28"/>
          <w:szCs w:val="28"/>
        </w:rPr>
        <w:t xml:space="preserve"> </w:t>
      </w:r>
      <w:r w:rsidRPr="00871C12">
        <w:rPr>
          <w:rStyle w:val="word"/>
          <w:sz w:val="28"/>
          <w:szCs w:val="28"/>
        </w:rPr>
        <w:t>psiholo</w:t>
      </w:r>
      <w:r w:rsidRPr="00871C12">
        <w:rPr>
          <w:rStyle w:val="word"/>
          <w:rFonts w:hint="eastAsia"/>
          <w:sz w:val="28"/>
          <w:szCs w:val="28"/>
        </w:rPr>
        <w:t>ģ</w:t>
      </w:r>
      <w:r w:rsidRPr="00871C12">
        <w:rPr>
          <w:rStyle w:val="word"/>
          <w:sz w:val="28"/>
          <w:szCs w:val="28"/>
        </w:rPr>
        <w:t>isku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kult</w:t>
      </w:r>
      <w:r w:rsidRPr="00871C12">
        <w:rPr>
          <w:rStyle w:val="word"/>
          <w:rFonts w:hint="eastAsia"/>
          <w:sz w:val="28"/>
          <w:szCs w:val="28"/>
        </w:rPr>
        <w:t>ū</w:t>
      </w:r>
      <w:r w:rsidRPr="00871C12">
        <w:rPr>
          <w:rStyle w:val="word"/>
          <w:sz w:val="28"/>
          <w:szCs w:val="28"/>
        </w:rPr>
        <w:t>ras</w:t>
      </w:r>
      <w:r w:rsidRPr="00871C12">
        <w:rPr>
          <w:rStyle w:val="phrase"/>
          <w:sz w:val="28"/>
          <w:szCs w:val="28"/>
        </w:rPr>
        <w:t xml:space="preserve"> </w:t>
      </w:r>
      <w:r w:rsidRPr="00871C12">
        <w:rPr>
          <w:rStyle w:val="word"/>
          <w:sz w:val="28"/>
          <w:szCs w:val="28"/>
        </w:rPr>
        <w:t>perspekt</w:t>
      </w:r>
      <w:r w:rsidRPr="00871C12">
        <w:rPr>
          <w:rStyle w:val="word"/>
          <w:rFonts w:hint="eastAsia"/>
          <w:sz w:val="28"/>
          <w:szCs w:val="28"/>
        </w:rPr>
        <w:t>ī</w:t>
      </w:r>
      <w:r w:rsidRPr="00871C12">
        <w:rPr>
          <w:rStyle w:val="word"/>
          <w:sz w:val="28"/>
          <w:szCs w:val="28"/>
        </w:rPr>
        <w:t>vu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to</w:t>
      </w:r>
      <w:r w:rsidRPr="00871C12">
        <w:rPr>
          <w:rStyle w:val="phrase"/>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ris</w:t>
      </w:r>
      <w:r w:rsidRPr="00871C12">
        <w:rPr>
          <w:rStyle w:val="phrase"/>
          <w:sz w:val="28"/>
          <w:szCs w:val="28"/>
        </w:rPr>
        <w:t xml:space="preserve"> </w:t>
      </w:r>
      <w:r w:rsidRPr="00871C12">
        <w:rPr>
          <w:rStyle w:val="word"/>
          <w:sz w:val="28"/>
          <w:szCs w:val="28"/>
        </w:rPr>
        <w:t>desmitu</w:t>
      </w:r>
      <w:r w:rsidRPr="00871C12">
        <w:rPr>
          <w:rStyle w:val="phrase"/>
          <w:sz w:val="28"/>
          <w:szCs w:val="28"/>
        </w:rPr>
        <w:t xml:space="preserve"> </w:t>
      </w:r>
      <w:r w:rsidRPr="00871C12">
        <w:rPr>
          <w:rStyle w:val="word"/>
          <w:sz w:val="28"/>
          <w:szCs w:val="28"/>
        </w:rPr>
        <w:t>gadu</w:t>
      </w:r>
      <w:r w:rsidRPr="00871C12">
        <w:rPr>
          <w:rStyle w:val="phrase"/>
          <w:sz w:val="28"/>
          <w:szCs w:val="28"/>
        </w:rPr>
        <w:t xml:space="preserve"> </w:t>
      </w:r>
      <w:r w:rsidRPr="00871C12">
        <w:rPr>
          <w:rStyle w:val="word"/>
          <w:sz w:val="28"/>
          <w:szCs w:val="28"/>
        </w:rPr>
        <w:t>laik</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formul</w:t>
      </w:r>
      <w:r w:rsidRPr="00871C12">
        <w:rPr>
          <w:rStyle w:val="word"/>
          <w:rFonts w:hint="eastAsia"/>
          <w:sz w:val="28"/>
          <w:szCs w:val="28"/>
        </w:rPr>
        <w:t>ē</w:t>
      </w:r>
      <w:r w:rsidRPr="00871C12">
        <w:rPr>
          <w:rStyle w:val="word"/>
          <w:sz w:val="28"/>
          <w:szCs w:val="28"/>
        </w:rPr>
        <w:t>jis</w:t>
      </w:r>
      <w:r w:rsidRPr="00871C12">
        <w:rPr>
          <w:rStyle w:val="phrase"/>
          <w:sz w:val="28"/>
          <w:szCs w:val="28"/>
        </w:rPr>
        <w:t xml:space="preserve"> </w:t>
      </w:r>
      <w:r w:rsidRPr="00871C12">
        <w:rPr>
          <w:rStyle w:val="word"/>
          <w:sz w:val="28"/>
          <w:szCs w:val="28"/>
        </w:rPr>
        <w:t>amerik</w:t>
      </w:r>
      <w:r w:rsidRPr="00871C12">
        <w:rPr>
          <w:rStyle w:val="word"/>
          <w:rFonts w:hint="eastAsia"/>
          <w:sz w:val="28"/>
          <w:szCs w:val="28"/>
        </w:rPr>
        <w:t>āņ</w:t>
      </w:r>
      <w:r w:rsidRPr="00871C12">
        <w:rPr>
          <w:rStyle w:val="word"/>
          <w:sz w:val="28"/>
          <w:szCs w:val="28"/>
        </w:rPr>
        <w:t>u</w:t>
      </w:r>
      <w:r w:rsidRPr="00871C12">
        <w:rPr>
          <w:rStyle w:val="phrase"/>
          <w:sz w:val="28"/>
          <w:szCs w:val="28"/>
        </w:rPr>
        <w:t xml:space="preserve"> </w:t>
      </w:r>
      <w:r w:rsidRPr="00871C12">
        <w:rPr>
          <w:rStyle w:val="word"/>
          <w:sz w:val="28"/>
          <w:szCs w:val="28"/>
        </w:rPr>
        <w:t>psihologs</w:t>
      </w:r>
      <w:r w:rsidRPr="00871C12">
        <w:rPr>
          <w:rStyle w:val="phrase"/>
          <w:sz w:val="28"/>
          <w:szCs w:val="28"/>
        </w:rPr>
        <w:t xml:space="preserve"> </w:t>
      </w:r>
      <w:r w:rsidR="00131A44" w:rsidRPr="001433E9">
        <w:rPr>
          <w:sz w:val="28"/>
          <w:szCs w:val="28"/>
        </w:rPr>
        <w:t>Mihājs Čīksentmihāji (</w:t>
      </w:r>
      <w:r w:rsidR="00131A44" w:rsidRPr="0066503A">
        <w:rPr>
          <w:sz w:val="28"/>
          <w:szCs w:val="28"/>
        </w:rPr>
        <w:t>ang.</w:t>
      </w:r>
      <w:r w:rsidR="00AD7092" w:rsidRPr="0066503A">
        <w:rPr>
          <w:sz w:val="28"/>
          <w:szCs w:val="28"/>
        </w:rPr>
        <w:t xml:space="preserve"> val.</w:t>
      </w:r>
      <w:r w:rsidR="00131A44" w:rsidRPr="001433E9">
        <w:rPr>
          <w:sz w:val="28"/>
          <w:szCs w:val="28"/>
        </w:rPr>
        <w:t xml:space="preserve"> </w:t>
      </w:r>
      <w:r w:rsidR="00131A44" w:rsidRPr="00A80C1E">
        <w:rPr>
          <w:rStyle w:val="word"/>
          <w:i/>
          <w:sz w:val="28"/>
          <w:szCs w:val="28"/>
        </w:rPr>
        <w:t>Mihaly</w:t>
      </w:r>
      <w:r w:rsidR="00131A44" w:rsidRPr="00A80C1E">
        <w:rPr>
          <w:rStyle w:val="phrase"/>
          <w:i/>
          <w:sz w:val="28"/>
          <w:szCs w:val="28"/>
        </w:rPr>
        <w:t xml:space="preserve"> </w:t>
      </w:r>
      <w:r w:rsidR="00131A44" w:rsidRPr="00A80C1E">
        <w:rPr>
          <w:rStyle w:val="word"/>
          <w:i/>
          <w:sz w:val="28"/>
          <w:szCs w:val="28"/>
        </w:rPr>
        <w:t>Csikszentmihalyi</w:t>
      </w:r>
      <w:r w:rsidR="00131A44" w:rsidRPr="001433E9">
        <w:rPr>
          <w:rStyle w:val="word"/>
          <w:sz w:val="28"/>
          <w:szCs w:val="28"/>
        </w:rPr>
        <w:t>)</w:t>
      </w:r>
      <w:r w:rsidRPr="001433E9">
        <w:rPr>
          <w:rStyle w:val="word"/>
          <w:sz w:val="28"/>
          <w:szCs w:val="28"/>
        </w:rPr>
        <w:t xml:space="preserve">. Par </w:t>
      </w:r>
      <w:r w:rsidRPr="001433E9">
        <w:rPr>
          <w:rStyle w:val="word"/>
          <w:rFonts w:hint="eastAsia"/>
          <w:sz w:val="28"/>
          <w:szCs w:val="28"/>
        </w:rPr>
        <w:t>“</w:t>
      </w:r>
      <w:r w:rsidRPr="001433E9">
        <w:rPr>
          <w:rStyle w:val="word"/>
          <w:sz w:val="28"/>
          <w:szCs w:val="28"/>
        </w:rPr>
        <w:t>Pl</w:t>
      </w:r>
      <w:r w:rsidRPr="001433E9">
        <w:rPr>
          <w:rStyle w:val="word"/>
          <w:rFonts w:hint="eastAsia"/>
          <w:sz w:val="28"/>
          <w:szCs w:val="28"/>
        </w:rPr>
        <w:t>ū</w:t>
      </w:r>
      <w:r w:rsidRPr="001433E9">
        <w:rPr>
          <w:rStyle w:val="word"/>
          <w:sz w:val="28"/>
          <w:szCs w:val="28"/>
        </w:rPr>
        <w:t>smas teorijas</w:t>
      </w:r>
      <w:r w:rsidRPr="001433E9">
        <w:rPr>
          <w:rStyle w:val="word"/>
          <w:rFonts w:hint="eastAsia"/>
          <w:sz w:val="28"/>
          <w:szCs w:val="28"/>
        </w:rPr>
        <w:t>”</w:t>
      </w:r>
      <w:r w:rsidRPr="001433E9">
        <w:rPr>
          <w:rStyle w:val="word"/>
          <w:sz w:val="28"/>
          <w:szCs w:val="28"/>
        </w:rPr>
        <w:t xml:space="preserve"> attiecin</w:t>
      </w:r>
      <w:r w:rsidRPr="001433E9">
        <w:rPr>
          <w:rStyle w:val="word"/>
          <w:rFonts w:hint="eastAsia"/>
          <w:sz w:val="28"/>
          <w:szCs w:val="28"/>
        </w:rPr>
        <w:t>āš</w:t>
      </w:r>
      <w:r w:rsidRPr="001433E9">
        <w:rPr>
          <w:rStyle w:val="word"/>
          <w:sz w:val="28"/>
          <w:szCs w:val="28"/>
        </w:rPr>
        <w:t>anu uz azartsp</w:t>
      </w:r>
      <w:r w:rsidRPr="001433E9">
        <w:rPr>
          <w:rStyle w:val="word"/>
          <w:rFonts w:hint="eastAsia"/>
          <w:sz w:val="28"/>
          <w:szCs w:val="28"/>
        </w:rPr>
        <w:t>ē</w:t>
      </w:r>
      <w:r w:rsidRPr="001433E9">
        <w:rPr>
          <w:rStyle w:val="word"/>
          <w:sz w:val="28"/>
          <w:szCs w:val="28"/>
        </w:rPr>
        <w:t>l</w:t>
      </w:r>
      <w:r w:rsidRPr="001433E9">
        <w:rPr>
          <w:rStyle w:val="word"/>
          <w:rFonts w:hint="eastAsia"/>
          <w:sz w:val="28"/>
          <w:szCs w:val="28"/>
        </w:rPr>
        <w:t>ē</w:t>
      </w:r>
      <w:r w:rsidRPr="001433E9">
        <w:rPr>
          <w:rStyle w:val="word"/>
          <w:sz w:val="28"/>
          <w:szCs w:val="28"/>
        </w:rPr>
        <w:t xml:space="preserve">m </w:t>
      </w:r>
      <w:r w:rsidR="00131A44" w:rsidRPr="001433E9">
        <w:rPr>
          <w:sz w:val="28"/>
          <w:szCs w:val="28"/>
        </w:rPr>
        <w:t xml:space="preserve">Mihājs Čīksentmihāji </w:t>
      </w:r>
      <w:r w:rsidRPr="001433E9">
        <w:rPr>
          <w:rStyle w:val="word"/>
          <w:sz w:val="28"/>
          <w:szCs w:val="28"/>
        </w:rPr>
        <w:t>izsak</w:t>
      </w:r>
      <w:r w:rsidRPr="001433E9">
        <w:rPr>
          <w:rStyle w:val="word"/>
          <w:rFonts w:hint="eastAsia"/>
          <w:sz w:val="28"/>
          <w:szCs w:val="28"/>
        </w:rPr>
        <w:t>ā</w:t>
      </w:r>
      <w:r w:rsidRPr="001433E9">
        <w:rPr>
          <w:rStyle w:val="word"/>
          <w:sz w:val="28"/>
          <w:szCs w:val="28"/>
        </w:rPr>
        <w:t xml:space="preserve">s </w:t>
      </w:r>
      <w:r w:rsidRPr="001433E9">
        <w:rPr>
          <w:rStyle w:val="word"/>
          <w:rFonts w:hint="eastAsia"/>
          <w:sz w:val="28"/>
          <w:szCs w:val="28"/>
        </w:rPr>
        <w:t>ž</w:t>
      </w:r>
      <w:r w:rsidRPr="001433E9">
        <w:rPr>
          <w:rStyle w:val="word"/>
          <w:sz w:val="28"/>
          <w:szCs w:val="28"/>
        </w:rPr>
        <w:t>urn</w:t>
      </w:r>
      <w:r w:rsidRPr="001433E9">
        <w:rPr>
          <w:rStyle w:val="word"/>
          <w:rFonts w:hint="eastAsia"/>
          <w:sz w:val="28"/>
          <w:szCs w:val="28"/>
        </w:rPr>
        <w:t>ā</w:t>
      </w:r>
      <w:r w:rsidRPr="001433E9">
        <w:rPr>
          <w:rStyle w:val="word"/>
          <w:sz w:val="28"/>
          <w:szCs w:val="28"/>
        </w:rPr>
        <w:t>l</w:t>
      </w:r>
      <w:r w:rsidRPr="001433E9">
        <w:rPr>
          <w:rStyle w:val="word"/>
          <w:rFonts w:hint="eastAsia"/>
          <w:sz w:val="28"/>
          <w:szCs w:val="28"/>
        </w:rPr>
        <w:t>ā</w:t>
      </w:r>
      <w:r w:rsidRPr="001433E9">
        <w:rPr>
          <w:rStyle w:val="word"/>
          <w:sz w:val="28"/>
          <w:szCs w:val="28"/>
        </w:rPr>
        <w:t xml:space="preserve"> </w:t>
      </w:r>
      <w:r w:rsidR="0089565A" w:rsidRPr="001433E9">
        <w:rPr>
          <w:rStyle w:val="word"/>
          <w:sz w:val="28"/>
          <w:szCs w:val="28"/>
        </w:rPr>
        <w:t>“</w:t>
      </w:r>
      <w:r w:rsidRPr="001433E9">
        <w:rPr>
          <w:rStyle w:val="word"/>
          <w:sz w:val="28"/>
          <w:szCs w:val="28"/>
        </w:rPr>
        <w:t>American</w:t>
      </w:r>
      <w:r w:rsidRPr="001433E9">
        <w:rPr>
          <w:rStyle w:val="phrase"/>
          <w:sz w:val="28"/>
          <w:szCs w:val="28"/>
        </w:rPr>
        <w:t xml:space="preserve"> </w:t>
      </w:r>
      <w:r w:rsidRPr="001433E9">
        <w:rPr>
          <w:rStyle w:val="word"/>
          <w:sz w:val="28"/>
          <w:szCs w:val="28"/>
        </w:rPr>
        <w:t>Anthropologist</w:t>
      </w:r>
      <w:r w:rsidR="0089565A" w:rsidRPr="001433E9">
        <w:rPr>
          <w:rStyle w:val="word"/>
          <w:sz w:val="28"/>
          <w:szCs w:val="28"/>
        </w:rPr>
        <w:t>”.</w:t>
      </w:r>
    </w:p>
    <w:p w:rsidR="003725D7" w:rsidRPr="00871C12" w:rsidRDefault="003725D7" w:rsidP="000A3334">
      <w:pPr>
        <w:pStyle w:val="mt-translation"/>
        <w:spacing w:before="0" w:beforeAutospacing="0" w:after="0" w:afterAutospacing="0"/>
        <w:ind w:firstLine="567"/>
        <w:jc w:val="both"/>
        <w:rPr>
          <w:sz w:val="28"/>
          <w:szCs w:val="28"/>
        </w:rPr>
      </w:pP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tiek</w:t>
      </w:r>
      <w:r w:rsidRPr="00871C12">
        <w:rPr>
          <w:rStyle w:val="phrase"/>
          <w:sz w:val="28"/>
          <w:szCs w:val="28"/>
        </w:rPr>
        <w:t xml:space="preserve"> </w:t>
      </w:r>
      <w:r w:rsidRPr="00871C12">
        <w:rPr>
          <w:rStyle w:val="word"/>
          <w:sz w:val="28"/>
          <w:szCs w:val="28"/>
        </w:rPr>
        <w:t>defin</w:t>
      </w:r>
      <w:r w:rsidRPr="00871C12">
        <w:rPr>
          <w:rStyle w:val="word"/>
          <w:rFonts w:hint="eastAsia"/>
          <w:sz w:val="28"/>
          <w:szCs w:val="28"/>
        </w:rPr>
        <w:t>ē</w:t>
      </w:r>
      <w:r w:rsidRPr="00871C12">
        <w:rPr>
          <w:rStyle w:val="word"/>
          <w:sz w:val="28"/>
          <w:szCs w:val="28"/>
        </w:rPr>
        <w:t>ta</w:t>
      </w:r>
      <w:r w:rsidRPr="00871C12">
        <w:rPr>
          <w:rStyle w:val="phrase"/>
          <w:sz w:val="28"/>
          <w:szCs w:val="28"/>
        </w:rPr>
        <w:t xml:space="preserve"> </w:t>
      </w:r>
      <w:r w:rsidRPr="00871C12">
        <w:rPr>
          <w:rStyle w:val="word"/>
          <w:sz w:val="28"/>
          <w:szCs w:val="28"/>
        </w:rPr>
        <w:t>k</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optim</w:t>
      </w:r>
      <w:r w:rsidRPr="00871C12">
        <w:rPr>
          <w:rStyle w:val="word"/>
          <w:rFonts w:hint="eastAsia"/>
          <w:sz w:val="28"/>
          <w:szCs w:val="28"/>
        </w:rPr>
        <w:t>ā</w:t>
      </w:r>
      <w:r w:rsidRPr="00871C12">
        <w:rPr>
          <w:rStyle w:val="word"/>
          <w:sz w:val="28"/>
          <w:szCs w:val="28"/>
        </w:rPr>
        <w:t>las</w:t>
      </w:r>
      <w:r w:rsidRPr="00871C12">
        <w:rPr>
          <w:rStyle w:val="phrase"/>
          <w:sz w:val="28"/>
          <w:szCs w:val="28"/>
        </w:rPr>
        <w:t xml:space="preserve"> </w:t>
      </w:r>
      <w:r w:rsidRPr="00871C12">
        <w:rPr>
          <w:rStyle w:val="word"/>
          <w:sz w:val="28"/>
          <w:szCs w:val="28"/>
        </w:rPr>
        <w:t>pieredzes</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veidojas</w:t>
      </w:r>
      <w:r w:rsidRPr="00871C12">
        <w:rPr>
          <w:sz w:val="28"/>
          <w:szCs w:val="28"/>
        </w:rPr>
        <w:t xml:space="preserve"> </w:t>
      </w:r>
      <w:r w:rsidRPr="00871C12">
        <w:rPr>
          <w:rStyle w:val="word"/>
          <w:sz w:val="28"/>
          <w:szCs w:val="28"/>
        </w:rPr>
        <w:t>p</w:t>
      </w:r>
      <w:r w:rsidRPr="00871C12">
        <w:rPr>
          <w:rStyle w:val="word"/>
          <w:rFonts w:hint="eastAsia"/>
          <w:sz w:val="28"/>
          <w:szCs w:val="28"/>
        </w:rPr>
        <w:t>ē</w:t>
      </w:r>
      <w:r w:rsidRPr="00871C12">
        <w:rPr>
          <w:rStyle w:val="word"/>
          <w:sz w:val="28"/>
          <w:szCs w:val="28"/>
        </w:rPr>
        <w:t>c</w:t>
      </w:r>
      <w:r w:rsidRPr="00871C12">
        <w:rPr>
          <w:rStyle w:val="phrase"/>
          <w:sz w:val="28"/>
          <w:szCs w:val="28"/>
        </w:rPr>
        <w:t xml:space="preserve"> </w:t>
      </w:r>
      <w:r w:rsidRPr="00871C12">
        <w:rPr>
          <w:rStyle w:val="word"/>
          <w:sz w:val="28"/>
          <w:szCs w:val="28"/>
        </w:rPr>
        <w:t>noteikt</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aktivit</w:t>
      </w:r>
      <w:r w:rsidRPr="00871C12">
        <w:rPr>
          <w:rStyle w:val="word"/>
          <w:rFonts w:hint="eastAsia"/>
          <w:sz w:val="28"/>
          <w:szCs w:val="28"/>
        </w:rPr>
        <w:t>ā</w:t>
      </w:r>
      <w:r w:rsidRPr="00871C12">
        <w:rPr>
          <w:rStyle w:val="word"/>
          <w:sz w:val="28"/>
          <w:szCs w:val="28"/>
        </w:rPr>
        <w:t>t</w:t>
      </w:r>
      <w:r w:rsidRPr="00871C12">
        <w:rPr>
          <w:rStyle w:val="word"/>
          <w:rFonts w:hint="eastAsia"/>
          <w:sz w:val="28"/>
          <w:szCs w:val="28"/>
        </w:rPr>
        <w:t>ē</w:t>
      </w:r>
      <w:r w:rsidRPr="00871C12">
        <w:rPr>
          <w:rStyle w:val="word"/>
          <w:sz w:val="28"/>
          <w:szCs w:val="28"/>
        </w:rPr>
        <w:t>m</w:t>
      </w:r>
      <w:r w:rsidR="00A92098">
        <w:rPr>
          <w:rStyle w:val="word"/>
          <w:sz w:val="28"/>
          <w:szCs w:val="28"/>
        </w:rPr>
        <w:t>,</w:t>
      </w:r>
      <w:r w:rsidRPr="00871C12">
        <w:rPr>
          <w:rStyle w:val="phrase"/>
          <w:sz w:val="28"/>
          <w:szCs w:val="28"/>
        </w:rPr>
        <w:t xml:space="preserve"> </w:t>
      </w:r>
      <w:r w:rsidR="00131A44">
        <w:rPr>
          <w:rStyle w:val="phrase"/>
          <w:sz w:val="28"/>
          <w:szCs w:val="28"/>
        </w:rPr>
        <w:t xml:space="preserve">piemēram, </w:t>
      </w:r>
      <w:r w:rsidRPr="00871C12">
        <w:rPr>
          <w:rStyle w:val="word"/>
          <w:sz w:val="28"/>
          <w:szCs w:val="28"/>
        </w:rPr>
        <w:t>aktieris</w:t>
      </w:r>
      <w:r w:rsidRPr="00871C12">
        <w:rPr>
          <w:rStyle w:val="phrase"/>
          <w:sz w:val="28"/>
          <w:szCs w:val="28"/>
        </w:rPr>
        <w:t xml:space="preserve"> </w:t>
      </w:r>
      <w:r w:rsidRPr="00871C12">
        <w:rPr>
          <w:rStyle w:val="word"/>
          <w:sz w:val="28"/>
          <w:szCs w:val="28"/>
        </w:rPr>
        <w:t>piln</w:t>
      </w:r>
      <w:r w:rsidRPr="00871C12">
        <w:rPr>
          <w:rStyle w:val="word"/>
          <w:rFonts w:hint="eastAsia"/>
          <w:sz w:val="28"/>
          <w:szCs w:val="28"/>
        </w:rPr>
        <w:t>ī</w:t>
      </w:r>
      <w:r w:rsidRPr="00871C12">
        <w:rPr>
          <w:rStyle w:val="word"/>
          <w:sz w:val="28"/>
          <w:szCs w:val="28"/>
        </w:rPr>
        <w:t>gi</w:t>
      </w:r>
      <w:r w:rsidRPr="00871C12">
        <w:rPr>
          <w:rStyle w:val="phrase"/>
          <w:sz w:val="28"/>
          <w:szCs w:val="28"/>
        </w:rPr>
        <w:t xml:space="preserve"> </w:t>
      </w:r>
      <w:r w:rsidRPr="00871C12">
        <w:rPr>
          <w:rStyle w:val="word"/>
          <w:sz w:val="28"/>
          <w:szCs w:val="28"/>
        </w:rPr>
        <w:t>iesaist</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Pr="00871C12">
        <w:rPr>
          <w:rStyle w:val="word"/>
          <w:sz w:val="28"/>
          <w:szCs w:val="28"/>
        </w:rPr>
        <w:t>darb</w:t>
      </w:r>
      <w:r w:rsidRPr="00871C12">
        <w:rPr>
          <w:rStyle w:val="word"/>
          <w:rFonts w:hint="eastAsia"/>
          <w:sz w:val="28"/>
          <w:szCs w:val="28"/>
        </w:rPr>
        <w:t>ī</w:t>
      </w:r>
      <w:r w:rsidRPr="00871C12">
        <w:rPr>
          <w:rStyle w:val="word"/>
          <w:sz w:val="28"/>
          <w:szCs w:val="28"/>
        </w:rPr>
        <w:t>b</w:t>
      </w:r>
      <w:r w:rsidRPr="00871C12">
        <w:rPr>
          <w:rStyle w:val="word"/>
          <w:rFonts w:hint="eastAsia"/>
          <w:sz w:val="28"/>
          <w:szCs w:val="28"/>
        </w:rPr>
        <w:t>ā</w:t>
      </w:r>
      <w:r w:rsidRPr="00871C12">
        <w:rPr>
          <w:rStyle w:val="word"/>
          <w:sz w:val="28"/>
          <w:szCs w:val="28"/>
        </w:rPr>
        <w:t>,</w:t>
      </w:r>
      <w:r w:rsidRPr="00871C12">
        <w:rPr>
          <w:rStyle w:val="phrase"/>
          <w:sz w:val="28"/>
          <w:szCs w:val="28"/>
        </w:rPr>
        <w:t xml:space="preserve"> </w:t>
      </w:r>
      <w:r w:rsidRPr="00871C12">
        <w:rPr>
          <w:rStyle w:val="word"/>
          <w:sz w:val="28"/>
          <w:szCs w:val="28"/>
        </w:rPr>
        <w:t>j</w:t>
      </w:r>
      <w:r w:rsidRPr="00871C12">
        <w:rPr>
          <w:rStyle w:val="word"/>
          <w:rFonts w:hint="eastAsia"/>
          <w:sz w:val="28"/>
          <w:szCs w:val="28"/>
        </w:rPr>
        <w:t>ū</w:t>
      </w:r>
      <w:r w:rsidRPr="00871C12">
        <w:rPr>
          <w:rStyle w:val="word"/>
          <w:sz w:val="28"/>
          <w:szCs w:val="28"/>
        </w:rPr>
        <w:t>t</w:t>
      </w:r>
      <w:r w:rsidRPr="00871C12">
        <w:rPr>
          <w:rStyle w:val="phrase"/>
          <w:sz w:val="28"/>
          <w:szCs w:val="28"/>
        </w:rPr>
        <w:t xml:space="preserve"> </w:t>
      </w:r>
      <w:r w:rsidRPr="00871C12">
        <w:rPr>
          <w:rStyle w:val="word"/>
          <w:sz w:val="28"/>
          <w:szCs w:val="28"/>
        </w:rPr>
        <w:t>prieku</w:t>
      </w:r>
      <w:r w:rsidRPr="00871C12">
        <w:rPr>
          <w:rStyle w:val="phrase"/>
          <w:sz w:val="28"/>
          <w:szCs w:val="28"/>
        </w:rPr>
        <w:t xml:space="preserve"> </w:t>
      </w:r>
      <w:r w:rsidRPr="00871C12">
        <w:rPr>
          <w:rStyle w:val="word"/>
          <w:sz w:val="28"/>
          <w:szCs w:val="28"/>
        </w:rPr>
        <w:t>un</w:t>
      </w:r>
      <w:r w:rsidRPr="00871C12">
        <w:rPr>
          <w:sz w:val="28"/>
          <w:szCs w:val="28"/>
        </w:rPr>
        <w:t xml:space="preserve"> </w:t>
      </w:r>
      <w:r w:rsidRPr="00871C12">
        <w:rPr>
          <w:rStyle w:val="word"/>
          <w:sz w:val="28"/>
          <w:szCs w:val="28"/>
        </w:rPr>
        <w:t>piepild</w:t>
      </w:r>
      <w:r w:rsidRPr="00871C12">
        <w:rPr>
          <w:rStyle w:val="word"/>
          <w:rFonts w:hint="eastAsia"/>
          <w:sz w:val="28"/>
          <w:szCs w:val="28"/>
        </w:rPr>
        <w:t>ī</w:t>
      </w:r>
      <w:r w:rsidRPr="00871C12">
        <w:rPr>
          <w:rStyle w:val="word"/>
          <w:sz w:val="28"/>
          <w:szCs w:val="28"/>
        </w:rPr>
        <w:t>jum</w:t>
      </w:r>
      <w:r w:rsidR="00535BAD">
        <w:rPr>
          <w:rStyle w:val="word"/>
          <w:sz w:val="28"/>
          <w:szCs w:val="28"/>
        </w:rPr>
        <w:t>u,</w:t>
      </w:r>
      <w:r w:rsidRPr="00871C12">
        <w:rPr>
          <w:rStyle w:val="phrase"/>
          <w:sz w:val="28"/>
          <w:szCs w:val="28"/>
        </w:rPr>
        <w:t xml:space="preserve"> </w:t>
      </w:r>
      <w:r w:rsidRPr="00871C12">
        <w:rPr>
          <w:rStyle w:val="word"/>
          <w:sz w:val="28"/>
          <w:szCs w:val="28"/>
        </w:rPr>
        <w:t>nej</w:t>
      </w:r>
      <w:r w:rsidRPr="00871C12">
        <w:rPr>
          <w:rStyle w:val="word"/>
          <w:rFonts w:hint="eastAsia"/>
          <w:sz w:val="28"/>
          <w:szCs w:val="28"/>
        </w:rPr>
        <w:t>ū</w:t>
      </w:r>
      <w:r w:rsidRPr="00871C12">
        <w:rPr>
          <w:rStyle w:val="word"/>
          <w:sz w:val="28"/>
          <w:szCs w:val="28"/>
        </w:rPr>
        <w:t>t laika riti un</w:t>
      </w:r>
      <w:r w:rsidRPr="00871C12">
        <w:rPr>
          <w:rStyle w:val="phrase"/>
          <w:sz w:val="28"/>
          <w:szCs w:val="28"/>
        </w:rPr>
        <w:t xml:space="preserve"> r</w:t>
      </w:r>
      <w:r w:rsidRPr="00871C12">
        <w:rPr>
          <w:rStyle w:val="phrase"/>
          <w:rFonts w:hint="eastAsia"/>
          <w:sz w:val="28"/>
          <w:szCs w:val="28"/>
        </w:rPr>
        <w:t>ū</w:t>
      </w:r>
      <w:r w:rsidRPr="00871C12">
        <w:rPr>
          <w:rStyle w:val="phrase"/>
          <w:sz w:val="28"/>
          <w:szCs w:val="28"/>
        </w:rPr>
        <w:t xml:space="preserve">pes par </w:t>
      </w:r>
      <w:r w:rsidRPr="00871C12">
        <w:rPr>
          <w:rStyle w:val="word"/>
          <w:sz w:val="28"/>
          <w:szCs w:val="28"/>
        </w:rPr>
        <w:t>ikdieni</w:t>
      </w:r>
      <w:r w:rsidRPr="00871C12">
        <w:rPr>
          <w:rStyle w:val="word"/>
          <w:rFonts w:hint="eastAsia"/>
          <w:sz w:val="28"/>
          <w:szCs w:val="28"/>
        </w:rPr>
        <w:t>šķā</w:t>
      </w:r>
      <w:r w:rsidRPr="00871C12">
        <w:rPr>
          <w:rStyle w:val="word"/>
          <w:sz w:val="28"/>
          <w:szCs w:val="28"/>
        </w:rPr>
        <w:t>m</w:t>
      </w:r>
      <w:r w:rsidRPr="00871C12">
        <w:rPr>
          <w:rStyle w:val="phrase"/>
          <w:sz w:val="28"/>
          <w:szCs w:val="28"/>
        </w:rPr>
        <w:t xml:space="preserve"> </w:t>
      </w:r>
      <w:r w:rsidRPr="00871C12">
        <w:rPr>
          <w:rStyle w:val="word"/>
          <w:sz w:val="28"/>
          <w:szCs w:val="28"/>
        </w:rPr>
        <w:t>liet</w:t>
      </w:r>
      <w:r w:rsidRPr="00871C12">
        <w:rPr>
          <w:rStyle w:val="word"/>
          <w:rFonts w:hint="eastAsia"/>
          <w:sz w:val="28"/>
          <w:szCs w:val="28"/>
        </w:rPr>
        <w:t>ā</w:t>
      </w:r>
      <w:r w:rsidR="0089565A">
        <w:rPr>
          <w:rStyle w:val="word"/>
          <w:sz w:val="28"/>
          <w:szCs w:val="28"/>
        </w:rPr>
        <w:t>m</w:t>
      </w:r>
      <w:r w:rsidRPr="00871C12">
        <w:rPr>
          <w:rStyle w:val="word"/>
          <w:sz w:val="28"/>
          <w:szCs w:val="28"/>
        </w:rPr>
        <w:t>.</w:t>
      </w:r>
      <w:r w:rsidRPr="00871C12">
        <w:rPr>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ē</w:t>
      </w:r>
      <w:r w:rsidRPr="00871C12">
        <w:rPr>
          <w:rStyle w:val="word"/>
          <w:sz w:val="28"/>
          <w:szCs w:val="28"/>
        </w:rPr>
        <w:t>j</w:t>
      </w:r>
      <w:r w:rsidRPr="00871C12">
        <w:rPr>
          <w:rStyle w:val="word"/>
          <w:rFonts w:hint="eastAsia"/>
          <w:sz w:val="28"/>
          <w:szCs w:val="28"/>
        </w:rPr>
        <w:t>ā</w:t>
      </w:r>
      <w:r w:rsidRPr="00871C12">
        <w:rPr>
          <w:rStyle w:val="word"/>
          <w:sz w:val="28"/>
          <w:szCs w:val="28"/>
        </w:rPr>
        <w:t>di</w:t>
      </w:r>
      <w:r w:rsidRPr="00871C12">
        <w:rPr>
          <w:rStyle w:val="phrase"/>
          <w:sz w:val="28"/>
          <w:szCs w:val="28"/>
        </w:rPr>
        <w:t xml:space="preserve"> </w:t>
      </w:r>
      <w:r w:rsidRPr="00871C12">
        <w:rPr>
          <w:rStyle w:val="word"/>
          <w:sz w:val="28"/>
          <w:szCs w:val="28"/>
        </w:rPr>
        <w:t>problem</w:t>
      </w:r>
      <w:r w:rsidRPr="00871C12">
        <w:rPr>
          <w:rStyle w:val="word"/>
          <w:rFonts w:hint="eastAsia"/>
          <w:sz w:val="28"/>
          <w:szCs w:val="28"/>
        </w:rPr>
        <w:t>ā</w:t>
      </w:r>
      <w:r w:rsidRPr="00871C12">
        <w:rPr>
          <w:rStyle w:val="word"/>
          <w:sz w:val="28"/>
          <w:szCs w:val="28"/>
        </w:rPr>
        <w:t>tisk</w:t>
      </w:r>
      <w:r w:rsidRPr="00871C12">
        <w:rPr>
          <w:rStyle w:val="word"/>
          <w:rFonts w:hint="eastAsia"/>
          <w:sz w:val="28"/>
          <w:szCs w:val="28"/>
        </w:rPr>
        <w:t>ā</w:t>
      </w:r>
      <w:r w:rsidRPr="00871C12">
        <w:rPr>
          <w:sz w:val="28"/>
          <w:szCs w:val="28"/>
        </w:rPr>
        <w:t xml:space="preserve"> </w:t>
      </w:r>
      <w:r w:rsidR="00947B31" w:rsidRPr="00871C12">
        <w:rPr>
          <w:rStyle w:val="word"/>
          <w:sz w:val="28"/>
          <w:szCs w:val="28"/>
        </w:rPr>
        <w:t>sp</w:t>
      </w:r>
      <w:r w:rsidR="00947B31" w:rsidRPr="00871C12">
        <w:rPr>
          <w:rStyle w:val="word"/>
          <w:rFonts w:hint="eastAsia"/>
          <w:sz w:val="28"/>
          <w:szCs w:val="28"/>
        </w:rPr>
        <w:t>ē</w:t>
      </w:r>
      <w:r w:rsidR="00947B31" w:rsidRPr="00871C12">
        <w:rPr>
          <w:rStyle w:val="word"/>
          <w:sz w:val="28"/>
          <w:szCs w:val="28"/>
        </w:rPr>
        <w:t>l</w:t>
      </w:r>
      <w:r w:rsidR="00947B31" w:rsidRPr="00871C12">
        <w:rPr>
          <w:rStyle w:val="word"/>
          <w:rFonts w:hint="eastAsia"/>
          <w:sz w:val="28"/>
          <w:szCs w:val="28"/>
        </w:rPr>
        <w:t>ē</w:t>
      </w:r>
      <w:r w:rsidR="00947B31" w:rsidRPr="00871C12">
        <w:rPr>
          <w:rStyle w:val="word"/>
          <w:sz w:val="28"/>
          <w:szCs w:val="28"/>
        </w:rPr>
        <w:t>t</w:t>
      </w:r>
      <w:r w:rsidR="00947B31">
        <w:rPr>
          <w:rStyle w:val="word"/>
          <w:sz w:val="28"/>
          <w:szCs w:val="28"/>
        </w:rPr>
        <w:t>āja</w:t>
      </w:r>
      <w:r w:rsidR="00947B31" w:rsidRPr="00871C12">
        <w:rPr>
          <w:rStyle w:val="phrase"/>
          <w:sz w:val="28"/>
          <w:szCs w:val="28"/>
        </w:rPr>
        <w:t xml:space="preserve"> </w:t>
      </w:r>
      <w:r w:rsidRPr="00871C12">
        <w:rPr>
          <w:rStyle w:val="word"/>
          <w:sz w:val="28"/>
          <w:szCs w:val="28"/>
        </w:rPr>
        <w:t>disoci</w:t>
      </w:r>
      <w:r w:rsidRPr="00871C12">
        <w:rPr>
          <w:rStyle w:val="word"/>
          <w:rFonts w:hint="eastAsia"/>
          <w:sz w:val="28"/>
          <w:szCs w:val="28"/>
        </w:rPr>
        <w:t>ā</w:t>
      </w:r>
      <w:r w:rsidRPr="00871C12">
        <w:rPr>
          <w:rStyle w:val="word"/>
          <w:sz w:val="28"/>
          <w:szCs w:val="28"/>
        </w:rPr>
        <w:t>cijas</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atbilst</w:t>
      </w:r>
      <w:r w:rsidRPr="00871C12">
        <w:rPr>
          <w:rStyle w:val="phrase"/>
          <w:sz w:val="28"/>
          <w:szCs w:val="28"/>
        </w:rPr>
        <w:t xml:space="preserve"> </w:t>
      </w:r>
      <w:r w:rsidRPr="00871C12">
        <w:rPr>
          <w:rStyle w:val="word"/>
          <w:sz w:val="28"/>
          <w:szCs w:val="28"/>
        </w:rPr>
        <w:t>br</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laika</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w:t>
      </w:r>
      <w:r w:rsidRPr="00871C12">
        <w:rPr>
          <w:rStyle w:val="word"/>
          <w:sz w:val="28"/>
          <w:szCs w:val="28"/>
        </w:rPr>
        <w:t>t</w:t>
      </w:r>
      <w:r w:rsidRPr="00871C12">
        <w:rPr>
          <w:rStyle w:val="word"/>
          <w:rFonts w:hint="eastAsia"/>
          <w:sz w:val="28"/>
          <w:szCs w:val="28"/>
        </w:rPr>
        <w:t>ā</w:t>
      </w:r>
      <w:r w:rsidRPr="00871C12">
        <w:rPr>
          <w:rStyle w:val="word"/>
          <w:sz w:val="28"/>
          <w:szCs w:val="28"/>
        </w:rPr>
        <w:t>ja</w:t>
      </w:r>
      <w:r w:rsidRPr="00871C12">
        <w:rPr>
          <w:rStyle w:val="phrase"/>
          <w:sz w:val="28"/>
          <w:szCs w:val="28"/>
        </w:rPr>
        <w:t xml:space="preserve"> </w:t>
      </w:r>
      <w:r w:rsidRPr="00871C12">
        <w:rPr>
          <w:rStyle w:val="word"/>
          <w:sz w:val="28"/>
          <w:szCs w:val="28"/>
        </w:rPr>
        <w:t>pieredzei, kas ir piedz</w:t>
      </w:r>
      <w:r w:rsidRPr="00871C12">
        <w:rPr>
          <w:rStyle w:val="word"/>
          <w:rFonts w:hint="eastAsia"/>
          <w:sz w:val="28"/>
          <w:szCs w:val="28"/>
        </w:rPr>
        <w:t>ī</w:t>
      </w:r>
      <w:r w:rsidRPr="00871C12">
        <w:rPr>
          <w:rStyle w:val="word"/>
          <w:sz w:val="28"/>
          <w:szCs w:val="28"/>
        </w:rPr>
        <w:t xml:space="preserve">vojis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r w:rsidRPr="00871C12">
        <w:rPr>
          <w:sz w:val="28"/>
          <w:szCs w:val="28"/>
        </w:rPr>
        <w:t xml:space="preserve"> </w:t>
      </w:r>
      <w:r w:rsidRPr="00871C12">
        <w:rPr>
          <w:rStyle w:val="word"/>
          <w:sz w:val="28"/>
          <w:szCs w:val="28"/>
        </w:rPr>
        <w:t>Da</w:t>
      </w:r>
      <w:r w:rsidRPr="00871C12">
        <w:rPr>
          <w:rStyle w:val="word"/>
          <w:rFonts w:hint="eastAsia"/>
          <w:sz w:val="28"/>
          <w:szCs w:val="28"/>
        </w:rPr>
        <w:t>žā</w:t>
      </w:r>
      <w:r w:rsidRPr="00871C12">
        <w:rPr>
          <w:rStyle w:val="word"/>
          <w:sz w:val="28"/>
          <w:szCs w:val="28"/>
        </w:rPr>
        <w:t>das</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les</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sporta</w:t>
      </w:r>
      <w:r w:rsidRPr="00871C12">
        <w:rPr>
          <w:rStyle w:val="phrase"/>
          <w:sz w:val="28"/>
          <w:szCs w:val="28"/>
        </w:rPr>
        <w:t xml:space="preserve"> </w:t>
      </w:r>
      <w:r w:rsidRPr="00871C12">
        <w:rPr>
          <w:rStyle w:val="word"/>
          <w:sz w:val="28"/>
          <w:szCs w:val="28"/>
        </w:rPr>
        <w:t>veidi</w:t>
      </w:r>
      <w:r w:rsidRPr="00871C12">
        <w:rPr>
          <w:rStyle w:val="phrase"/>
          <w:sz w:val="28"/>
          <w:szCs w:val="28"/>
        </w:rPr>
        <w:t xml:space="preserve"> </w:t>
      </w:r>
      <w:r w:rsidRPr="00871C12">
        <w:rPr>
          <w:rStyle w:val="word"/>
          <w:sz w:val="28"/>
          <w:szCs w:val="28"/>
        </w:rPr>
        <w:t>tiek</w:t>
      </w:r>
      <w:r w:rsidRPr="00871C12">
        <w:rPr>
          <w:rStyle w:val="phrase"/>
          <w:sz w:val="28"/>
          <w:szCs w:val="28"/>
        </w:rPr>
        <w:t xml:space="preserve"> </w:t>
      </w:r>
      <w:r w:rsidRPr="00871C12">
        <w:rPr>
          <w:rStyle w:val="word"/>
          <w:sz w:val="28"/>
          <w:szCs w:val="28"/>
        </w:rPr>
        <w:t>praktiz</w:t>
      </w:r>
      <w:r w:rsidRPr="00871C12">
        <w:rPr>
          <w:rStyle w:val="word"/>
          <w:rFonts w:hint="eastAsia"/>
          <w:sz w:val="28"/>
          <w:szCs w:val="28"/>
        </w:rPr>
        <w:t>ē</w:t>
      </w:r>
      <w:r w:rsidRPr="00871C12">
        <w:rPr>
          <w:rStyle w:val="word"/>
          <w:sz w:val="28"/>
          <w:szCs w:val="28"/>
        </w:rPr>
        <w:t>ti</w:t>
      </w:r>
      <w:r w:rsidRPr="00871C12">
        <w:rPr>
          <w:rStyle w:val="phrase"/>
          <w:sz w:val="28"/>
          <w:szCs w:val="28"/>
        </w:rPr>
        <w:t xml:space="preserve"> </w:t>
      </w:r>
      <w:r w:rsidRPr="00871C12">
        <w:rPr>
          <w:rStyle w:val="word"/>
          <w:sz w:val="28"/>
          <w:szCs w:val="28"/>
        </w:rPr>
        <w:t>galvenok</w:t>
      </w:r>
      <w:r w:rsidRPr="00871C12">
        <w:rPr>
          <w:rStyle w:val="word"/>
          <w:rFonts w:hint="eastAsia"/>
          <w:sz w:val="28"/>
          <w:szCs w:val="28"/>
        </w:rPr>
        <w:t>ā</w:t>
      </w:r>
      <w:r w:rsidRPr="00871C12">
        <w:rPr>
          <w:rStyle w:val="word"/>
          <w:sz w:val="28"/>
          <w:szCs w:val="28"/>
        </w:rPr>
        <w:t>rt</w:t>
      </w:r>
      <w:r w:rsidRPr="00871C12">
        <w:rPr>
          <w:rStyle w:val="phrase"/>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p</w:t>
      </w:r>
      <w:r w:rsidRPr="00871C12">
        <w:rPr>
          <w:rStyle w:val="word"/>
          <w:rFonts w:hint="eastAsia"/>
          <w:sz w:val="28"/>
          <w:szCs w:val="28"/>
        </w:rPr>
        <w:t>ē</w:t>
      </w:r>
      <w:r w:rsidRPr="00871C12">
        <w:rPr>
          <w:rStyle w:val="word"/>
          <w:sz w:val="28"/>
          <w:szCs w:val="28"/>
        </w:rPr>
        <w:t>c,</w:t>
      </w:r>
      <w:r w:rsidRPr="00871C12">
        <w:rPr>
          <w:rStyle w:val="phrase"/>
          <w:sz w:val="28"/>
          <w:szCs w:val="28"/>
        </w:rPr>
        <w:t xml:space="preserve"> </w:t>
      </w:r>
      <w:r w:rsidRPr="00871C12">
        <w:rPr>
          <w:rStyle w:val="word"/>
          <w:sz w:val="28"/>
          <w:szCs w:val="28"/>
        </w:rPr>
        <w:t>ka</w:t>
      </w:r>
      <w:r w:rsidRPr="00871C12">
        <w:rPr>
          <w:rStyle w:val="phrase"/>
          <w:sz w:val="28"/>
          <w:szCs w:val="28"/>
        </w:rPr>
        <w:t xml:space="preserve"> </w:t>
      </w:r>
      <w:r w:rsidRPr="00871C12">
        <w:rPr>
          <w:rStyle w:val="word"/>
          <w:sz w:val="28"/>
          <w:szCs w:val="28"/>
        </w:rPr>
        <w:t>tie</w:t>
      </w:r>
      <w:r w:rsidRPr="00871C12">
        <w:rPr>
          <w:rStyle w:val="phrase"/>
          <w:sz w:val="28"/>
          <w:szCs w:val="28"/>
        </w:rPr>
        <w:t xml:space="preserve"> </w:t>
      </w:r>
      <w:r w:rsidRPr="00871C12">
        <w:rPr>
          <w:rStyle w:val="word"/>
          <w:sz w:val="28"/>
          <w:szCs w:val="28"/>
        </w:rPr>
        <w:t>rada</w:t>
      </w:r>
      <w:r w:rsidRPr="00871C12">
        <w:rPr>
          <w:sz w:val="28"/>
          <w:szCs w:val="28"/>
        </w:rPr>
        <w:t xml:space="preserve">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pieredzi</w:t>
      </w:r>
      <w:r w:rsidRPr="00871C12">
        <w:rPr>
          <w:rStyle w:val="word"/>
          <w:rFonts w:hint="eastAsia"/>
          <w:sz w:val="28"/>
          <w:szCs w:val="28"/>
        </w:rPr>
        <w:t>”</w:t>
      </w:r>
      <w:r w:rsidRPr="00871C12">
        <w:rPr>
          <w:rStyle w:val="word"/>
          <w:sz w:val="28"/>
          <w:szCs w:val="28"/>
        </w:rPr>
        <w:t>.</w:t>
      </w:r>
      <w:r w:rsidRPr="00871C12">
        <w:rPr>
          <w:sz w:val="28"/>
          <w:szCs w:val="28"/>
        </w:rPr>
        <w:t xml:space="preserve"> </w:t>
      </w:r>
      <w:r w:rsidRPr="00871C12">
        <w:rPr>
          <w:rStyle w:val="word"/>
          <w:sz w:val="28"/>
          <w:szCs w:val="28"/>
        </w:rPr>
        <w:t>Lai</w:t>
      </w:r>
      <w:r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var</w:t>
      </w:r>
      <w:r w:rsidRPr="00871C12">
        <w:rPr>
          <w:rStyle w:val="word"/>
          <w:rFonts w:hint="eastAsia"/>
          <w:sz w:val="28"/>
          <w:szCs w:val="28"/>
        </w:rPr>
        <w:t>ē</w:t>
      </w:r>
      <w:r w:rsidRPr="00871C12">
        <w:rPr>
          <w:rStyle w:val="word"/>
          <w:sz w:val="28"/>
          <w:szCs w:val="28"/>
        </w:rPr>
        <w:t>tu</w:t>
      </w:r>
      <w:r w:rsidRPr="00871C12">
        <w:rPr>
          <w:rStyle w:val="phrase"/>
          <w:sz w:val="28"/>
          <w:szCs w:val="28"/>
        </w:rPr>
        <w:t xml:space="preserve"> </w:t>
      </w:r>
      <w:r w:rsidRPr="00871C12">
        <w:rPr>
          <w:rStyle w:val="word"/>
          <w:sz w:val="28"/>
          <w:szCs w:val="28"/>
        </w:rPr>
        <w:t>izmantot</w:t>
      </w:r>
      <w:r w:rsidRPr="00871C12">
        <w:rPr>
          <w:rStyle w:val="phrase"/>
          <w:sz w:val="28"/>
          <w:szCs w:val="28"/>
        </w:rPr>
        <w:t xml:space="preserve"> </w:t>
      </w:r>
      <w:r w:rsidRPr="00871C12">
        <w:rPr>
          <w:rStyle w:val="phrase"/>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r w:rsidRPr="00871C12">
        <w:rPr>
          <w:rStyle w:val="phrase"/>
          <w:sz w:val="28"/>
          <w:szCs w:val="28"/>
        </w:rPr>
        <w:t xml:space="preserve"> </w:t>
      </w:r>
      <w:r w:rsidRPr="00871C12">
        <w:rPr>
          <w:rStyle w:val="word"/>
          <w:sz w:val="28"/>
          <w:szCs w:val="28"/>
        </w:rPr>
        <w:t>darb</w:t>
      </w:r>
      <w:r w:rsidRPr="00871C12">
        <w:rPr>
          <w:rStyle w:val="word"/>
          <w:rFonts w:hint="eastAsia"/>
          <w:sz w:val="28"/>
          <w:szCs w:val="28"/>
        </w:rPr>
        <w:t>ī</w:t>
      </w:r>
      <w:r w:rsidRPr="00871C12">
        <w:rPr>
          <w:rStyle w:val="word"/>
          <w:sz w:val="28"/>
          <w:szCs w:val="28"/>
        </w:rPr>
        <w:t>bai</w:t>
      </w:r>
      <w:r w:rsidRPr="00871C12">
        <w:rPr>
          <w:rStyle w:val="phrase"/>
          <w:sz w:val="28"/>
          <w:szCs w:val="28"/>
        </w:rPr>
        <w:t xml:space="preserve"> </w:t>
      </w:r>
      <w:r w:rsidRPr="00871C12">
        <w:rPr>
          <w:rStyle w:val="word"/>
          <w:sz w:val="28"/>
          <w:szCs w:val="28"/>
        </w:rPr>
        <w:t>nevajadz</w:t>
      </w:r>
      <w:r w:rsidRPr="00871C12">
        <w:rPr>
          <w:rStyle w:val="word"/>
          <w:rFonts w:hint="eastAsia"/>
          <w:sz w:val="28"/>
          <w:szCs w:val="28"/>
        </w:rPr>
        <w:t>ē</w:t>
      </w:r>
      <w:r w:rsidRPr="00871C12">
        <w:rPr>
          <w:rStyle w:val="word"/>
          <w:sz w:val="28"/>
          <w:szCs w:val="28"/>
        </w:rPr>
        <w:t>tu</w:t>
      </w:r>
      <w:r w:rsidRPr="00871C12">
        <w:rPr>
          <w:rStyle w:val="phrase"/>
          <w:sz w:val="28"/>
          <w:szCs w:val="28"/>
        </w:rPr>
        <w:t xml:space="preserve"> </w:t>
      </w:r>
      <w:r w:rsidRPr="00871C12">
        <w:rPr>
          <w:rStyle w:val="word"/>
          <w:sz w:val="28"/>
          <w:szCs w:val="28"/>
        </w:rPr>
        <w:t>b</w:t>
      </w:r>
      <w:r w:rsidRPr="00871C12">
        <w:rPr>
          <w:rStyle w:val="word"/>
          <w:rFonts w:hint="eastAsia"/>
          <w:sz w:val="28"/>
          <w:szCs w:val="28"/>
        </w:rPr>
        <w:t>ū</w:t>
      </w:r>
      <w:r w:rsidRPr="00871C12">
        <w:rPr>
          <w:rStyle w:val="word"/>
          <w:sz w:val="28"/>
          <w:szCs w:val="28"/>
        </w:rPr>
        <w:t>t</w:t>
      </w:r>
      <w:r w:rsidRPr="00871C12">
        <w:rPr>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sare</w:t>
      </w:r>
      <w:r w:rsidRPr="00871C12">
        <w:rPr>
          <w:rStyle w:val="word"/>
          <w:rFonts w:hint="eastAsia"/>
          <w:sz w:val="28"/>
          <w:szCs w:val="28"/>
        </w:rPr>
        <w:t>žģī</w:t>
      </w:r>
      <w:r w:rsidRPr="00871C12">
        <w:rPr>
          <w:rStyle w:val="word"/>
          <w:sz w:val="28"/>
          <w:szCs w:val="28"/>
        </w:rPr>
        <w:t>tai</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vienk</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š</w:t>
      </w:r>
      <w:r w:rsidRPr="00871C12">
        <w:rPr>
          <w:rStyle w:val="word"/>
          <w:sz w:val="28"/>
          <w:szCs w:val="28"/>
        </w:rPr>
        <w:t>ai</w:t>
      </w:r>
      <w:r w:rsidR="00841C1A">
        <w:rPr>
          <w:rStyle w:val="word"/>
          <w:sz w:val="28"/>
          <w:szCs w:val="28"/>
        </w:rPr>
        <w:t>.</w:t>
      </w:r>
      <w:r w:rsidRPr="00871C12">
        <w:rPr>
          <w:rStyle w:val="phrase"/>
          <w:sz w:val="28"/>
          <w:szCs w:val="28"/>
        </w:rPr>
        <w:t xml:space="preserve"> </w:t>
      </w:r>
      <w:r w:rsidR="00841C1A">
        <w:rPr>
          <w:rStyle w:val="word"/>
          <w:sz w:val="28"/>
          <w:szCs w:val="28"/>
        </w:rPr>
        <w:t>Š</w:t>
      </w:r>
      <w:r w:rsidRPr="00871C12">
        <w:rPr>
          <w:rStyle w:val="word"/>
          <w:sz w:val="28"/>
          <w:szCs w:val="28"/>
        </w:rPr>
        <w:t>aj</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zi</w:t>
      </w:r>
      <w:r w:rsidRPr="00871C12">
        <w:rPr>
          <w:rStyle w:val="word"/>
          <w:rFonts w:hint="eastAsia"/>
          <w:sz w:val="28"/>
          <w:szCs w:val="28"/>
        </w:rPr>
        <w:t>ņā</w:t>
      </w:r>
      <w:r w:rsidRPr="00871C12">
        <w:rPr>
          <w:rStyle w:val="phrase"/>
          <w:sz w:val="28"/>
          <w:szCs w:val="28"/>
        </w:rPr>
        <w:t xml:space="preserve">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kan</w:t>
      </w:r>
      <w:r w:rsidRPr="00871C12">
        <w:rPr>
          <w:rStyle w:val="word"/>
          <w:rFonts w:hint="eastAsia"/>
          <w:sz w:val="28"/>
          <w:szCs w:val="28"/>
        </w:rPr>
        <w:t>ā</w:t>
      </w:r>
      <w:r w:rsidRPr="00871C12">
        <w:rPr>
          <w:rStyle w:val="word"/>
          <w:sz w:val="28"/>
          <w:szCs w:val="28"/>
        </w:rPr>
        <w:t>ls</w:t>
      </w:r>
      <w:r w:rsidRPr="00871C12">
        <w:rPr>
          <w:rStyle w:val="word"/>
          <w:rFonts w:hint="eastAsia"/>
          <w:sz w:val="28"/>
          <w:szCs w:val="28"/>
        </w:rPr>
        <w:t>”</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diezgan</w:t>
      </w:r>
      <w:r w:rsidRPr="00871C12">
        <w:rPr>
          <w:rStyle w:val="phrase"/>
          <w:sz w:val="28"/>
          <w:szCs w:val="28"/>
        </w:rPr>
        <w:t xml:space="preserve"> </w:t>
      </w:r>
      <w:r w:rsidRPr="00871C12">
        <w:rPr>
          <w:rStyle w:val="word"/>
          <w:rFonts w:hint="eastAsia"/>
          <w:sz w:val="28"/>
          <w:szCs w:val="28"/>
        </w:rPr>
        <w:t>š</w:t>
      </w:r>
      <w:r w:rsidRPr="00871C12">
        <w:rPr>
          <w:rStyle w:val="word"/>
          <w:sz w:val="28"/>
          <w:szCs w:val="28"/>
        </w:rPr>
        <w:t>aurs.</w:t>
      </w:r>
      <w:r w:rsidRPr="00871C12">
        <w:rPr>
          <w:sz w:val="28"/>
          <w:szCs w:val="28"/>
        </w:rPr>
        <w:t xml:space="preserve"> </w:t>
      </w:r>
      <w:r w:rsidRPr="00871C12">
        <w:rPr>
          <w:rStyle w:val="word"/>
          <w:sz w:val="28"/>
          <w:szCs w:val="28"/>
        </w:rPr>
        <w:t>Ikdienas</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visbie</w:t>
      </w:r>
      <w:r w:rsidRPr="00871C12">
        <w:rPr>
          <w:rStyle w:val="word"/>
          <w:rFonts w:hint="eastAsia"/>
          <w:sz w:val="28"/>
          <w:szCs w:val="28"/>
        </w:rPr>
        <w:t>žā</w:t>
      </w:r>
      <w:r w:rsidRPr="00871C12">
        <w:rPr>
          <w:rStyle w:val="word"/>
          <w:sz w:val="28"/>
          <w:szCs w:val="28"/>
        </w:rPr>
        <w:t>k</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rFonts w:hint="eastAsia"/>
          <w:sz w:val="28"/>
          <w:szCs w:val="28"/>
        </w:rPr>
        <w:t>ā</w:t>
      </w:r>
      <w:r w:rsidRPr="00871C12">
        <w:rPr>
          <w:rStyle w:val="word"/>
          <w:sz w:val="28"/>
          <w:szCs w:val="28"/>
        </w:rPr>
        <w:t>rpus</w:t>
      </w:r>
      <w:r w:rsidRPr="00871C12">
        <w:rPr>
          <w:rStyle w:val="phrase"/>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kan</w:t>
      </w:r>
      <w:r w:rsidRPr="00871C12">
        <w:rPr>
          <w:rStyle w:val="word"/>
          <w:rFonts w:hint="eastAsia"/>
          <w:sz w:val="28"/>
          <w:szCs w:val="28"/>
        </w:rPr>
        <w:t>ā</w:t>
      </w:r>
      <w:r w:rsidRPr="00871C12">
        <w:rPr>
          <w:rStyle w:val="word"/>
          <w:sz w:val="28"/>
          <w:szCs w:val="28"/>
        </w:rPr>
        <w:t>la.</w:t>
      </w:r>
      <w:r w:rsidRPr="00871C12">
        <w:rPr>
          <w:sz w:val="28"/>
          <w:szCs w:val="28"/>
        </w:rPr>
        <w:t xml:space="preserve"> </w:t>
      </w:r>
      <w:r w:rsidRPr="00871C12">
        <w:rPr>
          <w:rStyle w:val="word"/>
          <w:sz w:val="28"/>
          <w:szCs w:val="28"/>
        </w:rPr>
        <w:t>Ir</w:t>
      </w:r>
      <w:r w:rsidRPr="00871C12">
        <w:rPr>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daudz</w:t>
      </w:r>
      <w:r w:rsidRPr="00871C12">
        <w:rPr>
          <w:rStyle w:val="phrase"/>
          <w:sz w:val="28"/>
          <w:szCs w:val="28"/>
        </w:rPr>
        <w:t xml:space="preserve"> </w:t>
      </w:r>
      <w:r w:rsidRPr="00871C12">
        <w:rPr>
          <w:rStyle w:val="word"/>
          <w:sz w:val="28"/>
          <w:szCs w:val="28"/>
        </w:rPr>
        <w:t>opciju</w:t>
      </w:r>
      <w:r w:rsidRPr="00871C12">
        <w:rPr>
          <w:rStyle w:val="phrase"/>
          <w:sz w:val="28"/>
          <w:szCs w:val="28"/>
        </w:rPr>
        <w:t xml:space="preserve"> </w:t>
      </w:r>
      <w:r w:rsidRPr="00871C12">
        <w:rPr>
          <w:rStyle w:val="word"/>
          <w:sz w:val="28"/>
          <w:szCs w:val="28"/>
        </w:rPr>
        <w:t>no</w:t>
      </w:r>
      <w:r w:rsidRPr="00871C12">
        <w:rPr>
          <w:rStyle w:val="phrase"/>
          <w:sz w:val="28"/>
          <w:szCs w:val="28"/>
        </w:rPr>
        <w:t xml:space="preserve"> </w:t>
      </w:r>
      <w:r w:rsidRPr="00871C12">
        <w:rPr>
          <w:rStyle w:val="word"/>
          <w:sz w:val="28"/>
          <w:szCs w:val="28"/>
        </w:rPr>
        <w:t>kur</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izv</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w:t>
      </w:r>
      <w:r w:rsidRPr="00871C12">
        <w:rPr>
          <w:rStyle w:val="word"/>
          <w:sz w:val="28"/>
          <w:szCs w:val="28"/>
        </w:rPr>
        <w:t>ties</w:t>
      </w:r>
      <w:r w:rsidRPr="00871C12">
        <w:rPr>
          <w:rStyle w:val="phrase"/>
          <w:sz w:val="28"/>
          <w:szCs w:val="28"/>
        </w:rPr>
        <w:t xml:space="preserve"> </w:t>
      </w:r>
      <w:r w:rsidRPr="00871C12">
        <w:rPr>
          <w:rStyle w:val="word"/>
          <w:rFonts w:hint="eastAsia"/>
          <w:sz w:val="28"/>
          <w:szCs w:val="28"/>
        </w:rPr>
        <w:t>–</w:t>
      </w:r>
      <w:r w:rsidRPr="00871C12">
        <w:rPr>
          <w:rStyle w:val="phrase"/>
          <w:sz w:val="28"/>
          <w:szCs w:val="28"/>
        </w:rPr>
        <w:t xml:space="preserve"> </w:t>
      </w:r>
      <w:r w:rsidRPr="00871C12">
        <w:rPr>
          <w:rStyle w:val="word"/>
          <w:sz w:val="28"/>
          <w:szCs w:val="28"/>
        </w:rPr>
        <w:t>tas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lietas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sare</w:t>
      </w:r>
      <w:r w:rsidRPr="00871C12">
        <w:rPr>
          <w:rStyle w:val="word"/>
          <w:rFonts w:hint="eastAsia"/>
          <w:sz w:val="28"/>
          <w:szCs w:val="28"/>
        </w:rPr>
        <w:t>žģī</w:t>
      </w:r>
      <w:r w:rsidRPr="00871C12">
        <w:rPr>
          <w:rStyle w:val="word"/>
          <w:sz w:val="28"/>
          <w:szCs w:val="28"/>
        </w:rPr>
        <w:t>tas</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izraisa</w:t>
      </w:r>
      <w:r w:rsidRPr="00871C12">
        <w:rPr>
          <w:sz w:val="28"/>
          <w:szCs w:val="28"/>
        </w:rPr>
        <w:t xml:space="preserve"> </w:t>
      </w:r>
      <w:r w:rsidRPr="00871C12">
        <w:rPr>
          <w:rStyle w:val="word"/>
          <w:sz w:val="28"/>
          <w:szCs w:val="28"/>
        </w:rPr>
        <w:t>raizes</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maz</w:t>
      </w:r>
      <w:r w:rsidRPr="00871C12">
        <w:rPr>
          <w:rStyle w:val="phrase"/>
          <w:sz w:val="28"/>
          <w:szCs w:val="28"/>
        </w:rPr>
        <w:t xml:space="preserve"> </w:t>
      </w:r>
      <w:r w:rsidRPr="00871C12">
        <w:rPr>
          <w:rStyle w:val="word"/>
          <w:sz w:val="28"/>
          <w:szCs w:val="28"/>
        </w:rPr>
        <w:t>iesp</w:t>
      </w:r>
      <w:r w:rsidRPr="00871C12">
        <w:rPr>
          <w:rStyle w:val="word"/>
          <w:rFonts w:hint="eastAsia"/>
          <w:sz w:val="28"/>
          <w:szCs w:val="28"/>
        </w:rPr>
        <w:t>ē</w:t>
      </w:r>
      <w:r w:rsidRPr="00871C12">
        <w:rPr>
          <w:rStyle w:val="word"/>
          <w:sz w:val="28"/>
          <w:szCs w:val="28"/>
        </w:rPr>
        <w:t>ju</w:t>
      </w:r>
      <w:r w:rsidRPr="00871C12">
        <w:rPr>
          <w:rStyle w:val="phrase"/>
          <w:sz w:val="28"/>
          <w:szCs w:val="28"/>
        </w:rPr>
        <w:t xml:space="preserve"> </w:t>
      </w:r>
      <w:r w:rsidRPr="00871C12">
        <w:rPr>
          <w:rStyle w:val="word"/>
          <w:sz w:val="28"/>
          <w:szCs w:val="28"/>
        </w:rPr>
        <w:t>sa</w:t>
      </w:r>
      <w:r w:rsidRPr="00871C12">
        <w:rPr>
          <w:rStyle w:val="word"/>
          <w:rFonts w:hint="eastAsia"/>
          <w:sz w:val="28"/>
          <w:szCs w:val="28"/>
        </w:rPr>
        <w:t>ņ</w:t>
      </w:r>
      <w:r w:rsidRPr="00871C12">
        <w:rPr>
          <w:rStyle w:val="word"/>
          <w:sz w:val="28"/>
          <w:szCs w:val="28"/>
        </w:rPr>
        <w:t>emt gandar</w:t>
      </w:r>
      <w:r w:rsidRPr="00871C12">
        <w:rPr>
          <w:rStyle w:val="word"/>
          <w:rFonts w:hint="eastAsia"/>
          <w:sz w:val="28"/>
          <w:szCs w:val="28"/>
        </w:rPr>
        <w:t>ī</w:t>
      </w:r>
      <w:r w:rsidRPr="00871C12">
        <w:rPr>
          <w:rStyle w:val="word"/>
          <w:sz w:val="28"/>
          <w:szCs w:val="28"/>
        </w:rPr>
        <w:t>jumu no</w:t>
      </w:r>
      <w:r w:rsidRPr="00871C12">
        <w:rPr>
          <w:rStyle w:val="phrase"/>
          <w:sz w:val="28"/>
          <w:szCs w:val="28"/>
        </w:rPr>
        <w:t xml:space="preserve"> </w:t>
      </w:r>
      <w:r w:rsidRPr="00871C12">
        <w:rPr>
          <w:rStyle w:val="word"/>
          <w:sz w:val="28"/>
          <w:szCs w:val="28"/>
        </w:rPr>
        <w:t>dar</w:t>
      </w:r>
      <w:r w:rsidRPr="00871C12">
        <w:rPr>
          <w:rStyle w:val="word"/>
          <w:rFonts w:hint="eastAsia"/>
          <w:sz w:val="28"/>
          <w:szCs w:val="28"/>
        </w:rPr>
        <w:t>ā</w:t>
      </w:r>
      <w:r w:rsidRPr="00871C12">
        <w:rPr>
          <w:rStyle w:val="word"/>
          <w:sz w:val="28"/>
          <w:szCs w:val="28"/>
        </w:rPr>
        <w:t>m</w:t>
      </w:r>
      <w:r w:rsidRPr="00871C12">
        <w:rPr>
          <w:rStyle w:val="word"/>
          <w:rFonts w:hint="eastAsia"/>
          <w:sz w:val="28"/>
          <w:szCs w:val="28"/>
        </w:rPr>
        <w:t>ā</w:t>
      </w:r>
      <w:r w:rsidRPr="00871C12">
        <w:rPr>
          <w:rStyle w:val="word"/>
          <w:sz w:val="28"/>
          <w:szCs w:val="28"/>
        </w:rPr>
        <w:t>,</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noved</w:t>
      </w:r>
      <w:r w:rsidRPr="00871C12">
        <w:rPr>
          <w:rStyle w:val="phrase"/>
          <w:sz w:val="28"/>
          <w:szCs w:val="28"/>
        </w:rPr>
        <w:t xml:space="preserve"> </w:t>
      </w:r>
      <w:r w:rsidRPr="00871C12">
        <w:rPr>
          <w:rStyle w:val="word"/>
          <w:sz w:val="28"/>
          <w:szCs w:val="28"/>
        </w:rPr>
        <w:t>pie</w:t>
      </w:r>
      <w:r w:rsidRPr="00871C12">
        <w:rPr>
          <w:rStyle w:val="phrase"/>
          <w:sz w:val="28"/>
          <w:szCs w:val="28"/>
        </w:rPr>
        <w:t xml:space="preserve"> </w:t>
      </w:r>
      <w:r w:rsidRPr="00871C12">
        <w:rPr>
          <w:rStyle w:val="word"/>
          <w:sz w:val="28"/>
          <w:szCs w:val="28"/>
        </w:rPr>
        <w:t>garlaic</w:t>
      </w:r>
      <w:r w:rsidRPr="00871C12">
        <w:rPr>
          <w:rStyle w:val="word"/>
          <w:rFonts w:hint="eastAsia"/>
          <w:sz w:val="28"/>
          <w:szCs w:val="28"/>
        </w:rPr>
        <w:t>ī</w:t>
      </w:r>
      <w:r w:rsidRPr="00871C12">
        <w:rPr>
          <w:rStyle w:val="word"/>
          <w:sz w:val="28"/>
          <w:szCs w:val="28"/>
        </w:rPr>
        <w:t>bas.</w:t>
      </w:r>
      <w:r w:rsidRPr="00871C12">
        <w:rPr>
          <w:sz w:val="28"/>
          <w:szCs w:val="28"/>
        </w:rPr>
        <w:t xml:space="preserve"> </w:t>
      </w:r>
      <w:r w:rsidR="00A92098" w:rsidRPr="00871C12">
        <w:rPr>
          <w:rStyle w:val="word"/>
          <w:sz w:val="28"/>
          <w:szCs w:val="28"/>
        </w:rPr>
        <w:t>T</w:t>
      </w:r>
      <w:r w:rsidR="00A92098" w:rsidRPr="00871C12">
        <w:rPr>
          <w:rStyle w:val="word"/>
          <w:rFonts w:hint="eastAsia"/>
          <w:sz w:val="28"/>
          <w:szCs w:val="28"/>
        </w:rPr>
        <w:t>ā</w:t>
      </w:r>
      <w:r w:rsidR="00A92098">
        <w:rPr>
          <w:rStyle w:val="word"/>
          <w:sz w:val="28"/>
          <w:szCs w:val="28"/>
        </w:rPr>
        <w:t>dēļ</w:t>
      </w:r>
      <w:r w:rsidR="00A92098"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rada</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aktivit</w:t>
      </w:r>
      <w:r w:rsidRPr="00871C12">
        <w:rPr>
          <w:rStyle w:val="word"/>
          <w:rFonts w:hint="eastAsia"/>
          <w:sz w:val="28"/>
          <w:szCs w:val="28"/>
        </w:rPr>
        <w:t>ā</w:t>
      </w:r>
      <w:r w:rsidRPr="00871C12">
        <w:rPr>
          <w:rStyle w:val="word"/>
          <w:sz w:val="28"/>
          <w:szCs w:val="28"/>
        </w:rPr>
        <w:t>tes</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optim</w:t>
      </w:r>
      <w:r w:rsidRPr="00871C12">
        <w:rPr>
          <w:rStyle w:val="word"/>
          <w:rFonts w:hint="eastAsia"/>
          <w:sz w:val="28"/>
          <w:szCs w:val="28"/>
        </w:rPr>
        <w:t>ā</w:t>
      </w:r>
      <w:r w:rsidRPr="00871C12">
        <w:rPr>
          <w:rStyle w:val="word"/>
          <w:sz w:val="28"/>
          <w:szCs w:val="28"/>
        </w:rPr>
        <w:t>lu</w:t>
      </w:r>
      <w:r w:rsidRPr="00871C12">
        <w:rPr>
          <w:rStyle w:val="phrase"/>
          <w:sz w:val="28"/>
          <w:szCs w:val="28"/>
        </w:rPr>
        <w:t xml:space="preserve"> </w:t>
      </w:r>
      <w:r w:rsidRPr="00871C12">
        <w:rPr>
          <w:rStyle w:val="word"/>
          <w:sz w:val="28"/>
          <w:szCs w:val="28"/>
        </w:rPr>
        <w:t>l</w:t>
      </w:r>
      <w:r w:rsidRPr="00871C12">
        <w:rPr>
          <w:rStyle w:val="word"/>
          <w:rFonts w:hint="eastAsia"/>
          <w:sz w:val="28"/>
          <w:szCs w:val="28"/>
        </w:rPr>
        <w:t>ī</w:t>
      </w:r>
      <w:r w:rsidRPr="00871C12">
        <w:rPr>
          <w:rStyle w:val="word"/>
          <w:sz w:val="28"/>
          <w:szCs w:val="28"/>
        </w:rPr>
        <w:t>dzsvaru,</w:t>
      </w:r>
      <w:r w:rsidRPr="00871C12">
        <w:rPr>
          <w:rStyle w:val="phrase"/>
          <w:sz w:val="28"/>
          <w:szCs w:val="28"/>
        </w:rPr>
        <w:t xml:space="preserve"> </w:t>
      </w:r>
      <w:r w:rsidRPr="00871C12">
        <w:rPr>
          <w:rStyle w:val="word"/>
          <w:sz w:val="28"/>
          <w:szCs w:val="28"/>
        </w:rPr>
        <w:t>kur</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i</w:t>
      </w:r>
      <w:r w:rsidRPr="00871C12">
        <w:rPr>
          <w:rStyle w:val="phrase"/>
          <w:sz w:val="28"/>
          <w:szCs w:val="28"/>
        </w:rPr>
        <w:t xml:space="preserve"> </w:t>
      </w:r>
      <w:r w:rsidRPr="00871C12">
        <w:rPr>
          <w:rStyle w:val="word"/>
          <w:sz w:val="28"/>
          <w:szCs w:val="28"/>
        </w:rPr>
        <w:t>var</w:t>
      </w:r>
      <w:r w:rsidRPr="00871C12">
        <w:rPr>
          <w:rStyle w:val="phrase"/>
          <w:sz w:val="28"/>
          <w:szCs w:val="28"/>
        </w:rPr>
        <w:t xml:space="preserve"> </w:t>
      </w:r>
      <w:r w:rsidRPr="00871C12">
        <w:rPr>
          <w:rStyle w:val="word"/>
          <w:sz w:val="28"/>
          <w:szCs w:val="28"/>
        </w:rPr>
        <w:t>izbaud</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phrase"/>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p>
    <w:p w:rsidR="003725D7" w:rsidRPr="007571C1" w:rsidRDefault="003725D7" w:rsidP="000A3334">
      <w:pPr>
        <w:ind w:firstLine="567"/>
        <w:jc w:val="both"/>
        <w:rPr>
          <w:rFonts w:eastAsia="SabonLT-Roman" w:cs="Times New Roman"/>
          <w:sz w:val="28"/>
          <w:szCs w:val="28"/>
        </w:rPr>
      </w:pPr>
      <w:r w:rsidRPr="007571C1">
        <w:rPr>
          <w:rFonts w:eastAsia="SabonLT-Roman" w:cs="Times New Roman"/>
          <w:sz w:val="28"/>
          <w:szCs w:val="28"/>
        </w:rPr>
        <w:t xml:space="preserve">Attiecībā uz veiksmes spēlēm </w:t>
      </w:r>
      <w:r w:rsidR="00131A44" w:rsidRPr="001433E9">
        <w:rPr>
          <w:sz w:val="28"/>
          <w:szCs w:val="28"/>
        </w:rPr>
        <w:t xml:space="preserve">Mihājs Čīksentmihāji </w:t>
      </w:r>
      <w:r w:rsidRPr="007571C1">
        <w:rPr>
          <w:rFonts w:eastAsia="SabonLT-Roman" w:cs="Times New Roman"/>
          <w:sz w:val="28"/>
          <w:szCs w:val="28"/>
        </w:rPr>
        <w:t xml:space="preserve">un </w:t>
      </w:r>
      <w:r w:rsidR="0089565A">
        <w:rPr>
          <w:rFonts w:eastAsia="SabonLT-Roman" w:cs="Times New Roman"/>
          <w:sz w:val="28"/>
          <w:szCs w:val="28"/>
        </w:rPr>
        <w:t xml:space="preserve">viņa </w:t>
      </w:r>
      <w:r w:rsidRPr="007571C1">
        <w:rPr>
          <w:rFonts w:eastAsia="SabonLT-Roman" w:cs="Times New Roman"/>
          <w:sz w:val="28"/>
          <w:szCs w:val="28"/>
        </w:rPr>
        <w:t>kolēģi raksta:</w:t>
      </w:r>
    </w:p>
    <w:p w:rsidR="003725D7" w:rsidRPr="00871C12" w:rsidRDefault="003725D7" w:rsidP="000A3334">
      <w:pPr>
        <w:pStyle w:val="mt-translation"/>
        <w:spacing w:before="0" w:beforeAutospacing="0" w:after="0" w:afterAutospacing="0"/>
        <w:ind w:firstLine="567"/>
        <w:jc w:val="both"/>
        <w:rPr>
          <w:sz w:val="28"/>
          <w:szCs w:val="28"/>
        </w:rPr>
      </w:pPr>
      <w:r w:rsidRPr="00871C12">
        <w:rPr>
          <w:rStyle w:val="word"/>
          <w:sz w:val="28"/>
          <w:szCs w:val="28"/>
        </w:rPr>
        <w:lastRenderedPageBreak/>
        <w:t xml:space="preserve"> </w:t>
      </w:r>
      <w:r w:rsidRPr="00871C12">
        <w:rPr>
          <w:rStyle w:val="word"/>
          <w:rFonts w:hint="eastAsia"/>
          <w:sz w:val="28"/>
          <w:szCs w:val="28"/>
        </w:rPr>
        <w:t>“</w:t>
      </w:r>
      <w:r w:rsidRPr="00871C12">
        <w:rPr>
          <w:rStyle w:val="word"/>
          <w:sz w:val="28"/>
          <w:szCs w:val="28"/>
        </w:rPr>
        <w:t>/../</w:t>
      </w:r>
      <w:r w:rsidRPr="00871C12">
        <w:rPr>
          <w:rStyle w:val="phrase"/>
          <w:sz w:val="28"/>
          <w:szCs w:val="28"/>
        </w:rPr>
        <w:t xml:space="preserve"> </w:t>
      </w:r>
      <w:r w:rsidRPr="00A80C1E">
        <w:rPr>
          <w:rStyle w:val="word"/>
          <w:i/>
          <w:sz w:val="28"/>
          <w:szCs w:val="28"/>
        </w:rPr>
        <w:t>k</w:t>
      </w:r>
      <w:r w:rsidRPr="00A80C1E">
        <w:rPr>
          <w:rStyle w:val="word"/>
          <w:rFonts w:hint="eastAsia"/>
          <w:i/>
          <w:sz w:val="28"/>
          <w:szCs w:val="28"/>
        </w:rPr>
        <w:t>ā</w:t>
      </w:r>
      <w:r w:rsidRPr="00A80C1E">
        <w:rPr>
          <w:rStyle w:val="phrase"/>
          <w:i/>
          <w:sz w:val="28"/>
          <w:szCs w:val="28"/>
        </w:rPr>
        <w:t xml:space="preserve"> </w:t>
      </w:r>
      <w:r w:rsidRPr="00A80C1E">
        <w:rPr>
          <w:rStyle w:val="word"/>
          <w:i/>
          <w:sz w:val="28"/>
          <w:szCs w:val="28"/>
        </w:rPr>
        <w:t>visas</w:t>
      </w:r>
      <w:r w:rsidRPr="00A80C1E">
        <w:rPr>
          <w:rStyle w:val="phrase"/>
          <w:i/>
          <w:sz w:val="28"/>
          <w:szCs w:val="28"/>
        </w:rPr>
        <w:t xml:space="preserve"> </w:t>
      </w:r>
      <w:r w:rsidRPr="00A80C1E">
        <w:rPr>
          <w:rStyle w:val="word"/>
          <w:i/>
          <w:sz w:val="28"/>
          <w:szCs w:val="28"/>
        </w:rPr>
        <w:t>efekt</w:t>
      </w:r>
      <w:r w:rsidRPr="00A80C1E">
        <w:rPr>
          <w:rStyle w:val="word"/>
          <w:rFonts w:hint="eastAsia"/>
          <w:i/>
          <w:sz w:val="28"/>
          <w:szCs w:val="28"/>
        </w:rPr>
        <w:t>ī</w:t>
      </w:r>
      <w:r w:rsidRPr="00A80C1E">
        <w:rPr>
          <w:rStyle w:val="word"/>
          <w:i/>
          <w:sz w:val="28"/>
          <w:szCs w:val="28"/>
        </w:rPr>
        <w:t>v</w:t>
      </w:r>
      <w:r w:rsidRPr="00A80C1E">
        <w:rPr>
          <w:rStyle w:val="word"/>
          <w:rFonts w:hint="eastAsia"/>
          <w:i/>
          <w:sz w:val="28"/>
          <w:szCs w:val="28"/>
        </w:rPr>
        <w:t>ā</w:t>
      </w:r>
      <w:r w:rsidRPr="00A80C1E">
        <w:rPr>
          <w:rStyle w:val="word"/>
          <w:i/>
          <w:sz w:val="28"/>
          <w:szCs w:val="28"/>
        </w:rPr>
        <w:t>s</w:t>
      </w:r>
      <w:r w:rsidRPr="00A80C1E">
        <w:rPr>
          <w:rStyle w:val="phrase"/>
          <w:i/>
          <w:sz w:val="28"/>
          <w:szCs w:val="28"/>
        </w:rPr>
        <w:t xml:space="preserve"> </w:t>
      </w:r>
      <w:r w:rsidRPr="00A80C1E">
        <w:rPr>
          <w:rStyle w:val="word"/>
          <w:i/>
          <w:sz w:val="28"/>
          <w:szCs w:val="28"/>
        </w:rPr>
        <w:t>sp</w:t>
      </w:r>
      <w:r w:rsidRPr="00A80C1E">
        <w:rPr>
          <w:rStyle w:val="word"/>
          <w:rFonts w:hint="eastAsia"/>
          <w:i/>
          <w:sz w:val="28"/>
          <w:szCs w:val="28"/>
        </w:rPr>
        <w:t>ē</w:t>
      </w:r>
      <w:r w:rsidRPr="00A80C1E">
        <w:rPr>
          <w:rStyle w:val="word"/>
          <w:i/>
          <w:sz w:val="28"/>
          <w:szCs w:val="28"/>
        </w:rPr>
        <w:t>les,</w:t>
      </w:r>
      <w:r w:rsidRPr="00A80C1E">
        <w:rPr>
          <w:rStyle w:val="phrase"/>
          <w:i/>
          <w:sz w:val="28"/>
          <w:szCs w:val="28"/>
        </w:rPr>
        <w:t xml:space="preserve"> </w:t>
      </w:r>
      <w:r w:rsidRPr="00A80C1E">
        <w:rPr>
          <w:rStyle w:val="word"/>
          <w:i/>
          <w:sz w:val="28"/>
          <w:szCs w:val="28"/>
        </w:rPr>
        <w:t>veiksmes sp</w:t>
      </w:r>
      <w:r w:rsidRPr="00A80C1E">
        <w:rPr>
          <w:rStyle w:val="word"/>
          <w:rFonts w:hint="eastAsia"/>
          <w:i/>
          <w:sz w:val="28"/>
          <w:szCs w:val="28"/>
        </w:rPr>
        <w:t>ē</w:t>
      </w:r>
      <w:r w:rsidRPr="00A80C1E">
        <w:rPr>
          <w:rStyle w:val="word"/>
          <w:i/>
          <w:sz w:val="28"/>
          <w:szCs w:val="28"/>
        </w:rPr>
        <w:t>les</w:t>
      </w:r>
      <w:r w:rsidRPr="00A80C1E">
        <w:rPr>
          <w:rStyle w:val="phrase"/>
          <w:i/>
          <w:sz w:val="28"/>
          <w:szCs w:val="28"/>
        </w:rPr>
        <w:t xml:space="preserve"> </w:t>
      </w:r>
      <w:r w:rsidRPr="00A80C1E">
        <w:rPr>
          <w:rStyle w:val="word"/>
          <w:i/>
          <w:sz w:val="28"/>
          <w:szCs w:val="28"/>
        </w:rPr>
        <w:t>norobežo da</w:t>
      </w:r>
      <w:r w:rsidRPr="00A80C1E">
        <w:rPr>
          <w:rStyle w:val="word"/>
          <w:rFonts w:hint="eastAsia"/>
          <w:i/>
          <w:sz w:val="28"/>
          <w:szCs w:val="28"/>
        </w:rPr>
        <w:t>ļ</w:t>
      </w:r>
      <w:r w:rsidRPr="00A80C1E">
        <w:rPr>
          <w:rStyle w:val="word"/>
          <w:i/>
          <w:sz w:val="28"/>
          <w:szCs w:val="28"/>
        </w:rPr>
        <w:t>u no realit</w:t>
      </w:r>
      <w:r w:rsidRPr="00A80C1E">
        <w:rPr>
          <w:rStyle w:val="word"/>
          <w:rFonts w:hint="eastAsia"/>
          <w:i/>
          <w:sz w:val="28"/>
          <w:szCs w:val="28"/>
        </w:rPr>
        <w:t>ā</w:t>
      </w:r>
      <w:r w:rsidRPr="00A80C1E">
        <w:rPr>
          <w:rStyle w:val="word"/>
          <w:i/>
          <w:sz w:val="28"/>
          <w:szCs w:val="28"/>
        </w:rPr>
        <w:t>tes, kuru sp</w:t>
      </w:r>
      <w:r w:rsidRPr="00A80C1E">
        <w:rPr>
          <w:rStyle w:val="word"/>
          <w:rFonts w:hint="eastAsia"/>
          <w:i/>
          <w:sz w:val="28"/>
          <w:szCs w:val="28"/>
        </w:rPr>
        <w:t>ē</w:t>
      </w:r>
      <w:r w:rsidRPr="00A80C1E">
        <w:rPr>
          <w:rStyle w:val="word"/>
          <w:i/>
          <w:sz w:val="28"/>
          <w:szCs w:val="28"/>
        </w:rPr>
        <w:t>l</w:t>
      </w:r>
      <w:r w:rsidRPr="00A80C1E">
        <w:rPr>
          <w:rStyle w:val="word"/>
          <w:rFonts w:hint="eastAsia"/>
          <w:i/>
          <w:sz w:val="28"/>
          <w:szCs w:val="28"/>
        </w:rPr>
        <w:t>ē</w:t>
      </w:r>
      <w:r w:rsidRPr="00A80C1E">
        <w:rPr>
          <w:rStyle w:val="word"/>
          <w:i/>
          <w:sz w:val="28"/>
          <w:szCs w:val="28"/>
        </w:rPr>
        <w:t>t</w:t>
      </w:r>
      <w:r w:rsidRPr="00A80C1E">
        <w:rPr>
          <w:rStyle w:val="word"/>
          <w:rFonts w:hint="eastAsia"/>
          <w:i/>
          <w:sz w:val="28"/>
          <w:szCs w:val="28"/>
        </w:rPr>
        <w:t>ā</w:t>
      </w:r>
      <w:r w:rsidRPr="00A80C1E">
        <w:rPr>
          <w:rStyle w:val="word"/>
          <w:i/>
          <w:sz w:val="28"/>
          <w:szCs w:val="28"/>
        </w:rPr>
        <w:t>js var vad</w:t>
      </w:r>
      <w:r w:rsidRPr="00A80C1E">
        <w:rPr>
          <w:rStyle w:val="word"/>
          <w:rFonts w:hint="eastAsia"/>
          <w:i/>
          <w:sz w:val="28"/>
          <w:szCs w:val="28"/>
        </w:rPr>
        <w:t>ī</w:t>
      </w:r>
      <w:r w:rsidRPr="00A80C1E">
        <w:rPr>
          <w:rStyle w:val="word"/>
          <w:i/>
          <w:sz w:val="28"/>
          <w:szCs w:val="28"/>
        </w:rPr>
        <w:t>t prognoz</w:t>
      </w:r>
      <w:r w:rsidRPr="00A80C1E">
        <w:rPr>
          <w:rStyle w:val="word"/>
          <w:rFonts w:hint="eastAsia"/>
          <w:i/>
          <w:sz w:val="28"/>
          <w:szCs w:val="28"/>
        </w:rPr>
        <w:t>ē</w:t>
      </w:r>
      <w:r w:rsidRPr="00A80C1E">
        <w:rPr>
          <w:rStyle w:val="word"/>
          <w:i/>
          <w:sz w:val="28"/>
          <w:szCs w:val="28"/>
        </w:rPr>
        <w:t>jami, t</w:t>
      </w:r>
      <w:r w:rsidRPr="00A80C1E">
        <w:rPr>
          <w:rStyle w:val="word"/>
          <w:rFonts w:hint="eastAsia"/>
          <w:i/>
          <w:sz w:val="28"/>
          <w:szCs w:val="28"/>
        </w:rPr>
        <w:t>ā</w:t>
      </w:r>
      <w:r w:rsidRPr="00A80C1E">
        <w:rPr>
          <w:rStyle w:val="word"/>
          <w:i/>
          <w:sz w:val="28"/>
          <w:szCs w:val="28"/>
        </w:rPr>
        <w:t>d</w:t>
      </w:r>
      <w:r w:rsidRPr="00A80C1E">
        <w:rPr>
          <w:rStyle w:val="word"/>
          <w:rFonts w:hint="eastAsia"/>
          <w:i/>
          <w:sz w:val="28"/>
          <w:szCs w:val="28"/>
        </w:rPr>
        <w:t>ā</w:t>
      </w:r>
      <w:r w:rsidRPr="00A80C1E">
        <w:rPr>
          <w:rStyle w:val="word"/>
          <w:i/>
          <w:sz w:val="28"/>
          <w:szCs w:val="28"/>
        </w:rPr>
        <w:t xml:space="preserve"> veid</w:t>
      </w:r>
      <w:r w:rsidRPr="00A80C1E">
        <w:rPr>
          <w:rStyle w:val="word"/>
          <w:rFonts w:hint="eastAsia"/>
          <w:i/>
          <w:sz w:val="28"/>
          <w:szCs w:val="28"/>
        </w:rPr>
        <w:t>ā</w:t>
      </w:r>
      <w:r w:rsidRPr="00A80C1E">
        <w:rPr>
          <w:rStyle w:val="word"/>
          <w:i/>
          <w:sz w:val="28"/>
          <w:szCs w:val="28"/>
        </w:rPr>
        <w:t xml:space="preserve"> </w:t>
      </w:r>
      <w:r w:rsidRPr="00A80C1E">
        <w:rPr>
          <w:rStyle w:val="word"/>
          <w:rFonts w:hint="eastAsia"/>
          <w:i/>
          <w:sz w:val="28"/>
          <w:szCs w:val="28"/>
        </w:rPr>
        <w:t>“</w:t>
      </w:r>
      <w:r w:rsidRPr="00A80C1E">
        <w:rPr>
          <w:rStyle w:val="word"/>
          <w:i/>
          <w:sz w:val="28"/>
          <w:szCs w:val="28"/>
        </w:rPr>
        <w:t>zaud</w:t>
      </w:r>
      <w:r w:rsidRPr="00A80C1E">
        <w:rPr>
          <w:rStyle w:val="word"/>
          <w:rFonts w:hint="eastAsia"/>
          <w:i/>
          <w:sz w:val="28"/>
          <w:szCs w:val="28"/>
        </w:rPr>
        <w:t>ē</w:t>
      </w:r>
      <w:r w:rsidRPr="00A80C1E">
        <w:rPr>
          <w:rStyle w:val="word"/>
          <w:i/>
          <w:sz w:val="28"/>
          <w:szCs w:val="28"/>
        </w:rPr>
        <w:t>jot</w:t>
      </w:r>
      <w:r w:rsidRPr="00A80C1E">
        <w:rPr>
          <w:rStyle w:val="word"/>
          <w:rFonts w:hint="eastAsia"/>
          <w:i/>
          <w:sz w:val="28"/>
          <w:szCs w:val="28"/>
        </w:rPr>
        <w:t>”</w:t>
      </w:r>
      <w:r w:rsidRPr="00A80C1E">
        <w:rPr>
          <w:rStyle w:val="word"/>
          <w:i/>
          <w:sz w:val="28"/>
          <w:szCs w:val="28"/>
        </w:rPr>
        <w:t xml:space="preserve"> sevi pat</w:t>
      </w:r>
      <w:r w:rsidRPr="00A80C1E">
        <w:rPr>
          <w:rStyle w:val="word"/>
          <w:rFonts w:hint="eastAsia"/>
          <w:i/>
          <w:sz w:val="28"/>
          <w:szCs w:val="28"/>
        </w:rPr>
        <w:t>ī</w:t>
      </w:r>
      <w:r w:rsidRPr="00A80C1E">
        <w:rPr>
          <w:rStyle w:val="word"/>
          <w:i/>
          <w:sz w:val="28"/>
          <w:szCs w:val="28"/>
        </w:rPr>
        <w:t>kam</w:t>
      </w:r>
      <w:r w:rsidRPr="00A80C1E">
        <w:rPr>
          <w:rStyle w:val="word"/>
          <w:rFonts w:hint="eastAsia"/>
          <w:i/>
          <w:sz w:val="28"/>
          <w:szCs w:val="28"/>
        </w:rPr>
        <w:t>ā</w:t>
      </w:r>
      <w:r w:rsidRPr="00A80C1E">
        <w:rPr>
          <w:rStyle w:val="word"/>
          <w:i/>
          <w:sz w:val="28"/>
          <w:szCs w:val="28"/>
        </w:rPr>
        <w:t xml:space="preserve"> aktivit</w:t>
      </w:r>
      <w:r w:rsidRPr="00A80C1E">
        <w:rPr>
          <w:rStyle w:val="word"/>
          <w:rFonts w:hint="eastAsia"/>
          <w:i/>
          <w:sz w:val="28"/>
          <w:szCs w:val="28"/>
        </w:rPr>
        <w:t>ā</w:t>
      </w:r>
      <w:r w:rsidRPr="00A80C1E">
        <w:rPr>
          <w:rStyle w:val="word"/>
          <w:i/>
          <w:sz w:val="28"/>
          <w:szCs w:val="28"/>
        </w:rPr>
        <w:t>t</w:t>
      </w:r>
      <w:r w:rsidRPr="00A80C1E">
        <w:rPr>
          <w:rStyle w:val="word"/>
          <w:rFonts w:hint="eastAsia"/>
          <w:i/>
          <w:sz w:val="28"/>
          <w:szCs w:val="28"/>
        </w:rPr>
        <w:t>ē</w:t>
      </w:r>
      <w:r w:rsidRPr="00A80C1E">
        <w:rPr>
          <w:rStyle w:val="word"/>
          <w:i/>
          <w:sz w:val="28"/>
          <w:szCs w:val="28"/>
        </w:rPr>
        <w:t xml:space="preserve"> un apzi</w:t>
      </w:r>
      <w:r w:rsidRPr="00A80C1E">
        <w:rPr>
          <w:rStyle w:val="word"/>
          <w:rFonts w:hint="eastAsia"/>
          <w:i/>
          <w:sz w:val="28"/>
          <w:szCs w:val="28"/>
        </w:rPr>
        <w:t>ņā</w:t>
      </w:r>
      <w:r w:rsidRPr="00A80C1E">
        <w:rPr>
          <w:rStyle w:val="word"/>
          <w:i/>
          <w:sz w:val="28"/>
          <w:szCs w:val="28"/>
        </w:rPr>
        <w:t xml:space="preserve"> un atbr</w:t>
      </w:r>
      <w:r w:rsidRPr="00A80C1E">
        <w:rPr>
          <w:rStyle w:val="word"/>
          <w:rFonts w:hint="eastAsia"/>
          <w:i/>
          <w:sz w:val="28"/>
          <w:szCs w:val="28"/>
        </w:rPr>
        <w:t>ī</w:t>
      </w:r>
      <w:r w:rsidRPr="00A80C1E">
        <w:rPr>
          <w:rStyle w:val="word"/>
          <w:i/>
          <w:sz w:val="28"/>
          <w:szCs w:val="28"/>
        </w:rPr>
        <w:t>vojoties no raiz</w:t>
      </w:r>
      <w:r w:rsidRPr="00A80C1E">
        <w:rPr>
          <w:rStyle w:val="word"/>
          <w:rFonts w:hint="eastAsia"/>
          <w:i/>
          <w:sz w:val="28"/>
          <w:szCs w:val="28"/>
        </w:rPr>
        <w:t>ē</w:t>
      </w:r>
      <w:r w:rsidRPr="00A80C1E">
        <w:rPr>
          <w:rStyle w:val="word"/>
          <w:i/>
          <w:sz w:val="28"/>
          <w:szCs w:val="28"/>
        </w:rPr>
        <w:t>m un garlaic</w:t>
      </w:r>
      <w:r w:rsidRPr="00A80C1E">
        <w:rPr>
          <w:rStyle w:val="word"/>
          <w:rFonts w:hint="eastAsia"/>
          <w:i/>
          <w:sz w:val="28"/>
          <w:szCs w:val="28"/>
        </w:rPr>
        <w:t>ī</w:t>
      </w:r>
      <w:r w:rsidRPr="00A80C1E">
        <w:rPr>
          <w:rStyle w:val="word"/>
          <w:i/>
          <w:sz w:val="28"/>
          <w:szCs w:val="28"/>
        </w:rPr>
        <w:t>bas. Paredzot sp</w:t>
      </w:r>
      <w:r w:rsidRPr="00A80C1E">
        <w:rPr>
          <w:rStyle w:val="word"/>
          <w:rFonts w:hint="eastAsia"/>
          <w:i/>
          <w:sz w:val="28"/>
          <w:szCs w:val="28"/>
        </w:rPr>
        <w:t>ē</w:t>
      </w:r>
      <w:r w:rsidRPr="00A80C1E">
        <w:rPr>
          <w:rStyle w:val="word"/>
          <w:i/>
          <w:sz w:val="28"/>
          <w:szCs w:val="28"/>
        </w:rPr>
        <w:t>les ieguvumus, sp</w:t>
      </w:r>
      <w:r w:rsidRPr="00A80C1E">
        <w:rPr>
          <w:rStyle w:val="word"/>
          <w:rFonts w:hint="eastAsia"/>
          <w:i/>
          <w:sz w:val="28"/>
          <w:szCs w:val="28"/>
        </w:rPr>
        <w:t>ē</w:t>
      </w:r>
      <w:r w:rsidRPr="00A80C1E">
        <w:rPr>
          <w:rStyle w:val="word"/>
          <w:i/>
          <w:sz w:val="28"/>
          <w:szCs w:val="28"/>
        </w:rPr>
        <w:t>l</w:t>
      </w:r>
      <w:r w:rsidRPr="00A80C1E">
        <w:rPr>
          <w:rStyle w:val="word"/>
          <w:rFonts w:hint="eastAsia"/>
          <w:i/>
          <w:sz w:val="28"/>
          <w:szCs w:val="28"/>
        </w:rPr>
        <w:t>ē</w:t>
      </w:r>
      <w:r w:rsidRPr="00A80C1E">
        <w:rPr>
          <w:rStyle w:val="word"/>
          <w:i/>
          <w:sz w:val="28"/>
          <w:szCs w:val="28"/>
        </w:rPr>
        <w:t>t</w:t>
      </w:r>
      <w:r w:rsidRPr="00A80C1E">
        <w:rPr>
          <w:rStyle w:val="word"/>
          <w:rFonts w:hint="eastAsia"/>
          <w:i/>
          <w:sz w:val="28"/>
          <w:szCs w:val="28"/>
        </w:rPr>
        <w:t>ā</w:t>
      </w:r>
      <w:r w:rsidRPr="00A80C1E">
        <w:rPr>
          <w:rStyle w:val="word"/>
          <w:i/>
          <w:sz w:val="28"/>
          <w:szCs w:val="28"/>
        </w:rPr>
        <w:t>js sasniedz kontroles pak</w:t>
      </w:r>
      <w:r w:rsidRPr="00A80C1E">
        <w:rPr>
          <w:rStyle w:val="word"/>
          <w:rFonts w:hint="eastAsia"/>
          <w:i/>
          <w:sz w:val="28"/>
          <w:szCs w:val="28"/>
        </w:rPr>
        <w:t>ā</w:t>
      </w:r>
      <w:r w:rsidRPr="00A80C1E">
        <w:rPr>
          <w:rStyle w:val="word"/>
          <w:i/>
          <w:sz w:val="28"/>
          <w:szCs w:val="28"/>
        </w:rPr>
        <w:t xml:space="preserve">pi </w:t>
      </w:r>
      <w:r w:rsidR="00131297" w:rsidRPr="00A80C1E">
        <w:rPr>
          <w:rStyle w:val="word"/>
          <w:i/>
          <w:sz w:val="28"/>
          <w:szCs w:val="28"/>
        </w:rPr>
        <w:t>p</w:t>
      </w:r>
      <w:r w:rsidR="00131297">
        <w:rPr>
          <w:rStyle w:val="word"/>
          <w:i/>
          <w:sz w:val="28"/>
          <w:szCs w:val="28"/>
        </w:rPr>
        <w:t>ā</w:t>
      </w:r>
      <w:r w:rsidR="00131297" w:rsidRPr="00A80C1E">
        <w:rPr>
          <w:rStyle w:val="word"/>
          <w:i/>
          <w:sz w:val="28"/>
          <w:szCs w:val="28"/>
        </w:rPr>
        <w:t xml:space="preserve">r </w:t>
      </w:r>
      <w:r w:rsidRPr="00A80C1E">
        <w:rPr>
          <w:rStyle w:val="word"/>
          <w:i/>
          <w:sz w:val="28"/>
          <w:szCs w:val="28"/>
        </w:rPr>
        <w:t>vidi, l</w:t>
      </w:r>
      <w:r w:rsidRPr="00A80C1E">
        <w:rPr>
          <w:rStyle w:val="word"/>
          <w:rFonts w:hint="eastAsia"/>
          <w:i/>
          <w:sz w:val="28"/>
          <w:szCs w:val="28"/>
        </w:rPr>
        <w:t>ī</w:t>
      </w:r>
      <w:r w:rsidRPr="00A80C1E">
        <w:rPr>
          <w:rStyle w:val="word"/>
          <w:i/>
          <w:sz w:val="28"/>
          <w:szCs w:val="28"/>
        </w:rPr>
        <w:t>dzsvara st</w:t>
      </w:r>
      <w:r w:rsidRPr="00A80C1E">
        <w:rPr>
          <w:rStyle w:val="word"/>
          <w:rFonts w:hint="eastAsia"/>
          <w:i/>
          <w:sz w:val="28"/>
          <w:szCs w:val="28"/>
        </w:rPr>
        <w:t>ā</w:t>
      </w:r>
      <w:r w:rsidRPr="00A80C1E">
        <w:rPr>
          <w:rStyle w:val="word"/>
          <w:i/>
          <w:sz w:val="28"/>
          <w:szCs w:val="28"/>
        </w:rPr>
        <w:t>vokli starp haotisk</w:t>
      </w:r>
      <w:r w:rsidRPr="00A80C1E">
        <w:rPr>
          <w:rStyle w:val="word"/>
          <w:rFonts w:hint="eastAsia"/>
          <w:i/>
          <w:sz w:val="28"/>
          <w:szCs w:val="28"/>
        </w:rPr>
        <w:t>ā</w:t>
      </w:r>
      <w:r w:rsidRPr="00A80C1E">
        <w:rPr>
          <w:rStyle w:val="word"/>
          <w:i/>
          <w:sz w:val="28"/>
          <w:szCs w:val="28"/>
        </w:rPr>
        <w:t>m raiz</w:t>
      </w:r>
      <w:r w:rsidRPr="00A80C1E">
        <w:rPr>
          <w:rStyle w:val="word"/>
          <w:rFonts w:hint="eastAsia"/>
          <w:i/>
          <w:sz w:val="28"/>
          <w:szCs w:val="28"/>
        </w:rPr>
        <w:t>ē</w:t>
      </w:r>
      <w:r w:rsidRPr="00A80C1E">
        <w:rPr>
          <w:rStyle w:val="word"/>
          <w:i/>
          <w:sz w:val="28"/>
          <w:szCs w:val="28"/>
        </w:rPr>
        <w:t>m un nom</w:t>
      </w:r>
      <w:r w:rsidRPr="00A80C1E">
        <w:rPr>
          <w:rStyle w:val="word"/>
          <w:rFonts w:hint="eastAsia"/>
          <w:i/>
          <w:sz w:val="28"/>
          <w:szCs w:val="28"/>
        </w:rPr>
        <w:t>ā</w:t>
      </w:r>
      <w:r w:rsidRPr="00A80C1E">
        <w:rPr>
          <w:rStyle w:val="word"/>
          <w:i/>
          <w:sz w:val="28"/>
          <w:szCs w:val="28"/>
        </w:rPr>
        <w:t>co</w:t>
      </w:r>
      <w:r w:rsidRPr="00A80C1E">
        <w:rPr>
          <w:rStyle w:val="word"/>
          <w:rFonts w:hint="eastAsia"/>
          <w:i/>
          <w:sz w:val="28"/>
          <w:szCs w:val="28"/>
        </w:rPr>
        <w:t>š</w:t>
      </w:r>
      <w:r w:rsidRPr="00A80C1E">
        <w:rPr>
          <w:rStyle w:val="word"/>
          <w:i/>
          <w:sz w:val="28"/>
          <w:szCs w:val="28"/>
        </w:rPr>
        <w:t>o garlaic</w:t>
      </w:r>
      <w:r w:rsidRPr="00A80C1E">
        <w:rPr>
          <w:rStyle w:val="word"/>
          <w:rFonts w:hint="eastAsia"/>
          <w:i/>
          <w:sz w:val="28"/>
          <w:szCs w:val="28"/>
        </w:rPr>
        <w:t>ī</w:t>
      </w:r>
      <w:r w:rsidRPr="00A80C1E">
        <w:rPr>
          <w:rStyle w:val="word"/>
          <w:i/>
          <w:sz w:val="28"/>
          <w:szCs w:val="28"/>
        </w:rPr>
        <w:t>bu</w:t>
      </w:r>
      <w:r w:rsidRPr="00871C12">
        <w:rPr>
          <w:rStyle w:val="word"/>
          <w:sz w:val="28"/>
          <w:szCs w:val="28"/>
        </w:rPr>
        <w:t>.</w:t>
      </w:r>
      <w:r w:rsidRPr="00871C12">
        <w:rPr>
          <w:rStyle w:val="word"/>
          <w:rFonts w:hint="eastAsia"/>
          <w:sz w:val="28"/>
          <w:szCs w:val="28"/>
        </w:rPr>
        <w:t>”</w:t>
      </w:r>
    </w:p>
    <w:p w:rsidR="003725D7" w:rsidRPr="00871C12" w:rsidRDefault="003725D7" w:rsidP="000A3334">
      <w:pPr>
        <w:pStyle w:val="mt-translation"/>
        <w:spacing w:before="0" w:beforeAutospacing="0" w:after="0" w:afterAutospacing="0"/>
        <w:ind w:firstLine="567"/>
        <w:jc w:val="both"/>
        <w:rPr>
          <w:sz w:val="28"/>
          <w:szCs w:val="28"/>
        </w:rPr>
      </w:pPr>
      <w:r w:rsidRPr="00871C12">
        <w:rPr>
          <w:rFonts w:eastAsia="SabonLT-Roman"/>
          <w:sz w:val="28"/>
          <w:szCs w:val="28"/>
        </w:rPr>
        <w:t>No socioloģijas aspekta</w:t>
      </w:r>
      <w:r w:rsidR="0080304B">
        <w:rPr>
          <w:rFonts w:eastAsia="SabonLT-Roman"/>
          <w:sz w:val="28"/>
          <w:szCs w:val="28"/>
        </w:rPr>
        <w:t>,</w:t>
      </w:r>
      <w:r w:rsidRPr="00871C12">
        <w:rPr>
          <w:rFonts w:eastAsia="SabonLT-Roman"/>
          <w:sz w:val="28"/>
          <w:szCs w:val="28"/>
        </w:rPr>
        <w:t xml:space="preserve"> plūsmas teorijas darbības joma ir nodalīta no ikdienišķas sociālas realitātes. Spēlētāja </w:t>
      </w:r>
      <w:r w:rsidR="00131297" w:rsidRPr="00871C12">
        <w:rPr>
          <w:rFonts w:eastAsia="SabonLT-Roman"/>
          <w:sz w:val="28"/>
          <w:szCs w:val="28"/>
        </w:rPr>
        <w:t>sociāl</w:t>
      </w:r>
      <w:r w:rsidR="00131297">
        <w:rPr>
          <w:rFonts w:eastAsia="SabonLT-Roman"/>
          <w:sz w:val="28"/>
          <w:szCs w:val="28"/>
        </w:rPr>
        <w:t>ā</w:t>
      </w:r>
      <w:r w:rsidR="00131297" w:rsidRPr="00871C12">
        <w:rPr>
          <w:rFonts w:eastAsia="SabonLT-Roman"/>
          <w:sz w:val="28"/>
          <w:szCs w:val="28"/>
        </w:rPr>
        <w:t xml:space="preserve"> </w:t>
      </w:r>
      <w:r w:rsidRPr="00871C12">
        <w:rPr>
          <w:rFonts w:eastAsia="SabonLT-Roman"/>
          <w:sz w:val="28"/>
          <w:szCs w:val="28"/>
        </w:rPr>
        <w:t>identitāte paliek nesaistoša, kas var būt atvieglojums, ja reālajā dzīvē sociālā loma nesniedz gandarījumu.</w:t>
      </w:r>
      <w:r w:rsidRPr="00871C12">
        <w:rPr>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phrase"/>
          <w:sz w:val="28"/>
          <w:szCs w:val="28"/>
        </w:rPr>
        <w:t xml:space="preserve"> </w:t>
      </w:r>
      <w:r w:rsidRPr="00871C12">
        <w:rPr>
          <w:rStyle w:val="word"/>
          <w:sz w:val="28"/>
          <w:szCs w:val="28"/>
        </w:rPr>
        <w:t>teorija</w:t>
      </w:r>
      <w:r w:rsidRPr="00871C12">
        <w:rPr>
          <w:rStyle w:val="phrase"/>
          <w:sz w:val="28"/>
          <w:szCs w:val="28"/>
        </w:rPr>
        <w:t xml:space="preserve"> </w:t>
      </w:r>
      <w:r w:rsidRPr="00871C12">
        <w:rPr>
          <w:rStyle w:val="word"/>
          <w:sz w:val="28"/>
          <w:szCs w:val="28"/>
        </w:rPr>
        <w:t>aprobe</w:t>
      </w:r>
      <w:r w:rsidRPr="00871C12">
        <w:rPr>
          <w:rStyle w:val="word"/>
          <w:rFonts w:hint="eastAsia"/>
          <w:sz w:val="28"/>
          <w:szCs w:val="28"/>
        </w:rPr>
        <w:t>ž</w:t>
      </w:r>
      <w:r w:rsidRPr="00871C12">
        <w:rPr>
          <w:rStyle w:val="word"/>
          <w:sz w:val="28"/>
          <w:szCs w:val="28"/>
        </w:rPr>
        <w:t>ojas</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azartsp</w:t>
      </w:r>
      <w:r w:rsidRPr="00871C12">
        <w:rPr>
          <w:rStyle w:val="word"/>
          <w:rFonts w:hint="eastAsia"/>
          <w:sz w:val="28"/>
          <w:szCs w:val="28"/>
        </w:rPr>
        <w:t>ēļ</w:t>
      </w:r>
      <w:r w:rsidRPr="00871C12">
        <w:rPr>
          <w:rStyle w:val="word"/>
          <w:sz w:val="28"/>
          <w:szCs w:val="28"/>
        </w:rPr>
        <w:t>u</w:t>
      </w:r>
      <w:r w:rsidRPr="00871C12">
        <w:rPr>
          <w:rStyle w:val="phrase"/>
          <w:sz w:val="28"/>
          <w:szCs w:val="28"/>
        </w:rPr>
        <w:t xml:space="preserve"> </w:t>
      </w:r>
      <w:r w:rsidRPr="00871C12">
        <w:rPr>
          <w:rStyle w:val="word"/>
          <w:sz w:val="28"/>
          <w:szCs w:val="28"/>
        </w:rPr>
        <w:t>veidiem,</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diezgan</w:t>
      </w:r>
      <w:r w:rsidRPr="00871C12">
        <w:rPr>
          <w:rStyle w:val="phrase"/>
          <w:sz w:val="28"/>
          <w:szCs w:val="28"/>
        </w:rPr>
        <w:t xml:space="preserve"> </w:t>
      </w:r>
      <w:r w:rsidRPr="00871C12">
        <w:rPr>
          <w:rStyle w:val="word"/>
          <w:sz w:val="28"/>
          <w:szCs w:val="28"/>
        </w:rPr>
        <w:t>nep</w:t>
      </w:r>
      <w:r w:rsidRPr="00871C12">
        <w:rPr>
          <w:rStyle w:val="word"/>
          <w:rFonts w:hint="eastAsia"/>
          <w:sz w:val="28"/>
          <w:szCs w:val="28"/>
        </w:rPr>
        <w:t>ā</w:t>
      </w:r>
      <w:r w:rsidRPr="00871C12">
        <w:rPr>
          <w:rStyle w:val="word"/>
          <w:sz w:val="28"/>
          <w:szCs w:val="28"/>
        </w:rPr>
        <w:t>rtraukti</w:t>
      </w:r>
      <w:r w:rsidRPr="00871C12">
        <w:rPr>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ē</w:t>
      </w:r>
      <w:r w:rsidRPr="00871C12">
        <w:rPr>
          <w:rStyle w:val="word"/>
          <w:sz w:val="28"/>
          <w:szCs w:val="28"/>
        </w:rPr>
        <w:t>j</w:t>
      </w:r>
      <w:r w:rsidRPr="00871C12">
        <w:rPr>
          <w:rStyle w:val="word"/>
          <w:rFonts w:hint="eastAsia"/>
          <w:sz w:val="28"/>
          <w:szCs w:val="28"/>
        </w:rPr>
        <w:t>ā</w:t>
      </w:r>
      <w:r w:rsidRPr="00871C12">
        <w:rPr>
          <w:rStyle w:val="word"/>
          <w:sz w:val="28"/>
          <w:szCs w:val="28"/>
        </w:rPr>
        <w:t>di</w:t>
      </w:r>
      <w:r w:rsidR="00F8172A">
        <w:rPr>
          <w:rStyle w:val="word"/>
          <w:sz w:val="28"/>
          <w:szCs w:val="28"/>
        </w:rPr>
        <w:t xml:space="preserve"> tiem</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potenci</w:t>
      </w:r>
      <w:r w:rsidRPr="00871C12">
        <w:rPr>
          <w:rStyle w:val="word"/>
          <w:rFonts w:hint="eastAsia"/>
          <w:sz w:val="28"/>
          <w:szCs w:val="28"/>
        </w:rPr>
        <w:t>ā</w:t>
      </w:r>
      <w:r w:rsidRPr="00871C12">
        <w:rPr>
          <w:rStyle w:val="word"/>
          <w:sz w:val="28"/>
          <w:szCs w:val="28"/>
        </w:rPr>
        <w:t>ls</w:t>
      </w:r>
      <w:r w:rsidRPr="00871C12">
        <w:rPr>
          <w:rStyle w:val="phrase"/>
          <w:sz w:val="28"/>
          <w:szCs w:val="28"/>
        </w:rPr>
        <w:t xml:space="preserve"> </w:t>
      </w:r>
      <w:r w:rsidRPr="00871C12">
        <w:rPr>
          <w:rStyle w:val="word"/>
          <w:sz w:val="28"/>
          <w:szCs w:val="28"/>
        </w:rPr>
        <w:t>rad</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pieredzi.</w:t>
      </w:r>
    </w:p>
    <w:p w:rsidR="001371D8" w:rsidRDefault="003725D7" w:rsidP="000A3334">
      <w:pPr>
        <w:autoSpaceDE w:val="0"/>
        <w:autoSpaceDN w:val="0"/>
        <w:adjustRightInd w:val="0"/>
        <w:ind w:firstLine="567"/>
        <w:jc w:val="both"/>
        <w:rPr>
          <w:rFonts w:eastAsia="Times New Roman" w:cs="Times New Roman"/>
          <w:color w:val="000000"/>
          <w:sz w:val="28"/>
          <w:szCs w:val="28"/>
          <w:lang w:eastAsia="lv-LV"/>
        </w:rPr>
      </w:pPr>
      <w:r w:rsidRPr="007571C1">
        <w:rPr>
          <w:rFonts w:eastAsia="Times New Roman" w:cs="Times New Roman"/>
          <w:color w:val="000000"/>
          <w:sz w:val="28"/>
          <w:szCs w:val="28"/>
          <w:lang w:eastAsia="lv-LV"/>
        </w:rPr>
        <w:t>Visas teorijas, kuru pamat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ir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neapmierin</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vai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aizb</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g</w:t>
      </w:r>
      <w:r w:rsidRPr="007571C1">
        <w:rPr>
          <w:rFonts w:eastAsia="Times New Roman" w:cs="Times New Roman" w:hint="eastAsia"/>
          <w:color w:val="000000"/>
          <w:sz w:val="28"/>
          <w:szCs w:val="28"/>
          <w:lang w:eastAsia="lv-LV"/>
        </w:rPr>
        <w:t>š</w:t>
      </w:r>
      <w:r w:rsidRPr="007571C1">
        <w:rPr>
          <w:rFonts w:eastAsia="Times New Roman" w:cs="Times New Roman"/>
          <w:color w:val="000000"/>
          <w:sz w:val="28"/>
          <w:szCs w:val="28"/>
          <w:lang w:eastAsia="lv-LV"/>
        </w:rPr>
        <w:t>ana</w:t>
      </w:r>
      <w:r w:rsidRPr="007571C1">
        <w:rPr>
          <w:rFonts w:eastAsia="Times New Roman" w:cs="Times New Roman" w:hint="eastAsia"/>
          <w:color w:val="000000"/>
          <w:sz w:val="28"/>
          <w:szCs w:val="28"/>
          <w:lang w:eastAsia="lv-LV"/>
        </w:rPr>
        <w:t>”</w:t>
      </w:r>
      <w:r w:rsidR="0080304B">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k</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motiv</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ciju dal</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bai nodala divas indiv</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da darb</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bas jomas: re</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pasaule un azartsp</w:t>
      </w:r>
      <w:r w:rsidRPr="007571C1">
        <w:rPr>
          <w:rFonts w:eastAsia="Times New Roman" w:cs="Times New Roman" w:hint="eastAsia"/>
          <w:color w:val="000000"/>
          <w:sz w:val="28"/>
          <w:szCs w:val="28"/>
          <w:lang w:eastAsia="lv-LV"/>
        </w:rPr>
        <w:t>ēļ</w:t>
      </w:r>
      <w:r w:rsidRPr="007571C1">
        <w:rPr>
          <w:rFonts w:eastAsia="Times New Roman" w:cs="Times New Roman"/>
          <w:color w:val="000000"/>
          <w:sz w:val="28"/>
          <w:szCs w:val="28"/>
          <w:lang w:eastAsia="lv-LV"/>
        </w:rPr>
        <w:t>u pasaule. Neapmierin</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 kas tiek izjusta re</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laj</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pasaul</w:t>
      </w:r>
      <w:r w:rsidRPr="007571C1">
        <w:rPr>
          <w:rFonts w:eastAsia="Times New Roman" w:cs="Times New Roman" w:hint="eastAsia"/>
          <w:color w:val="000000"/>
          <w:sz w:val="28"/>
          <w:szCs w:val="28"/>
          <w:lang w:eastAsia="lv-LV"/>
        </w:rPr>
        <w:t>ē</w:t>
      </w:r>
      <w:r w:rsidR="0055024C">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stumj</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sp</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ju azartsp</w:t>
      </w:r>
      <w:r w:rsidRPr="007571C1">
        <w:rPr>
          <w:rFonts w:eastAsia="Times New Roman" w:cs="Times New Roman" w:hint="eastAsia"/>
          <w:color w:val="000000"/>
          <w:sz w:val="28"/>
          <w:szCs w:val="28"/>
          <w:lang w:eastAsia="lv-LV"/>
        </w:rPr>
        <w:t>ēļ</w:t>
      </w:r>
      <w:r w:rsidRPr="007571C1">
        <w:rPr>
          <w:rFonts w:eastAsia="Times New Roman" w:cs="Times New Roman"/>
          <w:color w:val="000000"/>
          <w:sz w:val="28"/>
          <w:szCs w:val="28"/>
          <w:lang w:eastAsia="lv-LV"/>
        </w:rPr>
        <w:t>u pasaul</w:t>
      </w:r>
      <w:r w:rsidRPr="007571C1">
        <w:rPr>
          <w:rFonts w:eastAsia="Times New Roman" w:cs="Times New Roman" w:hint="eastAsia"/>
          <w:color w:val="000000"/>
          <w:sz w:val="28"/>
          <w:szCs w:val="28"/>
          <w:lang w:eastAsia="lv-LV"/>
        </w:rPr>
        <w:t>ē</w:t>
      </w:r>
      <w:r w:rsidR="0080304B">
        <w:rPr>
          <w:rFonts w:eastAsia="Times New Roman" w:cs="Times New Roman"/>
          <w:color w:val="000000"/>
          <w:sz w:val="28"/>
          <w:szCs w:val="28"/>
          <w:lang w:eastAsia="lv-LV"/>
        </w:rPr>
        <w:t xml:space="preserve"> </w:t>
      </w:r>
      <w:r w:rsidR="00D2512E">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sp</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js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m</w:t>
      </w:r>
      <w:r w:rsidRPr="007571C1">
        <w:rPr>
          <w:rFonts w:eastAsia="Times New Roman" w:cs="Times New Roman" w:hint="eastAsia"/>
          <w:color w:val="000000"/>
          <w:sz w:val="28"/>
          <w:szCs w:val="28"/>
          <w:lang w:eastAsia="lv-LV"/>
        </w:rPr>
        <w:t>ū</w:t>
      </w:r>
      <w:r w:rsidRPr="007571C1">
        <w:rPr>
          <w:rFonts w:eastAsia="Times New Roman" w:cs="Times New Roman"/>
          <w:color w:val="000000"/>
          <w:sz w:val="28"/>
          <w:szCs w:val="28"/>
          <w:lang w:eastAsia="lv-LV"/>
        </w:rPr>
        <w:t>k proj</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m</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no realit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tes.</w:t>
      </w:r>
    </w:p>
    <w:p w:rsidR="003725D7" w:rsidRPr="007571C1" w:rsidRDefault="003725D7" w:rsidP="007571C1">
      <w:pPr>
        <w:autoSpaceDE w:val="0"/>
        <w:autoSpaceDN w:val="0"/>
        <w:adjustRightInd w:val="0"/>
        <w:ind w:firstLine="450"/>
        <w:jc w:val="both"/>
        <w:rPr>
          <w:rFonts w:eastAsia="SabonLT-Roman" w:cs="Times New Roman"/>
          <w:sz w:val="28"/>
          <w:szCs w:val="28"/>
        </w:rPr>
      </w:pPr>
    </w:p>
    <w:p w:rsidR="003725D7" w:rsidRPr="003725D7" w:rsidRDefault="003725D7" w:rsidP="000A3334">
      <w:pPr>
        <w:pStyle w:val="ListParagraph"/>
        <w:ind w:left="0" w:firstLine="567"/>
        <w:jc w:val="both"/>
        <w:rPr>
          <w:rFonts w:cs="Times New Roman"/>
          <w:sz w:val="28"/>
          <w:szCs w:val="28"/>
        </w:rPr>
      </w:pPr>
      <w:r w:rsidRPr="003725D7">
        <w:rPr>
          <w:rFonts w:eastAsia="SabonLT-Roman" w:cs="Times New Roman"/>
          <w:i/>
          <w:sz w:val="28"/>
          <w:szCs w:val="28"/>
        </w:rPr>
        <w:t>Subkultūras teorija</w:t>
      </w:r>
      <w:r w:rsidRPr="00871C12">
        <w:rPr>
          <w:rStyle w:val="FootnoteReference"/>
          <w:sz w:val="28"/>
          <w:szCs w:val="28"/>
        </w:rPr>
        <w:footnoteReference w:id="36"/>
      </w:r>
      <w:r w:rsidRPr="003725D7">
        <w:rPr>
          <w:rFonts w:cs="Times New Roman"/>
          <w:sz w:val="28"/>
          <w:szCs w:val="28"/>
        </w:rPr>
        <w:tab/>
        <w:t xml:space="preserve"> </w:t>
      </w:r>
    </w:p>
    <w:p w:rsidR="003725D7" w:rsidRPr="007571C1" w:rsidRDefault="003725D7" w:rsidP="00022601">
      <w:pPr>
        <w:tabs>
          <w:tab w:val="left" w:pos="709"/>
          <w:tab w:val="left" w:pos="851"/>
          <w:tab w:val="left" w:pos="993"/>
        </w:tabs>
        <w:autoSpaceDE w:val="0"/>
        <w:autoSpaceDN w:val="0"/>
        <w:adjustRightInd w:val="0"/>
        <w:ind w:firstLine="567"/>
        <w:jc w:val="both"/>
        <w:rPr>
          <w:rFonts w:eastAsia="SabonLT-Roman" w:cs="Times New Roman"/>
          <w:sz w:val="28"/>
          <w:szCs w:val="28"/>
        </w:rPr>
      </w:pPr>
      <w:r w:rsidRPr="007571C1">
        <w:rPr>
          <w:rFonts w:eastAsia="SabonLT-Roman" w:cs="Times New Roman"/>
          <w:sz w:val="28"/>
          <w:szCs w:val="28"/>
        </w:rPr>
        <w:t>Azartspēļu spēja izveidot sociālās piederības saj</w:t>
      </w:r>
      <w:r w:rsidR="00840E6B">
        <w:rPr>
          <w:rFonts w:eastAsia="SabonLT-Roman" w:cs="Times New Roman"/>
          <w:sz w:val="28"/>
          <w:szCs w:val="28"/>
        </w:rPr>
        <w:t>ū</w:t>
      </w:r>
      <w:r w:rsidRPr="007571C1">
        <w:rPr>
          <w:rFonts w:eastAsia="SabonLT-Roman" w:cs="Times New Roman"/>
          <w:sz w:val="28"/>
          <w:szCs w:val="28"/>
        </w:rPr>
        <w:t xml:space="preserve">tu un sniegt sociālo gandarījumu ir atslēgas punkts vairākos pētījumos, kas uzskata azartspēļu vidi par subkultūru vai slēgto kultūras jomu. Regulāri spēlētāji ne tikai tiekas ar cilvēkiem un tādā veidā apmierina savas socializācijas vajadzības, bet iesaistās aktivitātēs, kas iekļauj sevī specifiskus un kompleksus </w:t>
      </w:r>
      <w:r w:rsidRPr="00044461">
        <w:rPr>
          <w:rFonts w:eastAsia="SabonLT-Roman" w:cs="Times New Roman"/>
          <w:sz w:val="28"/>
          <w:szCs w:val="28"/>
        </w:rPr>
        <w:t>kultūras kodus</w:t>
      </w:r>
      <w:r w:rsidRPr="00E46327">
        <w:rPr>
          <w:rFonts w:eastAsia="SabonLT-Roman" w:cs="Times New Roman"/>
          <w:sz w:val="28"/>
          <w:szCs w:val="28"/>
        </w:rPr>
        <w:t>.</w:t>
      </w:r>
      <w:r w:rsidRPr="007571C1">
        <w:rPr>
          <w:rFonts w:eastAsia="SabonLT-Roman" w:cs="Times New Roman"/>
          <w:sz w:val="28"/>
          <w:szCs w:val="28"/>
        </w:rPr>
        <w:t xml:space="preserve"> Ieejot spēļu zālē vai hipodromā, indivīds atstāj reālo pasauli un ikdienas identitāti</w:t>
      </w:r>
      <w:r w:rsidR="00A05BFF">
        <w:rPr>
          <w:rFonts w:eastAsia="SabonLT-Roman" w:cs="Times New Roman"/>
          <w:sz w:val="28"/>
          <w:szCs w:val="28"/>
        </w:rPr>
        <w:t>,</w:t>
      </w:r>
      <w:r w:rsidRPr="007571C1">
        <w:rPr>
          <w:rFonts w:eastAsia="SabonLT-Roman" w:cs="Times New Roman"/>
          <w:sz w:val="28"/>
          <w:szCs w:val="28"/>
        </w:rPr>
        <w:t xml:space="preserve"> un satiekas ar citiem atšķirīgā pasaulē, kur indivīds pieņem citu identitāti.  </w:t>
      </w:r>
    </w:p>
    <w:p w:rsidR="003725D7" w:rsidRPr="007571C1" w:rsidRDefault="003725D7" w:rsidP="000A3334">
      <w:pPr>
        <w:autoSpaceDE w:val="0"/>
        <w:autoSpaceDN w:val="0"/>
        <w:adjustRightInd w:val="0"/>
        <w:ind w:firstLine="567"/>
        <w:jc w:val="both"/>
        <w:rPr>
          <w:rFonts w:eastAsia="SabonLT-Roman" w:cs="Times New Roman"/>
          <w:sz w:val="28"/>
          <w:szCs w:val="28"/>
        </w:rPr>
      </w:pPr>
      <w:r w:rsidRPr="007571C1">
        <w:rPr>
          <w:rFonts w:eastAsia="SabonLT-Roman" w:cs="Times New Roman"/>
          <w:sz w:val="28"/>
          <w:szCs w:val="28"/>
        </w:rPr>
        <w:t>Dažiem indivīdiem azartspēļu pasaule ar tā</w:t>
      </w:r>
      <w:r w:rsidR="005E6C2A">
        <w:rPr>
          <w:rFonts w:eastAsia="SabonLT-Roman" w:cs="Times New Roman"/>
          <w:sz w:val="28"/>
          <w:szCs w:val="28"/>
        </w:rPr>
        <w:t>s</w:t>
      </w:r>
      <w:r w:rsidRPr="007571C1">
        <w:rPr>
          <w:rFonts w:eastAsia="SabonLT-Roman" w:cs="Times New Roman"/>
          <w:sz w:val="28"/>
          <w:szCs w:val="28"/>
        </w:rPr>
        <w:t xml:space="preserve"> “aktivitāti”, normām un sociālo iekļaušanu var kļūt pievilcīgāka ikdienas pasaulei, motivējot viņus tērēt daudz naudas un laika. Saskaņā ar medicīnas viedokli šāda iesaiste var klasificēt indivīdu kā patoloģisku spēlētāju, savukārt no socioloģiskā viedokļa tas ir mērens spēļu z</w:t>
      </w:r>
      <w:r w:rsidR="001B0701">
        <w:rPr>
          <w:rFonts w:eastAsia="SabonLT-Roman" w:cs="Times New Roman"/>
          <w:sz w:val="28"/>
          <w:szCs w:val="28"/>
        </w:rPr>
        <w:t>ā</w:t>
      </w:r>
      <w:r w:rsidRPr="007571C1">
        <w:rPr>
          <w:rFonts w:eastAsia="SabonLT-Roman" w:cs="Times New Roman"/>
          <w:sz w:val="28"/>
          <w:szCs w:val="28"/>
        </w:rPr>
        <w:t xml:space="preserve">ļu apmeklētājs. </w:t>
      </w:r>
    </w:p>
    <w:p w:rsidR="003725D7" w:rsidRDefault="00602939" w:rsidP="000A3334">
      <w:pPr>
        <w:autoSpaceDE w:val="0"/>
        <w:autoSpaceDN w:val="0"/>
        <w:adjustRightInd w:val="0"/>
        <w:ind w:firstLine="567"/>
        <w:jc w:val="both"/>
        <w:rPr>
          <w:rFonts w:eastAsia="SabonLT-Roman" w:cs="Times New Roman"/>
          <w:sz w:val="28"/>
          <w:szCs w:val="28"/>
        </w:rPr>
      </w:pPr>
      <w:r w:rsidRPr="00956612">
        <w:rPr>
          <w:rFonts w:eastAsia="SabonLT-Roman" w:cs="Times New Roman"/>
          <w:sz w:val="28"/>
          <w:szCs w:val="28"/>
        </w:rPr>
        <w:t xml:space="preserve">Džons </w:t>
      </w:r>
      <w:r w:rsidRPr="00CA1E85">
        <w:rPr>
          <w:rFonts w:eastAsia="SabonLT-Roman" w:cs="Times New Roman"/>
          <w:sz w:val="28"/>
          <w:szCs w:val="28"/>
        </w:rPr>
        <w:t>Ro</w:t>
      </w:r>
      <w:r w:rsidRPr="00A80C1E">
        <w:rPr>
          <w:rFonts w:eastAsia="SabonLT-Roman" w:cs="Times New Roman"/>
          <w:sz w:val="28"/>
          <w:szCs w:val="28"/>
        </w:rPr>
        <w:t>z</w:t>
      </w:r>
      <w:r w:rsidRPr="00602939">
        <w:rPr>
          <w:rFonts w:eastAsia="SabonLT-Roman" w:cs="Times New Roman"/>
          <w:sz w:val="28"/>
          <w:szCs w:val="28"/>
        </w:rPr>
        <w:t>e</w:t>
      </w:r>
      <w:r w:rsidRPr="00A80C1E">
        <w:rPr>
          <w:rFonts w:eastAsia="SabonLT-Roman" w:cs="Times New Roman"/>
          <w:sz w:val="28"/>
          <w:szCs w:val="28"/>
        </w:rPr>
        <w:t>k</w:t>
      </w:r>
      <w:r w:rsidRPr="00602939">
        <w:rPr>
          <w:rFonts w:eastAsia="SabonLT-Roman" w:cs="Times New Roman"/>
          <w:sz w:val="28"/>
          <w:szCs w:val="28"/>
        </w:rPr>
        <w:t>ran</w:t>
      </w:r>
      <w:r w:rsidRPr="00A80C1E">
        <w:rPr>
          <w:rFonts w:eastAsia="SabonLT-Roman" w:cs="Times New Roman"/>
          <w:sz w:val="28"/>
          <w:szCs w:val="28"/>
        </w:rPr>
        <w:t xml:space="preserve">ss </w:t>
      </w:r>
      <w:r w:rsidRPr="00602939">
        <w:rPr>
          <w:rFonts w:eastAsia="SabonLT-Roman" w:cs="Times New Roman"/>
          <w:sz w:val="28"/>
          <w:szCs w:val="28"/>
        </w:rPr>
        <w:t>(</w:t>
      </w:r>
      <w:r w:rsidRPr="0066503A">
        <w:rPr>
          <w:rFonts w:eastAsia="SabonLT-Roman" w:cs="Times New Roman"/>
          <w:sz w:val="28"/>
          <w:szCs w:val="28"/>
        </w:rPr>
        <w:t>ang.</w:t>
      </w:r>
      <w:r w:rsidR="00AD7092" w:rsidRPr="0066503A">
        <w:rPr>
          <w:rFonts w:eastAsia="SabonLT-Roman" w:cs="Times New Roman"/>
          <w:sz w:val="28"/>
          <w:szCs w:val="28"/>
        </w:rPr>
        <w:t xml:space="preserve"> val.</w:t>
      </w:r>
      <w:r w:rsidRPr="00CA1E85">
        <w:rPr>
          <w:rFonts w:eastAsia="SabonLT-Roman" w:cs="Times New Roman"/>
          <w:sz w:val="28"/>
          <w:szCs w:val="28"/>
        </w:rPr>
        <w:t xml:space="preserve"> </w:t>
      </w:r>
      <w:r w:rsidRPr="00A80C1E">
        <w:rPr>
          <w:rFonts w:eastAsia="SabonLT-Roman" w:cs="Times New Roman"/>
          <w:i/>
          <w:sz w:val="28"/>
          <w:szCs w:val="28"/>
        </w:rPr>
        <w:t>John D. Rosecrance</w:t>
      </w:r>
      <w:r w:rsidRPr="00A80C1E">
        <w:rPr>
          <w:rFonts w:eastAsia="SabonLT-Roman" w:cs="Times New Roman"/>
          <w:sz w:val="28"/>
          <w:szCs w:val="28"/>
        </w:rPr>
        <w:t>)</w:t>
      </w:r>
      <w:r w:rsidR="003725D7" w:rsidRPr="00602939">
        <w:rPr>
          <w:rFonts w:eastAsia="SabonLT-Roman" w:cs="Times New Roman"/>
          <w:sz w:val="28"/>
          <w:szCs w:val="28"/>
        </w:rPr>
        <w:t xml:space="preserve"> </w:t>
      </w:r>
      <w:r w:rsidR="003725D7" w:rsidRPr="00E83F6E">
        <w:rPr>
          <w:rFonts w:eastAsia="SabonLT-Roman" w:cs="Times New Roman"/>
          <w:sz w:val="28"/>
          <w:szCs w:val="28"/>
        </w:rPr>
        <w:t>piekrīt,</w:t>
      </w:r>
      <w:r w:rsidR="003725D7" w:rsidRPr="007571C1">
        <w:rPr>
          <w:rFonts w:eastAsia="SabonLT-Roman" w:cs="Times New Roman"/>
          <w:sz w:val="28"/>
          <w:szCs w:val="28"/>
        </w:rPr>
        <w:t xml:space="preserve"> ka </w:t>
      </w:r>
      <w:r w:rsidR="00F8172A">
        <w:rPr>
          <w:rFonts w:eastAsia="SabonLT-Roman" w:cs="Times New Roman"/>
          <w:sz w:val="28"/>
          <w:szCs w:val="28"/>
        </w:rPr>
        <w:t xml:space="preserve">cita </w:t>
      </w:r>
      <w:r w:rsidR="003725D7" w:rsidRPr="007571C1">
        <w:rPr>
          <w:rFonts w:eastAsia="SabonLT-Roman" w:cs="Times New Roman"/>
          <w:sz w:val="28"/>
          <w:szCs w:val="28"/>
        </w:rPr>
        <w:t>sociāla identitāte, kas liecina par piederību veiksmes spēlētāju grupai</w:t>
      </w:r>
      <w:r w:rsidR="0055024C">
        <w:rPr>
          <w:rFonts w:eastAsia="SabonLT-Roman" w:cs="Times New Roman"/>
          <w:sz w:val="28"/>
          <w:szCs w:val="28"/>
        </w:rPr>
        <w:t>,</w:t>
      </w:r>
      <w:r w:rsidR="003725D7" w:rsidRPr="007571C1">
        <w:rPr>
          <w:rFonts w:eastAsia="SabonLT-Roman" w:cs="Times New Roman"/>
          <w:sz w:val="28"/>
          <w:szCs w:val="28"/>
        </w:rPr>
        <w:t xml:space="preserve"> ir galvenais cēlonis spēlētāja dalībai azartspēlēs, neskatoties uz naudas zaudējumiem. </w:t>
      </w:r>
    </w:p>
    <w:p w:rsidR="001371D8" w:rsidRPr="007571C1" w:rsidRDefault="001371D8" w:rsidP="007571C1">
      <w:pPr>
        <w:autoSpaceDE w:val="0"/>
        <w:autoSpaceDN w:val="0"/>
        <w:adjustRightInd w:val="0"/>
        <w:ind w:firstLine="360"/>
        <w:jc w:val="both"/>
        <w:rPr>
          <w:rFonts w:eastAsia="SabonLT-Roman" w:cs="Times New Roman"/>
          <w:sz w:val="28"/>
          <w:szCs w:val="28"/>
        </w:rPr>
      </w:pPr>
    </w:p>
    <w:p w:rsidR="00635AFA" w:rsidRPr="007571C1" w:rsidRDefault="00635AFA" w:rsidP="009E0A36">
      <w:pPr>
        <w:pStyle w:val="Heading2"/>
        <w:numPr>
          <w:ilvl w:val="1"/>
          <w:numId w:val="36"/>
        </w:numPr>
        <w:ind w:left="0" w:firstLine="0"/>
        <w:jc w:val="center"/>
        <w:rPr>
          <w:rFonts w:ascii="Times New Roman" w:hAnsi="Times New Roman" w:cs="Times New Roman"/>
          <w:b/>
          <w:color w:val="auto"/>
          <w:sz w:val="28"/>
          <w:szCs w:val="28"/>
        </w:rPr>
      </w:pPr>
      <w:bookmarkStart w:id="20" w:name="_Toc19025035"/>
      <w:bookmarkStart w:id="21" w:name="_Toc19025684"/>
      <w:bookmarkStart w:id="22" w:name="_Toc19026259"/>
      <w:bookmarkStart w:id="23" w:name="_Toc19026833"/>
      <w:bookmarkStart w:id="24" w:name="_Toc19696560"/>
      <w:bookmarkStart w:id="25" w:name="_Toc19697136"/>
      <w:bookmarkStart w:id="26" w:name="_Toc19697714"/>
      <w:bookmarkStart w:id="27" w:name="_Toc19698291"/>
      <w:bookmarkStart w:id="28" w:name="_Toc56087181"/>
      <w:bookmarkEnd w:id="20"/>
      <w:bookmarkEnd w:id="21"/>
      <w:bookmarkEnd w:id="22"/>
      <w:bookmarkEnd w:id="23"/>
      <w:bookmarkEnd w:id="24"/>
      <w:bookmarkEnd w:id="25"/>
      <w:bookmarkEnd w:id="26"/>
      <w:bookmarkEnd w:id="27"/>
      <w:r w:rsidRPr="007571C1">
        <w:rPr>
          <w:rFonts w:ascii="Times New Roman" w:hAnsi="Times New Roman" w:cs="Times New Roman"/>
          <w:b/>
          <w:color w:val="auto"/>
          <w:sz w:val="28"/>
          <w:szCs w:val="28"/>
        </w:rPr>
        <w:t xml:space="preserve">Profilaktiskie pasākumi </w:t>
      </w:r>
      <w:r w:rsidR="0089565A">
        <w:rPr>
          <w:rFonts w:ascii="Times New Roman" w:hAnsi="Times New Roman" w:cs="Times New Roman"/>
          <w:b/>
          <w:color w:val="auto"/>
          <w:sz w:val="28"/>
          <w:szCs w:val="28"/>
        </w:rPr>
        <w:t xml:space="preserve">ar </w:t>
      </w:r>
      <w:r w:rsidRPr="007571C1">
        <w:rPr>
          <w:rFonts w:ascii="Times New Roman" w:hAnsi="Times New Roman" w:cs="Times New Roman"/>
          <w:b/>
          <w:color w:val="auto"/>
          <w:sz w:val="28"/>
          <w:szCs w:val="28"/>
        </w:rPr>
        <w:t>azartspē</w:t>
      </w:r>
      <w:r w:rsidR="0089565A">
        <w:rPr>
          <w:rFonts w:ascii="Times New Roman" w:hAnsi="Times New Roman" w:cs="Times New Roman"/>
          <w:b/>
          <w:color w:val="auto"/>
          <w:sz w:val="28"/>
          <w:szCs w:val="28"/>
        </w:rPr>
        <w:t>lēm</w:t>
      </w:r>
      <w:r w:rsidRPr="007571C1">
        <w:rPr>
          <w:rFonts w:ascii="Times New Roman" w:hAnsi="Times New Roman" w:cs="Times New Roman"/>
          <w:b/>
          <w:color w:val="auto"/>
          <w:sz w:val="28"/>
          <w:szCs w:val="28"/>
        </w:rPr>
        <w:t xml:space="preserve"> un </w:t>
      </w:r>
      <w:r w:rsidR="0089565A" w:rsidRPr="007571C1">
        <w:rPr>
          <w:rFonts w:ascii="Times New Roman" w:hAnsi="Times New Roman" w:cs="Times New Roman"/>
          <w:b/>
          <w:color w:val="auto"/>
          <w:sz w:val="28"/>
          <w:szCs w:val="28"/>
        </w:rPr>
        <w:t>izlo</w:t>
      </w:r>
      <w:r w:rsidR="0089565A">
        <w:rPr>
          <w:rFonts w:ascii="Times New Roman" w:hAnsi="Times New Roman" w:cs="Times New Roman"/>
          <w:b/>
          <w:color w:val="auto"/>
          <w:sz w:val="28"/>
          <w:szCs w:val="28"/>
        </w:rPr>
        <w:t>zēm saistīto risku</w:t>
      </w:r>
      <w:r w:rsidR="0089565A" w:rsidRPr="007571C1">
        <w:rPr>
          <w:rFonts w:ascii="Times New Roman" w:hAnsi="Times New Roman" w:cs="Times New Roman"/>
          <w:b/>
          <w:color w:val="auto"/>
          <w:sz w:val="28"/>
          <w:szCs w:val="28"/>
        </w:rPr>
        <w:t xml:space="preserve"> </w:t>
      </w:r>
      <w:r w:rsidRPr="007571C1">
        <w:rPr>
          <w:rFonts w:ascii="Times New Roman" w:hAnsi="Times New Roman" w:cs="Times New Roman"/>
          <w:b/>
          <w:color w:val="auto"/>
          <w:sz w:val="28"/>
          <w:szCs w:val="28"/>
        </w:rPr>
        <w:t>mazināšanai</w:t>
      </w:r>
      <w:bookmarkEnd w:id="28"/>
    </w:p>
    <w:p w:rsidR="00635AFA" w:rsidRPr="0087512B" w:rsidRDefault="00635AFA" w:rsidP="0087512B"/>
    <w:p w:rsidR="00635AFA" w:rsidRPr="00862F19" w:rsidRDefault="00635AFA" w:rsidP="00862F19">
      <w:pPr>
        <w:pStyle w:val="NoSpacing"/>
        <w:ind w:firstLine="567"/>
        <w:jc w:val="both"/>
        <w:rPr>
          <w:rFonts w:ascii="Times New Roman" w:hAnsi="Times New Roman"/>
          <w:sz w:val="28"/>
          <w:szCs w:val="28"/>
        </w:rPr>
      </w:pPr>
      <w:r w:rsidRPr="00862F19">
        <w:rPr>
          <w:rFonts w:ascii="Times New Roman" w:hAnsi="Times New Roman"/>
          <w:sz w:val="28"/>
          <w:szCs w:val="28"/>
        </w:rPr>
        <w:t xml:space="preserve">Lai mazinātu </w:t>
      </w:r>
      <w:r w:rsidR="0089565A">
        <w:rPr>
          <w:rFonts w:ascii="Times New Roman" w:hAnsi="Times New Roman"/>
          <w:sz w:val="28"/>
          <w:szCs w:val="28"/>
        </w:rPr>
        <w:t xml:space="preserve">ar </w:t>
      </w:r>
      <w:r w:rsidRPr="00862F19">
        <w:rPr>
          <w:rFonts w:ascii="Times New Roman" w:hAnsi="Times New Roman"/>
          <w:sz w:val="28"/>
          <w:szCs w:val="28"/>
        </w:rPr>
        <w:t>azartspē</w:t>
      </w:r>
      <w:r w:rsidR="0089565A">
        <w:rPr>
          <w:rFonts w:ascii="Times New Roman" w:hAnsi="Times New Roman"/>
          <w:sz w:val="28"/>
          <w:szCs w:val="28"/>
        </w:rPr>
        <w:t>lēm</w:t>
      </w:r>
      <w:r w:rsidRPr="00862F19">
        <w:rPr>
          <w:rFonts w:ascii="Times New Roman" w:hAnsi="Times New Roman"/>
          <w:sz w:val="28"/>
          <w:szCs w:val="28"/>
        </w:rPr>
        <w:t xml:space="preserve"> </w:t>
      </w:r>
      <w:r w:rsidR="0089565A">
        <w:rPr>
          <w:rFonts w:ascii="Times New Roman" w:hAnsi="Times New Roman"/>
          <w:sz w:val="28"/>
          <w:szCs w:val="28"/>
        </w:rPr>
        <w:t xml:space="preserve">un izlozēm saistītos riskus </w:t>
      </w:r>
      <w:r w:rsidRPr="00862F19">
        <w:rPr>
          <w:rFonts w:ascii="Times New Roman" w:hAnsi="Times New Roman"/>
          <w:sz w:val="28"/>
          <w:szCs w:val="28"/>
        </w:rPr>
        <w:t xml:space="preserve">un nodrošinātu sabiedrībai azartspēļu nozares pakalpojumus kā </w:t>
      </w:r>
      <w:r w:rsidR="00F8172A">
        <w:rPr>
          <w:rFonts w:ascii="Times New Roman" w:hAnsi="Times New Roman"/>
          <w:sz w:val="28"/>
          <w:szCs w:val="28"/>
        </w:rPr>
        <w:t>brīva laika pavadīšanas veidu</w:t>
      </w:r>
      <w:r w:rsidRPr="00862F19">
        <w:rPr>
          <w:rFonts w:ascii="Times New Roman" w:hAnsi="Times New Roman"/>
          <w:sz w:val="28"/>
          <w:szCs w:val="28"/>
        </w:rPr>
        <w:t>, nepieciešams veikt profilakses pasākumus.</w:t>
      </w:r>
    </w:p>
    <w:p w:rsidR="00635AFA" w:rsidRPr="0087512B" w:rsidRDefault="00635AFA" w:rsidP="0087512B">
      <w:pPr>
        <w:pStyle w:val="NoSpacing"/>
        <w:ind w:firstLine="567"/>
        <w:jc w:val="both"/>
        <w:rPr>
          <w:rFonts w:ascii="Times New Roman" w:hAnsi="Times New Roman" w:cs="Times New Roman"/>
          <w:sz w:val="28"/>
          <w:szCs w:val="28"/>
        </w:rPr>
      </w:pPr>
      <w:r w:rsidRPr="00044461">
        <w:rPr>
          <w:rFonts w:ascii="Times New Roman" w:hAnsi="Times New Roman" w:cs="Times New Roman"/>
          <w:sz w:val="28"/>
          <w:szCs w:val="28"/>
        </w:rPr>
        <w:t>AIL un Ministru kabineta noteikumos pašlaik ir noteikti dažādi preventīvie pasākumi kaitīgu sociālo seku mazināšanai:</w:t>
      </w:r>
    </w:p>
    <w:p w:rsidR="00FE3544" w:rsidRDefault="00FE3544" w:rsidP="009E0A36">
      <w:pPr>
        <w:pStyle w:val="NoSpacing"/>
        <w:numPr>
          <w:ilvl w:val="0"/>
          <w:numId w:val="46"/>
        </w:numPr>
        <w:ind w:left="0" w:firstLine="709"/>
        <w:jc w:val="both"/>
        <w:rPr>
          <w:rFonts w:ascii="Times New Roman" w:hAnsi="Times New Roman" w:cs="Times New Roman"/>
          <w:sz w:val="28"/>
          <w:szCs w:val="28"/>
        </w:rPr>
      </w:pPr>
      <w:r w:rsidRPr="003705A7">
        <w:rPr>
          <w:rFonts w:ascii="Times New Roman" w:hAnsi="Times New Roman" w:cs="Times New Roman"/>
          <w:sz w:val="28"/>
          <w:szCs w:val="28"/>
        </w:rPr>
        <w:lastRenderedPageBreak/>
        <w:t>AIL 41.panta pirmās daļas 6.punktā ir noteikts aizliegums piedalīties azartspēlēs personām, kas jaunākas par 18 gadiem;</w:t>
      </w:r>
    </w:p>
    <w:p w:rsidR="000C30E4" w:rsidRDefault="000C30E4" w:rsidP="009E0A36">
      <w:pPr>
        <w:pStyle w:val="PlainText"/>
        <w:numPr>
          <w:ilvl w:val="0"/>
          <w:numId w:val="4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AIL 4.</w:t>
      </w:r>
      <w:r w:rsidRPr="000C30E4">
        <w:rPr>
          <w:rFonts w:ascii="Times New Roman" w:hAnsi="Times New Roman" w:cs="Times New Roman"/>
          <w:sz w:val="28"/>
          <w:szCs w:val="28"/>
          <w:vertAlign w:val="superscript"/>
        </w:rPr>
        <w:t>1</w:t>
      </w:r>
      <w:r>
        <w:rPr>
          <w:rFonts w:ascii="Times New Roman" w:hAnsi="Times New Roman" w:cs="Times New Roman"/>
          <w:sz w:val="28"/>
          <w:szCs w:val="28"/>
        </w:rPr>
        <w:t>pantā, 36.panta sestajā daļā un Ministru kabineta 2019.gada 16.jūlija Ministru kabineta noteikum</w:t>
      </w:r>
      <w:r w:rsidR="006E1006">
        <w:rPr>
          <w:rFonts w:ascii="Times New Roman" w:hAnsi="Times New Roman" w:cs="Times New Roman"/>
          <w:sz w:val="28"/>
          <w:szCs w:val="28"/>
        </w:rPr>
        <w:t>os</w:t>
      </w:r>
      <w:r>
        <w:rPr>
          <w:rFonts w:ascii="Times New Roman" w:hAnsi="Times New Roman" w:cs="Times New Roman"/>
          <w:sz w:val="28"/>
          <w:szCs w:val="28"/>
        </w:rPr>
        <w:t xml:space="preserve"> Nr.333 “</w:t>
      </w:r>
      <w:r w:rsidRPr="005322CB">
        <w:rPr>
          <w:rFonts w:ascii="Times New Roman" w:hAnsi="Times New Roman" w:cs="Times New Roman"/>
          <w:sz w:val="28"/>
          <w:szCs w:val="28"/>
        </w:rPr>
        <w:t>No azartspēlēm un interaktīvajām izlozēm pašatteikušos personu reģistra noteikumi</w:t>
      </w:r>
      <w:r>
        <w:rPr>
          <w:rFonts w:ascii="Times New Roman" w:hAnsi="Times New Roman" w:cs="Times New Roman"/>
          <w:sz w:val="28"/>
          <w:szCs w:val="28"/>
        </w:rPr>
        <w:t xml:space="preserve">” paredz </w:t>
      </w:r>
      <w:r w:rsidR="00BC5CAF">
        <w:rPr>
          <w:rFonts w:ascii="Times New Roman" w:hAnsi="Times New Roman" w:cs="Times New Roman"/>
          <w:sz w:val="28"/>
          <w:szCs w:val="28"/>
        </w:rPr>
        <w:t>pašatteikušos personu reģistra</w:t>
      </w:r>
      <w:r>
        <w:rPr>
          <w:rFonts w:ascii="Times New Roman" w:hAnsi="Times New Roman" w:cs="Times New Roman"/>
          <w:sz w:val="28"/>
          <w:szCs w:val="28"/>
        </w:rPr>
        <w:t xml:space="preserve"> izveidi</w:t>
      </w:r>
      <w:r w:rsidRPr="00DE1360">
        <w:rPr>
          <w:rFonts w:ascii="Times New Roman" w:hAnsi="Times New Roman" w:cs="Times New Roman"/>
          <w:sz w:val="28"/>
          <w:szCs w:val="28"/>
        </w:rPr>
        <w:t>, lai, pamatojoties uz fizisku personu izteiktajiem pieprasījumiem, tām tiktu liegts piedalīties spēlēs.</w:t>
      </w:r>
      <w:r>
        <w:rPr>
          <w:rFonts w:ascii="Times New Roman" w:hAnsi="Times New Roman" w:cs="Times New Roman"/>
          <w:sz w:val="28"/>
          <w:szCs w:val="28"/>
        </w:rPr>
        <w:t xml:space="preserve"> </w:t>
      </w:r>
      <w:r w:rsidRPr="00DE1360">
        <w:rPr>
          <w:rFonts w:ascii="Times New Roman" w:hAnsi="Times New Roman" w:cs="Times New Roman"/>
          <w:sz w:val="28"/>
          <w:szCs w:val="28"/>
        </w:rPr>
        <w:t xml:space="preserve">Par </w:t>
      </w:r>
      <w:r w:rsidR="00BC5CAF">
        <w:rPr>
          <w:rFonts w:ascii="Times New Roman" w:hAnsi="Times New Roman" w:cs="Times New Roman"/>
          <w:sz w:val="28"/>
          <w:szCs w:val="28"/>
        </w:rPr>
        <w:t>pašatteikušos personu reģistra</w:t>
      </w:r>
      <w:r w:rsidRPr="00DE1360">
        <w:rPr>
          <w:rFonts w:ascii="Times New Roman" w:hAnsi="Times New Roman" w:cs="Times New Roman"/>
          <w:sz w:val="28"/>
          <w:szCs w:val="28"/>
        </w:rPr>
        <w:t xml:space="preserve"> pārzini ir noteikta Izložu un azartspēļu uzraudzības inspekcija</w:t>
      </w:r>
      <w:r>
        <w:rPr>
          <w:rFonts w:ascii="Times New Roman" w:hAnsi="Times New Roman" w:cs="Times New Roman"/>
          <w:sz w:val="28"/>
          <w:szCs w:val="28"/>
        </w:rPr>
        <w:t xml:space="preserve"> (turpmāk – IAUI)</w:t>
      </w:r>
      <w:r w:rsidRPr="00DE1360">
        <w:rPr>
          <w:rFonts w:ascii="Times New Roman" w:hAnsi="Times New Roman" w:cs="Times New Roman"/>
          <w:sz w:val="28"/>
          <w:szCs w:val="28"/>
        </w:rPr>
        <w:t xml:space="preserve">. Fiziska persona pieprasījumu par iekļaušanu </w:t>
      </w:r>
      <w:r w:rsidR="00BC5CAF">
        <w:rPr>
          <w:rFonts w:ascii="Times New Roman" w:hAnsi="Times New Roman" w:cs="Times New Roman"/>
          <w:sz w:val="28"/>
          <w:szCs w:val="28"/>
        </w:rPr>
        <w:t xml:space="preserve">pašatteikušos personu </w:t>
      </w:r>
      <w:r w:rsidRPr="00DE1360">
        <w:rPr>
          <w:rFonts w:ascii="Times New Roman" w:hAnsi="Times New Roman" w:cs="Times New Roman"/>
          <w:sz w:val="28"/>
          <w:szCs w:val="28"/>
        </w:rPr>
        <w:t xml:space="preserve">reģistrā varēs iesniegt iespējami ātrā un ērtā veidā – gan personīgi rakstveidā </w:t>
      </w:r>
      <w:r>
        <w:rPr>
          <w:rFonts w:ascii="Times New Roman" w:hAnsi="Times New Roman" w:cs="Times New Roman"/>
          <w:sz w:val="28"/>
          <w:szCs w:val="28"/>
        </w:rPr>
        <w:t>IAUI</w:t>
      </w:r>
      <w:r w:rsidRPr="00DE1360">
        <w:rPr>
          <w:rFonts w:ascii="Times New Roman" w:hAnsi="Times New Roman" w:cs="Times New Roman"/>
          <w:sz w:val="28"/>
          <w:szCs w:val="28"/>
        </w:rPr>
        <w:t xml:space="preserve"> vai azartspēļu organizēšanas vietā, gan attālināti, izmantojot elektroniskās identifikācijas rīkus.</w:t>
      </w:r>
      <w:r>
        <w:rPr>
          <w:rFonts w:ascii="Times New Roman" w:hAnsi="Times New Roman" w:cs="Times New Roman"/>
          <w:sz w:val="28"/>
          <w:szCs w:val="28"/>
        </w:rPr>
        <w:t xml:space="preserve"> </w:t>
      </w:r>
      <w:r w:rsidR="00BC5CAF">
        <w:rPr>
          <w:rFonts w:ascii="Times New Roman" w:hAnsi="Times New Roman" w:cs="Times New Roman"/>
          <w:sz w:val="28"/>
          <w:szCs w:val="28"/>
        </w:rPr>
        <w:t>Pašatteikušos personu r</w:t>
      </w:r>
      <w:r w:rsidRPr="001F7ECC">
        <w:rPr>
          <w:rFonts w:ascii="Times New Roman" w:hAnsi="Times New Roman" w:cs="Times New Roman"/>
          <w:sz w:val="28"/>
          <w:szCs w:val="28"/>
        </w:rPr>
        <w:t>eģistrā iekļautie dati būs aizsargāti atbilstoši normatīvajiem aktiem par fizisko personu datu aizsardzību un pieejami tikai atbildīgajām personām, lai pildītu attiecīgos darba pienākumus.</w:t>
      </w:r>
      <w:r>
        <w:rPr>
          <w:rFonts w:ascii="Times New Roman" w:hAnsi="Times New Roman" w:cs="Times New Roman"/>
          <w:sz w:val="28"/>
          <w:szCs w:val="28"/>
        </w:rPr>
        <w:t xml:space="preserve"> </w:t>
      </w:r>
      <w:r w:rsidRPr="001F7ECC">
        <w:rPr>
          <w:rFonts w:ascii="Times New Roman" w:hAnsi="Times New Roman" w:cs="Times New Roman"/>
          <w:sz w:val="28"/>
          <w:szCs w:val="28"/>
        </w:rPr>
        <w:t xml:space="preserve">Noteikumi izstrādāti, lai novērstu spēļu spēlēšanas nelabvēlīgo ietekmi uz personām, kurām šis brīvā laika pavadīšanas un izklaides veids var kļūt nekontrolējams un pāriet nepārvaramā un pārmērīgā tieksmē spēlēt spēles. </w:t>
      </w:r>
    </w:p>
    <w:p w:rsidR="00635AFA" w:rsidRPr="0087512B" w:rsidRDefault="00635AFA" w:rsidP="009E0A36">
      <w:pPr>
        <w:pStyle w:val="NoSpacing"/>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AIL 54.pantā, 54.</w:t>
      </w:r>
      <w:r w:rsidRPr="0087512B">
        <w:rPr>
          <w:rFonts w:ascii="Times New Roman" w:hAnsi="Times New Roman" w:cs="Times New Roman"/>
          <w:sz w:val="28"/>
          <w:szCs w:val="28"/>
          <w:vertAlign w:val="superscript"/>
        </w:rPr>
        <w:t>1</w:t>
      </w:r>
      <w:r w:rsidRPr="0087512B">
        <w:rPr>
          <w:rFonts w:ascii="Times New Roman" w:hAnsi="Times New Roman" w:cs="Times New Roman"/>
          <w:sz w:val="28"/>
          <w:szCs w:val="28"/>
        </w:rPr>
        <w:t>pantā, 79.</w:t>
      </w:r>
      <w:r w:rsidRPr="0087512B">
        <w:rPr>
          <w:rFonts w:ascii="Times New Roman" w:hAnsi="Times New Roman" w:cs="Times New Roman"/>
          <w:sz w:val="28"/>
          <w:szCs w:val="28"/>
          <w:vertAlign w:val="superscript"/>
        </w:rPr>
        <w:t>1</w:t>
      </w:r>
      <w:r w:rsidRPr="0087512B">
        <w:rPr>
          <w:rFonts w:ascii="Times New Roman" w:hAnsi="Times New Roman" w:cs="Times New Roman"/>
          <w:sz w:val="28"/>
          <w:szCs w:val="28"/>
        </w:rPr>
        <w:t>pantā un 80.pantā un Ministru kabineta 2017.gada 12.maija noteikumos Nr.715 “</w:t>
      </w:r>
      <w:r w:rsidRPr="0087512B">
        <w:rPr>
          <w:rFonts w:ascii="Times New Roman" w:hAnsi="Times New Roman" w:cs="Times New Roman"/>
          <w:bCs/>
          <w:sz w:val="28"/>
          <w:szCs w:val="28"/>
        </w:rPr>
        <w:t>Interaktīvo azartspēļu un interaktīvo izložu spēlētāju reģistrācijas un identitātes pārbaudes kārtība”</w:t>
      </w:r>
      <w:r w:rsidRPr="0087512B">
        <w:rPr>
          <w:rFonts w:ascii="Times New Roman" w:hAnsi="Times New Roman" w:cs="Times New Roman"/>
          <w:sz w:val="28"/>
          <w:szCs w:val="28"/>
        </w:rPr>
        <w:t xml:space="preserve"> (turpmāk – MK noteikumi Nr.715) ir noteiktas minimālās prasības, kas jāievēro, lai novērstu no interaktīvajām izlozēm un interaktīvajām azartspēlēm atkarīgo personu turpmāku dalību spēlēs. Personām ir dotas tiesības pieprasīt, lai tām tiktu liegta pieeja azartspēļu vai izložu vietnei;</w:t>
      </w:r>
    </w:p>
    <w:p w:rsidR="00635AFA" w:rsidRPr="0087512B" w:rsidRDefault="00635AFA" w:rsidP="009E0A36">
      <w:pPr>
        <w:pStyle w:val="NoSpacing"/>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MK noteikumu Nr.715 10., 11. un 13.punktā noteikts, ka spēlētājs nevar tikt reģistrēts spēlei un uzsākt spēli, pirms viņš nav izvēlējies un noteicis maksimālās likmes apmēru vienai spēlei vai likmju summu 24 stundu periodam. Ja spēlētājs vēlas savu noteikto maksimālo dienas likmi palielināt, to organizētājs nodrošina tikai septītajā dienā pēc šāda pieteikuma saņemšanas. Šie pasākumi nodrošina pēc iespējas bremzējošu un pārdomātu spēlētāja rīcību;</w:t>
      </w:r>
    </w:p>
    <w:p w:rsidR="001F7ECC" w:rsidRDefault="00635AFA" w:rsidP="009E0A36">
      <w:pPr>
        <w:pStyle w:val="NoSpacing"/>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par preventīvu pasākumu uzskatāma arī AIL 37.panta pirmās daļas 6.punktā un 53.panta otrās daļas 4. un 5.punktā noteiktā prasība “zemes” azartspēļu vietās un interneta vietnēs izvietot informāciju, ka azartspēles var izraisīt atkarību, novietojot paškontroles testu un norādot informāciju par iespējamu palīdzības sniegšanu</w:t>
      </w:r>
      <w:r w:rsidR="001F7ECC">
        <w:rPr>
          <w:rFonts w:ascii="Times New Roman" w:hAnsi="Times New Roman" w:cs="Times New Roman"/>
          <w:sz w:val="28"/>
          <w:szCs w:val="28"/>
        </w:rPr>
        <w:t>;</w:t>
      </w:r>
    </w:p>
    <w:p w:rsidR="008357B7" w:rsidRDefault="00E858BA" w:rsidP="008357B7">
      <w:pPr>
        <w:pStyle w:val="ListParagraph"/>
        <w:numPr>
          <w:ilvl w:val="0"/>
          <w:numId w:val="46"/>
        </w:numPr>
        <w:ind w:left="0" w:firstLine="709"/>
        <w:jc w:val="both"/>
        <w:rPr>
          <w:rFonts w:cs="Times New Roman"/>
          <w:sz w:val="28"/>
          <w:szCs w:val="28"/>
        </w:rPr>
      </w:pPr>
      <w:r>
        <w:rPr>
          <w:rFonts w:cs="Times New Roman"/>
          <w:sz w:val="28"/>
          <w:szCs w:val="28"/>
        </w:rPr>
        <w:t>k</w:t>
      </w:r>
      <w:r w:rsidRPr="00044461">
        <w:rPr>
          <w:rFonts w:cs="Times New Roman"/>
          <w:sz w:val="28"/>
          <w:szCs w:val="28"/>
        </w:rPr>
        <w:t xml:space="preserve">opš </w:t>
      </w:r>
      <w:r w:rsidR="00722FC9" w:rsidRPr="00044461">
        <w:rPr>
          <w:rFonts w:cs="Times New Roman"/>
          <w:sz w:val="28"/>
          <w:szCs w:val="28"/>
        </w:rPr>
        <w:t>2019.gada 1.jūlija azartspēļu atkarīgajiem un viņu ģimenēm ir pieejamas bezmaksas konsultācijas un atbalsta grupas pie psiholo</w:t>
      </w:r>
      <w:r w:rsidR="001A257B">
        <w:rPr>
          <w:rFonts w:cs="Times New Roman"/>
          <w:sz w:val="28"/>
          <w:szCs w:val="28"/>
        </w:rPr>
        <w:t>ga</w:t>
      </w:r>
      <w:r w:rsidR="000A3334">
        <w:rPr>
          <w:rFonts w:cs="Times New Roman"/>
          <w:sz w:val="28"/>
          <w:szCs w:val="28"/>
        </w:rPr>
        <w:t xml:space="preserve"> </w:t>
      </w:r>
      <w:r w:rsidR="00722FC9" w:rsidRPr="00044461">
        <w:rPr>
          <w:rFonts w:cs="Times New Roman"/>
          <w:sz w:val="28"/>
          <w:szCs w:val="28"/>
        </w:rPr>
        <w:t>–</w:t>
      </w:r>
      <w:r w:rsidR="00722FC9" w:rsidRPr="00044461">
        <w:rPr>
          <w:rFonts w:cs="Times New Roman"/>
          <w:sz w:val="28"/>
          <w:szCs w:val="28"/>
          <w:shd w:val="clear" w:color="auto" w:fill="FFFFFF"/>
        </w:rPr>
        <w:t xml:space="preserve"> sertificēt</w:t>
      </w:r>
      <w:r w:rsidR="00D419B0">
        <w:rPr>
          <w:rFonts w:cs="Times New Roman"/>
          <w:sz w:val="28"/>
          <w:szCs w:val="28"/>
          <w:shd w:val="clear" w:color="auto" w:fill="FFFFFF"/>
        </w:rPr>
        <w:t>a</w:t>
      </w:r>
      <w:r w:rsidR="00722FC9" w:rsidRPr="00044461">
        <w:rPr>
          <w:rFonts w:cs="Times New Roman"/>
          <w:sz w:val="28"/>
          <w:szCs w:val="28"/>
          <w:shd w:val="clear" w:color="auto" w:fill="FFFFFF"/>
        </w:rPr>
        <w:t xml:space="preserve"> klīnisk</w:t>
      </w:r>
      <w:r w:rsidR="00D419B0">
        <w:rPr>
          <w:rFonts w:cs="Times New Roman"/>
          <w:sz w:val="28"/>
          <w:szCs w:val="28"/>
          <w:shd w:val="clear" w:color="auto" w:fill="FFFFFF"/>
        </w:rPr>
        <w:t>ā</w:t>
      </w:r>
      <w:r w:rsidR="00722FC9" w:rsidRPr="00044461">
        <w:rPr>
          <w:rFonts w:cs="Times New Roman"/>
          <w:sz w:val="28"/>
          <w:szCs w:val="28"/>
          <w:shd w:val="clear" w:color="auto" w:fill="FFFFFF"/>
        </w:rPr>
        <w:t xml:space="preserve"> un konsultatīv</w:t>
      </w:r>
      <w:r w:rsidR="00D419B0">
        <w:rPr>
          <w:rFonts w:cs="Times New Roman"/>
          <w:sz w:val="28"/>
          <w:szCs w:val="28"/>
          <w:shd w:val="clear" w:color="auto" w:fill="FFFFFF"/>
        </w:rPr>
        <w:t>ā</w:t>
      </w:r>
      <w:r w:rsidR="00722FC9" w:rsidRPr="00044461">
        <w:rPr>
          <w:rFonts w:cs="Times New Roman"/>
          <w:sz w:val="28"/>
          <w:szCs w:val="28"/>
          <w:shd w:val="clear" w:color="auto" w:fill="FFFFFF"/>
        </w:rPr>
        <w:t xml:space="preserve"> psiholog</w:t>
      </w:r>
      <w:r w:rsidR="00D419B0">
        <w:rPr>
          <w:rFonts w:cs="Times New Roman"/>
          <w:sz w:val="28"/>
          <w:szCs w:val="28"/>
          <w:shd w:val="clear" w:color="auto" w:fill="FFFFFF"/>
        </w:rPr>
        <w:t>a</w:t>
      </w:r>
      <w:r w:rsidR="00722FC9" w:rsidRPr="00044461">
        <w:rPr>
          <w:rFonts w:cs="Times New Roman"/>
          <w:sz w:val="28"/>
          <w:szCs w:val="28"/>
        </w:rPr>
        <w:t xml:space="preserve">. </w:t>
      </w:r>
    </w:p>
    <w:p w:rsidR="008357B7" w:rsidRPr="008357B7" w:rsidRDefault="008357B7" w:rsidP="008357B7">
      <w:pPr>
        <w:ind w:firstLine="709"/>
        <w:jc w:val="both"/>
        <w:rPr>
          <w:rFonts w:cs="Times New Roman"/>
          <w:sz w:val="28"/>
          <w:szCs w:val="28"/>
        </w:rPr>
      </w:pPr>
      <w:r w:rsidRPr="008357B7">
        <w:rPr>
          <w:rFonts w:cs="Times New Roman"/>
          <w:sz w:val="28"/>
          <w:szCs w:val="28"/>
        </w:rPr>
        <w:t>2019.gada 6 mēnešu periodā</w:t>
      </w:r>
      <w:r w:rsidRPr="008357B7">
        <w:t xml:space="preserve"> </w:t>
      </w:r>
      <w:r w:rsidRPr="002B0E86">
        <w:rPr>
          <w:rFonts w:cs="Times New Roman"/>
          <w:sz w:val="28"/>
          <w:szCs w:val="28"/>
        </w:rPr>
        <w:t>s</w:t>
      </w:r>
      <w:r w:rsidRPr="008357B7">
        <w:rPr>
          <w:rFonts w:cs="Times New Roman"/>
          <w:sz w:val="28"/>
          <w:szCs w:val="28"/>
        </w:rPr>
        <w:t xml:space="preserve">niegtas 295 konsultācijas – no tām vienreizējas 170, kad tiek iesniegts iesniegums </w:t>
      </w:r>
      <w:r w:rsidR="00BC5CAF">
        <w:rPr>
          <w:rFonts w:cs="Times New Roman"/>
          <w:sz w:val="28"/>
          <w:szCs w:val="28"/>
        </w:rPr>
        <w:t xml:space="preserve">pašatteikušos personu </w:t>
      </w:r>
      <w:r w:rsidRPr="008357B7">
        <w:rPr>
          <w:rFonts w:cs="Times New Roman"/>
          <w:sz w:val="28"/>
          <w:szCs w:val="28"/>
        </w:rPr>
        <w:t xml:space="preserve">reģistrā, un 125 atkārtotas konsultācijas gan pašiem azartspēļu spēlētājiem, gan tuviniekiem, kas vēlējušies ilgstošu sadarbību atveseļošanās sākumposmā. </w:t>
      </w:r>
    </w:p>
    <w:p w:rsidR="008357B7" w:rsidRDefault="008357B7" w:rsidP="008357B7">
      <w:pPr>
        <w:ind w:firstLine="709"/>
        <w:jc w:val="both"/>
        <w:rPr>
          <w:rFonts w:cs="Times New Roman"/>
          <w:sz w:val="28"/>
          <w:szCs w:val="28"/>
        </w:rPr>
      </w:pPr>
      <w:r w:rsidRPr="008357B7">
        <w:rPr>
          <w:rFonts w:cs="Times New Roman"/>
          <w:sz w:val="28"/>
          <w:szCs w:val="28"/>
        </w:rPr>
        <w:lastRenderedPageBreak/>
        <w:t>Novadītas 22 atbalsta grupas azartspēļu spēlētājiem, 7 atbalsta grupas spēlētāju tuviniekiem.</w:t>
      </w:r>
    </w:p>
    <w:p w:rsidR="0092167D" w:rsidRPr="008357B7" w:rsidRDefault="0092167D" w:rsidP="0092167D">
      <w:pPr>
        <w:ind w:firstLine="709"/>
        <w:jc w:val="both"/>
        <w:rPr>
          <w:rFonts w:cs="Times New Roman"/>
          <w:sz w:val="28"/>
          <w:szCs w:val="28"/>
        </w:rPr>
      </w:pPr>
      <w:r w:rsidRPr="008357B7">
        <w:rPr>
          <w:rFonts w:cs="Times New Roman"/>
          <w:sz w:val="28"/>
          <w:szCs w:val="28"/>
        </w:rPr>
        <w:t>2020.gada 6 mēnešos sniegtas 414 konsultācijas, novadītas 9 atbalsta grupas, novadīti semināri pašvaldību sociālo darbinieku apmācībai, lekcijas Liepupes pamatskolas 5.-9.klašu audzēkņiem un pedagogiem par atkarību riskiem, Talsu Ģimenes atbalsta centrā par atkarību profilaksi.</w:t>
      </w:r>
    </w:p>
    <w:p w:rsidR="008357B7" w:rsidRDefault="008357B7" w:rsidP="008357B7">
      <w:pPr>
        <w:ind w:firstLine="709"/>
        <w:jc w:val="both"/>
        <w:rPr>
          <w:rFonts w:cs="Times New Roman"/>
          <w:sz w:val="28"/>
          <w:szCs w:val="28"/>
        </w:rPr>
      </w:pPr>
      <w:r w:rsidRPr="008357B7">
        <w:rPr>
          <w:rFonts w:cs="Times New Roman"/>
          <w:sz w:val="28"/>
          <w:szCs w:val="28"/>
        </w:rPr>
        <w:t xml:space="preserve">Izveidota un pastāvīgi papildināta </w:t>
      </w:r>
      <w:r>
        <w:rPr>
          <w:rFonts w:cs="Times New Roman"/>
          <w:sz w:val="28"/>
          <w:szCs w:val="28"/>
        </w:rPr>
        <w:t>IAUI</w:t>
      </w:r>
      <w:r w:rsidRPr="008357B7">
        <w:rPr>
          <w:rFonts w:cs="Times New Roman"/>
          <w:sz w:val="28"/>
          <w:szCs w:val="28"/>
        </w:rPr>
        <w:t xml:space="preserve"> mājaslapa </w:t>
      </w:r>
      <w:r>
        <w:rPr>
          <w:rFonts w:cs="Times New Roman"/>
          <w:sz w:val="28"/>
          <w:szCs w:val="28"/>
        </w:rPr>
        <w:t>“</w:t>
      </w:r>
      <w:r w:rsidRPr="008357B7">
        <w:rPr>
          <w:rFonts w:cs="Times New Roman"/>
          <w:sz w:val="28"/>
          <w:szCs w:val="28"/>
        </w:rPr>
        <w:t>Psihologa atbalsts</w:t>
      </w:r>
      <w:r>
        <w:rPr>
          <w:rFonts w:cs="Times New Roman"/>
          <w:sz w:val="28"/>
          <w:szCs w:val="28"/>
        </w:rPr>
        <w:t>”</w:t>
      </w:r>
      <w:r w:rsidRPr="008357B7">
        <w:rPr>
          <w:rFonts w:cs="Times New Roman"/>
          <w:sz w:val="28"/>
          <w:szCs w:val="28"/>
        </w:rPr>
        <w:t xml:space="preserve"> sadaļa, ievietojot informāciju spēlētājiem, viņu tuviniekiem par azartspēļu atkarību, līdzatkarību, palīdzības iespējām. </w:t>
      </w:r>
    </w:p>
    <w:p w:rsidR="008357B7" w:rsidRDefault="008357B7" w:rsidP="008357B7">
      <w:pPr>
        <w:ind w:firstLine="709"/>
        <w:jc w:val="both"/>
        <w:rPr>
          <w:rFonts w:cs="Times New Roman"/>
          <w:sz w:val="28"/>
          <w:szCs w:val="28"/>
        </w:rPr>
      </w:pPr>
      <w:r w:rsidRPr="008357B7">
        <w:rPr>
          <w:rFonts w:cs="Times New Roman"/>
          <w:sz w:val="28"/>
          <w:szCs w:val="28"/>
        </w:rPr>
        <w:t xml:space="preserve">Izstrādāts informatīvais buklets azartspēļu spēlētājiem un arī atsevišķi tuviniekiem par azartspēļu spēlēšanu, iespējamām sekām, palīdzības iespējām </w:t>
      </w:r>
      <w:r>
        <w:rPr>
          <w:rFonts w:cs="Times New Roman"/>
          <w:sz w:val="28"/>
          <w:szCs w:val="28"/>
        </w:rPr>
        <w:t>IAUI</w:t>
      </w:r>
      <w:r w:rsidRPr="008357B7">
        <w:rPr>
          <w:rFonts w:cs="Times New Roman"/>
          <w:sz w:val="28"/>
          <w:szCs w:val="28"/>
        </w:rPr>
        <w:t xml:space="preserve"> un citur.</w:t>
      </w:r>
    </w:p>
    <w:p w:rsidR="00635AFA" w:rsidRPr="0087512B" w:rsidRDefault="00635AFA" w:rsidP="00044461">
      <w:pPr>
        <w:pStyle w:val="NoSpacing"/>
        <w:ind w:left="1080"/>
        <w:jc w:val="both"/>
      </w:pPr>
    </w:p>
    <w:p w:rsidR="00635AFA" w:rsidRPr="007571C1" w:rsidRDefault="00635AFA" w:rsidP="009E0A36">
      <w:pPr>
        <w:pStyle w:val="Heading3"/>
        <w:numPr>
          <w:ilvl w:val="2"/>
          <w:numId w:val="36"/>
        </w:numPr>
        <w:ind w:left="0" w:firstLine="0"/>
        <w:jc w:val="center"/>
        <w:rPr>
          <w:rFonts w:ascii="Times New Roman" w:hAnsi="Times New Roman" w:cs="Times New Roman"/>
          <w:b/>
          <w:color w:val="auto"/>
          <w:sz w:val="28"/>
          <w:szCs w:val="28"/>
        </w:rPr>
      </w:pPr>
      <w:bookmarkStart w:id="29" w:name="_Toc56087182"/>
      <w:r w:rsidRPr="007571C1">
        <w:rPr>
          <w:rFonts w:ascii="Times New Roman" w:hAnsi="Times New Roman" w:cs="Times New Roman"/>
          <w:b/>
          <w:color w:val="auto"/>
          <w:sz w:val="28"/>
          <w:szCs w:val="28"/>
        </w:rPr>
        <w:t>Izglītība un informētība</w:t>
      </w:r>
      <w:bookmarkEnd w:id="29"/>
    </w:p>
    <w:p w:rsidR="00635AFA" w:rsidRPr="0087512B" w:rsidRDefault="00635AFA" w:rsidP="0087512B">
      <w:pPr>
        <w:jc w:val="both"/>
        <w:rPr>
          <w:rFonts w:cs="Times New Roman"/>
          <w:sz w:val="28"/>
          <w:szCs w:val="28"/>
        </w:rPr>
      </w:pPr>
    </w:p>
    <w:p w:rsidR="00635AFA" w:rsidRPr="0087512B" w:rsidRDefault="00635AFA" w:rsidP="0087512B">
      <w:pPr>
        <w:pStyle w:val="xmsonormal"/>
        <w:spacing w:before="0" w:beforeAutospacing="0" w:after="0" w:afterAutospacing="0"/>
        <w:ind w:firstLine="567"/>
        <w:jc w:val="both"/>
        <w:rPr>
          <w:color w:val="000000" w:themeColor="text1"/>
          <w:sz w:val="28"/>
          <w:szCs w:val="28"/>
        </w:rPr>
      </w:pPr>
      <w:r w:rsidRPr="0087512B">
        <w:rPr>
          <w:color w:val="000000" w:themeColor="text1"/>
          <w:sz w:val="28"/>
          <w:szCs w:val="28"/>
        </w:rPr>
        <w:t>Saskaņā ar SIA “Socioloģisko pētījumu institūts” 2015</w:t>
      </w:r>
      <w:r w:rsidRPr="0087512B">
        <w:rPr>
          <w:rFonts w:ascii="MyriadPro-Cond" w:hAnsi="MyriadPro-Cond" w:cs="MyriadPro-Cond"/>
          <w:color w:val="000000" w:themeColor="text1"/>
          <w:sz w:val="22"/>
        </w:rPr>
        <w:t>.</w:t>
      </w:r>
      <w:r w:rsidR="00F83FBA" w:rsidRPr="0087512B">
        <w:rPr>
          <w:color w:val="000000" w:themeColor="text1"/>
          <w:sz w:val="28"/>
          <w:szCs w:val="28"/>
        </w:rPr>
        <w:t>gad</w:t>
      </w:r>
      <w:r w:rsidR="00F83FBA">
        <w:rPr>
          <w:color w:val="000000" w:themeColor="text1"/>
          <w:sz w:val="28"/>
          <w:szCs w:val="28"/>
        </w:rPr>
        <w:t>ā</w:t>
      </w:r>
      <w:r w:rsidR="00F83FBA" w:rsidRPr="0087512B">
        <w:rPr>
          <w:rFonts w:ascii="MyriadPro-Cond" w:hAnsi="MyriadPro-Cond" w:cs="MyriadPro-Cond"/>
          <w:color w:val="000000" w:themeColor="text1"/>
          <w:sz w:val="22"/>
        </w:rPr>
        <w:t xml:space="preserve"> </w:t>
      </w:r>
      <w:r w:rsidRPr="0087512B">
        <w:rPr>
          <w:color w:val="000000" w:themeColor="text1"/>
          <w:sz w:val="28"/>
          <w:szCs w:val="28"/>
        </w:rPr>
        <w:t>veiktā pētījuma datiem 16% 15 gadīgo jauniešu Latvijā</w:t>
      </w:r>
      <w:r w:rsidR="00D85A29">
        <w:rPr>
          <w:color w:val="000000" w:themeColor="text1"/>
          <w:sz w:val="28"/>
          <w:szCs w:val="28"/>
        </w:rPr>
        <w:t>,</w:t>
      </w:r>
      <w:r w:rsidRPr="0087512B">
        <w:rPr>
          <w:color w:val="000000" w:themeColor="text1"/>
          <w:sz w:val="28"/>
          <w:szCs w:val="28"/>
        </w:rPr>
        <w:t xml:space="preserve"> gada laikā spēlējuši azartspēles uz naudu, bet 8% ir uzskatāmi par r</w:t>
      </w:r>
      <w:bookmarkStart w:id="30" w:name="x__ftnref1"/>
      <w:r w:rsidRPr="0087512B">
        <w:rPr>
          <w:color w:val="000000" w:themeColor="text1"/>
          <w:sz w:val="28"/>
          <w:szCs w:val="28"/>
        </w:rPr>
        <w:t>egulāriem azartspēļu spēlētājie</w:t>
      </w:r>
      <w:bookmarkEnd w:id="30"/>
      <w:r w:rsidRPr="0087512B">
        <w:rPr>
          <w:color w:val="000000" w:themeColor="text1"/>
          <w:sz w:val="28"/>
          <w:szCs w:val="28"/>
        </w:rPr>
        <w:t>m</w:t>
      </w:r>
      <w:r w:rsidRPr="0087512B">
        <w:rPr>
          <w:rStyle w:val="FootnoteReference"/>
          <w:color w:val="000000" w:themeColor="text1"/>
          <w:sz w:val="28"/>
          <w:szCs w:val="28"/>
        </w:rPr>
        <w:footnoteReference w:id="37"/>
      </w:r>
      <w:r w:rsidRPr="0087512B">
        <w:rPr>
          <w:color w:val="000000" w:themeColor="text1"/>
          <w:sz w:val="28"/>
          <w:szCs w:val="28"/>
        </w:rPr>
        <w:t>. Globāli azartspēļu spēlēšanas izplatība jauniešu vidū pieaug, bet agrīna azartspēļu spēlēšana var palielināt problemātisku azartspēļu pa</w:t>
      </w:r>
      <w:bookmarkStart w:id="31" w:name="x__ftnref2"/>
      <w:r w:rsidRPr="0087512B">
        <w:rPr>
          <w:color w:val="000000" w:themeColor="text1"/>
          <w:sz w:val="28"/>
          <w:szCs w:val="28"/>
        </w:rPr>
        <w:t>radumu izveidošanos dzīves laik</w:t>
      </w:r>
      <w:bookmarkEnd w:id="31"/>
      <w:r w:rsidRPr="0087512B">
        <w:rPr>
          <w:color w:val="000000" w:themeColor="text1"/>
          <w:sz w:val="28"/>
          <w:szCs w:val="28"/>
        </w:rPr>
        <w:t>ā</w:t>
      </w:r>
      <w:r w:rsidRPr="0087512B">
        <w:rPr>
          <w:rStyle w:val="FootnoteReference"/>
          <w:color w:val="000000" w:themeColor="text1"/>
          <w:sz w:val="28"/>
          <w:szCs w:val="28"/>
        </w:rPr>
        <w:footnoteReference w:id="38"/>
      </w:r>
      <w:r w:rsidRPr="0087512B">
        <w:rPr>
          <w:color w:val="000000" w:themeColor="text1"/>
          <w:sz w:val="28"/>
          <w:szCs w:val="28"/>
        </w:rPr>
        <w:t>. Tā kā jauniešiem ir vājāk nekā pieaugušajiem attīstītas kognitīvās spējas, tad kļūdaini uzskati un maldīgi pieņēmumi par azartspēļu spēlēšanas ietekmes nekaitīgumu šajā vecumā ir izplatītāki. Izglītojošas skolas profilakses programmas ir nozīmīgs un efektīvs instruments, lai koriģētu maldīgus uzskatus un runātu par riskantu uzvedību, tādejādi novēršot problemātisku azartspēļu spēlēšanas paradumu attīstību vēlākā dzīves laikā</w:t>
      </w:r>
      <w:r w:rsidRPr="0087512B">
        <w:rPr>
          <w:color w:val="000000" w:themeColor="text1"/>
          <w:sz w:val="28"/>
          <w:szCs w:val="28"/>
          <w:vertAlign w:val="superscript"/>
        </w:rPr>
        <w:t>3</w:t>
      </w:r>
      <w:r w:rsidRPr="0087512B">
        <w:rPr>
          <w:color w:val="000000" w:themeColor="text1"/>
          <w:sz w:val="28"/>
          <w:szCs w:val="28"/>
        </w:rPr>
        <w:t>.</w:t>
      </w:r>
    </w:p>
    <w:p w:rsidR="00635AFA" w:rsidRPr="0087512B" w:rsidRDefault="00635AFA" w:rsidP="0087512B">
      <w:pPr>
        <w:ind w:firstLine="567"/>
        <w:jc w:val="both"/>
        <w:rPr>
          <w:rFonts w:cs="Times New Roman"/>
          <w:sz w:val="28"/>
          <w:szCs w:val="28"/>
        </w:rPr>
      </w:pPr>
      <w:r w:rsidRPr="0087512B">
        <w:rPr>
          <w:rFonts w:cs="Times New Roman"/>
          <w:color w:val="000000" w:themeColor="text1"/>
          <w:sz w:val="28"/>
          <w:szCs w:val="28"/>
        </w:rPr>
        <w:t xml:space="preserve">Atkarību jautājumi (t.sk. azartspēļu </w:t>
      </w:r>
      <w:r w:rsidRPr="0087512B">
        <w:rPr>
          <w:rFonts w:cs="Times New Roman"/>
          <w:sz w:val="28"/>
          <w:szCs w:val="28"/>
        </w:rPr>
        <w:t>atkarību) ir iekļauti dažādu vispārējās izglītības mācību priekšmetu standartu, piemēram, Sociālās zinības, Bioloģija, Veselības mācība, kā arī mācību priekšmetu programmu paraugu saturā.</w:t>
      </w:r>
    </w:p>
    <w:p w:rsidR="0031340D" w:rsidRDefault="00635AFA" w:rsidP="0031340D">
      <w:pPr>
        <w:pStyle w:val="tv213"/>
        <w:spacing w:before="0" w:beforeAutospacing="0" w:after="0" w:afterAutospacing="0"/>
        <w:ind w:firstLine="567"/>
        <w:jc w:val="both"/>
        <w:rPr>
          <w:sz w:val="28"/>
          <w:szCs w:val="28"/>
        </w:rPr>
      </w:pPr>
      <w:r w:rsidRPr="0087512B">
        <w:rPr>
          <w:sz w:val="28"/>
          <w:szCs w:val="28"/>
        </w:rPr>
        <w:t>Savukārt ir pieņemti Ministru kabineta 2018.gada 21.novembra noteikumi Nr.716 “Noteikumi par valsts pirmsskolas izglītības vadlīnijām un pirmsskolas izglītības programmu paraugiem”, kā arī Ministru kabineta 2018.gada 27.novembra noteikumi Nr.468 “Noteikumi par valsts pamatizglītības standartu, pamatizglītības mācību priekšmetu standartiem un pamatizglītības programmu paraugiem”</w:t>
      </w:r>
      <w:r w:rsidRPr="0087512B">
        <w:rPr>
          <w:i/>
          <w:sz w:val="28"/>
          <w:szCs w:val="28"/>
        </w:rPr>
        <w:t>.</w:t>
      </w:r>
      <w:r w:rsidRPr="0087512B">
        <w:rPr>
          <w:sz w:val="28"/>
          <w:szCs w:val="28"/>
        </w:rPr>
        <w:t xml:space="preserve"> Minēto normatīvo dokumentu saturā ir iekļauti jautājumi par </w:t>
      </w:r>
      <w:r w:rsidR="00A22A87" w:rsidRPr="0087512B">
        <w:rPr>
          <w:sz w:val="28"/>
          <w:szCs w:val="28"/>
        </w:rPr>
        <w:t>atkarīb</w:t>
      </w:r>
      <w:r w:rsidR="00A22A87">
        <w:rPr>
          <w:sz w:val="28"/>
          <w:szCs w:val="28"/>
        </w:rPr>
        <w:t>ām</w:t>
      </w:r>
      <w:r w:rsidR="00A22A87" w:rsidRPr="0087512B">
        <w:rPr>
          <w:sz w:val="28"/>
          <w:szCs w:val="28"/>
        </w:rPr>
        <w:t xml:space="preserve"> </w:t>
      </w:r>
      <w:r w:rsidRPr="0087512B">
        <w:rPr>
          <w:sz w:val="28"/>
          <w:szCs w:val="28"/>
        </w:rPr>
        <w:t>(</w:t>
      </w:r>
      <w:r w:rsidR="00732DF5">
        <w:rPr>
          <w:sz w:val="28"/>
          <w:szCs w:val="28"/>
        </w:rPr>
        <w:t xml:space="preserve">tajā skaitā </w:t>
      </w:r>
      <w:r w:rsidRPr="0087512B">
        <w:rPr>
          <w:sz w:val="28"/>
          <w:szCs w:val="28"/>
        </w:rPr>
        <w:t>azartspēļu atkarību).</w:t>
      </w:r>
    </w:p>
    <w:p w:rsidR="0031340D" w:rsidRPr="0031340D" w:rsidRDefault="008D1858" w:rsidP="00A80C1E">
      <w:pPr>
        <w:pStyle w:val="tv213"/>
        <w:spacing w:before="0" w:beforeAutospacing="0" w:after="0" w:afterAutospacing="0"/>
        <w:ind w:firstLine="567"/>
        <w:jc w:val="both"/>
        <w:rPr>
          <w:sz w:val="28"/>
          <w:szCs w:val="28"/>
        </w:rPr>
      </w:pPr>
      <w:r>
        <w:rPr>
          <w:sz w:val="28"/>
          <w:szCs w:val="28"/>
        </w:rPr>
        <w:t xml:space="preserve"> </w:t>
      </w:r>
      <w:r w:rsidR="0031340D" w:rsidRPr="0031340D">
        <w:rPr>
          <w:sz w:val="28"/>
          <w:szCs w:val="28"/>
        </w:rPr>
        <w:t xml:space="preserve">Ministru kabineta 2018.gada 27.novembra noteikumi Nr.747 </w:t>
      </w:r>
      <w:r w:rsidR="0031340D">
        <w:rPr>
          <w:sz w:val="28"/>
          <w:szCs w:val="28"/>
        </w:rPr>
        <w:t>“</w:t>
      </w:r>
      <w:r w:rsidR="0031340D" w:rsidRPr="0031340D">
        <w:rPr>
          <w:sz w:val="28"/>
          <w:szCs w:val="28"/>
        </w:rPr>
        <w:t xml:space="preserve">Noteikumi par valsts pamatizglītības standartu un pamatizglītības programmu paraugiem” nosaka, </w:t>
      </w:r>
      <w:r w:rsidR="0031340D" w:rsidRPr="0031340D">
        <w:rPr>
          <w:sz w:val="28"/>
          <w:szCs w:val="28"/>
        </w:rPr>
        <w:lastRenderedPageBreak/>
        <w:t>ka plānotie skolēnam sasniedzamie rezultāti ir kompleksi, tie atklāj gala rezultātu darbībā, ietver zināšanas, izpratni un pamatprasmes mācību jomās, caurviju prasmes, vērtības un tikumus un ir izteikti kā pratības, piemēram, šādās mācību jomās:</w:t>
      </w:r>
    </w:p>
    <w:p w:rsidR="0031340D" w:rsidRPr="0031340D" w:rsidRDefault="00B475E7" w:rsidP="00B475E7">
      <w:pPr>
        <w:pStyle w:val="tv213"/>
        <w:spacing w:before="0" w:beforeAutospacing="0" w:after="0" w:afterAutospacing="0"/>
        <w:ind w:firstLine="709"/>
        <w:jc w:val="both"/>
        <w:rPr>
          <w:sz w:val="28"/>
          <w:szCs w:val="28"/>
        </w:rPr>
      </w:pPr>
      <w:r>
        <w:rPr>
          <w:sz w:val="28"/>
          <w:szCs w:val="28"/>
        </w:rPr>
        <w:t xml:space="preserve">1) </w:t>
      </w:r>
      <w:r w:rsidR="0031340D" w:rsidRPr="0031340D">
        <w:rPr>
          <w:sz w:val="28"/>
          <w:szCs w:val="28"/>
        </w:rPr>
        <w:t>dabaszinātņu mācību joma – skolēns atpazīst, piedāvā un izvērtē skaidrojumus noteiktām dabas parādībām un procesiem, izmanto pētnieciskās prasmes problēmu risināšanā, pētījumu veikšanā, izvērtējot riskus un ievērojot drošības nosacījumus, analizē un izvērtē datus, izsaka viedokli un argumentus dažādos veidos un secina no datiem, rīkojas personiski atbildīgi savas un citu veselības veicināšanā, vides kvalitātes saglabāšanā un dabas resursu ilgtspējīgā izmantošanā;</w:t>
      </w:r>
    </w:p>
    <w:p w:rsidR="00635AFA" w:rsidRPr="0087512B" w:rsidRDefault="00B475E7" w:rsidP="00B475E7">
      <w:pPr>
        <w:pStyle w:val="tv213"/>
        <w:spacing w:before="0" w:beforeAutospacing="0" w:after="0" w:afterAutospacing="0"/>
        <w:ind w:firstLine="709"/>
        <w:jc w:val="both"/>
        <w:rPr>
          <w:sz w:val="28"/>
          <w:szCs w:val="28"/>
        </w:rPr>
      </w:pPr>
      <w:r>
        <w:rPr>
          <w:sz w:val="28"/>
          <w:szCs w:val="28"/>
        </w:rPr>
        <w:t xml:space="preserve">2) </w:t>
      </w:r>
      <w:r w:rsidR="0031340D" w:rsidRPr="0031340D">
        <w:rPr>
          <w:sz w:val="28"/>
          <w:szCs w:val="28"/>
        </w:rPr>
        <w:t>veselības un fiziskās aktivitātes mācību joma – skolēns izprot un praktizē veselīga dzīvesveida paradumus, atpazīst riskus dažādās, tai skaitā ekstremālās, situācijās un pieņem lēmumus drošai un aktīvai rīcībai, prasmīgi, atbildīgi un ieinteresēti iesaistās daudzveidīgās fiziskās aktivitātēs, kas veicina garīgās un fiziskās spējas, piedalās komandas veidošanā, plāno, sadala darba uzdevumus, palīdz un atbalsta citus.</w:t>
      </w:r>
    </w:p>
    <w:p w:rsidR="00B97409" w:rsidRDefault="00635AFA" w:rsidP="00956612">
      <w:pPr>
        <w:ind w:firstLine="567"/>
        <w:jc w:val="both"/>
        <w:rPr>
          <w:color w:val="000000"/>
          <w:sz w:val="28"/>
          <w:szCs w:val="28"/>
        </w:rPr>
      </w:pPr>
      <w:r w:rsidRPr="0087512B">
        <w:rPr>
          <w:rFonts w:cs="Times New Roman"/>
          <w:sz w:val="28"/>
          <w:szCs w:val="28"/>
        </w:rPr>
        <w:t xml:space="preserve">Savukārt 2016.gada 15.jūlijā tika pieņemti Ministru kabineta noteikumi Nr.480 “Izglītojamo audzināšanas vadlīnijas un informācijas, mācību līdzekļu, materiālu un mācību un audzināšanas metožu izvērtēšanas kārtība”, kas paredz izglītojamā izpratnes, atbildīgas attieksmes un rīcības veicināšanu. </w:t>
      </w:r>
    </w:p>
    <w:p w:rsidR="00C9269F" w:rsidRPr="0087512B" w:rsidRDefault="00B97409" w:rsidP="00B97409">
      <w:pPr>
        <w:pStyle w:val="NormalWeb"/>
        <w:spacing w:before="0" w:beforeAutospacing="0" w:after="0" w:afterAutospacing="0"/>
        <w:ind w:firstLine="567"/>
        <w:jc w:val="both"/>
        <w:rPr>
          <w:color w:val="000000"/>
          <w:sz w:val="28"/>
          <w:szCs w:val="28"/>
          <w:lang w:eastAsia="en-US"/>
        </w:rPr>
      </w:pPr>
      <w:r>
        <w:rPr>
          <w:color w:val="000000"/>
          <w:sz w:val="28"/>
          <w:szCs w:val="28"/>
          <w:lang w:eastAsia="en-US"/>
        </w:rPr>
        <w:t>Kā papildu instruments sabiedrības informēšanai un kaitīgo ieradumu novēršanai ir paredzams s</w:t>
      </w:r>
      <w:r w:rsidRPr="00B97409">
        <w:rPr>
          <w:color w:val="000000"/>
          <w:sz w:val="28"/>
          <w:szCs w:val="28"/>
          <w:lang w:eastAsia="en-US"/>
        </w:rPr>
        <w:t>ociāl</w:t>
      </w:r>
      <w:r>
        <w:rPr>
          <w:color w:val="000000"/>
          <w:sz w:val="28"/>
          <w:szCs w:val="28"/>
          <w:lang w:eastAsia="en-US"/>
        </w:rPr>
        <w:t>o</w:t>
      </w:r>
      <w:r w:rsidRPr="00B97409">
        <w:rPr>
          <w:color w:val="000000"/>
          <w:sz w:val="28"/>
          <w:szCs w:val="28"/>
          <w:lang w:eastAsia="en-US"/>
        </w:rPr>
        <w:t xml:space="preserve"> reklām</w:t>
      </w:r>
      <w:r>
        <w:rPr>
          <w:color w:val="000000"/>
          <w:sz w:val="28"/>
          <w:szCs w:val="28"/>
          <w:lang w:eastAsia="en-US"/>
        </w:rPr>
        <w:t xml:space="preserve">u cikls, kas vērstu </w:t>
      </w:r>
      <w:r w:rsidR="00C9269F">
        <w:rPr>
          <w:color w:val="000000"/>
          <w:sz w:val="28"/>
          <w:szCs w:val="28"/>
          <w:lang w:eastAsia="en-US"/>
        </w:rPr>
        <w:t xml:space="preserve">sabiedrības </w:t>
      </w:r>
      <w:r>
        <w:rPr>
          <w:color w:val="000000"/>
          <w:sz w:val="28"/>
          <w:szCs w:val="28"/>
          <w:lang w:eastAsia="en-US"/>
        </w:rPr>
        <w:t>uzmanību uz pastāvošajiem riskiem procesu atkarību kaitīgai ietekmei uz personu un iespējamiem soļiem risku identificēšana</w:t>
      </w:r>
      <w:r w:rsidR="00C9269F">
        <w:rPr>
          <w:color w:val="000000"/>
          <w:sz w:val="28"/>
          <w:szCs w:val="28"/>
          <w:lang w:eastAsia="en-US"/>
        </w:rPr>
        <w:t>i</w:t>
      </w:r>
      <w:r>
        <w:rPr>
          <w:color w:val="000000"/>
          <w:sz w:val="28"/>
          <w:szCs w:val="28"/>
          <w:lang w:eastAsia="en-US"/>
        </w:rPr>
        <w:t xml:space="preserve"> un novēršan</w:t>
      </w:r>
      <w:r w:rsidR="00C9269F">
        <w:rPr>
          <w:color w:val="000000"/>
          <w:sz w:val="28"/>
          <w:szCs w:val="28"/>
          <w:lang w:eastAsia="en-US"/>
        </w:rPr>
        <w:t>ai</w:t>
      </w:r>
      <w:r>
        <w:rPr>
          <w:color w:val="000000"/>
          <w:sz w:val="28"/>
          <w:szCs w:val="28"/>
          <w:lang w:eastAsia="en-US"/>
        </w:rPr>
        <w:t>.</w:t>
      </w:r>
    </w:p>
    <w:p w:rsidR="0093572A" w:rsidRPr="0087512B" w:rsidRDefault="0093572A" w:rsidP="007571C1">
      <w:pPr>
        <w:pStyle w:val="NormalWeb"/>
        <w:spacing w:before="0" w:beforeAutospacing="0" w:after="0" w:afterAutospacing="0"/>
        <w:ind w:firstLine="567"/>
        <w:jc w:val="both"/>
        <w:rPr>
          <w:color w:val="000000"/>
          <w:sz w:val="28"/>
          <w:szCs w:val="28"/>
        </w:rPr>
      </w:pPr>
    </w:p>
    <w:p w:rsidR="00635AFA" w:rsidRPr="0087512B" w:rsidRDefault="00635AFA" w:rsidP="0087512B">
      <w:pPr>
        <w:ind w:firstLine="567"/>
        <w:jc w:val="both"/>
        <w:rPr>
          <w:rFonts w:cs="Times New Roman"/>
          <w:sz w:val="28"/>
          <w:szCs w:val="28"/>
        </w:rPr>
      </w:pPr>
      <w:r w:rsidRPr="0087512B">
        <w:rPr>
          <w:rFonts w:cs="Times New Roman"/>
          <w:i/>
          <w:sz w:val="28"/>
          <w:szCs w:val="28"/>
        </w:rPr>
        <w:t>Nepieciešami</w:t>
      </w:r>
      <w:r w:rsidR="0039543D" w:rsidRPr="0087512B">
        <w:rPr>
          <w:rFonts w:cs="Times New Roman"/>
          <w:i/>
          <w:sz w:val="28"/>
          <w:szCs w:val="28"/>
        </w:rPr>
        <w:t>e</w:t>
      </w:r>
      <w:r w:rsidRPr="0087512B">
        <w:rPr>
          <w:rFonts w:cs="Times New Roman"/>
          <w:i/>
          <w:sz w:val="28"/>
          <w:szCs w:val="28"/>
        </w:rPr>
        <w:t xml:space="preserve"> pasākumi</w:t>
      </w:r>
      <w:r w:rsidRPr="0087512B">
        <w:rPr>
          <w:rFonts w:cs="Times New Roman"/>
          <w:sz w:val="28"/>
          <w:szCs w:val="28"/>
        </w:rPr>
        <w:t>:</w:t>
      </w:r>
    </w:p>
    <w:p w:rsidR="00635AFA" w:rsidRPr="00B475E7" w:rsidRDefault="00635AFA" w:rsidP="009E0A36">
      <w:pPr>
        <w:pStyle w:val="ListParagraph"/>
        <w:numPr>
          <w:ilvl w:val="0"/>
          <w:numId w:val="47"/>
        </w:numPr>
        <w:spacing w:after="120"/>
        <w:ind w:left="0" w:firstLine="709"/>
        <w:jc w:val="both"/>
        <w:rPr>
          <w:rFonts w:cs="Times New Roman"/>
          <w:sz w:val="28"/>
          <w:szCs w:val="28"/>
        </w:rPr>
      </w:pPr>
      <w:r w:rsidRPr="00B475E7">
        <w:rPr>
          <w:rFonts w:cs="Times New Roman"/>
          <w:sz w:val="28"/>
          <w:szCs w:val="28"/>
        </w:rPr>
        <w:t xml:space="preserve">sabiedrības izglītošana un sociālo kampaņu veidošana (gan valsts līmenī, gan no izložu un azartspēļu organizatoru puses) ar mērķi izglītot esošos un potenciālos spēlētājus par iespējamiem riskiem, sekām, kā arī palīdzības iespējām azartspēļu atkarības gadījumā; </w:t>
      </w:r>
    </w:p>
    <w:p w:rsidR="00635AFA" w:rsidRPr="0087512B" w:rsidRDefault="00635AFA" w:rsidP="009E0A36">
      <w:pPr>
        <w:pStyle w:val="ListParagraph"/>
        <w:numPr>
          <w:ilvl w:val="0"/>
          <w:numId w:val="47"/>
        </w:numPr>
        <w:spacing w:after="120"/>
        <w:ind w:left="0" w:firstLine="709"/>
        <w:jc w:val="both"/>
        <w:rPr>
          <w:rFonts w:cs="Times New Roman"/>
          <w:sz w:val="28"/>
          <w:szCs w:val="28"/>
        </w:rPr>
      </w:pPr>
      <w:r w:rsidRPr="0087512B">
        <w:rPr>
          <w:rFonts w:cs="Times New Roman"/>
          <w:sz w:val="28"/>
          <w:szCs w:val="28"/>
        </w:rPr>
        <w:t>sabiedrības izglītošana par maldīgiem uzskatiem attiecībā uz azartspēļu spēlēšanu un laimesta varbūtību;</w:t>
      </w:r>
    </w:p>
    <w:p w:rsidR="00635AFA" w:rsidRPr="0087512B" w:rsidRDefault="00635AFA" w:rsidP="009E0A36">
      <w:pPr>
        <w:pStyle w:val="ListParagraph"/>
        <w:numPr>
          <w:ilvl w:val="0"/>
          <w:numId w:val="47"/>
        </w:numPr>
        <w:spacing w:after="120"/>
        <w:ind w:left="0" w:firstLine="709"/>
        <w:jc w:val="both"/>
        <w:rPr>
          <w:rFonts w:cs="Times New Roman"/>
          <w:sz w:val="28"/>
          <w:szCs w:val="28"/>
        </w:rPr>
      </w:pPr>
      <w:r w:rsidRPr="0087512B">
        <w:rPr>
          <w:rFonts w:cs="Times New Roman"/>
          <w:sz w:val="28"/>
          <w:szCs w:val="28"/>
        </w:rPr>
        <w:t>sabiedrības izglītošana un sociālo kampaņu veidošana par pārmērīgas azartspēļu un izložu spēlēšanas kaitīgo ietekmi uz personas fizisko, sociālo un psihisko veselību un labklājību;</w:t>
      </w:r>
    </w:p>
    <w:p w:rsidR="00635AFA" w:rsidRPr="0087512B" w:rsidRDefault="00635AFA" w:rsidP="009E0A36">
      <w:pPr>
        <w:pStyle w:val="ListParagraph"/>
        <w:numPr>
          <w:ilvl w:val="0"/>
          <w:numId w:val="47"/>
        </w:numPr>
        <w:spacing w:after="120"/>
        <w:ind w:left="0" w:firstLine="709"/>
        <w:jc w:val="both"/>
        <w:rPr>
          <w:rFonts w:cs="Times New Roman"/>
          <w:sz w:val="28"/>
          <w:szCs w:val="28"/>
        </w:rPr>
      </w:pPr>
      <w:r w:rsidRPr="0087512B">
        <w:rPr>
          <w:rFonts w:cs="Times New Roman"/>
          <w:bCs/>
          <w:iCs/>
          <w:sz w:val="28"/>
          <w:szCs w:val="28"/>
        </w:rPr>
        <w:t>informatīvo materiālu izstrāde un to pieejamības nodrošināšana</w:t>
      </w:r>
      <w:r w:rsidRPr="0087512B">
        <w:rPr>
          <w:rFonts w:cs="Times New Roman"/>
          <w:sz w:val="28"/>
          <w:szCs w:val="28"/>
        </w:rPr>
        <w:t xml:space="preserve"> izložu un azartspēļu organizētājiem (izplatīšanas nolūkā – klientiem un pārdevējiem);</w:t>
      </w:r>
    </w:p>
    <w:p w:rsidR="00635AFA" w:rsidRDefault="00635AFA" w:rsidP="009E0A36">
      <w:pPr>
        <w:pStyle w:val="ListParagraph"/>
        <w:numPr>
          <w:ilvl w:val="0"/>
          <w:numId w:val="47"/>
        </w:numPr>
        <w:spacing w:after="120"/>
        <w:ind w:left="0" w:firstLine="709"/>
        <w:jc w:val="both"/>
        <w:rPr>
          <w:rFonts w:cs="Times New Roman"/>
          <w:sz w:val="28"/>
          <w:szCs w:val="28"/>
        </w:rPr>
      </w:pPr>
      <w:r w:rsidRPr="0087512B">
        <w:rPr>
          <w:rFonts w:cs="Times New Roman"/>
          <w:sz w:val="28"/>
          <w:szCs w:val="28"/>
        </w:rPr>
        <w:t>regulāra informācija par azartspēļu atkarības kaitējumu sabiedriskajos medijos</w:t>
      </w:r>
      <w:r w:rsidR="000A4E80">
        <w:rPr>
          <w:rFonts w:cs="Times New Roman"/>
          <w:sz w:val="28"/>
          <w:szCs w:val="28"/>
        </w:rPr>
        <w:t>.</w:t>
      </w:r>
    </w:p>
    <w:p w:rsidR="00B475E7" w:rsidRPr="0087512B" w:rsidRDefault="00B475E7" w:rsidP="00B475E7">
      <w:pPr>
        <w:pStyle w:val="ListParagraph"/>
        <w:ind w:left="0"/>
        <w:jc w:val="both"/>
        <w:rPr>
          <w:rFonts w:cs="Times New Roman"/>
          <w:sz w:val="28"/>
          <w:szCs w:val="28"/>
        </w:rPr>
      </w:pPr>
    </w:p>
    <w:p w:rsidR="00635AFA" w:rsidRPr="007571C1" w:rsidRDefault="003E7296" w:rsidP="009E0A36">
      <w:pPr>
        <w:pStyle w:val="Heading3"/>
        <w:numPr>
          <w:ilvl w:val="2"/>
          <w:numId w:val="36"/>
        </w:numPr>
        <w:spacing w:before="0"/>
        <w:ind w:left="0" w:firstLine="0"/>
        <w:jc w:val="center"/>
        <w:rPr>
          <w:rFonts w:ascii="Times New Roman" w:eastAsiaTheme="minorHAnsi" w:hAnsi="Times New Roman" w:cs="Times New Roman"/>
          <w:b/>
          <w:color w:val="auto"/>
          <w:sz w:val="28"/>
          <w:szCs w:val="28"/>
        </w:rPr>
      </w:pPr>
      <w:bookmarkStart w:id="32" w:name="_Toc18936549"/>
      <w:bookmarkStart w:id="33" w:name="_Toc18936579"/>
      <w:bookmarkStart w:id="34" w:name="_Toc18936842"/>
      <w:bookmarkStart w:id="35" w:name="_Toc19025038"/>
      <w:bookmarkStart w:id="36" w:name="_Toc19025687"/>
      <w:bookmarkStart w:id="37" w:name="_Toc19026262"/>
      <w:bookmarkStart w:id="38" w:name="_Toc19026836"/>
      <w:bookmarkStart w:id="39" w:name="_Toc19696563"/>
      <w:bookmarkStart w:id="40" w:name="_Toc19697139"/>
      <w:bookmarkStart w:id="41" w:name="_Toc19697717"/>
      <w:bookmarkStart w:id="42" w:name="_Toc19698294"/>
      <w:bookmarkStart w:id="43" w:name="_Toc18936550"/>
      <w:bookmarkStart w:id="44" w:name="_Toc18936580"/>
      <w:bookmarkStart w:id="45" w:name="_Toc18936843"/>
      <w:bookmarkStart w:id="46" w:name="_Toc19025039"/>
      <w:bookmarkStart w:id="47" w:name="_Toc19025688"/>
      <w:bookmarkStart w:id="48" w:name="_Toc19026263"/>
      <w:bookmarkStart w:id="49" w:name="_Toc19026837"/>
      <w:bookmarkStart w:id="50" w:name="_Toc19696564"/>
      <w:bookmarkStart w:id="51" w:name="_Toc19697140"/>
      <w:bookmarkStart w:id="52" w:name="_Toc19697718"/>
      <w:bookmarkStart w:id="53" w:name="_Toc19698295"/>
      <w:bookmarkStart w:id="54" w:name="_Toc18936551"/>
      <w:bookmarkStart w:id="55" w:name="_Toc18936581"/>
      <w:bookmarkStart w:id="56" w:name="_Toc18936844"/>
      <w:bookmarkStart w:id="57" w:name="_Toc19024342"/>
      <w:bookmarkStart w:id="58" w:name="_Toc19024412"/>
      <w:bookmarkStart w:id="59" w:name="_Toc19025040"/>
      <w:bookmarkStart w:id="60" w:name="_Toc19025689"/>
      <w:bookmarkStart w:id="61" w:name="_Toc19026264"/>
      <w:bookmarkStart w:id="62" w:name="_Toc19026838"/>
      <w:bookmarkStart w:id="63" w:name="_Toc19696565"/>
      <w:bookmarkStart w:id="64" w:name="_Toc19697141"/>
      <w:bookmarkStart w:id="65" w:name="_Toc19697719"/>
      <w:bookmarkStart w:id="66" w:name="_Toc19698296"/>
      <w:bookmarkStart w:id="67" w:name="_Toc5608718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eastAsiaTheme="minorHAnsi" w:hAnsi="Times New Roman" w:cs="Times New Roman"/>
          <w:b/>
          <w:color w:val="auto"/>
          <w:sz w:val="28"/>
          <w:szCs w:val="28"/>
        </w:rPr>
        <w:t>A</w:t>
      </w:r>
      <w:r w:rsidRPr="007571C1">
        <w:rPr>
          <w:rFonts w:ascii="Times New Roman" w:eastAsiaTheme="minorHAnsi" w:hAnsi="Times New Roman" w:cs="Times New Roman"/>
          <w:b/>
          <w:color w:val="auto"/>
          <w:sz w:val="28"/>
          <w:szCs w:val="28"/>
        </w:rPr>
        <w:t xml:space="preserve">tbalsts </w:t>
      </w:r>
      <w:r>
        <w:rPr>
          <w:rFonts w:ascii="Times New Roman" w:eastAsiaTheme="minorHAnsi" w:hAnsi="Times New Roman" w:cs="Times New Roman"/>
          <w:b/>
          <w:color w:val="auto"/>
          <w:sz w:val="28"/>
          <w:szCs w:val="28"/>
        </w:rPr>
        <w:t>p</w:t>
      </w:r>
      <w:r w:rsidR="00635AFA" w:rsidRPr="007571C1">
        <w:rPr>
          <w:rFonts w:ascii="Times New Roman" w:eastAsiaTheme="minorHAnsi" w:hAnsi="Times New Roman" w:cs="Times New Roman"/>
          <w:b/>
          <w:color w:val="auto"/>
          <w:sz w:val="28"/>
          <w:szCs w:val="28"/>
        </w:rPr>
        <w:t>roblemātiska</w:t>
      </w:r>
      <w:r>
        <w:rPr>
          <w:rFonts w:ascii="Times New Roman" w:eastAsiaTheme="minorHAnsi" w:hAnsi="Times New Roman" w:cs="Times New Roman"/>
          <w:b/>
          <w:color w:val="auto"/>
          <w:sz w:val="28"/>
          <w:szCs w:val="28"/>
        </w:rPr>
        <w:t>m</w:t>
      </w:r>
      <w:r w:rsidR="00635AFA" w:rsidRPr="007571C1">
        <w:rPr>
          <w:rFonts w:ascii="Times New Roman" w:eastAsiaTheme="minorHAnsi" w:hAnsi="Times New Roman" w:cs="Times New Roman"/>
          <w:b/>
          <w:color w:val="auto"/>
          <w:sz w:val="28"/>
          <w:szCs w:val="28"/>
        </w:rPr>
        <w:t xml:space="preserve"> spēlētāja</w:t>
      </w:r>
      <w:r>
        <w:rPr>
          <w:rFonts w:ascii="Times New Roman" w:eastAsiaTheme="minorHAnsi" w:hAnsi="Times New Roman" w:cs="Times New Roman"/>
          <w:b/>
          <w:color w:val="auto"/>
          <w:sz w:val="28"/>
          <w:szCs w:val="28"/>
        </w:rPr>
        <w:t>m</w:t>
      </w:r>
      <w:bookmarkEnd w:id="67"/>
      <w:r w:rsidR="00635AFA" w:rsidRPr="007571C1">
        <w:rPr>
          <w:rFonts w:ascii="Times New Roman" w:eastAsiaTheme="minorHAnsi" w:hAnsi="Times New Roman" w:cs="Times New Roman"/>
          <w:b/>
          <w:color w:val="auto"/>
          <w:sz w:val="28"/>
          <w:szCs w:val="28"/>
        </w:rPr>
        <w:t xml:space="preserve"> </w:t>
      </w:r>
    </w:p>
    <w:p w:rsidR="00635AFA" w:rsidRPr="0087512B" w:rsidRDefault="00635AFA" w:rsidP="00B475E7">
      <w:pPr>
        <w:pStyle w:val="ListParagraph"/>
        <w:ind w:left="0"/>
        <w:rPr>
          <w:rFonts w:cs="Times New Roman"/>
          <w:b/>
          <w:sz w:val="28"/>
          <w:szCs w:val="28"/>
        </w:rPr>
      </w:pPr>
    </w:p>
    <w:p w:rsidR="00635AFA" w:rsidRPr="0087512B" w:rsidRDefault="00635AFA" w:rsidP="0087512B">
      <w:pPr>
        <w:ind w:firstLine="567"/>
        <w:jc w:val="both"/>
        <w:rPr>
          <w:rFonts w:cs="Times New Roman"/>
          <w:sz w:val="28"/>
          <w:szCs w:val="28"/>
        </w:rPr>
      </w:pPr>
      <w:r w:rsidRPr="0087512B">
        <w:rPr>
          <w:rFonts w:cs="Times New Roman"/>
          <w:sz w:val="28"/>
          <w:szCs w:val="28"/>
        </w:rPr>
        <w:lastRenderedPageBreak/>
        <w:t>Svarīgi nodrošināt ne tikai profilakses pasākumus, bet arī atbalstu personām, kas jau ir nonākušas problemātiskā spēlētajā statusā. Minesotas programmās atkarībās nonākušos pacientus motivē mazināt slimības noliegumu un palīdz pieņemt lēmumu terapijas uzsākšanai, motivē veidot veselīgas pārmaiņas dzīvē</w:t>
      </w:r>
      <w:r w:rsidR="00610145" w:rsidRPr="0087512B">
        <w:rPr>
          <w:rStyle w:val="FootnoteReference"/>
          <w:sz w:val="28"/>
          <w:szCs w:val="28"/>
        </w:rPr>
        <w:footnoteReference w:id="39"/>
      </w:r>
      <w:r w:rsidRPr="0087512B">
        <w:rPr>
          <w:rFonts w:cs="Times New Roman"/>
          <w:sz w:val="28"/>
          <w:szCs w:val="28"/>
        </w:rPr>
        <w:t>. Slimību profilakses un kontroles centra</w:t>
      </w:r>
      <w:r w:rsidR="00DA1DD5">
        <w:rPr>
          <w:rFonts w:cs="Times New Roman"/>
          <w:sz w:val="28"/>
          <w:szCs w:val="28"/>
        </w:rPr>
        <w:t xml:space="preserve"> (turpmāk – SPKC)</w:t>
      </w:r>
      <w:r w:rsidRPr="0087512B">
        <w:rPr>
          <w:rFonts w:cs="Times New Roman"/>
          <w:sz w:val="28"/>
          <w:szCs w:val="28"/>
        </w:rPr>
        <w:t xml:space="preserve"> statistika par gada laikā stacionārā ārstēto pacientu skaitu, kuriem ir patoloģiska tieksme uz azartspēlēm ir sekojoša: 2013.gadā </w:t>
      </w:r>
      <w:r w:rsidR="0095220C">
        <w:rPr>
          <w:rFonts w:cs="Times New Roman"/>
          <w:sz w:val="28"/>
          <w:szCs w:val="28"/>
        </w:rPr>
        <w:t>–</w:t>
      </w:r>
      <w:r w:rsidRPr="0087512B">
        <w:rPr>
          <w:rFonts w:cs="Times New Roman"/>
          <w:sz w:val="28"/>
          <w:szCs w:val="28"/>
        </w:rPr>
        <w:t xml:space="preserve"> 11 pacienti; 2014.gadā </w:t>
      </w:r>
      <w:r w:rsidR="0095220C">
        <w:rPr>
          <w:rFonts w:cs="Times New Roman"/>
          <w:sz w:val="28"/>
          <w:szCs w:val="28"/>
        </w:rPr>
        <w:t>–</w:t>
      </w:r>
      <w:r w:rsidRPr="0087512B">
        <w:rPr>
          <w:rFonts w:cs="Times New Roman"/>
          <w:sz w:val="28"/>
          <w:szCs w:val="28"/>
        </w:rPr>
        <w:t xml:space="preserve"> 43 pacienti; 2015.gadā </w:t>
      </w:r>
      <w:r w:rsidR="0095220C">
        <w:rPr>
          <w:rFonts w:cs="Times New Roman"/>
          <w:sz w:val="28"/>
          <w:szCs w:val="28"/>
        </w:rPr>
        <w:t>–</w:t>
      </w:r>
      <w:r w:rsidRPr="0087512B">
        <w:rPr>
          <w:rFonts w:cs="Times New Roman"/>
          <w:sz w:val="28"/>
          <w:szCs w:val="28"/>
        </w:rPr>
        <w:t xml:space="preserve"> 48 pacienti; 2016.gadā </w:t>
      </w:r>
      <w:r w:rsidR="0095220C">
        <w:rPr>
          <w:rFonts w:cs="Times New Roman"/>
          <w:sz w:val="28"/>
          <w:szCs w:val="28"/>
        </w:rPr>
        <w:t>–</w:t>
      </w:r>
      <w:r w:rsidRPr="0087512B">
        <w:rPr>
          <w:rFonts w:cs="Times New Roman"/>
          <w:sz w:val="28"/>
          <w:szCs w:val="28"/>
        </w:rPr>
        <w:t xml:space="preserve"> 53 pacienti; 2017.gadā </w:t>
      </w:r>
      <w:r w:rsidR="0095220C">
        <w:rPr>
          <w:rFonts w:cs="Times New Roman"/>
          <w:sz w:val="28"/>
          <w:szCs w:val="28"/>
        </w:rPr>
        <w:t>–</w:t>
      </w:r>
      <w:r w:rsidRPr="0087512B">
        <w:rPr>
          <w:rFonts w:cs="Times New Roman"/>
          <w:sz w:val="28"/>
          <w:szCs w:val="28"/>
        </w:rPr>
        <w:t xml:space="preserve"> 40 pacienti</w:t>
      </w:r>
      <w:r w:rsidRPr="0087512B">
        <w:rPr>
          <w:rStyle w:val="FootnoteReference"/>
          <w:sz w:val="28"/>
          <w:szCs w:val="28"/>
        </w:rPr>
        <w:footnoteReference w:id="40"/>
      </w:r>
      <w:r w:rsidRPr="0087512B">
        <w:rPr>
          <w:rFonts w:cs="Times New Roman"/>
          <w:sz w:val="28"/>
          <w:szCs w:val="28"/>
        </w:rPr>
        <w:t xml:space="preserve">. Ņemot vērā niecīgo pacientu skaitu, kas ārstēti ar diagnozi </w:t>
      </w:r>
      <w:r w:rsidR="003A4803">
        <w:rPr>
          <w:rFonts w:cs="Times New Roman"/>
          <w:sz w:val="28"/>
          <w:szCs w:val="28"/>
        </w:rPr>
        <w:t xml:space="preserve">– </w:t>
      </w:r>
      <w:r w:rsidRPr="0087512B">
        <w:rPr>
          <w:rFonts w:cs="Times New Roman"/>
          <w:sz w:val="28"/>
          <w:szCs w:val="28"/>
        </w:rPr>
        <w:t xml:space="preserve">patoloģiska tieksme uz azartspēlēm, tas neatspoguļo patieso situāciju, jo parasti šādu pacientu diagnozes ir vairāk faktoriālas un bieži vien azartspēļu atkarība tiek pievienota vieliskajām atkarībām, tādējādi radot nepatiesu ainu. Lai uzlabotu šādu pacientu ārstēšanu un rehabilitāciju, nepieciešams paplašināt šo programmu, palielinot pieejamību un palīdzības iespējas. </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Nodrošināt valsts apmaksātas veselības vai klīnisko psihologu vadītās ambulatorās atbalsta grupas personām, kā arī īstenot apmācības klīniskajiem un veselības psihologiem. </w:t>
      </w:r>
    </w:p>
    <w:p w:rsidR="00635AFA" w:rsidRPr="0087512B" w:rsidRDefault="00635AFA" w:rsidP="0087512B">
      <w:pPr>
        <w:ind w:firstLine="567"/>
        <w:jc w:val="both"/>
        <w:rPr>
          <w:rFonts w:cs="Times New Roman"/>
          <w:sz w:val="28"/>
          <w:szCs w:val="28"/>
        </w:rPr>
      </w:pPr>
      <w:r w:rsidRPr="0087512B">
        <w:rPr>
          <w:rFonts w:cs="Times New Roman"/>
          <w:sz w:val="28"/>
          <w:szCs w:val="28"/>
        </w:rPr>
        <w:t xml:space="preserve">Ambulatorās grupas azartspēļu atkarīgajiem spēlētājiem ir būtisks instruments, saņemot kvalificētu palīdzību, paralēli ikdienas darbam, mācībām u.tml., bez nepieciešamības ievietot </w:t>
      </w:r>
      <w:r w:rsidR="00446311" w:rsidRPr="0087512B">
        <w:rPr>
          <w:rFonts w:cs="Times New Roman"/>
          <w:sz w:val="28"/>
          <w:szCs w:val="28"/>
        </w:rPr>
        <w:t xml:space="preserve">personu </w:t>
      </w:r>
      <w:r w:rsidRPr="0087512B">
        <w:rPr>
          <w:rFonts w:cs="Times New Roman"/>
          <w:sz w:val="28"/>
          <w:szCs w:val="28"/>
        </w:rPr>
        <w:t>ārstēšanai slimnīcā. Visiem atkarību veidiem pamatā ir vienots patofizioloģiskais jeb veidošanās mehānisms, tomēr azartspēļu atkarības atšķiras no vieliskajām atkarībām. Veidojot šādas ambulatorās grupas, nepieciešams apmācīt personālu, kas ikdienā strādās ar azartspēļu atkarībā nonākušām personām, lai palīdzības sniegšana būtu kvalitatīva un efektīva. Šādas ambulatorās grupas atkarību jomās ir izplatītas visā Eiropā, piemēram, Polijā</w:t>
      </w:r>
      <w:r w:rsidRPr="0087512B">
        <w:rPr>
          <w:rStyle w:val="FootnoteReference"/>
          <w:sz w:val="28"/>
          <w:szCs w:val="28"/>
        </w:rPr>
        <w:footnoteReference w:id="41"/>
      </w:r>
      <w:r w:rsidR="00806684">
        <w:rPr>
          <w:rFonts w:cs="Times New Roman"/>
          <w:sz w:val="28"/>
          <w:szCs w:val="28"/>
        </w:rPr>
        <w:t>,</w:t>
      </w:r>
      <w:r w:rsidRPr="0087512B">
        <w:rPr>
          <w:rFonts w:cs="Times New Roman"/>
          <w:sz w:val="28"/>
          <w:szCs w:val="28"/>
        </w:rPr>
        <w:t xml:space="preserve"> un pētījumi liecina, ka palīdzību var sniegt ar dažādu veidu psihoterapiju grupu palīdzību, piemēram, psihodinamiskā terapija, ģimenes terapija, uzvedības terapija u.c.</w:t>
      </w:r>
      <w:r w:rsidRPr="0087512B">
        <w:rPr>
          <w:rStyle w:val="FootnoteReference"/>
          <w:sz w:val="28"/>
          <w:szCs w:val="28"/>
        </w:rPr>
        <w:footnoteReference w:id="42"/>
      </w:r>
      <w:r w:rsidRPr="0087512B">
        <w:rPr>
          <w:rFonts w:cs="Times New Roman"/>
          <w:sz w:val="28"/>
          <w:szCs w:val="28"/>
        </w:rPr>
        <w:t>. Latvijā šobrīd šādas grupas, kas paredzētas tieši azartspēļu atkarīgām personām, nepastāv, tāpēc ieviešot šādas grupas, tas būs būtisks palīdzības punkts</w:t>
      </w:r>
      <w:r w:rsidR="00446311" w:rsidRPr="0087512B">
        <w:rPr>
          <w:rFonts w:cs="Times New Roman"/>
          <w:sz w:val="28"/>
          <w:szCs w:val="28"/>
        </w:rPr>
        <w:t xml:space="preserve"> personai</w:t>
      </w:r>
      <w:r w:rsidRPr="0087512B">
        <w:rPr>
          <w:rFonts w:cs="Times New Roman"/>
          <w:sz w:val="28"/>
          <w:szCs w:val="28"/>
        </w:rPr>
        <w:t xml:space="preserve">. </w:t>
      </w:r>
    </w:p>
    <w:p w:rsidR="00635AFA" w:rsidRPr="0087512B" w:rsidRDefault="00446311" w:rsidP="0087512B">
      <w:pPr>
        <w:ind w:firstLine="567"/>
        <w:jc w:val="both"/>
        <w:rPr>
          <w:rFonts w:cs="Times New Roman"/>
          <w:sz w:val="28"/>
          <w:szCs w:val="28"/>
        </w:rPr>
      </w:pPr>
      <w:r w:rsidRPr="0087512B">
        <w:rPr>
          <w:rFonts w:cs="Times New Roman"/>
          <w:sz w:val="28"/>
          <w:szCs w:val="28"/>
        </w:rPr>
        <w:t>Šobrīd Latvijā</w:t>
      </w:r>
      <w:r w:rsidR="00635AFA" w:rsidRPr="0087512B">
        <w:rPr>
          <w:rFonts w:cs="Times New Roman"/>
          <w:sz w:val="28"/>
          <w:szCs w:val="28"/>
        </w:rPr>
        <w:t xml:space="preserve"> darbojas konsultatīvais tālrunis smēķēšanas atmešanai, kas sekmīgi darbojas jau vairākus gadus. IAUI regulāri saņem iesniegumus un telefonu zvanus, kuros tiek lūgta palīdzība no azartspēļu atkarībās nonākušām personām un viņu radiniekiem. IAUI savu iespēju robežās sniedz konsultācijas par iespējām palīdzēt šīm personām. Izvērtējot esošo situāciju, ir būtiski nodrošināt šādu konsultatīvo tālruni arī azartspēļu un izložu atkarīgām personām, lai sniegtu informāciju par iespēju saņemt speciālistu palīdzību un konsultācijas, kā arī šāds tālrunis būtu neatkarīgs no industrijas ietekmes un interesēm.</w:t>
      </w:r>
    </w:p>
    <w:p w:rsidR="00446311" w:rsidRPr="0087512B" w:rsidRDefault="00446311" w:rsidP="0087512B">
      <w:pPr>
        <w:ind w:firstLine="567"/>
        <w:jc w:val="both"/>
        <w:rPr>
          <w:rFonts w:cs="Times New Roman"/>
          <w:i/>
          <w:sz w:val="28"/>
          <w:szCs w:val="28"/>
        </w:rPr>
      </w:pPr>
    </w:p>
    <w:p w:rsidR="00635AFA" w:rsidRPr="0087512B" w:rsidRDefault="00635AFA" w:rsidP="0087512B">
      <w:pPr>
        <w:ind w:firstLine="567"/>
        <w:jc w:val="both"/>
        <w:rPr>
          <w:rFonts w:cs="Times New Roman"/>
          <w:sz w:val="28"/>
          <w:szCs w:val="28"/>
        </w:rPr>
      </w:pPr>
      <w:r w:rsidRPr="0087512B">
        <w:rPr>
          <w:rFonts w:cs="Times New Roman"/>
          <w:i/>
          <w:sz w:val="28"/>
          <w:szCs w:val="28"/>
        </w:rPr>
        <w:lastRenderedPageBreak/>
        <w:t>Nepieciešami</w:t>
      </w:r>
      <w:r w:rsidR="0039543D" w:rsidRPr="0087512B">
        <w:rPr>
          <w:rFonts w:cs="Times New Roman"/>
          <w:i/>
          <w:sz w:val="28"/>
          <w:szCs w:val="28"/>
        </w:rPr>
        <w:t>e</w:t>
      </w:r>
      <w:r w:rsidRPr="0087512B">
        <w:rPr>
          <w:rFonts w:cs="Times New Roman"/>
          <w:i/>
          <w:sz w:val="28"/>
          <w:szCs w:val="28"/>
        </w:rPr>
        <w:t xml:space="preserve"> pasākumi</w:t>
      </w:r>
      <w:r w:rsidRPr="0087512B">
        <w:rPr>
          <w:rFonts w:cs="Times New Roman"/>
          <w:sz w:val="28"/>
          <w:szCs w:val="28"/>
        </w:rPr>
        <w:t>:</w:t>
      </w:r>
    </w:p>
    <w:p w:rsidR="00635AFA" w:rsidRPr="00B475E7" w:rsidRDefault="00635AFA" w:rsidP="009E0A36">
      <w:pPr>
        <w:pStyle w:val="ListParagraph"/>
        <w:numPr>
          <w:ilvl w:val="0"/>
          <w:numId w:val="48"/>
        </w:numPr>
        <w:ind w:left="0" w:firstLine="709"/>
        <w:jc w:val="both"/>
        <w:rPr>
          <w:rFonts w:cs="Times New Roman"/>
          <w:sz w:val="28"/>
          <w:szCs w:val="28"/>
        </w:rPr>
      </w:pPr>
      <w:r w:rsidRPr="00B475E7">
        <w:rPr>
          <w:rFonts w:cs="Times New Roman"/>
          <w:sz w:val="28"/>
          <w:szCs w:val="28"/>
        </w:rPr>
        <w:t>uzlabot pieejamību valsts apmaksātai Minesotas ārstēšanas programmai personām, kurām diagnosticēta patoloģiska tieksme uz azartspēlēm;</w:t>
      </w:r>
    </w:p>
    <w:p w:rsidR="00635AFA" w:rsidRPr="0087512B" w:rsidRDefault="00635AFA" w:rsidP="009E0A36">
      <w:pPr>
        <w:pStyle w:val="ListParagraph"/>
        <w:numPr>
          <w:ilvl w:val="0"/>
          <w:numId w:val="48"/>
        </w:numPr>
        <w:ind w:left="0" w:firstLine="709"/>
        <w:jc w:val="both"/>
        <w:rPr>
          <w:rFonts w:cs="Times New Roman"/>
          <w:sz w:val="28"/>
          <w:szCs w:val="28"/>
        </w:rPr>
      </w:pPr>
      <w:r w:rsidRPr="0087512B">
        <w:rPr>
          <w:rFonts w:cs="Times New Roman"/>
          <w:sz w:val="28"/>
          <w:szCs w:val="28"/>
        </w:rPr>
        <w:t>izvērtēt iespēju paplašināt konsultatīvā tālruņa smēķēšanas atmešanai darbību, attiecinot to arī uz informācijas sniegšanu par palīdzības saņemšanu no azartspēlēm un izlozēm atkarīgām personām;</w:t>
      </w:r>
    </w:p>
    <w:p w:rsidR="00635AFA" w:rsidRPr="0087512B" w:rsidRDefault="00635AFA" w:rsidP="009E0A36">
      <w:pPr>
        <w:pStyle w:val="ListParagraph"/>
        <w:numPr>
          <w:ilvl w:val="0"/>
          <w:numId w:val="48"/>
        </w:numPr>
        <w:ind w:left="0" w:firstLine="709"/>
        <w:jc w:val="both"/>
        <w:rPr>
          <w:rFonts w:cs="Times New Roman"/>
          <w:sz w:val="28"/>
          <w:szCs w:val="28"/>
        </w:rPr>
      </w:pPr>
      <w:r w:rsidRPr="0087512B">
        <w:rPr>
          <w:rFonts w:cs="Times New Roman"/>
          <w:sz w:val="28"/>
          <w:szCs w:val="28"/>
        </w:rPr>
        <w:t>īstenot iedzīvotāju paradumu monitoringu, veicot regulārus pētījumus par atkarības izraisošo procesu lietošanas tendencēm un paradumiem valstī;</w:t>
      </w:r>
    </w:p>
    <w:p w:rsidR="00635AFA" w:rsidRPr="0087512B" w:rsidRDefault="00635AFA" w:rsidP="009E0A36">
      <w:pPr>
        <w:pStyle w:val="ListParagraph"/>
        <w:numPr>
          <w:ilvl w:val="0"/>
          <w:numId w:val="48"/>
        </w:numPr>
        <w:ind w:left="0" w:firstLine="709"/>
        <w:jc w:val="both"/>
        <w:rPr>
          <w:rFonts w:cs="Times New Roman"/>
          <w:sz w:val="28"/>
          <w:szCs w:val="28"/>
        </w:rPr>
      </w:pPr>
      <w:r w:rsidRPr="0087512B">
        <w:rPr>
          <w:sz w:val="28"/>
          <w:szCs w:val="28"/>
        </w:rPr>
        <w:t>nodrošināt valsts apmaksātas veselības vai klīnisko psihologu vadītas ambulatorās atbalsta grupas personām, kurām diagnosticēta patoloģiska tieksme uz azartspēlēm;</w:t>
      </w:r>
    </w:p>
    <w:p w:rsidR="00635AFA" w:rsidRDefault="00635AFA" w:rsidP="009E0A36">
      <w:pPr>
        <w:pStyle w:val="ListParagraph"/>
        <w:numPr>
          <w:ilvl w:val="0"/>
          <w:numId w:val="48"/>
        </w:numPr>
        <w:ind w:left="0" w:firstLine="709"/>
        <w:jc w:val="both"/>
        <w:rPr>
          <w:rFonts w:cs="Times New Roman"/>
          <w:sz w:val="28"/>
          <w:szCs w:val="28"/>
        </w:rPr>
      </w:pPr>
      <w:r w:rsidRPr="0087512B">
        <w:rPr>
          <w:rFonts w:cs="Times New Roman"/>
          <w:sz w:val="28"/>
          <w:szCs w:val="28"/>
        </w:rPr>
        <w:t>īstenot apmācības klīniskajiem un veselības psihologiem, lai pilnveidotu profesionālās zināšanas un iemaņas attiecībā uz palīdzības sniegšanu izložu un azartspēļu spēlētājiem, t.sk.</w:t>
      </w:r>
      <w:r w:rsidR="00E149CF" w:rsidRPr="0087512B">
        <w:rPr>
          <w:rFonts w:cs="Times New Roman"/>
          <w:sz w:val="28"/>
          <w:szCs w:val="28"/>
        </w:rPr>
        <w:t>,</w:t>
      </w:r>
      <w:r w:rsidRPr="0087512B">
        <w:rPr>
          <w:rFonts w:cs="Times New Roman"/>
          <w:sz w:val="28"/>
          <w:szCs w:val="28"/>
        </w:rPr>
        <w:t xml:space="preserve"> personām, kurām raksturīga patoloģiska tieksme uz azartspēļu spēlēšanu</w:t>
      </w:r>
      <w:r w:rsidR="008B6E57">
        <w:rPr>
          <w:rFonts w:cs="Times New Roman"/>
          <w:sz w:val="28"/>
          <w:szCs w:val="28"/>
        </w:rPr>
        <w:t>.</w:t>
      </w:r>
    </w:p>
    <w:p w:rsidR="00197D11" w:rsidRPr="0087512B" w:rsidRDefault="00197D11" w:rsidP="00197D11">
      <w:pPr>
        <w:pStyle w:val="ListParagraph"/>
        <w:ind w:left="1080"/>
        <w:jc w:val="both"/>
        <w:rPr>
          <w:rFonts w:cs="Times New Roman"/>
          <w:sz w:val="28"/>
          <w:szCs w:val="28"/>
        </w:rPr>
      </w:pPr>
    </w:p>
    <w:p w:rsidR="00635AFA" w:rsidRPr="007571C1" w:rsidRDefault="00635AFA" w:rsidP="009E0A36">
      <w:pPr>
        <w:pStyle w:val="Heading2"/>
        <w:numPr>
          <w:ilvl w:val="1"/>
          <w:numId w:val="36"/>
        </w:numPr>
        <w:ind w:left="0" w:firstLine="0"/>
        <w:jc w:val="center"/>
        <w:rPr>
          <w:rFonts w:ascii="Times New Roman" w:hAnsi="Times New Roman" w:cs="Times New Roman"/>
          <w:b/>
          <w:color w:val="auto"/>
          <w:sz w:val="28"/>
          <w:szCs w:val="28"/>
        </w:rPr>
      </w:pPr>
      <w:bookmarkStart w:id="68" w:name="_Toc56087184"/>
      <w:r w:rsidRPr="007571C1">
        <w:rPr>
          <w:rFonts w:ascii="Times New Roman" w:hAnsi="Times New Roman" w:cs="Times New Roman"/>
          <w:b/>
          <w:color w:val="auto"/>
          <w:sz w:val="28"/>
          <w:szCs w:val="28"/>
        </w:rPr>
        <w:t>Azartspēļu un izložu nozares preventīvie pasākumi</w:t>
      </w:r>
      <w:bookmarkEnd w:id="68"/>
    </w:p>
    <w:p w:rsidR="00635AFA" w:rsidRPr="0087512B" w:rsidRDefault="00635AFA" w:rsidP="0087512B"/>
    <w:p w:rsidR="003D6CEC" w:rsidRDefault="009031CE" w:rsidP="00193257">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 xml:space="preserve">Lai valsts kā </w:t>
      </w:r>
      <w:r w:rsidR="00F4260E">
        <w:rPr>
          <w:rFonts w:ascii="Times New Roman" w:hAnsi="Times New Roman" w:cs="Times New Roman"/>
          <w:sz w:val="28"/>
          <w:szCs w:val="28"/>
        </w:rPr>
        <w:t>AI</w:t>
      </w:r>
      <w:r>
        <w:rPr>
          <w:rFonts w:ascii="Times New Roman" w:hAnsi="Times New Roman" w:cs="Times New Roman"/>
          <w:sz w:val="28"/>
          <w:szCs w:val="28"/>
        </w:rPr>
        <w:t xml:space="preserve"> nozares politikas veidotāj</w:t>
      </w:r>
      <w:r w:rsidR="003D6CEC">
        <w:rPr>
          <w:rFonts w:ascii="Times New Roman" w:hAnsi="Times New Roman" w:cs="Times New Roman"/>
          <w:sz w:val="28"/>
          <w:szCs w:val="28"/>
        </w:rPr>
        <w:t>a</w:t>
      </w:r>
      <w:r>
        <w:rPr>
          <w:rFonts w:ascii="Times New Roman" w:hAnsi="Times New Roman" w:cs="Times New Roman"/>
          <w:sz w:val="28"/>
          <w:szCs w:val="28"/>
        </w:rPr>
        <w:t xml:space="preserve"> </w:t>
      </w:r>
      <w:r w:rsidR="003D6CEC">
        <w:rPr>
          <w:rFonts w:ascii="Times New Roman" w:hAnsi="Times New Roman" w:cs="Times New Roman"/>
          <w:sz w:val="28"/>
          <w:szCs w:val="28"/>
        </w:rPr>
        <w:t xml:space="preserve">paredzētu iespējamos riskus </w:t>
      </w:r>
      <w:r w:rsidR="00B23F19">
        <w:rPr>
          <w:rFonts w:ascii="Times New Roman" w:hAnsi="Times New Roman" w:cs="Times New Roman"/>
          <w:sz w:val="28"/>
          <w:szCs w:val="28"/>
        </w:rPr>
        <w:t xml:space="preserve">– </w:t>
      </w:r>
      <w:r w:rsidR="003D6CEC">
        <w:rPr>
          <w:rFonts w:ascii="Times New Roman" w:hAnsi="Times New Roman" w:cs="Times New Roman"/>
          <w:sz w:val="28"/>
          <w:szCs w:val="28"/>
        </w:rPr>
        <w:t xml:space="preserve">atkarības </w:t>
      </w:r>
      <w:r w:rsidR="00B23F19">
        <w:rPr>
          <w:rFonts w:ascii="Times New Roman" w:hAnsi="Times New Roman" w:cs="Times New Roman"/>
          <w:sz w:val="28"/>
          <w:szCs w:val="28"/>
        </w:rPr>
        <w:t xml:space="preserve">rašanās </w:t>
      </w:r>
      <w:r w:rsidR="003D6CEC">
        <w:rPr>
          <w:rFonts w:ascii="Times New Roman" w:hAnsi="Times New Roman" w:cs="Times New Roman"/>
          <w:sz w:val="28"/>
          <w:szCs w:val="28"/>
        </w:rPr>
        <w:t>no pārmērīgas azartspēļu un izložu spēlēšanas</w:t>
      </w:r>
      <w:r w:rsidR="00215862">
        <w:rPr>
          <w:rFonts w:ascii="Times New Roman" w:hAnsi="Times New Roman" w:cs="Times New Roman"/>
          <w:sz w:val="28"/>
          <w:szCs w:val="28"/>
        </w:rPr>
        <w:t>,</w:t>
      </w:r>
      <w:r w:rsidR="003D6CEC">
        <w:rPr>
          <w:rFonts w:ascii="Times New Roman" w:hAnsi="Times New Roman" w:cs="Times New Roman"/>
          <w:sz w:val="28"/>
          <w:szCs w:val="28"/>
        </w:rPr>
        <w:t xml:space="preserve"> jāizvērtē dažādas pieejas, izmantojot tiešus rīkus </w:t>
      </w:r>
      <w:r w:rsidR="00F4260E">
        <w:rPr>
          <w:rFonts w:ascii="Times New Roman" w:hAnsi="Times New Roman" w:cs="Times New Roman"/>
          <w:sz w:val="28"/>
          <w:szCs w:val="28"/>
        </w:rPr>
        <w:t>AI</w:t>
      </w:r>
      <w:r w:rsidR="003D6CEC">
        <w:rPr>
          <w:rFonts w:ascii="Times New Roman" w:hAnsi="Times New Roman" w:cs="Times New Roman"/>
          <w:sz w:val="28"/>
          <w:szCs w:val="28"/>
        </w:rPr>
        <w:t xml:space="preserve"> nozares ierobežošanai, </w:t>
      </w:r>
      <w:r w:rsidR="00C36C48">
        <w:rPr>
          <w:rFonts w:ascii="Times New Roman" w:hAnsi="Times New Roman" w:cs="Times New Roman"/>
          <w:sz w:val="28"/>
          <w:szCs w:val="28"/>
        </w:rPr>
        <w:t xml:space="preserve">un netiešus rīkus </w:t>
      </w:r>
      <w:r w:rsidR="002E7422">
        <w:rPr>
          <w:rFonts w:ascii="Times New Roman" w:hAnsi="Times New Roman" w:cs="Times New Roman"/>
          <w:sz w:val="28"/>
          <w:szCs w:val="28"/>
        </w:rPr>
        <w:t>–</w:t>
      </w:r>
      <w:r w:rsidR="00C36C48">
        <w:rPr>
          <w:rFonts w:ascii="Times New Roman" w:hAnsi="Times New Roman" w:cs="Times New Roman"/>
          <w:sz w:val="28"/>
          <w:szCs w:val="28"/>
        </w:rPr>
        <w:t xml:space="preserve"> </w:t>
      </w:r>
      <w:r w:rsidR="003D6CEC">
        <w:rPr>
          <w:rFonts w:ascii="Times New Roman" w:hAnsi="Times New Roman" w:cs="Times New Roman"/>
          <w:sz w:val="28"/>
          <w:szCs w:val="28"/>
        </w:rPr>
        <w:t>sociālos medijus ar informācijas plūsmas nodrošināšanu un sabiedrības izglītošanu caur izglītības iestādēm un sociālajām reklāmām</w:t>
      </w:r>
      <w:r w:rsidR="00346DEB">
        <w:rPr>
          <w:rFonts w:ascii="Times New Roman" w:hAnsi="Times New Roman" w:cs="Times New Roman"/>
          <w:sz w:val="28"/>
          <w:szCs w:val="28"/>
        </w:rPr>
        <w:t>. Preventīvi pasākumi</w:t>
      </w:r>
      <w:r w:rsidR="003D6CEC">
        <w:rPr>
          <w:rFonts w:ascii="Times New Roman" w:hAnsi="Times New Roman" w:cs="Times New Roman"/>
          <w:sz w:val="28"/>
          <w:szCs w:val="28"/>
        </w:rPr>
        <w:t xml:space="preserve"> veidot</w:t>
      </w:r>
      <w:r w:rsidR="00346DEB">
        <w:rPr>
          <w:rFonts w:ascii="Times New Roman" w:hAnsi="Times New Roman" w:cs="Times New Roman"/>
          <w:sz w:val="28"/>
          <w:szCs w:val="28"/>
        </w:rPr>
        <w:t>u</w:t>
      </w:r>
      <w:r w:rsidR="003D6CEC">
        <w:rPr>
          <w:rFonts w:ascii="Times New Roman" w:hAnsi="Times New Roman" w:cs="Times New Roman"/>
          <w:sz w:val="28"/>
          <w:szCs w:val="28"/>
        </w:rPr>
        <w:t xml:space="preserve"> izglītotu sabiedrību, kas </w:t>
      </w:r>
      <w:r w:rsidR="00F4260E">
        <w:rPr>
          <w:rFonts w:ascii="Times New Roman" w:hAnsi="Times New Roman" w:cs="Times New Roman"/>
          <w:sz w:val="28"/>
          <w:szCs w:val="28"/>
        </w:rPr>
        <w:t>AI</w:t>
      </w:r>
      <w:r w:rsidR="003D6CEC">
        <w:rPr>
          <w:rFonts w:ascii="Times New Roman" w:hAnsi="Times New Roman" w:cs="Times New Roman"/>
          <w:sz w:val="28"/>
          <w:szCs w:val="28"/>
        </w:rPr>
        <w:t xml:space="preserve"> nozares sniegtos pakalpojumus </w:t>
      </w:r>
      <w:r w:rsidR="00346DEB">
        <w:rPr>
          <w:rFonts w:ascii="Times New Roman" w:hAnsi="Times New Roman" w:cs="Times New Roman"/>
          <w:sz w:val="28"/>
          <w:szCs w:val="28"/>
        </w:rPr>
        <w:t>uztvertu</w:t>
      </w:r>
      <w:r w:rsidR="003D6CEC">
        <w:rPr>
          <w:rFonts w:ascii="Times New Roman" w:hAnsi="Times New Roman" w:cs="Times New Roman"/>
          <w:sz w:val="28"/>
          <w:szCs w:val="28"/>
        </w:rPr>
        <w:t xml:space="preserve"> kā </w:t>
      </w:r>
      <w:r w:rsidR="00732DF5">
        <w:rPr>
          <w:rFonts w:ascii="Times New Roman" w:hAnsi="Times New Roman" w:cs="Times New Roman"/>
          <w:sz w:val="28"/>
          <w:szCs w:val="28"/>
        </w:rPr>
        <w:t>brīva laika pavadīšanas veidu</w:t>
      </w:r>
      <w:r w:rsidR="003D6CEC">
        <w:rPr>
          <w:rFonts w:ascii="Times New Roman" w:hAnsi="Times New Roman" w:cs="Times New Roman"/>
          <w:sz w:val="28"/>
          <w:szCs w:val="28"/>
        </w:rPr>
        <w:t>, bet ne kā finanšu vai sociālu problēmu risināšanas veidu.</w:t>
      </w:r>
    </w:p>
    <w:p w:rsidR="004A241E" w:rsidRDefault="003D6CEC" w:rsidP="007571C1">
      <w:pPr>
        <w:pStyle w:val="PlainText"/>
        <w:jc w:val="both"/>
        <w:rPr>
          <w:rFonts w:ascii="Times New Roman" w:hAnsi="Times New Roman" w:cs="Times New Roman"/>
          <w:sz w:val="28"/>
          <w:szCs w:val="28"/>
        </w:rPr>
      </w:pPr>
      <w:r>
        <w:rPr>
          <w:rFonts w:ascii="Times New Roman" w:hAnsi="Times New Roman" w:cs="Times New Roman"/>
          <w:sz w:val="28"/>
          <w:szCs w:val="28"/>
        </w:rPr>
        <w:tab/>
      </w:r>
      <w:r w:rsidR="00386A6D">
        <w:rPr>
          <w:rFonts w:ascii="Times New Roman" w:hAnsi="Times New Roman" w:cs="Times New Roman"/>
          <w:sz w:val="28"/>
          <w:szCs w:val="28"/>
        </w:rPr>
        <w:t>Zemāk ir apkopota dažādu valstu</w:t>
      </w:r>
      <w:r w:rsidR="008B611E">
        <w:rPr>
          <w:rFonts w:ascii="Times New Roman" w:hAnsi="Times New Roman" w:cs="Times New Roman"/>
          <w:sz w:val="28"/>
          <w:szCs w:val="28"/>
        </w:rPr>
        <w:t xml:space="preserve"> un pētījumu </w:t>
      </w:r>
      <w:r w:rsidR="00386A6D">
        <w:rPr>
          <w:rFonts w:ascii="Times New Roman" w:hAnsi="Times New Roman" w:cs="Times New Roman"/>
          <w:sz w:val="28"/>
          <w:szCs w:val="28"/>
        </w:rPr>
        <w:t>pieredze preventīvo pasākumu piemērošanā.</w:t>
      </w:r>
    </w:p>
    <w:p w:rsidR="00794D82" w:rsidRDefault="00794D82" w:rsidP="007571C1">
      <w:pPr>
        <w:pStyle w:val="PlainText"/>
        <w:jc w:val="both"/>
        <w:rPr>
          <w:rFonts w:ascii="Times New Roman" w:hAnsi="Times New Roman" w:cs="Times New Roman"/>
          <w:sz w:val="28"/>
          <w:szCs w:val="28"/>
        </w:rPr>
      </w:pPr>
    </w:p>
    <w:p w:rsidR="004A241E" w:rsidRDefault="006966D5" w:rsidP="00193257">
      <w:pPr>
        <w:pStyle w:val="PlainText"/>
        <w:ind w:firstLine="567"/>
        <w:jc w:val="both"/>
        <w:rPr>
          <w:rFonts w:ascii="Times New Roman" w:hAnsi="Times New Roman" w:cs="Times New Roman"/>
          <w:i/>
          <w:sz w:val="28"/>
          <w:szCs w:val="28"/>
        </w:rPr>
      </w:pPr>
      <w:r w:rsidRPr="008B5B45">
        <w:rPr>
          <w:rFonts w:ascii="Times New Roman" w:hAnsi="Times New Roman" w:cs="Times New Roman"/>
          <w:i/>
          <w:sz w:val="28"/>
          <w:szCs w:val="28"/>
        </w:rPr>
        <w:t>Tieš</w:t>
      </w:r>
      <w:r>
        <w:rPr>
          <w:rFonts w:ascii="Times New Roman" w:hAnsi="Times New Roman" w:cs="Times New Roman"/>
          <w:i/>
          <w:sz w:val="28"/>
          <w:szCs w:val="28"/>
        </w:rPr>
        <w:t>ie</w:t>
      </w:r>
      <w:r w:rsidRPr="008B5B45">
        <w:rPr>
          <w:rFonts w:ascii="Times New Roman" w:hAnsi="Times New Roman" w:cs="Times New Roman"/>
          <w:i/>
          <w:sz w:val="28"/>
          <w:szCs w:val="28"/>
        </w:rPr>
        <w:t xml:space="preserve"> preventīv</w:t>
      </w:r>
      <w:r>
        <w:rPr>
          <w:rFonts w:ascii="Times New Roman" w:hAnsi="Times New Roman" w:cs="Times New Roman"/>
          <w:i/>
          <w:sz w:val="28"/>
          <w:szCs w:val="28"/>
        </w:rPr>
        <w:t>ie</w:t>
      </w:r>
      <w:r w:rsidRPr="008B5B45">
        <w:rPr>
          <w:rFonts w:ascii="Times New Roman" w:hAnsi="Times New Roman" w:cs="Times New Roman"/>
          <w:i/>
          <w:sz w:val="28"/>
          <w:szCs w:val="28"/>
        </w:rPr>
        <w:t xml:space="preserve"> </w:t>
      </w:r>
      <w:r w:rsidR="004A241E" w:rsidRPr="008B5B45">
        <w:rPr>
          <w:rFonts w:ascii="Times New Roman" w:hAnsi="Times New Roman" w:cs="Times New Roman"/>
          <w:i/>
          <w:sz w:val="28"/>
          <w:szCs w:val="28"/>
        </w:rPr>
        <w:t>pasākum</w:t>
      </w:r>
      <w:r>
        <w:rPr>
          <w:rFonts w:ascii="Times New Roman" w:hAnsi="Times New Roman" w:cs="Times New Roman"/>
          <w:i/>
          <w:sz w:val="28"/>
          <w:szCs w:val="28"/>
        </w:rPr>
        <w:t>i</w:t>
      </w:r>
      <w:r w:rsidR="00193F92">
        <w:rPr>
          <w:rFonts w:ascii="Times New Roman" w:hAnsi="Times New Roman" w:cs="Times New Roman"/>
          <w:i/>
          <w:sz w:val="28"/>
          <w:szCs w:val="28"/>
        </w:rPr>
        <w:t xml:space="preserve"> </w:t>
      </w:r>
    </w:p>
    <w:p w:rsidR="00B97409" w:rsidRDefault="00B97409" w:rsidP="009E0A36">
      <w:pPr>
        <w:pStyle w:val="PlainText"/>
        <w:numPr>
          <w:ilvl w:val="0"/>
          <w:numId w:val="30"/>
        </w:numPr>
        <w:ind w:left="0" w:firstLine="709"/>
        <w:jc w:val="both"/>
        <w:rPr>
          <w:rFonts w:ascii="Times New Roman" w:hAnsi="Times New Roman" w:cs="Times New Roman"/>
          <w:sz w:val="28"/>
          <w:szCs w:val="28"/>
        </w:rPr>
      </w:pPr>
      <w:r w:rsidRPr="00B97409">
        <w:rPr>
          <w:rFonts w:ascii="Times New Roman" w:hAnsi="Times New Roman" w:cs="Times New Roman"/>
          <w:sz w:val="28"/>
          <w:szCs w:val="28"/>
        </w:rPr>
        <w:t>Darba laika ierobežojums spēļu zālēs</w:t>
      </w:r>
      <w:r w:rsidR="00C9269F">
        <w:rPr>
          <w:rFonts w:ascii="Times New Roman" w:hAnsi="Times New Roman" w:cs="Times New Roman"/>
          <w:sz w:val="28"/>
          <w:szCs w:val="28"/>
        </w:rPr>
        <w:t>.</w:t>
      </w:r>
    </w:p>
    <w:p w:rsidR="00361A2C" w:rsidRDefault="00B97409" w:rsidP="00A80C1E">
      <w:pPr>
        <w:pStyle w:val="PlainText"/>
        <w:ind w:firstLine="567"/>
        <w:jc w:val="both"/>
        <w:rPr>
          <w:rFonts w:cs="Times New Roman"/>
          <w:sz w:val="28"/>
          <w:szCs w:val="28"/>
        </w:rPr>
      </w:pPr>
      <w:r w:rsidRPr="00B97409">
        <w:rPr>
          <w:rFonts w:ascii="Times New Roman" w:hAnsi="Times New Roman" w:cs="Times New Roman"/>
          <w:sz w:val="28"/>
          <w:szCs w:val="28"/>
        </w:rPr>
        <w:t>Starptautiskajā praksē pastāv vairākas pieejas, kā tiek ierobežots azartspēļu zāļu darba laiks. Piemēram, Austrālijas štatos, izņemot Rietumu Austrāliju</w:t>
      </w:r>
      <w:r w:rsidR="0017615F">
        <w:rPr>
          <w:rFonts w:ascii="Times New Roman" w:hAnsi="Times New Roman" w:cs="Times New Roman"/>
          <w:sz w:val="28"/>
          <w:szCs w:val="28"/>
        </w:rPr>
        <w:t>,</w:t>
      </w:r>
      <w:r w:rsidRPr="00B97409">
        <w:rPr>
          <w:rFonts w:ascii="Times New Roman" w:hAnsi="Times New Roman" w:cs="Times New Roman"/>
          <w:sz w:val="28"/>
          <w:szCs w:val="28"/>
        </w:rPr>
        <w:t xml:space="preserve"> ir noteikts spēļu zaļu darba laika pārtraukums 4</w:t>
      </w:r>
      <w:r w:rsidR="00E85957">
        <w:rPr>
          <w:rFonts w:ascii="Times New Roman" w:hAnsi="Times New Roman" w:cs="Times New Roman"/>
          <w:sz w:val="28"/>
          <w:szCs w:val="28"/>
        </w:rPr>
        <w:t xml:space="preserve"> – </w:t>
      </w:r>
      <w:r w:rsidRPr="00B97409">
        <w:rPr>
          <w:rFonts w:ascii="Times New Roman" w:hAnsi="Times New Roman" w:cs="Times New Roman"/>
          <w:sz w:val="28"/>
          <w:szCs w:val="28"/>
        </w:rPr>
        <w:t xml:space="preserve">6 stundas </w:t>
      </w:r>
      <w:r w:rsidR="008B6E57">
        <w:rPr>
          <w:rFonts w:ascii="Times New Roman" w:hAnsi="Times New Roman" w:cs="Times New Roman"/>
          <w:sz w:val="28"/>
          <w:szCs w:val="28"/>
        </w:rPr>
        <w:t xml:space="preserve">vienas </w:t>
      </w:r>
      <w:r w:rsidRPr="00B97409">
        <w:rPr>
          <w:rFonts w:ascii="Times New Roman" w:hAnsi="Times New Roman" w:cs="Times New Roman"/>
          <w:sz w:val="28"/>
          <w:szCs w:val="28"/>
        </w:rPr>
        <w:t xml:space="preserve">diennakts laikā. </w:t>
      </w:r>
      <w:r w:rsidRPr="00413BFC">
        <w:rPr>
          <w:rFonts w:ascii="Times New Roman" w:hAnsi="Times New Roman" w:cs="Times New Roman"/>
          <w:sz w:val="28"/>
          <w:szCs w:val="28"/>
        </w:rPr>
        <w:t>Ir vērojama analoģija ar</w:t>
      </w:r>
      <w:r w:rsidRPr="00B97409">
        <w:rPr>
          <w:rFonts w:ascii="Times New Roman" w:hAnsi="Times New Roman" w:cs="Times New Roman"/>
          <w:sz w:val="28"/>
          <w:szCs w:val="28"/>
        </w:rPr>
        <w:t xml:space="preserve"> alkohola pārdošanas aizliegumu pēc noteiktā laika, kas ir pierādīts kā efektīvs līdzeklis sociālo risku mazināšanai.</w:t>
      </w:r>
      <w:r w:rsidR="00AA37A3">
        <w:rPr>
          <w:rFonts w:ascii="Times New Roman" w:hAnsi="Times New Roman" w:cs="Times New Roman"/>
          <w:sz w:val="28"/>
          <w:szCs w:val="28"/>
        </w:rPr>
        <w:t xml:space="preserve"> </w:t>
      </w:r>
      <w:r w:rsidRPr="00B97409">
        <w:rPr>
          <w:rFonts w:ascii="Times New Roman" w:hAnsi="Times New Roman" w:cs="Times New Roman"/>
          <w:sz w:val="28"/>
          <w:szCs w:val="28"/>
        </w:rPr>
        <w:t xml:space="preserve">Itālijas </w:t>
      </w:r>
      <w:r w:rsidR="008B6E57">
        <w:rPr>
          <w:rFonts w:ascii="Times New Roman" w:hAnsi="Times New Roman" w:cs="Times New Roman"/>
          <w:sz w:val="28"/>
          <w:szCs w:val="28"/>
        </w:rPr>
        <w:t xml:space="preserve">pašvaldībām ir tiesības </w:t>
      </w:r>
      <w:r w:rsidR="000E0164">
        <w:rPr>
          <w:rFonts w:ascii="Times New Roman" w:hAnsi="Times New Roman" w:cs="Times New Roman"/>
          <w:sz w:val="28"/>
          <w:szCs w:val="28"/>
        </w:rPr>
        <w:t xml:space="preserve">noteikt </w:t>
      </w:r>
      <w:r w:rsidR="008B6E57">
        <w:rPr>
          <w:rFonts w:ascii="Times New Roman" w:hAnsi="Times New Roman" w:cs="Times New Roman"/>
          <w:sz w:val="28"/>
          <w:szCs w:val="28"/>
        </w:rPr>
        <w:t xml:space="preserve">azartspēļu </w:t>
      </w:r>
      <w:r w:rsidR="000E0164" w:rsidRPr="00B97409">
        <w:rPr>
          <w:rFonts w:ascii="Times New Roman" w:hAnsi="Times New Roman" w:cs="Times New Roman"/>
          <w:sz w:val="28"/>
          <w:szCs w:val="28"/>
        </w:rPr>
        <w:t>zā</w:t>
      </w:r>
      <w:r w:rsidR="000E0164">
        <w:rPr>
          <w:rFonts w:ascii="Times New Roman" w:hAnsi="Times New Roman" w:cs="Times New Roman"/>
          <w:sz w:val="28"/>
          <w:szCs w:val="28"/>
        </w:rPr>
        <w:t xml:space="preserve">lēm strādāt </w:t>
      </w:r>
      <w:r w:rsidR="00EE77DF">
        <w:rPr>
          <w:rFonts w:ascii="Times New Roman" w:hAnsi="Times New Roman" w:cs="Times New Roman"/>
          <w:sz w:val="28"/>
          <w:szCs w:val="28"/>
        </w:rPr>
        <w:t xml:space="preserve">maksimālo darba stundu </w:t>
      </w:r>
      <w:r w:rsidR="0017615F">
        <w:rPr>
          <w:rFonts w:ascii="Times New Roman" w:hAnsi="Times New Roman" w:cs="Times New Roman"/>
          <w:sz w:val="28"/>
          <w:szCs w:val="28"/>
        </w:rPr>
        <w:t xml:space="preserve">skaitu </w:t>
      </w:r>
      <w:r w:rsidR="00EE77DF">
        <w:rPr>
          <w:rFonts w:ascii="Times New Roman" w:hAnsi="Times New Roman" w:cs="Times New Roman"/>
          <w:sz w:val="28"/>
          <w:szCs w:val="28"/>
        </w:rPr>
        <w:t xml:space="preserve">diennaktī, </w:t>
      </w:r>
      <w:r w:rsidR="000E0164">
        <w:rPr>
          <w:rFonts w:ascii="Times New Roman" w:hAnsi="Times New Roman" w:cs="Times New Roman"/>
          <w:sz w:val="28"/>
          <w:szCs w:val="28"/>
        </w:rPr>
        <w:t>sešas stundas</w:t>
      </w:r>
      <w:r w:rsidR="00EE77DF">
        <w:rPr>
          <w:rFonts w:ascii="Times New Roman" w:hAnsi="Times New Roman" w:cs="Times New Roman"/>
          <w:sz w:val="28"/>
          <w:szCs w:val="28"/>
        </w:rPr>
        <w:t xml:space="preserve"> </w:t>
      </w:r>
      <w:r w:rsidR="007D14B0">
        <w:rPr>
          <w:rFonts w:ascii="Times New Roman" w:hAnsi="Times New Roman" w:cs="Times New Roman"/>
          <w:sz w:val="28"/>
          <w:szCs w:val="28"/>
        </w:rPr>
        <w:t xml:space="preserve">maksimālais </w:t>
      </w:r>
      <w:r w:rsidR="00EE77DF">
        <w:rPr>
          <w:rFonts w:ascii="Times New Roman" w:hAnsi="Times New Roman" w:cs="Times New Roman"/>
          <w:sz w:val="28"/>
          <w:szCs w:val="28"/>
        </w:rPr>
        <w:t>iespējamais ierobežojums</w:t>
      </w:r>
      <w:r w:rsidR="00741045" w:rsidRPr="00741045">
        <w:rPr>
          <w:rFonts w:ascii="Times New Roman" w:hAnsi="Times New Roman" w:cs="Times New Roman"/>
          <w:sz w:val="28"/>
          <w:szCs w:val="28"/>
        </w:rPr>
        <w:t xml:space="preserve"> </w:t>
      </w:r>
      <w:r w:rsidR="00741045">
        <w:rPr>
          <w:rFonts w:ascii="Times New Roman" w:hAnsi="Times New Roman" w:cs="Times New Roman"/>
          <w:sz w:val="28"/>
          <w:szCs w:val="28"/>
        </w:rPr>
        <w:t>dienā</w:t>
      </w:r>
      <w:r w:rsidR="00741045">
        <w:rPr>
          <w:rStyle w:val="FootnoteReference"/>
          <w:rFonts w:ascii="Times New Roman" w:hAnsi="Times New Roman"/>
          <w:sz w:val="28"/>
          <w:szCs w:val="28"/>
        </w:rPr>
        <w:t xml:space="preserve"> </w:t>
      </w:r>
      <w:r>
        <w:rPr>
          <w:rStyle w:val="FootnoteReference"/>
          <w:rFonts w:ascii="Times New Roman" w:hAnsi="Times New Roman"/>
          <w:sz w:val="28"/>
          <w:szCs w:val="28"/>
        </w:rPr>
        <w:footnoteReference w:id="43"/>
      </w:r>
      <w:r w:rsidR="000E0164">
        <w:rPr>
          <w:rFonts w:ascii="Times New Roman" w:hAnsi="Times New Roman" w:cs="Times New Roman"/>
          <w:sz w:val="28"/>
          <w:szCs w:val="28"/>
        </w:rPr>
        <w:t>.</w:t>
      </w:r>
    </w:p>
    <w:p w:rsidR="00361A2C" w:rsidRPr="00A80C1E" w:rsidRDefault="00361A2C" w:rsidP="009E0A36">
      <w:pPr>
        <w:pStyle w:val="PlainText"/>
        <w:numPr>
          <w:ilvl w:val="0"/>
          <w:numId w:val="30"/>
        </w:numPr>
        <w:ind w:left="0" w:firstLine="709"/>
        <w:jc w:val="both"/>
        <w:rPr>
          <w:rFonts w:cs="Times New Roman"/>
          <w:sz w:val="28"/>
          <w:szCs w:val="28"/>
        </w:rPr>
      </w:pPr>
      <w:r w:rsidRPr="00A80C1E">
        <w:rPr>
          <w:rFonts w:ascii="Times New Roman" w:hAnsi="Times New Roman" w:cs="Times New Roman"/>
          <w:sz w:val="28"/>
          <w:szCs w:val="28"/>
        </w:rPr>
        <w:t>Smēķēšanas aizliegum</w:t>
      </w:r>
      <w:r w:rsidR="00D008D5">
        <w:rPr>
          <w:rFonts w:ascii="Times New Roman" w:hAnsi="Times New Roman" w:cs="Times New Roman"/>
          <w:sz w:val="28"/>
          <w:szCs w:val="28"/>
        </w:rPr>
        <w:t>s</w:t>
      </w:r>
      <w:r w:rsidRPr="00A80C1E">
        <w:rPr>
          <w:rFonts w:ascii="Times New Roman" w:hAnsi="Times New Roman" w:cs="Times New Roman"/>
          <w:sz w:val="28"/>
          <w:szCs w:val="28"/>
        </w:rPr>
        <w:t xml:space="preserve"> spēļu zālēs un kazino</w:t>
      </w:r>
      <w:r>
        <w:rPr>
          <w:rFonts w:ascii="Times New Roman" w:hAnsi="Times New Roman" w:cs="Times New Roman"/>
          <w:sz w:val="28"/>
          <w:szCs w:val="28"/>
        </w:rPr>
        <w:t>.</w:t>
      </w:r>
      <w:r w:rsidRPr="00291A01">
        <w:rPr>
          <w:rFonts w:ascii="Times New Roman" w:hAnsi="Times New Roman"/>
          <w:b/>
          <w:sz w:val="28"/>
          <w:szCs w:val="28"/>
        </w:rPr>
        <w:t xml:space="preserve"> </w:t>
      </w:r>
    </w:p>
    <w:p w:rsidR="0017615F" w:rsidRDefault="00361A2C" w:rsidP="00197D11">
      <w:pPr>
        <w:pStyle w:val="PlainText"/>
        <w:tabs>
          <w:tab w:val="left" w:pos="1134"/>
        </w:tabs>
        <w:ind w:firstLine="567"/>
        <w:jc w:val="both"/>
        <w:rPr>
          <w:rFonts w:ascii="Times New Roman" w:hAnsi="Times New Roman"/>
          <w:sz w:val="28"/>
          <w:szCs w:val="28"/>
        </w:rPr>
      </w:pPr>
      <w:r>
        <w:rPr>
          <w:rFonts w:ascii="Times New Roman" w:hAnsi="Times New Roman"/>
          <w:sz w:val="28"/>
          <w:szCs w:val="28"/>
        </w:rPr>
        <w:lastRenderedPageBreak/>
        <w:t>B</w:t>
      </w:r>
      <w:r w:rsidRPr="00291A01">
        <w:rPr>
          <w:rFonts w:ascii="Times New Roman" w:hAnsi="Times New Roman"/>
          <w:sz w:val="28"/>
          <w:szCs w:val="28"/>
        </w:rPr>
        <w:t>ieži procesu atkarību procesi indivīdam nenoris izolēti, bet ir cieši saistīti ar vieliskajiem atkarību procesiem.</w:t>
      </w:r>
      <w:r w:rsidRPr="00291A01">
        <w:rPr>
          <w:rFonts w:asciiTheme="minorHAnsi" w:hAnsiTheme="minorHAnsi" w:cstheme="minorHAnsi"/>
          <w:bCs/>
          <w:color w:val="595959" w:themeColor="text1" w:themeTint="A6"/>
          <w:kern w:val="20"/>
        </w:rPr>
        <w:t xml:space="preserve"> </w:t>
      </w:r>
      <w:r w:rsidRPr="00291A01">
        <w:rPr>
          <w:rFonts w:ascii="Times New Roman" w:hAnsi="Times New Roman"/>
          <w:bCs/>
          <w:sz w:val="28"/>
          <w:szCs w:val="28"/>
        </w:rPr>
        <w:t xml:space="preserve">Vienlaikus saikne var būt saistīta </w:t>
      </w:r>
      <w:r w:rsidR="004C267E" w:rsidRPr="00291A01">
        <w:rPr>
          <w:rFonts w:ascii="Times New Roman" w:hAnsi="Times New Roman"/>
          <w:bCs/>
          <w:sz w:val="28"/>
          <w:szCs w:val="28"/>
        </w:rPr>
        <w:t xml:space="preserve">gan </w:t>
      </w:r>
      <w:r w:rsidRPr="00291A01">
        <w:rPr>
          <w:rFonts w:ascii="Times New Roman" w:hAnsi="Times New Roman"/>
          <w:bCs/>
          <w:sz w:val="28"/>
          <w:szCs w:val="28"/>
        </w:rPr>
        <w:t xml:space="preserve">ar personas noslieci uz atkarību, jo tām ir vienots patofizioloģiskais mehānisms, gan </w:t>
      </w:r>
      <w:r w:rsidR="00A94BFA">
        <w:rPr>
          <w:rFonts w:ascii="Times New Roman" w:hAnsi="Times New Roman"/>
          <w:bCs/>
          <w:sz w:val="28"/>
          <w:szCs w:val="28"/>
        </w:rPr>
        <w:t xml:space="preserve">ar </w:t>
      </w:r>
      <w:r w:rsidRPr="00291A01">
        <w:rPr>
          <w:rFonts w:ascii="Times New Roman" w:hAnsi="Times New Roman"/>
          <w:bCs/>
          <w:sz w:val="28"/>
          <w:szCs w:val="28"/>
        </w:rPr>
        <w:t>tās sociālu un kulturālu veicināšanu, piemēram, ar spēļu zāles un kazino kultūru, netieši veicinot</w:t>
      </w:r>
      <w:r>
        <w:rPr>
          <w:rFonts w:ascii="Times New Roman" w:hAnsi="Times New Roman"/>
          <w:bCs/>
          <w:sz w:val="28"/>
          <w:szCs w:val="28"/>
        </w:rPr>
        <w:t xml:space="preserve"> </w:t>
      </w:r>
      <w:r w:rsidRPr="00291A01">
        <w:rPr>
          <w:rFonts w:ascii="Times New Roman" w:hAnsi="Times New Roman"/>
          <w:bCs/>
          <w:sz w:val="28"/>
          <w:szCs w:val="28"/>
        </w:rPr>
        <w:t>smēķēšanu (ar iespēju smēķēt azartspēļu zālēs speciāli ierādītās telpās, neizejot no azartspēļu zāles)</w:t>
      </w:r>
      <w:r>
        <w:rPr>
          <w:rFonts w:ascii="Times New Roman" w:hAnsi="Times New Roman"/>
          <w:bCs/>
          <w:sz w:val="28"/>
          <w:szCs w:val="28"/>
        </w:rPr>
        <w:t xml:space="preserve"> un </w:t>
      </w:r>
      <w:r w:rsidRPr="00291A01">
        <w:rPr>
          <w:rFonts w:ascii="Times New Roman" w:hAnsi="Times New Roman"/>
          <w:bCs/>
          <w:sz w:val="28"/>
          <w:szCs w:val="28"/>
        </w:rPr>
        <w:t xml:space="preserve"> alkohola lietošanu (piemēram, </w:t>
      </w:r>
      <w:r w:rsidR="0017615F">
        <w:rPr>
          <w:rFonts w:ascii="Times New Roman" w:hAnsi="Times New Roman"/>
          <w:bCs/>
          <w:sz w:val="28"/>
          <w:szCs w:val="28"/>
        </w:rPr>
        <w:t xml:space="preserve">ar </w:t>
      </w:r>
      <w:r w:rsidRPr="00291A01">
        <w:rPr>
          <w:rFonts w:ascii="Times New Roman" w:hAnsi="Times New Roman"/>
          <w:bCs/>
          <w:sz w:val="28"/>
          <w:szCs w:val="28"/>
        </w:rPr>
        <w:t xml:space="preserve">alkohola diennakts pieejamību </w:t>
      </w:r>
      <w:r w:rsidR="0017615F">
        <w:rPr>
          <w:rFonts w:ascii="Times New Roman" w:hAnsi="Times New Roman"/>
          <w:bCs/>
          <w:sz w:val="28"/>
          <w:szCs w:val="28"/>
        </w:rPr>
        <w:t>p</w:t>
      </w:r>
      <w:r w:rsidRPr="00291A01">
        <w:rPr>
          <w:rFonts w:ascii="Times New Roman" w:hAnsi="Times New Roman"/>
          <w:bCs/>
          <w:sz w:val="28"/>
          <w:szCs w:val="28"/>
        </w:rPr>
        <w:t>ar zemākām cenām) ar dzērienu un tabakas izstrādājumu piedāvāšanu.</w:t>
      </w:r>
      <w:r w:rsidRPr="00291A01">
        <w:rPr>
          <w:rFonts w:ascii="Times New Roman" w:hAnsi="Times New Roman"/>
          <w:sz w:val="28"/>
          <w:szCs w:val="28"/>
        </w:rPr>
        <w:t xml:space="preserve"> Tāpat </w:t>
      </w:r>
      <w:r>
        <w:rPr>
          <w:rFonts w:ascii="Times New Roman" w:hAnsi="Times New Roman"/>
          <w:sz w:val="28"/>
          <w:szCs w:val="28"/>
        </w:rPr>
        <w:t>Latvijas p</w:t>
      </w:r>
      <w:r w:rsidRPr="00291A01">
        <w:rPr>
          <w:rFonts w:ascii="Times New Roman" w:hAnsi="Times New Roman"/>
          <w:sz w:val="28"/>
          <w:szCs w:val="28"/>
        </w:rPr>
        <w:t xml:space="preserve">ētījuma secinājumos norādīts, ka 49% nesmēķētāju azartspēles par naudu nekad nav spēlējuši, kamēr </w:t>
      </w:r>
      <w:r w:rsidR="006966D5">
        <w:rPr>
          <w:rFonts w:ascii="Times New Roman" w:hAnsi="Times New Roman"/>
          <w:sz w:val="28"/>
          <w:szCs w:val="28"/>
        </w:rPr>
        <w:t xml:space="preserve">smēķētāju vidū </w:t>
      </w:r>
      <w:r w:rsidRPr="00291A01">
        <w:rPr>
          <w:rFonts w:ascii="Times New Roman" w:hAnsi="Times New Roman"/>
          <w:sz w:val="28"/>
          <w:szCs w:val="28"/>
        </w:rPr>
        <w:t xml:space="preserve">patstāvīgu azartspēļu </w:t>
      </w:r>
      <w:r w:rsidR="006966D5">
        <w:rPr>
          <w:rFonts w:ascii="Times New Roman" w:hAnsi="Times New Roman"/>
          <w:sz w:val="28"/>
          <w:szCs w:val="28"/>
        </w:rPr>
        <w:t>spēlētāju</w:t>
      </w:r>
      <w:r w:rsidR="006966D5" w:rsidRPr="00291A01">
        <w:rPr>
          <w:rFonts w:ascii="Times New Roman" w:hAnsi="Times New Roman"/>
          <w:sz w:val="28"/>
          <w:szCs w:val="28"/>
        </w:rPr>
        <w:t xml:space="preserve"> </w:t>
      </w:r>
      <w:r w:rsidRPr="00291A01">
        <w:rPr>
          <w:rFonts w:ascii="Times New Roman" w:hAnsi="Times New Roman"/>
          <w:sz w:val="28"/>
          <w:szCs w:val="28"/>
        </w:rPr>
        <w:t xml:space="preserve">īpatsvars ir 31%. </w:t>
      </w:r>
      <w:r w:rsidRPr="00291A01">
        <w:rPr>
          <w:rFonts w:ascii="Times New Roman" w:hAnsi="Times New Roman"/>
          <w:bCs/>
          <w:sz w:val="28"/>
          <w:szCs w:val="28"/>
        </w:rPr>
        <w:t xml:space="preserve">Tāpat </w:t>
      </w:r>
      <w:r w:rsidR="006966D5" w:rsidRPr="00291A01">
        <w:rPr>
          <w:rFonts w:ascii="Times New Roman" w:hAnsi="Times New Roman"/>
          <w:bCs/>
          <w:sz w:val="28"/>
          <w:szCs w:val="28"/>
        </w:rPr>
        <w:t>smēķēt</w:t>
      </w:r>
      <w:r w:rsidR="006966D5">
        <w:rPr>
          <w:rFonts w:ascii="Times New Roman" w:hAnsi="Times New Roman"/>
          <w:bCs/>
          <w:sz w:val="28"/>
          <w:szCs w:val="28"/>
        </w:rPr>
        <w:t>ā</w:t>
      </w:r>
      <w:r w:rsidR="006966D5" w:rsidRPr="00291A01">
        <w:rPr>
          <w:rFonts w:ascii="Times New Roman" w:hAnsi="Times New Roman"/>
          <w:bCs/>
          <w:sz w:val="28"/>
          <w:szCs w:val="28"/>
        </w:rPr>
        <w:t xml:space="preserve">jiem </w:t>
      </w:r>
      <w:r w:rsidRPr="00291A01">
        <w:rPr>
          <w:rFonts w:ascii="Times New Roman" w:hAnsi="Times New Roman"/>
          <w:bCs/>
          <w:sz w:val="28"/>
          <w:szCs w:val="28"/>
        </w:rPr>
        <w:t>ir tendence agrāk uzsākt azartspēļu spēlēšanu.</w:t>
      </w:r>
      <w:r w:rsidRPr="00291A01">
        <w:rPr>
          <w:rFonts w:ascii="Times New Roman" w:hAnsi="Times New Roman"/>
          <w:sz w:val="28"/>
          <w:szCs w:val="28"/>
        </w:rPr>
        <w:t xml:space="preserve"> </w:t>
      </w:r>
    </w:p>
    <w:p w:rsidR="00361A2C" w:rsidRPr="00A80C1E" w:rsidRDefault="0017615F" w:rsidP="00197D11">
      <w:pPr>
        <w:pStyle w:val="PlainText"/>
        <w:tabs>
          <w:tab w:val="left" w:pos="1134"/>
        </w:tabs>
        <w:ind w:firstLine="567"/>
        <w:jc w:val="both"/>
        <w:rPr>
          <w:rFonts w:ascii="Times New Roman" w:hAnsi="Times New Roman"/>
          <w:sz w:val="28"/>
          <w:szCs w:val="28"/>
        </w:rPr>
      </w:pPr>
      <w:r>
        <w:rPr>
          <w:rFonts w:ascii="Times New Roman" w:hAnsi="Times New Roman"/>
          <w:sz w:val="28"/>
          <w:szCs w:val="28"/>
        </w:rPr>
        <w:t xml:space="preserve">3) </w:t>
      </w:r>
      <w:r w:rsidR="00361A2C">
        <w:rPr>
          <w:rFonts w:ascii="Times New Roman" w:hAnsi="Times New Roman"/>
          <w:sz w:val="28"/>
          <w:szCs w:val="28"/>
        </w:rPr>
        <w:t>I</w:t>
      </w:r>
      <w:r w:rsidR="00361A2C" w:rsidRPr="00A80C1E">
        <w:rPr>
          <w:rFonts w:ascii="Times New Roman" w:hAnsi="Times New Roman"/>
          <w:sz w:val="28"/>
          <w:szCs w:val="28"/>
        </w:rPr>
        <w:t>erobežojum</w:t>
      </w:r>
      <w:r w:rsidR="006966D5">
        <w:rPr>
          <w:rFonts w:ascii="Times New Roman" w:hAnsi="Times New Roman"/>
          <w:sz w:val="28"/>
          <w:szCs w:val="28"/>
        </w:rPr>
        <w:t>s</w:t>
      </w:r>
      <w:r w:rsidR="00361A2C" w:rsidRPr="00A80C1E">
        <w:rPr>
          <w:rFonts w:ascii="Times New Roman" w:hAnsi="Times New Roman"/>
          <w:sz w:val="28"/>
          <w:szCs w:val="28"/>
        </w:rPr>
        <w:t xml:space="preserve"> azartspēļu spēlēšanas laikā alkohola piedāvāšan</w:t>
      </w:r>
      <w:r w:rsidR="00361A2C">
        <w:rPr>
          <w:rFonts w:ascii="Times New Roman" w:hAnsi="Times New Roman"/>
          <w:sz w:val="28"/>
          <w:szCs w:val="28"/>
        </w:rPr>
        <w:t>ai</w:t>
      </w:r>
      <w:r w:rsidR="00361A2C" w:rsidRPr="00A80C1E">
        <w:rPr>
          <w:rFonts w:ascii="Times New Roman" w:hAnsi="Times New Roman"/>
          <w:sz w:val="28"/>
          <w:szCs w:val="28"/>
        </w:rPr>
        <w:t xml:space="preserve"> par brīvu</w:t>
      </w:r>
      <w:r w:rsidR="00361A2C" w:rsidRPr="00361A2C">
        <w:rPr>
          <w:rFonts w:ascii="Times New Roman" w:hAnsi="Times New Roman"/>
          <w:sz w:val="28"/>
          <w:szCs w:val="28"/>
        </w:rPr>
        <w:t>.</w:t>
      </w:r>
      <w:r w:rsidR="00361A2C" w:rsidRPr="00A80C1E">
        <w:rPr>
          <w:rFonts w:ascii="Times New Roman" w:hAnsi="Times New Roman"/>
          <w:sz w:val="28"/>
          <w:szCs w:val="28"/>
        </w:rPr>
        <w:t xml:space="preserve"> </w:t>
      </w:r>
    </w:p>
    <w:p w:rsidR="0063002D" w:rsidRDefault="00361A2C" w:rsidP="00193257">
      <w:pPr>
        <w:pStyle w:val="PlainText"/>
        <w:ind w:firstLine="567"/>
        <w:jc w:val="both"/>
        <w:rPr>
          <w:rFonts w:ascii="Times New Roman" w:hAnsi="Times New Roman"/>
          <w:bCs/>
          <w:sz w:val="28"/>
          <w:szCs w:val="28"/>
        </w:rPr>
      </w:pPr>
      <w:r w:rsidRPr="00A80C1E">
        <w:rPr>
          <w:rFonts w:ascii="Times New Roman" w:hAnsi="Times New Roman"/>
          <w:sz w:val="28"/>
          <w:szCs w:val="28"/>
        </w:rPr>
        <w:t>Latvijas</w:t>
      </w:r>
      <w:r>
        <w:rPr>
          <w:rFonts w:ascii="Times New Roman" w:hAnsi="Times New Roman"/>
          <w:b/>
          <w:sz w:val="28"/>
          <w:szCs w:val="28"/>
        </w:rPr>
        <w:t xml:space="preserve"> </w:t>
      </w:r>
      <w:r>
        <w:rPr>
          <w:rFonts w:ascii="Times New Roman" w:hAnsi="Times New Roman"/>
          <w:sz w:val="28"/>
          <w:szCs w:val="28"/>
        </w:rPr>
        <w:t>p</w:t>
      </w:r>
      <w:r w:rsidRPr="00291A01">
        <w:rPr>
          <w:rFonts w:ascii="Times New Roman" w:hAnsi="Times New Roman"/>
          <w:sz w:val="28"/>
          <w:szCs w:val="28"/>
        </w:rPr>
        <w:t xml:space="preserve">ētījuma dati liecina, ka </w:t>
      </w:r>
      <w:r w:rsidRPr="00291A01">
        <w:rPr>
          <w:rFonts w:ascii="Times New Roman" w:hAnsi="Times New Roman"/>
          <w:bCs/>
          <w:sz w:val="28"/>
          <w:szCs w:val="28"/>
        </w:rPr>
        <w:t xml:space="preserve">to respondentu vidū, kas pēdējā gada laikā alkoholu nav lietojuši, 60% norāda, ka nekad nav spēlējuši par naudu azartspēles. </w:t>
      </w:r>
      <w:r>
        <w:rPr>
          <w:rFonts w:ascii="Times New Roman" w:hAnsi="Times New Roman"/>
          <w:bCs/>
          <w:sz w:val="28"/>
          <w:szCs w:val="28"/>
        </w:rPr>
        <w:t xml:space="preserve">Savukārt to respondentu vidū, kuri pārmērīgi lietojuši alkoholu, pieaug azartspēļu spēlēšanas īpatsvars. </w:t>
      </w:r>
      <w:r w:rsidRPr="00291A01">
        <w:rPr>
          <w:rFonts w:ascii="Times New Roman" w:hAnsi="Times New Roman"/>
          <w:bCs/>
          <w:sz w:val="28"/>
          <w:szCs w:val="28"/>
        </w:rPr>
        <w:t xml:space="preserve">Tāpat viņiem raksturīgi, ka azartspēļu spēlēšana uzsākta agrīnākā vecumā. Lielāku alkohola devu lietošanas biežums arī korelē ar spēļu automātu spēlēšanas biežumu. Ierobežojot </w:t>
      </w:r>
      <w:r w:rsidR="00030E74">
        <w:rPr>
          <w:rFonts w:ascii="Times New Roman" w:hAnsi="Times New Roman"/>
          <w:bCs/>
          <w:sz w:val="28"/>
          <w:szCs w:val="28"/>
        </w:rPr>
        <w:t>alkohola piedāvāšanu</w:t>
      </w:r>
      <w:r w:rsidRPr="00291A01">
        <w:rPr>
          <w:rFonts w:ascii="Times New Roman" w:hAnsi="Times New Roman"/>
          <w:bCs/>
          <w:sz w:val="28"/>
          <w:szCs w:val="28"/>
        </w:rPr>
        <w:t>, azartspēļu spēlētājiem tas ļautu labāk saglabāt kontroli pār notiekoš</w:t>
      </w:r>
      <w:r>
        <w:rPr>
          <w:rFonts w:ascii="Times New Roman" w:hAnsi="Times New Roman"/>
          <w:bCs/>
          <w:sz w:val="28"/>
          <w:szCs w:val="28"/>
        </w:rPr>
        <w:t>o</w:t>
      </w:r>
      <w:r w:rsidRPr="00291A01">
        <w:rPr>
          <w:rFonts w:ascii="Times New Roman" w:hAnsi="Times New Roman"/>
          <w:bCs/>
          <w:sz w:val="28"/>
          <w:szCs w:val="28"/>
        </w:rPr>
        <w:t xml:space="preserve"> un izvērtēt potenciālos riskus. </w:t>
      </w:r>
    </w:p>
    <w:p w:rsidR="00E064F8" w:rsidRPr="00A0170D" w:rsidRDefault="00E064F8" w:rsidP="00F3362F">
      <w:pPr>
        <w:pStyle w:val="PlainText"/>
        <w:numPr>
          <w:ilvl w:val="0"/>
          <w:numId w:val="4"/>
        </w:numPr>
        <w:tabs>
          <w:tab w:val="left" w:pos="0"/>
        </w:tabs>
        <w:jc w:val="both"/>
        <w:rPr>
          <w:rFonts w:ascii="Times New Roman" w:hAnsi="Times New Roman"/>
          <w:sz w:val="28"/>
          <w:szCs w:val="28"/>
        </w:rPr>
      </w:pPr>
      <w:r w:rsidRPr="00A0170D">
        <w:rPr>
          <w:rFonts w:ascii="Times New Roman" w:hAnsi="Times New Roman"/>
          <w:sz w:val="28"/>
          <w:szCs w:val="28"/>
        </w:rPr>
        <w:t>Nodalīt azartspēļu organizēšanas vietās telpas, kurās tiek sniegti ēdināšanas pakalpojumi</w:t>
      </w:r>
      <w:r w:rsidR="0031459E">
        <w:rPr>
          <w:rFonts w:ascii="Times New Roman" w:hAnsi="Times New Roman"/>
          <w:sz w:val="28"/>
          <w:szCs w:val="28"/>
        </w:rPr>
        <w:t>,</w:t>
      </w:r>
      <w:r w:rsidRPr="00A0170D">
        <w:rPr>
          <w:rFonts w:ascii="Times New Roman" w:hAnsi="Times New Roman"/>
          <w:sz w:val="28"/>
          <w:szCs w:val="28"/>
        </w:rPr>
        <w:t xml:space="preserve"> no telpām, kurās tiek spēlētas azartspēles. </w:t>
      </w:r>
    </w:p>
    <w:p w:rsidR="0006508C" w:rsidRDefault="0031459E" w:rsidP="00A0170D">
      <w:pPr>
        <w:pStyle w:val="PlainText"/>
        <w:ind w:firstLine="567"/>
        <w:jc w:val="both"/>
        <w:rPr>
          <w:rFonts w:ascii="Times New Roman" w:hAnsi="Times New Roman" w:cs="Times New Roman"/>
          <w:sz w:val="28"/>
          <w:szCs w:val="28"/>
        </w:rPr>
      </w:pPr>
      <w:r>
        <w:rPr>
          <w:rFonts w:ascii="Times New Roman" w:hAnsi="Times New Roman"/>
          <w:bCs/>
          <w:sz w:val="28"/>
          <w:szCs w:val="28"/>
        </w:rPr>
        <w:t>AIL</w:t>
      </w:r>
      <w:r w:rsidR="00E064F8" w:rsidRPr="00291A01">
        <w:rPr>
          <w:rFonts w:ascii="Times New Roman" w:hAnsi="Times New Roman"/>
          <w:bCs/>
          <w:sz w:val="28"/>
          <w:szCs w:val="28"/>
        </w:rPr>
        <w:t xml:space="preserve"> no</w:t>
      </w:r>
      <w:r w:rsidR="00E064F8">
        <w:rPr>
          <w:rFonts w:ascii="Times New Roman" w:hAnsi="Times New Roman"/>
          <w:bCs/>
          <w:sz w:val="28"/>
          <w:szCs w:val="28"/>
        </w:rPr>
        <w:t>teikts</w:t>
      </w:r>
      <w:r w:rsidR="00E064F8" w:rsidRPr="00291A01">
        <w:rPr>
          <w:rFonts w:ascii="Times New Roman" w:hAnsi="Times New Roman"/>
          <w:bCs/>
          <w:sz w:val="28"/>
          <w:szCs w:val="28"/>
        </w:rPr>
        <w:t>, ka</w:t>
      </w:r>
      <w:r w:rsidR="00E064F8">
        <w:rPr>
          <w:rFonts w:ascii="Times New Roman" w:hAnsi="Times New Roman"/>
          <w:bCs/>
          <w:sz w:val="28"/>
          <w:szCs w:val="28"/>
        </w:rPr>
        <w:t xml:space="preserve"> </w:t>
      </w:r>
      <w:r w:rsidR="00E064F8" w:rsidRPr="00291A01">
        <w:rPr>
          <w:rFonts w:ascii="Times New Roman" w:hAnsi="Times New Roman"/>
          <w:bCs/>
          <w:sz w:val="28"/>
          <w:szCs w:val="28"/>
        </w:rPr>
        <w:t>spēļu zāle ir azartspēļu organizēšanas vieta, kas ēkas tehniskās inventarizācijas plānā atzīmēta kā konstruktīvi nodalīta atsevišķa telpa vai vairākas savstarpēji saistītas telpas</w:t>
      </w:r>
      <w:r w:rsidR="00E064F8">
        <w:rPr>
          <w:rFonts w:ascii="Times New Roman" w:hAnsi="Times New Roman"/>
          <w:bCs/>
          <w:sz w:val="28"/>
          <w:szCs w:val="28"/>
          <w:vertAlign w:val="superscript"/>
        </w:rPr>
        <w:footnoteReference w:id="44"/>
      </w:r>
      <w:r w:rsidR="00E064F8" w:rsidRPr="00291A01">
        <w:rPr>
          <w:rFonts w:ascii="Times New Roman" w:hAnsi="Times New Roman"/>
          <w:bCs/>
          <w:sz w:val="28"/>
          <w:szCs w:val="28"/>
        </w:rPr>
        <w:t>. Azartspēļu organizētāji jēdzienu</w:t>
      </w:r>
      <w:r w:rsidR="00E064F8">
        <w:rPr>
          <w:rFonts w:ascii="Times New Roman" w:hAnsi="Times New Roman"/>
          <w:bCs/>
          <w:sz w:val="28"/>
          <w:szCs w:val="28"/>
        </w:rPr>
        <w:t xml:space="preserve"> </w:t>
      </w:r>
      <w:r w:rsidR="00E064F8" w:rsidRPr="00291A01">
        <w:rPr>
          <w:rFonts w:ascii="Times New Roman" w:hAnsi="Times New Roman"/>
          <w:bCs/>
          <w:sz w:val="28"/>
          <w:szCs w:val="28"/>
        </w:rPr>
        <w:t>“konstruktīvi nodalīta” praksē interpretē radoši, kas nozīmē, ka “konstruktīvi nodalīta” ne vienmēr nozīmēs, ka telpa, kurā notiek azartspēles, nav redzama no telpas</w:t>
      </w:r>
      <w:r>
        <w:rPr>
          <w:rFonts w:ascii="Times New Roman" w:hAnsi="Times New Roman"/>
          <w:bCs/>
          <w:sz w:val="28"/>
          <w:szCs w:val="28"/>
        </w:rPr>
        <w:t>,</w:t>
      </w:r>
      <w:r w:rsidR="00E064F8" w:rsidRPr="00291A01">
        <w:rPr>
          <w:rFonts w:ascii="Times New Roman" w:hAnsi="Times New Roman"/>
          <w:bCs/>
          <w:sz w:val="28"/>
          <w:szCs w:val="28"/>
        </w:rPr>
        <w:t xml:space="preserve"> kurā tiek sniegti, piemēram, ēdināšanas pakalpojumi.</w:t>
      </w:r>
      <w:r w:rsidR="00193F92">
        <w:rPr>
          <w:rFonts w:ascii="Times New Roman" w:hAnsi="Times New Roman" w:cs="Times New Roman"/>
          <w:sz w:val="28"/>
          <w:szCs w:val="28"/>
        </w:rPr>
        <w:t xml:space="preserve"> </w:t>
      </w:r>
    </w:p>
    <w:p w:rsidR="0075597D" w:rsidRDefault="0075597D" w:rsidP="00A0170D">
      <w:pPr>
        <w:pStyle w:val="PlainText"/>
        <w:ind w:firstLine="567"/>
        <w:jc w:val="both"/>
        <w:rPr>
          <w:rFonts w:ascii="Times New Roman" w:hAnsi="Times New Roman" w:cs="Times New Roman"/>
          <w:sz w:val="28"/>
          <w:szCs w:val="28"/>
        </w:rPr>
      </w:pPr>
    </w:p>
    <w:p w:rsidR="004A241E" w:rsidRDefault="005C15E5" w:rsidP="007571C1">
      <w:pPr>
        <w:pStyle w:val="PlainText"/>
        <w:jc w:val="both"/>
        <w:rPr>
          <w:rFonts w:ascii="Times New Roman" w:hAnsi="Times New Roman" w:cs="Times New Roman"/>
          <w:i/>
          <w:sz w:val="28"/>
          <w:szCs w:val="28"/>
        </w:rPr>
      </w:pPr>
      <w:r>
        <w:rPr>
          <w:rFonts w:ascii="Times New Roman" w:hAnsi="Times New Roman" w:cs="Times New Roman"/>
          <w:sz w:val="28"/>
          <w:szCs w:val="28"/>
        </w:rPr>
        <w:tab/>
      </w:r>
      <w:r w:rsidR="004A241E" w:rsidRPr="008B5B45">
        <w:rPr>
          <w:rFonts w:ascii="Times New Roman" w:hAnsi="Times New Roman" w:cs="Times New Roman"/>
          <w:i/>
          <w:sz w:val="28"/>
          <w:szCs w:val="28"/>
        </w:rPr>
        <w:t>Netiešie preventīvie pasākumi</w:t>
      </w:r>
      <w:r w:rsidR="00193F92">
        <w:rPr>
          <w:rFonts w:ascii="Times New Roman" w:hAnsi="Times New Roman" w:cs="Times New Roman"/>
          <w:i/>
          <w:sz w:val="28"/>
          <w:szCs w:val="28"/>
        </w:rPr>
        <w:t xml:space="preserve"> </w:t>
      </w:r>
    </w:p>
    <w:p w:rsidR="002E7E1D" w:rsidRDefault="002E7E1D" w:rsidP="009E0A36">
      <w:pPr>
        <w:pStyle w:val="PlainText"/>
        <w:numPr>
          <w:ilvl w:val="0"/>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Aizlieg</w:t>
      </w:r>
      <w:r w:rsidR="00386A6D">
        <w:rPr>
          <w:rFonts w:ascii="Times New Roman" w:hAnsi="Times New Roman" w:cs="Times New Roman"/>
          <w:sz w:val="28"/>
          <w:szCs w:val="28"/>
        </w:rPr>
        <w:t>ums</w:t>
      </w:r>
      <w:r>
        <w:rPr>
          <w:rFonts w:ascii="Times New Roman" w:hAnsi="Times New Roman" w:cs="Times New Roman"/>
          <w:sz w:val="28"/>
          <w:szCs w:val="28"/>
        </w:rPr>
        <w:t xml:space="preserve"> </w:t>
      </w:r>
      <w:r w:rsidR="00386A6D">
        <w:rPr>
          <w:rFonts w:ascii="Times New Roman" w:hAnsi="Times New Roman" w:cs="Times New Roman"/>
          <w:sz w:val="28"/>
          <w:szCs w:val="28"/>
        </w:rPr>
        <w:t xml:space="preserve">izņemt </w:t>
      </w:r>
      <w:r>
        <w:rPr>
          <w:rFonts w:ascii="Times New Roman" w:hAnsi="Times New Roman" w:cs="Times New Roman"/>
          <w:sz w:val="28"/>
          <w:szCs w:val="28"/>
        </w:rPr>
        <w:t>skaidr</w:t>
      </w:r>
      <w:r w:rsidR="00386A6D">
        <w:rPr>
          <w:rFonts w:ascii="Times New Roman" w:hAnsi="Times New Roman" w:cs="Times New Roman"/>
          <w:sz w:val="28"/>
          <w:szCs w:val="28"/>
        </w:rPr>
        <w:t>u</w:t>
      </w:r>
      <w:r>
        <w:rPr>
          <w:rFonts w:ascii="Times New Roman" w:hAnsi="Times New Roman" w:cs="Times New Roman"/>
          <w:sz w:val="28"/>
          <w:szCs w:val="28"/>
        </w:rPr>
        <w:t xml:space="preserve"> naud</w:t>
      </w:r>
      <w:r w:rsidR="00386A6D">
        <w:rPr>
          <w:rFonts w:ascii="Times New Roman" w:hAnsi="Times New Roman" w:cs="Times New Roman"/>
          <w:sz w:val="28"/>
          <w:szCs w:val="28"/>
        </w:rPr>
        <w:t>u</w:t>
      </w:r>
      <w:r>
        <w:rPr>
          <w:rFonts w:ascii="Times New Roman" w:hAnsi="Times New Roman" w:cs="Times New Roman"/>
          <w:sz w:val="28"/>
          <w:szCs w:val="28"/>
        </w:rPr>
        <w:t xml:space="preserve"> azartspēļu organizēšanas vietās.</w:t>
      </w:r>
    </w:p>
    <w:p w:rsidR="002E7E1D" w:rsidRDefault="002E7E1D" w:rsidP="00CB3E6C">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Šāds pasākums liegtu iespēju azartspēļu organizēšanas vietas apmeklētājam, nepametot azartspēļu organizēšanas vietu, iegūt nepieciešamos finanšu līdzekļus spēles turpināšanai. Preventīvā pasākuma nozīmīgums īstenojams, ja azartspēļu organizēšanas vietā esošie spēļu aparāti pieļauj tikai skaidras naudas iemaksas funkciju.</w:t>
      </w:r>
    </w:p>
    <w:p w:rsidR="00984C5C" w:rsidRDefault="00984C5C" w:rsidP="00CB3E6C">
      <w:pPr>
        <w:pStyle w:val="PlainText"/>
        <w:ind w:firstLine="567"/>
        <w:jc w:val="both"/>
        <w:rPr>
          <w:rFonts w:ascii="Times New Roman" w:hAnsi="Times New Roman" w:cs="Times New Roman"/>
          <w:sz w:val="28"/>
          <w:szCs w:val="28"/>
        </w:rPr>
      </w:pPr>
    </w:p>
    <w:p w:rsidR="002E7E1D" w:rsidRDefault="002E7E1D" w:rsidP="009E0A36">
      <w:pPr>
        <w:pStyle w:val="PlainText"/>
        <w:numPr>
          <w:ilvl w:val="0"/>
          <w:numId w:val="31"/>
        </w:numPr>
        <w:ind w:left="0" w:firstLine="709"/>
        <w:jc w:val="both"/>
        <w:rPr>
          <w:rFonts w:ascii="Times New Roman" w:hAnsi="Times New Roman" w:cs="Times New Roman"/>
          <w:sz w:val="28"/>
          <w:szCs w:val="28"/>
        </w:rPr>
      </w:pPr>
      <w:r w:rsidRPr="002E7E1D">
        <w:rPr>
          <w:rFonts w:ascii="Times New Roman" w:hAnsi="Times New Roman" w:cs="Times New Roman"/>
          <w:sz w:val="28"/>
          <w:szCs w:val="28"/>
        </w:rPr>
        <w:t>Ierobežojums konkrētai spēlētāju kategorijai piedalīties azartspēlēs</w:t>
      </w:r>
      <w:r w:rsidR="0017438C">
        <w:rPr>
          <w:rFonts w:ascii="Times New Roman" w:hAnsi="Times New Roman" w:cs="Times New Roman"/>
          <w:sz w:val="28"/>
          <w:szCs w:val="28"/>
        </w:rPr>
        <w:t>.</w:t>
      </w:r>
    </w:p>
    <w:p w:rsidR="002E7E1D" w:rsidRDefault="002E7E1D" w:rsidP="00193257">
      <w:pPr>
        <w:pStyle w:val="PlainText"/>
        <w:ind w:firstLine="567"/>
        <w:jc w:val="both"/>
        <w:rPr>
          <w:rFonts w:ascii="Times New Roman" w:hAnsi="Times New Roman" w:cs="Times New Roman"/>
          <w:sz w:val="28"/>
          <w:szCs w:val="28"/>
        </w:rPr>
      </w:pPr>
      <w:r w:rsidRPr="002E7E1D">
        <w:rPr>
          <w:rFonts w:ascii="Times New Roman" w:hAnsi="Times New Roman" w:cs="Times New Roman"/>
          <w:sz w:val="28"/>
          <w:szCs w:val="28"/>
        </w:rPr>
        <w:t>Aizliegums rezidentiem piedalīties azartspēlēs</w:t>
      </w:r>
      <w:r w:rsidR="00C9269F">
        <w:rPr>
          <w:rFonts w:ascii="Times New Roman" w:hAnsi="Times New Roman" w:cs="Times New Roman"/>
          <w:sz w:val="28"/>
          <w:szCs w:val="28"/>
        </w:rPr>
        <w:t>.</w:t>
      </w:r>
      <w:r w:rsidR="0057094B">
        <w:rPr>
          <w:rFonts w:ascii="Times New Roman" w:hAnsi="Times New Roman" w:cs="Times New Roman"/>
          <w:sz w:val="28"/>
          <w:szCs w:val="28"/>
        </w:rPr>
        <w:t xml:space="preserve"> </w:t>
      </w:r>
      <w:r w:rsidRPr="002E7E1D">
        <w:rPr>
          <w:rFonts w:ascii="Times New Roman" w:hAnsi="Times New Roman" w:cs="Times New Roman"/>
          <w:sz w:val="28"/>
          <w:szCs w:val="28"/>
        </w:rPr>
        <w:t>Dažās valstīs pilnī</w:t>
      </w:r>
      <w:r w:rsidR="0030149A">
        <w:rPr>
          <w:rFonts w:ascii="Times New Roman" w:hAnsi="Times New Roman" w:cs="Times New Roman"/>
          <w:sz w:val="28"/>
          <w:szCs w:val="28"/>
        </w:rPr>
        <w:t>gi</w:t>
      </w:r>
      <w:r w:rsidRPr="002E7E1D">
        <w:rPr>
          <w:rFonts w:ascii="Times New Roman" w:hAnsi="Times New Roman" w:cs="Times New Roman"/>
          <w:sz w:val="28"/>
          <w:szCs w:val="28"/>
        </w:rPr>
        <w:t xml:space="preserve"> vai daļēji ir aizliegums</w:t>
      </w:r>
      <w:r w:rsidR="00311B5F">
        <w:rPr>
          <w:rFonts w:ascii="Times New Roman" w:hAnsi="Times New Roman" w:cs="Times New Roman"/>
          <w:sz w:val="28"/>
          <w:szCs w:val="28"/>
        </w:rPr>
        <w:t xml:space="preserve"> </w:t>
      </w:r>
      <w:r w:rsidR="0030149A">
        <w:rPr>
          <w:rFonts w:ascii="Times New Roman" w:hAnsi="Times New Roman" w:cs="Times New Roman"/>
          <w:sz w:val="28"/>
          <w:szCs w:val="28"/>
        </w:rPr>
        <w:t>piedalīties kazino spēlēs to pilsētu iedzīvotājiem, kur atrodas kazino.</w:t>
      </w:r>
      <w:r w:rsidRPr="002E7E1D">
        <w:rPr>
          <w:rFonts w:ascii="Times New Roman" w:hAnsi="Times New Roman" w:cs="Times New Roman"/>
          <w:sz w:val="28"/>
          <w:szCs w:val="28"/>
        </w:rPr>
        <w:t xml:space="preserve"> Piemēram, Slovēnijā pastāv ierobežojums konkrētās pilsētas iedzīvotājiem līdz 4 reizēm mēnesī apmeklēt kazino. Šīs pieejas pamatā ir līdzīga motivācija, kas ir </w:t>
      </w:r>
      <w:r w:rsidRPr="002E7E1D">
        <w:rPr>
          <w:rFonts w:ascii="Times New Roman" w:hAnsi="Times New Roman" w:cs="Times New Roman"/>
          <w:sz w:val="28"/>
          <w:szCs w:val="28"/>
        </w:rPr>
        <w:lastRenderedPageBreak/>
        <w:t xml:space="preserve">saskatāma spēļu zāļu teritoriāli noteiktajiem ierobežojumiem, proti, mērķis ir pasargāt vietējos iedzīvotājus, vienlaikus orientējot azartspēļu piedāvājumu uz tūristiem. </w:t>
      </w:r>
    </w:p>
    <w:p w:rsidR="00984C5C" w:rsidRDefault="00984C5C" w:rsidP="00193257">
      <w:pPr>
        <w:pStyle w:val="PlainText"/>
        <w:ind w:firstLine="567"/>
        <w:jc w:val="both"/>
        <w:rPr>
          <w:rFonts w:ascii="Times New Roman" w:hAnsi="Times New Roman" w:cs="Times New Roman"/>
          <w:sz w:val="28"/>
          <w:szCs w:val="28"/>
        </w:rPr>
      </w:pPr>
    </w:p>
    <w:p w:rsidR="00E11D45" w:rsidRPr="006966D5" w:rsidRDefault="00E11D45" w:rsidP="009E0A36">
      <w:pPr>
        <w:pStyle w:val="PlainText"/>
        <w:numPr>
          <w:ilvl w:val="0"/>
          <w:numId w:val="31"/>
        </w:numPr>
        <w:ind w:left="0" w:firstLine="709"/>
        <w:jc w:val="both"/>
        <w:rPr>
          <w:rFonts w:ascii="Times New Roman" w:hAnsi="Times New Roman" w:cs="Times New Roman"/>
          <w:sz w:val="28"/>
          <w:szCs w:val="28"/>
        </w:rPr>
      </w:pPr>
      <w:r w:rsidRPr="005E7E89">
        <w:rPr>
          <w:rFonts w:ascii="Times New Roman" w:hAnsi="Times New Roman" w:cs="Times New Roman"/>
          <w:sz w:val="28"/>
          <w:szCs w:val="28"/>
        </w:rPr>
        <w:t>Vecuma ierobežojums dalībai azartspēlēs un izlozēs</w:t>
      </w:r>
      <w:r w:rsidR="0017438C">
        <w:rPr>
          <w:rFonts w:ascii="Times New Roman" w:hAnsi="Times New Roman" w:cs="Times New Roman"/>
          <w:sz w:val="28"/>
          <w:szCs w:val="28"/>
        </w:rPr>
        <w:t>.</w:t>
      </w:r>
    </w:p>
    <w:p w:rsidR="007D2FD7" w:rsidRPr="006869D6" w:rsidRDefault="0081528C" w:rsidP="00A92F58">
      <w:pPr>
        <w:pStyle w:val="PlainText"/>
        <w:ind w:firstLine="567"/>
        <w:jc w:val="both"/>
        <w:rPr>
          <w:rFonts w:ascii="Times New Roman" w:hAnsi="Times New Roman"/>
          <w:sz w:val="28"/>
          <w:szCs w:val="28"/>
        </w:rPr>
      </w:pPr>
      <w:r w:rsidRPr="005E7E89">
        <w:rPr>
          <w:rFonts w:ascii="Times New Roman" w:hAnsi="Times New Roman" w:cs="Times New Roman"/>
          <w:sz w:val="28"/>
          <w:szCs w:val="28"/>
        </w:rPr>
        <w:t>Pasaulē ir plaši pielietota vecuma ierobežojuma prakse dalībai azartspēlēs</w:t>
      </w:r>
      <w:r w:rsidR="00A14EEF" w:rsidRPr="005E7E89">
        <w:rPr>
          <w:rFonts w:ascii="Times New Roman" w:hAnsi="Times New Roman" w:cs="Times New Roman"/>
          <w:sz w:val="28"/>
          <w:szCs w:val="28"/>
        </w:rPr>
        <w:t xml:space="preserve"> un loterijās</w:t>
      </w:r>
      <w:r w:rsidRPr="005E7E89">
        <w:rPr>
          <w:rFonts w:ascii="Times New Roman" w:hAnsi="Times New Roman" w:cs="Times New Roman"/>
          <w:sz w:val="28"/>
          <w:szCs w:val="28"/>
        </w:rPr>
        <w:t>. Lielākoties valstis izvēlās noteikt 18 gadu vecuma ierobežojumu, kaut gan piemērošana ir atšķirīga, un tā variē no 15 līdz 2</w:t>
      </w:r>
      <w:r w:rsidR="00A14EEF" w:rsidRPr="005E7E89">
        <w:rPr>
          <w:rFonts w:ascii="Times New Roman" w:hAnsi="Times New Roman" w:cs="Times New Roman"/>
          <w:sz w:val="28"/>
          <w:szCs w:val="28"/>
        </w:rPr>
        <w:t>1</w:t>
      </w:r>
      <w:r w:rsidRPr="005E7E89">
        <w:rPr>
          <w:rFonts w:ascii="Times New Roman" w:hAnsi="Times New Roman" w:cs="Times New Roman"/>
          <w:sz w:val="28"/>
          <w:szCs w:val="28"/>
        </w:rPr>
        <w:t xml:space="preserve"> gadu vecumam.</w:t>
      </w:r>
    </w:p>
    <w:p w:rsidR="007D2FD7" w:rsidRPr="006869D6" w:rsidRDefault="007D2FD7" w:rsidP="00F22837">
      <w:pPr>
        <w:pStyle w:val="PlainText"/>
        <w:ind w:firstLine="567"/>
        <w:jc w:val="both"/>
        <w:rPr>
          <w:rFonts w:ascii="Times New Roman" w:hAnsi="Times New Roman" w:cs="Times New Roman"/>
          <w:color w:val="FF0000"/>
          <w:sz w:val="28"/>
          <w:szCs w:val="28"/>
        </w:rPr>
      </w:pPr>
      <w:r w:rsidRPr="006869D6">
        <w:rPr>
          <w:rFonts w:ascii="Times New Roman" w:hAnsi="Times New Roman" w:cs="Times New Roman"/>
          <w:sz w:val="28"/>
          <w:szCs w:val="28"/>
        </w:rPr>
        <w:t>Starp ES valstīm stingrākie vecuma ierobežojumi tiek noteikti attiecībā uz kazino apmeklēšanu. Igaunijā, Lietuvā, Vācijā, Beļģijā un Grieķijā kazino var apmeklēt personas, kuras ir sasniegušas 21 gada vecumu (Zviedrijā no 20 gadu vecuma). Savukārt pārējās ES valstīs kazino var apmeklēt no 18 gadu vecuma. Izņēmums ir Malta, kur vietējie iedzīvotāji var piedalīties kazino spēlēs, sasniedzot 25 gadu vecumu.</w:t>
      </w:r>
      <w:r w:rsidRPr="006869D6">
        <w:rPr>
          <w:rStyle w:val="FootnoteReference"/>
          <w:rFonts w:ascii="Times New Roman" w:hAnsi="Times New Roman"/>
          <w:sz w:val="28"/>
          <w:szCs w:val="28"/>
        </w:rPr>
        <w:footnoteReference w:id="45"/>
      </w:r>
      <w:r w:rsidRPr="006869D6">
        <w:rPr>
          <w:rFonts w:ascii="Times New Roman" w:hAnsi="Times New Roman" w:cs="Times New Roman"/>
          <w:sz w:val="28"/>
          <w:szCs w:val="28"/>
        </w:rPr>
        <w:t xml:space="preserve"> </w:t>
      </w:r>
    </w:p>
    <w:p w:rsidR="007D2FD7" w:rsidRPr="006869D6" w:rsidRDefault="007D2FD7" w:rsidP="00F22837">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Attiecībā uz derībām, totalizatoriem un izlozēm ES valstu regulējums ir saudzīgāks, ko varētu izskaidrot tas, ka pētījumos saistībā ar azartspēļu atkarības risku ir secināts, ka izlozes, derības un totalizatori ir tie azartspēļu veidi, kuri vismazāk saistās ar azartspēļu atkarības veidošanos.</w:t>
      </w:r>
      <w:r w:rsidRPr="006869D6">
        <w:rPr>
          <w:rStyle w:val="FootnoteReference"/>
          <w:rFonts w:ascii="Times New Roman" w:hAnsi="Times New Roman"/>
          <w:sz w:val="28"/>
          <w:szCs w:val="28"/>
        </w:rPr>
        <w:footnoteReference w:id="46"/>
      </w:r>
      <w:r w:rsidRPr="006869D6">
        <w:rPr>
          <w:rFonts w:ascii="Times New Roman" w:hAnsi="Times New Roman" w:cs="Times New Roman"/>
          <w:sz w:val="28"/>
          <w:szCs w:val="28"/>
        </w:rPr>
        <w:t xml:space="preserve"> Gandrīz visās ES valstīs derības, totalizatorus un izlozes ir atļauts spēlēt, sākot no 18 gadu vecuma. Zemāks vecuma ierobežojums dalībai izlozēs (no 16 gadiem) ir paredzēts tikai Igaunijā, Dānijā un Apvienotajā Karalistē.</w:t>
      </w:r>
      <w:r w:rsidRPr="006869D6">
        <w:rPr>
          <w:rStyle w:val="FootnoteReference"/>
          <w:rFonts w:ascii="Times New Roman" w:hAnsi="Times New Roman"/>
          <w:sz w:val="28"/>
          <w:szCs w:val="28"/>
        </w:rPr>
        <w:footnoteReference w:id="47"/>
      </w:r>
    </w:p>
    <w:p w:rsidR="007D2FD7" w:rsidRPr="006869D6" w:rsidRDefault="007D2FD7" w:rsidP="00F22837">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ES dalībvalstu regulējums attiecībā uz dalību interaktīvajās azartspēlēs pārsvarā </w:t>
      </w:r>
      <w:r w:rsidR="00DC318F">
        <w:rPr>
          <w:rFonts w:ascii="Times New Roman" w:hAnsi="Times New Roman" w:cs="Times New Roman"/>
          <w:sz w:val="28"/>
          <w:szCs w:val="28"/>
        </w:rPr>
        <w:t>ir</w:t>
      </w:r>
      <w:r w:rsidRPr="006869D6">
        <w:rPr>
          <w:rFonts w:ascii="Times New Roman" w:hAnsi="Times New Roman" w:cs="Times New Roman"/>
          <w:sz w:val="28"/>
          <w:szCs w:val="28"/>
        </w:rPr>
        <w:t xml:space="preserve"> vienveidīgs. Gandrīz vis</w:t>
      </w:r>
      <w:r w:rsidR="0057094B">
        <w:rPr>
          <w:rFonts w:ascii="Times New Roman" w:hAnsi="Times New Roman" w:cs="Times New Roman"/>
          <w:sz w:val="28"/>
          <w:szCs w:val="28"/>
        </w:rPr>
        <w:t>ā</w:t>
      </w:r>
      <w:r w:rsidRPr="006869D6">
        <w:rPr>
          <w:rFonts w:ascii="Times New Roman" w:hAnsi="Times New Roman" w:cs="Times New Roman"/>
          <w:sz w:val="28"/>
          <w:szCs w:val="28"/>
        </w:rPr>
        <w:t>s ES dalībvalstīs, izņemot Igauniju, Beļģiju un Grieķiju, ir noteikts, ka personām interaktīvajās azartspēlēs ir atļauts piedalīties no 18 gadu vecuma.</w:t>
      </w:r>
      <w:r w:rsidRPr="006869D6">
        <w:rPr>
          <w:rStyle w:val="FootnoteReference"/>
          <w:rFonts w:ascii="Times New Roman" w:hAnsi="Times New Roman"/>
          <w:sz w:val="28"/>
          <w:szCs w:val="28"/>
        </w:rPr>
        <w:footnoteReference w:id="48"/>
      </w:r>
    </w:p>
    <w:p w:rsidR="007D2FD7" w:rsidRPr="006869D6" w:rsidRDefault="007D2FD7" w:rsidP="00F22837">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Tādējādi ir konstatējams, ka ES dalībvalstīs tiek noteikti atšķirīgi vecuma ierobežojumi</w:t>
      </w:r>
      <w:r w:rsidR="005E7E89">
        <w:rPr>
          <w:rFonts w:ascii="Times New Roman" w:hAnsi="Times New Roman" w:cs="Times New Roman"/>
          <w:sz w:val="28"/>
          <w:szCs w:val="28"/>
        </w:rPr>
        <w:t xml:space="preserve"> </w:t>
      </w:r>
      <w:r w:rsidRPr="006869D6">
        <w:rPr>
          <w:rFonts w:ascii="Times New Roman" w:hAnsi="Times New Roman" w:cs="Times New Roman"/>
          <w:sz w:val="28"/>
          <w:szCs w:val="28"/>
        </w:rPr>
        <w:t xml:space="preserve">dalībai kazino un izlozēs, </w:t>
      </w:r>
      <w:r w:rsidR="006C7253">
        <w:rPr>
          <w:rFonts w:ascii="Times New Roman" w:hAnsi="Times New Roman" w:cs="Times New Roman"/>
          <w:sz w:val="28"/>
          <w:szCs w:val="28"/>
        </w:rPr>
        <w:t xml:space="preserve">savukārt </w:t>
      </w:r>
      <w:r w:rsidRPr="006869D6">
        <w:rPr>
          <w:rFonts w:ascii="Times New Roman" w:hAnsi="Times New Roman" w:cs="Times New Roman"/>
          <w:sz w:val="28"/>
          <w:szCs w:val="28"/>
        </w:rPr>
        <w:t>dalībai kazino nosakot augstāku vecuma ierobežojumu, nekā dalībai izlozēs. Taču gandrīz visās ES dalībvalstīs attiecībā uz dalību izlozēs, derībās, totalizatoros un interaktīvajās azartspēlēs ir noteikts vienāds vecuma ierobežojums – 18 gadu vecums.</w:t>
      </w:r>
    </w:p>
    <w:p w:rsidR="007D2FD7" w:rsidRPr="006869D6" w:rsidRDefault="007D2FD7" w:rsidP="00F22837">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Savukārt Latvijā šobrīd nav noteikts vecuma ierobežojums dalībai izlozēs, kamēr piedalīties derībās, totalizatoros vai interaktīvajās azartspēlēs, kā arī apmeklēt kazino ir atļauts personām no 18 gadu vecuma. </w:t>
      </w:r>
    </w:p>
    <w:p w:rsidR="00E11D45" w:rsidRDefault="00E11D45" w:rsidP="00A80C1E">
      <w:pPr>
        <w:pStyle w:val="PlainText"/>
        <w:ind w:firstLine="709"/>
        <w:jc w:val="both"/>
        <w:rPr>
          <w:rFonts w:ascii="Times New Roman" w:hAnsi="Times New Roman" w:cs="Times New Roman"/>
          <w:sz w:val="28"/>
          <w:szCs w:val="28"/>
        </w:rPr>
      </w:pPr>
    </w:p>
    <w:p w:rsidR="00C303A4" w:rsidRDefault="00C303A4" w:rsidP="00AC0C13">
      <w:pPr>
        <w:pStyle w:val="NormalWeb"/>
        <w:shd w:val="clear" w:color="auto" w:fill="FFFFFF"/>
        <w:spacing w:before="0" w:beforeAutospacing="0" w:after="0" w:afterAutospacing="0"/>
        <w:ind w:firstLine="709"/>
        <w:jc w:val="both"/>
        <w:rPr>
          <w:color w:val="000000"/>
          <w:spacing w:val="-5"/>
          <w:sz w:val="28"/>
          <w:szCs w:val="28"/>
        </w:rPr>
      </w:pPr>
      <w:r>
        <w:rPr>
          <w:sz w:val="28"/>
          <w:szCs w:val="28"/>
        </w:rPr>
        <w:t xml:space="preserve">4) “Zemes” azartspēļu apmeklētāju obligātā reģistrācija </w:t>
      </w:r>
    </w:p>
    <w:p w:rsidR="00C303A4" w:rsidRPr="00AC0C13" w:rsidRDefault="00C303A4" w:rsidP="00AC0C13">
      <w:pPr>
        <w:pStyle w:val="NormalWeb"/>
        <w:shd w:val="clear" w:color="auto" w:fill="FFFFFF"/>
        <w:spacing w:before="0" w:beforeAutospacing="0" w:after="0" w:afterAutospacing="0"/>
        <w:ind w:firstLine="709"/>
        <w:jc w:val="both"/>
        <w:rPr>
          <w:color w:val="000000"/>
          <w:spacing w:val="-5"/>
          <w:sz w:val="28"/>
          <w:szCs w:val="28"/>
        </w:rPr>
      </w:pPr>
      <w:r w:rsidRPr="00AC0C13">
        <w:rPr>
          <w:color w:val="000000"/>
          <w:spacing w:val="-5"/>
          <w:sz w:val="28"/>
          <w:szCs w:val="28"/>
        </w:rPr>
        <w:lastRenderedPageBreak/>
        <w:t xml:space="preserve">Atbilstoši </w:t>
      </w:r>
      <w:r>
        <w:rPr>
          <w:color w:val="000000"/>
          <w:spacing w:val="-5"/>
          <w:sz w:val="28"/>
          <w:szCs w:val="28"/>
        </w:rPr>
        <w:t xml:space="preserve">Latvijā </w:t>
      </w:r>
      <w:r w:rsidRPr="00AC0C13">
        <w:rPr>
          <w:color w:val="000000"/>
          <w:spacing w:val="-5"/>
          <w:sz w:val="28"/>
          <w:szCs w:val="28"/>
        </w:rPr>
        <w:t>spēkā esošajiem normatīvajiem aktiem kazino apmeklētāju reģistrē katrā kazino apmeklējuma reizē, pieprasot no viņa personu apliecinošu dokumentu un ievadot kazino apmeklētāju reģistrā šādu informāciju:</w:t>
      </w:r>
    </w:p>
    <w:p w:rsidR="00C303A4" w:rsidRPr="00AC0C13" w:rsidRDefault="00C303A4" w:rsidP="00AC0C13">
      <w:pPr>
        <w:pStyle w:val="NormalWeb"/>
        <w:numPr>
          <w:ilvl w:val="0"/>
          <w:numId w:val="65"/>
        </w:numPr>
        <w:shd w:val="clear" w:color="auto" w:fill="FFFFFF"/>
        <w:tabs>
          <w:tab w:val="left" w:pos="1134"/>
        </w:tabs>
        <w:spacing w:before="0" w:beforeAutospacing="0" w:after="0" w:afterAutospacing="0"/>
        <w:ind w:left="709" w:firstLine="0"/>
        <w:jc w:val="both"/>
        <w:rPr>
          <w:color w:val="000000"/>
          <w:spacing w:val="-5"/>
          <w:sz w:val="28"/>
          <w:szCs w:val="28"/>
        </w:rPr>
      </w:pPr>
      <w:r w:rsidRPr="00AC0C13">
        <w:rPr>
          <w:color w:val="000000"/>
          <w:spacing w:val="-5"/>
          <w:sz w:val="28"/>
          <w:szCs w:val="28"/>
        </w:rPr>
        <w:t>vārdu un uzvārdu;</w:t>
      </w:r>
    </w:p>
    <w:p w:rsidR="00C303A4" w:rsidRPr="00AC0C13" w:rsidRDefault="00C303A4" w:rsidP="00AC0C13">
      <w:pPr>
        <w:pStyle w:val="NormalWeb"/>
        <w:numPr>
          <w:ilvl w:val="0"/>
          <w:numId w:val="65"/>
        </w:numPr>
        <w:shd w:val="clear" w:color="auto" w:fill="FFFFFF"/>
        <w:spacing w:before="0" w:beforeAutospacing="0" w:after="0" w:afterAutospacing="0"/>
        <w:jc w:val="both"/>
        <w:rPr>
          <w:color w:val="000000"/>
          <w:spacing w:val="-5"/>
          <w:sz w:val="28"/>
          <w:szCs w:val="28"/>
        </w:rPr>
      </w:pPr>
      <w:r w:rsidRPr="00AC0C13">
        <w:rPr>
          <w:color w:val="000000"/>
          <w:spacing w:val="-5"/>
          <w:sz w:val="28"/>
          <w:szCs w:val="28"/>
        </w:rPr>
        <w:t>personas kodu (ja koda nav – personu apliecinoša dokumenta nosaukumu, numuru, izdošanas datumu un izdevējiestādes nosaukumu);</w:t>
      </w:r>
    </w:p>
    <w:p w:rsidR="00C303A4" w:rsidRPr="00AC0C13" w:rsidRDefault="00C303A4" w:rsidP="00AC0C13">
      <w:pPr>
        <w:pStyle w:val="NormalWeb"/>
        <w:numPr>
          <w:ilvl w:val="0"/>
          <w:numId w:val="65"/>
        </w:numPr>
        <w:shd w:val="clear" w:color="auto" w:fill="FFFFFF"/>
        <w:spacing w:before="0" w:beforeAutospacing="0" w:after="0" w:afterAutospacing="0"/>
        <w:jc w:val="both"/>
        <w:rPr>
          <w:color w:val="000000"/>
          <w:spacing w:val="-5"/>
          <w:sz w:val="28"/>
          <w:szCs w:val="28"/>
        </w:rPr>
      </w:pPr>
      <w:r w:rsidRPr="00AC0C13">
        <w:rPr>
          <w:color w:val="000000"/>
          <w:spacing w:val="-5"/>
          <w:sz w:val="28"/>
          <w:szCs w:val="28"/>
        </w:rPr>
        <w:t>datumu un laiku, kad persona iegājusi telpā, kurā tiek organizētas azartspēles.</w:t>
      </w:r>
    </w:p>
    <w:p w:rsidR="00C303A4" w:rsidRPr="00AC0C13" w:rsidRDefault="00C303A4" w:rsidP="00AC0C13">
      <w:pPr>
        <w:pStyle w:val="NormalWeb"/>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 xml:space="preserve">Atkārtota apmeklējuma gadījumā personu apliecinoša dokumenta vietā kazino apmeklētājs var uzrādīt kazino īpašnieka izdotu apmeklētāja karti, ar kuru viņu nepārprotami iespējams identificēt. Kazino apmeklētāju reģistrā iekļauto informāciju reizi mēnesī apkopo un iesniedz </w:t>
      </w:r>
      <w:r w:rsidR="00956090">
        <w:rPr>
          <w:color w:val="000000"/>
          <w:spacing w:val="-5"/>
          <w:sz w:val="28"/>
          <w:szCs w:val="28"/>
        </w:rPr>
        <w:t>IAUI</w:t>
      </w:r>
      <w:r w:rsidRPr="00AC0C13">
        <w:rPr>
          <w:color w:val="000000"/>
          <w:spacing w:val="-5"/>
          <w:sz w:val="28"/>
          <w:szCs w:val="28"/>
        </w:rPr>
        <w:t xml:space="preserve">, kas šo informāciju glabā piecus gadus. Reģistrācijas mērķis ir nepieļaut nepilngadīgu personu un </w:t>
      </w:r>
      <w:r w:rsidR="00956090">
        <w:rPr>
          <w:color w:val="000000"/>
          <w:spacing w:val="-5"/>
          <w:sz w:val="28"/>
          <w:szCs w:val="28"/>
        </w:rPr>
        <w:t xml:space="preserve">no azartspēlēm </w:t>
      </w:r>
      <w:r w:rsidRPr="00AC0C13">
        <w:rPr>
          <w:color w:val="000000"/>
          <w:spacing w:val="-5"/>
          <w:sz w:val="28"/>
          <w:szCs w:val="28"/>
        </w:rPr>
        <w:t xml:space="preserve">pašatteikušos personu apmeklējumus, kā arī novērst noziedzīgi iegūtu līdzekļu legalizāciju.  </w:t>
      </w:r>
    </w:p>
    <w:p w:rsidR="00C303A4" w:rsidRPr="00AC0C13" w:rsidRDefault="00C303A4" w:rsidP="00AC0C13">
      <w:pPr>
        <w:pStyle w:val="NormalWeb"/>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Arī interaktīvo azartspēļu, totalizatora vai derību organizētājam, kas pieņem likmes ar elektronisko sakaru pakalpojumu starpniecību, jānodrošina katra spēlētāja reģistrācija, pieprasot no viņa personu identificējošus datus, pirms viņam tiek piešķirtas tiesības piedalīties azartspēlē.</w:t>
      </w:r>
    </w:p>
    <w:p w:rsidR="00C303A4" w:rsidRDefault="00C303A4" w:rsidP="00AC0C13">
      <w:pPr>
        <w:pStyle w:val="NormalWeb"/>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Veiksmes spēles pa telefonu (azartspēle, kuras rezultātu pilnīgi vai daļēji nosaka gadījums un kurā tās dalībnieks, atbildot uz jautājumu vai citādā veidā saskaņā ar spēles noteikumiem piedalās spēlē) organizētājam tāpat jānodrošina spēlētāju uzskaite un laimējušo reģistrācija, pieprasot personu identificējošus datus un pārbaudot identitāti.</w:t>
      </w:r>
    </w:p>
    <w:p w:rsidR="00C303A4" w:rsidRPr="00CE6522" w:rsidRDefault="00C303A4" w:rsidP="00AC0C13">
      <w:pPr>
        <w:pStyle w:val="PlainText"/>
        <w:ind w:firstLine="567"/>
        <w:jc w:val="both"/>
        <w:rPr>
          <w:rFonts w:ascii="Times New Roman" w:hAnsi="Times New Roman" w:cs="Times New Roman"/>
          <w:sz w:val="28"/>
          <w:szCs w:val="28"/>
        </w:rPr>
      </w:pPr>
      <w:r w:rsidRPr="00CE6522">
        <w:rPr>
          <w:rFonts w:ascii="Times New Roman" w:hAnsi="Times New Roman" w:cs="Times New Roman"/>
          <w:sz w:val="28"/>
          <w:szCs w:val="28"/>
        </w:rPr>
        <w:t>Nīderlandes prasība pirms kazino apmeklējuma rādīt personas ID karti ļauj noteikt personas apmeklējumu skaitu. Ja automatizēti tiek fiksēts, ka tas ir būtiski palielinājies un pārsniedz 20 apmeklējumus katr</w:t>
      </w:r>
      <w:r>
        <w:rPr>
          <w:rFonts w:ascii="Times New Roman" w:hAnsi="Times New Roman" w:cs="Times New Roman"/>
          <w:sz w:val="28"/>
          <w:szCs w:val="28"/>
        </w:rPr>
        <w:t>u</w:t>
      </w:r>
      <w:r w:rsidRPr="00CE6522">
        <w:rPr>
          <w:rFonts w:ascii="Times New Roman" w:hAnsi="Times New Roman" w:cs="Times New Roman"/>
          <w:sz w:val="28"/>
          <w:szCs w:val="28"/>
        </w:rPr>
        <w:t xml:space="preserve"> mēnesi triju mēnešu laikā, tad automātiski persona tiek aicināta parakstīt apmeklējumu ierobežošanas dokumentu vai pašatteikties no azartspēlēm.</w:t>
      </w:r>
      <w:r>
        <w:rPr>
          <w:rStyle w:val="FootnoteReference"/>
          <w:rFonts w:ascii="Times New Roman" w:hAnsi="Times New Roman"/>
          <w:sz w:val="28"/>
          <w:szCs w:val="28"/>
        </w:rPr>
        <w:footnoteReference w:id="49"/>
      </w:r>
    </w:p>
    <w:p w:rsidR="00C303A4" w:rsidRPr="00AC0C13" w:rsidRDefault="00C303A4" w:rsidP="00AC0C13">
      <w:pPr>
        <w:pStyle w:val="PlainText"/>
        <w:ind w:firstLine="567"/>
        <w:jc w:val="both"/>
        <w:rPr>
          <w:rFonts w:cs="Times New Roman"/>
          <w:sz w:val="28"/>
          <w:szCs w:val="28"/>
        </w:rPr>
      </w:pPr>
      <w:r w:rsidRPr="00CE6522">
        <w:rPr>
          <w:rFonts w:ascii="Times New Roman" w:hAnsi="Times New Roman" w:cs="Times New Roman"/>
          <w:sz w:val="28"/>
          <w:szCs w:val="28"/>
        </w:rPr>
        <w:t>Līdzīga pieeja pastāv arī Austrijā, kur apmeklējumu skaitu fiksē, nolasot informāciju no ID kartēm un, ja 180 dienu laikā persona apmeklējusi kazino vairāk nekā 90 dienas, tad tā tiek informēta par to, ka personas uzvedībā tiek saskatītas problemātisk</w:t>
      </w:r>
      <w:r>
        <w:rPr>
          <w:rFonts w:ascii="Times New Roman" w:hAnsi="Times New Roman" w:cs="Times New Roman"/>
          <w:sz w:val="28"/>
          <w:szCs w:val="28"/>
        </w:rPr>
        <w:t>ā</w:t>
      </w:r>
      <w:r w:rsidRPr="00CE6522">
        <w:rPr>
          <w:rFonts w:ascii="Times New Roman" w:hAnsi="Times New Roman" w:cs="Times New Roman"/>
          <w:sz w:val="28"/>
          <w:szCs w:val="28"/>
        </w:rPr>
        <w:t xml:space="preserve"> spēl</w:t>
      </w:r>
      <w:r>
        <w:rPr>
          <w:rFonts w:ascii="Times New Roman" w:hAnsi="Times New Roman" w:cs="Times New Roman"/>
          <w:sz w:val="28"/>
          <w:szCs w:val="28"/>
        </w:rPr>
        <w:t>ētāja</w:t>
      </w:r>
      <w:r w:rsidRPr="00CE6522">
        <w:rPr>
          <w:rFonts w:ascii="Times New Roman" w:hAnsi="Times New Roman" w:cs="Times New Roman"/>
          <w:sz w:val="28"/>
          <w:szCs w:val="28"/>
        </w:rPr>
        <w:t xml:space="preserve"> pazīmes. Turklāt apmeklētāja ID uz laiku kļūst nederīga kazino apmeklējumiem, bet pēc septiņiem terminētiem aizliegumiem</w:t>
      </w:r>
      <w:r>
        <w:rPr>
          <w:rFonts w:ascii="Times New Roman" w:hAnsi="Times New Roman" w:cs="Times New Roman"/>
          <w:sz w:val="28"/>
          <w:szCs w:val="28"/>
        </w:rPr>
        <w:t>,</w:t>
      </w:r>
      <w:r w:rsidRPr="00CE6522">
        <w:rPr>
          <w:rFonts w:ascii="Times New Roman" w:hAnsi="Times New Roman" w:cs="Times New Roman"/>
          <w:sz w:val="28"/>
          <w:szCs w:val="28"/>
        </w:rPr>
        <w:t xml:space="preserve"> aizliegums kļūst pastāvīgs.</w:t>
      </w:r>
    </w:p>
    <w:p w:rsidR="00C303A4" w:rsidRPr="00AC0C13" w:rsidRDefault="00C303A4" w:rsidP="00AC0C13">
      <w:pPr>
        <w:ind w:firstLine="567"/>
        <w:jc w:val="both"/>
        <w:rPr>
          <w:sz w:val="28"/>
          <w:szCs w:val="28"/>
        </w:rPr>
      </w:pPr>
      <w:r w:rsidRPr="00AC0C13">
        <w:rPr>
          <w:sz w:val="28"/>
          <w:szCs w:val="28"/>
        </w:rPr>
        <w:t xml:space="preserve">No azartspēļu atkarības riskiem ievainojamo cilvēku aizsardzības efektīvākai nodrošināšanai  būtu nepieciešama visu azartspēļu spēlētāju reģistrācija visām “zemes” azartspēļu veidiem, kas ļautu pilnvērtīgāk nodrošināt </w:t>
      </w:r>
      <w:r w:rsidR="00956090">
        <w:rPr>
          <w:sz w:val="28"/>
          <w:szCs w:val="28"/>
        </w:rPr>
        <w:t>problemātiski spēlētāju</w:t>
      </w:r>
      <w:r w:rsidRPr="00AC0C13">
        <w:rPr>
          <w:sz w:val="28"/>
          <w:szCs w:val="28"/>
        </w:rPr>
        <w:t xml:space="preserve"> uzvedības monitoringu. </w:t>
      </w:r>
    </w:p>
    <w:p w:rsidR="00C303A4" w:rsidRPr="00AC0C13" w:rsidRDefault="00C303A4" w:rsidP="00AC0C13">
      <w:pPr>
        <w:pStyle w:val="ListParagraph"/>
        <w:ind w:left="0" w:firstLine="567"/>
        <w:jc w:val="both"/>
        <w:rPr>
          <w:sz w:val="28"/>
          <w:szCs w:val="28"/>
        </w:rPr>
      </w:pPr>
      <w:r w:rsidRPr="00AC0C13">
        <w:rPr>
          <w:sz w:val="28"/>
          <w:szCs w:val="28"/>
        </w:rPr>
        <w:t xml:space="preserve">Vienlaikus azartspēļu zāļu </w:t>
      </w:r>
      <w:r w:rsidR="001155EF">
        <w:rPr>
          <w:sz w:val="28"/>
          <w:szCs w:val="28"/>
        </w:rPr>
        <w:t>spēlētāju</w:t>
      </w:r>
      <w:r w:rsidRPr="00AC0C13">
        <w:rPr>
          <w:sz w:val="28"/>
          <w:szCs w:val="28"/>
        </w:rPr>
        <w:t xml:space="preserve"> reģistrācija ļautu identificēt personu un nodrošināt padziļināto kontroli par identificētās personas spēlē izmantotajiem </w:t>
      </w:r>
      <w:r w:rsidRPr="00AC0C13">
        <w:rPr>
          <w:sz w:val="28"/>
          <w:szCs w:val="28"/>
        </w:rPr>
        <w:lastRenderedPageBreak/>
        <w:t>līdzekļiem</w:t>
      </w:r>
      <w:r w:rsidRPr="00AC0C13">
        <w:rPr>
          <w:color w:val="000000"/>
          <w:spacing w:val="-5"/>
          <w:sz w:val="28"/>
          <w:szCs w:val="28"/>
          <w:shd w:val="clear" w:color="auto" w:fill="FFFFFF"/>
        </w:rPr>
        <w:t xml:space="preserve"> noziedzīgi iegūtu līdzekļu legalizācijas un terorisma finansēšanas un proliferācijas novēršanai</w:t>
      </w:r>
      <w:r w:rsidRPr="00AC0C13">
        <w:rPr>
          <w:sz w:val="28"/>
          <w:szCs w:val="28"/>
        </w:rPr>
        <w:t>.</w:t>
      </w:r>
    </w:p>
    <w:p w:rsidR="00C303A4" w:rsidRPr="00AC0C13" w:rsidRDefault="00C303A4" w:rsidP="00AC0C13">
      <w:pPr>
        <w:ind w:firstLine="426"/>
        <w:jc w:val="both"/>
        <w:rPr>
          <w:sz w:val="28"/>
          <w:szCs w:val="28"/>
        </w:rPr>
      </w:pPr>
      <w:r w:rsidRPr="00AC0C13">
        <w:rPr>
          <w:sz w:val="28"/>
          <w:szCs w:val="28"/>
        </w:rPr>
        <w:t xml:space="preserve">Pēc analoģijas ar kazino arī citās spēļu zālēs </w:t>
      </w:r>
      <w:r w:rsidR="00105EA2">
        <w:rPr>
          <w:sz w:val="28"/>
          <w:szCs w:val="28"/>
        </w:rPr>
        <w:t xml:space="preserve">varētu </w:t>
      </w:r>
      <w:r w:rsidRPr="00AC0C13">
        <w:rPr>
          <w:sz w:val="28"/>
          <w:szCs w:val="28"/>
        </w:rPr>
        <w:t xml:space="preserve">būtu ieviešamas </w:t>
      </w:r>
      <w:r w:rsidR="001155EF">
        <w:rPr>
          <w:sz w:val="28"/>
          <w:szCs w:val="28"/>
        </w:rPr>
        <w:t xml:space="preserve">spēlētāju </w:t>
      </w:r>
      <w:r w:rsidRPr="00AC0C13">
        <w:rPr>
          <w:sz w:val="28"/>
          <w:szCs w:val="28"/>
        </w:rPr>
        <w:t xml:space="preserve">kartes (ang. </w:t>
      </w:r>
      <w:r w:rsidRPr="005E6807">
        <w:rPr>
          <w:i/>
          <w:sz w:val="28"/>
          <w:szCs w:val="28"/>
        </w:rPr>
        <w:t>smart card</w:t>
      </w:r>
      <w:r w:rsidRPr="00AC0C13">
        <w:rPr>
          <w:sz w:val="28"/>
          <w:szCs w:val="28"/>
        </w:rPr>
        <w:t>)</w:t>
      </w:r>
      <w:r w:rsidRPr="00AC0C13">
        <w:rPr>
          <w:rStyle w:val="FootnoteReference"/>
          <w:sz w:val="28"/>
          <w:szCs w:val="28"/>
        </w:rPr>
        <w:footnoteReference w:id="50"/>
      </w:r>
      <w:r w:rsidRPr="00AC0C13">
        <w:rPr>
          <w:sz w:val="28"/>
          <w:szCs w:val="28"/>
        </w:rPr>
        <w:t>, kas ļautu nepārprotami identificēt personu, kā arī kurās tiktu integrēta minimāli nepieciešama informācija par spēlētāja iepriekšējām aktivitātēm spēlē</w:t>
      </w:r>
      <w:r w:rsidR="009B4A3D">
        <w:rPr>
          <w:sz w:val="28"/>
          <w:szCs w:val="28"/>
        </w:rPr>
        <w:t xml:space="preserve"> </w:t>
      </w:r>
      <w:r w:rsidRPr="00AC0C13">
        <w:rPr>
          <w:sz w:val="28"/>
          <w:szCs w:val="28"/>
        </w:rPr>
        <w:t>sociāli atbildīgas spēles veicināšanai (limitu noteikšana azartspēļu automātos, apmeklējumu biežuma un spēlē pavadītā laika noteikšanai utt</w:t>
      </w:r>
      <w:r w:rsidR="00557966">
        <w:rPr>
          <w:sz w:val="28"/>
          <w:szCs w:val="28"/>
        </w:rPr>
        <w:t>.</w:t>
      </w:r>
      <w:r w:rsidRPr="00AC0C13">
        <w:rPr>
          <w:sz w:val="28"/>
          <w:szCs w:val="28"/>
        </w:rPr>
        <w:t>).</w:t>
      </w:r>
      <w:r w:rsidR="00105EA2">
        <w:rPr>
          <w:sz w:val="28"/>
          <w:szCs w:val="28"/>
        </w:rPr>
        <w:t xml:space="preserve"> Š</w:t>
      </w:r>
      <w:r w:rsidR="00105EA2">
        <w:rPr>
          <w:rFonts w:cs="Times New Roman"/>
          <w:sz w:val="28"/>
          <w:szCs w:val="28"/>
        </w:rPr>
        <w:t>āds risinājums prasa tehniskus pielāgojumus.</w:t>
      </w:r>
    </w:p>
    <w:p w:rsidR="00C303A4" w:rsidRDefault="00C303A4" w:rsidP="00DF1024">
      <w:pPr>
        <w:pStyle w:val="PlainText"/>
        <w:ind w:left="720"/>
        <w:jc w:val="both"/>
        <w:rPr>
          <w:rFonts w:ascii="Times New Roman" w:hAnsi="Times New Roman" w:cs="Times New Roman"/>
          <w:sz w:val="28"/>
          <w:szCs w:val="28"/>
        </w:rPr>
      </w:pPr>
    </w:p>
    <w:p w:rsidR="00CE6522" w:rsidRPr="00C303A4" w:rsidRDefault="00CE6522" w:rsidP="000329B8">
      <w:pPr>
        <w:pStyle w:val="PlainText"/>
        <w:numPr>
          <w:ilvl w:val="0"/>
          <w:numId w:val="66"/>
        </w:numPr>
        <w:jc w:val="both"/>
        <w:rPr>
          <w:rFonts w:ascii="Times New Roman" w:hAnsi="Times New Roman" w:cs="Times New Roman"/>
          <w:sz w:val="28"/>
          <w:szCs w:val="28"/>
        </w:rPr>
      </w:pPr>
      <w:r w:rsidRPr="00C303A4">
        <w:rPr>
          <w:rFonts w:ascii="Times New Roman" w:hAnsi="Times New Roman" w:cs="Times New Roman"/>
          <w:sz w:val="28"/>
          <w:szCs w:val="28"/>
        </w:rPr>
        <w:t>Spēlētāja iepriekšējā apņemšanās</w:t>
      </w:r>
      <w:r w:rsidR="00C9269F" w:rsidRPr="00C303A4">
        <w:rPr>
          <w:rFonts w:ascii="Times New Roman" w:hAnsi="Times New Roman" w:cs="Times New Roman"/>
          <w:sz w:val="28"/>
          <w:szCs w:val="28"/>
        </w:rPr>
        <w:t>.</w:t>
      </w:r>
    </w:p>
    <w:p w:rsidR="00CE6522" w:rsidRPr="00CE6522" w:rsidRDefault="00CE6522" w:rsidP="00F22837">
      <w:pPr>
        <w:pStyle w:val="PlainText"/>
        <w:ind w:firstLine="567"/>
        <w:jc w:val="both"/>
        <w:rPr>
          <w:rFonts w:ascii="Times New Roman" w:hAnsi="Times New Roman" w:cs="Times New Roman"/>
          <w:sz w:val="28"/>
          <w:szCs w:val="28"/>
        </w:rPr>
      </w:pPr>
      <w:r w:rsidRPr="00CE6522">
        <w:rPr>
          <w:rFonts w:ascii="Times New Roman" w:hAnsi="Times New Roman" w:cs="Times New Roman"/>
          <w:sz w:val="28"/>
          <w:szCs w:val="28"/>
        </w:rPr>
        <w:t xml:space="preserve">Azartspēļu problemātisku spēlēšanas paradumu ierobežošanā var tikt nodrošināti pasākumi, kas orientēti uz spēlētāja iepriekšēju apņemšanos, pirms </w:t>
      </w:r>
      <w:r w:rsidR="007D2FD7">
        <w:rPr>
          <w:rFonts w:ascii="Times New Roman" w:hAnsi="Times New Roman" w:cs="Times New Roman"/>
          <w:sz w:val="28"/>
          <w:szCs w:val="28"/>
        </w:rPr>
        <w:t xml:space="preserve">tika </w:t>
      </w:r>
      <w:r w:rsidRPr="00CE6522">
        <w:rPr>
          <w:rFonts w:ascii="Times New Roman" w:hAnsi="Times New Roman" w:cs="Times New Roman"/>
          <w:sz w:val="28"/>
          <w:szCs w:val="28"/>
        </w:rPr>
        <w:t>uzsākta piedalīšanās azartspēlēs:</w:t>
      </w:r>
    </w:p>
    <w:p w:rsidR="00CE6522" w:rsidRPr="00CE6522" w:rsidRDefault="00CE6522" w:rsidP="00537917">
      <w:pPr>
        <w:pStyle w:val="PlainText"/>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nodrošināts, ka spēlētāja reģistrācijas posmā spēlētājs var pēc noklusējuma noteikt naudas depozīta maksimālās summas ierobežojumus, kā arī pagaidu ierobežojumus. “Zemes” azartspēlēm tiek izmantotas “gudrās kartes”, kurās ir noteikti naudas limiti, piemēram, spēlei spēļu automātos</w:t>
      </w:r>
      <w:r w:rsidR="009579A1">
        <w:rPr>
          <w:rFonts w:ascii="Times New Roman" w:hAnsi="Times New Roman" w:cs="Times New Roman"/>
          <w:sz w:val="28"/>
          <w:szCs w:val="28"/>
        </w:rPr>
        <w:t>. Vienlaikus šāds risinājums prasa tehniskus pielāgojumus</w:t>
      </w:r>
      <w:r w:rsidRPr="00CE6522">
        <w:rPr>
          <w:rFonts w:ascii="Times New Roman" w:hAnsi="Times New Roman" w:cs="Times New Roman"/>
          <w:sz w:val="28"/>
          <w:szCs w:val="28"/>
        </w:rPr>
        <w:t>;</w:t>
      </w:r>
    </w:p>
    <w:p w:rsidR="00CE6522" w:rsidRPr="00CE6522" w:rsidRDefault="00CE6522" w:rsidP="00537917">
      <w:pPr>
        <w:pStyle w:val="PlainText"/>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nodrošināts, ka spēlētājs pēc noklusējuma var periodiski saņemt informatīvus brīdinājumus par laimestiem un zaudējumiem spēles vai derību laikā un informāciju par to, cik ilgi spēlētājs ir spēlējis. Minētās pieejas efektivitāte ir pierādīta arī attiecībā uz spēļu automātiem. Spēlētājam jāapstiprina informatīvais brīdinājums un jādod iespēja uz laiku pārt</w:t>
      </w:r>
      <w:r w:rsidR="00DF1024">
        <w:rPr>
          <w:rFonts w:ascii="Times New Roman" w:hAnsi="Times New Roman" w:cs="Times New Roman"/>
          <w:sz w:val="28"/>
          <w:szCs w:val="28"/>
        </w:rPr>
        <w:t>raukt vai turpināt azartspēli;</w:t>
      </w:r>
    </w:p>
    <w:p w:rsidR="00CE6522" w:rsidRPr="00CE6522" w:rsidRDefault="00CE6522" w:rsidP="00537917">
      <w:pPr>
        <w:pStyle w:val="PlainText"/>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 xml:space="preserve">ekrāna pulksteņa uzstādīšana ar mērķi spēlētājam saglabāt laika kontroles sajūtu. </w:t>
      </w:r>
    </w:p>
    <w:p w:rsidR="00CE6522" w:rsidRDefault="00CE6522" w:rsidP="00CE6522">
      <w:pPr>
        <w:pStyle w:val="PlainText"/>
        <w:jc w:val="both"/>
        <w:rPr>
          <w:rFonts w:ascii="Times New Roman" w:hAnsi="Times New Roman" w:cs="Times New Roman"/>
          <w:sz w:val="28"/>
          <w:szCs w:val="28"/>
        </w:rPr>
      </w:pPr>
    </w:p>
    <w:p w:rsidR="00807130" w:rsidRDefault="00505C37" w:rsidP="000329B8">
      <w:pPr>
        <w:pStyle w:val="PlainText"/>
        <w:numPr>
          <w:ilvl w:val="0"/>
          <w:numId w:val="66"/>
        </w:numPr>
        <w:ind w:left="0" w:firstLine="709"/>
        <w:jc w:val="both"/>
        <w:rPr>
          <w:rFonts w:ascii="Times New Roman" w:hAnsi="Times New Roman" w:cs="Times New Roman"/>
          <w:sz w:val="28"/>
          <w:szCs w:val="28"/>
        </w:rPr>
      </w:pPr>
      <w:r>
        <w:rPr>
          <w:rFonts w:ascii="Times New Roman" w:hAnsi="Times New Roman" w:cs="Times New Roman"/>
          <w:sz w:val="28"/>
          <w:szCs w:val="28"/>
        </w:rPr>
        <w:t>Tehniskās prasības</w:t>
      </w:r>
      <w:r w:rsidR="00807130">
        <w:rPr>
          <w:rFonts w:ascii="Times New Roman" w:hAnsi="Times New Roman" w:cs="Times New Roman"/>
          <w:sz w:val="28"/>
          <w:szCs w:val="28"/>
        </w:rPr>
        <w:t xml:space="preserve"> azartspēļu automātu dizainam</w:t>
      </w:r>
      <w:r w:rsidR="008246C6">
        <w:rPr>
          <w:rFonts w:ascii="Times New Roman" w:hAnsi="Times New Roman" w:cs="Times New Roman"/>
          <w:sz w:val="28"/>
          <w:szCs w:val="28"/>
        </w:rPr>
        <w:t>.</w:t>
      </w:r>
      <w:r w:rsidR="00807130">
        <w:rPr>
          <w:rFonts w:ascii="Times New Roman" w:hAnsi="Times New Roman" w:cs="Times New Roman"/>
          <w:sz w:val="28"/>
          <w:szCs w:val="28"/>
        </w:rPr>
        <w:t xml:space="preserve"> </w:t>
      </w:r>
    </w:p>
    <w:p w:rsidR="00E46327" w:rsidRDefault="00807130" w:rsidP="00EF3426">
      <w:pPr>
        <w:pStyle w:val="Default"/>
        <w:ind w:firstLine="567"/>
        <w:jc w:val="both"/>
        <w:rPr>
          <w:sz w:val="28"/>
          <w:szCs w:val="28"/>
        </w:rPr>
      </w:pPr>
      <w:r w:rsidRPr="00D276F2">
        <w:rPr>
          <w:sz w:val="28"/>
          <w:szCs w:val="28"/>
        </w:rPr>
        <w:t>Vērtējot starptautiskās pieredzes piemēru</w:t>
      </w:r>
      <w:r w:rsidR="00062F91">
        <w:rPr>
          <w:sz w:val="28"/>
          <w:szCs w:val="28"/>
        </w:rPr>
        <w:t>s</w:t>
      </w:r>
      <w:r w:rsidRPr="00D276F2">
        <w:rPr>
          <w:sz w:val="28"/>
          <w:szCs w:val="28"/>
        </w:rPr>
        <w:t>, jāņem vērā prasības un standarti attiecībā uz spēļu automātu dizainu,</w:t>
      </w:r>
      <w:r>
        <w:rPr>
          <w:sz w:val="28"/>
          <w:szCs w:val="28"/>
        </w:rPr>
        <w:t xml:space="preserve"> skaņu efektiem,</w:t>
      </w:r>
      <w:r w:rsidRPr="00D276F2">
        <w:rPr>
          <w:sz w:val="28"/>
          <w:szCs w:val="28"/>
        </w:rPr>
        <w:t xml:space="preserve"> likmes limitiem, nospēlētās summas dienas limit</w:t>
      </w:r>
      <w:r w:rsidR="00325300">
        <w:rPr>
          <w:sz w:val="28"/>
          <w:szCs w:val="28"/>
        </w:rPr>
        <w:t>iem</w:t>
      </w:r>
      <w:r w:rsidRPr="00D276F2">
        <w:rPr>
          <w:sz w:val="28"/>
          <w:szCs w:val="28"/>
        </w:rPr>
        <w:t>, k</w:t>
      </w:r>
      <w:r w:rsidR="005E14A7">
        <w:rPr>
          <w:sz w:val="28"/>
          <w:szCs w:val="28"/>
        </w:rPr>
        <w:t>ā</w:t>
      </w:r>
      <w:r w:rsidRPr="00D276F2">
        <w:rPr>
          <w:sz w:val="28"/>
          <w:szCs w:val="28"/>
        </w:rPr>
        <w:t xml:space="preserve"> arī likmes </w:t>
      </w:r>
      <w:r w:rsidRPr="008D5A3A">
        <w:rPr>
          <w:sz w:val="28"/>
          <w:szCs w:val="28"/>
        </w:rPr>
        <w:t>likšanas biežum</w:t>
      </w:r>
      <w:r w:rsidR="00325300">
        <w:rPr>
          <w:sz w:val="28"/>
          <w:szCs w:val="28"/>
        </w:rPr>
        <w:t>am</w:t>
      </w:r>
      <w:r w:rsidRPr="00D276F2">
        <w:rPr>
          <w:sz w:val="28"/>
          <w:szCs w:val="28"/>
        </w:rPr>
        <w:t xml:space="preserve">. Piemēram, </w:t>
      </w:r>
      <w:r w:rsidR="000270A4">
        <w:rPr>
          <w:sz w:val="28"/>
          <w:szCs w:val="28"/>
        </w:rPr>
        <w:t xml:space="preserve">tādos lielajos tirgos kā </w:t>
      </w:r>
      <w:r w:rsidRPr="00D276F2">
        <w:rPr>
          <w:sz w:val="28"/>
          <w:szCs w:val="28"/>
        </w:rPr>
        <w:t>Jaunzēlandē un A</w:t>
      </w:r>
      <w:r>
        <w:rPr>
          <w:sz w:val="28"/>
          <w:szCs w:val="28"/>
        </w:rPr>
        <w:t>ustrālijā</w:t>
      </w:r>
      <w:r w:rsidRPr="00D276F2">
        <w:rPr>
          <w:sz w:val="28"/>
          <w:szCs w:val="28"/>
        </w:rPr>
        <w:t xml:space="preserve"> ir spēk</w:t>
      </w:r>
      <w:r w:rsidR="00062F91">
        <w:rPr>
          <w:sz w:val="28"/>
          <w:szCs w:val="28"/>
        </w:rPr>
        <w:t>ā</w:t>
      </w:r>
      <w:r w:rsidRPr="00D276F2">
        <w:rPr>
          <w:sz w:val="28"/>
          <w:szCs w:val="28"/>
        </w:rPr>
        <w:t xml:space="preserve"> Spēļu automātu nacionālais standarts</w:t>
      </w:r>
      <w:r w:rsidRPr="00D276F2">
        <w:rPr>
          <w:rStyle w:val="FootnoteReference"/>
          <w:sz w:val="28"/>
          <w:szCs w:val="28"/>
        </w:rPr>
        <w:footnoteReference w:id="51"/>
      </w:r>
      <w:r w:rsidRPr="00D276F2">
        <w:rPr>
          <w:sz w:val="28"/>
          <w:szCs w:val="28"/>
        </w:rPr>
        <w:t xml:space="preserve"> (</w:t>
      </w:r>
      <w:r w:rsidRPr="0066503A">
        <w:rPr>
          <w:sz w:val="28"/>
          <w:szCs w:val="28"/>
        </w:rPr>
        <w:t xml:space="preserve">ang. </w:t>
      </w:r>
      <w:r w:rsidR="00AD7092" w:rsidRPr="0066503A">
        <w:rPr>
          <w:sz w:val="28"/>
          <w:szCs w:val="28"/>
        </w:rPr>
        <w:t>val.</w:t>
      </w:r>
      <w:r w:rsidR="00AD7092" w:rsidRPr="00A80C1E">
        <w:rPr>
          <w:i/>
          <w:sz w:val="28"/>
          <w:szCs w:val="28"/>
        </w:rPr>
        <w:t xml:space="preserve"> </w:t>
      </w:r>
      <w:r w:rsidRPr="00A80C1E">
        <w:rPr>
          <w:i/>
          <w:sz w:val="28"/>
          <w:szCs w:val="28"/>
        </w:rPr>
        <w:t>Gaming Machine National Standard</w:t>
      </w:r>
      <w:r w:rsidRPr="00871C12">
        <w:rPr>
          <w:sz w:val="28"/>
          <w:szCs w:val="28"/>
        </w:rPr>
        <w:t>)</w:t>
      </w:r>
      <w:r w:rsidR="005E14A7">
        <w:rPr>
          <w:sz w:val="28"/>
          <w:szCs w:val="28"/>
        </w:rPr>
        <w:t>.</w:t>
      </w:r>
      <w:r>
        <w:rPr>
          <w:sz w:val="28"/>
          <w:szCs w:val="28"/>
        </w:rPr>
        <w:t xml:space="preserve"> Anglijā ir spēkā  Spēļu automātu standarts atsevišķiem spēļu automātu veidiem,</w:t>
      </w:r>
      <w:r>
        <w:rPr>
          <w:rStyle w:val="FootnoteReference"/>
          <w:sz w:val="28"/>
          <w:szCs w:val="28"/>
        </w:rPr>
        <w:footnoteReference w:id="52"/>
      </w:r>
      <w:r w:rsidRPr="00C614DB">
        <w:rPr>
          <w:sz w:val="28"/>
          <w:szCs w:val="28"/>
        </w:rPr>
        <w:t xml:space="preserve"> kas iekļauj sev</w:t>
      </w:r>
      <w:r w:rsidR="00325300">
        <w:rPr>
          <w:sz w:val="28"/>
          <w:szCs w:val="28"/>
        </w:rPr>
        <w:t>ī</w:t>
      </w:r>
      <w:r w:rsidRPr="00C614DB">
        <w:rPr>
          <w:sz w:val="28"/>
          <w:szCs w:val="28"/>
        </w:rPr>
        <w:t xml:space="preserve"> arī prasības parametriem, kas būtiski ietekmē spēlētāja paškontroles spējas. </w:t>
      </w:r>
      <w:r w:rsidR="00105EA2">
        <w:rPr>
          <w:sz w:val="28"/>
          <w:szCs w:val="28"/>
        </w:rPr>
        <w:t xml:space="preserve">Šādas prasības ir viennozīmīgi saistītas arī ar attiecīgo spēļu automātu tehniskām iespējām. </w:t>
      </w:r>
      <w:r>
        <w:rPr>
          <w:sz w:val="28"/>
          <w:szCs w:val="28"/>
        </w:rPr>
        <w:t>Rezumējot j</w:t>
      </w:r>
      <w:r w:rsidRPr="0087512B">
        <w:rPr>
          <w:sz w:val="28"/>
          <w:szCs w:val="28"/>
        </w:rPr>
        <w:t>āuzsver, ka dažādu azartspēļu vei</w:t>
      </w:r>
      <w:r w:rsidR="00170705">
        <w:rPr>
          <w:sz w:val="28"/>
          <w:szCs w:val="28"/>
        </w:rPr>
        <w:t>du radītais risks nav nemainīgs</w:t>
      </w:r>
      <w:r w:rsidRPr="0087512B">
        <w:rPr>
          <w:sz w:val="28"/>
          <w:szCs w:val="28"/>
        </w:rPr>
        <w:t xml:space="preserve"> </w:t>
      </w:r>
      <w:r w:rsidR="00170705">
        <w:rPr>
          <w:sz w:val="28"/>
          <w:szCs w:val="28"/>
        </w:rPr>
        <w:t>–</w:t>
      </w:r>
      <w:r w:rsidRPr="0087512B">
        <w:rPr>
          <w:sz w:val="28"/>
          <w:szCs w:val="28"/>
        </w:rPr>
        <w:t xml:space="preserve"> tas </w:t>
      </w:r>
      <w:r w:rsidRPr="0087512B">
        <w:rPr>
          <w:sz w:val="28"/>
          <w:szCs w:val="28"/>
        </w:rPr>
        <w:lastRenderedPageBreak/>
        <w:t>var mainīties, mainot spēles parametrus (spēles ātrumu, maksimālās likmes lielumu u.c.), tādejādi palielinot vai samazinot riska potenciālu</w:t>
      </w:r>
      <w:r>
        <w:rPr>
          <w:sz w:val="28"/>
          <w:szCs w:val="28"/>
        </w:rPr>
        <w:t xml:space="preserve">. Austrālijas valdības azartspēļu atkarības mazināšanas </w:t>
      </w:r>
      <w:r w:rsidR="007F0F46">
        <w:rPr>
          <w:sz w:val="28"/>
          <w:szCs w:val="28"/>
        </w:rPr>
        <w:t xml:space="preserve">politikas rezultāts </w:t>
      </w:r>
      <w:r>
        <w:rPr>
          <w:sz w:val="28"/>
          <w:szCs w:val="28"/>
        </w:rPr>
        <w:t>ir būtisks problemātisko spēlētāju līmeņa samazinājums līdz 0</w:t>
      </w:r>
      <w:r w:rsidR="00FC16A0">
        <w:rPr>
          <w:sz w:val="28"/>
          <w:szCs w:val="28"/>
        </w:rPr>
        <w:t>,</w:t>
      </w:r>
      <w:r>
        <w:rPr>
          <w:sz w:val="28"/>
          <w:szCs w:val="28"/>
        </w:rPr>
        <w:t xml:space="preserve">4% 2015.gadā </w:t>
      </w:r>
      <w:r>
        <w:rPr>
          <w:rStyle w:val="FootnoteReference"/>
          <w:sz w:val="28"/>
          <w:szCs w:val="28"/>
        </w:rPr>
        <w:footnoteReference w:id="53"/>
      </w:r>
      <w:r>
        <w:rPr>
          <w:sz w:val="28"/>
          <w:szCs w:val="28"/>
        </w:rPr>
        <w:t xml:space="preserve"> (salīdzinot ar 3,9% 1999.gadā)</w:t>
      </w:r>
      <w:r>
        <w:rPr>
          <w:rStyle w:val="FootnoteReference"/>
          <w:sz w:val="28"/>
          <w:szCs w:val="28"/>
        </w:rPr>
        <w:footnoteReference w:id="54"/>
      </w:r>
      <w:r>
        <w:rPr>
          <w:sz w:val="28"/>
          <w:szCs w:val="28"/>
        </w:rPr>
        <w:t>.</w:t>
      </w:r>
    </w:p>
    <w:p w:rsidR="00807130" w:rsidRDefault="00807130" w:rsidP="00044461">
      <w:pPr>
        <w:pStyle w:val="Default"/>
        <w:ind w:firstLine="709"/>
        <w:jc w:val="both"/>
        <w:rPr>
          <w:sz w:val="28"/>
          <w:szCs w:val="28"/>
        </w:rPr>
      </w:pPr>
      <w:r>
        <w:rPr>
          <w:sz w:val="28"/>
          <w:szCs w:val="28"/>
        </w:rPr>
        <w:t xml:space="preserve"> </w:t>
      </w:r>
    </w:p>
    <w:p w:rsidR="00CE6522" w:rsidRPr="00CE6522" w:rsidRDefault="00CE6522" w:rsidP="000329B8">
      <w:pPr>
        <w:pStyle w:val="PlainText"/>
        <w:numPr>
          <w:ilvl w:val="0"/>
          <w:numId w:val="66"/>
        </w:numPr>
        <w:ind w:left="0" w:firstLine="709"/>
        <w:jc w:val="both"/>
        <w:rPr>
          <w:rFonts w:ascii="Times New Roman" w:hAnsi="Times New Roman" w:cs="Times New Roman"/>
          <w:sz w:val="28"/>
          <w:szCs w:val="28"/>
        </w:rPr>
      </w:pPr>
      <w:r w:rsidRPr="00CE6522">
        <w:rPr>
          <w:rFonts w:ascii="Times New Roman" w:hAnsi="Times New Roman" w:cs="Times New Roman"/>
          <w:sz w:val="28"/>
          <w:szCs w:val="28"/>
        </w:rPr>
        <w:t>Spēļu zāļu darbinieku apmācība</w:t>
      </w:r>
      <w:r w:rsidR="00C9269F">
        <w:rPr>
          <w:rFonts w:ascii="Times New Roman" w:hAnsi="Times New Roman" w:cs="Times New Roman"/>
          <w:sz w:val="28"/>
          <w:szCs w:val="28"/>
        </w:rPr>
        <w:t>.</w:t>
      </w:r>
    </w:p>
    <w:p w:rsidR="00CE6522" w:rsidRDefault="00CE6522" w:rsidP="00EF3426">
      <w:pPr>
        <w:pStyle w:val="PlainText"/>
        <w:ind w:firstLine="567"/>
        <w:jc w:val="both"/>
        <w:rPr>
          <w:rFonts w:ascii="Times New Roman" w:hAnsi="Times New Roman" w:cs="Times New Roman"/>
          <w:sz w:val="28"/>
          <w:szCs w:val="28"/>
        </w:rPr>
      </w:pPr>
      <w:r w:rsidRPr="00CE6522">
        <w:rPr>
          <w:rFonts w:ascii="Times New Roman" w:hAnsi="Times New Roman" w:cs="Times New Roman"/>
          <w:sz w:val="28"/>
          <w:szCs w:val="28"/>
        </w:rPr>
        <w:t xml:space="preserve">Azartspēļu organizētājiem un azartspēļu regulatīvajai iestādei ir jāinformē attiecīgie darba ņēmēji/personāls, kuri strādā ar azartspēļu pasākumiem saistītā jomā par riskiem, kas saistīti ar visa veida azartspēlēm. Darba ņēmēji/personāls, kas tieši mijiedarbojas ar spēlētājiem, jāapmāca, lai nodrošinātu, ka viņi izprot ar azartspēļu izraisītām problēmām saistītus jautājumus un ir kompetenti sniegt atbildes spēlētājiem par attiecīgajiem jautājumiem, kā arī </w:t>
      </w:r>
      <w:r w:rsidR="007F0F46">
        <w:rPr>
          <w:rFonts w:ascii="Times New Roman" w:hAnsi="Times New Roman" w:cs="Times New Roman"/>
          <w:sz w:val="28"/>
          <w:szCs w:val="28"/>
        </w:rPr>
        <w:t xml:space="preserve">spēj </w:t>
      </w:r>
      <w:r w:rsidRPr="00CE6522">
        <w:rPr>
          <w:rFonts w:ascii="Times New Roman" w:hAnsi="Times New Roman" w:cs="Times New Roman"/>
          <w:sz w:val="28"/>
          <w:szCs w:val="28"/>
        </w:rPr>
        <w:t>atpazīt problemātiskos spēlētājus un piedāvāt kādu no veidiem/instrumentiem spēlētāja paškontroles noteikšanai.</w:t>
      </w:r>
      <w:r w:rsidR="00164046">
        <w:rPr>
          <w:rStyle w:val="FootnoteReference"/>
          <w:rFonts w:ascii="Times New Roman" w:hAnsi="Times New Roman"/>
          <w:sz w:val="28"/>
          <w:szCs w:val="28"/>
        </w:rPr>
        <w:footnoteReference w:id="55"/>
      </w:r>
    </w:p>
    <w:p w:rsidR="00C9269F" w:rsidRDefault="00C9269F" w:rsidP="00EF1713">
      <w:pPr>
        <w:pStyle w:val="PlainText"/>
        <w:ind w:firstLine="720"/>
        <w:jc w:val="both"/>
        <w:rPr>
          <w:rFonts w:ascii="Times New Roman" w:hAnsi="Times New Roman" w:cs="Times New Roman"/>
          <w:sz w:val="28"/>
          <w:szCs w:val="28"/>
        </w:rPr>
      </w:pPr>
    </w:p>
    <w:p w:rsidR="00CE6522" w:rsidRPr="00CE6522" w:rsidRDefault="00CE6522" w:rsidP="000329B8">
      <w:pPr>
        <w:pStyle w:val="PlainText"/>
        <w:numPr>
          <w:ilvl w:val="0"/>
          <w:numId w:val="66"/>
        </w:numPr>
        <w:ind w:left="0" w:firstLine="709"/>
        <w:jc w:val="both"/>
        <w:rPr>
          <w:rFonts w:ascii="Times New Roman" w:hAnsi="Times New Roman" w:cs="Times New Roman"/>
          <w:sz w:val="28"/>
          <w:szCs w:val="28"/>
        </w:rPr>
      </w:pPr>
      <w:r w:rsidRPr="00CE6522">
        <w:rPr>
          <w:rFonts w:ascii="Times New Roman" w:hAnsi="Times New Roman" w:cs="Times New Roman"/>
          <w:sz w:val="28"/>
          <w:szCs w:val="28"/>
        </w:rPr>
        <w:t>Proaktīva iesaiste komunikācijā ar problemātiskiem spēlētajiem</w:t>
      </w:r>
      <w:r w:rsidR="00C9269F">
        <w:rPr>
          <w:rFonts w:ascii="Times New Roman" w:hAnsi="Times New Roman" w:cs="Times New Roman"/>
          <w:sz w:val="28"/>
          <w:szCs w:val="28"/>
        </w:rPr>
        <w:t>.</w:t>
      </w:r>
    </w:p>
    <w:p w:rsidR="00CE6522" w:rsidRPr="00CE6522" w:rsidRDefault="00CE6522" w:rsidP="00235F00">
      <w:pPr>
        <w:pStyle w:val="PlainText"/>
        <w:ind w:firstLine="567"/>
        <w:jc w:val="both"/>
        <w:rPr>
          <w:rFonts w:ascii="Times New Roman" w:hAnsi="Times New Roman" w:cs="Times New Roman"/>
          <w:sz w:val="28"/>
          <w:szCs w:val="28"/>
        </w:rPr>
      </w:pPr>
      <w:r w:rsidRPr="00CE6522">
        <w:rPr>
          <w:rFonts w:ascii="Times New Roman" w:hAnsi="Times New Roman" w:cs="Times New Roman"/>
          <w:sz w:val="28"/>
          <w:szCs w:val="28"/>
        </w:rPr>
        <w:t xml:space="preserve">Azartspēļu organizētājam ir izstrādāta politika un procedūras </w:t>
      </w:r>
      <w:r w:rsidR="00A2307B">
        <w:rPr>
          <w:rFonts w:ascii="Times New Roman" w:hAnsi="Times New Roman" w:cs="Times New Roman"/>
          <w:sz w:val="28"/>
          <w:szCs w:val="28"/>
        </w:rPr>
        <w:t>par komunikāciju</w:t>
      </w:r>
      <w:r w:rsidRPr="00CE6522">
        <w:rPr>
          <w:rFonts w:ascii="Times New Roman" w:hAnsi="Times New Roman" w:cs="Times New Roman"/>
          <w:sz w:val="28"/>
          <w:szCs w:val="28"/>
        </w:rPr>
        <w:t xml:space="preserve"> ar spēlētājiem, ja viņu uzvedība azartspēlēs norāda, ka pastāv azartspēļu izraisītu problēmu rašanās risks.</w:t>
      </w:r>
    </w:p>
    <w:p w:rsidR="00CE6522" w:rsidRPr="00CE6522" w:rsidRDefault="00265EB4" w:rsidP="00AC0C13">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P</w:t>
      </w:r>
      <w:r w:rsidR="00786C29">
        <w:rPr>
          <w:rFonts w:ascii="Times New Roman" w:hAnsi="Times New Roman" w:cs="Times New Roman"/>
          <w:sz w:val="28"/>
          <w:szCs w:val="28"/>
        </w:rPr>
        <w:t xml:space="preserve">iemēram, </w:t>
      </w:r>
      <w:r w:rsidR="00CE6522" w:rsidRPr="00CE6522">
        <w:rPr>
          <w:rFonts w:ascii="Times New Roman" w:hAnsi="Times New Roman" w:cs="Times New Roman"/>
          <w:sz w:val="28"/>
          <w:szCs w:val="28"/>
        </w:rPr>
        <w:t>Šveicē kazino apmāca darbiniekus un izmanto uzvedības stresa testu. Gadījumos, ja apmeklētājs atbilst testā iekļautajiem kritērijiem, darbinieks uzsāk sarunu ar problemātisko spēlētāju, lai novērtētu iespēju noteikt apmeklējumu ierobežojumu vai aizliegumu.</w:t>
      </w:r>
    </w:p>
    <w:p w:rsidR="002E7E1D" w:rsidRDefault="002E7E1D" w:rsidP="00EF1713">
      <w:pPr>
        <w:pStyle w:val="PlainText"/>
        <w:tabs>
          <w:tab w:val="left" w:pos="1209"/>
        </w:tabs>
        <w:jc w:val="both"/>
        <w:rPr>
          <w:rFonts w:ascii="Times New Roman" w:hAnsi="Times New Roman" w:cs="Times New Roman"/>
          <w:sz w:val="28"/>
          <w:szCs w:val="28"/>
        </w:rPr>
      </w:pPr>
    </w:p>
    <w:p w:rsidR="00CE6522" w:rsidRPr="00CE6522" w:rsidRDefault="00CE6522" w:rsidP="000329B8">
      <w:pPr>
        <w:pStyle w:val="PlainText"/>
        <w:numPr>
          <w:ilvl w:val="0"/>
          <w:numId w:val="66"/>
        </w:numPr>
        <w:tabs>
          <w:tab w:val="left" w:pos="0"/>
        </w:tabs>
        <w:ind w:left="0" w:firstLine="709"/>
        <w:jc w:val="both"/>
        <w:rPr>
          <w:rFonts w:ascii="Times New Roman" w:hAnsi="Times New Roman" w:cs="Times New Roman"/>
          <w:sz w:val="28"/>
          <w:szCs w:val="28"/>
        </w:rPr>
      </w:pPr>
      <w:r w:rsidRPr="00CE6522">
        <w:rPr>
          <w:rFonts w:ascii="Times New Roman" w:hAnsi="Times New Roman" w:cs="Times New Roman"/>
          <w:sz w:val="28"/>
          <w:szCs w:val="28"/>
        </w:rPr>
        <w:t>Alternatīvi brīva laika pavadīšanas piedāvājumi</w:t>
      </w:r>
      <w:r w:rsidR="00C9269F">
        <w:rPr>
          <w:rFonts w:ascii="Times New Roman" w:hAnsi="Times New Roman" w:cs="Times New Roman"/>
          <w:sz w:val="28"/>
          <w:szCs w:val="28"/>
        </w:rPr>
        <w:t>.</w:t>
      </w:r>
    </w:p>
    <w:p w:rsidR="00CE6522" w:rsidRPr="00CE6522" w:rsidRDefault="00CE6522" w:rsidP="00EF3426">
      <w:pPr>
        <w:pStyle w:val="PlainText"/>
        <w:ind w:firstLine="567"/>
        <w:jc w:val="both"/>
        <w:rPr>
          <w:rFonts w:ascii="Times New Roman" w:hAnsi="Times New Roman" w:cs="Times New Roman"/>
          <w:sz w:val="28"/>
          <w:szCs w:val="28"/>
        </w:rPr>
      </w:pPr>
      <w:r w:rsidRPr="00CE6522">
        <w:rPr>
          <w:rFonts w:ascii="Times New Roman" w:hAnsi="Times New Roman" w:cs="Times New Roman"/>
          <w:sz w:val="28"/>
          <w:szCs w:val="28"/>
        </w:rPr>
        <w:t>Starptautiskajā akadēmiskajā vidē pastāv uzskats, ka azartspēļu dalībnieku grupa nav homogēna. Viena kategorij</w:t>
      </w:r>
      <w:r w:rsidR="006E43BD">
        <w:rPr>
          <w:rFonts w:ascii="Times New Roman" w:hAnsi="Times New Roman" w:cs="Times New Roman"/>
          <w:sz w:val="28"/>
          <w:szCs w:val="28"/>
        </w:rPr>
        <w:t>a</w:t>
      </w:r>
      <w:r w:rsidRPr="00CE6522">
        <w:rPr>
          <w:rFonts w:ascii="Times New Roman" w:hAnsi="Times New Roman" w:cs="Times New Roman"/>
          <w:sz w:val="28"/>
          <w:szCs w:val="28"/>
        </w:rPr>
        <w:t xml:space="preserve"> ir cilvēki, kas kļūst par problēmu spēlmaņiem, jo viņi ir emocionāli viegli ievainojami. Viņiem ir problēma ar depresiju, trauksmi, sliktām saskarsmes prasmēm un sociālo izolāciju; disociatīvais stāvoklis, ko veicina azartspēles palīdz pret negatīvo emocionālo pakāpi, ko piedzīvo šie cilvēki. Vienlaikus cita kategorija ir arī bioloģiski pamatoti, impulsīvi </w:t>
      </w:r>
      <w:r w:rsidRPr="00CE6522">
        <w:rPr>
          <w:rFonts w:ascii="Times New Roman" w:hAnsi="Times New Roman" w:cs="Times New Roman"/>
          <w:sz w:val="28"/>
          <w:szCs w:val="28"/>
        </w:rPr>
        <w:lastRenderedPageBreak/>
        <w:t xml:space="preserve">spēlmaņi, kas mēdz būt riska meklētāji. Viņiem ir augsta stimulācijas un uzbudinājuma nepieciešamība. </w:t>
      </w:r>
      <w:r w:rsidR="00786C29">
        <w:rPr>
          <w:rFonts w:ascii="Times New Roman" w:hAnsi="Times New Roman" w:cs="Times New Roman"/>
          <w:sz w:val="28"/>
          <w:szCs w:val="28"/>
        </w:rPr>
        <w:t>Š</w:t>
      </w:r>
      <w:r w:rsidRPr="00CE6522">
        <w:rPr>
          <w:rFonts w:ascii="Times New Roman" w:hAnsi="Times New Roman" w:cs="Times New Roman"/>
          <w:sz w:val="28"/>
          <w:szCs w:val="28"/>
        </w:rPr>
        <w:t xml:space="preserve">ie dažādie iemesli jāņem vērā attiecībā </w:t>
      </w:r>
      <w:r w:rsidR="00494967">
        <w:rPr>
          <w:rFonts w:ascii="Times New Roman" w:hAnsi="Times New Roman" w:cs="Times New Roman"/>
          <w:sz w:val="28"/>
          <w:szCs w:val="28"/>
        </w:rPr>
        <w:t xml:space="preserve">uz </w:t>
      </w:r>
      <w:r w:rsidRPr="00CE6522">
        <w:rPr>
          <w:rFonts w:ascii="Times New Roman" w:hAnsi="Times New Roman" w:cs="Times New Roman"/>
          <w:sz w:val="28"/>
          <w:szCs w:val="28"/>
        </w:rPr>
        <w:t>pieeju, kas būtu piemērojama azartspēļu ierobežošanai</w:t>
      </w:r>
      <w:r w:rsidR="00786C29">
        <w:rPr>
          <w:rFonts w:ascii="Times New Roman" w:hAnsi="Times New Roman" w:cs="Times New Roman"/>
          <w:sz w:val="28"/>
          <w:szCs w:val="28"/>
        </w:rPr>
        <w:t xml:space="preserve"> un profilaksei</w:t>
      </w:r>
      <w:r w:rsidRPr="00CE6522">
        <w:rPr>
          <w:rFonts w:ascii="Times New Roman" w:hAnsi="Times New Roman" w:cs="Times New Roman"/>
          <w:sz w:val="28"/>
          <w:szCs w:val="28"/>
        </w:rPr>
        <w:t>. Pastāv sarežģīta mijiedarbība starp vides faktoriem, individualitāti un ģimenes attīstību</w:t>
      </w:r>
      <w:r w:rsidR="00DE5916">
        <w:rPr>
          <w:rFonts w:ascii="Times New Roman" w:hAnsi="Times New Roman" w:cs="Times New Roman"/>
          <w:sz w:val="28"/>
          <w:szCs w:val="28"/>
        </w:rPr>
        <w:t xml:space="preserve"> –</w:t>
      </w:r>
      <w:r w:rsidRPr="00CE6522">
        <w:rPr>
          <w:rFonts w:ascii="Times New Roman" w:hAnsi="Times New Roman" w:cs="Times New Roman"/>
          <w:sz w:val="28"/>
          <w:szCs w:val="28"/>
        </w:rPr>
        <w:t xml:space="preserve"> virkne faktoru, kas veicina problēmas patoloģiskas azartspēles vai atkarību izraisošas uzvedības veidošanā</w:t>
      </w:r>
      <w:r>
        <w:rPr>
          <w:rStyle w:val="FootnoteReference"/>
          <w:rFonts w:ascii="Times New Roman" w:hAnsi="Times New Roman"/>
          <w:sz w:val="28"/>
          <w:szCs w:val="28"/>
        </w:rPr>
        <w:footnoteReference w:id="56"/>
      </w:r>
      <w:r w:rsidRPr="00CE6522">
        <w:rPr>
          <w:rFonts w:ascii="Times New Roman" w:hAnsi="Times New Roman" w:cs="Times New Roman"/>
          <w:sz w:val="28"/>
          <w:szCs w:val="28"/>
        </w:rPr>
        <w:t xml:space="preserve">.  </w:t>
      </w:r>
    </w:p>
    <w:p w:rsidR="00CE6522" w:rsidRPr="00CE6522" w:rsidRDefault="00786C29" w:rsidP="00EF342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P</w:t>
      </w:r>
      <w:r w:rsidR="00CE6522" w:rsidRPr="00CE6522">
        <w:rPr>
          <w:rFonts w:ascii="Times New Roman" w:hAnsi="Times New Roman" w:cs="Times New Roman"/>
          <w:sz w:val="28"/>
          <w:szCs w:val="28"/>
        </w:rPr>
        <w:t>roblemātisko spēlētāju skaita pieaugums ir vērojams teritorijās, kur ir mazāk pieejamas alternatīvas brīva laika pavadīšanas iespējas</w:t>
      </w:r>
      <w:r w:rsidR="00CE6522">
        <w:rPr>
          <w:rStyle w:val="FootnoteReference"/>
          <w:rFonts w:ascii="Times New Roman" w:hAnsi="Times New Roman"/>
          <w:sz w:val="28"/>
          <w:szCs w:val="28"/>
        </w:rPr>
        <w:footnoteReference w:id="57"/>
      </w:r>
      <w:r w:rsidR="00CE6522" w:rsidRPr="00CE6522">
        <w:rPr>
          <w:rFonts w:ascii="Times New Roman" w:hAnsi="Times New Roman" w:cs="Times New Roman"/>
          <w:sz w:val="28"/>
          <w:szCs w:val="28"/>
        </w:rPr>
        <w:t>, kā arī plašāk izplatīti sociāli</w:t>
      </w:r>
      <w:r w:rsidR="004D355D">
        <w:rPr>
          <w:rFonts w:ascii="Times New Roman" w:hAnsi="Times New Roman" w:cs="Times New Roman"/>
          <w:sz w:val="28"/>
          <w:szCs w:val="28"/>
        </w:rPr>
        <w:t>e</w:t>
      </w:r>
      <w:r w:rsidR="00CE6522" w:rsidRPr="00CE6522">
        <w:rPr>
          <w:rFonts w:ascii="Times New Roman" w:hAnsi="Times New Roman" w:cs="Times New Roman"/>
          <w:sz w:val="28"/>
          <w:szCs w:val="28"/>
        </w:rPr>
        <w:t xml:space="preserve"> riski (piemēram, sociālā atstumtība vientuļu sen</w:t>
      </w:r>
      <w:r w:rsidR="000B583A">
        <w:rPr>
          <w:rFonts w:ascii="Times New Roman" w:hAnsi="Times New Roman" w:cs="Times New Roman"/>
          <w:sz w:val="28"/>
          <w:szCs w:val="28"/>
        </w:rPr>
        <w:t>i</w:t>
      </w:r>
      <w:r w:rsidR="00CE6522" w:rsidRPr="00CE6522">
        <w:rPr>
          <w:rFonts w:ascii="Times New Roman" w:hAnsi="Times New Roman" w:cs="Times New Roman"/>
          <w:sz w:val="28"/>
          <w:szCs w:val="28"/>
        </w:rPr>
        <w:t>oru vidū, vientuļas māmiņas, problēmas attiecībās ar ģimenes locekļiem, vardarbība ģimenē) un finansiāli</w:t>
      </w:r>
      <w:r w:rsidR="00BC3ECE">
        <w:rPr>
          <w:rFonts w:ascii="Times New Roman" w:hAnsi="Times New Roman" w:cs="Times New Roman"/>
          <w:sz w:val="28"/>
          <w:szCs w:val="28"/>
        </w:rPr>
        <w:t>e</w:t>
      </w:r>
      <w:r w:rsidR="00CE6522" w:rsidRPr="00CE6522">
        <w:rPr>
          <w:rFonts w:ascii="Times New Roman" w:hAnsi="Times New Roman" w:cs="Times New Roman"/>
          <w:sz w:val="28"/>
          <w:szCs w:val="28"/>
        </w:rPr>
        <w:t xml:space="preserve"> riski (piemēram, nakts maiņas darbs, bezdarbs, virsstundu darbs)</w:t>
      </w:r>
      <w:r w:rsidR="00CE6522">
        <w:rPr>
          <w:rStyle w:val="FootnoteReference"/>
          <w:rFonts w:ascii="Times New Roman" w:hAnsi="Times New Roman"/>
          <w:sz w:val="28"/>
          <w:szCs w:val="28"/>
        </w:rPr>
        <w:footnoteReference w:id="58"/>
      </w:r>
      <w:r>
        <w:rPr>
          <w:rFonts w:ascii="Times New Roman" w:hAnsi="Times New Roman" w:cs="Times New Roman"/>
          <w:sz w:val="28"/>
          <w:szCs w:val="28"/>
        </w:rPr>
        <w:t>. Š</w:t>
      </w:r>
      <w:r w:rsidR="00CE6522" w:rsidRPr="00CE6522">
        <w:rPr>
          <w:rFonts w:ascii="Times New Roman" w:hAnsi="Times New Roman" w:cs="Times New Roman"/>
          <w:sz w:val="28"/>
          <w:szCs w:val="28"/>
        </w:rPr>
        <w:t>ie faktori būtu jāņem vērā, nosakot ierobežojumus azartspēļu pieejamībai, piedāvājot kompleks</w:t>
      </w:r>
      <w:r w:rsidR="001A6211">
        <w:rPr>
          <w:rFonts w:ascii="Times New Roman" w:hAnsi="Times New Roman" w:cs="Times New Roman"/>
          <w:sz w:val="28"/>
          <w:szCs w:val="28"/>
        </w:rPr>
        <w:t>u</w:t>
      </w:r>
      <w:r w:rsidR="00CE6522" w:rsidRPr="00CE6522">
        <w:rPr>
          <w:rFonts w:ascii="Times New Roman" w:hAnsi="Times New Roman" w:cs="Times New Roman"/>
          <w:sz w:val="28"/>
          <w:szCs w:val="28"/>
        </w:rPr>
        <w:t xml:space="preserve"> risinājumu, tai skaitā piedāvājot alternatīvus brīv</w:t>
      </w:r>
      <w:r w:rsidR="00833683">
        <w:rPr>
          <w:rFonts w:ascii="Times New Roman" w:hAnsi="Times New Roman" w:cs="Times New Roman"/>
          <w:sz w:val="28"/>
          <w:szCs w:val="28"/>
        </w:rPr>
        <w:t>ā</w:t>
      </w:r>
      <w:r w:rsidR="00CE6522" w:rsidRPr="00CE6522">
        <w:rPr>
          <w:rFonts w:ascii="Times New Roman" w:hAnsi="Times New Roman" w:cs="Times New Roman"/>
          <w:sz w:val="28"/>
          <w:szCs w:val="28"/>
        </w:rPr>
        <w:t xml:space="preserve"> laika pavadīšanas veidus (it īpaši jauniešiem līdz 25 gadiem, kas ir īpaši ievainojami attiecībā uz azartspēļu atkarību veidošanas riskiem).  </w:t>
      </w:r>
    </w:p>
    <w:p w:rsidR="00CE6522" w:rsidRDefault="00CE6522" w:rsidP="00EF3426">
      <w:pPr>
        <w:pStyle w:val="PlainText"/>
        <w:tabs>
          <w:tab w:val="left" w:pos="0"/>
        </w:tabs>
        <w:ind w:firstLine="567"/>
        <w:jc w:val="both"/>
        <w:rPr>
          <w:rFonts w:ascii="Times New Roman" w:hAnsi="Times New Roman" w:cs="Times New Roman"/>
          <w:sz w:val="28"/>
          <w:szCs w:val="28"/>
        </w:rPr>
      </w:pPr>
      <w:r w:rsidRPr="00CE6522">
        <w:rPr>
          <w:rFonts w:ascii="Times New Roman" w:hAnsi="Times New Roman" w:cs="Times New Roman"/>
          <w:sz w:val="28"/>
          <w:szCs w:val="28"/>
        </w:rPr>
        <w:t>Runājot plašāk par atkarīgo vielu lietošanu un procesa atkarības līmeni jauniešu vidū</w:t>
      </w:r>
      <w:r w:rsidR="00695E96">
        <w:rPr>
          <w:rFonts w:ascii="Times New Roman" w:hAnsi="Times New Roman" w:cs="Times New Roman"/>
          <w:sz w:val="28"/>
          <w:szCs w:val="28"/>
        </w:rPr>
        <w:t>,</w:t>
      </w:r>
      <w:r w:rsidRPr="00CE6522">
        <w:rPr>
          <w:rFonts w:ascii="Times New Roman" w:hAnsi="Times New Roman" w:cs="Times New Roman"/>
          <w:sz w:val="28"/>
          <w:szCs w:val="28"/>
        </w:rPr>
        <w:t xml:space="preserve"> visaptverošo pieeju profilaksei un</w:t>
      </w:r>
      <w:r w:rsidR="00695E96">
        <w:rPr>
          <w:rFonts w:ascii="Times New Roman" w:hAnsi="Times New Roman" w:cs="Times New Roman"/>
          <w:sz w:val="28"/>
          <w:szCs w:val="28"/>
        </w:rPr>
        <w:t xml:space="preserve"> atkarības</w:t>
      </w:r>
      <w:r w:rsidRPr="00CE6522">
        <w:rPr>
          <w:rFonts w:ascii="Times New Roman" w:hAnsi="Times New Roman" w:cs="Times New Roman"/>
          <w:sz w:val="28"/>
          <w:szCs w:val="28"/>
        </w:rPr>
        <w:t xml:space="preserve"> mazināšanai ir piedāvājuši Islandes politiku veidotāji sadarbība ar zinātniekiem</w:t>
      </w:r>
      <w:r>
        <w:rPr>
          <w:rStyle w:val="FootnoteReference"/>
          <w:rFonts w:ascii="Times New Roman" w:hAnsi="Times New Roman"/>
          <w:sz w:val="28"/>
          <w:szCs w:val="28"/>
        </w:rPr>
        <w:footnoteReference w:id="59"/>
      </w:r>
      <w:r w:rsidRPr="00CE6522">
        <w:rPr>
          <w:rFonts w:ascii="Times New Roman" w:hAnsi="Times New Roman" w:cs="Times New Roman"/>
          <w:sz w:val="28"/>
          <w:szCs w:val="28"/>
        </w:rPr>
        <w:t xml:space="preserve">. Fundamentāli izprotot iemeslu, </w:t>
      </w:r>
      <w:r w:rsidR="00695E96" w:rsidRPr="00CE6522">
        <w:rPr>
          <w:rFonts w:ascii="Times New Roman" w:hAnsi="Times New Roman" w:cs="Times New Roman"/>
          <w:sz w:val="28"/>
          <w:szCs w:val="28"/>
        </w:rPr>
        <w:t>kā</w:t>
      </w:r>
      <w:r w:rsidR="00695E96">
        <w:rPr>
          <w:rFonts w:ascii="Times New Roman" w:hAnsi="Times New Roman" w:cs="Times New Roman"/>
          <w:sz w:val="28"/>
          <w:szCs w:val="28"/>
        </w:rPr>
        <w:t>dēļ</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 xml:space="preserve">jauniešu vidū ir tik augsts narkotisko un alkoholisko vielu koeficients, </w:t>
      </w:r>
      <w:r w:rsidR="00695E96">
        <w:rPr>
          <w:rFonts w:ascii="Times New Roman" w:hAnsi="Times New Roman" w:cs="Times New Roman"/>
          <w:sz w:val="28"/>
          <w:szCs w:val="28"/>
        </w:rPr>
        <w:t>tika</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konstatēta tieša korelācija</w:t>
      </w:r>
      <w:r w:rsidR="008D58B4">
        <w:rPr>
          <w:rFonts w:ascii="Times New Roman" w:hAnsi="Times New Roman" w:cs="Times New Roman"/>
          <w:sz w:val="28"/>
          <w:szCs w:val="28"/>
        </w:rPr>
        <w:t xml:space="preserve"> starp atkarības līmeni un</w:t>
      </w:r>
      <w:r w:rsidRPr="00CE6522">
        <w:rPr>
          <w:rFonts w:ascii="Times New Roman" w:hAnsi="Times New Roman" w:cs="Times New Roman"/>
          <w:sz w:val="28"/>
          <w:szCs w:val="28"/>
        </w:rPr>
        <w:t xml:space="preserve"> jauniešu kvalitatīvi </w:t>
      </w:r>
      <w:r w:rsidR="008D58B4" w:rsidRPr="00CE6522">
        <w:rPr>
          <w:rFonts w:ascii="Times New Roman" w:hAnsi="Times New Roman" w:cs="Times New Roman"/>
          <w:sz w:val="28"/>
          <w:szCs w:val="28"/>
        </w:rPr>
        <w:t>pavadīt</w:t>
      </w:r>
      <w:r w:rsidR="008D58B4">
        <w:rPr>
          <w:rFonts w:ascii="Times New Roman" w:hAnsi="Times New Roman" w:cs="Times New Roman"/>
          <w:sz w:val="28"/>
          <w:szCs w:val="28"/>
        </w:rPr>
        <w:t>o</w:t>
      </w:r>
      <w:r w:rsidR="008D58B4" w:rsidRPr="00CE6522">
        <w:rPr>
          <w:rFonts w:ascii="Times New Roman" w:hAnsi="Times New Roman" w:cs="Times New Roman"/>
          <w:sz w:val="28"/>
          <w:szCs w:val="28"/>
        </w:rPr>
        <w:t xml:space="preserve"> laik</w:t>
      </w:r>
      <w:r w:rsidR="008D58B4">
        <w:rPr>
          <w:rFonts w:ascii="Times New Roman" w:hAnsi="Times New Roman" w:cs="Times New Roman"/>
          <w:sz w:val="28"/>
          <w:szCs w:val="28"/>
        </w:rPr>
        <w:t xml:space="preserve">u </w:t>
      </w:r>
      <w:r w:rsidRPr="00CE6522">
        <w:rPr>
          <w:rFonts w:ascii="Times New Roman" w:hAnsi="Times New Roman" w:cs="Times New Roman"/>
          <w:sz w:val="28"/>
          <w:szCs w:val="28"/>
        </w:rPr>
        <w:t>ar ģimenes locekļiem, kā arī citi faktori, kas ietekmē atkarības veidošanos</w:t>
      </w:r>
      <w:r w:rsidR="00695E96">
        <w:rPr>
          <w:rFonts w:ascii="Times New Roman" w:hAnsi="Times New Roman" w:cs="Times New Roman"/>
          <w:sz w:val="28"/>
          <w:szCs w:val="28"/>
        </w:rPr>
        <w:t>.</w:t>
      </w:r>
      <w:r w:rsidR="00695E96" w:rsidRPr="00CE6522">
        <w:rPr>
          <w:rFonts w:ascii="Times New Roman" w:hAnsi="Times New Roman" w:cs="Times New Roman"/>
          <w:sz w:val="28"/>
          <w:szCs w:val="28"/>
        </w:rPr>
        <w:t xml:space="preserve"> </w:t>
      </w:r>
      <w:r w:rsidR="00695E96">
        <w:rPr>
          <w:rFonts w:ascii="Times New Roman" w:hAnsi="Times New Roman" w:cs="Times New Roman"/>
          <w:sz w:val="28"/>
          <w:szCs w:val="28"/>
        </w:rPr>
        <w:t>Tādēļ</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piedāvāta uz teorētiskām atziņām balstīta programma, iekļaujot visus sabiedrības locekļus, kas var pozitīvi ietekmē</w:t>
      </w:r>
      <w:r w:rsidR="00281CEF">
        <w:rPr>
          <w:rFonts w:ascii="Times New Roman" w:hAnsi="Times New Roman" w:cs="Times New Roman"/>
          <w:sz w:val="28"/>
          <w:szCs w:val="28"/>
        </w:rPr>
        <w:t>t</w:t>
      </w:r>
      <w:r w:rsidRPr="00CE6522">
        <w:rPr>
          <w:rFonts w:ascii="Times New Roman" w:hAnsi="Times New Roman" w:cs="Times New Roman"/>
          <w:sz w:val="28"/>
          <w:szCs w:val="28"/>
        </w:rPr>
        <w:t xml:space="preserve"> rezultātu</w:t>
      </w:r>
      <w:r>
        <w:rPr>
          <w:rStyle w:val="FootnoteReference"/>
          <w:rFonts w:ascii="Times New Roman" w:hAnsi="Times New Roman"/>
          <w:sz w:val="28"/>
          <w:szCs w:val="28"/>
        </w:rPr>
        <w:footnoteReference w:id="60"/>
      </w:r>
      <w:r w:rsidRPr="00CE6522">
        <w:rPr>
          <w:rFonts w:ascii="Times New Roman" w:hAnsi="Times New Roman" w:cs="Times New Roman"/>
          <w:sz w:val="28"/>
          <w:szCs w:val="28"/>
        </w:rPr>
        <w:t>. Viens no galvenajiem principiem, kas bija integrēt</w:t>
      </w:r>
      <w:r w:rsidR="00695E96">
        <w:rPr>
          <w:rFonts w:ascii="Times New Roman" w:hAnsi="Times New Roman" w:cs="Times New Roman"/>
          <w:sz w:val="28"/>
          <w:szCs w:val="28"/>
        </w:rPr>
        <w:t>s</w:t>
      </w:r>
      <w:r w:rsidRPr="00CE6522">
        <w:rPr>
          <w:rFonts w:ascii="Times New Roman" w:hAnsi="Times New Roman" w:cs="Times New Roman"/>
          <w:sz w:val="28"/>
          <w:szCs w:val="28"/>
        </w:rPr>
        <w:t xml:space="preserve"> visaptverošā pieejā</w:t>
      </w:r>
      <w:r w:rsidR="00695E96">
        <w:rPr>
          <w:rFonts w:ascii="Times New Roman" w:hAnsi="Times New Roman" w:cs="Times New Roman"/>
          <w:sz w:val="28"/>
          <w:szCs w:val="28"/>
        </w:rPr>
        <w:t>,</w:t>
      </w:r>
      <w:r w:rsidRPr="00CE6522">
        <w:rPr>
          <w:rFonts w:ascii="Times New Roman" w:hAnsi="Times New Roman" w:cs="Times New Roman"/>
          <w:sz w:val="28"/>
          <w:szCs w:val="28"/>
        </w:rPr>
        <w:t xml:space="preserve"> ir princip</w:t>
      </w:r>
      <w:r w:rsidR="00676478">
        <w:rPr>
          <w:rFonts w:ascii="Times New Roman" w:hAnsi="Times New Roman" w:cs="Times New Roman"/>
          <w:sz w:val="28"/>
          <w:szCs w:val="28"/>
        </w:rPr>
        <w:t>s</w:t>
      </w:r>
      <w:r w:rsidR="00622FF1">
        <w:rPr>
          <w:rFonts w:ascii="Times New Roman" w:hAnsi="Times New Roman" w:cs="Times New Roman"/>
          <w:sz w:val="28"/>
          <w:szCs w:val="28"/>
        </w:rPr>
        <w:t xml:space="preserve"> -</w:t>
      </w:r>
      <w:r w:rsidR="00A02650">
        <w:rPr>
          <w:rFonts w:ascii="Times New Roman" w:hAnsi="Times New Roman" w:cs="Times New Roman"/>
          <w:sz w:val="28"/>
          <w:szCs w:val="28"/>
        </w:rPr>
        <w:t xml:space="preserve"> </w:t>
      </w:r>
      <w:r w:rsidRPr="00CE6522">
        <w:rPr>
          <w:rFonts w:ascii="Times New Roman" w:hAnsi="Times New Roman" w:cs="Times New Roman"/>
          <w:sz w:val="28"/>
          <w:szCs w:val="28"/>
        </w:rPr>
        <w:t>nodarbiniet savus bērnus</w:t>
      </w:r>
      <w:r w:rsidR="00676478">
        <w:rPr>
          <w:rFonts w:ascii="Times New Roman" w:hAnsi="Times New Roman" w:cs="Times New Roman"/>
          <w:sz w:val="28"/>
          <w:szCs w:val="28"/>
        </w:rPr>
        <w:t>.</w:t>
      </w:r>
      <w:r w:rsidRPr="00CE6522">
        <w:rPr>
          <w:rFonts w:ascii="Times New Roman" w:hAnsi="Times New Roman" w:cs="Times New Roman"/>
          <w:sz w:val="28"/>
          <w:szCs w:val="28"/>
        </w:rPr>
        <w:t xml:space="preserve"> </w:t>
      </w:r>
      <w:r w:rsidR="00513DC1">
        <w:rPr>
          <w:rFonts w:ascii="Times New Roman" w:hAnsi="Times New Roman" w:cs="Times New Roman"/>
          <w:sz w:val="28"/>
          <w:szCs w:val="28"/>
        </w:rPr>
        <w:t xml:space="preserve">Vecākiem </w:t>
      </w:r>
      <w:r w:rsidR="00622FF1">
        <w:rPr>
          <w:rFonts w:ascii="Times New Roman" w:hAnsi="Times New Roman" w:cs="Times New Roman"/>
          <w:sz w:val="28"/>
          <w:szCs w:val="28"/>
        </w:rPr>
        <w:t xml:space="preserve">tika </w:t>
      </w:r>
      <w:r w:rsidR="00513DC1">
        <w:rPr>
          <w:rFonts w:ascii="Times New Roman" w:hAnsi="Times New Roman" w:cs="Times New Roman"/>
          <w:sz w:val="28"/>
          <w:szCs w:val="28"/>
        </w:rPr>
        <w:t>piedāvāts kupons</w:t>
      </w:r>
      <w:r w:rsidRPr="00CE6522">
        <w:rPr>
          <w:rFonts w:ascii="Times New Roman" w:hAnsi="Times New Roman" w:cs="Times New Roman"/>
          <w:sz w:val="28"/>
          <w:szCs w:val="28"/>
        </w:rPr>
        <w:t xml:space="preserve"> 500 dolāru apmērā </w:t>
      </w:r>
      <w:r w:rsidR="008D1C7B">
        <w:rPr>
          <w:rFonts w:ascii="Times New Roman" w:hAnsi="Times New Roman" w:cs="Times New Roman"/>
          <w:sz w:val="28"/>
          <w:szCs w:val="28"/>
        </w:rPr>
        <w:t xml:space="preserve">par </w:t>
      </w:r>
      <w:r w:rsidRPr="00CE6522">
        <w:rPr>
          <w:rFonts w:ascii="Times New Roman" w:hAnsi="Times New Roman" w:cs="Times New Roman"/>
          <w:sz w:val="28"/>
          <w:szCs w:val="28"/>
        </w:rPr>
        <w:t xml:space="preserve">bērnu </w:t>
      </w:r>
      <w:r w:rsidR="008D1C7B">
        <w:rPr>
          <w:rFonts w:ascii="Times New Roman" w:hAnsi="Times New Roman" w:cs="Times New Roman"/>
          <w:sz w:val="28"/>
          <w:szCs w:val="28"/>
        </w:rPr>
        <w:t>ārpus</w:t>
      </w:r>
      <w:r w:rsidRPr="00CE6522">
        <w:rPr>
          <w:rFonts w:ascii="Times New Roman" w:hAnsi="Times New Roman" w:cs="Times New Roman"/>
          <w:sz w:val="28"/>
          <w:szCs w:val="28"/>
        </w:rPr>
        <w:t>skolas sporta nodarbībām pašvaldības nodrošinātajos sporta infrastruktūras objektos.</w:t>
      </w:r>
    </w:p>
    <w:p w:rsidR="00AE46F8" w:rsidRDefault="00AE46F8" w:rsidP="00EF3426">
      <w:pPr>
        <w:pStyle w:val="PlainText"/>
        <w:tabs>
          <w:tab w:val="left" w:pos="0"/>
        </w:tabs>
        <w:ind w:firstLine="567"/>
        <w:jc w:val="both"/>
        <w:rPr>
          <w:rFonts w:ascii="Times New Roman" w:hAnsi="Times New Roman" w:cs="Times New Roman"/>
          <w:sz w:val="28"/>
          <w:szCs w:val="28"/>
        </w:rPr>
      </w:pPr>
    </w:p>
    <w:p w:rsidR="00CE6522" w:rsidRDefault="00CE6522" w:rsidP="00EF1713">
      <w:pPr>
        <w:pStyle w:val="PlainTex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EA2741" w:rsidRPr="007571C1">
        <w:rPr>
          <w:rFonts w:ascii="Times New Roman" w:hAnsi="Times New Roman" w:cs="Times New Roman"/>
          <w:i/>
          <w:sz w:val="28"/>
          <w:szCs w:val="28"/>
        </w:rPr>
        <w:t>Nepieciešami</w:t>
      </w:r>
      <w:r w:rsidR="006966D5">
        <w:rPr>
          <w:rFonts w:ascii="Times New Roman" w:hAnsi="Times New Roman" w:cs="Times New Roman"/>
          <w:i/>
          <w:sz w:val="28"/>
          <w:szCs w:val="28"/>
        </w:rPr>
        <w:t>e</w:t>
      </w:r>
      <w:r w:rsidRPr="007571C1">
        <w:rPr>
          <w:rFonts w:ascii="Times New Roman" w:hAnsi="Times New Roman" w:cs="Times New Roman"/>
          <w:i/>
          <w:sz w:val="28"/>
          <w:szCs w:val="28"/>
        </w:rPr>
        <w:t xml:space="preserve"> pasākumi</w:t>
      </w:r>
      <w:r>
        <w:rPr>
          <w:rFonts w:ascii="Times New Roman" w:hAnsi="Times New Roman" w:cs="Times New Roman"/>
          <w:sz w:val="28"/>
          <w:szCs w:val="28"/>
        </w:rPr>
        <w:t>:</w:t>
      </w:r>
    </w:p>
    <w:p w:rsidR="00CE6522" w:rsidRPr="00CE6522" w:rsidRDefault="009E0A36" w:rsidP="009E0A3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A2741">
        <w:rPr>
          <w:rFonts w:ascii="Times New Roman" w:hAnsi="Times New Roman" w:cs="Times New Roman"/>
          <w:sz w:val="28"/>
          <w:szCs w:val="28"/>
        </w:rPr>
        <w:t>n</w:t>
      </w:r>
      <w:r w:rsidR="00CE6522" w:rsidRPr="00CE6522">
        <w:rPr>
          <w:rFonts w:ascii="Times New Roman" w:hAnsi="Times New Roman" w:cs="Times New Roman"/>
          <w:sz w:val="28"/>
          <w:szCs w:val="28"/>
        </w:rPr>
        <w:t>oteikt aizliegumu uzturlīdzekļu nemaksātajiem piedalīties azartspēlēs;</w:t>
      </w:r>
    </w:p>
    <w:p w:rsidR="00F914D9" w:rsidRPr="00044461" w:rsidRDefault="00AE62DA" w:rsidP="00F555A1">
      <w:pPr>
        <w:ind w:firstLine="709"/>
        <w:contextualSpacing/>
        <w:jc w:val="both"/>
        <w:rPr>
          <w:rFonts w:cs="Times New Roman"/>
          <w:sz w:val="28"/>
          <w:szCs w:val="28"/>
        </w:rPr>
      </w:pPr>
      <w:r>
        <w:rPr>
          <w:rFonts w:cs="Times New Roman"/>
          <w:sz w:val="28"/>
          <w:szCs w:val="28"/>
        </w:rPr>
        <w:t>2</w:t>
      </w:r>
      <w:r w:rsidR="009E0A36">
        <w:rPr>
          <w:rFonts w:cs="Times New Roman"/>
          <w:sz w:val="28"/>
          <w:szCs w:val="28"/>
        </w:rPr>
        <w:t xml:space="preserve">) </w:t>
      </w:r>
      <w:r w:rsidR="00F914D9" w:rsidRPr="00044461">
        <w:rPr>
          <w:rFonts w:cs="Times New Roman"/>
          <w:sz w:val="28"/>
          <w:szCs w:val="28"/>
        </w:rPr>
        <w:t>noteikt prasības AIL “zemes</w:t>
      </w:r>
      <w:r w:rsidR="006966D5">
        <w:rPr>
          <w:rFonts w:cs="Times New Roman"/>
          <w:sz w:val="28"/>
          <w:szCs w:val="28"/>
        </w:rPr>
        <w:t>”</w:t>
      </w:r>
      <w:r w:rsidR="00F914D9" w:rsidRPr="00044461">
        <w:rPr>
          <w:rFonts w:cs="Times New Roman"/>
          <w:sz w:val="28"/>
          <w:szCs w:val="28"/>
        </w:rPr>
        <w:t xml:space="preserve"> </w:t>
      </w:r>
      <w:r w:rsidR="006966D5">
        <w:rPr>
          <w:rFonts w:cs="Times New Roman"/>
          <w:sz w:val="28"/>
          <w:szCs w:val="28"/>
        </w:rPr>
        <w:t>azart</w:t>
      </w:r>
      <w:r w:rsidR="00F914D9" w:rsidRPr="00044461">
        <w:rPr>
          <w:rFonts w:cs="Times New Roman"/>
          <w:sz w:val="28"/>
          <w:szCs w:val="28"/>
        </w:rPr>
        <w:t>spēļu</w:t>
      </w:r>
      <w:r w:rsidR="00F914D9" w:rsidRPr="0008597D">
        <w:rPr>
          <w:rFonts w:cs="Times New Roman"/>
          <w:sz w:val="28"/>
          <w:szCs w:val="28"/>
        </w:rPr>
        <w:t xml:space="preserve"> organizētājam nodrošināt, ka</w:t>
      </w:r>
      <w:r w:rsidR="00F555A1">
        <w:rPr>
          <w:rFonts w:cs="Times New Roman"/>
          <w:sz w:val="28"/>
          <w:szCs w:val="28"/>
        </w:rPr>
        <w:t xml:space="preserve"> s</w:t>
      </w:r>
      <w:r w:rsidR="00F914D9" w:rsidRPr="00044461">
        <w:rPr>
          <w:rFonts w:cs="Times New Roman"/>
          <w:sz w:val="28"/>
          <w:szCs w:val="28"/>
        </w:rPr>
        <w:t>pēlētāj</w:t>
      </w:r>
      <w:r w:rsidR="007F0BEB">
        <w:rPr>
          <w:rFonts w:cs="Times New Roman"/>
          <w:sz w:val="28"/>
          <w:szCs w:val="28"/>
        </w:rPr>
        <w:t>s</w:t>
      </w:r>
      <w:r w:rsidR="00F914D9" w:rsidRPr="00044461">
        <w:rPr>
          <w:rFonts w:cs="Times New Roman"/>
          <w:sz w:val="28"/>
          <w:szCs w:val="28"/>
        </w:rPr>
        <w:t xml:space="preserve"> reģistrācijas posmā var pēc noklusējuma noteikt naudas depozīta maksimālās summas ierobežojumus, kā arī pagaidu ierobežojumus. </w:t>
      </w:r>
      <w:r w:rsidR="00105EA2">
        <w:rPr>
          <w:rFonts w:cs="Times New Roman"/>
          <w:sz w:val="28"/>
          <w:szCs w:val="28"/>
        </w:rPr>
        <w:t xml:space="preserve">Pēc attiecīga pārejas perioda </w:t>
      </w:r>
      <w:r w:rsidR="00F914D9" w:rsidRPr="00044461">
        <w:rPr>
          <w:rFonts w:cs="Times New Roman"/>
          <w:sz w:val="28"/>
          <w:szCs w:val="28"/>
        </w:rPr>
        <w:t xml:space="preserve">“Zemes” azartspēlēm tiek izmantotas </w:t>
      </w:r>
      <w:r w:rsidR="00105EA2">
        <w:rPr>
          <w:rFonts w:cs="Times New Roman"/>
          <w:sz w:val="28"/>
          <w:szCs w:val="28"/>
        </w:rPr>
        <w:t xml:space="preserve">arī </w:t>
      </w:r>
      <w:r w:rsidR="00F914D9" w:rsidRPr="00044461">
        <w:rPr>
          <w:rFonts w:cs="Times New Roman"/>
          <w:sz w:val="28"/>
          <w:szCs w:val="28"/>
        </w:rPr>
        <w:t>“gudrās kartes”, kurās ir noteikti naudas limiti, piemēram, spēlei spēļu automātos;</w:t>
      </w:r>
    </w:p>
    <w:p w:rsidR="00734B24" w:rsidRPr="0008597D" w:rsidRDefault="00AE62DA" w:rsidP="009E0A36">
      <w:pPr>
        <w:pStyle w:val="PlainText"/>
        <w:ind w:firstLine="709"/>
        <w:jc w:val="both"/>
        <w:rPr>
          <w:rFonts w:cs="Times New Roman"/>
          <w:sz w:val="28"/>
          <w:szCs w:val="28"/>
        </w:rPr>
      </w:pPr>
      <w:r>
        <w:rPr>
          <w:rFonts w:ascii="Times New Roman" w:hAnsi="Times New Roman" w:cs="Times New Roman"/>
          <w:sz w:val="28"/>
          <w:szCs w:val="28"/>
        </w:rPr>
        <w:lastRenderedPageBreak/>
        <w:t>3</w:t>
      </w:r>
      <w:r w:rsidR="009E0A36">
        <w:rPr>
          <w:rFonts w:ascii="Times New Roman" w:hAnsi="Times New Roman" w:cs="Times New Roman"/>
          <w:sz w:val="28"/>
          <w:szCs w:val="28"/>
        </w:rPr>
        <w:t xml:space="preserve">) </w:t>
      </w:r>
      <w:r w:rsidR="00181F24" w:rsidRPr="00A412C7">
        <w:rPr>
          <w:rFonts w:ascii="Times New Roman" w:eastAsia="Helvetica" w:hAnsi="Times New Roman" w:cs="Times New Roman"/>
          <w:sz w:val="28"/>
          <w:szCs w:val="28"/>
        </w:rPr>
        <w:t xml:space="preserve">normatīvajos aktos noteikt vecuma ierobežojumu </w:t>
      </w:r>
      <w:r w:rsidR="00181F24" w:rsidRPr="000329B8">
        <w:rPr>
          <w:rFonts w:ascii="Times New Roman" w:eastAsia="Helvetica" w:hAnsi="Times New Roman" w:cs="Times New Roman"/>
          <w:sz w:val="28"/>
          <w:szCs w:val="28"/>
        </w:rPr>
        <w:t xml:space="preserve">dalībai azartspēlēs no </w:t>
      </w:r>
      <w:r w:rsidR="00764479">
        <w:rPr>
          <w:rFonts w:ascii="Times New Roman" w:eastAsia="Helvetica" w:hAnsi="Times New Roman" w:cs="Times New Roman"/>
          <w:sz w:val="28"/>
          <w:szCs w:val="28"/>
        </w:rPr>
        <w:t>21</w:t>
      </w:r>
      <w:r w:rsidR="00764479" w:rsidRPr="000329B8">
        <w:rPr>
          <w:rFonts w:ascii="Times New Roman" w:eastAsia="Helvetica" w:hAnsi="Times New Roman" w:cs="Times New Roman"/>
          <w:sz w:val="28"/>
          <w:szCs w:val="28"/>
        </w:rPr>
        <w:t xml:space="preserve"> </w:t>
      </w:r>
      <w:r w:rsidR="00181F24" w:rsidRPr="000329B8">
        <w:rPr>
          <w:rFonts w:ascii="Times New Roman" w:eastAsia="Helvetica" w:hAnsi="Times New Roman" w:cs="Times New Roman"/>
          <w:sz w:val="28"/>
          <w:szCs w:val="28"/>
        </w:rPr>
        <w:t>gada vecuma</w:t>
      </w:r>
      <w:r w:rsidR="00734B24" w:rsidRPr="000329B8">
        <w:rPr>
          <w:rFonts w:ascii="Times New Roman" w:hAnsi="Times New Roman" w:cs="Times New Roman"/>
          <w:sz w:val="28"/>
          <w:szCs w:val="28"/>
        </w:rPr>
        <w:t>;</w:t>
      </w:r>
    </w:p>
    <w:p w:rsidR="00CE6522" w:rsidRPr="00044461" w:rsidRDefault="00AE62DA" w:rsidP="009E0A36">
      <w:pPr>
        <w:pStyle w:val="ListParagraph"/>
        <w:ind w:left="0" w:firstLine="709"/>
        <w:jc w:val="both"/>
        <w:rPr>
          <w:rFonts w:cs="Times New Roman"/>
          <w:sz w:val="28"/>
          <w:szCs w:val="28"/>
        </w:rPr>
      </w:pPr>
      <w:r>
        <w:rPr>
          <w:rFonts w:cs="Times New Roman"/>
          <w:sz w:val="28"/>
          <w:szCs w:val="28"/>
        </w:rPr>
        <w:t>4</w:t>
      </w:r>
      <w:r w:rsidR="009E0A36">
        <w:rPr>
          <w:rFonts w:cs="Times New Roman"/>
          <w:sz w:val="28"/>
          <w:szCs w:val="28"/>
        </w:rPr>
        <w:t xml:space="preserve">) </w:t>
      </w:r>
      <w:r w:rsidR="00734B24" w:rsidRPr="00F914D9">
        <w:rPr>
          <w:rFonts w:cs="Times New Roman"/>
          <w:sz w:val="28"/>
          <w:szCs w:val="28"/>
        </w:rPr>
        <w:t>n</w:t>
      </w:r>
      <w:r w:rsidR="00EA2741" w:rsidRPr="00F914D9">
        <w:rPr>
          <w:rFonts w:cs="Times New Roman"/>
          <w:sz w:val="28"/>
          <w:szCs w:val="28"/>
        </w:rPr>
        <w:t>oteikt</w:t>
      </w:r>
      <w:r w:rsidR="00851435" w:rsidRPr="00F914D9">
        <w:rPr>
          <w:rFonts w:cs="Times New Roman"/>
          <w:sz w:val="28"/>
          <w:szCs w:val="28"/>
        </w:rPr>
        <w:t xml:space="preserve"> </w:t>
      </w:r>
      <w:r w:rsidR="00EA2741" w:rsidRPr="00044461">
        <w:rPr>
          <w:rFonts w:cs="Times New Roman"/>
          <w:bCs/>
          <w:sz w:val="28"/>
          <w:szCs w:val="28"/>
        </w:rPr>
        <w:t>i</w:t>
      </w:r>
      <w:r w:rsidR="00EA2741" w:rsidRPr="00044461">
        <w:rPr>
          <w:rFonts w:cs="Times New Roman"/>
          <w:sz w:val="28"/>
          <w:szCs w:val="28"/>
        </w:rPr>
        <w:t>erobežojumu piedalīties izlozēs personām, kuras nav sasniegušas 18 gadu</w:t>
      </w:r>
      <w:r w:rsidR="00803AB1">
        <w:rPr>
          <w:rFonts w:cs="Times New Roman"/>
          <w:sz w:val="28"/>
          <w:szCs w:val="28"/>
        </w:rPr>
        <w:t xml:space="preserve"> vecumu</w:t>
      </w:r>
      <w:r w:rsidR="00EA2741" w:rsidRPr="00044461">
        <w:rPr>
          <w:rFonts w:cs="Times New Roman"/>
          <w:sz w:val="28"/>
          <w:szCs w:val="28"/>
        </w:rPr>
        <w:t xml:space="preserve">, nodrošinot personu apliecinošu dokumentu pārbaudi tirdzniecības vietās; </w:t>
      </w:r>
    </w:p>
    <w:p w:rsidR="00851435" w:rsidRDefault="00AE62DA" w:rsidP="009E0A3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5</w:t>
      </w:r>
      <w:r w:rsidR="009E0A36">
        <w:rPr>
          <w:rFonts w:ascii="Times New Roman" w:hAnsi="Times New Roman" w:cs="Times New Roman"/>
          <w:sz w:val="28"/>
          <w:szCs w:val="28"/>
        </w:rPr>
        <w:t xml:space="preserve">) </w:t>
      </w:r>
      <w:r w:rsidR="00EA2741">
        <w:rPr>
          <w:rFonts w:ascii="Times New Roman" w:hAnsi="Times New Roman" w:cs="Times New Roman"/>
          <w:sz w:val="28"/>
          <w:szCs w:val="28"/>
        </w:rPr>
        <w:t xml:space="preserve">noteikt </w:t>
      </w:r>
      <w:r w:rsidR="00734B24">
        <w:rPr>
          <w:rFonts w:ascii="Times New Roman" w:hAnsi="Times New Roman" w:cs="Times New Roman"/>
          <w:sz w:val="28"/>
          <w:szCs w:val="28"/>
        </w:rPr>
        <w:t>uzdevumu</w:t>
      </w:r>
      <w:r w:rsidR="00EA2741">
        <w:rPr>
          <w:rFonts w:ascii="Times New Roman" w:hAnsi="Times New Roman" w:cs="Times New Roman"/>
          <w:sz w:val="28"/>
          <w:szCs w:val="28"/>
        </w:rPr>
        <w:t xml:space="preserve"> pašvaldībām i</w:t>
      </w:r>
      <w:r w:rsidR="00CE6522" w:rsidRPr="00CE6522">
        <w:rPr>
          <w:rFonts w:ascii="Times New Roman" w:hAnsi="Times New Roman" w:cs="Times New Roman"/>
          <w:sz w:val="28"/>
          <w:szCs w:val="28"/>
        </w:rPr>
        <w:t xml:space="preserve">zstrādāt </w:t>
      </w:r>
      <w:r w:rsidR="00406AFE" w:rsidRPr="00396566">
        <w:rPr>
          <w:rFonts w:ascii="Times New Roman" w:hAnsi="Times New Roman" w:cs="Times New Roman"/>
          <w:sz w:val="28"/>
          <w:szCs w:val="28"/>
        </w:rPr>
        <w:t>priekšlikumus alternatīvo brīvā laika pavadīšanas veidu integrācijai teritorijās, kur azartspēļu zāle ir vieglāk pieejama alternatīva salīdzinājumā ar citām brīvā laika pavadīšanas iespējām, tajā skaitā izmantojot pašvaldību rīcībā esošo</w:t>
      </w:r>
      <w:r w:rsidR="00406AFE" w:rsidRPr="003B6298">
        <w:rPr>
          <w:rFonts w:ascii="Times New Roman" w:hAnsi="Times New Roman" w:cs="Times New Roman"/>
          <w:szCs w:val="22"/>
        </w:rPr>
        <w:t xml:space="preserve"> </w:t>
      </w:r>
      <w:r w:rsidR="00406AFE" w:rsidRPr="00396566">
        <w:rPr>
          <w:rFonts w:ascii="Times New Roman" w:hAnsi="Times New Roman" w:cs="Times New Roman"/>
          <w:sz w:val="28"/>
          <w:szCs w:val="28"/>
        </w:rPr>
        <w:t>infrastruktūru</w:t>
      </w:r>
      <w:r w:rsidR="00851435">
        <w:rPr>
          <w:rFonts w:ascii="Times New Roman" w:hAnsi="Times New Roman" w:cs="Times New Roman"/>
          <w:sz w:val="28"/>
          <w:szCs w:val="28"/>
        </w:rPr>
        <w:t>;</w:t>
      </w:r>
    </w:p>
    <w:p w:rsidR="00E064F8" w:rsidRPr="00E064F8" w:rsidRDefault="00AE62DA" w:rsidP="009E0A36">
      <w:pPr>
        <w:pStyle w:val="PlainTex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9E0A36">
        <w:rPr>
          <w:rFonts w:ascii="Times New Roman" w:hAnsi="Times New Roman" w:cs="Times New Roman"/>
          <w:sz w:val="28"/>
          <w:szCs w:val="28"/>
        </w:rPr>
        <w:t xml:space="preserve">) </w:t>
      </w:r>
      <w:r w:rsidR="00193F92">
        <w:rPr>
          <w:rFonts w:ascii="Times New Roman" w:hAnsi="Times New Roman" w:cs="Times New Roman"/>
          <w:sz w:val="28"/>
          <w:szCs w:val="28"/>
        </w:rPr>
        <w:t>n</w:t>
      </w:r>
      <w:r w:rsidR="00193F92" w:rsidRPr="008B5B45">
        <w:rPr>
          <w:rFonts w:ascii="Times New Roman" w:hAnsi="Times New Roman" w:cs="Times New Roman"/>
          <w:sz w:val="28"/>
          <w:szCs w:val="28"/>
        </w:rPr>
        <w:t>oteikt ierobežojumu darba laik</w:t>
      </w:r>
      <w:r w:rsidR="00193F92">
        <w:rPr>
          <w:rFonts w:ascii="Times New Roman" w:hAnsi="Times New Roman" w:cs="Times New Roman"/>
          <w:sz w:val="28"/>
          <w:szCs w:val="28"/>
        </w:rPr>
        <w:t xml:space="preserve">am </w:t>
      </w:r>
      <w:r w:rsidR="008705F6">
        <w:rPr>
          <w:rFonts w:ascii="Times New Roman" w:hAnsi="Times New Roman" w:cs="Times New Roman"/>
          <w:sz w:val="28"/>
          <w:szCs w:val="28"/>
        </w:rPr>
        <w:t>azartspēlēs</w:t>
      </w:r>
      <w:r w:rsidR="00193F92" w:rsidRPr="008B5B45">
        <w:rPr>
          <w:rFonts w:ascii="Times New Roman" w:hAnsi="Times New Roman" w:cs="Times New Roman"/>
          <w:sz w:val="28"/>
          <w:szCs w:val="28"/>
        </w:rPr>
        <w:t xml:space="preserve"> no </w:t>
      </w:r>
      <w:r w:rsidR="000C2BF0">
        <w:rPr>
          <w:rFonts w:ascii="Times New Roman" w:hAnsi="Times New Roman" w:cs="Times New Roman"/>
          <w:sz w:val="28"/>
          <w:szCs w:val="28"/>
        </w:rPr>
        <w:t>6</w:t>
      </w:r>
      <w:r w:rsidR="00F122B4">
        <w:rPr>
          <w:rFonts w:ascii="Times New Roman" w:hAnsi="Times New Roman" w:cs="Times New Roman"/>
          <w:sz w:val="28"/>
          <w:szCs w:val="28"/>
        </w:rPr>
        <w:t>.</w:t>
      </w:r>
      <w:r w:rsidR="00193F92" w:rsidRPr="008B5B45">
        <w:rPr>
          <w:rFonts w:ascii="Times New Roman" w:hAnsi="Times New Roman" w:cs="Times New Roman"/>
          <w:sz w:val="28"/>
          <w:szCs w:val="28"/>
        </w:rPr>
        <w:t xml:space="preserve">00 – </w:t>
      </w:r>
      <w:r w:rsidR="000C2BF0">
        <w:rPr>
          <w:rFonts w:ascii="Times New Roman" w:hAnsi="Times New Roman" w:cs="Times New Roman"/>
          <w:sz w:val="28"/>
          <w:szCs w:val="28"/>
        </w:rPr>
        <w:t>9</w:t>
      </w:r>
      <w:r w:rsidR="00F122B4">
        <w:rPr>
          <w:rFonts w:ascii="Times New Roman" w:hAnsi="Times New Roman" w:cs="Times New Roman"/>
          <w:sz w:val="28"/>
          <w:szCs w:val="28"/>
        </w:rPr>
        <w:t>.</w:t>
      </w:r>
      <w:r w:rsidR="00193F92" w:rsidRPr="008B5B45">
        <w:rPr>
          <w:rFonts w:ascii="Times New Roman" w:hAnsi="Times New Roman" w:cs="Times New Roman"/>
          <w:sz w:val="28"/>
          <w:szCs w:val="28"/>
        </w:rPr>
        <w:t>00</w:t>
      </w:r>
      <w:r w:rsidR="0063002D">
        <w:rPr>
          <w:rFonts w:ascii="Times New Roman" w:hAnsi="Times New Roman" w:cs="Times New Roman"/>
          <w:sz w:val="28"/>
          <w:szCs w:val="28"/>
        </w:rPr>
        <w:t xml:space="preserve">, </w:t>
      </w:r>
      <w:r w:rsidR="0063002D" w:rsidRPr="00396566">
        <w:rPr>
          <w:rFonts w:ascii="Times New Roman" w:hAnsi="Times New Roman" w:cs="Times New Roman"/>
          <w:color w:val="000000" w:themeColor="text1"/>
          <w:sz w:val="28"/>
          <w:szCs w:val="28"/>
        </w:rPr>
        <w:t xml:space="preserve">izņemot totalizatoru </w:t>
      </w:r>
      <w:r w:rsidR="00622FF1">
        <w:rPr>
          <w:rFonts w:ascii="Times New Roman" w:hAnsi="Times New Roman" w:cs="Times New Roman"/>
          <w:color w:val="000000" w:themeColor="text1"/>
          <w:sz w:val="28"/>
          <w:szCs w:val="28"/>
        </w:rPr>
        <w:t xml:space="preserve"> un derību likmju pieņemšanas vietas</w:t>
      </w:r>
      <w:r w:rsidR="00E064F8" w:rsidRPr="00E064F8">
        <w:rPr>
          <w:rFonts w:ascii="Times New Roman" w:hAnsi="Times New Roman" w:cs="Times New Roman"/>
          <w:color w:val="000000" w:themeColor="text1"/>
          <w:sz w:val="28"/>
          <w:szCs w:val="28"/>
        </w:rPr>
        <w:t>;</w:t>
      </w:r>
    </w:p>
    <w:p w:rsidR="00E064F8" w:rsidRPr="00396566" w:rsidRDefault="00AE62DA" w:rsidP="009E0A36">
      <w:pPr>
        <w:pStyle w:val="PlainTex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E0A36">
        <w:rPr>
          <w:rFonts w:ascii="Times New Roman" w:hAnsi="Times New Roman" w:cs="Times New Roman"/>
          <w:color w:val="000000" w:themeColor="text1"/>
          <w:sz w:val="28"/>
          <w:szCs w:val="28"/>
        </w:rPr>
        <w:t xml:space="preserve">) </w:t>
      </w:r>
      <w:r w:rsidR="00E064F8" w:rsidRPr="00E064F8">
        <w:rPr>
          <w:rFonts w:ascii="Times New Roman" w:hAnsi="Times New Roman" w:cs="Times New Roman"/>
          <w:color w:val="000000" w:themeColor="text1"/>
          <w:sz w:val="28"/>
          <w:szCs w:val="28"/>
        </w:rPr>
        <w:t>noteikt pienākumu</w:t>
      </w:r>
      <w:r w:rsidR="00E064F8" w:rsidRPr="00396566">
        <w:rPr>
          <w:rFonts w:ascii="Times New Roman" w:hAnsi="Times New Roman" w:cs="Times New Roman"/>
          <w:sz w:val="28"/>
          <w:szCs w:val="28"/>
        </w:rPr>
        <w:t xml:space="preserve"> azartspēļu organizēšanas vietās </w:t>
      </w:r>
      <w:r w:rsidR="00622FF1">
        <w:rPr>
          <w:rFonts w:ascii="Times New Roman" w:hAnsi="Times New Roman" w:cs="Times New Roman"/>
          <w:sz w:val="28"/>
          <w:szCs w:val="28"/>
        </w:rPr>
        <w:t xml:space="preserve">nodalīt </w:t>
      </w:r>
      <w:r w:rsidR="00E064F8" w:rsidRPr="00396566">
        <w:rPr>
          <w:rFonts w:ascii="Times New Roman" w:hAnsi="Times New Roman" w:cs="Times New Roman"/>
          <w:sz w:val="28"/>
          <w:szCs w:val="28"/>
        </w:rPr>
        <w:t>telpas, kurās tiek sniegti ēdināšanas pakalpojumi no telpām, kurās tiek spēlētas azartspēles</w:t>
      </w:r>
      <w:r w:rsidR="00E064F8" w:rsidRPr="00E064F8">
        <w:rPr>
          <w:rFonts w:ascii="Times New Roman" w:hAnsi="Times New Roman" w:cs="Times New Roman"/>
          <w:sz w:val="28"/>
          <w:szCs w:val="28"/>
        </w:rPr>
        <w:t>;</w:t>
      </w:r>
      <w:r w:rsidR="00E064F8" w:rsidRPr="00396566">
        <w:rPr>
          <w:rFonts w:ascii="Times New Roman" w:hAnsi="Times New Roman" w:cs="Times New Roman"/>
          <w:sz w:val="28"/>
          <w:szCs w:val="28"/>
        </w:rPr>
        <w:t xml:space="preserve"> </w:t>
      </w:r>
    </w:p>
    <w:p w:rsidR="00E064F8" w:rsidRPr="00396566" w:rsidRDefault="00AE62DA" w:rsidP="009E0A3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8</w:t>
      </w:r>
      <w:r w:rsidR="009E0A36">
        <w:rPr>
          <w:rFonts w:ascii="Times New Roman" w:hAnsi="Times New Roman" w:cs="Times New Roman"/>
          <w:sz w:val="28"/>
          <w:szCs w:val="28"/>
        </w:rPr>
        <w:t xml:space="preserve">) </w:t>
      </w:r>
      <w:r w:rsidR="001B7B50">
        <w:rPr>
          <w:rFonts w:ascii="Times New Roman" w:hAnsi="Times New Roman" w:cs="Times New Roman"/>
          <w:sz w:val="28"/>
          <w:szCs w:val="28"/>
        </w:rPr>
        <w:t>p</w:t>
      </w:r>
      <w:r w:rsidR="001B7B50" w:rsidRPr="001B7B50">
        <w:rPr>
          <w:rFonts w:ascii="Times New Roman" w:hAnsi="Times New Roman" w:cs="Times New Roman"/>
          <w:sz w:val="28"/>
          <w:szCs w:val="28"/>
        </w:rPr>
        <w:t xml:space="preserve">aredzēt smēķēšanas aizliegumu </w:t>
      </w:r>
      <w:r w:rsidR="001B7B50">
        <w:rPr>
          <w:rFonts w:ascii="Times New Roman" w:hAnsi="Times New Roman" w:cs="Times New Roman"/>
          <w:sz w:val="28"/>
          <w:szCs w:val="28"/>
        </w:rPr>
        <w:t>azart</w:t>
      </w:r>
      <w:r w:rsidR="001B7B50" w:rsidRPr="001B7B50">
        <w:rPr>
          <w:rFonts w:ascii="Times New Roman" w:hAnsi="Times New Roman" w:cs="Times New Roman"/>
          <w:sz w:val="28"/>
          <w:szCs w:val="28"/>
        </w:rPr>
        <w:t>spēļu zālēs un kazino, kuros speciāli paredzētajās smēķēšanas telpās uz pamatnostādņu apstiprināšanas dienu nav nodrošināta pastiprināta gaisa ventilācija</w:t>
      </w:r>
      <w:r w:rsidR="00E064F8" w:rsidRPr="008A2F5A">
        <w:rPr>
          <w:rFonts w:ascii="Times New Roman" w:hAnsi="Times New Roman" w:cs="Times New Roman"/>
          <w:sz w:val="28"/>
          <w:szCs w:val="28"/>
        </w:rPr>
        <w:t>;</w:t>
      </w:r>
    </w:p>
    <w:p w:rsidR="00E064F8" w:rsidRPr="00C303A4" w:rsidRDefault="00AE62DA" w:rsidP="009E0A3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9</w:t>
      </w:r>
      <w:r w:rsidR="009E0A36">
        <w:rPr>
          <w:rFonts w:ascii="Times New Roman" w:hAnsi="Times New Roman" w:cs="Times New Roman"/>
          <w:sz w:val="28"/>
          <w:szCs w:val="28"/>
        </w:rPr>
        <w:t xml:space="preserve">) </w:t>
      </w:r>
      <w:r w:rsidR="00E064F8">
        <w:rPr>
          <w:rFonts w:ascii="Times New Roman" w:hAnsi="Times New Roman" w:cs="Times New Roman"/>
          <w:sz w:val="28"/>
          <w:szCs w:val="28"/>
        </w:rPr>
        <w:t>n</w:t>
      </w:r>
      <w:r w:rsidR="00E064F8" w:rsidRPr="00396566">
        <w:rPr>
          <w:rFonts w:ascii="Times New Roman" w:hAnsi="Times New Roman" w:cs="Times New Roman"/>
          <w:sz w:val="28"/>
          <w:szCs w:val="28"/>
        </w:rPr>
        <w:t>oteikt ierobežojumu azartspēļu spēlēšanas laikā alkohola piedāvāšanai par brīvu</w:t>
      </w:r>
      <w:r w:rsidR="00C303A4">
        <w:rPr>
          <w:rFonts w:ascii="Times New Roman" w:hAnsi="Times New Roman" w:cs="Times New Roman"/>
          <w:sz w:val="28"/>
          <w:szCs w:val="28"/>
        </w:rPr>
        <w:t>;</w:t>
      </w:r>
    </w:p>
    <w:p w:rsidR="00C303A4" w:rsidRDefault="00AE62DA" w:rsidP="009E0A36">
      <w:pPr>
        <w:pStyle w:val="PlainText"/>
        <w:ind w:firstLine="709"/>
        <w:jc w:val="both"/>
        <w:rPr>
          <w:rFonts w:ascii="Times New Roman" w:eastAsia="Helvetica" w:hAnsi="Times New Roman" w:cs="Times New Roman"/>
          <w:sz w:val="28"/>
          <w:szCs w:val="28"/>
        </w:rPr>
      </w:pPr>
      <w:r>
        <w:rPr>
          <w:rFonts w:ascii="Times New Roman" w:hAnsi="Times New Roman" w:cs="Times New Roman"/>
          <w:sz w:val="28"/>
          <w:szCs w:val="28"/>
        </w:rPr>
        <w:t>10</w:t>
      </w:r>
      <w:r w:rsidR="00C303A4" w:rsidRPr="00C303A4">
        <w:rPr>
          <w:rFonts w:ascii="Times New Roman" w:hAnsi="Times New Roman" w:cs="Times New Roman"/>
          <w:sz w:val="28"/>
          <w:szCs w:val="28"/>
        </w:rPr>
        <w:t xml:space="preserve">) </w:t>
      </w:r>
      <w:r w:rsidR="00C303A4">
        <w:rPr>
          <w:rFonts w:ascii="Times New Roman" w:eastAsia="Helvetica" w:hAnsi="Times New Roman" w:cs="Times New Roman"/>
          <w:sz w:val="28"/>
          <w:szCs w:val="28"/>
        </w:rPr>
        <w:t>i</w:t>
      </w:r>
      <w:r w:rsidR="00C303A4" w:rsidRPr="00AC0C13">
        <w:rPr>
          <w:rFonts w:ascii="Times New Roman" w:eastAsia="Helvetica" w:hAnsi="Times New Roman" w:cs="Times New Roman"/>
          <w:sz w:val="28"/>
          <w:szCs w:val="28"/>
        </w:rPr>
        <w:t xml:space="preserve">eviest “zemes” azartspēļu  </w:t>
      </w:r>
      <w:r w:rsidR="001155EF">
        <w:rPr>
          <w:rFonts w:ascii="Times New Roman" w:eastAsia="Helvetica" w:hAnsi="Times New Roman" w:cs="Times New Roman"/>
          <w:sz w:val="28"/>
          <w:szCs w:val="28"/>
        </w:rPr>
        <w:t>spēlētāju</w:t>
      </w:r>
      <w:r w:rsidR="00C303A4" w:rsidRPr="00AC0C13">
        <w:rPr>
          <w:rFonts w:ascii="Times New Roman" w:eastAsia="Helvetica" w:hAnsi="Times New Roman" w:cs="Times New Roman"/>
          <w:sz w:val="28"/>
          <w:szCs w:val="28"/>
        </w:rPr>
        <w:t xml:space="preserve"> reģistrācijas prasību</w:t>
      </w:r>
      <w:r w:rsidR="00C303A4">
        <w:rPr>
          <w:rFonts w:ascii="Times New Roman" w:eastAsia="Helvetica" w:hAnsi="Times New Roman" w:cs="Times New Roman"/>
          <w:sz w:val="28"/>
          <w:szCs w:val="28"/>
        </w:rPr>
        <w:t>.</w:t>
      </w:r>
    </w:p>
    <w:p w:rsidR="00193F92" w:rsidRPr="00C303A4" w:rsidRDefault="00193F92" w:rsidP="0087512B">
      <w:pPr>
        <w:pStyle w:val="PlainText"/>
        <w:ind w:firstLine="567"/>
        <w:jc w:val="both"/>
        <w:rPr>
          <w:rFonts w:ascii="Times New Roman" w:hAnsi="Times New Roman" w:cs="Times New Roman"/>
          <w:sz w:val="28"/>
          <w:szCs w:val="28"/>
        </w:rPr>
      </w:pPr>
    </w:p>
    <w:p w:rsidR="00695E96" w:rsidRPr="006869D6" w:rsidRDefault="00695E96" w:rsidP="00695E96">
      <w:pPr>
        <w:pStyle w:val="PlainText"/>
        <w:ind w:firstLine="567"/>
        <w:jc w:val="both"/>
        <w:rPr>
          <w:rFonts w:ascii="Times New Roman" w:hAnsi="Times New Roman" w:cs="Times New Roman"/>
          <w:i/>
          <w:sz w:val="28"/>
          <w:szCs w:val="28"/>
        </w:rPr>
      </w:pPr>
      <w:r w:rsidRPr="006869D6">
        <w:rPr>
          <w:rFonts w:ascii="Times New Roman" w:hAnsi="Times New Roman" w:cs="Times New Roman"/>
          <w:i/>
          <w:sz w:val="28"/>
          <w:szCs w:val="28"/>
        </w:rPr>
        <w:t>Nozares iniciatīvas risku mazināšanai</w:t>
      </w:r>
    </w:p>
    <w:p w:rsidR="00695E96" w:rsidRPr="006869D6" w:rsidRDefault="00695E96" w:rsidP="00695E96">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Apzinoties ar azartspēļu un izložu spēlēšanu saistītos riskus gan nozarei, gan sabiedrībai kopumā, azartspēļu organizatori īsteno arī pašu iniciatīvas pasākumus minēto risku mazināšanai.</w:t>
      </w:r>
    </w:p>
    <w:p w:rsidR="00695E96" w:rsidRPr="006869D6" w:rsidRDefault="00695E96" w:rsidP="00695E96">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Latvijas Spēļu biznesa asociācija (turpmāk – LSBA)</w:t>
      </w:r>
      <w:r w:rsidRPr="006869D6">
        <w:rPr>
          <w:rStyle w:val="FootnoteReference"/>
          <w:rFonts w:ascii="Times New Roman" w:hAnsi="Times New Roman"/>
          <w:sz w:val="28"/>
          <w:szCs w:val="28"/>
        </w:rPr>
        <w:footnoteReference w:id="61"/>
      </w:r>
      <w:r w:rsidRPr="006869D6">
        <w:rPr>
          <w:rFonts w:ascii="Times New Roman" w:hAnsi="Times New Roman" w:cs="Times New Roman"/>
          <w:sz w:val="28"/>
          <w:szCs w:val="28"/>
        </w:rPr>
        <w:t xml:space="preserve"> 2019.gada janvārī ir izveidojusi interaktīvo platformu </w:t>
      </w:r>
      <w:hyperlink r:id="rId11" w:history="1">
        <w:r w:rsidRPr="006869D6">
          <w:rPr>
            <w:rStyle w:val="Hyperlink"/>
            <w:rFonts w:ascii="Times New Roman" w:hAnsi="Times New Roman" w:cs="Times New Roman"/>
            <w:sz w:val="28"/>
            <w:szCs w:val="28"/>
          </w:rPr>
          <w:t>www.drosaspele.lv</w:t>
        </w:r>
      </w:hyperlink>
      <w:r w:rsidRPr="006869D6">
        <w:rPr>
          <w:rFonts w:ascii="Times New Roman" w:hAnsi="Times New Roman" w:cs="Times New Roman"/>
          <w:sz w:val="28"/>
          <w:szCs w:val="28"/>
        </w:rPr>
        <w:t xml:space="preserve">, kurā tiek: </w:t>
      </w:r>
    </w:p>
    <w:p w:rsidR="00695E96" w:rsidRPr="006869D6" w:rsidRDefault="00695E96" w:rsidP="009E0A36">
      <w:pPr>
        <w:pStyle w:val="PlainText"/>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 xml:space="preserve">izvietota centralizēta informācija par azartspēļu atkarībām un iespējām vērsties pēc palīdzības; </w:t>
      </w:r>
    </w:p>
    <w:p w:rsidR="00695E96" w:rsidRPr="006869D6" w:rsidRDefault="00695E96" w:rsidP="009E0A36">
      <w:pPr>
        <w:pStyle w:val="PlainText"/>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veicināta sabiedrības izglītošana par azartspēļu atkarībām un rīcību personas sevis kontrolēšanai;</w:t>
      </w:r>
    </w:p>
    <w:p w:rsidR="00695E96" w:rsidRPr="006869D6" w:rsidRDefault="00695E96" w:rsidP="009E0A36">
      <w:pPr>
        <w:pStyle w:val="PlainText"/>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nodrošināta video testa integrēšana – izproti savu azarta l</w:t>
      </w:r>
      <w:r w:rsidR="00FF6192">
        <w:rPr>
          <w:rFonts w:ascii="Times New Roman" w:hAnsi="Times New Roman" w:cs="Times New Roman"/>
          <w:sz w:val="28"/>
          <w:szCs w:val="28"/>
        </w:rPr>
        <w:t>īmeni</w:t>
      </w:r>
      <w:r w:rsidRPr="006869D6">
        <w:rPr>
          <w:rFonts w:ascii="Times New Roman" w:hAnsi="Times New Roman" w:cs="Times New Roman"/>
          <w:sz w:val="28"/>
          <w:szCs w:val="28"/>
        </w:rPr>
        <w:t>, kas ir izglītojoša kampaņa, ar kuru tiek veicināta personu izpratne par azartu un tā sekām.</w:t>
      </w:r>
    </w:p>
    <w:p w:rsidR="00695E96" w:rsidRPr="006869D6" w:rsidRDefault="00695E96" w:rsidP="00695E96">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LSBA </w:t>
      </w:r>
      <w:r w:rsidR="00037E08">
        <w:rPr>
          <w:rFonts w:ascii="Times New Roman" w:hAnsi="Times New Roman" w:cs="Times New Roman"/>
          <w:sz w:val="28"/>
          <w:szCs w:val="28"/>
        </w:rPr>
        <w:t xml:space="preserve">ir </w:t>
      </w:r>
      <w:r w:rsidRPr="006869D6">
        <w:rPr>
          <w:rFonts w:ascii="Times New Roman" w:hAnsi="Times New Roman" w:cs="Times New Roman"/>
          <w:sz w:val="28"/>
          <w:szCs w:val="28"/>
        </w:rPr>
        <w:t>izstrādā</w:t>
      </w:r>
      <w:r w:rsidR="00037E08">
        <w:rPr>
          <w:rFonts w:ascii="Times New Roman" w:hAnsi="Times New Roman" w:cs="Times New Roman"/>
          <w:sz w:val="28"/>
          <w:szCs w:val="28"/>
        </w:rPr>
        <w:t>t</w:t>
      </w:r>
      <w:r w:rsidRPr="006869D6">
        <w:rPr>
          <w:rFonts w:ascii="Times New Roman" w:hAnsi="Times New Roman" w:cs="Times New Roman"/>
          <w:sz w:val="28"/>
          <w:szCs w:val="28"/>
        </w:rPr>
        <w:t xml:space="preserve">s Nozares vienotu kvalitātes </w:t>
      </w:r>
      <w:r w:rsidR="00622FF1" w:rsidRPr="006869D6">
        <w:rPr>
          <w:rFonts w:ascii="Times New Roman" w:hAnsi="Times New Roman" w:cs="Times New Roman"/>
          <w:sz w:val="28"/>
          <w:szCs w:val="28"/>
        </w:rPr>
        <w:t>standart</w:t>
      </w:r>
      <w:r w:rsidR="00622FF1">
        <w:rPr>
          <w:rFonts w:ascii="Times New Roman" w:hAnsi="Times New Roman" w:cs="Times New Roman"/>
          <w:sz w:val="28"/>
          <w:szCs w:val="28"/>
        </w:rPr>
        <w:t>s</w:t>
      </w:r>
      <w:r w:rsidR="00622FF1" w:rsidRPr="006869D6">
        <w:rPr>
          <w:rFonts w:ascii="Times New Roman" w:hAnsi="Times New Roman" w:cs="Times New Roman"/>
          <w:sz w:val="28"/>
          <w:szCs w:val="28"/>
        </w:rPr>
        <w:t xml:space="preserve"> </w:t>
      </w:r>
      <w:r w:rsidRPr="006869D6">
        <w:rPr>
          <w:rFonts w:ascii="Times New Roman" w:hAnsi="Times New Roman" w:cs="Times New Roman"/>
          <w:sz w:val="28"/>
          <w:szCs w:val="28"/>
        </w:rPr>
        <w:t>– personāla sertificētās apmācības sistēmas ieviešana, lai laicīgi identificētu problēmspēlētāju un distancētu to no spēlēšanas</w:t>
      </w:r>
      <w:r w:rsidR="00037E08">
        <w:rPr>
          <w:rFonts w:ascii="Times New Roman" w:hAnsi="Times New Roman" w:cs="Times New Roman"/>
          <w:sz w:val="28"/>
          <w:szCs w:val="28"/>
        </w:rPr>
        <w:t>.</w:t>
      </w:r>
      <w:r w:rsidRPr="006869D6">
        <w:rPr>
          <w:rFonts w:ascii="Times New Roman" w:hAnsi="Times New Roman" w:cs="Times New Roman"/>
          <w:sz w:val="28"/>
          <w:szCs w:val="28"/>
        </w:rPr>
        <w:t xml:space="preserve"> </w:t>
      </w:r>
    </w:p>
    <w:p w:rsidR="00695E96" w:rsidRPr="006869D6" w:rsidRDefault="00695E96" w:rsidP="00695E96">
      <w:pPr>
        <w:pStyle w:val="PlainText"/>
        <w:ind w:left="720" w:hanging="153"/>
        <w:jc w:val="both"/>
        <w:rPr>
          <w:rFonts w:ascii="Times New Roman" w:hAnsi="Times New Roman" w:cs="Times New Roman"/>
          <w:sz w:val="28"/>
          <w:szCs w:val="28"/>
        </w:rPr>
      </w:pPr>
      <w:r w:rsidRPr="006869D6">
        <w:rPr>
          <w:rFonts w:ascii="Times New Roman" w:hAnsi="Times New Roman" w:cs="Times New Roman"/>
          <w:sz w:val="28"/>
          <w:szCs w:val="28"/>
        </w:rPr>
        <w:t>LSBA biedru 2018./2019.gada iniciatīvas:</w:t>
      </w:r>
    </w:p>
    <w:p w:rsidR="00695E96" w:rsidRPr="006869D6" w:rsidRDefault="009E60D7" w:rsidP="009E0A36">
      <w:pPr>
        <w:pStyle w:val="PlainText"/>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kopš 2018.gada 18.oktobra pieejama mājas lapa “Spēles brīvība”</w:t>
      </w:r>
      <w:r w:rsidRPr="006869D6">
        <w:rPr>
          <w:rStyle w:val="Hyperlink"/>
          <w:rFonts w:ascii="Times New Roman" w:hAnsi="Times New Roman" w:cs="Times New Roman"/>
          <w:sz w:val="28"/>
          <w:szCs w:val="28"/>
        </w:rPr>
        <w:t xml:space="preserve"> </w:t>
      </w:r>
      <w:hyperlink r:id="rId12" w:history="1">
        <w:r w:rsidRPr="006869D6">
          <w:rPr>
            <w:rStyle w:val="Hyperlink"/>
            <w:rFonts w:ascii="Times New Roman" w:hAnsi="Times New Roman" w:cs="Times New Roman"/>
            <w:sz w:val="28"/>
            <w:szCs w:val="28"/>
          </w:rPr>
          <w:t>www.spelesbriviba.lv</w:t>
        </w:r>
      </w:hyperlink>
      <w:r>
        <w:rPr>
          <w:rStyle w:val="Hyperlink"/>
          <w:rFonts w:ascii="Times New Roman" w:hAnsi="Times New Roman" w:cs="Times New Roman"/>
          <w:sz w:val="28"/>
          <w:szCs w:val="28"/>
        </w:rPr>
        <w:t xml:space="preserve"> </w:t>
      </w:r>
      <w:r w:rsidR="00695E96" w:rsidRPr="006869D6">
        <w:rPr>
          <w:rFonts w:ascii="Times New Roman" w:hAnsi="Times New Roman" w:cs="Times New Roman"/>
          <w:sz w:val="28"/>
          <w:szCs w:val="28"/>
        </w:rPr>
        <w:t xml:space="preserve">ar mērķi palīdzēt no azartspēlēm atkarīgām un līdzatkarīgām personām. Tās ietvaros iespējams veikt speciālistu izstrādātu testu atkarības un līdzatkarības riska noteikšanai, kā arī saņemt profesionālu psihoterapeitu konsultācijas, zvanot uz atbalsta tālruni 29323202. Tāpat “Spēlē brīvi” iniciatīvas </w:t>
      </w:r>
      <w:r w:rsidR="00695E96" w:rsidRPr="006869D6">
        <w:rPr>
          <w:rFonts w:ascii="Times New Roman" w:hAnsi="Times New Roman" w:cs="Times New Roman"/>
          <w:sz w:val="28"/>
          <w:szCs w:val="28"/>
        </w:rPr>
        <w:lastRenderedPageBreak/>
        <w:t>ietvaros tiek nodrošināta pašvaldību sociālo darbinieku apmācības saistībā ar azartspēļu atkarību. Kopīgā iniciatīvā spēkus apvienojušas biedrība “Esi Brīvs”, krīžu un konsultāciju centrs “Skalbes”, kā arī kampaņas iniciators un finansiālais atbalstītājs</w:t>
      </w:r>
      <w:r w:rsidR="003222D5">
        <w:rPr>
          <w:rFonts w:ascii="Times New Roman" w:hAnsi="Times New Roman" w:cs="Times New Roman"/>
          <w:sz w:val="28"/>
          <w:szCs w:val="28"/>
        </w:rPr>
        <w:t xml:space="preserve"> –</w:t>
      </w:r>
      <w:r w:rsidR="00695E96" w:rsidRPr="006869D6">
        <w:rPr>
          <w:rFonts w:ascii="Times New Roman" w:hAnsi="Times New Roman" w:cs="Times New Roman"/>
          <w:sz w:val="28"/>
          <w:szCs w:val="28"/>
        </w:rPr>
        <w:t xml:space="preserve"> viens no spēļu biznesa vadošajiem uzņēmumiem;</w:t>
      </w:r>
    </w:p>
    <w:p w:rsidR="00695E96" w:rsidRPr="006869D6" w:rsidRDefault="00695E96" w:rsidP="009E0A36">
      <w:pPr>
        <w:pStyle w:val="PlainText"/>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sertificētu psihoterapeitu atbalsta tālruņa ieviešana;</w:t>
      </w:r>
    </w:p>
    <w:p w:rsidR="00695E96" w:rsidRPr="006869D6" w:rsidRDefault="00695E96" w:rsidP="009E0A36">
      <w:pPr>
        <w:pStyle w:val="PlainText"/>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informācijas izvietošana visās spēļu zālēs par Vienotu palīdzības krīzes centru.</w:t>
      </w:r>
    </w:p>
    <w:p w:rsidR="00695E96" w:rsidRPr="006869D6" w:rsidRDefault="00695E96" w:rsidP="00695E96">
      <w:pPr>
        <w:pStyle w:val="PlainText"/>
        <w:ind w:firstLine="567"/>
        <w:jc w:val="both"/>
        <w:rPr>
          <w:rFonts w:ascii="Times New Roman" w:hAnsi="Times New Roman" w:cs="Times New Roman"/>
          <w:sz w:val="28"/>
          <w:szCs w:val="28"/>
        </w:rPr>
      </w:pPr>
      <w:r w:rsidRPr="006869D6">
        <w:rPr>
          <w:rFonts w:ascii="Times New Roman" w:hAnsi="Times New Roman" w:cs="Times New Roman"/>
          <w:sz w:val="28"/>
          <w:szCs w:val="28"/>
        </w:rPr>
        <w:t>LSBA</w:t>
      </w:r>
      <w:r w:rsidR="008D5A3A">
        <w:rPr>
          <w:rFonts w:ascii="Times New Roman" w:hAnsi="Times New Roman" w:cs="Times New Roman"/>
          <w:sz w:val="28"/>
          <w:szCs w:val="28"/>
        </w:rPr>
        <w:t xml:space="preserve"> </w:t>
      </w:r>
      <w:r w:rsidR="004D474A">
        <w:rPr>
          <w:rFonts w:ascii="Times New Roman" w:hAnsi="Times New Roman" w:cs="Times New Roman"/>
          <w:sz w:val="28"/>
          <w:szCs w:val="28"/>
        </w:rPr>
        <w:t>no</w:t>
      </w:r>
      <w:r w:rsidRPr="006869D6">
        <w:rPr>
          <w:rFonts w:ascii="Times New Roman" w:hAnsi="Times New Roman" w:cs="Times New Roman"/>
          <w:sz w:val="28"/>
          <w:szCs w:val="28"/>
        </w:rPr>
        <w:t xml:space="preserve"> 2019.gada 1.janvār</w:t>
      </w:r>
      <w:r w:rsidR="008A1F63">
        <w:rPr>
          <w:rFonts w:ascii="Times New Roman" w:hAnsi="Times New Roman" w:cs="Times New Roman"/>
          <w:sz w:val="28"/>
          <w:szCs w:val="28"/>
        </w:rPr>
        <w:t>a</w:t>
      </w:r>
      <w:r w:rsidRPr="006869D6">
        <w:rPr>
          <w:rFonts w:ascii="Times New Roman" w:hAnsi="Times New Roman" w:cs="Times New Roman"/>
          <w:sz w:val="28"/>
          <w:szCs w:val="28"/>
        </w:rPr>
        <w:t xml:space="preserve"> izmanto minētās kampaņas kā sistemātiskus instrumentus ar mērķi pēc iespējas precīzāk identificēt problēmspēlētājus un distancēt tos no dalības azartspēlēs.</w:t>
      </w:r>
    </w:p>
    <w:p w:rsidR="00695E96" w:rsidRPr="006869D6" w:rsidRDefault="00695E96" w:rsidP="00695E96">
      <w:pPr>
        <w:pStyle w:val="NormalWeb"/>
        <w:spacing w:before="0" w:beforeAutospacing="0" w:after="0" w:afterAutospacing="0"/>
        <w:ind w:firstLine="567"/>
        <w:jc w:val="both"/>
        <w:rPr>
          <w:iCs/>
          <w:color w:val="000000"/>
          <w:sz w:val="28"/>
          <w:szCs w:val="28"/>
        </w:rPr>
      </w:pPr>
      <w:r w:rsidRPr="006869D6">
        <w:rPr>
          <w:iCs/>
          <w:color w:val="000000"/>
          <w:sz w:val="28"/>
          <w:szCs w:val="28"/>
        </w:rPr>
        <w:t>Licencētie interaktīvie operatori nodrošina arī papildu rīkus un instrumentus spēlētāju pašregulācijai un aizsardzībai spēles laikā.</w:t>
      </w:r>
    </w:p>
    <w:p w:rsidR="00695E96" w:rsidRPr="006869D6" w:rsidRDefault="00695E96" w:rsidP="00C37929">
      <w:pPr>
        <w:pStyle w:val="NormalWeb"/>
        <w:spacing w:before="0" w:beforeAutospacing="0" w:after="0" w:afterAutospacing="0"/>
        <w:ind w:firstLine="567"/>
        <w:jc w:val="both"/>
        <w:rPr>
          <w:iCs/>
          <w:color w:val="000000"/>
          <w:sz w:val="28"/>
          <w:szCs w:val="28"/>
        </w:rPr>
      </w:pPr>
      <w:r w:rsidRPr="006869D6">
        <w:rPr>
          <w:iCs/>
          <w:color w:val="000000"/>
          <w:sz w:val="28"/>
          <w:szCs w:val="28"/>
        </w:rPr>
        <w:t>Latvijas interaktīvo azartspēļu biedrība</w:t>
      </w:r>
      <w:r w:rsidR="00952D26">
        <w:rPr>
          <w:iCs/>
          <w:color w:val="000000"/>
          <w:sz w:val="28"/>
          <w:szCs w:val="28"/>
        </w:rPr>
        <w:t>s</w:t>
      </w:r>
      <w:r w:rsidRPr="006869D6">
        <w:rPr>
          <w:iCs/>
          <w:color w:val="000000"/>
          <w:sz w:val="28"/>
          <w:szCs w:val="28"/>
        </w:rPr>
        <w:t xml:space="preserve"> (turpmāk – LIAB)</w:t>
      </w:r>
      <w:r w:rsidRPr="006869D6">
        <w:rPr>
          <w:rStyle w:val="FootnoteReference"/>
          <w:iCs/>
          <w:color w:val="000000"/>
          <w:sz w:val="28"/>
          <w:szCs w:val="28"/>
        </w:rPr>
        <w:footnoteReference w:id="62"/>
      </w:r>
      <w:r w:rsidRPr="006869D6">
        <w:rPr>
          <w:iCs/>
          <w:color w:val="000000"/>
          <w:sz w:val="28"/>
          <w:szCs w:val="28"/>
        </w:rPr>
        <w:t xml:space="preserve"> biedri par vienu no nozares attīstības pamatvirzieniem uzskata</w:t>
      </w:r>
      <w:r w:rsidR="00AE531E">
        <w:rPr>
          <w:iCs/>
          <w:color w:val="000000"/>
          <w:sz w:val="28"/>
          <w:szCs w:val="28"/>
        </w:rPr>
        <w:t>,</w:t>
      </w:r>
      <w:r w:rsidRPr="006869D6">
        <w:rPr>
          <w:iCs/>
          <w:color w:val="000000"/>
          <w:sz w:val="28"/>
          <w:szCs w:val="28"/>
        </w:rPr>
        <w:t xml:space="preserve"> atbildīgas spēles principu ieviešanu. LIAB biedri 2019.gada 7.oktobrī kopīgi parakstīja Interaktīvo azartspēļu nozares atbildības kodeksu, ar kuru biedri apņēmās līdz 2020.gada 30.jūnijam saviem klientiem</w:t>
      </w:r>
      <w:r w:rsidR="004914F9">
        <w:rPr>
          <w:iCs/>
          <w:color w:val="000000"/>
          <w:sz w:val="28"/>
          <w:szCs w:val="28"/>
        </w:rPr>
        <w:t>,</w:t>
      </w:r>
      <w:r w:rsidRPr="006869D6">
        <w:rPr>
          <w:iCs/>
          <w:color w:val="000000"/>
          <w:sz w:val="28"/>
          <w:szCs w:val="28"/>
        </w:rPr>
        <w:t xml:space="preserve"> </w:t>
      </w:r>
      <w:r w:rsidR="004914F9">
        <w:rPr>
          <w:iCs/>
          <w:color w:val="000000"/>
          <w:sz w:val="28"/>
          <w:szCs w:val="28"/>
        </w:rPr>
        <w:t>papildus</w:t>
      </w:r>
      <w:r w:rsidRPr="006869D6">
        <w:rPr>
          <w:iCs/>
          <w:color w:val="000000"/>
          <w:sz w:val="28"/>
          <w:szCs w:val="28"/>
        </w:rPr>
        <w:t xml:space="preserve"> likumā noteiktajiem spēles ierobežošanas mehānismiem</w:t>
      </w:r>
      <w:r w:rsidR="00E6784A">
        <w:rPr>
          <w:iCs/>
          <w:color w:val="000000"/>
          <w:sz w:val="28"/>
          <w:szCs w:val="28"/>
        </w:rPr>
        <w:t>,</w:t>
      </w:r>
      <w:r w:rsidRPr="006869D6">
        <w:rPr>
          <w:iCs/>
          <w:color w:val="000000"/>
          <w:sz w:val="28"/>
          <w:szCs w:val="28"/>
        </w:rPr>
        <w:t xml:space="preserve"> piedāvāt šādus papildu aizsardzības mehānismus jeb instrumentus:</w:t>
      </w:r>
    </w:p>
    <w:p w:rsidR="00695E96" w:rsidRPr="006869D6" w:rsidRDefault="00695E96" w:rsidP="009E0A36">
      <w:pPr>
        <w:pStyle w:val="NormalWeb"/>
        <w:numPr>
          <w:ilvl w:val="0"/>
          <w:numId w:val="52"/>
        </w:numPr>
        <w:spacing w:before="0" w:beforeAutospacing="0"/>
        <w:ind w:left="0" w:firstLine="709"/>
        <w:jc w:val="both"/>
        <w:rPr>
          <w:iCs/>
          <w:color w:val="000000"/>
          <w:sz w:val="28"/>
          <w:szCs w:val="28"/>
        </w:rPr>
      </w:pPr>
      <w:r w:rsidRPr="006869D6">
        <w:rPr>
          <w:iCs/>
          <w:color w:val="000000"/>
          <w:sz w:val="28"/>
          <w:szCs w:val="28"/>
        </w:rPr>
        <w:t>pašnovērtējuma anketa;</w:t>
      </w:r>
    </w:p>
    <w:p w:rsidR="00695E96" w:rsidRPr="006869D6" w:rsidRDefault="00695E96" w:rsidP="009E0A36">
      <w:pPr>
        <w:pStyle w:val="NormalWeb"/>
        <w:numPr>
          <w:ilvl w:val="0"/>
          <w:numId w:val="52"/>
        </w:numPr>
        <w:spacing w:before="0" w:beforeAutospacing="0"/>
        <w:ind w:left="0" w:firstLine="709"/>
        <w:jc w:val="both"/>
        <w:rPr>
          <w:iCs/>
          <w:color w:val="000000"/>
          <w:sz w:val="28"/>
          <w:szCs w:val="28"/>
        </w:rPr>
      </w:pPr>
      <w:r w:rsidRPr="006869D6">
        <w:rPr>
          <w:iCs/>
          <w:color w:val="000000"/>
          <w:sz w:val="28"/>
          <w:szCs w:val="28"/>
        </w:rPr>
        <w:t>iespēja uzstādīt iemaksu vai zaudējumu limitu dienai/nedēļai/mēnesim;</w:t>
      </w:r>
    </w:p>
    <w:p w:rsidR="00695E96" w:rsidRPr="006869D6" w:rsidRDefault="00695E96" w:rsidP="009E0A36">
      <w:pPr>
        <w:pStyle w:val="NormalWeb"/>
        <w:numPr>
          <w:ilvl w:val="0"/>
          <w:numId w:val="52"/>
        </w:numPr>
        <w:spacing w:before="0" w:beforeAutospacing="0"/>
        <w:ind w:left="0" w:firstLine="709"/>
        <w:jc w:val="both"/>
        <w:rPr>
          <w:iCs/>
          <w:color w:val="000000"/>
          <w:sz w:val="28"/>
          <w:szCs w:val="28"/>
        </w:rPr>
      </w:pPr>
      <w:r w:rsidRPr="006869D6">
        <w:rPr>
          <w:iCs/>
          <w:color w:val="000000"/>
          <w:sz w:val="28"/>
          <w:szCs w:val="28"/>
        </w:rPr>
        <w:t>iespēja neatgriezeniski slēgt kontu;</w:t>
      </w:r>
    </w:p>
    <w:p w:rsidR="00695E96" w:rsidRPr="006869D6" w:rsidRDefault="00A95689" w:rsidP="009E0A36">
      <w:pPr>
        <w:pStyle w:val="NormalWeb"/>
        <w:numPr>
          <w:ilvl w:val="0"/>
          <w:numId w:val="52"/>
        </w:numPr>
        <w:spacing w:before="0" w:beforeAutospacing="0"/>
        <w:ind w:left="0" w:firstLine="709"/>
        <w:jc w:val="both"/>
        <w:rPr>
          <w:iCs/>
          <w:color w:val="000000"/>
          <w:sz w:val="28"/>
          <w:szCs w:val="28"/>
        </w:rPr>
      </w:pPr>
      <w:r>
        <w:rPr>
          <w:iCs/>
          <w:color w:val="000000"/>
          <w:sz w:val="28"/>
          <w:szCs w:val="28"/>
        </w:rPr>
        <w:t>s</w:t>
      </w:r>
      <w:r w:rsidR="00695E96" w:rsidRPr="006869D6">
        <w:rPr>
          <w:iCs/>
          <w:color w:val="000000"/>
          <w:sz w:val="28"/>
          <w:szCs w:val="28"/>
        </w:rPr>
        <w:t>pēlētājiem ir pieejama informācija, kur vērsties pēc palīdzības;</w:t>
      </w:r>
    </w:p>
    <w:p w:rsidR="00695E96" w:rsidRPr="00364413" w:rsidRDefault="00695E96" w:rsidP="009E0A36">
      <w:pPr>
        <w:pStyle w:val="NormalWeb"/>
        <w:numPr>
          <w:ilvl w:val="0"/>
          <w:numId w:val="52"/>
        </w:numPr>
        <w:spacing w:before="0" w:beforeAutospacing="0"/>
        <w:ind w:left="0" w:firstLine="709"/>
        <w:jc w:val="both"/>
        <w:rPr>
          <w:iCs/>
          <w:color w:val="000000"/>
          <w:sz w:val="28"/>
          <w:szCs w:val="28"/>
        </w:rPr>
      </w:pPr>
      <w:r w:rsidRPr="00364413">
        <w:rPr>
          <w:iCs/>
          <w:color w:val="000000"/>
          <w:sz w:val="28"/>
          <w:szCs w:val="28"/>
        </w:rPr>
        <w:t>spēlētājiem ir pieejama viņu spēles laika un naudas pārskaitījumu vēsture,</w:t>
      </w:r>
      <w:r w:rsidR="00364413">
        <w:rPr>
          <w:iCs/>
          <w:color w:val="000000"/>
          <w:sz w:val="28"/>
          <w:szCs w:val="28"/>
        </w:rPr>
        <w:t xml:space="preserve"> </w:t>
      </w:r>
      <w:r w:rsidRPr="00364413">
        <w:rPr>
          <w:iCs/>
          <w:color w:val="000000"/>
          <w:sz w:val="28"/>
          <w:szCs w:val="28"/>
        </w:rPr>
        <w:t>kas ļauj izvērtēt iespējamos spēles riskus;</w:t>
      </w:r>
    </w:p>
    <w:p w:rsidR="00695E96" w:rsidRPr="00253D1F" w:rsidRDefault="00695E96" w:rsidP="009E0A36">
      <w:pPr>
        <w:pStyle w:val="NormalWeb"/>
        <w:numPr>
          <w:ilvl w:val="0"/>
          <w:numId w:val="52"/>
        </w:numPr>
        <w:spacing w:before="0" w:beforeAutospacing="0"/>
        <w:ind w:left="0" w:firstLine="709"/>
        <w:jc w:val="both"/>
        <w:rPr>
          <w:iCs/>
          <w:color w:val="000000"/>
          <w:sz w:val="28"/>
          <w:szCs w:val="28"/>
        </w:rPr>
      </w:pPr>
      <w:r w:rsidRPr="00253D1F">
        <w:rPr>
          <w:iCs/>
          <w:color w:val="000000"/>
          <w:sz w:val="28"/>
          <w:szCs w:val="28"/>
        </w:rPr>
        <w:t>klientu serviss: spēlētājam iespējams sazināties ar operatoru, zvanot vai</w:t>
      </w:r>
      <w:r w:rsidR="00253D1F">
        <w:rPr>
          <w:iCs/>
          <w:color w:val="000000"/>
          <w:sz w:val="28"/>
          <w:szCs w:val="28"/>
        </w:rPr>
        <w:t xml:space="preserve"> </w:t>
      </w:r>
      <w:r w:rsidRPr="00253D1F">
        <w:rPr>
          <w:iCs/>
          <w:color w:val="000000"/>
          <w:sz w:val="28"/>
          <w:szCs w:val="28"/>
        </w:rPr>
        <w:t>rakstot operatora izveidotā sarakstes vietnē (čats);</w:t>
      </w:r>
    </w:p>
    <w:p w:rsidR="00695E96" w:rsidRPr="00A2453A" w:rsidRDefault="00695E96" w:rsidP="009E0A36">
      <w:pPr>
        <w:pStyle w:val="NormalWeb"/>
        <w:numPr>
          <w:ilvl w:val="0"/>
          <w:numId w:val="52"/>
        </w:numPr>
        <w:spacing w:before="0" w:beforeAutospacing="0"/>
        <w:ind w:left="0" w:firstLine="709"/>
        <w:jc w:val="both"/>
        <w:rPr>
          <w:iCs/>
          <w:color w:val="000000"/>
          <w:sz w:val="28"/>
          <w:szCs w:val="28"/>
        </w:rPr>
      </w:pPr>
      <w:r w:rsidRPr="00A2453A">
        <w:rPr>
          <w:iCs/>
          <w:color w:val="000000"/>
          <w:sz w:val="28"/>
          <w:szCs w:val="28"/>
        </w:rPr>
        <w:t>pēc reģistrācijas</w:t>
      </w:r>
      <w:r w:rsidR="00A2453A" w:rsidRPr="00A2453A">
        <w:rPr>
          <w:iCs/>
          <w:color w:val="000000"/>
          <w:sz w:val="28"/>
          <w:szCs w:val="28"/>
        </w:rPr>
        <w:t>,</w:t>
      </w:r>
      <w:r w:rsidRPr="00A2453A">
        <w:rPr>
          <w:iCs/>
          <w:color w:val="000000"/>
          <w:sz w:val="28"/>
          <w:szCs w:val="28"/>
        </w:rPr>
        <w:t xml:space="preserve"> jaunajiem klientiem tiek nosūtīta informācija par iespējām,</w:t>
      </w:r>
      <w:r w:rsidR="00A2453A" w:rsidRPr="007A5925">
        <w:rPr>
          <w:iCs/>
          <w:color w:val="000000"/>
          <w:sz w:val="28"/>
          <w:szCs w:val="28"/>
        </w:rPr>
        <w:t xml:space="preserve"> </w:t>
      </w:r>
      <w:r w:rsidRPr="00A2453A">
        <w:rPr>
          <w:iCs/>
          <w:color w:val="000000"/>
          <w:sz w:val="28"/>
          <w:szCs w:val="28"/>
        </w:rPr>
        <w:t>kas minētas augstāk;</w:t>
      </w:r>
    </w:p>
    <w:p w:rsidR="00695E96" w:rsidRPr="006869D6" w:rsidRDefault="00695E96" w:rsidP="009E0A36">
      <w:pPr>
        <w:pStyle w:val="NormalWeb"/>
        <w:numPr>
          <w:ilvl w:val="0"/>
          <w:numId w:val="52"/>
        </w:numPr>
        <w:spacing w:before="0" w:beforeAutospacing="0"/>
        <w:ind w:left="0" w:firstLine="709"/>
        <w:jc w:val="both"/>
        <w:rPr>
          <w:iCs/>
          <w:color w:val="000000"/>
          <w:sz w:val="28"/>
          <w:szCs w:val="28"/>
        </w:rPr>
      </w:pPr>
      <w:r w:rsidRPr="006869D6">
        <w:rPr>
          <w:iCs/>
          <w:color w:val="000000"/>
          <w:sz w:val="28"/>
          <w:szCs w:val="28"/>
        </w:rPr>
        <w:t>darbinieku apmācība – ja klientu atbalsta dienestam komunikācijā ar klientu rodas aizdomas par problemātiskiem spēles paradumiem, situācija tiek analizēta un tiek lemts par nepieciešamību klienta kontu slēgt pēc spēles organizētāja, nevis klienta iniciatīvas;</w:t>
      </w:r>
    </w:p>
    <w:p w:rsidR="00695E96" w:rsidRPr="006869D6" w:rsidRDefault="00695E96" w:rsidP="009E0A36">
      <w:pPr>
        <w:pStyle w:val="NormalWeb"/>
        <w:numPr>
          <w:ilvl w:val="0"/>
          <w:numId w:val="52"/>
        </w:numPr>
        <w:spacing w:before="0" w:beforeAutospacing="0" w:after="0" w:afterAutospacing="0"/>
        <w:ind w:left="0" w:firstLine="709"/>
        <w:jc w:val="both"/>
        <w:rPr>
          <w:iCs/>
          <w:color w:val="000000"/>
          <w:sz w:val="28"/>
          <w:szCs w:val="28"/>
        </w:rPr>
      </w:pPr>
      <w:r w:rsidRPr="006869D6">
        <w:rPr>
          <w:iCs/>
          <w:color w:val="000000"/>
          <w:sz w:val="28"/>
          <w:szCs w:val="28"/>
        </w:rPr>
        <w:t>proaktīva spēlētāju informēšana.</w:t>
      </w:r>
    </w:p>
    <w:p w:rsidR="009E0A36" w:rsidRDefault="009E0A36" w:rsidP="009E0A36">
      <w:pPr>
        <w:pStyle w:val="NormalWeb"/>
        <w:spacing w:before="0" w:beforeAutospacing="0" w:after="0" w:afterAutospacing="0"/>
        <w:ind w:left="153" w:firstLine="414"/>
        <w:jc w:val="both"/>
        <w:rPr>
          <w:iCs/>
          <w:color w:val="000000"/>
          <w:sz w:val="28"/>
          <w:szCs w:val="28"/>
        </w:rPr>
      </w:pPr>
    </w:p>
    <w:p w:rsidR="00695E96" w:rsidRPr="006869D6" w:rsidRDefault="00695E96" w:rsidP="009E0A36">
      <w:pPr>
        <w:pStyle w:val="NormalWeb"/>
        <w:spacing w:before="0" w:beforeAutospacing="0" w:after="0" w:afterAutospacing="0"/>
        <w:ind w:firstLine="567"/>
        <w:jc w:val="both"/>
        <w:rPr>
          <w:iCs/>
          <w:color w:val="000000"/>
          <w:sz w:val="28"/>
          <w:szCs w:val="28"/>
        </w:rPr>
      </w:pPr>
      <w:r w:rsidRPr="006869D6">
        <w:rPr>
          <w:iCs/>
          <w:color w:val="000000"/>
          <w:sz w:val="28"/>
          <w:szCs w:val="28"/>
        </w:rPr>
        <w:t>Papildus iepriekš minētajiem aizsardzības mehānismiem</w:t>
      </w:r>
      <w:r w:rsidR="007A5925">
        <w:rPr>
          <w:iCs/>
          <w:color w:val="000000"/>
          <w:sz w:val="28"/>
          <w:szCs w:val="28"/>
        </w:rPr>
        <w:t>,</w:t>
      </w:r>
      <w:r w:rsidRPr="006869D6">
        <w:rPr>
          <w:iCs/>
          <w:color w:val="000000"/>
          <w:sz w:val="28"/>
          <w:szCs w:val="28"/>
        </w:rPr>
        <w:t xml:space="preserve"> vairāki LIAB biedri pēc savas iniciatīvas nodrošina:</w:t>
      </w:r>
    </w:p>
    <w:p w:rsidR="00695E96" w:rsidRPr="006869D6" w:rsidRDefault="00695E96"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iespēju “iesaldēt” kontu;</w:t>
      </w:r>
    </w:p>
    <w:p w:rsidR="00695E96" w:rsidRPr="006869D6" w:rsidRDefault="00695E96"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iespēju slēgt pieeju konkrētām spēļu grupām (totalizatoram, kazino, pokeram u.c.);</w:t>
      </w:r>
    </w:p>
    <w:p w:rsidR="00695E96" w:rsidRPr="006869D6" w:rsidRDefault="00695E96"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lastRenderedPageBreak/>
        <w:t>iespēja uzstādīt atgādinājumu par spēlē pavadīto laiku uz tām spēlēm, kuru tehniskie uzstādījumi pieļauj šādu atgādinājumu uzstādīšanu un uzrādīšanu spēles gaitā operatoru kontrolēto tīmekļvietņu saturā;</w:t>
      </w:r>
    </w:p>
    <w:p w:rsidR="00695E96" w:rsidRPr="006869D6" w:rsidRDefault="00E85B3E"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 xml:space="preserve">paziņojumi </w:t>
      </w:r>
      <w:r>
        <w:rPr>
          <w:iCs/>
          <w:color w:val="000000"/>
          <w:sz w:val="28"/>
          <w:szCs w:val="28"/>
        </w:rPr>
        <w:t xml:space="preserve">par </w:t>
      </w:r>
      <w:r w:rsidR="00695E96" w:rsidRPr="006869D6">
        <w:rPr>
          <w:iCs/>
          <w:color w:val="000000"/>
          <w:sz w:val="28"/>
          <w:szCs w:val="28"/>
        </w:rPr>
        <w:t>atbildīg</w:t>
      </w:r>
      <w:r>
        <w:rPr>
          <w:iCs/>
          <w:color w:val="000000"/>
          <w:sz w:val="28"/>
          <w:szCs w:val="28"/>
        </w:rPr>
        <w:t>u</w:t>
      </w:r>
      <w:r w:rsidR="00695E96" w:rsidRPr="006869D6">
        <w:rPr>
          <w:iCs/>
          <w:color w:val="000000"/>
          <w:sz w:val="28"/>
          <w:szCs w:val="28"/>
        </w:rPr>
        <w:t xml:space="preserve"> spēl</w:t>
      </w:r>
      <w:r>
        <w:rPr>
          <w:iCs/>
          <w:color w:val="000000"/>
          <w:sz w:val="28"/>
          <w:szCs w:val="28"/>
        </w:rPr>
        <w:t>i</w:t>
      </w:r>
      <w:r w:rsidR="00695E96" w:rsidRPr="006869D6">
        <w:rPr>
          <w:iCs/>
          <w:color w:val="000000"/>
          <w:sz w:val="28"/>
          <w:szCs w:val="28"/>
        </w:rPr>
        <w:t xml:space="preserve"> (kā obligāta prasība pēc </w:t>
      </w:r>
      <w:r w:rsidR="00BC5CAF">
        <w:rPr>
          <w:iCs/>
          <w:color w:val="000000"/>
          <w:sz w:val="28"/>
          <w:szCs w:val="28"/>
        </w:rPr>
        <w:t xml:space="preserve">pašatteikušos personu </w:t>
      </w:r>
      <w:r w:rsidR="00695E96" w:rsidRPr="006869D6">
        <w:rPr>
          <w:iCs/>
          <w:color w:val="000000"/>
          <w:sz w:val="28"/>
          <w:szCs w:val="28"/>
        </w:rPr>
        <w:t>reģistra ieviešanas);</w:t>
      </w:r>
    </w:p>
    <w:p w:rsidR="00695E96" w:rsidRPr="006869D6" w:rsidRDefault="00695E96"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satura monitorings: operatori veic klientu čata satura uzraudzību, reaģējot uz atslēgas vārdiem, piemēram, “problēmas”, “atkarība” u.c.;</w:t>
      </w:r>
    </w:p>
    <w:p w:rsidR="00695E96" w:rsidRDefault="00695E96" w:rsidP="009E0A36">
      <w:pPr>
        <w:pStyle w:val="NormalWeb"/>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programmatūra “Radars”, kas uzrauga spēlētāju vidējo iemaksu/izmaksu izmaiņas un spēles paradumus, signalizējot par paaugstinātu atkarību risku, tādējādi īstenojot individuālu pieeju klientam.</w:t>
      </w:r>
    </w:p>
    <w:p w:rsidR="00697DCB" w:rsidRPr="00697DCB" w:rsidRDefault="00697DCB" w:rsidP="00396566">
      <w:pPr>
        <w:pStyle w:val="NormalWeb"/>
        <w:spacing w:before="0" w:beforeAutospacing="0" w:after="0" w:afterAutospacing="0"/>
        <w:jc w:val="both"/>
        <w:rPr>
          <w:iCs/>
          <w:color w:val="000000"/>
          <w:sz w:val="28"/>
          <w:szCs w:val="28"/>
        </w:rPr>
      </w:pPr>
    </w:p>
    <w:p w:rsidR="00697DCB" w:rsidRPr="00697DCB" w:rsidRDefault="007B4B78" w:rsidP="00215043">
      <w:pPr>
        <w:pStyle w:val="NormalWeb"/>
        <w:spacing w:before="0" w:beforeAutospacing="0" w:after="0" w:afterAutospacing="0"/>
        <w:ind w:firstLine="567"/>
        <w:jc w:val="both"/>
        <w:rPr>
          <w:iCs/>
          <w:color w:val="000000"/>
          <w:sz w:val="28"/>
          <w:szCs w:val="28"/>
        </w:rPr>
      </w:pPr>
      <w:r>
        <w:rPr>
          <w:sz w:val="28"/>
          <w:szCs w:val="28"/>
        </w:rPr>
        <w:t>P</w:t>
      </w:r>
      <w:r w:rsidR="00697DCB">
        <w:rPr>
          <w:sz w:val="28"/>
          <w:szCs w:val="28"/>
        </w:rPr>
        <w:t>apildu</w:t>
      </w:r>
      <w:r w:rsidR="00FD4815">
        <w:rPr>
          <w:sz w:val="28"/>
          <w:szCs w:val="28"/>
        </w:rPr>
        <w:t>s</w:t>
      </w:r>
      <w:r w:rsidR="00697DCB">
        <w:rPr>
          <w:sz w:val="28"/>
          <w:szCs w:val="28"/>
        </w:rPr>
        <w:t xml:space="preserve"> iepriekš minētajiem pasākumiem</w:t>
      </w:r>
      <w:r>
        <w:rPr>
          <w:sz w:val="28"/>
          <w:szCs w:val="28"/>
        </w:rPr>
        <w:t xml:space="preserve"> pēc Pasaules Veselības Organizācijas rekomendācijas</w:t>
      </w:r>
      <w:r w:rsidR="00697DCB" w:rsidRPr="00396566">
        <w:rPr>
          <w:sz w:val="28"/>
          <w:szCs w:val="28"/>
        </w:rPr>
        <w:t xml:space="preserve"> būtu izvērtējams jautājums par azartspēļu nozares dalībnieku finansētā fonda izveidošanu</w:t>
      </w:r>
      <w:r>
        <w:rPr>
          <w:sz w:val="28"/>
          <w:szCs w:val="28"/>
        </w:rPr>
        <w:t>,</w:t>
      </w:r>
      <w:r w:rsidR="00697DCB" w:rsidRPr="00396566">
        <w:rPr>
          <w:sz w:val="28"/>
          <w:szCs w:val="28"/>
        </w:rPr>
        <w:t xml:space="preserve"> nolūkā finansēt profilakses, preventīvās un spēlētāju atbalsta, sabiedrības izglītošanas iniciatīvas.</w:t>
      </w:r>
    </w:p>
    <w:p w:rsidR="00635AFA" w:rsidRPr="0087512B" w:rsidRDefault="00635AFA" w:rsidP="00A412C7">
      <w:pPr>
        <w:pStyle w:val="NormalWeb"/>
        <w:spacing w:before="0" w:beforeAutospacing="0" w:after="0" w:afterAutospacing="0"/>
        <w:jc w:val="both"/>
        <w:rPr>
          <w:iCs/>
          <w:color w:val="000000"/>
          <w:sz w:val="28"/>
          <w:szCs w:val="28"/>
        </w:rPr>
      </w:pPr>
    </w:p>
    <w:p w:rsidR="00635AFA" w:rsidRPr="0087512B" w:rsidRDefault="00F00A04" w:rsidP="0087512B">
      <w:pPr>
        <w:pStyle w:val="Parasts"/>
        <w:spacing w:after="0" w:line="240" w:lineRule="auto"/>
        <w:ind w:firstLine="567"/>
        <w:jc w:val="both"/>
        <w:rPr>
          <w:lang w:val="lv-LV"/>
        </w:rPr>
      </w:pPr>
      <w:r>
        <w:rPr>
          <w:rStyle w:val="Noklusjumarindkopasfonts"/>
          <w:rFonts w:ascii="Times New Roman" w:hAnsi="Times New Roman"/>
          <w:sz w:val="28"/>
          <w:szCs w:val="28"/>
          <w:lang w:val="lv-LV"/>
        </w:rPr>
        <w:t>Attiecībā uz izložu jomu k</w:t>
      </w:r>
      <w:r w:rsidR="00635AFA" w:rsidRPr="0087512B">
        <w:rPr>
          <w:rStyle w:val="Noklusjumarindkopasfonts"/>
          <w:rFonts w:ascii="Times New Roman" w:hAnsi="Times New Roman"/>
          <w:sz w:val="28"/>
          <w:szCs w:val="28"/>
          <w:lang w:val="lv-LV"/>
        </w:rPr>
        <w:t xml:space="preserve">opš 2012.gada Loto ir ieviesusi </w:t>
      </w:r>
      <w:r w:rsidR="00BD5B9A" w:rsidRPr="0087512B">
        <w:rPr>
          <w:rStyle w:val="Noklusjumarindkopasfonts"/>
          <w:rFonts w:ascii="Times New Roman" w:hAnsi="Times New Roman"/>
          <w:sz w:val="28"/>
          <w:szCs w:val="28"/>
          <w:lang w:val="lv-LV"/>
        </w:rPr>
        <w:t xml:space="preserve">programmu </w:t>
      </w:r>
      <w:r w:rsidR="00BD5B9A">
        <w:rPr>
          <w:rStyle w:val="Noklusjumarindkopasfonts"/>
          <w:rFonts w:ascii="Times New Roman" w:hAnsi="Times New Roman"/>
          <w:sz w:val="28"/>
          <w:szCs w:val="28"/>
          <w:lang w:val="lv-LV"/>
        </w:rPr>
        <w:t>“</w:t>
      </w:r>
      <w:r w:rsidR="00635AFA" w:rsidRPr="0087512B">
        <w:rPr>
          <w:rStyle w:val="Noklusjumarindkopasfonts"/>
          <w:rFonts w:ascii="Times New Roman" w:hAnsi="Times New Roman"/>
          <w:sz w:val="28"/>
          <w:szCs w:val="28"/>
          <w:lang w:val="lv-LV"/>
        </w:rPr>
        <w:t>Atbildīga spēle</w:t>
      </w:r>
      <w:r w:rsidR="00BD5B9A">
        <w:rPr>
          <w:rStyle w:val="Noklusjumarindkopasfonts"/>
          <w:rFonts w:ascii="Times New Roman" w:hAnsi="Times New Roman"/>
          <w:sz w:val="28"/>
          <w:szCs w:val="28"/>
          <w:lang w:val="lv-LV"/>
        </w:rPr>
        <w:t>”</w:t>
      </w:r>
      <w:r w:rsidR="00635AFA" w:rsidRPr="0087512B">
        <w:rPr>
          <w:rStyle w:val="Noklusjumarindkopasfonts"/>
          <w:rFonts w:ascii="Times New Roman" w:hAnsi="Times New Roman"/>
          <w:sz w:val="28"/>
          <w:szCs w:val="28"/>
          <w:lang w:val="lv-LV"/>
        </w:rPr>
        <w:t xml:space="preserve"> un šobrīd </w:t>
      </w:r>
      <w:r w:rsidR="000B6FC8">
        <w:rPr>
          <w:rStyle w:val="Noklusjumarindkopasfonts"/>
          <w:rFonts w:ascii="Times New Roman" w:hAnsi="Times New Roman"/>
          <w:sz w:val="28"/>
          <w:szCs w:val="28"/>
          <w:lang w:val="lv-LV"/>
        </w:rPr>
        <w:t xml:space="preserve">programma </w:t>
      </w:r>
      <w:r w:rsidR="00635AFA" w:rsidRPr="0087512B">
        <w:rPr>
          <w:rStyle w:val="Noklusjumarindkopasfonts"/>
          <w:rFonts w:ascii="Times New Roman" w:hAnsi="Times New Roman"/>
          <w:sz w:val="28"/>
          <w:szCs w:val="28"/>
          <w:lang w:val="lv-LV"/>
        </w:rPr>
        <w:t xml:space="preserve">ir sertificēta atbilstoši </w:t>
      </w:r>
      <w:r w:rsidR="00635AFA" w:rsidRPr="0087512B">
        <w:rPr>
          <w:rStyle w:val="Noklusjumarindkopasfonts"/>
          <w:rFonts w:ascii="Times New Roman" w:hAnsi="Times New Roman"/>
          <w:iCs/>
          <w:sz w:val="28"/>
          <w:szCs w:val="28"/>
          <w:lang w:val="lv-LV"/>
        </w:rPr>
        <w:t xml:space="preserve">Eiropas standarta </w:t>
      </w:r>
      <w:r w:rsidR="00635AFA" w:rsidRPr="0087512B">
        <w:rPr>
          <w:rStyle w:val="Noklusjumarindkopasfonts"/>
          <w:rFonts w:ascii="Times New Roman" w:hAnsi="Times New Roman"/>
          <w:sz w:val="28"/>
          <w:szCs w:val="28"/>
          <w:lang w:val="lv-LV"/>
        </w:rPr>
        <w:t xml:space="preserve">prasībām (100% atbilstība) un </w:t>
      </w:r>
      <w:r w:rsidR="00635AFA" w:rsidRPr="0087512B">
        <w:rPr>
          <w:rStyle w:val="Noklusjumarindkopasfonts"/>
          <w:rFonts w:ascii="Times New Roman" w:hAnsi="Times New Roman"/>
          <w:iCs/>
          <w:sz w:val="28"/>
          <w:szCs w:val="28"/>
          <w:lang w:val="lv-LV"/>
        </w:rPr>
        <w:t xml:space="preserve">Pasaules loteriju asociācijas </w:t>
      </w:r>
      <w:r w:rsidR="000B6FC8">
        <w:rPr>
          <w:rStyle w:val="Noklusjumarindkopasfonts"/>
          <w:rFonts w:ascii="Times New Roman" w:hAnsi="Times New Roman"/>
          <w:iCs/>
          <w:sz w:val="28"/>
          <w:szCs w:val="28"/>
          <w:lang w:val="lv-LV"/>
        </w:rPr>
        <w:t>a</w:t>
      </w:r>
      <w:r w:rsidR="00635AFA" w:rsidRPr="0087512B">
        <w:rPr>
          <w:rStyle w:val="Noklusjumarindkopasfonts"/>
          <w:rFonts w:ascii="Times New Roman" w:hAnsi="Times New Roman"/>
          <w:iCs/>
          <w:sz w:val="28"/>
          <w:szCs w:val="28"/>
          <w:lang w:val="lv-LV"/>
        </w:rPr>
        <w:t>tbildīgas spēles ietvara</w:t>
      </w:r>
      <w:r w:rsidR="00635AFA" w:rsidRPr="0087512B">
        <w:rPr>
          <w:rStyle w:val="Noklusjumarindkopasfonts"/>
          <w:rFonts w:ascii="Times New Roman" w:hAnsi="Times New Roman"/>
          <w:sz w:val="28"/>
          <w:szCs w:val="28"/>
          <w:lang w:val="lv-LV"/>
        </w:rPr>
        <w:t xml:space="preserve"> augstākajam, ceturtajam līmenim. </w:t>
      </w:r>
    </w:p>
    <w:p w:rsidR="00635AFA" w:rsidRPr="0087512B" w:rsidRDefault="00635AFA" w:rsidP="0087512B">
      <w:pPr>
        <w:pStyle w:val="Parasts"/>
        <w:spacing w:after="0" w:line="240" w:lineRule="auto"/>
        <w:ind w:firstLine="567"/>
        <w:jc w:val="both"/>
      </w:pPr>
      <w:r w:rsidRPr="0087512B">
        <w:rPr>
          <w:rStyle w:val="Noklusjumarindkopasfonts"/>
          <w:rFonts w:ascii="Times New Roman" w:hAnsi="Times New Roman"/>
          <w:sz w:val="28"/>
          <w:szCs w:val="28"/>
          <w:lang w:val="lv-LV"/>
        </w:rPr>
        <w:t>Atbildīgas spēles standarta un ietvara mērķi:</w:t>
      </w:r>
    </w:p>
    <w:p w:rsidR="00635AFA" w:rsidRPr="0087512B" w:rsidRDefault="00635AFA" w:rsidP="009E0A36">
      <w:pPr>
        <w:pStyle w:val="Parasts"/>
        <w:numPr>
          <w:ilvl w:val="0"/>
          <w:numId w:val="6"/>
        </w:numPr>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cīnīties pret nelegālām azartspēlēm un finanšu pārkāpumiem;</w:t>
      </w:r>
    </w:p>
    <w:p w:rsidR="00635AFA" w:rsidRPr="0087512B" w:rsidRDefault="00635AFA" w:rsidP="009E0A36">
      <w:pPr>
        <w:pStyle w:val="Parasts"/>
        <w:numPr>
          <w:ilvl w:val="0"/>
          <w:numId w:val="6"/>
        </w:numPr>
        <w:spacing w:after="0" w:line="240" w:lineRule="auto"/>
        <w:ind w:left="0" w:firstLine="709"/>
        <w:jc w:val="both"/>
        <w:rPr>
          <w:lang w:val="lv-LV"/>
        </w:rPr>
      </w:pPr>
      <w:r w:rsidRPr="0087512B">
        <w:rPr>
          <w:rStyle w:val="Noklusjumarindkopasfonts"/>
          <w:rFonts w:ascii="Times New Roman" w:hAnsi="Times New Roman"/>
          <w:sz w:val="28"/>
          <w:szCs w:val="28"/>
          <w:lang w:val="lv-LV"/>
        </w:rPr>
        <w:t xml:space="preserve">identificēt </w:t>
      </w:r>
      <w:r w:rsidR="00F27B9A">
        <w:rPr>
          <w:rStyle w:val="Noklusjumarindkopasfonts"/>
          <w:rFonts w:ascii="Times New Roman" w:hAnsi="Times New Roman"/>
          <w:sz w:val="28"/>
          <w:szCs w:val="28"/>
          <w:lang w:val="lv-LV"/>
        </w:rPr>
        <w:t>a</w:t>
      </w:r>
      <w:r w:rsidRPr="0087512B">
        <w:rPr>
          <w:rStyle w:val="Noklusjumarindkopasfonts"/>
          <w:rFonts w:ascii="Times New Roman" w:hAnsi="Times New Roman"/>
          <w:sz w:val="28"/>
          <w:szCs w:val="28"/>
          <w:lang w:val="lv-LV"/>
        </w:rPr>
        <w:t>tbildīgas spēles lab</w:t>
      </w:r>
      <w:r w:rsidR="00BC14CD">
        <w:rPr>
          <w:rStyle w:val="Noklusjumarindkopasfonts"/>
          <w:rFonts w:ascii="Times New Roman" w:hAnsi="Times New Roman"/>
          <w:sz w:val="28"/>
          <w:szCs w:val="28"/>
          <w:lang w:val="lv-LV"/>
        </w:rPr>
        <w:t>o</w:t>
      </w:r>
      <w:r w:rsidRPr="0087512B">
        <w:rPr>
          <w:rStyle w:val="Noklusjumarindkopasfonts"/>
          <w:rFonts w:ascii="Times New Roman" w:hAnsi="Times New Roman"/>
          <w:sz w:val="28"/>
          <w:szCs w:val="28"/>
          <w:lang w:val="lv-LV"/>
        </w:rPr>
        <w:t xml:space="preserve"> praks</w:t>
      </w:r>
      <w:r w:rsidR="00BC14CD">
        <w:rPr>
          <w:rStyle w:val="Noklusjumarindkopasfonts"/>
          <w:rFonts w:ascii="Times New Roman" w:hAnsi="Times New Roman"/>
          <w:sz w:val="28"/>
          <w:szCs w:val="28"/>
          <w:lang w:val="lv-LV"/>
        </w:rPr>
        <w:t>i</w:t>
      </w:r>
      <w:r w:rsidRPr="0087512B">
        <w:rPr>
          <w:rStyle w:val="Noklusjumarindkopasfonts"/>
          <w:rFonts w:ascii="Times New Roman" w:hAnsi="Times New Roman"/>
          <w:sz w:val="28"/>
          <w:szCs w:val="28"/>
          <w:lang w:val="lv-LV"/>
        </w:rPr>
        <w:t xml:space="preserve"> un piemērot t</w:t>
      </w:r>
      <w:r w:rsidR="00B9716E">
        <w:rPr>
          <w:rStyle w:val="Noklusjumarindkopasfonts"/>
          <w:rFonts w:ascii="Times New Roman" w:hAnsi="Times New Roman"/>
          <w:sz w:val="28"/>
          <w:szCs w:val="28"/>
          <w:lang w:val="lv-LV"/>
        </w:rPr>
        <w:t>o</w:t>
      </w:r>
      <w:r w:rsidRPr="0087512B">
        <w:rPr>
          <w:rStyle w:val="Noklusjumarindkopasfonts"/>
          <w:rFonts w:ascii="Times New Roman" w:hAnsi="Times New Roman"/>
          <w:sz w:val="28"/>
          <w:szCs w:val="28"/>
          <w:lang w:val="lv-LV"/>
        </w:rPr>
        <w:t xml:space="preserve"> ikdienas darbībā, minimizējot spēļu kaitīgo ietekmi uz sabiedrību kopumā;</w:t>
      </w:r>
    </w:p>
    <w:p w:rsidR="00635AFA" w:rsidRPr="0087512B" w:rsidRDefault="00635AFA" w:rsidP="009E0A36">
      <w:pPr>
        <w:pStyle w:val="Parasts"/>
        <w:numPr>
          <w:ilvl w:val="0"/>
          <w:numId w:val="6"/>
        </w:numPr>
        <w:tabs>
          <w:tab w:val="left" w:pos="1134"/>
        </w:tabs>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 xml:space="preserve">informēt un radīt izpratni sabiedrībā par atbildīgu loteriju spēlēšanu, izmantojot šai izklaidei tikai brīvos līdzekļus, zinot, ka laimests ir tikai veiksme, kas nav paša spēlētāja ietekmējama un kontrolējama; </w:t>
      </w:r>
      <w:r w:rsidRPr="0087512B">
        <w:rPr>
          <w:rFonts w:ascii="Times New Roman" w:hAnsi="Times New Roman"/>
          <w:sz w:val="28"/>
          <w:szCs w:val="28"/>
          <w:lang w:val="lv-LV"/>
        </w:rPr>
        <w:tab/>
      </w:r>
    </w:p>
    <w:p w:rsidR="00635AFA" w:rsidRPr="0087512B" w:rsidRDefault="00635AFA" w:rsidP="009E0A36">
      <w:pPr>
        <w:pStyle w:val="Parasts"/>
        <w:numPr>
          <w:ilvl w:val="0"/>
          <w:numId w:val="6"/>
        </w:numPr>
        <w:tabs>
          <w:tab w:val="left" w:pos="1134"/>
        </w:tabs>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uztvertu, ka loteriju spēlēšana nav nodarbošanās vai ienākumu avots, kas var aizvietot algotu darbu vai uzņēmējdarbību.</w:t>
      </w:r>
    </w:p>
    <w:p w:rsidR="00635AFA" w:rsidRPr="0087512B" w:rsidRDefault="00B900F0" w:rsidP="0087512B">
      <w:pPr>
        <w:pStyle w:val="Parasts"/>
        <w:spacing w:after="0" w:line="240" w:lineRule="auto"/>
        <w:ind w:firstLine="567"/>
        <w:jc w:val="both"/>
        <w:rPr>
          <w:lang w:val="lv-LV"/>
        </w:rPr>
      </w:pPr>
      <w:r>
        <w:rPr>
          <w:rStyle w:val="Noklusjumarindkopasfonts"/>
          <w:rFonts w:ascii="Times New Roman" w:hAnsi="Times New Roman"/>
          <w:sz w:val="28"/>
          <w:szCs w:val="28"/>
          <w:lang w:val="lv-LV"/>
        </w:rPr>
        <w:t>A</w:t>
      </w:r>
      <w:r w:rsidR="00635AFA" w:rsidRPr="0087512B">
        <w:rPr>
          <w:rStyle w:val="Noklusjumarindkopasfonts"/>
          <w:rFonts w:ascii="Times New Roman" w:hAnsi="Times New Roman"/>
          <w:sz w:val="28"/>
          <w:szCs w:val="28"/>
          <w:lang w:val="lv-LV"/>
        </w:rPr>
        <w:t xml:space="preserve">tbildīgas spēles mērķu īstenošanai veikti </w:t>
      </w:r>
      <w:r w:rsidR="00F07896">
        <w:rPr>
          <w:rStyle w:val="Noklusjumarindkopasfonts"/>
          <w:rFonts w:ascii="Times New Roman" w:hAnsi="Times New Roman"/>
          <w:sz w:val="28"/>
          <w:szCs w:val="28"/>
          <w:lang w:val="lv-LV"/>
        </w:rPr>
        <w:t>šādi</w:t>
      </w:r>
      <w:r w:rsidR="00F07896" w:rsidRPr="0087512B">
        <w:rPr>
          <w:rStyle w:val="Noklusjumarindkopasfonts"/>
          <w:rFonts w:ascii="Times New Roman" w:hAnsi="Times New Roman"/>
          <w:sz w:val="28"/>
          <w:szCs w:val="28"/>
          <w:lang w:val="lv-LV"/>
        </w:rPr>
        <w:t xml:space="preserve"> </w:t>
      </w:r>
      <w:r w:rsidR="00635AFA" w:rsidRPr="0087512B">
        <w:rPr>
          <w:rStyle w:val="Noklusjumarindkopasfonts"/>
          <w:rFonts w:ascii="Times New Roman" w:hAnsi="Times New Roman"/>
          <w:sz w:val="28"/>
          <w:szCs w:val="28"/>
          <w:lang w:val="lv-LV"/>
        </w:rPr>
        <w:t>pasākumi:</w:t>
      </w:r>
    </w:p>
    <w:p w:rsidR="00635AFA" w:rsidRPr="0087512B" w:rsidRDefault="00635AFA" w:rsidP="009E0A36">
      <w:pPr>
        <w:pStyle w:val="ListParagraph"/>
        <w:numPr>
          <w:ilvl w:val="0"/>
          <w:numId w:val="54"/>
        </w:numPr>
        <w:suppressAutoHyphens/>
        <w:autoSpaceDN w:val="0"/>
        <w:ind w:left="0" w:firstLine="709"/>
        <w:jc w:val="both"/>
        <w:textAlignment w:val="baseline"/>
      </w:pPr>
      <w:r w:rsidRPr="009E0A36">
        <w:rPr>
          <w:rStyle w:val="Noklusjumarindkopasfonts"/>
          <w:sz w:val="28"/>
          <w:szCs w:val="28"/>
        </w:rPr>
        <w:t>ievēro 2007.gadā valdes apstiprināto Loteriju Reklāmas ētikas kodeksu;</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 xml:space="preserve">kopš 2012.gada brīvprātīgi </w:t>
      </w:r>
      <w:r w:rsidR="000F1BD0">
        <w:rPr>
          <w:rStyle w:val="Noklusjumarindkopasfonts"/>
          <w:sz w:val="28"/>
          <w:szCs w:val="28"/>
        </w:rPr>
        <w:t>tiek ievērots</w:t>
      </w:r>
      <w:r w:rsidRPr="0087512B">
        <w:rPr>
          <w:rStyle w:val="Noklusjumarindkopasfonts"/>
          <w:sz w:val="28"/>
          <w:szCs w:val="28"/>
        </w:rPr>
        <w:t xml:space="preserve"> neieteikt spēlēt loterijas personām līdz 18 gadu vecumam. Zīme </w:t>
      </w:r>
      <w:r w:rsidR="00A55CCD">
        <w:rPr>
          <w:rStyle w:val="Noklusjumarindkopasfonts"/>
          <w:sz w:val="28"/>
          <w:szCs w:val="28"/>
        </w:rPr>
        <w:t>– “</w:t>
      </w:r>
      <w:r w:rsidRPr="0087512B">
        <w:rPr>
          <w:rStyle w:val="Noklusjumarindkopasfonts"/>
          <w:sz w:val="28"/>
          <w:szCs w:val="28"/>
        </w:rPr>
        <w:t>Neiesakām līdz 18</w:t>
      </w:r>
      <w:r w:rsidR="00A55CCD">
        <w:rPr>
          <w:rStyle w:val="Noklusjumarindkopasfonts"/>
          <w:sz w:val="28"/>
          <w:szCs w:val="28"/>
        </w:rPr>
        <w:t>”</w:t>
      </w:r>
      <w:r w:rsidR="0003633E">
        <w:rPr>
          <w:rStyle w:val="Noklusjumarindkopasfonts"/>
          <w:sz w:val="28"/>
          <w:szCs w:val="28"/>
        </w:rPr>
        <w:t xml:space="preserve"> ir</w:t>
      </w:r>
      <w:r w:rsidRPr="0087512B">
        <w:rPr>
          <w:rStyle w:val="Noklusjumarindkopasfonts"/>
          <w:sz w:val="28"/>
          <w:szCs w:val="28"/>
        </w:rPr>
        <w:t xml:space="preserve"> integrēta uz visiem Loto produktiem – momentloterijām, skaitļu loteriju kuponiem un kvītīm, </w:t>
      </w:r>
      <w:r w:rsidR="00597FD4">
        <w:rPr>
          <w:rStyle w:val="Noklusjumarindkopasfonts"/>
          <w:sz w:val="28"/>
          <w:szCs w:val="28"/>
        </w:rPr>
        <w:t>kā arī loteriju</w:t>
      </w:r>
      <w:r w:rsidRPr="0087512B">
        <w:rPr>
          <w:rStyle w:val="Noklusjumarindkopasfonts"/>
          <w:sz w:val="28"/>
          <w:szCs w:val="28"/>
        </w:rPr>
        <w:t xml:space="preserve"> interneta veikala mājaslapas atvērumā;</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 xml:space="preserve">pamatojoties uz </w:t>
      </w:r>
      <w:r w:rsidR="0088186F">
        <w:rPr>
          <w:rStyle w:val="Noklusjumarindkopasfonts"/>
          <w:sz w:val="28"/>
          <w:szCs w:val="28"/>
        </w:rPr>
        <w:t>a</w:t>
      </w:r>
      <w:r w:rsidRPr="0087512B">
        <w:rPr>
          <w:rStyle w:val="Noklusjumarindkopasfonts"/>
          <w:sz w:val="28"/>
          <w:szCs w:val="28"/>
        </w:rPr>
        <w:t xml:space="preserve">tbildīgas spēles standarta prasībām, izvērtēto pētījumu rezultātiem un intervijām ar atkarību speciālistiem, 2012.gadā izveidots un ikgadēji aktualizēts informatīvi – izglītojošs buklets Loto klientiem </w:t>
      </w:r>
      <w:r w:rsidR="00BA526D">
        <w:rPr>
          <w:rStyle w:val="Noklusjumarindkopasfonts"/>
          <w:sz w:val="28"/>
          <w:szCs w:val="28"/>
        </w:rPr>
        <w:t xml:space="preserve">– </w:t>
      </w:r>
      <w:r w:rsidRPr="0087512B">
        <w:rPr>
          <w:rStyle w:val="Noklusjumarindkopasfonts"/>
          <w:sz w:val="28"/>
          <w:szCs w:val="28"/>
        </w:rPr>
        <w:t>Kā spēlēt atbildīgi? (atbildīgas spēles, pašnovērtējuma testa</w:t>
      </w:r>
      <w:r w:rsidR="00B03410">
        <w:rPr>
          <w:rStyle w:val="Noklusjumarindkopasfonts"/>
          <w:sz w:val="28"/>
          <w:szCs w:val="28"/>
        </w:rPr>
        <w:t>,</w:t>
      </w:r>
      <w:r w:rsidRPr="0087512B">
        <w:rPr>
          <w:rStyle w:val="Noklusjumarindkopasfonts"/>
          <w:sz w:val="28"/>
          <w:szCs w:val="28"/>
        </w:rPr>
        <w:t xml:space="preserve"> atkarības ārstniecības un palīdzības informācija), kas pieejams visās tirdzniecības vietās un </w:t>
      </w:r>
      <w:hyperlink r:id="rId13" w:history="1">
        <w:r w:rsidRPr="0087512B">
          <w:rPr>
            <w:rStyle w:val="Hipersaite"/>
            <w:sz w:val="28"/>
            <w:szCs w:val="28"/>
          </w:rPr>
          <w:t>www.latloto.lv</w:t>
        </w:r>
      </w:hyperlink>
      <w:r w:rsidRPr="0087512B">
        <w:rPr>
          <w:rStyle w:val="Noklusjumarindkopasfonts"/>
          <w:sz w:val="28"/>
          <w:szCs w:val="28"/>
        </w:rPr>
        <w:t>;</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 xml:space="preserve">kopš 2012.gada ne retāk kā reizi gadā, atbilstoši izstrādātajai atbildīgas spēles apmācību programmai, tiek veiktas visu līmeņu Loto darbinieku apmācības </w:t>
      </w:r>
      <w:r w:rsidRPr="0087512B">
        <w:rPr>
          <w:rStyle w:val="Noklusjumarindkopasfonts"/>
          <w:sz w:val="28"/>
          <w:szCs w:val="28"/>
        </w:rPr>
        <w:lastRenderedPageBreak/>
        <w:t xml:space="preserve">par </w:t>
      </w:r>
      <w:r w:rsidR="00885FA1">
        <w:rPr>
          <w:rStyle w:val="Noklusjumarindkopasfonts"/>
          <w:sz w:val="28"/>
          <w:szCs w:val="28"/>
        </w:rPr>
        <w:t>a</w:t>
      </w:r>
      <w:r w:rsidRPr="0087512B">
        <w:rPr>
          <w:rStyle w:val="Noklusjumarindkopasfonts"/>
          <w:sz w:val="28"/>
          <w:szCs w:val="28"/>
        </w:rPr>
        <w:t>tbildīgu spēli</w:t>
      </w:r>
      <w:r w:rsidR="00230C9C">
        <w:rPr>
          <w:rStyle w:val="Noklusjumarindkopasfonts"/>
          <w:sz w:val="28"/>
          <w:szCs w:val="28"/>
        </w:rPr>
        <w:t xml:space="preserve"> un</w:t>
      </w:r>
      <w:r w:rsidRPr="0087512B">
        <w:rPr>
          <w:rStyle w:val="Noklusjumarindkopasfonts"/>
          <w:sz w:val="28"/>
          <w:szCs w:val="28"/>
        </w:rPr>
        <w:t xml:space="preserve"> pārdevēju apmācības par izložu pārdošanu sociāli atbildīgā veidā (aptuveni 2 700 pārdevēju visā Latvijā, t.sk. sadarbības partneru personāls), testējot viņu zināšanas; </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 xml:space="preserve">kopš 2012.gada regulāri tiek iegūts un iespēju robežās ņemts vērā ieinteresēto pušu viedoklis un priekšlikumi, kā arī sadarbība </w:t>
      </w:r>
      <w:r w:rsidR="003177F5">
        <w:rPr>
          <w:rStyle w:val="Noklusjumarindkopasfonts"/>
          <w:sz w:val="28"/>
          <w:szCs w:val="28"/>
        </w:rPr>
        <w:t>a</w:t>
      </w:r>
      <w:r w:rsidRPr="0087512B">
        <w:rPr>
          <w:rStyle w:val="Noklusjumarindkopasfonts"/>
          <w:sz w:val="28"/>
          <w:szCs w:val="28"/>
        </w:rPr>
        <w:t xml:space="preserve">tbildīgas spēles jautājumos. Vairākkārt veiktas intervijas, pārrunas un sarakste ar pārstāvjiem no IAUI, Rīgas psihiatrijas un narkoloģijas centra </w:t>
      </w:r>
      <w:r w:rsidRPr="00044461">
        <w:rPr>
          <w:rStyle w:val="Noklusjumarindkopasfonts"/>
          <w:sz w:val="28"/>
          <w:szCs w:val="28"/>
        </w:rPr>
        <w:t>(</w:t>
      </w:r>
      <w:r w:rsidR="003F64BA" w:rsidRPr="00044461">
        <w:rPr>
          <w:rStyle w:val="Noklusjumarindkopasfonts"/>
          <w:sz w:val="28"/>
          <w:szCs w:val="28"/>
        </w:rPr>
        <w:t xml:space="preserve">turpmāk – </w:t>
      </w:r>
      <w:r w:rsidRPr="00044461">
        <w:rPr>
          <w:rStyle w:val="Noklusjumarindkopasfonts"/>
          <w:sz w:val="28"/>
          <w:szCs w:val="28"/>
        </w:rPr>
        <w:t>RPNC)</w:t>
      </w:r>
      <w:r w:rsidRPr="00E11D45">
        <w:rPr>
          <w:rStyle w:val="Noklusjumarindkopasfonts"/>
          <w:sz w:val="28"/>
          <w:szCs w:val="28"/>
        </w:rPr>
        <w:t>, Rīgas</w:t>
      </w:r>
      <w:r w:rsidRPr="0087512B">
        <w:rPr>
          <w:rStyle w:val="Noklusjumarindkopasfonts"/>
          <w:sz w:val="28"/>
          <w:szCs w:val="28"/>
        </w:rPr>
        <w:t xml:space="preserve"> domes Labklājības departamenta, Veselības ministrijas (no 2017.gada vairāk kārtēji aicinājumi iekļaut izložu atkarības identificējošus jautājumus neatkarīgajā pētījumā </w:t>
      </w:r>
      <w:r w:rsidR="00B6620C">
        <w:rPr>
          <w:rStyle w:val="Noklusjumarindkopasfonts"/>
          <w:sz w:val="28"/>
          <w:szCs w:val="28"/>
        </w:rPr>
        <w:t>“</w:t>
      </w:r>
      <w:r w:rsidRPr="0087512B">
        <w:rPr>
          <w:rStyle w:val="Noklusjumarindkopasfonts"/>
          <w:sz w:val="28"/>
          <w:szCs w:val="28"/>
        </w:rPr>
        <w:t>Datoratkarības, interneta atkarības un azartspēļu atkarības izplatība skolēnu un iedzīvotāju vidū Latvijā un ietekmējošie riska faktori</w:t>
      </w:r>
      <w:r w:rsidR="00B6620C">
        <w:rPr>
          <w:rStyle w:val="Noklusjumarindkopasfonts"/>
          <w:sz w:val="28"/>
          <w:szCs w:val="28"/>
        </w:rPr>
        <w:t>”</w:t>
      </w:r>
      <w:r w:rsidRPr="0087512B">
        <w:rPr>
          <w:rStyle w:val="Noklusjumarindkopasfonts"/>
          <w:sz w:val="28"/>
          <w:szCs w:val="28"/>
        </w:rPr>
        <w:t>), Nacionālā veselības dienesta, Rīgas Sociālā dienesta, biedrības Latvijas Olimpiešu klubs, azartspēļu atkarīgo biedrības “Anonīmie spēlmaņi”, Latvijas Universitātes (2015.g. sadarbība par studentu pētījumu Latvijas iedzīvotāju loterijas spēlēšanas prakses), Rīgas Stradiņa universitātes, kā arī ar narkologu un psihoterapeitu;</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 xml:space="preserve">kopš 2015.gada mājaslapas sadaļā </w:t>
      </w:r>
      <w:r w:rsidR="0016444A">
        <w:rPr>
          <w:rStyle w:val="Noklusjumarindkopasfonts"/>
          <w:sz w:val="28"/>
          <w:szCs w:val="28"/>
        </w:rPr>
        <w:t>a</w:t>
      </w:r>
      <w:r w:rsidRPr="0087512B">
        <w:rPr>
          <w:rStyle w:val="Noklusjumarindkopasfonts"/>
          <w:sz w:val="28"/>
          <w:szCs w:val="28"/>
        </w:rPr>
        <w:t>tbildīga spēle</w:t>
      </w:r>
      <w:r w:rsidR="00536595">
        <w:rPr>
          <w:rStyle w:val="Noklusjumarindkopasfonts"/>
          <w:sz w:val="28"/>
          <w:szCs w:val="28"/>
        </w:rPr>
        <w:t>,</w:t>
      </w:r>
      <w:r w:rsidRPr="0087512B">
        <w:rPr>
          <w:rStyle w:val="Noklusjumarindkopasfonts"/>
          <w:sz w:val="28"/>
          <w:szCs w:val="28"/>
        </w:rPr>
        <w:t xml:space="preserve"> publicētas saites uz vietnēm, kur plaši izskaidrots kā rūpēties par bērnu drošību internetā un kādas programmatūras izmantot aizsardzībai;</w:t>
      </w:r>
    </w:p>
    <w:p w:rsidR="00635AFA" w:rsidRPr="0087512B" w:rsidRDefault="00635AFA" w:rsidP="009E0A36">
      <w:pPr>
        <w:pStyle w:val="ListParagraph"/>
        <w:numPr>
          <w:ilvl w:val="0"/>
          <w:numId w:val="54"/>
        </w:numPr>
        <w:suppressAutoHyphens/>
        <w:autoSpaceDN w:val="0"/>
        <w:ind w:left="0" w:firstLine="709"/>
        <w:jc w:val="both"/>
        <w:textAlignment w:val="baseline"/>
        <w:rPr>
          <w:rStyle w:val="Noklusjumarindkopasfonts"/>
        </w:rPr>
      </w:pPr>
      <w:r w:rsidRPr="0087512B">
        <w:rPr>
          <w:rStyle w:val="Noklusjumarindkopasfonts"/>
          <w:sz w:val="28"/>
          <w:szCs w:val="28"/>
        </w:rPr>
        <w:t xml:space="preserve">pamatojoties </w:t>
      </w:r>
      <w:r w:rsidR="00536595">
        <w:rPr>
          <w:rStyle w:val="Noklusjumarindkopasfonts"/>
          <w:sz w:val="28"/>
          <w:szCs w:val="28"/>
        </w:rPr>
        <w:t>a</w:t>
      </w:r>
      <w:r w:rsidRPr="0087512B">
        <w:rPr>
          <w:rStyle w:val="Noklusjumarindkopasfonts"/>
          <w:sz w:val="28"/>
          <w:szCs w:val="28"/>
        </w:rPr>
        <w:t xml:space="preserve">tbildīgas spēles standarta prasībām, izvērtēto pētījumu rezultātiem un intervijām ar atkarību speciālistiem, 2012.gadā izveidota un regulāri aktualizēta </w:t>
      </w:r>
      <w:r w:rsidR="0009643F">
        <w:rPr>
          <w:rStyle w:val="Noklusjumarindkopasfonts"/>
          <w:sz w:val="28"/>
          <w:szCs w:val="28"/>
        </w:rPr>
        <w:t>m</w:t>
      </w:r>
      <w:r w:rsidRPr="0087512B">
        <w:rPr>
          <w:rStyle w:val="Noklusjumarindkopasfonts"/>
          <w:sz w:val="28"/>
          <w:szCs w:val="28"/>
        </w:rPr>
        <w:t>etodika</w:t>
      </w:r>
      <w:r w:rsidR="00D66E0E">
        <w:rPr>
          <w:rStyle w:val="Noklusjumarindkopasfonts"/>
          <w:sz w:val="28"/>
          <w:szCs w:val="28"/>
        </w:rPr>
        <w:t>,</w:t>
      </w:r>
      <w:r w:rsidRPr="0087512B">
        <w:rPr>
          <w:rStyle w:val="Noklusjumarindkopasfonts"/>
          <w:sz w:val="28"/>
          <w:szCs w:val="28"/>
        </w:rPr>
        <w:t xml:space="preserve"> jauna produkta sociālās ietekmes novērtēšanai un </w:t>
      </w:r>
      <w:r w:rsidR="00F13399">
        <w:rPr>
          <w:rStyle w:val="Noklusjumarindkopasfonts"/>
          <w:sz w:val="28"/>
          <w:szCs w:val="28"/>
        </w:rPr>
        <w:t>s</w:t>
      </w:r>
      <w:r w:rsidRPr="0087512B">
        <w:rPr>
          <w:rStyle w:val="Noklusjumarindkopasfonts"/>
          <w:sz w:val="28"/>
          <w:szCs w:val="28"/>
        </w:rPr>
        <w:t>pēles dizaina novērtēšanas modelis. Ieviešot jaunu produktu, Loto veic jaunā produkta sociālās ietekmes novērtēšanu, nepieļaujot augsta riska produktu apstiprināšanu bez papildus atbildīgas spēles pasākumu/rīku īstenošanas, līdz to iekļūšanai vismaz vidēja vai zema riska produkta kategorijā;</w:t>
      </w:r>
    </w:p>
    <w:p w:rsidR="00635AFA" w:rsidRPr="0087512B" w:rsidRDefault="00635AFA" w:rsidP="009E0A36">
      <w:pPr>
        <w:pStyle w:val="ListParagraph"/>
        <w:numPr>
          <w:ilvl w:val="0"/>
          <w:numId w:val="54"/>
        </w:numPr>
        <w:suppressAutoHyphens/>
        <w:autoSpaceDN w:val="0"/>
        <w:ind w:left="0" w:firstLine="709"/>
        <w:jc w:val="both"/>
        <w:textAlignment w:val="baseline"/>
      </w:pPr>
      <w:r w:rsidRPr="0087512B">
        <w:rPr>
          <w:rStyle w:val="Noklusjumarindkopasfonts"/>
          <w:sz w:val="28"/>
          <w:szCs w:val="28"/>
        </w:rPr>
        <w:t>Loto mājaslapā:</w:t>
      </w:r>
    </w:p>
    <w:p w:rsidR="00635AFA" w:rsidRPr="0087512B" w:rsidRDefault="00635AFA" w:rsidP="005749E1">
      <w:pPr>
        <w:pStyle w:val="ListParagraph"/>
        <w:numPr>
          <w:ilvl w:val="0"/>
          <w:numId w:val="7"/>
        </w:numPr>
        <w:suppressAutoHyphens/>
        <w:autoSpaceDN w:val="0"/>
        <w:ind w:left="0" w:firstLine="1134"/>
        <w:jc w:val="both"/>
        <w:textAlignment w:val="baseline"/>
      </w:pPr>
      <w:r w:rsidRPr="009E0A36">
        <w:rPr>
          <w:rStyle w:val="Noklusjumarindkopasfonts"/>
          <w:sz w:val="28"/>
          <w:szCs w:val="28"/>
        </w:rPr>
        <w:t>kopš 2012.gada pie katras izlozes noteikumiem publicēta pilna informācija par varbūtību laimēt katru laimestu grupu;</w:t>
      </w:r>
    </w:p>
    <w:p w:rsidR="00635AFA" w:rsidRPr="0087512B" w:rsidRDefault="00635AFA" w:rsidP="005749E1">
      <w:pPr>
        <w:pStyle w:val="ListParagraph"/>
        <w:numPr>
          <w:ilvl w:val="0"/>
          <w:numId w:val="7"/>
        </w:numPr>
        <w:suppressAutoHyphens/>
        <w:autoSpaceDN w:val="0"/>
        <w:ind w:left="0" w:firstLine="1134"/>
        <w:jc w:val="both"/>
        <w:textAlignment w:val="baseline"/>
        <w:rPr>
          <w:rStyle w:val="Noklusjumarindkopasfonts"/>
        </w:rPr>
      </w:pPr>
      <w:r w:rsidRPr="0087512B">
        <w:rPr>
          <w:rStyle w:val="Noklusjumarindkopasfonts"/>
          <w:sz w:val="28"/>
          <w:szCs w:val="28"/>
        </w:rPr>
        <w:t>kopš 2015.gada katrā tās atvērumā (t</w:t>
      </w:r>
      <w:r w:rsidR="00622FF1">
        <w:rPr>
          <w:rStyle w:val="Noklusjumarindkopasfonts"/>
          <w:sz w:val="28"/>
          <w:szCs w:val="28"/>
        </w:rPr>
        <w:t>ajā skaitā</w:t>
      </w:r>
      <w:r w:rsidRPr="0087512B">
        <w:rPr>
          <w:rStyle w:val="Noklusjumarindkopasfonts"/>
          <w:sz w:val="28"/>
          <w:szCs w:val="28"/>
        </w:rPr>
        <w:t xml:space="preserve"> klienta spēles kontā) izvietotas saites uz informāciju par </w:t>
      </w:r>
      <w:r w:rsidR="007C6F5B">
        <w:rPr>
          <w:rStyle w:val="Noklusjumarindkopasfonts"/>
          <w:sz w:val="28"/>
          <w:szCs w:val="28"/>
        </w:rPr>
        <w:t>a</w:t>
      </w:r>
      <w:r w:rsidRPr="0087512B">
        <w:rPr>
          <w:rStyle w:val="Noklusjumarindkopasfonts"/>
          <w:sz w:val="28"/>
          <w:szCs w:val="28"/>
        </w:rPr>
        <w:t xml:space="preserve">tbildīgu spēli ar apakšsadaļu </w:t>
      </w:r>
      <w:r w:rsidR="0093680B">
        <w:rPr>
          <w:rStyle w:val="Noklusjumarindkopasfonts"/>
          <w:sz w:val="28"/>
          <w:szCs w:val="28"/>
        </w:rPr>
        <w:t xml:space="preserve">– </w:t>
      </w:r>
      <w:r w:rsidRPr="0087512B">
        <w:rPr>
          <w:rStyle w:val="Noklusjumarindkopasfonts"/>
          <w:sz w:val="28"/>
          <w:szCs w:val="28"/>
        </w:rPr>
        <w:t xml:space="preserve">Kā spēlēt atbildīgi? un </w:t>
      </w:r>
      <w:r w:rsidR="003057E7">
        <w:rPr>
          <w:rStyle w:val="Noklusjumarindkopasfonts"/>
          <w:sz w:val="28"/>
          <w:szCs w:val="28"/>
        </w:rPr>
        <w:t>“</w:t>
      </w:r>
      <w:r w:rsidRPr="0087512B">
        <w:rPr>
          <w:rStyle w:val="Noklusjumarindkopasfonts"/>
          <w:sz w:val="28"/>
          <w:szCs w:val="28"/>
        </w:rPr>
        <w:t>Atbildīgas spēles programma</w:t>
      </w:r>
      <w:r w:rsidR="003057E7">
        <w:rPr>
          <w:rStyle w:val="Noklusjumarindkopasfonts"/>
          <w:sz w:val="28"/>
          <w:szCs w:val="28"/>
        </w:rPr>
        <w:t>”</w:t>
      </w:r>
      <w:r w:rsidRPr="0087512B">
        <w:rPr>
          <w:rStyle w:val="Noklusjumarindkopasfonts"/>
          <w:sz w:val="28"/>
          <w:szCs w:val="28"/>
        </w:rPr>
        <w:t>;</w:t>
      </w:r>
    </w:p>
    <w:p w:rsidR="00635AFA" w:rsidRPr="0087512B" w:rsidRDefault="00635AFA" w:rsidP="005749E1">
      <w:pPr>
        <w:pStyle w:val="ListParagraph"/>
        <w:numPr>
          <w:ilvl w:val="0"/>
          <w:numId w:val="7"/>
        </w:numPr>
        <w:suppressAutoHyphens/>
        <w:autoSpaceDN w:val="0"/>
        <w:ind w:left="0" w:firstLine="1134"/>
        <w:jc w:val="both"/>
        <w:textAlignment w:val="baseline"/>
      </w:pPr>
      <w:r w:rsidRPr="0087512B">
        <w:rPr>
          <w:rStyle w:val="Noklusjumarindkopasfonts"/>
          <w:sz w:val="28"/>
          <w:szCs w:val="28"/>
        </w:rPr>
        <w:t>ievietota</w:t>
      </w:r>
      <w:r w:rsidR="00C458B6">
        <w:rPr>
          <w:rStyle w:val="Noklusjumarindkopasfonts"/>
          <w:sz w:val="28"/>
          <w:szCs w:val="28"/>
        </w:rPr>
        <w:t>,</w:t>
      </w:r>
      <w:r w:rsidRPr="0087512B">
        <w:rPr>
          <w:rStyle w:val="Noklusjumarindkopasfonts"/>
          <w:sz w:val="28"/>
          <w:szCs w:val="28"/>
        </w:rPr>
        <w:t xml:space="preserve"> 2014.gadā izgatavotā un ik gadu aktualizētā informatīvā video pamācība par atbildīgu spēlēšanu. 2018.gad</w:t>
      </w:r>
      <w:r w:rsidR="00C458B6">
        <w:rPr>
          <w:rStyle w:val="Noklusjumarindkopasfonts"/>
          <w:sz w:val="28"/>
          <w:szCs w:val="28"/>
        </w:rPr>
        <w:t>ā</w:t>
      </w:r>
      <w:r w:rsidRPr="0087512B">
        <w:rPr>
          <w:rStyle w:val="Noklusjumarindkopasfonts"/>
          <w:sz w:val="28"/>
          <w:szCs w:val="28"/>
        </w:rPr>
        <w:t xml:space="preserve"> izgatavots jauns </w:t>
      </w:r>
      <w:r w:rsidR="00975E03">
        <w:rPr>
          <w:rStyle w:val="Noklusjumarindkopasfonts"/>
          <w:sz w:val="28"/>
          <w:szCs w:val="28"/>
        </w:rPr>
        <w:t>a</w:t>
      </w:r>
      <w:r w:rsidRPr="0087512B">
        <w:rPr>
          <w:rStyle w:val="Noklusjumarindkopasfonts"/>
          <w:sz w:val="28"/>
          <w:szCs w:val="28"/>
        </w:rPr>
        <w:t xml:space="preserve">tbildīgas spēles klips </w:t>
      </w:r>
      <w:r w:rsidR="00975E03">
        <w:rPr>
          <w:rStyle w:val="Noklusjumarindkopasfonts"/>
          <w:sz w:val="28"/>
          <w:szCs w:val="28"/>
        </w:rPr>
        <w:t xml:space="preserve">– </w:t>
      </w:r>
      <w:r w:rsidRPr="0087512B">
        <w:rPr>
          <w:rStyle w:val="Noklusjumarindkopasfonts"/>
          <w:sz w:val="28"/>
          <w:szCs w:val="28"/>
        </w:rPr>
        <w:t xml:space="preserve">Dzīvo aizrautīgi, spēlē atbildīgi </w:t>
      </w:r>
      <w:r w:rsidR="00975E03">
        <w:rPr>
          <w:rStyle w:val="Noklusjumarindkopasfonts"/>
          <w:sz w:val="28"/>
          <w:szCs w:val="28"/>
        </w:rPr>
        <w:t>(</w:t>
      </w:r>
      <w:r w:rsidRPr="0087512B">
        <w:rPr>
          <w:rStyle w:val="Noklusjumarindkopasfonts"/>
          <w:sz w:val="28"/>
          <w:szCs w:val="28"/>
        </w:rPr>
        <w:t>#esilidzsvara</w:t>
      </w:r>
      <w:r w:rsidR="00975E03">
        <w:rPr>
          <w:rStyle w:val="Noklusjumarindkopasfonts"/>
          <w:sz w:val="28"/>
          <w:szCs w:val="28"/>
        </w:rPr>
        <w:t>)</w:t>
      </w:r>
      <w:r w:rsidRPr="0087512B">
        <w:rPr>
          <w:rStyle w:val="Noklusjumarindkopasfonts"/>
          <w:sz w:val="28"/>
          <w:szCs w:val="28"/>
        </w:rPr>
        <w:t>;</w:t>
      </w:r>
    </w:p>
    <w:p w:rsidR="00635AFA" w:rsidRPr="0087512B" w:rsidRDefault="00635AFA" w:rsidP="009E0A36">
      <w:pPr>
        <w:pStyle w:val="ListParagraph"/>
        <w:numPr>
          <w:ilvl w:val="0"/>
          <w:numId w:val="54"/>
        </w:numPr>
        <w:suppressAutoHyphens/>
        <w:autoSpaceDN w:val="0"/>
        <w:ind w:left="0" w:firstLine="709"/>
        <w:contextualSpacing w:val="0"/>
        <w:jc w:val="both"/>
        <w:textAlignment w:val="baseline"/>
      </w:pPr>
      <w:r w:rsidRPr="0087512B">
        <w:rPr>
          <w:rStyle w:val="Noklusjumarindkopasfonts"/>
          <w:sz w:val="28"/>
          <w:szCs w:val="28"/>
        </w:rPr>
        <w:t xml:space="preserve">no 2015.gada līdz 2017.gadam interneta veikals papildināts ar </w:t>
      </w:r>
      <w:r w:rsidR="0040517A">
        <w:rPr>
          <w:rStyle w:val="Noklusjumarindkopasfonts"/>
          <w:sz w:val="28"/>
          <w:szCs w:val="28"/>
        </w:rPr>
        <w:t>a</w:t>
      </w:r>
      <w:r w:rsidRPr="0087512B">
        <w:rPr>
          <w:rStyle w:val="Noklusjumarindkopasfonts"/>
          <w:sz w:val="28"/>
          <w:szCs w:val="28"/>
        </w:rPr>
        <w:t>tbildīgas spēles rīkiem – iespēju iestatīt zaudējuma limitu (ja klients neiestata, automātiski tiek noteikts dienas (24h) zaudējumu limits), bloķēt profilu vai slēgt kontu, kā arī nepārtraukti redzamu spēles sesijas pulksteni un spēlētāja konta atlikumu</w:t>
      </w:r>
      <w:r w:rsidR="0009643F">
        <w:rPr>
          <w:rStyle w:val="Noklusjumarindkopasfonts"/>
          <w:sz w:val="28"/>
          <w:szCs w:val="28"/>
        </w:rPr>
        <w:t>;</w:t>
      </w:r>
      <w:r w:rsidRPr="0087512B">
        <w:rPr>
          <w:rStyle w:val="Noklusjumarindkopasfonts"/>
          <w:sz w:val="28"/>
          <w:szCs w:val="28"/>
        </w:rPr>
        <w:t xml:space="preserve"> </w:t>
      </w:r>
    </w:p>
    <w:p w:rsidR="00635AFA" w:rsidRPr="0087512B" w:rsidRDefault="00635AFA" w:rsidP="009E0A36">
      <w:pPr>
        <w:pStyle w:val="ListParagraph"/>
        <w:numPr>
          <w:ilvl w:val="0"/>
          <w:numId w:val="54"/>
        </w:numPr>
        <w:suppressAutoHyphens/>
        <w:autoSpaceDN w:val="0"/>
        <w:ind w:left="0" w:firstLine="709"/>
        <w:contextualSpacing w:val="0"/>
        <w:jc w:val="both"/>
        <w:textAlignment w:val="baseline"/>
        <w:rPr>
          <w:sz w:val="28"/>
          <w:szCs w:val="28"/>
        </w:rPr>
      </w:pPr>
      <w:r w:rsidRPr="0087512B">
        <w:rPr>
          <w:sz w:val="28"/>
          <w:szCs w:val="28"/>
        </w:rPr>
        <w:lastRenderedPageBreak/>
        <w:t>iLOTO</w:t>
      </w:r>
      <w:r w:rsidRPr="0087512B">
        <w:rPr>
          <w:rStyle w:val="FootnoteReference"/>
          <w:sz w:val="28"/>
          <w:szCs w:val="28"/>
        </w:rPr>
        <w:footnoteReference w:id="63"/>
      </w:r>
      <w:r w:rsidRPr="0087512B">
        <w:rPr>
          <w:sz w:val="28"/>
          <w:szCs w:val="28"/>
        </w:rPr>
        <w:t xml:space="preserve"> reģistrētie spēlētāji, kuri noteiktā laika periodā ir sasnieguši sevis uzstādītos spēlēšanas limitus, tiek izslēgti no spēļu informatīvo vēstuļu saņemšanas;</w:t>
      </w:r>
    </w:p>
    <w:p w:rsidR="00635AFA" w:rsidRPr="0087512B" w:rsidRDefault="00635AFA" w:rsidP="009E0A36">
      <w:pPr>
        <w:pStyle w:val="ListParagraph"/>
        <w:numPr>
          <w:ilvl w:val="0"/>
          <w:numId w:val="54"/>
        </w:numPr>
        <w:suppressAutoHyphens/>
        <w:autoSpaceDN w:val="0"/>
        <w:ind w:left="0" w:firstLine="709"/>
        <w:contextualSpacing w:val="0"/>
        <w:jc w:val="both"/>
        <w:textAlignment w:val="baseline"/>
      </w:pPr>
      <w:r w:rsidRPr="0087512B">
        <w:rPr>
          <w:rStyle w:val="Noklusjumarindkopasfonts"/>
          <w:sz w:val="28"/>
          <w:szCs w:val="28"/>
        </w:rPr>
        <w:t xml:space="preserve">kopš 2015.gada Loto </w:t>
      </w:r>
      <w:r w:rsidR="004E166E">
        <w:rPr>
          <w:rStyle w:val="Noklusjumarindkopasfonts"/>
          <w:sz w:val="28"/>
          <w:szCs w:val="28"/>
        </w:rPr>
        <w:t>“</w:t>
      </w:r>
      <w:r w:rsidRPr="0087512B">
        <w:rPr>
          <w:rStyle w:val="Noklusjumarindkopasfonts"/>
          <w:sz w:val="28"/>
          <w:szCs w:val="28"/>
        </w:rPr>
        <w:t>Labo mērķu programma</w:t>
      </w:r>
      <w:r w:rsidR="004E166E">
        <w:rPr>
          <w:rStyle w:val="Noklusjumarindkopasfonts"/>
          <w:sz w:val="28"/>
          <w:szCs w:val="28"/>
        </w:rPr>
        <w:t>”</w:t>
      </w:r>
      <w:r w:rsidRPr="0087512B">
        <w:rPr>
          <w:rStyle w:val="Noklusjumarindkopasfonts"/>
          <w:sz w:val="28"/>
          <w:szCs w:val="28"/>
        </w:rPr>
        <w:t xml:space="preserve"> paredz sniegt atbalstu</w:t>
      </w:r>
      <w:r w:rsidR="00DF2435">
        <w:rPr>
          <w:rStyle w:val="Noklusjumarindkopasfonts"/>
          <w:sz w:val="28"/>
          <w:szCs w:val="28"/>
        </w:rPr>
        <w:t>,</w:t>
      </w:r>
      <w:r w:rsidRPr="0087512B">
        <w:rPr>
          <w:rStyle w:val="Noklusjumarindkopasfonts"/>
          <w:sz w:val="28"/>
          <w:szCs w:val="28"/>
        </w:rPr>
        <w:t xml:space="preserve"> azartspēļu atkarīgo personu diagnostikai, ārstēšanai, psihiatrijas programmām un rehabilitācijai</w:t>
      </w:r>
      <w:r w:rsidR="0009643F">
        <w:rPr>
          <w:rStyle w:val="Noklusjumarindkopasfonts"/>
          <w:sz w:val="28"/>
          <w:szCs w:val="28"/>
        </w:rPr>
        <w:t>;</w:t>
      </w:r>
      <w:r w:rsidRPr="0087512B">
        <w:rPr>
          <w:rStyle w:val="Noklusjumarindkopasfonts"/>
          <w:sz w:val="28"/>
          <w:szCs w:val="28"/>
        </w:rPr>
        <w:t xml:space="preserve"> </w:t>
      </w:r>
    </w:p>
    <w:p w:rsidR="00635AFA" w:rsidRPr="0087512B" w:rsidRDefault="00635AFA" w:rsidP="009E0A36">
      <w:pPr>
        <w:pStyle w:val="ListParagraph"/>
        <w:numPr>
          <w:ilvl w:val="0"/>
          <w:numId w:val="54"/>
        </w:numPr>
        <w:suppressAutoHyphens/>
        <w:autoSpaceDN w:val="0"/>
        <w:ind w:left="0" w:firstLine="709"/>
        <w:contextualSpacing w:val="0"/>
        <w:jc w:val="both"/>
        <w:textAlignment w:val="baseline"/>
      </w:pPr>
      <w:r w:rsidRPr="0087512B">
        <w:rPr>
          <w:rStyle w:val="Noklusjumarindkopasfonts"/>
          <w:sz w:val="28"/>
          <w:szCs w:val="28"/>
        </w:rPr>
        <w:t>līdz šim nav saņemta informācija, kas apliecinātu primāri izložu izraisītus atkarības gadījumus, līdz ar to nav bijis pamatojuma valsts līdzekļu izmantošanai</w:t>
      </w:r>
      <w:r w:rsidR="0009643F">
        <w:rPr>
          <w:rStyle w:val="Noklusjumarindkopasfonts"/>
          <w:sz w:val="28"/>
          <w:szCs w:val="28"/>
        </w:rPr>
        <w:t>.</w:t>
      </w:r>
    </w:p>
    <w:p w:rsidR="00613D8B" w:rsidRDefault="00635AFA" w:rsidP="00B41AD4">
      <w:pPr>
        <w:pStyle w:val="ListParagraph"/>
        <w:suppressAutoHyphens/>
        <w:autoSpaceDN w:val="0"/>
        <w:ind w:left="0" w:firstLine="567"/>
        <w:contextualSpacing w:val="0"/>
        <w:jc w:val="both"/>
        <w:textAlignment w:val="baseline"/>
        <w:rPr>
          <w:rStyle w:val="Noklusjumarindkopasfonts"/>
          <w:sz w:val="28"/>
          <w:szCs w:val="28"/>
        </w:rPr>
      </w:pPr>
      <w:r w:rsidRPr="0087512B">
        <w:rPr>
          <w:rStyle w:val="Noklusjumarindkopasfonts"/>
          <w:sz w:val="28"/>
          <w:szCs w:val="28"/>
        </w:rPr>
        <w:t>2016.gadā uzsākts sadarbības projekts ar RPNC par ekspozīcijas</w:t>
      </w:r>
      <w:r w:rsidR="00DF2435">
        <w:rPr>
          <w:rStyle w:val="Noklusjumarindkopasfonts"/>
          <w:sz w:val="28"/>
          <w:szCs w:val="28"/>
        </w:rPr>
        <w:t xml:space="preserve"> “Līdzsvars starp dažādām pasaulēm”</w:t>
      </w:r>
      <w:r w:rsidRPr="0087512B">
        <w:rPr>
          <w:rStyle w:val="Noklusjumarindkopasfonts"/>
          <w:sz w:val="28"/>
          <w:szCs w:val="28"/>
        </w:rPr>
        <w:t xml:space="preserve"> izveidošanu RPNC muzejā, papildus ekskursijai piedāvājot skolēniem un jauniešiem tikšanos – diskusiju ar narkologu par procesu atkarībām. Loto 2016.gadā finansēja atbilstošu informatīvo stendu Muzeju naktī</w:t>
      </w:r>
      <w:r w:rsidR="00DF2435">
        <w:rPr>
          <w:rStyle w:val="Noklusjumarindkopasfonts"/>
          <w:sz w:val="28"/>
          <w:szCs w:val="28"/>
        </w:rPr>
        <w:t xml:space="preserve"> un</w:t>
      </w:r>
      <w:r w:rsidRPr="0087512B">
        <w:rPr>
          <w:rStyle w:val="Noklusjumarindkopasfonts"/>
          <w:sz w:val="28"/>
          <w:szCs w:val="28"/>
        </w:rPr>
        <w:t xml:space="preserve"> RPNC muzeja telpās. Projekta realizācija iespējama, tiklīdz RPNC nodrošinās papildus nepieciešamās trešās puses piesaisti.</w:t>
      </w:r>
    </w:p>
    <w:p w:rsidR="009E0A36" w:rsidRPr="0087512B" w:rsidRDefault="009E0A36" w:rsidP="00B41AD4">
      <w:pPr>
        <w:pStyle w:val="ListParagraph"/>
        <w:suppressAutoHyphens/>
        <w:autoSpaceDN w:val="0"/>
        <w:ind w:left="0" w:firstLine="567"/>
        <w:contextualSpacing w:val="0"/>
        <w:jc w:val="both"/>
        <w:textAlignment w:val="baseline"/>
      </w:pPr>
    </w:p>
    <w:p w:rsidR="00136D69" w:rsidRDefault="00136D69" w:rsidP="009E0A36">
      <w:pPr>
        <w:pStyle w:val="Heading2"/>
        <w:numPr>
          <w:ilvl w:val="1"/>
          <w:numId w:val="36"/>
        </w:numPr>
        <w:ind w:left="0" w:firstLine="0"/>
        <w:jc w:val="center"/>
        <w:rPr>
          <w:rFonts w:cs="Times New Roman"/>
          <w:b/>
          <w:color w:val="000000" w:themeColor="text1"/>
          <w:sz w:val="28"/>
          <w:szCs w:val="28"/>
          <w:lang w:eastAsia="lv-LV"/>
        </w:rPr>
      </w:pPr>
      <w:bookmarkStart w:id="69" w:name="p-640747"/>
      <w:bookmarkStart w:id="70" w:name="p6"/>
      <w:bookmarkStart w:id="71" w:name="_Toc56087185"/>
      <w:bookmarkEnd w:id="69"/>
      <w:bookmarkEnd w:id="70"/>
      <w:r>
        <w:rPr>
          <w:rFonts w:ascii="Times New Roman" w:hAnsi="Times New Roman" w:cs="Times New Roman"/>
          <w:b/>
          <w:color w:val="000000" w:themeColor="text1"/>
          <w:sz w:val="28"/>
          <w:szCs w:val="28"/>
          <w:lang w:eastAsia="lv-LV"/>
        </w:rPr>
        <w:t xml:space="preserve">Spēlētāju uzvedības monitorings </w:t>
      </w:r>
      <w:r w:rsidR="00473E90">
        <w:rPr>
          <w:rFonts w:ascii="Times New Roman" w:hAnsi="Times New Roman" w:cs="Times New Roman"/>
          <w:b/>
          <w:color w:val="000000" w:themeColor="text1"/>
          <w:sz w:val="28"/>
          <w:szCs w:val="28"/>
          <w:lang w:eastAsia="lv-LV"/>
        </w:rPr>
        <w:t xml:space="preserve">azartspēļu </w:t>
      </w:r>
      <w:r w:rsidRPr="005232F2">
        <w:rPr>
          <w:rFonts w:ascii="Times New Roman" w:hAnsi="Times New Roman" w:cs="Times New Roman"/>
          <w:b/>
          <w:color w:val="000000" w:themeColor="text1"/>
          <w:sz w:val="28"/>
          <w:szCs w:val="28"/>
          <w:lang w:eastAsia="lv-LV"/>
        </w:rPr>
        <w:t>un izložu nozarē</w:t>
      </w:r>
      <w:bookmarkEnd w:id="71"/>
    </w:p>
    <w:p w:rsidR="00136D69" w:rsidRDefault="00136D69" w:rsidP="00136D69">
      <w:pPr>
        <w:rPr>
          <w:lang w:eastAsia="lv-LV"/>
        </w:rPr>
      </w:pPr>
    </w:p>
    <w:p w:rsidR="00136D69" w:rsidRPr="008B4E2C" w:rsidRDefault="00136D69" w:rsidP="00B41AD4">
      <w:pPr>
        <w:ind w:firstLine="567"/>
        <w:jc w:val="both"/>
        <w:rPr>
          <w:sz w:val="28"/>
          <w:szCs w:val="28"/>
        </w:rPr>
      </w:pPr>
      <w:r>
        <w:rPr>
          <w:sz w:val="28"/>
          <w:szCs w:val="28"/>
        </w:rPr>
        <w:t>Azartspēļu organizētāju un spēlētāju attiecības veido</w:t>
      </w:r>
      <w:r w:rsidRPr="008B4E2C">
        <w:rPr>
          <w:sz w:val="28"/>
          <w:szCs w:val="28"/>
        </w:rPr>
        <w:t xml:space="preserve"> materiālu un nemateriālu labumu piedāvāšan</w:t>
      </w:r>
      <w:r>
        <w:rPr>
          <w:sz w:val="28"/>
          <w:szCs w:val="28"/>
        </w:rPr>
        <w:t>a</w:t>
      </w:r>
      <w:r w:rsidRPr="008B4E2C">
        <w:rPr>
          <w:sz w:val="28"/>
          <w:szCs w:val="28"/>
        </w:rPr>
        <w:t xml:space="preserve"> klientiem ar nolūku piesaistīt klientu ilgtermiņā</w:t>
      </w:r>
      <w:r>
        <w:rPr>
          <w:sz w:val="28"/>
          <w:szCs w:val="28"/>
        </w:rPr>
        <w:t xml:space="preserve"> no uzņēmēja puses un saņemt kvalitatīvus </w:t>
      </w:r>
      <w:r w:rsidR="0041022E">
        <w:rPr>
          <w:sz w:val="28"/>
          <w:szCs w:val="28"/>
        </w:rPr>
        <w:t xml:space="preserve"> </w:t>
      </w:r>
      <w:r>
        <w:rPr>
          <w:sz w:val="28"/>
          <w:szCs w:val="28"/>
        </w:rPr>
        <w:t>pakalpojumus no spēlētāja puses</w:t>
      </w:r>
      <w:r w:rsidRPr="008B4E2C">
        <w:rPr>
          <w:sz w:val="28"/>
          <w:szCs w:val="28"/>
        </w:rPr>
        <w:t xml:space="preserve">. </w:t>
      </w:r>
      <w:r>
        <w:rPr>
          <w:sz w:val="28"/>
          <w:szCs w:val="28"/>
        </w:rPr>
        <w:t xml:space="preserve">Viens no </w:t>
      </w:r>
      <w:r w:rsidRPr="008B4E2C">
        <w:rPr>
          <w:sz w:val="28"/>
          <w:szCs w:val="28"/>
        </w:rPr>
        <w:t>savstarpējo attiecību veidošana</w:t>
      </w:r>
      <w:r>
        <w:rPr>
          <w:sz w:val="28"/>
          <w:szCs w:val="28"/>
        </w:rPr>
        <w:t>s instrumentiem</w:t>
      </w:r>
      <w:r w:rsidRPr="008B4E2C">
        <w:rPr>
          <w:sz w:val="28"/>
          <w:szCs w:val="28"/>
        </w:rPr>
        <w:t>, kur izdevīgumu gūst abas iesaistītās puses</w:t>
      </w:r>
      <w:r w:rsidR="00622FF1">
        <w:rPr>
          <w:sz w:val="28"/>
          <w:szCs w:val="28"/>
        </w:rPr>
        <w:t>,</w:t>
      </w:r>
      <w:r>
        <w:rPr>
          <w:sz w:val="28"/>
          <w:szCs w:val="28"/>
        </w:rPr>
        <w:t xml:space="preserve"> ir lojalitātes</w:t>
      </w:r>
      <w:r w:rsidR="008F7842">
        <w:rPr>
          <w:sz w:val="28"/>
          <w:szCs w:val="28"/>
        </w:rPr>
        <w:t xml:space="preserve"> jeb sadarbības</w:t>
      </w:r>
      <w:r>
        <w:rPr>
          <w:sz w:val="28"/>
          <w:szCs w:val="28"/>
        </w:rPr>
        <w:t xml:space="preserve"> programmas (turpmāk – </w:t>
      </w:r>
      <w:r w:rsidR="008F7842">
        <w:rPr>
          <w:sz w:val="28"/>
          <w:szCs w:val="28"/>
        </w:rPr>
        <w:t>S</w:t>
      </w:r>
      <w:r>
        <w:rPr>
          <w:sz w:val="28"/>
          <w:szCs w:val="28"/>
        </w:rPr>
        <w:t xml:space="preserve">P). </w:t>
      </w:r>
      <w:r w:rsidR="008F7842">
        <w:rPr>
          <w:sz w:val="28"/>
          <w:szCs w:val="28"/>
        </w:rPr>
        <w:t>S</w:t>
      </w:r>
      <w:r>
        <w:rPr>
          <w:sz w:val="28"/>
          <w:szCs w:val="28"/>
        </w:rPr>
        <w:t xml:space="preserve">P piedāvātās priekšrocības </w:t>
      </w:r>
      <w:r w:rsidRPr="008B4E2C">
        <w:rPr>
          <w:sz w:val="28"/>
          <w:szCs w:val="28"/>
        </w:rPr>
        <w:t xml:space="preserve">parasti </w:t>
      </w:r>
      <w:r>
        <w:rPr>
          <w:sz w:val="28"/>
          <w:szCs w:val="28"/>
        </w:rPr>
        <w:t>tiek definētas</w:t>
      </w:r>
      <w:r w:rsidRPr="008B4E2C">
        <w:rPr>
          <w:sz w:val="28"/>
          <w:szCs w:val="28"/>
        </w:rPr>
        <w:t xml:space="preserve"> kā “papildlīdzekļ</w:t>
      </w:r>
      <w:r>
        <w:rPr>
          <w:sz w:val="28"/>
          <w:szCs w:val="28"/>
        </w:rPr>
        <w:t>i</w:t>
      </w:r>
      <w:r w:rsidRPr="008B4E2C">
        <w:rPr>
          <w:sz w:val="28"/>
          <w:szCs w:val="28"/>
        </w:rPr>
        <w:t xml:space="preserve">”, kas tiek piedāvāti un sniegti lojālajiem klientiem uz uzņēmuma rēķina. Savukārt efektīva </w:t>
      </w:r>
      <w:r w:rsidR="008F7842">
        <w:rPr>
          <w:sz w:val="28"/>
          <w:szCs w:val="28"/>
        </w:rPr>
        <w:t>S</w:t>
      </w:r>
      <w:r w:rsidRPr="008B4E2C">
        <w:rPr>
          <w:sz w:val="28"/>
          <w:szCs w:val="28"/>
        </w:rPr>
        <w:t xml:space="preserve">P ietver tādas programmas izstrādi, kas atbilst klientu vajadzībām gan attiecībā uz viņu tērēšanas uzvedību, gan emocionālajām vajadzībām. </w:t>
      </w:r>
      <w:r w:rsidR="008F7842">
        <w:rPr>
          <w:sz w:val="28"/>
          <w:szCs w:val="28"/>
        </w:rPr>
        <w:t>S</w:t>
      </w:r>
      <w:r w:rsidR="00505C37">
        <w:rPr>
          <w:sz w:val="28"/>
          <w:szCs w:val="28"/>
        </w:rPr>
        <w:t>P ir iedarbīgs instruments ne tikai</w:t>
      </w:r>
      <w:r w:rsidR="00622FF1">
        <w:rPr>
          <w:sz w:val="28"/>
          <w:szCs w:val="28"/>
        </w:rPr>
        <w:t>,</w:t>
      </w:r>
      <w:r w:rsidR="00505C37">
        <w:rPr>
          <w:sz w:val="28"/>
          <w:szCs w:val="28"/>
        </w:rPr>
        <w:t xml:space="preserve"> </w:t>
      </w:r>
      <w:r w:rsidR="006613C5">
        <w:rPr>
          <w:sz w:val="28"/>
          <w:szCs w:val="28"/>
        </w:rPr>
        <w:t xml:space="preserve">lai sniegtu klientam augstas kvalitātes pakalpojumus, bet arī </w:t>
      </w:r>
      <w:r w:rsidR="00622FF1" w:rsidRPr="00CD7B51">
        <w:rPr>
          <w:sz w:val="28"/>
          <w:szCs w:val="28"/>
        </w:rPr>
        <w:t>uzticī</w:t>
      </w:r>
      <w:r w:rsidR="00622FF1">
        <w:rPr>
          <w:sz w:val="28"/>
          <w:szCs w:val="28"/>
        </w:rPr>
        <w:t>g</w:t>
      </w:r>
      <w:r w:rsidR="00622FF1" w:rsidRPr="00CD7B51">
        <w:rPr>
          <w:sz w:val="28"/>
          <w:szCs w:val="28"/>
        </w:rPr>
        <w:t xml:space="preserve">u </w:t>
      </w:r>
      <w:r w:rsidR="006613C5" w:rsidRPr="00CD7B51">
        <w:rPr>
          <w:sz w:val="28"/>
          <w:szCs w:val="28"/>
        </w:rPr>
        <w:t>attiecību veidošanā</w:t>
      </w:r>
      <w:r w:rsidR="006613C5">
        <w:rPr>
          <w:sz w:val="28"/>
          <w:szCs w:val="28"/>
        </w:rPr>
        <w:t>, nodrošinot iespēju sekot līdzi, lai izklaide nepārvērstos par pārmērīgo tieksmi spēlēt azartspēles (t.i. liedzot klientam turpmāko spēli, ja klienta uzvedībai piemīt atkarības).</w:t>
      </w:r>
    </w:p>
    <w:p w:rsidR="00136D69" w:rsidRPr="008B4E2C" w:rsidRDefault="00136D69" w:rsidP="00B41AD4">
      <w:pPr>
        <w:ind w:firstLine="567"/>
        <w:jc w:val="both"/>
        <w:rPr>
          <w:sz w:val="28"/>
          <w:szCs w:val="28"/>
        </w:rPr>
      </w:pPr>
      <w:r>
        <w:rPr>
          <w:sz w:val="28"/>
          <w:szCs w:val="28"/>
        </w:rPr>
        <w:t xml:space="preserve">Lai pasargātu spēlētājus no pārmērīgas tieksmes spēlēt azartspēles, </w:t>
      </w:r>
      <w:r w:rsidRPr="008B4E2C">
        <w:rPr>
          <w:sz w:val="28"/>
          <w:szCs w:val="28"/>
        </w:rPr>
        <w:t>Latvijā normatīvie akti aizliedz piedāvāt piedalīšanos azartspēlē par velti, kā dāvanu vai balvu</w:t>
      </w:r>
      <w:r w:rsidR="00E068C9">
        <w:rPr>
          <w:sz w:val="28"/>
          <w:szCs w:val="28"/>
        </w:rPr>
        <w:t>,</w:t>
      </w:r>
      <w:r w:rsidRPr="008B4E2C">
        <w:rPr>
          <w:sz w:val="28"/>
          <w:szCs w:val="28"/>
        </w:rPr>
        <w:t xml:space="preserve"> vai arī </w:t>
      </w:r>
      <w:r w:rsidRPr="00A23445">
        <w:rPr>
          <w:sz w:val="28"/>
          <w:szCs w:val="28"/>
        </w:rPr>
        <w:t>kā kompensāciju par preces iegādi vai pakalpojuma saņemšanu</w:t>
      </w:r>
      <w:r w:rsidRPr="00A23445">
        <w:rPr>
          <w:sz w:val="28"/>
          <w:szCs w:val="28"/>
          <w:vertAlign w:val="superscript"/>
        </w:rPr>
        <w:footnoteReference w:id="64"/>
      </w:r>
      <w:r w:rsidRPr="00A23445">
        <w:rPr>
          <w:sz w:val="28"/>
          <w:szCs w:val="28"/>
        </w:rPr>
        <w:t xml:space="preserve">. </w:t>
      </w:r>
      <w:r>
        <w:rPr>
          <w:sz w:val="28"/>
          <w:szCs w:val="28"/>
        </w:rPr>
        <w:t>L</w:t>
      </w:r>
      <w:r w:rsidRPr="008B4E2C">
        <w:rPr>
          <w:sz w:val="28"/>
          <w:szCs w:val="28"/>
        </w:rPr>
        <w:t xml:space="preserve">ai arī Latvijā tiesiskais regulējums neparedz lojalitāšu programmu izmantošanu </w:t>
      </w:r>
      <w:r w:rsidR="00A563A3">
        <w:rPr>
          <w:sz w:val="28"/>
          <w:szCs w:val="28"/>
        </w:rPr>
        <w:t>AI</w:t>
      </w:r>
      <w:r w:rsidRPr="008B4E2C">
        <w:rPr>
          <w:sz w:val="28"/>
          <w:szCs w:val="28"/>
        </w:rPr>
        <w:t xml:space="preserve"> nozarē, </w:t>
      </w:r>
      <w:r>
        <w:rPr>
          <w:sz w:val="28"/>
          <w:szCs w:val="28"/>
        </w:rPr>
        <w:t>prakse</w:t>
      </w:r>
      <w:r w:rsidRPr="008B4E2C">
        <w:rPr>
          <w:sz w:val="28"/>
          <w:szCs w:val="28"/>
        </w:rPr>
        <w:t xml:space="preserve"> liecina, ka </w:t>
      </w:r>
      <w:r>
        <w:rPr>
          <w:sz w:val="28"/>
          <w:szCs w:val="28"/>
        </w:rPr>
        <w:t xml:space="preserve">esošā regulējuma dažādas interpretācijas rezultātā </w:t>
      </w:r>
      <w:r w:rsidRPr="008B4E2C">
        <w:rPr>
          <w:sz w:val="28"/>
          <w:szCs w:val="28"/>
        </w:rPr>
        <w:t xml:space="preserve">atsevišķi </w:t>
      </w:r>
      <w:r w:rsidR="008F7842">
        <w:rPr>
          <w:sz w:val="28"/>
          <w:szCs w:val="28"/>
        </w:rPr>
        <w:t xml:space="preserve">šādu programmu </w:t>
      </w:r>
      <w:r w:rsidRPr="008B4E2C">
        <w:rPr>
          <w:sz w:val="28"/>
          <w:szCs w:val="28"/>
        </w:rPr>
        <w:t xml:space="preserve">elementi tiek izmantoti. </w:t>
      </w:r>
    </w:p>
    <w:p w:rsidR="00136D69" w:rsidRDefault="00136D69" w:rsidP="00B41AD4">
      <w:pPr>
        <w:ind w:firstLine="567"/>
        <w:jc w:val="both"/>
        <w:rPr>
          <w:sz w:val="28"/>
          <w:szCs w:val="28"/>
        </w:rPr>
      </w:pPr>
      <w:r>
        <w:rPr>
          <w:sz w:val="28"/>
          <w:szCs w:val="28"/>
        </w:rPr>
        <w:t>A</w:t>
      </w:r>
      <w:r w:rsidRPr="008B4E2C">
        <w:rPr>
          <w:sz w:val="28"/>
          <w:szCs w:val="28"/>
        </w:rPr>
        <w:t>zartspēļu organizētāji</w:t>
      </w:r>
      <w:r>
        <w:rPr>
          <w:sz w:val="28"/>
          <w:szCs w:val="28"/>
        </w:rPr>
        <w:t>em</w:t>
      </w:r>
      <w:r w:rsidRPr="008B4E2C">
        <w:rPr>
          <w:sz w:val="28"/>
          <w:szCs w:val="28"/>
        </w:rPr>
        <w:t xml:space="preserve"> ir </w:t>
      </w:r>
      <w:r>
        <w:rPr>
          <w:sz w:val="28"/>
          <w:szCs w:val="28"/>
        </w:rPr>
        <w:t>izveidoti</w:t>
      </w:r>
      <w:r w:rsidRPr="008B4E2C">
        <w:rPr>
          <w:sz w:val="28"/>
          <w:szCs w:val="28"/>
        </w:rPr>
        <w:t xml:space="preserve"> iekšēj</w:t>
      </w:r>
      <w:r>
        <w:rPr>
          <w:sz w:val="28"/>
          <w:szCs w:val="28"/>
        </w:rPr>
        <w:t>ie</w:t>
      </w:r>
      <w:r w:rsidRPr="008B4E2C">
        <w:rPr>
          <w:sz w:val="28"/>
          <w:szCs w:val="28"/>
        </w:rPr>
        <w:t xml:space="preserve"> klientu reģistr</w:t>
      </w:r>
      <w:r>
        <w:rPr>
          <w:sz w:val="28"/>
          <w:szCs w:val="28"/>
        </w:rPr>
        <w:t>i,</w:t>
      </w:r>
      <w:r w:rsidRPr="008B4E2C">
        <w:rPr>
          <w:sz w:val="28"/>
          <w:szCs w:val="28"/>
        </w:rPr>
        <w:t xml:space="preserve"> ievie</w:t>
      </w:r>
      <w:r>
        <w:rPr>
          <w:sz w:val="28"/>
          <w:szCs w:val="28"/>
        </w:rPr>
        <w:t>stas</w:t>
      </w:r>
      <w:r w:rsidRPr="008B4E2C">
        <w:rPr>
          <w:sz w:val="28"/>
          <w:szCs w:val="28"/>
        </w:rPr>
        <w:t xml:space="preserve"> klientu kartes, kas</w:t>
      </w:r>
      <w:r>
        <w:rPr>
          <w:sz w:val="28"/>
          <w:szCs w:val="28"/>
        </w:rPr>
        <w:t xml:space="preserve"> sniedz uzņēmumiem informāciju par klientu preferencēm no vienas puses</w:t>
      </w:r>
      <w:r w:rsidR="00E068C9">
        <w:rPr>
          <w:sz w:val="28"/>
          <w:szCs w:val="28"/>
        </w:rPr>
        <w:t>,</w:t>
      </w:r>
      <w:r>
        <w:rPr>
          <w:sz w:val="28"/>
          <w:szCs w:val="28"/>
        </w:rPr>
        <w:t xml:space="preserve"> un tajā pašā laikā</w:t>
      </w:r>
      <w:r w:rsidRPr="008B4E2C">
        <w:rPr>
          <w:sz w:val="28"/>
          <w:szCs w:val="28"/>
        </w:rPr>
        <w:t xml:space="preserve"> ļauj klientiem izmantot </w:t>
      </w:r>
      <w:r>
        <w:rPr>
          <w:sz w:val="28"/>
          <w:szCs w:val="28"/>
        </w:rPr>
        <w:t>tādas</w:t>
      </w:r>
      <w:r w:rsidRPr="008B4E2C">
        <w:rPr>
          <w:sz w:val="28"/>
          <w:szCs w:val="28"/>
        </w:rPr>
        <w:t xml:space="preserve"> priekšrocības,</w:t>
      </w:r>
      <w:r>
        <w:rPr>
          <w:sz w:val="28"/>
          <w:szCs w:val="28"/>
        </w:rPr>
        <w:t xml:space="preserve"> kā</w:t>
      </w:r>
      <w:r w:rsidR="00E068C9">
        <w:rPr>
          <w:sz w:val="28"/>
          <w:szCs w:val="28"/>
        </w:rPr>
        <w:t>,</w:t>
      </w:r>
      <w:r w:rsidRPr="008B4E2C">
        <w:rPr>
          <w:sz w:val="28"/>
          <w:szCs w:val="28"/>
        </w:rPr>
        <w:t xml:space="preserve"> piemēram, </w:t>
      </w:r>
      <w:r w:rsidRPr="008B4E2C">
        <w:rPr>
          <w:sz w:val="28"/>
          <w:szCs w:val="28"/>
        </w:rPr>
        <w:lastRenderedPageBreak/>
        <w:t>lētāk</w:t>
      </w:r>
      <w:r>
        <w:rPr>
          <w:sz w:val="28"/>
          <w:szCs w:val="28"/>
        </w:rPr>
        <w:t>us</w:t>
      </w:r>
      <w:r w:rsidRPr="008B4E2C">
        <w:rPr>
          <w:sz w:val="28"/>
          <w:szCs w:val="28"/>
        </w:rPr>
        <w:t xml:space="preserve"> dzērienus, </w:t>
      </w:r>
      <w:r>
        <w:rPr>
          <w:sz w:val="28"/>
          <w:szCs w:val="28"/>
        </w:rPr>
        <w:t>spēles ar</w:t>
      </w:r>
      <w:r w:rsidRPr="008B4E2C">
        <w:rPr>
          <w:sz w:val="28"/>
          <w:szCs w:val="28"/>
        </w:rPr>
        <w:t xml:space="preserve"> samazinātu likmi un tml. </w:t>
      </w:r>
      <w:r>
        <w:rPr>
          <w:sz w:val="28"/>
          <w:szCs w:val="28"/>
        </w:rPr>
        <w:t>J</w:t>
      </w:r>
      <w:r w:rsidRPr="008B4E2C">
        <w:rPr>
          <w:sz w:val="28"/>
          <w:szCs w:val="28"/>
        </w:rPr>
        <w:t xml:space="preserve">āņem vērā, ka klientu kartes esamība ne vienmēr liecina par to, ka klients ir pievienojies uzņēmuma </w:t>
      </w:r>
      <w:r w:rsidR="005D097C">
        <w:rPr>
          <w:sz w:val="28"/>
          <w:szCs w:val="28"/>
        </w:rPr>
        <w:t>SP</w:t>
      </w:r>
      <w:r w:rsidRPr="008B4E2C">
        <w:rPr>
          <w:sz w:val="28"/>
          <w:szCs w:val="28"/>
        </w:rPr>
        <w:t>.</w:t>
      </w:r>
      <w:r w:rsidRPr="006E53F5">
        <w:rPr>
          <w:sz w:val="28"/>
          <w:szCs w:val="28"/>
        </w:rPr>
        <w:t xml:space="preserve"> </w:t>
      </w:r>
    </w:p>
    <w:p w:rsidR="00136D69" w:rsidRPr="008B4E2C" w:rsidRDefault="00136D69" w:rsidP="00B41AD4">
      <w:pPr>
        <w:ind w:firstLine="567"/>
        <w:jc w:val="both"/>
        <w:rPr>
          <w:sz w:val="28"/>
          <w:szCs w:val="28"/>
        </w:rPr>
      </w:pPr>
      <w:r w:rsidRPr="008B4E2C">
        <w:rPr>
          <w:sz w:val="28"/>
          <w:szCs w:val="28"/>
        </w:rPr>
        <w:t xml:space="preserve">Attiecībā uz azartspēļu nozares </w:t>
      </w:r>
      <w:r w:rsidR="00421D08">
        <w:rPr>
          <w:sz w:val="28"/>
          <w:szCs w:val="28"/>
        </w:rPr>
        <w:t>S</w:t>
      </w:r>
      <w:r w:rsidRPr="008B4E2C">
        <w:rPr>
          <w:sz w:val="28"/>
          <w:szCs w:val="28"/>
        </w:rPr>
        <w:t xml:space="preserve">P normatīvā regulējuma esamību </w:t>
      </w:r>
      <w:r>
        <w:rPr>
          <w:sz w:val="28"/>
          <w:szCs w:val="28"/>
        </w:rPr>
        <w:t xml:space="preserve">dažādās valstīs </w:t>
      </w:r>
      <w:r w:rsidRPr="008B4E2C">
        <w:rPr>
          <w:sz w:val="28"/>
          <w:szCs w:val="28"/>
        </w:rPr>
        <w:t xml:space="preserve">ir ļoti dažādas </w:t>
      </w:r>
      <w:r>
        <w:rPr>
          <w:sz w:val="28"/>
          <w:szCs w:val="28"/>
        </w:rPr>
        <w:t>pieejas</w:t>
      </w:r>
      <w:r w:rsidRPr="008B4E2C">
        <w:rPr>
          <w:sz w:val="28"/>
          <w:szCs w:val="28"/>
        </w:rPr>
        <w:t>. Piemēram</w:t>
      </w:r>
      <w:r w:rsidR="00177769">
        <w:rPr>
          <w:sz w:val="28"/>
          <w:szCs w:val="28"/>
        </w:rPr>
        <w:t>,</w:t>
      </w:r>
      <w:r w:rsidRPr="008B4E2C">
        <w:rPr>
          <w:sz w:val="28"/>
          <w:szCs w:val="28"/>
        </w:rPr>
        <w:t xml:space="preserve"> Austrālijas atsevišķos reģionos (ne visos) ir izstrādā</w:t>
      </w:r>
      <w:r>
        <w:rPr>
          <w:sz w:val="28"/>
          <w:szCs w:val="28"/>
        </w:rPr>
        <w:t>ta</w:t>
      </w:r>
      <w:r w:rsidRPr="008B4E2C">
        <w:rPr>
          <w:sz w:val="28"/>
          <w:szCs w:val="28"/>
        </w:rPr>
        <w:t xml:space="preserve">s vadlīnijas par </w:t>
      </w:r>
      <w:r w:rsidR="00421D08">
        <w:rPr>
          <w:sz w:val="28"/>
          <w:szCs w:val="28"/>
        </w:rPr>
        <w:t>S</w:t>
      </w:r>
      <w:r w:rsidRPr="008B4E2C">
        <w:rPr>
          <w:sz w:val="28"/>
          <w:szCs w:val="28"/>
        </w:rPr>
        <w:t>P</w:t>
      </w:r>
      <w:r>
        <w:rPr>
          <w:sz w:val="28"/>
          <w:szCs w:val="28"/>
        </w:rPr>
        <w:t>, s</w:t>
      </w:r>
      <w:r w:rsidRPr="008B4E2C">
        <w:rPr>
          <w:sz w:val="28"/>
          <w:szCs w:val="28"/>
        </w:rPr>
        <w:t>avukārt citās valstīs ir izveidotas institūcijas, kas nodarbojas ar šiem jautājumiem – Ontario Problēmu Azartspēļu Pētniecības centrs (</w:t>
      </w:r>
      <w:r w:rsidR="00815B5C" w:rsidRPr="0066503A">
        <w:rPr>
          <w:sz w:val="28"/>
          <w:szCs w:val="28"/>
        </w:rPr>
        <w:t>ang. val.</w:t>
      </w:r>
      <w:r w:rsidR="00815B5C" w:rsidRPr="00A80C1E">
        <w:rPr>
          <w:i/>
          <w:sz w:val="28"/>
          <w:szCs w:val="28"/>
        </w:rPr>
        <w:t xml:space="preserve"> </w:t>
      </w:r>
      <w:r w:rsidRPr="00A80C1E">
        <w:rPr>
          <w:i/>
          <w:sz w:val="28"/>
          <w:szCs w:val="28"/>
        </w:rPr>
        <w:t>Ontario Problem Gambling Research Centre</w:t>
      </w:r>
      <w:r w:rsidRPr="008B4E2C">
        <w:rPr>
          <w:sz w:val="28"/>
          <w:szCs w:val="28"/>
        </w:rPr>
        <w:t>), Atbildīgā Azartspēļu padome (</w:t>
      </w:r>
      <w:r w:rsidR="00815B5C" w:rsidRPr="00A80C1E">
        <w:rPr>
          <w:i/>
          <w:sz w:val="28"/>
          <w:szCs w:val="28"/>
        </w:rPr>
        <w:t>a</w:t>
      </w:r>
      <w:r w:rsidR="00FB0A00">
        <w:rPr>
          <w:i/>
          <w:sz w:val="28"/>
          <w:szCs w:val="28"/>
        </w:rPr>
        <w:t>ng</w:t>
      </w:r>
      <w:r w:rsidR="00815B5C" w:rsidRPr="00A80C1E">
        <w:rPr>
          <w:i/>
          <w:sz w:val="28"/>
          <w:szCs w:val="28"/>
        </w:rPr>
        <w:t>.</w:t>
      </w:r>
      <w:r w:rsidR="00C13F89">
        <w:rPr>
          <w:i/>
          <w:sz w:val="28"/>
          <w:szCs w:val="28"/>
        </w:rPr>
        <w:t xml:space="preserve"> </w:t>
      </w:r>
      <w:r w:rsidR="00815B5C" w:rsidRPr="00A80C1E">
        <w:rPr>
          <w:i/>
          <w:sz w:val="28"/>
          <w:szCs w:val="28"/>
        </w:rPr>
        <w:t xml:space="preserve">val. </w:t>
      </w:r>
      <w:r w:rsidRPr="00A80C1E">
        <w:rPr>
          <w:i/>
          <w:sz w:val="28"/>
          <w:szCs w:val="28"/>
        </w:rPr>
        <w:t>Responsible Gambling Coun</w:t>
      </w:r>
      <w:r w:rsidR="00A00755">
        <w:rPr>
          <w:i/>
          <w:sz w:val="28"/>
          <w:szCs w:val="28"/>
        </w:rPr>
        <w:t>c</w:t>
      </w:r>
      <w:r w:rsidRPr="00A80C1E">
        <w:rPr>
          <w:i/>
          <w:sz w:val="28"/>
          <w:szCs w:val="28"/>
        </w:rPr>
        <w:t>il</w:t>
      </w:r>
      <w:r w:rsidRPr="008B4E2C">
        <w:rPr>
          <w:sz w:val="28"/>
          <w:szCs w:val="28"/>
        </w:rPr>
        <w:t>) Londonā.</w:t>
      </w:r>
      <w:r>
        <w:rPr>
          <w:sz w:val="28"/>
          <w:szCs w:val="28"/>
        </w:rPr>
        <w:t xml:space="preserve"> </w:t>
      </w:r>
      <w:r w:rsidRPr="008B4E2C">
        <w:rPr>
          <w:sz w:val="28"/>
          <w:szCs w:val="28"/>
        </w:rPr>
        <w:t>Lietuvā</w:t>
      </w:r>
      <w:r>
        <w:rPr>
          <w:sz w:val="28"/>
          <w:szCs w:val="28"/>
        </w:rPr>
        <w:t xml:space="preserve"> tāpat</w:t>
      </w:r>
      <w:r w:rsidRPr="008B4E2C">
        <w:rPr>
          <w:sz w:val="28"/>
          <w:szCs w:val="28"/>
        </w:rPr>
        <w:t xml:space="preserve"> kā Latvijā arī ir noteiktas striktas prasības attiecībā uz </w:t>
      </w:r>
      <w:r w:rsidR="00421D08">
        <w:rPr>
          <w:sz w:val="28"/>
          <w:szCs w:val="28"/>
        </w:rPr>
        <w:t>S</w:t>
      </w:r>
      <w:r w:rsidRPr="008B4E2C">
        <w:rPr>
          <w:sz w:val="28"/>
          <w:szCs w:val="28"/>
        </w:rPr>
        <w:t>P elementu izmantošanu azartspēļu nozarē.</w:t>
      </w:r>
      <w:r>
        <w:rPr>
          <w:sz w:val="28"/>
          <w:szCs w:val="28"/>
        </w:rPr>
        <w:t xml:space="preserve"> </w:t>
      </w:r>
      <w:r w:rsidRPr="008B4E2C">
        <w:rPr>
          <w:sz w:val="28"/>
          <w:szCs w:val="28"/>
        </w:rPr>
        <w:t>AI pamatnostādnēs ir izmantot</w:t>
      </w:r>
      <w:r>
        <w:rPr>
          <w:sz w:val="28"/>
          <w:szCs w:val="28"/>
        </w:rPr>
        <w:t>s</w:t>
      </w:r>
      <w:r w:rsidRPr="008B4E2C">
        <w:rPr>
          <w:sz w:val="28"/>
          <w:szCs w:val="28"/>
        </w:rPr>
        <w:t xml:space="preserve"> </w:t>
      </w:r>
      <w:r w:rsidR="00815B5C">
        <w:rPr>
          <w:sz w:val="28"/>
          <w:szCs w:val="28"/>
        </w:rPr>
        <w:t>K</w:t>
      </w:r>
      <w:r w:rsidR="00815B5C" w:rsidRPr="008B4E2C">
        <w:rPr>
          <w:sz w:val="28"/>
          <w:szCs w:val="28"/>
        </w:rPr>
        <w:t xml:space="preserve">arleton </w:t>
      </w:r>
      <w:r w:rsidRPr="008B4E2C">
        <w:rPr>
          <w:sz w:val="28"/>
          <w:szCs w:val="28"/>
        </w:rPr>
        <w:t xml:space="preserve">universitātes (Kanādā) profesora </w:t>
      </w:r>
      <w:r w:rsidR="007802CE">
        <w:rPr>
          <w:sz w:val="28"/>
          <w:szCs w:val="28"/>
        </w:rPr>
        <w:t>Mihaela J.A. V</w:t>
      </w:r>
      <w:r w:rsidR="000E55ED">
        <w:rPr>
          <w:sz w:val="28"/>
          <w:szCs w:val="28"/>
        </w:rPr>
        <w:t>o</w:t>
      </w:r>
      <w:r w:rsidR="007802CE">
        <w:rPr>
          <w:sz w:val="28"/>
          <w:szCs w:val="28"/>
        </w:rPr>
        <w:t>la (</w:t>
      </w:r>
      <w:r w:rsidR="007802CE" w:rsidRPr="0066503A">
        <w:rPr>
          <w:sz w:val="28"/>
          <w:szCs w:val="28"/>
        </w:rPr>
        <w:t>ang.</w:t>
      </w:r>
      <w:r w:rsidR="00C13F89">
        <w:rPr>
          <w:sz w:val="28"/>
          <w:szCs w:val="28"/>
        </w:rPr>
        <w:t xml:space="preserve"> </w:t>
      </w:r>
      <w:r w:rsidR="007802CE" w:rsidRPr="0066503A">
        <w:rPr>
          <w:sz w:val="28"/>
          <w:szCs w:val="28"/>
        </w:rPr>
        <w:t>val</w:t>
      </w:r>
      <w:r w:rsidR="007802CE" w:rsidRPr="00A80C1E">
        <w:rPr>
          <w:i/>
          <w:sz w:val="28"/>
          <w:szCs w:val="28"/>
        </w:rPr>
        <w:t>.</w:t>
      </w:r>
      <w:r w:rsidR="00FB0A00">
        <w:rPr>
          <w:i/>
          <w:sz w:val="28"/>
          <w:szCs w:val="28"/>
        </w:rPr>
        <w:t xml:space="preserve"> </w:t>
      </w:r>
      <w:r w:rsidRPr="00E808BF">
        <w:rPr>
          <w:rFonts w:cs="Times New Roman"/>
          <w:bCs/>
          <w:i/>
          <w:color w:val="111111"/>
          <w:sz w:val="28"/>
          <w:szCs w:val="28"/>
          <w:lang w:val="en"/>
        </w:rPr>
        <w:t>Michael J.A.Wohl</w:t>
      </w:r>
      <w:r w:rsidR="007802CE">
        <w:rPr>
          <w:rFonts w:cs="Times New Roman"/>
          <w:bCs/>
          <w:color w:val="111111"/>
          <w:sz w:val="28"/>
          <w:szCs w:val="28"/>
          <w:lang w:val="en"/>
        </w:rPr>
        <w:t>)</w:t>
      </w:r>
      <w:r w:rsidRPr="008B4E2C">
        <w:rPr>
          <w:rFonts w:cs="Times New Roman"/>
          <w:bCs/>
          <w:color w:val="111111"/>
          <w:sz w:val="28"/>
          <w:szCs w:val="28"/>
          <w:lang w:val="en"/>
        </w:rPr>
        <w:t xml:space="preserve"> pētījums “</w:t>
      </w:r>
      <w:r w:rsidRPr="008B4E2C">
        <w:rPr>
          <w:rFonts w:cs="Times New Roman"/>
          <w:bCs/>
          <w:i/>
          <w:color w:val="111111"/>
          <w:sz w:val="28"/>
          <w:szCs w:val="28"/>
          <w:lang w:val="en"/>
        </w:rPr>
        <w:t>Loyalty programmes in the gambling industry: potentials for harm and possibilities for harm-minimization</w:t>
      </w:r>
      <w:r w:rsidRPr="008B4E2C">
        <w:rPr>
          <w:rFonts w:cs="Times New Roman"/>
          <w:bCs/>
          <w:color w:val="111111"/>
          <w:sz w:val="28"/>
          <w:szCs w:val="28"/>
          <w:lang w:val="en"/>
        </w:rPr>
        <w:t>”, kur</w:t>
      </w:r>
      <w:r>
        <w:rPr>
          <w:rFonts w:cs="Times New Roman"/>
          <w:bCs/>
          <w:color w:val="111111"/>
          <w:sz w:val="28"/>
          <w:szCs w:val="28"/>
          <w:lang w:val="en"/>
        </w:rPr>
        <w:t>ā</w:t>
      </w:r>
      <w:r w:rsidRPr="008B4E2C">
        <w:rPr>
          <w:rFonts w:cs="Times New Roman"/>
          <w:bCs/>
          <w:color w:val="111111"/>
          <w:sz w:val="28"/>
          <w:szCs w:val="28"/>
          <w:lang w:val="en"/>
        </w:rPr>
        <w:t xml:space="preserve"> ir ietverta un izmantota </w:t>
      </w:r>
      <w:r w:rsidRPr="008B4E2C">
        <w:rPr>
          <w:sz w:val="28"/>
          <w:szCs w:val="28"/>
        </w:rPr>
        <w:t xml:space="preserve">citu valstu (Austrālijas, Kanādas, ASV un Zviedrijas) pieredze, pētījumi un situāciju </w:t>
      </w:r>
      <w:r w:rsidR="005B1F62" w:rsidRPr="008B4E2C">
        <w:rPr>
          <w:sz w:val="28"/>
          <w:szCs w:val="28"/>
        </w:rPr>
        <w:t>anal</w:t>
      </w:r>
      <w:r w:rsidR="005B1F62">
        <w:rPr>
          <w:sz w:val="28"/>
          <w:szCs w:val="28"/>
        </w:rPr>
        <w:t>īze</w:t>
      </w:r>
      <w:r w:rsidR="005B1F62" w:rsidRPr="008B4E2C">
        <w:rPr>
          <w:sz w:val="28"/>
          <w:szCs w:val="28"/>
        </w:rPr>
        <w:t xml:space="preserve"> </w:t>
      </w:r>
      <w:r w:rsidRPr="008B4E2C">
        <w:rPr>
          <w:sz w:val="28"/>
          <w:szCs w:val="28"/>
        </w:rPr>
        <w:t>šajās valstīs, kā arī pētījums par azartspēlēm Austrālijā “</w:t>
      </w:r>
      <w:r w:rsidRPr="008B4E2C">
        <w:rPr>
          <w:i/>
          <w:sz w:val="28"/>
          <w:szCs w:val="28"/>
        </w:rPr>
        <w:t>The role of loyalty programs in gambling: final report of findings from audit of electronic gaming machine gambling venues, literature review, online discussion boards and longitudinal telephone survey</w:t>
      </w:r>
      <w:r w:rsidRPr="008B4E2C">
        <w:rPr>
          <w:sz w:val="28"/>
          <w:szCs w:val="28"/>
        </w:rPr>
        <w:t>”</w:t>
      </w:r>
      <w:r w:rsidRPr="008B4E2C">
        <w:rPr>
          <w:sz w:val="28"/>
          <w:szCs w:val="28"/>
          <w:vertAlign w:val="superscript"/>
        </w:rPr>
        <w:footnoteReference w:id="65"/>
      </w:r>
      <w:r w:rsidRPr="008B4E2C">
        <w:rPr>
          <w:sz w:val="28"/>
          <w:szCs w:val="28"/>
        </w:rPr>
        <w:t xml:space="preserve"> 2014.gadā. Azartspēļu nozarē izmantojamo </w:t>
      </w:r>
      <w:r w:rsidR="00421D08">
        <w:rPr>
          <w:sz w:val="28"/>
          <w:szCs w:val="28"/>
        </w:rPr>
        <w:t>programmu</w:t>
      </w:r>
      <w:r w:rsidRPr="008B4E2C">
        <w:rPr>
          <w:sz w:val="28"/>
          <w:szCs w:val="28"/>
        </w:rPr>
        <w:t xml:space="preserve"> elementi un to ietekme uz spēlētāju ir atspoguļoti</w:t>
      </w:r>
      <w:r w:rsidR="007802CE">
        <w:rPr>
          <w:sz w:val="28"/>
          <w:szCs w:val="28"/>
        </w:rPr>
        <w:t xml:space="preserve"> </w:t>
      </w:r>
      <w:r w:rsidR="005B1F62">
        <w:rPr>
          <w:sz w:val="28"/>
          <w:szCs w:val="28"/>
        </w:rPr>
        <w:t>2.</w:t>
      </w:r>
      <w:r w:rsidRPr="008B4E2C">
        <w:rPr>
          <w:sz w:val="28"/>
          <w:szCs w:val="28"/>
        </w:rPr>
        <w:t xml:space="preserve"> tabulā.</w:t>
      </w:r>
    </w:p>
    <w:p w:rsidR="00136D69" w:rsidRPr="008B4E2C" w:rsidRDefault="005B1F62" w:rsidP="00CB3E6C">
      <w:pPr>
        <w:jc w:val="right"/>
        <w:rPr>
          <w:sz w:val="28"/>
          <w:szCs w:val="28"/>
        </w:rPr>
      </w:pPr>
      <w:r>
        <w:rPr>
          <w:sz w:val="28"/>
          <w:szCs w:val="28"/>
        </w:rPr>
        <w:t>2.tabula</w:t>
      </w:r>
    </w:p>
    <w:p w:rsidR="00136D69" w:rsidRPr="008B4E2C" w:rsidRDefault="00136D69" w:rsidP="00136D69">
      <w:pPr>
        <w:jc w:val="center"/>
        <w:rPr>
          <w:sz w:val="28"/>
          <w:szCs w:val="28"/>
        </w:rPr>
      </w:pPr>
      <w:r w:rsidRPr="008B4E2C">
        <w:rPr>
          <w:sz w:val="28"/>
          <w:szCs w:val="28"/>
        </w:rPr>
        <w:t xml:space="preserve">Lojalitātes programmas </w:t>
      </w:r>
      <w:r w:rsidR="0041022E">
        <w:rPr>
          <w:sz w:val="28"/>
          <w:szCs w:val="28"/>
        </w:rPr>
        <w:t>elementi</w:t>
      </w:r>
      <w:r w:rsidR="0041022E" w:rsidRPr="008B4E2C">
        <w:rPr>
          <w:sz w:val="28"/>
          <w:szCs w:val="28"/>
        </w:rPr>
        <w:t xml:space="preserve"> </w:t>
      </w:r>
      <w:r w:rsidRPr="008B4E2C">
        <w:rPr>
          <w:sz w:val="28"/>
          <w:szCs w:val="28"/>
        </w:rPr>
        <w:t>un azartspēļu spēlētāja uzvedība</w:t>
      </w:r>
      <w:r w:rsidRPr="008B4E2C">
        <w:rPr>
          <w:sz w:val="28"/>
          <w:szCs w:val="28"/>
          <w:vertAlign w:val="superscript"/>
        </w:rPr>
        <w:footnoteReference w:id="66"/>
      </w:r>
    </w:p>
    <w:tbl>
      <w:tblPr>
        <w:tblStyle w:val="TableGrid"/>
        <w:tblW w:w="0" w:type="auto"/>
        <w:jc w:val="center"/>
        <w:tblLook w:val="04A0" w:firstRow="1" w:lastRow="0" w:firstColumn="1" w:lastColumn="0" w:noHBand="0" w:noVBand="1"/>
      </w:tblPr>
      <w:tblGrid>
        <w:gridCol w:w="4149"/>
        <w:gridCol w:w="4147"/>
      </w:tblGrid>
      <w:tr w:rsidR="00136D69" w:rsidRPr="000E55ED" w:rsidTr="00CB3E6C">
        <w:trPr>
          <w:jc w:val="center"/>
        </w:trPr>
        <w:tc>
          <w:tcPr>
            <w:tcW w:w="4149" w:type="dxa"/>
          </w:tcPr>
          <w:p w:rsidR="00136D69" w:rsidRPr="00E808BF" w:rsidRDefault="003F0393" w:rsidP="005B6B78">
            <w:pPr>
              <w:jc w:val="center"/>
              <w:rPr>
                <w:b/>
                <w:sz w:val="28"/>
                <w:szCs w:val="28"/>
              </w:rPr>
            </w:pPr>
            <w:r w:rsidRPr="00E808BF">
              <w:rPr>
                <w:b/>
                <w:sz w:val="28"/>
                <w:szCs w:val="28"/>
              </w:rPr>
              <w:t xml:space="preserve">Programmu </w:t>
            </w:r>
            <w:r w:rsidR="00136D69" w:rsidRPr="00E808BF">
              <w:rPr>
                <w:b/>
                <w:sz w:val="28"/>
                <w:szCs w:val="28"/>
              </w:rPr>
              <w:t>elementi</w:t>
            </w:r>
            <w:r w:rsidR="00421D08" w:rsidRPr="00E808BF">
              <w:rPr>
                <w:b/>
                <w:sz w:val="28"/>
                <w:szCs w:val="28"/>
              </w:rPr>
              <w:t xml:space="preserve"> spēlētāju piesaistei</w:t>
            </w:r>
          </w:p>
        </w:tc>
        <w:tc>
          <w:tcPr>
            <w:tcW w:w="4147" w:type="dxa"/>
          </w:tcPr>
          <w:p w:rsidR="00136D69" w:rsidRPr="00E808BF" w:rsidRDefault="00136D69" w:rsidP="005B6B78">
            <w:pPr>
              <w:jc w:val="center"/>
              <w:rPr>
                <w:b/>
                <w:sz w:val="28"/>
                <w:szCs w:val="28"/>
              </w:rPr>
            </w:pPr>
            <w:r w:rsidRPr="00E808BF">
              <w:rPr>
                <w:b/>
                <w:sz w:val="28"/>
                <w:szCs w:val="28"/>
              </w:rPr>
              <w:t>Ietekme uz spēlētāju</w:t>
            </w:r>
          </w:p>
        </w:tc>
      </w:tr>
      <w:tr w:rsidR="00A00755" w:rsidRPr="000E55ED" w:rsidTr="00CB3E6C">
        <w:trPr>
          <w:jc w:val="center"/>
        </w:trPr>
        <w:tc>
          <w:tcPr>
            <w:tcW w:w="8296" w:type="dxa"/>
            <w:gridSpan w:val="2"/>
          </w:tcPr>
          <w:p w:rsidR="00A00755" w:rsidRPr="00E808BF" w:rsidRDefault="00A00755" w:rsidP="00A80C1E">
            <w:pPr>
              <w:jc w:val="center"/>
              <w:rPr>
                <w:sz w:val="28"/>
                <w:szCs w:val="28"/>
                <w:u w:val="single"/>
              </w:rPr>
            </w:pPr>
            <w:r w:rsidRPr="00E808BF">
              <w:rPr>
                <w:sz w:val="28"/>
                <w:szCs w:val="28"/>
                <w:u w:val="single"/>
              </w:rPr>
              <w:t>Materiāli (taustāmi) ieguvumi:</w:t>
            </w:r>
          </w:p>
          <w:p w:rsidR="00A00755" w:rsidRPr="00E808BF" w:rsidRDefault="00A00755" w:rsidP="005B6B78">
            <w:pPr>
              <w:jc w:val="center"/>
              <w:rPr>
                <w:b/>
                <w:sz w:val="28"/>
                <w:szCs w:val="28"/>
              </w:rPr>
            </w:pPr>
          </w:p>
        </w:tc>
      </w:tr>
      <w:tr w:rsidR="00136D69" w:rsidRPr="000E55ED" w:rsidTr="00CB3E6C">
        <w:trPr>
          <w:jc w:val="center"/>
        </w:trPr>
        <w:tc>
          <w:tcPr>
            <w:tcW w:w="4149" w:type="dxa"/>
          </w:tcPr>
          <w:p w:rsidR="00136D69" w:rsidRPr="007850C6" w:rsidRDefault="00136D69" w:rsidP="007850C6">
            <w:pPr>
              <w:pStyle w:val="ListParagraph"/>
              <w:numPr>
                <w:ilvl w:val="0"/>
                <w:numId w:val="55"/>
              </w:numPr>
              <w:ind w:left="175" w:hanging="142"/>
              <w:jc w:val="both"/>
              <w:rPr>
                <w:sz w:val="28"/>
                <w:szCs w:val="28"/>
              </w:rPr>
            </w:pPr>
            <w:r w:rsidRPr="007850C6">
              <w:rPr>
                <w:sz w:val="28"/>
                <w:szCs w:val="28"/>
              </w:rPr>
              <w:t>spēle par brīvu;</w:t>
            </w:r>
          </w:p>
          <w:p w:rsidR="00136D69" w:rsidRPr="00E808BF" w:rsidRDefault="00136D69" w:rsidP="005B6B78">
            <w:pPr>
              <w:ind w:left="720"/>
              <w:contextualSpacing/>
              <w:jc w:val="both"/>
              <w:rPr>
                <w:sz w:val="28"/>
                <w:szCs w:val="28"/>
              </w:rPr>
            </w:pPr>
          </w:p>
          <w:p w:rsidR="00136D69" w:rsidRPr="00E808BF" w:rsidRDefault="00136D69" w:rsidP="005B6B78">
            <w:pPr>
              <w:ind w:left="720"/>
              <w:contextualSpacing/>
              <w:jc w:val="both"/>
              <w:rPr>
                <w:sz w:val="28"/>
                <w:szCs w:val="28"/>
              </w:rPr>
            </w:pPr>
          </w:p>
          <w:p w:rsidR="00136D69" w:rsidRPr="00E808BF" w:rsidRDefault="00136D69" w:rsidP="009E0A36">
            <w:pPr>
              <w:numPr>
                <w:ilvl w:val="0"/>
                <w:numId w:val="37"/>
              </w:numPr>
              <w:ind w:left="164" w:hanging="164"/>
              <w:contextualSpacing/>
              <w:jc w:val="both"/>
              <w:rPr>
                <w:sz w:val="28"/>
                <w:szCs w:val="28"/>
              </w:rPr>
            </w:pPr>
            <w:r w:rsidRPr="00E808BF">
              <w:rPr>
                <w:sz w:val="28"/>
                <w:szCs w:val="28"/>
              </w:rPr>
              <w:t>azartspēles popularizēšana;</w:t>
            </w:r>
          </w:p>
          <w:p w:rsidR="00136D69" w:rsidRDefault="00136D69" w:rsidP="005B6B78">
            <w:pPr>
              <w:ind w:left="720"/>
              <w:contextualSpacing/>
              <w:rPr>
                <w:sz w:val="28"/>
                <w:szCs w:val="28"/>
              </w:rPr>
            </w:pPr>
          </w:p>
          <w:p w:rsidR="00D13A41" w:rsidRDefault="00D13A41" w:rsidP="005B6B78">
            <w:pPr>
              <w:ind w:left="720"/>
              <w:contextualSpacing/>
              <w:rPr>
                <w:sz w:val="28"/>
                <w:szCs w:val="28"/>
              </w:rPr>
            </w:pPr>
          </w:p>
          <w:p w:rsidR="00A563A3" w:rsidRPr="00E808BF" w:rsidRDefault="00A563A3" w:rsidP="005B6B78">
            <w:pPr>
              <w:ind w:left="720"/>
              <w:contextualSpacing/>
              <w:rPr>
                <w:sz w:val="28"/>
                <w:szCs w:val="28"/>
              </w:rPr>
            </w:pPr>
          </w:p>
          <w:p w:rsidR="00136D69" w:rsidRPr="00E808BF" w:rsidRDefault="00136D69" w:rsidP="009E0A36">
            <w:pPr>
              <w:numPr>
                <w:ilvl w:val="0"/>
                <w:numId w:val="37"/>
              </w:numPr>
              <w:ind w:left="164" w:hanging="164"/>
              <w:contextualSpacing/>
              <w:jc w:val="both"/>
              <w:rPr>
                <w:sz w:val="28"/>
                <w:szCs w:val="28"/>
              </w:rPr>
            </w:pPr>
            <w:r w:rsidRPr="00E808BF">
              <w:rPr>
                <w:sz w:val="28"/>
                <w:szCs w:val="28"/>
              </w:rPr>
              <w:t>kompensācijas, dāvanas (t.sk. bezmaksas ēdiens, dzērieni, uzturēšanās viesnīcā);</w:t>
            </w:r>
          </w:p>
          <w:p w:rsidR="00136D69" w:rsidRPr="00E808BF" w:rsidRDefault="00136D69" w:rsidP="009E0A36">
            <w:pPr>
              <w:numPr>
                <w:ilvl w:val="0"/>
                <w:numId w:val="37"/>
              </w:numPr>
              <w:ind w:left="164" w:hanging="164"/>
              <w:contextualSpacing/>
              <w:jc w:val="both"/>
              <w:rPr>
                <w:sz w:val="28"/>
                <w:szCs w:val="28"/>
              </w:rPr>
            </w:pPr>
            <w:r w:rsidRPr="00E808BF">
              <w:rPr>
                <w:sz w:val="28"/>
                <w:szCs w:val="28"/>
              </w:rPr>
              <w:t>bezmaksas izklaides iespējas;</w:t>
            </w:r>
          </w:p>
          <w:p w:rsidR="00136D69" w:rsidRPr="00E808BF" w:rsidRDefault="00136D69" w:rsidP="005B6B78">
            <w:pPr>
              <w:ind w:left="720"/>
              <w:contextualSpacing/>
              <w:rPr>
                <w:sz w:val="28"/>
                <w:szCs w:val="28"/>
              </w:rPr>
            </w:pPr>
          </w:p>
          <w:p w:rsidR="00136D69" w:rsidRDefault="00136D69" w:rsidP="005B6B78">
            <w:pPr>
              <w:ind w:left="720"/>
              <w:contextualSpacing/>
              <w:rPr>
                <w:sz w:val="28"/>
                <w:szCs w:val="28"/>
              </w:rPr>
            </w:pPr>
          </w:p>
          <w:p w:rsidR="00136D69" w:rsidRPr="00E808BF" w:rsidRDefault="00136D69" w:rsidP="009E0A36">
            <w:pPr>
              <w:numPr>
                <w:ilvl w:val="0"/>
                <w:numId w:val="37"/>
              </w:numPr>
              <w:ind w:left="164" w:hanging="164"/>
              <w:contextualSpacing/>
              <w:jc w:val="both"/>
              <w:rPr>
                <w:sz w:val="28"/>
                <w:szCs w:val="28"/>
              </w:rPr>
            </w:pPr>
            <w:r w:rsidRPr="00E808BF">
              <w:rPr>
                <w:sz w:val="28"/>
                <w:szCs w:val="28"/>
              </w:rPr>
              <w:lastRenderedPageBreak/>
              <w:t>naudas ekvivalents.</w:t>
            </w:r>
          </w:p>
          <w:p w:rsidR="00136D69" w:rsidRPr="00E808BF" w:rsidRDefault="00136D69" w:rsidP="005B6B78">
            <w:pPr>
              <w:jc w:val="both"/>
              <w:rPr>
                <w:sz w:val="28"/>
                <w:szCs w:val="28"/>
              </w:rPr>
            </w:pPr>
          </w:p>
        </w:tc>
        <w:tc>
          <w:tcPr>
            <w:tcW w:w="4147" w:type="dxa"/>
          </w:tcPr>
          <w:p w:rsidR="00136D69" w:rsidRPr="00E808BF" w:rsidRDefault="00136D69" w:rsidP="005B6B78">
            <w:pPr>
              <w:jc w:val="both"/>
              <w:rPr>
                <w:sz w:val="28"/>
                <w:szCs w:val="28"/>
              </w:rPr>
            </w:pPr>
            <w:r w:rsidRPr="00E808BF">
              <w:rPr>
                <w:sz w:val="28"/>
                <w:szCs w:val="28"/>
              </w:rPr>
              <w:lastRenderedPageBreak/>
              <w:t>Piesaista spēlētāju un veicina azartspēļu spēlēšanu.</w:t>
            </w:r>
          </w:p>
          <w:p w:rsidR="00136D69" w:rsidRPr="00E808BF" w:rsidRDefault="00136D69" w:rsidP="005B6B78">
            <w:pPr>
              <w:jc w:val="both"/>
              <w:rPr>
                <w:sz w:val="28"/>
                <w:szCs w:val="28"/>
              </w:rPr>
            </w:pPr>
          </w:p>
          <w:p w:rsidR="00136D69" w:rsidRPr="00E808BF" w:rsidRDefault="00136D69" w:rsidP="005B6B78">
            <w:pPr>
              <w:jc w:val="both"/>
              <w:rPr>
                <w:sz w:val="28"/>
                <w:szCs w:val="28"/>
              </w:rPr>
            </w:pPr>
            <w:r w:rsidRPr="00E808BF">
              <w:rPr>
                <w:sz w:val="28"/>
                <w:szCs w:val="28"/>
              </w:rPr>
              <w:t>Piesaista azartspēļu spēlētājus, bet nav būtiskas ietekmes uz azartspēļu spēlēšanu.</w:t>
            </w:r>
          </w:p>
          <w:p w:rsidR="00136D69" w:rsidRPr="00E808BF" w:rsidRDefault="00136D69" w:rsidP="005B6B78">
            <w:pPr>
              <w:jc w:val="both"/>
              <w:rPr>
                <w:sz w:val="28"/>
                <w:szCs w:val="28"/>
              </w:rPr>
            </w:pPr>
          </w:p>
          <w:p w:rsidR="00136D69" w:rsidRPr="00E808BF" w:rsidRDefault="00136D69" w:rsidP="005B6B78">
            <w:pPr>
              <w:jc w:val="both"/>
              <w:rPr>
                <w:sz w:val="28"/>
                <w:szCs w:val="28"/>
              </w:rPr>
            </w:pPr>
            <w:r w:rsidRPr="00E808BF">
              <w:rPr>
                <w:sz w:val="28"/>
                <w:szCs w:val="28"/>
              </w:rPr>
              <w:t>Piesaista spēlētāju un veicina azartspēļu spēlēšanu.</w:t>
            </w:r>
          </w:p>
          <w:p w:rsidR="00136D69" w:rsidRPr="00E808BF" w:rsidRDefault="00136D69" w:rsidP="005B6B78">
            <w:pPr>
              <w:jc w:val="both"/>
              <w:rPr>
                <w:sz w:val="28"/>
                <w:szCs w:val="28"/>
              </w:rPr>
            </w:pPr>
            <w:r w:rsidRPr="00E808BF">
              <w:rPr>
                <w:sz w:val="28"/>
                <w:szCs w:val="28"/>
              </w:rPr>
              <w:t>Nav ietekmes uz azartspēļu spēlēšanu, piesaista klientus (spēlētājus).</w:t>
            </w:r>
          </w:p>
          <w:p w:rsidR="00136D69" w:rsidRPr="00E808BF" w:rsidRDefault="00136D69" w:rsidP="005B6B78">
            <w:pPr>
              <w:jc w:val="both"/>
              <w:rPr>
                <w:sz w:val="28"/>
                <w:szCs w:val="28"/>
              </w:rPr>
            </w:pPr>
          </w:p>
          <w:p w:rsidR="00136D69" w:rsidRPr="00E808BF" w:rsidRDefault="00136D69" w:rsidP="005B6B78">
            <w:pPr>
              <w:jc w:val="both"/>
              <w:rPr>
                <w:sz w:val="28"/>
                <w:szCs w:val="28"/>
              </w:rPr>
            </w:pPr>
            <w:r w:rsidRPr="00E808BF">
              <w:rPr>
                <w:sz w:val="28"/>
                <w:szCs w:val="28"/>
              </w:rPr>
              <w:lastRenderedPageBreak/>
              <w:t>Veicina azartspēļu spēlēšanu.</w:t>
            </w:r>
          </w:p>
          <w:p w:rsidR="00136D69" w:rsidRPr="00E808BF" w:rsidRDefault="00136D69" w:rsidP="005B6B78">
            <w:pPr>
              <w:jc w:val="both"/>
              <w:rPr>
                <w:sz w:val="28"/>
                <w:szCs w:val="28"/>
              </w:rPr>
            </w:pPr>
          </w:p>
        </w:tc>
      </w:tr>
      <w:tr w:rsidR="00A00755" w:rsidRPr="000E55ED" w:rsidTr="00CB3E6C">
        <w:trPr>
          <w:jc w:val="center"/>
        </w:trPr>
        <w:tc>
          <w:tcPr>
            <w:tcW w:w="8296" w:type="dxa"/>
            <w:gridSpan w:val="2"/>
          </w:tcPr>
          <w:p w:rsidR="00A00755" w:rsidRPr="00E808BF" w:rsidDel="00A00755" w:rsidRDefault="00A00755" w:rsidP="00A80C1E">
            <w:pPr>
              <w:jc w:val="center"/>
              <w:rPr>
                <w:sz w:val="28"/>
                <w:szCs w:val="28"/>
                <w:u w:val="single"/>
              </w:rPr>
            </w:pPr>
            <w:r w:rsidRPr="00E808BF">
              <w:rPr>
                <w:sz w:val="28"/>
                <w:szCs w:val="28"/>
                <w:u w:val="single"/>
              </w:rPr>
              <w:lastRenderedPageBreak/>
              <w:t>Nemateriāli (netverami) ieguvumi:</w:t>
            </w:r>
          </w:p>
        </w:tc>
      </w:tr>
      <w:tr w:rsidR="00136D69" w:rsidRPr="000E55ED" w:rsidTr="00CB3E6C">
        <w:trPr>
          <w:trHeight w:val="1686"/>
          <w:jc w:val="center"/>
        </w:trPr>
        <w:tc>
          <w:tcPr>
            <w:tcW w:w="4149" w:type="dxa"/>
          </w:tcPr>
          <w:p w:rsidR="00136D69" w:rsidRPr="00E808BF" w:rsidRDefault="00136D69" w:rsidP="009E0A36">
            <w:pPr>
              <w:numPr>
                <w:ilvl w:val="0"/>
                <w:numId w:val="37"/>
              </w:numPr>
              <w:ind w:left="164" w:hanging="142"/>
              <w:contextualSpacing/>
              <w:jc w:val="both"/>
              <w:rPr>
                <w:sz w:val="28"/>
                <w:szCs w:val="28"/>
              </w:rPr>
            </w:pPr>
            <w:r w:rsidRPr="00E808BF">
              <w:rPr>
                <w:sz w:val="28"/>
                <w:szCs w:val="28"/>
              </w:rPr>
              <w:t>priekšrocības, atvieglotas prasības un priviliģēta attieksme;</w:t>
            </w:r>
          </w:p>
          <w:p w:rsidR="00136D69" w:rsidRPr="00E808BF" w:rsidRDefault="00136D69" w:rsidP="005B6B78">
            <w:pPr>
              <w:jc w:val="both"/>
              <w:rPr>
                <w:sz w:val="28"/>
                <w:szCs w:val="28"/>
              </w:rPr>
            </w:pPr>
          </w:p>
          <w:p w:rsidR="00136D69" w:rsidRPr="00E808BF" w:rsidRDefault="00136D69" w:rsidP="009E0A36">
            <w:pPr>
              <w:numPr>
                <w:ilvl w:val="0"/>
                <w:numId w:val="37"/>
              </w:numPr>
              <w:ind w:left="164" w:hanging="142"/>
              <w:contextualSpacing/>
              <w:jc w:val="both"/>
              <w:rPr>
                <w:sz w:val="28"/>
                <w:szCs w:val="28"/>
              </w:rPr>
            </w:pPr>
            <w:r w:rsidRPr="00E808BF">
              <w:rPr>
                <w:sz w:val="28"/>
                <w:szCs w:val="28"/>
              </w:rPr>
              <w:t>specializēti, īpaši bezmaksas pakalpojumi.</w:t>
            </w:r>
          </w:p>
        </w:tc>
        <w:tc>
          <w:tcPr>
            <w:tcW w:w="4147" w:type="dxa"/>
          </w:tcPr>
          <w:p w:rsidR="00136D69" w:rsidRPr="00E808BF" w:rsidRDefault="00136D69" w:rsidP="005B6B78">
            <w:pPr>
              <w:jc w:val="both"/>
              <w:rPr>
                <w:sz w:val="28"/>
                <w:szCs w:val="28"/>
              </w:rPr>
            </w:pPr>
            <w:r w:rsidRPr="00E808BF">
              <w:rPr>
                <w:sz w:val="28"/>
                <w:szCs w:val="28"/>
              </w:rPr>
              <w:t>Saglabā esošos spēlētājus.</w:t>
            </w:r>
          </w:p>
          <w:p w:rsidR="00136D69" w:rsidRPr="00E808BF" w:rsidRDefault="00136D69" w:rsidP="005B6B78">
            <w:pPr>
              <w:jc w:val="both"/>
              <w:rPr>
                <w:sz w:val="28"/>
                <w:szCs w:val="28"/>
              </w:rPr>
            </w:pPr>
          </w:p>
          <w:p w:rsidR="00136D69" w:rsidRPr="00E808BF" w:rsidRDefault="00136D69" w:rsidP="005B6B78">
            <w:pPr>
              <w:jc w:val="both"/>
              <w:rPr>
                <w:sz w:val="28"/>
                <w:szCs w:val="28"/>
              </w:rPr>
            </w:pPr>
          </w:p>
          <w:p w:rsidR="00136D69" w:rsidRPr="00E808BF" w:rsidRDefault="00136D69" w:rsidP="005B6B78">
            <w:pPr>
              <w:jc w:val="both"/>
              <w:rPr>
                <w:sz w:val="28"/>
                <w:szCs w:val="28"/>
              </w:rPr>
            </w:pPr>
            <w:r w:rsidRPr="00E808BF">
              <w:rPr>
                <w:sz w:val="28"/>
                <w:szCs w:val="28"/>
              </w:rPr>
              <w:t>Piesaista jaunus spēlētājus un saglabā esošos spēlētājus.</w:t>
            </w:r>
          </w:p>
        </w:tc>
      </w:tr>
      <w:tr w:rsidR="00A00755" w:rsidRPr="000E55ED" w:rsidTr="00CB3E6C">
        <w:trPr>
          <w:jc w:val="center"/>
        </w:trPr>
        <w:tc>
          <w:tcPr>
            <w:tcW w:w="8296" w:type="dxa"/>
            <w:gridSpan w:val="2"/>
          </w:tcPr>
          <w:p w:rsidR="00A00755" w:rsidRPr="00E808BF" w:rsidDel="00A00755" w:rsidRDefault="00A00755" w:rsidP="00A00755">
            <w:pPr>
              <w:jc w:val="center"/>
              <w:rPr>
                <w:sz w:val="28"/>
                <w:szCs w:val="28"/>
                <w:u w:val="single"/>
              </w:rPr>
            </w:pPr>
            <w:r w:rsidRPr="00E808BF">
              <w:rPr>
                <w:sz w:val="28"/>
                <w:szCs w:val="28"/>
                <w:u w:val="single"/>
              </w:rPr>
              <w:t>Daudzpakāpju elementi:</w:t>
            </w:r>
          </w:p>
        </w:tc>
      </w:tr>
      <w:tr w:rsidR="00136D69" w:rsidRPr="008B4E2C" w:rsidTr="00CB3E6C">
        <w:trPr>
          <w:jc w:val="center"/>
        </w:trPr>
        <w:tc>
          <w:tcPr>
            <w:tcW w:w="4149" w:type="dxa"/>
          </w:tcPr>
          <w:p w:rsidR="00136D69" w:rsidRPr="00E808BF" w:rsidRDefault="00136D69" w:rsidP="009E0A36">
            <w:pPr>
              <w:numPr>
                <w:ilvl w:val="0"/>
                <w:numId w:val="37"/>
              </w:numPr>
              <w:ind w:left="164" w:hanging="142"/>
              <w:contextualSpacing/>
              <w:jc w:val="both"/>
              <w:rPr>
                <w:sz w:val="28"/>
                <w:szCs w:val="28"/>
              </w:rPr>
            </w:pPr>
            <w:r w:rsidRPr="00E808BF">
              <w:rPr>
                <w:sz w:val="28"/>
                <w:szCs w:val="28"/>
              </w:rPr>
              <w:t>strukturizēts, vairāku līmeņu (pakāpju) statuss.</w:t>
            </w:r>
          </w:p>
        </w:tc>
        <w:tc>
          <w:tcPr>
            <w:tcW w:w="4147" w:type="dxa"/>
          </w:tcPr>
          <w:p w:rsidR="00136D69" w:rsidRPr="00E808BF" w:rsidRDefault="00136D69" w:rsidP="00E808BF">
            <w:pPr>
              <w:jc w:val="both"/>
              <w:rPr>
                <w:sz w:val="28"/>
                <w:szCs w:val="28"/>
              </w:rPr>
            </w:pPr>
            <w:r w:rsidRPr="00E808BF">
              <w:rPr>
                <w:sz w:val="28"/>
                <w:szCs w:val="28"/>
              </w:rPr>
              <w:t>Saglabā esošos spēlētājus un veicina azartspēļu spēlēšanu.</w:t>
            </w:r>
          </w:p>
        </w:tc>
      </w:tr>
    </w:tbl>
    <w:p w:rsidR="00136D69" w:rsidRDefault="00136D69" w:rsidP="00136D69">
      <w:pPr>
        <w:tabs>
          <w:tab w:val="left" w:pos="4060"/>
        </w:tabs>
        <w:jc w:val="both"/>
        <w:rPr>
          <w:sz w:val="28"/>
          <w:szCs w:val="28"/>
        </w:rPr>
      </w:pPr>
    </w:p>
    <w:p w:rsidR="00136D69" w:rsidRPr="008B4E2C" w:rsidRDefault="00136D69" w:rsidP="00007230">
      <w:pPr>
        <w:tabs>
          <w:tab w:val="left" w:pos="0"/>
        </w:tabs>
        <w:ind w:firstLine="567"/>
        <w:jc w:val="both"/>
        <w:rPr>
          <w:sz w:val="28"/>
          <w:szCs w:val="28"/>
        </w:rPr>
      </w:pPr>
      <w:r w:rsidRPr="008B4E2C">
        <w:rPr>
          <w:sz w:val="28"/>
          <w:szCs w:val="28"/>
        </w:rPr>
        <w:t xml:space="preserve">Esošā </w:t>
      </w:r>
      <w:r w:rsidR="0041022E">
        <w:rPr>
          <w:sz w:val="28"/>
          <w:szCs w:val="28"/>
        </w:rPr>
        <w:t xml:space="preserve">pasaules </w:t>
      </w:r>
      <w:r w:rsidRPr="008B4E2C">
        <w:rPr>
          <w:sz w:val="28"/>
          <w:szCs w:val="28"/>
        </w:rPr>
        <w:t>prakse rāda, ka azartspēļu spēlētāji, kuri ir iesaistījušies</w:t>
      </w:r>
      <w:r w:rsidR="00421D08">
        <w:rPr>
          <w:sz w:val="28"/>
          <w:szCs w:val="28"/>
        </w:rPr>
        <w:t xml:space="preserve"> programmās</w:t>
      </w:r>
      <w:r w:rsidRPr="008B4E2C">
        <w:rPr>
          <w:sz w:val="28"/>
          <w:szCs w:val="28"/>
        </w:rPr>
        <w:t>, iegūst punktus vai bonusus, ņemot vērā to, cik daudz naudas tērē:</w:t>
      </w:r>
    </w:p>
    <w:p w:rsidR="00136D69" w:rsidRPr="007850C6" w:rsidRDefault="00136D69" w:rsidP="007850C6">
      <w:pPr>
        <w:pStyle w:val="ListParagraph"/>
        <w:numPr>
          <w:ilvl w:val="0"/>
          <w:numId w:val="56"/>
        </w:numPr>
        <w:ind w:left="0" w:firstLine="709"/>
        <w:jc w:val="both"/>
        <w:rPr>
          <w:sz w:val="28"/>
          <w:szCs w:val="28"/>
        </w:rPr>
      </w:pPr>
      <w:r w:rsidRPr="007850C6">
        <w:rPr>
          <w:sz w:val="28"/>
          <w:szCs w:val="28"/>
        </w:rPr>
        <w:t>azartspēļu spēlēšanā;</w:t>
      </w:r>
    </w:p>
    <w:p w:rsidR="00136D69" w:rsidRPr="007850C6" w:rsidRDefault="00136D69" w:rsidP="007850C6">
      <w:pPr>
        <w:pStyle w:val="ListParagraph"/>
        <w:numPr>
          <w:ilvl w:val="0"/>
          <w:numId w:val="56"/>
        </w:numPr>
        <w:ind w:left="0" w:firstLine="709"/>
        <w:jc w:val="both"/>
        <w:rPr>
          <w:sz w:val="28"/>
          <w:szCs w:val="28"/>
        </w:rPr>
      </w:pPr>
      <w:r w:rsidRPr="007850C6">
        <w:rPr>
          <w:sz w:val="28"/>
          <w:szCs w:val="28"/>
        </w:rPr>
        <w:t>par pirkumiem, kas nav tieši saistīti ar azartspēli, bet ir veikti azartspēļu vietās (piemēram</w:t>
      </w:r>
      <w:r w:rsidR="00A563A3">
        <w:rPr>
          <w:sz w:val="28"/>
          <w:szCs w:val="28"/>
        </w:rPr>
        <w:t>,</w:t>
      </w:r>
      <w:r w:rsidRPr="007850C6">
        <w:rPr>
          <w:sz w:val="28"/>
          <w:szCs w:val="28"/>
        </w:rPr>
        <w:t xml:space="preserve"> veikalos, restorānos, suvenīru tirgotavās), t</w:t>
      </w:r>
      <w:r w:rsidR="00622FF1" w:rsidRPr="007850C6">
        <w:rPr>
          <w:sz w:val="28"/>
          <w:szCs w:val="28"/>
        </w:rPr>
        <w:t>ajā skaitā</w:t>
      </w:r>
      <w:r w:rsidRPr="007850C6">
        <w:rPr>
          <w:sz w:val="28"/>
          <w:szCs w:val="28"/>
        </w:rPr>
        <w:t xml:space="preserve"> interaktīvo azartspēļu organizētāju tīmekļa vietnēs.</w:t>
      </w:r>
    </w:p>
    <w:p w:rsidR="00136D69" w:rsidRDefault="00136D69" w:rsidP="00007230">
      <w:pPr>
        <w:ind w:firstLine="567"/>
        <w:jc w:val="both"/>
        <w:rPr>
          <w:sz w:val="28"/>
          <w:szCs w:val="28"/>
        </w:rPr>
      </w:pPr>
      <w:r w:rsidRPr="008B4E2C">
        <w:rPr>
          <w:sz w:val="28"/>
          <w:szCs w:val="28"/>
        </w:rPr>
        <w:t xml:space="preserve">Nopelnītos punktus </w:t>
      </w:r>
      <w:r w:rsidR="00421D08">
        <w:rPr>
          <w:sz w:val="28"/>
          <w:szCs w:val="28"/>
        </w:rPr>
        <w:t>programmas</w:t>
      </w:r>
      <w:r w:rsidRPr="008B4E2C">
        <w:rPr>
          <w:sz w:val="28"/>
          <w:szCs w:val="28"/>
        </w:rPr>
        <w:t xml:space="preserve"> dalībnieks var izmantot nosacīti</w:t>
      </w:r>
      <w:r w:rsidRPr="008B4E2C">
        <w:rPr>
          <w:sz w:val="28"/>
          <w:szCs w:val="28"/>
          <w:vertAlign w:val="superscript"/>
        </w:rPr>
        <w:footnoteReference w:id="67"/>
      </w:r>
      <w:r>
        <w:rPr>
          <w:sz w:val="28"/>
          <w:szCs w:val="28"/>
        </w:rPr>
        <w:t>,</w:t>
      </w:r>
      <w:r w:rsidRPr="008B4E2C">
        <w:rPr>
          <w:sz w:val="28"/>
          <w:szCs w:val="28"/>
        </w:rPr>
        <w:t xml:space="preserve"> spēlējot spēli par brīvu vai citiem azartspēļu organizētāja sniegtajiem pakalpojumiem, piemēram</w:t>
      </w:r>
      <w:r w:rsidR="00A563A3">
        <w:rPr>
          <w:sz w:val="28"/>
          <w:szCs w:val="28"/>
        </w:rPr>
        <w:t>,</w:t>
      </w:r>
      <w:r w:rsidRPr="008B4E2C">
        <w:rPr>
          <w:sz w:val="28"/>
          <w:szCs w:val="28"/>
        </w:rPr>
        <w:t xml:space="preserve"> bezmaksas ēdiens, dzēriens, pat viesnīcas pakalpojumi u</w:t>
      </w:r>
      <w:r>
        <w:rPr>
          <w:sz w:val="28"/>
          <w:szCs w:val="28"/>
        </w:rPr>
        <w:t xml:space="preserve">n </w:t>
      </w:r>
      <w:r w:rsidRPr="008B4E2C">
        <w:rPr>
          <w:sz w:val="28"/>
          <w:szCs w:val="28"/>
        </w:rPr>
        <w:t xml:space="preserve">tml. </w:t>
      </w:r>
    </w:p>
    <w:p w:rsidR="00136D69" w:rsidRPr="008B4E2C" w:rsidRDefault="00136D69" w:rsidP="00007230">
      <w:pPr>
        <w:ind w:firstLine="567"/>
        <w:jc w:val="both"/>
        <w:rPr>
          <w:sz w:val="28"/>
          <w:szCs w:val="28"/>
        </w:rPr>
      </w:pPr>
      <w:r>
        <w:rPr>
          <w:sz w:val="28"/>
          <w:szCs w:val="28"/>
        </w:rPr>
        <w:t xml:space="preserve">Nekontrolēta </w:t>
      </w:r>
      <w:r w:rsidR="00421D08">
        <w:rPr>
          <w:sz w:val="28"/>
          <w:szCs w:val="28"/>
        </w:rPr>
        <w:t>tādu programmu</w:t>
      </w:r>
      <w:r w:rsidRPr="008B4E2C">
        <w:rPr>
          <w:sz w:val="28"/>
          <w:szCs w:val="28"/>
        </w:rPr>
        <w:t xml:space="preserve"> izmantošana</w:t>
      </w:r>
      <w:r w:rsidR="00421D08">
        <w:rPr>
          <w:sz w:val="28"/>
          <w:szCs w:val="28"/>
        </w:rPr>
        <w:t xml:space="preserve"> tikai paaugstina interesi p</w:t>
      </w:r>
      <w:r w:rsidR="00800ECA">
        <w:rPr>
          <w:sz w:val="28"/>
          <w:szCs w:val="28"/>
        </w:rPr>
        <w:t>ar</w:t>
      </w:r>
      <w:r w:rsidR="00421D08">
        <w:rPr>
          <w:sz w:val="28"/>
          <w:szCs w:val="28"/>
        </w:rPr>
        <w:t xml:space="preserve"> spēli</w:t>
      </w:r>
      <w:r w:rsidR="00473DA7">
        <w:rPr>
          <w:sz w:val="28"/>
          <w:szCs w:val="28"/>
        </w:rPr>
        <w:t xml:space="preserve"> un</w:t>
      </w:r>
      <w:r w:rsidRPr="008B4E2C">
        <w:rPr>
          <w:sz w:val="28"/>
          <w:szCs w:val="28"/>
        </w:rPr>
        <w:t xml:space="preserve"> azartspēļu nozarē rada </w:t>
      </w:r>
      <w:r>
        <w:rPr>
          <w:sz w:val="28"/>
          <w:szCs w:val="28"/>
        </w:rPr>
        <w:t>atkarības risku</w:t>
      </w:r>
      <w:r w:rsidRPr="008B4E2C">
        <w:rPr>
          <w:sz w:val="28"/>
          <w:szCs w:val="28"/>
        </w:rPr>
        <w:t xml:space="preserve"> spēlētājiem un problēmspēlētājiem, kuriem ir patoloģiska tieksme uz azartspēlēm. </w:t>
      </w:r>
      <w:r>
        <w:rPr>
          <w:sz w:val="28"/>
          <w:szCs w:val="28"/>
        </w:rPr>
        <w:t>Spēlētājam</w:t>
      </w:r>
      <w:r w:rsidR="00C8489E">
        <w:rPr>
          <w:sz w:val="28"/>
          <w:szCs w:val="28"/>
        </w:rPr>
        <w:t>,</w:t>
      </w:r>
      <w:r>
        <w:rPr>
          <w:sz w:val="28"/>
          <w:szCs w:val="28"/>
        </w:rPr>
        <w:t xml:space="preserve"> i</w:t>
      </w:r>
      <w:r w:rsidRPr="008B4E2C">
        <w:rPr>
          <w:sz w:val="28"/>
          <w:szCs w:val="28"/>
        </w:rPr>
        <w:t xml:space="preserve">zmantojot </w:t>
      </w:r>
      <w:r w:rsidR="00421D08">
        <w:rPr>
          <w:sz w:val="28"/>
          <w:szCs w:val="28"/>
        </w:rPr>
        <w:t>šādas programmas</w:t>
      </w:r>
      <w:r w:rsidRPr="008B4E2C">
        <w:rPr>
          <w:sz w:val="28"/>
          <w:szCs w:val="28"/>
        </w:rPr>
        <w:t xml:space="preserve">, izveidojas “apburtais loks” – jo vairāk resursus (naudu un laiku) tērē spēlei, jo augstāks </w:t>
      </w:r>
      <w:r w:rsidR="00421D08">
        <w:rPr>
          <w:sz w:val="28"/>
          <w:szCs w:val="28"/>
        </w:rPr>
        <w:t>spēlētāja</w:t>
      </w:r>
      <w:r w:rsidRPr="008B4E2C">
        <w:rPr>
          <w:sz w:val="28"/>
          <w:szCs w:val="28"/>
        </w:rPr>
        <w:t xml:space="preserve"> statuss vai līmenis, kas attiecīgi dod iespēju vairāk izmantot piedāvātos labumus, t</w:t>
      </w:r>
      <w:r w:rsidR="00622FF1">
        <w:rPr>
          <w:sz w:val="28"/>
          <w:szCs w:val="28"/>
        </w:rPr>
        <w:t>ajā skaitā</w:t>
      </w:r>
      <w:r w:rsidRPr="008B4E2C">
        <w:rPr>
          <w:sz w:val="28"/>
          <w:szCs w:val="28"/>
        </w:rPr>
        <w:t xml:space="preserve"> spēli par brīvu, kas attiecīgi var novest pie </w:t>
      </w:r>
      <w:r w:rsidR="00473DA7">
        <w:rPr>
          <w:sz w:val="28"/>
          <w:szCs w:val="28"/>
        </w:rPr>
        <w:t xml:space="preserve">pārmērīgas un </w:t>
      </w:r>
      <w:r w:rsidRPr="008B4E2C">
        <w:rPr>
          <w:sz w:val="28"/>
          <w:szCs w:val="28"/>
        </w:rPr>
        <w:t xml:space="preserve">nekontrolētas azartspēļu spēlēšanas. </w:t>
      </w:r>
    </w:p>
    <w:p w:rsidR="00136D69" w:rsidRPr="008B4E2C" w:rsidRDefault="00136D69" w:rsidP="00007230">
      <w:pPr>
        <w:tabs>
          <w:tab w:val="left" w:pos="0"/>
        </w:tabs>
        <w:ind w:firstLine="567"/>
        <w:jc w:val="both"/>
        <w:rPr>
          <w:sz w:val="28"/>
          <w:szCs w:val="28"/>
        </w:rPr>
      </w:pPr>
      <w:r>
        <w:rPr>
          <w:sz w:val="28"/>
          <w:szCs w:val="28"/>
        </w:rPr>
        <w:t>Tajā pašā laikā,</w:t>
      </w:r>
      <w:r w:rsidRPr="008B4E2C">
        <w:rPr>
          <w:sz w:val="28"/>
          <w:szCs w:val="28"/>
        </w:rPr>
        <w:t xml:space="preserve"> </w:t>
      </w:r>
      <w:r w:rsidR="00421D08">
        <w:rPr>
          <w:sz w:val="28"/>
          <w:szCs w:val="28"/>
        </w:rPr>
        <w:t>S</w:t>
      </w:r>
      <w:r w:rsidRPr="008B4E2C">
        <w:rPr>
          <w:sz w:val="28"/>
          <w:szCs w:val="28"/>
        </w:rPr>
        <w:t xml:space="preserve">P </w:t>
      </w:r>
      <w:r>
        <w:rPr>
          <w:sz w:val="28"/>
          <w:szCs w:val="28"/>
        </w:rPr>
        <w:t xml:space="preserve">izmantošanas </w:t>
      </w:r>
      <w:r w:rsidRPr="008B4E2C">
        <w:rPr>
          <w:sz w:val="28"/>
          <w:szCs w:val="28"/>
        </w:rPr>
        <w:t xml:space="preserve">pamatmērķis </w:t>
      </w:r>
      <w:r>
        <w:rPr>
          <w:sz w:val="28"/>
          <w:szCs w:val="28"/>
        </w:rPr>
        <w:t>azartspēļu nozarē</w:t>
      </w:r>
      <w:r w:rsidRPr="008B4E2C">
        <w:rPr>
          <w:sz w:val="28"/>
          <w:szCs w:val="28"/>
        </w:rPr>
        <w:t xml:space="preserve"> ne vienmēr ir klientu piesaistīšana un saglabāšana tik daudz, kā informācijas un datu iegūšana par klientiem, to paradumu analizēšana un izmantošana uzņēmējdarbības </w:t>
      </w:r>
      <w:r>
        <w:rPr>
          <w:sz w:val="28"/>
          <w:szCs w:val="28"/>
        </w:rPr>
        <w:t xml:space="preserve">izaugsmes </w:t>
      </w:r>
      <w:r w:rsidRPr="008B4E2C">
        <w:rPr>
          <w:sz w:val="28"/>
          <w:szCs w:val="28"/>
        </w:rPr>
        <w:t>veicināšanai.</w:t>
      </w:r>
      <w:r>
        <w:rPr>
          <w:sz w:val="28"/>
          <w:szCs w:val="28"/>
        </w:rPr>
        <w:t xml:space="preserve"> </w:t>
      </w:r>
    </w:p>
    <w:p w:rsidR="00C7791D" w:rsidRDefault="00136D69" w:rsidP="00007230">
      <w:pPr>
        <w:ind w:firstLine="567"/>
        <w:jc w:val="both"/>
        <w:rPr>
          <w:sz w:val="28"/>
          <w:szCs w:val="28"/>
        </w:rPr>
      </w:pPr>
      <w:r w:rsidRPr="008B4E2C">
        <w:rPr>
          <w:sz w:val="28"/>
          <w:szCs w:val="28"/>
        </w:rPr>
        <w:t xml:space="preserve">Azartspēļu spēlētāju rīcības un paradumu izpētes datu rezultāti liecina, ka </w:t>
      </w:r>
      <w:r w:rsidR="00421D08">
        <w:rPr>
          <w:sz w:val="28"/>
          <w:szCs w:val="28"/>
        </w:rPr>
        <w:t>programmas</w:t>
      </w:r>
      <w:r w:rsidRPr="008B4E2C">
        <w:rPr>
          <w:sz w:val="28"/>
          <w:szCs w:val="28"/>
        </w:rPr>
        <w:t xml:space="preserve"> ir cieši saistītas ar vairākiem azartspēļu uzvedības un riska aspektiem.</w:t>
      </w:r>
      <w:r w:rsidRPr="00E772E1">
        <w:rPr>
          <w:rFonts w:cs="Times New Roman"/>
          <w:color w:val="000000"/>
          <w:sz w:val="28"/>
          <w:szCs w:val="28"/>
          <w:vertAlign w:val="superscript"/>
        </w:rPr>
        <w:footnoteReference w:id="68"/>
      </w:r>
      <w:r w:rsidRPr="00E772E1">
        <w:rPr>
          <w:sz w:val="28"/>
          <w:szCs w:val="28"/>
        </w:rPr>
        <w:t xml:space="preserve"> </w:t>
      </w:r>
      <w:r w:rsidRPr="008B4E2C">
        <w:rPr>
          <w:sz w:val="28"/>
          <w:szCs w:val="28"/>
        </w:rPr>
        <w:t>Analizējot spēlētāju attieksmi pret azartspēlēm, azartspēlētājus nosacīti var sadalīt</w:t>
      </w:r>
    </w:p>
    <w:p w:rsidR="00136D69" w:rsidRPr="008B4E2C" w:rsidRDefault="00136D69" w:rsidP="00C7791D">
      <w:pPr>
        <w:jc w:val="both"/>
        <w:rPr>
          <w:sz w:val="28"/>
          <w:szCs w:val="28"/>
        </w:rPr>
      </w:pPr>
      <w:r w:rsidRPr="008B4E2C">
        <w:rPr>
          <w:sz w:val="28"/>
          <w:szCs w:val="28"/>
        </w:rPr>
        <w:t>3 grupās:</w:t>
      </w:r>
    </w:p>
    <w:p w:rsidR="00136D69" w:rsidRPr="008B4E2C" w:rsidRDefault="00136D69" w:rsidP="0039139E">
      <w:pPr>
        <w:numPr>
          <w:ilvl w:val="0"/>
          <w:numId w:val="64"/>
        </w:numPr>
        <w:ind w:left="0" w:firstLine="709"/>
        <w:contextualSpacing/>
        <w:jc w:val="both"/>
        <w:rPr>
          <w:sz w:val="28"/>
          <w:szCs w:val="28"/>
        </w:rPr>
      </w:pPr>
      <w:r w:rsidRPr="008B4E2C">
        <w:rPr>
          <w:sz w:val="28"/>
          <w:szCs w:val="28"/>
        </w:rPr>
        <w:t>izklaides jeb atpūtas spēlētāji;</w:t>
      </w:r>
    </w:p>
    <w:p w:rsidR="00136D69" w:rsidRPr="008B4E2C" w:rsidRDefault="00136D69" w:rsidP="0039139E">
      <w:pPr>
        <w:numPr>
          <w:ilvl w:val="0"/>
          <w:numId w:val="64"/>
        </w:numPr>
        <w:ind w:left="0" w:firstLine="709"/>
        <w:contextualSpacing/>
        <w:jc w:val="both"/>
        <w:rPr>
          <w:sz w:val="28"/>
          <w:szCs w:val="28"/>
        </w:rPr>
      </w:pPr>
      <w:r w:rsidRPr="008B4E2C">
        <w:rPr>
          <w:sz w:val="28"/>
          <w:szCs w:val="28"/>
        </w:rPr>
        <w:t xml:space="preserve">riska jeb </w:t>
      </w:r>
      <w:r w:rsidRPr="008B4E2C">
        <w:rPr>
          <w:i/>
          <w:sz w:val="28"/>
          <w:szCs w:val="28"/>
        </w:rPr>
        <w:t>svārstīgie</w:t>
      </w:r>
      <w:r w:rsidRPr="008B4E2C">
        <w:rPr>
          <w:sz w:val="28"/>
          <w:szCs w:val="28"/>
        </w:rPr>
        <w:t xml:space="preserve"> spēlētāji;</w:t>
      </w:r>
    </w:p>
    <w:p w:rsidR="00136D69" w:rsidRPr="008B4E2C" w:rsidRDefault="00136D69" w:rsidP="0039139E">
      <w:pPr>
        <w:numPr>
          <w:ilvl w:val="0"/>
          <w:numId w:val="64"/>
        </w:numPr>
        <w:ind w:left="0" w:firstLine="709"/>
        <w:contextualSpacing/>
        <w:jc w:val="both"/>
        <w:rPr>
          <w:sz w:val="28"/>
          <w:szCs w:val="28"/>
        </w:rPr>
      </w:pPr>
      <w:r w:rsidRPr="008B4E2C">
        <w:rPr>
          <w:sz w:val="28"/>
          <w:szCs w:val="28"/>
        </w:rPr>
        <w:lastRenderedPageBreak/>
        <w:t>problēmspēlētāji, kuru tieksme spēlēt jau ir nepārvarama.</w:t>
      </w:r>
    </w:p>
    <w:p w:rsidR="00136D69" w:rsidRPr="008B4E2C" w:rsidRDefault="00136D69" w:rsidP="00007230">
      <w:pPr>
        <w:ind w:firstLine="567"/>
        <w:jc w:val="both"/>
        <w:rPr>
          <w:sz w:val="28"/>
          <w:szCs w:val="28"/>
        </w:rPr>
      </w:pPr>
      <w:r w:rsidRPr="008B4E2C">
        <w:rPr>
          <w:sz w:val="28"/>
          <w:szCs w:val="28"/>
        </w:rPr>
        <w:t>Pirmā</w:t>
      </w:r>
      <w:r w:rsidR="00F60CC0">
        <w:rPr>
          <w:sz w:val="28"/>
          <w:szCs w:val="28"/>
        </w:rPr>
        <w:t>s</w:t>
      </w:r>
      <w:r w:rsidRPr="008B4E2C">
        <w:rPr>
          <w:sz w:val="28"/>
          <w:szCs w:val="28"/>
        </w:rPr>
        <w:t xml:space="preserve"> grupas – izklaides jeb atpūtas azartspēlētāju paradumus un uzvedību </w:t>
      </w:r>
      <w:r w:rsidR="004E2D43">
        <w:rPr>
          <w:sz w:val="28"/>
          <w:szCs w:val="28"/>
        </w:rPr>
        <w:t xml:space="preserve">pārmērīgas spēlēšanas ierobežojošo pasākumu </w:t>
      </w:r>
      <w:r w:rsidRPr="008B4E2C">
        <w:rPr>
          <w:sz w:val="28"/>
          <w:szCs w:val="28"/>
        </w:rPr>
        <w:t xml:space="preserve">izmantošana neietekmēs vai ietekmēs maz. </w:t>
      </w:r>
    </w:p>
    <w:p w:rsidR="00136D69" w:rsidRPr="008B4E2C" w:rsidRDefault="00136D69" w:rsidP="00007230">
      <w:pPr>
        <w:ind w:firstLine="567"/>
        <w:jc w:val="both"/>
        <w:rPr>
          <w:sz w:val="28"/>
          <w:szCs w:val="28"/>
        </w:rPr>
      </w:pPr>
      <w:r w:rsidRPr="008B4E2C">
        <w:rPr>
          <w:sz w:val="28"/>
          <w:szCs w:val="28"/>
        </w:rPr>
        <w:t xml:space="preserve">Savukārt riska jeb </w:t>
      </w:r>
      <w:r w:rsidRPr="008B4E2C">
        <w:rPr>
          <w:i/>
          <w:sz w:val="28"/>
          <w:szCs w:val="28"/>
        </w:rPr>
        <w:t>svārstīgie</w:t>
      </w:r>
      <w:r w:rsidRPr="008B4E2C">
        <w:rPr>
          <w:sz w:val="28"/>
          <w:szCs w:val="28"/>
        </w:rPr>
        <w:t xml:space="preserve"> spēlētāji pie pamudinošiem azart</w:t>
      </w:r>
      <w:r w:rsidR="0000578F">
        <w:rPr>
          <w:sz w:val="28"/>
          <w:szCs w:val="28"/>
        </w:rPr>
        <w:t>s</w:t>
      </w:r>
      <w:r w:rsidRPr="008B4E2C">
        <w:rPr>
          <w:sz w:val="28"/>
          <w:szCs w:val="28"/>
        </w:rPr>
        <w:t xml:space="preserve">pēles vai </w:t>
      </w:r>
      <w:r w:rsidR="00421D08">
        <w:rPr>
          <w:sz w:val="28"/>
          <w:szCs w:val="28"/>
        </w:rPr>
        <w:t>programmas</w:t>
      </w:r>
      <w:r w:rsidRPr="008B4E2C">
        <w:rPr>
          <w:sz w:val="28"/>
          <w:szCs w:val="28"/>
        </w:rPr>
        <w:t xml:space="preserve"> elementiem var tikt pakļauti pārmērīgai tieksmei spēlēt. Riska jeb </w:t>
      </w:r>
      <w:r w:rsidRPr="008B4E2C">
        <w:rPr>
          <w:i/>
          <w:sz w:val="28"/>
          <w:szCs w:val="28"/>
        </w:rPr>
        <w:t>svārstīgos</w:t>
      </w:r>
      <w:r w:rsidRPr="008B4E2C">
        <w:rPr>
          <w:sz w:val="28"/>
          <w:szCs w:val="28"/>
        </w:rPr>
        <w:t xml:space="preserve"> azartspēlētājus raksturo nenoteiktība un tāpēc šīs grupas spēlētājs ik pa brīdim var atrasties jebkurā no šo spēlētāju kategorijām. Faktiski šī ir tā azartspēlētāju grupa, uz kuru tiek “mērķētas” </w:t>
      </w:r>
      <w:r w:rsidR="00421D08">
        <w:rPr>
          <w:sz w:val="28"/>
          <w:szCs w:val="28"/>
        </w:rPr>
        <w:t>programmas</w:t>
      </w:r>
      <w:r w:rsidRPr="008B4E2C">
        <w:rPr>
          <w:sz w:val="28"/>
          <w:szCs w:val="28"/>
        </w:rPr>
        <w:t>, jo tās visefektīvāk sasniegs mērķi noturēt un piesaistīt konkrēto azartspēlētāju.</w:t>
      </w:r>
    </w:p>
    <w:p w:rsidR="00136D69" w:rsidRPr="008B4E2C" w:rsidRDefault="00136D69" w:rsidP="00007230">
      <w:pPr>
        <w:ind w:firstLine="567"/>
        <w:jc w:val="both"/>
        <w:rPr>
          <w:sz w:val="28"/>
          <w:szCs w:val="28"/>
        </w:rPr>
      </w:pPr>
      <w:r w:rsidRPr="008B4E2C">
        <w:rPr>
          <w:sz w:val="28"/>
          <w:szCs w:val="28"/>
        </w:rPr>
        <w:t>Trešā grupa</w:t>
      </w:r>
      <w:r>
        <w:rPr>
          <w:sz w:val="28"/>
          <w:szCs w:val="28"/>
        </w:rPr>
        <w:t xml:space="preserve"> ietver</w:t>
      </w:r>
      <w:r w:rsidRPr="008B4E2C">
        <w:rPr>
          <w:sz w:val="28"/>
          <w:szCs w:val="28"/>
        </w:rPr>
        <w:t xml:space="preserve"> problēmspēlētājus, kuru tieksme spēlēt azartspēles ir nepārvarama (pataloģiska), </w:t>
      </w:r>
      <w:r w:rsidR="006A158E">
        <w:rPr>
          <w:sz w:val="28"/>
          <w:szCs w:val="28"/>
        </w:rPr>
        <w:t>SP</w:t>
      </w:r>
      <w:r w:rsidR="006A158E" w:rsidRPr="008B4E2C">
        <w:rPr>
          <w:sz w:val="28"/>
          <w:szCs w:val="28"/>
        </w:rPr>
        <w:t xml:space="preserve"> </w:t>
      </w:r>
      <w:r w:rsidRPr="008B4E2C">
        <w:rPr>
          <w:sz w:val="28"/>
          <w:szCs w:val="28"/>
        </w:rPr>
        <w:t>piedāvājumi neietekmēs spēlētāja iesaisti spēlē, jo š</w:t>
      </w:r>
      <w:r w:rsidR="00C14B7C">
        <w:rPr>
          <w:sz w:val="28"/>
          <w:szCs w:val="28"/>
        </w:rPr>
        <w:t>ie</w:t>
      </w:r>
      <w:r w:rsidRPr="008B4E2C">
        <w:rPr>
          <w:sz w:val="28"/>
          <w:szCs w:val="28"/>
        </w:rPr>
        <w:t xml:space="preserve"> azartspēlētāju ārējie faktori maz spēj ietekmēt, </w:t>
      </w:r>
      <w:r w:rsidR="00622FF1">
        <w:rPr>
          <w:sz w:val="28"/>
          <w:szCs w:val="28"/>
        </w:rPr>
        <w:t>tas ir</w:t>
      </w:r>
      <w:r w:rsidR="006A158E">
        <w:rPr>
          <w:sz w:val="28"/>
          <w:szCs w:val="28"/>
        </w:rPr>
        <w:t>,</w:t>
      </w:r>
      <w:r w:rsidRPr="008B4E2C">
        <w:rPr>
          <w:sz w:val="28"/>
          <w:szCs w:val="28"/>
        </w:rPr>
        <w:t xml:space="preserve"> viņi iesaistītos spēlē neatkarīgi no tā, vai spēle ir par brīvu vai par maksu. </w:t>
      </w:r>
    </w:p>
    <w:p w:rsidR="00136D69" w:rsidRDefault="00136D69" w:rsidP="00007230">
      <w:pPr>
        <w:ind w:firstLine="567"/>
        <w:jc w:val="both"/>
        <w:rPr>
          <w:sz w:val="28"/>
          <w:szCs w:val="28"/>
        </w:rPr>
      </w:pPr>
      <w:r>
        <w:rPr>
          <w:sz w:val="28"/>
          <w:szCs w:val="28"/>
        </w:rPr>
        <w:t>Saskaņā ar</w:t>
      </w:r>
      <w:r w:rsidRPr="008B4E2C">
        <w:rPr>
          <w:sz w:val="28"/>
          <w:szCs w:val="28"/>
        </w:rPr>
        <w:t xml:space="preserve"> pētījum</w:t>
      </w:r>
      <w:r>
        <w:rPr>
          <w:sz w:val="28"/>
          <w:szCs w:val="28"/>
        </w:rPr>
        <w:t>u</w:t>
      </w:r>
      <w:r w:rsidRPr="008B4E2C">
        <w:rPr>
          <w:sz w:val="28"/>
          <w:szCs w:val="28"/>
        </w:rPr>
        <w:t xml:space="preserve"> par </w:t>
      </w:r>
      <w:r w:rsidR="006A158E">
        <w:rPr>
          <w:sz w:val="28"/>
          <w:szCs w:val="28"/>
        </w:rPr>
        <w:t>SP</w:t>
      </w:r>
      <w:r w:rsidR="006A158E" w:rsidRPr="008B4E2C">
        <w:rPr>
          <w:sz w:val="28"/>
          <w:szCs w:val="28"/>
        </w:rPr>
        <w:t xml:space="preserve"> </w:t>
      </w:r>
      <w:r w:rsidRPr="008B4E2C">
        <w:rPr>
          <w:sz w:val="28"/>
          <w:szCs w:val="28"/>
        </w:rPr>
        <w:t>lomu Austrālijas azartspēļu nozar</w:t>
      </w:r>
      <w:r w:rsidR="00A31C22">
        <w:rPr>
          <w:sz w:val="28"/>
          <w:szCs w:val="28"/>
        </w:rPr>
        <w:t>es</w:t>
      </w:r>
      <w:r w:rsidRPr="008B4E2C">
        <w:rPr>
          <w:sz w:val="28"/>
          <w:szCs w:val="28"/>
        </w:rPr>
        <w:t xml:space="preserve"> ietvarā</w:t>
      </w:r>
      <w:r w:rsidR="0041022E">
        <w:rPr>
          <w:sz w:val="28"/>
          <w:szCs w:val="28"/>
        </w:rPr>
        <w:t xml:space="preserve"> ir</w:t>
      </w:r>
      <w:r w:rsidRPr="008B4E2C">
        <w:rPr>
          <w:sz w:val="28"/>
          <w:szCs w:val="28"/>
        </w:rPr>
        <w:t xml:space="preserve"> izstrādātās </w:t>
      </w:r>
      <w:r w:rsidR="009B4A3D" w:rsidRPr="008B4E2C">
        <w:rPr>
          <w:sz w:val="28"/>
          <w:szCs w:val="28"/>
        </w:rPr>
        <w:t>metodoloģij</w:t>
      </w:r>
      <w:r w:rsidR="009B4A3D">
        <w:rPr>
          <w:sz w:val="28"/>
          <w:szCs w:val="28"/>
        </w:rPr>
        <w:t>a</w:t>
      </w:r>
      <w:r w:rsidR="009B4A3D" w:rsidRPr="008B4E2C">
        <w:rPr>
          <w:sz w:val="28"/>
          <w:szCs w:val="28"/>
        </w:rPr>
        <w:t>s</w:t>
      </w:r>
      <w:r w:rsidRPr="008B4E2C">
        <w:rPr>
          <w:sz w:val="28"/>
          <w:szCs w:val="28"/>
          <w:vertAlign w:val="superscript"/>
        </w:rPr>
        <w:footnoteReference w:id="69"/>
      </w:r>
      <w:r w:rsidRPr="008B4E2C">
        <w:rPr>
          <w:sz w:val="28"/>
          <w:szCs w:val="28"/>
        </w:rPr>
        <w:t xml:space="preserve"> </w:t>
      </w:r>
      <w:r w:rsidR="0041022E">
        <w:rPr>
          <w:sz w:val="28"/>
          <w:szCs w:val="28"/>
        </w:rPr>
        <w:t>un</w:t>
      </w:r>
      <w:r w:rsidR="0041022E" w:rsidRPr="008B4E2C">
        <w:rPr>
          <w:sz w:val="28"/>
          <w:szCs w:val="28"/>
        </w:rPr>
        <w:t xml:space="preserve"> </w:t>
      </w:r>
      <w:r w:rsidRPr="008B4E2C">
        <w:rPr>
          <w:sz w:val="28"/>
          <w:szCs w:val="28"/>
        </w:rPr>
        <w:t xml:space="preserve">apzināti iesaistīto spēlētāju </w:t>
      </w:r>
      <w:r w:rsidR="0041022E" w:rsidRPr="008B4E2C">
        <w:rPr>
          <w:sz w:val="28"/>
          <w:szCs w:val="28"/>
        </w:rPr>
        <w:t>paradumi</w:t>
      </w:r>
      <w:r w:rsidR="0041022E">
        <w:rPr>
          <w:sz w:val="28"/>
          <w:szCs w:val="28"/>
        </w:rPr>
        <w:t>, analizējot</w:t>
      </w:r>
      <w:r w:rsidR="0041022E" w:rsidRPr="008B4E2C">
        <w:rPr>
          <w:sz w:val="28"/>
          <w:szCs w:val="28"/>
        </w:rPr>
        <w:t xml:space="preserve"> </w:t>
      </w:r>
      <w:r w:rsidR="009B4A3D">
        <w:rPr>
          <w:sz w:val="28"/>
          <w:szCs w:val="28"/>
        </w:rPr>
        <w:t xml:space="preserve"> to </w:t>
      </w:r>
      <w:r w:rsidR="0041022E" w:rsidRPr="008B4E2C">
        <w:rPr>
          <w:sz w:val="28"/>
          <w:szCs w:val="28"/>
        </w:rPr>
        <w:t>uzvedīb</w:t>
      </w:r>
      <w:r w:rsidR="0041022E">
        <w:rPr>
          <w:sz w:val="28"/>
          <w:szCs w:val="28"/>
        </w:rPr>
        <w:t>u</w:t>
      </w:r>
      <w:r w:rsidRPr="008B4E2C">
        <w:rPr>
          <w:sz w:val="28"/>
          <w:szCs w:val="28"/>
        </w:rPr>
        <w:t>.</w:t>
      </w:r>
      <w:r>
        <w:rPr>
          <w:sz w:val="28"/>
          <w:szCs w:val="28"/>
        </w:rPr>
        <w:t xml:space="preserve"> </w:t>
      </w:r>
      <w:r w:rsidRPr="008B4E2C">
        <w:rPr>
          <w:sz w:val="28"/>
          <w:szCs w:val="28"/>
        </w:rPr>
        <w:t>Pētījum</w:t>
      </w:r>
      <w:r>
        <w:rPr>
          <w:sz w:val="28"/>
          <w:szCs w:val="28"/>
        </w:rPr>
        <w:t>a</w:t>
      </w:r>
      <w:r w:rsidRPr="008B4E2C">
        <w:rPr>
          <w:sz w:val="28"/>
          <w:szCs w:val="28"/>
        </w:rPr>
        <w:t xml:space="preserve"> rezultāti apstiprina, ka </w:t>
      </w:r>
      <w:r w:rsidR="006A158E">
        <w:rPr>
          <w:sz w:val="28"/>
          <w:szCs w:val="28"/>
        </w:rPr>
        <w:t>SP</w:t>
      </w:r>
      <w:r w:rsidRPr="008B4E2C">
        <w:rPr>
          <w:sz w:val="28"/>
          <w:szCs w:val="28"/>
        </w:rPr>
        <w:t xml:space="preserve"> ir cieši saistītas ar azartspēļu spēlētāju uzvedības riska aspektiem. Tas ir nebūtisks atpūtas jeb izklaides spēlētājiem un, lai </w:t>
      </w:r>
      <w:r w:rsidR="006A158E">
        <w:rPr>
          <w:sz w:val="28"/>
          <w:szCs w:val="28"/>
        </w:rPr>
        <w:t>gan</w:t>
      </w:r>
      <w:r w:rsidR="006A158E" w:rsidRPr="008B4E2C">
        <w:rPr>
          <w:sz w:val="28"/>
          <w:szCs w:val="28"/>
        </w:rPr>
        <w:t xml:space="preserve"> </w:t>
      </w:r>
      <w:r w:rsidRPr="008B4E2C">
        <w:rPr>
          <w:sz w:val="28"/>
          <w:szCs w:val="28"/>
        </w:rPr>
        <w:t xml:space="preserve">ietekmes rādītāji nav statistiski nozīmīgi, tomēr </w:t>
      </w:r>
      <w:r w:rsidR="006A158E">
        <w:rPr>
          <w:sz w:val="28"/>
          <w:szCs w:val="28"/>
        </w:rPr>
        <w:t>SP</w:t>
      </w:r>
      <w:r w:rsidR="006A158E" w:rsidRPr="008B4E2C">
        <w:rPr>
          <w:sz w:val="28"/>
          <w:szCs w:val="28"/>
        </w:rPr>
        <w:t xml:space="preserve"> </w:t>
      </w:r>
      <w:r w:rsidRPr="008B4E2C">
        <w:rPr>
          <w:sz w:val="28"/>
          <w:szCs w:val="28"/>
        </w:rPr>
        <w:t>ietekme uz uzvedību ir konstatēta.</w:t>
      </w:r>
    </w:p>
    <w:p w:rsidR="007850C6" w:rsidRDefault="007850C6" w:rsidP="00136D69">
      <w:pPr>
        <w:tabs>
          <w:tab w:val="left" w:pos="4060"/>
        </w:tabs>
        <w:ind w:left="1560" w:hanging="1560"/>
        <w:jc w:val="both"/>
        <w:rPr>
          <w:i/>
          <w:sz w:val="28"/>
          <w:szCs w:val="28"/>
        </w:rPr>
      </w:pPr>
    </w:p>
    <w:p w:rsidR="007850C6" w:rsidRDefault="00136D69" w:rsidP="00136D69">
      <w:pPr>
        <w:tabs>
          <w:tab w:val="left" w:pos="4060"/>
        </w:tabs>
        <w:ind w:left="1560" w:hanging="1560"/>
        <w:jc w:val="both"/>
        <w:rPr>
          <w:sz w:val="28"/>
          <w:szCs w:val="28"/>
        </w:rPr>
      </w:pPr>
      <w:r w:rsidRPr="008B4E2C">
        <w:rPr>
          <w:i/>
          <w:sz w:val="28"/>
          <w:szCs w:val="28"/>
        </w:rPr>
        <w:t>Secinājum</w:t>
      </w:r>
      <w:r w:rsidR="006A158E">
        <w:rPr>
          <w:i/>
          <w:sz w:val="28"/>
          <w:szCs w:val="28"/>
        </w:rPr>
        <w:t>i</w:t>
      </w:r>
      <w:r w:rsidRPr="008B4E2C">
        <w:rPr>
          <w:sz w:val="28"/>
          <w:szCs w:val="28"/>
        </w:rPr>
        <w:t>:</w:t>
      </w:r>
    </w:p>
    <w:p w:rsidR="00136D69" w:rsidRPr="008B4E2C" w:rsidRDefault="007850C6" w:rsidP="007850C6">
      <w:pPr>
        <w:tabs>
          <w:tab w:val="left" w:pos="4060"/>
        </w:tabs>
        <w:ind w:firstLine="709"/>
        <w:jc w:val="both"/>
        <w:rPr>
          <w:sz w:val="28"/>
          <w:szCs w:val="28"/>
        </w:rPr>
      </w:pPr>
      <w:r>
        <w:rPr>
          <w:sz w:val="28"/>
          <w:szCs w:val="28"/>
        </w:rPr>
        <w:t xml:space="preserve">1) </w:t>
      </w:r>
      <w:r w:rsidR="006A158E">
        <w:rPr>
          <w:sz w:val="28"/>
          <w:szCs w:val="28"/>
        </w:rPr>
        <w:t>SP</w:t>
      </w:r>
      <w:r w:rsidR="006A158E" w:rsidRPr="008B4E2C">
        <w:rPr>
          <w:sz w:val="28"/>
          <w:szCs w:val="28"/>
        </w:rPr>
        <w:t xml:space="preserve"> </w:t>
      </w:r>
      <w:r w:rsidR="00136D69" w:rsidRPr="008B4E2C">
        <w:rPr>
          <w:sz w:val="28"/>
          <w:szCs w:val="28"/>
        </w:rPr>
        <w:t xml:space="preserve">piedāvātie materiālie labumi jeb ekonomiskais ieguvums ir tas, kas rada spēlētāja interesi pievienoties </w:t>
      </w:r>
      <w:r w:rsidR="00ED6B5C">
        <w:rPr>
          <w:sz w:val="28"/>
          <w:szCs w:val="28"/>
        </w:rPr>
        <w:t>SP</w:t>
      </w:r>
      <w:r w:rsidR="00136D69" w:rsidRPr="008B4E2C">
        <w:rPr>
          <w:sz w:val="28"/>
          <w:szCs w:val="28"/>
        </w:rPr>
        <w:t>, kā rezultātā iesaiste azartspēļu spēlēšanā palielinās</w:t>
      </w:r>
      <w:r w:rsidR="002054A6">
        <w:rPr>
          <w:sz w:val="28"/>
          <w:szCs w:val="28"/>
        </w:rPr>
        <w:t>;</w:t>
      </w:r>
    </w:p>
    <w:p w:rsidR="00136D69" w:rsidRPr="008B4E2C" w:rsidRDefault="007850C6" w:rsidP="007850C6">
      <w:pPr>
        <w:ind w:firstLine="709"/>
        <w:jc w:val="both"/>
        <w:rPr>
          <w:sz w:val="28"/>
          <w:szCs w:val="28"/>
        </w:rPr>
      </w:pPr>
      <w:r>
        <w:rPr>
          <w:sz w:val="28"/>
          <w:szCs w:val="28"/>
        </w:rPr>
        <w:t xml:space="preserve">2) </w:t>
      </w:r>
      <w:r w:rsidR="002054A6">
        <w:rPr>
          <w:sz w:val="28"/>
          <w:szCs w:val="28"/>
        </w:rPr>
        <w:t>b</w:t>
      </w:r>
      <w:r w:rsidR="002054A6" w:rsidRPr="008B4E2C">
        <w:rPr>
          <w:sz w:val="28"/>
          <w:szCs w:val="28"/>
        </w:rPr>
        <w:t xml:space="preserve">ezatbildīga </w:t>
      </w:r>
      <w:r w:rsidR="00ED6B5C">
        <w:rPr>
          <w:sz w:val="28"/>
          <w:szCs w:val="28"/>
        </w:rPr>
        <w:t>SP</w:t>
      </w:r>
      <w:r w:rsidR="00ED6B5C" w:rsidRPr="008B4E2C">
        <w:rPr>
          <w:sz w:val="28"/>
          <w:szCs w:val="28"/>
        </w:rPr>
        <w:t xml:space="preserve"> </w:t>
      </w:r>
      <w:r w:rsidR="00136D69" w:rsidRPr="008B4E2C">
        <w:rPr>
          <w:sz w:val="28"/>
          <w:szCs w:val="28"/>
        </w:rPr>
        <w:t xml:space="preserve">izmantošana azartspēļu nozarē rada kaitējumu riska grupas spēlētājiem un problēmspēlētājiem, kuriem ir patoloģiska tieksme uz azartspēlēm. </w:t>
      </w:r>
    </w:p>
    <w:p w:rsidR="00514D89" w:rsidRDefault="00514D89" w:rsidP="00007230">
      <w:pPr>
        <w:ind w:firstLine="567"/>
        <w:jc w:val="both"/>
        <w:rPr>
          <w:sz w:val="28"/>
          <w:szCs w:val="28"/>
        </w:rPr>
      </w:pPr>
    </w:p>
    <w:p w:rsidR="00136D69" w:rsidRPr="008B4E2C" w:rsidRDefault="00136D69" w:rsidP="00007230">
      <w:pPr>
        <w:ind w:firstLine="567"/>
        <w:jc w:val="both"/>
        <w:rPr>
          <w:sz w:val="28"/>
          <w:szCs w:val="28"/>
        </w:rPr>
      </w:pPr>
      <w:r>
        <w:rPr>
          <w:sz w:val="28"/>
          <w:szCs w:val="28"/>
        </w:rPr>
        <w:t>Ņ</w:t>
      </w:r>
      <w:r w:rsidRPr="008B4E2C">
        <w:rPr>
          <w:sz w:val="28"/>
          <w:szCs w:val="28"/>
        </w:rPr>
        <w:t>emot vērā</w:t>
      </w:r>
      <w:r w:rsidR="00C204FE">
        <w:rPr>
          <w:sz w:val="28"/>
          <w:szCs w:val="28"/>
        </w:rPr>
        <w:t xml:space="preserve"> augstāk minēto,</w:t>
      </w:r>
      <w:r w:rsidRPr="008B4E2C">
        <w:rPr>
          <w:sz w:val="28"/>
          <w:szCs w:val="28"/>
        </w:rPr>
        <w:t xml:space="preserve"> </w:t>
      </w:r>
      <w:r w:rsidR="00C204FE">
        <w:rPr>
          <w:sz w:val="28"/>
          <w:szCs w:val="28"/>
        </w:rPr>
        <w:t>a</w:t>
      </w:r>
      <w:r w:rsidRPr="008B4E2C">
        <w:rPr>
          <w:sz w:val="28"/>
          <w:szCs w:val="28"/>
        </w:rPr>
        <w:t xml:space="preserve">zartspēļu nozarē ir jāpievērš uzmanība sociālās atbildības jautājumiem. Kā liecina </w:t>
      </w:r>
      <w:r w:rsidR="000E55ED">
        <w:rPr>
          <w:sz w:val="28"/>
          <w:szCs w:val="28"/>
        </w:rPr>
        <w:t>R.J. Viljams</w:t>
      </w:r>
      <w:r w:rsidR="00942E60">
        <w:rPr>
          <w:sz w:val="28"/>
          <w:szCs w:val="28"/>
        </w:rPr>
        <w:t>a</w:t>
      </w:r>
      <w:r w:rsidR="000E55ED">
        <w:rPr>
          <w:sz w:val="28"/>
          <w:szCs w:val="28"/>
        </w:rPr>
        <w:t xml:space="preserve"> un R.T. Vūl</w:t>
      </w:r>
      <w:r w:rsidR="00942E60">
        <w:rPr>
          <w:sz w:val="28"/>
          <w:szCs w:val="28"/>
        </w:rPr>
        <w:t>a</w:t>
      </w:r>
      <w:r w:rsidR="000E55ED">
        <w:rPr>
          <w:sz w:val="28"/>
          <w:szCs w:val="28"/>
        </w:rPr>
        <w:t xml:space="preserve"> (</w:t>
      </w:r>
      <w:r w:rsidR="000E55ED" w:rsidRPr="0066503A">
        <w:rPr>
          <w:sz w:val="28"/>
          <w:szCs w:val="28"/>
        </w:rPr>
        <w:t>ang.</w:t>
      </w:r>
      <w:r w:rsidR="00F44A94">
        <w:rPr>
          <w:sz w:val="28"/>
          <w:szCs w:val="28"/>
        </w:rPr>
        <w:t xml:space="preserve"> </w:t>
      </w:r>
      <w:r w:rsidR="000E55ED" w:rsidRPr="0066503A">
        <w:rPr>
          <w:sz w:val="28"/>
          <w:szCs w:val="28"/>
        </w:rPr>
        <w:t>val</w:t>
      </w:r>
      <w:r w:rsidR="000E55ED" w:rsidRPr="00A80C1E">
        <w:rPr>
          <w:i/>
          <w:sz w:val="28"/>
          <w:szCs w:val="28"/>
        </w:rPr>
        <w:t xml:space="preserve">. </w:t>
      </w:r>
      <w:r w:rsidRPr="000E55ED">
        <w:rPr>
          <w:i/>
          <w:sz w:val="28"/>
          <w:szCs w:val="28"/>
        </w:rPr>
        <w:t>Williams R.,J.</w:t>
      </w:r>
      <w:r w:rsidRPr="00A80C1E">
        <w:rPr>
          <w:i/>
          <w:sz w:val="28"/>
          <w:szCs w:val="28"/>
        </w:rPr>
        <w:t xml:space="preserve"> un </w:t>
      </w:r>
      <w:r w:rsidRPr="000E55ED">
        <w:rPr>
          <w:i/>
          <w:sz w:val="28"/>
          <w:szCs w:val="28"/>
        </w:rPr>
        <w:t>Wool R.,T</w:t>
      </w:r>
      <w:r w:rsidR="000E55ED">
        <w:rPr>
          <w:i/>
          <w:sz w:val="28"/>
          <w:szCs w:val="28"/>
        </w:rPr>
        <w:t>)</w:t>
      </w:r>
      <w:r w:rsidRPr="008B4E2C">
        <w:rPr>
          <w:sz w:val="28"/>
          <w:szCs w:val="28"/>
          <w:vertAlign w:val="superscript"/>
        </w:rPr>
        <w:footnoteReference w:id="70"/>
      </w:r>
      <w:r w:rsidRPr="008B4E2C">
        <w:rPr>
          <w:i/>
          <w:sz w:val="28"/>
          <w:szCs w:val="28"/>
        </w:rPr>
        <w:t xml:space="preserve"> </w:t>
      </w:r>
      <w:r w:rsidR="00A31C22" w:rsidRPr="008B4E2C">
        <w:rPr>
          <w:sz w:val="28"/>
          <w:szCs w:val="28"/>
        </w:rPr>
        <w:t>veikt</w:t>
      </w:r>
      <w:r w:rsidR="00A31C22">
        <w:rPr>
          <w:sz w:val="28"/>
          <w:szCs w:val="28"/>
        </w:rPr>
        <w:t>o</w:t>
      </w:r>
      <w:r w:rsidR="00A31C22" w:rsidRPr="008B4E2C">
        <w:rPr>
          <w:sz w:val="28"/>
          <w:szCs w:val="28"/>
        </w:rPr>
        <w:t xml:space="preserve"> </w:t>
      </w:r>
      <w:r w:rsidRPr="008B4E2C">
        <w:rPr>
          <w:sz w:val="28"/>
          <w:szCs w:val="28"/>
        </w:rPr>
        <w:t>pētījumu rezultāti, azartspēļu nozares ieņēmumu lielāko daļu veido regulārie un problēmu jeb “smagie” spēlētāji. Kanādā 11% no visiem kazino spēlētāj</w:t>
      </w:r>
      <w:r w:rsidR="00A31C22">
        <w:rPr>
          <w:sz w:val="28"/>
          <w:szCs w:val="28"/>
        </w:rPr>
        <w:t>iem</w:t>
      </w:r>
      <w:r w:rsidRPr="008B4E2C">
        <w:rPr>
          <w:sz w:val="28"/>
          <w:szCs w:val="28"/>
        </w:rPr>
        <w:t xml:space="preserve"> veido 50% no nozares kopējiem ieņēmumiem. Savukārt 15% spēļu automātu spēlētāji veido 60% no kopējiem ieņēmumiem. Šādi spēlētāji mēdz </w:t>
      </w:r>
      <w:r w:rsidRPr="008B4E2C">
        <w:rPr>
          <w:sz w:val="28"/>
          <w:szCs w:val="28"/>
        </w:rPr>
        <w:lastRenderedPageBreak/>
        <w:t xml:space="preserve">būt </w:t>
      </w:r>
      <w:r w:rsidR="00ED6B5C">
        <w:rPr>
          <w:sz w:val="28"/>
          <w:szCs w:val="28"/>
        </w:rPr>
        <w:t>S</w:t>
      </w:r>
      <w:r w:rsidRPr="008B4E2C">
        <w:rPr>
          <w:sz w:val="28"/>
          <w:szCs w:val="28"/>
        </w:rPr>
        <w:t xml:space="preserve">P augstākā līmeņa dalībnieki, kas ir tieši saistīts ar ievērojamiem šo </w:t>
      </w:r>
      <w:r w:rsidR="00ED6B5C">
        <w:rPr>
          <w:sz w:val="28"/>
          <w:szCs w:val="28"/>
        </w:rPr>
        <w:t>S</w:t>
      </w:r>
      <w:r w:rsidRPr="008B4E2C">
        <w:rPr>
          <w:sz w:val="28"/>
          <w:szCs w:val="28"/>
        </w:rPr>
        <w:t>P dalībnieku tēriņiem azartspēļu spēlēšanā.</w:t>
      </w:r>
    </w:p>
    <w:p w:rsidR="00136D69" w:rsidRPr="008B4E2C" w:rsidRDefault="00136D69" w:rsidP="00007230">
      <w:pPr>
        <w:ind w:firstLine="567"/>
        <w:jc w:val="both"/>
        <w:rPr>
          <w:sz w:val="28"/>
          <w:szCs w:val="28"/>
        </w:rPr>
      </w:pPr>
      <w:r w:rsidRPr="008B4E2C">
        <w:rPr>
          <w:sz w:val="28"/>
          <w:szCs w:val="28"/>
        </w:rPr>
        <w:t>Tomēr</w:t>
      </w:r>
      <w:r w:rsidR="002054A6">
        <w:rPr>
          <w:sz w:val="28"/>
          <w:szCs w:val="28"/>
        </w:rPr>
        <w:t>,</w:t>
      </w:r>
      <w:r w:rsidRPr="008B4E2C">
        <w:rPr>
          <w:sz w:val="28"/>
          <w:szCs w:val="28"/>
        </w:rPr>
        <w:t xml:space="preserve"> neskatoties uz to, gan Atbildīgā Azartspēļu padome </w:t>
      </w:r>
      <w:r w:rsidRPr="00A80C1E">
        <w:rPr>
          <w:i/>
          <w:sz w:val="28"/>
          <w:szCs w:val="28"/>
        </w:rPr>
        <w:t>(</w:t>
      </w:r>
      <w:r w:rsidR="000E55ED" w:rsidRPr="0066503A">
        <w:rPr>
          <w:sz w:val="28"/>
          <w:szCs w:val="28"/>
        </w:rPr>
        <w:t>ang.val.</w:t>
      </w:r>
      <w:r w:rsidR="000E55ED" w:rsidRPr="00A80C1E">
        <w:rPr>
          <w:i/>
          <w:sz w:val="28"/>
          <w:szCs w:val="28"/>
        </w:rPr>
        <w:t xml:space="preserve"> </w:t>
      </w:r>
      <w:r w:rsidRPr="00A80C1E">
        <w:rPr>
          <w:i/>
          <w:sz w:val="28"/>
          <w:szCs w:val="28"/>
        </w:rPr>
        <w:t>Responsible Gambing Coun</w:t>
      </w:r>
      <w:r w:rsidR="004F76A4">
        <w:rPr>
          <w:i/>
          <w:sz w:val="28"/>
          <w:szCs w:val="28"/>
        </w:rPr>
        <w:t>c</w:t>
      </w:r>
      <w:r w:rsidRPr="00A80C1E">
        <w:rPr>
          <w:i/>
          <w:sz w:val="28"/>
          <w:szCs w:val="28"/>
        </w:rPr>
        <w:t>il</w:t>
      </w:r>
      <w:r w:rsidRPr="008B4E2C">
        <w:rPr>
          <w:sz w:val="28"/>
          <w:szCs w:val="28"/>
        </w:rPr>
        <w:t xml:space="preserve">) Londonā, gan Ontario Problēmu Azartspēļu Pētniecības centrs </w:t>
      </w:r>
      <w:r w:rsidRPr="00A80C1E">
        <w:rPr>
          <w:i/>
          <w:sz w:val="28"/>
          <w:szCs w:val="28"/>
        </w:rPr>
        <w:t>(</w:t>
      </w:r>
      <w:r w:rsidR="000163A6">
        <w:rPr>
          <w:sz w:val="28"/>
          <w:szCs w:val="28"/>
        </w:rPr>
        <w:t>ang.</w:t>
      </w:r>
      <w:r w:rsidR="00F44A94">
        <w:rPr>
          <w:sz w:val="28"/>
          <w:szCs w:val="28"/>
        </w:rPr>
        <w:t xml:space="preserve"> </w:t>
      </w:r>
      <w:r w:rsidR="000E55ED" w:rsidRPr="0066503A">
        <w:rPr>
          <w:sz w:val="28"/>
          <w:szCs w:val="28"/>
        </w:rPr>
        <w:t>val.</w:t>
      </w:r>
      <w:r w:rsidR="000E55ED" w:rsidRPr="00A80C1E">
        <w:rPr>
          <w:i/>
          <w:sz w:val="28"/>
          <w:szCs w:val="28"/>
        </w:rPr>
        <w:t xml:space="preserve"> </w:t>
      </w:r>
      <w:r w:rsidRPr="00A80C1E">
        <w:rPr>
          <w:i/>
          <w:sz w:val="28"/>
          <w:szCs w:val="28"/>
        </w:rPr>
        <w:t>Ontario Problem Gambling Research Centre</w:t>
      </w:r>
      <w:r w:rsidRPr="008B4E2C">
        <w:rPr>
          <w:sz w:val="28"/>
          <w:szCs w:val="28"/>
        </w:rPr>
        <w:t xml:space="preserve">) uzsver, ka ļoti svarīga ir </w:t>
      </w:r>
      <w:r w:rsidR="00421D08">
        <w:rPr>
          <w:sz w:val="28"/>
          <w:szCs w:val="28"/>
        </w:rPr>
        <w:t>programmu</w:t>
      </w:r>
      <w:r w:rsidRPr="008B4E2C">
        <w:rPr>
          <w:sz w:val="28"/>
          <w:szCs w:val="28"/>
        </w:rPr>
        <w:t xml:space="preserve"> sociālā atbildība azartspēļu jomā</w:t>
      </w:r>
      <w:r w:rsidRPr="008B4E2C">
        <w:rPr>
          <w:sz w:val="28"/>
          <w:szCs w:val="28"/>
          <w:vertAlign w:val="superscript"/>
        </w:rPr>
        <w:footnoteReference w:id="71"/>
      </w:r>
      <w:r w:rsidRPr="008B4E2C">
        <w:rPr>
          <w:sz w:val="28"/>
          <w:szCs w:val="28"/>
        </w:rPr>
        <w:t>.</w:t>
      </w:r>
    </w:p>
    <w:p w:rsidR="00136D69" w:rsidRPr="008B4E2C" w:rsidRDefault="000E55ED" w:rsidP="00007230">
      <w:pPr>
        <w:ind w:firstLine="567"/>
        <w:jc w:val="both"/>
        <w:rPr>
          <w:sz w:val="28"/>
          <w:szCs w:val="28"/>
        </w:rPr>
      </w:pPr>
      <w:r>
        <w:rPr>
          <w:sz w:val="28"/>
          <w:szCs w:val="28"/>
        </w:rPr>
        <w:t xml:space="preserve">Mihaels J.A. Vols </w:t>
      </w:r>
      <w:r w:rsidR="00ED6B5C">
        <w:rPr>
          <w:sz w:val="28"/>
          <w:szCs w:val="28"/>
        </w:rPr>
        <w:t>norāda</w:t>
      </w:r>
      <w:r w:rsidR="00136D69" w:rsidRPr="008B4E2C">
        <w:rPr>
          <w:sz w:val="28"/>
          <w:szCs w:val="28"/>
        </w:rPr>
        <w:t xml:space="preserve">, ka </w:t>
      </w:r>
      <w:r w:rsidR="00421D08">
        <w:rPr>
          <w:sz w:val="28"/>
          <w:szCs w:val="28"/>
        </w:rPr>
        <w:t>programmas</w:t>
      </w:r>
      <w:r w:rsidR="00136D69" w:rsidRPr="008B4E2C">
        <w:rPr>
          <w:sz w:val="28"/>
          <w:szCs w:val="28"/>
        </w:rPr>
        <w:t xml:space="preserve"> var izmantot atbildīgi, lai veicinātu kaitējuma </w:t>
      </w:r>
      <w:r w:rsidR="00FE2DED" w:rsidRPr="008B4E2C">
        <w:rPr>
          <w:sz w:val="28"/>
          <w:szCs w:val="28"/>
        </w:rPr>
        <w:t xml:space="preserve">samazināšanu </w:t>
      </w:r>
      <w:r w:rsidR="00136D69" w:rsidRPr="008B4E2C">
        <w:rPr>
          <w:sz w:val="28"/>
          <w:szCs w:val="28"/>
        </w:rPr>
        <w:t xml:space="preserve">no pārmērīgas azartspēļu spēlēšanas, sekojot katra spēlētāja uzvedībai (paradumiem), apkopojot informāciju par katru spēlētāju, kā arī par to informējot pašu spēlētāju.  </w:t>
      </w:r>
    </w:p>
    <w:p w:rsidR="00136D69" w:rsidRPr="008B4E2C" w:rsidRDefault="00136D69" w:rsidP="00007230">
      <w:pPr>
        <w:ind w:firstLine="567"/>
        <w:jc w:val="both"/>
        <w:rPr>
          <w:sz w:val="28"/>
          <w:szCs w:val="28"/>
        </w:rPr>
      </w:pPr>
      <w:r w:rsidRPr="008B4E2C">
        <w:rPr>
          <w:sz w:val="28"/>
          <w:szCs w:val="28"/>
        </w:rPr>
        <w:t>Katru reizi, ka</w:t>
      </w:r>
      <w:r>
        <w:rPr>
          <w:sz w:val="28"/>
          <w:szCs w:val="28"/>
        </w:rPr>
        <w:t>d</w:t>
      </w:r>
      <w:r w:rsidRPr="008B4E2C">
        <w:rPr>
          <w:sz w:val="28"/>
          <w:szCs w:val="28"/>
        </w:rPr>
        <w:t xml:space="preserve"> spēlētājs izmanto lojalitātes karti, tiek fiksēta konkrētā spēlētāja rīcība, veidojas konkrētā spēlētāja profils – likmes lielums, cik bieži iesaistās spēlē, vai ievēro noteiktos ierobežojumus uzvedības datu izsekošan</w:t>
      </w:r>
      <w:r w:rsidR="00E33E75">
        <w:rPr>
          <w:sz w:val="28"/>
          <w:szCs w:val="28"/>
        </w:rPr>
        <w:t>ā</w:t>
      </w:r>
      <w:r w:rsidRPr="008B4E2C">
        <w:rPr>
          <w:sz w:val="28"/>
          <w:szCs w:val="28"/>
        </w:rPr>
        <w:t xml:space="preserve"> un tml. </w:t>
      </w:r>
      <w:r>
        <w:rPr>
          <w:sz w:val="28"/>
          <w:szCs w:val="28"/>
        </w:rPr>
        <w:t xml:space="preserve">Līdz ar to </w:t>
      </w:r>
      <w:r w:rsidRPr="008B4E2C">
        <w:rPr>
          <w:sz w:val="28"/>
          <w:szCs w:val="28"/>
        </w:rPr>
        <w:t>ir iespējams prognozēt iespē</w:t>
      </w:r>
      <w:r>
        <w:rPr>
          <w:sz w:val="28"/>
          <w:szCs w:val="28"/>
        </w:rPr>
        <w:t>jamās spēlētāja problēmas</w:t>
      </w:r>
      <w:r w:rsidR="004F76A4">
        <w:rPr>
          <w:sz w:val="28"/>
          <w:szCs w:val="28"/>
        </w:rPr>
        <w:t xml:space="preserve">, </w:t>
      </w:r>
      <w:r w:rsidR="004F76A4">
        <w:rPr>
          <w:rFonts w:cs="Times New Roman"/>
          <w:sz w:val="28"/>
          <w:szCs w:val="28"/>
        </w:rPr>
        <w:t xml:space="preserve">identificēt </w:t>
      </w:r>
      <w:r w:rsidR="004F76A4" w:rsidRPr="006869D6">
        <w:rPr>
          <w:rFonts w:cs="Times New Roman"/>
          <w:sz w:val="28"/>
          <w:szCs w:val="28"/>
        </w:rPr>
        <w:t xml:space="preserve">problēmspēlētāju </w:t>
      </w:r>
      <w:r w:rsidR="004F76A4">
        <w:rPr>
          <w:rFonts w:cs="Times New Roman"/>
          <w:sz w:val="28"/>
          <w:szCs w:val="28"/>
        </w:rPr>
        <w:t>un savlaicīg</w:t>
      </w:r>
      <w:r w:rsidR="00F13399">
        <w:rPr>
          <w:rFonts w:cs="Times New Roman"/>
          <w:sz w:val="28"/>
          <w:szCs w:val="28"/>
        </w:rPr>
        <w:t>i</w:t>
      </w:r>
      <w:r w:rsidR="004F76A4">
        <w:rPr>
          <w:rFonts w:cs="Times New Roman"/>
          <w:sz w:val="28"/>
          <w:szCs w:val="28"/>
        </w:rPr>
        <w:t xml:space="preserve"> sniegt palīdzību</w:t>
      </w:r>
      <w:r w:rsidR="004F76A4" w:rsidRPr="006869D6">
        <w:rPr>
          <w:rFonts w:cs="Times New Roman"/>
          <w:sz w:val="28"/>
          <w:szCs w:val="28"/>
        </w:rPr>
        <w:t xml:space="preserve"> </w:t>
      </w:r>
      <w:r w:rsidR="004F76A4">
        <w:rPr>
          <w:rFonts w:cs="Times New Roman"/>
          <w:sz w:val="28"/>
          <w:szCs w:val="28"/>
        </w:rPr>
        <w:t>šim spēlētāja</w:t>
      </w:r>
      <w:r w:rsidR="004F76A4" w:rsidRPr="006869D6">
        <w:rPr>
          <w:rFonts w:cs="Times New Roman"/>
          <w:sz w:val="28"/>
          <w:szCs w:val="28"/>
        </w:rPr>
        <w:t>m</w:t>
      </w:r>
      <w:r>
        <w:rPr>
          <w:sz w:val="28"/>
          <w:szCs w:val="28"/>
        </w:rPr>
        <w:t>.</w:t>
      </w:r>
    </w:p>
    <w:p w:rsidR="00136D69" w:rsidRPr="008B4E2C" w:rsidRDefault="00136D69" w:rsidP="00007230">
      <w:pPr>
        <w:ind w:firstLine="567"/>
        <w:jc w:val="both"/>
        <w:rPr>
          <w:sz w:val="28"/>
          <w:szCs w:val="28"/>
        </w:rPr>
      </w:pPr>
      <w:r w:rsidRPr="008B4E2C">
        <w:rPr>
          <w:sz w:val="28"/>
          <w:szCs w:val="28"/>
        </w:rPr>
        <w:t xml:space="preserve">Arī azartspēļu nozarē </w:t>
      </w:r>
      <w:r w:rsidR="00421D08">
        <w:rPr>
          <w:sz w:val="28"/>
          <w:szCs w:val="28"/>
        </w:rPr>
        <w:t>S</w:t>
      </w:r>
      <w:r w:rsidRPr="008B4E2C">
        <w:rPr>
          <w:sz w:val="28"/>
          <w:szCs w:val="28"/>
        </w:rPr>
        <w:t xml:space="preserve">P turētājs var sniegt tās dalībniekiem personalizētas atsauksmes par uzvedību (azartspēlē pavadītais laiks, cik regulāri spēlē un azartspēlēs iztērētā nauda). Piedāvājot </w:t>
      </w:r>
      <w:r w:rsidR="00421D08">
        <w:rPr>
          <w:sz w:val="28"/>
          <w:szCs w:val="28"/>
        </w:rPr>
        <w:t>S</w:t>
      </w:r>
      <w:r w:rsidRPr="008B4E2C">
        <w:rPr>
          <w:sz w:val="28"/>
          <w:szCs w:val="28"/>
        </w:rPr>
        <w:t>P labumus, var piedāvāt izmantot tādus atbildīgas spēles elementus kā iespēju noteikt naudas un laika ierobežojumus, kā arī iespēju piekļūt personalizētai informācijai par spēlētāja spēles vēsturi. Tas sasaucas ar vienu no azartspēļu profilakses aspektiem, jo jebkuras profilakses pamatā ir informēts klients.</w:t>
      </w:r>
    </w:p>
    <w:p w:rsidR="00136D69" w:rsidRPr="008B4E2C" w:rsidRDefault="00136D69" w:rsidP="00007230">
      <w:pPr>
        <w:ind w:firstLine="567"/>
        <w:jc w:val="both"/>
        <w:rPr>
          <w:sz w:val="28"/>
          <w:szCs w:val="28"/>
        </w:rPr>
      </w:pPr>
      <w:r w:rsidRPr="008B4E2C">
        <w:rPr>
          <w:sz w:val="28"/>
          <w:szCs w:val="28"/>
        </w:rPr>
        <w:t>Iepriekš minētie pētījumu rezultāti</w:t>
      </w:r>
      <w:r w:rsidRPr="008B4E2C">
        <w:rPr>
          <w:sz w:val="28"/>
          <w:szCs w:val="28"/>
          <w:vertAlign w:val="superscript"/>
        </w:rPr>
        <w:footnoteReference w:id="72"/>
      </w:r>
      <w:r w:rsidRPr="008B4E2C">
        <w:rPr>
          <w:sz w:val="28"/>
          <w:szCs w:val="28"/>
        </w:rPr>
        <w:t xml:space="preserve"> liecina, ka </w:t>
      </w:r>
      <w:r w:rsidR="00421D08">
        <w:rPr>
          <w:sz w:val="28"/>
          <w:szCs w:val="28"/>
        </w:rPr>
        <w:t>S</w:t>
      </w:r>
      <w:r w:rsidRPr="008B4E2C">
        <w:rPr>
          <w:sz w:val="28"/>
          <w:szCs w:val="28"/>
        </w:rPr>
        <w:t xml:space="preserve">P dalībnieki, kuri izmanto šos </w:t>
      </w:r>
      <w:r w:rsidR="002054A6">
        <w:rPr>
          <w:sz w:val="28"/>
          <w:szCs w:val="28"/>
        </w:rPr>
        <w:t xml:space="preserve">atbildīgas spēles </w:t>
      </w:r>
      <w:r w:rsidRPr="008B4E2C">
        <w:rPr>
          <w:sz w:val="28"/>
          <w:szCs w:val="28"/>
        </w:rPr>
        <w:t>rīkus, apstiprina riskantas spēles samazināšanos, t</w:t>
      </w:r>
      <w:r w:rsidR="002054A6">
        <w:rPr>
          <w:sz w:val="28"/>
          <w:szCs w:val="28"/>
        </w:rPr>
        <w:t>ajā skaitā</w:t>
      </w:r>
      <w:r w:rsidR="0041022E">
        <w:rPr>
          <w:sz w:val="28"/>
          <w:szCs w:val="28"/>
        </w:rPr>
        <w:t>,</w:t>
      </w:r>
      <w:r w:rsidR="0041022E" w:rsidRPr="008B4E2C">
        <w:rPr>
          <w:sz w:val="28"/>
          <w:szCs w:val="28"/>
        </w:rPr>
        <w:t xml:space="preserve"> </w:t>
      </w:r>
      <w:r w:rsidRPr="008B4E2C">
        <w:rPr>
          <w:sz w:val="28"/>
          <w:szCs w:val="28"/>
        </w:rPr>
        <w:t>nepārdomātu izdevumu samazināšanos.</w:t>
      </w:r>
      <w:r w:rsidR="00754D45">
        <w:rPr>
          <w:sz w:val="28"/>
          <w:szCs w:val="28"/>
        </w:rPr>
        <w:t xml:space="preserve"> </w:t>
      </w:r>
      <w:r w:rsidRPr="008B4E2C">
        <w:rPr>
          <w:sz w:val="28"/>
          <w:szCs w:val="28"/>
        </w:rPr>
        <w:t>Tomēr pastāv problēma, ka šos atbildīgas spēles rīkus  izmanto salīdzinoši neliels skaits spēlētāju, galvenokārt tādi spēlētāji, kuri nav pakļauti azartspēļu riskam.</w:t>
      </w:r>
    </w:p>
    <w:p w:rsidR="00136D69" w:rsidRPr="008B4E2C" w:rsidRDefault="00136D69" w:rsidP="00007230">
      <w:pPr>
        <w:ind w:firstLine="567"/>
        <w:jc w:val="both"/>
        <w:rPr>
          <w:sz w:val="28"/>
          <w:szCs w:val="28"/>
        </w:rPr>
      </w:pPr>
      <w:r w:rsidRPr="008B4E2C">
        <w:rPr>
          <w:sz w:val="28"/>
          <w:szCs w:val="28"/>
        </w:rPr>
        <w:t xml:space="preserve">Ņemot vērā iepriekš minēto, sociāli atbildīgi azartspēļu organizētāji ir raduši risinājumu – </w:t>
      </w:r>
      <w:r w:rsidR="00421D08">
        <w:rPr>
          <w:sz w:val="28"/>
          <w:szCs w:val="28"/>
        </w:rPr>
        <w:t>S</w:t>
      </w:r>
      <w:r w:rsidRPr="008B4E2C">
        <w:rPr>
          <w:sz w:val="28"/>
          <w:szCs w:val="28"/>
        </w:rPr>
        <w:t>P dalībniekus, kuri izmanto atbildīgas spēles rīkus, atalgo ar papildu lojalitātes punktiem, ar kuriem var iegūt dažādas balvas. Bieži šīs balvas nav saistītas tieši ar pašu azartspēles spēlēšanu, bet citiem ieguvumiem. Ļoti nozīmīgs faktors, ka</w:t>
      </w:r>
      <w:r w:rsidR="00FD0732">
        <w:rPr>
          <w:sz w:val="28"/>
          <w:szCs w:val="28"/>
        </w:rPr>
        <w:t>s ļauj gūt labumu no atbildīg</w:t>
      </w:r>
      <w:r w:rsidR="00A31C22">
        <w:rPr>
          <w:sz w:val="28"/>
          <w:szCs w:val="28"/>
        </w:rPr>
        <w:t>u s</w:t>
      </w:r>
      <w:r w:rsidRPr="008B4E2C">
        <w:rPr>
          <w:sz w:val="28"/>
          <w:szCs w:val="28"/>
        </w:rPr>
        <w:t>pēles rīku izmantošanas</w:t>
      </w:r>
      <w:r w:rsidR="00406341">
        <w:rPr>
          <w:sz w:val="28"/>
          <w:szCs w:val="28"/>
        </w:rPr>
        <w:t>,</w:t>
      </w:r>
      <w:r w:rsidRPr="008B4E2C">
        <w:rPr>
          <w:sz w:val="28"/>
          <w:szCs w:val="28"/>
        </w:rPr>
        <w:t xml:space="preserve"> ir tas, ka </w:t>
      </w:r>
      <w:r>
        <w:rPr>
          <w:sz w:val="28"/>
          <w:szCs w:val="28"/>
        </w:rPr>
        <w:t>tiek</w:t>
      </w:r>
      <w:r w:rsidRPr="008B4E2C">
        <w:rPr>
          <w:sz w:val="28"/>
          <w:szCs w:val="28"/>
        </w:rPr>
        <w:t xml:space="preserve"> novēr</w:t>
      </w:r>
      <w:r>
        <w:rPr>
          <w:sz w:val="28"/>
          <w:szCs w:val="28"/>
        </w:rPr>
        <w:t>s</w:t>
      </w:r>
      <w:r w:rsidRPr="008B4E2C">
        <w:rPr>
          <w:sz w:val="28"/>
          <w:szCs w:val="28"/>
        </w:rPr>
        <w:t>t</w:t>
      </w:r>
      <w:r>
        <w:rPr>
          <w:sz w:val="28"/>
          <w:szCs w:val="28"/>
        </w:rPr>
        <w:t>i</w:t>
      </w:r>
      <w:r w:rsidRPr="008B4E2C">
        <w:rPr>
          <w:sz w:val="28"/>
          <w:szCs w:val="28"/>
        </w:rPr>
        <w:t xml:space="preserve"> risk</w:t>
      </w:r>
      <w:r>
        <w:rPr>
          <w:sz w:val="28"/>
          <w:szCs w:val="28"/>
        </w:rPr>
        <w:t>i</w:t>
      </w:r>
      <w:r w:rsidRPr="008B4E2C">
        <w:rPr>
          <w:sz w:val="28"/>
          <w:szCs w:val="28"/>
        </w:rPr>
        <w:t xml:space="preserve"> azartspēļu spēlētājiem</w:t>
      </w:r>
      <w:r>
        <w:rPr>
          <w:sz w:val="28"/>
          <w:szCs w:val="28"/>
        </w:rPr>
        <w:t xml:space="preserve"> un to</w:t>
      </w:r>
      <w:r w:rsidRPr="008B4E2C">
        <w:rPr>
          <w:sz w:val="28"/>
          <w:szCs w:val="28"/>
        </w:rPr>
        <w:t xml:space="preserve"> </w:t>
      </w:r>
      <w:r w:rsidR="0041022E" w:rsidRPr="008B4E2C">
        <w:rPr>
          <w:sz w:val="28"/>
          <w:szCs w:val="28"/>
        </w:rPr>
        <w:t>problemātisk</w:t>
      </w:r>
      <w:r w:rsidR="0041022E">
        <w:rPr>
          <w:sz w:val="28"/>
          <w:szCs w:val="28"/>
        </w:rPr>
        <w:t>o</w:t>
      </w:r>
      <w:r w:rsidR="0041022E" w:rsidRPr="008B4E2C">
        <w:rPr>
          <w:sz w:val="28"/>
          <w:szCs w:val="28"/>
        </w:rPr>
        <w:t xml:space="preserve"> </w:t>
      </w:r>
      <w:r w:rsidRPr="008B4E2C">
        <w:rPr>
          <w:sz w:val="28"/>
          <w:szCs w:val="28"/>
        </w:rPr>
        <w:t>spēlētāju tālāk</w:t>
      </w:r>
      <w:r>
        <w:rPr>
          <w:sz w:val="28"/>
          <w:szCs w:val="28"/>
        </w:rPr>
        <w:t>ai</w:t>
      </w:r>
      <w:r w:rsidRPr="008B4E2C">
        <w:rPr>
          <w:sz w:val="28"/>
          <w:szCs w:val="28"/>
        </w:rPr>
        <w:t xml:space="preserve"> dalīb</w:t>
      </w:r>
      <w:r>
        <w:rPr>
          <w:sz w:val="28"/>
          <w:szCs w:val="28"/>
        </w:rPr>
        <w:t>ai</w:t>
      </w:r>
      <w:r w:rsidRPr="008B4E2C">
        <w:rPr>
          <w:sz w:val="28"/>
          <w:szCs w:val="28"/>
        </w:rPr>
        <w:t xml:space="preserve"> azartspēlēs.</w:t>
      </w:r>
    </w:p>
    <w:p w:rsidR="008A150E" w:rsidRPr="008B4E2C" w:rsidRDefault="00136D69" w:rsidP="00007230">
      <w:pPr>
        <w:ind w:firstLine="567"/>
        <w:jc w:val="both"/>
        <w:rPr>
          <w:sz w:val="28"/>
          <w:szCs w:val="28"/>
        </w:rPr>
      </w:pPr>
      <w:r w:rsidRPr="008B4E2C">
        <w:rPr>
          <w:sz w:val="28"/>
          <w:szCs w:val="28"/>
        </w:rPr>
        <w:t xml:space="preserve">Informācija par konkrēto azartspēļu organizētāju </w:t>
      </w:r>
      <w:r w:rsidR="00421D08">
        <w:rPr>
          <w:sz w:val="28"/>
          <w:szCs w:val="28"/>
        </w:rPr>
        <w:t>S</w:t>
      </w:r>
      <w:r w:rsidRPr="008B4E2C">
        <w:rPr>
          <w:sz w:val="28"/>
          <w:szCs w:val="28"/>
        </w:rPr>
        <w:t xml:space="preserve">P dalībniekiem, to paradumiem un uzvedības modeļiem ir katra </w:t>
      </w:r>
      <w:r w:rsidR="00421D08">
        <w:rPr>
          <w:sz w:val="28"/>
          <w:szCs w:val="28"/>
        </w:rPr>
        <w:t>S</w:t>
      </w:r>
      <w:r w:rsidRPr="008B4E2C">
        <w:rPr>
          <w:sz w:val="28"/>
          <w:szCs w:val="28"/>
        </w:rPr>
        <w:t xml:space="preserve">P turētāja rīcībā un tā tiek izmantota atbilstoši konkrētā uzņēmuma mērķiem. Tomēr tā netiek vispusīgi vērtēta un  analizēta, lai virzītu spēlētājus mainīt vērtības un attieksmi, virzot uz mazāka riska spēlētāju grupu. </w:t>
      </w:r>
      <w:r w:rsidR="008A150E">
        <w:rPr>
          <w:sz w:val="28"/>
          <w:szCs w:val="28"/>
        </w:rPr>
        <w:t>Saprotams, ka šī informācija</w:t>
      </w:r>
      <w:r w:rsidR="00060A5C">
        <w:rPr>
          <w:sz w:val="28"/>
          <w:szCs w:val="28"/>
        </w:rPr>
        <w:t xml:space="preserve"> par </w:t>
      </w:r>
      <w:r w:rsidR="00421D08">
        <w:rPr>
          <w:sz w:val="28"/>
          <w:szCs w:val="28"/>
        </w:rPr>
        <w:t>programmas</w:t>
      </w:r>
      <w:r w:rsidR="00060A5C">
        <w:rPr>
          <w:sz w:val="28"/>
          <w:szCs w:val="28"/>
        </w:rPr>
        <w:t xml:space="preserve"> dalībniekiem</w:t>
      </w:r>
      <w:r w:rsidR="008A150E">
        <w:rPr>
          <w:sz w:val="28"/>
          <w:szCs w:val="28"/>
        </w:rPr>
        <w:t xml:space="preserve"> </w:t>
      </w:r>
      <w:r w:rsidR="00DF7175">
        <w:rPr>
          <w:sz w:val="28"/>
          <w:szCs w:val="28"/>
        </w:rPr>
        <w:t xml:space="preserve">šobrīd </w:t>
      </w:r>
      <w:r w:rsidR="008A150E">
        <w:rPr>
          <w:sz w:val="28"/>
          <w:szCs w:val="28"/>
        </w:rPr>
        <w:t>tiek izmantota salīdzinoši šauriem mērķiem, t</w:t>
      </w:r>
      <w:r w:rsidR="002054A6">
        <w:rPr>
          <w:sz w:val="28"/>
          <w:szCs w:val="28"/>
        </w:rPr>
        <w:t>as ir,</w:t>
      </w:r>
      <w:r w:rsidR="008A150E">
        <w:rPr>
          <w:sz w:val="28"/>
          <w:szCs w:val="28"/>
        </w:rPr>
        <w:t xml:space="preserve"> </w:t>
      </w:r>
      <w:r w:rsidR="00060A5C">
        <w:rPr>
          <w:sz w:val="28"/>
          <w:szCs w:val="28"/>
        </w:rPr>
        <w:t>katra konkrētā</w:t>
      </w:r>
      <w:r w:rsidR="008A150E">
        <w:rPr>
          <w:sz w:val="28"/>
          <w:szCs w:val="28"/>
        </w:rPr>
        <w:t xml:space="preserve"> azartspēļu </w:t>
      </w:r>
      <w:r w:rsidR="008A150E">
        <w:rPr>
          <w:sz w:val="28"/>
          <w:szCs w:val="28"/>
        </w:rPr>
        <w:lastRenderedPageBreak/>
        <w:t>organizētāja interes</w:t>
      </w:r>
      <w:r w:rsidR="00060A5C">
        <w:rPr>
          <w:sz w:val="28"/>
          <w:szCs w:val="28"/>
        </w:rPr>
        <w:t>ēs,</w:t>
      </w:r>
      <w:r w:rsidR="008A150E">
        <w:rPr>
          <w:sz w:val="28"/>
          <w:szCs w:val="28"/>
        </w:rPr>
        <w:t xml:space="preserve"> </w:t>
      </w:r>
      <w:r w:rsidR="00060A5C">
        <w:rPr>
          <w:sz w:val="28"/>
          <w:szCs w:val="28"/>
        </w:rPr>
        <w:t>vēršot uzmanību uz</w:t>
      </w:r>
      <w:r w:rsidR="008A150E">
        <w:rPr>
          <w:sz w:val="28"/>
          <w:szCs w:val="28"/>
        </w:rPr>
        <w:t xml:space="preserve"> </w:t>
      </w:r>
      <w:r w:rsidR="00060A5C">
        <w:rPr>
          <w:sz w:val="28"/>
          <w:szCs w:val="28"/>
        </w:rPr>
        <w:t xml:space="preserve">esošā </w:t>
      </w:r>
      <w:r w:rsidR="008A150E">
        <w:rPr>
          <w:sz w:val="28"/>
          <w:szCs w:val="28"/>
        </w:rPr>
        <w:t>spēlēt</w:t>
      </w:r>
      <w:r w:rsidR="00060A5C">
        <w:rPr>
          <w:sz w:val="28"/>
          <w:szCs w:val="28"/>
        </w:rPr>
        <w:t>āja saglabāšanu un jaunu azartspēļu spēlētāja piesaistīšanu</w:t>
      </w:r>
      <w:r w:rsidR="008A150E">
        <w:rPr>
          <w:sz w:val="28"/>
          <w:szCs w:val="28"/>
        </w:rPr>
        <w:t xml:space="preserve">. </w:t>
      </w:r>
      <w:r w:rsidR="00F72C51">
        <w:rPr>
          <w:sz w:val="28"/>
          <w:szCs w:val="28"/>
        </w:rPr>
        <w:t>Analizējot</w:t>
      </w:r>
      <w:r w:rsidR="008A150E">
        <w:rPr>
          <w:sz w:val="28"/>
          <w:szCs w:val="28"/>
        </w:rPr>
        <w:t xml:space="preserve"> azartspēļu organizētāju rīcībā esošo nepersonalizēto inform</w:t>
      </w:r>
      <w:r w:rsidR="00F72C51">
        <w:rPr>
          <w:sz w:val="28"/>
          <w:szCs w:val="28"/>
        </w:rPr>
        <w:t xml:space="preserve">āciju par </w:t>
      </w:r>
      <w:r w:rsidR="00421D08">
        <w:rPr>
          <w:sz w:val="28"/>
          <w:szCs w:val="28"/>
        </w:rPr>
        <w:t>S</w:t>
      </w:r>
      <w:r w:rsidR="00F72C51">
        <w:rPr>
          <w:sz w:val="28"/>
          <w:szCs w:val="28"/>
        </w:rPr>
        <w:t>P dalībniekiem</w:t>
      </w:r>
      <w:r w:rsidR="00DF7175">
        <w:rPr>
          <w:sz w:val="28"/>
          <w:szCs w:val="28"/>
        </w:rPr>
        <w:t xml:space="preserve"> </w:t>
      </w:r>
      <w:r w:rsidR="009D1402">
        <w:rPr>
          <w:sz w:val="28"/>
          <w:szCs w:val="28"/>
        </w:rPr>
        <w:t>–</w:t>
      </w:r>
      <w:r w:rsidR="00DF7175">
        <w:rPr>
          <w:sz w:val="28"/>
          <w:szCs w:val="28"/>
        </w:rPr>
        <w:t xml:space="preserve"> azartspēļu spēlētājiem</w:t>
      </w:r>
      <w:r w:rsidR="002054A6">
        <w:rPr>
          <w:sz w:val="28"/>
          <w:szCs w:val="28"/>
        </w:rPr>
        <w:t xml:space="preserve"> - </w:t>
      </w:r>
      <w:r w:rsidR="008A150E">
        <w:rPr>
          <w:sz w:val="28"/>
          <w:szCs w:val="28"/>
        </w:rPr>
        <w:t xml:space="preserve">kopumu, ir iespējams </w:t>
      </w:r>
      <w:r w:rsidR="00DF7175">
        <w:rPr>
          <w:sz w:val="28"/>
          <w:szCs w:val="28"/>
        </w:rPr>
        <w:t>noteikt eso</w:t>
      </w:r>
      <w:r w:rsidR="00F72C51">
        <w:rPr>
          <w:sz w:val="28"/>
          <w:szCs w:val="28"/>
        </w:rPr>
        <w:t>šo</w:t>
      </w:r>
      <w:r w:rsidR="008A150E">
        <w:rPr>
          <w:sz w:val="28"/>
          <w:szCs w:val="28"/>
        </w:rPr>
        <w:t xml:space="preserve"> azartspēļu spēlētāju</w:t>
      </w:r>
      <w:r w:rsidR="00F72C51">
        <w:rPr>
          <w:sz w:val="28"/>
          <w:szCs w:val="28"/>
        </w:rPr>
        <w:t xml:space="preserve"> paradumus un</w:t>
      </w:r>
      <w:r w:rsidR="008A150E">
        <w:rPr>
          <w:sz w:val="28"/>
          <w:szCs w:val="28"/>
        </w:rPr>
        <w:t xml:space="preserve"> </w:t>
      </w:r>
      <w:r w:rsidR="00DF7175">
        <w:rPr>
          <w:sz w:val="28"/>
          <w:szCs w:val="28"/>
        </w:rPr>
        <w:t>uzved</w:t>
      </w:r>
      <w:r w:rsidR="00F72C51">
        <w:rPr>
          <w:sz w:val="28"/>
          <w:szCs w:val="28"/>
        </w:rPr>
        <w:t xml:space="preserve">ību, </w:t>
      </w:r>
      <w:r w:rsidR="00DF7175">
        <w:rPr>
          <w:sz w:val="28"/>
          <w:szCs w:val="28"/>
        </w:rPr>
        <w:t>un identificēt</w:t>
      </w:r>
      <w:r w:rsidR="008A150E">
        <w:rPr>
          <w:sz w:val="28"/>
          <w:szCs w:val="28"/>
        </w:rPr>
        <w:t xml:space="preserve"> </w:t>
      </w:r>
      <w:r w:rsidR="00DF7175">
        <w:rPr>
          <w:sz w:val="28"/>
          <w:szCs w:val="28"/>
        </w:rPr>
        <w:t xml:space="preserve">azartspēļu spēlētāju paradumu un uzvedības izmaiņu </w:t>
      </w:r>
      <w:r w:rsidR="008A150E">
        <w:rPr>
          <w:sz w:val="28"/>
          <w:szCs w:val="28"/>
        </w:rPr>
        <w:t>tendenc</w:t>
      </w:r>
      <w:r w:rsidR="00F72C51">
        <w:rPr>
          <w:sz w:val="28"/>
          <w:szCs w:val="28"/>
        </w:rPr>
        <w:t>es</w:t>
      </w:r>
      <w:r w:rsidR="00DF7175">
        <w:rPr>
          <w:sz w:val="28"/>
          <w:szCs w:val="28"/>
        </w:rPr>
        <w:t xml:space="preserve">. </w:t>
      </w:r>
      <w:r w:rsidR="00F72C51">
        <w:rPr>
          <w:sz w:val="28"/>
          <w:szCs w:val="28"/>
        </w:rPr>
        <w:t xml:space="preserve">Ja šāda nepersonalizēta informācija par azartspēļu spēlētājiem </w:t>
      </w:r>
      <w:r w:rsidR="00D1554A">
        <w:rPr>
          <w:sz w:val="28"/>
          <w:szCs w:val="28"/>
        </w:rPr>
        <w:t xml:space="preserve">būtu </w:t>
      </w:r>
      <w:r w:rsidR="00F72C51">
        <w:rPr>
          <w:sz w:val="28"/>
          <w:szCs w:val="28"/>
        </w:rPr>
        <w:t xml:space="preserve">azartspēļu nozari uzraugošo valsts institūciju rīcībā, tad </w:t>
      </w:r>
      <w:r w:rsidR="00210AA8">
        <w:rPr>
          <w:sz w:val="28"/>
          <w:szCs w:val="28"/>
        </w:rPr>
        <w:t>būtu</w:t>
      </w:r>
      <w:r w:rsidR="00F72C51">
        <w:rPr>
          <w:sz w:val="28"/>
          <w:szCs w:val="28"/>
        </w:rPr>
        <w:t xml:space="preserve"> iespējams savlaicīgi identificēt negatīvas tendences azartspēļu spēlēšanā iesaistītajai sabiedrības daļai un attiecīgi rīkoties, lai novērstu to.</w:t>
      </w:r>
    </w:p>
    <w:p w:rsidR="00136D69" w:rsidRPr="008B4E2C" w:rsidRDefault="006F7BD0" w:rsidP="00A23453">
      <w:pPr>
        <w:ind w:firstLine="567"/>
        <w:jc w:val="both"/>
        <w:rPr>
          <w:sz w:val="28"/>
          <w:szCs w:val="28"/>
        </w:rPr>
      </w:pPr>
      <w:r>
        <w:rPr>
          <w:sz w:val="28"/>
          <w:szCs w:val="28"/>
        </w:rPr>
        <w:t>Austrālijā i</w:t>
      </w:r>
      <w:r w:rsidR="00136D69" w:rsidRPr="008B4E2C">
        <w:rPr>
          <w:sz w:val="28"/>
          <w:szCs w:val="28"/>
        </w:rPr>
        <w:t>r izstrādāta uz zinātni balstīta struktūra atbildīgām azartspēlēm – Reno modelis</w:t>
      </w:r>
      <w:r w:rsidR="00136D69" w:rsidRPr="008B4E2C">
        <w:rPr>
          <w:sz w:val="28"/>
          <w:szCs w:val="28"/>
          <w:vertAlign w:val="superscript"/>
        </w:rPr>
        <w:footnoteReference w:id="73"/>
      </w:r>
      <w:r w:rsidR="00136D69" w:rsidRPr="008B4E2C">
        <w:rPr>
          <w:sz w:val="28"/>
          <w:szCs w:val="28"/>
        </w:rPr>
        <w:t>, kas ietver konkrētus principus, lai virzītu un ierobežotu ar azartspēlēm saistītās atkarības problēmas, kā arī, lai palīdzētu:</w:t>
      </w:r>
    </w:p>
    <w:p w:rsidR="00136D69" w:rsidRPr="006B036D" w:rsidRDefault="00136D69" w:rsidP="006B036D">
      <w:pPr>
        <w:pStyle w:val="ListParagraph"/>
        <w:numPr>
          <w:ilvl w:val="0"/>
          <w:numId w:val="57"/>
        </w:numPr>
        <w:ind w:left="0" w:firstLine="709"/>
        <w:jc w:val="both"/>
        <w:rPr>
          <w:sz w:val="28"/>
          <w:szCs w:val="28"/>
        </w:rPr>
      </w:pPr>
      <w:r w:rsidRPr="006B036D">
        <w:rPr>
          <w:sz w:val="28"/>
          <w:szCs w:val="28"/>
        </w:rPr>
        <w:t>veidot atbildīgo azartspēļu iniciatīvu attīstības virzienus;</w:t>
      </w:r>
    </w:p>
    <w:p w:rsidR="00136D69" w:rsidRPr="008B4E2C" w:rsidRDefault="00136D69" w:rsidP="006B036D">
      <w:pPr>
        <w:numPr>
          <w:ilvl w:val="0"/>
          <w:numId w:val="57"/>
        </w:numPr>
        <w:ind w:left="0" w:firstLine="709"/>
        <w:contextualSpacing/>
        <w:jc w:val="both"/>
        <w:rPr>
          <w:rFonts w:ascii="Roboto" w:hAnsi="Roboto"/>
          <w:color w:val="000000"/>
          <w:sz w:val="27"/>
          <w:szCs w:val="27"/>
        </w:rPr>
      </w:pPr>
      <w:r w:rsidRPr="008B4E2C">
        <w:rPr>
          <w:sz w:val="28"/>
          <w:szCs w:val="28"/>
        </w:rPr>
        <w:t xml:space="preserve">stimulēt dialogu par atbildīgām azartspēļu koncepcijām un saistītajām iniciatīvām. </w:t>
      </w:r>
    </w:p>
    <w:p w:rsidR="00136D69" w:rsidRPr="00DF7175" w:rsidRDefault="00136D69" w:rsidP="00A23453">
      <w:pPr>
        <w:ind w:firstLine="567"/>
        <w:jc w:val="both"/>
        <w:rPr>
          <w:rFonts w:cs="Times New Roman"/>
          <w:color w:val="000000"/>
          <w:sz w:val="28"/>
          <w:szCs w:val="28"/>
        </w:rPr>
      </w:pPr>
      <w:r w:rsidRPr="00841FB9">
        <w:rPr>
          <w:rFonts w:cs="Times New Roman"/>
          <w:color w:val="000000"/>
          <w:sz w:val="28"/>
          <w:szCs w:val="28"/>
        </w:rPr>
        <w:t>Jau šobrīd azarts</w:t>
      </w:r>
      <w:r>
        <w:rPr>
          <w:rFonts w:cs="Times New Roman"/>
          <w:color w:val="000000"/>
          <w:sz w:val="28"/>
          <w:szCs w:val="28"/>
        </w:rPr>
        <w:t>pēļu nozares nākotnes attīstība</w:t>
      </w:r>
      <w:r w:rsidRPr="00841FB9">
        <w:rPr>
          <w:rFonts w:cs="Times New Roman"/>
          <w:color w:val="000000"/>
          <w:sz w:val="28"/>
          <w:szCs w:val="28"/>
        </w:rPr>
        <w:t xml:space="preserve"> nav iedomāja bez at</w:t>
      </w:r>
      <w:r>
        <w:rPr>
          <w:rFonts w:cs="Times New Roman"/>
          <w:color w:val="000000"/>
          <w:sz w:val="28"/>
          <w:szCs w:val="28"/>
        </w:rPr>
        <w:t>bildīgas spēles rīkiem. Arī</w:t>
      </w:r>
      <w:r w:rsidRPr="00841FB9">
        <w:rPr>
          <w:rFonts w:cs="Times New Roman"/>
          <w:color w:val="000000"/>
          <w:sz w:val="28"/>
          <w:szCs w:val="28"/>
        </w:rPr>
        <w:t xml:space="preserve"> biržas eksperti, vērtējot azartspēļu uzņēmumu nākotnes ilgtspēju, kā pievienoto vērtību vērtē šo instrumentu iekļaušanu azartspēļu biznesa modeļos. </w:t>
      </w:r>
    </w:p>
    <w:p w:rsidR="006B036D" w:rsidRDefault="00136D69" w:rsidP="00136D69">
      <w:pPr>
        <w:ind w:left="1560" w:hanging="1560"/>
        <w:jc w:val="both"/>
        <w:rPr>
          <w:i/>
          <w:sz w:val="28"/>
          <w:szCs w:val="28"/>
        </w:rPr>
      </w:pPr>
      <w:r w:rsidRPr="008B4E2C">
        <w:rPr>
          <w:i/>
          <w:sz w:val="28"/>
          <w:szCs w:val="28"/>
        </w:rPr>
        <w:t>Secinājum</w:t>
      </w:r>
      <w:r w:rsidR="00D50DB1">
        <w:rPr>
          <w:i/>
          <w:sz w:val="28"/>
          <w:szCs w:val="28"/>
        </w:rPr>
        <w:t>i</w:t>
      </w:r>
      <w:r w:rsidRPr="008B4E2C">
        <w:rPr>
          <w:i/>
          <w:sz w:val="28"/>
          <w:szCs w:val="28"/>
        </w:rPr>
        <w:t>:</w:t>
      </w:r>
    </w:p>
    <w:p w:rsidR="00136D69" w:rsidRDefault="00136D69" w:rsidP="006B036D">
      <w:pPr>
        <w:ind w:firstLine="709"/>
        <w:jc w:val="both"/>
        <w:rPr>
          <w:sz w:val="28"/>
          <w:szCs w:val="28"/>
        </w:rPr>
      </w:pPr>
      <w:r w:rsidRPr="008B4E2C">
        <w:rPr>
          <w:sz w:val="28"/>
          <w:szCs w:val="28"/>
        </w:rPr>
        <w:t xml:space="preserve">1) </w:t>
      </w:r>
      <w:r w:rsidR="002054A6">
        <w:rPr>
          <w:sz w:val="28"/>
          <w:szCs w:val="28"/>
        </w:rPr>
        <w:t>a</w:t>
      </w:r>
      <w:r w:rsidR="002054A6" w:rsidRPr="008B4E2C">
        <w:rPr>
          <w:sz w:val="28"/>
          <w:szCs w:val="28"/>
        </w:rPr>
        <w:t xml:space="preserve">tbildīgs </w:t>
      </w:r>
      <w:r w:rsidRPr="008B4E2C">
        <w:rPr>
          <w:sz w:val="28"/>
          <w:szCs w:val="28"/>
        </w:rPr>
        <w:t xml:space="preserve">azartspēļu organizētājs ar </w:t>
      </w:r>
      <w:r>
        <w:rPr>
          <w:sz w:val="28"/>
          <w:szCs w:val="28"/>
        </w:rPr>
        <w:t>tā</w:t>
      </w:r>
      <w:r w:rsidRPr="008B4E2C">
        <w:rPr>
          <w:sz w:val="28"/>
          <w:szCs w:val="28"/>
        </w:rPr>
        <w:t xml:space="preserve"> rīcībā esošās informācijas </w:t>
      </w:r>
      <w:r w:rsidR="002054A6">
        <w:rPr>
          <w:sz w:val="28"/>
          <w:szCs w:val="28"/>
        </w:rPr>
        <w:t xml:space="preserve">par SP izmantošanu </w:t>
      </w:r>
      <w:r w:rsidRPr="008B4E2C">
        <w:rPr>
          <w:sz w:val="28"/>
          <w:szCs w:val="28"/>
        </w:rPr>
        <w:t>palīdzību var virzīt spēlētāju uz atbildīgu spēli, spēlētāju iesaistot un apbalvojot par atbildīgas azartspēles rīku izmantošanu</w:t>
      </w:r>
      <w:r w:rsidR="002054A6">
        <w:rPr>
          <w:sz w:val="28"/>
          <w:szCs w:val="28"/>
        </w:rPr>
        <w:t>;</w:t>
      </w:r>
    </w:p>
    <w:p w:rsidR="00DF7175" w:rsidRPr="00A80C1E" w:rsidRDefault="002054A6" w:rsidP="00A537CE">
      <w:pPr>
        <w:pStyle w:val="ListParagraph"/>
        <w:numPr>
          <w:ilvl w:val="0"/>
          <w:numId w:val="41"/>
        </w:numPr>
        <w:ind w:left="0" w:firstLine="709"/>
        <w:jc w:val="both"/>
        <w:rPr>
          <w:sz w:val="28"/>
          <w:szCs w:val="28"/>
        </w:rPr>
      </w:pPr>
      <w:r>
        <w:rPr>
          <w:sz w:val="28"/>
          <w:szCs w:val="28"/>
        </w:rPr>
        <w:t>a</w:t>
      </w:r>
      <w:r w:rsidRPr="00A80C1E">
        <w:rPr>
          <w:sz w:val="28"/>
          <w:szCs w:val="28"/>
        </w:rPr>
        <w:t xml:space="preserve">zartspēļu </w:t>
      </w:r>
      <w:r w:rsidR="00DF7175" w:rsidRPr="00A80C1E">
        <w:rPr>
          <w:sz w:val="28"/>
          <w:szCs w:val="28"/>
        </w:rPr>
        <w:t xml:space="preserve">organizētāju rīcībā esošā informācija par </w:t>
      </w:r>
      <w:r w:rsidR="00A3350C">
        <w:rPr>
          <w:sz w:val="28"/>
          <w:szCs w:val="28"/>
        </w:rPr>
        <w:t>to klientiem</w:t>
      </w:r>
      <w:r w:rsidR="00E73C71" w:rsidRPr="00A80C1E">
        <w:rPr>
          <w:sz w:val="28"/>
          <w:szCs w:val="28"/>
        </w:rPr>
        <w:t xml:space="preserve"> šobrīd tiek izmantota tikai azartspēļu organizētāja interesēs, lai saglabātu un piesaistītu klientu.</w:t>
      </w:r>
    </w:p>
    <w:p w:rsidR="00136D69" w:rsidRPr="008B4E2C" w:rsidRDefault="00136D69" w:rsidP="00136D69">
      <w:pPr>
        <w:jc w:val="both"/>
        <w:rPr>
          <w:sz w:val="20"/>
          <w:szCs w:val="20"/>
        </w:rPr>
      </w:pPr>
    </w:p>
    <w:p w:rsidR="00136D69" w:rsidRPr="00387548" w:rsidRDefault="001F7ECC" w:rsidP="00387548">
      <w:pPr>
        <w:rPr>
          <w:i/>
          <w:sz w:val="28"/>
          <w:szCs w:val="28"/>
        </w:rPr>
      </w:pPr>
      <w:bookmarkStart w:id="72" w:name="_Toc21423231"/>
      <w:bookmarkStart w:id="73" w:name="_Toc29195585"/>
      <w:r w:rsidRPr="00387548">
        <w:rPr>
          <w:i/>
          <w:sz w:val="28"/>
          <w:szCs w:val="28"/>
        </w:rPr>
        <w:t>Nepieciešami</w:t>
      </w:r>
      <w:r w:rsidR="00765B61">
        <w:rPr>
          <w:i/>
          <w:sz w:val="28"/>
          <w:szCs w:val="28"/>
        </w:rPr>
        <w:t>e</w:t>
      </w:r>
      <w:r w:rsidRPr="00387548">
        <w:rPr>
          <w:i/>
          <w:sz w:val="28"/>
          <w:szCs w:val="28"/>
        </w:rPr>
        <w:t xml:space="preserve"> </w:t>
      </w:r>
      <w:r w:rsidR="00CE110C" w:rsidRPr="00387548">
        <w:rPr>
          <w:i/>
          <w:sz w:val="28"/>
          <w:szCs w:val="28"/>
        </w:rPr>
        <w:t>pasākumi</w:t>
      </w:r>
      <w:bookmarkEnd w:id="72"/>
      <w:bookmarkEnd w:id="73"/>
    </w:p>
    <w:p w:rsidR="00136D69" w:rsidRPr="008B4E2C" w:rsidRDefault="00136D69" w:rsidP="006B036D">
      <w:pPr>
        <w:ind w:firstLine="567"/>
        <w:jc w:val="both"/>
        <w:rPr>
          <w:sz w:val="28"/>
          <w:szCs w:val="28"/>
        </w:rPr>
      </w:pPr>
      <w:r w:rsidRPr="008B4E2C">
        <w:rPr>
          <w:sz w:val="28"/>
          <w:szCs w:val="28"/>
        </w:rPr>
        <w:t xml:space="preserve">Pamatojoties uz apskatīto </w:t>
      </w:r>
      <w:r w:rsidR="00D05E44">
        <w:rPr>
          <w:sz w:val="28"/>
          <w:szCs w:val="28"/>
        </w:rPr>
        <w:t xml:space="preserve">citu </w:t>
      </w:r>
      <w:r w:rsidRPr="008B4E2C">
        <w:rPr>
          <w:sz w:val="28"/>
          <w:szCs w:val="28"/>
        </w:rPr>
        <w:t xml:space="preserve">valstu pieredzi, kā arī citās nozarēs darbojošās </w:t>
      </w:r>
      <w:r w:rsidR="00D05E44">
        <w:rPr>
          <w:sz w:val="28"/>
          <w:szCs w:val="28"/>
        </w:rPr>
        <w:t>S</w:t>
      </w:r>
      <w:r w:rsidRPr="008B4E2C">
        <w:rPr>
          <w:sz w:val="28"/>
          <w:szCs w:val="28"/>
        </w:rPr>
        <w:t xml:space="preserve">P, kā arī ņemot vērā azartspēļu nozares tendences, ir iespējami risinājumi </w:t>
      </w:r>
      <w:r w:rsidR="00D05E44">
        <w:rPr>
          <w:sz w:val="28"/>
          <w:szCs w:val="28"/>
        </w:rPr>
        <w:t>S</w:t>
      </w:r>
      <w:r w:rsidRPr="008B4E2C">
        <w:rPr>
          <w:sz w:val="28"/>
          <w:szCs w:val="28"/>
        </w:rPr>
        <w:t>P:</w:t>
      </w:r>
    </w:p>
    <w:p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t xml:space="preserve">1) </w:t>
      </w:r>
      <w:r w:rsidR="002054A6">
        <w:rPr>
          <w:rFonts w:eastAsia="Franklin Gothic Book" w:cs="Times New Roman"/>
          <w:sz w:val="28"/>
          <w:szCs w:val="28"/>
          <w:lang w:eastAsia="lv-LV"/>
        </w:rPr>
        <w:t>p</w:t>
      </w:r>
      <w:r w:rsidR="002054A6" w:rsidRPr="00DA09F0">
        <w:rPr>
          <w:rFonts w:eastAsia="Franklin Gothic Book" w:cs="Times New Roman"/>
          <w:sz w:val="28"/>
          <w:szCs w:val="28"/>
          <w:lang w:eastAsia="lv-LV"/>
        </w:rPr>
        <w:t xml:space="preserve">recizēt </w:t>
      </w:r>
      <w:r w:rsidR="00DA09F0" w:rsidRPr="00DA09F0">
        <w:rPr>
          <w:rFonts w:eastAsia="Franklin Gothic Book" w:cs="Times New Roman"/>
          <w:sz w:val="28"/>
          <w:szCs w:val="28"/>
          <w:lang w:eastAsia="lv-LV"/>
        </w:rPr>
        <w:t xml:space="preserve">azartspēļu nozares 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jomas normatīvo regulējumu, nepārprotami nosakot, kādus </w:t>
      </w:r>
      <w:r w:rsidR="00C676FD">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elementus ir atļauts un ir aizliegts izmantot</w:t>
      </w:r>
      <w:r w:rsidR="002054A6">
        <w:rPr>
          <w:rFonts w:eastAsia="Franklin Gothic Book" w:cs="Times New Roman"/>
          <w:sz w:val="28"/>
          <w:szCs w:val="28"/>
          <w:lang w:eastAsia="lv-LV"/>
        </w:rPr>
        <w:t>;</w:t>
      </w:r>
      <w:r w:rsidR="002054A6" w:rsidRPr="002A78EA">
        <w:rPr>
          <w:rFonts w:eastAsia="Franklin Gothic Book" w:cs="Times New Roman"/>
          <w:sz w:val="28"/>
          <w:szCs w:val="28"/>
          <w:lang w:eastAsia="lv-LV"/>
        </w:rPr>
        <w:t xml:space="preserve"> </w:t>
      </w:r>
    </w:p>
    <w:p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t xml:space="preserve">2) </w:t>
      </w:r>
      <w:r w:rsidR="002054A6">
        <w:rPr>
          <w:rFonts w:eastAsia="Franklin Gothic Book" w:cs="Times New Roman"/>
          <w:sz w:val="28"/>
          <w:szCs w:val="28"/>
          <w:lang w:eastAsia="lv-LV"/>
        </w:rPr>
        <w:t>n</w:t>
      </w:r>
      <w:r w:rsidR="002054A6" w:rsidRPr="002A78EA">
        <w:rPr>
          <w:rFonts w:eastAsia="Franklin Gothic Book" w:cs="Times New Roman"/>
          <w:sz w:val="28"/>
          <w:szCs w:val="28"/>
          <w:lang w:eastAsia="lv-LV"/>
        </w:rPr>
        <w:t xml:space="preserve">oteikt </w:t>
      </w:r>
      <w:r w:rsidR="00DA09F0" w:rsidRPr="002A78EA">
        <w:rPr>
          <w:rFonts w:eastAsia="Franklin Gothic Book" w:cs="Times New Roman"/>
          <w:sz w:val="28"/>
          <w:szCs w:val="28"/>
          <w:lang w:eastAsia="lv-LV"/>
        </w:rPr>
        <w:t xml:space="preserve">azartspēļu 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organizētājiem</w:t>
      </w:r>
      <w:r w:rsidR="00421D08">
        <w:rPr>
          <w:rFonts w:eastAsia="Franklin Gothic Book" w:cs="Times New Roman"/>
          <w:sz w:val="28"/>
          <w:szCs w:val="28"/>
          <w:lang w:eastAsia="lv-LV"/>
        </w:rPr>
        <w:t xml:space="preserve"> </w:t>
      </w:r>
      <w:r w:rsidR="00DA09F0" w:rsidRPr="002A78EA">
        <w:rPr>
          <w:rFonts w:eastAsia="Franklin Gothic Book" w:cs="Times New Roman"/>
          <w:sz w:val="28"/>
          <w:szCs w:val="28"/>
          <w:lang w:eastAsia="lv-LV"/>
        </w:rPr>
        <w:t xml:space="preserve">pienākumu </w:t>
      </w:r>
      <w:r w:rsidR="00406341">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iekļaut atbildīgas spēles rīkus un nosacījumus, nodrošinot, ka </w:t>
      </w:r>
      <w:r w:rsidR="00C676FD">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dalībnieks nevar piedalīties spēlē vai turpināt spēli, ja nav tos izmantojis</w:t>
      </w:r>
      <w:r w:rsidR="002054A6">
        <w:rPr>
          <w:rFonts w:eastAsia="Franklin Gothic Book" w:cs="Times New Roman"/>
          <w:sz w:val="28"/>
          <w:szCs w:val="28"/>
          <w:lang w:eastAsia="lv-LV"/>
        </w:rPr>
        <w:t>;</w:t>
      </w:r>
    </w:p>
    <w:p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t xml:space="preserve">3) </w:t>
      </w:r>
      <w:r w:rsidR="002054A6">
        <w:rPr>
          <w:rFonts w:eastAsia="Franklin Gothic Book" w:cs="Times New Roman"/>
          <w:sz w:val="28"/>
          <w:szCs w:val="28"/>
          <w:lang w:eastAsia="lv-LV"/>
        </w:rPr>
        <w:t>a</w:t>
      </w:r>
      <w:r w:rsidR="002054A6" w:rsidRPr="002A78EA">
        <w:rPr>
          <w:rFonts w:eastAsia="Franklin Gothic Book" w:cs="Times New Roman"/>
          <w:sz w:val="28"/>
          <w:szCs w:val="28"/>
          <w:lang w:eastAsia="lv-LV"/>
        </w:rPr>
        <w:t xml:space="preserve">zartspēļu </w:t>
      </w:r>
      <w:r w:rsidR="00DA09F0" w:rsidRPr="002A78EA">
        <w:rPr>
          <w:rFonts w:eastAsia="Franklin Gothic Book" w:cs="Times New Roman"/>
          <w:sz w:val="28"/>
          <w:szCs w:val="28"/>
          <w:lang w:eastAsia="lv-LV"/>
        </w:rPr>
        <w:t xml:space="preserve">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organizētājiem</w:t>
      </w:r>
      <w:r w:rsidR="00421D08">
        <w:rPr>
          <w:rFonts w:eastAsia="Franklin Gothic Book" w:cs="Times New Roman"/>
          <w:sz w:val="28"/>
          <w:szCs w:val="28"/>
          <w:lang w:eastAsia="lv-LV"/>
        </w:rPr>
        <w:t xml:space="preserve">, kas piedāvā </w:t>
      </w:r>
      <w:r w:rsidR="00C676FD">
        <w:rPr>
          <w:rFonts w:eastAsia="Franklin Gothic Book" w:cs="Times New Roman"/>
          <w:sz w:val="28"/>
          <w:szCs w:val="28"/>
          <w:lang w:eastAsia="lv-LV"/>
        </w:rPr>
        <w:t>SP</w:t>
      </w:r>
      <w:r w:rsidR="00421D08">
        <w:rPr>
          <w:rFonts w:eastAsia="Franklin Gothic Book" w:cs="Times New Roman"/>
          <w:sz w:val="28"/>
          <w:szCs w:val="28"/>
          <w:lang w:eastAsia="lv-LV"/>
        </w:rPr>
        <w:t>,</w:t>
      </w:r>
      <w:r w:rsidR="00DA09F0" w:rsidRPr="002A78EA">
        <w:rPr>
          <w:rFonts w:eastAsia="Franklin Gothic Book" w:cs="Times New Roman"/>
          <w:sz w:val="28"/>
          <w:szCs w:val="28"/>
          <w:lang w:eastAsia="lv-LV"/>
        </w:rPr>
        <w:t xml:space="preserve"> noteikt pienākumu novērtēt spēlētāja uzvedību un ierobežot azartspēļu vai interaktīvo izložu spēlētāja spēlēšanu, ja ir identificētas problēmspēlētāja pazīmes</w:t>
      </w:r>
      <w:r w:rsidR="002054A6">
        <w:rPr>
          <w:rFonts w:eastAsia="Franklin Gothic Book" w:cs="Times New Roman"/>
          <w:sz w:val="28"/>
          <w:szCs w:val="28"/>
          <w:lang w:eastAsia="lv-LV"/>
        </w:rPr>
        <w:t>;</w:t>
      </w:r>
    </w:p>
    <w:p w:rsidR="005B264D" w:rsidRPr="00396566" w:rsidRDefault="006B036D" w:rsidP="008A2F5A">
      <w:pPr>
        <w:ind w:firstLine="709"/>
        <w:jc w:val="both"/>
        <w:rPr>
          <w:rFonts w:cs="Times New Roman"/>
          <w:sz w:val="28"/>
          <w:szCs w:val="28"/>
        </w:rPr>
      </w:pPr>
      <w:r>
        <w:rPr>
          <w:rFonts w:eastAsia="Franklin Gothic Book" w:cs="Times New Roman"/>
          <w:sz w:val="28"/>
          <w:szCs w:val="28"/>
          <w:lang w:eastAsia="lv-LV"/>
        </w:rPr>
        <w:t xml:space="preserve">4) </w:t>
      </w:r>
      <w:r w:rsidR="002054A6">
        <w:rPr>
          <w:rFonts w:eastAsia="Franklin Gothic Book" w:cs="Times New Roman"/>
          <w:sz w:val="28"/>
          <w:szCs w:val="28"/>
          <w:lang w:eastAsia="lv-LV"/>
        </w:rPr>
        <w:t>a</w:t>
      </w:r>
      <w:r w:rsidR="002054A6" w:rsidRPr="00396566">
        <w:rPr>
          <w:rFonts w:eastAsia="Franklin Gothic Book" w:cs="Times New Roman"/>
          <w:sz w:val="28"/>
          <w:szCs w:val="28"/>
          <w:lang w:eastAsia="lv-LV"/>
        </w:rPr>
        <w:t xml:space="preserve">zartspēļu </w:t>
      </w:r>
      <w:r w:rsidR="00DA09F0" w:rsidRPr="00396566">
        <w:rPr>
          <w:rFonts w:eastAsia="Franklin Gothic Book" w:cs="Times New Roman"/>
          <w:sz w:val="28"/>
          <w:szCs w:val="28"/>
          <w:lang w:eastAsia="lv-LV"/>
        </w:rPr>
        <w:t xml:space="preserve">un izložu organizētājiem jāapkopo nepersonalizēta informācija par </w:t>
      </w:r>
      <w:r w:rsidR="00C676FD" w:rsidRPr="00396566">
        <w:rPr>
          <w:rFonts w:eastAsia="Franklin Gothic Book" w:cs="Times New Roman"/>
          <w:sz w:val="28"/>
          <w:szCs w:val="28"/>
          <w:lang w:eastAsia="lv-LV"/>
        </w:rPr>
        <w:t>SP</w:t>
      </w:r>
      <w:r w:rsidR="00DA09F0" w:rsidRPr="00396566">
        <w:rPr>
          <w:rFonts w:eastAsia="Franklin Gothic Book" w:cs="Times New Roman"/>
          <w:sz w:val="28"/>
          <w:szCs w:val="28"/>
          <w:lang w:eastAsia="lv-LV"/>
        </w:rPr>
        <w:t xml:space="preserve"> dalībniekiem par pārskata gadu un minētā informācija reizi gadā līdz nākamā </w:t>
      </w:r>
      <w:r w:rsidR="00DA09F0" w:rsidRPr="00396566">
        <w:rPr>
          <w:rFonts w:eastAsia="Franklin Gothic Book" w:cs="Times New Roman"/>
          <w:sz w:val="28"/>
          <w:szCs w:val="28"/>
          <w:lang w:eastAsia="lv-LV"/>
        </w:rPr>
        <w:lastRenderedPageBreak/>
        <w:t>gada 1.martam jānodod IAUI azartspēļu un interaktīvo izložu nozares monitoringam.</w:t>
      </w:r>
    </w:p>
    <w:p w:rsidR="005B264D" w:rsidRDefault="005B264D" w:rsidP="008A2F5A">
      <w:pPr>
        <w:pStyle w:val="ListParagraph"/>
        <w:ind w:left="0" w:firstLine="709"/>
        <w:jc w:val="both"/>
        <w:rPr>
          <w:rFonts w:eastAsia="Franklin Gothic Book" w:cs="Times New Roman"/>
          <w:sz w:val="28"/>
          <w:szCs w:val="28"/>
          <w:lang w:eastAsia="lv-LV"/>
        </w:rPr>
      </w:pPr>
    </w:p>
    <w:p w:rsidR="005B264D" w:rsidRPr="00F8172A" w:rsidRDefault="005B264D" w:rsidP="008A2F5A">
      <w:pPr>
        <w:pStyle w:val="Heading1"/>
        <w:numPr>
          <w:ilvl w:val="1"/>
          <w:numId w:val="36"/>
        </w:numPr>
        <w:spacing w:before="0"/>
        <w:ind w:left="0" w:firstLine="0"/>
        <w:jc w:val="center"/>
        <w:rPr>
          <w:rFonts w:ascii="Times New Roman" w:hAnsi="Times New Roman" w:cs="Times New Roman"/>
          <w:b/>
          <w:color w:val="auto"/>
          <w:sz w:val="28"/>
          <w:szCs w:val="28"/>
        </w:rPr>
      </w:pPr>
      <w:bookmarkStart w:id="74" w:name="_Toc56087186"/>
      <w:r w:rsidRPr="00F8172A">
        <w:rPr>
          <w:rFonts w:ascii="Times New Roman" w:hAnsi="Times New Roman" w:cs="Times New Roman"/>
          <w:b/>
          <w:color w:val="auto"/>
          <w:sz w:val="28"/>
          <w:szCs w:val="28"/>
        </w:rPr>
        <w:t>Indicētās profilakses nepieciešamība azartspēļu atkarības mazināšanai</w:t>
      </w:r>
      <w:bookmarkEnd w:id="74"/>
    </w:p>
    <w:p w:rsidR="00742E1B" w:rsidRDefault="00742E1B" w:rsidP="008A2F5A">
      <w:pPr>
        <w:jc w:val="both"/>
        <w:rPr>
          <w:rFonts w:cs="Times New Roman"/>
          <w:i/>
          <w:sz w:val="28"/>
          <w:szCs w:val="28"/>
          <w14:textOutline w14:w="9525" w14:cap="rnd" w14:cmpd="sng" w14:algn="ctr">
            <w14:noFill/>
            <w14:prstDash w14:val="solid"/>
            <w14:bevel/>
          </w14:textOutline>
        </w:rPr>
      </w:pPr>
    </w:p>
    <w:p w:rsidR="005B264D" w:rsidRPr="00CE4A59" w:rsidRDefault="005B264D" w:rsidP="008A2F5A">
      <w:pPr>
        <w:ind w:firstLine="720"/>
        <w:jc w:val="both"/>
        <w:rPr>
          <w:rFonts w:cs="Times New Roman"/>
          <w:sz w:val="28"/>
          <w:szCs w:val="28"/>
        </w:rPr>
      </w:pPr>
      <w:r w:rsidRPr="00CE4A59">
        <w:rPr>
          <w:rFonts w:cs="Times New Roman"/>
          <w:sz w:val="28"/>
          <w:szCs w:val="28"/>
        </w:rPr>
        <w:t xml:space="preserve">Indicētā </w:t>
      </w:r>
      <w:r w:rsidR="0041022E" w:rsidRPr="00CE4A59">
        <w:rPr>
          <w:rFonts w:cs="Times New Roman"/>
          <w:sz w:val="28"/>
          <w:szCs w:val="28"/>
        </w:rPr>
        <w:t>atkarīb</w:t>
      </w:r>
      <w:r w:rsidR="0041022E">
        <w:rPr>
          <w:rFonts w:cs="Times New Roman"/>
          <w:sz w:val="28"/>
          <w:szCs w:val="28"/>
        </w:rPr>
        <w:t>as profilakse</w:t>
      </w:r>
      <w:r w:rsidR="0041022E" w:rsidRPr="00CE4A59">
        <w:rPr>
          <w:rFonts w:cs="Times New Roman"/>
          <w:sz w:val="28"/>
          <w:szCs w:val="28"/>
        </w:rPr>
        <w:t xml:space="preserve"> </w:t>
      </w:r>
      <w:r w:rsidRPr="00CE4A59">
        <w:rPr>
          <w:rFonts w:cs="Times New Roman"/>
          <w:sz w:val="28"/>
          <w:szCs w:val="28"/>
        </w:rPr>
        <w:t>ir v</w:t>
      </w:r>
      <w:r>
        <w:rPr>
          <w:rFonts w:cs="Times New Roman"/>
          <w:sz w:val="28"/>
          <w:szCs w:val="28"/>
        </w:rPr>
        <w:t>ē</w:t>
      </w:r>
      <w:r w:rsidRPr="00CE4A59">
        <w:rPr>
          <w:rFonts w:cs="Times New Roman"/>
          <w:sz w:val="28"/>
          <w:szCs w:val="28"/>
        </w:rPr>
        <w:t xml:space="preserve">rsta uz konkrētiem indivīdiem, kuriem ir augsts vielu vai procesu atkarības risks vai </w:t>
      </w:r>
      <w:r>
        <w:rPr>
          <w:rFonts w:cs="Times New Roman"/>
          <w:sz w:val="28"/>
          <w:szCs w:val="28"/>
        </w:rPr>
        <w:t>pastāv</w:t>
      </w:r>
      <w:r w:rsidRPr="00CE4A59">
        <w:rPr>
          <w:rFonts w:cs="Times New Roman"/>
          <w:sz w:val="28"/>
          <w:szCs w:val="28"/>
        </w:rPr>
        <w:t xml:space="preserve"> agrīn</w:t>
      </w:r>
      <w:r>
        <w:rPr>
          <w:rFonts w:cs="Times New Roman"/>
          <w:sz w:val="28"/>
          <w:szCs w:val="28"/>
        </w:rPr>
        <w:t>as</w:t>
      </w:r>
      <w:r w:rsidRPr="00CE4A59">
        <w:rPr>
          <w:rFonts w:cs="Times New Roman"/>
          <w:sz w:val="28"/>
          <w:szCs w:val="28"/>
        </w:rPr>
        <w:t xml:space="preserve"> problēm</w:t>
      </w:r>
      <w:r>
        <w:rPr>
          <w:rFonts w:cs="Times New Roman"/>
          <w:sz w:val="28"/>
          <w:szCs w:val="28"/>
        </w:rPr>
        <w:t>u</w:t>
      </w:r>
      <w:r w:rsidRPr="00CE4A59">
        <w:rPr>
          <w:rFonts w:cs="Times New Roman"/>
          <w:sz w:val="28"/>
          <w:szCs w:val="28"/>
        </w:rPr>
        <w:t>, slimīb</w:t>
      </w:r>
      <w:r>
        <w:rPr>
          <w:rFonts w:cs="Times New Roman"/>
          <w:sz w:val="28"/>
          <w:szCs w:val="28"/>
        </w:rPr>
        <w:t>u</w:t>
      </w:r>
      <w:r w:rsidRPr="00CE4A59">
        <w:rPr>
          <w:rFonts w:cs="Times New Roman"/>
          <w:sz w:val="28"/>
          <w:szCs w:val="28"/>
        </w:rPr>
        <w:t xml:space="preserve"> vai stāvokļa pazīm</w:t>
      </w:r>
      <w:r>
        <w:rPr>
          <w:rFonts w:cs="Times New Roman"/>
          <w:sz w:val="28"/>
          <w:szCs w:val="28"/>
        </w:rPr>
        <w:t>es</w:t>
      </w:r>
      <w:r w:rsidRPr="00CE4A59">
        <w:rPr>
          <w:rStyle w:val="FootnoteReference"/>
          <w:sz w:val="28"/>
          <w:szCs w:val="28"/>
        </w:rPr>
        <w:footnoteReference w:id="74"/>
      </w:r>
      <w:r>
        <w:rPr>
          <w:rFonts w:cs="Times New Roman"/>
          <w:sz w:val="28"/>
          <w:szCs w:val="28"/>
        </w:rPr>
        <w:t>, bet ārsta diagnoze par atkarības esamību vēl nav uzstādīta</w:t>
      </w:r>
      <w:r w:rsidRPr="00CE4A59">
        <w:rPr>
          <w:rStyle w:val="FootnoteReference"/>
          <w:sz w:val="28"/>
          <w:szCs w:val="28"/>
        </w:rPr>
        <w:footnoteReference w:id="75"/>
      </w:r>
      <w:r w:rsidRPr="00CE4A59">
        <w:rPr>
          <w:rFonts w:cs="Times New Roman"/>
          <w:sz w:val="28"/>
          <w:szCs w:val="28"/>
        </w:rPr>
        <w:t>.</w:t>
      </w:r>
    </w:p>
    <w:p w:rsidR="005B264D" w:rsidRPr="00CE4A59" w:rsidRDefault="005B264D" w:rsidP="005B264D">
      <w:pPr>
        <w:ind w:firstLine="720"/>
        <w:jc w:val="both"/>
        <w:rPr>
          <w:rFonts w:cs="Times New Roman"/>
          <w:sz w:val="28"/>
          <w:szCs w:val="28"/>
        </w:rPr>
      </w:pPr>
      <w:r w:rsidRPr="00CE4A59">
        <w:rPr>
          <w:rFonts w:cs="Times New Roman"/>
          <w:bCs/>
          <w:sz w:val="28"/>
          <w:szCs w:val="28"/>
        </w:rPr>
        <w:t xml:space="preserve">SPKC 2017.gadā veiktajā pētījumā “Atkarību izraisošo vielu profilakse </w:t>
      </w:r>
      <w:r w:rsidR="00941314">
        <w:rPr>
          <w:rFonts w:cs="Times New Roman"/>
          <w:sz w:val="28"/>
          <w:szCs w:val="28"/>
        </w:rPr>
        <w:t>Latvijā”</w:t>
      </w:r>
      <w:r w:rsidRPr="00CE4A59">
        <w:rPr>
          <w:rFonts w:cs="Times New Roman"/>
          <w:sz w:val="28"/>
          <w:szCs w:val="28"/>
        </w:rPr>
        <w:t xml:space="preserve"> ir </w:t>
      </w:r>
      <w:r>
        <w:rPr>
          <w:rFonts w:cs="Times New Roman"/>
          <w:sz w:val="28"/>
          <w:szCs w:val="28"/>
        </w:rPr>
        <w:t>apk</w:t>
      </w:r>
      <w:r w:rsidRPr="00CE4A59">
        <w:rPr>
          <w:rFonts w:cs="Times New Roman"/>
          <w:sz w:val="28"/>
          <w:szCs w:val="28"/>
        </w:rPr>
        <w:t>opo</w:t>
      </w:r>
      <w:r>
        <w:rPr>
          <w:rFonts w:cs="Times New Roman"/>
          <w:sz w:val="28"/>
          <w:szCs w:val="28"/>
        </w:rPr>
        <w:t>tas</w:t>
      </w:r>
      <w:r w:rsidRPr="00CE4A59">
        <w:rPr>
          <w:rFonts w:cs="Times New Roman"/>
          <w:sz w:val="28"/>
          <w:szCs w:val="28"/>
        </w:rPr>
        <w:t xml:space="preserve"> vērtīgas atziņas, kas var tikt izmantotas turpmākajā darbā ar procesu atkarībām. Lai gan SPKC pētījumā eksperti </w:t>
      </w:r>
      <w:r>
        <w:rPr>
          <w:rFonts w:cs="Times New Roman"/>
          <w:sz w:val="28"/>
          <w:szCs w:val="28"/>
        </w:rPr>
        <w:t xml:space="preserve">ir </w:t>
      </w:r>
      <w:r w:rsidRPr="00CE4A59">
        <w:rPr>
          <w:rFonts w:cs="Times New Roman"/>
          <w:sz w:val="28"/>
          <w:szCs w:val="28"/>
        </w:rPr>
        <w:t>atzin</w:t>
      </w:r>
      <w:r>
        <w:rPr>
          <w:rFonts w:cs="Times New Roman"/>
          <w:sz w:val="28"/>
          <w:szCs w:val="28"/>
        </w:rPr>
        <w:t>uši</w:t>
      </w:r>
      <w:r w:rsidRPr="00CE4A59">
        <w:rPr>
          <w:rFonts w:cs="Times New Roman"/>
          <w:sz w:val="28"/>
          <w:szCs w:val="28"/>
        </w:rPr>
        <w:t>, ka profilakses darbs, kas vērsts uz plašu mērķauditoriju (universālā profilakse) ir jāturpina un jāattīsta</w:t>
      </w:r>
      <w:r>
        <w:rPr>
          <w:rFonts w:cs="Times New Roman"/>
          <w:sz w:val="28"/>
          <w:szCs w:val="28"/>
        </w:rPr>
        <w:t xml:space="preserve"> ilglaicīgi,</w:t>
      </w:r>
      <w:r w:rsidRPr="00CE4A59">
        <w:rPr>
          <w:rFonts w:cs="Times New Roman"/>
          <w:sz w:val="28"/>
          <w:szCs w:val="28"/>
        </w:rPr>
        <w:t xml:space="preserve"> </w:t>
      </w:r>
      <w:r>
        <w:rPr>
          <w:rFonts w:cs="Times New Roman"/>
          <w:sz w:val="28"/>
          <w:szCs w:val="28"/>
        </w:rPr>
        <w:t xml:space="preserve">SPKC pētījumā tika ietvertas </w:t>
      </w:r>
      <w:r w:rsidRPr="00CE4A59">
        <w:rPr>
          <w:rFonts w:cs="Times New Roman"/>
          <w:sz w:val="28"/>
          <w:szCs w:val="28"/>
        </w:rPr>
        <w:t>vairāk</w:t>
      </w:r>
      <w:r>
        <w:rPr>
          <w:rFonts w:cs="Times New Roman"/>
          <w:sz w:val="28"/>
          <w:szCs w:val="28"/>
        </w:rPr>
        <w:t>a</w:t>
      </w:r>
      <w:r w:rsidRPr="00CE4A59">
        <w:rPr>
          <w:rFonts w:cs="Times New Roman"/>
          <w:sz w:val="28"/>
          <w:szCs w:val="28"/>
        </w:rPr>
        <w:t>s intervij</w:t>
      </w:r>
      <w:r>
        <w:rPr>
          <w:rFonts w:cs="Times New Roman"/>
          <w:sz w:val="28"/>
          <w:szCs w:val="28"/>
        </w:rPr>
        <w:t>a</w:t>
      </w:r>
      <w:r w:rsidRPr="00CE4A59">
        <w:rPr>
          <w:rFonts w:cs="Times New Roman"/>
          <w:sz w:val="28"/>
          <w:szCs w:val="28"/>
        </w:rPr>
        <w:t>s</w:t>
      </w:r>
      <w:r>
        <w:rPr>
          <w:rFonts w:cs="Times New Roman"/>
          <w:sz w:val="28"/>
          <w:szCs w:val="28"/>
        </w:rPr>
        <w:t>, kurās</w:t>
      </w:r>
      <w:r w:rsidRPr="00CE4A59">
        <w:rPr>
          <w:rFonts w:cs="Times New Roman"/>
          <w:sz w:val="28"/>
          <w:szCs w:val="28"/>
        </w:rPr>
        <w:t xml:space="preserve"> tika izteikts viedoklis, ka selektīvai un indikatīvai profilaksei ir jāpievērš lielāka uzmanība, proti tai ir nepieciešams lielāks atbalsts gan nacionālajā, gan pašvaldību līmenī. </w:t>
      </w:r>
    </w:p>
    <w:p w:rsidR="005B264D" w:rsidRPr="00CE4A59" w:rsidRDefault="005B264D" w:rsidP="005B264D">
      <w:pPr>
        <w:ind w:firstLine="720"/>
        <w:jc w:val="both"/>
        <w:rPr>
          <w:rFonts w:cs="Times New Roman"/>
          <w:sz w:val="28"/>
          <w:szCs w:val="28"/>
        </w:rPr>
      </w:pPr>
      <w:r w:rsidRPr="00CE4A59">
        <w:rPr>
          <w:rFonts w:cs="Times New Roman"/>
          <w:sz w:val="28"/>
          <w:szCs w:val="28"/>
        </w:rPr>
        <w:t>Secin</w:t>
      </w:r>
      <w:r>
        <w:rPr>
          <w:rFonts w:cs="Times New Roman"/>
          <w:sz w:val="28"/>
          <w:szCs w:val="28"/>
        </w:rPr>
        <w:t>ā</w:t>
      </w:r>
      <w:r w:rsidRPr="00CE4A59">
        <w:rPr>
          <w:rFonts w:cs="Times New Roman"/>
          <w:sz w:val="28"/>
          <w:szCs w:val="28"/>
        </w:rPr>
        <w:t>ms, ka Latvijā faktiski nepastāv piemēri procesu atkarības (tajā skaitā interaktīvajā vidē) indicētajai profilaksei, kā arī</w:t>
      </w:r>
      <w:r>
        <w:rPr>
          <w:rFonts w:cs="Times New Roman"/>
          <w:sz w:val="28"/>
          <w:szCs w:val="28"/>
        </w:rPr>
        <w:t xml:space="preserve"> nepastāv</w:t>
      </w:r>
      <w:r w:rsidRPr="00CE4A59">
        <w:rPr>
          <w:rFonts w:cs="Times New Roman"/>
          <w:sz w:val="28"/>
          <w:szCs w:val="28"/>
        </w:rPr>
        <w:t xml:space="preserve"> pētījumi, kas apkopotu labās prakses piemērus azartspē</w:t>
      </w:r>
      <w:r>
        <w:rPr>
          <w:rFonts w:cs="Times New Roman"/>
          <w:sz w:val="28"/>
          <w:szCs w:val="28"/>
        </w:rPr>
        <w:t>ļ</w:t>
      </w:r>
      <w:r w:rsidRPr="00CE4A59">
        <w:rPr>
          <w:rFonts w:cs="Times New Roman"/>
          <w:sz w:val="28"/>
          <w:szCs w:val="28"/>
        </w:rPr>
        <w:t>u probl</w:t>
      </w:r>
      <w:r>
        <w:rPr>
          <w:rFonts w:cs="Times New Roman"/>
          <w:sz w:val="28"/>
          <w:szCs w:val="28"/>
        </w:rPr>
        <w:t>e</w:t>
      </w:r>
      <w:r w:rsidRPr="00CE4A59">
        <w:rPr>
          <w:rFonts w:cs="Times New Roman"/>
          <w:sz w:val="28"/>
          <w:szCs w:val="28"/>
        </w:rPr>
        <w:t>mātisku</w:t>
      </w:r>
      <w:r>
        <w:rPr>
          <w:rFonts w:cs="Times New Roman"/>
          <w:sz w:val="28"/>
          <w:szCs w:val="28"/>
        </w:rPr>
        <w:t xml:space="preserve"> spēlēšanas paradumu indicētajai</w:t>
      </w:r>
      <w:r w:rsidRPr="00CE4A59">
        <w:rPr>
          <w:rFonts w:cs="Times New Roman"/>
          <w:sz w:val="28"/>
          <w:szCs w:val="28"/>
        </w:rPr>
        <w:t xml:space="preserve"> profilaksei. </w:t>
      </w:r>
    </w:p>
    <w:p w:rsidR="005B264D" w:rsidRPr="00CE4A59" w:rsidRDefault="005B264D" w:rsidP="005B264D">
      <w:pPr>
        <w:ind w:firstLine="720"/>
        <w:jc w:val="both"/>
        <w:rPr>
          <w:rFonts w:cs="Times New Roman"/>
          <w:sz w:val="28"/>
          <w:szCs w:val="28"/>
        </w:rPr>
      </w:pPr>
      <w:r w:rsidRPr="00CE4A59">
        <w:rPr>
          <w:rFonts w:cs="Times New Roman"/>
          <w:sz w:val="28"/>
          <w:szCs w:val="28"/>
        </w:rPr>
        <w:t xml:space="preserve">Turklāt ir </w:t>
      </w:r>
      <w:r>
        <w:rPr>
          <w:rFonts w:cs="Times New Roman"/>
          <w:sz w:val="28"/>
          <w:szCs w:val="28"/>
        </w:rPr>
        <w:t>secināms</w:t>
      </w:r>
      <w:r w:rsidRPr="00CE4A59">
        <w:rPr>
          <w:rFonts w:cs="Times New Roman"/>
          <w:sz w:val="28"/>
          <w:szCs w:val="28"/>
        </w:rPr>
        <w:t>, ka metožu apkopojums vielu atkarību mazināšan</w:t>
      </w:r>
      <w:r>
        <w:rPr>
          <w:rFonts w:cs="Times New Roman"/>
          <w:sz w:val="28"/>
          <w:szCs w:val="28"/>
        </w:rPr>
        <w:t>a</w:t>
      </w:r>
      <w:r w:rsidRPr="00CE4A59">
        <w:rPr>
          <w:rFonts w:cs="Times New Roman"/>
          <w:sz w:val="28"/>
          <w:szCs w:val="28"/>
        </w:rPr>
        <w:t>i pārsvarā koncentrējas uz klātienes kontaktu, mazāk akcentējot nepieciešamību komunicēt virtuālajā vidē un izmantot uzrunāšanas formas, kas ir aktu</w:t>
      </w:r>
      <w:r>
        <w:rPr>
          <w:rFonts w:cs="Times New Roman"/>
          <w:sz w:val="28"/>
          <w:szCs w:val="28"/>
        </w:rPr>
        <w:t>ā</w:t>
      </w:r>
      <w:r w:rsidRPr="00CE4A59">
        <w:rPr>
          <w:rFonts w:cs="Times New Roman"/>
          <w:sz w:val="28"/>
          <w:szCs w:val="28"/>
        </w:rPr>
        <w:t xml:space="preserve">lākas tieši interaktīvās vides dalībniekiem. </w:t>
      </w:r>
      <w:r>
        <w:rPr>
          <w:rFonts w:cs="Times New Roman"/>
          <w:sz w:val="28"/>
          <w:szCs w:val="28"/>
        </w:rPr>
        <w:t>V</w:t>
      </w:r>
      <w:r w:rsidRPr="00CE4A59">
        <w:rPr>
          <w:rFonts w:cs="Times New Roman"/>
          <w:sz w:val="28"/>
          <w:szCs w:val="28"/>
        </w:rPr>
        <w:t xml:space="preserve">airāki eksperti SPKC pētījumā par vielu atkarību profilaksi ir atzinuši nepieciešamību komunicēt </w:t>
      </w:r>
      <w:r>
        <w:rPr>
          <w:rFonts w:cs="Times New Roman"/>
          <w:sz w:val="28"/>
          <w:szCs w:val="28"/>
        </w:rPr>
        <w:t>tiešsaistes</w:t>
      </w:r>
      <w:r w:rsidRPr="003A5FCF">
        <w:rPr>
          <w:rFonts w:cs="Times New Roman"/>
          <w:sz w:val="28"/>
          <w:szCs w:val="28"/>
        </w:rPr>
        <w:t xml:space="preserve"> režīmā, izmantojot datoriz</w:t>
      </w:r>
      <w:r>
        <w:rPr>
          <w:rFonts w:cs="Times New Roman"/>
          <w:sz w:val="28"/>
          <w:szCs w:val="28"/>
        </w:rPr>
        <w:t>ē</w:t>
      </w:r>
      <w:r w:rsidRPr="003A5FCF">
        <w:rPr>
          <w:rFonts w:cs="Times New Roman"/>
          <w:sz w:val="28"/>
          <w:szCs w:val="28"/>
        </w:rPr>
        <w:t xml:space="preserve">tas web programmas, </w:t>
      </w:r>
      <w:r w:rsidR="0041022E" w:rsidRPr="003A5FCF">
        <w:rPr>
          <w:rFonts w:cs="Times New Roman"/>
          <w:sz w:val="28"/>
          <w:szCs w:val="28"/>
        </w:rPr>
        <w:t>multikompone</w:t>
      </w:r>
      <w:r w:rsidR="0041022E">
        <w:rPr>
          <w:rFonts w:cs="Times New Roman"/>
          <w:sz w:val="28"/>
          <w:szCs w:val="28"/>
        </w:rPr>
        <w:t>nšu</w:t>
      </w:r>
      <w:r w:rsidR="0041022E" w:rsidRPr="003A5FCF">
        <w:rPr>
          <w:rFonts w:cs="Times New Roman"/>
          <w:sz w:val="28"/>
          <w:szCs w:val="28"/>
        </w:rPr>
        <w:t xml:space="preserve"> </w:t>
      </w:r>
      <w:r w:rsidRPr="003A5FCF">
        <w:rPr>
          <w:rFonts w:cs="Times New Roman"/>
          <w:sz w:val="28"/>
          <w:szCs w:val="28"/>
        </w:rPr>
        <w:t>pieejas izmantošanu</w:t>
      </w:r>
      <w:r>
        <w:rPr>
          <w:rFonts w:cs="Times New Roman"/>
          <w:sz w:val="28"/>
          <w:szCs w:val="28"/>
        </w:rPr>
        <w:t>.</w:t>
      </w:r>
      <w:r w:rsidRPr="00CE4A59">
        <w:rPr>
          <w:rFonts w:cs="Times New Roman"/>
          <w:sz w:val="28"/>
          <w:szCs w:val="28"/>
        </w:rPr>
        <w:t xml:space="preserve"> </w:t>
      </w:r>
      <w:r>
        <w:rPr>
          <w:rFonts w:cs="Times New Roman"/>
          <w:sz w:val="28"/>
          <w:szCs w:val="28"/>
        </w:rPr>
        <w:t xml:space="preserve">Komunicējot on-line režīmā, tiek </w:t>
      </w:r>
      <w:r w:rsidRPr="00CE4A59">
        <w:rPr>
          <w:rFonts w:cs="Times New Roman"/>
          <w:sz w:val="28"/>
          <w:szCs w:val="28"/>
        </w:rPr>
        <w:t>snie</w:t>
      </w:r>
      <w:r>
        <w:rPr>
          <w:rFonts w:cs="Times New Roman"/>
          <w:sz w:val="28"/>
          <w:szCs w:val="28"/>
        </w:rPr>
        <w:t>gta</w:t>
      </w:r>
      <w:r w:rsidRPr="00CE4A59">
        <w:rPr>
          <w:rFonts w:cs="Times New Roman"/>
          <w:sz w:val="28"/>
          <w:szCs w:val="28"/>
        </w:rPr>
        <w:t xml:space="preserve"> informācij</w:t>
      </w:r>
      <w:r>
        <w:rPr>
          <w:rFonts w:cs="Times New Roman"/>
          <w:sz w:val="28"/>
          <w:szCs w:val="28"/>
        </w:rPr>
        <w:t>a</w:t>
      </w:r>
      <w:r w:rsidRPr="00CE4A59">
        <w:rPr>
          <w:rFonts w:cs="Times New Roman"/>
          <w:sz w:val="28"/>
          <w:szCs w:val="28"/>
        </w:rPr>
        <w:t>, piedāvājot motivācijas intervenci un nodrošinot uzturošo at</w:t>
      </w:r>
      <w:r>
        <w:rPr>
          <w:rFonts w:cs="Times New Roman"/>
          <w:sz w:val="28"/>
          <w:szCs w:val="28"/>
        </w:rPr>
        <w:t>g</w:t>
      </w:r>
      <w:r w:rsidRPr="00CE4A59">
        <w:rPr>
          <w:rFonts w:cs="Times New Roman"/>
          <w:sz w:val="28"/>
          <w:szCs w:val="28"/>
        </w:rPr>
        <w:t>riez</w:t>
      </w:r>
      <w:r>
        <w:rPr>
          <w:rFonts w:cs="Times New Roman"/>
          <w:sz w:val="28"/>
          <w:szCs w:val="28"/>
        </w:rPr>
        <w:t>e</w:t>
      </w:r>
      <w:r w:rsidRPr="00CE4A59">
        <w:rPr>
          <w:rFonts w:cs="Times New Roman"/>
          <w:sz w:val="28"/>
          <w:szCs w:val="28"/>
        </w:rPr>
        <w:t>nisko saikni</w:t>
      </w:r>
      <w:r w:rsidR="00D31EB4">
        <w:rPr>
          <w:rFonts w:cs="Times New Roman"/>
          <w:sz w:val="28"/>
          <w:szCs w:val="28"/>
        </w:rPr>
        <w:t>, kā arī</w:t>
      </w:r>
      <w:r w:rsidRPr="00CE4A59">
        <w:rPr>
          <w:rFonts w:cs="Times New Roman"/>
          <w:sz w:val="28"/>
          <w:szCs w:val="28"/>
        </w:rPr>
        <w:t xml:space="preserve"> tīmekļa intervence</w:t>
      </w:r>
      <w:r>
        <w:rPr>
          <w:rFonts w:cs="Times New Roman"/>
          <w:sz w:val="28"/>
          <w:szCs w:val="28"/>
        </w:rPr>
        <w:t>s izmantošanu</w:t>
      </w:r>
      <w:r w:rsidRPr="00CE4A59">
        <w:rPr>
          <w:rFonts w:cs="Times New Roman"/>
          <w:sz w:val="28"/>
          <w:szCs w:val="28"/>
        </w:rPr>
        <w:t>, kas palīdz novērtēt un mainīt uzvedību</w:t>
      </w:r>
      <w:r>
        <w:rPr>
          <w:rFonts w:cs="Times New Roman"/>
          <w:sz w:val="28"/>
          <w:szCs w:val="28"/>
        </w:rPr>
        <w:t>.</w:t>
      </w:r>
      <w:r w:rsidRPr="00CE4A59">
        <w:rPr>
          <w:rFonts w:cs="Times New Roman"/>
          <w:sz w:val="28"/>
          <w:szCs w:val="28"/>
        </w:rPr>
        <w:t xml:space="preserve"> </w:t>
      </w:r>
      <w:r>
        <w:rPr>
          <w:rFonts w:cs="Times New Roman"/>
          <w:sz w:val="28"/>
          <w:szCs w:val="28"/>
        </w:rPr>
        <w:t>SPKC</w:t>
      </w:r>
      <w:r w:rsidRPr="00CE4A59">
        <w:rPr>
          <w:rFonts w:cs="Times New Roman"/>
          <w:sz w:val="28"/>
          <w:szCs w:val="28"/>
        </w:rPr>
        <w:t xml:space="preserve"> pētījumā uzsvērts, ka “pirmo reizi ir gūts apliecinājums tam, ka ar interneta un IT nozares palīdzību īstenotā vispārējās profilakses intervence ir izrādījusies efektīva attiecībā uz patēriņa samazināšanu</w:t>
      </w:r>
      <w:r w:rsidRPr="00CE4A59">
        <w:rPr>
          <w:rStyle w:val="FootnoteReference"/>
          <w:sz w:val="28"/>
          <w:szCs w:val="28"/>
        </w:rPr>
        <w:footnoteReference w:id="76"/>
      </w:r>
      <w:r w:rsidRPr="00CE4A59">
        <w:rPr>
          <w:rFonts w:cs="Times New Roman"/>
          <w:sz w:val="28"/>
          <w:szCs w:val="28"/>
        </w:rPr>
        <w:t>”. Līdzīga pieeja būtu izvērtējama ieviešanai indicētās profilakses darbā ar procesu atkarībām (it īpaši interaktīvajā vidē).</w:t>
      </w:r>
    </w:p>
    <w:p w:rsidR="005B264D" w:rsidRPr="00CE4A59" w:rsidRDefault="005B264D" w:rsidP="005B264D">
      <w:pPr>
        <w:autoSpaceDE w:val="0"/>
        <w:autoSpaceDN w:val="0"/>
        <w:adjustRightInd w:val="0"/>
        <w:ind w:firstLine="720"/>
        <w:jc w:val="both"/>
        <w:rPr>
          <w:rFonts w:cs="Times New Roman"/>
          <w:color w:val="000000"/>
          <w:sz w:val="28"/>
          <w:szCs w:val="28"/>
        </w:rPr>
      </w:pPr>
      <w:r w:rsidRPr="00941314">
        <w:rPr>
          <w:rFonts w:cs="Times New Roman"/>
          <w:sz w:val="28"/>
          <w:szCs w:val="28"/>
        </w:rPr>
        <w:t>Pamatnostādņu projekta</w:t>
      </w:r>
      <w:r>
        <w:rPr>
          <w:rFonts w:cs="Times New Roman"/>
          <w:sz w:val="28"/>
          <w:szCs w:val="28"/>
        </w:rPr>
        <w:t xml:space="preserve"> 2.4. sadaļas </w:t>
      </w:r>
      <w:r w:rsidR="00DE3D5A">
        <w:rPr>
          <w:rFonts w:cs="Times New Roman"/>
          <w:sz w:val="28"/>
          <w:szCs w:val="28"/>
        </w:rPr>
        <w:t>9</w:t>
      </w:r>
      <w:r>
        <w:rPr>
          <w:rFonts w:cs="Times New Roman"/>
          <w:sz w:val="28"/>
          <w:szCs w:val="28"/>
        </w:rPr>
        <w:t>) punkt</w:t>
      </w:r>
      <w:r w:rsidR="00941314">
        <w:rPr>
          <w:rFonts w:cs="Times New Roman"/>
          <w:sz w:val="28"/>
          <w:szCs w:val="28"/>
        </w:rPr>
        <w:t>ā</w:t>
      </w:r>
      <w:r>
        <w:rPr>
          <w:rFonts w:cs="Times New Roman"/>
          <w:sz w:val="28"/>
          <w:szCs w:val="28"/>
        </w:rPr>
        <w:t xml:space="preserve"> ir iezīmēta</w:t>
      </w:r>
      <w:r w:rsidRPr="00CE4A59">
        <w:rPr>
          <w:rFonts w:cs="Times New Roman"/>
          <w:sz w:val="28"/>
          <w:szCs w:val="28"/>
        </w:rPr>
        <w:t xml:space="preserve"> </w:t>
      </w:r>
      <w:r>
        <w:rPr>
          <w:rFonts w:cs="Times New Roman"/>
          <w:sz w:val="28"/>
          <w:szCs w:val="28"/>
        </w:rPr>
        <w:t>nepieciešamība</w:t>
      </w:r>
      <w:r w:rsidRPr="00CE4A59">
        <w:rPr>
          <w:rFonts w:cs="Times New Roman"/>
          <w:sz w:val="28"/>
          <w:szCs w:val="28"/>
        </w:rPr>
        <w:t xml:space="preserve"> uzsā</w:t>
      </w:r>
      <w:r>
        <w:rPr>
          <w:rFonts w:cs="Times New Roman"/>
          <w:sz w:val="28"/>
          <w:szCs w:val="28"/>
        </w:rPr>
        <w:t xml:space="preserve">kt dialogu par </w:t>
      </w:r>
      <w:r w:rsidRPr="00CE4A59">
        <w:rPr>
          <w:rFonts w:cs="Times New Roman"/>
          <w:sz w:val="28"/>
          <w:szCs w:val="28"/>
        </w:rPr>
        <w:t>azartspēlēm</w:t>
      </w:r>
      <w:r>
        <w:rPr>
          <w:rFonts w:cs="Times New Roman"/>
          <w:sz w:val="28"/>
          <w:szCs w:val="28"/>
        </w:rPr>
        <w:t xml:space="preserve"> alternatīvo sociālo aktivitāšu</w:t>
      </w:r>
      <w:r w:rsidRPr="00CE4A59">
        <w:rPr>
          <w:rFonts w:cs="Times New Roman"/>
          <w:sz w:val="28"/>
          <w:szCs w:val="28"/>
        </w:rPr>
        <w:t xml:space="preserve"> pieejamības svarīgumu</w:t>
      </w:r>
      <w:r w:rsidR="001A2DA5">
        <w:rPr>
          <w:rStyle w:val="CommentReference"/>
        </w:rPr>
        <w:t xml:space="preserve">. </w:t>
      </w:r>
      <w:r w:rsidR="001A2DA5" w:rsidRPr="001A2DA5">
        <w:rPr>
          <w:rStyle w:val="CommentReference"/>
          <w:sz w:val="28"/>
          <w:szCs w:val="28"/>
        </w:rPr>
        <w:t>T</w:t>
      </w:r>
      <w:r w:rsidRPr="00CE4A59">
        <w:rPr>
          <w:rFonts w:cs="Times New Roman"/>
          <w:sz w:val="28"/>
          <w:szCs w:val="28"/>
        </w:rPr>
        <w:t>aču SPKC pētījumā par vielu atkarību profilaksi uzsvērts, ka viedok</w:t>
      </w:r>
      <w:r>
        <w:rPr>
          <w:rFonts w:cs="Times New Roman"/>
          <w:sz w:val="28"/>
          <w:szCs w:val="28"/>
        </w:rPr>
        <w:t>ļi</w:t>
      </w:r>
      <w:r w:rsidRPr="00CE4A59">
        <w:rPr>
          <w:rFonts w:cs="Times New Roman"/>
          <w:sz w:val="28"/>
          <w:szCs w:val="28"/>
        </w:rPr>
        <w:t xml:space="preserve"> ekspertu vidū par alternatīvu prevencijas līdzekli dalās, </w:t>
      </w:r>
      <w:r>
        <w:rPr>
          <w:rFonts w:cs="Times New Roman"/>
          <w:sz w:val="28"/>
          <w:szCs w:val="28"/>
        </w:rPr>
        <w:t>atzīmējot</w:t>
      </w:r>
      <w:r w:rsidRPr="00CE4A59">
        <w:rPr>
          <w:rFonts w:cs="Times New Roman"/>
          <w:sz w:val="28"/>
          <w:szCs w:val="28"/>
        </w:rPr>
        <w:t xml:space="preserve">, ka tā nav absolūta </w:t>
      </w:r>
      <w:r w:rsidRPr="007B146C">
        <w:rPr>
          <w:rFonts w:cs="Times New Roman"/>
          <w:sz w:val="28"/>
          <w:szCs w:val="28"/>
        </w:rPr>
        <w:t>panaceja</w:t>
      </w:r>
      <w:r w:rsidRPr="00CE4A59">
        <w:rPr>
          <w:rFonts w:cs="Times New Roman"/>
          <w:sz w:val="28"/>
          <w:szCs w:val="28"/>
        </w:rPr>
        <w:t xml:space="preserve">. Piemēram, atkarību profilakses un ārstniecības eksperti izsaka viedokli, ka </w:t>
      </w:r>
      <w:r w:rsidRPr="00CE4A59">
        <w:rPr>
          <w:rFonts w:cs="Times New Roman"/>
          <w:color w:val="000000"/>
          <w:sz w:val="28"/>
          <w:szCs w:val="28"/>
        </w:rPr>
        <w:lastRenderedPageBreak/>
        <w:t>fokusēšanās</w:t>
      </w:r>
      <w:r w:rsidR="002054A6">
        <w:rPr>
          <w:rFonts w:cs="Times New Roman"/>
          <w:color w:val="000000"/>
          <w:sz w:val="28"/>
          <w:szCs w:val="28"/>
        </w:rPr>
        <w:t xml:space="preserve"> tikai</w:t>
      </w:r>
      <w:r w:rsidRPr="00CE4A59">
        <w:rPr>
          <w:rFonts w:cs="Times New Roman"/>
          <w:color w:val="000000"/>
          <w:sz w:val="28"/>
          <w:szCs w:val="28"/>
        </w:rPr>
        <w:t xml:space="preserve"> uz brīvā laika pavadīšanas iespēju attīstīšanu, neizprotot to psihoaktīvo vielu lietošanas iemesl</w:t>
      </w:r>
      <w:r>
        <w:rPr>
          <w:rFonts w:cs="Times New Roman"/>
          <w:color w:val="000000"/>
          <w:sz w:val="28"/>
          <w:szCs w:val="28"/>
        </w:rPr>
        <w:t>us</w:t>
      </w:r>
      <w:r w:rsidR="002054A6">
        <w:rPr>
          <w:rFonts w:cs="Times New Roman"/>
          <w:color w:val="000000"/>
          <w:sz w:val="28"/>
          <w:szCs w:val="28"/>
        </w:rPr>
        <w:t>, kas var būt</w:t>
      </w:r>
      <w:r w:rsidRPr="00CE4A59">
        <w:rPr>
          <w:rFonts w:cs="Times New Roman"/>
          <w:color w:val="000000"/>
          <w:sz w:val="28"/>
          <w:szCs w:val="28"/>
        </w:rPr>
        <w:t xml:space="preserve"> dažādi un bieži ir nesaistīti ar brīvā laika pavadīšanas iespējām</w:t>
      </w:r>
      <w:r w:rsidR="002054A6">
        <w:rPr>
          <w:rFonts w:cs="Times New Roman"/>
          <w:color w:val="000000"/>
          <w:sz w:val="28"/>
          <w:szCs w:val="28"/>
        </w:rPr>
        <w:t>, nav pietiekama</w:t>
      </w:r>
      <w:r w:rsidRPr="00CE4A59">
        <w:rPr>
          <w:rFonts w:cs="Times New Roman"/>
          <w:color w:val="000000"/>
          <w:sz w:val="28"/>
          <w:szCs w:val="28"/>
        </w:rPr>
        <w:t xml:space="preserve">. </w:t>
      </w:r>
      <w:r w:rsidRPr="00CE4A59">
        <w:rPr>
          <w:rFonts w:cs="Times New Roman"/>
          <w:sz w:val="28"/>
          <w:szCs w:val="28"/>
        </w:rPr>
        <w:t xml:space="preserve">Ņemot vērā to, ka vielu atkarību un procesu atkarību veidošanas komponentes ir analogas, </w:t>
      </w:r>
      <w:r>
        <w:rPr>
          <w:rFonts w:cs="Times New Roman"/>
          <w:sz w:val="28"/>
          <w:szCs w:val="28"/>
        </w:rPr>
        <w:t>ir konstatēta nepieciešamība pēc</w:t>
      </w:r>
      <w:r w:rsidRPr="00CE4A59">
        <w:rPr>
          <w:rFonts w:cs="Times New Roman"/>
          <w:sz w:val="28"/>
          <w:szCs w:val="28"/>
        </w:rPr>
        <w:t xml:space="preserve"> indicētās profilakses interaktīvās </w:t>
      </w:r>
      <w:r w:rsidR="0041022E" w:rsidRPr="00CE4A59">
        <w:rPr>
          <w:rFonts w:cs="Times New Roman"/>
          <w:sz w:val="28"/>
          <w:szCs w:val="28"/>
        </w:rPr>
        <w:t>multikompone</w:t>
      </w:r>
      <w:r w:rsidR="0041022E">
        <w:rPr>
          <w:rFonts w:cs="Times New Roman"/>
          <w:sz w:val="28"/>
          <w:szCs w:val="28"/>
        </w:rPr>
        <w:t>nšu</w:t>
      </w:r>
      <w:r w:rsidR="0041022E" w:rsidRPr="00CE4A59">
        <w:rPr>
          <w:rFonts w:cs="Times New Roman"/>
          <w:sz w:val="28"/>
          <w:szCs w:val="28"/>
        </w:rPr>
        <w:t xml:space="preserve"> </w:t>
      </w:r>
      <w:r w:rsidRPr="00CE4A59">
        <w:rPr>
          <w:rFonts w:cs="Times New Roman"/>
          <w:sz w:val="28"/>
          <w:szCs w:val="28"/>
        </w:rPr>
        <w:t>programmas</w:t>
      </w:r>
      <w:r>
        <w:rPr>
          <w:rFonts w:cs="Times New Roman"/>
          <w:sz w:val="28"/>
          <w:szCs w:val="28"/>
        </w:rPr>
        <w:t>.</w:t>
      </w:r>
      <w:r w:rsidRPr="00CE4A59">
        <w:rPr>
          <w:rFonts w:cs="Times New Roman"/>
          <w:sz w:val="28"/>
          <w:szCs w:val="28"/>
        </w:rPr>
        <w:t xml:space="preserve"> </w:t>
      </w:r>
      <w:r>
        <w:rPr>
          <w:rFonts w:cs="Times New Roman"/>
          <w:sz w:val="28"/>
          <w:szCs w:val="28"/>
        </w:rPr>
        <w:t xml:space="preserve">Vienlaikus, būtu nepieciešams </w:t>
      </w:r>
      <w:r w:rsidRPr="00CE4A59">
        <w:rPr>
          <w:rFonts w:cs="Times New Roman"/>
          <w:sz w:val="28"/>
          <w:szCs w:val="28"/>
        </w:rPr>
        <w:t xml:space="preserve">turpināt strukturēti, balstoties uz adiktoloģijas teoriju, pētīt </w:t>
      </w:r>
      <w:r w:rsidR="002054A6">
        <w:rPr>
          <w:rFonts w:cs="Times New Roman"/>
          <w:sz w:val="28"/>
          <w:szCs w:val="28"/>
        </w:rPr>
        <w:t xml:space="preserve">to </w:t>
      </w:r>
      <w:r w:rsidRPr="00CE4A59">
        <w:rPr>
          <w:rFonts w:cs="Times New Roman"/>
          <w:sz w:val="28"/>
          <w:szCs w:val="28"/>
        </w:rPr>
        <w:t>personu</w:t>
      </w:r>
      <w:r>
        <w:rPr>
          <w:rFonts w:cs="Times New Roman"/>
          <w:sz w:val="28"/>
          <w:szCs w:val="28"/>
        </w:rPr>
        <w:t xml:space="preserve"> vajadzības </w:t>
      </w:r>
      <w:r w:rsidRPr="00CE4A59">
        <w:rPr>
          <w:rFonts w:cs="Times New Roman"/>
          <w:sz w:val="28"/>
          <w:szCs w:val="28"/>
        </w:rPr>
        <w:t>(emocionālās, fizioloģiskās, sociālās utt</w:t>
      </w:r>
      <w:r>
        <w:rPr>
          <w:rFonts w:cs="Times New Roman"/>
          <w:sz w:val="28"/>
          <w:szCs w:val="28"/>
        </w:rPr>
        <w:t>.</w:t>
      </w:r>
      <w:r w:rsidRPr="00CE4A59">
        <w:rPr>
          <w:rFonts w:cs="Times New Roman"/>
          <w:sz w:val="28"/>
          <w:szCs w:val="28"/>
        </w:rPr>
        <w:t>), kas ir pakļautas riskam</w:t>
      </w:r>
      <w:r>
        <w:rPr>
          <w:rFonts w:cs="Times New Roman"/>
          <w:sz w:val="28"/>
          <w:szCs w:val="28"/>
        </w:rPr>
        <w:t>.</w:t>
      </w:r>
      <w:r w:rsidRPr="00CE4A59">
        <w:rPr>
          <w:rFonts w:cs="Times New Roman"/>
          <w:sz w:val="28"/>
          <w:szCs w:val="28"/>
        </w:rPr>
        <w:t xml:space="preserve"> </w:t>
      </w:r>
      <w:r>
        <w:rPr>
          <w:rFonts w:cs="Times New Roman"/>
          <w:sz w:val="28"/>
          <w:szCs w:val="28"/>
        </w:rPr>
        <w:t>M</w:t>
      </w:r>
      <w:r w:rsidRPr="00CE4A59">
        <w:rPr>
          <w:rFonts w:cs="Times New Roman"/>
          <w:sz w:val="28"/>
          <w:szCs w:val="28"/>
        </w:rPr>
        <w:t>ērķtiecīgi piedāvāt emp</w:t>
      </w:r>
      <w:r>
        <w:rPr>
          <w:rFonts w:cs="Times New Roman"/>
          <w:sz w:val="28"/>
          <w:szCs w:val="28"/>
        </w:rPr>
        <w:t>ī</w:t>
      </w:r>
      <w:r w:rsidRPr="00CE4A59">
        <w:rPr>
          <w:rFonts w:cs="Times New Roman"/>
          <w:sz w:val="28"/>
          <w:szCs w:val="28"/>
        </w:rPr>
        <w:t xml:space="preserve">riski pamatotas alternatīvas interaktīvajā vidē, kas var mainīt personas uzvedību vai preventīvi novirzīt personu uz citiem sociālās aktivitātes veidiem. </w:t>
      </w:r>
      <w:r>
        <w:rPr>
          <w:rFonts w:cs="Times New Roman"/>
          <w:sz w:val="28"/>
          <w:szCs w:val="28"/>
        </w:rPr>
        <w:t>Svarīgi ir nodefinēt pre-riska grupas pazīmes un</w:t>
      </w:r>
      <w:r w:rsidRPr="00CE4A59">
        <w:rPr>
          <w:rFonts w:cs="Times New Roman"/>
          <w:sz w:val="28"/>
          <w:szCs w:val="28"/>
        </w:rPr>
        <w:t xml:space="preserve"> pazīmes, kas norād</w:t>
      </w:r>
      <w:r>
        <w:rPr>
          <w:rFonts w:cs="Times New Roman"/>
          <w:sz w:val="28"/>
          <w:szCs w:val="28"/>
        </w:rPr>
        <w:t>a</w:t>
      </w:r>
      <w:r w:rsidRPr="00CE4A59">
        <w:rPr>
          <w:rFonts w:cs="Times New Roman"/>
          <w:sz w:val="28"/>
          <w:szCs w:val="28"/>
        </w:rPr>
        <w:t xml:space="preserve"> uz pre-adiktīv</w:t>
      </w:r>
      <w:r w:rsidR="00941314">
        <w:rPr>
          <w:rFonts w:cs="Times New Roman"/>
          <w:sz w:val="28"/>
          <w:szCs w:val="28"/>
        </w:rPr>
        <w:t>u uzvedību virtuālajā realitātē</w:t>
      </w:r>
      <w:r w:rsidRPr="00CE4A59">
        <w:rPr>
          <w:rFonts w:cs="Times New Roman"/>
          <w:sz w:val="28"/>
          <w:szCs w:val="28"/>
        </w:rPr>
        <w:t xml:space="preserve">.  </w:t>
      </w:r>
    </w:p>
    <w:p w:rsidR="005B264D" w:rsidRPr="00CE4A59" w:rsidRDefault="005B264D" w:rsidP="005B264D">
      <w:pPr>
        <w:autoSpaceDE w:val="0"/>
        <w:autoSpaceDN w:val="0"/>
        <w:adjustRightInd w:val="0"/>
        <w:jc w:val="both"/>
        <w:rPr>
          <w:rFonts w:cs="Times New Roman"/>
          <w:color w:val="000000"/>
          <w:sz w:val="28"/>
          <w:szCs w:val="28"/>
        </w:rPr>
      </w:pPr>
      <w:r w:rsidRPr="00CE4A59">
        <w:rPr>
          <w:rFonts w:cs="Times New Roman"/>
          <w:color w:val="000000"/>
          <w:sz w:val="28"/>
          <w:szCs w:val="28"/>
        </w:rPr>
        <w:t xml:space="preserve"> </w:t>
      </w:r>
    </w:p>
    <w:p w:rsidR="005B264D" w:rsidRPr="00CE4A59" w:rsidRDefault="0041022E" w:rsidP="005B264D">
      <w:pPr>
        <w:ind w:firstLine="720"/>
        <w:jc w:val="both"/>
        <w:rPr>
          <w:rFonts w:cs="Times New Roman"/>
          <w:i/>
          <w:sz w:val="28"/>
          <w:szCs w:val="28"/>
        </w:rPr>
      </w:pPr>
      <w:r w:rsidRPr="00CE4A59">
        <w:rPr>
          <w:rFonts w:cs="Times New Roman"/>
          <w:i/>
          <w:sz w:val="28"/>
          <w:szCs w:val="28"/>
        </w:rPr>
        <w:t>N</w:t>
      </w:r>
      <w:r>
        <w:rPr>
          <w:rFonts w:cs="Times New Roman"/>
          <w:i/>
          <w:sz w:val="28"/>
          <w:szCs w:val="28"/>
        </w:rPr>
        <w:t xml:space="preserve">acionālais attīstības plāns (turpmāk – NAP) </w:t>
      </w:r>
      <w:r w:rsidR="005B264D" w:rsidRPr="00CE4A59">
        <w:rPr>
          <w:rFonts w:eastAsia="Times New Roman" w:cs="Times New Roman"/>
          <w:i/>
          <w:color w:val="000000"/>
          <w:sz w:val="28"/>
          <w:szCs w:val="28"/>
          <w:lang w:eastAsia="lv-LV"/>
        </w:rPr>
        <w:t>2021.-2027.gadam</w:t>
      </w:r>
      <w:r w:rsidR="005B264D" w:rsidRPr="00CE4A59">
        <w:rPr>
          <w:rFonts w:cs="Times New Roman"/>
          <w:i/>
          <w:sz w:val="28"/>
          <w:szCs w:val="28"/>
        </w:rPr>
        <w:t xml:space="preserve"> ietvaros paredzētie pasākumi</w:t>
      </w:r>
      <w:r w:rsidR="005B264D">
        <w:rPr>
          <w:rFonts w:cs="Times New Roman"/>
          <w:i/>
          <w:sz w:val="28"/>
          <w:szCs w:val="28"/>
        </w:rPr>
        <w:t xml:space="preserve"> atkarības profilaksei un ārstēšanai</w:t>
      </w:r>
      <w:r w:rsidR="005B264D" w:rsidRPr="00CE4A59">
        <w:rPr>
          <w:rFonts w:cs="Times New Roman"/>
          <w:i/>
          <w:sz w:val="28"/>
          <w:szCs w:val="28"/>
        </w:rPr>
        <w:t xml:space="preserve"> </w:t>
      </w:r>
    </w:p>
    <w:p w:rsidR="005B264D" w:rsidRPr="00CE4A59" w:rsidRDefault="0041022E" w:rsidP="00962011">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Izglītības un zinātnes ministrija (turpmāk – IZM)</w:t>
      </w:r>
      <w:r w:rsidR="005B264D" w:rsidRPr="00CE4A59">
        <w:rPr>
          <w:rFonts w:eastAsia="Times New Roman" w:cs="Times New Roman"/>
          <w:color w:val="000000"/>
          <w:sz w:val="28"/>
          <w:szCs w:val="28"/>
          <w:lang w:eastAsia="lv-LV"/>
        </w:rPr>
        <w:t xml:space="preserve"> NAP ir integrējusi </w:t>
      </w:r>
      <w:r w:rsidR="005B264D">
        <w:rPr>
          <w:rFonts w:eastAsia="Times New Roman" w:cs="Times New Roman"/>
          <w:color w:val="000000"/>
          <w:sz w:val="28"/>
          <w:szCs w:val="28"/>
          <w:lang w:eastAsia="lv-LV"/>
        </w:rPr>
        <w:t xml:space="preserve">vairākus </w:t>
      </w:r>
      <w:r w:rsidR="005B264D" w:rsidRPr="00CE4A59">
        <w:rPr>
          <w:rFonts w:eastAsia="Times New Roman" w:cs="Times New Roman"/>
          <w:color w:val="000000"/>
          <w:sz w:val="28"/>
          <w:szCs w:val="28"/>
          <w:lang w:eastAsia="lv-LV"/>
        </w:rPr>
        <w:t>pasākum</w:t>
      </w:r>
      <w:r w:rsidR="005B264D">
        <w:rPr>
          <w:rFonts w:eastAsia="Times New Roman" w:cs="Times New Roman"/>
          <w:color w:val="000000"/>
          <w:sz w:val="28"/>
          <w:szCs w:val="28"/>
          <w:lang w:eastAsia="lv-LV"/>
        </w:rPr>
        <w:t>u</w:t>
      </w:r>
      <w:r w:rsidR="005B264D" w:rsidRPr="00CE4A59">
        <w:rPr>
          <w:rFonts w:eastAsia="Times New Roman" w:cs="Times New Roman"/>
          <w:color w:val="000000"/>
          <w:sz w:val="28"/>
          <w:szCs w:val="28"/>
          <w:lang w:eastAsia="lv-LV"/>
        </w:rPr>
        <w:t>s</w:t>
      </w:r>
      <w:r w:rsidR="005B264D">
        <w:rPr>
          <w:rFonts w:eastAsia="Times New Roman" w:cs="Times New Roman"/>
          <w:color w:val="000000"/>
          <w:sz w:val="28"/>
          <w:szCs w:val="28"/>
          <w:lang w:eastAsia="lv-LV"/>
        </w:rPr>
        <w:t xml:space="preserve"> (NAP </w:t>
      </w:r>
      <w:r w:rsidR="005B264D" w:rsidRPr="00DE3D5A">
        <w:rPr>
          <w:rFonts w:eastAsia="Times New Roman" w:cs="Times New Roman"/>
          <w:color w:val="000000"/>
          <w:sz w:val="28"/>
          <w:szCs w:val="28"/>
          <w:lang w:eastAsia="lv-LV"/>
        </w:rPr>
        <w:t>pasākumi Nr.421, 425 un 426),</w:t>
      </w:r>
      <w:r w:rsidR="005B264D" w:rsidRPr="00CE4A59">
        <w:rPr>
          <w:rFonts w:eastAsia="Times New Roman" w:cs="Times New Roman"/>
          <w:color w:val="000000"/>
          <w:sz w:val="28"/>
          <w:szCs w:val="28"/>
          <w:lang w:eastAsia="lv-LV"/>
        </w:rPr>
        <w:t xml:space="preserve"> kas paredz visp</w:t>
      </w:r>
      <w:r w:rsidR="005B264D">
        <w:rPr>
          <w:rFonts w:eastAsia="Times New Roman" w:cs="Times New Roman"/>
          <w:color w:val="000000"/>
          <w:sz w:val="28"/>
          <w:szCs w:val="28"/>
          <w:lang w:eastAsia="lv-LV"/>
        </w:rPr>
        <w:t>ā</w:t>
      </w:r>
      <w:r w:rsidR="005B264D" w:rsidRPr="00CE4A59">
        <w:rPr>
          <w:rFonts w:eastAsia="Times New Roman" w:cs="Times New Roman"/>
          <w:color w:val="000000"/>
          <w:sz w:val="28"/>
          <w:szCs w:val="28"/>
          <w:lang w:eastAsia="lv-LV"/>
        </w:rPr>
        <w:t>rīg</w:t>
      </w:r>
      <w:r w:rsidR="005B264D">
        <w:rPr>
          <w:rFonts w:eastAsia="Times New Roman" w:cs="Times New Roman"/>
          <w:color w:val="000000"/>
          <w:sz w:val="28"/>
          <w:szCs w:val="28"/>
          <w:lang w:eastAsia="lv-LV"/>
        </w:rPr>
        <w:t>a</w:t>
      </w:r>
      <w:r w:rsidR="005B264D" w:rsidRPr="00CE4A59">
        <w:rPr>
          <w:rFonts w:eastAsia="Times New Roman" w:cs="Times New Roman"/>
          <w:color w:val="000000"/>
          <w:sz w:val="28"/>
          <w:szCs w:val="28"/>
          <w:lang w:eastAsia="lv-LV"/>
        </w:rPr>
        <w:t>s un selektīvas profilakses ietvaros info</w:t>
      </w:r>
      <w:r w:rsidR="005B264D">
        <w:rPr>
          <w:rFonts w:eastAsia="Times New Roman" w:cs="Times New Roman"/>
          <w:color w:val="000000"/>
          <w:sz w:val="28"/>
          <w:szCs w:val="28"/>
          <w:lang w:eastAsia="lv-LV"/>
        </w:rPr>
        <w:t>r</w:t>
      </w:r>
      <w:r w:rsidR="005B264D" w:rsidRPr="00CE4A59">
        <w:rPr>
          <w:rFonts w:eastAsia="Times New Roman" w:cs="Times New Roman"/>
          <w:color w:val="000000"/>
          <w:sz w:val="28"/>
          <w:szCs w:val="28"/>
          <w:lang w:eastAsia="lv-LV"/>
        </w:rPr>
        <w:t xml:space="preserve">mēt jauniešus par procesu atkarības riskiem. </w:t>
      </w:r>
    </w:p>
    <w:p w:rsidR="005B264D" w:rsidRPr="00556C6B" w:rsidRDefault="0041022E" w:rsidP="00962011">
      <w:pPr>
        <w:ind w:firstLine="720"/>
        <w:jc w:val="both"/>
        <w:rPr>
          <w:rFonts w:eastAsia="Times New Roman" w:cs="Times New Roman"/>
          <w:sz w:val="28"/>
          <w:szCs w:val="28"/>
          <w:lang w:eastAsia="lv-LV"/>
        </w:rPr>
      </w:pPr>
      <w:r>
        <w:rPr>
          <w:rFonts w:eastAsia="Times New Roman" w:cs="Times New Roman"/>
          <w:sz w:val="28"/>
          <w:szCs w:val="28"/>
          <w:lang w:eastAsia="lv-LV"/>
        </w:rPr>
        <w:t>Labklājības ministrija (turpmāk – LM)</w:t>
      </w:r>
      <w:r w:rsidRPr="00556C6B">
        <w:rPr>
          <w:rFonts w:eastAsia="Times New Roman" w:cs="Times New Roman"/>
          <w:sz w:val="28"/>
          <w:szCs w:val="28"/>
          <w:lang w:eastAsia="lv-LV"/>
        </w:rPr>
        <w:t xml:space="preserve"> </w:t>
      </w:r>
      <w:r w:rsidR="005B264D" w:rsidRPr="00556C6B">
        <w:rPr>
          <w:rFonts w:eastAsia="Times New Roman" w:cs="Times New Roman"/>
          <w:sz w:val="28"/>
          <w:szCs w:val="28"/>
          <w:lang w:eastAsia="lv-LV"/>
        </w:rPr>
        <w:t xml:space="preserve">plāno ieguldījumus NAP ES fondu 2021.-2027.gada plānošanas periodā jaunu pieeju sociālo pakalpojumu sniegšanas attīstīšanai (inovācijām), kas var būt vērsti uz atbalstu personām, kurām ir vielu un procesu atkarība. </w:t>
      </w:r>
      <w:r w:rsidR="005B264D" w:rsidRPr="00DE3D5A">
        <w:rPr>
          <w:rFonts w:eastAsia="Times New Roman" w:cs="Times New Roman"/>
          <w:sz w:val="28"/>
          <w:szCs w:val="28"/>
          <w:lang w:eastAsia="lv-LV"/>
        </w:rPr>
        <w:t xml:space="preserve">NAP </w:t>
      </w:r>
      <w:r w:rsidR="000B1006" w:rsidRPr="00DE3D5A">
        <w:rPr>
          <w:rFonts w:eastAsia="Times New Roman" w:cs="Times New Roman"/>
          <w:sz w:val="28"/>
          <w:szCs w:val="28"/>
          <w:lang w:eastAsia="lv-LV"/>
        </w:rPr>
        <w:t>Nr.</w:t>
      </w:r>
      <w:r w:rsidR="005B264D" w:rsidRPr="00DE3D5A">
        <w:rPr>
          <w:rFonts w:eastAsia="Times New Roman" w:cs="Times New Roman"/>
          <w:sz w:val="28"/>
          <w:szCs w:val="28"/>
          <w:lang w:eastAsia="lv-LV"/>
        </w:rPr>
        <w:t>4</w:t>
      </w:r>
      <w:r w:rsidR="000B1006" w:rsidRPr="00DE3D5A">
        <w:rPr>
          <w:rFonts w:eastAsia="Times New Roman" w:cs="Times New Roman"/>
          <w:sz w:val="28"/>
          <w:szCs w:val="28"/>
          <w:lang w:eastAsia="lv-LV"/>
        </w:rPr>
        <w:t>6</w:t>
      </w:r>
      <w:r w:rsidR="005B264D" w:rsidRPr="00DE3D5A">
        <w:rPr>
          <w:rFonts w:eastAsia="Times New Roman" w:cs="Times New Roman"/>
          <w:sz w:val="28"/>
          <w:szCs w:val="28"/>
          <w:lang w:eastAsia="lv-LV"/>
        </w:rPr>
        <w:t>0</w:t>
      </w:r>
      <w:r w:rsidR="000B1006">
        <w:rPr>
          <w:rFonts w:eastAsia="Times New Roman" w:cs="Times New Roman"/>
          <w:sz w:val="28"/>
          <w:szCs w:val="28"/>
          <w:lang w:eastAsia="lv-LV"/>
        </w:rPr>
        <w:t xml:space="preserve"> un 479</w:t>
      </w:r>
      <w:r w:rsidR="005B264D" w:rsidRPr="00556C6B">
        <w:rPr>
          <w:rFonts w:eastAsia="Times New Roman" w:cs="Times New Roman"/>
          <w:sz w:val="28"/>
          <w:szCs w:val="28"/>
          <w:lang w:eastAsia="lv-LV"/>
        </w:rPr>
        <w:t xml:space="preserve"> pasākuma ietvaros ir paredzēts attiecināt inovatīvas metodes</w:t>
      </w:r>
      <w:r w:rsidR="005B264D" w:rsidRPr="00556C6B" w:rsidDel="002179B1">
        <w:rPr>
          <w:rFonts w:eastAsia="Times New Roman" w:cs="Times New Roman"/>
          <w:sz w:val="28"/>
          <w:szCs w:val="28"/>
          <w:lang w:eastAsia="lv-LV"/>
        </w:rPr>
        <w:t xml:space="preserve"> </w:t>
      </w:r>
      <w:r w:rsidR="005B264D" w:rsidRPr="00556C6B">
        <w:rPr>
          <w:rFonts w:eastAsia="Times New Roman" w:cs="Times New Roman"/>
          <w:sz w:val="28"/>
          <w:szCs w:val="28"/>
          <w:lang w:eastAsia="lv-LV"/>
        </w:rPr>
        <w:t xml:space="preserve">uz procesu atkarīgām personām. Metodes tiks izmantotas, lai sniegtu atbalstu sociālās atstumtības riskam pakļauto mērķa grupas personām.    </w:t>
      </w:r>
    </w:p>
    <w:p w:rsidR="005B264D" w:rsidRPr="00556C6B" w:rsidRDefault="0041022E" w:rsidP="00962011">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 xml:space="preserve">Veselības ministrija (turpmāk </w:t>
      </w:r>
      <w:r w:rsidR="00F3362F">
        <w:rPr>
          <w:rFonts w:eastAsia="Times New Roman" w:cs="Times New Roman"/>
          <w:color w:val="000000"/>
          <w:sz w:val="28"/>
          <w:szCs w:val="28"/>
          <w:lang w:eastAsia="lv-LV"/>
        </w:rPr>
        <w:t>–</w:t>
      </w:r>
      <w:r>
        <w:rPr>
          <w:rFonts w:eastAsia="Times New Roman" w:cs="Times New Roman"/>
          <w:color w:val="000000"/>
          <w:sz w:val="28"/>
          <w:szCs w:val="28"/>
          <w:lang w:eastAsia="lv-LV"/>
        </w:rPr>
        <w:t xml:space="preserve"> VM) </w:t>
      </w:r>
      <w:r w:rsidR="005B264D" w:rsidRPr="00556C6B">
        <w:rPr>
          <w:rFonts w:eastAsia="Times New Roman" w:cs="Times New Roman"/>
          <w:color w:val="000000"/>
          <w:sz w:val="28"/>
          <w:szCs w:val="28"/>
          <w:lang w:eastAsia="lv-LV"/>
        </w:rPr>
        <w:t xml:space="preserve">plāno NAP iezīmētajos atkarību profilakses pasākumus (NAP </w:t>
      </w:r>
      <w:r w:rsidR="00A26174">
        <w:rPr>
          <w:rFonts w:eastAsia="Times New Roman" w:cs="Times New Roman"/>
          <w:color w:val="000000"/>
          <w:sz w:val="28"/>
          <w:szCs w:val="28"/>
          <w:lang w:eastAsia="lv-LV"/>
        </w:rPr>
        <w:t>Nr.</w:t>
      </w:r>
      <w:r w:rsidR="005B264D" w:rsidRPr="00556C6B">
        <w:rPr>
          <w:rFonts w:eastAsia="Times New Roman" w:cs="Times New Roman"/>
          <w:color w:val="000000"/>
          <w:sz w:val="28"/>
          <w:szCs w:val="28"/>
          <w:lang w:eastAsia="lv-LV"/>
        </w:rPr>
        <w:t>354 un 355)</w:t>
      </w:r>
      <w:r w:rsidR="00511548">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 xml:space="preserve">iekļaut politikas plānošanas dokumentā </w:t>
      </w:r>
      <w:r w:rsidR="003B1D89">
        <w:rPr>
          <w:rFonts w:eastAsia="Times New Roman" w:cs="Times New Roman"/>
          <w:color w:val="000000"/>
          <w:sz w:val="28"/>
          <w:szCs w:val="28"/>
          <w:lang w:eastAsia="lv-LV"/>
        </w:rPr>
        <w:t>”</w:t>
      </w:r>
      <w:r w:rsidR="005B264D" w:rsidRPr="00556C6B">
        <w:rPr>
          <w:rFonts w:eastAsia="Times New Roman" w:cs="Times New Roman"/>
          <w:color w:val="000000"/>
          <w:sz w:val="28"/>
          <w:szCs w:val="28"/>
          <w:lang w:eastAsia="lv-LV"/>
        </w:rPr>
        <w:t>Sabiedrības veselības pamatnostādnēs 2021.-2027.gadam</w:t>
      </w:r>
      <w:r w:rsidR="003B1D89">
        <w:rPr>
          <w:rFonts w:eastAsia="Times New Roman" w:cs="Times New Roman"/>
          <w:color w:val="000000"/>
          <w:sz w:val="28"/>
          <w:szCs w:val="28"/>
          <w:lang w:eastAsia="lv-LV"/>
        </w:rPr>
        <w:t>“</w:t>
      </w:r>
      <w:r w:rsidR="003B1D89" w:rsidRPr="00556C6B">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Pamatnostādnēs tiks iekļauti pasākumi vispārējai procesu atkarību profilaksei, kas ietvers informēšanas kampaņas iedzīvotājiem, kā arī izglītojošus pasākumus skolēniem un jauniešiem, lai tos informētu par azartspēļu kaitīgumu. Tāpat plānots īstenot pasākumus selektīvās profilakses ietvaros, paredzot ārstēšanās pasākumus, personām, kas jau spēlē azartspēles un kuriem jau ir uzstādīta konkrēta atkarības diagnoze.</w:t>
      </w:r>
    </w:p>
    <w:p w:rsidR="005B264D" w:rsidRPr="00556C6B" w:rsidRDefault="0041022E"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t>F</w:t>
      </w:r>
      <w:r>
        <w:rPr>
          <w:rFonts w:eastAsia="Times New Roman" w:cs="Times New Roman"/>
          <w:color w:val="000000"/>
          <w:sz w:val="28"/>
          <w:szCs w:val="28"/>
          <w:lang w:eastAsia="lv-LV"/>
        </w:rPr>
        <w:t>inanšu ministrija (turpmāk – FM)</w:t>
      </w:r>
      <w:r w:rsidRPr="00556C6B">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NAP ir iekļāvusi pasākumu (NAP pasākums Nr.</w:t>
      </w:r>
      <w:r w:rsidR="005B264D" w:rsidRPr="00556C6B">
        <w:rPr>
          <w:rFonts w:cs="Times New Roman"/>
          <w:color w:val="000000"/>
          <w:sz w:val="28"/>
          <w:szCs w:val="28"/>
          <w:shd w:val="clear" w:color="auto" w:fill="FFFFFF"/>
        </w:rPr>
        <w:t xml:space="preserve">576), kas paredz </w:t>
      </w:r>
      <w:r w:rsidR="005B264D" w:rsidRPr="00556C6B">
        <w:rPr>
          <w:rFonts w:cs="Times New Roman"/>
          <w:bCs/>
          <w:color w:val="000000"/>
          <w:sz w:val="28"/>
          <w:szCs w:val="28"/>
          <w:shd w:val="clear" w:color="auto" w:fill="FFFFFF"/>
        </w:rPr>
        <w:t xml:space="preserve">no azartspēlēm un izlozēm atkarīgo personu resocializāciju un atgriešanu darba tirgū, kā arī </w:t>
      </w:r>
      <w:r w:rsidR="002054A6">
        <w:rPr>
          <w:rFonts w:cs="Times New Roman"/>
          <w:bCs/>
          <w:color w:val="000000"/>
          <w:sz w:val="28"/>
          <w:szCs w:val="28"/>
          <w:shd w:val="clear" w:color="auto" w:fill="FFFFFF"/>
        </w:rPr>
        <w:t>indicētās profilakses</w:t>
      </w:r>
      <w:r w:rsidR="002054A6" w:rsidRPr="00556C6B">
        <w:rPr>
          <w:rFonts w:cs="Times New Roman"/>
          <w:bCs/>
          <w:color w:val="000000"/>
          <w:sz w:val="28"/>
          <w:szCs w:val="28"/>
          <w:shd w:val="clear" w:color="auto" w:fill="FFFFFF"/>
        </w:rPr>
        <w:t xml:space="preserve"> </w:t>
      </w:r>
      <w:r w:rsidR="005B264D" w:rsidRPr="00556C6B">
        <w:rPr>
          <w:rFonts w:cs="Times New Roman"/>
          <w:bCs/>
          <w:color w:val="000000"/>
          <w:sz w:val="28"/>
          <w:szCs w:val="28"/>
          <w:shd w:val="clear" w:color="auto" w:fill="FFFFFF"/>
        </w:rPr>
        <w:t>pasākumus, kas veicina jauniešu veiksmīgu integrēšanu darba tirgū.</w:t>
      </w:r>
    </w:p>
    <w:p w:rsidR="005B264D" w:rsidRPr="00556C6B" w:rsidRDefault="005B264D"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t>FM un IAUI sadarbībā ar iesaistītajām pusēm, minētā pasākuma ietvaros, paredz īstenot indicētās profilakses aktivitātes, kas būtu vērstas uz to sabiedrības grupu, kas sastāv no spēlētājiem ar risku, vai tām personām, kas tikai uzsāka spēlēt azartspēlēs un vēl nav izveidojusies vai</w:t>
      </w:r>
      <w:r w:rsidR="00511548">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nav diagnosticēta procesu</w:t>
      </w:r>
      <w:r w:rsidR="00511548">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atkarība. Parasti tās ir personas, kurām piemīt noteiktas pazīmes, kas var norādīt uz tendenci uzsākt spēlēt azartspēles vai tieksme spēlēt tās regulāri.</w:t>
      </w:r>
    </w:p>
    <w:p w:rsidR="005B264D" w:rsidRDefault="005B264D"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lastRenderedPageBreak/>
        <w:t xml:space="preserve">Izmantojot </w:t>
      </w:r>
      <w:r w:rsidR="00BC5CAF">
        <w:rPr>
          <w:rFonts w:eastAsia="Times New Roman" w:cs="Times New Roman"/>
          <w:color w:val="000000"/>
          <w:sz w:val="28"/>
          <w:szCs w:val="28"/>
          <w:lang w:eastAsia="lv-LV"/>
        </w:rPr>
        <w:t xml:space="preserve">pašatteikušos personu </w:t>
      </w:r>
      <w:r w:rsidRPr="00556C6B">
        <w:rPr>
          <w:rFonts w:eastAsia="Times New Roman" w:cs="Times New Roman"/>
          <w:color w:val="000000"/>
          <w:sz w:val="28"/>
          <w:szCs w:val="28"/>
          <w:lang w:eastAsia="lv-LV"/>
        </w:rPr>
        <w:t>reģistra datus, kā arī citu pieejamo informāciju (iegūt datus par spēlētāju uzvedību,</w:t>
      </w:r>
      <w:r w:rsidR="008F7041">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 xml:space="preserve">tajā skaitā par dalības aktivitāšu </w:t>
      </w:r>
      <w:r w:rsidR="002054A6" w:rsidRPr="00556C6B">
        <w:rPr>
          <w:rFonts w:eastAsia="Times New Roman" w:cs="Times New Roman"/>
          <w:color w:val="000000"/>
          <w:sz w:val="28"/>
          <w:szCs w:val="28"/>
          <w:lang w:eastAsia="lv-LV"/>
        </w:rPr>
        <w:t>līmen</w:t>
      </w:r>
      <w:r w:rsidR="002054A6">
        <w:rPr>
          <w:rFonts w:eastAsia="Times New Roman" w:cs="Times New Roman"/>
          <w:color w:val="000000"/>
          <w:sz w:val="28"/>
          <w:szCs w:val="28"/>
          <w:lang w:eastAsia="lv-LV"/>
        </w:rPr>
        <w:t>i</w:t>
      </w:r>
      <w:r w:rsidR="002054A6" w:rsidRPr="00556C6B">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 xml:space="preserve">azartspēlēs konkrētajā periodā, </w:t>
      </w:r>
      <w:r w:rsidR="002054A6">
        <w:rPr>
          <w:rFonts w:eastAsia="Times New Roman" w:cs="Times New Roman"/>
          <w:color w:val="000000"/>
          <w:sz w:val="28"/>
          <w:szCs w:val="28"/>
          <w:lang w:eastAsia="lv-LV"/>
        </w:rPr>
        <w:t>SP izmantošanu,</w:t>
      </w:r>
      <w:r w:rsidR="002054A6" w:rsidRPr="00556C6B">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pa</w:t>
      </w:r>
      <w:r w:rsidR="00C217EF">
        <w:rPr>
          <w:rFonts w:eastAsia="Times New Roman" w:cs="Times New Roman"/>
          <w:color w:val="000000"/>
          <w:sz w:val="28"/>
          <w:szCs w:val="28"/>
          <w:lang w:eastAsia="lv-LV"/>
        </w:rPr>
        <w:t xml:space="preserve">r pašatteikušos personu skaitu un </w:t>
      </w:r>
      <w:r w:rsidRPr="00556C6B">
        <w:rPr>
          <w:rFonts w:eastAsia="Times New Roman" w:cs="Times New Roman"/>
          <w:color w:val="000000"/>
          <w:sz w:val="28"/>
          <w:szCs w:val="28"/>
          <w:lang w:eastAsia="lv-LV"/>
        </w:rPr>
        <w:t xml:space="preserve">par personu skaitu, kurām ir atteikta maksājumu veikšana un nelegālajām azartspēļu tīmekļa vietnēm, </w:t>
      </w:r>
      <w:r w:rsidR="00281D20">
        <w:rPr>
          <w:rFonts w:eastAsia="Times New Roman" w:cs="Times New Roman"/>
          <w:color w:val="000000"/>
          <w:sz w:val="28"/>
          <w:szCs w:val="28"/>
          <w:lang w:eastAsia="lv-LV"/>
        </w:rPr>
        <w:t>ut</w:t>
      </w:r>
      <w:r w:rsidRPr="00556C6B">
        <w:rPr>
          <w:rFonts w:eastAsia="Times New Roman" w:cs="Times New Roman"/>
          <w:color w:val="000000"/>
          <w:sz w:val="28"/>
          <w:szCs w:val="28"/>
          <w:lang w:eastAsia="lv-LV"/>
        </w:rPr>
        <w:t xml:space="preserve">t.) ir jāizstrādā </w:t>
      </w:r>
      <w:r w:rsidRPr="00556C6B">
        <w:rPr>
          <w:rFonts w:cs="Times New Roman"/>
          <w:color w:val="000000"/>
          <w:sz w:val="28"/>
          <w:szCs w:val="28"/>
          <w:shd w:val="clear" w:color="auto" w:fill="FFFFFF"/>
        </w:rPr>
        <w:t>azartspēļu atkarības līmeņa un uzvedības monitoringa analītiskais rīks, kas ļauj identificēt</w:t>
      </w:r>
      <w:r w:rsidRPr="00556C6B">
        <w:rPr>
          <w:rFonts w:eastAsia="Times New Roman" w:cs="Times New Roman"/>
          <w:color w:val="000000"/>
          <w:sz w:val="28"/>
          <w:szCs w:val="28"/>
          <w:lang w:eastAsia="lv-LV"/>
        </w:rPr>
        <w:t xml:space="preserve"> riskantos spēlētājus.</w:t>
      </w:r>
    </w:p>
    <w:p w:rsidR="00962011" w:rsidRPr="00556C6B" w:rsidRDefault="00962011" w:rsidP="00962011">
      <w:pPr>
        <w:ind w:firstLine="720"/>
        <w:jc w:val="both"/>
        <w:rPr>
          <w:rFonts w:eastAsia="Times New Roman" w:cs="Times New Roman"/>
          <w:color w:val="000000"/>
          <w:sz w:val="28"/>
          <w:szCs w:val="28"/>
          <w:lang w:eastAsia="lv-LV"/>
        </w:rPr>
      </w:pPr>
    </w:p>
    <w:p w:rsidR="005B264D" w:rsidRPr="00556C6B" w:rsidRDefault="005B264D" w:rsidP="005B264D">
      <w:pPr>
        <w:jc w:val="both"/>
        <w:rPr>
          <w:rFonts w:cs="Times New Roman"/>
          <w:sz w:val="28"/>
          <w:szCs w:val="28"/>
        </w:rPr>
      </w:pPr>
      <w:r w:rsidRPr="00556C6B">
        <w:rPr>
          <w:rFonts w:cs="Times New Roman"/>
          <w:i/>
          <w:sz w:val="28"/>
          <w:szCs w:val="28"/>
        </w:rPr>
        <w:t>Nepieciešamie pasākumi</w:t>
      </w:r>
      <w:r w:rsidRPr="00556C6B">
        <w:rPr>
          <w:rFonts w:cs="Times New Roman"/>
          <w:sz w:val="28"/>
          <w:szCs w:val="28"/>
        </w:rPr>
        <w:t>:</w:t>
      </w:r>
    </w:p>
    <w:p w:rsidR="00962011" w:rsidRDefault="006B036D" w:rsidP="006B036D">
      <w:pPr>
        <w:ind w:firstLine="709"/>
        <w:jc w:val="both"/>
        <w:rPr>
          <w:rFonts w:eastAsia="Times New Roman" w:cs="Times New Roman"/>
          <w:color w:val="000000"/>
          <w:sz w:val="28"/>
          <w:szCs w:val="28"/>
          <w:lang w:eastAsia="lv-LV"/>
        </w:rPr>
      </w:pPr>
      <w:r>
        <w:rPr>
          <w:rFonts w:cs="Times New Roman"/>
          <w:color w:val="000000"/>
          <w:sz w:val="28"/>
          <w:szCs w:val="28"/>
          <w:shd w:val="clear" w:color="auto" w:fill="FFFFFF"/>
        </w:rPr>
        <w:t xml:space="preserve">1) </w:t>
      </w:r>
      <w:r w:rsidR="0001590C">
        <w:rPr>
          <w:rFonts w:cs="Times New Roman"/>
          <w:color w:val="000000"/>
          <w:sz w:val="28"/>
          <w:szCs w:val="28"/>
          <w:shd w:val="clear" w:color="auto" w:fill="FFFFFF"/>
        </w:rPr>
        <w:t>n</w:t>
      </w:r>
      <w:r w:rsidR="0001590C" w:rsidRPr="00556C6B">
        <w:rPr>
          <w:rFonts w:cs="Times New Roman"/>
          <w:color w:val="000000"/>
          <w:sz w:val="28"/>
          <w:szCs w:val="28"/>
          <w:shd w:val="clear" w:color="auto" w:fill="FFFFFF"/>
        </w:rPr>
        <w:t xml:space="preserve">odefinēt </w:t>
      </w:r>
      <w:r w:rsidR="00697DCB" w:rsidRPr="00556C6B">
        <w:rPr>
          <w:rFonts w:cs="Times New Roman"/>
          <w:color w:val="000000"/>
          <w:sz w:val="28"/>
          <w:szCs w:val="28"/>
          <w:shd w:val="clear" w:color="auto" w:fill="FFFFFF"/>
        </w:rPr>
        <w:t xml:space="preserve">riskanta spēlētāja pazīmes. </w:t>
      </w:r>
      <w:r w:rsidR="005B264D" w:rsidRPr="00556C6B">
        <w:rPr>
          <w:rFonts w:cs="Times New Roman"/>
          <w:color w:val="000000"/>
          <w:sz w:val="28"/>
          <w:szCs w:val="28"/>
          <w:shd w:val="clear" w:color="auto" w:fill="FFFFFF"/>
        </w:rPr>
        <w:t>Izstrādāt azartspēļu atkarības līmeņa un uzvedības monitoringa analītisko rīku, kas ļauj identificēt</w:t>
      </w:r>
      <w:r w:rsidR="005B264D" w:rsidRPr="00556C6B">
        <w:rPr>
          <w:rFonts w:eastAsia="Times New Roman" w:cs="Times New Roman"/>
          <w:color w:val="000000"/>
          <w:sz w:val="28"/>
          <w:szCs w:val="28"/>
          <w:lang w:eastAsia="lv-LV"/>
        </w:rPr>
        <w:t xml:space="preserve"> riskantos spēlētājus, kuriem vēl nav diagnosticēta procesu</w:t>
      </w:r>
      <w:r w:rsidR="001D59BD">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 xml:space="preserve">atkarība. </w:t>
      </w:r>
    </w:p>
    <w:p w:rsidR="006B036D" w:rsidRDefault="00962011" w:rsidP="00962011">
      <w:pPr>
        <w:ind w:firstLine="709"/>
        <w:jc w:val="both"/>
        <w:rPr>
          <w:rFonts w:cs="Times New Roman"/>
          <w:iCs/>
          <w:color w:val="000000"/>
          <w:sz w:val="28"/>
          <w:szCs w:val="28"/>
        </w:rPr>
      </w:pPr>
      <w:r>
        <w:rPr>
          <w:rFonts w:eastAsia="Times New Roman" w:cs="Times New Roman"/>
          <w:color w:val="000000"/>
          <w:sz w:val="28"/>
          <w:szCs w:val="28"/>
          <w:lang w:eastAsia="lv-LV"/>
        </w:rPr>
        <w:t>2) V</w:t>
      </w:r>
      <w:r w:rsidR="005B264D" w:rsidRPr="00556C6B">
        <w:rPr>
          <w:rFonts w:cs="Times New Roman"/>
          <w:sz w:val="28"/>
          <w:szCs w:val="28"/>
        </w:rPr>
        <w:t>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w:t>
      </w:r>
      <w:r w:rsidR="005B264D" w:rsidRPr="00396566">
        <w:rPr>
          <w:rFonts w:cs="Times New Roman"/>
          <w:sz w:val="28"/>
          <w:szCs w:val="28"/>
        </w:rPr>
        <w:t xml:space="preserve"> pamatotu (novērtētu) programmu (turpmāk – interaktīvās intervences programmu). Programmu nepieciešams pielāgot Latvijas apstākļiem</w:t>
      </w:r>
      <w:r w:rsidR="0001590C">
        <w:rPr>
          <w:rFonts w:cs="Times New Roman"/>
          <w:sz w:val="28"/>
          <w:szCs w:val="28"/>
        </w:rPr>
        <w:t>;</w:t>
      </w:r>
      <w:r w:rsidR="0001590C" w:rsidRPr="00396566">
        <w:rPr>
          <w:rFonts w:cs="Times New Roman"/>
          <w:sz w:val="28"/>
          <w:szCs w:val="28"/>
        </w:rPr>
        <w:t xml:space="preserve">  </w:t>
      </w:r>
      <w:r w:rsidR="0001590C" w:rsidRPr="00396566">
        <w:rPr>
          <w:rFonts w:cs="Times New Roman"/>
          <w:iCs/>
          <w:color w:val="000000"/>
          <w:sz w:val="28"/>
          <w:szCs w:val="28"/>
        </w:rPr>
        <w:t xml:space="preserve"> </w:t>
      </w:r>
    </w:p>
    <w:p w:rsidR="005B264D" w:rsidRPr="00396566" w:rsidRDefault="00962011" w:rsidP="006B036D">
      <w:pPr>
        <w:ind w:firstLine="709"/>
        <w:jc w:val="both"/>
        <w:rPr>
          <w:rFonts w:cs="Times New Roman"/>
          <w:sz w:val="28"/>
          <w:szCs w:val="28"/>
        </w:rPr>
      </w:pPr>
      <w:r>
        <w:rPr>
          <w:rFonts w:cs="Times New Roman"/>
          <w:noProof/>
          <w:sz w:val="28"/>
          <w:szCs w:val="28"/>
        </w:rPr>
        <w:t>3</w:t>
      </w:r>
      <w:r w:rsidR="006B036D">
        <w:rPr>
          <w:rFonts w:cs="Times New Roman"/>
          <w:noProof/>
          <w:sz w:val="28"/>
          <w:szCs w:val="28"/>
        </w:rPr>
        <w:t xml:space="preserve">) </w:t>
      </w:r>
      <w:r w:rsidR="0001590C">
        <w:rPr>
          <w:rFonts w:cs="Times New Roman"/>
          <w:noProof/>
          <w:sz w:val="28"/>
          <w:szCs w:val="28"/>
        </w:rPr>
        <w:t>a</w:t>
      </w:r>
      <w:r w:rsidR="0001590C" w:rsidRPr="00396566">
        <w:rPr>
          <w:rFonts w:cs="Times New Roman"/>
          <w:noProof/>
          <w:sz w:val="28"/>
          <w:szCs w:val="28"/>
        </w:rPr>
        <w:t xml:space="preserve">tkarības </w:t>
      </w:r>
      <w:r w:rsidR="005B264D" w:rsidRPr="00396566">
        <w:rPr>
          <w:rFonts w:cs="Times New Roman"/>
          <w:noProof/>
          <w:sz w:val="28"/>
          <w:szCs w:val="28"/>
        </w:rPr>
        <w:t>līmeņa un uzvedības monitoringa analītiskajā rīkā identificetās personas novirzīt atbalsta saņemšanai, arī virtuālajā vidē piedāvājot alternatīvu saturu un intervences programmu, kas veicina resocializācijas iespējas</w:t>
      </w:r>
      <w:r w:rsidR="0001590C">
        <w:rPr>
          <w:rFonts w:cs="Times New Roman"/>
          <w:noProof/>
          <w:sz w:val="28"/>
          <w:szCs w:val="28"/>
        </w:rPr>
        <w:t>;</w:t>
      </w:r>
    </w:p>
    <w:p w:rsidR="006B036D" w:rsidRDefault="00962011" w:rsidP="006B036D">
      <w:pPr>
        <w:ind w:firstLine="709"/>
        <w:jc w:val="both"/>
        <w:rPr>
          <w:rFonts w:cs="Times New Roman"/>
          <w:color w:val="000000"/>
          <w:sz w:val="28"/>
          <w:szCs w:val="28"/>
        </w:rPr>
      </w:pPr>
      <w:r>
        <w:rPr>
          <w:rFonts w:cs="Times New Roman"/>
          <w:iCs/>
          <w:sz w:val="28"/>
          <w:szCs w:val="28"/>
        </w:rPr>
        <w:t>4</w:t>
      </w:r>
      <w:r w:rsidR="006B036D">
        <w:rPr>
          <w:rFonts w:cs="Times New Roman"/>
          <w:iCs/>
          <w:sz w:val="28"/>
          <w:szCs w:val="28"/>
        </w:rPr>
        <w:t xml:space="preserve">) </w:t>
      </w:r>
      <w:r w:rsidR="0001590C">
        <w:rPr>
          <w:rFonts w:cs="Times New Roman"/>
          <w:iCs/>
          <w:sz w:val="28"/>
          <w:szCs w:val="28"/>
        </w:rPr>
        <w:t>i</w:t>
      </w:r>
      <w:r w:rsidR="0001590C" w:rsidRPr="00396566">
        <w:rPr>
          <w:rFonts w:cs="Times New Roman"/>
          <w:iCs/>
          <w:sz w:val="28"/>
          <w:szCs w:val="28"/>
        </w:rPr>
        <w:t xml:space="preserve">zstrādāt </w:t>
      </w:r>
      <w:r w:rsidR="005B264D" w:rsidRPr="00396566">
        <w:rPr>
          <w:rFonts w:cs="Times New Roman"/>
          <w:color w:val="000000"/>
          <w:sz w:val="28"/>
          <w:szCs w:val="28"/>
        </w:rPr>
        <w:t>izvērtējuma vadlīnijas</w:t>
      </w:r>
      <w:r w:rsidR="005B264D" w:rsidRPr="00396566">
        <w:rPr>
          <w:rFonts w:cs="Times New Roman"/>
          <w:iCs/>
          <w:sz w:val="28"/>
          <w:szCs w:val="28"/>
        </w:rPr>
        <w:t xml:space="preserve"> indicētās profilakses intervences programmai un indicētās profilakses </w:t>
      </w:r>
      <w:r w:rsidR="005B264D" w:rsidRPr="00396566">
        <w:rPr>
          <w:rFonts w:cs="Times New Roman"/>
          <w:color w:val="000000"/>
          <w:sz w:val="28"/>
          <w:szCs w:val="28"/>
        </w:rPr>
        <w:t>darbam interaktīvajā vidē, vēršot uzmanību uz pakalpojuma/programmas atbilstību labās prakses principiem (analizējot konkrētos gadījumus vai analizējot intervenču atbilstību labas prakses principiem</w:t>
      </w:r>
      <w:r w:rsidR="0001590C" w:rsidRPr="00396566">
        <w:rPr>
          <w:rFonts w:cs="Times New Roman"/>
          <w:color w:val="000000"/>
          <w:sz w:val="28"/>
          <w:szCs w:val="28"/>
        </w:rPr>
        <w:t>)</w:t>
      </w:r>
      <w:r w:rsidR="0001590C">
        <w:rPr>
          <w:rFonts w:cs="Times New Roman"/>
          <w:color w:val="000000"/>
          <w:sz w:val="28"/>
          <w:szCs w:val="28"/>
        </w:rPr>
        <w:t>;</w:t>
      </w:r>
    </w:p>
    <w:p w:rsidR="005B264D" w:rsidRPr="00F326C5" w:rsidRDefault="00962011" w:rsidP="006B036D">
      <w:pPr>
        <w:ind w:firstLine="709"/>
        <w:jc w:val="both"/>
        <w:rPr>
          <w:sz w:val="28"/>
          <w:szCs w:val="28"/>
        </w:rPr>
      </w:pPr>
      <w:r>
        <w:rPr>
          <w:sz w:val="28"/>
          <w:szCs w:val="28"/>
        </w:rPr>
        <w:t>5</w:t>
      </w:r>
      <w:r w:rsidR="006B036D">
        <w:rPr>
          <w:sz w:val="28"/>
          <w:szCs w:val="28"/>
        </w:rPr>
        <w:t xml:space="preserve">) </w:t>
      </w:r>
      <w:r w:rsidR="0001590C">
        <w:rPr>
          <w:sz w:val="28"/>
          <w:szCs w:val="28"/>
        </w:rPr>
        <w:t>i</w:t>
      </w:r>
      <w:r w:rsidR="0001590C" w:rsidRPr="00396566">
        <w:rPr>
          <w:sz w:val="28"/>
          <w:szCs w:val="28"/>
        </w:rPr>
        <w:t xml:space="preserve">esaistīt </w:t>
      </w:r>
      <w:r w:rsidR="00F040CB" w:rsidRPr="00396566">
        <w:rPr>
          <w:sz w:val="28"/>
          <w:szCs w:val="28"/>
        </w:rPr>
        <w:t>N</w:t>
      </w:r>
      <w:r w:rsidR="00F040CB">
        <w:rPr>
          <w:sz w:val="28"/>
          <w:szCs w:val="28"/>
        </w:rPr>
        <w:t>evalstiskās organizācijas</w:t>
      </w:r>
      <w:r w:rsidR="005B264D" w:rsidRPr="00396566">
        <w:rPr>
          <w:sz w:val="28"/>
          <w:szCs w:val="28"/>
        </w:rPr>
        <w:t xml:space="preserve">, kas realizē projektus atkarības profilaksē, ka arī </w:t>
      </w:r>
      <w:r w:rsidR="005B264D" w:rsidRPr="00396566">
        <w:rPr>
          <w:bCs/>
          <w:sz w:val="28"/>
          <w:szCs w:val="28"/>
        </w:rPr>
        <w:t xml:space="preserve">pašvaldību institūcijas (tajā skaitā, </w:t>
      </w:r>
      <w:r w:rsidR="005B264D" w:rsidRPr="00396566">
        <w:rPr>
          <w:sz w:val="28"/>
          <w:szCs w:val="28"/>
        </w:rPr>
        <w:t xml:space="preserve">Sociālo dienestu un skolas), </w:t>
      </w:r>
      <w:r w:rsidR="00DA1DD5">
        <w:rPr>
          <w:sz w:val="28"/>
          <w:szCs w:val="28"/>
        </w:rPr>
        <w:t>SPKC</w:t>
      </w:r>
      <w:r w:rsidR="005B264D" w:rsidRPr="00396566">
        <w:rPr>
          <w:sz w:val="28"/>
          <w:szCs w:val="28"/>
        </w:rPr>
        <w:t xml:space="preserve">, </w:t>
      </w:r>
      <w:r>
        <w:rPr>
          <w:sz w:val="28"/>
          <w:szCs w:val="28"/>
        </w:rPr>
        <w:t>VM</w:t>
      </w:r>
      <w:r w:rsidR="005B264D" w:rsidRPr="00396566">
        <w:rPr>
          <w:sz w:val="28"/>
          <w:szCs w:val="28"/>
        </w:rPr>
        <w:t xml:space="preserve">, </w:t>
      </w:r>
      <w:r w:rsidR="00F040CB">
        <w:rPr>
          <w:sz w:val="28"/>
          <w:szCs w:val="28"/>
        </w:rPr>
        <w:t>LM</w:t>
      </w:r>
      <w:r w:rsidR="005B264D" w:rsidRPr="00396566">
        <w:rPr>
          <w:sz w:val="28"/>
          <w:szCs w:val="28"/>
        </w:rPr>
        <w:t xml:space="preserve">, </w:t>
      </w:r>
      <w:r w:rsidR="005B264D" w:rsidRPr="00396566">
        <w:rPr>
          <w:bCs/>
          <w:sz w:val="28"/>
          <w:szCs w:val="28"/>
        </w:rPr>
        <w:t>Ārstniecības sektor</w:t>
      </w:r>
      <w:r w:rsidR="005B264D" w:rsidRPr="00F326C5">
        <w:rPr>
          <w:bCs/>
          <w:sz w:val="28"/>
          <w:szCs w:val="28"/>
        </w:rPr>
        <w:t>u</w:t>
      </w:r>
      <w:r w:rsidR="005B264D" w:rsidRPr="00F326C5">
        <w:rPr>
          <w:b/>
          <w:bCs/>
          <w:sz w:val="28"/>
          <w:szCs w:val="28"/>
        </w:rPr>
        <w:t xml:space="preserve"> </w:t>
      </w:r>
      <w:r w:rsidR="005B264D" w:rsidRPr="00F3362F">
        <w:rPr>
          <w:bCs/>
          <w:sz w:val="28"/>
          <w:szCs w:val="28"/>
        </w:rPr>
        <w:t>(</w:t>
      </w:r>
      <w:r w:rsidR="005920FE">
        <w:rPr>
          <w:sz w:val="28"/>
          <w:szCs w:val="28"/>
        </w:rPr>
        <w:t>RPNC</w:t>
      </w:r>
      <w:r w:rsidR="00697DCB" w:rsidRPr="00396566">
        <w:rPr>
          <w:sz w:val="28"/>
          <w:szCs w:val="28"/>
        </w:rPr>
        <w:t>)</w:t>
      </w:r>
      <w:r w:rsidR="005B264D" w:rsidRPr="00396566">
        <w:rPr>
          <w:sz w:val="28"/>
          <w:szCs w:val="28"/>
        </w:rPr>
        <w:t xml:space="preserve"> </w:t>
      </w:r>
      <w:r w:rsidR="005B264D" w:rsidRPr="00396566">
        <w:rPr>
          <w:sz w:val="28"/>
          <w:szCs w:val="28"/>
          <w:shd w:val="clear" w:color="auto" w:fill="FFFFFF"/>
        </w:rPr>
        <w:t xml:space="preserve">azartspēļu atkarības līmeņa un uzvedības monitoringa </w:t>
      </w:r>
      <w:r w:rsidR="005B264D" w:rsidRPr="00396566">
        <w:rPr>
          <w:sz w:val="28"/>
          <w:szCs w:val="28"/>
        </w:rPr>
        <w:t>analītiska rīka izstrādē un indicētās profilakses interaktīvās intervences programmas pārņemšanā un popular</w:t>
      </w:r>
      <w:r w:rsidR="005B264D" w:rsidRPr="00F326C5">
        <w:rPr>
          <w:sz w:val="28"/>
          <w:szCs w:val="28"/>
        </w:rPr>
        <w:t>izēšanā.</w:t>
      </w:r>
    </w:p>
    <w:p w:rsidR="00136D69" w:rsidRPr="0087512B" w:rsidRDefault="00136D69" w:rsidP="007571C1">
      <w:pPr>
        <w:rPr>
          <w:rFonts w:cs="Times New Roman"/>
          <w:sz w:val="28"/>
          <w:szCs w:val="28"/>
        </w:rPr>
      </w:pPr>
    </w:p>
    <w:p w:rsidR="00694594" w:rsidRDefault="00275AED" w:rsidP="00077CCD">
      <w:pPr>
        <w:pStyle w:val="Heading1"/>
        <w:numPr>
          <w:ilvl w:val="0"/>
          <w:numId w:val="36"/>
        </w:numPr>
        <w:spacing w:before="0"/>
        <w:ind w:left="0" w:firstLine="0"/>
        <w:jc w:val="center"/>
        <w:rPr>
          <w:rFonts w:ascii="Times New Roman" w:eastAsia="Times New Roman" w:hAnsi="Times New Roman" w:cs="Times New Roman"/>
          <w:b/>
          <w:color w:val="auto"/>
          <w:sz w:val="28"/>
          <w:szCs w:val="28"/>
          <w:lang w:eastAsia="lv-LV"/>
        </w:rPr>
      </w:pPr>
      <w:bookmarkStart w:id="75" w:name="_Toc18936847"/>
      <w:bookmarkStart w:id="76" w:name="_Toc19025043"/>
      <w:bookmarkStart w:id="77" w:name="_Toc19025692"/>
      <w:bookmarkStart w:id="78" w:name="_Toc19026267"/>
      <w:bookmarkStart w:id="79" w:name="_Toc19026841"/>
      <w:bookmarkStart w:id="80" w:name="_Toc19696568"/>
      <w:bookmarkStart w:id="81" w:name="_Toc19697144"/>
      <w:bookmarkStart w:id="82" w:name="_Toc19697722"/>
      <w:bookmarkStart w:id="83" w:name="_Toc19698299"/>
      <w:bookmarkStart w:id="84" w:name="_Toc18936872"/>
      <w:bookmarkStart w:id="85" w:name="_Toc19024346"/>
      <w:bookmarkStart w:id="86" w:name="_Toc19024416"/>
      <w:bookmarkStart w:id="87" w:name="_Toc19025068"/>
      <w:bookmarkStart w:id="88" w:name="_Toc19025717"/>
      <w:bookmarkStart w:id="89" w:name="_Toc19026292"/>
      <w:bookmarkStart w:id="90" w:name="_Toc19026866"/>
      <w:bookmarkStart w:id="91" w:name="_Toc19696593"/>
      <w:bookmarkStart w:id="92" w:name="_Toc19697169"/>
      <w:bookmarkStart w:id="93" w:name="_Toc19697747"/>
      <w:bookmarkStart w:id="94" w:name="_Toc19698324"/>
      <w:bookmarkStart w:id="95" w:name="_Toc18936873"/>
      <w:bookmarkStart w:id="96" w:name="_Toc19025069"/>
      <w:bookmarkStart w:id="97" w:name="_Toc19025718"/>
      <w:bookmarkStart w:id="98" w:name="_Toc19026293"/>
      <w:bookmarkStart w:id="99" w:name="_Toc19026867"/>
      <w:bookmarkStart w:id="100" w:name="_Toc19696594"/>
      <w:bookmarkStart w:id="101" w:name="_Toc19697170"/>
      <w:bookmarkStart w:id="102" w:name="_Toc19697748"/>
      <w:bookmarkStart w:id="103" w:name="_Toc19698325"/>
      <w:bookmarkStart w:id="104" w:name="_Toc18936874"/>
      <w:bookmarkStart w:id="105" w:name="_Toc19025070"/>
      <w:bookmarkStart w:id="106" w:name="_Toc19025719"/>
      <w:bookmarkStart w:id="107" w:name="_Toc19026294"/>
      <w:bookmarkStart w:id="108" w:name="_Toc19026868"/>
      <w:bookmarkStart w:id="109" w:name="_Toc19696595"/>
      <w:bookmarkStart w:id="110" w:name="_Toc19697171"/>
      <w:bookmarkStart w:id="111" w:name="_Toc19697749"/>
      <w:bookmarkStart w:id="112" w:name="_Toc19698326"/>
      <w:bookmarkStart w:id="113" w:name="_Toc18936875"/>
      <w:bookmarkStart w:id="114" w:name="_Toc19025071"/>
      <w:bookmarkStart w:id="115" w:name="_Toc19025720"/>
      <w:bookmarkStart w:id="116" w:name="_Toc19026295"/>
      <w:bookmarkStart w:id="117" w:name="_Toc19026869"/>
      <w:bookmarkStart w:id="118" w:name="_Toc19696596"/>
      <w:bookmarkStart w:id="119" w:name="_Toc19697172"/>
      <w:bookmarkStart w:id="120" w:name="_Toc19697750"/>
      <w:bookmarkStart w:id="121" w:name="_Toc19698327"/>
      <w:bookmarkStart w:id="122" w:name="_Toc18936876"/>
      <w:bookmarkStart w:id="123" w:name="_Toc19025072"/>
      <w:bookmarkStart w:id="124" w:name="_Toc19025721"/>
      <w:bookmarkStart w:id="125" w:name="_Toc19026296"/>
      <w:bookmarkStart w:id="126" w:name="_Toc19026870"/>
      <w:bookmarkStart w:id="127" w:name="_Toc19696597"/>
      <w:bookmarkStart w:id="128" w:name="_Toc19697173"/>
      <w:bookmarkStart w:id="129" w:name="_Toc19697751"/>
      <w:bookmarkStart w:id="130" w:name="_Toc19698328"/>
      <w:bookmarkStart w:id="131" w:name="_Toc18936877"/>
      <w:bookmarkStart w:id="132" w:name="_Toc19025073"/>
      <w:bookmarkStart w:id="133" w:name="_Toc19025722"/>
      <w:bookmarkStart w:id="134" w:name="_Toc19026297"/>
      <w:bookmarkStart w:id="135" w:name="_Toc19026871"/>
      <w:bookmarkStart w:id="136" w:name="_Toc19696598"/>
      <w:bookmarkStart w:id="137" w:name="_Toc19697174"/>
      <w:bookmarkStart w:id="138" w:name="_Toc19697752"/>
      <w:bookmarkStart w:id="139" w:name="_Toc19698329"/>
      <w:bookmarkStart w:id="140" w:name="_Toc18936878"/>
      <w:bookmarkStart w:id="141" w:name="_Toc19025074"/>
      <w:bookmarkStart w:id="142" w:name="_Toc19025723"/>
      <w:bookmarkStart w:id="143" w:name="_Toc19026298"/>
      <w:bookmarkStart w:id="144" w:name="_Toc19026872"/>
      <w:bookmarkStart w:id="145" w:name="_Toc19696599"/>
      <w:bookmarkStart w:id="146" w:name="_Toc19697175"/>
      <w:bookmarkStart w:id="147" w:name="_Toc19697753"/>
      <w:bookmarkStart w:id="148" w:name="_Toc19698330"/>
      <w:bookmarkStart w:id="149" w:name="_Toc18936879"/>
      <w:bookmarkStart w:id="150" w:name="_Toc19025075"/>
      <w:bookmarkStart w:id="151" w:name="_Toc19025724"/>
      <w:bookmarkStart w:id="152" w:name="_Toc19026299"/>
      <w:bookmarkStart w:id="153" w:name="_Toc19026873"/>
      <w:bookmarkStart w:id="154" w:name="_Toc19696600"/>
      <w:bookmarkStart w:id="155" w:name="_Toc19697176"/>
      <w:bookmarkStart w:id="156" w:name="_Toc19697754"/>
      <w:bookmarkStart w:id="157" w:name="_Toc19698331"/>
      <w:bookmarkStart w:id="158" w:name="_Toc18936880"/>
      <w:bookmarkStart w:id="159" w:name="_Toc19025076"/>
      <w:bookmarkStart w:id="160" w:name="_Toc19025725"/>
      <w:bookmarkStart w:id="161" w:name="_Toc19026300"/>
      <w:bookmarkStart w:id="162" w:name="_Toc19026874"/>
      <w:bookmarkStart w:id="163" w:name="_Toc19696601"/>
      <w:bookmarkStart w:id="164" w:name="_Toc19697177"/>
      <w:bookmarkStart w:id="165" w:name="_Toc19697755"/>
      <w:bookmarkStart w:id="166" w:name="_Toc19698332"/>
      <w:bookmarkStart w:id="167" w:name="_Toc18936881"/>
      <w:bookmarkStart w:id="168" w:name="_Toc19025077"/>
      <w:bookmarkStart w:id="169" w:name="_Toc19025726"/>
      <w:bookmarkStart w:id="170" w:name="_Toc19026301"/>
      <w:bookmarkStart w:id="171" w:name="_Toc19026875"/>
      <w:bookmarkStart w:id="172" w:name="_Toc19696602"/>
      <w:bookmarkStart w:id="173" w:name="_Toc19697178"/>
      <w:bookmarkStart w:id="174" w:name="_Toc19697756"/>
      <w:bookmarkStart w:id="175" w:name="_Toc19698333"/>
      <w:bookmarkStart w:id="176" w:name="_Toc18936882"/>
      <w:bookmarkStart w:id="177" w:name="_Toc19025078"/>
      <w:bookmarkStart w:id="178" w:name="_Toc19025727"/>
      <w:bookmarkStart w:id="179" w:name="_Toc19026302"/>
      <w:bookmarkStart w:id="180" w:name="_Toc19026876"/>
      <w:bookmarkStart w:id="181" w:name="_Toc19696603"/>
      <w:bookmarkStart w:id="182" w:name="_Toc19697179"/>
      <w:bookmarkStart w:id="183" w:name="_Toc19697757"/>
      <w:bookmarkStart w:id="184" w:name="_Toc19698334"/>
      <w:bookmarkStart w:id="185" w:name="_Toc18936883"/>
      <w:bookmarkStart w:id="186" w:name="_Toc19025079"/>
      <w:bookmarkStart w:id="187" w:name="_Toc19025728"/>
      <w:bookmarkStart w:id="188" w:name="_Toc19026303"/>
      <w:bookmarkStart w:id="189" w:name="_Toc19026877"/>
      <w:bookmarkStart w:id="190" w:name="_Toc19696604"/>
      <w:bookmarkStart w:id="191" w:name="_Toc19697180"/>
      <w:bookmarkStart w:id="192" w:name="_Toc19697758"/>
      <w:bookmarkStart w:id="193" w:name="_Toc19698335"/>
      <w:bookmarkStart w:id="194" w:name="_Toc18936884"/>
      <w:bookmarkStart w:id="195" w:name="_Toc19025080"/>
      <w:bookmarkStart w:id="196" w:name="_Toc19025729"/>
      <w:bookmarkStart w:id="197" w:name="_Toc19026304"/>
      <w:bookmarkStart w:id="198" w:name="_Toc19026878"/>
      <w:bookmarkStart w:id="199" w:name="_Toc19696605"/>
      <w:bookmarkStart w:id="200" w:name="_Toc19697181"/>
      <w:bookmarkStart w:id="201" w:name="_Toc19697759"/>
      <w:bookmarkStart w:id="202" w:name="_Toc19698336"/>
      <w:bookmarkStart w:id="203" w:name="_Toc18936885"/>
      <w:bookmarkStart w:id="204" w:name="_Toc19025081"/>
      <w:bookmarkStart w:id="205" w:name="_Toc19025730"/>
      <w:bookmarkStart w:id="206" w:name="_Toc19026305"/>
      <w:bookmarkStart w:id="207" w:name="_Toc19026879"/>
      <w:bookmarkStart w:id="208" w:name="_Toc19696606"/>
      <w:bookmarkStart w:id="209" w:name="_Toc19697182"/>
      <w:bookmarkStart w:id="210" w:name="_Toc19697760"/>
      <w:bookmarkStart w:id="211" w:name="_Toc19698337"/>
      <w:bookmarkStart w:id="212" w:name="_Toc18936886"/>
      <w:bookmarkStart w:id="213" w:name="_Toc19025082"/>
      <w:bookmarkStart w:id="214" w:name="_Toc19025731"/>
      <w:bookmarkStart w:id="215" w:name="_Toc19026306"/>
      <w:bookmarkStart w:id="216" w:name="_Toc19026880"/>
      <w:bookmarkStart w:id="217" w:name="_Toc19696607"/>
      <w:bookmarkStart w:id="218" w:name="_Toc19697183"/>
      <w:bookmarkStart w:id="219" w:name="_Toc19697761"/>
      <w:bookmarkStart w:id="220" w:name="_Toc19698338"/>
      <w:bookmarkStart w:id="221" w:name="_Toc18936887"/>
      <w:bookmarkStart w:id="222" w:name="_Toc19025083"/>
      <w:bookmarkStart w:id="223" w:name="_Toc19025732"/>
      <w:bookmarkStart w:id="224" w:name="_Toc19026307"/>
      <w:bookmarkStart w:id="225" w:name="_Toc19026881"/>
      <w:bookmarkStart w:id="226" w:name="_Toc19696608"/>
      <w:bookmarkStart w:id="227" w:name="_Toc19697184"/>
      <w:bookmarkStart w:id="228" w:name="_Toc19697762"/>
      <w:bookmarkStart w:id="229" w:name="_Toc19698339"/>
      <w:bookmarkStart w:id="230" w:name="_Toc18936888"/>
      <w:bookmarkStart w:id="231" w:name="_Toc19025084"/>
      <w:bookmarkStart w:id="232" w:name="_Toc19025733"/>
      <w:bookmarkStart w:id="233" w:name="_Toc19026308"/>
      <w:bookmarkStart w:id="234" w:name="_Toc19026882"/>
      <w:bookmarkStart w:id="235" w:name="_Toc19696609"/>
      <w:bookmarkStart w:id="236" w:name="_Toc19697185"/>
      <w:bookmarkStart w:id="237" w:name="_Toc19697763"/>
      <w:bookmarkStart w:id="238" w:name="_Toc19698340"/>
      <w:bookmarkStart w:id="239" w:name="_Toc18936889"/>
      <w:bookmarkStart w:id="240" w:name="_Toc19025085"/>
      <w:bookmarkStart w:id="241" w:name="_Toc19025734"/>
      <w:bookmarkStart w:id="242" w:name="_Toc19026309"/>
      <w:bookmarkStart w:id="243" w:name="_Toc19026883"/>
      <w:bookmarkStart w:id="244" w:name="_Toc19696610"/>
      <w:bookmarkStart w:id="245" w:name="_Toc19697186"/>
      <w:bookmarkStart w:id="246" w:name="_Toc19697764"/>
      <w:bookmarkStart w:id="247" w:name="_Toc19698341"/>
      <w:bookmarkStart w:id="248" w:name="_Toc18936890"/>
      <w:bookmarkStart w:id="249" w:name="_Toc19025086"/>
      <w:bookmarkStart w:id="250" w:name="_Toc19025735"/>
      <w:bookmarkStart w:id="251" w:name="_Toc19026310"/>
      <w:bookmarkStart w:id="252" w:name="_Toc19026884"/>
      <w:bookmarkStart w:id="253" w:name="_Toc19696611"/>
      <w:bookmarkStart w:id="254" w:name="_Toc19697187"/>
      <w:bookmarkStart w:id="255" w:name="_Toc19697765"/>
      <w:bookmarkStart w:id="256" w:name="_Toc19698342"/>
      <w:bookmarkStart w:id="257" w:name="_Toc18936891"/>
      <w:bookmarkStart w:id="258" w:name="_Toc19024365"/>
      <w:bookmarkStart w:id="259" w:name="_Toc19024435"/>
      <w:bookmarkStart w:id="260" w:name="_Toc19025087"/>
      <w:bookmarkStart w:id="261" w:name="_Toc19025736"/>
      <w:bookmarkStart w:id="262" w:name="_Toc19026311"/>
      <w:bookmarkStart w:id="263" w:name="_Toc19026885"/>
      <w:bookmarkStart w:id="264" w:name="_Toc19696612"/>
      <w:bookmarkStart w:id="265" w:name="_Toc19697188"/>
      <w:bookmarkStart w:id="266" w:name="_Toc19697766"/>
      <w:bookmarkStart w:id="267" w:name="_Toc19698343"/>
      <w:bookmarkStart w:id="268" w:name="_Toc18936892"/>
      <w:bookmarkStart w:id="269" w:name="_Toc19024366"/>
      <w:bookmarkStart w:id="270" w:name="_Toc19024436"/>
      <w:bookmarkStart w:id="271" w:name="_Toc19025088"/>
      <w:bookmarkStart w:id="272" w:name="_Toc19025737"/>
      <w:bookmarkStart w:id="273" w:name="_Toc19026312"/>
      <w:bookmarkStart w:id="274" w:name="_Toc19026886"/>
      <w:bookmarkStart w:id="275" w:name="_Toc19696613"/>
      <w:bookmarkStart w:id="276" w:name="_Toc19697189"/>
      <w:bookmarkStart w:id="277" w:name="_Toc19697767"/>
      <w:bookmarkStart w:id="278" w:name="_Toc19698344"/>
      <w:bookmarkStart w:id="279" w:name="_Toc18936893"/>
      <w:bookmarkStart w:id="280" w:name="_Toc19025089"/>
      <w:bookmarkStart w:id="281" w:name="_Toc19025738"/>
      <w:bookmarkStart w:id="282" w:name="_Toc19026313"/>
      <w:bookmarkStart w:id="283" w:name="_Toc19026887"/>
      <w:bookmarkStart w:id="284" w:name="_Toc19696614"/>
      <w:bookmarkStart w:id="285" w:name="_Toc19697190"/>
      <w:bookmarkStart w:id="286" w:name="_Toc19697768"/>
      <w:bookmarkStart w:id="287" w:name="_Toc19698345"/>
      <w:bookmarkStart w:id="288" w:name="_Toc18936894"/>
      <w:bookmarkStart w:id="289" w:name="_Toc19024368"/>
      <w:bookmarkStart w:id="290" w:name="_Toc19024438"/>
      <w:bookmarkStart w:id="291" w:name="_Toc19025090"/>
      <w:bookmarkStart w:id="292" w:name="_Toc19025739"/>
      <w:bookmarkStart w:id="293" w:name="_Toc19026314"/>
      <w:bookmarkStart w:id="294" w:name="_Toc19026888"/>
      <w:bookmarkStart w:id="295" w:name="_Toc19696615"/>
      <w:bookmarkStart w:id="296" w:name="_Toc19697191"/>
      <w:bookmarkStart w:id="297" w:name="_Toc19697769"/>
      <w:bookmarkStart w:id="298" w:name="_Toc19698346"/>
      <w:bookmarkStart w:id="299" w:name="_Toc18936895"/>
      <w:bookmarkStart w:id="300" w:name="_Toc19025091"/>
      <w:bookmarkStart w:id="301" w:name="_Toc19025740"/>
      <w:bookmarkStart w:id="302" w:name="_Toc19026315"/>
      <w:bookmarkStart w:id="303" w:name="_Toc19026889"/>
      <w:bookmarkStart w:id="304" w:name="_Toc19696616"/>
      <w:bookmarkStart w:id="305" w:name="_Toc19697192"/>
      <w:bookmarkStart w:id="306" w:name="_Toc19697770"/>
      <w:bookmarkStart w:id="307" w:name="_Toc19698347"/>
      <w:bookmarkStart w:id="308" w:name="_Toc18936896"/>
      <w:bookmarkStart w:id="309" w:name="_Toc19024370"/>
      <w:bookmarkStart w:id="310" w:name="_Toc19024440"/>
      <w:bookmarkStart w:id="311" w:name="_Toc19025092"/>
      <w:bookmarkStart w:id="312" w:name="_Toc19025741"/>
      <w:bookmarkStart w:id="313" w:name="_Toc19026316"/>
      <w:bookmarkStart w:id="314" w:name="_Toc19026890"/>
      <w:bookmarkStart w:id="315" w:name="_Toc19696617"/>
      <w:bookmarkStart w:id="316" w:name="_Toc19697193"/>
      <w:bookmarkStart w:id="317" w:name="_Toc19697771"/>
      <w:bookmarkStart w:id="318" w:name="_Toc19698348"/>
      <w:bookmarkStart w:id="319" w:name="_Toc18936897"/>
      <w:bookmarkStart w:id="320" w:name="_Toc19025093"/>
      <w:bookmarkStart w:id="321" w:name="_Toc19025742"/>
      <w:bookmarkStart w:id="322" w:name="_Toc19026317"/>
      <w:bookmarkStart w:id="323" w:name="_Toc19026891"/>
      <w:bookmarkStart w:id="324" w:name="_Toc19696618"/>
      <w:bookmarkStart w:id="325" w:name="_Toc19697194"/>
      <w:bookmarkStart w:id="326" w:name="_Toc19697772"/>
      <w:bookmarkStart w:id="327" w:name="_Toc19698349"/>
      <w:bookmarkStart w:id="328" w:name="_Toc18936898"/>
      <w:bookmarkStart w:id="329" w:name="_Toc19025094"/>
      <w:bookmarkStart w:id="330" w:name="_Toc19025743"/>
      <w:bookmarkStart w:id="331" w:name="_Toc19026318"/>
      <w:bookmarkStart w:id="332" w:name="_Toc19026892"/>
      <w:bookmarkStart w:id="333" w:name="_Toc19696619"/>
      <w:bookmarkStart w:id="334" w:name="_Toc19697195"/>
      <w:bookmarkStart w:id="335" w:name="_Toc19697773"/>
      <w:bookmarkStart w:id="336" w:name="_Toc19698350"/>
      <w:bookmarkStart w:id="337" w:name="_Toc18936899"/>
      <w:bookmarkStart w:id="338" w:name="_Toc19025095"/>
      <w:bookmarkStart w:id="339" w:name="_Toc19025744"/>
      <w:bookmarkStart w:id="340" w:name="_Toc19026319"/>
      <w:bookmarkStart w:id="341" w:name="_Toc19026893"/>
      <w:bookmarkStart w:id="342" w:name="_Toc19696620"/>
      <w:bookmarkStart w:id="343" w:name="_Toc19697196"/>
      <w:bookmarkStart w:id="344" w:name="_Toc19697774"/>
      <w:bookmarkStart w:id="345" w:name="_Toc19698351"/>
      <w:bookmarkStart w:id="346" w:name="_Toc18936900"/>
      <w:bookmarkStart w:id="347" w:name="_Toc19025096"/>
      <w:bookmarkStart w:id="348" w:name="_Toc19025745"/>
      <w:bookmarkStart w:id="349" w:name="_Toc19026320"/>
      <w:bookmarkStart w:id="350" w:name="_Toc19026894"/>
      <w:bookmarkStart w:id="351" w:name="_Toc19696621"/>
      <w:bookmarkStart w:id="352" w:name="_Toc19697197"/>
      <w:bookmarkStart w:id="353" w:name="_Toc19697775"/>
      <w:bookmarkStart w:id="354" w:name="_Toc19698352"/>
      <w:bookmarkStart w:id="355" w:name="_Toc18936901"/>
      <w:bookmarkStart w:id="356" w:name="_Toc19025097"/>
      <w:bookmarkStart w:id="357" w:name="_Toc19025746"/>
      <w:bookmarkStart w:id="358" w:name="_Toc19026321"/>
      <w:bookmarkStart w:id="359" w:name="_Toc19026895"/>
      <w:bookmarkStart w:id="360" w:name="_Toc19696622"/>
      <w:bookmarkStart w:id="361" w:name="_Toc19697198"/>
      <w:bookmarkStart w:id="362" w:name="_Toc19697776"/>
      <w:bookmarkStart w:id="363" w:name="_Toc19698353"/>
      <w:bookmarkStart w:id="364" w:name="_Toc18936902"/>
      <w:bookmarkStart w:id="365" w:name="_Toc19025098"/>
      <w:bookmarkStart w:id="366" w:name="_Toc19025747"/>
      <w:bookmarkStart w:id="367" w:name="_Toc19026322"/>
      <w:bookmarkStart w:id="368" w:name="_Toc19026896"/>
      <w:bookmarkStart w:id="369" w:name="_Toc19696623"/>
      <w:bookmarkStart w:id="370" w:name="_Toc19697199"/>
      <w:bookmarkStart w:id="371" w:name="_Toc19697777"/>
      <w:bookmarkStart w:id="372" w:name="_Toc19698354"/>
      <w:bookmarkStart w:id="373" w:name="_Toc18936903"/>
      <w:bookmarkStart w:id="374" w:name="_Toc19025099"/>
      <w:bookmarkStart w:id="375" w:name="_Toc19025748"/>
      <w:bookmarkStart w:id="376" w:name="_Toc19026323"/>
      <w:bookmarkStart w:id="377" w:name="_Toc19026897"/>
      <w:bookmarkStart w:id="378" w:name="_Toc19696624"/>
      <w:bookmarkStart w:id="379" w:name="_Toc19697200"/>
      <w:bookmarkStart w:id="380" w:name="_Toc19697778"/>
      <w:bookmarkStart w:id="381" w:name="_Toc19698355"/>
      <w:bookmarkStart w:id="382" w:name="_Toc18936904"/>
      <w:bookmarkStart w:id="383" w:name="_Toc19025100"/>
      <w:bookmarkStart w:id="384" w:name="_Toc19025749"/>
      <w:bookmarkStart w:id="385" w:name="_Toc19026324"/>
      <w:bookmarkStart w:id="386" w:name="_Toc19026898"/>
      <w:bookmarkStart w:id="387" w:name="_Toc19696625"/>
      <w:bookmarkStart w:id="388" w:name="_Toc19697201"/>
      <w:bookmarkStart w:id="389" w:name="_Toc19697779"/>
      <w:bookmarkStart w:id="390" w:name="_Toc19698356"/>
      <w:bookmarkStart w:id="391" w:name="_Toc18936905"/>
      <w:bookmarkStart w:id="392" w:name="_Toc19024379"/>
      <w:bookmarkStart w:id="393" w:name="_Toc19024449"/>
      <w:bookmarkStart w:id="394" w:name="_Toc19025101"/>
      <w:bookmarkStart w:id="395" w:name="_Toc19025750"/>
      <w:bookmarkStart w:id="396" w:name="_Toc19026325"/>
      <w:bookmarkStart w:id="397" w:name="_Toc19026899"/>
      <w:bookmarkStart w:id="398" w:name="_Toc19696626"/>
      <w:bookmarkStart w:id="399" w:name="_Toc19697202"/>
      <w:bookmarkStart w:id="400" w:name="_Toc19697780"/>
      <w:bookmarkStart w:id="401" w:name="_Toc19698357"/>
      <w:bookmarkStart w:id="402" w:name="_Toc18936906"/>
      <w:bookmarkStart w:id="403" w:name="_Toc19025102"/>
      <w:bookmarkStart w:id="404" w:name="_Toc19025751"/>
      <w:bookmarkStart w:id="405" w:name="_Toc19026326"/>
      <w:bookmarkStart w:id="406" w:name="_Toc19026900"/>
      <w:bookmarkStart w:id="407" w:name="_Toc19696627"/>
      <w:bookmarkStart w:id="408" w:name="_Toc19697203"/>
      <w:bookmarkStart w:id="409" w:name="_Toc19697781"/>
      <w:bookmarkStart w:id="410" w:name="_Toc19698358"/>
      <w:bookmarkStart w:id="411" w:name="_Toc18936907"/>
      <w:bookmarkStart w:id="412" w:name="_Toc19024381"/>
      <w:bookmarkStart w:id="413" w:name="_Toc19024451"/>
      <w:bookmarkStart w:id="414" w:name="_Toc19025103"/>
      <w:bookmarkStart w:id="415" w:name="_Toc19025752"/>
      <w:bookmarkStart w:id="416" w:name="_Toc19026327"/>
      <w:bookmarkStart w:id="417" w:name="_Toc19026901"/>
      <w:bookmarkStart w:id="418" w:name="_Toc19696628"/>
      <w:bookmarkStart w:id="419" w:name="_Toc19697204"/>
      <w:bookmarkStart w:id="420" w:name="_Toc19697782"/>
      <w:bookmarkStart w:id="421" w:name="_Toc19698359"/>
      <w:bookmarkStart w:id="422" w:name="_Toc56087187"/>
      <w:bookmarkStart w:id="423" w:name="_Hlk5329088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275AED">
        <w:rPr>
          <w:rFonts w:ascii="Times New Roman" w:eastAsia="Times New Roman" w:hAnsi="Times New Roman" w:cs="Times New Roman"/>
          <w:b/>
          <w:color w:val="auto"/>
          <w:sz w:val="28"/>
          <w:szCs w:val="28"/>
          <w:lang w:eastAsia="lv-LV"/>
        </w:rPr>
        <w:t>Azartspēļu un izložu reklāmas aizlieguma kontrole un vizuālā noformējuma prasības</w:t>
      </w:r>
      <w:bookmarkEnd w:id="422"/>
    </w:p>
    <w:p w:rsidR="00007230" w:rsidRPr="00A80C1E" w:rsidRDefault="00007230" w:rsidP="00956612">
      <w:pPr>
        <w:rPr>
          <w:lang w:eastAsia="lv-LV"/>
        </w:rPr>
      </w:pPr>
    </w:p>
    <w:p w:rsidR="004F4D67" w:rsidRDefault="00C90307" w:rsidP="009E0A36">
      <w:pPr>
        <w:pStyle w:val="Heading3"/>
        <w:numPr>
          <w:ilvl w:val="1"/>
          <w:numId w:val="36"/>
        </w:numPr>
        <w:tabs>
          <w:tab w:val="left" w:pos="426"/>
        </w:tabs>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bookmarkStart w:id="424" w:name="_Toc56087188"/>
      <w:r w:rsidR="004F4D67" w:rsidRPr="00C90307">
        <w:rPr>
          <w:rFonts w:ascii="Times New Roman" w:hAnsi="Times New Roman" w:cs="Times New Roman"/>
          <w:b/>
          <w:color w:val="auto"/>
          <w:sz w:val="28"/>
          <w:szCs w:val="28"/>
        </w:rPr>
        <w:t>“Zemes” azartspēles</w:t>
      </w:r>
      <w:bookmarkEnd w:id="424"/>
    </w:p>
    <w:p w:rsidR="00E45FB7" w:rsidRPr="00E45FB7" w:rsidRDefault="00E45FB7" w:rsidP="00E45FB7"/>
    <w:p w:rsidR="006F2D1D" w:rsidRPr="00A80C1E" w:rsidRDefault="006F2D1D" w:rsidP="00007230">
      <w:pPr>
        <w:ind w:firstLine="567"/>
        <w:jc w:val="both"/>
        <w:rPr>
          <w:i/>
          <w:sz w:val="28"/>
          <w:szCs w:val="28"/>
        </w:rPr>
      </w:pPr>
      <w:r w:rsidRPr="00A80C1E">
        <w:rPr>
          <w:i/>
          <w:sz w:val="28"/>
          <w:szCs w:val="28"/>
        </w:rPr>
        <w:t xml:space="preserve">Iestāžu kompetences sadalījums reklāmas aizlieguma kontrolē un aizlieguma neievērošana </w:t>
      </w:r>
    </w:p>
    <w:p w:rsidR="006F2D1D" w:rsidRPr="00956612" w:rsidRDefault="000255AF" w:rsidP="00007230">
      <w:pPr>
        <w:ind w:firstLine="567"/>
        <w:jc w:val="both"/>
        <w:rPr>
          <w:sz w:val="28"/>
          <w:szCs w:val="28"/>
        </w:rPr>
      </w:pPr>
      <w:r>
        <w:rPr>
          <w:sz w:val="28"/>
          <w:szCs w:val="28"/>
        </w:rPr>
        <w:t>AIL</w:t>
      </w:r>
      <w:r w:rsidR="006F2D1D" w:rsidRPr="00956612">
        <w:rPr>
          <w:sz w:val="28"/>
          <w:szCs w:val="28"/>
        </w:rPr>
        <w:t xml:space="preserve"> 41.panta piektā daļa nosaka, ka azartspēļu reklāma ir aizliegta ārpus azartspēļu organizēšanas vietām. Azartspēļu organizēšanas vietās atļauts norādīt tikai azartspēļu vietas nosaukumu un azartspēļu organizētāja reģistrētu preču zīmi.</w:t>
      </w:r>
    </w:p>
    <w:p w:rsidR="006F2D1D" w:rsidRPr="00956612" w:rsidRDefault="006F2D1D" w:rsidP="00007230">
      <w:pPr>
        <w:ind w:firstLine="567"/>
        <w:jc w:val="both"/>
        <w:rPr>
          <w:sz w:val="28"/>
          <w:szCs w:val="28"/>
        </w:rPr>
      </w:pPr>
      <w:r w:rsidRPr="00956612">
        <w:rPr>
          <w:sz w:val="28"/>
          <w:szCs w:val="28"/>
        </w:rPr>
        <w:t xml:space="preserve">No iepriekš minētā izriet, ka likumdevējs ir noteicis, ka vienīgais reklāmas veids, ko ir atļauts azartspēļu organizētājam izplatīt ārpus azartspēļu organizēšanas vietām (tikai tieši pie azartspēļu organizēšanas vietas), ir katra konkrētā azartspēļu </w:t>
      </w:r>
      <w:r w:rsidRPr="00956612">
        <w:rPr>
          <w:sz w:val="28"/>
          <w:szCs w:val="28"/>
        </w:rPr>
        <w:lastRenderedPageBreak/>
        <w:t xml:space="preserve">organizētāja reģistrētas preču zīmes attēlošana, tādējādi saskaņā ar </w:t>
      </w:r>
      <w:r w:rsidR="0001590C">
        <w:rPr>
          <w:sz w:val="28"/>
          <w:szCs w:val="28"/>
        </w:rPr>
        <w:t>Preču zīmju likuma</w:t>
      </w:r>
      <w:r w:rsidRPr="00956612">
        <w:rPr>
          <w:sz w:val="28"/>
          <w:szCs w:val="28"/>
        </w:rPr>
        <w:t xml:space="preserve"> 1.panta </w:t>
      </w:r>
      <w:r w:rsidR="0001590C">
        <w:rPr>
          <w:sz w:val="28"/>
          <w:szCs w:val="28"/>
        </w:rPr>
        <w:t>8</w:t>
      </w:r>
      <w:r w:rsidRPr="00956612">
        <w:rPr>
          <w:sz w:val="28"/>
          <w:szCs w:val="28"/>
        </w:rPr>
        <w:t xml:space="preserve">.punktu ļaujot ar šādu apzīmējumu atšķirt konkrētā uzņēmuma sniegtos pakalpojumus un informēt attiecīgo telpu apmeklētāju par šajās telpās sniegtajiem pakalpojumiem. </w:t>
      </w:r>
    </w:p>
    <w:p w:rsidR="006F2D1D" w:rsidRPr="00956612" w:rsidRDefault="006F2D1D" w:rsidP="004065EE">
      <w:pPr>
        <w:ind w:firstLine="567"/>
        <w:jc w:val="both"/>
        <w:rPr>
          <w:sz w:val="28"/>
          <w:szCs w:val="28"/>
        </w:rPr>
      </w:pPr>
      <w:r w:rsidRPr="00956612">
        <w:rPr>
          <w:sz w:val="28"/>
          <w:szCs w:val="28"/>
        </w:rPr>
        <w:t>Azartspēļu organizēšanas vietas</w:t>
      </w:r>
      <w:r w:rsidR="0001590C">
        <w:rPr>
          <w:sz w:val="28"/>
          <w:szCs w:val="28"/>
        </w:rPr>
        <w:t xml:space="preserve"> </w:t>
      </w:r>
      <w:r w:rsidRPr="00956612">
        <w:rPr>
          <w:sz w:val="28"/>
          <w:szCs w:val="28"/>
        </w:rPr>
        <w:t xml:space="preserve">saskaņā ar </w:t>
      </w:r>
      <w:r w:rsidR="00B51657">
        <w:rPr>
          <w:sz w:val="28"/>
          <w:szCs w:val="28"/>
        </w:rPr>
        <w:t>AIL</w:t>
      </w:r>
      <w:r w:rsidRPr="00956612">
        <w:rPr>
          <w:sz w:val="28"/>
          <w:szCs w:val="28"/>
        </w:rPr>
        <w:t xml:space="preserve"> 20.pantu</w:t>
      </w:r>
      <w:r w:rsidR="0001590C" w:rsidRPr="00956612">
        <w:rPr>
          <w:sz w:val="28"/>
          <w:szCs w:val="28"/>
        </w:rPr>
        <w:t xml:space="preserve"> </w:t>
      </w:r>
      <w:r w:rsidRPr="00956612">
        <w:rPr>
          <w:sz w:val="28"/>
          <w:szCs w:val="28"/>
        </w:rPr>
        <w:t xml:space="preserve">ir kazino, spēļu zāles, bingo zāles, kā arī totalizatora un derību likmju pieņemšanas vietas. Savukārt saskaņā ar </w:t>
      </w:r>
      <w:r w:rsidR="00B51657">
        <w:rPr>
          <w:sz w:val="28"/>
          <w:szCs w:val="28"/>
        </w:rPr>
        <w:t>AIL</w:t>
      </w:r>
      <w:r w:rsidRPr="00956612">
        <w:rPr>
          <w:sz w:val="28"/>
          <w:szCs w:val="28"/>
        </w:rPr>
        <w:t xml:space="preserve"> 50.pantu par azartspēļu organizēšanas vietu ir uzskatāma licencē norādītā interneta adrese.</w:t>
      </w:r>
    </w:p>
    <w:p w:rsidR="006F2D1D" w:rsidRPr="00956612" w:rsidRDefault="006F2D1D" w:rsidP="004065EE">
      <w:pPr>
        <w:ind w:firstLine="567"/>
        <w:jc w:val="both"/>
        <w:rPr>
          <w:sz w:val="28"/>
          <w:szCs w:val="28"/>
        </w:rPr>
      </w:pPr>
      <w:r w:rsidRPr="00956612">
        <w:rPr>
          <w:sz w:val="28"/>
          <w:szCs w:val="28"/>
        </w:rPr>
        <w:t>Reklāmas likuma</w:t>
      </w:r>
      <w:r w:rsidR="001E0D64">
        <w:rPr>
          <w:sz w:val="28"/>
          <w:szCs w:val="28"/>
        </w:rPr>
        <w:t xml:space="preserve"> (turpmāk – RL)</w:t>
      </w:r>
      <w:r w:rsidRPr="00956612">
        <w:rPr>
          <w:sz w:val="28"/>
          <w:szCs w:val="28"/>
        </w:rPr>
        <w:t xml:space="preserve"> 1.pants nosaka, ka reklāma ir ar saimniecisko vai profesionālo darbību saistīts jebkuras formas vai jebkura veida paziņojums vai pasākums, kura nolūks ir veicināt preču vai pakalpojumu (arī nekustamā īpašuma, tiesību un saistību) popularitāti vai pieprasījumu pēc tiem.</w:t>
      </w:r>
    </w:p>
    <w:p w:rsidR="006F2D1D" w:rsidRPr="00956612" w:rsidRDefault="001D2525" w:rsidP="004065EE">
      <w:pPr>
        <w:ind w:firstLine="567"/>
        <w:jc w:val="both"/>
        <w:rPr>
          <w:sz w:val="28"/>
          <w:szCs w:val="28"/>
        </w:rPr>
      </w:pPr>
      <w:r>
        <w:rPr>
          <w:sz w:val="28"/>
          <w:szCs w:val="28"/>
        </w:rPr>
        <w:t>RL</w:t>
      </w:r>
      <w:r w:rsidR="006F2D1D" w:rsidRPr="00956612">
        <w:rPr>
          <w:sz w:val="28"/>
          <w:szCs w:val="28"/>
        </w:rPr>
        <w:t xml:space="preserve"> 13.panta pirmā daļa nosaka, ka </w:t>
      </w:r>
      <w:r w:rsidR="006F2D1D" w:rsidRPr="00956612">
        <w:rPr>
          <w:iCs/>
          <w:sz w:val="28"/>
          <w:szCs w:val="28"/>
        </w:rPr>
        <w:t>šā likuma ievērošanu savas kompetences ietvaros uzrauga Patērētāju tiesību aizsardzības centrs</w:t>
      </w:r>
      <w:r w:rsidR="00602236">
        <w:rPr>
          <w:iCs/>
          <w:sz w:val="28"/>
          <w:szCs w:val="28"/>
        </w:rPr>
        <w:t xml:space="preserve"> (turpmāk – PTAC)</w:t>
      </w:r>
      <w:r w:rsidR="006F2D1D" w:rsidRPr="00956612">
        <w:rPr>
          <w:iCs/>
          <w:sz w:val="28"/>
          <w:szCs w:val="28"/>
        </w:rPr>
        <w:t xml:space="preserve">, Konkurences padome, </w:t>
      </w:r>
      <w:r w:rsidR="006F2D1D" w:rsidRPr="00956612">
        <w:rPr>
          <w:sz w:val="28"/>
          <w:szCs w:val="28"/>
        </w:rPr>
        <w:t>Nacionālā elektronisko plašsaziņas līdzekļu padome</w:t>
      </w:r>
      <w:r w:rsidR="0001590C">
        <w:rPr>
          <w:iCs/>
          <w:sz w:val="28"/>
          <w:szCs w:val="28"/>
        </w:rPr>
        <w:t>;</w:t>
      </w:r>
      <w:r w:rsidR="0001590C" w:rsidRPr="00956612">
        <w:rPr>
          <w:iCs/>
          <w:sz w:val="28"/>
          <w:szCs w:val="28"/>
        </w:rPr>
        <w:t xml:space="preserve"> </w:t>
      </w:r>
      <w:r w:rsidR="006F2D1D" w:rsidRPr="00956612">
        <w:rPr>
          <w:iCs/>
          <w:sz w:val="28"/>
          <w:szCs w:val="28"/>
        </w:rPr>
        <w:t>zāļu reklāmas jomā – Veselības inspekcija</w:t>
      </w:r>
      <w:r w:rsidR="0001590C">
        <w:rPr>
          <w:iCs/>
          <w:sz w:val="28"/>
          <w:szCs w:val="28"/>
        </w:rPr>
        <w:t>;</w:t>
      </w:r>
      <w:r w:rsidR="0001590C" w:rsidRPr="00956612">
        <w:rPr>
          <w:iCs/>
          <w:sz w:val="28"/>
          <w:szCs w:val="28"/>
        </w:rPr>
        <w:t xml:space="preserve"> </w:t>
      </w:r>
      <w:r w:rsidR="006F2D1D" w:rsidRPr="00956612">
        <w:rPr>
          <w:iCs/>
          <w:sz w:val="28"/>
          <w:szCs w:val="28"/>
        </w:rPr>
        <w:t>veterināro zāļu jomā – Pārtikas un veterinārais dienests</w:t>
      </w:r>
      <w:r w:rsidR="006F2D1D" w:rsidRPr="00956612">
        <w:rPr>
          <w:sz w:val="28"/>
          <w:szCs w:val="28"/>
        </w:rPr>
        <w:t>.</w:t>
      </w:r>
    </w:p>
    <w:p w:rsidR="006F2D1D" w:rsidRPr="00956612" w:rsidRDefault="006F2D1D" w:rsidP="004065EE">
      <w:pPr>
        <w:ind w:firstLine="567"/>
        <w:jc w:val="both"/>
        <w:rPr>
          <w:sz w:val="28"/>
          <w:szCs w:val="28"/>
        </w:rPr>
      </w:pPr>
      <w:r w:rsidRPr="00956612">
        <w:rPr>
          <w:sz w:val="28"/>
          <w:szCs w:val="28"/>
        </w:rPr>
        <w:t xml:space="preserve">Saskaņā ar </w:t>
      </w:r>
      <w:r w:rsidR="009554F1">
        <w:rPr>
          <w:sz w:val="28"/>
          <w:szCs w:val="28"/>
        </w:rPr>
        <w:t>RL</w:t>
      </w:r>
      <w:r w:rsidRPr="00956612">
        <w:rPr>
          <w:sz w:val="28"/>
          <w:szCs w:val="28"/>
        </w:rPr>
        <w:t xml:space="preserve">, IAUI nav kompetentā iestāde, kas lemj par </w:t>
      </w:r>
      <w:r w:rsidR="009554F1">
        <w:rPr>
          <w:sz w:val="28"/>
          <w:szCs w:val="28"/>
        </w:rPr>
        <w:t>RL</w:t>
      </w:r>
      <w:r w:rsidRPr="00956612">
        <w:rPr>
          <w:sz w:val="28"/>
          <w:szCs w:val="28"/>
        </w:rPr>
        <w:t xml:space="preserve"> pārkāpumiem </w:t>
      </w:r>
      <w:r w:rsidR="00C05024">
        <w:rPr>
          <w:sz w:val="28"/>
          <w:szCs w:val="28"/>
        </w:rPr>
        <w:t xml:space="preserve">azartspēļu un izložu jomā </w:t>
      </w:r>
      <w:r w:rsidRPr="00956612">
        <w:rPr>
          <w:sz w:val="28"/>
          <w:szCs w:val="28"/>
        </w:rPr>
        <w:t xml:space="preserve">vai interpretē šī likuma normas. </w:t>
      </w:r>
    </w:p>
    <w:p w:rsidR="006F2D1D" w:rsidRPr="00956612" w:rsidRDefault="006F2D1D" w:rsidP="004065EE">
      <w:pPr>
        <w:ind w:firstLine="567"/>
        <w:jc w:val="both"/>
        <w:rPr>
          <w:sz w:val="28"/>
          <w:szCs w:val="28"/>
        </w:rPr>
      </w:pPr>
      <w:r w:rsidRPr="00956612">
        <w:rPr>
          <w:sz w:val="28"/>
          <w:szCs w:val="28"/>
        </w:rPr>
        <w:t xml:space="preserve">Strauji attīstoties azartspēļu piedāvājumam, licencētie azartspēļu organizētāji bieži izmanto normatīvo aktu nepilnības vai maldīgu interpretāciju un reģistrē tādas preču zīmes, kas sastāv arī no pilniem teikumiem, saukļiem, interneta adrešu tiešām norādēm, mobilo aplikāciju lejupielādes iespējām u.c. informācijas. Ļoti plaši tiek reklamēti “sporta bāri”, </w:t>
      </w:r>
      <w:r w:rsidR="00FC0490">
        <w:rPr>
          <w:sz w:val="28"/>
          <w:szCs w:val="28"/>
        </w:rPr>
        <w:t>kuros ir iespējams skatīties sporta spēles un piedalīties totalizatorā, lai liktu likmi par konkrēto spēli</w:t>
      </w:r>
      <w:r w:rsidRPr="00956612">
        <w:rPr>
          <w:sz w:val="28"/>
          <w:szCs w:val="28"/>
        </w:rPr>
        <w:t xml:space="preserve">. </w:t>
      </w:r>
      <w:r w:rsidR="00D72C17">
        <w:rPr>
          <w:sz w:val="28"/>
          <w:szCs w:val="28"/>
        </w:rPr>
        <w:t>Preču zīmes – “sporta bārs”</w:t>
      </w:r>
      <w:r w:rsidRPr="00956612">
        <w:rPr>
          <w:sz w:val="28"/>
          <w:szCs w:val="28"/>
        </w:rPr>
        <w:t xml:space="preserve"> un to lietošana bieži tiek reģistrētas uz azartspēļu organizēšanu nesaistītiem komersantiem, tādējādi cenšoties </w:t>
      </w:r>
      <w:r w:rsidR="00767E9F">
        <w:rPr>
          <w:sz w:val="28"/>
          <w:szCs w:val="28"/>
        </w:rPr>
        <w:t>izvairīties no</w:t>
      </w:r>
      <w:r w:rsidR="00767E9F" w:rsidRPr="00956612">
        <w:rPr>
          <w:sz w:val="28"/>
          <w:szCs w:val="28"/>
        </w:rPr>
        <w:t xml:space="preserve"> </w:t>
      </w:r>
      <w:r w:rsidRPr="00956612">
        <w:rPr>
          <w:sz w:val="28"/>
          <w:szCs w:val="28"/>
        </w:rPr>
        <w:t>azartspēļu organizētājiem likumā noteikt</w:t>
      </w:r>
      <w:r w:rsidR="00767E9F">
        <w:rPr>
          <w:sz w:val="28"/>
          <w:szCs w:val="28"/>
        </w:rPr>
        <w:t>ā</w:t>
      </w:r>
      <w:r w:rsidRPr="00956612">
        <w:rPr>
          <w:sz w:val="28"/>
          <w:szCs w:val="28"/>
        </w:rPr>
        <w:t xml:space="preserve"> reklāmas izplatīšanas aizliegum</w:t>
      </w:r>
      <w:r w:rsidR="00767E9F">
        <w:rPr>
          <w:sz w:val="28"/>
          <w:szCs w:val="28"/>
        </w:rPr>
        <w:t>a</w:t>
      </w:r>
      <w:r w:rsidRPr="00956612">
        <w:rPr>
          <w:sz w:val="28"/>
          <w:szCs w:val="28"/>
        </w:rPr>
        <w:t>. Pēc IAUI rīcībā esošās informācijas, tieši dažādu pasākumu (jo īpaši sporta un izklaides) organizētāji pieņem un izplata azartspēļu reklāmu savu pasākumu laikā, izmantojot pasākumu vizuālajā noformējumā attiecīgas preču zīmes, norādes, krāsu un grafiskos salikumus.</w:t>
      </w:r>
    </w:p>
    <w:p w:rsidR="006F2D1D" w:rsidRPr="00956612" w:rsidRDefault="006F2D1D" w:rsidP="004065EE">
      <w:pPr>
        <w:ind w:firstLine="567"/>
        <w:jc w:val="both"/>
        <w:rPr>
          <w:sz w:val="28"/>
          <w:szCs w:val="28"/>
        </w:rPr>
      </w:pPr>
      <w:r w:rsidRPr="00956612">
        <w:rPr>
          <w:sz w:val="28"/>
          <w:szCs w:val="28"/>
        </w:rPr>
        <w:t>Ņemot vērā minēto, var secināt, ka preču zīmes, kā arī izkārtnes tieši reklamē interaktīvo azartspēļu organizētāju licencētās azartspēļu vietnes un tajās pieejamo azartspēļu spēlēšanu ārpus šīm interneta vietnēm.</w:t>
      </w:r>
    </w:p>
    <w:p w:rsidR="006F2D1D" w:rsidRPr="00956612" w:rsidRDefault="006F2D1D" w:rsidP="004065EE">
      <w:pPr>
        <w:ind w:firstLine="567"/>
        <w:jc w:val="both"/>
        <w:rPr>
          <w:sz w:val="28"/>
          <w:szCs w:val="28"/>
        </w:rPr>
      </w:pPr>
      <w:r w:rsidRPr="00956612">
        <w:rPr>
          <w:sz w:val="28"/>
          <w:szCs w:val="28"/>
        </w:rPr>
        <w:t xml:space="preserve">Par augstākminētajiem </w:t>
      </w:r>
      <w:r w:rsidR="00FB3969">
        <w:rPr>
          <w:sz w:val="28"/>
          <w:szCs w:val="28"/>
        </w:rPr>
        <w:t>RL</w:t>
      </w:r>
      <w:r w:rsidRPr="00956612">
        <w:rPr>
          <w:sz w:val="28"/>
          <w:szCs w:val="28"/>
        </w:rPr>
        <w:t xml:space="preserve"> pārkāpumiem </w:t>
      </w:r>
      <w:r w:rsidR="004065EE">
        <w:rPr>
          <w:sz w:val="28"/>
          <w:szCs w:val="28"/>
        </w:rPr>
        <w:t>IAUI</w:t>
      </w:r>
      <w:r w:rsidRPr="00956612">
        <w:rPr>
          <w:sz w:val="28"/>
          <w:szCs w:val="28"/>
        </w:rPr>
        <w:t xml:space="preserve"> ir informējusi </w:t>
      </w:r>
      <w:r w:rsidR="00602236">
        <w:rPr>
          <w:sz w:val="28"/>
          <w:szCs w:val="28"/>
        </w:rPr>
        <w:t>PTAC</w:t>
      </w:r>
      <w:r w:rsidRPr="00956612">
        <w:rPr>
          <w:sz w:val="28"/>
          <w:szCs w:val="28"/>
        </w:rPr>
        <w:t xml:space="preserve"> un Nacionālo elektronisko plašsaziņas līdzekļu padomi. </w:t>
      </w:r>
      <w:r w:rsidRPr="00E808BF">
        <w:rPr>
          <w:sz w:val="28"/>
          <w:szCs w:val="28"/>
        </w:rPr>
        <w:t xml:space="preserve">Savā atbildes vēstulē PTAC informē, ka vēstulē norādīto informāciju pieņem zināšanai vai norāda, ka </w:t>
      </w:r>
      <w:r w:rsidRPr="00E808BF">
        <w:rPr>
          <w:sz w:val="28"/>
          <w:szCs w:val="28"/>
          <w:u w:val="single"/>
        </w:rPr>
        <w:t>pirmšķietami</w:t>
      </w:r>
      <w:r w:rsidRPr="00E808BF">
        <w:rPr>
          <w:sz w:val="28"/>
          <w:szCs w:val="28"/>
        </w:rPr>
        <w:t xml:space="preserve"> nesaskata azartspēļu reklāmas pazīmes. PTAC aicina </w:t>
      </w:r>
      <w:r w:rsidR="00705918" w:rsidRPr="00E808BF">
        <w:rPr>
          <w:sz w:val="28"/>
          <w:szCs w:val="28"/>
        </w:rPr>
        <w:t>IAUI</w:t>
      </w:r>
      <w:r w:rsidRPr="00E808BF">
        <w:rPr>
          <w:sz w:val="28"/>
          <w:szCs w:val="28"/>
        </w:rPr>
        <w:t xml:space="preserve"> izvērtēt iespējas tās normatīvajos aktos noteiktās kompetences ietvaros veikt nepieciešamās darbības, kas ir saistītas ar azartspēļu organizēšanas prasību pārkāpumu novēršanu un nepieļaušanu.</w:t>
      </w:r>
      <w:r w:rsidRPr="00956612">
        <w:rPr>
          <w:sz w:val="28"/>
          <w:szCs w:val="28"/>
        </w:rPr>
        <w:t xml:space="preserve"> </w:t>
      </w:r>
    </w:p>
    <w:p w:rsidR="006F2D1D" w:rsidRPr="00956612" w:rsidRDefault="006F2D1D" w:rsidP="004065EE">
      <w:pPr>
        <w:ind w:firstLine="567"/>
        <w:jc w:val="both"/>
        <w:rPr>
          <w:sz w:val="28"/>
          <w:szCs w:val="28"/>
        </w:rPr>
      </w:pPr>
      <w:r w:rsidRPr="00956612">
        <w:rPr>
          <w:sz w:val="28"/>
          <w:szCs w:val="28"/>
        </w:rPr>
        <w:t xml:space="preserve">Atsevišķi vērtējama arī reklāma interaktīvajā vidē, kad reklāmas kontrole ir īstenojama </w:t>
      </w:r>
      <w:r w:rsidR="00DC5A6E">
        <w:rPr>
          <w:sz w:val="28"/>
          <w:szCs w:val="28"/>
        </w:rPr>
        <w:t>.</w:t>
      </w:r>
      <w:r w:rsidRPr="00956612">
        <w:rPr>
          <w:sz w:val="28"/>
          <w:szCs w:val="28"/>
        </w:rPr>
        <w:t xml:space="preserve">lv domēnu ietvaros (ņemot vērā </w:t>
      </w:r>
      <w:r w:rsidRPr="00956612">
        <w:rPr>
          <w:i/>
          <w:sz w:val="28"/>
          <w:szCs w:val="28"/>
        </w:rPr>
        <w:t>banneru</w:t>
      </w:r>
      <w:r w:rsidRPr="00956612">
        <w:rPr>
          <w:sz w:val="28"/>
          <w:szCs w:val="28"/>
        </w:rPr>
        <w:t xml:space="preserve">, </w:t>
      </w:r>
      <w:r w:rsidRPr="00956612">
        <w:rPr>
          <w:i/>
          <w:sz w:val="28"/>
          <w:szCs w:val="28"/>
        </w:rPr>
        <w:t>pop-up</w:t>
      </w:r>
      <w:r w:rsidRPr="00956612">
        <w:rPr>
          <w:sz w:val="28"/>
          <w:szCs w:val="28"/>
        </w:rPr>
        <w:t xml:space="preserve"> vai </w:t>
      </w:r>
      <w:r w:rsidRPr="00956612">
        <w:rPr>
          <w:i/>
          <w:sz w:val="28"/>
          <w:szCs w:val="28"/>
        </w:rPr>
        <w:t>spam</w:t>
      </w:r>
      <w:r w:rsidRPr="00956612">
        <w:rPr>
          <w:sz w:val="28"/>
          <w:szCs w:val="28"/>
        </w:rPr>
        <w:t xml:space="preserve"> iespējas, kad </w:t>
      </w:r>
      <w:r w:rsidRPr="00956612">
        <w:rPr>
          <w:sz w:val="28"/>
          <w:szCs w:val="28"/>
        </w:rPr>
        <w:lastRenderedPageBreak/>
        <w:t xml:space="preserve">mājaslapas turētājs nevar ietekmēt saturu vai nezina par tāda izvietošanu) un interneta specifikas dēļ reklāmas izvietotājs var ātri pāriet uz </w:t>
      </w:r>
      <w:r w:rsidRPr="00956612">
        <w:rPr>
          <w:i/>
          <w:sz w:val="28"/>
          <w:szCs w:val="28"/>
        </w:rPr>
        <w:t>com, eu, net</w:t>
      </w:r>
      <w:r w:rsidRPr="00956612">
        <w:rPr>
          <w:sz w:val="28"/>
          <w:szCs w:val="28"/>
        </w:rPr>
        <w:t xml:space="preserve"> utt. </w:t>
      </w:r>
    </w:p>
    <w:p w:rsidR="006F2D1D" w:rsidRPr="00956612" w:rsidRDefault="006F2D1D" w:rsidP="004065EE">
      <w:pPr>
        <w:ind w:firstLine="567"/>
        <w:jc w:val="both"/>
        <w:rPr>
          <w:rFonts w:cs="Times New Roman"/>
          <w:sz w:val="28"/>
          <w:szCs w:val="28"/>
        </w:rPr>
      </w:pPr>
      <w:r w:rsidRPr="00956612">
        <w:rPr>
          <w:sz w:val="28"/>
          <w:szCs w:val="28"/>
        </w:rPr>
        <w:t xml:space="preserve">Lai aizsargātu personu, kā arī visas sabiedrības intereses reklāmas jomā no maldinošas un normatīvajiem aktiem neatbilstošas reklāmas, to radītajām sekām un veicinātu godīgu konkurenci, nepieciešams novērst pretrunu </w:t>
      </w:r>
      <w:r w:rsidR="00817975">
        <w:rPr>
          <w:sz w:val="28"/>
          <w:szCs w:val="28"/>
        </w:rPr>
        <w:t>AIL</w:t>
      </w:r>
      <w:r w:rsidRPr="00956612">
        <w:rPr>
          <w:sz w:val="28"/>
          <w:szCs w:val="28"/>
        </w:rPr>
        <w:t xml:space="preserve"> deleģējumā un </w:t>
      </w:r>
      <w:r w:rsidR="00FB3969">
        <w:rPr>
          <w:sz w:val="28"/>
          <w:szCs w:val="28"/>
        </w:rPr>
        <w:t>RL</w:t>
      </w:r>
      <w:r w:rsidRPr="00956612">
        <w:rPr>
          <w:sz w:val="28"/>
          <w:szCs w:val="28"/>
        </w:rPr>
        <w:t xml:space="preserve"> deleģējumā, papildinot </w:t>
      </w:r>
      <w:r w:rsidR="00FB3969">
        <w:rPr>
          <w:sz w:val="28"/>
          <w:szCs w:val="28"/>
        </w:rPr>
        <w:t>RL</w:t>
      </w:r>
      <w:r w:rsidRPr="00956612">
        <w:rPr>
          <w:sz w:val="28"/>
          <w:szCs w:val="28"/>
        </w:rPr>
        <w:t xml:space="preserve"> 13.panta pirmo daļu, nosakot, ka savas kompetences </w:t>
      </w:r>
      <w:r w:rsidRPr="00956612">
        <w:rPr>
          <w:rFonts w:cs="Times New Roman"/>
          <w:sz w:val="28"/>
          <w:szCs w:val="28"/>
        </w:rPr>
        <w:t>ietvaros kontroli par azartspēļu un izložu reklāmas aizliegumu veic arī IAUI. Turklāt ir nepieciešams noteikt prasības attiecībā uz pre</w:t>
      </w:r>
      <w:r w:rsidR="00D25CB6">
        <w:rPr>
          <w:rFonts w:cs="Times New Roman"/>
          <w:sz w:val="28"/>
          <w:szCs w:val="28"/>
        </w:rPr>
        <w:t>č</w:t>
      </w:r>
      <w:r w:rsidRPr="00956612">
        <w:rPr>
          <w:rFonts w:cs="Times New Roman"/>
          <w:sz w:val="28"/>
          <w:szCs w:val="28"/>
        </w:rPr>
        <w:t xml:space="preserve">u zīmes saturu azartspēļu jomā, aizliedzot izmantot tekstu vai grafiskos elementus, kas var vedināt uz dalību spēlē. </w:t>
      </w:r>
    </w:p>
    <w:p w:rsidR="006F2D1D" w:rsidRPr="00956612" w:rsidRDefault="006F2D1D" w:rsidP="006F2D1D">
      <w:pPr>
        <w:jc w:val="both"/>
        <w:rPr>
          <w:rFonts w:cs="Times New Roman"/>
          <w:sz w:val="28"/>
          <w:szCs w:val="28"/>
        </w:rPr>
      </w:pPr>
    </w:p>
    <w:p w:rsidR="006F2D1D" w:rsidRPr="00956612" w:rsidRDefault="006F2D1D" w:rsidP="006F2D1D">
      <w:pPr>
        <w:jc w:val="both"/>
        <w:rPr>
          <w:rFonts w:cs="Times New Roman"/>
          <w:i/>
          <w:sz w:val="28"/>
          <w:szCs w:val="28"/>
        </w:rPr>
      </w:pPr>
      <w:r w:rsidRPr="00956612">
        <w:rPr>
          <w:rFonts w:cs="Times New Roman"/>
          <w:i/>
          <w:sz w:val="28"/>
          <w:szCs w:val="28"/>
        </w:rPr>
        <w:t xml:space="preserve">Azartspēļu zāļu fasādes un izkārtņu dizains </w:t>
      </w:r>
    </w:p>
    <w:p w:rsidR="006F2D1D" w:rsidRPr="00956612" w:rsidRDefault="006F2D1D" w:rsidP="006F2D1D">
      <w:pPr>
        <w:jc w:val="both"/>
        <w:rPr>
          <w:rFonts w:cs="Times New Roman"/>
          <w:i/>
          <w:sz w:val="28"/>
          <w:szCs w:val="28"/>
        </w:rPr>
      </w:pPr>
    </w:p>
    <w:p w:rsidR="006F2D1D" w:rsidRPr="00956612" w:rsidRDefault="006F2D1D" w:rsidP="004065EE">
      <w:pPr>
        <w:pStyle w:val="NoSpacing"/>
        <w:ind w:firstLine="567"/>
        <w:jc w:val="both"/>
        <w:rPr>
          <w:rFonts w:ascii="Times New Roman" w:hAnsi="Times New Roman"/>
          <w:sz w:val="28"/>
          <w:szCs w:val="28"/>
        </w:rPr>
      </w:pPr>
      <w:r w:rsidRPr="00956612">
        <w:rPr>
          <w:rFonts w:ascii="Times New Roman" w:hAnsi="Times New Roman"/>
          <w:sz w:val="28"/>
          <w:szCs w:val="28"/>
        </w:rPr>
        <w:t xml:space="preserve">Atbilstoši Nacionālā kultūras mantojuma pārvaldes apkopotai informācijai no Zviedrijas, Somijas, Dānijas un Lietuvas, secināms, ka atsevišķi, īpaši azartspēļu zāļu vizuālā noformējuma noteikumi šajās valstīs nav izstrādāti, tas tiek regulēts atbilstoši kultūras mantojuma saglabāšanas prasībām, kuru ievērošanu kontrolē valsts vai pašvaldība. Jāmin, ka Lietuvā tradicionāli spēļu zāles lielākoties ir izvietotas ārpus Viļņas vēsturiskā centra, savukārt Zviedrijā ir divi kazino, pa vienam viesnīcās Stokholmā un Sundsvālā. </w:t>
      </w:r>
    </w:p>
    <w:p w:rsidR="006F2D1D" w:rsidRPr="00956612" w:rsidRDefault="006F2D1D" w:rsidP="004065EE">
      <w:pPr>
        <w:pStyle w:val="NoSpacing"/>
        <w:ind w:firstLine="567"/>
        <w:jc w:val="both"/>
        <w:rPr>
          <w:rFonts w:ascii="Times New Roman" w:hAnsi="Times New Roman"/>
          <w:sz w:val="28"/>
          <w:szCs w:val="28"/>
        </w:rPr>
      </w:pPr>
      <w:r w:rsidRPr="00956612">
        <w:rPr>
          <w:rFonts w:ascii="Times New Roman" w:hAnsi="Times New Roman"/>
          <w:sz w:val="28"/>
          <w:szCs w:val="28"/>
        </w:rPr>
        <w:t>Dānij</w:t>
      </w:r>
      <w:r w:rsidR="00D25CB6">
        <w:rPr>
          <w:rFonts w:ascii="Times New Roman" w:hAnsi="Times New Roman"/>
          <w:sz w:val="28"/>
          <w:szCs w:val="28"/>
        </w:rPr>
        <w:t>ā</w:t>
      </w:r>
      <w:r w:rsidRPr="00956612">
        <w:rPr>
          <w:rFonts w:ascii="Times New Roman" w:hAnsi="Times New Roman"/>
          <w:sz w:val="28"/>
          <w:szCs w:val="28"/>
        </w:rPr>
        <w:t xml:space="preserve"> par kultūras mantojuma aizsardzību atbildīgā institūcija ir izstrādājusi vadlīnijas veikalu </w:t>
      </w:r>
      <w:r w:rsidR="006C59E1" w:rsidRPr="006B5887">
        <w:rPr>
          <w:rFonts w:ascii="Times New Roman" w:hAnsi="Times New Roman"/>
          <w:sz w:val="28"/>
          <w:szCs w:val="28"/>
        </w:rPr>
        <w:t>fasāžu</w:t>
      </w:r>
      <w:r w:rsidR="006C59E1" w:rsidRPr="006C59E1">
        <w:rPr>
          <w:rFonts w:ascii="Times New Roman" w:hAnsi="Times New Roman"/>
          <w:sz w:val="28"/>
          <w:szCs w:val="28"/>
        </w:rPr>
        <w:t xml:space="preserve"> </w:t>
      </w:r>
      <w:r w:rsidRPr="00956612">
        <w:rPr>
          <w:rFonts w:ascii="Times New Roman" w:hAnsi="Times New Roman"/>
          <w:sz w:val="28"/>
          <w:szCs w:val="28"/>
        </w:rPr>
        <w:t xml:space="preserve">un skatlogu noformējumam, atsevišķas vadlīnijas sagatavojot arī tieši veikalu fasāžu un skatlogu izgaismojumam, kas attiecas uz jebkādu vēsturiskajā centrā izvietotu iestādi. </w:t>
      </w:r>
    </w:p>
    <w:p w:rsidR="006F2D1D" w:rsidRPr="00956612" w:rsidRDefault="006F2D1D" w:rsidP="004065EE">
      <w:pPr>
        <w:pStyle w:val="NoSpacing"/>
        <w:ind w:firstLine="567"/>
        <w:jc w:val="both"/>
        <w:rPr>
          <w:rFonts w:ascii="Times New Roman" w:hAnsi="Times New Roman"/>
          <w:sz w:val="28"/>
          <w:szCs w:val="28"/>
        </w:rPr>
      </w:pPr>
      <w:r w:rsidRPr="00956612">
        <w:rPr>
          <w:rFonts w:ascii="Times New Roman" w:hAnsi="Times New Roman"/>
          <w:noProof/>
          <w:sz w:val="28"/>
          <w:szCs w:val="28"/>
          <w:lang w:val="es-ES"/>
        </w:rPr>
        <w:t>UNESCO Pasaules mantojuma komiteja ir atzinusi, ka Rīgas vēsturiskajam centram, ko veido samērā labi saglabājusies viduslaiku un vēlāko laiku pilsētas struktūra</w:t>
      </w:r>
      <w:r w:rsidR="00206499">
        <w:rPr>
          <w:rFonts w:ascii="Times New Roman" w:hAnsi="Times New Roman"/>
          <w:noProof/>
          <w:sz w:val="28"/>
          <w:szCs w:val="28"/>
          <w:lang w:val="es-ES"/>
        </w:rPr>
        <w:t>,</w:t>
      </w:r>
      <w:r w:rsidRPr="00956612">
        <w:rPr>
          <w:rFonts w:ascii="Times New Roman" w:hAnsi="Times New Roman"/>
          <w:noProof/>
          <w:sz w:val="28"/>
          <w:szCs w:val="28"/>
          <w:lang w:val="es-ES"/>
        </w:rPr>
        <w:t xml:space="preserve"> ir ievērojami universāla vērtība un to rada viduslaiku apbūve, jūgendstila arhitektūras daudzums un kvalitāte, kurai līdzīgas nav citur pasaulē, kā arī 19.gadsimta koka arhitektūra.</w:t>
      </w:r>
    </w:p>
    <w:p w:rsidR="006F2D1D" w:rsidRPr="00956612" w:rsidRDefault="006F2D1D" w:rsidP="004065EE">
      <w:pPr>
        <w:pStyle w:val="NoSpacing"/>
        <w:ind w:firstLine="567"/>
        <w:jc w:val="both"/>
        <w:rPr>
          <w:rFonts w:ascii="Times New Roman" w:hAnsi="Times New Roman"/>
          <w:noProof/>
          <w:sz w:val="28"/>
          <w:szCs w:val="28"/>
          <w:lang w:val="es-ES"/>
        </w:rPr>
      </w:pPr>
      <w:r w:rsidRPr="00956612">
        <w:rPr>
          <w:rFonts w:ascii="Times New Roman" w:hAnsi="Times New Roman"/>
          <w:sz w:val="28"/>
          <w:szCs w:val="28"/>
        </w:rPr>
        <w:t xml:space="preserve">Operatīvās vadlīnijas Pasaules mantojuma konvencijas ieviešanai skaidro pazīmes, kas definē vietas autentiskumu, tostarp </w:t>
      </w:r>
      <w:r w:rsidRPr="00956612">
        <w:rPr>
          <w:rFonts w:ascii="Times New Roman" w:hAnsi="Times New Roman"/>
          <w:noProof/>
          <w:sz w:val="28"/>
          <w:szCs w:val="28"/>
        </w:rPr>
        <w:t xml:space="preserve">forma un konstrukcija, materiāli un viela, </w:t>
      </w:r>
      <w:r w:rsidRPr="00956612">
        <w:rPr>
          <w:rFonts w:ascii="Times New Roman" w:hAnsi="Times New Roman"/>
          <w:noProof/>
          <w:sz w:val="28"/>
          <w:szCs w:val="28"/>
          <w:lang w:val="es-ES"/>
        </w:rPr>
        <w:t>lietojums un funkcija, tradīcijas, paņēmieni un apsaimniekošanas sistēmas, a</w:t>
      </w:r>
      <w:r w:rsidRPr="00956612">
        <w:rPr>
          <w:rFonts w:ascii="Times New Roman" w:hAnsi="Times New Roman"/>
          <w:noProof/>
          <w:sz w:val="28"/>
          <w:szCs w:val="28"/>
        </w:rPr>
        <w:t xml:space="preserve">trašanās vieta un apkārtne, valoda un citas nemateriālā mantojuma formas, </w:t>
      </w:r>
      <w:r w:rsidRPr="00956612">
        <w:rPr>
          <w:rFonts w:ascii="Times New Roman" w:hAnsi="Times New Roman"/>
          <w:sz w:val="28"/>
          <w:szCs w:val="28"/>
        </w:rPr>
        <w:t>raksturs un noskaņa</w:t>
      </w:r>
      <w:r w:rsidRPr="00956612">
        <w:rPr>
          <w:rFonts w:ascii="Times New Roman" w:hAnsi="Times New Roman"/>
          <w:sz w:val="28"/>
          <w:szCs w:val="28"/>
          <w:lang w:val="es-ES"/>
        </w:rPr>
        <w:t xml:space="preserve">, </w:t>
      </w:r>
      <w:r w:rsidRPr="00E808BF">
        <w:rPr>
          <w:rFonts w:ascii="Times New Roman" w:hAnsi="Times New Roman"/>
          <w:sz w:val="28"/>
          <w:szCs w:val="28"/>
        </w:rPr>
        <w:t>kā arī citi</w:t>
      </w:r>
      <w:r w:rsidRPr="00956612">
        <w:rPr>
          <w:rFonts w:ascii="Times New Roman" w:hAnsi="Times New Roman"/>
          <w:sz w:val="28"/>
          <w:szCs w:val="28"/>
          <w:lang w:val="es-ES"/>
        </w:rPr>
        <w:t xml:space="preserve"> </w:t>
      </w:r>
      <w:r w:rsidRPr="00956612">
        <w:rPr>
          <w:rFonts w:ascii="Times New Roman" w:hAnsi="Times New Roman"/>
          <w:noProof/>
          <w:sz w:val="28"/>
          <w:szCs w:val="28"/>
          <w:lang w:val="es-ES"/>
        </w:rPr>
        <w:t xml:space="preserve">apstākļi. </w:t>
      </w:r>
    </w:p>
    <w:p w:rsidR="006F2D1D" w:rsidRPr="00956612" w:rsidRDefault="006F2D1D" w:rsidP="004065EE">
      <w:pPr>
        <w:pStyle w:val="NoSpacing"/>
        <w:ind w:firstLine="567"/>
        <w:jc w:val="both"/>
        <w:rPr>
          <w:rFonts w:ascii="Times New Roman" w:hAnsi="Times New Roman"/>
          <w:sz w:val="28"/>
          <w:szCs w:val="28"/>
        </w:rPr>
      </w:pPr>
      <w:r w:rsidRPr="00956612">
        <w:rPr>
          <w:rFonts w:ascii="Times New Roman" w:hAnsi="Times New Roman"/>
          <w:sz w:val="28"/>
          <w:szCs w:val="28"/>
        </w:rPr>
        <w:t>Spēļu zāļu šā brīža ārējais veidols (aizlīmētie logu stikli, uzraksti, kurus var uztvert kā reklāmas utt</w:t>
      </w:r>
      <w:r w:rsidR="004065EE">
        <w:rPr>
          <w:rFonts w:ascii="Times New Roman" w:hAnsi="Times New Roman"/>
          <w:sz w:val="28"/>
          <w:szCs w:val="28"/>
        </w:rPr>
        <w:t>.</w:t>
      </w:r>
      <w:r w:rsidRPr="00956612">
        <w:rPr>
          <w:rFonts w:ascii="Times New Roman" w:hAnsi="Times New Roman"/>
          <w:sz w:val="28"/>
          <w:szCs w:val="28"/>
        </w:rPr>
        <w:t xml:space="preserve">) nav piemērots Rīgas vēsturiskā centra īpašajam raksturam un noskaņai, tāpēc nākotnē nepieciešams nodrošināt, lai skatlogu noformējums izceltu vērtības, nevis bojātu pilsētas kopējo publisko tēlu. </w:t>
      </w:r>
    </w:p>
    <w:p w:rsidR="006F2D1D" w:rsidRDefault="006F2D1D" w:rsidP="004065EE">
      <w:pPr>
        <w:pStyle w:val="Default"/>
        <w:ind w:firstLine="567"/>
        <w:jc w:val="both"/>
        <w:rPr>
          <w:sz w:val="28"/>
          <w:szCs w:val="28"/>
        </w:rPr>
      </w:pPr>
      <w:r w:rsidRPr="00956612">
        <w:rPr>
          <w:sz w:val="28"/>
          <w:szCs w:val="28"/>
        </w:rPr>
        <w:t xml:space="preserve">Rīgas vēsturiskajam centram, ņemot vērā tā īpašo nozīmi kultūrvēsturisko vērtību sistēmā, ir nepieciešama kvalitatīva, vienota publiskās ārtelpas (tajā skaitā skatlogu noformējuma) dizaina koncepcija, kura tiktu ņemta vērā pilsētas kopējā publiskā tēla veidošanas procesā. </w:t>
      </w:r>
    </w:p>
    <w:p w:rsidR="006B5AEA" w:rsidRPr="00956612" w:rsidRDefault="006B5AEA" w:rsidP="004065EE">
      <w:pPr>
        <w:pStyle w:val="Default"/>
        <w:ind w:firstLine="567"/>
        <w:jc w:val="both"/>
        <w:rPr>
          <w:sz w:val="28"/>
          <w:szCs w:val="28"/>
        </w:rPr>
      </w:pPr>
      <w:r w:rsidRPr="006B5AEA">
        <w:rPr>
          <w:sz w:val="28"/>
          <w:szCs w:val="28"/>
        </w:rPr>
        <w:t>Savukārt Latvijas pētījumā par procesu atkarībām aptaujātās personas norāda uz azartspēļu organizēšanas vietu izvietojuma blīvumu</w:t>
      </w:r>
      <w:r w:rsidR="00262429">
        <w:rPr>
          <w:sz w:val="28"/>
          <w:szCs w:val="28"/>
        </w:rPr>
        <w:t>,</w:t>
      </w:r>
      <w:r w:rsidR="00335F4A">
        <w:rPr>
          <w:sz w:val="28"/>
          <w:szCs w:val="28"/>
        </w:rPr>
        <w:t xml:space="preserve"> </w:t>
      </w:r>
      <w:r w:rsidRPr="006B5AEA">
        <w:rPr>
          <w:sz w:val="28"/>
          <w:szCs w:val="28"/>
        </w:rPr>
        <w:t>uzska</w:t>
      </w:r>
      <w:r w:rsidR="00335F4A">
        <w:rPr>
          <w:sz w:val="28"/>
          <w:szCs w:val="28"/>
        </w:rPr>
        <w:t>ta</w:t>
      </w:r>
      <w:r w:rsidRPr="006B5AEA">
        <w:rPr>
          <w:sz w:val="28"/>
          <w:szCs w:val="28"/>
        </w:rPr>
        <w:t xml:space="preserve"> </w:t>
      </w:r>
      <w:r w:rsidR="00262429">
        <w:rPr>
          <w:sz w:val="28"/>
          <w:szCs w:val="28"/>
        </w:rPr>
        <w:t xml:space="preserve">azartspēļu </w:t>
      </w:r>
      <w:r w:rsidR="00262429">
        <w:rPr>
          <w:sz w:val="28"/>
          <w:szCs w:val="28"/>
        </w:rPr>
        <w:lastRenderedPageBreak/>
        <w:t>organizēšanas vietas</w:t>
      </w:r>
      <w:r w:rsidR="00262429" w:rsidRPr="006B5AEA">
        <w:rPr>
          <w:sz w:val="28"/>
          <w:szCs w:val="28"/>
        </w:rPr>
        <w:t xml:space="preserve"> </w:t>
      </w:r>
      <w:r w:rsidR="00262429">
        <w:rPr>
          <w:sz w:val="28"/>
          <w:szCs w:val="28"/>
        </w:rPr>
        <w:t xml:space="preserve">par </w:t>
      </w:r>
      <w:r w:rsidRPr="006B5AEA">
        <w:rPr>
          <w:sz w:val="28"/>
          <w:szCs w:val="28"/>
        </w:rPr>
        <w:t xml:space="preserve">pārāk uzmācīgām, </w:t>
      </w:r>
      <w:r w:rsidR="00262429">
        <w:rPr>
          <w:sz w:val="28"/>
          <w:szCs w:val="28"/>
        </w:rPr>
        <w:t>dēļ</w:t>
      </w:r>
      <w:r w:rsidRPr="006B5AEA">
        <w:rPr>
          <w:sz w:val="28"/>
          <w:szCs w:val="28"/>
        </w:rPr>
        <w:t xml:space="preserve"> azartspēļu izkārtņu uzrakstiem. Turklāt risku rada azartspēļu organizēšanas vietu atrašanās tuvu dzīvesvietai (pieņemot, ka aptaujātais respondenta dzīvesvieta atrodas pilsētas mikrorajonā), nenovēršot iespēju izvairīties no vizuāla kontakta. Tādējādi secināms, ka azartspēļu organizēšanas vietu vizuālajam izskatam ir </w:t>
      </w:r>
      <w:r w:rsidR="00262429">
        <w:rPr>
          <w:sz w:val="28"/>
          <w:szCs w:val="28"/>
        </w:rPr>
        <w:t xml:space="preserve">ievērojama </w:t>
      </w:r>
      <w:r w:rsidRPr="006B5AEA">
        <w:rPr>
          <w:sz w:val="28"/>
          <w:szCs w:val="28"/>
        </w:rPr>
        <w:t>ietekme uz azartspēļu spēlētāja rīcību, kuru ir nepieciešamas novērst.</w:t>
      </w:r>
    </w:p>
    <w:p w:rsidR="006F2D1D" w:rsidRDefault="006B5AEA" w:rsidP="004065EE">
      <w:pPr>
        <w:pStyle w:val="Default"/>
        <w:ind w:firstLine="567"/>
        <w:jc w:val="both"/>
        <w:rPr>
          <w:sz w:val="28"/>
          <w:szCs w:val="28"/>
        </w:rPr>
      </w:pPr>
      <w:r>
        <w:rPr>
          <w:sz w:val="28"/>
          <w:szCs w:val="28"/>
        </w:rPr>
        <w:t>Vienlaikus</w:t>
      </w:r>
      <w:r w:rsidRPr="00956612">
        <w:rPr>
          <w:sz w:val="28"/>
          <w:szCs w:val="28"/>
        </w:rPr>
        <w:t xml:space="preserve"> </w:t>
      </w:r>
      <w:r w:rsidR="006F2D1D" w:rsidRPr="00956612">
        <w:rPr>
          <w:sz w:val="28"/>
          <w:szCs w:val="28"/>
        </w:rPr>
        <w:t>būtu nepieciešams pārskatīt aizlieguma atjaunošanu komersantiem</w:t>
      </w:r>
      <w:r w:rsidR="006F2D1D" w:rsidRPr="00956612">
        <w:rPr>
          <w:rStyle w:val="FootnoteReference"/>
          <w:sz w:val="28"/>
          <w:szCs w:val="28"/>
        </w:rPr>
        <w:footnoteReference w:id="77"/>
      </w:r>
      <w:r w:rsidR="006F2D1D" w:rsidRPr="00956612">
        <w:rPr>
          <w:sz w:val="28"/>
          <w:szCs w:val="28"/>
        </w:rPr>
        <w:t>, kas nodarbojas ar azartspēļu organizēšanu, izkārtn</w:t>
      </w:r>
      <w:r w:rsidR="00E808BF">
        <w:rPr>
          <w:sz w:val="28"/>
          <w:szCs w:val="28"/>
        </w:rPr>
        <w:t>e</w:t>
      </w:r>
      <w:r w:rsidR="006F2D1D" w:rsidRPr="00956612">
        <w:rPr>
          <w:sz w:val="28"/>
          <w:szCs w:val="28"/>
        </w:rPr>
        <w:t>s un fasādes apgaismošanai izmantot gaismas specefektus, piemēram, mirgojošās gaismas, gaismas vadus neona lampas u.tml. ar mērķi mazināt komersanta veiktās darbības pastiprinātu reklamēšanu, kā arī pastiprinātu apkārtējās uzmanības piesaistīšanu.</w:t>
      </w:r>
    </w:p>
    <w:p w:rsidR="006B5AEA" w:rsidRDefault="006B5AEA" w:rsidP="004065EE">
      <w:pPr>
        <w:pStyle w:val="Default"/>
        <w:ind w:firstLine="567"/>
        <w:jc w:val="both"/>
        <w:rPr>
          <w:sz w:val="28"/>
          <w:szCs w:val="28"/>
        </w:rPr>
      </w:pPr>
    </w:p>
    <w:p w:rsidR="006B5AEA" w:rsidRPr="007B7104" w:rsidRDefault="006B5AEA" w:rsidP="006B5AEA">
      <w:pPr>
        <w:pStyle w:val="Default"/>
        <w:ind w:firstLine="567"/>
        <w:jc w:val="both"/>
        <w:rPr>
          <w:sz w:val="28"/>
          <w:szCs w:val="28"/>
        </w:rPr>
      </w:pPr>
      <w:r w:rsidRPr="007B7104">
        <w:rPr>
          <w:i/>
          <w:sz w:val="28"/>
          <w:szCs w:val="28"/>
        </w:rPr>
        <w:t xml:space="preserve">Risinājums: </w:t>
      </w:r>
      <w:r w:rsidRPr="007B7104">
        <w:rPr>
          <w:sz w:val="28"/>
          <w:szCs w:val="28"/>
        </w:rPr>
        <w:t xml:space="preserve">Ministru kabineta noteikumos noteikt vienotas prasības azartspēļu </w:t>
      </w:r>
      <w:r>
        <w:rPr>
          <w:sz w:val="28"/>
          <w:szCs w:val="28"/>
        </w:rPr>
        <w:t>organizēšanas vietu</w:t>
      </w:r>
      <w:r w:rsidRPr="007B7104">
        <w:rPr>
          <w:sz w:val="28"/>
          <w:szCs w:val="28"/>
        </w:rPr>
        <w:t xml:space="preserve"> publiskās ārtelpas (tajā skaitā skatlogu noformējuma) dizainam. </w:t>
      </w:r>
    </w:p>
    <w:p w:rsidR="006B5AEA" w:rsidRDefault="006B5AEA" w:rsidP="006B5AEA">
      <w:pPr>
        <w:pStyle w:val="Default"/>
        <w:ind w:firstLine="567"/>
        <w:jc w:val="both"/>
        <w:rPr>
          <w:i/>
          <w:sz w:val="28"/>
          <w:szCs w:val="28"/>
        </w:rPr>
      </w:pPr>
    </w:p>
    <w:p w:rsidR="006B5AEA" w:rsidRPr="007B7104" w:rsidRDefault="006B5AEA" w:rsidP="006B5AEA">
      <w:pPr>
        <w:pStyle w:val="Default"/>
        <w:ind w:firstLine="567"/>
        <w:jc w:val="both"/>
        <w:rPr>
          <w:i/>
          <w:sz w:val="28"/>
          <w:szCs w:val="28"/>
        </w:rPr>
      </w:pPr>
      <w:r w:rsidRPr="007B7104">
        <w:rPr>
          <w:i/>
          <w:sz w:val="28"/>
          <w:szCs w:val="28"/>
        </w:rPr>
        <w:t>Risinājuma priekšrocības:</w:t>
      </w:r>
    </w:p>
    <w:p w:rsidR="006B5AEA" w:rsidRDefault="006B5AEA" w:rsidP="006B5AEA">
      <w:pPr>
        <w:pStyle w:val="Default"/>
        <w:numPr>
          <w:ilvl w:val="0"/>
          <w:numId w:val="67"/>
        </w:numPr>
        <w:jc w:val="both"/>
        <w:rPr>
          <w:sz w:val="28"/>
          <w:szCs w:val="28"/>
        </w:rPr>
      </w:pPr>
      <w:r w:rsidRPr="00AD12BE">
        <w:rPr>
          <w:sz w:val="28"/>
          <w:szCs w:val="28"/>
        </w:rPr>
        <w:t>Novēr</w:t>
      </w:r>
      <w:r>
        <w:rPr>
          <w:sz w:val="28"/>
          <w:szCs w:val="28"/>
        </w:rPr>
        <w:t>sts</w:t>
      </w:r>
      <w:r w:rsidRPr="00AD12BE">
        <w:rPr>
          <w:sz w:val="28"/>
          <w:szCs w:val="28"/>
        </w:rPr>
        <w:t xml:space="preserve"> azartspēļu zāļu </w:t>
      </w:r>
      <w:r>
        <w:rPr>
          <w:sz w:val="28"/>
          <w:szCs w:val="28"/>
        </w:rPr>
        <w:t>fasādes un izkārtņu dizaina pārlieku piesaistošais</w:t>
      </w:r>
      <w:r w:rsidRPr="00AD12BE">
        <w:rPr>
          <w:sz w:val="28"/>
          <w:szCs w:val="28"/>
        </w:rPr>
        <w:t xml:space="preserve"> izskat</w:t>
      </w:r>
      <w:r>
        <w:rPr>
          <w:sz w:val="28"/>
          <w:szCs w:val="28"/>
        </w:rPr>
        <w:t>s.</w:t>
      </w:r>
    </w:p>
    <w:p w:rsidR="006B5AEA" w:rsidRDefault="006B5AEA" w:rsidP="006B5AEA">
      <w:pPr>
        <w:pStyle w:val="Default"/>
        <w:numPr>
          <w:ilvl w:val="0"/>
          <w:numId w:val="67"/>
        </w:numPr>
        <w:jc w:val="both"/>
        <w:rPr>
          <w:sz w:val="28"/>
          <w:szCs w:val="28"/>
        </w:rPr>
      </w:pPr>
      <w:r w:rsidRPr="00C34891">
        <w:rPr>
          <w:sz w:val="28"/>
          <w:szCs w:val="28"/>
        </w:rPr>
        <w:t>Veicinā</w:t>
      </w:r>
      <w:r>
        <w:rPr>
          <w:sz w:val="28"/>
          <w:szCs w:val="28"/>
        </w:rPr>
        <w:t>ta</w:t>
      </w:r>
      <w:r w:rsidRPr="00C34891">
        <w:rPr>
          <w:sz w:val="28"/>
          <w:szCs w:val="28"/>
        </w:rPr>
        <w:t xml:space="preserve"> vienveidīg</w:t>
      </w:r>
      <w:r>
        <w:rPr>
          <w:sz w:val="28"/>
          <w:szCs w:val="28"/>
        </w:rPr>
        <w:t>a</w:t>
      </w:r>
      <w:r w:rsidRPr="00C34891">
        <w:rPr>
          <w:sz w:val="28"/>
          <w:szCs w:val="28"/>
        </w:rPr>
        <w:t xml:space="preserve"> tiesību normu piemērošan</w:t>
      </w:r>
      <w:r>
        <w:rPr>
          <w:sz w:val="28"/>
          <w:szCs w:val="28"/>
        </w:rPr>
        <w:t>a</w:t>
      </w:r>
      <w:r w:rsidRPr="00C34891">
        <w:rPr>
          <w:sz w:val="28"/>
          <w:szCs w:val="28"/>
        </w:rPr>
        <w:t>, nosak</w:t>
      </w:r>
      <w:r>
        <w:rPr>
          <w:sz w:val="28"/>
          <w:szCs w:val="28"/>
        </w:rPr>
        <w:t>ot vienotus</w:t>
      </w:r>
      <w:r w:rsidRPr="00C34891">
        <w:rPr>
          <w:sz w:val="28"/>
          <w:szCs w:val="28"/>
        </w:rPr>
        <w:t xml:space="preserve"> kritērijus</w:t>
      </w:r>
      <w:r>
        <w:rPr>
          <w:sz w:val="28"/>
          <w:szCs w:val="28"/>
        </w:rPr>
        <w:t xml:space="preserve"> azartspēļu organizēšanas vietām </w:t>
      </w:r>
      <w:r w:rsidRPr="00C34891">
        <w:rPr>
          <w:sz w:val="28"/>
          <w:szCs w:val="28"/>
        </w:rPr>
        <w:t>visā Latvijas teritorijā</w:t>
      </w:r>
      <w:r>
        <w:rPr>
          <w:sz w:val="28"/>
          <w:szCs w:val="28"/>
        </w:rPr>
        <w:t>.</w:t>
      </w:r>
    </w:p>
    <w:p w:rsidR="006B5AEA" w:rsidRPr="007B7104" w:rsidRDefault="006B5AEA" w:rsidP="006B5AEA">
      <w:pPr>
        <w:pStyle w:val="Default"/>
        <w:ind w:firstLine="567"/>
        <w:jc w:val="both"/>
        <w:rPr>
          <w:sz w:val="28"/>
          <w:szCs w:val="28"/>
        </w:rPr>
      </w:pPr>
    </w:p>
    <w:p w:rsidR="006B5AEA" w:rsidRDefault="006B5AEA" w:rsidP="006B5AEA">
      <w:pPr>
        <w:pStyle w:val="Default"/>
        <w:ind w:firstLine="567"/>
        <w:jc w:val="both"/>
        <w:rPr>
          <w:i/>
          <w:sz w:val="28"/>
          <w:szCs w:val="28"/>
        </w:rPr>
      </w:pPr>
      <w:r w:rsidRPr="007B7104">
        <w:rPr>
          <w:i/>
          <w:sz w:val="28"/>
          <w:szCs w:val="28"/>
        </w:rPr>
        <w:t>Risinājuma trūkumi:</w:t>
      </w:r>
    </w:p>
    <w:p w:rsidR="006B5AEA" w:rsidRDefault="006B5AEA" w:rsidP="006B5AEA">
      <w:pPr>
        <w:pStyle w:val="Default"/>
        <w:numPr>
          <w:ilvl w:val="0"/>
          <w:numId w:val="68"/>
        </w:numPr>
        <w:jc w:val="both"/>
        <w:rPr>
          <w:sz w:val="28"/>
          <w:szCs w:val="28"/>
        </w:rPr>
      </w:pPr>
      <w:r>
        <w:rPr>
          <w:sz w:val="28"/>
          <w:szCs w:val="28"/>
        </w:rPr>
        <w:t>Vienprātības risks – panākt vienošanos visām iesaistītajām pusēm – izstrādāt vienotus kritērijus azartspēļu organizēšanas vietu fasādes noformējumam.</w:t>
      </w:r>
    </w:p>
    <w:p w:rsidR="006B5AEA" w:rsidRDefault="006B5AEA" w:rsidP="006B5AEA">
      <w:pPr>
        <w:pStyle w:val="Default"/>
        <w:numPr>
          <w:ilvl w:val="0"/>
          <w:numId w:val="68"/>
        </w:numPr>
        <w:jc w:val="both"/>
        <w:rPr>
          <w:sz w:val="28"/>
          <w:szCs w:val="28"/>
        </w:rPr>
      </w:pPr>
      <w:r>
        <w:rPr>
          <w:sz w:val="28"/>
          <w:szCs w:val="28"/>
        </w:rPr>
        <w:t>Finanšu</w:t>
      </w:r>
      <w:r w:rsidRPr="00C34891">
        <w:rPr>
          <w:sz w:val="28"/>
          <w:szCs w:val="28"/>
        </w:rPr>
        <w:t xml:space="preserve"> ieguldījumi azartspēļu </w:t>
      </w:r>
      <w:r>
        <w:rPr>
          <w:sz w:val="28"/>
          <w:szCs w:val="28"/>
        </w:rPr>
        <w:t>organizēšanas vietu</w:t>
      </w:r>
      <w:r w:rsidRPr="00C34891">
        <w:rPr>
          <w:sz w:val="28"/>
          <w:szCs w:val="28"/>
        </w:rPr>
        <w:t xml:space="preserve"> </w:t>
      </w:r>
      <w:r>
        <w:rPr>
          <w:sz w:val="28"/>
          <w:szCs w:val="28"/>
        </w:rPr>
        <w:t>fasādes noformējuma</w:t>
      </w:r>
      <w:r w:rsidRPr="00C34891">
        <w:rPr>
          <w:sz w:val="28"/>
          <w:szCs w:val="28"/>
        </w:rPr>
        <w:t xml:space="preserve"> pielāgošanai jaunajām prasībām</w:t>
      </w:r>
      <w:r>
        <w:rPr>
          <w:sz w:val="28"/>
          <w:szCs w:val="28"/>
        </w:rPr>
        <w:t>.</w:t>
      </w:r>
    </w:p>
    <w:p w:rsidR="00335F4A" w:rsidRPr="00C34891" w:rsidRDefault="00335F4A" w:rsidP="00335F4A">
      <w:pPr>
        <w:pStyle w:val="Default"/>
        <w:ind w:left="927"/>
        <w:jc w:val="both"/>
        <w:rPr>
          <w:sz w:val="28"/>
          <w:szCs w:val="28"/>
        </w:rPr>
      </w:pPr>
    </w:p>
    <w:p w:rsidR="006F2D1D" w:rsidRPr="00956612" w:rsidRDefault="006F2D1D" w:rsidP="006F2D1D">
      <w:pPr>
        <w:ind w:right="42"/>
        <w:jc w:val="both"/>
        <w:rPr>
          <w:rFonts w:eastAsia="Times New Roman" w:cs="Times New Roman"/>
          <w:bCs/>
          <w:i/>
          <w:sz w:val="28"/>
          <w:szCs w:val="28"/>
          <w:lang w:eastAsia="lv-LV"/>
        </w:rPr>
      </w:pPr>
      <w:r w:rsidRPr="00956612">
        <w:rPr>
          <w:rFonts w:eastAsia="Times New Roman" w:cs="Times New Roman"/>
          <w:bCs/>
          <w:i/>
          <w:sz w:val="28"/>
          <w:szCs w:val="28"/>
          <w:lang w:eastAsia="lv-LV"/>
        </w:rPr>
        <w:t>Reklāmas ierobežojumu labā prakse un citu ES dalībvalstu pieredze</w:t>
      </w:r>
    </w:p>
    <w:p w:rsidR="006F2D1D" w:rsidRPr="00956612" w:rsidRDefault="006F2D1D" w:rsidP="006F2D1D">
      <w:pPr>
        <w:ind w:right="42"/>
        <w:jc w:val="both"/>
        <w:rPr>
          <w:rFonts w:eastAsia="Times New Roman" w:cs="Times New Roman"/>
          <w:bCs/>
          <w:i/>
          <w:sz w:val="28"/>
          <w:szCs w:val="28"/>
          <w:lang w:eastAsia="lv-LV"/>
        </w:rPr>
      </w:pPr>
    </w:p>
    <w:p w:rsidR="006F2D1D" w:rsidRPr="00956612" w:rsidRDefault="006F2D1D" w:rsidP="006F2D1D">
      <w:pPr>
        <w:ind w:right="42" w:firstLine="567"/>
        <w:jc w:val="both"/>
        <w:rPr>
          <w:rFonts w:eastAsia="Times New Roman" w:cs="Times New Roman"/>
          <w:bCs/>
          <w:sz w:val="28"/>
          <w:szCs w:val="28"/>
          <w:lang w:eastAsia="lv-LV"/>
        </w:rPr>
      </w:pPr>
      <w:r w:rsidRPr="00956612">
        <w:rPr>
          <w:rFonts w:eastAsia="Times New Roman" w:cs="Times New Roman"/>
          <w:bCs/>
          <w:sz w:val="28"/>
          <w:szCs w:val="28"/>
          <w:lang w:eastAsia="lv-LV"/>
        </w:rPr>
        <w:t>Pamatnostādnēs tika izvērtēta citu ES dalībvalstu pieredze, kā arī pieredze alkoholisko dzērienu, tabakas izstrādājumu, augu smēķēšanas produktu, elektronisko smēķēšanas ierīču reklāmas aizlieguma vai ierobežojumu tiesiskajā regulējumā Latvijā.</w:t>
      </w:r>
    </w:p>
    <w:p w:rsidR="006F2D1D" w:rsidRPr="00956612" w:rsidRDefault="006F2D1D" w:rsidP="006F2D1D">
      <w:pPr>
        <w:ind w:right="42" w:firstLine="567"/>
        <w:jc w:val="both"/>
        <w:rPr>
          <w:rFonts w:cs="Times New Roman"/>
          <w:sz w:val="28"/>
          <w:szCs w:val="28"/>
        </w:rPr>
      </w:pPr>
      <w:r w:rsidRPr="00956612">
        <w:rPr>
          <w:rFonts w:cs="Times New Roman"/>
          <w:sz w:val="28"/>
          <w:szCs w:val="28"/>
        </w:rPr>
        <w:t>Ārvalstu pieredz</w:t>
      </w:r>
      <w:r w:rsidR="0043681F">
        <w:rPr>
          <w:rFonts w:cs="Times New Roman"/>
          <w:sz w:val="28"/>
          <w:szCs w:val="28"/>
        </w:rPr>
        <w:t>ē</w:t>
      </w:r>
      <w:r w:rsidRPr="00956612">
        <w:rPr>
          <w:rFonts w:cs="Times New Roman"/>
          <w:sz w:val="28"/>
          <w:szCs w:val="28"/>
        </w:rPr>
        <w:t xml:space="preserve">, ierobežojot azartspēļu reklāmas, ir piemērots pilnīgs reklāmas aizliegums līdz daļējam ierobežojumam, paredzot rūpīgu kontroli, skaidri nosakot reklāmas saturu, reklamēšanas vietu un laiku, gan brīvu azartspēļu reklamēšanu dažādās informācijas platformās. </w:t>
      </w:r>
    </w:p>
    <w:p w:rsidR="006F2D1D" w:rsidRPr="00E808BF" w:rsidRDefault="006F2D1D" w:rsidP="006F2D1D">
      <w:pPr>
        <w:ind w:right="42" w:firstLine="567"/>
        <w:jc w:val="both"/>
        <w:rPr>
          <w:rFonts w:cs="Times New Roman"/>
          <w:sz w:val="28"/>
          <w:szCs w:val="28"/>
        </w:rPr>
      </w:pPr>
      <w:r w:rsidRPr="00956612">
        <w:rPr>
          <w:sz w:val="28"/>
          <w:szCs w:val="28"/>
        </w:rPr>
        <w:t xml:space="preserve">Trijās </w:t>
      </w:r>
      <w:r w:rsidR="00973B9D">
        <w:rPr>
          <w:sz w:val="28"/>
          <w:szCs w:val="28"/>
        </w:rPr>
        <w:t>ES</w:t>
      </w:r>
      <w:r w:rsidRPr="00956612">
        <w:rPr>
          <w:sz w:val="28"/>
          <w:szCs w:val="28"/>
        </w:rPr>
        <w:t xml:space="preserve"> valstīts (24 valstis, kas ir atsaukušās dalībai aptaujā) (Itālijā, Latvijā un Lietuvā) </w:t>
      </w:r>
      <w:r w:rsidRPr="00E808BF">
        <w:rPr>
          <w:sz w:val="28"/>
          <w:szCs w:val="28"/>
        </w:rPr>
        <w:t>azartspēļu reklāma ir pilnība aizliegta;</w:t>
      </w:r>
      <w:r w:rsidR="00764479">
        <w:rPr>
          <w:sz w:val="28"/>
          <w:szCs w:val="28"/>
        </w:rPr>
        <w:t xml:space="preserve"> </w:t>
      </w:r>
      <w:r w:rsidRPr="00E808BF">
        <w:rPr>
          <w:sz w:val="28"/>
          <w:szCs w:val="28"/>
        </w:rPr>
        <w:t xml:space="preserve">18 citās valstīs licencētiem operatoriem ir atļauts reklamēt savu pakalpojumu, ja reklāmas saturs atbilst </w:t>
      </w:r>
      <w:r w:rsidRPr="00E808BF">
        <w:rPr>
          <w:sz w:val="28"/>
          <w:szCs w:val="28"/>
        </w:rPr>
        <w:lastRenderedPageBreak/>
        <w:t>noteiktajam standartam, kas ir definēts regulējumā. Tas attiecas uz visiem eksistējošajiem reklāmas režīmiem, proti, ja pastāv valsts regulējums, jauktā tipa regulējums (valsts loma ir ierobežota), kā arī pašregulējums.</w:t>
      </w:r>
      <w:r w:rsidRPr="00E808BF">
        <w:rPr>
          <w:rStyle w:val="FootnoteReference"/>
          <w:sz w:val="28"/>
          <w:szCs w:val="28"/>
        </w:rPr>
        <w:footnoteReference w:id="78"/>
      </w:r>
    </w:p>
    <w:p w:rsidR="006F2D1D" w:rsidRPr="00E808BF" w:rsidRDefault="0043681F" w:rsidP="006F2D1D">
      <w:pPr>
        <w:ind w:right="42" w:firstLine="567"/>
        <w:jc w:val="both"/>
        <w:rPr>
          <w:rFonts w:cs="Times New Roman"/>
          <w:sz w:val="28"/>
          <w:szCs w:val="28"/>
        </w:rPr>
      </w:pPr>
      <w:r>
        <w:rPr>
          <w:rFonts w:cs="Times New Roman"/>
          <w:sz w:val="28"/>
          <w:szCs w:val="28"/>
        </w:rPr>
        <w:t>3</w:t>
      </w:r>
      <w:r w:rsidR="006F2D1D" w:rsidRPr="00E808BF">
        <w:rPr>
          <w:rFonts w:cs="Times New Roman"/>
          <w:sz w:val="28"/>
          <w:szCs w:val="28"/>
        </w:rPr>
        <w:t>.tabulā ir apkopota IAUI sniegtā informācija par totalizatora un derību reklāmas ierobežojumiem sporta pasākumos ES dalībvalstīs (</w:t>
      </w:r>
      <w:r w:rsidR="00F555A1">
        <w:rPr>
          <w:rFonts w:cs="Times New Roman"/>
          <w:sz w:val="28"/>
          <w:szCs w:val="28"/>
        </w:rPr>
        <w:t>2018.gads)</w:t>
      </w:r>
      <w:r w:rsidR="006F2D1D" w:rsidRPr="00E808BF">
        <w:rPr>
          <w:rFonts w:cs="Times New Roman"/>
          <w:sz w:val="28"/>
          <w:szCs w:val="28"/>
        </w:rPr>
        <w:t>. Analoģiski, izvērtējot iespējamo ietekmi uz sabiedrību un reklāmas aspektu aizlieguma samērīgumu, valstis nosaka reklāmas ierobežojumus citos azartspēļu veidos.</w:t>
      </w:r>
    </w:p>
    <w:p w:rsidR="006F2D1D" w:rsidRPr="00E808BF" w:rsidRDefault="0043681F" w:rsidP="006F2D1D">
      <w:pPr>
        <w:ind w:right="42"/>
        <w:jc w:val="right"/>
        <w:rPr>
          <w:rFonts w:cs="Times New Roman"/>
          <w:sz w:val="28"/>
          <w:szCs w:val="28"/>
        </w:rPr>
      </w:pPr>
      <w:r>
        <w:rPr>
          <w:rFonts w:cs="Times New Roman"/>
          <w:sz w:val="28"/>
          <w:szCs w:val="28"/>
        </w:rPr>
        <w:t>3</w:t>
      </w:r>
      <w:r w:rsidR="006F2D1D" w:rsidRPr="00E808BF">
        <w:rPr>
          <w:rFonts w:cs="Times New Roman"/>
          <w:sz w:val="28"/>
          <w:szCs w:val="28"/>
        </w:rPr>
        <w:t>.tabula</w:t>
      </w:r>
    </w:p>
    <w:p w:rsidR="006F2D1D" w:rsidRPr="00956612" w:rsidRDefault="006F2D1D" w:rsidP="006F2D1D">
      <w:pPr>
        <w:ind w:right="42"/>
        <w:jc w:val="center"/>
        <w:rPr>
          <w:rFonts w:cs="Times New Roman"/>
          <w:sz w:val="28"/>
          <w:szCs w:val="28"/>
        </w:rPr>
      </w:pPr>
      <w:r w:rsidRPr="00E808BF">
        <w:rPr>
          <w:rFonts w:cs="Times New Roman"/>
          <w:sz w:val="28"/>
          <w:szCs w:val="28"/>
        </w:rPr>
        <w:t>Azartspēļu reklāmas ierobežojumi sporta pasākumos ES dalībvalstīs</w:t>
      </w:r>
    </w:p>
    <w:tbl>
      <w:tblPr>
        <w:tblStyle w:val="TableGrid1"/>
        <w:tblW w:w="9351" w:type="dxa"/>
        <w:tblLook w:val="04A0" w:firstRow="1" w:lastRow="0" w:firstColumn="1" w:lastColumn="0" w:noHBand="0" w:noVBand="1"/>
      </w:tblPr>
      <w:tblGrid>
        <w:gridCol w:w="1600"/>
        <w:gridCol w:w="5902"/>
        <w:gridCol w:w="1849"/>
      </w:tblGrid>
      <w:tr w:rsidR="006F2D1D" w:rsidRPr="004065EE" w:rsidTr="00E767BE">
        <w:tc>
          <w:tcPr>
            <w:tcW w:w="1600" w:type="dxa"/>
          </w:tcPr>
          <w:p w:rsidR="006F2D1D" w:rsidRPr="00E808BF" w:rsidRDefault="006F2D1D" w:rsidP="0043681F">
            <w:pPr>
              <w:ind w:right="-60"/>
              <w:jc w:val="center"/>
              <w:rPr>
                <w:rFonts w:ascii="Times New Roman" w:hAnsi="Times New Roman" w:cs="Times New Roman"/>
                <w:b/>
                <w:sz w:val="28"/>
                <w:szCs w:val="28"/>
              </w:rPr>
            </w:pPr>
            <w:r w:rsidRPr="00E808BF">
              <w:rPr>
                <w:rFonts w:ascii="Times New Roman" w:hAnsi="Times New Roman" w:cs="Times New Roman"/>
                <w:b/>
                <w:sz w:val="28"/>
                <w:szCs w:val="28"/>
              </w:rPr>
              <w:t>Valsts</w:t>
            </w:r>
          </w:p>
        </w:tc>
        <w:tc>
          <w:tcPr>
            <w:tcW w:w="5902" w:type="dxa"/>
          </w:tcPr>
          <w:p w:rsidR="006F2D1D" w:rsidRPr="00E808BF" w:rsidRDefault="006F2D1D" w:rsidP="00AD7092">
            <w:pPr>
              <w:ind w:right="-483"/>
              <w:jc w:val="center"/>
              <w:rPr>
                <w:rFonts w:ascii="Times New Roman" w:hAnsi="Times New Roman" w:cs="Times New Roman"/>
                <w:b/>
                <w:sz w:val="28"/>
                <w:szCs w:val="28"/>
              </w:rPr>
            </w:pPr>
            <w:r w:rsidRPr="00E808BF">
              <w:rPr>
                <w:rFonts w:ascii="Times New Roman" w:hAnsi="Times New Roman" w:cs="Times New Roman"/>
                <w:b/>
                <w:sz w:val="28"/>
                <w:szCs w:val="28"/>
              </w:rPr>
              <w:t>Īss situācijas apraksts</w:t>
            </w:r>
          </w:p>
        </w:tc>
        <w:tc>
          <w:tcPr>
            <w:tcW w:w="1849" w:type="dxa"/>
          </w:tcPr>
          <w:p w:rsidR="006F2D1D" w:rsidRPr="00E808BF" w:rsidRDefault="006F2D1D" w:rsidP="00AD7092">
            <w:pPr>
              <w:ind w:right="-103"/>
              <w:jc w:val="center"/>
              <w:rPr>
                <w:rFonts w:ascii="Times New Roman" w:hAnsi="Times New Roman" w:cs="Times New Roman"/>
                <w:b/>
                <w:sz w:val="28"/>
                <w:szCs w:val="28"/>
              </w:rPr>
            </w:pPr>
            <w:r w:rsidRPr="00E808BF">
              <w:rPr>
                <w:rFonts w:ascii="Times New Roman" w:hAnsi="Times New Roman" w:cs="Times New Roman"/>
                <w:b/>
                <w:sz w:val="28"/>
                <w:szCs w:val="28"/>
              </w:rPr>
              <w:t>Reklāmas ierobežojuma līmenis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Īrija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Austrija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Bulgārija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Ir aizliegta tieša azartspēļu reklāma.</w:t>
            </w:r>
          </w:p>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Azartspēļu organizatoriem ir tiesības atbalstīt/sponsorēt sporta, kultūras, veselības aprūpes, izglītības un sociālās labklājības veicinošus pasākumus.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Čehija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Dānija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Pēc īpašas licences saņemšanas ir tiesības reklamēt azartspēles sporta pasākumos, ierobežojot tā satura pieejamību personām  ne jaunākām par 18 gadiem.</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Lielbritānija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Licencētiem azartspēļu operatoriem ir atļauts reklamēt azartspēles, kas saistītas ar sporta pasākumiem vai to translēšanas laikā, ar informācijas piekļuves ierobežojumiem bērniem.</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Igaunija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 xml:space="preserve">Paredzēti vietas, laika un informācijas ierobežojumi azartspēļu reklāmām. Igaunijas Azartspēļu likums ierobežo gan azartspēļu, gan sporta likmju, gan izložu reklāmu. Spēļu zāļu un kazino reklāma ir atļauta azartspēļu zālēs, kazino, reklāma ir atļauta uz kuģiem, prāmjiem, avioreisos un lidostās, ja vien kāda konkrēta kompānija nav </w:t>
            </w:r>
            <w:r w:rsidRPr="00E808BF">
              <w:rPr>
                <w:rFonts w:ascii="Times New Roman" w:hAnsi="Times New Roman" w:cs="Times New Roman"/>
                <w:sz w:val="28"/>
                <w:szCs w:val="28"/>
              </w:rPr>
              <w:lastRenderedPageBreak/>
              <w:t>noteikusi citu iekšējo kārtību. Azartspēļu reklāma atļauta viesnīcās, kuru teritorijā atļauta azartspēļu organizēšana. Visa veida spēļu reklāma atļauta konkrēto uzņēmumu mājas lapās. Visa veida spēļu reklāma, izmantojot telefonu vai e-pastus, ir atļauta, ja šī komunikācija atbilst Personas datu regulā noteiktajiem principiem. Sporta likmju reklāma un veiksmes spēļu reklāma, izložu (ierobežota informācija - zīmola komunikācija, mājas lapas adrese) ir atļauta, izņemot vietās, kas atrodas netālu no skolām, bērnudārziem, izņemot radio un televīzijā, izņemot žurnālu pirmos un pēdējos vākus. Reklāma nedrīkst saturēt aicinājumu uz aktīvu darbību, nedrīkst saturēt informāciju, kas rada priekštatu, ka spēlējot iespējams nopelnīt. Aizliegta jebkāda komunikācija TV raidlaikos, kad TV mēdz skatīties nepilngadīgas personas.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lastRenderedPageBreak/>
              <w:t>Aktīvs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Grieķija</w:t>
            </w:r>
          </w:p>
        </w:tc>
        <w:tc>
          <w:tcPr>
            <w:tcW w:w="5902" w:type="dxa"/>
          </w:tcPr>
          <w:p w:rsidR="006F2D1D" w:rsidRPr="00E808BF" w:rsidRDefault="006F2D1D" w:rsidP="00F47C3B">
            <w:pPr>
              <w:jc w:val="both"/>
              <w:rPr>
                <w:rFonts w:ascii="Times New Roman" w:hAnsi="Times New Roman" w:cs="Times New Roman"/>
                <w:sz w:val="28"/>
                <w:szCs w:val="28"/>
              </w:rPr>
            </w:pPr>
            <w:r w:rsidRPr="00E808BF">
              <w:rPr>
                <w:rFonts w:ascii="Times New Roman" w:hAnsi="Times New Roman" w:cs="Times New Roman"/>
                <w:sz w:val="28"/>
                <w:szCs w:val="28"/>
              </w:rPr>
              <w:t>Paredzēta likumdošana azartspēļu reklamēšanai sporta pasākumu laikā.</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Spānija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2012.gadā parakstīta vienošanās, nosakot rīcības kodeksu komercziņojumiem azartspēļu jomā.</w:t>
            </w:r>
          </w:p>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Rīcības kodeksā ir iekļauti daži ētikas standarti, kas uzņēmējiem jāievēro attiecībā uz azartspēļu komerciāliem paziņojumiem, ja tie ir lojalitātes, identifikācijas, patiesības, sociālās atbildības, atbildīgas spēles, nepilngadīgu personu aizsardzības un pašregulācijas principi audiovizuālo sakaru pakalpojumos un informācijas sabiedrības pakalpojumi. Tieši komerciālo komunikāciju pašregulējošie principi audiovizuālo sakaru pakalpojumos nosaka laika joslas, kurās azartspēļu reklāma ir atļauta atkarībā no spēles veida. Nav īpašu noteikumu par azartspēļu reklāmu sporta sacensībās, bet gan par sporta derību reklāmu.</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Kipra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rsidR="006F2D1D" w:rsidRPr="00E808BF" w:rsidRDefault="006F2D1D" w:rsidP="00AD7092">
            <w:pPr>
              <w:jc w:val="center"/>
              <w:rPr>
                <w:rFonts w:ascii="Times New Roman" w:hAnsi="Times New Roman" w:cs="Times New Roman"/>
                <w:sz w:val="28"/>
                <w:szCs w:val="28"/>
              </w:rPr>
            </w:pPr>
            <w:r w:rsidRPr="00427D08">
              <w:rPr>
                <w:rFonts w:ascii="Times New Roman" w:hAnsi="Times New Roman" w:cs="Times New Roman"/>
                <w:sz w:val="28"/>
                <w:szCs w:val="28"/>
              </w:rPr>
              <w:t>P</w:t>
            </w:r>
            <w:r w:rsidRPr="00E808BF">
              <w:rPr>
                <w:rFonts w:ascii="Times New Roman" w:hAnsi="Times New Roman" w:cs="Times New Roman"/>
                <w:sz w:val="28"/>
                <w:szCs w:val="28"/>
              </w:rPr>
              <w:t>asīvs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Horvātija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Ir atļauts reklamēt azartspēles sporta pasākumu laikā, bet aizliegts reklamēt azartspēles drukātajos un elektroniskajos medijos, kas pieejam</w:t>
            </w:r>
            <w:r w:rsidR="00F47C3B">
              <w:rPr>
                <w:rFonts w:ascii="Times New Roman" w:hAnsi="Times New Roman" w:cs="Times New Roman"/>
                <w:sz w:val="28"/>
                <w:szCs w:val="28"/>
              </w:rPr>
              <w:t>i</w:t>
            </w:r>
            <w:r w:rsidRPr="00E808BF">
              <w:rPr>
                <w:rFonts w:ascii="Times New Roman" w:hAnsi="Times New Roman" w:cs="Times New Roman"/>
                <w:sz w:val="28"/>
                <w:szCs w:val="28"/>
              </w:rPr>
              <w:t xml:space="preserve"> nepilngadīgām personām.</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lastRenderedPageBreak/>
              <w:t>Polija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Noteikti azartspēļu reklāmas ierobežojumi, to atrašanās vietām un tās saturam.</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Malta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Noteikti ierobežojumi azartspēļu reklāmām televīzijā un radio.</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Nīderlande</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Atbilstoši licencētiem uzņēmumiem ir atļauts reklamēt azartspēles sporta pasākumu laikā.</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Portugāle</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Ierobežojumi azartspēļu reklamēšanai skolās vai citās telpās, kur reklamētā informāciju būtu pieejama nepilngadīgām personām.</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Slovēnija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Aizliegts reklamēt vai veikt citas azartspēļu organizēšanas darbības, kurām nav valsts atbalsts.</w:t>
            </w:r>
          </w:p>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Pašlaik vienīgais tiešsaistes azartspēļu likumīgais pakalpojumu sniedzējs Slovēnijā ir nacionālā loterija, kā arī pastāv regulējums, kas aizliedz ārvalstu operatoriem reklamēt savus produktus Slovēnijas tirgū.</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Somija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Somijā pastāv monopola sistēma azartspēļu pakalpojumiem. Veikkaus Oy ir sabiedrība ar ierobežotu atbildību un pilnībā pieder valstij. Tai ir ekskluzīvas tiesības organizēt un popularizēt azartspēles.</w:t>
            </w:r>
          </w:p>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Veikkaus Oy ir atļauts reklamēt sporta pasākumos, ja šie pasākumi nav paredzēti nepilngadīgām personām. Somijā sporta notikumiem nav īpašu noteikumu par azartspēļu reklāmu.</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Ungārija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Azartspēļu reklāmas regulējums paredz ierobežojumus, kas ietver bērnu aizsardzību, nodrošinot, ka reklāmas izplata tikai licencēti komersanti.</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rsidTr="00E767BE">
        <w:tc>
          <w:tcPr>
            <w:tcW w:w="1600"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Vācija</w:t>
            </w:r>
          </w:p>
        </w:tc>
        <w:tc>
          <w:tcPr>
            <w:tcW w:w="5902" w:type="dxa"/>
          </w:tcPr>
          <w:p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Azartspēļu reklāma televīzijā nav atļauta tieši pirms sporta pasākuma tiešraides vai tā</w:t>
            </w:r>
            <w:r w:rsidR="00D92380">
              <w:rPr>
                <w:rFonts w:ascii="Times New Roman" w:hAnsi="Times New Roman" w:cs="Times New Roman"/>
                <w:sz w:val="28"/>
                <w:szCs w:val="28"/>
              </w:rPr>
              <w:t>s</w:t>
            </w:r>
            <w:r w:rsidRPr="00E808BF">
              <w:rPr>
                <w:rFonts w:ascii="Times New Roman" w:hAnsi="Times New Roman" w:cs="Times New Roman"/>
                <w:sz w:val="28"/>
                <w:szCs w:val="28"/>
              </w:rPr>
              <w:t xml:space="preserve"> laikā. Turklāt nav atļauts reklamēt sporta derības televīzijā un internetā, izmantojot aktīvos sportistus vai sporta pasākumu amatpersonas.</w:t>
            </w:r>
          </w:p>
        </w:tc>
        <w:tc>
          <w:tcPr>
            <w:tcW w:w="1849" w:type="dxa"/>
          </w:tcPr>
          <w:p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bl>
    <w:p w:rsidR="006F2D1D" w:rsidRPr="00956612" w:rsidRDefault="006F2D1D" w:rsidP="006F2D1D">
      <w:pPr>
        <w:widowControl w:val="0"/>
        <w:ind w:right="-99" w:firstLine="567"/>
        <w:jc w:val="both"/>
        <w:rPr>
          <w:rFonts w:cs="Times New Roman"/>
          <w:sz w:val="28"/>
          <w:szCs w:val="28"/>
        </w:rPr>
      </w:pPr>
    </w:p>
    <w:p w:rsidR="00C050E7" w:rsidRPr="00011194" w:rsidRDefault="00C050E7" w:rsidP="00956612">
      <w:pPr>
        <w:widowControl w:val="0"/>
        <w:ind w:firstLine="567"/>
        <w:jc w:val="both"/>
        <w:rPr>
          <w:rFonts w:eastAsia="Calibri" w:cs="Times New Roman"/>
          <w:sz w:val="28"/>
          <w:szCs w:val="28"/>
        </w:rPr>
      </w:pPr>
      <w:r w:rsidRPr="00011194">
        <w:rPr>
          <w:rFonts w:eastAsia="Calibri" w:cs="Times New Roman"/>
          <w:sz w:val="28"/>
          <w:szCs w:val="28"/>
        </w:rPr>
        <w:t>Ņemot vērā</w:t>
      </w:r>
      <w:r w:rsidR="0001590C">
        <w:rPr>
          <w:rFonts w:eastAsia="Calibri" w:cs="Times New Roman"/>
          <w:sz w:val="28"/>
          <w:szCs w:val="28"/>
        </w:rPr>
        <w:t xml:space="preserve"> to</w:t>
      </w:r>
      <w:r w:rsidRPr="00011194">
        <w:rPr>
          <w:rFonts w:eastAsia="Calibri" w:cs="Times New Roman"/>
          <w:sz w:val="28"/>
          <w:szCs w:val="28"/>
        </w:rPr>
        <w:t>, ka azartspēļu regulējums kļūst arvien aktuālāks saistībā ar azartspēļu straujo izplatību tiešsaistē, ES ir izstrādāti vienoti ieteikumi un dokumenti, ko dalībvalstīm vajadzētu ņemt vērā.</w:t>
      </w:r>
    </w:p>
    <w:p w:rsidR="00C050E7" w:rsidRPr="00011194" w:rsidRDefault="00C050E7" w:rsidP="00956612">
      <w:pPr>
        <w:widowControl w:val="0"/>
        <w:ind w:firstLine="567"/>
        <w:jc w:val="both"/>
        <w:rPr>
          <w:rFonts w:eastAsia="Calibri" w:cs="Times New Roman"/>
          <w:sz w:val="28"/>
          <w:szCs w:val="28"/>
        </w:rPr>
      </w:pPr>
      <w:r w:rsidRPr="00011194">
        <w:rPr>
          <w:rFonts w:cs="Times New Roman"/>
          <w:sz w:val="28"/>
          <w:szCs w:val="28"/>
        </w:rPr>
        <w:t xml:space="preserve">Viens no tematiem, kas tika apspriests Zaļajā grāmatā, bija tiešsaistes azartspēļu veicināšana jeb komercpaziņojumi, kurus azartspēļu organizatori izmanto, lai veicinātu azartspēles un ar tām saistītus pakalpojumus. Eiropas Komisija ir apkopojusi, ka visbiežāk interaktīvo azartspēļu jomā tiek izmantoti šādu veidu komercpaziņojumi: 1) TV reklāma; 2) reklāma presē; 3) tiešsaistes </w:t>
      </w:r>
      <w:r w:rsidRPr="00011194">
        <w:rPr>
          <w:rFonts w:cs="Times New Roman"/>
          <w:sz w:val="28"/>
          <w:szCs w:val="28"/>
        </w:rPr>
        <w:lastRenderedPageBreak/>
        <w:t>komercpaziņojumi; 4) noieta veicināšana (pie šī pieskaitāmas arī pakalpojumu loterijas, dažādas akcijas un visu veidu atlaides); 5) tiešā tirgvedība (piemēram, informatīvas e-pasta vēstules un SMS reģistrētiem klientiem pakalpojuma izmantošanas turpināšanai); 6) sponsorēšanas līgumi.</w:t>
      </w:r>
      <w:r w:rsidRPr="00011194">
        <w:rPr>
          <w:rStyle w:val="FootnoteReference"/>
          <w:sz w:val="28"/>
          <w:szCs w:val="28"/>
        </w:rPr>
        <w:footnoteReference w:id="79"/>
      </w:r>
      <w:r w:rsidRPr="00011194">
        <w:rPr>
          <w:rFonts w:cs="Times New Roman"/>
          <w:sz w:val="28"/>
          <w:szCs w:val="28"/>
        </w:rPr>
        <w:t xml:space="preserve"> ES dalībvalstīs pastāv šādu komercpaziņojumu ierobežojumi, sākot no vispārējiem aizliegumiem līdz tiešsaistes azartspēļu pakalpojumu satura prasībām reklamēšanai medijos. </w:t>
      </w:r>
    </w:p>
    <w:p w:rsidR="00C050E7" w:rsidRPr="00011194" w:rsidRDefault="00C050E7" w:rsidP="00956612">
      <w:pPr>
        <w:autoSpaceDE w:val="0"/>
        <w:autoSpaceDN w:val="0"/>
        <w:adjustRightInd w:val="0"/>
        <w:ind w:firstLine="567"/>
        <w:jc w:val="both"/>
        <w:rPr>
          <w:rFonts w:eastAsia="Calibri" w:cs="Times New Roman"/>
          <w:sz w:val="28"/>
          <w:szCs w:val="28"/>
        </w:rPr>
      </w:pPr>
      <w:r w:rsidRPr="00011194">
        <w:rPr>
          <w:rFonts w:eastAsia="Calibri" w:cs="Times New Roman"/>
          <w:sz w:val="28"/>
          <w:szCs w:val="28"/>
        </w:rPr>
        <w:t>2014.gada 14.jūlijā Eiropas Komisija publicēja ieteikumu par principiem, ko piemēro, lai aizsargātu tiešsaistes azartspēļu pakalpojumu patērētājus un spēlētājus un novērstu nepilngadīgu personu iesaistīšanos tiešsaistes azartspēlēs (2014/478/ES)</w:t>
      </w:r>
      <w:r w:rsidRPr="00011194">
        <w:rPr>
          <w:rStyle w:val="FootnoteReference"/>
          <w:rFonts w:eastAsia="Calibri"/>
          <w:sz w:val="28"/>
          <w:szCs w:val="28"/>
        </w:rPr>
        <w:footnoteReference w:id="80"/>
      </w:r>
      <w:r w:rsidRPr="00011194">
        <w:rPr>
          <w:rFonts w:eastAsia="Calibri" w:cs="Times New Roman"/>
          <w:sz w:val="28"/>
          <w:szCs w:val="28"/>
        </w:rPr>
        <w:t xml:space="preserve"> (turpmāk – EK ieteikums).</w:t>
      </w:r>
    </w:p>
    <w:p w:rsidR="00C050E7" w:rsidRPr="00011194" w:rsidRDefault="00C050E7">
      <w:pPr>
        <w:autoSpaceDE w:val="0"/>
        <w:autoSpaceDN w:val="0"/>
        <w:adjustRightInd w:val="0"/>
        <w:ind w:firstLine="567"/>
        <w:jc w:val="both"/>
        <w:rPr>
          <w:rFonts w:eastAsia="Calibri" w:cs="Times New Roman"/>
          <w:sz w:val="28"/>
          <w:szCs w:val="28"/>
        </w:rPr>
      </w:pPr>
      <w:r w:rsidRPr="00956612">
        <w:rPr>
          <w:sz w:val="28"/>
        </w:rPr>
        <w:t>Vis</w:t>
      </w:r>
      <w:r w:rsidRPr="00956612">
        <w:rPr>
          <w:rFonts w:hint="eastAsia"/>
          <w:sz w:val="28"/>
        </w:rPr>
        <w:t>ā</w:t>
      </w:r>
      <w:r w:rsidRPr="00956612">
        <w:rPr>
          <w:sz w:val="28"/>
        </w:rPr>
        <w:t>s dal</w:t>
      </w:r>
      <w:r w:rsidRPr="00956612">
        <w:rPr>
          <w:rFonts w:hint="eastAsia"/>
          <w:sz w:val="28"/>
        </w:rPr>
        <w:t>ī</w:t>
      </w:r>
      <w:r w:rsidRPr="00956612">
        <w:rPr>
          <w:sz w:val="28"/>
        </w:rPr>
        <w:t>bvalst</w:t>
      </w:r>
      <w:r w:rsidRPr="00956612">
        <w:rPr>
          <w:rFonts w:hint="eastAsia"/>
          <w:sz w:val="28"/>
        </w:rPr>
        <w:t>ī</w:t>
      </w:r>
      <w:r w:rsidRPr="00956612">
        <w:rPr>
          <w:sz w:val="28"/>
        </w:rPr>
        <w:t>s regul</w:t>
      </w:r>
      <w:r w:rsidRPr="00956612">
        <w:rPr>
          <w:rFonts w:hint="eastAsia"/>
          <w:sz w:val="28"/>
        </w:rPr>
        <w:t>ē</w:t>
      </w:r>
      <w:r w:rsidRPr="00956612">
        <w:rPr>
          <w:sz w:val="28"/>
        </w:rPr>
        <w:t>jum</w:t>
      </w:r>
      <w:r w:rsidRPr="00956612">
        <w:rPr>
          <w:rFonts w:hint="eastAsia"/>
          <w:sz w:val="28"/>
        </w:rPr>
        <w:t>ā</w:t>
      </w:r>
      <w:r w:rsidRPr="00956612">
        <w:rPr>
          <w:sz w:val="28"/>
        </w:rPr>
        <w:t xml:space="preserve"> tiek iek</w:t>
      </w:r>
      <w:r w:rsidRPr="00956612">
        <w:rPr>
          <w:rFonts w:hint="eastAsia"/>
          <w:sz w:val="28"/>
        </w:rPr>
        <w:t>ļ</w:t>
      </w:r>
      <w:r w:rsidRPr="00956612">
        <w:rPr>
          <w:sz w:val="28"/>
        </w:rPr>
        <w:t>auti ierobežojumi, lai daž</w:t>
      </w:r>
      <w:r w:rsidRPr="00956612">
        <w:rPr>
          <w:rFonts w:hint="eastAsia"/>
          <w:sz w:val="28"/>
        </w:rPr>
        <w:t>ā</w:t>
      </w:r>
      <w:r w:rsidRPr="00956612">
        <w:rPr>
          <w:sz w:val="28"/>
        </w:rPr>
        <w:t>dos veidos aizsarg</w:t>
      </w:r>
      <w:r w:rsidRPr="00956612">
        <w:rPr>
          <w:rFonts w:hint="eastAsia"/>
          <w:sz w:val="28"/>
        </w:rPr>
        <w:t>ā</w:t>
      </w:r>
      <w:r w:rsidRPr="00956612">
        <w:rPr>
          <w:sz w:val="28"/>
        </w:rPr>
        <w:t>tu nepilngad</w:t>
      </w:r>
      <w:r w:rsidRPr="00956612">
        <w:rPr>
          <w:rFonts w:hint="eastAsia"/>
          <w:sz w:val="28"/>
        </w:rPr>
        <w:t>ī</w:t>
      </w:r>
      <w:r w:rsidRPr="00956612">
        <w:rPr>
          <w:sz w:val="28"/>
        </w:rPr>
        <w:t>gos, t. i., b</w:t>
      </w:r>
      <w:r w:rsidRPr="00956612">
        <w:rPr>
          <w:rFonts w:hint="eastAsia"/>
          <w:sz w:val="28"/>
        </w:rPr>
        <w:t>ē</w:t>
      </w:r>
      <w:r w:rsidRPr="00956612">
        <w:rPr>
          <w:sz w:val="28"/>
        </w:rPr>
        <w:t>rnus un pusaudžus, no azartsp</w:t>
      </w:r>
      <w:r w:rsidRPr="00956612">
        <w:rPr>
          <w:rFonts w:hint="eastAsia"/>
          <w:sz w:val="28"/>
        </w:rPr>
        <w:t>ēļ</w:t>
      </w:r>
      <w:r w:rsidRPr="00956612">
        <w:rPr>
          <w:sz w:val="28"/>
        </w:rPr>
        <w:t>u riska visp</w:t>
      </w:r>
      <w:r w:rsidRPr="00956612">
        <w:rPr>
          <w:rFonts w:hint="eastAsia"/>
          <w:sz w:val="28"/>
        </w:rPr>
        <w:t>ā</w:t>
      </w:r>
      <w:r w:rsidRPr="00956612">
        <w:rPr>
          <w:sz w:val="28"/>
        </w:rPr>
        <w:t>r</w:t>
      </w:r>
      <w:r w:rsidRPr="00956612">
        <w:rPr>
          <w:rStyle w:val="FootnoteReference"/>
          <w:sz w:val="28"/>
        </w:rPr>
        <w:footnoteReference w:id="81"/>
      </w:r>
      <w:r w:rsidRPr="00956612">
        <w:rPr>
          <w:sz w:val="28"/>
        </w:rPr>
        <w:t>. Vecuma limiti azartsp</w:t>
      </w:r>
      <w:r w:rsidRPr="00956612">
        <w:rPr>
          <w:rFonts w:hint="eastAsia"/>
          <w:sz w:val="28"/>
        </w:rPr>
        <w:t>ē</w:t>
      </w:r>
      <w:r w:rsidRPr="00956612">
        <w:rPr>
          <w:sz w:val="28"/>
        </w:rPr>
        <w:t>l</w:t>
      </w:r>
      <w:r w:rsidRPr="00956612">
        <w:rPr>
          <w:rFonts w:hint="eastAsia"/>
          <w:sz w:val="28"/>
        </w:rPr>
        <w:t>ē</w:t>
      </w:r>
      <w:r w:rsidRPr="00956612">
        <w:rPr>
          <w:sz w:val="28"/>
        </w:rPr>
        <w:t>m var b</w:t>
      </w:r>
      <w:r w:rsidRPr="00956612">
        <w:rPr>
          <w:rFonts w:hint="eastAsia"/>
          <w:sz w:val="28"/>
        </w:rPr>
        <w:t>ū</w:t>
      </w:r>
      <w:r w:rsidRPr="00956612">
        <w:rPr>
          <w:sz w:val="28"/>
        </w:rPr>
        <w:t>t noteikti likum</w:t>
      </w:r>
      <w:r w:rsidRPr="00956612">
        <w:rPr>
          <w:rFonts w:hint="eastAsia"/>
          <w:sz w:val="28"/>
        </w:rPr>
        <w:t>ā</w:t>
      </w:r>
      <w:r w:rsidRPr="00956612">
        <w:rPr>
          <w:sz w:val="28"/>
        </w:rPr>
        <w:t xml:space="preserve"> vai licences noteikumos, un azartsp</w:t>
      </w:r>
      <w:r w:rsidRPr="00956612">
        <w:rPr>
          <w:rFonts w:hint="eastAsia"/>
          <w:sz w:val="28"/>
        </w:rPr>
        <w:t>ēļ</w:t>
      </w:r>
      <w:r w:rsidRPr="00956612">
        <w:rPr>
          <w:sz w:val="28"/>
        </w:rPr>
        <w:t>u organiz</w:t>
      </w:r>
      <w:r w:rsidRPr="00956612">
        <w:rPr>
          <w:rFonts w:hint="eastAsia"/>
          <w:sz w:val="28"/>
        </w:rPr>
        <w:t>ē</w:t>
      </w:r>
      <w:r w:rsidRPr="00956612">
        <w:rPr>
          <w:sz w:val="28"/>
        </w:rPr>
        <w:t>t</w:t>
      </w:r>
      <w:r w:rsidRPr="00956612">
        <w:rPr>
          <w:rFonts w:hint="eastAsia"/>
          <w:sz w:val="28"/>
        </w:rPr>
        <w:t>ā</w:t>
      </w:r>
      <w:r w:rsidRPr="00956612">
        <w:rPr>
          <w:sz w:val="28"/>
        </w:rPr>
        <w:t>jiem ir pien</w:t>
      </w:r>
      <w:r w:rsidRPr="00956612">
        <w:rPr>
          <w:rFonts w:hint="eastAsia"/>
          <w:sz w:val="28"/>
        </w:rPr>
        <w:t>ā</w:t>
      </w:r>
      <w:r w:rsidRPr="00956612">
        <w:rPr>
          <w:sz w:val="28"/>
        </w:rPr>
        <w:t>kums veikt vecuma verifik</w:t>
      </w:r>
      <w:r w:rsidRPr="00956612">
        <w:rPr>
          <w:rFonts w:hint="eastAsia"/>
          <w:sz w:val="28"/>
        </w:rPr>
        <w:t>ā</w:t>
      </w:r>
      <w:r w:rsidRPr="00956612">
        <w:rPr>
          <w:sz w:val="28"/>
        </w:rPr>
        <w:t>ciju. Vecuma limiti atseviš</w:t>
      </w:r>
      <w:r w:rsidRPr="00956612">
        <w:rPr>
          <w:rFonts w:hint="eastAsia"/>
          <w:sz w:val="28"/>
        </w:rPr>
        <w:t>ķā</w:t>
      </w:r>
      <w:r w:rsidRPr="00956612">
        <w:rPr>
          <w:sz w:val="28"/>
        </w:rPr>
        <w:t>s dal</w:t>
      </w:r>
      <w:r w:rsidRPr="00956612">
        <w:rPr>
          <w:rFonts w:hint="eastAsia"/>
          <w:sz w:val="28"/>
        </w:rPr>
        <w:t>ī</w:t>
      </w:r>
      <w:r w:rsidRPr="00956612">
        <w:rPr>
          <w:sz w:val="28"/>
        </w:rPr>
        <w:t>bvalst</w:t>
      </w:r>
      <w:r w:rsidRPr="00956612">
        <w:rPr>
          <w:rFonts w:hint="eastAsia"/>
          <w:sz w:val="28"/>
        </w:rPr>
        <w:t>ī</w:t>
      </w:r>
      <w:r w:rsidRPr="00956612">
        <w:rPr>
          <w:sz w:val="28"/>
        </w:rPr>
        <w:t>s var ar</w:t>
      </w:r>
      <w:r w:rsidRPr="00956612">
        <w:rPr>
          <w:rFonts w:hint="eastAsia"/>
          <w:sz w:val="28"/>
        </w:rPr>
        <w:t>ī</w:t>
      </w:r>
      <w:r w:rsidRPr="00956612">
        <w:rPr>
          <w:sz w:val="28"/>
        </w:rPr>
        <w:t xml:space="preserve"> main</w:t>
      </w:r>
      <w:r w:rsidRPr="00956612">
        <w:rPr>
          <w:rFonts w:hint="eastAsia"/>
          <w:sz w:val="28"/>
        </w:rPr>
        <w:t>ī</w:t>
      </w:r>
      <w:r w:rsidRPr="00956612">
        <w:rPr>
          <w:sz w:val="28"/>
        </w:rPr>
        <w:t>ties atkar</w:t>
      </w:r>
      <w:r w:rsidRPr="00956612">
        <w:rPr>
          <w:rFonts w:hint="eastAsia"/>
          <w:sz w:val="28"/>
        </w:rPr>
        <w:t>ī</w:t>
      </w:r>
      <w:r w:rsidRPr="00956612">
        <w:rPr>
          <w:sz w:val="28"/>
        </w:rPr>
        <w:t>b</w:t>
      </w:r>
      <w:r w:rsidRPr="00956612">
        <w:rPr>
          <w:rFonts w:hint="eastAsia"/>
          <w:sz w:val="28"/>
        </w:rPr>
        <w:t>ā</w:t>
      </w:r>
      <w:r w:rsidRPr="00956612">
        <w:rPr>
          <w:sz w:val="28"/>
        </w:rPr>
        <w:t xml:space="preserve"> no azartsp</w:t>
      </w:r>
      <w:r w:rsidRPr="00956612">
        <w:rPr>
          <w:rFonts w:hint="eastAsia"/>
          <w:sz w:val="28"/>
        </w:rPr>
        <w:t>ēļ</w:t>
      </w:r>
      <w:r w:rsidRPr="00956612">
        <w:rPr>
          <w:sz w:val="28"/>
        </w:rPr>
        <w:t>u pakalpojuma veida.</w:t>
      </w:r>
    </w:p>
    <w:p w:rsidR="00C050E7" w:rsidRPr="00011194" w:rsidRDefault="00C050E7" w:rsidP="00956612">
      <w:pPr>
        <w:widowControl w:val="0"/>
        <w:jc w:val="both"/>
        <w:rPr>
          <w:rFonts w:eastAsia="Calibri" w:cs="Times New Roman"/>
          <w:sz w:val="28"/>
          <w:szCs w:val="28"/>
        </w:rPr>
      </w:pPr>
      <w:r w:rsidRPr="00011194">
        <w:rPr>
          <w:rFonts w:cs="Times New Roman"/>
          <w:sz w:val="28"/>
          <w:szCs w:val="28"/>
        </w:rPr>
        <w:t xml:space="preserve">Atbilstoši </w:t>
      </w:r>
      <w:r w:rsidRPr="00011194">
        <w:rPr>
          <w:rFonts w:eastAsia="Calibri" w:cs="Times New Roman"/>
          <w:sz w:val="28"/>
          <w:szCs w:val="28"/>
        </w:rPr>
        <w:t>EK ieteikumam azartspēļu reklamēšanā jāievēro šādi principi</w:t>
      </w:r>
      <w:r w:rsidR="002A7C8A">
        <w:rPr>
          <w:rFonts w:eastAsia="Calibri" w:cs="Times New Roman"/>
          <w:sz w:val="28"/>
          <w:szCs w:val="28"/>
        </w:rPr>
        <w:t>:</w:t>
      </w:r>
    </w:p>
    <w:p w:rsidR="00C050E7" w:rsidRPr="0050296D" w:rsidRDefault="00C050E7" w:rsidP="0050296D">
      <w:pPr>
        <w:pStyle w:val="ListParagraph"/>
        <w:numPr>
          <w:ilvl w:val="0"/>
          <w:numId w:val="8"/>
        </w:numPr>
        <w:ind w:left="0" w:firstLine="709"/>
        <w:jc w:val="both"/>
        <w:rPr>
          <w:rFonts w:cs="Times New Roman"/>
          <w:sz w:val="28"/>
          <w:szCs w:val="28"/>
        </w:rPr>
      </w:pPr>
      <w:r w:rsidRPr="0050296D">
        <w:rPr>
          <w:rFonts w:cs="Times New Roman"/>
          <w:sz w:val="28"/>
          <w:szCs w:val="28"/>
        </w:rPr>
        <w:t>jānodrošina, ka tiešsaistes azartspēļu pakalpojumu komercpaziņojumi nekaitē nepilngadīgajām personām vai nemudina viņus uzlūkot azartspēles kā dabisku brīvā laika aktivitāti;</w:t>
      </w:r>
    </w:p>
    <w:p w:rsidR="00C050E7" w:rsidRPr="00011194" w:rsidRDefault="00C050E7" w:rsidP="0050296D">
      <w:pPr>
        <w:numPr>
          <w:ilvl w:val="0"/>
          <w:numId w:val="8"/>
        </w:numPr>
        <w:ind w:left="0" w:firstLine="709"/>
        <w:jc w:val="both"/>
        <w:rPr>
          <w:rFonts w:cs="Times New Roman"/>
          <w:sz w:val="28"/>
          <w:szCs w:val="28"/>
        </w:rPr>
      </w:pPr>
      <w:r w:rsidRPr="00011194">
        <w:rPr>
          <w:rFonts w:cs="Times New Roman"/>
          <w:sz w:val="28"/>
          <w:szCs w:val="28"/>
        </w:rPr>
        <w:t xml:space="preserve">komercpaziņojumos jāietver skaidrs ziņojums “nepilngadīgajām personām azartspēles nav atļautas”, kurā norādīts vecums, līdz kuram nav atļauts spēlēt azartspēles; </w:t>
      </w:r>
    </w:p>
    <w:p w:rsidR="00C050E7" w:rsidRPr="00011194" w:rsidRDefault="00C050E7" w:rsidP="0050296D">
      <w:pPr>
        <w:numPr>
          <w:ilvl w:val="0"/>
          <w:numId w:val="8"/>
        </w:numPr>
        <w:ind w:left="0" w:firstLine="709"/>
        <w:jc w:val="both"/>
        <w:rPr>
          <w:rFonts w:cs="Times New Roman"/>
          <w:sz w:val="28"/>
          <w:szCs w:val="28"/>
        </w:rPr>
      </w:pPr>
      <w:r w:rsidRPr="00011194">
        <w:rPr>
          <w:rFonts w:cs="Times New Roman"/>
          <w:sz w:val="28"/>
          <w:szCs w:val="28"/>
        </w:rPr>
        <w:t xml:space="preserve">jānodrošina noteikumi, kas paredz nepārraidīt, neizvietot vai neatbalstīt komercpaziņojumus: </w:t>
      </w:r>
    </w:p>
    <w:p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plašsaziņas līdzekļos vai ap programmu laiku, kad gaidāms, ka galvenā auditorija būs nepilngadīgās personas; </w:t>
      </w:r>
    </w:p>
    <w:p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nepilngadīgajām personām paredzētās tīmekļa vietnēs; </w:t>
      </w:r>
    </w:p>
    <w:p w:rsidR="00C050E7" w:rsidRPr="00956612" w:rsidRDefault="00C050E7" w:rsidP="0039139E">
      <w:pPr>
        <w:numPr>
          <w:ilvl w:val="1"/>
          <w:numId w:val="8"/>
        </w:numPr>
        <w:ind w:left="0" w:firstLine="1134"/>
        <w:jc w:val="both"/>
        <w:rPr>
          <w:sz w:val="28"/>
        </w:rPr>
      </w:pPr>
      <w:r w:rsidRPr="00011194">
        <w:rPr>
          <w:rFonts w:cs="Times New Roman"/>
          <w:sz w:val="28"/>
          <w:szCs w:val="28"/>
        </w:rPr>
        <w:t>tādu vietu tuvumā, kur nepilngadīgie parasti pavada laiku un kur sagaidāms, ka tie būs galvenā au</w:t>
      </w:r>
      <w:r w:rsidR="0039139E">
        <w:rPr>
          <w:rFonts w:cs="Times New Roman"/>
          <w:sz w:val="28"/>
          <w:szCs w:val="28"/>
        </w:rPr>
        <w:t>ditorija, tostarp vismaz skolās.</w:t>
      </w:r>
    </w:p>
    <w:p w:rsidR="00C050E7" w:rsidRPr="00011194" w:rsidRDefault="00C050E7" w:rsidP="0050296D">
      <w:pPr>
        <w:numPr>
          <w:ilvl w:val="0"/>
          <w:numId w:val="8"/>
        </w:numPr>
        <w:ind w:left="0" w:firstLine="709"/>
        <w:jc w:val="both"/>
        <w:rPr>
          <w:rFonts w:cs="Times New Roman"/>
          <w:sz w:val="28"/>
          <w:szCs w:val="28"/>
        </w:rPr>
      </w:pPr>
      <w:r w:rsidRPr="00011194">
        <w:rPr>
          <w:rFonts w:cs="Times New Roman"/>
          <w:sz w:val="28"/>
          <w:szCs w:val="28"/>
        </w:rPr>
        <w:t xml:space="preserve">jānodrošina aizliegums: </w:t>
      </w:r>
    </w:p>
    <w:p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izmantot nepilngadīgo personu pieredzes vai zināšanu trūkumu; </w:t>
      </w:r>
    </w:p>
    <w:p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izmantot tādus nepilngadīgo personu, jauniešu vai pasākumu attēlus, kas īpaši piesaista nepilngadīgas personas; </w:t>
      </w:r>
    </w:p>
    <w:p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piesaistīt nepilngadīgās personas vai jauniešus, atspoguļojot azartspēles kā daļu no jaunatnes kultūras vai asociējot azartspēles ar to; </w:t>
      </w:r>
    </w:p>
    <w:p w:rsidR="00C050E7" w:rsidRPr="00956612" w:rsidRDefault="00C050E7" w:rsidP="0039139E">
      <w:pPr>
        <w:numPr>
          <w:ilvl w:val="1"/>
          <w:numId w:val="8"/>
        </w:numPr>
        <w:ind w:left="0" w:firstLine="1134"/>
        <w:jc w:val="both"/>
        <w:rPr>
          <w:sz w:val="28"/>
        </w:rPr>
      </w:pPr>
      <w:r w:rsidRPr="00011194">
        <w:rPr>
          <w:rFonts w:cs="Times New Roman"/>
          <w:sz w:val="28"/>
          <w:szCs w:val="28"/>
        </w:rPr>
        <w:t>uzvedināt uz domām, ka azartspēles pārveido pusaudžus pieaugušos cilvēkos.</w:t>
      </w:r>
    </w:p>
    <w:p w:rsidR="00C050E7" w:rsidRPr="00011194" w:rsidRDefault="00C050E7" w:rsidP="00956612">
      <w:pPr>
        <w:widowControl w:val="0"/>
        <w:ind w:firstLine="720"/>
        <w:jc w:val="both"/>
        <w:rPr>
          <w:rFonts w:eastAsia="Calibri" w:cs="Times New Roman"/>
          <w:sz w:val="28"/>
          <w:szCs w:val="28"/>
        </w:rPr>
      </w:pPr>
      <w:r w:rsidRPr="00011194">
        <w:rPr>
          <w:rFonts w:eastAsia="Calibri" w:cs="Times New Roman"/>
          <w:sz w:val="28"/>
          <w:szCs w:val="28"/>
        </w:rPr>
        <w:t>Savukārt attiecībā uz patērētāju un spēlētāju aizsardzību ir nepieciešams ievērot šādus principus:</w:t>
      </w:r>
    </w:p>
    <w:p w:rsidR="00C050E7" w:rsidRPr="0050296D" w:rsidRDefault="00C050E7" w:rsidP="0050296D">
      <w:pPr>
        <w:pStyle w:val="ListParagraph"/>
        <w:numPr>
          <w:ilvl w:val="0"/>
          <w:numId w:val="58"/>
        </w:numPr>
        <w:ind w:left="0" w:firstLine="709"/>
        <w:jc w:val="both"/>
        <w:rPr>
          <w:rFonts w:cs="Times New Roman"/>
          <w:sz w:val="28"/>
          <w:szCs w:val="28"/>
        </w:rPr>
      </w:pPr>
      <w:r w:rsidRPr="0050296D">
        <w:rPr>
          <w:rFonts w:cs="Times New Roman"/>
          <w:sz w:val="28"/>
          <w:szCs w:val="28"/>
        </w:rPr>
        <w:lastRenderedPageBreak/>
        <w:t>komercpaziņojumā jāiekļauj skaidra identificējamā informācija par organizētāju, kura vārdā tiek veikts paziņojums;</w:t>
      </w:r>
    </w:p>
    <w:p w:rsidR="00C050E7" w:rsidRPr="00011194" w:rsidRDefault="00C050E7" w:rsidP="0050296D">
      <w:pPr>
        <w:pStyle w:val="ListParagraph"/>
        <w:numPr>
          <w:ilvl w:val="0"/>
          <w:numId w:val="58"/>
        </w:numPr>
        <w:ind w:left="0" w:firstLine="709"/>
        <w:jc w:val="both"/>
        <w:rPr>
          <w:rFonts w:cs="Times New Roman"/>
          <w:sz w:val="28"/>
          <w:szCs w:val="28"/>
        </w:rPr>
      </w:pPr>
      <w:r w:rsidRPr="00011194">
        <w:rPr>
          <w:rFonts w:cs="Times New Roman"/>
          <w:sz w:val="28"/>
          <w:szCs w:val="28"/>
        </w:rPr>
        <w:t xml:space="preserve">jānodrošina, ka tiešsaistes azartspēļu pakalpojumu komercpaziņojumi praktiskā un pārredzamā veidā ietver vismaz informāciju par risku, ko veselībai rada problemātiska aizraušanās ar azartspēlēm; </w:t>
      </w:r>
    </w:p>
    <w:p w:rsidR="00C050E7" w:rsidRPr="00011194" w:rsidRDefault="00C050E7" w:rsidP="0050296D">
      <w:pPr>
        <w:pStyle w:val="ListParagraph"/>
        <w:numPr>
          <w:ilvl w:val="0"/>
          <w:numId w:val="58"/>
        </w:numPr>
        <w:ind w:left="0" w:firstLine="709"/>
        <w:jc w:val="both"/>
        <w:rPr>
          <w:rFonts w:cs="Times New Roman"/>
          <w:sz w:val="28"/>
          <w:szCs w:val="28"/>
        </w:rPr>
      </w:pPr>
      <w:r w:rsidRPr="00011194">
        <w:rPr>
          <w:rFonts w:cs="Times New Roman"/>
          <w:sz w:val="28"/>
          <w:szCs w:val="28"/>
        </w:rPr>
        <w:t>jānodrošina aizliegums:</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ietvert nepamatotus apgalvojumus par izredzēm laimēt vai ieņēmumiem, kurus spēlētāji var saņemt, spēlējot azartspēles; </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uzvedināt uz domām, ka prasmes var ietekmēt spēles iznākumu, ja tas tā nav; </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izdarīt spiedienu, mudinot spēlēt, vai nicinoši izturēties pret vēlmi nespēlēt, izmantojot komercpaziņojumu laiku, vietu vai veidu; </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attēlot azartspēles kā sociāli pievilcīgas vai ietvert sabiedrībā pazīstamu cilvēku vai slavenību apliecinājumus, kas uzvedina uz domām, ka azartspēles palīdz gūt panākumus sociālajā jomā; </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uzvedināt uz domām, ka azartspēles var būt risinājums sociālām, profesionālām vai personīgām problēmām; </w:t>
      </w:r>
    </w:p>
    <w:p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uzvedināt uz domām, ka azartspēles var būt alternatīva nodarbinātībai, risinājums finansiālām grūtībām v</w:t>
      </w:r>
      <w:r w:rsidR="0039139E">
        <w:rPr>
          <w:rFonts w:cs="Times New Roman"/>
          <w:sz w:val="28"/>
          <w:szCs w:val="28"/>
        </w:rPr>
        <w:t>ai finansiāla ieguldījuma veids.</w:t>
      </w:r>
    </w:p>
    <w:p w:rsidR="00C050E7" w:rsidRPr="00011194" w:rsidRDefault="00C050E7" w:rsidP="0050296D">
      <w:pPr>
        <w:pStyle w:val="ListParagraph"/>
        <w:numPr>
          <w:ilvl w:val="0"/>
          <w:numId w:val="58"/>
        </w:numPr>
        <w:ind w:left="0" w:firstLine="709"/>
        <w:jc w:val="both"/>
        <w:rPr>
          <w:rFonts w:cs="Times New Roman"/>
          <w:sz w:val="28"/>
          <w:szCs w:val="28"/>
        </w:rPr>
      </w:pPr>
      <w:r w:rsidRPr="00011194">
        <w:rPr>
          <w:rFonts w:cs="Times New Roman"/>
          <w:sz w:val="28"/>
          <w:szCs w:val="28"/>
        </w:rPr>
        <w:t xml:space="preserve">jānodrošina, ka bezmaksas (ang. val. </w:t>
      </w:r>
      <w:r w:rsidRPr="00011194">
        <w:rPr>
          <w:rFonts w:cs="Times New Roman"/>
          <w:i/>
          <w:iCs/>
          <w:sz w:val="28"/>
          <w:szCs w:val="28"/>
        </w:rPr>
        <w:t>play-for-fun</w:t>
      </w:r>
      <w:r w:rsidRPr="00011194">
        <w:rPr>
          <w:rFonts w:cs="Times New Roman"/>
          <w:sz w:val="28"/>
          <w:szCs w:val="28"/>
        </w:rPr>
        <w:t xml:space="preserve">) spēlēm, ko izmanto komercpaziņojumos, piemēro tos pašus noteikumus un tehniskos nosacījumus, kas tiek piemēroti maksas (ang. val. </w:t>
      </w:r>
      <w:r w:rsidRPr="00011194">
        <w:rPr>
          <w:rFonts w:cs="Times New Roman"/>
          <w:i/>
          <w:iCs/>
          <w:sz w:val="28"/>
          <w:szCs w:val="28"/>
        </w:rPr>
        <w:t>play-for-money</w:t>
      </w:r>
      <w:r w:rsidRPr="00011194">
        <w:rPr>
          <w:rFonts w:cs="Times New Roman"/>
          <w:sz w:val="28"/>
          <w:szCs w:val="28"/>
        </w:rPr>
        <w:t xml:space="preserve">) spēlēm; </w:t>
      </w:r>
    </w:p>
    <w:p w:rsidR="00B55EE1" w:rsidRPr="00011194" w:rsidRDefault="00C050E7" w:rsidP="007F6436">
      <w:pPr>
        <w:pStyle w:val="ListParagraph"/>
        <w:numPr>
          <w:ilvl w:val="0"/>
          <w:numId w:val="58"/>
        </w:numPr>
        <w:ind w:left="0" w:firstLine="709"/>
        <w:jc w:val="both"/>
        <w:rPr>
          <w:rFonts w:cs="Times New Roman"/>
          <w:sz w:val="28"/>
          <w:szCs w:val="28"/>
        </w:rPr>
      </w:pPr>
      <w:r w:rsidRPr="00011194">
        <w:rPr>
          <w:rFonts w:cs="Times New Roman"/>
          <w:sz w:val="28"/>
          <w:szCs w:val="28"/>
        </w:rPr>
        <w:t xml:space="preserve">jānodrošina aizliegums ar komercpaziņojumiem uzrunāt neaizsargātos spēlētājus, īpaši, izmantojot komercpaziņojumus, kas adresēti spēlētājiem, kuri veikuši pašizslēgšanos no azartspēļu tīmekļa vietnes vai ir izslēgti no tiešsaistes azartspēļu pakalpojumu saņēmēju loka azartspēļu izraisīto problēmu dēļ; </w:t>
      </w:r>
    </w:p>
    <w:p w:rsidR="007F6436" w:rsidRPr="00AC0C13" w:rsidRDefault="00C050E7" w:rsidP="00AC0C13">
      <w:pPr>
        <w:pStyle w:val="ListParagraph"/>
        <w:numPr>
          <w:ilvl w:val="0"/>
          <w:numId w:val="58"/>
        </w:numPr>
        <w:ind w:left="0" w:right="-99" w:firstLine="709"/>
        <w:jc w:val="both"/>
        <w:rPr>
          <w:rFonts w:cs="Times New Roman"/>
          <w:sz w:val="28"/>
          <w:szCs w:val="28"/>
        </w:rPr>
      </w:pPr>
      <w:r w:rsidRPr="00AC0C13">
        <w:rPr>
          <w:rFonts w:cs="Times New Roman"/>
          <w:sz w:val="28"/>
          <w:szCs w:val="28"/>
        </w:rPr>
        <w:t>jānodrošina, ka komercpaziņojumos tiek ņemts vērā reklamētā tiešsaistes</w:t>
      </w:r>
      <w:r w:rsidR="006D51A8">
        <w:rPr>
          <w:rFonts w:cs="Times New Roman"/>
          <w:sz w:val="28"/>
          <w:szCs w:val="28"/>
        </w:rPr>
        <w:t xml:space="preserve"> </w:t>
      </w:r>
      <w:r w:rsidRPr="00AC0C13">
        <w:rPr>
          <w:rFonts w:cs="Times New Roman"/>
          <w:sz w:val="28"/>
          <w:szCs w:val="28"/>
        </w:rPr>
        <w:t>azartspēļu pakalpojuma riska potenciāls.</w:t>
      </w:r>
      <w:r w:rsidR="007F6436" w:rsidRPr="00AC0C13">
        <w:rPr>
          <w:rFonts w:cs="Times New Roman"/>
          <w:sz w:val="28"/>
          <w:szCs w:val="28"/>
        </w:rPr>
        <w:t xml:space="preserve"> </w:t>
      </w:r>
    </w:p>
    <w:p w:rsidR="007F6436" w:rsidRPr="00AC0C13" w:rsidRDefault="007F6436" w:rsidP="00AC0C13">
      <w:pPr>
        <w:ind w:right="-99" w:firstLine="709"/>
        <w:jc w:val="both"/>
        <w:rPr>
          <w:rFonts w:eastAsia="Times New Roman" w:cs="Times New Roman"/>
          <w:bCs/>
          <w:sz w:val="28"/>
          <w:szCs w:val="28"/>
          <w:lang w:eastAsia="lv-LV"/>
        </w:rPr>
      </w:pPr>
      <w:r w:rsidRPr="0087512B">
        <w:rPr>
          <w:rFonts w:eastAsia="Times New Roman" w:cs="Times New Roman"/>
          <w:bCs/>
          <w:sz w:val="28"/>
          <w:szCs w:val="28"/>
          <w:lang w:eastAsia="lv-LV"/>
        </w:rPr>
        <w:t>Balstoties uz citu ES dalībvalstu pieredzi, kā arī citu jomu praksi, nosakot jomas piedāvāto produktu reklāmas ierobežojumus, aizsargājot sabiedrības un indivīda intereses</w:t>
      </w:r>
      <w:r w:rsidR="009B4A3D">
        <w:rPr>
          <w:rFonts w:eastAsia="Times New Roman" w:cs="Times New Roman"/>
          <w:bCs/>
          <w:sz w:val="28"/>
          <w:szCs w:val="28"/>
          <w:lang w:eastAsia="lv-LV"/>
        </w:rPr>
        <w:t>,</w:t>
      </w:r>
      <w:r w:rsidRPr="007F6436">
        <w:rPr>
          <w:rFonts w:eastAsia="Times New Roman" w:cs="Times New Roman"/>
          <w:bCs/>
          <w:sz w:val="28"/>
          <w:szCs w:val="28"/>
          <w:lang w:eastAsia="lv-LV"/>
        </w:rPr>
        <w:t xml:space="preserve"> 4.tabula </w:t>
      </w:r>
      <w:r w:rsidRPr="00AC0C13">
        <w:rPr>
          <w:rFonts w:eastAsia="Times New Roman" w:cs="Times New Roman"/>
          <w:bCs/>
          <w:sz w:val="28"/>
          <w:szCs w:val="28"/>
          <w:lang w:eastAsia="lv-LV"/>
        </w:rPr>
        <w:t xml:space="preserve">atspoguļo reklāmas ierobežošanas pārskatīšanas </w:t>
      </w:r>
      <w:r>
        <w:rPr>
          <w:rFonts w:eastAsia="Times New Roman" w:cs="Times New Roman"/>
          <w:bCs/>
          <w:sz w:val="28"/>
          <w:szCs w:val="28"/>
          <w:lang w:eastAsia="lv-LV"/>
        </w:rPr>
        <w:t xml:space="preserve">iespējamos </w:t>
      </w:r>
      <w:r w:rsidRPr="00AC0C13">
        <w:rPr>
          <w:rFonts w:eastAsia="Times New Roman" w:cs="Times New Roman"/>
          <w:bCs/>
          <w:sz w:val="28"/>
          <w:szCs w:val="28"/>
          <w:lang w:eastAsia="lv-LV"/>
        </w:rPr>
        <w:t>risinājumu variantus un šajos variantos iekļautos atļautos (atzīmēts tabulā ar zīmi “+”) un aizliegtos (atzīmēts tabulā ar zīmi “-”) reklamēšanas aspektus.</w:t>
      </w:r>
    </w:p>
    <w:p w:rsidR="007F6436" w:rsidRPr="00AC0C13" w:rsidRDefault="007F6436" w:rsidP="00AC0C13">
      <w:pPr>
        <w:pStyle w:val="ListParagraph"/>
        <w:ind w:right="-99"/>
        <w:jc w:val="center"/>
        <w:rPr>
          <w:rFonts w:cs="Times New Roman"/>
          <w:sz w:val="28"/>
          <w:szCs w:val="28"/>
        </w:rPr>
      </w:pPr>
    </w:p>
    <w:p w:rsidR="007F6436" w:rsidRPr="0087512B" w:rsidRDefault="007F6436" w:rsidP="007F6436">
      <w:pPr>
        <w:ind w:right="-99"/>
        <w:jc w:val="right"/>
        <w:rPr>
          <w:rFonts w:cs="Times New Roman"/>
          <w:sz w:val="28"/>
          <w:szCs w:val="28"/>
        </w:rPr>
      </w:pPr>
      <w:r w:rsidRPr="0087512B">
        <w:rPr>
          <w:rFonts w:cs="Times New Roman"/>
          <w:sz w:val="28"/>
          <w:szCs w:val="28"/>
        </w:rPr>
        <w:t>4.tabula</w:t>
      </w:r>
    </w:p>
    <w:p w:rsidR="007F6436" w:rsidRPr="0087512B" w:rsidRDefault="007F6436" w:rsidP="007F6436">
      <w:pPr>
        <w:ind w:right="-99"/>
        <w:jc w:val="center"/>
        <w:rPr>
          <w:rFonts w:cs="Times New Roman"/>
          <w:sz w:val="28"/>
          <w:szCs w:val="28"/>
        </w:rPr>
      </w:pPr>
      <w:r w:rsidRPr="0087512B">
        <w:rPr>
          <w:rFonts w:cs="Times New Roman"/>
          <w:sz w:val="28"/>
          <w:szCs w:val="28"/>
        </w:rPr>
        <w:t>Reklamēšanas aizlieguma īstenošana azartspēlēm</w:t>
      </w:r>
    </w:p>
    <w:tbl>
      <w:tblPr>
        <w:tblStyle w:val="TableGrid"/>
        <w:tblW w:w="9351" w:type="dxa"/>
        <w:tblLayout w:type="fixed"/>
        <w:tblLook w:val="04A0" w:firstRow="1" w:lastRow="0" w:firstColumn="1" w:lastColumn="0" w:noHBand="0" w:noVBand="1"/>
      </w:tblPr>
      <w:tblGrid>
        <w:gridCol w:w="2547"/>
        <w:gridCol w:w="1134"/>
        <w:gridCol w:w="996"/>
        <w:gridCol w:w="4674"/>
      </w:tblGrid>
      <w:tr w:rsidR="007F6436" w:rsidRPr="0087512B" w:rsidTr="00AC0C13">
        <w:tc>
          <w:tcPr>
            <w:tcW w:w="2547" w:type="dxa"/>
            <w:vAlign w:val="center"/>
          </w:tcPr>
          <w:p w:rsidR="007F6436" w:rsidRPr="0087512B" w:rsidRDefault="007F6436" w:rsidP="00956090">
            <w:pPr>
              <w:ind w:right="-99"/>
              <w:jc w:val="center"/>
              <w:rPr>
                <w:rFonts w:cs="Times New Roman"/>
                <w:b/>
                <w:sz w:val="28"/>
                <w:szCs w:val="28"/>
              </w:rPr>
            </w:pPr>
            <w:r w:rsidRPr="0087512B">
              <w:rPr>
                <w:rFonts w:cs="Times New Roman"/>
                <w:b/>
                <w:sz w:val="28"/>
                <w:szCs w:val="28"/>
              </w:rPr>
              <w:t>Reklāmas veids</w:t>
            </w:r>
          </w:p>
        </w:tc>
        <w:tc>
          <w:tcPr>
            <w:tcW w:w="1134" w:type="dxa"/>
          </w:tcPr>
          <w:p w:rsidR="007F6436" w:rsidRPr="0087512B" w:rsidRDefault="007F6436" w:rsidP="00956090">
            <w:pPr>
              <w:ind w:right="-99"/>
              <w:rPr>
                <w:rFonts w:cs="Times New Roman"/>
                <w:b/>
                <w:sz w:val="28"/>
                <w:szCs w:val="28"/>
              </w:rPr>
            </w:pPr>
            <w:r w:rsidRPr="0087512B">
              <w:rPr>
                <w:rFonts w:cs="Times New Roman"/>
                <w:b/>
                <w:sz w:val="28"/>
                <w:szCs w:val="28"/>
              </w:rPr>
              <w:t>Esošais regulē- jums</w:t>
            </w:r>
          </w:p>
        </w:tc>
        <w:tc>
          <w:tcPr>
            <w:tcW w:w="996" w:type="dxa"/>
          </w:tcPr>
          <w:p w:rsidR="007F6436" w:rsidRPr="0087512B" w:rsidRDefault="007F6436" w:rsidP="00956090">
            <w:pPr>
              <w:ind w:right="-99"/>
              <w:rPr>
                <w:rFonts w:cs="Times New Roman"/>
                <w:b/>
                <w:sz w:val="28"/>
                <w:szCs w:val="28"/>
              </w:rPr>
            </w:pPr>
            <w:r w:rsidRPr="0087512B">
              <w:rPr>
                <w:rFonts w:cs="Times New Roman"/>
                <w:b/>
                <w:sz w:val="28"/>
                <w:szCs w:val="28"/>
              </w:rPr>
              <w:t>Piedā-vātais regu-lējums</w:t>
            </w:r>
          </w:p>
        </w:tc>
        <w:tc>
          <w:tcPr>
            <w:tcW w:w="4674" w:type="dxa"/>
            <w:shd w:val="clear" w:color="auto" w:fill="auto"/>
          </w:tcPr>
          <w:p w:rsidR="007F6436" w:rsidRPr="0087512B" w:rsidRDefault="007F6436" w:rsidP="00956090">
            <w:pPr>
              <w:ind w:right="-99"/>
              <w:jc w:val="both"/>
              <w:rPr>
                <w:rFonts w:cs="Times New Roman"/>
                <w:b/>
                <w:sz w:val="28"/>
                <w:szCs w:val="28"/>
              </w:rPr>
            </w:pPr>
            <w:r w:rsidRPr="0087512B">
              <w:rPr>
                <w:rFonts w:cs="Times New Roman"/>
                <w:b/>
                <w:sz w:val="28"/>
                <w:szCs w:val="28"/>
              </w:rPr>
              <w:t>Citu valstu un jomu pieredze</w:t>
            </w:r>
          </w:p>
        </w:tc>
      </w:tr>
      <w:tr w:rsidR="007F6436" w:rsidRPr="0087512B" w:rsidTr="00AC0C13">
        <w:trPr>
          <w:trHeight w:val="510"/>
        </w:trPr>
        <w:tc>
          <w:tcPr>
            <w:tcW w:w="9351" w:type="dxa"/>
            <w:gridSpan w:val="4"/>
            <w:shd w:val="clear" w:color="auto" w:fill="auto"/>
            <w:vAlign w:val="center"/>
          </w:tcPr>
          <w:p w:rsidR="007F6436" w:rsidRPr="0087512B" w:rsidRDefault="007F6436" w:rsidP="00956090">
            <w:pPr>
              <w:ind w:right="-99"/>
              <w:jc w:val="both"/>
              <w:rPr>
                <w:rFonts w:cs="Times New Roman"/>
                <w:b/>
                <w:sz w:val="28"/>
                <w:szCs w:val="28"/>
              </w:rPr>
            </w:pPr>
            <w:r w:rsidRPr="0087512B">
              <w:rPr>
                <w:rFonts w:cs="Times New Roman"/>
                <w:b/>
                <w:sz w:val="28"/>
                <w:szCs w:val="28"/>
              </w:rPr>
              <w:t>Televīzija</w:t>
            </w:r>
          </w:p>
        </w:tc>
      </w:tr>
      <w:tr w:rsidR="007F6436" w:rsidRPr="0087512B" w:rsidTr="00AC0C13">
        <w:tc>
          <w:tcPr>
            <w:tcW w:w="2547" w:type="dxa"/>
            <w:shd w:val="clear" w:color="auto" w:fill="D9D9D9" w:themeFill="background1" w:themeFillShade="D9"/>
          </w:tcPr>
          <w:p w:rsidR="007F6436" w:rsidRPr="0087512B" w:rsidRDefault="007F6436" w:rsidP="00956090">
            <w:pPr>
              <w:ind w:right="-99"/>
              <w:jc w:val="both"/>
              <w:rPr>
                <w:rFonts w:cs="Times New Roman"/>
                <w:sz w:val="28"/>
                <w:szCs w:val="28"/>
              </w:rPr>
            </w:pPr>
            <w:r w:rsidRPr="0087512B">
              <w:rPr>
                <w:rFonts w:cs="Times New Roman"/>
                <w:sz w:val="28"/>
                <w:szCs w:val="28"/>
              </w:rPr>
              <w:lastRenderedPageBreak/>
              <w:t>Pārraižu starplaikos</w:t>
            </w:r>
          </w:p>
          <w:p w:rsidR="007F6436" w:rsidRPr="0087512B" w:rsidRDefault="007F6436" w:rsidP="00956090">
            <w:pPr>
              <w:ind w:right="-99"/>
              <w:jc w:val="both"/>
              <w:rPr>
                <w:rFonts w:cs="Times New Roman"/>
                <w:i/>
                <w:sz w:val="28"/>
                <w:szCs w:val="28"/>
              </w:rPr>
            </w:pPr>
            <w:r w:rsidRPr="0087512B">
              <w:rPr>
                <w:rFonts w:cs="Times New Roman"/>
                <w:sz w:val="28"/>
                <w:szCs w:val="28"/>
              </w:rPr>
              <w:t>(tikai noteiktā laika periodā no plkst. 22.00 - 6.00 ar norādījumu, ka azartspēles var izraisīt atkarību un tajās aizliegts piedalīties personām, kuras nav sasniegušas 18 gadu vecumu)</w:t>
            </w:r>
          </w:p>
        </w:tc>
        <w:tc>
          <w:tcPr>
            <w:tcW w:w="1134" w:type="dxa"/>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shd w:val="clear" w:color="auto" w:fill="auto"/>
          </w:tcPr>
          <w:p w:rsidR="007F6436" w:rsidRPr="0087512B" w:rsidRDefault="007F6436" w:rsidP="00956090">
            <w:pPr>
              <w:ind w:right="-99"/>
              <w:jc w:val="both"/>
              <w:rPr>
                <w:rFonts w:cs="Times New Roman"/>
                <w:sz w:val="28"/>
                <w:szCs w:val="28"/>
              </w:rPr>
            </w:pPr>
            <w:r w:rsidRPr="0087512B">
              <w:rPr>
                <w:rFonts w:cs="Times New Roman"/>
                <w:sz w:val="28"/>
                <w:szCs w:val="28"/>
              </w:rPr>
              <w:t>Atļauta nakts laikā, kad ir minimāla iespēja to redzēt bērniem un jauniešiem, kuri nav sasnieguši 18 gadu vecumu:</w:t>
            </w:r>
          </w:p>
          <w:p w:rsidR="007F6436" w:rsidRPr="0087512B" w:rsidRDefault="007F6436" w:rsidP="00956090">
            <w:pPr>
              <w:ind w:right="-99"/>
              <w:jc w:val="both"/>
              <w:rPr>
                <w:rFonts w:cs="Times New Roman"/>
                <w:sz w:val="28"/>
                <w:szCs w:val="28"/>
              </w:rPr>
            </w:pPr>
            <w:r w:rsidRPr="0087512B">
              <w:rPr>
                <w:rFonts w:cs="Times New Roman"/>
                <w:sz w:val="28"/>
                <w:szCs w:val="28"/>
              </w:rPr>
              <w:t>Polija (ļoti detalizēti viss atrunāts, t.sk. pārraides laiks; atļautas valsts monopola uzņēmumu reklāmas)</w:t>
            </w:r>
          </w:p>
          <w:p w:rsidR="007F6436" w:rsidRPr="0087512B" w:rsidRDefault="007F6436" w:rsidP="00956090">
            <w:pPr>
              <w:ind w:right="-99"/>
              <w:jc w:val="both"/>
              <w:rPr>
                <w:rFonts w:cs="Times New Roman"/>
                <w:sz w:val="28"/>
                <w:szCs w:val="28"/>
              </w:rPr>
            </w:pPr>
            <w:r w:rsidRPr="0087512B">
              <w:rPr>
                <w:rFonts w:cs="Times New Roman"/>
                <w:sz w:val="28"/>
                <w:szCs w:val="28"/>
              </w:rPr>
              <w:t>Lielbritānija (tikai licencētiem azartspēļu operatoriem</w:t>
            </w:r>
            <w:r w:rsidR="00511D5F">
              <w:rPr>
                <w:rFonts w:cs="Times New Roman"/>
                <w:sz w:val="28"/>
                <w:szCs w:val="28"/>
              </w:rPr>
              <w:t>,</w:t>
            </w:r>
            <w:r w:rsidRPr="0087512B">
              <w:rPr>
                <w:rFonts w:cs="Times New Roman"/>
                <w:sz w:val="28"/>
                <w:szCs w:val="28"/>
              </w:rPr>
              <w:t xml:space="preserve"> jāievēro Apvienotās Karalistes reklāmas kodeksu</w:t>
            </w:r>
            <w:r w:rsidR="00511D5F">
              <w:rPr>
                <w:rFonts w:cs="Times New Roman"/>
                <w:sz w:val="28"/>
                <w:szCs w:val="28"/>
              </w:rPr>
              <w:t>,</w:t>
            </w:r>
            <w:r w:rsidRPr="0087512B">
              <w:rPr>
                <w:rFonts w:cs="Times New Roman"/>
                <w:sz w:val="28"/>
                <w:szCs w:val="28"/>
              </w:rPr>
              <w:t xml:space="preserve"> ierobežojumi uz nepilngadīgajām personām un jābūt sociāli atbildīgai)</w:t>
            </w:r>
          </w:p>
          <w:p w:rsidR="007F6436" w:rsidRPr="0087512B" w:rsidRDefault="007F6436" w:rsidP="00956090">
            <w:pPr>
              <w:ind w:right="-99"/>
              <w:jc w:val="both"/>
              <w:rPr>
                <w:rFonts w:cs="Times New Roman"/>
                <w:sz w:val="28"/>
                <w:szCs w:val="28"/>
              </w:rPr>
            </w:pPr>
            <w:r w:rsidRPr="0087512B">
              <w:rPr>
                <w:rFonts w:cs="Times New Roman"/>
                <w:sz w:val="28"/>
                <w:szCs w:val="28"/>
              </w:rPr>
              <w:t>Spānija (Rīcības kodekss, kas nosaka un regulē audio vizuālās reklāmas prasības, t.sk. laika ierobežojumus)</w:t>
            </w:r>
          </w:p>
          <w:p w:rsidR="007F6436" w:rsidRPr="0087512B" w:rsidRDefault="007F6436" w:rsidP="00956090">
            <w:pPr>
              <w:ind w:right="-99"/>
              <w:jc w:val="both"/>
              <w:rPr>
                <w:rFonts w:cs="Times New Roman"/>
                <w:sz w:val="28"/>
                <w:szCs w:val="28"/>
              </w:rPr>
            </w:pPr>
            <w:r w:rsidRPr="0087512B">
              <w:rPr>
                <w:rFonts w:cs="Times New Roman"/>
                <w:sz w:val="28"/>
                <w:szCs w:val="28"/>
              </w:rPr>
              <w:t>Malta (atrunāts laiks, kad liegta reklāma, jāievēro reklāmas ieviešanas kodekss)</w:t>
            </w:r>
          </w:p>
          <w:p w:rsidR="007F6436" w:rsidRPr="0087512B" w:rsidRDefault="007F6436" w:rsidP="00956090">
            <w:pPr>
              <w:ind w:right="-99"/>
              <w:jc w:val="both"/>
              <w:rPr>
                <w:rFonts w:cs="Times New Roman"/>
                <w:sz w:val="28"/>
                <w:szCs w:val="28"/>
              </w:rPr>
            </w:pPr>
            <w:r w:rsidRPr="0087512B">
              <w:rPr>
                <w:rFonts w:cs="Times New Roman"/>
                <w:sz w:val="28"/>
                <w:szCs w:val="28"/>
              </w:rPr>
              <w:t>Ungārija (Reklāmas aktā ir ietverti visi reklāmas ierobežojumi attiecībā uz plašsaziņas līdzekļiem)</w:t>
            </w:r>
          </w:p>
          <w:p w:rsidR="007F6436" w:rsidRPr="0087512B" w:rsidRDefault="007F6436" w:rsidP="00956090">
            <w:pPr>
              <w:ind w:right="-99"/>
              <w:jc w:val="both"/>
              <w:rPr>
                <w:rFonts w:cs="Times New Roman"/>
                <w:sz w:val="28"/>
                <w:szCs w:val="28"/>
              </w:rPr>
            </w:pPr>
            <w:r w:rsidRPr="0087512B">
              <w:rPr>
                <w:rFonts w:cs="Times New Roman"/>
                <w:sz w:val="28"/>
                <w:szCs w:val="28"/>
              </w:rPr>
              <w:t>Vācija (ir katras 16 Vācijas federālo valstu jurisdikcijā, bet ir Valsts līgums par azartspēlēm, kuros ir atrunāti ierobežojumi)</w:t>
            </w:r>
          </w:p>
          <w:p w:rsidR="007F6436" w:rsidRPr="0087512B" w:rsidRDefault="007F6436" w:rsidP="00956090">
            <w:pPr>
              <w:ind w:right="-99"/>
              <w:jc w:val="both"/>
              <w:rPr>
                <w:rFonts w:cs="Times New Roman"/>
                <w:sz w:val="28"/>
                <w:szCs w:val="28"/>
              </w:rPr>
            </w:pPr>
            <w:r w:rsidRPr="0087512B">
              <w:rPr>
                <w:rFonts w:cs="Times New Roman"/>
                <w:sz w:val="28"/>
                <w:szCs w:val="28"/>
              </w:rPr>
              <w:t>Bulgārija (tikai licencētiem azartspēļu organizētājiem un jāievēro Reklāmas un komercsakaru nacionālais ētikas standarts)</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Sporta pārraižu starplaikos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Informatīvas reklāmas pārraižu, ziņu vai citu televīzijas produktu raidīšanas laikā (“</w:t>
            </w:r>
            <w:r w:rsidRPr="0087512B">
              <w:rPr>
                <w:rFonts w:cs="Times New Roman"/>
                <w:i/>
                <w:sz w:val="28"/>
                <w:szCs w:val="28"/>
              </w:rPr>
              <w:t>pop-up”)</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b/>
                <w:i/>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Specializēti raidījumi vai azartspēļu rezultātu paziņošana</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rPr>
          <w:trHeight w:val="471"/>
        </w:trPr>
        <w:tc>
          <w:tcPr>
            <w:tcW w:w="9351" w:type="dxa"/>
            <w:gridSpan w:val="4"/>
            <w:tcBorders>
              <w:bottom w:val="single" w:sz="4" w:space="0" w:color="auto"/>
            </w:tcBorders>
            <w:vAlign w:val="center"/>
          </w:tcPr>
          <w:p w:rsidR="007F6436" w:rsidRPr="0087512B" w:rsidRDefault="007F6436" w:rsidP="00956090">
            <w:pPr>
              <w:ind w:right="-99"/>
              <w:rPr>
                <w:rFonts w:cs="Times New Roman"/>
                <w:b/>
                <w:sz w:val="28"/>
                <w:szCs w:val="28"/>
              </w:rPr>
            </w:pPr>
            <w:r w:rsidRPr="0087512B">
              <w:rPr>
                <w:rFonts w:cs="Times New Roman"/>
                <w:b/>
                <w:sz w:val="28"/>
                <w:szCs w:val="28"/>
              </w:rPr>
              <w:t>Radio</w:t>
            </w:r>
          </w:p>
        </w:tc>
      </w:tr>
      <w:tr w:rsidR="007F6436" w:rsidRPr="0087512B" w:rsidTr="00AC0C1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36" w:rsidRPr="0087512B" w:rsidRDefault="007F6436" w:rsidP="00956090">
            <w:pPr>
              <w:ind w:right="-99"/>
              <w:jc w:val="both"/>
              <w:rPr>
                <w:rFonts w:cs="Times New Roman"/>
                <w:sz w:val="28"/>
                <w:szCs w:val="28"/>
              </w:rPr>
            </w:pPr>
            <w:r w:rsidRPr="0087512B">
              <w:rPr>
                <w:rFonts w:cs="Times New Roman"/>
                <w:sz w:val="28"/>
                <w:szCs w:val="28"/>
              </w:rPr>
              <w:t>Reklāmas pārraižu starplaikos</w:t>
            </w:r>
          </w:p>
          <w:p w:rsidR="007F6436" w:rsidRPr="0087512B" w:rsidRDefault="007F6436" w:rsidP="00956090">
            <w:pPr>
              <w:ind w:right="-99"/>
              <w:jc w:val="both"/>
              <w:rPr>
                <w:rFonts w:cs="Times New Roman"/>
                <w:sz w:val="28"/>
                <w:szCs w:val="28"/>
              </w:rPr>
            </w:pPr>
            <w:r w:rsidRPr="0087512B">
              <w:rPr>
                <w:rFonts w:cs="Times New Roman"/>
                <w:sz w:val="28"/>
                <w:szCs w:val="28"/>
              </w:rPr>
              <w:lastRenderedPageBreak/>
              <w:t>(tikai noteiktā laika periodā no plkst. 22.00 - 6.00 ar norādījumu, ka azartspēles var izraisīt atkarību un tajās aizliegts piedalīties personām, kuras nav sasniegušas 18 gadu vecumu)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lastRenderedPageBreak/>
              <w:t>-</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36" w:rsidRPr="0087512B" w:rsidRDefault="007F6436" w:rsidP="00956090">
            <w:pPr>
              <w:ind w:right="-99"/>
              <w:rPr>
                <w:rFonts w:cs="Times New Roman"/>
                <w:sz w:val="28"/>
                <w:szCs w:val="28"/>
              </w:rPr>
            </w:pPr>
            <w:r w:rsidRPr="0087512B">
              <w:rPr>
                <w:rFonts w:cs="Times New Roman"/>
                <w:sz w:val="28"/>
                <w:szCs w:val="28"/>
              </w:rPr>
              <w:t xml:space="preserve">T** </w:t>
            </w:r>
          </w:p>
          <w:p w:rsidR="007F6436" w:rsidRPr="0087512B" w:rsidRDefault="007F6436" w:rsidP="00956090">
            <w:pPr>
              <w:ind w:right="-99"/>
              <w:jc w:val="both"/>
              <w:rPr>
                <w:rFonts w:cs="Times New Roman"/>
                <w:sz w:val="28"/>
                <w:szCs w:val="28"/>
              </w:rPr>
            </w:pPr>
            <w:r w:rsidRPr="0087512B">
              <w:rPr>
                <w:rFonts w:cs="Times New Roman"/>
                <w:sz w:val="28"/>
                <w:szCs w:val="28"/>
              </w:rPr>
              <w:lastRenderedPageBreak/>
              <w:t xml:space="preserve">Atļauta nakts laikā, kad ir minimāla iespēja to </w:t>
            </w:r>
            <w:r w:rsidR="00511D5F">
              <w:rPr>
                <w:rFonts w:cs="Times New Roman"/>
                <w:sz w:val="28"/>
                <w:szCs w:val="28"/>
              </w:rPr>
              <w:t>dzirdēt</w:t>
            </w:r>
            <w:r w:rsidR="00511D5F" w:rsidRPr="0087512B">
              <w:rPr>
                <w:rFonts w:cs="Times New Roman"/>
                <w:sz w:val="28"/>
                <w:szCs w:val="28"/>
              </w:rPr>
              <w:t xml:space="preserve"> </w:t>
            </w:r>
            <w:r w:rsidRPr="0087512B">
              <w:rPr>
                <w:rFonts w:cs="Times New Roman"/>
                <w:sz w:val="28"/>
                <w:szCs w:val="28"/>
              </w:rPr>
              <w:t>bērniem un jauniešiem, kuri nav sasnieguši 18 gadu vecumu</w:t>
            </w:r>
          </w:p>
          <w:p w:rsidR="007F6436" w:rsidRPr="0087512B" w:rsidRDefault="007F6436" w:rsidP="00806DB0">
            <w:pPr>
              <w:ind w:right="-99"/>
              <w:jc w:val="both"/>
              <w:rPr>
                <w:rFonts w:cs="Times New Roman"/>
                <w:sz w:val="28"/>
                <w:szCs w:val="28"/>
              </w:rPr>
            </w:pPr>
            <w:r w:rsidRPr="0087512B">
              <w:rPr>
                <w:rFonts w:cs="Times New Roman"/>
                <w:sz w:val="28"/>
                <w:szCs w:val="28"/>
              </w:rPr>
              <w:t xml:space="preserve">Tas pats, kas </w:t>
            </w:r>
            <w:r w:rsidR="00806DB0">
              <w:rPr>
                <w:rFonts w:cs="Times New Roman"/>
                <w:sz w:val="28"/>
                <w:szCs w:val="28"/>
              </w:rPr>
              <w:t>televīzijā</w:t>
            </w:r>
            <w:r w:rsidRPr="0087512B">
              <w:rPr>
                <w:rFonts w:cs="Times New Roman"/>
                <w:sz w:val="28"/>
                <w:szCs w:val="28"/>
              </w:rPr>
              <w:t>, jo ierobežojumi un atrunas attiecas uz plašsaziņu līdzekļiem, īpaši neizdalot radio.</w:t>
            </w:r>
          </w:p>
        </w:tc>
      </w:tr>
      <w:tr w:rsidR="007F6436" w:rsidRPr="0087512B" w:rsidTr="00AC0C13">
        <w:tc>
          <w:tcPr>
            <w:tcW w:w="2547" w:type="dxa"/>
            <w:tcBorders>
              <w:top w:val="single" w:sz="4" w:space="0" w:color="auto"/>
            </w:tcBorders>
          </w:tcPr>
          <w:p w:rsidR="007F6436" w:rsidRPr="0087512B" w:rsidRDefault="007F6436" w:rsidP="00956090">
            <w:pPr>
              <w:ind w:right="-99"/>
              <w:jc w:val="both"/>
              <w:rPr>
                <w:rFonts w:cs="Times New Roman"/>
                <w:sz w:val="28"/>
                <w:szCs w:val="28"/>
              </w:rPr>
            </w:pPr>
            <w:r w:rsidRPr="0087512B">
              <w:rPr>
                <w:rFonts w:cs="Times New Roman"/>
                <w:sz w:val="28"/>
                <w:szCs w:val="28"/>
              </w:rPr>
              <w:lastRenderedPageBreak/>
              <w:t>Specializēti raidījumi vai azartspēļu rezultātu paziņošana</w:t>
            </w:r>
          </w:p>
        </w:tc>
        <w:tc>
          <w:tcPr>
            <w:tcW w:w="1134" w:type="dxa"/>
            <w:tcBorders>
              <w:top w:val="single" w:sz="4" w:space="0" w:color="auto"/>
            </w:tcBorders>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Borders>
              <w:top w:val="single" w:sz="4" w:space="0" w:color="auto"/>
            </w:tcBorders>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Borders>
              <w:top w:val="single" w:sz="4" w:space="0" w:color="auto"/>
            </w:tcBorders>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p>
        </w:tc>
      </w:tr>
      <w:tr w:rsidR="007F6436" w:rsidRPr="0087512B" w:rsidTr="00AC0C13">
        <w:trPr>
          <w:trHeight w:val="514"/>
        </w:trPr>
        <w:tc>
          <w:tcPr>
            <w:tcW w:w="9351" w:type="dxa"/>
            <w:gridSpan w:val="4"/>
            <w:vAlign w:val="center"/>
          </w:tcPr>
          <w:p w:rsidR="007F6436" w:rsidRPr="0087512B" w:rsidRDefault="007F6436" w:rsidP="00956090">
            <w:pPr>
              <w:ind w:right="-99"/>
              <w:rPr>
                <w:rFonts w:cs="Times New Roman"/>
                <w:sz w:val="28"/>
                <w:szCs w:val="28"/>
              </w:rPr>
            </w:pPr>
            <w:r w:rsidRPr="0087512B">
              <w:rPr>
                <w:rFonts w:cs="Times New Roman"/>
                <w:b/>
                <w:sz w:val="28"/>
                <w:szCs w:val="28"/>
              </w:rPr>
              <w:t>Drukātie mediji</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Reklāma</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A*</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Azartspēļu rezultātu paziņošana</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p>
        </w:tc>
      </w:tr>
      <w:tr w:rsidR="007F6436" w:rsidRPr="0087512B" w:rsidTr="00AC0C13">
        <w:trPr>
          <w:trHeight w:val="638"/>
        </w:trPr>
        <w:tc>
          <w:tcPr>
            <w:tcW w:w="9351" w:type="dxa"/>
            <w:gridSpan w:val="4"/>
            <w:vAlign w:val="center"/>
          </w:tcPr>
          <w:p w:rsidR="007F6436" w:rsidRPr="0087512B" w:rsidRDefault="007F6436" w:rsidP="00956090">
            <w:pPr>
              <w:ind w:right="-99"/>
              <w:rPr>
                <w:rFonts w:cs="Times New Roman"/>
                <w:sz w:val="28"/>
                <w:szCs w:val="28"/>
              </w:rPr>
            </w:pPr>
            <w:r w:rsidRPr="0087512B">
              <w:rPr>
                <w:rFonts w:cs="Times New Roman"/>
                <w:b/>
                <w:sz w:val="28"/>
                <w:szCs w:val="28"/>
              </w:rPr>
              <w:t>Citi elektroniskie mediji</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Reklāmas baneri</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Azartspēļu rezultātu paziņošana</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shd w:val="clear" w:color="auto" w:fill="D9D9D9" w:themeFill="background1" w:themeFillShade="D9"/>
          </w:tcPr>
          <w:p w:rsidR="007F6436" w:rsidRPr="0087512B" w:rsidRDefault="007F6436" w:rsidP="00956090">
            <w:pPr>
              <w:ind w:right="-99"/>
              <w:jc w:val="both"/>
              <w:rPr>
                <w:rFonts w:cs="Times New Roman"/>
                <w:sz w:val="28"/>
                <w:szCs w:val="28"/>
              </w:rPr>
            </w:pPr>
            <w:r w:rsidRPr="0087512B">
              <w:rPr>
                <w:rFonts w:cs="Times New Roman"/>
                <w:sz w:val="28"/>
                <w:szCs w:val="28"/>
                <w:lang w:eastAsia="lv-LV"/>
              </w:rPr>
              <w:t>Latvijā licencētie interaktīvie azartspēļu organizētāji izvieto savas mājas lapas adresi “tīmeklī” vai elektroniskos plašsaziņas līdzekļos</w:t>
            </w:r>
          </w:p>
        </w:tc>
        <w:tc>
          <w:tcPr>
            <w:tcW w:w="1134" w:type="dxa"/>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shd w:val="clear" w:color="auto" w:fill="D9D9D9" w:themeFill="background1" w:themeFillShade="D9"/>
          </w:tcPr>
          <w:p w:rsidR="007F6436" w:rsidRPr="0087512B" w:rsidRDefault="007F6436" w:rsidP="00956090">
            <w:pPr>
              <w:ind w:right="-99"/>
              <w:rPr>
                <w:rFonts w:cs="Times New Roman"/>
                <w:sz w:val="28"/>
                <w:szCs w:val="28"/>
              </w:rPr>
            </w:pPr>
            <w:r w:rsidRPr="0087512B">
              <w:rPr>
                <w:rFonts w:cs="Times New Roman"/>
                <w:b/>
                <w:i/>
                <w:sz w:val="28"/>
                <w:szCs w:val="28"/>
              </w:rPr>
              <w:t>Atļauts:</w:t>
            </w:r>
            <w:r w:rsidRPr="0087512B">
              <w:rPr>
                <w:rFonts w:cs="Times New Roman"/>
                <w:sz w:val="28"/>
                <w:szCs w:val="28"/>
              </w:rPr>
              <w:t xml:space="preserve"> Igaunija</w:t>
            </w:r>
          </w:p>
        </w:tc>
      </w:tr>
      <w:tr w:rsidR="007F6436" w:rsidRPr="0087512B" w:rsidTr="00AC0C13">
        <w:trPr>
          <w:trHeight w:val="551"/>
        </w:trPr>
        <w:tc>
          <w:tcPr>
            <w:tcW w:w="9351" w:type="dxa"/>
            <w:gridSpan w:val="4"/>
            <w:vAlign w:val="center"/>
          </w:tcPr>
          <w:p w:rsidR="007F6436" w:rsidRPr="0087512B" w:rsidRDefault="007F6436" w:rsidP="00956090">
            <w:pPr>
              <w:ind w:right="-99"/>
              <w:rPr>
                <w:rFonts w:cs="Times New Roman"/>
                <w:b/>
                <w:i/>
                <w:sz w:val="28"/>
                <w:szCs w:val="28"/>
              </w:rPr>
            </w:pPr>
            <w:r w:rsidRPr="0087512B">
              <w:rPr>
                <w:rFonts w:cs="Times New Roman"/>
                <w:b/>
                <w:sz w:val="28"/>
                <w:szCs w:val="28"/>
              </w:rPr>
              <w:t>Sporta spēļu norises vietas</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Reklāmas stendi</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Elektroniski reklāmas stendi</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Sporta norises vietas laukuma norobežojums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lastRenderedPageBreak/>
              <w:t>Sporta spēļu dalībnieku ekipējums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Sporta spēļu dalībnieka palīglīdzekļu aprīkojuma apdruka</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rPr>
          <w:trHeight w:val="623"/>
        </w:trPr>
        <w:tc>
          <w:tcPr>
            <w:tcW w:w="9351" w:type="dxa"/>
            <w:gridSpan w:val="4"/>
            <w:vAlign w:val="center"/>
          </w:tcPr>
          <w:p w:rsidR="007F6436" w:rsidRPr="0087512B" w:rsidRDefault="007F6436" w:rsidP="00956090">
            <w:pPr>
              <w:ind w:right="-99"/>
              <w:rPr>
                <w:rFonts w:cs="Times New Roman"/>
                <w:b/>
                <w:sz w:val="28"/>
                <w:szCs w:val="28"/>
              </w:rPr>
            </w:pPr>
            <w:r w:rsidRPr="0087512B">
              <w:rPr>
                <w:rFonts w:cs="Times New Roman"/>
                <w:b/>
                <w:sz w:val="28"/>
                <w:szCs w:val="28"/>
              </w:rPr>
              <w:t>Citas masu pasākumu norises vietas</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Reklāmas stendi</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Elektroniski reklāmas stendi</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b/>
                <w:i/>
                <w:sz w:val="28"/>
                <w:szCs w:val="28"/>
              </w:rPr>
            </w:pPr>
            <w:r w:rsidRPr="0087512B">
              <w:rPr>
                <w:rFonts w:cs="Times New Roman"/>
                <w:sz w:val="28"/>
                <w:szCs w:val="28"/>
              </w:rPr>
              <w:t>T**</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Pasākuma dalībnieka ekipējums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rsidTr="00AC0C13">
        <w:trPr>
          <w:trHeight w:val="608"/>
        </w:trPr>
        <w:tc>
          <w:tcPr>
            <w:tcW w:w="9351" w:type="dxa"/>
            <w:gridSpan w:val="4"/>
            <w:vAlign w:val="center"/>
          </w:tcPr>
          <w:p w:rsidR="007F6436" w:rsidRPr="0087512B" w:rsidRDefault="007F6436" w:rsidP="00956090">
            <w:pPr>
              <w:ind w:right="-99"/>
              <w:rPr>
                <w:rFonts w:cs="Times New Roman"/>
                <w:b/>
                <w:i/>
                <w:sz w:val="28"/>
                <w:szCs w:val="28"/>
              </w:rPr>
            </w:pPr>
            <w:r w:rsidRPr="0087512B">
              <w:rPr>
                <w:rFonts w:cs="Times New Roman"/>
                <w:b/>
                <w:sz w:val="28"/>
                <w:szCs w:val="28"/>
              </w:rPr>
              <w:t>Reklāmas izvietojuma ierobežojumi internetā (e-vidē)</w:t>
            </w:r>
          </w:p>
        </w:tc>
      </w:tr>
      <w:tr w:rsidR="007F6436" w:rsidRPr="0087512B" w:rsidTr="00AC0C13">
        <w:tc>
          <w:tcPr>
            <w:tcW w:w="2547" w:type="dxa"/>
            <w:shd w:val="clear" w:color="auto" w:fill="D9D9D9" w:themeFill="background1" w:themeFillShade="D9"/>
          </w:tcPr>
          <w:p w:rsidR="007F6436" w:rsidRPr="0087512B" w:rsidRDefault="007F6436" w:rsidP="00956090">
            <w:pPr>
              <w:ind w:right="-99"/>
              <w:rPr>
                <w:rFonts w:cs="Times New Roman"/>
                <w:sz w:val="28"/>
                <w:szCs w:val="28"/>
              </w:rPr>
            </w:pPr>
            <w:r w:rsidRPr="0087512B">
              <w:rPr>
                <w:rFonts w:cs="Times New Roman"/>
                <w:sz w:val="28"/>
                <w:szCs w:val="28"/>
              </w:rPr>
              <w:t>Internetā pieejamas interaktīvo azartspēļu organizētāju tīmekļa vietņu adreses (linki), bez papildu informācijas par to saturu</w:t>
            </w:r>
          </w:p>
        </w:tc>
        <w:tc>
          <w:tcPr>
            <w:tcW w:w="1134" w:type="dxa"/>
            <w:shd w:val="clear" w:color="auto" w:fill="D9D9D9" w:themeFill="background1" w:themeFillShade="D9"/>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rsidR="007F6436" w:rsidRPr="0087512B" w:rsidRDefault="007F6436" w:rsidP="00956090">
            <w:pPr>
              <w:ind w:right="-99"/>
              <w:jc w:val="center"/>
              <w:rPr>
                <w:rFonts w:cs="Times New Roman"/>
                <w:b/>
                <w:sz w:val="28"/>
                <w:szCs w:val="28"/>
              </w:rPr>
            </w:pPr>
            <w:r w:rsidRPr="0087512B">
              <w:rPr>
                <w:rFonts w:cs="Times New Roman"/>
                <w:sz w:val="28"/>
                <w:szCs w:val="28"/>
              </w:rPr>
              <w:t>+</w:t>
            </w:r>
          </w:p>
        </w:tc>
        <w:tc>
          <w:tcPr>
            <w:tcW w:w="4674" w:type="dxa"/>
            <w:shd w:val="clear" w:color="auto" w:fill="D9D9D9" w:themeFill="background1" w:themeFillShade="D9"/>
          </w:tcPr>
          <w:p w:rsidR="007F6436" w:rsidRPr="0087512B" w:rsidRDefault="007F6436" w:rsidP="00956090">
            <w:pPr>
              <w:ind w:right="-99"/>
              <w:rPr>
                <w:rFonts w:cs="Times New Roman"/>
                <w:sz w:val="28"/>
                <w:szCs w:val="28"/>
              </w:rPr>
            </w:pPr>
            <w:r w:rsidRPr="0087512B">
              <w:rPr>
                <w:rFonts w:cs="Times New Roman"/>
                <w:b/>
                <w:i/>
                <w:sz w:val="28"/>
                <w:szCs w:val="28"/>
              </w:rPr>
              <w:t>Atļauts:</w:t>
            </w:r>
            <w:r w:rsidRPr="0087512B">
              <w:rPr>
                <w:rFonts w:cs="Times New Roman"/>
                <w:sz w:val="28"/>
                <w:szCs w:val="28"/>
              </w:rPr>
              <w:t xml:space="preserve"> Igaunija</w:t>
            </w:r>
          </w:p>
        </w:tc>
      </w:tr>
      <w:tr w:rsidR="007F6436" w:rsidRPr="0087512B" w:rsidTr="00AC0C13">
        <w:trPr>
          <w:trHeight w:val="608"/>
        </w:trPr>
        <w:tc>
          <w:tcPr>
            <w:tcW w:w="9351" w:type="dxa"/>
            <w:gridSpan w:val="4"/>
            <w:vAlign w:val="center"/>
          </w:tcPr>
          <w:p w:rsidR="007F6436" w:rsidRPr="0087512B" w:rsidRDefault="007F6436" w:rsidP="00956090">
            <w:pPr>
              <w:ind w:right="-99"/>
              <w:rPr>
                <w:rFonts w:cs="Times New Roman"/>
                <w:b/>
                <w:i/>
                <w:sz w:val="28"/>
                <w:szCs w:val="28"/>
              </w:rPr>
            </w:pPr>
            <w:r w:rsidRPr="0087512B">
              <w:rPr>
                <w:rFonts w:cs="Times New Roman"/>
                <w:b/>
                <w:sz w:val="28"/>
                <w:szCs w:val="28"/>
              </w:rPr>
              <w:t>Reklāmas izvietojuma ierobežojumi</w:t>
            </w:r>
          </w:p>
        </w:tc>
      </w:tr>
      <w:tr w:rsidR="007F6436" w:rsidRPr="0087512B" w:rsidTr="00AC0C13">
        <w:tc>
          <w:tcPr>
            <w:tcW w:w="2547" w:type="dxa"/>
          </w:tcPr>
          <w:p w:rsidR="007F6436" w:rsidRPr="0087512B" w:rsidRDefault="007F6436" w:rsidP="00956090">
            <w:pPr>
              <w:ind w:right="-99"/>
              <w:rPr>
                <w:rFonts w:cs="Times New Roman"/>
                <w:sz w:val="28"/>
                <w:szCs w:val="28"/>
              </w:rPr>
            </w:pPr>
            <w:r w:rsidRPr="0087512B">
              <w:rPr>
                <w:rFonts w:cs="Times New Roman"/>
                <w:sz w:val="28"/>
                <w:szCs w:val="28"/>
              </w:rPr>
              <w:t>Izglītības un ārstniecības iestādēs un uz šo iestāžu ēkām un būvēm</w:t>
            </w:r>
          </w:p>
        </w:tc>
        <w:tc>
          <w:tcPr>
            <w:tcW w:w="1134" w:type="dxa"/>
            <w:shd w:val="clear" w:color="auto" w:fill="auto"/>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b/>
                <w:sz w:val="28"/>
                <w:szCs w:val="28"/>
              </w:rPr>
            </w:pPr>
            <w:r w:rsidRPr="0087512B">
              <w:rPr>
                <w:rFonts w:cs="Times New Roman"/>
                <w:sz w:val="28"/>
                <w:szCs w:val="28"/>
              </w:rPr>
              <w:t>-</w:t>
            </w:r>
          </w:p>
        </w:tc>
        <w:tc>
          <w:tcPr>
            <w:tcW w:w="4674" w:type="dxa"/>
            <w:shd w:val="clear" w:color="auto" w:fill="auto"/>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A*</w:t>
            </w: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Apdzīvotu vietu vai intensīvas satiksmes vietās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p>
        </w:tc>
      </w:tr>
      <w:tr w:rsidR="007F6436" w:rsidRPr="0087512B" w:rsidTr="00AC0C13">
        <w:tc>
          <w:tcPr>
            <w:tcW w:w="2547" w:type="dxa"/>
          </w:tcPr>
          <w:p w:rsidR="007F6436" w:rsidRPr="0087512B" w:rsidRDefault="007F6436" w:rsidP="00956090">
            <w:pPr>
              <w:ind w:right="-99"/>
              <w:jc w:val="both"/>
              <w:rPr>
                <w:rFonts w:cs="Times New Roman"/>
                <w:sz w:val="28"/>
                <w:szCs w:val="28"/>
              </w:rPr>
            </w:pPr>
            <w:r w:rsidRPr="0087512B">
              <w:rPr>
                <w:rFonts w:cs="Times New Roman"/>
                <w:sz w:val="28"/>
                <w:szCs w:val="28"/>
              </w:rPr>
              <w:t>Uz sabiedriskā transporta līdzekļiem un tajos</w:t>
            </w:r>
          </w:p>
        </w:tc>
        <w:tc>
          <w:tcPr>
            <w:tcW w:w="1134"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rsidR="007F6436" w:rsidRPr="0087512B" w:rsidRDefault="007F6436" w:rsidP="00956090">
            <w:pPr>
              <w:ind w:right="-99"/>
              <w:rPr>
                <w:rFonts w:cs="Times New Roman"/>
                <w:sz w:val="28"/>
                <w:szCs w:val="28"/>
              </w:rPr>
            </w:pPr>
            <w:r w:rsidRPr="0087512B">
              <w:rPr>
                <w:rFonts w:cs="Times New Roman"/>
                <w:sz w:val="28"/>
                <w:szCs w:val="28"/>
              </w:rPr>
              <w:t>A*</w:t>
            </w:r>
          </w:p>
        </w:tc>
      </w:tr>
    </w:tbl>
    <w:p w:rsidR="007F6436" w:rsidRPr="0087512B" w:rsidRDefault="007F6436" w:rsidP="007F6436">
      <w:pPr>
        <w:ind w:right="-99"/>
        <w:jc w:val="both"/>
        <w:rPr>
          <w:rFonts w:cs="Times New Roman"/>
          <w:sz w:val="20"/>
          <w:szCs w:val="20"/>
        </w:rPr>
      </w:pPr>
      <w:r w:rsidRPr="0087512B">
        <w:rPr>
          <w:rFonts w:cs="Times New Roman"/>
          <w:sz w:val="20"/>
          <w:szCs w:val="20"/>
        </w:rPr>
        <w:t>* Alkoholisko dzērienu aprites likuma 11.panta trešā daļa</w:t>
      </w:r>
    </w:p>
    <w:p w:rsidR="007F6436" w:rsidRPr="0087512B" w:rsidRDefault="007F6436" w:rsidP="007F6436">
      <w:pPr>
        <w:ind w:right="-99"/>
        <w:jc w:val="both"/>
        <w:rPr>
          <w:rFonts w:cs="Times New Roman"/>
          <w:sz w:val="20"/>
          <w:szCs w:val="20"/>
        </w:rPr>
      </w:pPr>
      <w:r w:rsidRPr="0087512B">
        <w:rPr>
          <w:rFonts w:cs="Times New Roman"/>
          <w:sz w:val="20"/>
          <w:szCs w:val="20"/>
        </w:rPr>
        <w:t>** Tabakas izstrādājumu, augu smēķēšanas produktu, elektronisko smēķēšanas ierīču un to šķidrumu aprites likuma 9.pants</w:t>
      </w:r>
    </w:p>
    <w:p w:rsidR="001F6FA2" w:rsidRPr="00E808BF" w:rsidRDefault="001F6FA2" w:rsidP="00E808BF">
      <w:pPr>
        <w:jc w:val="both"/>
        <w:rPr>
          <w:rFonts w:cs="Times New Roman"/>
          <w:sz w:val="26"/>
          <w:szCs w:val="26"/>
          <w:lang w:eastAsia="lv-LV"/>
        </w:rPr>
      </w:pPr>
    </w:p>
    <w:p w:rsidR="004F4D67" w:rsidRPr="0050409B" w:rsidRDefault="004F4D67" w:rsidP="00956612">
      <w:pPr>
        <w:pStyle w:val="Heading3"/>
        <w:numPr>
          <w:ilvl w:val="0"/>
          <w:numId w:val="0"/>
        </w:numPr>
        <w:jc w:val="center"/>
        <w:rPr>
          <w:rFonts w:ascii="Times New Roman" w:eastAsia="Calibri" w:hAnsi="Times New Roman" w:cs="Times New Roman"/>
          <w:b/>
          <w:color w:val="auto"/>
          <w:sz w:val="28"/>
          <w:szCs w:val="28"/>
        </w:rPr>
      </w:pPr>
      <w:r w:rsidRPr="007571C1" w:rsidDel="006F2D1D">
        <w:rPr>
          <w:rFonts w:ascii="Times New Roman" w:hAnsi="Times New Roman" w:cs="Times New Roman"/>
          <w:b/>
          <w:color w:val="auto"/>
          <w:sz w:val="28"/>
          <w:szCs w:val="28"/>
          <w:lang w:eastAsia="lv-LV"/>
        </w:rPr>
        <w:t xml:space="preserve"> </w:t>
      </w:r>
      <w:bookmarkStart w:id="425" w:name="_Toc534701194"/>
      <w:bookmarkStart w:id="426" w:name="_Toc56087189"/>
      <w:r>
        <w:rPr>
          <w:rFonts w:ascii="Times New Roman" w:eastAsia="Calibri" w:hAnsi="Times New Roman" w:cs="Times New Roman"/>
          <w:b/>
          <w:color w:val="auto"/>
          <w:sz w:val="28"/>
          <w:szCs w:val="28"/>
        </w:rPr>
        <w:t>3.</w:t>
      </w:r>
      <w:r w:rsidR="002810B6">
        <w:rPr>
          <w:rFonts w:ascii="Times New Roman" w:eastAsia="Calibri" w:hAnsi="Times New Roman" w:cs="Times New Roman"/>
          <w:b/>
          <w:color w:val="auto"/>
          <w:sz w:val="28"/>
          <w:szCs w:val="28"/>
        </w:rPr>
        <w:t>2</w:t>
      </w:r>
      <w:r>
        <w:rPr>
          <w:rFonts w:ascii="Times New Roman" w:eastAsia="Calibri" w:hAnsi="Times New Roman" w:cs="Times New Roman"/>
          <w:b/>
          <w:color w:val="auto"/>
          <w:sz w:val="28"/>
          <w:szCs w:val="28"/>
        </w:rPr>
        <w:t xml:space="preserve">. </w:t>
      </w:r>
      <w:r w:rsidRPr="0050409B">
        <w:rPr>
          <w:rFonts w:ascii="Times New Roman" w:eastAsia="Calibri" w:hAnsi="Times New Roman" w:cs="Times New Roman"/>
          <w:b/>
          <w:color w:val="auto"/>
          <w:sz w:val="28"/>
          <w:szCs w:val="28"/>
        </w:rPr>
        <w:t>Izložu joma</w:t>
      </w:r>
      <w:bookmarkEnd w:id="425"/>
      <w:bookmarkEnd w:id="426"/>
    </w:p>
    <w:p w:rsidR="004F4D67" w:rsidRPr="0087512B" w:rsidRDefault="004F4D67" w:rsidP="004F4D67">
      <w:pPr>
        <w:tabs>
          <w:tab w:val="left" w:pos="993"/>
        </w:tabs>
        <w:ind w:right="-99" w:firstLine="709"/>
        <w:jc w:val="both"/>
        <w:rPr>
          <w:rFonts w:cs="Times New Roman"/>
          <w:sz w:val="28"/>
          <w:szCs w:val="28"/>
        </w:rPr>
      </w:pPr>
    </w:p>
    <w:p w:rsidR="004F4D67" w:rsidRPr="0087512B" w:rsidRDefault="004F4D67" w:rsidP="004F4D67">
      <w:pPr>
        <w:tabs>
          <w:tab w:val="left" w:pos="993"/>
        </w:tabs>
        <w:ind w:right="-99" w:firstLine="567"/>
        <w:jc w:val="both"/>
        <w:rPr>
          <w:rFonts w:cs="Times New Roman"/>
          <w:sz w:val="28"/>
          <w:szCs w:val="28"/>
        </w:rPr>
      </w:pPr>
      <w:r w:rsidRPr="0087512B">
        <w:rPr>
          <w:rFonts w:cs="Times New Roman"/>
          <w:sz w:val="28"/>
          <w:szCs w:val="28"/>
        </w:rPr>
        <w:t xml:space="preserve">Normatīvais regulējums attiecībā uz reklāmu izložu jomā ne ES mērogā, ne atsevišķi ES dalībvalstīs neparedz valsts mēroga izložu produktu reklāmas aizliegumu nevienā no ES dalībvalstīm, un daudzās valstīs nacionālie loteriju </w:t>
      </w:r>
      <w:r w:rsidRPr="0087512B">
        <w:rPr>
          <w:rFonts w:cs="Times New Roman"/>
          <w:sz w:val="28"/>
          <w:szCs w:val="28"/>
        </w:rPr>
        <w:lastRenderedPageBreak/>
        <w:t>uzņēmumi ir starp lielākajiem reklāmdevējiem. ES mērogā izložu un azartspēļu nozarē nenotiek tirgus harmonizācija un ES Tiesa ir atzinusi, ka katra dalībvalsts ir tiesīga veidot savu nozares politiku, t.sk. spēlētāju virzību uz mazāk bīstamām spēlēm tā, kā to uzskata par vajadzīgu, ņemot vērā morālus, kulturālus vai reliģiskus faktorus, kas svarīgi, lai nodrošinātu patērētāju aizsardzību un sabiedriskās kārtības saglabāšanu</w:t>
      </w:r>
      <w:r w:rsidRPr="0087512B">
        <w:rPr>
          <w:rFonts w:cs="Times New Roman"/>
          <w:sz w:val="28"/>
          <w:szCs w:val="28"/>
          <w:vertAlign w:val="superscript"/>
        </w:rPr>
        <w:footnoteReference w:id="82"/>
      </w:r>
      <w:r w:rsidRPr="0087512B">
        <w:rPr>
          <w:rFonts w:cs="Times New Roman"/>
          <w:sz w:val="28"/>
          <w:szCs w:val="28"/>
        </w:rPr>
        <w:t xml:space="preserve">. </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No ES judikatūras viedokļa </w:t>
      </w:r>
      <w:r w:rsidR="00684119">
        <w:rPr>
          <w:rFonts w:cs="Times New Roman"/>
          <w:sz w:val="28"/>
          <w:szCs w:val="28"/>
        </w:rPr>
        <w:t>Loto</w:t>
      </w:r>
      <w:r w:rsidRPr="0087512B">
        <w:rPr>
          <w:rFonts w:cs="Times New Roman"/>
          <w:sz w:val="28"/>
          <w:szCs w:val="28"/>
        </w:rPr>
        <w:t xml:space="preserve"> pārstāvētajā nozarē monopola īstenošana nodrošina tirgus ierobežojošus sociālos un drošības aspektus, ievērojot ES Tiesas judikatūru attiecībā uz proporcionalitāti</w:t>
      </w:r>
      <w:r w:rsidRPr="0087512B">
        <w:rPr>
          <w:rFonts w:cs="Times New Roman"/>
          <w:sz w:val="28"/>
          <w:szCs w:val="28"/>
          <w:vertAlign w:val="superscript"/>
        </w:rPr>
        <w:footnoteReference w:id="83"/>
      </w:r>
      <w:r w:rsidRPr="0087512B">
        <w:rPr>
          <w:rFonts w:cs="Times New Roman"/>
          <w:sz w:val="28"/>
          <w:szCs w:val="28"/>
        </w:rPr>
        <w:t xml:space="preserve">. </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Tiesas spriedumi par reklāmu monopola apstākļos izložu jomā nav pieejami. </w:t>
      </w:r>
      <w:bookmarkStart w:id="427" w:name="_Hlk531679996"/>
      <w:r w:rsidRPr="0087512B">
        <w:rPr>
          <w:rFonts w:cs="Times New Roman"/>
          <w:sz w:val="28"/>
          <w:szCs w:val="28"/>
        </w:rPr>
        <w:t>ES mērogā sociāli atbildīgas reklāmas ietvaru izložu jomā nosaka starptautiskais Eiropas Loteriju Asociācijas Atbildīgas spēles standarts, kas ir nacionālo loteriju uzņēmumu augstākais kvalitātes standarts sociālās atbildības jomā. Eiropas Loteriju Asociācijas sertifikāts par atbilstību iepriekš minētajam standartam apliecina sertificēto ES valstu nacionālo loteriju uzņēmumu atbildīgas reklāmas principu ievērošanu izložu jomā.</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Nacionālo loteriju uzņēmumu atbildīgas reklāmas principi nodrošina, ka izložu reklāma:</w:t>
      </w:r>
      <w:bookmarkEnd w:id="427"/>
    </w:p>
    <w:p w:rsidR="004F4D67" w:rsidRPr="0050296D" w:rsidRDefault="004F4D67" w:rsidP="0050296D">
      <w:pPr>
        <w:pStyle w:val="ListParagraph"/>
        <w:numPr>
          <w:ilvl w:val="0"/>
          <w:numId w:val="12"/>
        </w:numPr>
        <w:ind w:left="0" w:right="-99" w:firstLine="709"/>
        <w:jc w:val="both"/>
        <w:rPr>
          <w:rFonts w:cs="Times New Roman"/>
          <w:sz w:val="28"/>
          <w:szCs w:val="28"/>
        </w:rPr>
      </w:pPr>
      <w:r w:rsidRPr="0050296D">
        <w:rPr>
          <w:rFonts w:cs="Times New Roman"/>
          <w:sz w:val="28"/>
          <w:szCs w:val="28"/>
        </w:rPr>
        <w:t>netiek mērķēta uz nepilngadīgām personām;</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kur iespējams, ietver norādi par vecuma ierobežojumiem;</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atbilst ieviestam reklāmas ētikas kodeksam, kas saistošs arī trešajām reklāmas kampaņā iesaistītām pusēm, un nodrošina, ka reklāma un pārdošanas veicināšanas pasākumi neveicina nepilngadīgu personu vai problemātisko spēli un nesniedz spēlētājam maldinošu informāciju;</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nepiedāvā pārmērīgus labumus attiecībā uz lojalitāti, kas ir piesaistīti laimestu lielumam, ja spēlē vairāk;</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fokusējas uz izklaidi, neapgalvo un neiesaka, ka spēlēšana ir alternatīva darbam vai izeja no finanšu problēmām;</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skaidri atklāj veicināšanas aktivitāšu noteikumus;</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nemudina patērētājus atgūt/atspēlēt savus zaudējumus;</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nemudina uz diskrimināciju attiecībā uz etniskumu, nacionalitāti, reliģiju, vecumu vai dzimumu;</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izslēdz jebkāda veida saturu, kas ietver vai mudina uz vardarbību, seksuālās izmantošanas tēmām vai nelikumīgu uzvedību;</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nesadarbojās vai neatbalsta komerciālas organizācijas, kas piedāvā ātros kredītus, ko var izmantot spēlēšanai;</w:t>
      </w:r>
    </w:p>
    <w:p w:rsidR="004F4D67" w:rsidRPr="0087512B" w:rsidRDefault="004F4D67" w:rsidP="0050296D">
      <w:pPr>
        <w:pStyle w:val="ListParagraph"/>
        <w:numPr>
          <w:ilvl w:val="0"/>
          <w:numId w:val="12"/>
        </w:numPr>
        <w:ind w:left="0" w:right="-99" w:firstLine="709"/>
        <w:jc w:val="both"/>
        <w:rPr>
          <w:rFonts w:cs="Times New Roman"/>
          <w:sz w:val="28"/>
          <w:szCs w:val="28"/>
        </w:rPr>
      </w:pPr>
      <w:r w:rsidRPr="0087512B">
        <w:rPr>
          <w:rFonts w:cs="Times New Roman"/>
          <w:sz w:val="28"/>
          <w:szCs w:val="28"/>
        </w:rPr>
        <w:t>komunikācijā, izmantojot e-pastu vai SMS, nodrošina atteikšanās un izrakstīšanās iespējas.</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Atbilstību Eiropas Loteriju Asociācijas Atbildīgas spēles standarta prasībām atbildīgas izložu reklāmas jomā regulāro auditu ietvaros novērtē Eiropas Loteriju Asociācijas Standartizācijas komisijas apstiprināti neatkarīgi auditori. Pēc audita atzinuma izvērtēšanas Eiropas Loteriju Asociācija izsniedz nacionālajiem loteriju </w:t>
      </w:r>
      <w:r w:rsidRPr="0087512B">
        <w:rPr>
          <w:rFonts w:cs="Times New Roman"/>
          <w:sz w:val="28"/>
          <w:szCs w:val="28"/>
        </w:rPr>
        <w:lastRenderedPageBreak/>
        <w:t xml:space="preserve">uzņēmumiem sertifikātu par atbilstību Eiropas Loteriju Asociācijas Atbildīgas spēles standartam, kas ir dokumentāli pārbaudāms apliecinājums atbildīgas reklāmas principu ievērošanai izložu jomā ES mērogā. </w:t>
      </w:r>
    </w:p>
    <w:p w:rsidR="00D6305C" w:rsidRPr="00D6305C" w:rsidRDefault="004F4D67" w:rsidP="00CB3E6C">
      <w:pPr>
        <w:pStyle w:val="Default"/>
        <w:ind w:firstLine="567"/>
        <w:jc w:val="both"/>
        <w:rPr>
          <w:rFonts w:ascii="Lucida Sans Unicode" w:eastAsiaTheme="minorHAnsi" w:hAnsi="Lucida Sans Unicode" w:cs="Lucida Sans Unicode"/>
          <w:lang w:eastAsia="en-US"/>
        </w:rPr>
      </w:pPr>
      <w:r w:rsidRPr="0087512B">
        <w:rPr>
          <w:sz w:val="28"/>
          <w:szCs w:val="28"/>
        </w:rPr>
        <w:t>Kopumā citu valstu pētījumos ir atzīts, ka valsts mēroga izlozēm ir mazāka negatīvā ietekme uz sabiedrību nekā azartspēlēm un izlozes ir ar zemāku atkarību risku</w:t>
      </w:r>
      <w:r w:rsidRPr="0087512B">
        <w:rPr>
          <w:rStyle w:val="FootnoteReference"/>
          <w:sz w:val="28"/>
          <w:szCs w:val="28"/>
        </w:rPr>
        <w:footnoteReference w:id="84"/>
      </w:r>
      <w:r w:rsidRPr="0087512B">
        <w:rPr>
          <w:sz w:val="28"/>
          <w:szCs w:val="28"/>
        </w:rPr>
        <w:t>. Vienlaikus, attiecībā uz valsts mēroga izložu organizēšanas sociālo ietekmi Latvijā nav neviena valsts mēroga pētījuma, kas liecinātu par atkarību no dalības valsts mēroga izlozēs.</w:t>
      </w:r>
      <w:r w:rsidR="00D6305C">
        <w:rPr>
          <w:sz w:val="28"/>
          <w:szCs w:val="28"/>
        </w:rPr>
        <w:t xml:space="preserve"> Savukārt Veselības ministrija 2019.gadā ir izstrādājusi </w:t>
      </w:r>
      <w:r w:rsidR="007A6F06">
        <w:rPr>
          <w:sz w:val="28"/>
          <w:szCs w:val="28"/>
        </w:rPr>
        <w:t>Eiropas S</w:t>
      </w:r>
      <w:r w:rsidR="00BF5A9C">
        <w:rPr>
          <w:sz w:val="28"/>
          <w:szCs w:val="28"/>
        </w:rPr>
        <w:t xml:space="preserve">ociālā fonda ietvaros </w:t>
      </w:r>
      <w:r w:rsidR="00D6305C">
        <w:rPr>
          <w:sz w:val="28"/>
          <w:szCs w:val="28"/>
        </w:rPr>
        <w:t>pētījumu “</w:t>
      </w:r>
      <w:r w:rsidR="005A1413">
        <w:rPr>
          <w:sz w:val="28"/>
          <w:szCs w:val="28"/>
        </w:rPr>
        <w:t>P</w:t>
      </w:r>
      <w:r w:rsidR="00D6305C">
        <w:rPr>
          <w:sz w:val="28"/>
          <w:szCs w:val="28"/>
        </w:rPr>
        <w:t xml:space="preserve">ar procesu atkarību (Azartspēļu, sociālo mediju, </w:t>
      </w:r>
      <w:r w:rsidR="007E738E">
        <w:rPr>
          <w:sz w:val="28"/>
          <w:szCs w:val="28"/>
        </w:rPr>
        <w:t xml:space="preserve">videospēļu </w:t>
      </w:r>
      <w:r w:rsidR="00D6305C">
        <w:rPr>
          <w:sz w:val="28"/>
          <w:szCs w:val="28"/>
        </w:rPr>
        <w:t>atkarība) izplatību Latvijas iedzīvotāju vidū un to ietekmējošiem riska faktoriem</w:t>
      </w:r>
      <w:r w:rsidR="005A1413">
        <w:rPr>
          <w:sz w:val="28"/>
          <w:szCs w:val="28"/>
        </w:rPr>
        <w:t>”, kurā tiek norādīts, ka procesa atkarības jēdziena lietojums joprojām ir neviennozīmīgs.</w:t>
      </w:r>
      <w:r w:rsidR="00BF5A9C">
        <w:rPr>
          <w:sz w:val="28"/>
          <w:szCs w:val="28"/>
        </w:rPr>
        <w:t xml:space="preserve"> </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Analizējot Latvijas izložu un azartspēļu tirgus struktūru, secināms, ka Latvijā valsts mēroga izlozes jeb tirgus ar zemāku atkarību risku aizņem vien 7% no kopējā izložu un azartspēļu tirgus GGR</w:t>
      </w:r>
      <w:r w:rsidRPr="0087512B">
        <w:rPr>
          <w:rFonts w:cs="Times New Roman"/>
          <w:sz w:val="28"/>
          <w:szCs w:val="28"/>
          <w:vertAlign w:val="superscript"/>
        </w:rPr>
        <w:footnoteReference w:id="85"/>
      </w:r>
      <w:r w:rsidRPr="0087512B">
        <w:rPr>
          <w:rFonts w:cs="Times New Roman"/>
          <w:sz w:val="28"/>
          <w:szCs w:val="28"/>
        </w:rPr>
        <w:t>. Līdz ar to var teikt, ka nozares tiesiskais regulējums Latvijā, kas nosaka atšķirīgus izložu un azartspēļu organizēšanas nosacījumus, t.sk. attiecībā uz reklāmas atļaušanu produktiem ar zemāku atkarību risku, ir saskaņā ar ES Tiesas atzinumiem.</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Valsts mēroga izložu monopola īstenotājs Loto nodrošina savas darbības atbilstību nozares augstākajiem sociālās atbildības standartiem – Eiropas Loteriju asociācijas Atbildīgas spēles standartam (nodrošināta 100% apmērā), kā arī Pasaules Loteriju asociācijas Atbildīgas spēles ietvaram (augstākajam, 4.līmenim), kas ietver atsevišķu sadaļu ar ierobežojošām prasībām attiecībā uz reklāmu un mārketingu. Loto ir pievienojusies Eiropas Loteriju Asociācijas sociālās atbildības un ētikas augstākajiem standartiem izložu reklamēšanai</w:t>
      </w:r>
      <w:r w:rsidRPr="0087512B">
        <w:rPr>
          <w:rStyle w:val="FootnoteReference"/>
          <w:sz w:val="28"/>
          <w:szCs w:val="28"/>
        </w:rPr>
        <w:footnoteReference w:id="86"/>
      </w:r>
      <w:r w:rsidRPr="0087512B">
        <w:rPr>
          <w:rFonts w:cs="Times New Roman"/>
          <w:sz w:val="28"/>
          <w:szCs w:val="28"/>
        </w:rPr>
        <w:t xml:space="preserve">. Reklāmas veidošanas ētikas prasības ir ietvertas Loto Reklāmas ētikas kodeksā, kas ir saistošs arī Loto sadarbības partneriem reklāmas un mārketinga jomā. </w:t>
      </w:r>
      <w:bookmarkStart w:id="428" w:name="_Hlk531895777"/>
      <w:r w:rsidRPr="0087512B">
        <w:rPr>
          <w:rFonts w:cs="Times New Roman"/>
          <w:sz w:val="28"/>
          <w:szCs w:val="28"/>
        </w:rPr>
        <w:t>Loto atbildīgas reklāmas izložu jomā atbilstību Eiropas Loteriju Asociācijas Atbildīgas spēles standarta prasībām apliecina Eiropas Loteriju Asociācijas Atbildīgas spēles standarta atbilstības sertifikāts, kura nepārtrauktība tiek nodrošināta regulāra neatkarīga audita ietvaros.</w:t>
      </w:r>
      <w:bookmarkEnd w:id="428"/>
      <w:r w:rsidRPr="0087512B">
        <w:rPr>
          <w:rFonts w:cs="Times New Roman"/>
          <w:sz w:val="28"/>
          <w:szCs w:val="28"/>
        </w:rPr>
        <w:t xml:space="preserve">  </w:t>
      </w:r>
    </w:p>
    <w:p w:rsidR="004F4D67" w:rsidRPr="0087512B" w:rsidRDefault="004F4D67" w:rsidP="004F4D67">
      <w:pPr>
        <w:autoSpaceDE w:val="0"/>
        <w:autoSpaceDN w:val="0"/>
        <w:adjustRightInd w:val="0"/>
        <w:ind w:right="-99" w:firstLine="567"/>
        <w:jc w:val="both"/>
        <w:rPr>
          <w:rFonts w:cs="Times New Roman"/>
          <w:sz w:val="28"/>
          <w:szCs w:val="28"/>
        </w:rPr>
      </w:pPr>
      <w:r w:rsidRPr="0087512B">
        <w:rPr>
          <w:rFonts w:eastAsia="Times New Roman" w:cs="Times New Roman"/>
          <w:sz w:val="28"/>
          <w:szCs w:val="28"/>
          <w:lang w:eastAsia="lv-LV"/>
        </w:rPr>
        <w:t xml:space="preserve">Valsts mēroga izložu preču zīmes ir visu momentloteriju un skaitļu izložu nosaukumi, komercsabiedrības firma </w:t>
      </w:r>
      <w:r w:rsidR="00461451">
        <w:rPr>
          <w:rFonts w:eastAsia="Times New Roman" w:cs="Times New Roman"/>
          <w:sz w:val="28"/>
          <w:szCs w:val="28"/>
          <w:lang w:eastAsia="lv-LV"/>
        </w:rPr>
        <w:t>–</w:t>
      </w:r>
      <w:r w:rsidRPr="0087512B">
        <w:rPr>
          <w:rFonts w:eastAsia="Times New Roman" w:cs="Times New Roman"/>
          <w:sz w:val="28"/>
          <w:szCs w:val="28"/>
          <w:lang w:eastAsia="lv-LV"/>
        </w:rPr>
        <w:t xml:space="preserve"> preču zīme Latvijas Loto un valsts mēroga izložu tirdzniecības vietu preču zīme “LOTO”. To plaša lietošana izriet no normatīvā regulējuma - </w:t>
      </w:r>
      <w:r w:rsidRPr="0087512B">
        <w:rPr>
          <w:rFonts w:cs="Times New Roman"/>
          <w:sz w:val="28"/>
          <w:szCs w:val="28"/>
        </w:rPr>
        <w:t>valsts mēroga izložu laimestu publiskošana ir noteikta ar likumu</w:t>
      </w:r>
      <w:r w:rsidRPr="0087512B">
        <w:rPr>
          <w:rStyle w:val="FootnoteReference"/>
          <w:sz w:val="28"/>
          <w:szCs w:val="28"/>
        </w:rPr>
        <w:footnoteReference w:id="87"/>
      </w:r>
      <w:r w:rsidRPr="0087512B">
        <w:rPr>
          <w:rFonts w:cs="Times New Roman"/>
          <w:sz w:val="28"/>
          <w:szCs w:val="28"/>
        </w:rPr>
        <w:t xml:space="preserve">, katrs valsts mēroga izlozes kupons vai papīra formāta momentloterijas biļete arī pati par </w:t>
      </w:r>
      <w:r w:rsidRPr="0087512B">
        <w:rPr>
          <w:rFonts w:cs="Times New Roman"/>
          <w:sz w:val="28"/>
          <w:szCs w:val="28"/>
        </w:rPr>
        <w:lastRenderedPageBreak/>
        <w:t xml:space="preserve">sevi jau ir reklāmas materiāls, kas saskaņā ar </w:t>
      </w:r>
      <w:r w:rsidR="00E114C3">
        <w:rPr>
          <w:rFonts w:cs="Times New Roman"/>
          <w:sz w:val="28"/>
          <w:szCs w:val="28"/>
        </w:rPr>
        <w:t>AIL</w:t>
      </w:r>
      <w:r w:rsidRPr="0087512B">
        <w:rPr>
          <w:rStyle w:val="FootnoteReference"/>
          <w:sz w:val="28"/>
          <w:szCs w:val="28"/>
        </w:rPr>
        <w:footnoteReference w:id="88"/>
      </w:r>
      <w:r w:rsidRPr="0087512B">
        <w:rPr>
          <w:rFonts w:cs="Times New Roman"/>
          <w:sz w:val="28"/>
          <w:szCs w:val="28"/>
        </w:rPr>
        <w:t xml:space="preserve"> noteikto satur konkrētu publisku informāciju; kā arī katrā tirdzniecības vietā jābūt pieejamiem IAUI apstiprinātiem izložu noteikumiem</w:t>
      </w:r>
      <w:r w:rsidRPr="0087512B">
        <w:rPr>
          <w:rStyle w:val="FootnoteReference"/>
          <w:sz w:val="28"/>
          <w:szCs w:val="28"/>
        </w:rPr>
        <w:footnoteReference w:id="89"/>
      </w:r>
      <w:r w:rsidRPr="0087512B">
        <w:rPr>
          <w:rFonts w:cs="Times New Roman"/>
          <w:sz w:val="28"/>
          <w:szCs w:val="28"/>
        </w:rPr>
        <w:t xml:space="preserve">. Līdz ar to valsts mēroga izložu preču zīmju lietošana </w:t>
      </w:r>
      <w:r w:rsidRPr="0087512B">
        <w:rPr>
          <w:rFonts w:eastAsia="Times New Roman" w:cs="Times New Roman"/>
          <w:sz w:val="28"/>
          <w:szCs w:val="28"/>
          <w:lang w:eastAsia="lv-LV"/>
        </w:rPr>
        <w:t xml:space="preserve">kalpo patērētāju tiesību ievērošanas nodrošināšanai, informēšanai par valsts mēroga izložu pieejamību tirdzniecības vietās, kā arī izlozes norises kontrolei un korektai nodokļu un nodevu iekasēšanai, </w:t>
      </w:r>
      <w:r w:rsidRPr="0087512B">
        <w:rPr>
          <w:rFonts w:cs="Times New Roman"/>
          <w:sz w:val="28"/>
          <w:szCs w:val="28"/>
        </w:rPr>
        <w:t xml:space="preserve">un </w:t>
      </w:r>
      <w:r w:rsidRPr="0087512B">
        <w:rPr>
          <w:rFonts w:eastAsia="Times New Roman" w:cs="Times New Roman"/>
          <w:sz w:val="28"/>
          <w:szCs w:val="28"/>
          <w:lang w:eastAsia="lv-LV"/>
        </w:rPr>
        <w:t xml:space="preserve">vienlaicīgi pēc </w:t>
      </w:r>
      <w:r w:rsidRPr="0087512B">
        <w:rPr>
          <w:rFonts w:cs="Times New Roman"/>
          <w:sz w:val="28"/>
          <w:szCs w:val="28"/>
        </w:rPr>
        <w:t xml:space="preserve">būtības valsts mēroga izložu preču zīmju lietošana arī ir reklāma. Turklāt valsts mēroga skaitļu izlozes SuperBingo īstenošana līdzšinējā formātā, izslēdzot reklāmas izvietošanu, vispār nebūtu iespējama, jo tās neatņemama sastāvdaļa ir TV izloze ar auditorijas spēlēm un papildspēlēm, kas notiek iknedēļas TV raidījuma ietvaros un ietver gan pašreklāmu pirms izlozes, gan izlozes pārraidi TV kanālā. Jāņem vērā arī 2018.gada 1.novembrī pieņemtā Čeku loterijas likuma deleģējums Loto nodrošināt </w:t>
      </w:r>
      <w:r w:rsidRPr="0087512B">
        <w:rPr>
          <w:rFonts w:eastAsia="Times New Roman" w:cs="Times New Roman"/>
          <w:sz w:val="28"/>
          <w:szCs w:val="28"/>
          <w:lang w:eastAsia="lv-LV"/>
        </w:rPr>
        <w:t>Čeku loterijas izložu rezultātu paziņošanu SuperBingo raidījumā, nolūkā to publiskot maksimāli efektīvi un profesionāli.</w:t>
      </w:r>
      <w:r w:rsidRPr="0087512B">
        <w:rPr>
          <w:rFonts w:cs="Times New Roman"/>
          <w:sz w:val="28"/>
          <w:szCs w:val="28"/>
        </w:rPr>
        <w:t xml:space="preserve"> Vienlaikus, lai pasargātu nepilngadīgo personu tiesības, īpaša uzmanība pievēršama atbildīgas izložu reklāmas principu ievērošanai, ņemot vērā programmu laiku, kad gaidāms, ka galvenā auditorija būs nepilngadīgās personas, ievērojot Eiropas Loteriju Asociācijas Atbildīgas spēles standarta prasības. Ņemot vērā iepriekš minēto, valsts mēroga izložu preču zīmju lietošana pēc būtības ir valsts mēroga izložu reklamēšana, līdz ar to </w:t>
      </w:r>
      <w:r w:rsidRPr="0087512B">
        <w:rPr>
          <w:rFonts w:eastAsia="Times New Roman" w:cs="Times New Roman"/>
          <w:sz w:val="28"/>
          <w:szCs w:val="28"/>
          <w:lang w:eastAsia="lv-LV"/>
        </w:rPr>
        <w:t xml:space="preserve">valsts mēroga preču zīmju lietošanā jāvadās no vispārīgiem atbildīgas izložu reklāmas principiem, kas izriet no Eiropas Loteriju Asociācijas Atbildīgas spēles standarta prasībām nacionāla mēroga izložu reklāmas jomā. </w:t>
      </w:r>
    </w:p>
    <w:p w:rsidR="004F4D67" w:rsidRPr="0087512B" w:rsidRDefault="004F4D67" w:rsidP="004F4D67">
      <w:pPr>
        <w:pStyle w:val="ListParagraph"/>
        <w:tabs>
          <w:tab w:val="left" w:pos="993"/>
        </w:tabs>
        <w:ind w:left="0" w:right="-99" w:firstLine="567"/>
        <w:jc w:val="both"/>
        <w:rPr>
          <w:rFonts w:cs="Times New Roman"/>
          <w:sz w:val="28"/>
          <w:szCs w:val="28"/>
        </w:rPr>
      </w:pPr>
      <w:r w:rsidRPr="0087512B">
        <w:rPr>
          <w:rFonts w:cs="Times New Roman"/>
          <w:sz w:val="28"/>
          <w:szCs w:val="28"/>
        </w:rPr>
        <w:t>Balstoties uz augstāk minētajiem apsvērumiem, tiek izvērtēts iespējamais regulējums izlozēm un loterijām.</w:t>
      </w:r>
    </w:p>
    <w:p w:rsidR="00E45FB7" w:rsidRDefault="00E45FB7" w:rsidP="004F4D67">
      <w:pPr>
        <w:ind w:right="-99"/>
        <w:jc w:val="right"/>
        <w:rPr>
          <w:rFonts w:cs="Times New Roman"/>
          <w:sz w:val="28"/>
          <w:szCs w:val="28"/>
        </w:rPr>
      </w:pPr>
    </w:p>
    <w:p w:rsidR="004F4D67" w:rsidRPr="0087512B" w:rsidRDefault="007F6436" w:rsidP="004F4D67">
      <w:pPr>
        <w:ind w:right="-99"/>
        <w:jc w:val="right"/>
        <w:rPr>
          <w:rFonts w:cs="Times New Roman"/>
          <w:sz w:val="28"/>
          <w:szCs w:val="28"/>
        </w:rPr>
      </w:pPr>
      <w:r>
        <w:rPr>
          <w:rFonts w:cs="Times New Roman"/>
          <w:sz w:val="28"/>
          <w:szCs w:val="28"/>
        </w:rPr>
        <w:t>5</w:t>
      </w:r>
      <w:r w:rsidR="004F4D67" w:rsidRPr="0087512B">
        <w:rPr>
          <w:rFonts w:cs="Times New Roman"/>
          <w:sz w:val="28"/>
          <w:szCs w:val="28"/>
        </w:rPr>
        <w:t>.tabula</w:t>
      </w:r>
    </w:p>
    <w:p w:rsidR="004F4D67" w:rsidRPr="0087512B" w:rsidRDefault="004F4D67" w:rsidP="004F4D67">
      <w:pPr>
        <w:ind w:right="-99"/>
        <w:jc w:val="center"/>
        <w:rPr>
          <w:rFonts w:cs="Times New Roman"/>
          <w:sz w:val="28"/>
          <w:szCs w:val="28"/>
        </w:rPr>
      </w:pPr>
      <w:r w:rsidRPr="0087512B">
        <w:rPr>
          <w:rFonts w:cs="Times New Roman"/>
          <w:sz w:val="28"/>
          <w:szCs w:val="28"/>
        </w:rPr>
        <w:t>Reklāmas iespējamais regulējums izlozēm un loterijām</w:t>
      </w:r>
    </w:p>
    <w:tbl>
      <w:tblPr>
        <w:tblStyle w:val="TableGrid"/>
        <w:tblW w:w="9493" w:type="dxa"/>
        <w:tblLayout w:type="fixed"/>
        <w:tblLook w:val="04A0" w:firstRow="1" w:lastRow="0" w:firstColumn="1" w:lastColumn="0" w:noHBand="0" w:noVBand="1"/>
      </w:tblPr>
      <w:tblGrid>
        <w:gridCol w:w="4248"/>
        <w:gridCol w:w="1559"/>
        <w:gridCol w:w="3686"/>
      </w:tblGrid>
      <w:tr w:rsidR="004F4D67" w:rsidRPr="0087512B" w:rsidTr="004F0664">
        <w:tc>
          <w:tcPr>
            <w:tcW w:w="4248" w:type="dxa"/>
            <w:vAlign w:val="center"/>
          </w:tcPr>
          <w:p w:rsidR="004F4D67" w:rsidRPr="0087512B" w:rsidRDefault="004F4D67" w:rsidP="00D053EC">
            <w:pPr>
              <w:ind w:right="-99"/>
              <w:jc w:val="center"/>
              <w:rPr>
                <w:rFonts w:cs="Times New Roman"/>
                <w:b/>
                <w:sz w:val="28"/>
                <w:szCs w:val="28"/>
              </w:rPr>
            </w:pPr>
            <w:r w:rsidRPr="0087512B">
              <w:rPr>
                <w:rFonts w:cs="Times New Roman"/>
                <w:b/>
                <w:sz w:val="28"/>
                <w:szCs w:val="28"/>
              </w:rPr>
              <w:t>Reklāmas veids</w:t>
            </w:r>
          </w:p>
        </w:tc>
        <w:tc>
          <w:tcPr>
            <w:tcW w:w="1559" w:type="dxa"/>
          </w:tcPr>
          <w:p w:rsidR="004F4D67" w:rsidRPr="0087512B" w:rsidRDefault="004F4D67" w:rsidP="00D053EC">
            <w:pPr>
              <w:ind w:right="-99"/>
              <w:rPr>
                <w:rFonts w:cs="Times New Roman"/>
                <w:b/>
                <w:sz w:val="28"/>
                <w:szCs w:val="28"/>
              </w:rPr>
            </w:pPr>
            <w:r w:rsidRPr="0087512B">
              <w:rPr>
                <w:rFonts w:cs="Times New Roman"/>
                <w:b/>
                <w:sz w:val="28"/>
                <w:szCs w:val="28"/>
              </w:rPr>
              <w:t>Piedāvātais regulējums</w:t>
            </w:r>
          </w:p>
        </w:tc>
        <w:tc>
          <w:tcPr>
            <w:tcW w:w="3686" w:type="dxa"/>
          </w:tcPr>
          <w:p w:rsidR="004F4D67" w:rsidRPr="0087512B" w:rsidRDefault="004F4D67" w:rsidP="00D053EC">
            <w:pPr>
              <w:ind w:right="-99"/>
              <w:jc w:val="both"/>
              <w:rPr>
                <w:rFonts w:cs="Times New Roman"/>
                <w:b/>
                <w:sz w:val="28"/>
                <w:szCs w:val="28"/>
              </w:rPr>
            </w:pPr>
            <w:r w:rsidRPr="0087512B">
              <w:rPr>
                <w:rFonts w:cs="Times New Roman"/>
                <w:b/>
                <w:sz w:val="28"/>
                <w:szCs w:val="28"/>
              </w:rPr>
              <w:t>Citu valstu un jomu pieredze</w:t>
            </w:r>
          </w:p>
        </w:tc>
      </w:tr>
      <w:tr w:rsidR="004F4D67" w:rsidRPr="0087512B" w:rsidTr="004F0664">
        <w:tc>
          <w:tcPr>
            <w:tcW w:w="4248" w:type="dxa"/>
            <w:vAlign w:val="center"/>
          </w:tcPr>
          <w:p w:rsidR="004F4D67" w:rsidRPr="0087512B" w:rsidRDefault="004F4D67" w:rsidP="00D053EC">
            <w:pPr>
              <w:ind w:right="-99"/>
              <w:rPr>
                <w:rFonts w:cs="Times New Roman"/>
                <w:sz w:val="28"/>
                <w:szCs w:val="28"/>
              </w:rPr>
            </w:pPr>
            <w:r w:rsidRPr="0087512B">
              <w:rPr>
                <w:rFonts w:cs="Times New Roman"/>
                <w:sz w:val="28"/>
                <w:szCs w:val="28"/>
              </w:rPr>
              <w:t>Reklāma un izložu rezultātu paziņošana televīzijā, tajā skaitā specializēti raidījumi izložu rezultātu paziņošanai.</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val="restart"/>
          </w:tcPr>
          <w:p w:rsidR="004F4D67" w:rsidRPr="0087512B" w:rsidRDefault="004F4D67" w:rsidP="00D053EC">
            <w:pPr>
              <w:ind w:right="-99"/>
              <w:jc w:val="both"/>
              <w:rPr>
                <w:rFonts w:cs="Times New Roman"/>
                <w:sz w:val="28"/>
                <w:szCs w:val="28"/>
              </w:rPr>
            </w:pPr>
            <w:r w:rsidRPr="0087512B">
              <w:rPr>
                <w:rFonts w:cs="Times New Roman"/>
                <w:sz w:val="28"/>
                <w:szCs w:val="28"/>
              </w:rPr>
              <w:t xml:space="preserve">Valsts mēroga izložu reklāma ir atļauta ES valstīs, t.sk. Lietuvā, Igaunijā, Somijā, Zviedrijā, Beļģijā, Čehijā, Ungārijā, Austrijā, u.c. </w:t>
            </w:r>
          </w:p>
          <w:p w:rsidR="004F4D67" w:rsidRPr="0087512B" w:rsidRDefault="004F4D67" w:rsidP="00D053EC">
            <w:pPr>
              <w:ind w:right="-99"/>
              <w:jc w:val="both"/>
              <w:rPr>
                <w:rFonts w:cs="Times New Roman"/>
                <w:sz w:val="28"/>
                <w:szCs w:val="28"/>
              </w:rPr>
            </w:pPr>
            <w:r w:rsidRPr="0087512B">
              <w:rPr>
                <w:rFonts w:cs="Times New Roman"/>
                <w:sz w:val="28"/>
                <w:szCs w:val="28"/>
              </w:rPr>
              <w:t xml:space="preserve">Starptautiskā prakse liecina, ka ES valstu nacionālie loteriju uzņēmumi ir sertificēti atbilstoši nozares starptautiskajam sociālās atbildības Atbildīgas spēles standartam (Eiropas Loteriju </w:t>
            </w:r>
            <w:r w:rsidRPr="0087512B">
              <w:rPr>
                <w:rFonts w:cs="Times New Roman"/>
                <w:sz w:val="28"/>
                <w:szCs w:val="28"/>
              </w:rPr>
              <w:lastRenderedPageBreak/>
              <w:t xml:space="preserve">asociācijas EL/RG standarts), kas nosaka Atbildīgas spēles ietvaru valsts mēroga izložu sociāli atbildīgām reklāmas un mārketinga aktivitātēm. </w:t>
            </w:r>
          </w:p>
          <w:p w:rsidR="004F4D67" w:rsidRPr="0087512B" w:rsidRDefault="004F4D67" w:rsidP="007F3F3D">
            <w:pPr>
              <w:ind w:right="-99"/>
              <w:jc w:val="both"/>
              <w:rPr>
                <w:rFonts w:cs="Times New Roman"/>
                <w:b/>
                <w:sz w:val="28"/>
                <w:szCs w:val="28"/>
              </w:rPr>
            </w:pPr>
            <w:r w:rsidRPr="0087512B">
              <w:rPr>
                <w:rFonts w:cs="Times New Roman"/>
                <w:sz w:val="28"/>
                <w:szCs w:val="28"/>
              </w:rPr>
              <w:t>Loto ir sertificēts atbilstoši Eiropas Loteriju asociācijas Atbildīgas spēles standartam (100% atbilstība), ievērojot tajā noteiktās prasības.</w:t>
            </w:r>
          </w:p>
        </w:tc>
      </w:tr>
      <w:tr w:rsidR="004F4D67" w:rsidRPr="0087512B" w:rsidTr="004F0664">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Reklāma un izložu rezultātu paziņošana radio, tajā skaitā specializēti raidījumi izložu rezultātu paziņošanai.</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jc w:val="both"/>
              <w:rPr>
                <w:rFonts w:cs="Times New Roman"/>
                <w:sz w:val="28"/>
                <w:szCs w:val="28"/>
              </w:rPr>
            </w:pPr>
          </w:p>
        </w:tc>
      </w:tr>
      <w:tr w:rsidR="004F4D67" w:rsidRPr="0087512B" w:rsidTr="004F0664">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Reklāma un izložu rezultātu paziņošana drukātajos medijos.</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 xml:space="preserve">Reklāma un izložu rezultātu paziņošana elektroniskajos medijos, </w:t>
            </w:r>
            <w:r w:rsidRPr="0087512B">
              <w:rPr>
                <w:rFonts w:cs="Times New Roman"/>
                <w:sz w:val="28"/>
                <w:szCs w:val="28"/>
              </w:rPr>
              <w:lastRenderedPageBreak/>
              <w:t xml:space="preserve">t.sk. internetā, mobilajā vidē un citos digitālās vides medijos. </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lastRenderedPageBreak/>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 xml:space="preserve">Reklāma, izložu rezultātu paziņošana, straumēšana un cits saturs sociālajos tīklos (medijos). </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rPr>
          <w:trHeight w:val="217"/>
        </w:trPr>
        <w:tc>
          <w:tcPr>
            <w:tcW w:w="4248" w:type="dxa"/>
            <w:vAlign w:val="center"/>
          </w:tcPr>
          <w:p w:rsidR="004F4D67" w:rsidRPr="0087512B" w:rsidRDefault="004F4D67" w:rsidP="00D053EC">
            <w:pPr>
              <w:ind w:right="-99"/>
              <w:jc w:val="both"/>
              <w:rPr>
                <w:rFonts w:cs="Times New Roman"/>
                <w:sz w:val="28"/>
                <w:szCs w:val="28"/>
              </w:rPr>
            </w:pPr>
            <w:r w:rsidRPr="0087512B">
              <w:rPr>
                <w:rFonts w:cs="Times New Roman"/>
                <w:sz w:val="28"/>
                <w:szCs w:val="28"/>
              </w:rPr>
              <w:t>Vides reklāma:</w:t>
            </w:r>
          </w:p>
          <w:p w:rsidR="004F4D67" w:rsidRPr="0087512B" w:rsidRDefault="004F4D67" w:rsidP="00D053EC">
            <w:pPr>
              <w:ind w:right="-99"/>
              <w:jc w:val="both"/>
              <w:rPr>
                <w:rFonts w:cs="Times New Roman"/>
                <w:sz w:val="28"/>
                <w:szCs w:val="28"/>
              </w:rPr>
            </w:pPr>
            <w:r w:rsidRPr="0087512B">
              <w:rPr>
                <w:rFonts w:cs="Times New Roman"/>
                <w:sz w:val="28"/>
                <w:szCs w:val="28"/>
              </w:rPr>
              <w:t xml:space="preserve">-  reklāma sporta spēļu norises vietās, reklāma uz sporta spēļu dalībnieku ekipējuma;  </w:t>
            </w:r>
          </w:p>
          <w:p w:rsidR="004F4D67" w:rsidRPr="0087512B" w:rsidRDefault="004F4D67" w:rsidP="00D053EC">
            <w:pPr>
              <w:ind w:right="-99"/>
              <w:jc w:val="both"/>
              <w:rPr>
                <w:rFonts w:cs="Times New Roman"/>
                <w:sz w:val="28"/>
                <w:szCs w:val="28"/>
              </w:rPr>
            </w:pPr>
            <w:r w:rsidRPr="0087512B">
              <w:rPr>
                <w:rFonts w:cs="Times New Roman"/>
                <w:sz w:val="28"/>
                <w:szCs w:val="28"/>
              </w:rPr>
              <w:t xml:space="preserve">- reklāma masu pasākumu norises vietās; </w:t>
            </w:r>
          </w:p>
          <w:p w:rsidR="004F4D67" w:rsidRPr="0087512B" w:rsidRDefault="004F4D67" w:rsidP="00D053EC">
            <w:pPr>
              <w:ind w:right="-99"/>
              <w:jc w:val="both"/>
              <w:rPr>
                <w:rFonts w:cs="Times New Roman"/>
                <w:sz w:val="28"/>
                <w:szCs w:val="28"/>
              </w:rPr>
            </w:pPr>
            <w:r w:rsidRPr="0087512B">
              <w:rPr>
                <w:rFonts w:cs="Times New Roman"/>
                <w:sz w:val="28"/>
                <w:szCs w:val="28"/>
              </w:rPr>
              <w:t xml:space="preserve">- reklāma sabiedriskā transporta līdzekļos un uz tā; </w:t>
            </w:r>
          </w:p>
          <w:p w:rsidR="004F4D67" w:rsidRPr="0087512B" w:rsidRDefault="004F4D67" w:rsidP="00D053EC">
            <w:pPr>
              <w:ind w:right="-99"/>
              <w:jc w:val="both"/>
              <w:rPr>
                <w:rFonts w:cs="Times New Roman"/>
                <w:sz w:val="28"/>
                <w:szCs w:val="28"/>
              </w:rPr>
            </w:pPr>
            <w:r w:rsidRPr="0087512B">
              <w:rPr>
                <w:rFonts w:cs="Times New Roman"/>
                <w:sz w:val="28"/>
                <w:szCs w:val="28"/>
              </w:rPr>
              <w:t>- kino reklāma;</w:t>
            </w:r>
          </w:p>
          <w:p w:rsidR="004F4D67" w:rsidRPr="0087512B" w:rsidRDefault="004F4D67" w:rsidP="00D053EC">
            <w:pPr>
              <w:ind w:right="-99"/>
              <w:jc w:val="both"/>
              <w:rPr>
                <w:rFonts w:cs="Times New Roman"/>
                <w:sz w:val="28"/>
                <w:szCs w:val="28"/>
              </w:rPr>
            </w:pPr>
            <w:r w:rsidRPr="0087512B">
              <w:rPr>
                <w:rFonts w:cs="Times New Roman"/>
                <w:sz w:val="28"/>
                <w:szCs w:val="28"/>
              </w:rPr>
              <w:t xml:space="preserve">- cita vides reklāma. </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Reklāmas un promocijas pasākumu rīkošana.</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c>
          <w:tcPr>
            <w:tcW w:w="4248" w:type="dxa"/>
            <w:vAlign w:val="center"/>
          </w:tcPr>
          <w:p w:rsidR="004F4D67" w:rsidRPr="0087512B" w:rsidRDefault="004F4D67" w:rsidP="00D053EC">
            <w:pPr>
              <w:ind w:right="-99"/>
              <w:jc w:val="both"/>
              <w:rPr>
                <w:rFonts w:cs="Times New Roman"/>
                <w:sz w:val="28"/>
                <w:szCs w:val="28"/>
              </w:rPr>
            </w:pPr>
            <w:r w:rsidRPr="0087512B">
              <w:rPr>
                <w:rFonts w:cs="Times New Roman"/>
                <w:sz w:val="28"/>
                <w:szCs w:val="28"/>
              </w:rPr>
              <w:t>Reklāma tirdzniecības vietās.</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sz w:val="28"/>
                <w:szCs w:val="28"/>
              </w:rPr>
            </w:pPr>
          </w:p>
        </w:tc>
      </w:tr>
      <w:tr w:rsidR="004F4D67" w:rsidRPr="0087512B" w:rsidTr="004F0664">
        <w:trPr>
          <w:trHeight w:val="667"/>
        </w:trPr>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Sponsorēšanas reklāma, t.sk. notikumu,  translāciju, organizāciju, sporta līgu, komandu un citu pasākumu sponsorēšana reklāmas nolūkos.</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b/>
                <w:i/>
                <w:sz w:val="28"/>
                <w:szCs w:val="28"/>
              </w:rPr>
            </w:pPr>
          </w:p>
        </w:tc>
      </w:tr>
      <w:tr w:rsidR="004F4D67" w:rsidRPr="0087512B" w:rsidTr="004F0664">
        <w:trPr>
          <w:trHeight w:val="667"/>
        </w:trPr>
        <w:tc>
          <w:tcPr>
            <w:tcW w:w="4248" w:type="dxa"/>
          </w:tcPr>
          <w:p w:rsidR="004F4D67" w:rsidRPr="0087512B" w:rsidRDefault="004F4D67" w:rsidP="00D053EC">
            <w:pPr>
              <w:ind w:right="-99"/>
              <w:jc w:val="both"/>
              <w:rPr>
                <w:rFonts w:cs="Times New Roman"/>
                <w:sz w:val="28"/>
                <w:szCs w:val="28"/>
              </w:rPr>
            </w:pPr>
            <w:r w:rsidRPr="0087512B">
              <w:rPr>
                <w:rFonts w:cs="Times New Roman"/>
                <w:sz w:val="28"/>
                <w:szCs w:val="28"/>
              </w:rPr>
              <w:t>Cita veida reklāma, t.sk. produktu izvietošana (piemēram, Čeku loterijas rezultātu atspoguļošana SuperBingo izlozē).</w:t>
            </w:r>
          </w:p>
        </w:tc>
        <w:tc>
          <w:tcPr>
            <w:tcW w:w="1559" w:type="dxa"/>
          </w:tcPr>
          <w:p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rsidR="004F4D67" w:rsidRPr="0087512B" w:rsidRDefault="004F4D67" w:rsidP="00D053EC">
            <w:pPr>
              <w:ind w:right="-99"/>
              <w:rPr>
                <w:rFonts w:cs="Times New Roman"/>
                <w:b/>
                <w:i/>
                <w:sz w:val="28"/>
                <w:szCs w:val="28"/>
              </w:rPr>
            </w:pPr>
          </w:p>
        </w:tc>
      </w:tr>
    </w:tbl>
    <w:p w:rsidR="004F4D67" w:rsidRPr="0087512B" w:rsidRDefault="004F4D67" w:rsidP="004F4D67">
      <w:pPr>
        <w:ind w:right="-99"/>
        <w:jc w:val="both"/>
        <w:rPr>
          <w:rFonts w:cs="Times New Roman"/>
          <w:sz w:val="20"/>
          <w:szCs w:val="20"/>
        </w:rPr>
      </w:pPr>
      <w:r w:rsidRPr="0087512B">
        <w:rPr>
          <w:rFonts w:cs="Times New Roman"/>
          <w:sz w:val="20"/>
          <w:szCs w:val="20"/>
        </w:rPr>
        <w:t xml:space="preserve">*Atļauts, ņemot vērā </w:t>
      </w:r>
      <w:r w:rsidRPr="0087512B">
        <w:rPr>
          <w:rFonts w:eastAsia="Times New Roman" w:cs="Times New Roman"/>
          <w:sz w:val="20"/>
          <w:szCs w:val="20"/>
          <w:lang w:eastAsia="lv-LV"/>
        </w:rPr>
        <w:t>Eiropas Loteriju Asociācijas Atbildīgas spēles standarta prasību ierobežojumus</w:t>
      </w:r>
      <w:r w:rsidRPr="0087512B" w:rsidDel="00D3703F">
        <w:rPr>
          <w:rFonts w:cs="Times New Roman"/>
          <w:sz w:val="20"/>
          <w:szCs w:val="20"/>
        </w:rPr>
        <w:t xml:space="preserve"> </w:t>
      </w:r>
    </w:p>
    <w:p w:rsidR="004F4D67" w:rsidRPr="0087512B" w:rsidRDefault="004F4D67" w:rsidP="004F4D67">
      <w:pPr>
        <w:ind w:right="-99"/>
        <w:jc w:val="both"/>
        <w:rPr>
          <w:rFonts w:cs="Times New Roman"/>
          <w:sz w:val="28"/>
          <w:szCs w:val="28"/>
        </w:rPr>
      </w:pPr>
    </w:p>
    <w:p w:rsidR="004F4D67" w:rsidRPr="0087512B" w:rsidRDefault="004F4D67" w:rsidP="004F4D67">
      <w:pPr>
        <w:ind w:right="-99" w:firstLine="567"/>
        <w:contextualSpacing/>
        <w:jc w:val="both"/>
        <w:rPr>
          <w:rFonts w:cs="Times New Roman"/>
          <w:sz w:val="28"/>
          <w:szCs w:val="28"/>
        </w:rPr>
      </w:pPr>
      <w:r w:rsidRPr="0087512B">
        <w:rPr>
          <w:rFonts w:cs="Times New Roman"/>
          <w:sz w:val="28"/>
          <w:szCs w:val="28"/>
        </w:rPr>
        <w:t>Jāatzīmē, ka neskatoties uz to, ka izlozēm ir mazāka negatīvā ietekme uz sabiedrību nekā azartspēlēm, arī izlozes un loterijas var negatīvi ietekmēt sabiedrību, ja netiek ievēroti vispārpieņemti atbildīgās spēles principi.</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Loto nodrošina savas darbības atbilstību nozares sociālās atbildības standartiem valsts mēroga izložu jomā, vadoties pēc Eiropas Loteriju Asociācijas Atbildīgas spēles standarta un no tā izrietošā Reklāmas ētikas kodeksa valsts mēroga izložu jomā. </w:t>
      </w:r>
    </w:p>
    <w:p w:rsidR="004F4D67" w:rsidRPr="0087512B" w:rsidRDefault="004F4D67" w:rsidP="004F4D67">
      <w:pPr>
        <w:tabs>
          <w:tab w:val="left" w:pos="993"/>
        </w:tabs>
        <w:ind w:right="-99" w:firstLine="567"/>
        <w:contextualSpacing/>
        <w:jc w:val="both"/>
        <w:rPr>
          <w:rFonts w:eastAsia="Times New Roman" w:cs="Times New Roman"/>
          <w:bCs/>
          <w:sz w:val="28"/>
          <w:szCs w:val="28"/>
          <w:lang w:eastAsia="lv-LV"/>
        </w:rPr>
      </w:pPr>
      <w:r w:rsidRPr="0087512B">
        <w:rPr>
          <w:rFonts w:cs="Times New Roman"/>
          <w:sz w:val="28"/>
          <w:szCs w:val="28"/>
        </w:rPr>
        <w:t>Vienlaikus citi loteriju un izložu organizētāji Latvijā, veidojot reklāmas saturu, vadās pēc vispārīga reklāmas regulējuma.</w:t>
      </w:r>
    </w:p>
    <w:p w:rsidR="004F4D67" w:rsidRPr="0087512B" w:rsidRDefault="004F4D67" w:rsidP="004F4D67">
      <w:pPr>
        <w:tabs>
          <w:tab w:val="left" w:pos="993"/>
        </w:tabs>
        <w:ind w:right="-99" w:firstLine="567"/>
        <w:contextualSpacing/>
        <w:jc w:val="both"/>
        <w:rPr>
          <w:rFonts w:cs="Times New Roman"/>
          <w:sz w:val="28"/>
          <w:szCs w:val="28"/>
        </w:rPr>
      </w:pPr>
      <w:bookmarkStart w:id="429" w:name="_Hlk531897310"/>
      <w:r w:rsidRPr="0087512B">
        <w:rPr>
          <w:rFonts w:cs="Times New Roman"/>
          <w:sz w:val="28"/>
          <w:szCs w:val="28"/>
        </w:rPr>
        <w:t>Līdz ar to, lai panāktu Eiropā noteikto ētikas principu ievērošanu, valstī jābūt vienotai izpratnei par sociāli atbildīgu izložu un loteriju reklāmu, pasargājot sabiedrību arī no pārmērīgas tieksmes piedalīties izlozēs un loterijās, tāpēc valsts mēroga izložu un loteriju atbildīgas reklāmas jomā kā obligāta būtu nosakāma Eiropas Loteriju Asociācijas Atbildīgas spēles standarta</w:t>
      </w:r>
      <w:r w:rsidRPr="0087512B">
        <w:rPr>
          <w:rFonts w:cs="Times New Roman"/>
          <w:b/>
          <w:sz w:val="28"/>
          <w:szCs w:val="28"/>
        </w:rPr>
        <w:t xml:space="preserve"> </w:t>
      </w:r>
      <w:r w:rsidRPr="0087512B">
        <w:rPr>
          <w:rFonts w:cs="Times New Roman"/>
          <w:sz w:val="28"/>
          <w:szCs w:val="28"/>
        </w:rPr>
        <w:t>principu ievērošana.</w:t>
      </w:r>
      <w:bookmarkEnd w:id="429"/>
    </w:p>
    <w:p w:rsidR="004F4D67" w:rsidRPr="0087512B" w:rsidRDefault="004F4D67" w:rsidP="00525864">
      <w:pPr>
        <w:tabs>
          <w:tab w:val="left" w:pos="993"/>
        </w:tabs>
        <w:ind w:right="-99" w:firstLine="567"/>
        <w:contextualSpacing/>
        <w:jc w:val="both"/>
        <w:rPr>
          <w:rFonts w:cs="Times New Roman"/>
          <w:sz w:val="28"/>
          <w:szCs w:val="28"/>
        </w:rPr>
      </w:pPr>
      <w:r w:rsidRPr="0087512B">
        <w:rPr>
          <w:rFonts w:cs="Times New Roman"/>
          <w:sz w:val="28"/>
          <w:szCs w:val="28"/>
        </w:rPr>
        <w:lastRenderedPageBreak/>
        <w:t>Vienlaikus preču un pakalpojumu loteriju jomā nepastāv regulējums, kas pasargātu sabiedrību no pārmērīgas spēlēšanas negatīvās ietekmes, līdz ar to nepieciešams noteikt atbildīgās reklāmas principus preču un pakalpojumu loterijām.</w:t>
      </w:r>
    </w:p>
    <w:p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ES Tiesa ir ieviesusi pamatnoteikumus komercpaziņojumiem par azartspēļu pakalpojumiem, kurus sniedz monopola apstākļos. Reklāmai, kuru valsts izložu monopola īpašnieks īsteno interaktīvo azartspēļu jomā, jābūt atbilstošai reklāmas regulējumam interaktīvo azartspēļu jomā un samērotai, un tās apmērs nekādā gadījumā nedrīkst pārsniegt to, kāds noteikts konkrētās ES dalībvalsts likumdošanā interaktīvo azartspēļu jomā, un kāds vajadzīgs, lai virzītu patērētājus uz kontrolētiem azartspēļu tīkliem. Šādas reklāmas mērķis nedrīkst būt patērētāju dabiskās tieksmes spēlēt azartspēles veicināšana, stimulējot viņu aktīvu dalību tajās, piemēram, padarot azartspēles par ikdienišķu parādību vai arī vairojot azartspēļu pievilcību ar reklāmas paziņojumiem, kas piesaista uzmanību, solot ievērojamus laimestus. Jo īpaši būtu jānorobežo tādas monopola īpašnieka stratēģijas, kuru mērķis ir tikai iespējamo klientu informēšana par produktu un kuras ir paredzētas, lai ar spēlētāju virzīšanu uz kontrolētu vidi nodrošinātu regulāru pieeju azartspēlēm, no tādām stratēģijām, kuras mudina aktīvi piedalīties šādās spēlēs un stimulē viņus </w:t>
      </w:r>
      <w:r w:rsidRPr="0087512B">
        <w:rPr>
          <w:rStyle w:val="FootnoteReference"/>
          <w:sz w:val="28"/>
          <w:szCs w:val="28"/>
        </w:rPr>
        <w:footnoteReference w:id="90"/>
      </w:r>
      <w:r w:rsidRPr="0087512B">
        <w:rPr>
          <w:rFonts w:cs="Times New Roman"/>
          <w:sz w:val="28"/>
          <w:szCs w:val="28"/>
        </w:rPr>
        <w:t>.</w:t>
      </w:r>
    </w:p>
    <w:p w:rsidR="004F4D67" w:rsidRPr="0087512B" w:rsidRDefault="004F4D67" w:rsidP="004F4D67">
      <w:pPr>
        <w:tabs>
          <w:tab w:val="left" w:pos="993"/>
        </w:tabs>
        <w:ind w:right="-99"/>
        <w:jc w:val="both"/>
        <w:rPr>
          <w:rFonts w:cs="Times New Roman"/>
          <w:sz w:val="28"/>
          <w:szCs w:val="28"/>
        </w:rPr>
      </w:pPr>
    </w:p>
    <w:p w:rsidR="004F4D67" w:rsidRPr="0087512B" w:rsidRDefault="004F4D67" w:rsidP="004F4D67">
      <w:pPr>
        <w:pStyle w:val="NoSpacing"/>
        <w:ind w:right="-99" w:firstLine="567"/>
        <w:jc w:val="both"/>
        <w:rPr>
          <w:rFonts w:ascii="Times New Roman" w:hAnsi="Times New Roman" w:cs="Times New Roman"/>
          <w:i/>
          <w:sz w:val="28"/>
          <w:szCs w:val="28"/>
        </w:rPr>
      </w:pPr>
      <w:r w:rsidRPr="0087512B">
        <w:rPr>
          <w:rFonts w:ascii="Times New Roman" w:hAnsi="Times New Roman" w:cs="Times New Roman"/>
          <w:i/>
          <w:sz w:val="28"/>
          <w:szCs w:val="28"/>
        </w:rPr>
        <w:t>Nepieciešamie pasākumi:</w:t>
      </w:r>
    </w:p>
    <w:p w:rsidR="004F4D67" w:rsidRPr="002263CD" w:rsidRDefault="0001590C" w:rsidP="006E445A">
      <w:pPr>
        <w:pStyle w:val="ListParagraph"/>
        <w:widowControl w:val="0"/>
        <w:numPr>
          <w:ilvl w:val="0"/>
          <w:numId w:val="59"/>
        </w:numPr>
        <w:ind w:left="0" w:right="-99" w:firstLine="709"/>
        <w:jc w:val="both"/>
        <w:rPr>
          <w:rFonts w:cs="Times New Roman"/>
          <w:sz w:val="28"/>
          <w:szCs w:val="28"/>
          <w:lang w:eastAsia="lv-LV"/>
        </w:rPr>
      </w:pPr>
      <w:r w:rsidRPr="002263CD">
        <w:rPr>
          <w:rFonts w:cs="Times New Roman"/>
          <w:sz w:val="28"/>
          <w:szCs w:val="28"/>
          <w:lang w:eastAsia="lv-LV"/>
        </w:rPr>
        <w:t xml:space="preserve">noteikt </w:t>
      </w:r>
      <w:r w:rsidR="004F4D67" w:rsidRPr="002263CD">
        <w:rPr>
          <w:rFonts w:cs="Times New Roman"/>
          <w:sz w:val="28"/>
          <w:szCs w:val="28"/>
          <w:lang w:eastAsia="lv-LV"/>
        </w:rPr>
        <w:t>IAUI kā atbildīgo iestādi par reklāmas aizlieguma kontroli azartspēļu un izložu jomā.</w:t>
      </w:r>
    </w:p>
    <w:p w:rsidR="004F4D67" w:rsidRPr="00652272" w:rsidRDefault="0001590C" w:rsidP="006E445A">
      <w:pPr>
        <w:pStyle w:val="ListParagraph"/>
        <w:widowControl w:val="0"/>
        <w:numPr>
          <w:ilvl w:val="0"/>
          <w:numId w:val="59"/>
        </w:numPr>
        <w:ind w:left="0" w:right="-99" w:firstLine="709"/>
        <w:jc w:val="both"/>
        <w:rPr>
          <w:rFonts w:eastAsia="Calibri" w:cs="Times New Roman"/>
          <w:sz w:val="28"/>
          <w:szCs w:val="28"/>
        </w:rPr>
      </w:pPr>
      <w:r>
        <w:rPr>
          <w:sz w:val="28"/>
          <w:szCs w:val="28"/>
        </w:rPr>
        <w:t>n</w:t>
      </w:r>
      <w:r w:rsidRPr="00652272">
        <w:rPr>
          <w:sz w:val="28"/>
          <w:szCs w:val="28"/>
        </w:rPr>
        <w:t xml:space="preserve">oteikt </w:t>
      </w:r>
      <w:r w:rsidR="004F4D67" w:rsidRPr="00652272">
        <w:rPr>
          <w:sz w:val="28"/>
          <w:szCs w:val="28"/>
        </w:rPr>
        <w:t>prasības attiecībā uz pre</w:t>
      </w:r>
      <w:r w:rsidR="00525864">
        <w:rPr>
          <w:sz w:val="28"/>
          <w:szCs w:val="28"/>
        </w:rPr>
        <w:t>č</w:t>
      </w:r>
      <w:r w:rsidR="004F4D67" w:rsidRPr="00652272">
        <w:rPr>
          <w:sz w:val="28"/>
          <w:szCs w:val="28"/>
        </w:rPr>
        <w:t xml:space="preserve">u zīmes, kā arī izkārtņu saturu azartspēļu jomā, aizliedzot izmantot tekstu vai grafiskos elementus, kas var vedināt uz dalību spēlē. </w:t>
      </w:r>
      <w:r w:rsidR="004F4D67" w:rsidRPr="00652272">
        <w:rPr>
          <w:rFonts w:cs="Times New Roman"/>
          <w:sz w:val="28"/>
          <w:szCs w:val="28"/>
          <w:lang w:eastAsia="lv-LV"/>
        </w:rPr>
        <w:t xml:space="preserve"> </w:t>
      </w:r>
    </w:p>
    <w:p w:rsidR="004F4D67" w:rsidRPr="002263CD" w:rsidRDefault="002263CD" w:rsidP="006E445A">
      <w:pPr>
        <w:ind w:right="-99" w:firstLine="709"/>
        <w:jc w:val="both"/>
        <w:rPr>
          <w:rFonts w:eastAsia="Times New Roman" w:cs="Times New Roman"/>
          <w:bCs/>
          <w:sz w:val="28"/>
          <w:szCs w:val="28"/>
          <w:lang w:eastAsia="lv-LV"/>
        </w:rPr>
      </w:pPr>
      <w:r>
        <w:rPr>
          <w:rFonts w:eastAsia="Times New Roman" w:cs="Times New Roman"/>
          <w:bCs/>
          <w:sz w:val="28"/>
          <w:szCs w:val="28"/>
          <w:lang w:eastAsia="lv-LV"/>
        </w:rPr>
        <w:t xml:space="preserve">3) </w:t>
      </w:r>
      <w:r w:rsidR="0001590C" w:rsidRPr="002263CD">
        <w:rPr>
          <w:rFonts w:eastAsia="Times New Roman" w:cs="Times New Roman"/>
          <w:bCs/>
          <w:sz w:val="28"/>
          <w:szCs w:val="28"/>
          <w:lang w:eastAsia="lv-LV"/>
        </w:rPr>
        <w:t xml:space="preserve">izvērtēt </w:t>
      </w:r>
      <w:r w:rsidR="00636DCB">
        <w:rPr>
          <w:rFonts w:eastAsia="Times New Roman" w:cs="Times New Roman"/>
          <w:bCs/>
          <w:sz w:val="28"/>
          <w:szCs w:val="28"/>
          <w:lang w:eastAsia="lv-LV"/>
        </w:rPr>
        <w:t xml:space="preserve">azartspēļu un izložu </w:t>
      </w:r>
      <w:r w:rsidR="004F4D67" w:rsidRPr="002263CD">
        <w:rPr>
          <w:rFonts w:eastAsia="Times New Roman" w:cs="Times New Roman"/>
          <w:bCs/>
          <w:sz w:val="28"/>
          <w:szCs w:val="28"/>
          <w:lang w:eastAsia="lv-LV"/>
        </w:rPr>
        <w:t xml:space="preserve">reklāmas </w:t>
      </w:r>
      <w:r w:rsidR="00636DCB">
        <w:rPr>
          <w:rFonts w:eastAsia="Times New Roman" w:cs="Times New Roman"/>
          <w:bCs/>
          <w:sz w:val="28"/>
          <w:szCs w:val="28"/>
          <w:lang w:eastAsia="lv-LV"/>
        </w:rPr>
        <w:t>ierobežojuma efektivitāti</w:t>
      </w:r>
      <w:r w:rsidR="004F4D67" w:rsidRPr="002263CD">
        <w:rPr>
          <w:rFonts w:eastAsia="Times New Roman" w:cs="Times New Roman"/>
          <w:bCs/>
          <w:sz w:val="28"/>
          <w:szCs w:val="28"/>
          <w:lang w:eastAsia="lv-LV"/>
        </w:rPr>
        <w:t xml:space="preserve"> televīzijā, radio, kā arī interaktīvajā</w:t>
      </w:r>
      <w:r w:rsidR="00636DCB">
        <w:rPr>
          <w:rFonts w:eastAsia="Times New Roman" w:cs="Times New Roman"/>
          <w:bCs/>
          <w:sz w:val="28"/>
          <w:szCs w:val="28"/>
          <w:lang w:eastAsia="lv-LV"/>
        </w:rPr>
        <w:t xml:space="preserve"> vidē</w:t>
      </w:r>
      <w:r w:rsidR="004F4D67" w:rsidRPr="002263CD">
        <w:rPr>
          <w:rFonts w:eastAsia="Times New Roman" w:cs="Times New Roman"/>
          <w:bCs/>
          <w:sz w:val="28"/>
          <w:szCs w:val="28"/>
          <w:lang w:eastAsia="lv-LV"/>
        </w:rPr>
        <w:t>, pievēršot uzmanību šādiem reklamēšanas aspektiem:</w:t>
      </w:r>
    </w:p>
    <w:p w:rsidR="004F4D67" w:rsidRPr="00AC0C13" w:rsidRDefault="00F040CB" w:rsidP="00AC0C13">
      <w:pPr>
        <w:pStyle w:val="ListParagraph"/>
        <w:numPr>
          <w:ilvl w:val="0"/>
          <w:numId w:val="42"/>
        </w:numPr>
        <w:ind w:left="0" w:right="-99" w:firstLine="1134"/>
        <w:jc w:val="both"/>
        <w:rPr>
          <w:rFonts w:eastAsia="Times New Roman" w:cs="Times New Roman"/>
          <w:bCs/>
          <w:sz w:val="28"/>
          <w:szCs w:val="28"/>
          <w:lang w:eastAsia="lv-LV"/>
        </w:rPr>
      </w:pPr>
      <w:r>
        <w:rPr>
          <w:rFonts w:cs="Times New Roman"/>
          <w:sz w:val="28"/>
          <w:szCs w:val="28"/>
        </w:rPr>
        <w:t>iespēja</w:t>
      </w:r>
      <w:r w:rsidR="0059198F">
        <w:rPr>
          <w:rFonts w:cs="Times New Roman"/>
          <w:sz w:val="28"/>
          <w:szCs w:val="28"/>
        </w:rPr>
        <w:t>i</w:t>
      </w:r>
      <w:r>
        <w:rPr>
          <w:rFonts w:cs="Times New Roman"/>
          <w:sz w:val="28"/>
          <w:szCs w:val="28"/>
        </w:rPr>
        <w:t xml:space="preserve"> </w:t>
      </w:r>
      <w:r w:rsidR="004F4D67" w:rsidRPr="006E445A">
        <w:rPr>
          <w:rFonts w:cs="Times New Roman"/>
          <w:sz w:val="28"/>
          <w:szCs w:val="28"/>
        </w:rPr>
        <w:t>pārraižu starplaikos televīzijā un radio (noteiktā laika posmā no 23.00 – 5.00) reklamēt gan “zemes”, gan interaktīvās azartspēles, ievērojot līdzīgu kārtību,</w:t>
      </w:r>
      <w:r w:rsidR="009B4A3D">
        <w:rPr>
          <w:rFonts w:cs="Times New Roman"/>
          <w:sz w:val="28"/>
          <w:szCs w:val="28"/>
        </w:rPr>
        <w:t xml:space="preserve"> kāda</w:t>
      </w:r>
      <w:r w:rsidRPr="00AC0C13">
        <w:rPr>
          <w:rFonts w:cs="Times New Roman"/>
          <w:sz w:val="28"/>
          <w:szCs w:val="28"/>
        </w:rPr>
        <w:t xml:space="preserve"> ir noteikt</w:t>
      </w:r>
      <w:r w:rsidR="0059198F">
        <w:rPr>
          <w:rFonts w:cs="Times New Roman"/>
          <w:sz w:val="28"/>
          <w:szCs w:val="28"/>
        </w:rPr>
        <w:t>a</w:t>
      </w:r>
      <w:r w:rsidRPr="00AC0C13">
        <w:rPr>
          <w:rFonts w:cs="Times New Roman"/>
          <w:sz w:val="28"/>
          <w:szCs w:val="28"/>
        </w:rPr>
        <w:t xml:space="preserve"> </w:t>
      </w:r>
      <w:r w:rsidR="004F4D67" w:rsidRPr="00AC0C13">
        <w:rPr>
          <w:rFonts w:cs="Times New Roman"/>
          <w:sz w:val="28"/>
          <w:szCs w:val="28"/>
        </w:rPr>
        <w:t xml:space="preserve">Alkoholisko dzērienu aprites </w:t>
      </w:r>
      <w:r w:rsidRPr="00AC0C13">
        <w:rPr>
          <w:rFonts w:cs="Times New Roman"/>
          <w:sz w:val="28"/>
          <w:szCs w:val="28"/>
        </w:rPr>
        <w:t>likuma</w:t>
      </w:r>
      <w:r w:rsidR="004F4D67" w:rsidRPr="00AC0C13">
        <w:rPr>
          <w:rFonts w:cs="Times New Roman"/>
          <w:sz w:val="28"/>
          <w:szCs w:val="28"/>
        </w:rPr>
        <w:t xml:space="preserve"> 10.panta pirmajā daļā</w:t>
      </w:r>
      <w:r w:rsidR="004F4D67" w:rsidRPr="00956612">
        <w:rPr>
          <w:rStyle w:val="FootnoteReference"/>
          <w:sz w:val="28"/>
          <w:szCs w:val="28"/>
        </w:rPr>
        <w:footnoteReference w:id="91"/>
      </w:r>
      <w:r w:rsidR="004F4D67" w:rsidRPr="00AC0C13">
        <w:rPr>
          <w:rFonts w:cs="Times New Roman"/>
          <w:sz w:val="28"/>
          <w:szCs w:val="28"/>
        </w:rPr>
        <w:t xml:space="preserve">, </w:t>
      </w:r>
      <w:r w:rsidRPr="00AC0C13">
        <w:rPr>
          <w:rFonts w:cs="Times New Roman"/>
          <w:sz w:val="28"/>
          <w:szCs w:val="28"/>
        </w:rPr>
        <w:t>proti</w:t>
      </w:r>
      <w:r w:rsidR="004F4D67" w:rsidRPr="00AC0C13">
        <w:rPr>
          <w:rFonts w:cs="Times New Roman"/>
          <w:sz w:val="28"/>
          <w:szCs w:val="28"/>
        </w:rPr>
        <w:t xml:space="preserve">, </w:t>
      </w:r>
      <w:r w:rsidR="000270A4">
        <w:rPr>
          <w:rFonts w:cs="Times New Roman"/>
          <w:sz w:val="28"/>
          <w:szCs w:val="28"/>
        </w:rPr>
        <w:t>attiecībā uz alkoholu</w:t>
      </w:r>
      <w:r w:rsidRPr="00AC0C13">
        <w:rPr>
          <w:rFonts w:cs="Times New Roman"/>
          <w:sz w:val="28"/>
          <w:szCs w:val="28"/>
        </w:rPr>
        <w:t xml:space="preserve"> </w:t>
      </w:r>
      <w:r w:rsidR="004F4D67" w:rsidRPr="00AC0C13">
        <w:rPr>
          <w:rFonts w:cs="Times New Roman"/>
          <w:sz w:val="28"/>
          <w:szCs w:val="28"/>
        </w:rPr>
        <w:t xml:space="preserve">reklāmā ir jāietver </w:t>
      </w:r>
      <w:r w:rsidR="009B4A3D">
        <w:rPr>
          <w:rFonts w:cs="Times New Roman"/>
          <w:sz w:val="28"/>
          <w:szCs w:val="28"/>
        </w:rPr>
        <w:t>i</w:t>
      </w:r>
      <w:r w:rsidR="004F4D67" w:rsidRPr="00AC0C13">
        <w:rPr>
          <w:rFonts w:cs="Times New Roman"/>
          <w:sz w:val="28"/>
          <w:szCs w:val="28"/>
        </w:rPr>
        <w:t>nformācija par alkohola lietošanas negatīvo ietekmi, kā arī sabiedrība</w:t>
      </w:r>
      <w:r w:rsidR="0059198F" w:rsidRPr="00AC0C13">
        <w:rPr>
          <w:rFonts w:cs="Times New Roman"/>
          <w:sz w:val="28"/>
          <w:szCs w:val="28"/>
        </w:rPr>
        <w:t>i</w:t>
      </w:r>
      <w:r w:rsidR="004F4D67" w:rsidRPr="00AC0C13">
        <w:rPr>
          <w:rFonts w:cs="Times New Roman"/>
          <w:sz w:val="28"/>
          <w:szCs w:val="28"/>
        </w:rPr>
        <w:t xml:space="preserve"> </w:t>
      </w:r>
      <w:r w:rsidRPr="00AC0C13">
        <w:rPr>
          <w:rFonts w:cs="Times New Roman"/>
          <w:sz w:val="28"/>
          <w:szCs w:val="28"/>
        </w:rPr>
        <w:t xml:space="preserve">jābūt </w:t>
      </w:r>
      <w:r w:rsidR="004F4D67" w:rsidRPr="00AC0C13">
        <w:rPr>
          <w:rFonts w:cs="Times New Roman"/>
          <w:sz w:val="28"/>
          <w:szCs w:val="28"/>
        </w:rPr>
        <w:t>informēta</w:t>
      </w:r>
      <w:r w:rsidRPr="00AC0C13">
        <w:rPr>
          <w:rFonts w:cs="Times New Roman"/>
          <w:sz w:val="28"/>
          <w:szCs w:val="28"/>
        </w:rPr>
        <w:t>i</w:t>
      </w:r>
      <w:r w:rsidR="004F4D67" w:rsidRPr="00AC0C13">
        <w:rPr>
          <w:rFonts w:cs="Times New Roman"/>
          <w:sz w:val="28"/>
          <w:szCs w:val="28"/>
        </w:rPr>
        <w:t>, ka alkoholu nedrīkst iegādāties un nodot nepilngadīgām personām. Reklāmā šādai informācija ir jāatvēl 1</w:t>
      </w:r>
      <w:r w:rsidR="00EF3FCF" w:rsidRPr="00AC0C13">
        <w:rPr>
          <w:rFonts w:cs="Times New Roman"/>
          <w:sz w:val="28"/>
          <w:szCs w:val="28"/>
        </w:rPr>
        <w:t>0% no konkrētās reklāmas apjoma;</w:t>
      </w:r>
      <w:r w:rsidR="004F4D67" w:rsidRPr="00AC0C13">
        <w:rPr>
          <w:rFonts w:cs="Times New Roman"/>
          <w:sz w:val="28"/>
          <w:szCs w:val="28"/>
        </w:rPr>
        <w:t xml:space="preserve"> </w:t>
      </w:r>
    </w:p>
    <w:p w:rsidR="004F4D67" w:rsidRPr="00956612" w:rsidRDefault="004F4D67" w:rsidP="0039139E">
      <w:pPr>
        <w:pStyle w:val="ListParagraph"/>
        <w:numPr>
          <w:ilvl w:val="0"/>
          <w:numId w:val="42"/>
        </w:numPr>
        <w:ind w:left="0" w:right="-99" w:firstLine="1134"/>
        <w:jc w:val="both"/>
        <w:rPr>
          <w:rFonts w:eastAsia="Times New Roman" w:cs="Times New Roman"/>
          <w:bCs/>
          <w:sz w:val="28"/>
          <w:szCs w:val="28"/>
          <w:lang w:eastAsia="lv-LV"/>
        </w:rPr>
      </w:pPr>
      <w:r w:rsidRPr="00956612">
        <w:rPr>
          <w:rFonts w:cs="Times New Roman"/>
          <w:sz w:val="28"/>
          <w:szCs w:val="28"/>
          <w:lang w:eastAsia="lv-LV"/>
        </w:rPr>
        <w:t>Latvijā licencēto interaktīvo azartspēļu organizētāju mājas lapas adreses izvietošana elektroniskos plašsaziņas līdzekļos;</w:t>
      </w:r>
    </w:p>
    <w:p w:rsidR="004F4D67" w:rsidRPr="00956612" w:rsidRDefault="006E445A" w:rsidP="0039139E">
      <w:pPr>
        <w:pStyle w:val="ListParagraph"/>
        <w:numPr>
          <w:ilvl w:val="0"/>
          <w:numId w:val="42"/>
        </w:numPr>
        <w:ind w:left="0" w:right="-99" w:firstLine="1134"/>
        <w:jc w:val="both"/>
        <w:rPr>
          <w:rFonts w:eastAsia="Times New Roman" w:cs="Times New Roman"/>
          <w:bCs/>
          <w:sz w:val="28"/>
          <w:szCs w:val="28"/>
          <w:lang w:eastAsia="lv-LV"/>
        </w:rPr>
      </w:pPr>
      <w:r>
        <w:rPr>
          <w:rFonts w:cs="Times New Roman"/>
          <w:sz w:val="28"/>
          <w:szCs w:val="28"/>
        </w:rPr>
        <w:t>i</w:t>
      </w:r>
      <w:r w:rsidR="004F4D67" w:rsidRPr="00956612">
        <w:rPr>
          <w:rFonts w:cs="Times New Roman"/>
          <w:sz w:val="28"/>
          <w:szCs w:val="28"/>
        </w:rPr>
        <w:t xml:space="preserve">nternetā pieejamas </w:t>
      </w:r>
      <w:r w:rsidR="00CB5624" w:rsidRPr="00956612">
        <w:rPr>
          <w:rFonts w:cs="Times New Roman"/>
          <w:sz w:val="28"/>
          <w:szCs w:val="28"/>
          <w:lang w:eastAsia="lv-LV"/>
        </w:rPr>
        <w:t xml:space="preserve">Latvijā licencēto </w:t>
      </w:r>
      <w:r w:rsidR="004F4D67" w:rsidRPr="00956612">
        <w:rPr>
          <w:rFonts w:cs="Times New Roman"/>
          <w:sz w:val="28"/>
          <w:szCs w:val="28"/>
        </w:rPr>
        <w:t>interaktīvo azartspēļu organizētāju tīmekļa vietņu adreses, bez papildu informācijas par to saturu</w:t>
      </w:r>
      <w:r w:rsidR="0001590C">
        <w:rPr>
          <w:rFonts w:cs="Times New Roman"/>
          <w:sz w:val="28"/>
          <w:szCs w:val="28"/>
        </w:rPr>
        <w:t>;</w:t>
      </w:r>
    </w:p>
    <w:p w:rsidR="004F4D67" w:rsidRPr="00956612" w:rsidRDefault="000965EB" w:rsidP="006E445A">
      <w:pPr>
        <w:pStyle w:val="NoSpacing"/>
        <w:numPr>
          <w:ilvl w:val="0"/>
          <w:numId w:val="60"/>
        </w:numPr>
        <w:ind w:left="0" w:firstLine="709"/>
        <w:jc w:val="both"/>
        <w:rPr>
          <w:rFonts w:ascii="Times New Roman" w:hAnsi="Times New Roman"/>
          <w:sz w:val="28"/>
          <w:szCs w:val="28"/>
        </w:rPr>
      </w:pPr>
      <w:r>
        <w:rPr>
          <w:rFonts w:ascii="Times New Roman" w:hAnsi="Times New Roman"/>
          <w:sz w:val="28"/>
          <w:szCs w:val="28"/>
        </w:rPr>
        <w:t xml:space="preserve">Ministru kabineta noteikumos noteikt </w:t>
      </w:r>
      <w:r w:rsidRPr="00956612">
        <w:rPr>
          <w:rFonts w:ascii="Times New Roman" w:hAnsi="Times New Roman"/>
          <w:sz w:val="28"/>
          <w:szCs w:val="28"/>
        </w:rPr>
        <w:t>vienot</w:t>
      </w:r>
      <w:r>
        <w:rPr>
          <w:rFonts w:ascii="Times New Roman" w:hAnsi="Times New Roman"/>
          <w:sz w:val="28"/>
          <w:szCs w:val="28"/>
        </w:rPr>
        <w:t>as</w:t>
      </w:r>
      <w:r w:rsidRPr="00956612">
        <w:rPr>
          <w:rFonts w:ascii="Times New Roman" w:hAnsi="Times New Roman"/>
          <w:sz w:val="28"/>
          <w:szCs w:val="28"/>
        </w:rPr>
        <w:t xml:space="preserve"> </w:t>
      </w:r>
      <w:r>
        <w:rPr>
          <w:rFonts w:ascii="Times New Roman" w:hAnsi="Times New Roman"/>
          <w:sz w:val="28"/>
          <w:szCs w:val="28"/>
        </w:rPr>
        <w:t xml:space="preserve">prasības azartspēļu zāļu </w:t>
      </w:r>
      <w:r w:rsidR="004F4D67" w:rsidRPr="00956612">
        <w:rPr>
          <w:rFonts w:ascii="Times New Roman" w:hAnsi="Times New Roman"/>
          <w:sz w:val="28"/>
          <w:szCs w:val="28"/>
        </w:rPr>
        <w:t>publiskās ārtelpas (tajā skaitā skatlogu noformējuma) dizaina</w:t>
      </w:r>
      <w:r>
        <w:rPr>
          <w:rFonts w:ascii="Times New Roman" w:hAnsi="Times New Roman"/>
          <w:sz w:val="28"/>
          <w:szCs w:val="28"/>
        </w:rPr>
        <w:t>m</w:t>
      </w:r>
      <w:r w:rsidR="004F4D67" w:rsidRPr="00956612">
        <w:rPr>
          <w:rFonts w:ascii="Times New Roman" w:hAnsi="Times New Roman"/>
          <w:sz w:val="28"/>
          <w:szCs w:val="28"/>
        </w:rPr>
        <w:t xml:space="preserve">, </w:t>
      </w:r>
      <w:r w:rsidR="00262429">
        <w:rPr>
          <w:rFonts w:ascii="Times New Roman" w:hAnsi="Times New Roman"/>
          <w:sz w:val="28"/>
          <w:szCs w:val="28"/>
        </w:rPr>
        <w:t>t.sk.</w:t>
      </w:r>
      <w:r w:rsidR="006B5AEA">
        <w:rPr>
          <w:rFonts w:ascii="Times New Roman" w:hAnsi="Times New Roman"/>
          <w:sz w:val="28"/>
          <w:szCs w:val="28"/>
        </w:rPr>
        <w:t xml:space="preserve"> veidojot </w:t>
      </w:r>
      <w:r w:rsidR="006B5AEA">
        <w:rPr>
          <w:rFonts w:ascii="Times New Roman" w:hAnsi="Times New Roman"/>
          <w:sz w:val="28"/>
          <w:szCs w:val="28"/>
        </w:rPr>
        <w:lastRenderedPageBreak/>
        <w:t xml:space="preserve">“dziļos logus” </w:t>
      </w:r>
      <w:r w:rsidR="006B5AEA" w:rsidRPr="00BE0DA8">
        <w:rPr>
          <w:rFonts w:ascii="Times New Roman" w:hAnsi="Times New Roman"/>
          <w:sz w:val="28"/>
          <w:szCs w:val="28"/>
        </w:rPr>
        <w:t>tādējādi nodrošinot to, ka garāmgājējiem nav iespējams saskatīt azartspēļu spēlēšanas procesu</w:t>
      </w:r>
      <w:r w:rsidR="0001590C">
        <w:rPr>
          <w:rFonts w:ascii="Times New Roman" w:hAnsi="Times New Roman"/>
          <w:sz w:val="28"/>
          <w:szCs w:val="28"/>
        </w:rPr>
        <w:t>;</w:t>
      </w:r>
    </w:p>
    <w:p w:rsidR="004F4D67" w:rsidRPr="005463A4" w:rsidRDefault="0001590C" w:rsidP="006E445A">
      <w:pPr>
        <w:pStyle w:val="ListParagraph"/>
        <w:numPr>
          <w:ilvl w:val="0"/>
          <w:numId w:val="60"/>
        </w:numPr>
        <w:tabs>
          <w:tab w:val="left" w:pos="1134"/>
        </w:tabs>
        <w:ind w:left="0" w:right="-99" w:firstLine="709"/>
        <w:jc w:val="both"/>
        <w:rPr>
          <w:rFonts w:cs="Times New Roman"/>
          <w:sz w:val="28"/>
          <w:szCs w:val="28"/>
        </w:rPr>
      </w:pPr>
      <w:r>
        <w:rPr>
          <w:rFonts w:cs="Times New Roman"/>
          <w:sz w:val="28"/>
          <w:szCs w:val="28"/>
        </w:rPr>
        <w:t>n</w:t>
      </w:r>
      <w:r w:rsidRPr="005463A4">
        <w:rPr>
          <w:rFonts w:cs="Times New Roman"/>
          <w:sz w:val="28"/>
          <w:szCs w:val="28"/>
        </w:rPr>
        <w:t xml:space="preserve">oteikt </w:t>
      </w:r>
      <w:r w:rsidR="004F4D67" w:rsidRPr="005463A4">
        <w:rPr>
          <w:rFonts w:cs="Times New Roman"/>
          <w:sz w:val="28"/>
          <w:szCs w:val="28"/>
        </w:rPr>
        <w:t>Loto pienākumu sertificēties Eiropas Loteriju Asociācijas Atbildīgas spēles standartam, nosakot atbilstības sertifikāta nepārtrauktības uzraudzību IAUI.</w:t>
      </w:r>
    </w:p>
    <w:p w:rsidR="00453A61" w:rsidRPr="007571C1" w:rsidRDefault="00453A61" w:rsidP="009E0A36">
      <w:pPr>
        <w:pStyle w:val="Heading1"/>
        <w:numPr>
          <w:ilvl w:val="0"/>
          <w:numId w:val="36"/>
        </w:numPr>
        <w:ind w:left="0" w:firstLine="0"/>
        <w:jc w:val="center"/>
        <w:rPr>
          <w:rFonts w:ascii="Times New Roman" w:eastAsia="Times New Roman" w:hAnsi="Times New Roman" w:cs="Times New Roman"/>
          <w:b/>
          <w:color w:val="auto"/>
          <w:sz w:val="28"/>
          <w:szCs w:val="28"/>
          <w:lang w:eastAsia="lv-LV"/>
        </w:rPr>
      </w:pPr>
      <w:bookmarkStart w:id="430" w:name="_Toc19025107"/>
      <w:bookmarkStart w:id="431" w:name="_Toc19025756"/>
      <w:bookmarkStart w:id="432" w:name="_Toc19026331"/>
      <w:bookmarkStart w:id="433" w:name="_Toc19026905"/>
      <w:bookmarkStart w:id="434" w:name="_Toc19696631"/>
      <w:bookmarkStart w:id="435" w:name="_Toc19697207"/>
      <w:bookmarkStart w:id="436" w:name="_Toc19697785"/>
      <w:bookmarkStart w:id="437" w:name="_Toc19698362"/>
      <w:bookmarkStart w:id="438" w:name="_Toc19025108"/>
      <w:bookmarkStart w:id="439" w:name="_Toc19025757"/>
      <w:bookmarkStart w:id="440" w:name="_Toc19026332"/>
      <w:bookmarkStart w:id="441" w:name="_Toc19026906"/>
      <w:bookmarkStart w:id="442" w:name="_Toc19696632"/>
      <w:bookmarkStart w:id="443" w:name="_Toc19697208"/>
      <w:bookmarkStart w:id="444" w:name="_Toc19697786"/>
      <w:bookmarkStart w:id="445" w:name="_Toc19698363"/>
      <w:bookmarkStart w:id="446" w:name="_Toc19025109"/>
      <w:bookmarkStart w:id="447" w:name="_Toc19025758"/>
      <w:bookmarkStart w:id="448" w:name="_Toc19026333"/>
      <w:bookmarkStart w:id="449" w:name="_Toc19026907"/>
      <w:bookmarkStart w:id="450" w:name="_Toc19696633"/>
      <w:bookmarkStart w:id="451" w:name="_Toc19697209"/>
      <w:bookmarkStart w:id="452" w:name="_Toc19697787"/>
      <w:bookmarkStart w:id="453" w:name="_Toc19698364"/>
      <w:bookmarkStart w:id="454" w:name="_Toc19025110"/>
      <w:bookmarkStart w:id="455" w:name="_Toc19025759"/>
      <w:bookmarkStart w:id="456" w:name="_Toc19026334"/>
      <w:bookmarkStart w:id="457" w:name="_Toc19026908"/>
      <w:bookmarkStart w:id="458" w:name="_Toc19696634"/>
      <w:bookmarkStart w:id="459" w:name="_Toc19697210"/>
      <w:bookmarkStart w:id="460" w:name="_Toc19697788"/>
      <w:bookmarkStart w:id="461" w:name="_Toc19698365"/>
      <w:bookmarkStart w:id="462" w:name="_Toc19025111"/>
      <w:bookmarkStart w:id="463" w:name="_Toc19025760"/>
      <w:bookmarkStart w:id="464" w:name="_Toc19026335"/>
      <w:bookmarkStart w:id="465" w:name="_Toc19026909"/>
      <w:bookmarkStart w:id="466" w:name="_Toc19696635"/>
      <w:bookmarkStart w:id="467" w:name="_Toc19697211"/>
      <w:bookmarkStart w:id="468" w:name="_Toc19697789"/>
      <w:bookmarkStart w:id="469" w:name="_Toc19698366"/>
      <w:bookmarkStart w:id="470" w:name="_Toc19025112"/>
      <w:bookmarkStart w:id="471" w:name="_Toc19025761"/>
      <w:bookmarkStart w:id="472" w:name="_Toc19026336"/>
      <w:bookmarkStart w:id="473" w:name="_Toc19026910"/>
      <w:bookmarkStart w:id="474" w:name="_Toc19696636"/>
      <w:bookmarkStart w:id="475" w:name="_Toc19697212"/>
      <w:bookmarkStart w:id="476" w:name="_Toc19697790"/>
      <w:bookmarkStart w:id="477" w:name="_Toc19698367"/>
      <w:bookmarkStart w:id="478" w:name="_Toc19025113"/>
      <w:bookmarkStart w:id="479" w:name="_Toc19025762"/>
      <w:bookmarkStart w:id="480" w:name="_Toc19026337"/>
      <w:bookmarkStart w:id="481" w:name="_Toc19026911"/>
      <w:bookmarkStart w:id="482" w:name="_Toc19696637"/>
      <w:bookmarkStart w:id="483" w:name="_Toc19697213"/>
      <w:bookmarkStart w:id="484" w:name="_Toc19697791"/>
      <w:bookmarkStart w:id="485" w:name="_Toc19698368"/>
      <w:bookmarkStart w:id="486" w:name="_Toc19025114"/>
      <w:bookmarkStart w:id="487" w:name="_Toc19025763"/>
      <w:bookmarkStart w:id="488" w:name="_Toc19026338"/>
      <w:bookmarkStart w:id="489" w:name="_Toc19026912"/>
      <w:bookmarkStart w:id="490" w:name="_Toc19696638"/>
      <w:bookmarkStart w:id="491" w:name="_Toc19697214"/>
      <w:bookmarkStart w:id="492" w:name="_Toc19697792"/>
      <w:bookmarkStart w:id="493" w:name="_Toc19698369"/>
      <w:bookmarkStart w:id="494" w:name="_Toc19025115"/>
      <w:bookmarkStart w:id="495" w:name="_Toc19025764"/>
      <w:bookmarkStart w:id="496" w:name="_Toc19026339"/>
      <w:bookmarkStart w:id="497" w:name="_Toc19026913"/>
      <w:bookmarkStart w:id="498" w:name="_Toc19696639"/>
      <w:bookmarkStart w:id="499" w:name="_Toc19697215"/>
      <w:bookmarkStart w:id="500" w:name="_Toc19697793"/>
      <w:bookmarkStart w:id="501" w:name="_Toc19698370"/>
      <w:bookmarkStart w:id="502" w:name="_Toc19025116"/>
      <w:bookmarkStart w:id="503" w:name="_Toc19025765"/>
      <w:bookmarkStart w:id="504" w:name="_Toc19026340"/>
      <w:bookmarkStart w:id="505" w:name="_Toc19026914"/>
      <w:bookmarkStart w:id="506" w:name="_Toc19696640"/>
      <w:bookmarkStart w:id="507" w:name="_Toc19697216"/>
      <w:bookmarkStart w:id="508" w:name="_Toc19697794"/>
      <w:bookmarkStart w:id="509" w:name="_Toc19698371"/>
      <w:bookmarkStart w:id="510" w:name="_Toc19025117"/>
      <w:bookmarkStart w:id="511" w:name="_Toc19025766"/>
      <w:bookmarkStart w:id="512" w:name="_Toc19026341"/>
      <w:bookmarkStart w:id="513" w:name="_Toc19026915"/>
      <w:bookmarkStart w:id="514" w:name="_Toc19696641"/>
      <w:bookmarkStart w:id="515" w:name="_Toc19697217"/>
      <w:bookmarkStart w:id="516" w:name="_Toc19697795"/>
      <w:bookmarkStart w:id="517" w:name="_Toc19698372"/>
      <w:bookmarkStart w:id="518" w:name="_Toc19025118"/>
      <w:bookmarkStart w:id="519" w:name="_Toc19025767"/>
      <w:bookmarkStart w:id="520" w:name="_Toc19026342"/>
      <w:bookmarkStart w:id="521" w:name="_Toc19026916"/>
      <w:bookmarkStart w:id="522" w:name="_Toc19696642"/>
      <w:bookmarkStart w:id="523" w:name="_Toc19697218"/>
      <w:bookmarkStart w:id="524" w:name="_Toc19697796"/>
      <w:bookmarkStart w:id="525" w:name="_Toc19698373"/>
      <w:bookmarkStart w:id="526" w:name="_Toc19025119"/>
      <w:bookmarkStart w:id="527" w:name="_Toc19025768"/>
      <w:bookmarkStart w:id="528" w:name="_Toc19026343"/>
      <w:bookmarkStart w:id="529" w:name="_Toc19026917"/>
      <w:bookmarkStart w:id="530" w:name="_Toc19696643"/>
      <w:bookmarkStart w:id="531" w:name="_Toc19697219"/>
      <w:bookmarkStart w:id="532" w:name="_Toc19697797"/>
      <w:bookmarkStart w:id="533" w:name="_Toc19698374"/>
      <w:bookmarkStart w:id="534" w:name="_Toc19025120"/>
      <w:bookmarkStart w:id="535" w:name="_Toc19025769"/>
      <w:bookmarkStart w:id="536" w:name="_Toc19026344"/>
      <w:bookmarkStart w:id="537" w:name="_Toc19026918"/>
      <w:bookmarkStart w:id="538" w:name="_Toc19696644"/>
      <w:bookmarkStart w:id="539" w:name="_Toc19697220"/>
      <w:bookmarkStart w:id="540" w:name="_Toc19697798"/>
      <w:bookmarkStart w:id="541" w:name="_Toc19698375"/>
      <w:bookmarkStart w:id="542" w:name="_Toc19025121"/>
      <w:bookmarkStart w:id="543" w:name="_Toc19025770"/>
      <w:bookmarkStart w:id="544" w:name="_Toc19026345"/>
      <w:bookmarkStart w:id="545" w:name="_Toc19026919"/>
      <w:bookmarkStart w:id="546" w:name="_Toc19696645"/>
      <w:bookmarkStart w:id="547" w:name="_Toc19697221"/>
      <w:bookmarkStart w:id="548" w:name="_Toc19697799"/>
      <w:bookmarkStart w:id="549" w:name="_Toc19698376"/>
      <w:bookmarkStart w:id="550" w:name="_Toc19025122"/>
      <w:bookmarkStart w:id="551" w:name="_Toc19025771"/>
      <w:bookmarkStart w:id="552" w:name="_Toc19026346"/>
      <w:bookmarkStart w:id="553" w:name="_Toc19026920"/>
      <w:bookmarkStart w:id="554" w:name="_Toc19696646"/>
      <w:bookmarkStart w:id="555" w:name="_Toc19697222"/>
      <w:bookmarkStart w:id="556" w:name="_Toc19697800"/>
      <w:bookmarkStart w:id="557" w:name="_Toc19698377"/>
      <w:bookmarkStart w:id="558" w:name="_Toc19025123"/>
      <w:bookmarkStart w:id="559" w:name="_Toc19025772"/>
      <w:bookmarkStart w:id="560" w:name="_Toc19026347"/>
      <w:bookmarkStart w:id="561" w:name="_Toc19026921"/>
      <w:bookmarkStart w:id="562" w:name="_Toc19696647"/>
      <w:bookmarkStart w:id="563" w:name="_Toc19697223"/>
      <w:bookmarkStart w:id="564" w:name="_Toc19697801"/>
      <w:bookmarkStart w:id="565" w:name="_Toc19698378"/>
      <w:bookmarkStart w:id="566" w:name="_Toc19025124"/>
      <w:bookmarkStart w:id="567" w:name="_Toc19025773"/>
      <w:bookmarkStart w:id="568" w:name="_Toc19026348"/>
      <w:bookmarkStart w:id="569" w:name="_Toc19026922"/>
      <w:bookmarkStart w:id="570" w:name="_Toc19696648"/>
      <w:bookmarkStart w:id="571" w:name="_Toc19697224"/>
      <w:bookmarkStart w:id="572" w:name="_Toc19697802"/>
      <w:bookmarkStart w:id="573" w:name="_Toc19698379"/>
      <w:bookmarkStart w:id="574" w:name="_Toc19025125"/>
      <w:bookmarkStart w:id="575" w:name="_Toc19025774"/>
      <w:bookmarkStart w:id="576" w:name="_Toc19026349"/>
      <w:bookmarkStart w:id="577" w:name="_Toc19026923"/>
      <w:bookmarkStart w:id="578" w:name="_Toc19696649"/>
      <w:bookmarkStart w:id="579" w:name="_Toc19697225"/>
      <w:bookmarkStart w:id="580" w:name="_Toc19697803"/>
      <w:bookmarkStart w:id="581" w:name="_Toc19698380"/>
      <w:bookmarkStart w:id="582" w:name="_Toc19025126"/>
      <w:bookmarkStart w:id="583" w:name="_Toc19025775"/>
      <w:bookmarkStart w:id="584" w:name="_Toc19026350"/>
      <w:bookmarkStart w:id="585" w:name="_Toc19026924"/>
      <w:bookmarkStart w:id="586" w:name="_Toc19696650"/>
      <w:bookmarkStart w:id="587" w:name="_Toc19697226"/>
      <w:bookmarkStart w:id="588" w:name="_Toc19697804"/>
      <w:bookmarkStart w:id="589" w:name="_Toc19698381"/>
      <w:bookmarkStart w:id="590" w:name="_Toc19025148"/>
      <w:bookmarkStart w:id="591" w:name="_Toc19025797"/>
      <w:bookmarkStart w:id="592" w:name="_Toc19026372"/>
      <w:bookmarkStart w:id="593" w:name="_Toc19026946"/>
      <w:bookmarkStart w:id="594" w:name="_Toc19696672"/>
      <w:bookmarkStart w:id="595" w:name="_Toc19697248"/>
      <w:bookmarkStart w:id="596" w:name="_Toc19697826"/>
      <w:bookmarkStart w:id="597" w:name="_Toc19698403"/>
      <w:bookmarkStart w:id="598" w:name="_Toc19025168"/>
      <w:bookmarkStart w:id="599" w:name="_Toc19025817"/>
      <w:bookmarkStart w:id="600" w:name="_Toc19026392"/>
      <w:bookmarkStart w:id="601" w:name="_Toc19026966"/>
      <w:bookmarkStart w:id="602" w:name="_Toc19696692"/>
      <w:bookmarkStart w:id="603" w:name="_Toc19697268"/>
      <w:bookmarkStart w:id="604" w:name="_Toc19697846"/>
      <w:bookmarkStart w:id="605" w:name="_Toc19698423"/>
      <w:bookmarkStart w:id="606" w:name="_Toc19025184"/>
      <w:bookmarkStart w:id="607" w:name="_Toc19025833"/>
      <w:bookmarkStart w:id="608" w:name="_Toc19026408"/>
      <w:bookmarkStart w:id="609" w:name="_Toc19026982"/>
      <w:bookmarkStart w:id="610" w:name="_Toc19696708"/>
      <w:bookmarkStart w:id="611" w:name="_Toc19697284"/>
      <w:bookmarkStart w:id="612" w:name="_Toc19697862"/>
      <w:bookmarkStart w:id="613" w:name="_Toc19698439"/>
      <w:bookmarkStart w:id="614" w:name="_Toc19025185"/>
      <w:bookmarkStart w:id="615" w:name="_Toc19025834"/>
      <w:bookmarkStart w:id="616" w:name="_Toc19026409"/>
      <w:bookmarkStart w:id="617" w:name="_Toc19026983"/>
      <w:bookmarkStart w:id="618" w:name="_Toc19696709"/>
      <w:bookmarkStart w:id="619" w:name="_Toc19697285"/>
      <w:bookmarkStart w:id="620" w:name="_Toc19697863"/>
      <w:bookmarkStart w:id="621" w:name="_Toc19698440"/>
      <w:bookmarkStart w:id="622" w:name="_Toc19025186"/>
      <w:bookmarkStart w:id="623" w:name="_Toc19025835"/>
      <w:bookmarkStart w:id="624" w:name="_Toc19026410"/>
      <w:bookmarkStart w:id="625" w:name="_Toc19026984"/>
      <w:bookmarkStart w:id="626" w:name="_Toc19696710"/>
      <w:bookmarkStart w:id="627" w:name="_Toc19697286"/>
      <w:bookmarkStart w:id="628" w:name="_Toc19697864"/>
      <w:bookmarkStart w:id="629" w:name="_Toc19698441"/>
      <w:bookmarkStart w:id="630" w:name="_Toc19025187"/>
      <w:bookmarkStart w:id="631" w:name="_Toc19025836"/>
      <w:bookmarkStart w:id="632" w:name="_Toc19026411"/>
      <w:bookmarkStart w:id="633" w:name="_Toc19026985"/>
      <w:bookmarkStart w:id="634" w:name="_Toc19696711"/>
      <w:bookmarkStart w:id="635" w:name="_Toc19697287"/>
      <w:bookmarkStart w:id="636" w:name="_Toc19697865"/>
      <w:bookmarkStart w:id="637" w:name="_Toc19698442"/>
      <w:bookmarkStart w:id="638" w:name="_Toc19025188"/>
      <w:bookmarkStart w:id="639" w:name="_Toc19025837"/>
      <w:bookmarkStart w:id="640" w:name="_Toc19026412"/>
      <w:bookmarkStart w:id="641" w:name="_Toc19026986"/>
      <w:bookmarkStart w:id="642" w:name="_Toc19696712"/>
      <w:bookmarkStart w:id="643" w:name="_Toc19697288"/>
      <w:bookmarkStart w:id="644" w:name="_Toc19697866"/>
      <w:bookmarkStart w:id="645" w:name="_Toc19698443"/>
      <w:bookmarkStart w:id="646" w:name="_Toc19025189"/>
      <w:bookmarkStart w:id="647" w:name="_Toc19025838"/>
      <w:bookmarkStart w:id="648" w:name="_Toc19026413"/>
      <w:bookmarkStart w:id="649" w:name="_Toc19026987"/>
      <w:bookmarkStart w:id="650" w:name="_Toc19696713"/>
      <w:bookmarkStart w:id="651" w:name="_Toc19697289"/>
      <w:bookmarkStart w:id="652" w:name="_Toc19697867"/>
      <w:bookmarkStart w:id="653" w:name="_Toc19698444"/>
      <w:bookmarkStart w:id="654" w:name="_Toc19025190"/>
      <w:bookmarkStart w:id="655" w:name="_Toc19025839"/>
      <w:bookmarkStart w:id="656" w:name="_Toc19026414"/>
      <w:bookmarkStart w:id="657" w:name="_Toc19026988"/>
      <w:bookmarkStart w:id="658" w:name="_Toc19696714"/>
      <w:bookmarkStart w:id="659" w:name="_Toc19697290"/>
      <w:bookmarkStart w:id="660" w:name="_Toc19697868"/>
      <w:bookmarkStart w:id="661" w:name="_Toc19698445"/>
      <w:bookmarkStart w:id="662" w:name="_Toc19025191"/>
      <w:bookmarkStart w:id="663" w:name="_Toc19025840"/>
      <w:bookmarkStart w:id="664" w:name="_Toc19026415"/>
      <w:bookmarkStart w:id="665" w:name="_Toc19026989"/>
      <w:bookmarkStart w:id="666" w:name="_Toc19696715"/>
      <w:bookmarkStart w:id="667" w:name="_Toc19697291"/>
      <w:bookmarkStart w:id="668" w:name="_Toc19697869"/>
      <w:bookmarkStart w:id="669" w:name="_Toc19698446"/>
      <w:bookmarkStart w:id="670" w:name="_Toc19025192"/>
      <w:bookmarkStart w:id="671" w:name="_Toc19025841"/>
      <w:bookmarkStart w:id="672" w:name="_Toc19026416"/>
      <w:bookmarkStart w:id="673" w:name="_Toc19026990"/>
      <w:bookmarkStart w:id="674" w:name="_Toc19696716"/>
      <w:bookmarkStart w:id="675" w:name="_Toc19697292"/>
      <w:bookmarkStart w:id="676" w:name="_Toc19697870"/>
      <w:bookmarkStart w:id="677" w:name="_Toc19698447"/>
      <w:bookmarkStart w:id="678" w:name="_Toc19025193"/>
      <w:bookmarkStart w:id="679" w:name="_Toc19025842"/>
      <w:bookmarkStart w:id="680" w:name="_Toc19026417"/>
      <w:bookmarkStart w:id="681" w:name="_Toc19026991"/>
      <w:bookmarkStart w:id="682" w:name="_Toc19696717"/>
      <w:bookmarkStart w:id="683" w:name="_Toc19697293"/>
      <w:bookmarkStart w:id="684" w:name="_Toc19697871"/>
      <w:bookmarkStart w:id="685" w:name="_Toc19698448"/>
      <w:bookmarkStart w:id="686" w:name="_Toc19025278"/>
      <w:bookmarkStart w:id="687" w:name="_Toc19025927"/>
      <w:bookmarkStart w:id="688" w:name="_Toc19026502"/>
      <w:bookmarkStart w:id="689" w:name="_Toc19027076"/>
      <w:bookmarkStart w:id="690" w:name="_Toc19696802"/>
      <w:bookmarkStart w:id="691" w:name="_Toc19697378"/>
      <w:bookmarkStart w:id="692" w:name="_Toc19697956"/>
      <w:bookmarkStart w:id="693" w:name="_Toc19698533"/>
      <w:bookmarkStart w:id="694" w:name="_Toc19025279"/>
      <w:bookmarkStart w:id="695" w:name="_Toc19025928"/>
      <w:bookmarkStart w:id="696" w:name="_Toc19026503"/>
      <w:bookmarkStart w:id="697" w:name="_Toc19027077"/>
      <w:bookmarkStart w:id="698" w:name="_Toc19696803"/>
      <w:bookmarkStart w:id="699" w:name="_Toc19697379"/>
      <w:bookmarkStart w:id="700" w:name="_Toc19697957"/>
      <w:bookmarkStart w:id="701" w:name="_Toc19698534"/>
      <w:bookmarkStart w:id="702" w:name="_Toc19025280"/>
      <w:bookmarkStart w:id="703" w:name="_Toc19025929"/>
      <w:bookmarkStart w:id="704" w:name="_Toc19026504"/>
      <w:bookmarkStart w:id="705" w:name="_Toc19027078"/>
      <w:bookmarkStart w:id="706" w:name="_Toc19696804"/>
      <w:bookmarkStart w:id="707" w:name="_Toc19697380"/>
      <w:bookmarkStart w:id="708" w:name="_Toc19697958"/>
      <w:bookmarkStart w:id="709" w:name="_Toc19698535"/>
      <w:bookmarkStart w:id="710" w:name="_Toc19025281"/>
      <w:bookmarkStart w:id="711" w:name="_Toc19025930"/>
      <w:bookmarkStart w:id="712" w:name="_Toc19026505"/>
      <w:bookmarkStart w:id="713" w:name="_Toc19027079"/>
      <w:bookmarkStart w:id="714" w:name="_Toc19696805"/>
      <w:bookmarkStart w:id="715" w:name="_Toc19697381"/>
      <w:bookmarkStart w:id="716" w:name="_Toc19697959"/>
      <w:bookmarkStart w:id="717" w:name="_Toc19698536"/>
      <w:bookmarkStart w:id="718" w:name="_Toc19025282"/>
      <w:bookmarkStart w:id="719" w:name="_Toc19025931"/>
      <w:bookmarkStart w:id="720" w:name="_Toc19026506"/>
      <w:bookmarkStart w:id="721" w:name="_Toc19027080"/>
      <w:bookmarkStart w:id="722" w:name="_Toc19696806"/>
      <w:bookmarkStart w:id="723" w:name="_Toc19697382"/>
      <w:bookmarkStart w:id="724" w:name="_Toc19697960"/>
      <w:bookmarkStart w:id="725" w:name="_Toc19698537"/>
      <w:bookmarkStart w:id="726" w:name="_Toc19025283"/>
      <w:bookmarkStart w:id="727" w:name="_Toc19025932"/>
      <w:bookmarkStart w:id="728" w:name="_Toc19026507"/>
      <w:bookmarkStart w:id="729" w:name="_Toc19027081"/>
      <w:bookmarkStart w:id="730" w:name="_Toc19696807"/>
      <w:bookmarkStart w:id="731" w:name="_Toc19697383"/>
      <w:bookmarkStart w:id="732" w:name="_Toc19697961"/>
      <w:bookmarkStart w:id="733" w:name="_Toc19698538"/>
      <w:bookmarkStart w:id="734" w:name="_Toc19025284"/>
      <w:bookmarkStart w:id="735" w:name="_Toc19025933"/>
      <w:bookmarkStart w:id="736" w:name="_Toc19026508"/>
      <w:bookmarkStart w:id="737" w:name="_Toc19027082"/>
      <w:bookmarkStart w:id="738" w:name="_Toc19696808"/>
      <w:bookmarkStart w:id="739" w:name="_Toc19697384"/>
      <w:bookmarkStart w:id="740" w:name="_Toc19697962"/>
      <w:bookmarkStart w:id="741" w:name="_Toc19698539"/>
      <w:bookmarkStart w:id="742" w:name="_Toc19025285"/>
      <w:bookmarkStart w:id="743" w:name="_Toc19025934"/>
      <w:bookmarkStart w:id="744" w:name="_Toc19026509"/>
      <w:bookmarkStart w:id="745" w:name="_Toc19027083"/>
      <w:bookmarkStart w:id="746" w:name="_Toc19696809"/>
      <w:bookmarkStart w:id="747" w:name="_Toc19697385"/>
      <w:bookmarkStart w:id="748" w:name="_Toc19697963"/>
      <w:bookmarkStart w:id="749" w:name="_Toc19698540"/>
      <w:bookmarkStart w:id="750" w:name="_Toc19025286"/>
      <w:bookmarkStart w:id="751" w:name="_Toc19025935"/>
      <w:bookmarkStart w:id="752" w:name="_Toc19026510"/>
      <w:bookmarkStart w:id="753" w:name="_Toc19027084"/>
      <w:bookmarkStart w:id="754" w:name="_Toc19696810"/>
      <w:bookmarkStart w:id="755" w:name="_Toc19697386"/>
      <w:bookmarkStart w:id="756" w:name="_Toc19697964"/>
      <w:bookmarkStart w:id="757" w:name="_Toc19698541"/>
      <w:bookmarkStart w:id="758" w:name="_Toc19025287"/>
      <w:bookmarkStart w:id="759" w:name="_Toc19025936"/>
      <w:bookmarkStart w:id="760" w:name="_Toc19026511"/>
      <w:bookmarkStart w:id="761" w:name="_Toc19027085"/>
      <w:bookmarkStart w:id="762" w:name="_Toc19696811"/>
      <w:bookmarkStart w:id="763" w:name="_Toc19697387"/>
      <w:bookmarkStart w:id="764" w:name="_Toc19697965"/>
      <w:bookmarkStart w:id="765" w:name="_Toc19698542"/>
      <w:bookmarkStart w:id="766" w:name="_Toc19025288"/>
      <w:bookmarkStart w:id="767" w:name="_Toc19025937"/>
      <w:bookmarkStart w:id="768" w:name="_Toc19026512"/>
      <w:bookmarkStart w:id="769" w:name="_Toc19027086"/>
      <w:bookmarkStart w:id="770" w:name="_Toc19696812"/>
      <w:bookmarkStart w:id="771" w:name="_Toc19697388"/>
      <w:bookmarkStart w:id="772" w:name="_Toc19697966"/>
      <w:bookmarkStart w:id="773" w:name="_Toc19698543"/>
      <w:bookmarkStart w:id="774" w:name="_Toc19025289"/>
      <w:bookmarkStart w:id="775" w:name="_Toc19025938"/>
      <w:bookmarkStart w:id="776" w:name="_Toc19026513"/>
      <w:bookmarkStart w:id="777" w:name="_Toc19027087"/>
      <w:bookmarkStart w:id="778" w:name="_Toc19696813"/>
      <w:bookmarkStart w:id="779" w:name="_Toc19697389"/>
      <w:bookmarkStart w:id="780" w:name="_Toc19697967"/>
      <w:bookmarkStart w:id="781" w:name="_Toc19698544"/>
      <w:bookmarkStart w:id="782" w:name="_Toc19025290"/>
      <w:bookmarkStart w:id="783" w:name="_Toc19025939"/>
      <w:bookmarkStart w:id="784" w:name="_Toc19026514"/>
      <w:bookmarkStart w:id="785" w:name="_Toc19027088"/>
      <w:bookmarkStart w:id="786" w:name="_Toc19696814"/>
      <w:bookmarkStart w:id="787" w:name="_Toc19697390"/>
      <w:bookmarkStart w:id="788" w:name="_Toc19697968"/>
      <w:bookmarkStart w:id="789" w:name="_Toc19698545"/>
      <w:bookmarkStart w:id="790" w:name="_Toc19025291"/>
      <w:bookmarkStart w:id="791" w:name="_Toc19025940"/>
      <w:bookmarkStart w:id="792" w:name="_Toc19026515"/>
      <w:bookmarkStart w:id="793" w:name="_Toc19027089"/>
      <w:bookmarkStart w:id="794" w:name="_Toc19696815"/>
      <w:bookmarkStart w:id="795" w:name="_Toc19697391"/>
      <w:bookmarkStart w:id="796" w:name="_Toc19697969"/>
      <w:bookmarkStart w:id="797" w:name="_Toc19698546"/>
      <w:bookmarkStart w:id="798" w:name="_Toc19025292"/>
      <w:bookmarkStart w:id="799" w:name="_Toc19025941"/>
      <w:bookmarkStart w:id="800" w:name="_Toc19026516"/>
      <w:bookmarkStart w:id="801" w:name="_Toc19027090"/>
      <w:bookmarkStart w:id="802" w:name="_Toc19696816"/>
      <w:bookmarkStart w:id="803" w:name="_Toc19697392"/>
      <w:bookmarkStart w:id="804" w:name="_Toc19697970"/>
      <w:bookmarkStart w:id="805" w:name="_Toc19698547"/>
      <w:bookmarkStart w:id="806" w:name="_Toc19025293"/>
      <w:bookmarkStart w:id="807" w:name="_Toc19025942"/>
      <w:bookmarkStart w:id="808" w:name="_Toc19026517"/>
      <w:bookmarkStart w:id="809" w:name="_Toc19027091"/>
      <w:bookmarkStart w:id="810" w:name="_Toc19696817"/>
      <w:bookmarkStart w:id="811" w:name="_Toc19697393"/>
      <w:bookmarkStart w:id="812" w:name="_Toc19697971"/>
      <w:bookmarkStart w:id="813" w:name="_Toc19698548"/>
      <w:bookmarkStart w:id="814" w:name="_Toc19025294"/>
      <w:bookmarkStart w:id="815" w:name="_Toc19025943"/>
      <w:bookmarkStart w:id="816" w:name="_Toc19026518"/>
      <w:bookmarkStart w:id="817" w:name="_Toc19027092"/>
      <w:bookmarkStart w:id="818" w:name="_Toc19696818"/>
      <w:bookmarkStart w:id="819" w:name="_Toc19697394"/>
      <w:bookmarkStart w:id="820" w:name="_Toc19697972"/>
      <w:bookmarkStart w:id="821" w:name="_Toc19698549"/>
      <w:bookmarkStart w:id="822" w:name="_Toc19025295"/>
      <w:bookmarkStart w:id="823" w:name="_Toc19025944"/>
      <w:bookmarkStart w:id="824" w:name="_Toc19026519"/>
      <w:bookmarkStart w:id="825" w:name="_Toc19027093"/>
      <w:bookmarkStart w:id="826" w:name="_Toc19696819"/>
      <w:bookmarkStart w:id="827" w:name="_Toc19697395"/>
      <w:bookmarkStart w:id="828" w:name="_Toc19697973"/>
      <w:bookmarkStart w:id="829" w:name="_Toc19698550"/>
      <w:bookmarkStart w:id="830" w:name="_Toc19025296"/>
      <w:bookmarkStart w:id="831" w:name="_Toc19025945"/>
      <w:bookmarkStart w:id="832" w:name="_Toc19026520"/>
      <w:bookmarkStart w:id="833" w:name="_Toc19027094"/>
      <w:bookmarkStart w:id="834" w:name="_Toc19696820"/>
      <w:bookmarkStart w:id="835" w:name="_Toc19697396"/>
      <w:bookmarkStart w:id="836" w:name="_Toc19697974"/>
      <w:bookmarkStart w:id="837" w:name="_Toc19698551"/>
      <w:bookmarkStart w:id="838" w:name="_Toc19025297"/>
      <w:bookmarkStart w:id="839" w:name="_Toc19025946"/>
      <w:bookmarkStart w:id="840" w:name="_Toc19026521"/>
      <w:bookmarkStart w:id="841" w:name="_Toc19027095"/>
      <w:bookmarkStart w:id="842" w:name="_Toc19696821"/>
      <w:bookmarkStart w:id="843" w:name="_Toc19697397"/>
      <w:bookmarkStart w:id="844" w:name="_Toc19697975"/>
      <w:bookmarkStart w:id="845" w:name="_Toc19698552"/>
      <w:bookmarkStart w:id="846" w:name="_Toc19025298"/>
      <w:bookmarkStart w:id="847" w:name="_Toc19025947"/>
      <w:bookmarkStart w:id="848" w:name="_Toc19026522"/>
      <w:bookmarkStart w:id="849" w:name="_Toc19027096"/>
      <w:bookmarkStart w:id="850" w:name="_Toc19696822"/>
      <w:bookmarkStart w:id="851" w:name="_Toc19697398"/>
      <w:bookmarkStart w:id="852" w:name="_Toc19697976"/>
      <w:bookmarkStart w:id="853" w:name="_Toc19698553"/>
      <w:bookmarkStart w:id="854" w:name="_Toc19025299"/>
      <w:bookmarkStart w:id="855" w:name="_Toc19025948"/>
      <w:bookmarkStart w:id="856" w:name="_Toc19026523"/>
      <w:bookmarkStart w:id="857" w:name="_Toc19027097"/>
      <w:bookmarkStart w:id="858" w:name="_Toc19696823"/>
      <w:bookmarkStart w:id="859" w:name="_Toc19697399"/>
      <w:bookmarkStart w:id="860" w:name="_Toc19697977"/>
      <w:bookmarkStart w:id="861" w:name="_Toc19698554"/>
      <w:bookmarkStart w:id="862" w:name="_Toc19025300"/>
      <w:bookmarkStart w:id="863" w:name="_Toc19025949"/>
      <w:bookmarkStart w:id="864" w:name="_Toc19026524"/>
      <w:bookmarkStart w:id="865" w:name="_Toc19027098"/>
      <w:bookmarkStart w:id="866" w:name="_Toc19696824"/>
      <w:bookmarkStart w:id="867" w:name="_Toc19697400"/>
      <w:bookmarkStart w:id="868" w:name="_Toc19697978"/>
      <w:bookmarkStart w:id="869" w:name="_Toc19698555"/>
      <w:bookmarkStart w:id="870" w:name="_Toc19025301"/>
      <w:bookmarkStart w:id="871" w:name="_Toc19025950"/>
      <w:bookmarkStart w:id="872" w:name="_Toc19026525"/>
      <w:bookmarkStart w:id="873" w:name="_Toc19027099"/>
      <w:bookmarkStart w:id="874" w:name="_Toc19696825"/>
      <w:bookmarkStart w:id="875" w:name="_Toc19697401"/>
      <w:bookmarkStart w:id="876" w:name="_Toc19697979"/>
      <w:bookmarkStart w:id="877" w:name="_Toc19698556"/>
      <w:bookmarkStart w:id="878" w:name="_Toc19025302"/>
      <w:bookmarkStart w:id="879" w:name="_Toc19025951"/>
      <w:bookmarkStart w:id="880" w:name="_Toc19026526"/>
      <w:bookmarkStart w:id="881" w:name="_Toc19027100"/>
      <w:bookmarkStart w:id="882" w:name="_Toc19696826"/>
      <w:bookmarkStart w:id="883" w:name="_Toc19697402"/>
      <w:bookmarkStart w:id="884" w:name="_Toc19697980"/>
      <w:bookmarkStart w:id="885" w:name="_Toc19698557"/>
      <w:bookmarkStart w:id="886" w:name="_Toc19025303"/>
      <w:bookmarkStart w:id="887" w:name="_Toc19025952"/>
      <w:bookmarkStart w:id="888" w:name="_Toc19026527"/>
      <w:bookmarkStart w:id="889" w:name="_Toc19027101"/>
      <w:bookmarkStart w:id="890" w:name="_Toc19696827"/>
      <w:bookmarkStart w:id="891" w:name="_Toc19697403"/>
      <w:bookmarkStart w:id="892" w:name="_Toc19697981"/>
      <w:bookmarkStart w:id="893" w:name="_Toc19698558"/>
      <w:bookmarkStart w:id="894" w:name="_Toc19025304"/>
      <w:bookmarkStart w:id="895" w:name="_Toc19025953"/>
      <w:bookmarkStart w:id="896" w:name="_Toc19026528"/>
      <w:bookmarkStart w:id="897" w:name="_Toc19027102"/>
      <w:bookmarkStart w:id="898" w:name="_Toc19696828"/>
      <w:bookmarkStart w:id="899" w:name="_Toc19697404"/>
      <w:bookmarkStart w:id="900" w:name="_Toc19697982"/>
      <w:bookmarkStart w:id="901" w:name="_Toc19698559"/>
      <w:bookmarkStart w:id="902" w:name="_Toc19025305"/>
      <w:bookmarkStart w:id="903" w:name="_Toc19025954"/>
      <w:bookmarkStart w:id="904" w:name="_Toc19026529"/>
      <w:bookmarkStart w:id="905" w:name="_Toc19027103"/>
      <w:bookmarkStart w:id="906" w:name="_Toc19696829"/>
      <w:bookmarkStart w:id="907" w:name="_Toc19697405"/>
      <w:bookmarkStart w:id="908" w:name="_Toc19697983"/>
      <w:bookmarkStart w:id="909" w:name="_Toc19698560"/>
      <w:bookmarkStart w:id="910" w:name="_Toc19025306"/>
      <w:bookmarkStart w:id="911" w:name="_Toc19025955"/>
      <w:bookmarkStart w:id="912" w:name="_Toc19026530"/>
      <w:bookmarkStart w:id="913" w:name="_Toc19027104"/>
      <w:bookmarkStart w:id="914" w:name="_Toc19696830"/>
      <w:bookmarkStart w:id="915" w:name="_Toc19697406"/>
      <w:bookmarkStart w:id="916" w:name="_Toc19697984"/>
      <w:bookmarkStart w:id="917" w:name="_Toc19698561"/>
      <w:bookmarkStart w:id="918" w:name="_Toc19025307"/>
      <w:bookmarkStart w:id="919" w:name="_Toc19025956"/>
      <w:bookmarkStart w:id="920" w:name="_Toc19026531"/>
      <w:bookmarkStart w:id="921" w:name="_Toc19027105"/>
      <w:bookmarkStart w:id="922" w:name="_Toc19696831"/>
      <w:bookmarkStart w:id="923" w:name="_Toc19697407"/>
      <w:bookmarkStart w:id="924" w:name="_Toc19697985"/>
      <w:bookmarkStart w:id="925" w:name="_Toc19698562"/>
      <w:bookmarkStart w:id="926" w:name="_Toc19025308"/>
      <w:bookmarkStart w:id="927" w:name="_Toc19025957"/>
      <w:bookmarkStart w:id="928" w:name="_Toc19026532"/>
      <w:bookmarkStart w:id="929" w:name="_Toc19027106"/>
      <w:bookmarkStart w:id="930" w:name="_Toc19696832"/>
      <w:bookmarkStart w:id="931" w:name="_Toc19697408"/>
      <w:bookmarkStart w:id="932" w:name="_Toc19697986"/>
      <w:bookmarkStart w:id="933" w:name="_Toc19698563"/>
      <w:bookmarkStart w:id="934" w:name="_Toc19025309"/>
      <w:bookmarkStart w:id="935" w:name="_Toc19025958"/>
      <w:bookmarkStart w:id="936" w:name="_Toc19026533"/>
      <w:bookmarkStart w:id="937" w:name="_Toc19027107"/>
      <w:bookmarkStart w:id="938" w:name="_Toc19696833"/>
      <w:bookmarkStart w:id="939" w:name="_Toc19697409"/>
      <w:bookmarkStart w:id="940" w:name="_Toc19697987"/>
      <w:bookmarkStart w:id="941" w:name="_Toc19698564"/>
      <w:bookmarkStart w:id="942" w:name="_Toc19025310"/>
      <w:bookmarkStart w:id="943" w:name="_Toc19025959"/>
      <w:bookmarkStart w:id="944" w:name="_Toc19026534"/>
      <w:bookmarkStart w:id="945" w:name="_Toc19027108"/>
      <w:bookmarkStart w:id="946" w:name="_Toc19696834"/>
      <w:bookmarkStart w:id="947" w:name="_Toc19697410"/>
      <w:bookmarkStart w:id="948" w:name="_Toc19697988"/>
      <w:bookmarkStart w:id="949" w:name="_Toc19698565"/>
      <w:bookmarkStart w:id="950" w:name="_Toc19025311"/>
      <w:bookmarkStart w:id="951" w:name="_Toc19025960"/>
      <w:bookmarkStart w:id="952" w:name="_Toc19026535"/>
      <w:bookmarkStart w:id="953" w:name="_Toc19027109"/>
      <w:bookmarkStart w:id="954" w:name="_Toc19696835"/>
      <w:bookmarkStart w:id="955" w:name="_Toc19697411"/>
      <w:bookmarkStart w:id="956" w:name="_Toc19697989"/>
      <w:bookmarkStart w:id="957" w:name="_Toc19698566"/>
      <w:bookmarkStart w:id="958" w:name="_Toc19025312"/>
      <w:bookmarkStart w:id="959" w:name="_Toc19025961"/>
      <w:bookmarkStart w:id="960" w:name="_Toc19026536"/>
      <w:bookmarkStart w:id="961" w:name="_Toc19027110"/>
      <w:bookmarkStart w:id="962" w:name="_Toc19696836"/>
      <w:bookmarkStart w:id="963" w:name="_Toc19697412"/>
      <w:bookmarkStart w:id="964" w:name="_Toc19697990"/>
      <w:bookmarkStart w:id="965" w:name="_Toc19698567"/>
      <w:bookmarkStart w:id="966" w:name="_Toc19025313"/>
      <w:bookmarkStart w:id="967" w:name="_Toc19025962"/>
      <w:bookmarkStart w:id="968" w:name="_Toc19026537"/>
      <w:bookmarkStart w:id="969" w:name="_Toc19027111"/>
      <w:bookmarkStart w:id="970" w:name="_Toc19696837"/>
      <w:bookmarkStart w:id="971" w:name="_Toc19697413"/>
      <w:bookmarkStart w:id="972" w:name="_Toc19697991"/>
      <w:bookmarkStart w:id="973" w:name="_Toc19698568"/>
      <w:bookmarkStart w:id="974" w:name="_Toc19025314"/>
      <w:bookmarkStart w:id="975" w:name="_Toc19025963"/>
      <w:bookmarkStart w:id="976" w:name="_Toc19026538"/>
      <w:bookmarkStart w:id="977" w:name="_Toc19027112"/>
      <w:bookmarkStart w:id="978" w:name="_Toc19696838"/>
      <w:bookmarkStart w:id="979" w:name="_Toc19697414"/>
      <w:bookmarkStart w:id="980" w:name="_Toc19697992"/>
      <w:bookmarkStart w:id="981" w:name="_Toc19698569"/>
      <w:bookmarkStart w:id="982" w:name="_Toc19025315"/>
      <w:bookmarkStart w:id="983" w:name="_Toc19025964"/>
      <w:bookmarkStart w:id="984" w:name="_Toc19026539"/>
      <w:bookmarkStart w:id="985" w:name="_Toc19027113"/>
      <w:bookmarkStart w:id="986" w:name="_Toc19696839"/>
      <w:bookmarkStart w:id="987" w:name="_Toc19697415"/>
      <w:bookmarkStart w:id="988" w:name="_Toc19697993"/>
      <w:bookmarkStart w:id="989" w:name="_Toc19698570"/>
      <w:bookmarkStart w:id="990" w:name="_Toc19025316"/>
      <w:bookmarkStart w:id="991" w:name="_Toc19025965"/>
      <w:bookmarkStart w:id="992" w:name="_Toc19026540"/>
      <w:bookmarkStart w:id="993" w:name="_Toc19027114"/>
      <w:bookmarkStart w:id="994" w:name="_Toc19696840"/>
      <w:bookmarkStart w:id="995" w:name="_Toc19697416"/>
      <w:bookmarkStart w:id="996" w:name="_Toc19697994"/>
      <w:bookmarkStart w:id="997" w:name="_Toc19698571"/>
      <w:bookmarkStart w:id="998" w:name="_Toc19025317"/>
      <w:bookmarkStart w:id="999" w:name="_Toc19025966"/>
      <w:bookmarkStart w:id="1000" w:name="_Toc19026541"/>
      <w:bookmarkStart w:id="1001" w:name="_Toc19027115"/>
      <w:bookmarkStart w:id="1002" w:name="_Toc19696841"/>
      <w:bookmarkStart w:id="1003" w:name="_Toc19697417"/>
      <w:bookmarkStart w:id="1004" w:name="_Toc19697995"/>
      <w:bookmarkStart w:id="1005" w:name="_Toc19698572"/>
      <w:bookmarkStart w:id="1006" w:name="_Toc19025318"/>
      <w:bookmarkStart w:id="1007" w:name="_Toc19025967"/>
      <w:bookmarkStart w:id="1008" w:name="_Toc19026542"/>
      <w:bookmarkStart w:id="1009" w:name="_Toc19027116"/>
      <w:bookmarkStart w:id="1010" w:name="_Toc19696842"/>
      <w:bookmarkStart w:id="1011" w:name="_Toc19697418"/>
      <w:bookmarkStart w:id="1012" w:name="_Toc19697996"/>
      <w:bookmarkStart w:id="1013" w:name="_Toc19698573"/>
      <w:bookmarkStart w:id="1014" w:name="_Toc19025485"/>
      <w:bookmarkStart w:id="1015" w:name="_Toc19026134"/>
      <w:bookmarkStart w:id="1016" w:name="_Toc19026709"/>
      <w:bookmarkStart w:id="1017" w:name="_Toc19027283"/>
      <w:bookmarkStart w:id="1018" w:name="_Toc19697009"/>
      <w:bookmarkStart w:id="1019" w:name="_Toc19697585"/>
      <w:bookmarkStart w:id="1020" w:name="_Toc19698163"/>
      <w:bookmarkStart w:id="1021" w:name="_Toc19698740"/>
      <w:bookmarkStart w:id="1022" w:name="_Toc19025486"/>
      <w:bookmarkStart w:id="1023" w:name="_Toc19026135"/>
      <w:bookmarkStart w:id="1024" w:name="_Toc19026710"/>
      <w:bookmarkStart w:id="1025" w:name="_Toc19027284"/>
      <w:bookmarkStart w:id="1026" w:name="_Toc19697010"/>
      <w:bookmarkStart w:id="1027" w:name="_Toc19697586"/>
      <w:bookmarkStart w:id="1028" w:name="_Toc19698164"/>
      <w:bookmarkStart w:id="1029" w:name="_Toc19698741"/>
      <w:bookmarkStart w:id="1030" w:name="_Toc19025487"/>
      <w:bookmarkStart w:id="1031" w:name="_Toc19026136"/>
      <w:bookmarkStart w:id="1032" w:name="_Toc19026711"/>
      <w:bookmarkStart w:id="1033" w:name="_Toc19027285"/>
      <w:bookmarkStart w:id="1034" w:name="_Toc19697011"/>
      <w:bookmarkStart w:id="1035" w:name="_Toc19697587"/>
      <w:bookmarkStart w:id="1036" w:name="_Toc19698165"/>
      <w:bookmarkStart w:id="1037" w:name="_Toc19698742"/>
      <w:bookmarkStart w:id="1038" w:name="_Toc19025488"/>
      <w:bookmarkStart w:id="1039" w:name="_Toc19026137"/>
      <w:bookmarkStart w:id="1040" w:name="_Toc19026712"/>
      <w:bookmarkStart w:id="1041" w:name="_Toc19027286"/>
      <w:bookmarkStart w:id="1042" w:name="_Toc19697012"/>
      <w:bookmarkStart w:id="1043" w:name="_Toc19697588"/>
      <w:bookmarkStart w:id="1044" w:name="_Toc19698166"/>
      <w:bookmarkStart w:id="1045" w:name="_Toc19698743"/>
      <w:bookmarkStart w:id="1046" w:name="_Toc19025489"/>
      <w:bookmarkStart w:id="1047" w:name="_Toc19026138"/>
      <w:bookmarkStart w:id="1048" w:name="_Toc19026713"/>
      <w:bookmarkStart w:id="1049" w:name="_Toc19027287"/>
      <w:bookmarkStart w:id="1050" w:name="_Toc19697013"/>
      <w:bookmarkStart w:id="1051" w:name="_Toc19697589"/>
      <w:bookmarkStart w:id="1052" w:name="_Toc19698167"/>
      <w:bookmarkStart w:id="1053" w:name="_Toc19698744"/>
      <w:bookmarkStart w:id="1054" w:name="_Toc19025490"/>
      <w:bookmarkStart w:id="1055" w:name="_Toc19026139"/>
      <w:bookmarkStart w:id="1056" w:name="_Toc19026714"/>
      <w:bookmarkStart w:id="1057" w:name="_Toc19027288"/>
      <w:bookmarkStart w:id="1058" w:name="_Toc19697014"/>
      <w:bookmarkStart w:id="1059" w:name="_Toc19697590"/>
      <w:bookmarkStart w:id="1060" w:name="_Toc19698168"/>
      <w:bookmarkStart w:id="1061" w:name="_Toc19698745"/>
      <w:bookmarkStart w:id="1062" w:name="_Toc19025491"/>
      <w:bookmarkStart w:id="1063" w:name="_Toc19026140"/>
      <w:bookmarkStart w:id="1064" w:name="_Toc19026715"/>
      <w:bookmarkStart w:id="1065" w:name="_Toc19027289"/>
      <w:bookmarkStart w:id="1066" w:name="_Toc19697015"/>
      <w:bookmarkStart w:id="1067" w:name="_Toc19697591"/>
      <w:bookmarkStart w:id="1068" w:name="_Toc19698169"/>
      <w:bookmarkStart w:id="1069" w:name="_Toc19698746"/>
      <w:bookmarkStart w:id="1070" w:name="_Toc19025492"/>
      <w:bookmarkStart w:id="1071" w:name="_Toc19026141"/>
      <w:bookmarkStart w:id="1072" w:name="_Toc19026716"/>
      <w:bookmarkStart w:id="1073" w:name="_Toc19027290"/>
      <w:bookmarkStart w:id="1074" w:name="_Toc19697016"/>
      <w:bookmarkStart w:id="1075" w:name="_Toc19697592"/>
      <w:bookmarkStart w:id="1076" w:name="_Toc19698170"/>
      <w:bookmarkStart w:id="1077" w:name="_Toc19698747"/>
      <w:bookmarkStart w:id="1078" w:name="_Toc19025493"/>
      <w:bookmarkStart w:id="1079" w:name="_Toc19026142"/>
      <w:bookmarkStart w:id="1080" w:name="_Toc19026717"/>
      <w:bookmarkStart w:id="1081" w:name="_Toc19027291"/>
      <w:bookmarkStart w:id="1082" w:name="_Toc19697017"/>
      <w:bookmarkStart w:id="1083" w:name="_Toc19697593"/>
      <w:bookmarkStart w:id="1084" w:name="_Toc19698171"/>
      <w:bookmarkStart w:id="1085" w:name="_Toc19698748"/>
      <w:bookmarkStart w:id="1086" w:name="_Toc19025494"/>
      <w:bookmarkStart w:id="1087" w:name="_Toc19026143"/>
      <w:bookmarkStart w:id="1088" w:name="_Toc19026718"/>
      <w:bookmarkStart w:id="1089" w:name="_Toc19027292"/>
      <w:bookmarkStart w:id="1090" w:name="_Toc19697018"/>
      <w:bookmarkStart w:id="1091" w:name="_Toc19697594"/>
      <w:bookmarkStart w:id="1092" w:name="_Toc19698172"/>
      <w:bookmarkStart w:id="1093" w:name="_Toc19698749"/>
      <w:bookmarkStart w:id="1094" w:name="_Toc19025495"/>
      <w:bookmarkStart w:id="1095" w:name="_Toc19026144"/>
      <w:bookmarkStart w:id="1096" w:name="_Toc19026719"/>
      <w:bookmarkStart w:id="1097" w:name="_Toc19027293"/>
      <w:bookmarkStart w:id="1098" w:name="_Toc19697019"/>
      <w:bookmarkStart w:id="1099" w:name="_Toc19697595"/>
      <w:bookmarkStart w:id="1100" w:name="_Toc19698173"/>
      <w:bookmarkStart w:id="1101" w:name="_Toc19698750"/>
      <w:bookmarkStart w:id="1102" w:name="_Toc19025496"/>
      <w:bookmarkStart w:id="1103" w:name="_Toc19026145"/>
      <w:bookmarkStart w:id="1104" w:name="_Toc19026720"/>
      <w:bookmarkStart w:id="1105" w:name="_Toc19027294"/>
      <w:bookmarkStart w:id="1106" w:name="_Toc19697020"/>
      <w:bookmarkStart w:id="1107" w:name="_Toc19697596"/>
      <w:bookmarkStart w:id="1108" w:name="_Toc19698174"/>
      <w:bookmarkStart w:id="1109" w:name="_Toc19698751"/>
      <w:bookmarkStart w:id="1110" w:name="_Toc19025497"/>
      <w:bookmarkStart w:id="1111" w:name="_Toc19026146"/>
      <w:bookmarkStart w:id="1112" w:name="_Toc19026721"/>
      <w:bookmarkStart w:id="1113" w:name="_Toc19027295"/>
      <w:bookmarkStart w:id="1114" w:name="_Toc19697021"/>
      <w:bookmarkStart w:id="1115" w:name="_Toc19697597"/>
      <w:bookmarkStart w:id="1116" w:name="_Toc19698175"/>
      <w:bookmarkStart w:id="1117" w:name="_Toc19698752"/>
      <w:bookmarkStart w:id="1118" w:name="_Toc19025498"/>
      <w:bookmarkStart w:id="1119" w:name="_Toc19026147"/>
      <w:bookmarkStart w:id="1120" w:name="_Toc19026722"/>
      <w:bookmarkStart w:id="1121" w:name="_Toc19027296"/>
      <w:bookmarkStart w:id="1122" w:name="_Toc19697022"/>
      <w:bookmarkStart w:id="1123" w:name="_Toc19697598"/>
      <w:bookmarkStart w:id="1124" w:name="_Toc19698176"/>
      <w:bookmarkStart w:id="1125" w:name="_Toc19698753"/>
      <w:bookmarkStart w:id="1126" w:name="_Toc19025499"/>
      <w:bookmarkStart w:id="1127" w:name="_Toc19026148"/>
      <w:bookmarkStart w:id="1128" w:name="_Toc19026723"/>
      <w:bookmarkStart w:id="1129" w:name="_Toc19027297"/>
      <w:bookmarkStart w:id="1130" w:name="_Toc19697023"/>
      <w:bookmarkStart w:id="1131" w:name="_Toc19697599"/>
      <w:bookmarkStart w:id="1132" w:name="_Toc19698177"/>
      <w:bookmarkStart w:id="1133" w:name="_Toc19698754"/>
      <w:bookmarkStart w:id="1134" w:name="_Toc19025500"/>
      <w:bookmarkStart w:id="1135" w:name="_Toc19026149"/>
      <w:bookmarkStart w:id="1136" w:name="_Toc19026724"/>
      <w:bookmarkStart w:id="1137" w:name="_Toc19027298"/>
      <w:bookmarkStart w:id="1138" w:name="_Toc19697024"/>
      <w:bookmarkStart w:id="1139" w:name="_Toc19697600"/>
      <w:bookmarkStart w:id="1140" w:name="_Toc19698178"/>
      <w:bookmarkStart w:id="1141" w:name="_Toc19698755"/>
      <w:bookmarkStart w:id="1142" w:name="_Toc19025501"/>
      <w:bookmarkStart w:id="1143" w:name="_Toc19026150"/>
      <w:bookmarkStart w:id="1144" w:name="_Toc19026725"/>
      <w:bookmarkStart w:id="1145" w:name="_Toc19027299"/>
      <w:bookmarkStart w:id="1146" w:name="_Toc19697025"/>
      <w:bookmarkStart w:id="1147" w:name="_Toc19697601"/>
      <w:bookmarkStart w:id="1148" w:name="_Toc19698179"/>
      <w:bookmarkStart w:id="1149" w:name="_Toc19698756"/>
      <w:bookmarkStart w:id="1150" w:name="_Toc19025502"/>
      <w:bookmarkStart w:id="1151" w:name="_Toc19026151"/>
      <w:bookmarkStart w:id="1152" w:name="_Toc19026726"/>
      <w:bookmarkStart w:id="1153" w:name="_Toc19027300"/>
      <w:bookmarkStart w:id="1154" w:name="_Toc19697026"/>
      <w:bookmarkStart w:id="1155" w:name="_Toc19697602"/>
      <w:bookmarkStart w:id="1156" w:name="_Toc19698180"/>
      <w:bookmarkStart w:id="1157" w:name="_Toc19698757"/>
      <w:bookmarkStart w:id="1158" w:name="_Toc19025503"/>
      <w:bookmarkStart w:id="1159" w:name="_Toc19026152"/>
      <w:bookmarkStart w:id="1160" w:name="_Toc19026727"/>
      <w:bookmarkStart w:id="1161" w:name="_Toc19027301"/>
      <w:bookmarkStart w:id="1162" w:name="_Toc19697027"/>
      <w:bookmarkStart w:id="1163" w:name="_Toc19697603"/>
      <w:bookmarkStart w:id="1164" w:name="_Toc19698181"/>
      <w:bookmarkStart w:id="1165" w:name="_Toc19698758"/>
      <w:bookmarkStart w:id="1166" w:name="_Toc19025504"/>
      <w:bookmarkStart w:id="1167" w:name="_Toc19026153"/>
      <w:bookmarkStart w:id="1168" w:name="_Toc19026728"/>
      <w:bookmarkStart w:id="1169" w:name="_Toc19027302"/>
      <w:bookmarkStart w:id="1170" w:name="_Toc19697028"/>
      <w:bookmarkStart w:id="1171" w:name="_Toc19697604"/>
      <w:bookmarkStart w:id="1172" w:name="_Toc19698182"/>
      <w:bookmarkStart w:id="1173" w:name="_Toc19698759"/>
      <w:bookmarkStart w:id="1174" w:name="_Toc19025505"/>
      <w:bookmarkStart w:id="1175" w:name="_Toc19026154"/>
      <w:bookmarkStart w:id="1176" w:name="_Toc19026729"/>
      <w:bookmarkStart w:id="1177" w:name="_Toc19027303"/>
      <w:bookmarkStart w:id="1178" w:name="_Toc19697029"/>
      <w:bookmarkStart w:id="1179" w:name="_Toc19697605"/>
      <w:bookmarkStart w:id="1180" w:name="_Toc19698183"/>
      <w:bookmarkStart w:id="1181" w:name="_Toc19698760"/>
      <w:bookmarkStart w:id="1182" w:name="_Toc19025506"/>
      <w:bookmarkStart w:id="1183" w:name="_Toc19026155"/>
      <w:bookmarkStart w:id="1184" w:name="_Toc19026730"/>
      <w:bookmarkStart w:id="1185" w:name="_Toc19027304"/>
      <w:bookmarkStart w:id="1186" w:name="_Toc19697030"/>
      <w:bookmarkStart w:id="1187" w:name="_Toc19697606"/>
      <w:bookmarkStart w:id="1188" w:name="_Toc19698184"/>
      <w:bookmarkStart w:id="1189" w:name="_Toc19698761"/>
      <w:bookmarkStart w:id="1190" w:name="_Toc19025507"/>
      <w:bookmarkStart w:id="1191" w:name="_Toc19026156"/>
      <w:bookmarkStart w:id="1192" w:name="_Toc19026731"/>
      <w:bookmarkStart w:id="1193" w:name="_Toc19027305"/>
      <w:bookmarkStart w:id="1194" w:name="_Toc19697031"/>
      <w:bookmarkStart w:id="1195" w:name="_Toc19697607"/>
      <w:bookmarkStart w:id="1196" w:name="_Toc19698185"/>
      <w:bookmarkStart w:id="1197" w:name="_Toc19698762"/>
      <w:bookmarkStart w:id="1198" w:name="_Toc19025508"/>
      <w:bookmarkStart w:id="1199" w:name="_Toc19026157"/>
      <w:bookmarkStart w:id="1200" w:name="_Toc19026732"/>
      <w:bookmarkStart w:id="1201" w:name="_Toc19027306"/>
      <w:bookmarkStart w:id="1202" w:name="_Toc19697032"/>
      <w:bookmarkStart w:id="1203" w:name="_Toc19697608"/>
      <w:bookmarkStart w:id="1204" w:name="_Toc19698186"/>
      <w:bookmarkStart w:id="1205" w:name="_Toc19698763"/>
      <w:bookmarkStart w:id="1206" w:name="_Toc19025509"/>
      <w:bookmarkStart w:id="1207" w:name="_Toc19026158"/>
      <w:bookmarkStart w:id="1208" w:name="_Toc19026733"/>
      <w:bookmarkStart w:id="1209" w:name="_Toc19027307"/>
      <w:bookmarkStart w:id="1210" w:name="_Toc19697033"/>
      <w:bookmarkStart w:id="1211" w:name="_Toc19697609"/>
      <w:bookmarkStart w:id="1212" w:name="_Toc19698187"/>
      <w:bookmarkStart w:id="1213" w:name="_Toc19698764"/>
      <w:bookmarkStart w:id="1214" w:name="_Toc19025510"/>
      <w:bookmarkStart w:id="1215" w:name="_Toc19026159"/>
      <w:bookmarkStart w:id="1216" w:name="_Toc19026734"/>
      <w:bookmarkStart w:id="1217" w:name="_Toc19027308"/>
      <w:bookmarkStart w:id="1218" w:name="_Toc19697034"/>
      <w:bookmarkStart w:id="1219" w:name="_Toc19697610"/>
      <w:bookmarkStart w:id="1220" w:name="_Toc19698188"/>
      <w:bookmarkStart w:id="1221" w:name="_Toc19698765"/>
      <w:bookmarkStart w:id="1222" w:name="_Toc19025511"/>
      <w:bookmarkStart w:id="1223" w:name="_Toc19026160"/>
      <w:bookmarkStart w:id="1224" w:name="_Toc19026735"/>
      <w:bookmarkStart w:id="1225" w:name="_Toc19027309"/>
      <w:bookmarkStart w:id="1226" w:name="_Toc19697035"/>
      <w:bookmarkStart w:id="1227" w:name="_Toc19697611"/>
      <w:bookmarkStart w:id="1228" w:name="_Toc19698189"/>
      <w:bookmarkStart w:id="1229" w:name="_Toc19698766"/>
      <w:bookmarkStart w:id="1230" w:name="_Toc19025512"/>
      <w:bookmarkStart w:id="1231" w:name="_Toc19026161"/>
      <w:bookmarkStart w:id="1232" w:name="_Toc19026736"/>
      <w:bookmarkStart w:id="1233" w:name="_Toc19027310"/>
      <w:bookmarkStart w:id="1234" w:name="_Toc19697036"/>
      <w:bookmarkStart w:id="1235" w:name="_Toc19697612"/>
      <w:bookmarkStart w:id="1236" w:name="_Toc19698190"/>
      <w:bookmarkStart w:id="1237" w:name="_Toc19698767"/>
      <w:bookmarkStart w:id="1238" w:name="_Toc19025513"/>
      <w:bookmarkStart w:id="1239" w:name="_Toc19026162"/>
      <w:bookmarkStart w:id="1240" w:name="_Toc19026737"/>
      <w:bookmarkStart w:id="1241" w:name="_Toc19027311"/>
      <w:bookmarkStart w:id="1242" w:name="_Toc19697037"/>
      <w:bookmarkStart w:id="1243" w:name="_Toc19697613"/>
      <w:bookmarkStart w:id="1244" w:name="_Toc19698191"/>
      <w:bookmarkStart w:id="1245" w:name="_Toc19698768"/>
      <w:bookmarkStart w:id="1246" w:name="_Toc19025514"/>
      <w:bookmarkStart w:id="1247" w:name="_Toc19026163"/>
      <w:bookmarkStart w:id="1248" w:name="_Toc19026738"/>
      <w:bookmarkStart w:id="1249" w:name="_Toc19027312"/>
      <w:bookmarkStart w:id="1250" w:name="_Toc19697038"/>
      <w:bookmarkStart w:id="1251" w:name="_Toc19697614"/>
      <w:bookmarkStart w:id="1252" w:name="_Toc19698192"/>
      <w:bookmarkStart w:id="1253" w:name="_Toc19698769"/>
      <w:bookmarkStart w:id="1254" w:name="_Toc19025515"/>
      <w:bookmarkStart w:id="1255" w:name="_Toc19026164"/>
      <w:bookmarkStart w:id="1256" w:name="_Toc19026739"/>
      <w:bookmarkStart w:id="1257" w:name="_Toc19027313"/>
      <w:bookmarkStart w:id="1258" w:name="_Toc19697039"/>
      <w:bookmarkStart w:id="1259" w:name="_Toc19697615"/>
      <w:bookmarkStart w:id="1260" w:name="_Toc19698193"/>
      <w:bookmarkStart w:id="1261" w:name="_Toc19698770"/>
      <w:bookmarkStart w:id="1262" w:name="_Toc19025516"/>
      <w:bookmarkStart w:id="1263" w:name="_Toc19026165"/>
      <w:bookmarkStart w:id="1264" w:name="_Toc19026740"/>
      <w:bookmarkStart w:id="1265" w:name="_Toc19027314"/>
      <w:bookmarkStart w:id="1266" w:name="_Toc19697040"/>
      <w:bookmarkStart w:id="1267" w:name="_Toc19697616"/>
      <w:bookmarkStart w:id="1268" w:name="_Toc19698194"/>
      <w:bookmarkStart w:id="1269" w:name="_Toc19698771"/>
      <w:bookmarkStart w:id="1270" w:name="_Toc19025517"/>
      <w:bookmarkStart w:id="1271" w:name="_Toc19026166"/>
      <w:bookmarkStart w:id="1272" w:name="_Toc19026741"/>
      <w:bookmarkStart w:id="1273" w:name="_Toc19027315"/>
      <w:bookmarkStart w:id="1274" w:name="_Toc19697041"/>
      <w:bookmarkStart w:id="1275" w:name="_Toc19697617"/>
      <w:bookmarkStart w:id="1276" w:name="_Toc19698195"/>
      <w:bookmarkStart w:id="1277" w:name="_Toc19698772"/>
      <w:bookmarkStart w:id="1278" w:name="_Toc19025518"/>
      <w:bookmarkStart w:id="1279" w:name="_Toc19026167"/>
      <w:bookmarkStart w:id="1280" w:name="_Toc19026742"/>
      <w:bookmarkStart w:id="1281" w:name="_Toc19027316"/>
      <w:bookmarkStart w:id="1282" w:name="_Toc19697042"/>
      <w:bookmarkStart w:id="1283" w:name="_Toc19697618"/>
      <w:bookmarkStart w:id="1284" w:name="_Toc19698196"/>
      <w:bookmarkStart w:id="1285" w:name="_Toc19698773"/>
      <w:bookmarkStart w:id="1286" w:name="_Toc19025519"/>
      <w:bookmarkStart w:id="1287" w:name="_Toc19026168"/>
      <w:bookmarkStart w:id="1288" w:name="_Toc19026743"/>
      <w:bookmarkStart w:id="1289" w:name="_Toc19027317"/>
      <w:bookmarkStart w:id="1290" w:name="_Toc19697043"/>
      <w:bookmarkStart w:id="1291" w:name="_Toc19697619"/>
      <w:bookmarkStart w:id="1292" w:name="_Toc19698197"/>
      <w:bookmarkStart w:id="1293" w:name="_Toc19698774"/>
      <w:bookmarkStart w:id="1294" w:name="_Toc19025520"/>
      <w:bookmarkStart w:id="1295" w:name="_Toc19026169"/>
      <w:bookmarkStart w:id="1296" w:name="_Toc19026744"/>
      <w:bookmarkStart w:id="1297" w:name="_Toc19027318"/>
      <w:bookmarkStart w:id="1298" w:name="_Toc19697044"/>
      <w:bookmarkStart w:id="1299" w:name="_Toc19697620"/>
      <w:bookmarkStart w:id="1300" w:name="_Toc19698198"/>
      <w:bookmarkStart w:id="1301" w:name="_Toc19698775"/>
      <w:bookmarkStart w:id="1302" w:name="_Toc19025572"/>
      <w:bookmarkStart w:id="1303" w:name="_Toc19026221"/>
      <w:bookmarkStart w:id="1304" w:name="_Toc19026796"/>
      <w:bookmarkStart w:id="1305" w:name="_Toc19027370"/>
      <w:bookmarkStart w:id="1306" w:name="_Toc19697096"/>
      <w:bookmarkStart w:id="1307" w:name="_Toc19697672"/>
      <w:bookmarkStart w:id="1308" w:name="_Toc19698250"/>
      <w:bookmarkStart w:id="1309" w:name="_Toc19698827"/>
      <w:bookmarkStart w:id="1310" w:name="_Toc19025573"/>
      <w:bookmarkStart w:id="1311" w:name="_Toc19026222"/>
      <w:bookmarkStart w:id="1312" w:name="_Toc19026797"/>
      <w:bookmarkStart w:id="1313" w:name="_Toc19027371"/>
      <w:bookmarkStart w:id="1314" w:name="_Toc19697097"/>
      <w:bookmarkStart w:id="1315" w:name="_Toc19697673"/>
      <w:bookmarkStart w:id="1316" w:name="_Toc19698251"/>
      <w:bookmarkStart w:id="1317" w:name="_Toc19698828"/>
      <w:bookmarkStart w:id="1318" w:name="_Toc19025574"/>
      <w:bookmarkStart w:id="1319" w:name="_Toc19026223"/>
      <w:bookmarkStart w:id="1320" w:name="_Toc19026798"/>
      <w:bookmarkStart w:id="1321" w:name="_Toc19027372"/>
      <w:bookmarkStart w:id="1322" w:name="_Toc19697098"/>
      <w:bookmarkStart w:id="1323" w:name="_Toc19697674"/>
      <w:bookmarkStart w:id="1324" w:name="_Toc19698252"/>
      <w:bookmarkStart w:id="1325" w:name="_Toc19698829"/>
      <w:bookmarkStart w:id="1326" w:name="_Toc19025575"/>
      <w:bookmarkStart w:id="1327" w:name="_Toc19026224"/>
      <w:bookmarkStart w:id="1328" w:name="_Toc19026799"/>
      <w:bookmarkStart w:id="1329" w:name="_Toc19027373"/>
      <w:bookmarkStart w:id="1330" w:name="_Toc19697099"/>
      <w:bookmarkStart w:id="1331" w:name="_Toc19697675"/>
      <w:bookmarkStart w:id="1332" w:name="_Toc19698253"/>
      <w:bookmarkStart w:id="1333" w:name="_Toc19698830"/>
      <w:bookmarkStart w:id="1334" w:name="_Toc19025576"/>
      <w:bookmarkStart w:id="1335" w:name="_Toc19026225"/>
      <w:bookmarkStart w:id="1336" w:name="_Toc19026800"/>
      <w:bookmarkStart w:id="1337" w:name="_Toc19027374"/>
      <w:bookmarkStart w:id="1338" w:name="_Toc19697100"/>
      <w:bookmarkStart w:id="1339" w:name="_Toc19697676"/>
      <w:bookmarkStart w:id="1340" w:name="_Toc19698254"/>
      <w:bookmarkStart w:id="1341" w:name="_Toc19698831"/>
      <w:bookmarkStart w:id="1342" w:name="_Toc19025577"/>
      <w:bookmarkStart w:id="1343" w:name="_Toc19026226"/>
      <w:bookmarkStart w:id="1344" w:name="_Toc19026801"/>
      <w:bookmarkStart w:id="1345" w:name="_Toc19027375"/>
      <w:bookmarkStart w:id="1346" w:name="_Toc19697101"/>
      <w:bookmarkStart w:id="1347" w:name="_Toc19697677"/>
      <w:bookmarkStart w:id="1348" w:name="_Toc19698255"/>
      <w:bookmarkStart w:id="1349" w:name="_Toc19698832"/>
      <w:bookmarkStart w:id="1350" w:name="_Toc19025578"/>
      <w:bookmarkStart w:id="1351" w:name="_Toc19026227"/>
      <w:bookmarkStart w:id="1352" w:name="_Toc19026802"/>
      <w:bookmarkStart w:id="1353" w:name="_Toc19027376"/>
      <w:bookmarkStart w:id="1354" w:name="_Toc19697102"/>
      <w:bookmarkStart w:id="1355" w:name="_Toc19697678"/>
      <w:bookmarkStart w:id="1356" w:name="_Toc19698256"/>
      <w:bookmarkStart w:id="1357" w:name="_Toc19698833"/>
      <w:bookmarkStart w:id="1358" w:name="_Toc19025579"/>
      <w:bookmarkStart w:id="1359" w:name="_Toc19026228"/>
      <w:bookmarkStart w:id="1360" w:name="_Toc19026803"/>
      <w:bookmarkStart w:id="1361" w:name="_Toc19027377"/>
      <w:bookmarkStart w:id="1362" w:name="_Toc19697103"/>
      <w:bookmarkStart w:id="1363" w:name="_Toc19697679"/>
      <w:bookmarkStart w:id="1364" w:name="_Toc19698257"/>
      <w:bookmarkStart w:id="1365" w:name="_Toc19698834"/>
      <w:bookmarkStart w:id="1366" w:name="_Toc19025580"/>
      <w:bookmarkStart w:id="1367" w:name="_Toc19026229"/>
      <w:bookmarkStart w:id="1368" w:name="_Toc19026804"/>
      <w:bookmarkStart w:id="1369" w:name="_Toc19027378"/>
      <w:bookmarkStart w:id="1370" w:name="_Toc19697104"/>
      <w:bookmarkStart w:id="1371" w:name="_Toc19697680"/>
      <w:bookmarkStart w:id="1372" w:name="_Toc19698258"/>
      <w:bookmarkStart w:id="1373" w:name="_Toc19698835"/>
      <w:bookmarkStart w:id="1374" w:name="_Toc19025581"/>
      <w:bookmarkStart w:id="1375" w:name="_Toc19026230"/>
      <w:bookmarkStart w:id="1376" w:name="_Toc19026805"/>
      <w:bookmarkStart w:id="1377" w:name="_Toc19027379"/>
      <w:bookmarkStart w:id="1378" w:name="_Toc19697105"/>
      <w:bookmarkStart w:id="1379" w:name="_Toc19697681"/>
      <w:bookmarkStart w:id="1380" w:name="_Toc19698259"/>
      <w:bookmarkStart w:id="1381" w:name="_Toc19698836"/>
      <w:bookmarkStart w:id="1382" w:name="_Toc19025582"/>
      <w:bookmarkStart w:id="1383" w:name="_Toc19026231"/>
      <w:bookmarkStart w:id="1384" w:name="_Toc19026806"/>
      <w:bookmarkStart w:id="1385" w:name="_Toc19027380"/>
      <w:bookmarkStart w:id="1386" w:name="_Toc19697106"/>
      <w:bookmarkStart w:id="1387" w:name="_Toc19697682"/>
      <w:bookmarkStart w:id="1388" w:name="_Toc19698260"/>
      <w:bookmarkStart w:id="1389" w:name="_Toc19698837"/>
      <w:bookmarkStart w:id="1390" w:name="_Toc19025583"/>
      <w:bookmarkStart w:id="1391" w:name="_Toc19026232"/>
      <w:bookmarkStart w:id="1392" w:name="_Toc19026807"/>
      <w:bookmarkStart w:id="1393" w:name="_Toc19027381"/>
      <w:bookmarkStart w:id="1394" w:name="_Toc19697107"/>
      <w:bookmarkStart w:id="1395" w:name="_Toc19697683"/>
      <w:bookmarkStart w:id="1396" w:name="_Toc19698261"/>
      <w:bookmarkStart w:id="1397" w:name="_Toc19698838"/>
      <w:bookmarkStart w:id="1398" w:name="_Toc19025584"/>
      <w:bookmarkStart w:id="1399" w:name="_Toc19026233"/>
      <w:bookmarkStart w:id="1400" w:name="_Toc19026808"/>
      <w:bookmarkStart w:id="1401" w:name="_Toc19027382"/>
      <w:bookmarkStart w:id="1402" w:name="_Toc19697108"/>
      <w:bookmarkStart w:id="1403" w:name="_Toc19697684"/>
      <w:bookmarkStart w:id="1404" w:name="_Toc19698262"/>
      <w:bookmarkStart w:id="1405" w:name="_Toc19698839"/>
      <w:bookmarkStart w:id="1406" w:name="_Toc19025585"/>
      <w:bookmarkStart w:id="1407" w:name="_Toc19026234"/>
      <w:bookmarkStart w:id="1408" w:name="_Toc19026809"/>
      <w:bookmarkStart w:id="1409" w:name="_Toc19027383"/>
      <w:bookmarkStart w:id="1410" w:name="_Toc19697109"/>
      <w:bookmarkStart w:id="1411" w:name="_Toc19697685"/>
      <w:bookmarkStart w:id="1412" w:name="_Toc19698263"/>
      <w:bookmarkStart w:id="1413" w:name="_Toc19698840"/>
      <w:bookmarkStart w:id="1414" w:name="_Toc18934413"/>
      <w:bookmarkStart w:id="1415" w:name="_Toc18934642"/>
      <w:bookmarkStart w:id="1416" w:name="_Toc18935285"/>
      <w:bookmarkStart w:id="1417" w:name="_Toc18935709"/>
      <w:bookmarkStart w:id="1418" w:name="_Toc18936558"/>
      <w:bookmarkStart w:id="1419" w:name="_Toc18936588"/>
      <w:bookmarkStart w:id="1420" w:name="_Toc18936912"/>
      <w:bookmarkStart w:id="1421" w:name="_Toc19025587"/>
      <w:bookmarkStart w:id="1422" w:name="_Toc19026236"/>
      <w:bookmarkStart w:id="1423" w:name="_Toc19026811"/>
      <w:bookmarkStart w:id="1424" w:name="_Toc19027385"/>
      <w:bookmarkStart w:id="1425" w:name="_Toc19697111"/>
      <w:bookmarkStart w:id="1426" w:name="_Toc19697687"/>
      <w:bookmarkStart w:id="1427" w:name="_Toc19698265"/>
      <w:bookmarkStart w:id="1428" w:name="_Toc19698842"/>
      <w:bookmarkStart w:id="1429" w:name="_Toc18934414"/>
      <w:bookmarkStart w:id="1430" w:name="_Toc18934643"/>
      <w:bookmarkStart w:id="1431" w:name="_Toc18935286"/>
      <w:bookmarkStart w:id="1432" w:name="_Toc18935710"/>
      <w:bookmarkStart w:id="1433" w:name="_Toc18936559"/>
      <w:bookmarkStart w:id="1434" w:name="_Toc18936589"/>
      <w:bookmarkStart w:id="1435" w:name="_Toc18936913"/>
      <w:bookmarkStart w:id="1436" w:name="_Toc19024390"/>
      <w:bookmarkStart w:id="1437" w:name="_Toc19024460"/>
      <w:bookmarkStart w:id="1438" w:name="_Toc19025588"/>
      <w:bookmarkStart w:id="1439" w:name="_Toc19026237"/>
      <w:bookmarkStart w:id="1440" w:name="_Toc19026812"/>
      <w:bookmarkStart w:id="1441" w:name="_Toc19027386"/>
      <w:bookmarkStart w:id="1442" w:name="_Toc19697112"/>
      <w:bookmarkStart w:id="1443" w:name="_Toc19697688"/>
      <w:bookmarkStart w:id="1444" w:name="_Toc19698266"/>
      <w:bookmarkStart w:id="1445" w:name="_Toc19698843"/>
      <w:bookmarkStart w:id="1446" w:name="_Toc18934415"/>
      <w:bookmarkStart w:id="1447" w:name="_Toc18934644"/>
      <w:bookmarkStart w:id="1448" w:name="_Toc18935287"/>
      <w:bookmarkStart w:id="1449" w:name="_Toc18935711"/>
      <w:bookmarkStart w:id="1450" w:name="_Toc18936560"/>
      <w:bookmarkStart w:id="1451" w:name="_Toc18936590"/>
      <w:bookmarkStart w:id="1452" w:name="_Toc18936914"/>
      <w:bookmarkStart w:id="1453" w:name="_Toc19025589"/>
      <w:bookmarkStart w:id="1454" w:name="_Toc19026238"/>
      <w:bookmarkStart w:id="1455" w:name="_Toc19026813"/>
      <w:bookmarkStart w:id="1456" w:name="_Toc19027387"/>
      <w:bookmarkStart w:id="1457" w:name="_Toc19697113"/>
      <w:bookmarkStart w:id="1458" w:name="_Toc19697689"/>
      <w:bookmarkStart w:id="1459" w:name="_Toc19698267"/>
      <w:bookmarkStart w:id="1460" w:name="_Toc19698844"/>
      <w:bookmarkStart w:id="1461" w:name="_Toc18934416"/>
      <w:bookmarkStart w:id="1462" w:name="_Toc18934645"/>
      <w:bookmarkStart w:id="1463" w:name="_Toc18935288"/>
      <w:bookmarkStart w:id="1464" w:name="_Toc18935712"/>
      <w:bookmarkStart w:id="1465" w:name="_Toc18936561"/>
      <w:bookmarkStart w:id="1466" w:name="_Toc18936591"/>
      <w:bookmarkStart w:id="1467" w:name="_Toc18936915"/>
      <w:bookmarkStart w:id="1468" w:name="_Toc19025590"/>
      <w:bookmarkStart w:id="1469" w:name="_Toc19026239"/>
      <w:bookmarkStart w:id="1470" w:name="_Toc19026814"/>
      <w:bookmarkStart w:id="1471" w:name="_Toc19027388"/>
      <w:bookmarkStart w:id="1472" w:name="_Toc19697114"/>
      <w:bookmarkStart w:id="1473" w:name="_Toc19697690"/>
      <w:bookmarkStart w:id="1474" w:name="_Toc19698268"/>
      <w:bookmarkStart w:id="1475" w:name="_Toc19698845"/>
      <w:bookmarkStart w:id="1476" w:name="_Toc18934417"/>
      <w:bookmarkStart w:id="1477" w:name="_Toc18934646"/>
      <w:bookmarkStart w:id="1478" w:name="_Toc18935289"/>
      <w:bookmarkStart w:id="1479" w:name="_Toc18935713"/>
      <w:bookmarkStart w:id="1480" w:name="_Toc18936562"/>
      <w:bookmarkStart w:id="1481" w:name="_Toc18936592"/>
      <w:bookmarkStart w:id="1482" w:name="_Toc18936916"/>
      <w:bookmarkStart w:id="1483" w:name="_Toc19025591"/>
      <w:bookmarkStart w:id="1484" w:name="_Toc19026240"/>
      <w:bookmarkStart w:id="1485" w:name="_Toc19026815"/>
      <w:bookmarkStart w:id="1486" w:name="_Toc19027389"/>
      <w:bookmarkStart w:id="1487" w:name="_Toc19697115"/>
      <w:bookmarkStart w:id="1488" w:name="_Toc19697691"/>
      <w:bookmarkStart w:id="1489" w:name="_Toc19698269"/>
      <w:bookmarkStart w:id="1490" w:name="_Toc19698846"/>
      <w:bookmarkStart w:id="1491" w:name="_Toc18934418"/>
      <w:bookmarkStart w:id="1492" w:name="_Toc18934647"/>
      <w:bookmarkStart w:id="1493" w:name="_Toc18935290"/>
      <w:bookmarkStart w:id="1494" w:name="_Toc18935714"/>
      <w:bookmarkStart w:id="1495" w:name="_Toc18936563"/>
      <w:bookmarkStart w:id="1496" w:name="_Toc18936593"/>
      <w:bookmarkStart w:id="1497" w:name="_Toc18936917"/>
      <w:bookmarkStart w:id="1498" w:name="_Toc19025592"/>
      <w:bookmarkStart w:id="1499" w:name="_Toc19026241"/>
      <w:bookmarkStart w:id="1500" w:name="_Toc19026816"/>
      <w:bookmarkStart w:id="1501" w:name="_Toc19027390"/>
      <w:bookmarkStart w:id="1502" w:name="_Toc19697116"/>
      <w:bookmarkStart w:id="1503" w:name="_Toc19697692"/>
      <w:bookmarkStart w:id="1504" w:name="_Toc19698270"/>
      <w:bookmarkStart w:id="1505" w:name="_Toc19698847"/>
      <w:bookmarkStart w:id="1506" w:name="_Toc18934419"/>
      <w:bookmarkStart w:id="1507" w:name="_Toc18934648"/>
      <w:bookmarkStart w:id="1508" w:name="_Toc18935291"/>
      <w:bookmarkStart w:id="1509" w:name="_Toc18935715"/>
      <w:bookmarkStart w:id="1510" w:name="_Toc18936564"/>
      <w:bookmarkStart w:id="1511" w:name="_Toc18936594"/>
      <w:bookmarkStart w:id="1512" w:name="_Toc18936918"/>
      <w:bookmarkStart w:id="1513" w:name="_Toc19024395"/>
      <w:bookmarkStart w:id="1514" w:name="_Toc19024465"/>
      <w:bookmarkStart w:id="1515" w:name="_Toc19025593"/>
      <w:bookmarkStart w:id="1516" w:name="_Toc19026242"/>
      <w:bookmarkStart w:id="1517" w:name="_Toc19026817"/>
      <w:bookmarkStart w:id="1518" w:name="_Toc19027391"/>
      <w:bookmarkStart w:id="1519" w:name="_Toc19697117"/>
      <w:bookmarkStart w:id="1520" w:name="_Toc19697693"/>
      <w:bookmarkStart w:id="1521" w:name="_Toc19698271"/>
      <w:bookmarkStart w:id="1522" w:name="_Toc19698848"/>
      <w:bookmarkStart w:id="1523" w:name="_Toc18934420"/>
      <w:bookmarkStart w:id="1524" w:name="_Toc18934649"/>
      <w:bookmarkStart w:id="1525" w:name="_Toc18935292"/>
      <w:bookmarkStart w:id="1526" w:name="_Toc18935716"/>
      <w:bookmarkStart w:id="1527" w:name="_Toc18936565"/>
      <w:bookmarkStart w:id="1528" w:name="_Toc18936595"/>
      <w:bookmarkStart w:id="1529" w:name="_Toc18936919"/>
      <w:bookmarkStart w:id="1530" w:name="_Toc19025594"/>
      <w:bookmarkStart w:id="1531" w:name="_Toc19026243"/>
      <w:bookmarkStart w:id="1532" w:name="_Toc19026818"/>
      <w:bookmarkStart w:id="1533" w:name="_Toc19027392"/>
      <w:bookmarkStart w:id="1534" w:name="_Toc19697118"/>
      <w:bookmarkStart w:id="1535" w:name="_Toc19697694"/>
      <w:bookmarkStart w:id="1536" w:name="_Toc19698272"/>
      <w:bookmarkStart w:id="1537" w:name="_Toc19698849"/>
      <w:bookmarkStart w:id="1538" w:name="_Toc18934421"/>
      <w:bookmarkStart w:id="1539" w:name="_Toc18934650"/>
      <w:bookmarkStart w:id="1540" w:name="_Toc18935293"/>
      <w:bookmarkStart w:id="1541" w:name="_Toc18935717"/>
      <w:bookmarkStart w:id="1542" w:name="_Toc18936566"/>
      <w:bookmarkStart w:id="1543" w:name="_Toc18936596"/>
      <w:bookmarkStart w:id="1544" w:name="_Toc18936920"/>
      <w:bookmarkStart w:id="1545" w:name="_Toc19024397"/>
      <w:bookmarkStart w:id="1546" w:name="_Toc19024467"/>
      <w:bookmarkStart w:id="1547" w:name="_Toc19025595"/>
      <w:bookmarkStart w:id="1548" w:name="_Toc19026244"/>
      <w:bookmarkStart w:id="1549" w:name="_Toc19026819"/>
      <w:bookmarkStart w:id="1550" w:name="_Toc19027393"/>
      <w:bookmarkStart w:id="1551" w:name="_Toc19697119"/>
      <w:bookmarkStart w:id="1552" w:name="_Toc19697695"/>
      <w:bookmarkStart w:id="1553" w:name="_Toc19698273"/>
      <w:bookmarkStart w:id="1554" w:name="_Toc19698850"/>
      <w:bookmarkStart w:id="1555" w:name="_Toc56087190"/>
      <w:bookmarkEnd w:id="423"/>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7571C1">
        <w:rPr>
          <w:rFonts w:ascii="Times New Roman" w:eastAsia="Times New Roman" w:hAnsi="Times New Roman" w:cs="Times New Roman"/>
          <w:b/>
          <w:color w:val="auto"/>
          <w:sz w:val="28"/>
          <w:szCs w:val="28"/>
          <w:lang w:eastAsia="lv-LV"/>
        </w:rPr>
        <w:t>Azartspēļu un izložu pieejamība, darbības vietas un to regulēšana</w:t>
      </w:r>
      <w:bookmarkEnd w:id="1555"/>
    </w:p>
    <w:p w:rsidR="00453A61" w:rsidRPr="0087512B" w:rsidRDefault="00453A61" w:rsidP="0087512B">
      <w:pPr>
        <w:jc w:val="both"/>
        <w:rPr>
          <w:rFonts w:cs="Times New Roman"/>
          <w:sz w:val="28"/>
          <w:szCs w:val="28"/>
          <w:lang w:eastAsia="lv-LV"/>
        </w:rPr>
      </w:pPr>
    </w:p>
    <w:p w:rsidR="005C051B" w:rsidRPr="0087512B" w:rsidRDefault="005C051B" w:rsidP="005C051B">
      <w:pPr>
        <w:ind w:firstLine="567"/>
        <w:jc w:val="both"/>
        <w:rPr>
          <w:rFonts w:cs="Times New Roman"/>
          <w:sz w:val="28"/>
          <w:szCs w:val="28"/>
        </w:rPr>
      </w:pPr>
      <w:r w:rsidRPr="0087512B">
        <w:rPr>
          <w:rFonts w:cs="Times New Roman"/>
          <w:sz w:val="28"/>
          <w:szCs w:val="28"/>
        </w:rPr>
        <w:t xml:space="preserve">Šobrīd AIL 41. panta otrajā daļā ir noteikts aizliegums azartspēļu organizēšanai konkrētajās vietās: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valsts iestādēs;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baznīcās un kulta celtnēs;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ārstniecības un izglītības iestāžu ēkās;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aptiekās, pasta struktūrvienībās vai kredītiestādēs;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publisko pasākumu rīkošanas vietās šo pasākumu norises laikā, izņemot totalizatoru un derības;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teritorijās, kurām noteiktā kārtībā piešķirts tirgus statuss;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veikalos, kultūras iestādēs, dzelzceļa stacijās, autoostās, lidostās, ostās, izņemot spēļu zāles, totalizatoru vai derību likmju pieņemšanas vietas, kas izveidotas ar būvkonstrukcijām norobežotās telpās ar atsevišķu ieeju tikai no ārpuses;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bāros un kafejnīcās, izņemot totalizatoru un derības;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 xml:space="preserve">dienesta viesnīcās; </w:t>
      </w:r>
    </w:p>
    <w:p w:rsidR="005C051B" w:rsidRPr="0087512B" w:rsidRDefault="005C051B" w:rsidP="006E445A">
      <w:pPr>
        <w:pStyle w:val="ListParagraph"/>
        <w:numPr>
          <w:ilvl w:val="0"/>
          <w:numId w:val="13"/>
        </w:numPr>
        <w:ind w:left="0" w:firstLine="709"/>
        <w:jc w:val="both"/>
        <w:rPr>
          <w:rFonts w:cs="Times New Roman"/>
          <w:sz w:val="28"/>
          <w:szCs w:val="28"/>
        </w:rPr>
      </w:pPr>
      <w:r w:rsidRPr="0087512B">
        <w:rPr>
          <w:rFonts w:cs="Times New Roman"/>
          <w:sz w:val="28"/>
          <w:szCs w:val="28"/>
        </w:rPr>
        <w:t>ēkās, kurās ir dzīvokļi un ieeja uz tiem no ēkas ārpuses ir kopēja ar ieeju uz azartspēļu organizēšanas vietu.</w:t>
      </w:r>
    </w:p>
    <w:p w:rsidR="005C051B" w:rsidRPr="0087512B" w:rsidRDefault="005C051B" w:rsidP="005C051B">
      <w:pPr>
        <w:ind w:firstLine="567"/>
        <w:jc w:val="both"/>
        <w:rPr>
          <w:rFonts w:cs="Times New Roman"/>
          <w:sz w:val="28"/>
          <w:szCs w:val="28"/>
        </w:rPr>
      </w:pPr>
      <w:r w:rsidRPr="0087512B">
        <w:rPr>
          <w:rFonts w:cs="Times New Roman"/>
          <w:sz w:val="28"/>
          <w:szCs w:val="28"/>
        </w:rPr>
        <w:t>Savukārt</w:t>
      </w:r>
      <w:r w:rsidR="0001590C">
        <w:rPr>
          <w:rFonts w:cs="Times New Roman"/>
          <w:sz w:val="28"/>
          <w:szCs w:val="28"/>
        </w:rPr>
        <w:t xml:space="preserve"> </w:t>
      </w:r>
      <w:r w:rsidR="0001590C" w:rsidRPr="0087512B">
        <w:rPr>
          <w:rFonts w:cs="Times New Roman"/>
          <w:sz w:val="28"/>
          <w:szCs w:val="28"/>
        </w:rPr>
        <w:t xml:space="preserve"> </w:t>
      </w:r>
      <w:r w:rsidRPr="0087512B">
        <w:rPr>
          <w:rFonts w:cs="Times New Roman"/>
          <w:sz w:val="28"/>
          <w:szCs w:val="28"/>
        </w:rPr>
        <w:t>saskaņā ar AIL 42.panta trešo daļu, ja azartspēles paredzēts rīkot vietā, uz kuru nav attiecināmi šā likuma</w:t>
      </w:r>
      <w:r w:rsidR="009D4918">
        <w:rPr>
          <w:rFonts w:cs="Times New Roman"/>
          <w:sz w:val="28"/>
          <w:szCs w:val="28"/>
        </w:rPr>
        <w:t xml:space="preserve"> </w:t>
      </w:r>
      <w:hyperlink r:id="rId14" w:anchor="p41" w:tgtFrame="_blank" w:history="1">
        <w:r w:rsidRPr="0087512B">
          <w:rPr>
            <w:rFonts w:cs="Times New Roman"/>
            <w:sz w:val="28"/>
            <w:szCs w:val="28"/>
          </w:rPr>
          <w:t>41.panta</w:t>
        </w:r>
      </w:hyperlink>
      <w:r w:rsidR="009D4918">
        <w:rPr>
          <w:rFonts w:cs="Times New Roman"/>
          <w:sz w:val="28"/>
          <w:szCs w:val="28"/>
        </w:rPr>
        <w:t xml:space="preserve"> </w:t>
      </w:r>
      <w:r w:rsidRPr="0087512B">
        <w:rPr>
          <w:rFonts w:cs="Times New Roman"/>
          <w:sz w:val="28"/>
          <w:szCs w:val="28"/>
        </w:rPr>
        <w:t xml:space="preserve">otrajā daļā noteiktie ierobežojumi, par atļauju organizēt azartspēles katrā konkrētajā gadījumā lemj pašvaldības dome (padome), izvērtējot to, vai azartspēļu organizēšana konkrētajā vietā nerada būtisku valsts un attiecīgās administratīvās teritorijas iedzīvotāju interešu aizskārumu. </w:t>
      </w:r>
    </w:p>
    <w:p w:rsidR="005C051B" w:rsidRPr="0087512B" w:rsidRDefault="005C051B" w:rsidP="005C051B">
      <w:pPr>
        <w:ind w:firstLine="567"/>
        <w:jc w:val="both"/>
        <w:rPr>
          <w:rFonts w:cs="Times New Roman"/>
          <w:sz w:val="28"/>
          <w:szCs w:val="28"/>
        </w:rPr>
      </w:pPr>
      <w:r w:rsidRPr="0087512B">
        <w:rPr>
          <w:rFonts w:cs="Times New Roman"/>
          <w:sz w:val="28"/>
          <w:szCs w:val="28"/>
        </w:rPr>
        <w:t>Vienlaikus jāatzīmē, ka pašvaldību pieeja likumā dotā deleģējuma attiecībā uz azartspēļu pieejamības ierobežošanu izpildi atšķiras</w:t>
      </w:r>
      <w:r>
        <w:rPr>
          <w:rFonts w:cs="Times New Roman"/>
          <w:sz w:val="28"/>
          <w:szCs w:val="28"/>
        </w:rPr>
        <w:t>.</w:t>
      </w:r>
    </w:p>
    <w:p w:rsidR="005C051B" w:rsidRPr="0087512B" w:rsidRDefault="005C051B" w:rsidP="005C051B">
      <w:pPr>
        <w:ind w:firstLine="720"/>
        <w:jc w:val="both"/>
        <w:rPr>
          <w:rFonts w:cs="Times New Roman"/>
          <w:sz w:val="28"/>
          <w:szCs w:val="28"/>
          <w14:textOutline w14:w="9525" w14:cap="rnd" w14:cmpd="sng" w14:algn="ctr">
            <w14:noFill/>
            <w14:prstDash w14:val="solid"/>
            <w14:bevel/>
          </w14:textOutline>
        </w:rPr>
      </w:pPr>
    </w:p>
    <w:p w:rsidR="005C051B" w:rsidRPr="0087512B" w:rsidRDefault="005C051B" w:rsidP="005C051B">
      <w:pPr>
        <w:ind w:firstLine="567"/>
        <w:jc w:val="both"/>
        <w:rPr>
          <w:rFonts w:cs="Times New Roman"/>
          <w:i/>
          <w:sz w:val="28"/>
          <w:szCs w:val="28"/>
        </w:rPr>
      </w:pPr>
      <w:r w:rsidRPr="0087512B">
        <w:rPr>
          <w:rFonts w:cs="Times New Roman"/>
          <w:i/>
          <w:sz w:val="28"/>
          <w:szCs w:val="28"/>
          <w14:textOutline w14:w="9525" w14:cap="rnd" w14:cmpd="sng" w14:algn="ctr">
            <w14:noFill/>
            <w14:prstDash w14:val="solid"/>
            <w14:bevel/>
          </w14:textOutline>
        </w:rPr>
        <w:t>Konstatēt</w:t>
      </w:r>
      <w:r w:rsidR="00D51566">
        <w:rPr>
          <w:rFonts w:cs="Times New Roman"/>
          <w:i/>
          <w:sz w:val="28"/>
          <w:szCs w:val="28"/>
          <w14:textOutline w14:w="9525" w14:cap="rnd" w14:cmpd="sng" w14:algn="ctr">
            <w14:noFill/>
            <w14:prstDash w14:val="solid"/>
            <w14:bevel/>
          </w14:textOutline>
        </w:rPr>
        <w:t>ā</w:t>
      </w:r>
      <w:r w:rsidRPr="0087512B">
        <w:rPr>
          <w:rFonts w:cs="Times New Roman"/>
          <w:i/>
          <w:sz w:val="28"/>
          <w:szCs w:val="28"/>
          <w14:textOutline w14:w="9525" w14:cap="rnd" w14:cmpd="sng" w14:algn="ctr">
            <w14:noFill/>
            <w14:prstDash w14:val="solid"/>
            <w14:bevel/>
          </w14:textOutline>
        </w:rPr>
        <w:t>s problēmas</w:t>
      </w:r>
    </w:p>
    <w:p w:rsidR="005C051B" w:rsidRPr="0087512B" w:rsidRDefault="005C051B" w:rsidP="00FD420A">
      <w:pPr>
        <w:autoSpaceDE w:val="0"/>
        <w:autoSpaceDN w:val="0"/>
        <w:adjustRightInd w:val="0"/>
        <w:ind w:firstLine="567"/>
        <w:jc w:val="both"/>
        <w:rPr>
          <w:rFonts w:cs="Times New Roman"/>
          <w:sz w:val="28"/>
          <w:szCs w:val="28"/>
        </w:rPr>
      </w:pPr>
      <w:r w:rsidRPr="0087512B">
        <w:rPr>
          <w:rFonts w:cs="Times New Roman"/>
          <w:sz w:val="28"/>
          <w:szCs w:val="28"/>
        </w:rPr>
        <w:t>Viena no būtiskākajām problēmām, ar ko saskaras pašvaldības, vēloties izmantot AIL dotās tiesības atteikt atļauju azartspēļu vietas darbībai vai atcelt jau iepriekš izsniegtu atļauju, ir AIL 42.panta trešajā un sestajā daļā noteiktais nosacījums</w:t>
      </w:r>
      <w:r w:rsidR="00CD4F4D">
        <w:rPr>
          <w:rFonts w:cs="Times New Roman"/>
          <w:sz w:val="28"/>
          <w:szCs w:val="28"/>
        </w:rPr>
        <w:t xml:space="preserve"> </w:t>
      </w:r>
      <w:r w:rsidRPr="0087512B">
        <w:rPr>
          <w:rFonts w:cs="Times New Roman"/>
          <w:sz w:val="28"/>
          <w:szCs w:val="28"/>
        </w:rPr>
        <w:t xml:space="preserve">– pašvaldībai ir jāpierāda, ka azartspēļu organizēšana konkrētajā vietā rada būtisku valsts un attiecīgās administratīvās teritorijas iedzīvotāju interešu aizskārumu. Pašvaldības, vērtējot, vai iedzīvotāju intereses ir aizskartas būtiski vai ne, var izmantot to rīcībā esošos instrumentus. Pašvaldības analizē konkrētās teritorijas apbūvi un infrastruktūru objektu izvietojumu (piemēram, vai tuvumā ir izglītības, kultūras, sporta iestādes, bērnu rotaļu laukumi), apdzīvotības blīvumu, </w:t>
      </w:r>
      <w:r w:rsidRPr="0087512B">
        <w:rPr>
          <w:rFonts w:cs="Times New Roman"/>
          <w:sz w:val="28"/>
          <w:szCs w:val="28"/>
        </w:rPr>
        <w:lastRenderedPageBreak/>
        <w:t xml:space="preserve">teritorijas attīstības plānojumu, cilvēku (īpaši bērnu un jauniešu) plūsmu konkrētajā vietā, jau esošo azartspēļu vietu un veidu izvietojumu u.tml., veic iedzīvotāju aptaujas u.c., tomēr Latvijas tiesu ieskatā tas ir nepietiekami. </w:t>
      </w:r>
    </w:p>
    <w:p w:rsidR="005C051B" w:rsidRPr="0087512B" w:rsidRDefault="005C051B" w:rsidP="00FD420A">
      <w:pPr>
        <w:ind w:firstLine="567"/>
        <w:jc w:val="both"/>
        <w:rPr>
          <w:rFonts w:cs="Times New Roman"/>
          <w:sz w:val="28"/>
          <w:szCs w:val="28"/>
        </w:rPr>
      </w:pPr>
      <w:r w:rsidRPr="0087512B">
        <w:rPr>
          <w:rFonts w:cs="Times New Roman"/>
          <w:sz w:val="28"/>
          <w:szCs w:val="28"/>
        </w:rPr>
        <w:t xml:space="preserve">Nosakot ierobežojumus azartspēļu pieejamībai, būtu jāvērtē, vai konkrētajā gadījumā tieši aizliegums ir samērīgākais veids, kā sabalansēt nozares </w:t>
      </w:r>
      <w:r w:rsidR="0059198F">
        <w:rPr>
          <w:rFonts w:cs="Times New Roman"/>
          <w:sz w:val="28"/>
          <w:szCs w:val="28"/>
        </w:rPr>
        <w:t>darbību</w:t>
      </w:r>
      <w:r w:rsidRPr="0087512B">
        <w:rPr>
          <w:rFonts w:cs="Times New Roman"/>
          <w:sz w:val="28"/>
          <w:szCs w:val="28"/>
        </w:rPr>
        <w:t xml:space="preserve"> un atkarības mazināšanas aspektus, ņemot vēra spēlētāja neierobežotās iespējas pāriet uz interaktīvo vidi un nelicencētām azartspēlēm.</w:t>
      </w:r>
    </w:p>
    <w:p w:rsidR="005C051B" w:rsidRPr="0087512B" w:rsidRDefault="005C051B" w:rsidP="005C051B">
      <w:pPr>
        <w:ind w:firstLine="567"/>
        <w:jc w:val="both"/>
        <w:rPr>
          <w:rFonts w:cs="Times New Roman"/>
          <w:sz w:val="28"/>
          <w:szCs w:val="28"/>
        </w:rPr>
      </w:pPr>
      <w:r w:rsidRPr="0087512B">
        <w:rPr>
          <w:rFonts w:cs="Times New Roman"/>
          <w:sz w:val="28"/>
          <w:szCs w:val="28"/>
        </w:rPr>
        <w:t>Latvijas Pašvaldību Savienība ir apzinājusi Latvijas pašvaldību pieredzi un viedokļus saistībā ar azartspēļu pieejamības ierobežojumu noteikšanu:</w:t>
      </w:r>
    </w:p>
    <w:p w:rsidR="005C051B" w:rsidRPr="006E445A" w:rsidRDefault="000C0DD2" w:rsidP="006E445A">
      <w:pPr>
        <w:pStyle w:val="ListParagraph"/>
        <w:numPr>
          <w:ilvl w:val="0"/>
          <w:numId w:val="14"/>
        </w:numPr>
        <w:spacing w:after="60"/>
        <w:ind w:left="0" w:firstLine="709"/>
        <w:jc w:val="both"/>
        <w:rPr>
          <w:rFonts w:cs="Times New Roman"/>
          <w:sz w:val="28"/>
          <w:szCs w:val="28"/>
        </w:rPr>
      </w:pPr>
      <w:r w:rsidRPr="006E445A">
        <w:rPr>
          <w:rFonts w:cs="Times New Roman"/>
          <w:sz w:val="28"/>
          <w:szCs w:val="28"/>
        </w:rPr>
        <w:t>Rīgas dome 2019.gada 27.martā pieņēma konceptuālu lēmumu</w:t>
      </w:r>
      <w:r w:rsidR="0019265E" w:rsidRPr="006E445A">
        <w:rPr>
          <w:rFonts w:cs="Times New Roman"/>
          <w:sz w:val="28"/>
          <w:szCs w:val="28"/>
        </w:rPr>
        <w:t xml:space="preserve"> un</w:t>
      </w:r>
      <w:r w:rsidR="009E6AE0">
        <w:rPr>
          <w:rFonts w:cs="Times New Roman"/>
          <w:sz w:val="28"/>
          <w:szCs w:val="28"/>
        </w:rPr>
        <w:t>,</w:t>
      </w:r>
      <w:r w:rsidR="0019265E" w:rsidRPr="006E445A">
        <w:rPr>
          <w:rFonts w:cs="Times New Roman"/>
          <w:sz w:val="28"/>
          <w:szCs w:val="28"/>
        </w:rPr>
        <w:t xml:space="preserve"> pamatojoties uz AIL 42.panta sesto daļu, noteica nepieciešamību sagatavot lēmumu projektus, ka</w:t>
      </w:r>
      <w:r w:rsidR="005C051B" w:rsidRPr="006E445A">
        <w:rPr>
          <w:rFonts w:cs="Times New Roman"/>
          <w:sz w:val="28"/>
          <w:szCs w:val="28"/>
        </w:rPr>
        <w:t xml:space="preserve"> AIL būtu nepieciešams paredzēt īpašus nosacījumus azartspēļu organizēšanai Rīgas pilsētas teritorijā: proti, Rīgas pilsētā var organizēt azartspēles un atvērt kazino, spēļu zāli, bingo zāli, totalizatora vai derību likmju pieņemšanas vietu tikai IV kategorijas (četru zvaigžņu) vai V kategorijas (piecu zvaigžņu) viesnīcās; </w:t>
      </w:r>
    </w:p>
    <w:p w:rsidR="005C051B" w:rsidRPr="0087512B" w:rsidRDefault="005C051B" w:rsidP="006E445A">
      <w:pPr>
        <w:pStyle w:val="ListParagraph"/>
        <w:numPr>
          <w:ilvl w:val="0"/>
          <w:numId w:val="14"/>
        </w:numPr>
        <w:spacing w:after="60"/>
        <w:ind w:left="0" w:firstLine="709"/>
        <w:jc w:val="both"/>
        <w:rPr>
          <w:rFonts w:cs="Times New Roman"/>
          <w:sz w:val="28"/>
          <w:szCs w:val="28"/>
        </w:rPr>
      </w:pPr>
      <w:r w:rsidRPr="0087512B">
        <w:rPr>
          <w:rFonts w:cs="Times New Roman"/>
          <w:sz w:val="28"/>
          <w:szCs w:val="28"/>
        </w:rPr>
        <w:t>nepieciešams paredzēt tiesības pašvaldībām noteikt teritorijas plānojumā vietas, kurās azartspēļu organizēšana ir atļauta (vai aizliegta).</w:t>
      </w:r>
      <w:r>
        <w:rPr>
          <w:rFonts w:cs="Times New Roman"/>
          <w:sz w:val="28"/>
          <w:szCs w:val="28"/>
        </w:rPr>
        <w:t xml:space="preserve"> </w:t>
      </w:r>
      <w:r w:rsidRPr="0087512B">
        <w:rPr>
          <w:rFonts w:cs="Times New Roman"/>
          <w:sz w:val="28"/>
          <w:szCs w:val="28"/>
        </w:rPr>
        <w:t>Vienlaikus tika norādīts, ka AIL jāparedz arī pašvaldību tiesības savā administratīvajā teritorijā azartspēļu organizēšanu aizliegt;</w:t>
      </w:r>
    </w:p>
    <w:p w:rsidR="005C051B" w:rsidRPr="0087512B" w:rsidRDefault="005C051B" w:rsidP="006E445A">
      <w:pPr>
        <w:pStyle w:val="ListParagraph"/>
        <w:numPr>
          <w:ilvl w:val="0"/>
          <w:numId w:val="14"/>
        </w:numPr>
        <w:autoSpaceDE w:val="0"/>
        <w:autoSpaceDN w:val="0"/>
        <w:adjustRightInd w:val="0"/>
        <w:spacing w:after="60"/>
        <w:ind w:left="0" w:firstLine="709"/>
        <w:jc w:val="both"/>
        <w:rPr>
          <w:rFonts w:cs="Times New Roman"/>
          <w:sz w:val="28"/>
          <w:szCs w:val="28"/>
        </w:rPr>
      </w:pPr>
      <w:r w:rsidRPr="0087512B">
        <w:rPr>
          <w:rFonts w:cs="Times New Roman"/>
          <w:sz w:val="28"/>
          <w:szCs w:val="28"/>
        </w:rPr>
        <w:t xml:space="preserve">nepieciešams paredzēt tiesības pašvaldībām noteikt termiņu, kādā azartspēļu organizētājiem jāizbeidz azartspēļu pakalpojumu sniegšanu vietās, kas vairs neatbilst aktuālā pašvaldības teritorijas plānojuma noteikumiem (pēc grozījumiem pašvaldības </w:t>
      </w:r>
      <w:r w:rsidRPr="0087512B">
        <w:rPr>
          <w:rFonts w:cs="Times New Roman"/>
          <w:iCs/>
          <w:sz w:val="28"/>
          <w:szCs w:val="28"/>
        </w:rPr>
        <w:t>teritorijas plānojumā vai jauna plānojuma izstrādes)</w:t>
      </w:r>
      <w:r w:rsidRPr="0087512B">
        <w:rPr>
          <w:rFonts w:cs="Times New Roman"/>
          <w:sz w:val="28"/>
          <w:szCs w:val="28"/>
        </w:rPr>
        <w:t xml:space="preserve">; </w:t>
      </w:r>
    </w:p>
    <w:p w:rsidR="005C051B" w:rsidRPr="0087512B" w:rsidRDefault="005C051B" w:rsidP="006E445A">
      <w:pPr>
        <w:pStyle w:val="ListParagraph"/>
        <w:numPr>
          <w:ilvl w:val="0"/>
          <w:numId w:val="14"/>
        </w:numPr>
        <w:autoSpaceDE w:val="0"/>
        <w:autoSpaceDN w:val="0"/>
        <w:adjustRightInd w:val="0"/>
        <w:spacing w:after="60"/>
        <w:ind w:left="0" w:firstLine="709"/>
        <w:jc w:val="both"/>
        <w:rPr>
          <w:rFonts w:cs="Times New Roman"/>
          <w:sz w:val="28"/>
          <w:szCs w:val="28"/>
        </w:rPr>
      </w:pPr>
      <w:r w:rsidRPr="0087512B">
        <w:rPr>
          <w:rFonts w:cs="Times New Roman"/>
          <w:sz w:val="28"/>
          <w:szCs w:val="28"/>
        </w:rPr>
        <w:t>nepieciešams papildināt (precizēt) AIL 41.panta otro daļu (uzskaitītas vietas, kur azartspēles nav atļauts organizēt)</w:t>
      </w:r>
      <w:r w:rsidR="00CD4F4D">
        <w:rPr>
          <w:rFonts w:cs="Times New Roman"/>
          <w:sz w:val="28"/>
          <w:szCs w:val="28"/>
        </w:rPr>
        <w:t xml:space="preserve"> </w:t>
      </w:r>
      <w:r w:rsidRPr="0087512B">
        <w:rPr>
          <w:rFonts w:cs="Times New Roman"/>
          <w:sz w:val="28"/>
          <w:szCs w:val="28"/>
        </w:rPr>
        <w:t>– proti, noteikt, ka azartspēļu organizēšana ir aizliegta daudzdzīvokļu dzīvojamās mājās un aktīvās atpūtas un sporta centros (sporta kompleksos, stadionos, hallēs u.tml.);</w:t>
      </w:r>
    </w:p>
    <w:p w:rsidR="0001590C" w:rsidRPr="006E445A" w:rsidRDefault="005C051B" w:rsidP="006E445A">
      <w:pPr>
        <w:pStyle w:val="ListParagraph"/>
        <w:numPr>
          <w:ilvl w:val="0"/>
          <w:numId w:val="14"/>
        </w:numPr>
        <w:autoSpaceDE w:val="0"/>
        <w:autoSpaceDN w:val="0"/>
        <w:adjustRightInd w:val="0"/>
        <w:ind w:left="0" w:firstLine="709"/>
        <w:jc w:val="both"/>
        <w:rPr>
          <w:rFonts w:cs="Times New Roman"/>
          <w:sz w:val="28"/>
          <w:szCs w:val="28"/>
        </w:rPr>
      </w:pPr>
      <w:r w:rsidRPr="0087512B">
        <w:rPr>
          <w:rFonts w:cs="Times New Roman"/>
          <w:sz w:val="28"/>
          <w:szCs w:val="28"/>
        </w:rPr>
        <w:t>nepieciešams paredzēt tiesības pašvaldībām noteikt, kādā attālumā (rādiusā) no AIL 41.panta otrajā daļā noteiktajām vietām darbojas ai</w:t>
      </w:r>
      <w:r w:rsidR="006E445A">
        <w:rPr>
          <w:rFonts w:cs="Times New Roman"/>
          <w:sz w:val="28"/>
          <w:szCs w:val="28"/>
        </w:rPr>
        <w:t>zliegums organizēt azartspēles.</w:t>
      </w:r>
    </w:p>
    <w:p w:rsidR="005C051B" w:rsidRPr="00871C12" w:rsidRDefault="0001590C" w:rsidP="005C051B">
      <w:pPr>
        <w:ind w:firstLine="567"/>
        <w:jc w:val="both"/>
        <w:rPr>
          <w:rFonts w:cs="Times New Roman"/>
          <w:b/>
          <w:sz w:val="28"/>
          <w:szCs w:val="28"/>
          <w:u w:val="single"/>
        </w:rPr>
      </w:pPr>
      <w:r>
        <w:rPr>
          <w:rFonts w:cs="Times New Roman"/>
          <w:sz w:val="28"/>
          <w:szCs w:val="28"/>
        </w:rPr>
        <w:t>Svarīgi atzīmēt, ka s</w:t>
      </w:r>
      <w:r w:rsidRPr="0087512B">
        <w:rPr>
          <w:rFonts w:cs="Times New Roman"/>
          <w:sz w:val="28"/>
          <w:szCs w:val="28"/>
        </w:rPr>
        <w:t xml:space="preserve">pēļu </w:t>
      </w:r>
      <w:r w:rsidR="005C051B" w:rsidRPr="0087512B">
        <w:rPr>
          <w:rFonts w:cs="Times New Roman"/>
          <w:sz w:val="28"/>
          <w:szCs w:val="28"/>
        </w:rPr>
        <w:t>zāļu un kazino pieejamības lokalizācijas ierobežošana nav vienīgais līdzeklis azartspēļu problemātisku spēlēšanas paradumu ierobežošanā</w:t>
      </w:r>
      <w:r w:rsidR="005C051B" w:rsidRPr="0087512B">
        <w:rPr>
          <w:rStyle w:val="FootnoteReference"/>
          <w:sz w:val="28"/>
          <w:szCs w:val="28"/>
        </w:rPr>
        <w:footnoteReference w:id="92"/>
      </w:r>
      <w:r w:rsidR="005C051B" w:rsidRPr="0087512B">
        <w:rPr>
          <w:rFonts w:cs="Times New Roman"/>
          <w:sz w:val="28"/>
          <w:szCs w:val="28"/>
        </w:rPr>
        <w:t xml:space="preserve">. </w:t>
      </w:r>
      <w:r w:rsidR="005C051B">
        <w:rPr>
          <w:rFonts w:cs="Times New Roman"/>
          <w:b/>
          <w:sz w:val="28"/>
          <w:szCs w:val="28"/>
          <w:u w:val="single"/>
        </w:rPr>
        <w:t xml:space="preserve"> </w:t>
      </w:r>
    </w:p>
    <w:p w:rsidR="005C051B" w:rsidRPr="0087512B" w:rsidRDefault="005C051B" w:rsidP="005C051B">
      <w:pPr>
        <w:ind w:firstLine="567"/>
        <w:jc w:val="both"/>
        <w:rPr>
          <w:rFonts w:cs="Times New Roman"/>
          <w:sz w:val="28"/>
          <w:szCs w:val="28"/>
        </w:rPr>
      </w:pPr>
      <w:r w:rsidRPr="0087512B">
        <w:rPr>
          <w:rFonts w:cs="Times New Roman"/>
          <w:sz w:val="28"/>
          <w:szCs w:val="28"/>
        </w:rPr>
        <w:t xml:space="preserve">Zemāk ir apskatīti </w:t>
      </w:r>
      <w:r w:rsidR="0001590C">
        <w:rPr>
          <w:rFonts w:cs="Times New Roman"/>
          <w:sz w:val="28"/>
          <w:szCs w:val="28"/>
        </w:rPr>
        <w:t xml:space="preserve">citu valstu </w:t>
      </w:r>
      <w:r w:rsidRPr="0087512B">
        <w:rPr>
          <w:rFonts w:cs="Times New Roman"/>
          <w:sz w:val="28"/>
          <w:szCs w:val="28"/>
        </w:rPr>
        <w:t>labās prakses piemēri dažādiem risinājumiem azartspēļu problemātisku spēlēšanas paradumu ierobežošanā</w:t>
      </w:r>
      <w:r w:rsidR="0001590C">
        <w:rPr>
          <w:rFonts w:cs="Times New Roman"/>
          <w:sz w:val="28"/>
          <w:szCs w:val="28"/>
        </w:rPr>
        <w:t>.</w:t>
      </w:r>
    </w:p>
    <w:p w:rsidR="00E02240" w:rsidRDefault="00E02240" w:rsidP="00E02240">
      <w:pPr>
        <w:tabs>
          <w:tab w:val="left" w:pos="0"/>
        </w:tabs>
        <w:rPr>
          <w:rFonts w:cs="Times New Roman"/>
          <w:sz w:val="28"/>
          <w:szCs w:val="28"/>
        </w:rPr>
      </w:pPr>
    </w:p>
    <w:p w:rsidR="005C051B" w:rsidRPr="00B533C6" w:rsidRDefault="005C051B" w:rsidP="00B533C6">
      <w:pPr>
        <w:pStyle w:val="NoSpacing"/>
        <w:rPr>
          <w:rFonts w:ascii="Times New Roman" w:hAnsi="Times New Roman" w:cs="Times New Roman"/>
          <w:b/>
          <w:sz w:val="28"/>
          <w:szCs w:val="28"/>
        </w:rPr>
      </w:pPr>
      <w:r w:rsidRPr="00B533C6">
        <w:rPr>
          <w:rFonts w:ascii="Times New Roman" w:hAnsi="Times New Roman" w:cs="Times New Roman"/>
          <w:b/>
          <w:sz w:val="28"/>
          <w:szCs w:val="28"/>
        </w:rPr>
        <w:t xml:space="preserve">Labās prakses piemēri </w:t>
      </w:r>
      <w:r w:rsidR="009E6AE0">
        <w:rPr>
          <w:rFonts w:ascii="Times New Roman" w:hAnsi="Times New Roman" w:cs="Times New Roman"/>
          <w:b/>
          <w:sz w:val="28"/>
          <w:szCs w:val="28"/>
        </w:rPr>
        <w:t>f</w:t>
      </w:r>
      <w:r w:rsidRPr="00B533C6">
        <w:rPr>
          <w:rFonts w:ascii="Times New Roman" w:hAnsi="Times New Roman" w:cs="Times New Roman"/>
          <w:b/>
          <w:sz w:val="28"/>
          <w:szCs w:val="28"/>
        </w:rPr>
        <w:t xml:space="preserve">iziskās piekļuves </w:t>
      </w:r>
      <w:r w:rsidR="009E6AE0" w:rsidRPr="00B533C6">
        <w:rPr>
          <w:rFonts w:ascii="Times New Roman" w:hAnsi="Times New Roman" w:cs="Times New Roman"/>
          <w:b/>
          <w:sz w:val="28"/>
          <w:szCs w:val="28"/>
        </w:rPr>
        <w:t xml:space="preserve">azartspēļu zālēm </w:t>
      </w:r>
      <w:r w:rsidRPr="00B533C6">
        <w:rPr>
          <w:rFonts w:ascii="Times New Roman" w:hAnsi="Times New Roman" w:cs="Times New Roman"/>
          <w:b/>
          <w:sz w:val="28"/>
          <w:szCs w:val="28"/>
        </w:rPr>
        <w:t>ierobežošanā</w:t>
      </w:r>
      <w:r w:rsidR="00C764E5" w:rsidRPr="00B533C6">
        <w:rPr>
          <w:rFonts w:ascii="Times New Roman" w:hAnsi="Times New Roman" w:cs="Times New Roman"/>
          <w:b/>
          <w:sz w:val="28"/>
          <w:szCs w:val="28"/>
        </w:rPr>
        <w:t xml:space="preserve"> </w:t>
      </w:r>
    </w:p>
    <w:p w:rsidR="005C051B" w:rsidRPr="0087512B" w:rsidRDefault="005C051B" w:rsidP="005C051B">
      <w:pPr>
        <w:ind w:firstLine="720"/>
        <w:jc w:val="both"/>
        <w:rPr>
          <w:rFonts w:cs="Times New Roman"/>
          <w:b/>
          <w:i/>
          <w:sz w:val="28"/>
          <w:szCs w:val="28"/>
        </w:rPr>
      </w:pPr>
    </w:p>
    <w:p w:rsidR="005C051B" w:rsidRPr="0087512B" w:rsidRDefault="005C051B" w:rsidP="006E445A">
      <w:pPr>
        <w:pStyle w:val="ListParagraph"/>
        <w:numPr>
          <w:ilvl w:val="0"/>
          <w:numId w:val="15"/>
        </w:numPr>
        <w:ind w:left="0" w:firstLine="709"/>
        <w:rPr>
          <w:rFonts w:cs="Times New Roman"/>
          <w:i/>
          <w:sz w:val="28"/>
          <w:szCs w:val="28"/>
        </w:rPr>
      </w:pPr>
      <w:r w:rsidRPr="0087512B">
        <w:rPr>
          <w:rFonts w:cs="Times New Roman"/>
          <w:i/>
          <w:sz w:val="28"/>
          <w:szCs w:val="28"/>
        </w:rPr>
        <w:t>Azartspēļu norises vietu teritoriālā ierobežošana</w:t>
      </w:r>
    </w:p>
    <w:p w:rsidR="005C051B" w:rsidRPr="0087512B" w:rsidRDefault="005C051B" w:rsidP="005C051B">
      <w:pPr>
        <w:ind w:firstLine="567"/>
        <w:jc w:val="both"/>
        <w:rPr>
          <w:rFonts w:cs="Times New Roman"/>
          <w:sz w:val="28"/>
          <w:szCs w:val="28"/>
        </w:rPr>
      </w:pPr>
      <w:r w:rsidRPr="0087512B">
        <w:rPr>
          <w:rFonts w:cs="Times New Roman"/>
          <w:sz w:val="28"/>
          <w:szCs w:val="28"/>
        </w:rPr>
        <w:lastRenderedPageBreak/>
        <w:t xml:space="preserve">Azartspēļu norises vietu ierobežojumu ieviešanas mērķis ir mazināt problemātisku spēlēšanas paradumu attīstības riskus </w:t>
      </w:r>
      <w:r w:rsidR="00616D38">
        <w:rPr>
          <w:rFonts w:cs="Times New Roman"/>
          <w:sz w:val="28"/>
          <w:szCs w:val="28"/>
        </w:rPr>
        <w:t>sabiedrībā</w:t>
      </w:r>
      <w:r w:rsidRPr="0087512B">
        <w:rPr>
          <w:rFonts w:cs="Times New Roman"/>
          <w:sz w:val="28"/>
          <w:szCs w:val="28"/>
        </w:rPr>
        <w:t xml:space="preserve">. Pieejamie pierādījumi balstās uz starptautiski veiktiem pētījumiem, kuru ietvarā veikta izpēte par ietekmi, kādu spēļu zāļu vai kazino teritoriāli ierobežojumi vai noteikta azartspēļu veida aizliegšana ir atstājusi uz problemātisku spēlēšanas paradumu attīstības riska mazināšanu. </w:t>
      </w:r>
    </w:p>
    <w:p w:rsidR="005C051B" w:rsidRPr="0087512B" w:rsidRDefault="005C051B" w:rsidP="005C051B">
      <w:pPr>
        <w:ind w:firstLine="567"/>
        <w:jc w:val="both"/>
        <w:rPr>
          <w:rFonts w:cs="Times New Roman"/>
          <w:sz w:val="28"/>
          <w:szCs w:val="28"/>
        </w:rPr>
      </w:pPr>
      <w:r w:rsidRPr="0087512B">
        <w:rPr>
          <w:rFonts w:cs="Times New Roman"/>
          <w:sz w:val="28"/>
          <w:szCs w:val="28"/>
        </w:rPr>
        <w:t>Saskaņā ar pētījumu datiem spēļu zāļu vai kazino pieejamības lokalizācijas ierobežošana ir viens no līdzekļiem azartspēļu problemātisku spēlēšanas paradumu ierobežošanā</w:t>
      </w:r>
      <w:r w:rsidRPr="0087512B">
        <w:rPr>
          <w:rStyle w:val="FootnoteReference"/>
          <w:sz w:val="28"/>
          <w:szCs w:val="28"/>
        </w:rPr>
        <w:footnoteReference w:id="93"/>
      </w:r>
      <w:r w:rsidRPr="0087512B">
        <w:rPr>
          <w:rFonts w:cs="Times New Roman"/>
          <w:sz w:val="28"/>
          <w:szCs w:val="28"/>
        </w:rPr>
        <w:t xml:space="preserve">. </w:t>
      </w:r>
    </w:p>
    <w:p w:rsidR="005C051B" w:rsidRDefault="005C051B" w:rsidP="005C051B">
      <w:pPr>
        <w:ind w:firstLine="567"/>
        <w:jc w:val="both"/>
        <w:rPr>
          <w:rFonts w:cs="Times New Roman"/>
          <w:sz w:val="28"/>
          <w:szCs w:val="28"/>
        </w:rPr>
      </w:pPr>
      <w:r w:rsidRPr="0087512B">
        <w:rPr>
          <w:rFonts w:cs="Times New Roman"/>
          <w:sz w:val="28"/>
          <w:szCs w:val="28"/>
        </w:rPr>
        <w:t xml:space="preserve">Ņemot vērā, ka starptautiskā praksē, ieviešot ierobežojumus “zemes” azartspēļu jeb azartspēļu, kas </w:t>
      </w:r>
      <w:r w:rsidR="00646009">
        <w:rPr>
          <w:rFonts w:cs="Times New Roman"/>
          <w:sz w:val="28"/>
          <w:szCs w:val="28"/>
        </w:rPr>
        <w:t>nav interneta vidē, pieejamībai</w:t>
      </w:r>
      <w:r w:rsidRPr="0087512B">
        <w:rPr>
          <w:rFonts w:cs="Times New Roman"/>
          <w:sz w:val="28"/>
          <w:szCs w:val="28"/>
        </w:rPr>
        <w:t xml:space="preserve"> nav noteikts pilnīgs to vietu un veidu aizliegums, būtu nepieciešams izvērtēt, kā teritoriāla azartspēļu pieejamības ierobežošana veicina tieši pieprasījumu pēc nelegālo azartspēļu pakalpojumiem, kā arī ierobežojuma ietekmi uz pieprasījumu pēc interaktīvajām azartspēlēm. </w:t>
      </w:r>
    </w:p>
    <w:p w:rsidR="004D2478" w:rsidRDefault="004D2478" w:rsidP="004D2478">
      <w:pPr>
        <w:ind w:firstLine="567"/>
        <w:jc w:val="both"/>
        <w:rPr>
          <w:rFonts w:cs="Times New Roman"/>
          <w:sz w:val="28"/>
          <w:szCs w:val="28"/>
        </w:rPr>
      </w:pPr>
      <w:r w:rsidRPr="00C44F34">
        <w:rPr>
          <w:rFonts w:cs="Times New Roman"/>
          <w:sz w:val="28"/>
          <w:szCs w:val="28"/>
        </w:rPr>
        <w:t xml:space="preserve">Citu valstu statistika un fakti liecina par </w:t>
      </w:r>
      <w:r>
        <w:rPr>
          <w:rFonts w:cs="Times New Roman"/>
          <w:sz w:val="28"/>
          <w:szCs w:val="28"/>
        </w:rPr>
        <w:t>tendenci</w:t>
      </w:r>
      <w:r w:rsidRPr="00C44F34">
        <w:rPr>
          <w:rFonts w:cs="Times New Roman"/>
          <w:sz w:val="28"/>
          <w:szCs w:val="28"/>
        </w:rPr>
        <w:t xml:space="preserve"> pēc pilnīga aizlieguma noteikšanas attiecīgajai nozarei pārvirzīties uz nelegālo vidi. Tā, piemēram, atbilstoši </w:t>
      </w:r>
      <w:r w:rsidRPr="00F77728">
        <w:rPr>
          <w:rFonts w:cs="Times New Roman"/>
          <w:sz w:val="28"/>
          <w:szCs w:val="28"/>
        </w:rPr>
        <w:t>Krievijas Iekšlietu ministrijas preses brīfingā sniegtajai informācijai, pēc azartspēļu aizlieguma ieviešanas 2013.gadā Maskavā bija konstatētas 662 nelicencētas spēļu zāles</w:t>
      </w:r>
      <w:r w:rsidRPr="00F77728">
        <w:rPr>
          <w:rStyle w:val="FootnoteReference"/>
          <w:sz w:val="28"/>
          <w:szCs w:val="28"/>
        </w:rPr>
        <w:footnoteReference w:id="94"/>
      </w:r>
      <w:r w:rsidRPr="00F77728">
        <w:rPr>
          <w:rFonts w:cs="Times New Roman"/>
          <w:sz w:val="28"/>
          <w:szCs w:val="28"/>
        </w:rPr>
        <w:t xml:space="preserve">, </w:t>
      </w:r>
      <w:r>
        <w:rPr>
          <w:rFonts w:cs="Times New Roman"/>
          <w:sz w:val="28"/>
          <w:szCs w:val="28"/>
        </w:rPr>
        <w:t>kamēr</w:t>
      </w:r>
      <w:r w:rsidRPr="00F77728">
        <w:rPr>
          <w:rFonts w:cs="Times New Roman"/>
          <w:sz w:val="28"/>
          <w:szCs w:val="28"/>
        </w:rPr>
        <w:t xml:space="preserve"> līdz šādam aizliegumam darbojās 497 spēļu zāles.</w:t>
      </w:r>
    </w:p>
    <w:p w:rsidR="00C72924" w:rsidRPr="0087512B" w:rsidRDefault="004D2478" w:rsidP="004D2478">
      <w:pPr>
        <w:ind w:firstLine="567"/>
        <w:jc w:val="both"/>
        <w:rPr>
          <w:rFonts w:cs="Times New Roman"/>
          <w:sz w:val="28"/>
          <w:szCs w:val="28"/>
        </w:rPr>
      </w:pPr>
      <w:r w:rsidRPr="00044461">
        <w:rPr>
          <w:sz w:val="28"/>
          <w:szCs w:val="28"/>
        </w:rPr>
        <w:t>Austrijā Reģionālajā līmenī (</w:t>
      </w:r>
      <w:r w:rsidRPr="0066503A">
        <w:rPr>
          <w:sz w:val="28"/>
          <w:szCs w:val="28"/>
        </w:rPr>
        <w:t>ang. val.</w:t>
      </w:r>
      <w:r w:rsidRPr="00956612">
        <w:rPr>
          <w:i/>
          <w:sz w:val="28"/>
          <w:szCs w:val="28"/>
        </w:rPr>
        <w:t xml:space="preserve"> provincial games</w:t>
      </w:r>
      <w:r w:rsidRPr="00044461">
        <w:rPr>
          <w:sz w:val="28"/>
          <w:szCs w:val="28"/>
        </w:rPr>
        <w:t xml:space="preserve">) no 2015.gada ir stājies spēkā azartspēļu automātu aizliegums Vīnē, Zalcburga, Tirolē un Austrijas federālajā zemē Forarlbergā. Pēc aizlieguma spēkā stāšanās policijas veiktajos </w:t>
      </w:r>
      <w:r w:rsidR="00A2002B">
        <w:rPr>
          <w:sz w:val="28"/>
          <w:szCs w:val="28"/>
        </w:rPr>
        <w:t xml:space="preserve">3005 </w:t>
      </w:r>
      <w:r w:rsidRPr="00044461">
        <w:rPr>
          <w:sz w:val="28"/>
          <w:szCs w:val="28"/>
        </w:rPr>
        <w:t xml:space="preserve">reidos </w:t>
      </w:r>
      <w:r w:rsidR="00B616E3">
        <w:rPr>
          <w:sz w:val="28"/>
          <w:szCs w:val="28"/>
        </w:rPr>
        <w:t xml:space="preserve">periodā no 2016.gada līdz </w:t>
      </w:r>
      <w:r w:rsidRPr="00044461">
        <w:rPr>
          <w:sz w:val="28"/>
          <w:szCs w:val="28"/>
        </w:rPr>
        <w:t>2018.</w:t>
      </w:r>
      <w:r w:rsidR="00B616E3" w:rsidRPr="00044461">
        <w:rPr>
          <w:sz w:val="28"/>
          <w:szCs w:val="28"/>
        </w:rPr>
        <w:t>gad</w:t>
      </w:r>
      <w:r w:rsidR="00B616E3">
        <w:rPr>
          <w:sz w:val="28"/>
          <w:szCs w:val="28"/>
        </w:rPr>
        <w:t>am</w:t>
      </w:r>
      <w:r w:rsidR="00B616E3" w:rsidRPr="00044461">
        <w:rPr>
          <w:sz w:val="28"/>
          <w:szCs w:val="28"/>
        </w:rPr>
        <w:t xml:space="preserve"> </w:t>
      </w:r>
      <w:r w:rsidRPr="00044461">
        <w:rPr>
          <w:sz w:val="28"/>
          <w:szCs w:val="28"/>
        </w:rPr>
        <w:t xml:space="preserve">tika konfiscēti </w:t>
      </w:r>
      <w:r w:rsidR="00A2002B">
        <w:rPr>
          <w:sz w:val="28"/>
          <w:szCs w:val="28"/>
        </w:rPr>
        <w:t>5813 nelegālie spēļu automāti</w:t>
      </w:r>
      <w:r w:rsidR="00A2002B">
        <w:rPr>
          <w:rStyle w:val="FootnoteReference"/>
          <w:sz w:val="28"/>
          <w:szCs w:val="28"/>
        </w:rPr>
        <w:footnoteReference w:id="95"/>
      </w:r>
      <w:r w:rsidRPr="00044461">
        <w:rPr>
          <w:sz w:val="28"/>
          <w:szCs w:val="28"/>
        </w:rPr>
        <w:t>.</w:t>
      </w:r>
    </w:p>
    <w:p w:rsidR="005C051B" w:rsidRPr="0087512B" w:rsidRDefault="005C051B" w:rsidP="005C051B">
      <w:pPr>
        <w:ind w:firstLine="567"/>
        <w:jc w:val="both"/>
        <w:rPr>
          <w:rFonts w:cs="Times New Roman"/>
          <w:sz w:val="28"/>
          <w:szCs w:val="28"/>
        </w:rPr>
      </w:pPr>
      <w:r w:rsidRPr="0087512B">
        <w:rPr>
          <w:rFonts w:cs="Times New Roman"/>
          <w:sz w:val="28"/>
          <w:szCs w:val="28"/>
        </w:rPr>
        <w:t>Vienlaikus pētījumi ir apliecinājuši, ka azartspēļu norises vietu attālumam līdz iedzīvotāju dzīves vietai ir statistiski nozīmīga saikne ar paredzamo problemātisko paradumu izplatību pieaugušo populācijā. Iedzīvotājiem, kuri dzīvo 16 km rādiusā no spēļu zālēm vai kazino, pastāv divas reizes augstāks problemātisku spēlēšanas paradumu attīstības risks nekā iedzīvotājiem, kuri dzīvo lielākā attālumā. Šis risks visaugstākais ir 30 gadus vecu, kā arī vecāku iedzīvotāju vidū</w:t>
      </w:r>
      <w:r w:rsidRPr="0087512B">
        <w:rPr>
          <w:rStyle w:val="FootnoteReference"/>
          <w:sz w:val="28"/>
          <w:szCs w:val="28"/>
        </w:rPr>
        <w:footnoteReference w:id="96"/>
      </w:r>
      <w:r w:rsidRPr="0087512B">
        <w:rPr>
          <w:rFonts w:cs="Times New Roman"/>
          <w:sz w:val="28"/>
          <w:szCs w:val="28"/>
        </w:rPr>
        <w:t xml:space="preserve">. </w:t>
      </w:r>
    </w:p>
    <w:p w:rsidR="005C051B" w:rsidRPr="0087512B" w:rsidRDefault="005C051B" w:rsidP="005C051B">
      <w:pPr>
        <w:tabs>
          <w:tab w:val="left" w:pos="0"/>
        </w:tabs>
        <w:ind w:firstLine="567"/>
        <w:jc w:val="both"/>
        <w:rPr>
          <w:rFonts w:cs="Times New Roman"/>
          <w:sz w:val="28"/>
          <w:szCs w:val="28"/>
        </w:rPr>
      </w:pPr>
      <w:r w:rsidRPr="0087512B">
        <w:rPr>
          <w:rFonts w:cs="Times New Roman"/>
          <w:sz w:val="28"/>
          <w:szCs w:val="28"/>
        </w:rPr>
        <w:t xml:space="preserve">Arī attiecībā uz citiem azartspēļu veidiem šāda saikne ir konstatēta, proti iedzīvotājiem, kuri dzīvo tuvāk </w:t>
      </w:r>
      <w:r w:rsidRPr="00CC53D8">
        <w:rPr>
          <w:rFonts w:cs="Times New Roman"/>
          <w:sz w:val="28"/>
          <w:szCs w:val="28"/>
        </w:rPr>
        <w:t>nekā 0,7 km no jebkādas azartspēļu norises vietas, ir 2,05 reizes lielāks problemātisku paradumu attīstības risks nekā iedzīvotājiem, kuri dzīvo vairāk nekā 3 km attālumā.</w:t>
      </w:r>
      <w:r w:rsidRPr="0087512B">
        <w:rPr>
          <w:rFonts w:cs="Times New Roman"/>
          <w:sz w:val="28"/>
          <w:szCs w:val="28"/>
        </w:rPr>
        <w:t xml:space="preserve"> Ņemot vērā, ka risks, ka iedzīvotāji spēlēs azartspēles un ka viņiem izveidosies problemātiski spēlēšanas paradumi, ievērojami </w:t>
      </w:r>
      <w:r w:rsidRPr="0087512B">
        <w:rPr>
          <w:rFonts w:cs="Times New Roman"/>
          <w:sz w:val="28"/>
          <w:szCs w:val="28"/>
        </w:rPr>
        <w:lastRenderedPageBreak/>
        <w:t>palielinās, ja dzīvesvietas tuvumā atrodas spēļu zāle vai kazino, tad šādu azartspēļu vietu ierobežošana ir visbūtiskākā teritorijās, kurās ir liels iedzīvotāju blīvums.</w:t>
      </w:r>
    </w:p>
    <w:p w:rsidR="005C051B" w:rsidRPr="00871C12" w:rsidRDefault="00924943" w:rsidP="005C051B">
      <w:pPr>
        <w:spacing w:after="60"/>
        <w:ind w:firstLine="567"/>
        <w:jc w:val="both"/>
        <w:rPr>
          <w:sz w:val="28"/>
          <w:szCs w:val="28"/>
        </w:rPr>
      </w:pPr>
      <w:r>
        <w:rPr>
          <w:rFonts w:cs="Times New Roman"/>
          <w:sz w:val="28"/>
          <w:szCs w:val="28"/>
        </w:rPr>
        <w:t>V</w:t>
      </w:r>
      <w:r w:rsidR="005C051B" w:rsidRPr="0087512B">
        <w:rPr>
          <w:rFonts w:cs="Times New Roman"/>
          <w:sz w:val="28"/>
          <w:szCs w:val="28"/>
        </w:rPr>
        <w:t xml:space="preserve">ēsturiski kazino ES valstīs un Amerikas Savienotajās </w:t>
      </w:r>
      <w:r w:rsidR="0066503A">
        <w:rPr>
          <w:rFonts w:cs="Times New Roman"/>
          <w:sz w:val="28"/>
          <w:szCs w:val="28"/>
        </w:rPr>
        <w:t>V</w:t>
      </w:r>
      <w:r w:rsidR="0066503A" w:rsidRPr="0087512B">
        <w:rPr>
          <w:rFonts w:cs="Times New Roman"/>
          <w:sz w:val="28"/>
          <w:szCs w:val="28"/>
        </w:rPr>
        <w:t xml:space="preserve">alstīs </w:t>
      </w:r>
      <w:r w:rsidR="005C051B" w:rsidRPr="0087512B">
        <w:rPr>
          <w:rFonts w:cs="Times New Roman"/>
          <w:sz w:val="28"/>
          <w:szCs w:val="28"/>
        </w:rPr>
        <w:t>bija izvietotas ārpus blīvi apdzīvotām vietām un koncentrētas tūristu iecienītajās teritorijās, orientējot azartspēles kā eksporta preci (</w:t>
      </w:r>
      <w:r w:rsidR="0066503A" w:rsidRPr="0066503A">
        <w:rPr>
          <w:rFonts w:cs="Times New Roman"/>
          <w:sz w:val="28"/>
          <w:szCs w:val="28"/>
        </w:rPr>
        <w:t>ang. val</w:t>
      </w:r>
      <w:r w:rsidR="0066503A">
        <w:rPr>
          <w:rFonts w:cs="Times New Roman"/>
          <w:i/>
          <w:sz w:val="28"/>
          <w:szCs w:val="28"/>
        </w:rPr>
        <w:t>.</w:t>
      </w:r>
      <w:r w:rsidR="0066503A">
        <w:rPr>
          <w:rFonts w:cs="Times New Roman"/>
          <w:sz w:val="28"/>
          <w:szCs w:val="28"/>
        </w:rPr>
        <w:t xml:space="preserve"> </w:t>
      </w:r>
      <w:r w:rsidR="005C051B" w:rsidRPr="0087512B">
        <w:rPr>
          <w:rFonts w:cs="Times New Roman"/>
          <w:i/>
          <w:sz w:val="28"/>
          <w:szCs w:val="28"/>
        </w:rPr>
        <w:t>gambling go</w:t>
      </w:r>
      <w:r w:rsidR="005C051B">
        <w:rPr>
          <w:rFonts w:cs="Times New Roman"/>
          <w:i/>
          <w:sz w:val="28"/>
          <w:szCs w:val="28"/>
        </w:rPr>
        <w:t>es</w:t>
      </w:r>
      <w:r w:rsidR="005C051B" w:rsidRPr="0087512B">
        <w:rPr>
          <w:rFonts w:cs="Times New Roman"/>
          <w:i/>
          <w:sz w:val="28"/>
          <w:szCs w:val="28"/>
        </w:rPr>
        <w:t xml:space="preserve"> home with the tourist</w:t>
      </w:r>
      <w:r w:rsidR="0066503A">
        <w:rPr>
          <w:rFonts w:cs="Times New Roman"/>
          <w:sz w:val="28"/>
          <w:szCs w:val="28"/>
        </w:rPr>
        <w:t xml:space="preserve"> </w:t>
      </w:r>
      <w:r w:rsidR="0066503A" w:rsidRPr="0087512B">
        <w:rPr>
          <w:rFonts w:cs="Times New Roman"/>
          <w:sz w:val="28"/>
          <w:szCs w:val="28"/>
        </w:rPr>
        <w:t>)</w:t>
      </w:r>
      <w:r w:rsidR="0066503A">
        <w:rPr>
          <w:rFonts w:cs="Times New Roman"/>
          <w:sz w:val="28"/>
          <w:szCs w:val="28"/>
        </w:rPr>
        <w:t xml:space="preserve"> </w:t>
      </w:r>
      <w:r>
        <w:rPr>
          <w:rFonts w:cs="Times New Roman"/>
          <w:sz w:val="28"/>
          <w:szCs w:val="28"/>
        </w:rPr>
        <w:t xml:space="preserve">šādu apsvērumu dēļ: </w:t>
      </w:r>
    </w:p>
    <w:p w:rsidR="005C051B" w:rsidRPr="00871C12" w:rsidRDefault="005C051B" w:rsidP="006E445A">
      <w:pPr>
        <w:pStyle w:val="Default"/>
        <w:numPr>
          <w:ilvl w:val="0"/>
          <w:numId w:val="35"/>
        </w:numPr>
        <w:ind w:left="0" w:firstLine="709"/>
        <w:jc w:val="both"/>
        <w:rPr>
          <w:sz w:val="28"/>
          <w:szCs w:val="28"/>
        </w:rPr>
      </w:pPr>
      <w:r w:rsidRPr="00871C12">
        <w:rPr>
          <w:sz w:val="28"/>
          <w:szCs w:val="28"/>
        </w:rPr>
        <w:t>ekonomiskais labums no spēļu zālēm ir vērtīgāks, ja šis bizness piesaista jaunus līdzekļus sabiedrībai, nevis akumulē vietējo iedzīvotāju resursu;</w:t>
      </w:r>
    </w:p>
    <w:p w:rsidR="005C051B" w:rsidRPr="00871C12" w:rsidRDefault="005C051B" w:rsidP="006E445A">
      <w:pPr>
        <w:pStyle w:val="Default"/>
        <w:numPr>
          <w:ilvl w:val="0"/>
          <w:numId w:val="35"/>
        </w:numPr>
        <w:ind w:left="0" w:firstLine="709"/>
        <w:jc w:val="both"/>
        <w:rPr>
          <w:sz w:val="28"/>
          <w:szCs w:val="28"/>
        </w:rPr>
      </w:pPr>
      <w:r w:rsidRPr="00871C12">
        <w:rPr>
          <w:sz w:val="28"/>
          <w:szCs w:val="28"/>
        </w:rPr>
        <w:t>spēļu zāles ir īpaši kaitīgas finansiāli zemāk nodrošinātai iedzīvotāju grupai;</w:t>
      </w:r>
    </w:p>
    <w:p w:rsidR="005C051B" w:rsidRPr="003F170A" w:rsidRDefault="005C051B" w:rsidP="006E445A">
      <w:pPr>
        <w:pStyle w:val="Default"/>
        <w:numPr>
          <w:ilvl w:val="0"/>
          <w:numId w:val="35"/>
        </w:numPr>
        <w:ind w:left="0" w:firstLine="709"/>
        <w:jc w:val="both"/>
        <w:rPr>
          <w:sz w:val="28"/>
          <w:szCs w:val="28"/>
        </w:rPr>
      </w:pPr>
      <w:r w:rsidRPr="00871C12">
        <w:rPr>
          <w:sz w:val="28"/>
          <w:szCs w:val="28"/>
        </w:rPr>
        <w:t>sociālās problēmas, ko veido spēļu zāles, “iet prom ar tūristu”, mazāk ietekmējot valsts sociālos dienestus un veselības aprūpes sistēmu</w:t>
      </w:r>
      <w:r w:rsidRPr="0087512B">
        <w:rPr>
          <w:rStyle w:val="FootnoteReference"/>
          <w:sz w:val="28"/>
          <w:szCs w:val="28"/>
        </w:rPr>
        <w:footnoteReference w:id="97"/>
      </w:r>
      <w:r>
        <w:rPr>
          <w:sz w:val="28"/>
          <w:szCs w:val="28"/>
        </w:rPr>
        <w:t>.</w:t>
      </w:r>
    </w:p>
    <w:p w:rsidR="005C051B" w:rsidRPr="0087512B" w:rsidRDefault="005C051B" w:rsidP="005C051B">
      <w:pPr>
        <w:pStyle w:val="NormalWeb"/>
        <w:spacing w:before="0" w:beforeAutospacing="0" w:after="0" w:afterAutospacing="0"/>
        <w:ind w:firstLine="567"/>
        <w:jc w:val="both"/>
        <w:rPr>
          <w:sz w:val="28"/>
          <w:szCs w:val="28"/>
        </w:rPr>
      </w:pPr>
      <w:r w:rsidRPr="0087512B">
        <w:rPr>
          <w:sz w:val="28"/>
          <w:szCs w:val="28"/>
        </w:rPr>
        <w:t>Valstis izvēlas dažādas pieejas interaktīvo azartspēļu veidu ierobežošanā, t.sk.</w:t>
      </w:r>
      <w:r w:rsidR="0066503A">
        <w:rPr>
          <w:sz w:val="28"/>
          <w:szCs w:val="28"/>
        </w:rPr>
        <w:t>,</w:t>
      </w:r>
      <w:r w:rsidRPr="0087512B">
        <w:rPr>
          <w:sz w:val="28"/>
          <w:szCs w:val="28"/>
        </w:rPr>
        <w:t xml:space="preserve"> ierobežojot interaktīvās kazino spēles</w:t>
      </w:r>
      <w:r w:rsidRPr="0087512B">
        <w:rPr>
          <w:rStyle w:val="FootnoteReference"/>
          <w:sz w:val="28"/>
          <w:szCs w:val="28"/>
        </w:rPr>
        <w:footnoteReference w:id="98"/>
      </w:r>
      <w:r w:rsidRPr="0087512B">
        <w:rPr>
          <w:sz w:val="28"/>
          <w:szCs w:val="28"/>
        </w:rPr>
        <w:t>.</w:t>
      </w:r>
      <w:r w:rsidRPr="0087512B">
        <w:rPr>
          <w:i/>
          <w:iCs/>
          <w:color w:val="222222"/>
          <w:sz w:val="28"/>
          <w:szCs w:val="28"/>
        </w:rPr>
        <w:t xml:space="preserve"> </w:t>
      </w:r>
      <w:r w:rsidR="0066503A" w:rsidRPr="0087512B">
        <w:rPr>
          <w:iCs/>
          <w:color w:val="222222"/>
          <w:sz w:val="28"/>
          <w:szCs w:val="28"/>
        </w:rPr>
        <w:t>Vienlai</w:t>
      </w:r>
      <w:r w:rsidR="0066503A">
        <w:rPr>
          <w:iCs/>
          <w:color w:val="222222"/>
          <w:sz w:val="28"/>
          <w:szCs w:val="28"/>
        </w:rPr>
        <w:t>kus</w:t>
      </w:r>
      <w:r w:rsidR="0066503A" w:rsidRPr="0087512B">
        <w:rPr>
          <w:iCs/>
          <w:color w:val="222222"/>
          <w:sz w:val="28"/>
          <w:szCs w:val="28"/>
        </w:rPr>
        <w:t xml:space="preserve"> </w:t>
      </w:r>
      <w:r w:rsidRPr="0087512B">
        <w:rPr>
          <w:iCs/>
          <w:color w:val="222222"/>
          <w:sz w:val="28"/>
          <w:szCs w:val="28"/>
        </w:rPr>
        <w:t xml:space="preserve">jāpiebilst, ka jebkuru ierobežojumu piemērošana interaktīvajai videi nekavējoties atspoguļojas nozares darbībā, jo interaktīvās vides klientam ir vienkāršota pāreja pie nelicenzētiem operatoriem, šis aspekts atšķir interaktīvo vidi no “zemes” spēlēm. Nelicenzēto, neregulēto vietņu pieejamība padara licencēto operatoru darbību mazāk konkurētspējīgu, rezultātā – liels skaits Latvijas iedzīvotāju izvēlas spēlēt nelicencētās vietnēs, kur spēlētāji tiek pakļauti krāpšanas, agresīvas un papildus atkarības risku palielinošas komercprakses, datu aizsardzības un citiem riskiem, kā arī šādas spēles rezultātā valsts kasē nenonāk nodokļu ieņēmumi, netiek ievēroti </w:t>
      </w:r>
      <w:r w:rsidR="0066503A" w:rsidRPr="0087512B">
        <w:rPr>
          <w:sz w:val="28"/>
          <w:szCs w:val="28"/>
        </w:rPr>
        <w:t>NILLT</w:t>
      </w:r>
      <w:r w:rsidR="0066503A">
        <w:rPr>
          <w:sz w:val="28"/>
          <w:szCs w:val="28"/>
        </w:rPr>
        <w:t>P</w:t>
      </w:r>
      <w:r w:rsidR="0066503A" w:rsidRPr="0087512B">
        <w:rPr>
          <w:sz w:val="28"/>
          <w:szCs w:val="28"/>
        </w:rPr>
        <w:t>FNL</w:t>
      </w:r>
      <w:r w:rsidRPr="0087512B">
        <w:rPr>
          <w:iCs/>
          <w:color w:val="222222"/>
          <w:sz w:val="28"/>
          <w:szCs w:val="28"/>
        </w:rPr>
        <w:t xml:space="preserve"> un citi pasākumi.</w:t>
      </w:r>
    </w:p>
    <w:p w:rsidR="005C051B" w:rsidRPr="0087512B" w:rsidRDefault="005C051B" w:rsidP="005C051B">
      <w:pPr>
        <w:jc w:val="both"/>
        <w:rPr>
          <w:rFonts w:cs="Times New Roman"/>
          <w:sz w:val="28"/>
          <w:szCs w:val="28"/>
        </w:rPr>
      </w:pPr>
    </w:p>
    <w:p w:rsidR="005C051B" w:rsidRPr="00A04F95" w:rsidRDefault="005C051B" w:rsidP="006E445A">
      <w:pPr>
        <w:pStyle w:val="ListParagraph"/>
        <w:numPr>
          <w:ilvl w:val="0"/>
          <w:numId w:val="15"/>
        </w:numPr>
        <w:ind w:left="0" w:firstLine="709"/>
        <w:rPr>
          <w:rFonts w:cs="Times New Roman"/>
          <w:i/>
          <w:sz w:val="28"/>
          <w:szCs w:val="28"/>
        </w:rPr>
      </w:pPr>
      <w:r>
        <w:rPr>
          <w:rFonts w:cs="Times New Roman"/>
          <w:i/>
          <w:sz w:val="28"/>
          <w:szCs w:val="28"/>
        </w:rPr>
        <w:t>Attāluma ierobežojums starp spēļu zālēm</w:t>
      </w:r>
    </w:p>
    <w:p w:rsidR="005C051B" w:rsidRDefault="005C051B" w:rsidP="005C051B">
      <w:pPr>
        <w:ind w:firstLine="567"/>
        <w:jc w:val="both"/>
        <w:rPr>
          <w:rFonts w:cs="Times New Roman"/>
          <w:sz w:val="28"/>
          <w:szCs w:val="28"/>
        </w:rPr>
      </w:pPr>
      <w:r w:rsidRPr="009D32EA">
        <w:rPr>
          <w:rFonts w:cs="Times New Roman"/>
          <w:sz w:val="28"/>
          <w:szCs w:val="28"/>
        </w:rPr>
        <w:t>Vācijas Federālajās zemēs pastāv attāluma ierobežojums starp spēļu zālēm, sākot ar 50 metriem (</w:t>
      </w:r>
      <w:r w:rsidRPr="009D32EA">
        <w:rPr>
          <w:color w:val="000000"/>
          <w:sz w:val="28"/>
          <w:szCs w:val="28"/>
        </w:rPr>
        <w:t>Lejassaksijā</w:t>
      </w:r>
      <w:r w:rsidRPr="009D32EA">
        <w:rPr>
          <w:rFonts w:cs="Times New Roman"/>
          <w:sz w:val="28"/>
          <w:szCs w:val="28"/>
        </w:rPr>
        <w:t>) līdz 500 metriem starp azartspēļu zālēm (Bavārija).</w:t>
      </w:r>
      <w:r>
        <w:rPr>
          <w:rFonts w:cs="Times New Roman"/>
          <w:sz w:val="28"/>
          <w:szCs w:val="28"/>
        </w:rPr>
        <w:t xml:space="preserve"> Berlīnē attāluma ierobežojums ir 500 metri no līdzīgas zāles.</w:t>
      </w:r>
      <w:r>
        <w:rPr>
          <w:rStyle w:val="FootnoteReference"/>
          <w:sz w:val="28"/>
          <w:szCs w:val="28"/>
        </w:rPr>
        <w:footnoteReference w:id="99"/>
      </w:r>
      <w:r w:rsidRPr="009D32EA">
        <w:rPr>
          <w:rFonts w:cs="Times New Roman"/>
          <w:sz w:val="28"/>
          <w:szCs w:val="28"/>
        </w:rPr>
        <w:t xml:space="preserve"> </w:t>
      </w:r>
      <w:r>
        <w:rPr>
          <w:rFonts w:cs="Times New Roman"/>
          <w:sz w:val="28"/>
          <w:szCs w:val="28"/>
        </w:rPr>
        <w:t xml:space="preserve"> Dažās Federālajās zemēs azartspēļu zālēm ir jābūt attālinātām no skolām, citām bērnu un jauniešu institūcijām, kā arī atkarības mazināšanas centriem. </w:t>
      </w:r>
    </w:p>
    <w:p w:rsidR="005C051B" w:rsidRPr="001D5E5F" w:rsidRDefault="005C051B" w:rsidP="005C051B">
      <w:pPr>
        <w:ind w:firstLine="567"/>
        <w:jc w:val="both"/>
        <w:rPr>
          <w:rFonts w:cs="Times New Roman"/>
          <w:sz w:val="28"/>
          <w:szCs w:val="28"/>
        </w:rPr>
      </w:pPr>
      <w:r w:rsidRPr="001D5E5F">
        <w:rPr>
          <w:rFonts w:cs="Times New Roman"/>
          <w:sz w:val="28"/>
          <w:szCs w:val="28"/>
        </w:rPr>
        <w:t xml:space="preserve">Itālijas Reģioniem ir piešķirtas tiesības noteikt </w:t>
      </w:r>
      <w:r w:rsidRPr="006F200F">
        <w:rPr>
          <w:rFonts w:cs="Times New Roman"/>
          <w:sz w:val="28"/>
          <w:szCs w:val="28"/>
        </w:rPr>
        <w:t>minimālos</w:t>
      </w:r>
      <w:r w:rsidRPr="0060785F">
        <w:rPr>
          <w:rFonts w:cs="Times New Roman"/>
          <w:sz w:val="28"/>
          <w:szCs w:val="28"/>
        </w:rPr>
        <w:t xml:space="preserve"> attāluma ierobežojumus no 200 līdz 500 metriem</w:t>
      </w:r>
      <w:r w:rsidRPr="001D5E5F">
        <w:rPr>
          <w:rFonts w:cs="Times New Roman"/>
          <w:sz w:val="28"/>
          <w:szCs w:val="28"/>
        </w:rPr>
        <w:t xml:space="preserve"> no “ievainojamiem” objektiem (skolām, slimnīcām, kā arī baznīcām)</w:t>
      </w:r>
      <w:r w:rsidRPr="001D5E5F">
        <w:rPr>
          <w:rStyle w:val="FootnoteReference"/>
          <w:sz w:val="28"/>
          <w:szCs w:val="28"/>
        </w:rPr>
        <w:footnoteReference w:id="100"/>
      </w:r>
      <w:r w:rsidRPr="001D5E5F">
        <w:rPr>
          <w:rFonts w:cs="Times New Roman"/>
          <w:sz w:val="28"/>
          <w:szCs w:val="28"/>
        </w:rPr>
        <w:t xml:space="preserve">. </w:t>
      </w:r>
    </w:p>
    <w:p w:rsidR="005C051B" w:rsidRPr="009D32EA" w:rsidRDefault="005C051B" w:rsidP="005C051B">
      <w:pPr>
        <w:ind w:firstLine="567"/>
        <w:jc w:val="both"/>
        <w:rPr>
          <w:rFonts w:cs="Times New Roman"/>
          <w:sz w:val="28"/>
          <w:szCs w:val="28"/>
        </w:rPr>
      </w:pPr>
      <w:r w:rsidRPr="009D32EA">
        <w:rPr>
          <w:rFonts w:cs="Times New Roman"/>
          <w:sz w:val="28"/>
          <w:szCs w:val="28"/>
        </w:rPr>
        <w:lastRenderedPageBreak/>
        <w:t xml:space="preserve">Arī Beļģijas </w:t>
      </w:r>
      <w:r w:rsidR="0066503A">
        <w:rPr>
          <w:rFonts w:cs="Times New Roman"/>
          <w:sz w:val="28"/>
          <w:szCs w:val="28"/>
        </w:rPr>
        <w:t>K</w:t>
      </w:r>
      <w:r w:rsidR="0066503A" w:rsidRPr="009D32EA">
        <w:rPr>
          <w:rFonts w:cs="Times New Roman"/>
          <w:sz w:val="28"/>
          <w:szCs w:val="28"/>
        </w:rPr>
        <w:t xml:space="preserve">aralistē </w:t>
      </w:r>
      <w:r w:rsidRPr="009D32EA">
        <w:rPr>
          <w:rFonts w:cs="Times New Roman"/>
          <w:sz w:val="28"/>
          <w:szCs w:val="28"/>
        </w:rPr>
        <w:t xml:space="preserve">pastāv attāluma ierobežojums spēļu zāļu organizēšanai tuvu skolām, slimnīcām, ieslodzījumu vietām, reliģiskām organizācijām, </w:t>
      </w:r>
      <w:r w:rsidR="00C772E9" w:rsidRPr="009D32EA">
        <w:rPr>
          <w:rFonts w:cs="Times New Roman"/>
          <w:sz w:val="28"/>
          <w:szCs w:val="28"/>
        </w:rPr>
        <w:t>k</w:t>
      </w:r>
      <w:r w:rsidR="00C772E9">
        <w:rPr>
          <w:rFonts w:cs="Times New Roman"/>
          <w:sz w:val="28"/>
          <w:szCs w:val="28"/>
        </w:rPr>
        <w:t>ā</w:t>
      </w:r>
      <w:r w:rsidR="00C772E9" w:rsidRPr="009D32EA">
        <w:rPr>
          <w:rFonts w:cs="Times New Roman"/>
          <w:sz w:val="28"/>
          <w:szCs w:val="28"/>
        </w:rPr>
        <w:t xml:space="preserve"> </w:t>
      </w:r>
      <w:r w:rsidRPr="009D32EA">
        <w:rPr>
          <w:rFonts w:cs="Times New Roman"/>
          <w:sz w:val="28"/>
          <w:szCs w:val="28"/>
        </w:rPr>
        <w:t>arī citām vietām, kurās regulāri tiekas jauni cilvēki</w:t>
      </w:r>
      <w:r w:rsidR="00E37E64">
        <w:rPr>
          <w:rStyle w:val="FootnoteReference"/>
          <w:sz w:val="28"/>
          <w:szCs w:val="28"/>
        </w:rPr>
        <w:footnoteReference w:id="101"/>
      </w:r>
      <w:r w:rsidRPr="009D32EA">
        <w:rPr>
          <w:rFonts w:cs="Times New Roman"/>
          <w:sz w:val="28"/>
          <w:szCs w:val="28"/>
        </w:rPr>
        <w:t xml:space="preserve">. </w:t>
      </w:r>
    </w:p>
    <w:p w:rsidR="005C051B" w:rsidRPr="009D32EA" w:rsidRDefault="005C051B" w:rsidP="005C051B">
      <w:pPr>
        <w:ind w:firstLine="567"/>
        <w:jc w:val="both"/>
        <w:rPr>
          <w:rFonts w:cs="Times New Roman"/>
          <w:sz w:val="28"/>
          <w:szCs w:val="28"/>
        </w:rPr>
      </w:pPr>
      <w:r w:rsidRPr="009D32EA">
        <w:rPr>
          <w:rFonts w:cs="Times New Roman"/>
          <w:sz w:val="28"/>
          <w:szCs w:val="28"/>
        </w:rPr>
        <w:t>Līdzīgs aizliegums pastāv Maltā, nosakot spēļu zāļu attālumu no skolām, reliģiskām organizācijām un citām spēļu zālēm</w:t>
      </w:r>
      <w:r w:rsidR="00E37E64">
        <w:rPr>
          <w:rStyle w:val="FootnoteReference"/>
          <w:sz w:val="28"/>
          <w:szCs w:val="28"/>
        </w:rPr>
        <w:footnoteReference w:id="102"/>
      </w:r>
      <w:r w:rsidR="00CB78F2">
        <w:rPr>
          <w:rFonts w:cs="Times New Roman"/>
          <w:sz w:val="28"/>
          <w:szCs w:val="28"/>
        </w:rPr>
        <w:t>.</w:t>
      </w:r>
    </w:p>
    <w:p w:rsidR="005C051B" w:rsidRPr="009D32EA" w:rsidRDefault="005C051B" w:rsidP="005C051B">
      <w:pPr>
        <w:jc w:val="both"/>
        <w:rPr>
          <w:rFonts w:cs="Times New Roman"/>
          <w:sz w:val="28"/>
          <w:szCs w:val="28"/>
        </w:rPr>
      </w:pPr>
    </w:p>
    <w:p w:rsidR="005C051B" w:rsidRPr="00E808BF" w:rsidRDefault="005C051B" w:rsidP="006E445A">
      <w:pPr>
        <w:pStyle w:val="ListParagraph"/>
        <w:numPr>
          <w:ilvl w:val="0"/>
          <w:numId w:val="15"/>
        </w:numPr>
        <w:tabs>
          <w:tab w:val="left" w:pos="0"/>
        </w:tabs>
        <w:ind w:left="0" w:firstLine="709"/>
        <w:jc w:val="both"/>
        <w:rPr>
          <w:rFonts w:cs="Times New Roman"/>
          <w:sz w:val="28"/>
          <w:szCs w:val="28"/>
        </w:rPr>
      </w:pPr>
      <w:r w:rsidRPr="00E808BF">
        <w:rPr>
          <w:rFonts w:cs="Times New Roman"/>
          <w:i/>
          <w:sz w:val="28"/>
          <w:szCs w:val="28"/>
        </w:rPr>
        <w:t>Spēļu zāļu skaita ierobežojums</w:t>
      </w:r>
    </w:p>
    <w:p w:rsidR="005C051B" w:rsidRPr="00871C12" w:rsidRDefault="005C051B" w:rsidP="005C051B">
      <w:pPr>
        <w:tabs>
          <w:tab w:val="left" w:pos="0"/>
        </w:tabs>
        <w:ind w:firstLine="567"/>
        <w:jc w:val="both"/>
        <w:rPr>
          <w:rFonts w:cs="Times New Roman"/>
          <w:sz w:val="28"/>
          <w:szCs w:val="28"/>
        </w:rPr>
      </w:pPr>
      <w:r w:rsidRPr="00871C12">
        <w:rPr>
          <w:rFonts w:cs="Times New Roman"/>
          <w:sz w:val="28"/>
          <w:szCs w:val="28"/>
        </w:rPr>
        <w:t xml:space="preserve">Kazino skaita ierobežojums pastāv Austrijā, Beļģijā (ne vairāk kā 9), Itālijā (ne vairāk kā 5), Anglijā (ne vairāk kā 150), Nīderlandē, Portugālē, Slovēnijā un Zviedrijā. Dienvidāfrikā (maksimums 40 kazino), ka arī dažās Kanādas provincēs (piemēram, Ontārio un </w:t>
      </w:r>
      <w:r w:rsidRPr="00871C12">
        <w:rPr>
          <w:color w:val="000000"/>
          <w:sz w:val="28"/>
          <w:szCs w:val="28"/>
        </w:rPr>
        <w:t>Britu Kolumbijā)</w:t>
      </w:r>
      <w:r w:rsidRPr="00871C12">
        <w:rPr>
          <w:rFonts w:cs="Times New Roman"/>
          <w:sz w:val="28"/>
          <w:szCs w:val="28"/>
        </w:rPr>
        <w:t xml:space="preserve">.  </w:t>
      </w:r>
    </w:p>
    <w:p w:rsidR="005C051B" w:rsidRDefault="005C051B" w:rsidP="005C051B">
      <w:pPr>
        <w:tabs>
          <w:tab w:val="left" w:pos="0"/>
        </w:tabs>
        <w:ind w:firstLine="567"/>
        <w:jc w:val="both"/>
        <w:rPr>
          <w:rFonts w:cs="Times New Roman"/>
          <w:sz w:val="28"/>
          <w:szCs w:val="28"/>
        </w:rPr>
      </w:pPr>
      <w:r w:rsidRPr="00871C12">
        <w:rPr>
          <w:rFonts w:cs="Times New Roman"/>
          <w:sz w:val="28"/>
          <w:szCs w:val="28"/>
        </w:rPr>
        <w:t>Pārsvarā tiek ierobežots nevis spēļu zaļu skaits, bet azartspēļu automātu skaits, nosakot limitus atkarībā no iedzīvotāju skaita konkrētajā teritorijā (</w:t>
      </w:r>
      <w:r w:rsidR="0089683F">
        <w:rPr>
          <w:rFonts w:cs="Times New Roman"/>
          <w:sz w:val="28"/>
          <w:szCs w:val="28"/>
        </w:rPr>
        <w:t xml:space="preserve">valstī, </w:t>
      </w:r>
      <w:r w:rsidRPr="00871C12">
        <w:rPr>
          <w:rFonts w:cs="Times New Roman"/>
          <w:sz w:val="28"/>
          <w:szCs w:val="28"/>
        </w:rPr>
        <w:t>štatā, pilsētā, pilsētas apkaimēs)</w:t>
      </w:r>
      <w:r w:rsidR="00C303A4">
        <w:rPr>
          <w:rFonts w:cs="Times New Roman"/>
          <w:sz w:val="28"/>
          <w:szCs w:val="28"/>
        </w:rPr>
        <w:t xml:space="preserve"> vai prasības minimālajam spēļu automātu skaitam vienā</w:t>
      </w:r>
      <w:r w:rsidR="00B477C6">
        <w:rPr>
          <w:rFonts w:cs="Times New Roman"/>
          <w:sz w:val="28"/>
          <w:szCs w:val="28"/>
        </w:rPr>
        <w:t xml:space="preserve"> azartspēļu</w:t>
      </w:r>
      <w:r w:rsidR="00C303A4">
        <w:rPr>
          <w:rFonts w:cs="Times New Roman"/>
          <w:sz w:val="28"/>
          <w:szCs w:val="28"/>
        </w:rPr>
        <w:t xml:space="preserve"> spēļu zālē</w:t>
      </w:r>
      <w:r w:rsidR="0009786A">
        <w:rPr>
          <w:rFonts w:cs="Times New Roman"/>
          <w:sz w:val="28"/>
          <w:szCs w:val="28"/>
        </w:rPr>
        <w:t xml:space="preserve"> (</w:t>
      </w:r>
      <w:r w:rsidR="00C61015">
        <w:rPr>
          <w:rFonts w:cs="Times New Roman"/>
          <w:sz w:val="28"/>
          <w:szCs w:val="28"/>
        </w:rPr>
        <w:t xml:space="preserve">piemēram, </w:t>
      </w:r>
      <w:r w:rsidR="0009786A">
        <w:rPr>
          <w:rFonts w:cs="Times New Roman"/>
          <w:sz w:val="28"/>
          <w:szCs w:val="28"/>
        </w:rPr>
        <w:t xml:space="preserve">Lietuvā ir jābūt ne mazāk kā </w:t>
      </w:r>
      <w:r w:rsidR="0061155B">
        <w:rPr>
          <w:rFonts w:cs="Times New Roman"/>
          <w:sz w:val="28"/>
          <w:szCs w:val="28"/>
        </w:rPr>
        <w:t>2</w:t>
      </w:r>
      <w:r w:rsidR="0009786A">
        <w:rPr>
          <w:rFonts w:cs="Times New Roman"/>
          <w:sz w:val="28"/>
          <w:szCs w:val="28"/>
        </w:rPr>
        <w:t>0 spēļu automāti</w:t>
      </w:r>
      <w:r w:rsidR="001415D6">
        <w:rPr>
          <w:rFonts w:cs="Times New Roman"/>
          <w:sz w:val="28"/>
          <w:szCs w:val="28"/>
        </w:rPr>
        <w:t>em</w:t>
      </w:r>
      <w:r w:rsidR="0009786A">
        <w:rPr>
          <w:rFonts w:cs="Times New Roman"/>
          <w:sz w:val="28"/>
          <w:szCs w:val="28"/>
        </w:rPr>
        <w:t xml:space="preserve"> azartspēļu zālē</w:t>
      </w:r>
      <w:r w:rsidR="0009786A">
        <w:rPr>
          <w:rStyle w:val="FootnoteReference"/>
          <w:sz w:val="28"/>
          <w:szCs w:val="28"/>
        </w:rPr>
        <w:footnoteReference w:id="103"/>
      </w:r>
      <w:r w:rsidR="00C61015">
        <w:rPr>
          <w:rFonts w:cs="Times New Roman"/>
          <w:sz w:val="28"/>
          <w:szCs w:val="28"/>
        </w:rPr>
        <w:t>,</w:t>
      </w:r>
      <w:r w:rsidR="009B4A3D">
        <w:rPr>
          <w:rFonts w:cs="Times New Roman"/>
          <w:sz w:val="28"/>
          <w:szCs w:val="28"/>
        </w:rPr>
        <w:t xml:space="preserve"> </w:t>
      </w:r>
      <w:r w:rsidR="0009786A">
        <w:rPr>
          <w:rFonts w:cs="Times New Roman"/>
          <w:sz w:val="28"/>
          <w:szCs w:val="28"/>
        </w:rPr>
        <w:t>Igaunijā ir jābūt ne mazāk kā 40 spēļu automāti</w:t>
      </w:r>
      <w:r w:rsidR="001415D6">
        <w:rPr>
          <w:rFonts w:cs="Times New Roman"/>
          <w:sz w:val="28"/>
          <w:szCs w:val="28"/>
        </w:rPr>
        <w:t>em</w:t>
      </w:r>
      <w:r w:rsidR="0009786A">
        <w:rPr>
          <w:rFonts w:cs="Times New Roman"/>
          <w:sz w:val="28"/>
          <w:szCs w:val="28"/>
        </w:rPr>
        <w:t xml:space="preserve"> azartspēļu zālē</w:t>
      </w:r>
      <w:r w:rsidR="0009786A">
        <w:rPr>
          <w:rStyle w:val="FootnoteReference"/>
          <w:sz w:val="28"/>
          <w:szCs w:val="28"/>
        </w:rPr>
        <w:footnoteReference w:id="104"/>
      </w:r>
      <w:r w:rsidR="00083C50">
        <w:rPr>
          <w:rFonts w:cs="Times New Roman"/>
          <w:sz w:val="28"/>
          <w:szCs w:val="28"/>
        </w:rPr>
        <w:t>)</w:t>
      </w:r>
      <w:r w:rsidRPr="00871C12">
        <w:rPr>
          <w:rFonts w:cs="Times New Roman"/>
          <w:sz w:val="28"/>
          <w:szCs w:val="28"/>
        </w:rPr>
        <w:t>.</w:t>
      </w:r>
    </w:p>
    <w:p w:rsidR="007A3577" w:rsidRDefault="0017763B" w:rsidP="005C051B">
      <w:pPr>
        <w:tabs>
          <w:tab w:val="left" w:pos="0"/>
        </w:tabs>
        <w:ind w:firstLine="567"/>
        <w:jc w:val="both"/>
        <w:rPr>
          <w:rFonts w:cs="Times New Roman"/>
          <w:sz w:val="28"/>
          <w:szCs w:val="28"/>
        </w:rPr>
      </w:pPr>
      <w:r>
        <w:rPr>
          <w:rFonts w:cs="Times New Roman"/>
          <w:sz w:val="28"/>
          <w:szCs w:val="28"/>
        </w:rPr>
        <w:t>Pamatnostādnēs tiek vērtēti dažādi risinājumi, a</w:t>
      </w:r>
      <w:r w:rsidR="007A3577">
        <w:rPr>
          <w:rFonts w:cs="Times New Roman"/>
          <w:sz w:val="28"/>
          <w:szCs w:val="28"/>
        </w:rPr>
        <w:t>pkopojot valstu pieredzi, kā arī pētījumus par azartspēļu procesu atkarībām</w:t>
      </w:r>
      <w:r>
        <w:rPr>
          <w:rFonts w:cs="Times New Roman"/>
          <w:sz w:val="28"/>
          <w:szCs w:val="28"/>
        </w:rPr>
        <w:t>.</w:t>
      </w:r>
    </w:p>
    <w:p w:rsidR="00766C67" w:rsidRDefault="005C051B" w:rsidP="00C772E9">
      <w:pPr>
        <w:ind w:firstLine="567"/>
        <w:jc w:val="both"/>
        <w:rPr>
          <w:i/>
          <w:sz w:val="28"/>
          <w:szCs w:val="28"/>
        </w:rPr>
      </w:pPr>
      <w:r w:rsidRPr="00290A73">
        <w:rPr>
          <w:rFonts w:cs="Times New Roman"/>
          <w:i/>
          <w:sz w:val="28"/>
          <w:szCs w:val="28"/>
        </w:rPr>
        <w:t>1.</w:t>
      </w:r>
      <w:r w:rsidRPr="002C0E50">
        <w:rPr>
          <w:rFonts w:cs="Times New Roman"/>
          <w:i/>
          <w:sz w:val="28"/>
          <w:szCs w:val="28"/>
        </w:rPr>
        <w:t xml:space="preserve"> </w:t>
      </w:r>
      <w:r w:rsidRPr="0087512B">
        <w:rPr>
          <w:rFonts w:cs="Times New Roman"/>
          <w:i/>
          <w:sz w:val="28"/>
          <w:szCs w:val="28"/>
        </w:rPr>
        <w:t>Risinājums</w:t>
      </w:r>
      <w:r>
        <w:rPr>
          <w:rFonts w:cs="Times New Roman"/>
          <w:i/>
          <w:sz w:val="28"/>
          <w:szCs w:val="28"/>
        </w:rPr>
        <w:t xml:space="preserve"> </w:t>
      </w:r>
      <w:r w:rsidR="007A3577">
        <w:rPr>
          <w:rFonts w:cs="Times New Roman"/>
          <w:i/>
          <w:sz w:val="28"/>
          <w:szCs w:val="28"/>
        </w:rPr>
        <w:t>–</w:t>
      </w:r>
      <w:r w:rsidR="007A3577">
        <w:rPr>
          <w:rFonts w:cs="Times New Roman"/>
          <w:sz w:val="28"/>
          <w:szCs w:val="28"/>
        </w:rPr>
        <w:t xml:space="preserve"> </w:t>
      </w:r>
      <w:r w:rsidRPr="008C5E7B">
        <w:rPr>
          <w:i/>
          <w:sz w:val="28"/>
          <w:szCs w:val="28"/>
        </w:rPr>
        <w:t>Azartspēļu zāļu aizliegšanu visā Latvijas teritorijā, atļaujot tās organizēt tikai 4 un 5 zvaigžņu viesnīcās</w:t>
      </w:r>
    </w:p>
    <w:p w:rsidR="005C051B" w:rsidRDefault="005C051B" w:rsidP="005C051B">
      <w:pPr>
        <w:ind w:firstLine="567"/>
        <w:jc w:val="both"/>
        <w:rPr>
          <w:sz w:val="28"/>
          <w:szCs w:val="28"/>
        </w:rPr>
      </w:pPr>
      <w:r w:rsidRPr="00871C12">
        <w:rPr>
          <w:sz w:val="28"/>
          <w:szCs w:val="28"/>
        </w:rPr>
        <w:t>Azartspēļu aizliegums (pēc mūsu rīcībā esošās informācijas) pastāv dažās jurisdikcijās – tādās kā Kubā, kā arī vairākās Islāmu valstīs (</w:t>
      </w:r>
      <w:r w:rsidR="00C772E9" w:rsidRPr="00C772E9">
        <w:rPr>
          <w:sz w:val="28"/>
          <w:szCs w:val="28"/>
        </w:rPr>
        <w:t>Afganistāna, Albānija, Alžīrija, Bangladeša, Butāna, Indonēzija, Irāna, Jordānija, Lībija, Mali, Omāna, Pakistāna, Katara, Saūda Arābija, Somālija, Sudāna, Sīrija, Apvienotie Arābu Emirāti un Jemena</w:t>
      </w:r>
      <w:r w:rsidRPr="00871C12">
        <w:rPr>
          <w:sz w:val="28"/>
          <w:szCs w:val="28"/>
        </w:rPr>
        <w:t>)</w:t>
      </w:r>
      <w:r w:rsidRPr="00871C12">
        <w:rPr>
          <w:rStyle w:val="FootnoteReference"/>
          <w:sz w:val="28"/>
          <w:szCs w:val="28"/>
        </w:rPr>
        <w:footnoteReference w:id="105"/>
      </w:r>
      <w:r w:rsidR="00C772E9">
        <w:rPr>
          <w:sz w:val="28"/>
          <w:szCs w:val="28"/>
          <w:vertAlign w:val="superscript"/>
        </w:rPr>
        <w:t>,</w:t>
      </w:r>
      <w:r w:rsidRPr="00871C12">
        <w:rPr>
          <w:rStyle w:val="FootnoteReference"/>
          <w:sz w:val="28"/>
          <w:szCs w:val="28"/>
        </w:rPr>
        <w:footnoteReference w:id="106"/>
      </w:r>
      <w:r w:rsidRPr="00871C12">
        <w:rPr>
          <w:sz w:val="28"/>
          <w:szCs w:val="28"/>
        </w:rPr>
        <w:t xml:space="preserve">. Izraēlā ir aizliegtas interaktīvās un “zemes” azartspēles. </w:t>
      </w:r>
      <w:r w:rsidR="0066503A">
        <w:rPr>
          <w:rStyle w:val="word"/>
          <w:sz w:val="28"/>
          <w:szCs w:val="28"/>
        </w:rPr>
        <w:t>Jū</w:t>
      </w:r>
      <w:r w:rsidR="0066503A" w:rsidRPr="00871C12">
        <w:rPr>
          <w:rStyle w:val="word"/>
          <w:sz w:val="28"/>
          <w:szCs w:val="28"/>
        </w:rPr>
        <w:t>tas</w:t>
      </w:r>
      <w:r w:rsidR="0066503A"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Havaju</w:t>
      </w:r>
      <w:r w:rsidRPr="00871C12">
        <w:rPr>
          <w:rStyle w:val="phrase"/>
          <w:sz w:val="28"/>
          <w:szCs w:val="28"/>
        </w:rPr>
        <w:t xml:space="preserve"> </w:t>
      </w:r>
      <w:r w:rsidRPr="00871C12">
        <w:rPr>
          <w:rStyle w:val="word"/>
          <w:sz w:val="28"/>
          <w:szCs w:val="28"/>
        </w:rPr>
        <w:t>salu</w:t>
      </w:r>
      <w:r w:rsidRPr="00871C12">
        <w:rPr>
          <w:rStyle w:val="phrase"/>
          <w:sz w:val="28"/>
          <w:szCs w:val="28"/>
        </w:rPr>
        <w:t xml:space="preserve"> </w:t>
      </w:r>
      <w:r w:rsidRPr="00871C12">
        <w:rPr>
          <w:rStyle w:val="word"/>
          <w:sz w:val="28"/>
          <w:szCs w:val="28"/>
        </w:rPr>
        <w:t>Amerikas</w:t>
      </w:r>
      <w:r w:rsidR="0001590C">
        <w:rPr>
          <w:rStyle w:val="word"/>
          <w:sz w:val="28"/>
          <w:szCs w:val="28"/>
        </w:rPr>
        <w:t xml:space="preserve"> Savienoto Valstu</w:t>
      </w:r>
      <w:r w:rsidRPr="00871C12">
        <w:rPr>
          <w:rStyle w:val="phrase"/>
          <w:sz w:val="28"/>
          <w:szCs w:val="28"/>
        </w:rPr>
        <w:t xml:space="preserve"> </w:t>
      </w:r>
      <w:r w:rsidRPr="00871C12">
        <w:rPr>
          <w:rStyle w:val="word"/>
          <w:sz w:val="28"/>
          <w:szCs w:val="28"/>
        </w:rPr>
        <w:t>štatos ir azartspēļu aizliegums.</w:t>
      </w:r>
      <w:r>
        <w:rPr>
          <w:rStyle w:val="word"/>
          <w:sz w:val="28"/>
          <w:szCs w:val="28"/>
        </w:rPr>
        <w:t xml:space="preserve"> </w:t>
      </w:r>
      <w:r w:rsidRPr="00871C12">
        <w:rPr>
          <w:sz w:val="28"/>
          <w:szCs w:val="28"/>
        </w:rPr>
        <w:t>Kaz</w:t>
      </w:r>
      <w:r w:rsidR="00392314">
        <w:rPr>
          <w:sz w:val="28"/>
          <w:szCs w:val="28"/>
        </w:rPr>
        <w:t>ino spēles ir aizliegtas Īrijā.</w:t>
      </w:r>
      <w:r w:rsidRPr="00871C12">
        <w:rPr>
          <w:rStyle w:val="FootnoteReference"/>
          <w:sz w:val="28"/>
          <w:szCs w:val="28"/>
        </w:rPr>
        <w:footnoteReference w:id="107"/>
      </w:r>
    </w:p>
    <w:p w:rsidR="005C051B" w:rsidRPr="0087512B" w:rsidRDefault="005C051B" w:rsidP="005C051B">
      <w:pPr>
        <w:ind w:firstLine="567"/>
        <w:rPr>
          <w:rFonts w:cs="Times New Roman"/>
          <w:sz w:val="28"/>
          <w:szCs w:val="28"/>
        </w:rPr>
      </w:pPr>
      <w:r w:rsidRPr="0087512B">
        <w:rPr>
          <w:rFonts w:cs="Times New Roman"/>
          <w:i/>
          <w:sz w:val="28"/>
          <w:szCs w:val="28"/>
        </w:rPr>
        <w:t>Risinājuma priekšrocības:</w:t>
      </w:r>
    </w:p>
    <w:p w:rsidR="005C051B" w:rsidRPr="000E19A1" w:rsidRDefault="005C051B" w:rsidP="000E19A1">
      <w:pPr>
        <w:pStyle w:val="ListParagraph"/>
        <w:numPr>
          <w:ilvl w:val="0"/>
          <w:numId w:val="16"/>
        </w:numPr>
        <w:ind w:left="0" w:firstLine="709"/>
        <w:jc w:val="both"/>
        <w:rPr>
          <w:rFonts w:cs="Times New Roman"/>
          <w:i/>
          <w:sz w:val="28"/>
          <w:szCs w:val="28"/>
        </w:rPr>
      </w:pPr>
      <w:r w:rsidRPr="000E19A1">
        <w:rPr>
          <w:sz w:val="28"/>
          <w:szCs w:val="28"/>
        </w:rPr>
        <w:lastRenderedPageBreak/>
        <w:t xml:space="preserve">būtisks azartspēļu spēlēšanas vietu skaita samazinājums un lokalizācijas vietu ierobežošana </w:t>
      </w:r>
      <w:r w:rsidR="007571C1" w:rsidRPr="000E19A1">
        <w:rPr>
          <w:sz w:val="28"/>
          <w:szCs w:val="28"/>
        </w:rPr>
        <w:t>ir instruments</w:t>
      </w:r>
      <w:r w:rsidRPr="000E19A1">
        <w:rPr>
          <w:sz w:val="28"/>
          <w:szCs w:val="28"/>
        </w:rPr>
        <w:t xml:space="preserve"> iedzīvotāju problemātisku spēlēšanas paradumu profilaksē</w:t>
      </w:r>
      <w:r>
        <w:rPr>
          <w:rStyle w:val="FootnoteReference"/>
          <w:sz w:val="28"/>
          <w:szCs w:val="28"/>
        </w:rPr>
        <w:footnoteReference w:id="108"/>
      </w:r>
      <w:r w:rsidRPr="000E19A1">
        <w:rPr>
          <w:sz w:val="28"/>
          <w:szCs w:val="28"/>
        </w:rPr>
        <w:t>;</w:t>
      </w:r>
    </w:p>
    <w:p w:rsidR="005C051B" w:rsidRPr="00E23459" w:rsidRDefault="0004220A" w:rsidP="000E19A1">
      <w:pPr>
        <w:pStyle w:val="ListParagraph"/>
        <w:numPr>
          <w:ilvl w:val="0"/>
          <w:numId w:val="16"/>
        </w:numPr>
        <w:ind w:left="0" w:firstLine="709"/>
        <w:jc w:val="both"/>
        <w:rPr>
          <w:rFonts w:cs="Times New Roman"/>
          <w:i/>
          <w:sz w:val="28"/>
          <w:szCs w:val="28"/>
        </w:rPr>
      </w:pPr>
      <w:r>
        <w:rPr>
          <w:sz w:val="28"/>
          <w:szCs w:val="28"/>
        </w:rPr>
        <w:t xml:space="preserve">vienlaikus </w:t>
      </w:r>
      <w:r w:rsidR="005C051B">
        <w:rPr>
          <w:sz w:val="28"/>
          <w:szCs w:val="28"/>
        </w:rPr>
        <w:t xml:space="preserve">pieejamo zinātnisko pierādījumu skaits ir nepietiekams, lai izvērtētu ietekmi, kādu spēļu zāļu slēgšana lielākajā daļā Latvijas teritorijā atstātu uz azartspēļu </w:t>
      </w:r>
      <w:r w:rsidR="005C051B" w:rsidRPr="00E23459">
        <w:rPr>
          <w:sz w:val="28"/>
          <w:szCs w:val="28"/>
        </w:rPr>
        <w:t xml:space="preserve">spēlētāju paradumiem un citiem rādītājiem. </w:t>
      </w:r>
    </w:p>
    <w:p w:rsidR="005C051B" w:rsidRPr="00E23459" w:rsidRDefault="005C051B" w:rsidP="005C051B">
      <w:pPr>
        <w:ind w:firstLine="567"/>
        <w:rPr>
          <w:rFonts w:cs="Times New Roman"/>
          <w:i/>
          <w:sz w:val="28"/>
          <w:szCs w:val="28"/>
        </w:rPr>
      </w:pPr>
      <w:r w:rsidRPr="00E23459">
        <w:rPr>
          <w:rFonts w:cs="Times New Roman"/>
          <w:i/>
          <w:sz w:val="28"/>
          <w:szCs w:val="28"/>
        </w:rPr>
        <w:t>Risinājuma trūkumi:</w:t>
      </w:r>
    </w:p>
    <w:p w:rsidR="005C051B" w:rsidRPr="000E19A1" w:rsidRDefault="005C051B" w:rsidP="000E19A1">
      <w:pPr>
        <w:pStyle w:val="ListParagraph"/>
        <w:numPr>
          <w:ilvl w:val="1"/>
          <w:numId w:val="16"/>
        </w:numPr>
        <w:ind w:left="0" w:firstLine="709"/>
        <w:jc w:val="both"/>
        <w:rPr>
          <w:rFonts w:cs="Times New Roman"/>
          <w:sz w:val="28"/>
          <w:szCs w:val="28"/>
        </w:rPr>
      </w:pPr>
      <w:r w:rsidRPr="000E19A1">
        <w:rPr>
          <w:color w:val="000000"/>
          <w:sz w:val="28"/>
          <w:szCs w:val="28"/>
          <w:lang w:eastAsia="lv-LV" w:bidi="lv-LV"/>
        </w:rPr>
        <w:t xml:space="preserve">azartspēļu oficiālais aizliegums </w:t>
      </w:r>
      <w:r w:rsidR="00257278" w:rsidRPr="000E19A1">
        <w:rPr>
          <w:color w:val="000000"/>
          <w:sz w:val="28"/>
          <w:szCs w:val="28"/>
          <w:lang w:eastAsia="lv-LV" w:bidi="lv-LV"/>
        </w:rPr>
        <w:t>neizslēgs</w:t>
      </w:r>
      <w:r w:rsidRPr="000E19A1">
        <w:rPr>
          <w:color w:val="000000"/>
          <w:sz w:val="28"/>
          <w:szCs w:val="28"/>
          <w:lang w:eastAsia="lv-LV" w:bidi="lv-LV"/>
        </w:rPr>
        <w:t xml:space="preserve"> cilvēku tieksmi spēlēt azartspēles. </w:t>
      </w:r>
      <w:r w:rsidRPr="000E19A1">
        <w:rPr>
          <w:rFonts w:cs="Times New Roman"/>
          <w:sz w:val="28"/>
          <w:szCs w:val="28"/>
        </w:rPr>
        <w:t>F</w:t>
      </w:r>
      <w:r w:rsidR="009723B6">
        <w:rPr>
          <w:rFonts w:cs="Times New Roman"/>
          <w:sz w:val="28"/>
          <w:szCs w:val="28"/>
        </w:rPr>
        <w:t xml:space="preserve">M </w:t>
      </w:r>
      <w:r w:rsidRPr="000E19A1">
        <w:rPr>
          <w:rFonts w:cs="Times New Roman"/>
          <w:sz w:val="28"/>
          <w:szCs w:val="28"/>
        </w:rPr>
        <w:t xml:space="preserve">rīcībā esošajos pētījumos nav uz pierādījumiem balstītas informācijas, kas apliecinātu azartspēļu pilnīgā aizlieguma efektivitāti un </w:t>
      </w:r>
      <w:r w:rsidR="00C772E9" w:rsidRPr="000E19A1">
        <w:rPr>
          <w:rFonts w:cs="Times New Roman"/>
          <w:sz w:val="28"/>
          <w:szCs w:val="28"/>
        </w:rPr>
        <w:t xml:space="preserve">negatīvās </w:t>
      </w:r>
      <w:r w:rsidRPr="000E19A1">
        <w:rPr>
          <w:rFonts w:cs="Times New Roman"/>
          <w:sz w:val="28"/>
          <w:szCs w:val="28"/>
        </w:rPr>
        <w:t>sekas. Līdz ar to paliek atklāts jautājums, kādā veidā/vai tiks apmierināts pastāvošais pieprasījums pēc azartspēlēm, it īpaši ņemot vērā, ka azartspēļu fenomens ir saistīts ar sociālās frustrācijas (neapmierinātības) jautājumiem (ang.</w:t>
      </w:r>
      <w:r w:rsidR="00AD7092" w:rsidRPr="000E19A1">
        <w:rPr>
          <w:rFonts w:cs="Times New Roman"/>
          <w:sz w:val="28"/>
          <w:szCs w:val="28"/>
        </w:rPr>
        <w:t xml:space="preserve"> val.</w:t>
      </w:r>
      <w:r w:rsidRPr="000E19A1">
        <w:rPr>
          <w:rFonts w:cs="Times New Roman"/>
          <w:i/>
          <w:sz w:val="28"/>
          <w:szCs w:val="28"/>
        </w:rPr>
        <w:t xml:space="preserve"> social frustration</w:t>
      </w:r>
      <w:r w:rsidRPr="000E19A1">
        <w:rPr>
          <w:rFonts w:cs="Times New Roman"/>
          <w:sz w:val="28"/>
          <w:szCs w:val="28"/>
        </w:rPr>
        <w:t>)</w:t>
      </w:r>
      <w:r w:rsidRPr="004D4930">
        <w:rPr>
          <w:rStyle w:val="FootnoteReference"/>
          <w:sz w:val="28"/>
          <w:szCs w:val="28"/>
        </w:rPr>
        <w:footnoteReference w:id="109"/>
      </w:r>
      <w:r w:rsidRPr="000E19A1">
        <w:rPr>
          <w:rFonts w:cs="Times New Roman"/>
          <w:sz w:val="28"/>
          <w:szCs w:val="28"/>
        </w:rPr>
        <w:t>, indivīda mēģinājumiem aizbēgt no ikdienas (ang.</w:t>
      </w:r>
      <w:r w:rsidR="00AD7092" w:rsidRPr="000E19A1">
        <w:rPr>
          <w:rFonts w:cs="Times New Roman"/>
          <w:sz w:val="28"/>
          <w:szCs w:val="28"/>
        </w:rPr>
        <w:t xml:space="preserve"> val.</w:t>
      </w:r>
      <w:r w:rsidRPr="000E19A1">
        <w:rPr>
          <w:rFonts w:cs="Times New Roman"/>
          <w:sz w:val="28"/>
          <w:szCs w:val="28"/>
        </w:rPr>
        <w:t xml:space="preserve"> </w:t>
      </w:r>
      <w:r w:rsidRPr="000E19A1">
        <w:rPr>
          <w:rFonts w:cs="Times New Roman"/>
          <w:i/>
          <w:sz w:val="28"/>
          <w:szCs w:val="28"/>
        </w:rPr>
        <w:t>escape theories</w:t>
      </w:r>
      <w:r w:rsidRPr="000E19A1">
        <w:rPr>
          <w:rFonts w:cs="Times New Roman"/>
          <w:sz w:val="28"/>
          <w:szCs w:val="28"/>
        </w:rPr>
        <w:t>)</w:t>
      </w:r>
      <w:r w:rsidRPr="004D4930">
        <w:rPr>
          <w:rStyle w:val="FootnoteReference"/>
          <w:sz w:val="28"/>
          <w:szCs w:val="28"/>
        </w:rPr>
        <w:footnoteReference w:id="110"/>
      </w:r>
      <w:r w:rsidRPr="000E19A1">
        <w:rPr>
          <w:rFonts w:cs="Times New Roman"/>
          <w:sz w:val="28"/>
          <w:szCs w:val="28"/>
        </w:rPr>
        <w:t xml:space="preserve"> un piederības jautājumiem azartspēļu spēlētāju subkultūrai (ang.</w:t>
      </w:r>
      <w:r w:rsidR="00AD7092" w:rsidRPr="000E19A1">
        <w:rPr>
          <w:rFonts w:cs="Times New Roman"/>
          <w:sz w:val="28"/>
          <w:szCs w:val="28"/>
        </w:rPr>
        <w:t xml:space="preserve"> val.</w:t>
      </w:r>
      <w:r w:rsidRPr="000E19A1">
        <w:rPr>
          <w:rFonts w:eastAsia="SabonLT-Roman" w:cs="Times New Roman"/>
          <w:sz w:val="28"/>
          <w:szCs w:val="28"/>
        </w:rPr>
        <w:t xml:space="preserve"> </w:t>
      </w:r>
      <w:r w:rsidRPr="000E19A1">
        <w:rPr>
          <w:rFonts w:eastAsia="SabonLT-Roman" w:cs="Times New Roman"/>
          <w:i/>
          <w:sz w:val="28"/>
          <w:szCs w:val="28"/>
        </w:rPr>
        <w:t>subculture studies</w:t>
      </w:r>
      <w:r w:rsidRPr="000E19A1">
        <w:rPr>
          <w:rFonts w:cs="Times New Roman"/>
          <w:sz w:val="28"/>
          <w:szCs w:val="28"/>
        </w:rPr>
        <w:t>)</w:t>
      </w:r>
      <w:r w:rsidRPr="004D4930">
        <w:rPr>
          <w:rStyle w:val="FootnoteReference"/>
          <w:sz w:val="28"/>
          <w:szCs w:val="28"/>
        </w:rPr>
        <w:footnoteReference w:id="111"/>
      </w:r>
      <w:r w:rsidRPr="000E19A1">
        <w:rPr>
          <w:rFonts w:eastAsia="Times New Roman" w:cs="Times New Roman"/>
          <w:bCs/>
          <w:sz w:val="28"/>
          <w:szCs w:val="28"/>
          <w:lang w:eastAsia="lv-LV"/>
        </w:rPr>
        <w:t>;</w:t>
      </w:r>
      <w:r w:rsidRPr="000E19A1">
        <w:rPr>
          <w:rFonts w:cs="Times New Roman"/>
          <w:sz w:val="28"/>
          <w:szCs w:val="28"/>
        </w:rPr>
        <w:t xml:space="preserve"> </w:t>
      </w:r>
    </w:p>
    <w:p w:rsidR="005C051B" w:rsidRPr="000E19A1" w:rsidRDefault="005C051B" w:rsidP="000E19A1">
      <w:pPr>
        <w:pStyle w:val="ListParagraph"/>
        <w:numPr>
          <w:ilvl w:val="0"/>
          <w:numId w:val="63"/>
        </w:numPr>
        <w:tabs>
          <w:tab w:val="left" w:pos="567"/>
        </w:tabs>
        <w:spacing w:after="160" w:line="259" w:lineRule="auto"/>
        <w:ind w:left="0" w:firstLine="709"/>
        <w:jc w:val="both"/>
        <w:rPr>
          <w:rFonts w:cs="Times New Roman"/>
          <w:sz w:val="28"/>
          <w:szCs w:val="28"/>
        </w:rPr>
      </w:pPr>
      <w:r w:rsidRPr="000E19A1">
        <w:rPr>
          <w:color w:val="000000"/>
          <w:sz w:val="28"/>
          <w:szCs w:val="28"/>
          <w:lang w:eastAsia="lv-LV" w:bidi="lv-LV"/>
        </w:rPr>
        <w:t>ieviešot azartspēļu aizliegumu, varētu veidoties nelegālās azartspēļu vietas un līdz ar to parādīties papildu sa</w:t>
      </w:r>
      <w:r w:rsidR="00A76A40" w:rsidRPr="000E19A1">
        <w:rPr>
          <w:color w:val="000000"/>
          <w:sz w:val="28"/>
          <w:szCs w:val="28"/>
          <w:lang w:eastAsia="lv-LV" w:bidi="lv-LV"/>
        </w:rPr>
        <w:t xml:space="preserve">biedriskās kārtības un drošības </w:t>
      </w:r>
      <w:r w:rsidRPr="000E19A1">
        <w:rPr>
          <w:color w:val="000000"/>
          <w:sz w:val="28"/>
          <w:szCs w:val="28"/>
          <w:lang w:eastAsia="lv-LV" w:bidi="lv-LV"/>
        </w:rPr>
        <w:t>apdraudējumu riski. Turklāt var palielināties ēnu ekonomikas segments;</w:t>
      </w:r>
    </w:p>
    <w:p w:rsidR="005C051B" w:rsidRPr="004D4930" w:rsidRDefault="005C051B" w:rsidP="000E19A1">
      <w:pPr>
        <w:pStyle w:val="ListParagraph"/>
        <w:numPr>
          <w:ilvl w:val="0"/>
          <w:numId w:val="63"/>
        </w:numPr>
        <w:tabs>
          <w:tab w:val="left" w:pos="567"/>
          <w:tab w:val="left" w:pos="1134"/>
        </w:tabs>
        <w:spacing w:after="160" w:line="259" w:lineRule="auto"/>
        <w:ind w:left="0" w:firstLine="709"/>
        <w:jc w:val="both"/>
        <w:rPr>
          <w:rFonts w:cs="Times New Roman"/>
          <w:sz w:val="28"/>
          <w:szCs w:val="28"/>
        </w:rPr>
      </w:pPr>
      <w:r w:rsidRPr="004D4930">
        <w:rPr>
          <w:color w:val="000000"/>
          <w:sz w:val="28"/>
          <w:szCs w:val="28"/>
          <w:lang w:eastAsia="lv-LV" w:bidi="lv-LV"/>
        </w:rPr>
        <w:t>ieviešot azartspēļu aizliegumu, pieprasījums pēc azartspēlēm varētu tikt novirzīts uz citām līdzīgām aktivitātēm, piemēram, interaktīvajām azartspēlēm</w:t>
      </w:r>
      <w:bookmarkStart w:id="1557" w:name="bookmark0"/>
      <w:r w:rsidR="0001590C">
        <w:rPr>
          <w:color w:val="000000"/>
          <w:sz w:val="28"/>
          <w:szCs w:val="28"/>
          <w:lang w:eastAsia="lv-LV" w:bidi="lv-LV"/>
        </w:rPr>
        <w:t>, kā arī var tikt palielināts no vielu atkarīgo personu segments</w:t>
      </w:r>
      <w:r w:rsidRPr="004D4930">
        <w:rPr>
          <w:color w:val="000000"/>
          <w:sz w:val="28"/>
          <w:szCs w:val="28"/>
          <w:lang w:eastAsia="lv-LV" w:bidi="lv-LV"/>
        </w:rPr>
        <w:t>.</w:t>
      </w:r>
    </w:p>
    <w:bookmarkEnd w:id="1557"/>
    <w:p w:rsidR="005C051B" w:rsidRPr="0087512B" w:rsidRDefault="005C051B" w:rsidP="005C051B">
      <w:pPr>
        <w:ind w:left="567"/>
        <w:jc w:val="both"/>
        <w:rPr>
          <w:rFonts w:cs="Times New Roman"/>
          <w:i/>
          <w:sz w:val="28"/>
          <w:szCs w:val="28"/>
        </w:rPr>
      </w:pPr>
      <w:r w:rsidRPr="007571C1">
        <w:rPr>
          <w:rFonts w:cs="Times New Roman"/>
          <w:i/>
          <w:sz w:val="28"/>
          <w:szCs w:val="28"/>
        </w:rPr>
        <w:t>2</w:t>
      </w:r>
      <w:r w:rsidRPr="00CC53D8">
        <w:rPr>
          <w:rFonts w:cs="Times New Roman"/>
          <w:i/>
          <w:sz w:val="28"/>
          <w:szCs w:val="28"/>
        </w:rPr>
        <w:t>.</w:t>
      </w:r>
      <w:r w:rsidR="00290A73">
        <w:rPr>
          <w:rFonts w:cs="Times New Roman"/>
          <w:i/>
          <w:sz w:val="28"/>
          <w:szCs w:val="28"/>
        </w:rPr>
        <w:t xml:space="preserve"> </w:t>
      </w:r>
      <w:r w:rsidRPr="00CC53D8">
        <w:rPr>
          <w:rFonts w:cs="Times New Roman"/>
          <w:i/>
          <w:sz w:val="28"/>
          <w:szCs w:val="28"/>
        </w:rPr>
        <w:t>Risinājums – Azartspēļu organizēšanas viet</w:t>
      </w:r>
      <w:r w:rsidR="00E7257F">
        <w:rPr>
          <w:rFonts w:cs="Times New Roman"/>
          <w:i/>
          <w:sz w:val="28"/>
          <w:szCs w:val="28"/>
        </w:rPr>
        <w:t>u</w:t>
      </w:r>
      <w:r w:rsidRPr="00CC53D8">
        <w:rPr>
          <w:rFonts w:cs="Times New Roman"/>
          <w:i/>
          <w:sz w:val="28"/>
          <w:szCs w:val="28"/>
        </w:rPr>
        <w:t xml:space="preserve"> ierobežošanas nosacījumu atrunāšana likumā</w:t>
      </w:r>
    </w:p>
    <w:p w:rsidR="00210DDB" w:rsidRPr="007571C1" w:rsidRDefault="00465EC8" w:rsidP="00CF5C3F">
      <w:pPr>
        <w:pStyle w:val="NoSpacing"/>
        <w:ind w:firstLine="567"/>
        <w:jc w:val="both"/>
        <w:rPr>
          <w:rFonts w:ascii="Times New Roman" w:hAnsi="Times New Roman" w:cs="Times New Roman"/>
          <w:sz w:val="28"/>
          <w:szCs w:val="28"/>
        </w:rPr>
      </w:pPr>
      <w:r w:rsidRPr="00044461">
        <w:rPr>
          <w:rFonts w:ascii="Times New Roman" w:hAnsi="Times New Roman" w:cs="Times New Roman"/>
          <w:sz w:val="28"/>
          <w:szCs w:val="28"/>
        </w:rPr>
        <w:t>Ņemot vērā to, ka likumdevējs nav noteicis</w:t>
      </w:r>
      <w:r w:rsidR="007C158A" w:rsidRPr="00044461">
        <w:rPr>
          <w:rFonts w:ascii="Times New Roman" w:hAnsi="Times New Roman" w:cs="Times New Roman"/>
          <w:sz w:val="28"/>
          <w:szCs w:val="28"/>
        </w:rPr>
        <w:t xml:space="preserve"> precīzus</w:t>
      </w:r>
      <w:r w:rsidRPr="00044461">
        <w:rPr>
          <w:rFonts w:ascii="Times New Roman" w:hAnsi="Times New Roman" w:cs="Times New Roman"/>
          <w:sz w:val="28"/>
          <w:szCs w:val="28"/>
        </w:rPr>
        <w:t xml:space="preserve"> kritērijus, kā noteikt, vai aizskārums ir vērtējams kā būtisks</w:t>
      </w:r>
      <w:r w:rsidR="00210DDB" w:rsidRPr="007C158A">
        <w:rPr>
          <w:rFonts w:ascii="Times New Roman" w:hAnsi="Times New Roman" w:cs="Times New Roman"/>
          <w:sz w:val="28"/>
          <w:szCs w:val="28"/>
        </w:rPr>
        <w:t>,</w:t>
      </w:r>
      <w:r w:rsidR="007C158A" w:rsidRPr="00044461">
        <w:rPr>
          <w:rFonts w:ascii="Times New Roman" w:hAnsi="Times New Roman" w:cs="Times New Roman"/>
          <w:sz w:val="28"/>
          <w:szCs w:val="28"/>
        </w:rPr>
        <w:t xml:space="preserve"> atkarībā no konkrētās situācijas var būt atšķirīgs nepieciešamais pamatojuma un pierādījumu klāsts, lai ierobežojumu atzītu par samērīgu. Līdz ar to</w:t>
      </w:r>
      <w:r w:rsidR="00210DDB" w:rsidRPr="008A1C48">
        <w:rPr>
          <w:rFonts w:ascii="Times New Roman" w:hAnsi="Times New Roman" w:cs="Times New Roman"/>
          <w:sz w:val="28"/>
          <w:szCs w:val="28"/>
        </w:rPr>
        <w:t xml:space="preserve"> nesamērīgs resurss tiek iesaistīts daudzos tiesvedības procesos ar nozari, st</w:t>
      </w:r>
      <w:r w:rsidR="00210DDB" w:rsidRPr="0099145F">
        <w:rPr>
          <w:rFonts w:ascii="Times New Roman" w:hAnsi="Times New Roman" w:cs="Times New Roman"/>
          <w:sz w:val="28"/>
          <w:szCs w:val="28"/>
        </w:rPr>
        <w:t>rī</w:t>
      </w:r>
      <w:r w:rsidR="00210DDB" w:rsidRPr="007C158A">
        <w:rPr>
          <w:rFonts w:ascii="Times New Roman" w:hAnsi="Times New Roman" w:cs="Times New Roman"/>
          <w:sz w:val="28"/>
          <w:szCs w:val="28"/>
        </w:rPr>
        <w:t>doties par jēdziena “būtisks sabiedrības aizskārums” piemērošanu konkrētajā vietā. Tiek izmantots pašvaldību resurss, tiesas resurss, kā arī izmantota citu kompetento iestāžu un institūciju kapacitāte, lai nodrošinātu divpakāpju lēmumu pieņemšanas sistēmas funkcionēšanu.</w:t>
      </w:r>
    </w:p>
    <w:p w:rsidR="00C95911" w:rsidRPr="007571C1" w:rsidRDefault="00C95911" w:rsidP="00CF5C3F">
      <w:pPr>
        <w:pStyle w:val="NormalWeb"/>
        <w:spacing w:before="0" w:beforeAutospacing="0" w:after="0" w:afterAutospacing="0"/>
        <w:ind w:firstLine="567"/>
        <w:jc w:val="both"/>
        <w:rPr>
          <w:sz w:val="28"/>
          <w:szCs w:val="28"/>
        </w:rPr>
      </w:pPr>
      <w:r w:rsidRPr="007571C1">
        <w:rPr>
          <w:sz w:val="28"/>
          <w:szCs w:val="28"/>
        </w:rPr>
        <w:t>Tiesvedības procesos, lai pamatotu sabiedrības interešu būtiska aizskāruma objektīv</w:t>
      </w:r>
      <w:r w:rsidR="00E974AD" w:rsidRPr="007571C1">
        <w:rPr>
          <w:sz w:val="28"/>
          <w:szCs w:val="28"/>
        </w:rPr>
        <w:t>u</w:t>
      </w:r>
      <w:r w:rsidRPr="007571C1">
        <w:rPr>
          <w:sz w:val="28"/>
          <w:szCs w:val="28"/>
        </w:rPr>
        <w:t xml:space="preserve"> iespējamību, pašvaldības piesaista Reliģiskās organizācijas, Sociālos dienestus, Pagast</w:t>
      </w:r>
      <w:r w:rsidR="003E466C">
        <w:rPr>
          <w:sz w:val="28"/>
          <w:szCs w:val="28"/>
        </w:rPr>
        <w:t>u</w:t>
      </w:r>
      <w:r w:rsidRPr="007571C1">
        <w:rPr>
          <w:sz w:val="28"/>
          <w:szCs w:val="28"/>
        </w:rPr>
        <w:t xml:space="preserve"> tiesas pārstāvjus, kā arī izglītības iestāžu pārstāvjus, vienlaikus vairākās lietās tiek pieprasītas izziņas no </w:t>
      </w:r>
      <w:r w:rsidR="00EE1012">
        <w:rPr>
          <w:sz w:val="28"/>
          <w:szCs w:val="28"/>
        </w:rPr>
        <w:t>RPNC</w:t>
      </w:r>
      <w:r w:rsidRPr="007571C1">
        <w:rPr>
          <w:sz w:val="28"/>
          <w:szCs w:val="28"/>
        </w:rPr>
        <w:t xml:space="preserve">, kā arī </w:t>
      </w:r>
      <w:r w:rsidR="00DC030F">
        <w:rPr>
          <w:sz w:val="28"/>
          <w:szCs w:val="28"/>
        </w:rPr>
        <w:t>IAUI</w:t>
      </w:r>
      <w:r w:rsidRPr="007571C1">
        <w:rPr>
          <w:sz w:val="28"/>
          <w:szCs w:val="28"/>
        </w:rPr>
        <w:t>.</w:t>
      </w:r>
      <w:r w:rsidR="00E974AD">
        <w:rPr>
          <w:sz w:val="28"/>
          <w:szCs w:val="28"/>
        </w:rPr>
        <w:t xml:space="preserve"> </w:t>
      </w:r>
      <w:r w:rsidRPr="007571C1">
        <w:rPr>
          <w:sz w:val="28"/>
          <w:szCs w:val="28"/>
        </w:rPr>
        <w:t xml:space="preserve"> </w:t>
      </w:r>
    </w:p>
    <w:p w:rsidR="00CB1347" w:rsidRPr="00BC3D5E" w:rsidRDefault="001027FE" w:rsidP="00CF5C3F">
      <w:pPr>
        <w:pStyle w:val="NormalWeb"/>
        <w:spacing w:before="0" w:beforeAutospacing="0" w:after="0" w:afterAutospacing="0"/>
        <w:ind w:firstLine="567"/>
        <w:jc w:val="both"/>
        <w:rPr>
          <w:sz w:val="28"/>
          <w:szCs w:val="28"/>
        </w:rPr>
      </w:pPr>
      <w:r>
        <w:rPr>
          <w:sz w:val="28"/>
          <w:szCs w:val="28"/>
        </w:rPr>
        <w:lastRenderedPageBreak/>
        <w:t>P</w:t>
      </w:r>
      <w:r w:rsidR="00E974AD">
        <w:rPr>
          <w:sz w:val="28"/>
          <w:szCs w:val="28"/>
        </w:rPr>
        <w:t>ašvaldīb</w:t>
      </w:r>
      <w:r w:rsidR="007571C1">
        <w:rPr>
          <w:sz w:val="28"/>
          <w:szCs w:val="28"/>
        </w:rPr>
        <w:t>as,</w:t>
      </w:r>
      <w:r w:rsidR="00E974AD">
        <w:rPr>
          <w:sz w:val="28"/>
          <w:szCs w:val="28"/>
        </w:rPr>
        <w:t xml:space="preserve"> vērtē</w:t>
      </w:r>
      <w:r>
        <w:rPr>
          <w:sz w:val="28"/>
          <w:szCs w:val="28"/>
        </w:rPr>
        <w:t>jot</w:t>
      </w:r>
      <w:r w:rsidR="00E974AD">
        <w:rPr>
          <w:sz w:val="28"/>
          <w:szCs w:val="28"/>
        </w:rPr>
        <w:t xml:space="preserve"> sabiedrības interešu būtiska aizskāruma esamību, tiesu lietās </w:t>
      </w:r>
      <w:r w:rsidR="0082273C">
        <w:rPr>
          <w:sz w:val="28"/>
          <w:szCs w:val="28"/>
        </w:rPr>
        <w:t xml:space="preserve">mēģināja </w:t>
      </w:r>
      <w:r w:rsidR="0082273C" w:rsidRPr="008138E9">
        <w:rPr>
          <w:sz w:val="28"/>
          <w:szCs w:val="28"/>
        </w:rPr>
        <w:t>pierādīt</w:t>
      </w:r>
      <w:r w:rsidR="00971CF0" w:rsidRPr="008138E9">
        <w:rPr>
          <w:sz w:val="28"/>
          <w:szCs w:val="28"/>
        </w:rPr>
        <w:t>, ka konkrētā vieta, kurā tiek plānots organizēt</w:t>
      </w:r>
      <w:r w:rsidR="00CB1347">
        <w:rPr>
          <w:sz w:val="28"/>
          <w:szCs w:val="28"/>
        </w:rPr>
        <w:t xml:space="preserve"> azartspēles</w:t>
      </w:r>
      <w:r w:rsidR="009F3754">
        <w:rPr>
          <w:sz w:val="28"/>
          <w:szCs w:val="28"/>
        </w:rPr>
        <w:t>,</w:t>
      </w:r>
      <w:r w:rsidR="00CB1347">
        <w:rPr>
          <w:sz w:val="28"/>
          <w:szCs w:val="28"/>
        </w:rPr>
        <w:t xml:space="preserve"> ir pielīdzināma</w:t>
      </w:r>
      <w:r w:rsidR="00CB1347" w:rsidRPr="00CB1347">
        <w:rPr>
          <w:sz w:val="28"/>
          <w:szCs w:val="28"/>
        </w:rPr>
        <w:t xml:space="preserve"> </w:t>
      </w:r>
      <w:r w:rsidR="009F3754">
        <w:rPr>
          <w:sz w:val="28"/>
          <w:szCs w:val="28"/>
        </w:rPr>
        <w:t>AIL</w:t>
      </w:r>
      <w:r w:rsidR="00CB1347" w:rsidRPr="009C2700">
        <w:rPr>
          <w:sz w:val="28"/>
          <w:szCs w:val="28"/>
        </w:rPr>
        <w:t xml:space="preserve"> 41.panta </w:t>
      </w:r>
      <w:r w:rsidR="0059198F" w:rsidRPr="009C2700">
        <w:rPr>
          <w:sz w:val="28"/>
          <w:szCs w:val="28"/>
        </w:rPr>
        <w:t>otr</w:t>
      </w:r>
      <w:r w:rsidR="0059198F">
        <w:rPr>
          <w:sz w:val="28"/>
          <w:szCs w:val="28"/>
        </w:rPr>
        <w:t>ajā</w:t>
      </w:r>
      <w:r w:rsidR="0059198F" w:rsidRPr="009C2700">
        <w:rPr>
          <w:sz w:val="28"/>
          <w:szCs w:val="28"/>
        </w:rPr>
        <w:t xml:space="preserve"> </w:t>
      </w:r>
      <w:r w:rsidR="00CB1347" w:rsidRPr="009C2700">
        <w:rPr>
          <w:sz w:val="28"/>
          <w:szCs w:val="28"/>
        </w:rPr>
        <w:t>daļā noteiktajiem kritērijiem.</w:t>
      </w:r>
      <w:r w:rsidR="0024413D">
        <w:rPr>
          <w:sz w:val="28"/>
          <w:szCs w:val="28"/>
        </w:rPr>
        <w:t xml:space="preserve"> </w:t>
      </w:r>
      <w:r w:rsidR="00CB1347">
        <w:rPr>
          <w:sz w:val="28"/>
          <w:szCs w:val="28"/>
        </w:rPr>
        <w:t xml:space="preserve">Tiesvedību procesam turpinoties un attīstoties argumentācijai, lai </w:t>
      </w:r>
      <w:r w:rsidR="00971CF0" w:rsidRPr="007571C1">
        <w:rPr>
          <w:sz w:val="28"/>
          <w:szCs w:val="28"/>
        </w:rPr>
        <w:t>pierādītu konkrētās vietas atbilstību</w:t>
      </w:r>
      <w:r w:rsidR="0001590C">
        <w:rPr>
          <w:sz w:val="28"/>
          <w:szCs w:val="28"/>
        </w:rPr>
        <w:t>,</w:t>
      </w:r>
      <w:r w:rsidR="00971CF0" w:rsidRPr="007571C1">
        <w:rPr>
          <w:sz w:val="28"/>
          <w:szCs w:val="28"/>
        </w:rPr>
        <w:t xml:space="preserve"> </w:t>
      </w:r>
      <w:r w:rsidR="004D1131" w:rsidRPr="004D1131">
        <w:rPr>
          <w:sz w:val="28"/>
          <w:szCs w:val="28"/>
        </w:rPr>
        <w:t>pašvaldības</w:t>
      </w:r>
      <w:r w:rsidR="004D1131" w:rsidRPr="007571C1">
        <w:rPr>
          <w:color w:val="000000"/>
          <w:sz w:val="28"/>
          <w:szCs w:val="28"/>
        </w:rPr>
        <w:t xml:space="preserve"> vairākās lietās</w:t>
      </w:r>
      <w:r w:rsidR="004D1131">
        <w:rPr>
          <w:color w:val="000000"/>
          <w:sz w:val="28"/>
          <w:szCs w:val="28"/>
        </w:rPr>
        <w:t xml:space="preserve"> kā sabiedrības interešu aizskārumu ietekmējošos faktorus</w:t>
      </w:r>
      <w:r w:rsidR="004D1131" w:rsidRPr="007571C1">
        <w:rPr>
          <w:color w:val="000000"/>
          <w:sz w:val="28"/>
          <w:szCs w:val="28"/>
        </w:rPr>
        <w:t xml:space="preserve"> ir noteikušas sabiedrības kustības lielu intensitāti (aktivitāti), daudzdzīvokļu ēku, biroju un izglītības iestāžu tuvumu, iedzīvotāju vispārīgu negatīvu attieksmi, kā arī </w:t>
      </w:r>
      <w:r w:rsidR="004D1131">
        <w:rPr>
          <w:color w:val="000000"/>
          <w:sz w:val="28"/>
          <w:szCs w:val="28"/>
        </w:rPr>
        <w:t>AIL 41.panta otrajā daļā</w:t>
      </w:r>
      <w:r w:rsidR="004D1131" w:rsidRPr="007571C1">
        <w:rPr>
          <w:color w:val="000000"/>
          <w:sz w:val="28"/>
          <w:szCs w:val="28"/>
        </w:rPr>
        <w:t xml:space="preserve"> minēto vietu, kurās azartspēļu organizēšanas vietas nav pieļautas, tuvumu vai esību. </w:t>
      </w:r>
      <w:r w:rsidR="00CB1347" w:rsidRPr="0087512B">
        <w:rPr>
          <w:sz w:val="28"/>
          <w:szCs w:val="28"/>
        </w:rPr>
        <w:t xml:space="preserve">Augstākā tiesa norādījusi, ka </w:t>
      </w:r>
      <w:r>
        <w:rPr>
          <w:sz w:val="28"/>
          <w:szCs w:val="28"/>
        </w:rPr>
        <w:t xml:space="preserve">AIL </w:t>
      </w:r>
      <w:r w:rsidR="00CB1347" w:rsidRPr="0087512B">
        <w:rPr>
          <w:sz w:val="28"/>
          <w:szCs w:val="28"/>
        </w:rPr>
        <w:t>42.panta trešajā daļā ietvertais jēdziens “būtiskas valsts un attiecīgās administratīvās teritorijas iedzīvotāju intereses” ir nenoteiktais jeb atklātais tiesību jēdziens, kas ietverts normas tiesiskā sastāva, nevis tiesisko seku daļā</w:t>
      </w:r>
      <w:r w:rsidR="00D053EC" w:rsidRPr="003669CF">
        <w:rPr>
          <w:rStyle w:val="FootnoteReference"/>
          <w:sz w:val="28"/>
          <w:szCs w:val="28"/>
        </w:rPr>
        <w:footnoteReference w:id="112"/>
      </w:r>
      <w:r w:rsidR="00CB1347" w:rsidRPr="0087512B">
        <w:rPr>
          <w:sz w:val="28"/>
          <w:szCs w:val="28"/>
        </w:rPr>
        <w:t xml:space="preserve">. </w:t>
      </w:r>
    </w:p>
    <w:p w:rsidR="0024413D" w:rsidRPr="008E4324" w:rsidRDefault="0024413D" w:rsidP="00FC7671">
      <w:pPr>
        <w:autoSpaceDE w:val="0"/>
        <w:autoSpaceDN w:val="0"/>
        <w:adjustRightInd w:val="0"/>
        <w:ind w:firstLine="567"/>
        <w:jc w:val="both"/>
        <w:rPr>
          <w:rFonts w:cs="Times New Roman"/>
          <w:sz w:val="28"/>
          <w:szCs w:val="28"/>
        </w:rPr>
      </w:pPr>
      <w:r w:rsidRPr="000A54BE">
        <w:rPr>
          <w:sz w:val="28"/>
          <w:szCs w:val="28"/>
        </w:rPr>
        <w:t xml:space="preserve">Vairākās lietās pašvaldības nebija </w:t>
      </w:r>
      <w:r w:rsidR="008E4324" w:rsidRPr="000A54BE">
        <w:rPr>
          <w:sz w:val="28"/>
          <w:szCs w:val="28"/>
        </w:rPr>
        <w:t>vispusīgi</w:t>
      </w:r>
      <w:r w:rsidRPr="000A54BE">
        <w:rPr>
          <w:sz w:val="28"/>
          <w:szCs w:val="28"/>
        </w:rPr>
        <w:t xml:space="preserve"> </w:t>
      </w:r>
      <w:r w:rsidR="008E4324" w:rsidRPr="000A54BE">
        <w:rPr>
          <w:sz w:val="28"/>
          <w:szCs w:val="28"/>
        </w:rPr>
        <w:t>pamatoju</w:t>
      </w:r>
      <w:r w:rsidR="001027FE">
        <w:rPr>
          <w:sz w:val="28"/>
          <w:szCs w:val="28"/>
        </w:rPr>
        <w:t>šas</w:t>
      </w:r>
      <w:r w:rsidRPr="000A54BE">
        <w:rPr>
          <w:sz w:val="28"/>
          <w:szCs w:val="28"/>
        </w:rPr>
        <w:t xml:space="preserve"> sabiedrības būtiska aizskāruma esamību</w:t>
      </w:r>
      <w:r w:rsidR="00CF5C3F">
        <w:rPr>
          <w:rFonts w:ascii="Calibri" w:hAnsi="Calibri" w:cs="Calibri"/>
          <w:sz w:val="28"/>
          <w:szCs w:val="28"/>
        </w:rPr>
        <w:t>,</w:t>
      </w:r>
      <w:r w:rsidR="00CF5C3F" w:rsidRPr="000A54BE">
        <w:rPr>
          <w:rFonts w:ascii="Calibri" w:hAnsi="Calibri" w:cs="Calibri"/>
          <w:sz w:val="28"/>
          <w:szCs w:val="28"/>
        </w:rPr>
        <w:t xml:space="preserve"> </w:t>
      </w:r>
      <w:r w:rsidRPr="000A54BE">
        <w:rPr>
          <w:rFonts w:cs="Times New Roman"/>
          <w:sz w:val="28"/>
          <w:szCs w:val="28"/>
        </w:rPr>
        <w:t>un bija pieņemti lēmumi par labu nozarei</w:t>
      </w:r>
      <w:r w:rsidR="00BC3D5E" w:rsidRPr="000A54BE">
        <w:rPr>
          <w:rFonts w:cs="Times New Roman"/>
          <w:sz w:val="28"/>
          <w:szCs w:val="28"/>
        </w:rPr>
        <w:t xml:space="preserve"> </w:t>
      </w:r>
      <w:r w:rsidR="00BC3D5E" w:rsidRPr="007571C1">
        <w:rPr>
          <w:sz w:val="28"/>
          <w:szCs w:val="28"/>
        </w:rPr>
        <w:t>(p</w:t>
      </w:r>
      <w:r w:rsidR="00BC3D5E" w:rsidRPr="007571C1">
        <w:rPr>
          <w:rFonts w:cs="Times New Roman"/>
          <w:sz w:val="28"/>
          <w:szCs w:val="28"/>
        </w:rPr>
        <w:t xml:space="preserve">eriodā līdz 2010.gada 14.oktobrim </w:t>
      </w:r>
      <w:r w:rsidR="00807130" w:rsidRPr="00413BFC">
        <w:rPr>
          <w:rFonts w:cs="Times New Roman"/>
          <w:sz w:val="28"/>
          <w:szCs w:val="28"/>
        </w:rPr>
        <w:t>dažādās tiesu instancēs</w:t>
      </w:r>
      <w:r w:rsidR="00807130">
        <w:rPr>
          <w:rFonts w:cs="Times New Roman"/>
          <w:sz w:val="28"/>
          <w:szCs w:val="28"/>
        </w:rPr>
        <w:t xml:space="preserve"> </w:t>
      </w:r>
      <w:r w:rsidR="007C158A">
        <w:rPr>
          <w:rFonts w:cs="Times New Roman"/>
          <w:sz w:val="28"/>
          <w:szCs w:val="28"/>
        </w:rPr>
        <w:t xml:space="preserve">summāri </w:t>
      </w:r>
      <w:r w:rsidR="00BC3D5E" w:rsidRPr="007571C1">
        <w:rPr>
          <w:rFonts w:cs="Times New Roman"/>
          <w:sz w:val="28"/>
          <w:szCs w:val="28"/>
        </w:rPr>
        <w:t>aptuveni 40% gadījumos ir pieņemti lēmumi par labu nozarei)</w:t>
      </w:r>
      <w:r w:rsidR="000A54BE" w:rsidRPr="007571C1">
        <w:rPr>
          <w:rFonts w:cs="Times New Roman"/>
          <w:sz w:val="28"/>
          <w:szCs w:val="28"/>
        </w:rPr>
        <w:t>. Periodā no 2010.gada 14.oktobrim līdz 2015.gada 9.martam lēmumu skaits par labu nozarei ir pieaudzis līdz 71%</w:t>
      </w:r>
      <w:r w:rsidR="000A54BE" w:rsidRPr="008E4324">
        <w:rPr>
          <w:rStyle w:val="FootnoteReference"/>
          <w:sz w:val="28"/>
          <w:szCs w:val="28"/>
        </w:rPr>
        <w:footnoteReference w:id="113"/>
      </w:r>
      <w:r w:rsidRPr="000A54BE">
        <w:rPr>
          <w:rFonts w:cs="Times New Roman"/>
          <w:sz w:val="28"/>
          <w:szCs w:val="28"/>
        </w:rPr>
        <w:t>.</w:t>
      </w:r>
      <w:r w:rsidR="000A54BE">
        <w:rPr>
          <w:rFonts w:cs="Times New Roman"/>
          <w:sz w:val="28"/>
          <w:szCs w:val="28"/>
        </w:rPr>
        <w:t xml:space="preserve"> Periods no 2015.gada 9.martam nenorāda uz objektīvo tendenci, jo tiesvedības skaita pieaugums skaidrojams ar vērtēšanas kritērija “sabiedrības interešu aizskārums” sasaisti ar teritoriālās plānošanas dokumentiem, </w:t>
      </w:r>
      <w:r w:rsidR="00D45ED9">
        <w:rPr>
          <w:rFonts w:cs="Times New Roman"/>
          <w:sz w:val="28"/>
          <w:szCs w:val="28"/>
        </w:rPr>
        <w:t xml:space="preserve">kas </w:t>
      </w:r>
      <w:r w:rsidR="00DD0D35">
        <w:rPr>
          <w:rFonts w:cs="Times New Roman"/>
          <w:sz w:val="28"/>
          <w:szCs w:val="28"/>
        </w:rPr>
        <w:t xml:space="preserve">varētu būt </w:t>
      </w:r>
      <w:r w:rsidR="000A54BE">
        <w:rPr>
          <w:rFonts w:cs="Times New Roman"/>
          <w:sz w:val="28"/>
          <w:szCs w:val="28"/>
        </w:rPr>
        <w:t xml:space="preserve">pretrunā ar </w:t>
      </w:r>
      <w:r w:rsidR="00BC3D5E" w:rsidRPr="008E4324">
        <w:rPr>
          <w:rFonts w:cs="Times New Roman"/>
          <w:sz w:val="28"/>
          <w:szCs w:val="28"/>
        </w:rPr>
        <w:t>Augstākā</w:t>
      </w:r>
      <w:r w:rsidR="000A54BE">
        <w:rPr>
          <w:rFonts w:cs="Times New Roman"/>
          <w:sz w:val="28"/>
          <w:szCs w:val="28"/>
        </w:rPr>
        <w:t>s</w:t>
      </w:r>
      <w:r w:rsidR="00BC3D5E" w:rsidRPr="008E4324">
        <w:rPr>
          <w:rFonts w:cs="Times New Roman"/>
          <w:sz w:val="28"/>
          <w:szCs w:val="28"/>
        </w:rPr>
        <w:t xml:space="preserve"> ties</w:t>
      </w:r>
      <w:r w:rsidR="000A54BE">
        <w:rPr>
          <w:rFonts w:cs="Times New Roman"/>
          <w:sz w:val="28"/>
          <w:szCs w:val="28"/>
        </w:rPr>
        <w:t>as</w:t>
      </w:r>
      <w:r w:rsidR="00BC3D5E" w:rsidRPr="008E4324">
        <w:rPr>
          <w:rFonts w:cs="Times New Roman"/>
          <w:sz w:val="28"/>
          <w:szCs w:val="28"/>
        </w:rPr>
        <w:t xml:space="preserve"> </w:t>
      </w:r>
      <w:r w:rsidR="000A54BE">
        <w:rPr>
          <w:rFonts w:cs="Times New Roman"/>
          <w:sz w:val="28"/>
          <w:szCs w:val="28"/>
        </w:rPr>
        <w:t>norādīto</w:t>
      </w:r>
      <w:r w:rsidR="00BC3D5E" w:rsidRPr="008E4324">
        <w:rPr>
          <w:rFonts w:cs="Times New Roman"/>
          <w:sz w:val="28"/>
          <w:szCs w:val="28"/>
        </w:rPr>
        <w:t>,</w:t>
      </w:r>
      <w:r w:rsidR="000A54BE">
        <w:rPr>
          <w:rFonts w:cs="Times New Roman"/>
          <w:sz w:val="28"/>
          <w:szCs w:val="28"/>
        </w:rPr>
        <w:t xml:space="preserve"> ka,</w:t>
      </w:r>
      <w:r w:rsidR="00BC3D5E" w:rsidRPr="008E4324">
        <w:rPr>
          <w:rFonts w:cs="Times New Roman"/>
          <w:sz w:val="28"/>
          <w:szCs w:val="28"/>
        </w:rPr>
        <w:t xml:space="preserve"> “</w:t>
      </w:r>
      <w:r w:rsidR="00BC3D5E" w:rsidRPr="007571C1">
        <w:rPr>
          <w:rFonts w:cs="Times New Roman"/>
          <w:sz w:val="28"/>
          <w:szCs w:val="28"/>
        </w:rPr>
        <w:t>vērtējot sabiedrības interešu aizskāruma esību un būtiskumu, pašvaldībai jāraugās, lai pakalpojuma sniegšanas ierobežojumi nesniegtos tiktāl, ka pakalpojumu sniegšanas iespēja attiecīgajā administratīvajā teritorijā faktiski tiek izslēgta, pamatojot šādu lēmumu ar vispārīgu vērtību aizsardzību, ka iedzīvotāju liela daļa vai vairākums pret azartspēļu zāles atvēršanu izturas noliedzoši</w:t>
      </w:r>
      <w:r w:rsidR="006D388E">
        <w:rPr>
          <w:rFonts w:cs="Times New Roman"/>
          <w:sz w:val="28"/>
          <w:szCs w:val="28"/>
        </w:rPr>
        <w:t>”</w:t>
      </w:r>
      <w:r w:rsidR="00D053EC">
        <w:rPr>
          <w:rStyle w:val="FootnoteReference"/>
          <w:sz w:val="28"/>
          <w:szCs w:val="28"/>
        </w:rPr>
        <w:footnoteReference w:id="114"/>
      </w:r>
      <w:r w:rsidR="00BC3D5E" w:rsidRPr="007571C1">
        <w:rPr>
          <w:rFonts w:cs="Times New Roman"/>
          <w:sz w:val="28"/>
          <w:szCs w:val="28"/>
        </w:rPr>
        <w:t xml:space="preserve">. </w:t>
      </w:r>
    </w:p>
    <w:p w:rsidR="005C051B" w:rsidRPr="007571C1" w:rsidRDefault="00E974AD" w:rsidP="00FC7671">
      <w:pPr>
        <w:pStyle w:val="NormalWeb"/>
        <w:spacing w:before="0" w:beforeAutospacing="0" w:after="0" w:afterAutospacing="0"/>
        <w:ind w:firstLine="567"/>
        <w:jc w:val="both"/>
        <w:rPr>
          <w:rFonts w:ascii="Calibri" w:hAnsi="Calibri" w:cs="Calibri"/>
          <w:sz w:val="22"/>
          <w:szCs w:val="22"/>
        </w:rPr>
      </w:pPr>
      <w:r w:rsidRPr="00694594">
        <w:rPr>
          <w:sz w:val="28"/>
          <w:szCs w:val="28"/>
        </w:rPr>
        <w:t xml:space="preserve">Ņemot vērā iepriekš </w:t>
      </w:r>
      <w:r w:rsidR="00CB1347" w:rsidRPr="00694594">
        <w:rPr>
          <w:sz w:val="28"/>
          <w:szCs w:val="28"/>
        </w:rPr>
        <w:t xml:space="preserve">minētos apsvērumus, lai ievērojami samazinātu </w:t>
      </w:r>
      <w:r w:rsidR="00210DDB" w:rsidRPr="00CD1F14">
        <w:rPr>
          <w:sz w:val="28"/>
          <w:szCs w:val="28"/>
        </w:rPr>
        <w:t>administratīvo slogu pašvaldībām un t</w:t>
      </w:r>
      <w:r w:rsidR="00210DDB">
        <w:rPr>
          <w:sz w:val="28"/>
          <w:szCs w:val="28"/>
        </w:rPr>
        <w:t>iesām</w:t>
      </w:r>
      <w:r w:rsidR="005C051B" w:rsidRPr="009D32EA">
        <w:rPr>
          <w:sz w:val="28"/>
          <w:szCs w:val="28"/>
        </w:rPr>
        <w:t xml:space="preserve">, </w:t>
      </w:r>
      <w:r w:rsidR="005C051B" w:rsidRPr="00CF70F9">
        <w:rPr>
          <w:sz w:val="28"/>
          <w:szCs w:val="28"/>
        </w:rPr>
        <w:t xml:space="preserve">risinājums paredz paplašināt AIL </w:t>
      </w:r>
      <w:r w:rsidR="00CB1347">
        <w:rPr>
          <w:sz w:val="28"/>
          <w:szCs w:val="28"/>
        </w:rPr>
        <w:t xml:space="preserve">41.panta otrajā daļā </w:t>
      </w:r>
      <w:r w:rsidR="005C051B" w:rsidRPr="00CF70F9">
        <w:rPr>
          <w:sz w:val="28"/>
          <w:szCs w:val="28"/>
        </w:rPr>
        <w:t xml:space="preserve">minēto azartspēļu organizēšanas vietu ierobežojumu uzskaitījumu, </w:t>
      </w:r>
      <w:r w:rsidR="005B25AB">
        <w:rPr>
          <w:sz w:val="28"/>
          <w:szCs w:val="28"/>
        </w:rPr>
        <w:t xml:space="preserve">skaidri un nepārprotami nodefinējot vietas, kurās azartspēles nedrīkst būt pieejamas, </w:t>
      </w:r>
      <w:r w:rsidR="005C051B" w:rsidRPr="00CF70F9">
        <w:rPr>
          <w:sz w:val="28"/>
          <w:szCs w:val="28"/>
        </w:rPr>
        <w:t xml:space="preserve">vienlaikus </w:t>
      </w:r>
      <w:r w:rsidR="001027FE">
        <w:rPr>
          <w:sz w:val="28"/>
          <w:szCs w:val="28"/>
        </w:rPr>
        <w:t>atbrīvojot</w:t>
      </w:r>
      <w:r w:rsidR="00CB1347">
        <w:rPr>
          <w:sz w:val="28"/>
          <w:szCs w:val="28"/>
        </w:rPr>
        <w:t xml:space="preserve"> </w:t>
      </w:r>
      <w:r w:rsidR="005C051B" w:rsidRPr="00CF70F9">
        <w:rPr>
          <w:sz w:val="28"/>
          <w:szCs w:val="28"/>
        </w:rPr>
        <w:t>pašvaldīb</w:t>
      </w:r>
      <w:r w:rsidR="001027FE">
        <w:rPr>
          <w:sz w:val="28"/>
          <w:szCs w:val="28"/>
        </w:rPr>
        <w:t>as no nepieciešamības</w:t>
      </w:r>
      <w:r w:rsidR="00CB1347">
        <w:rPr>
          <w:sz w:val="28"/>
          <w:szCs w:val="28"/>
        </w:rPr>
        <w:t xml:space="preserve"> </w:t>
      </w:r>
      <w:r w:rsidR="005C051B" w:rsidRPr="00CF70F9">
        <w:rPr>
          <w:sz w:val="28"/>
          <w:szCs w:val="28"/>
        </w:rPr>
        <w:t>vērtēt būtisku sabiedrības tiesību aizskārumu</w:t>
      </w:r>
      <w:r w:rsidR="001027FE">
        <w:rPr>
          <w:sz w:val="28"/>
          <w:szCs w:val="28"/>
        </w:rPr>
        <w:t xml:space="preserve"> </w:t>
      </w:r>
      <w:r w:rsidR="005B25AB">
        <w:rPr>
          <w:sz w:val="28"/>
          <w:szCs w:val="28"/>
        </w:rPr>
        <w:t xml:space="preserve">katrā atsevišķā gadījumā </w:t>
      </w:r>
      <w:r w:rsidR="001027FE">
        <w:rPr>
          <w:sz w:val="28"/>
          <w:szCs w:val="28"/>
        </w:rPr>
        <w:t>konkrētajā vietā</w:t>
      </w:r>
      <w:r w:rsidR="005C051B">
        <w:rPr>
          <w:sz w:val="28"/>
          <w:szCs w:val="28"/>
        </w:rPr>
        <w:t>.</w:t>
      </w:r>
    </w:p>
    <w:p w:rsidR="005C051B" w:rsidRPr="009D32EA" w:rsidRDefault="005C051B" w:rsidP="00CF5C3F">
      <w:pPr>
        <w:ind w:firstLine="567"/>
        <w:jc w:val="both"/>
        <w:rPr>
          <w:sz w:val="28"/>
          <w:szCs w:val="28"/>
        </w:rPr>
      </w:pPr>
      <w:r w:rsidRPr="009D32EA">
        <w:rPr>
          <w:sz w:val="28"/>
          <w:szCs w:val="28"/>
        </w:rPr>
        <w:t xml:space="preserve">Atbilstoši </w:t>
      </w:r>
      <w:r>
        <w:rPr>
          <w:sz w:val="28"/>
          <w:szCs w:val="28"/>
        </w:rPr>
        <w:t xml:space="preserve">likumdevēja noteiktajam AIL 41.panta otrās daļas un 42.panta trešās daļas mērķim,  kā arī atbilstoši </w:t>
      </w:r>
      <w:r w:rsidR="00C772E9">
        <w:rPr>
          <w:sz w:val="28"/>
          <w:szCs w:val="28"/>
        </w:rPr>
        <w:t>j</w:t>
      </w:r>
      <w:r w:rsidRPr="009D32EA">
        <w:rPr>
          <w:sz w:val="28"/>
          <w:szCs w:val="28"/>
        </w:rPr>
        <w:t>udikatūrā nostiprinātajam atziņām par</w:t>
      </w:r>
      <w:r>
        <w:rPr>
          <w:sz w:val="28"/>
          <w:szCs w:val="28"/>
        </w:rPr>
        <w:t xml:space="preserve"> minēto normu</w:t>
      </w:r>
      <w:r w:rsidRPr="009D32EA">
        <w:rPr>
          <w:sz w:val="28"/>
          <w:szCs w:val="28"/>
        </w:rPr>
        <w:t xml:space="preserve"> mērķi kultūras</w:t>
      </w:r>
      <w:r>
        <w:rPr>
          <w:sz w:val="28"/>
          <w:szCs w:val="28"/>
        </w:rPr>
        <w:t>, izglītības iestāžu,</w:t>
      </w:r>
      <w:r w:rsidRPr="009D32EA">
        <w:rPr>
          <w:sz w:val="28"/>
          <w:szCs w:val="28"/>
        </w:rPr>
        <w:t xml:space="preserve"> reliģisko organizāciju iestāžu, bērnu rotaļu laukumu tuvums azartspēļu zālēm var provocēt</w:t>
      </w:r>
      <w:r w:rsidR="00D053EC">
        <w:rPr>
          <w:sz w:val="28"/>
          <w:szCs w:val="28"/>
        </w:rPr>
        <w:t>,</w:t>
      </w:r>
      <w:r w:rsidRPr="009D32EA">
        <w:rPr>
          <w:sz w:val="28"/>
          <w:szCs w:val="28"/>
        </w:rPr>
        <w:t xml:space="preserve"> cit</w:t>
      </w:r>
      <w:r w:rsidR="00D053EC">
        <w:rPr>
          <w:sz w:val="28"/>
          <w:szCs w:val="28"/>
        </w:rPr>
        <w:t>a</w:t>
      </w:r>
      <w:r w:rsidRPr="009D32EA">
        <w:rPr>
          <w:sz w:val="28"/>
          <w:szCs w:val="28"/>
        </w:rPr>
        <w:t>starp</w:t>
      </w:r>
      <w:r w:rsidR="00D053EC">
        <w:rPr>
          <w:sz w:val="28"/>
          <w:szCs w:val="28"/>
        </w:rPr>
        <w:t>,</w:t>
      </w:r>
      <w:r w:rsidRPr="009D32EA">
        <w:rPr>
          <w:sz w:val="28"/>
          <w:szCs w:val="28"/>
        </w:rPr>
        <w:t xml:space="preserve"> tieši nepilngadīgo personu interesi par azartspēlēm un tādējādi radīt kaitīgu ietekmi un pretrunas starp azartspēļu un kultūras, izglītības vai reliģisko organizāciju iestāžu piedāvātajām vērtībām</w:t>
      </w:r>
      <w:r>
        <w:rPr>
          <w:rStyle w:val="FootnoteReference"/>
          <w:sz w:val="28"/>
          <w:szCs w:val="28"/>
        </w:rPr>
        <w:footnoteReference w:id="115"/>
      </w:r>
      <w:r w:rsidRPr="009D32EA">
        <w:rPr>
          <w:sz w:val="28"/>
          <w:szCs w:val="28"/>
        </w:rPr>
        <w:t xml:space="preserve">. </w:t>
      </w:r>
    </w:p>
    <w:p w:rsidR="005C051B" w:rsidRDefault="005C051B" w:rsidP="00CF5C3F">
      <w:pPr>
        <w:ind w:firstLine="567"/>
        <w:jc w:val="both"/>
        <w:rPr>
          <w:sz w:val="28"/>
          <w:szCs w:val="28"/>
        </w:rPr>
      </w:pPr>
      <w:r>
        <w:rPr>
          <w:sz w:val="28"/>
          <w:szCs w:val="28"/>
        </w:rPr>
        <w:lastRenderedPageBreak/>
        <w:t>Papildus minētajam saskaņā ar likumd</w:t>
      </w:r>
      <w:r w:rsidR="00650CFA">
        <w:rPr>
          <w:sz w:val="28"/>
          <w:szCs w:val="28"/>
        </w:rPr>
        <w:t>evēja noteikto AIL 41.panta otrajā</w:t>
      </w:r>
      <w:r>
        <w:rPr>
          <w:sz w:val="28"/>
          <w:szCs w:val="28"/>
        </w:rPr>
        <w:t xml:space="preserve"> daļ</w:t>
      </w:r>
      <w:r w:rsidR="00650CFA">
        <w:rPr>
          <w:sz w:val="28"/>
          <w:szCs w:val="28"/>
        </w:rPr>
        <w:t>ā</w:t>
      </w:r>
      <w:r>
        <w:rPr>
          <w:sz w:val="28"/>
          <w:szCs w:val="28"/>
        </w:rPr>
        <w:t xml:space="preserve"> un 42.panta </w:t>
      </w:r>
      <w:r w:rsidR="00D45ED9">
        <w:rPr>
          <w:sz w:val="28"/>
          <w:szCs w:val="28"/>
        </w:rPr>
        <w:t>trešajā daļā</w:t>
      </w:r>
      <w:r>
        <w:rPr>
          <w:sz w:val="28"/>
          <w:szCs w:val="28"/>
        </w:rPr>
        <w:t xml:space="preserve">, kā arī atbilstoši </w:t>
      </w:r>
      <w:r w:rsidR="00D053EC">
        <w:rPr>
          <w:sz w:val="28"/>
          <w:szCs w:val="28"/>
        </w:rPr>
        <w:t>tiesu j</w:t>
      </w:r>
      <w:r w:rsidR="00D053EC" w:rsidRPr="009D32EA">
        <w:rPr>
          <w:sz w:val="28"/>
          <w:szCs w:val="28"/>
        </w:rPr>
        <w:t xml:space="preserve">udikatūrā </w:t>
      </w:r>
      <w:r w:rsidR="00D053EC">
        <w:rPr>
          <w:sz w:val="28"/>
          <w:szCs w:val="28"/>
        </w:rPr>
        <w:t>konstatētajam</w:t>
      </w:r>
      <w:r w:rsidR="00D053EC" w:rsidRPr="009D32EA">
        <w:rPr>
          <w:sz w:val="28"/>
          <w:szCs w:val="28"/>
        </w:rPr>
        <w:t xml:space="preserve"> </w:t>
      </w:r>
      <w:r w:rsidRPr="009D32EA">
        <w:rPr>
          <w:sz w:val="28"/>
          <w:szCs w:val="28"/>
        </w:rPr>
        <w:t>azartspēļu z</w:t>
      </w:r>
      <w:r w:rsidR="00C772E9">
        <w:rPr>
          <w:sz w:val="28"/>
          <w:szCs w:val="28"/>
        </w:rPr>
        <w:t>ā</w:t>
      </w:r>
      <w:r w:rsidRPr="009D32EA">
        <w:rPr>
          <w:sz w:val="28"/>
          <w:szCs w:val="28"/>
        </w:rPr>
        <w:t>ļu organizēšanas aizliegumam ir pamats vietās, kur vienlaikus ar sabiedrības kustības lielu intensitāti, palielinās risks, ka var pieaugt tādu azartspēļu zāl</w:t>
      </w:r>
      <w:r w:rsidR="00C772E9">
        <w:rPr>
          <w:sz w:val="28"/>
          <w:szCs w:val="28"/>
        </w:rPr>
        <w:t>ē</w:t>
      </w:r>
      <w:r w:rsidRPr="009D32EA">
        <w:rPr>
          <w:sz w:val="28"/>
          <w:szCs w:val="28"/>
        </w:rPr>
        <w:t xml:space="preserve"> nokļuvušo personu skaits, kuram tur nemaz nav bijis nolūks doties. Tādu risku palielināšana ir konstatējama</w:t>
      </w:r>
      <w:r w:rsidR="004A317B">
        <w:rPr>
          <w:sz w:val="28"/>
          <w:szCs w:val="28"/>
        </w:rPr>
        <w:t>, piemēram,</w:t>
      </w:r>
      <w:r w:rsidRPr="009D32EA">
        <w:rPr>
          <w:sz w:val="28"/>
          <w:szCs w:val="28"/>
        </w:rPr>
        <w:t xml:space="preserve"> </w:t>
      </w:r>
      <w:r w:rsidRPr="00CC53D8">
        <w:rPr>
          <w:sz w:val="28"/>
          <w:szCs w:val="28"/>
        </w:rPr>
        <w:t>staciju, autoostu, lidostu, ostu, sabiedriskā transporta pieturvietu tuvumā.</w:t>
      </w:r>
      <w:r w:rsidRPr="009D32EA">
        <w:rPr>
          <w:sz w:val="28"/>
          <w:szCs w:val="28"/>
        </w:rPr>
        <w:t xml:space="preserve"> </w:t>
      </w:r>
    </w:p>
    <w:p w:rsidR="005B25AB" w:rsidRDefault="005B25AB" w:rsidP="00CF5C3F">
      <w:pPr>
        <w:ind w:firstLine="567"/>
        <w:jc w:val="both"/>
        <w:rPr>
          <w:sz w:val="28"/>
          <w:szCs w:val="28"/>
        </w:rPr>
      </w:pPr>
      <w:r w:rsidRPr="00812AE6">
        <w:rPr>
          <w:rFonts w:cs="Times New Roman"/>
          <w:sz w:val="28"/>
          <w:szCs w:val="28"/>
        </w:rPr>
        <w:t xml:space="preserve">Attāluma noteikšana no ievainojamiem objektiem </w:t>
      </w:r>
      <w:r>
        <w:rPr>
          <w:rFonts w:cs="Times New Roman"/>
          <w:sz w:val="28"/>
          <w:szCs w:val="28"/>
        </w:rPr>
        <w:t xml:space="preserve">kā rīks </w:t>
      </w:r>
      <w:r w:rsidRPr="00812AE6">
        <w:rPr>
          <w:rFonts w:cs="Times New Roman"/>
          <w:sz w:val="28"/>
          <w:szCs w:val="28"/>
        </w:rPr>
        <w:t xml:space="preserve">pastāv Vācijas Federālajās </w:t>
      </w:r>
      <w:r w:rsidR="00B6554C">
        <w:rPr>
          <w:rFonts w:cs="Times New Roman"/>
          <w:sz w:val="28"/>
          <w:szCs w:val="28"/>
        </w:rPr>
        <w:t xml:space="preserve">zemēs </w:t>
      </w:r>
      <w:r w:rsidRPr="00812AE6">
        <w:rPr>
          <w:rFonts w:cs="Times New Roman"/>
          <w:sz w:val="28"/>
          <w:szCs w:val="28"/>
        </w:rPr>
        <w:t>(</w:t>
      </w:r>
      <w:r w:rsidRPr="00812AE6">
        <w:rPr>
          <w:color w:val="000000"/>
          <w:sz w:val="28"/>
          <w:szCs w:val="28"/>
        </w:rPr>
        <w:t>Lejassaksijā</w:t>
      </w:r>
      <w:r w:rsidRPr="00812AE6">
        <w:rPr>
          <w:rFonts w:cs="Times New Roman"/>
          <w:sz w:val="28"/>
          <w:szCs w:val="28"/>
        </w:rPr>
        <w:t>, Bavārij</w:t>
      </w:r>
      <w:r w:rsidR="00B6554C">
        <w:rPr>
          <w:rFonts w:cs="Times New Roman"/>
          <w:sz w:val="28"/>
          <w:szCs w:val="28"/>
        </w:rPr>
        <w:t>ā</w:t>
      </w:r>
      <w:r w:rsidRPr="00812AE6">
        <w:rPr>
          <w:rFonts w:cs="Times New Roman"/>
          <w:sz w:val="28"/>
          <w:szCs w:val="28"/>
        </w:rPr>
        <w:t>), Berlīnē</w:t>
      </w:r>
      <w:r w:rsidR="0042368B">
        <w:rPr>
          <w:rFonts w:cs="Times New Roman"/>
          <w:sz w:val="28"/>
          <w:szCs w:val="28"/>
        </w:rPr>
        <w:t>,</w:t>
      </w:r>
      <w:r>
        <w:rPr>
          <w:rStyle w:val="FootnoteReference"/>
          <w:sz w:val="28"/>
          <w:szCs w:val="28"/>
        </w:rPr>
        <w:footnoteReference w:id="116"/>
      </w:r>
      <w:r w:rsidRPr="00812AE6">
        <w:rPr>
          <w:rFonts w:cs="Times New Roman"/>
          <w:sz w:val="28"/>
          <w:szCs w:val="28"/>
        </w:rPr>
        <w:t xml:space="preserve"> Itālijā</w:t>
      </w:r>
      <w:r w:rsidRPr="001D5E5F">
        <w:rPr>
          <w:rStyle w:val="FootnoteReference"/>
          <w:sz w:val="28"/>
          <w:szCs w:val="28"/>
        </w:rPr>
        <w:footnoteReference w:id="117"/>
      </w:r>
      <w:r w:rsidRPr="00812AE6">
        <w:rPr>
          <w:rFonts w:cs="Times New Roman"/>
          <w:sz w:val="28"/>
          <w:szCs w:val="28"/>
        </w:rPr>
        <w:t>, Beļģijā</w:t>
      </w:r>
      <w:r>
        <w:rPr>
          <w:rStyle w:val="FootnoteReference"/>
          <w:sz w:val="28"/>
          <w:szCs w:val="28"/>
        </w:rPr>
        <w:footnoteReference w:id="118"/>
      </w:r>
      <w:r w:rsidR="0042368B">
        <w:rPr>
          <w:rFonts w:cs="Times New Roman"/>
          <w:sz w:val="28"/>
          <w:szCs w:val="28"/>
        </w:rPr>
        <w:t xml:space="preserve"> un</w:t>
      </w:r>
      <w:r w:rsidRPr="00812AE6">
        <w:rPr>
          <w:rFonts w:cs="Times New Roman"/>
          <w:sz w:val="28"/>
          <w:szCs w:val="28"/>
        </w:rPr>
        <w:t xml:space="preserve"> Maltā</w:t>
      </w:r>
      <w:r>
        <w:rPr>
          <w:rStyle w:val="FootnoteReference"/>
          <w:sz w:val="28"/>
          <w:szCs w:val="28"/>
        </w:rPr>
        <w:footnoteReference w:id="119"/>
      </w:r>
      <w:r w:rsidRPr="00812AE6">
        <w:rPr>
          <w:rFonts w:cs="Times New Roman"/>
          <w:sz w:val="28"/>
          <w:szCs w:val="28"/>
        </w:rPr>
        <w:t>.</w:t>
      </w:r>
    </w:p>
    <w:p w:rsidR="00BB5F07" w:rsidRDefault="005C051B" w:rsidP="00CF5C3F">
      <w:pPr>
        <w:ind w:firstLine="567"/>
        <w:jc w:val="both"/>
        <w:rPr>
          <w:sz w:val="28"/>
          <w:szCs w:val="28"/>
        </w:rPr>
      </w:pPr>
      <w:r w:rsidRPr="00E501F9">
        <w:rPr>
          <w:sz w:val="28"/>
          <w:szCs w:val="28"/>
        </w:rPr>
        <w:t>Ņemot vērā starpt</w:t>
      </w:r>
      <w:r w:rsidRPr="009D32EA">
        <w:rPr>
          <w:sz w:val="28"/>
          <w:szCs w:val="28"/>
        </w:rPr>
        <w:t xml:space="preserve">autiskos labas prakses piemērus, </w:t>
      </w:r>
      <w:r w:rsidR="00CB1347">
        <w:rPr>
          <w:sz w:val="28"/>
          <w:szCs w:val="28"/>
        </w:rPr>
        <w:t xml:space="preserve">judikatūrā nostiprinātās atziņas, </w:t>
      </w:r>
      <w:r w:rsidRPr="009D32EA">
        <w:rPr>
          <w:sz w:val="28"/>
          <w:szCs w:val="28"/>
        </w:rPr>
        <w:t>kā arī pētījumos konstatēt</w:t>
      </w:r>
      <w:r w:rsidR="00CB1347">
        <w:rPr>
          <w:sz w:val="28"/>
          <w:szCs w:val="28"/>
        </w:rPr>
        <w:t>os secinājumus</w:t>
      </w:r>
      <w:r w:rsidRPr="009D32EA">
        <w:rPr>
          <w:sz w:val="28"/>
          <w:szCs w:val="28"/>
        </w:rPr>
        <w:t xml:space="preserve">, </w:t>
      </w:r>
      <w:r w:rsidR="002131A1">
        <w:rPr>
          <w:sz w:val="28"/>
          <w:szCs w:val="28"/>
        </w:rPr>
        <w:t>ir piedāvāts risinājums, kur</w:t>
      </w:r>
      <w:r w:rsidR="00BB5F07">
        <w:rPr>
          <w:sz w:val="28"/>
          <w:szCs w:val="28"/>
        </w:rPr>
        <w:t>š</w:t>
      </w:r>
      <w:r w:rsidR="002131A1">
        <w:rPr>
          <w:sz w:val="28"/>
          <w:szCs w:val="28"/>
        </w:rPr>
        <w:t xml:space="preserve"> paredz</w:t>
      </w:r>
      <w:r w:rsidRPr="009D32EA">
        <w:rPr>
          <w:sz w:val="28"/>
          <w:szCs w:val="28"/>
        </w:rPr>
        <w:t xml:space="preserve"> </w:t>
      </w:r>
      <w:r w:rsidRPr="00E501F9">
        <w:rPr>
          <w:sz w:val="28"/>
          <w:szCs w:val="28"/>
        </w:rPr>
        <w:t>azartspēļu</w:t>
      </w:r>
      <w:r w:rsidRPr="009D32EA">
        <w:rPr>
          <w:sz w:val="28"/>
          <w:szCs w:val="28"/>
        </w:rPr>
        <w:t xml:space="preserve"> organizēšanas vietas</w:t>
      </w:r>
      <w:r w:rsidR="00D053EC">
        <w:rPr>
          <w:sz w:val="28"/>
          <w:szCs w:val="28"/>
        </w:rPr>
        <w:t xml:space="preserve"> novirzīt</w:t>
      </w:r>
      <w:r w:rsidRPr="009D32EA">
        <w:rPr>
          <w:sz w:val="28"/>
          <w:szCs w:val="28"/>
        </w:rPr>
        <w:t xml:space="preserve"> no dzīvojamām mājām, nosakot aizliegumu spēļu zāļu organizēšanai dzīvojamās ēkās ārpus R</w:t>
      </w:r>
      <w:r>
        <w:rPr>
          <w:sz w:val="28"/>
          <w:szCs w:val="28"/>
        </w:rPr>
        <w:t>īgas centra</w:t>
      </w:r>
      <w:r w:rsidRPr="009D32EA">
        <w:rPr>
          <w:sz w:val="28"/>
          <w:szCs w:val="28"/>
        </w:rPr>
        <w:t xml:space="preserve"> un tā aizsardzības zonas, kā arī </w:t>
      </w:r>
      <w:r w:rsidRPr="008B5C96">
        <w:rPr>
          <w:sz w:val="28"/>
          <w:szCs w:val="28"/>
        </w:rPr>
        <w:t xml:space="preserve">dzīvojamās ēkās </w:t>
      </w:r>
      <w:r w:rsidRPr="009D32EA">
        <w:rPr>
          <w:sz w:val="28"/>
          <w:szCs w:val="28"/>
        </w:rPr>
        <w:t>citās Latvijas pilsētās.</w:t>
      </w:r>
      <w:r w:rsidR="00B5277E">
        <w:rPr>
          <w:sz w:val="28"/>
          <w:szCs w:val="28"/>
        </w:rPr>
        <w:t xml:space="preserve"> </w:t>
      </w:r>
    </w:p>
    <w:p w:rsidR="00340259" w:rsidRPr="00335F4A" w:rsidRDefault="00BB5F07" w:rsidP="00335F4A">
      <w:pPr>
        <w:ind w:firstLine="567"/>
        <w:jc w:val="both"/>
        <w:rPr>
          <w:sz w:val="28"/>
          <w:szCs w:val="28"/>
        </w:rPr>
      </w:pPr>
      <w:r>
        <w:rPr>
          <w:sz w:val="28"/>
          <w:szCs w:val="28"/>
        </w:rPr>
        <w:t>Jāatzīmē, ka azartspēļu organizēšanas vietu augstas pieejamības problemātiku būtiski risina neitrālā vizuālā izskata prasību ieviešana (skat. šī dokumenta 3.1.apaškdaļu). Neskatoties uz to, r</w:t>
      </w:r>
      <w:r w:rsidR="00B5277E">
        <w:rPr>
          <w:sz w:val="28"/>
          <w:szCs w:val="28"/>
        </w:rPr>
        <w:t>isinājums paredz papildus AIL 41.panta</w:t>
      </w:r>
      <w:r w:rsidR="00924215">
        <w:rPr>
          <w:sz w:val="28"/>
          <w:szCs w:val="28"/>
        </w:rPr>
        <w:t xml:space="preserve"> otrās daļas</w:t>
      </w:r>
      <w:r w:rsidR="00B5277E">
        <w:rPr>
          <w:sz w:val="28"/>
          <w:szCs w:val="28"/>
        </w:rPr>
        <w:t xml:space="preserve"> ierobežojumiem noteikt aizliegumu rīkot azartspēles šādās </w:t>
      </w:r>
      <w:r>
        <w:rPr>
          <w:sz w:val="28"/>
          <w:szCs w:val="28"/>
        </w:rPr>
        <w:t xml:space="preserve">paaugstinātā riska </w:t>
      </w:r>
      <w:r w:rsidR="00B5277E">
        <w:rPr>
          <w:sz w:val="28"/>
          <w:szCs w:val="28"/>
        </w:rPr>
        <w:t>vietās:</w:t>
      </w:r>
      <w:r w:rsidR="00F167A6" w:rsidRPr="00335F4A">
        <w:rPr>
          <w:sz w:val="28"/>
          <w:szCs w:val="28"/>
        </w:rPr>
        <w:t xml:space="preserve"> </w:t>
      </w:r>
    </w:p>
    <w:p w:rsidR="00340259" w:rsidRPr="00335F4A" w:rsidRDefault="00F167A6">
      <w:pPr>
        <w:pStyle w:val="ListParagraph"/>
        <w:ind w:left="0" w:firstLine="1134"/>
        <w:jc w:val="both"/>
        <w:rPr>
          <w:sz w:val="28"/>
          <w:szCs w:val="28"/>
        </w:rPr>
      </w:pPr>
      <w:r>
        <w:rPr>
          <w:sz w:val="28"/>
          <w:szCs w:val="28"/>
        </w:rPr>
        <w:t>a</w:t>
      </w:r>
      <w:r w:rsidR="00340259">
        <w:rPr>
          <w:sz w:val="28"/>
          <w:szCs w:val="28"/>
        </w:rPr>
        <w:t xml:space="preserve">) </w:t>
      </w:r>
      <w:r w:rsidR="00C61EE8" w:rsidRPr="00C61EE8">
        <w:rPr>
          <w:sz w:val="28"/>
          <w:szCs w:val="28"/>
        </w:rPr>
        <w:t>ēkās vai būvēs, kur izvietotas pirmsskolas izglītības iestādes, pamata un vidējās izglītības iestādes un 250 metru attālumā/ perimetrā no to ieejas</w:t>
      </w:r>
      <w:r w:rsidRPr="00BE0F70">
        <w:rPr>
          <w:sz w:val="28"/>
          <w:szCs w:val="28"/>
        </w:rPr>
        <w:t>;</w:t>
      </w:r>
    </w:p>
    <w:p w:rsidR="00340259" w:rsidRPr="00C61EE8" w:rsidRDefault="0025656B" w:rsidP="00340259">
      <w:pPr>
        <w:pStyle w:val="ListParagraph"/>
        <w:ind w:left="0" w:firstLine="1134"/>
        <w:jc w:val="both"/>
        <w:rPr>
          <w:sz w:val="28"/>
          <w:szCs w:val="28"/>
        </w:rPr>
      </w:pPr>
      <w:r w:rsidRPr="00BE0F70">
        <w:rPr>
          <w:sz w:val="28"/>
          <w:szCs w:val="28"/>
        </w:rPr>
        <w:t>b</w:t>
      </w:r>
      <w:r w:rsidR="00340259" w:rsidRPr="00335F4A">
        <w:rPr>
          <w:sz w:val="28"/>
          <w:szCs w:val="28"/>
        </w:rPr>
        <w:t xml:space="preserve">) </w:t>
      </w:r>
      <w:r w:rsidR="00C61EE8" w:rsidRPr="00BE0F70">
        <w:rPr>
          <w:sz w:val="28"/>
          <w:szCs w:val="28"/>
        </w:rPr>
        <w:t>publiskos spēļu un rekreācijas laukumos (termins “publiskais</w:t>
      </w:r>
      <w:r w:rsidR="00C61EE8" w:rsidRPr="00C61EE8">
        <w:rPr>
          <w:sz w:val="28"/>
          <w:szCs w:val="28"/>
        </w:rPr>
        <w:t xml:space="preserve"> spēļu un rekreācijas laukums” tiek lietots 2020.gada 7.janvāra Ministru kabineta noteikumu Nr. 18 “Spēļu un rekreācijas lauku</w:t>
      </w:r>
      <w:r w:rsidR="00894556">
        <w:rPr>
          <w:sz w:val="28"/>
          <w:szCs w:val="28"/>
        </w:rPr>
        <w:t>mu drošuma noteikumi” izpratnē)</w:t>
      </w:r>
      <w:r w:rsidR="00C61EE8" w:rsidRPr="00C61EE8">
        <w:rPr>
          <w:sz w:val="28"/>
          <w:szCs w:val="28"/>
        </w:rPr>
        <w:t xml:space="preserve"> un 250 metru attālumā/ perimetrā no to ieejas</w:t>
      </w:r>
      <w:r w:rsidR="00340259" w:rsidRPr="00C61EE8">
        <w:rPr>
          <w:sz w:val="28"/>
          <w:szCs w:val="28"/>
        </w:rPr>
        <w:t>;</w:t>
      </w:r>
      <w:r w:rsidR="00340259" w:rsidRPr="00C61EE8">
        <w:rPr>
          <w:color w:val="000000"/>
          <w:sz w:val="28"/>
          <w:szCs w:val="28"/>
        </w:rPr>
        <w:t xml:space="preserve">  </w:t>
      </w:r>
    </w:p>
    <w:p w:rsidR="00340259" w:rsidRDefault="00C61EE8" w:rsidP="00340259">
      <w:pPr>
        <w:pStyle w:val="ListParagraph"/>
        <w:ind w:left="0" w:firstLine="1134"/>
        <w:jc w:val="both"/>
        <w:rPr>
          <w:sz w:val="28"/>
          <w:szCs w:val="28"/>
        </w:rPr>
      </w:pPr>
      <w:r>
        <w:rPr>
          <w:sz w:val="28"/>
          <w:szCs w:val="28"/>
        </w:rPr>
        <w:t>c</w:t>
      </w:r>
      <w:r w:rsidR="00340259">
        <w:rPr>
          <w:sz w:val="28"/>
          <w:szCs w:val="28"/>
        </w:rPr>
        <w:t>) dzīvojamās ēkās ārpus Rīgas centra un tā aizsardzības zonas, kā arī dzīvojamās ēkās citās Latvijas pilsētās</w:t>
      </w:r>
      <w:r w:rsidR="0025656B">
        <w:rPr>
          <w:sz w:val="28"/>
          <w:szCs w:val="28"/>
        </w:rPr>
        <w:t>.</w:t>
      </w:r>
    </w:p>
    <w:p w:rsidR="00340259" w:rsidRDefault="00F167A6" w:rsidP="00340259">
      <w:pPr>
        <w:ind w:left="142" w:firstLine="992"/>
        <w:jc w:val="both"/>
        <w:rPr>
          <w:rFonts w:cs="Times New Roman"/>
          <w:sz w:val="28"/>
          <w:szCs w:val="28"/>
        </w:rPr>
      </w:pPr>
      <w:r>
        <w:rPr>
          <w:rFonts w:cs="Times New Roman"/>
          <w:sz w:val="28"/>
          <w:szCs w:val="28"/>
        </w:rPr>
        <w:t xml:space="preserve"> </w:t>
      </w:r>
    </w:p>
    <w:p w:rsidR="00924215" w:rsidRPr="00483F95" w:rsidRDefault="00C75608" w:rsidP="00924215">
      <w:pPr>
        <w:ind w:firstLine="709"/>
        <w:jc w:val="both"/>
        <w:rPr>
          <w:rFonts w:cs="Times New Roman"/>
          <w:sz w:val="28"/>
          <w:szCs w:val="28"/>
        </w:rPr>
      </w:pPr>
      <w:r w:rsidRPr="00483F95">
        <w:rPr>
          <w:sz w:val="28"/>
          <w:szCs w:val="28"/>
        </w:rPr>
        <w:t>AIL 41.panta</w:t>
      </w:r>
      <w:r w:rsidR="00924215" w:rsidRPr="00483F95">
        <w:rPr>
          <w:sz w:val="28"/>
          <w:szCs w:val="28"/>
        </w:rPr>
        <w:t xml:space="preserve"> otrajā daļā paredzētie attālumi no vietām, kur aizliegts organizēt azartspēlēs,  neattiecas </w:t>
      </w:r>
      <w:r w:rsidR="00924215" w:rsidRPr="00483F95">
        <w:rPr>
          <w:rFonts w:cs="Times New Roman"/>
          <w:sz w:val="28"/>
          <w:szCs w:val="28"/>
        </w:rPr>
        <w:t xml:space="preserve">uz </w:t>
      </w:r>
      <w:r w:rsidR="00924215" w:rsidRPr="00483F95">
        <w:rPr>
          <w:rFonts w:cs="Times New Roman"/>
          <w:sz w:val="28"/>
          <w:szCs w:val="28"/>
          <w:shd w:val="clear" w:color="auto" w:fill="FFFFFF"/>
        </w:rPr>
        <w:t>IV kategorijas vai V kategorijas viesnīcās organizētaj</w:t>
      </w:r>
      <w:r w:rsidR="00A31DE2" w:rsidRPr="00483F95">
        <w:rPr>
          <w:rFonts w:cs="Times New Roman"/>
          <w:sz w:val="28"/>
          <w:szCs w:val="28"/>
          <w:shd w:val="clear" w:color="auto" w:fill="FFFFFF"/>
        </w:rPr>
        <w:t>ām</w:t>
      </w:r>
      <w:r w:rsidR="00924215" w:rsidRPr="00483F95">
        <w:rPr>
          <w:rFonts w:cs="Times New Roman"/>
          <w:sz w:val="28"/>
          <w:szCs w:val="28"/>
          <w:shd w:val="clear" w:color="auto" w:fill="FFFFFF"/>
        </w:rPr>
        <w:t xml:space="preserve"> </w:t>
      </w:r>
      <w:r w:rsidR="00A31DE2" w:rsidRPr="00483F95">
        <w:rPr>
          <w:rFonts w:cs="Times New Roman"/>
          <w:sz w:val="28"/>
          <w:szCs w:val="28"/>
          <w:shd w:val="clear" w:color="auto" w:fill="FFFFFF"/>
        </w:rPr>
        <w:t>azartspēļu vietām</w:t>
      </w:r>
      <w:r w:rsidR="00924215" w:rsidRPr="00483F95">
        <w:rPr>
          <w:rFonts w:cs="Times New Roman"/>
          <w:sz w:val="28"/>
          <w:szCs w:val="28"/>
          <w:shd w:val="clear" w:color="auto" w:fill="FFFFFF"/>
        </w:rPr>
        <w:t xml:space="preserve">, ja ieeja uz </w:t>
      </w:r>
      <w:r w:rsidR="00852384" w:rsidRPr="00483F95">
        <w:rPr>
          <w:rFonts w:cs="Times New Roman"/>
          <w:sz w:val="28"/>
          <w:szCs w:val="28"/>
          <w:shd w:val="clear" w:color="auto" w:fill="FFFFFF"/>
        </w:rPr>
        <w:t>tām</w:t>
      </w:r>
      <w:r w:rsidR="00924215" w:rsidRPr="00483F95">
        <w:rPr>
          <w:rFonts w:cs="Times New Roman"/>
          <w:sz w:val="28"/>
          <w:szCs w:val="28"/>
          <w:shd w:val="clear" w:color="auto" w:fill="FFFFFF"/>
        </w:rPr>
        <w:t xml:space="preserve"> nav no viesnīcas ēkas ārpuses. </w:t>
      </w:r>
    </w:p>
    <w:p w:rsidR="005C051B" w:rsidRPr="00200E5F" w:rsidRDefault="001A5A0A" w:rsidP="00200E5F">
      <w:pPr>
        <w:ind w:firstLine="709"/>
        <w:jc w:val="both"/>
        <w:rPr>
          <w:rFonts w:cs="Times New Roman"/>
          <w:sz w:val="28"/>
          <w:szCs w:val="28"/>
        </w:rPr>
      </w:pPr>
      <w:r w:rsidRPr="00200E5F">
        <w:rPr>
          <w:rFonts w:cs="Times New Roman"/>
          <w:sz w:val="28"/>
          <w:szCs w:val="28"/>
        </w:rPr>
        <w:t xml:space="preserve">Risinājums paredz </w:t>
      </w:r>
      <w:r w:rsidR="00B6554C" w:rsidRPr="00200E5F">
        <w:rPr>
          <w:rFonts w:cs="Times New Roman"/>
          <w:sz w:val="28"/>
          <w:szCs w:val="28"/>
        </w:rPr>
        <w:t>konkrēt</w:t>
      </w:r>
      <w:r w:rsidR="00B6554C">
        <w:rPr>
          <w:rFonts w:cs="Times New Roman"/>
          <w:sz w:val="28"/>
          <w:szCs w:val="28"/>
        </w:rPr>
        <w:t>u</w:t>
      </w:r>
      <w:r w:rsidR="00B6554C" w:rsidRPr="00200E5F">
        <w:rPr>
          <w:rFonts w:cs="Times New Roman"/>
          <w:sz w:val="28"/>
          <w:szCs w:val="28"/>
        </w:rPr>
        <w:t xml:space="preserve"> </w:t>
      </w:r>
      <w:r w:rsidRPr="00200E5F">
        <w:rPr>
          <w:rFonts w:cs="Times New Roman"/>
          <w:sz w:val="28"/>
          <w:szCs w:val="28"/>
        </w:rPr>
        <w:t>azartspēļu organizēšanas vietu atļauju izsniegšan</w:t>
      </w:r>
      <w:r w:rsidR="00504766">
        <w:rPr>
          <w:rFonts w:cs="Times New Roman"/>
          <w:sz w:val="28"/>
          <w:szCs w:val="28"/>
        </w:rPr>
        <w:t>u, procesā iesaistot tikai IAUI, samazinot iesaistīto administratīvo slogu.</w:t>
      </w:r>
      <w:r w:rsidR="00C04FB2">
        <w:rPr>
          <w:rFonts w:cs="Times New Roman"/>
          <w:sz w:val="28"/>
          <w:szCs w:val="28"/>
        </w:rPr>
        <w:t xml:space="preserve"> </w:t>
      </w:r>
    </w:p>
    <w:p w:rsidR="00610035" w:rsidRPr="00200E5F" w:rsidRDefault="00610035" w:rsidP="00200E5F">
      <w:pPr>
        <w:pStyle w:val="NoSpacing"/>
        <w:ind w:firstLine="709"/>
        <w:jc w:val="both"/>
        <w:rPr>
          <w:rFonts w:ascii="Times New Roman" w:hAnsi="Times New Roman" w:cs="Times New Roman"/>
          <w:sz w:val="28"/>
          <w:szCs w:val="28"/>
        </w:rPr>
      </w:pPr>
      <w:r w:rsidRPr="00200E5F">
        <w:rPr>
          <w:rFonts w:ascii="Times New Roman" w:hAnsi="Times New Roman" w:cs="Times New Roman"/>
          <w:sz w:val="28"/>
          <w:szCs w:val="28"/>
        </w:rPr>
        <w:t xml:space="preserve">Uz </w:t>
      </w:r>
      <w:r w:rsidR="000E5D4E" w:rsidRPr="00200E5F">
        <w:rPr>
          <w:rFonts w:ascii="Times New Roman" w:hAnsi="Times New Roman" w:cs="Times New Roman"/>
          <w:sz w:val="28"/>
          <w:szCs w:val="28"/>
        </w:rPr>
        <w:t>20</w:t>
      </w:r>
      <w:r w:rsidR="000E5D4E">
        <w:rPr>
          <w:rFonts w:ascii="Times New Roman" w:hAnsi="Times New Roman" w:cs="Times New Roman"/>
          <w:sz w:val="28"/>
          <w:szCs w:val="28"/>
        </w:rPr>
        <w:t>20</w:t>
      </w:r>
      <w:r w:rsidRPr="00200E5F">
        <w:rPr>
          <w:rFonts w:ascii="Times New Roman" w:hAnsi="Times New Roman" w:cs="Times New Roman"/>
          <w:sz w:val="28"/>
          <w:szCs w:val="28"/>
        </w:rPr>
        <w:t>.gada 1.</w:t>
      </w:r>
      <w:r w:rsidR="000E5D4E">
        <w:rPr>
          <w:rFonts w:ascii="Times New Roman" w:hAnsi="Times New Roman" w:cs="Times New Roman"/>
          <w:sz w:val="28"/>
          <w:szCs w:val="28"/>
        </w:rPr>
        <w:t>janvāri</w:t>
      </w:r>
      <w:r w:rsidR="000E5D4E" w:rsidRPr="00200E5F">
        <w:rPr>
          <w:rFonts w:ascii="Times New Roman" w:hAnsi="Times New Roman" w:cs="Times New Roman"/>
          <w:sz w:val="28"/>
          <w:szCs w:val="28"/>
        </w:rPr>
        <w:t xml:space="preserve"> </w:t>
      </w:r>
      <w:r w:rsidRPr="00200E5F">
        <w:rPr>
          <w:rFonts w:ascii="Times New Roman" w:hAnsi="Times New Roman" w:cs="Times New Roman"/>
          <w:sz w:val="28"/>
          <w:szCs w:val="28"/>
        </w:rPr>
        <w:t xml:space="preserve">Latvijā </w:t>
      </w:r>
      <w:r w:rsidR="000E5D4E" w:rsidRPr="00200E5F">
        <w:rPr>
          <w:rFonts w:ascii="Times New Roman" w:hAnsi="Times New Roman" w:cs="Times New Roman"/>
          <w:sz w:val="28"/>
          <w:szCs w:val="28"/>
        </w:rPr>
        <w:t>3</w:t>
      </w:r>
      <w:r w:rsidR="000E5D4E">
        <w:rPr>
          <w:rFonts w:ascii="Times New Roman" w:hAnsi="Times New Roman" w:cs="Times New Roman"/>
          <w:sz w:val="28"/>
          <w:szCs w:val="28"/>
        </w:rPr>
        <w:t>10</w:t>
      </w:r>
      <w:r w:rsidR="000E5D4E" w:rsidRPr="00200E5F">
        <w:rPr>
          <w:rFonts w:ascii="Times New Roman" w:hAnsi="Times New Roman" w:cs="Times New Roman"/>
          <w:sz w:val="28"/>
          <w:szCs w:val="28"/>
        </w:rPr>
        <w:t xml:space="preserve"> </w:t>
      </w:r>
      <w:r w:rsidRPr="00200E5F">
        <w:rPr>
          <w:rFonts w:ascii="Times New Roman" w:hAnsi="Times New Roman" w:cs="Times New Roman"/>
          <w:sz w:val="28"/>
          <w:szCs w:val="28"/>
        </w:rPr>
        <w:t xml:space="preserve">azartspēļu zāles izvietotas </w:t>
      </w:r>
      <w:r w:rsidR="000E5D4E" w:rsidRPr="00200E5F">
        <w:rPr>
          <w:rFonts w:ascii="Times New Roman" w:hAnsi="Times New Roman" w:cs="Times New Roman"/>
          <w:sz w:val="28"/>
          <w:szCs w:val="28"/>
        </w:rPr>
        <w:t>3</w:t>
      </w:r>
      <w:r w:rsidR="000E5D4E">
        <w:rPr>
          <w:rFonts w:ascii="Times New Roman" w:hAnsi="Times New Roman" w:cs="Times New Roman"/>
          <w:sz w:val="28"/>
          <w:szCs w:val="28"/>
        </w:rPr>
        <w:t>9</w:t>
      </w:r>
      <w:r w:rsidR="000E5D4E" w:rsidRPr="00200E5F">
        <w:rPr>
          <w:rFonts w:ascii="Times New Roman" w:hAnsi="Times New Roman" w:cs="Times New Roman"/>
          <w:sz w:val="28"/>
          <w:szCs w:val="28"/>
        </w:rPr>
        <w:t xml:space="preserve"> </w:t>
      </w:r>
      <w:r w:rsidRPr="00200E5F">
        <w:rPr>
          <w:rFonts w:ascii="Times New Roman" w:hAnsi="Times New Roman" w:cs="Times New Roman"/>
          <w:sz w:val="28"/>
          <w:szCs w:val="28"/>
        </w:rPr>
        <w:t>pašvaldībās:</w:t>
      </w:r>
    </w:p>
    <w:p w:rsidR="00610035" w:rsidRPr="00200E5F" w:rsidRDefault="00610035" w:rsidP="006E445A">
      <w:pPr>
        <w:pStyle w:val="NoSpacing"/>
        <w:numPr>
          <w:ilvl w:val="0"/>
          <w:numId w:val="38"/>
        </w:numPr>
        <w:ind w:left="0" w:firstLine="709"/>
        <w:jc w:val="both"/>
        <w:rPr>
          <w:rFonts w:ascii="Times New Roman" w:hAnsi="Times New Roman" w:cs="Times New Roman"/>
          <w:sz w:val="28"/>
          <w:szCs w:val="28"/>
        </w:rPr>
      </w:pPr>
      <w:r w:rsidRPr="00200E5F">
        <w:rPr>
          <w:rFonts w:ascii="Times New Roman" w:hAnsi="Times New Roman" w:cs="Times New Roman"/>
          <w:sz w:val="28"/>
          <w:szCs w:val="28"/>
        </w:rPr>
        <w:t xml:space="preserve">Rīgā izvietotas </w:t>
      </w:r>
      <w:r w:rsidR="000E5D4E" w:rsidRPr="00200E5F">
        <w:rPr>
          <w:rFonts w:ascii="Times New Roman" w:hAnsi="Times New Roman" w:cs="Times New Roman"/>
          <w:sz w:val="28"/>
          <w:szCs w:val="28"/>
        </w:rPr>
        <w:t>1</w:t>
      </w:r>
      <w:r w:rsidR="000E5D4E">
        <w:rPr>
          <w:rFonts w:ascii="Times New Roman" w:hAnsi="Times New Roman" w:cs="Times New Roman"/>
          <w:sz w:val="28"/>
          <w:szCs w:val="28"/>
        </w:rPr>
        <w:t>50</w:t>
      </w:r>
      <w:r w:rsidR="000E5D4E" w:rsidRPr="00200E5F">
        <w:rPr>
          <w:rFonts w:ascii="Times New Roman" w:hAnsi="Times New Roman" w:cs="Times New Roman"/>
          <w:sz w:val="28"/>
          <w:szCs w:val="28"/>
        </w:rPr>
        <w:t xml:space="preserve"> </w:t>
      </w:r>
      <w:r w:rsidRPr="00200E5F">
        <w:rPr>
          <w:rFonts w:ascii="Times New Roman" w:hAnsi="Times New Roman" w:cs="Times New Roman"/>
          <w:sz w:val="28"/>
          <w:szCs w:val="28"/>
        </w:rPr>
        <w:t>spēļu zāles;</w:t>
      </w:r>
    </w:p>
    <w:p w:rsidR="00610035" w:rsidRPr="000E5D4E" w:rsidRDefault="00610035" w:rsidP="006E445A">
      <w:pPr>
        <w:pStyle w:val="NoSpacing"/>
        <w:numPr>
          <w:ilvl w:val="0"/>
          <w:numId w:val="38"/>
        </w:numPr>
        <w:ind w:left="0" w:firstLine="709"/>
        <w:jc w:val="both"/>
        <w:rPr>
          <w:rFonts w:ascii="Times New Roman" w:hAnsi="Times New Roman" w:cs="Times New Roman"/>
          <w:sz w:val="28"/>
          <w:szCs w:val="28"/>
        </w:rPr>
      </w:pPr>
      <w:r w:rsidRPr="00200E5F">
        <w:rPr>
          <w:rFonts w:ascii="Times New Roman" w:hAnsi="Times New Roman" w:cs="Times New Roman"/>
          <w:sz w:val="28"/>
          <w:szCs w:val="28"/>
        </w:rPr>
        <w:lastRenderedPageBreak/>
        <w:t>10</w:t>
      </w:r>
      <w:r w:rsidR="00DE797E">
        <w:rPr>
          <w:rFonts w:ascii="Times New Roman" w:hAnsi="Times New Roman" w:cs="Times New Roman"/>
          <w:sz w:val="28"/>
          <w:szCs w:val="28"/>
        </w:rPr>
        <w:t xml:space="preserve"> – </w:t>
      </w:r>
      <w:r w:rsidRPr="00200E5F">
        <w:rPr>
          <w:rFonts w:ascii="Times New Roman" w:hAnsi="Times New Roman" w:cs="Times New Roman"/>
          <w:sz w:val="28"/>
          <w:szCs w:val="28"/>
        </w:rPr>
        <w:t xml:space="preserve">15 zāles ir 5 pašvaldībās – </w:t>
      </w:r>
      <w:r w:rsidRPr="000E5D4E">
        <w:rPr>
          <w:rFonts w:ascii="Times New Roman" w:hAnsi="Times New Roman" w:cs="Times New Roman"/>
          <w:sz w:val="28"/>
          <w:szCs w:val="28"/>
        </w:rPr>
        <w:t>Rēzeknē 10, Ventspilī 11, Jelgavā 14, Liepājā 14, Daugavpilī 15;</w:t>
      </w:r>
    </w:p>
    <w:p w:rsidR="00610035" w:rsidRPr="000E5D4E" w:rsidRDefault="00610035" w:rsidP="006E445A">
      <w:pPr>
        <w:pStyle w:val="NoSpacing"/>
        <w:numPr>
          <w:ilvl w:val="0"/>
          <w:numId w:val="38"/>
        </w:numPr>
        <w:ind w:left="0" w:firstLine="709"/>
        <w:jc w:val="both"/>
        <w:rPr>
          <w:rFonts w:ascii="Times New Roman" w:hAnsi="Times New Roman" w:cs="Times New Roman"/>
          <w:sz w:val="28"/>
          <w:szCs w:val="28"/>
        </w:rPr>
      </w:pPr>
      <w:r w:rsidRPr="00200E5F">
        <w:rPr>
          <w:rFonts w:ascii="Times New Roman" w:hAnsi="Times New Roman" w:cs="Times New Roman"/>
          <w:sz w:val="28"/>
          <w:szCs w:val="28"/>
        </w:rPr>
        <w:t>5</w:t>
      </w:r>
      <w:r w:rsidR="00DE797E">
        <w:rPr>
          <w:rFonts w:ascii="Times New Roman" w:hAnsi="Times New Roman" w:cs="Times New Roman"/>
          <w:sz w:val="28"/>
          <w:szCs w:val="28"/>
        </w:rPr>
        <w:t xml:space="preserve"> – </w:t>
      </w:r>
      <w:r w:rsidRPr="00200E5F">
        <w:rPr>
          <w:rFonts w:ascii="Times New Roman" w:hAnsi="Times New Roman" w:cs="Times New Roman"/>
          <w:sz w:val="28"/>
          <w:szCs w:val="28"/>
        </w:rPr>
        <w:t xml:space="preserve">9 zāles izvietotas 4 pašvaldībās </w:t>
      </w:r>
      <w:r w:rsidRPr="000E5D4E">
        <w:rPr>
          <w:rFonts w:ascii="Times New Roman" w:hAnsi="Times New Roman" w:cs="Times New Roman"/>
          <w:sz w:val="28"/>
          <w:szCs w:val="28"/>
        </w:rPr>
        <w:t>– Tukumā 6, Valmierā 7, Jēkabpilī 8, Jūrmalā 9;</w:t>
      </w:r>
    </w:p>
    <w:p w:rsidR="00610035" w:rsidRPr="00200E5F" w:rsidRDefault="00610035" w:rsidP="006E445A">
      <w:pPr>
        <w:pStyle w:val="NoSpacing"/>
        <w:numPr>
          <w:ilvl w:val="0"/>
          <w:numId w:val="38"/>
        </w:numPr>
        <w:ind w:left="0" w:firstLine="709"/>
        <w:jc w:val="both"/>
        <w:rPr>
          <w:rFonts w:ascii="Times New Roman" w:hAnsi="Times New Roman" w:cs="Times New Roman"/>
          <w:sz w:val="28"/>
          <w:szCs w:val="28"/>
        </w:rPr>
      </w:pPr>
      <w:r w:rsidRPr="00200E5F">
        <w:rPr>
          <w:rFonts w:ascii="Times New Roman" w:hAnsi="Times New Roman" w:cs="Times New Roman"/>
          <w:sz w:val="28"/>
          <w:szCs w:val="28"/>
        </w:rPr>
        <w:t>1</w:t>
      </w:r>
      <w:r w:rsidR="00DE797E">
        <w:rPr>
          <w:rFonts w:ascii="Times New Roman" w:hAnsi="Times New Roman" w:cs="Times New Roman"/>
          <w:sz w:val="28"/>
          <w:szCs w:val="28"/>
        </w:rPr>
        <w:t xml:space="preserve"> – </w:t>
      </w:r>
      <w:r w:rsidRPr="00200E5F">
        <w:rPr>
          <w:rFonts w:ascii="Times New Roman" w:hAnsi="Times New Roman" w:cs="Times New Roman"/>
          <w:sz w:val="28"/>
          <w:szCs w:val="28"/>
        </w:rPr>
        <w:t xml:space="preserve">4 zāles izvietotas </w:t>
      </w:r>
      <w:r w:rsidR="000E5D4E" w:rsidRPr="000E5D4E">
        <w:rPr>
          <w:rFonts w:ascii="Times New Roman" w:hAnsi="Times New Roman" w:cs="Times New Roman"/>
          <w:sz w:val="28"/>
          <w:szCs w:val="28"/>
        </w:rPr>
        <w:t>2</w:t>
      </w:r>
      <w:r w:rsidR="000E5D4E">
        <w:rPr>
          <w:rFonts w:ascii="Times New Roman" w:hAnsi="Times New Roman" w:cs="Times New Roman"/>
          <w:sz w:val="28"/>
          <w:szCs w:val="28"/>
        </w:rPr>
        <w:t>9</w:t>
      </w:r>
      <w:r w:rsidR="000E5D4E" w:rsidRPr="000E5D4E">
        <w:rPr>
          <w:rFonts w:ascii="Times New Roman" w:hAnsi="Times New Roman" w:cs="Times New Roman"/>
          <w:sz w:val="28"/>
          <w:szCs w:val="28"/>
        </w:rPr>
        <w:t xml:space="preserve"> </w:t>
      </w:r>
      <w:r w:rsidRPr="000E5D4E">
        <w:rPr>
          <w:rFonts w:ascii="Times New Roman" w:hAnsi="Times New Roman" w:cs="Times New Roman"/>
          <w:sz w:val="28"/>
          <w:szCs w:val="28"/>
        </w:rPr>
        <w:t>pašvaldībās</w:t>
      </w:r>
      <w:r w:rsidRPr="00200E5F">
        <w:rPr>
          <w:rFonts w:ascii="Times New Roman" w:hAnsi="Times New Roman" w:cs="Times New Roman"/>
          <w:sz w:val="28"/>
          <w:szCs w:val="28"/>
        </w:rPr>
        <w:t>.</w:t>
      </w:r>
    </w:p>
    <w:p w:rsidR="00610035" w:rsidRPr="00200E5F" w:rsidRDefault="00610035" w:rsidP="00CF5C3F">
      <w:pPr>
        <w:pStyle w:val="NoSpacing"/>
        <w:ind w:firstLine="567"/>
        <w:jc w:val="both"/>
        <w:rPr>
          <w:rFonts w:ascii="Times New Roman" w:hAnsi="Times New Roman" w:cs="Times New Roman"/>
          <w:sz w:val="28"/>
          <w:szCs w:val="28"/>
        </w:rPr>
      </w:pPr>
      <w:r w:rsidRPr="00200E5F">
        <w:rPr>
          <w:rFonts w:ascii="Times New Roman" w:hAnsi="Times New Roman" w:cs="Times New Roman"/>
          <w:sz w:val="28"/>
          <w:szCs w:val="28"/>
        </w:rPr>
        <w:t>Neskatoties uz to, ka pēdējos gados jaunu azartspēļu vietu licenču izsniegšana noris ļoti ierobežoti, piemēram 2018.gadā izsniegta tikai viena jauna spēļu zāles licence un 7 totalizatora likmju pieņemšanas vietas licences, pašvaldības regulāri vēršas pie IAUI</w:t>
      </w:r>
      <w:r w:rsidR="004A2D02">
        <w:rPr>
          <w:rFonts w:ascii="Times New Roman" w:hAnsi="Times New Roman" w:cs="Times New Roman"/>
          <w:sz w:val="28"/>
          <w:szCs w:val="28"/>
        </w:rPr>
        <w:t>,</w:t>
      </w:r>
      <w:r w:rsidRPr="00200E5F">
        <w:rPr>
          <w:rFonts w:ascii="Times New Roman" w:hAnsi="Times New Roman" w:cs="Times New Roman"/>
          <w:sz w:val="28"/>
          <w:szCs w:val="28"/>
        </w:rPr>
        <w:t xml:space="preserve"> pieprasot informāciju saistībā ar azartspēļu organizatoriem un azartspēļu rīkošanas vietām. Tā</w:t>
      </w:r>
      <w:r w:rsidR="004A2D02">
        <w:rPr>
          <w:rFonts w:ascii="Times New Roman" w:hAnsi="Times New Roman" w:cs="Times New Roman"/>
          <w:sz w:val="28"/>
          <w:szCs w:val="28"/>
        </w:rPr>
        <w:t>,</w:t>
      </w:r>
      <w:r w:rsidRPr="00200E5F">
        <w:rPr>
          <w:rFonts w:ascii="Times New Roman" w:hAnsi="Times New Roman" w:cs="Times New Roman"/>
          <w:sz w:val="28"/>
          <w:szCs w:val="28"/>
        </w:rPr>
        <w:t xml:space="preserve"> piemēram, Rīgas pašvaldības Juridiskais departaments 2018.gadā I</w:t>
      </w:r>
      <w:r w:rsidR="005A7A72">
        <w:rPr>
          <w:rFonts w:ascii="Times New Roman" w:hAnsi="Times New Roman" w:cs="Times New Roman"/>
          <w:sz w:val="28"/>
          <w:szCs w:val="28"/>
        </w:rPr>
        <w:t>AUI</w:t>
      </w:r>
      <w:r w:rsidRPr="00200E5F">
        <w:rPr>
          <w:rFonts w:ascii="Times New Roman" w:hAnsi="Times New Roman" w:cs="Times New Roman"/>
          <w:sz w:val="28"/>
          <w:szCs w:val="28"/>
        </w:rPr>
        <w:t xml:space="preserve"> nosūtījis 4 pieprasījumus par esošo spēļu zāļu jautājumiem, pieprasot norādīt atļauju izsniegšanas datumus. </w:t>
      </w:r>
      <w:r w:rsidR="008C34D0">
        <w:rPr>
          <w:rFonts w:ascii="Times New Roman" w:hAnsi="Times New Roman" w:cs="Times New Roman"/>
          <w:sz w:val="28"/>
          <w:szCs w:val="28"/>
        </w:rPr>
        <w:t xml:space="preserve">Kopumā 2019.gadā </w:t>
      </w:r>
      <w:r w:rsidR="00056DF2">
        <w:rPr>
          <w:rFonts w:ascii="Times New Roman" w:hAnsi="Times New Roman" w:cs="Times New Roman"/>
          <w:sz w:val="28"/>
          <w:szCs w:val="28"/>
        </w:rPr>
        <w:t xml:space="preserve">pašvaldības </w:t>
      </w:r>
      <w:r w:rsidR="008C34D0">
        <w:rPr>
          <w:rFonts w:ascii="Times New Roman" w:hAnsi="Times New Roman" w:cs="Times New Roman"/>
          <w:sz w:val="28"/>
          <w:szCs w:val="28"/>
        </w:rPr>
        <w:t>ir iesniegušas IAUI 7 pieprasījumus, attiecīgi 2020.gadā (uz 17.07.2020.) 4 pieprasījumus.</w:t>
      </w:r>
    </w:p>
    <w:p w:rsidR="00610035" w:rsidRPr="00200E5F" w:rsidRDefault="00610035" w:rsidP="00CF5C3F">
      <w:pPr>
        <w:pStyle w:val="NoSpacing"/>
        <w:ind w:firstLine="567"/>
        <w:jc w:val="both"/>
        <w:rPr>
          <w:rFonts w:ascii="Times New Roman" w:hAnsi="Times New Roman" w:cs="Times New Roman"/>
          <w:sz w:val="28"/>
          <w:szCs w:val="28"/>
        </w:rPr>
      </w:pPr>
      <w:r w:rsidRPr="00200E5F">
        <w:rPr>
          <w:rFonts w:ascii="Times New Roman" w:hAnsi="Times New Roman" w:cs="Times New Roman"/>
          <w:sz w:val="28"/>
          <w:szCs w:val="28"/>
        </w:rPr>
        <w:t>Nosakot IAUI kā vienīgo institūciju, kas izvērtē azartspēļu organizēšanas vietas atbilstību AIL likuma prasībām, IAUI Kontroles departamenta amatpersonām obligāti pirms lēmuma pieņemšanas būtu jāpārliecinās, ka pieteikumā minētā iespējamā azartspēļu vieta atbilst visiem AIL nosacījumiem</w:t>
      </w:r>
      <w:r w:rsidR="00D053EC">
        <w:rPr>
          <w:rFonts w:ascii="Times New Roman" w:hAnsi="Times New Roman" w:cs="Times New Roman"/>
          <w:sz w:val="28"/>
          <w:szCs w:val="28"/>
        </w:rPr>
        <w:t>. Tas</w:t>
      </w:r>
      <w:r w:rsidRPr="00200E5F">
        <w:rPr>
          <w:rFonts w:ascii="Times New Roman" w:hAnsi="Times New Roman" w:cs="Times New Roman"/>
          <w:sz w:val="28"/>
          <w:szCs w:val="28"/>
        </w:rPr>
        <w:t xml:space="preserve"> palielinās darba noslodzi IAUI, bet samazinās kopējo administratīvo slogu valsts un pašvaldību </w:t>
      </w:r>
      <w:r w:rsidR="00D053EC" w:rsidRPr="00200E5F">
        <w:rPr>
          <w:rFonts w:ascii="Times New Roman" w:hAnsi="Times New Roman" w:cs="Times New Roman"/>
          <w:sz w:val="28"/>
          <w:szCs w:val="28"/>
        </w:rPr>
        <w:t>institūcijā</w:t>
      </w:r>
      <w:r w:rsidR="00D053EC">
        <w:rPr>
          <w:rFonts w:ascii="Times New Roman" w:hAnsi="Times New Roman" w:cs="Times New Roman"/>
          <w:sz w:val="28"/>
          <w:szCs w:val="28"/>
        </w:rPr>
        <w:t>m</w:t>
      </w:r>
      <w:r w:rsidR="00D053EC" w:rsidRPr="00200E5F">
        <w:rPr>
          <w:rFonts w:ascii="Times New Roman" w:hAnsi="Times New Roman" w:cs="Times New Roman"/>
          <w:sz w:val="28"/>
          <w:szCs w:val="28"/>
        </w:rPr>
        <w:t xml:space="preserve"> </w:t>
      </w:r>
      <w:r w:rsidRPr="00200E5F">
        <w:rPr>
          <w:rFonts w:ascii="Times New Roman" w:hAnsi="Times New Roman" w:cs="Times New Roman"/>
          <w:sz w:val="28"/>
          <w:szCs w:val="28"/>
        </w:rPr>
        <w:t>Latvijā</w:t>
      </w:r>
      <w:r w:rsidR="00200E5F" w:rsidRPr="00200E5F">
        <w:rPr>
          <w:rFonts w:ascii="Times New Roman" w:hAnsi="Times New Roman" w:cs="Times New Roman"/>
          <w:sz w:val="28"/>
          <w:szCs w:val="28"/>
        </w:rPr>
        <w:t xml:space="preserve"> un </w:t>
      </w:r>
      <w:r w:rsidRPr="00200E5F">
        <w:rPr>
          <w:rFonts w:ascii="Times New Roman" w:hAnsi="Times New Roman" w:cs="Times New Roman"/>
          <w:sz w:val="28"/>
          <w:szCs w:val="28"/>
        </w:rPr>
        <w:t>nodrošinā</w:t>
      </w:r>
      <w:r w:rsidR="00200E5F" w:rsidRPr="00200E5F">
        <w:rPr>
          <w:rFonts w:ascii="Times New Roman" w:hAnsi="Times New Roman" w:cs="Times New Roman"/>
          <w:sz w:val="28"/>
          <w:szCs w:val="28"/>
        </w:rPr>
        <w:t>s</w:t>
      </w:r>
      <w:r w:rsidRPr="00200E5F">
        <w:rPr>
          <w:rFonts w:ascii="Times New Roman" w:hAnsi="Times New Roman" w:cs="Times New Roman"/>
          <w:sz w:val="28"/>
          <w:szCs w:val="28"/>
        </w:rPr>
        <w:t xml:space="preserve"> vienveidīgu AIL noteikto kritēriju izvērtēšanu un lēmuma pieņemšanu.</w:t>
      </w:r>
    </w:p>
    <w:p w:rsidR="005C051B" w:rsidRPr="0087512B" w:rsidRDefault="005C051B" w:rsidP="005C051B">
      <w:pPr>
        <w:ind w:firstLine="567"/>
        <w:jc w:val="both"/>
        <w:rPr>
          <w:rFonts w:cs="Times New Roman"/>
          <w:i/>
          <w:sz w:val="28"/>
          <w:szCs w:val="28"/>
        </w:rPr>
      </w:pPr>
      <w:r w:rsidRPr="0087512B">
        <w:rPr>
          <w:rFonts w:cs="Times New Roman"/>
          <w:i/>
          <w:sz w:val="28"/>
          <w:szCs w:val="28"/>
        </w:rPr>
        <w:t>Risinājuma priekšrocības:</w:t>
      </w:r>
    </w:p>
    <w:p w:rsidR="00B5277E" w:rsidRPr="006E445A" w:rsidRDefault="00B5277E" w:rsidP="009C4E25">
      <w:pPr>
        <w:pStyle w:val="ListParagraph"/>
        <w:numPr>
          <w:ilvl w:val="0"/>
          <w:numId w:val="18"/>
        </w:numPr>
        <w:spacing w:after="160"/>
        <w:ind w:left="0" w:firstLine="709"/>
        <w:jc w:val="both"/>
        <w:rPr>
          <w:rFonts w:cs="Times New Roman"/>
          <w:sz w:val="28"/>
          <w:szCs w:val="28"/>
        </w:rPr>
      </w:pPr>
      <w:r w:rsidRPr="006E445A">
        <w:rPr>
          <w:rFonts w:cs="Times New Roman"/>
          <w:sz w:val="28"/>
          <w:szCs w:val="28"/>
        </w:rPr>
        <w:t>piedāvāta uz pierādījumiem balstīta pieeja, balstoties uz starptautiskiem labākas prakses piemēriem, kas ir vērsti uz maksimālo sabiedrības interešu aizsardzību un atkarības veidošanas risku mazināšanos, vienlaikus novēršot iespējamo ēnu ekonomikas līmeņa pieaugumu un azartspēļu spēlētāju parēju nekontrolētajā vidē</w:t>
      </w:r>
      <w:r w:rsidR="00CD06D0" w:rsidRPr="006E445A">
        <w:rPr>
          <w:rFonts w:cs="Times New Roman"/>
          <w:sz w:val="28"/>
          <w:szCs w:val="28"/>
        </w:rPr>
        <w:t>;</w:t>
      </w:r>
    </w:p>
    <w:p w:rsidR="00B5277E" w:rsidRPr="00804592" w:rsidRDefault="00B5277E" w:rsidP="006E445A">
      <w:pPr>
        <w:pStyle w:val="ListParagraph"/>
        <w:numPr>
          <w:ilvl w:val="0"/>
          <w:numId w:val="18"/>
        </w:numPr>
        <w:ind w:left="0" w:firstLine="709"/>
        <w:jc w:val="both"/>
        <w:rPr>
          <w:rFonts w:cs="Times New Roman"/>
          <w:sz w:val="28"/>
          <w:szCs w:val="28"/>
        </w:rPr>
      </w:pPr>
      <w:r w:rsidRPr="007571C1">
        <w:rPr>
          <w:sz w:val="28"/>
          <w:szCs w:val="28"/>
        </w:rPr>
        <w:t>līdzsvarotas sabiedrības intereses – vēlme ierobežot azartspēles no vienas puses, un vēlme izmantot šos pakalpojumus</w:t>
      </w:r>
      <w:r>
        <w:rPr>
          <w:sz w:val="28"/>
          <w:szCs w:val="28"/>
        </w:rPr>
        <w:t xml:space="preserve"> kā </w:t>
      </w:r>
      <w:r w:rsidR="00D45ED9">
        <w:rPr>
          <w:sz w:val="28"/>
          <w:szCs w:val="28"/>
        </w:rPr>
        <w:t xml:space="preserve">brīva laika pavadīšanas veidu </w:t>
      </w:r>
      <w:r w:rsidRPr="007571C1">
        <w:rPr>
          <w:sz w:val="28"/>
          <w:szCs w:val="28"/>
        </w:rPr>
        <w:t>no otras puses;</w:t>
      </w:r>
    </w:p>
    <w:p w:rsidR="00B5277E" w:rsidRDefault="00B5277E" w:rsidP="006E445A">
      <w:pPr>
        <w:pStyle w:val="ListParagraph"/>
        <w:numPr>
          <w:ilvl w:val="0"/>
          <w:numId w:val="18"/>
        </w:numPr>
        <w:ind w:left="0" w:firstLine="709"/>
        <w:jc w:val="both"/>
        <w:rPr>
          <w:rFonts w:cs="Times New Roman"/>
          <w:sz w:val="28"/>
          <w:szCs w:val="28"/>
        </w:rPr>
      </w:pPr>
      <w:r>
        <w:rPr>
          <w:rFonts w:cs="Times New Roman"/>
          <w:sz w:val="28"/>
          <w:szCs w:val="28"/>
        </w:rPr>
        <w:t>būtisks administratīva sloga samazinājums pašvaldībām, vērtējot katru individuālo gadījumu, kā arī piedaloties tiesvedībās;</w:t>
      </w:r>
    </w:p>
    <w:p w:rsidR="001A5A0A" w:rsidRDefault="001A5A0A" w:rsidP="006E445A">
      <w:pPr>
        <w:pStyle w:val="ListParagraph"/>
        <w:numPr>
          <w:ilvl w:val="0"/>
          <w:numId w:val="18"/>
        </w:numPr>
        <w:ind w:left="0" w:firstLine="709"/>
        <w:jc w:val="both"/>
        <w:rPr>
          <w:rFonts w:cs="Times New Roman"/>
          <w:sz w:val="28"/>
          <w:szCs w:val="28"/>
        </w:rPr>
      </w:pPr>
      <w:r>
        <w:rPr>
          <w:rFonts w:cs="Times New Roman"/>
          <w:sz w:val="28"/>
          <w:szCs w:val="28"/>
        </w:rPr>
        <w:t>konsekventa rīcība no valsts pārvaldes puses, vienai iestādei (IAUI) vērtējot gan azartspēļu organizētāja licences izsniegšanu, gan konkrētas azartspēļu organizēšanas vietas atļaujas;</w:t>
      </w:r>
    </w:p>
    <w:p w:rsidR="00B5277E" w:rsidRDefault="00B5277E" w:rsidP="006E445A">
      <w:pPr>
        <w:pStyle w:val="ListParagraph"/>
        <w:numPr>
          <w:ilvl w:val="0"/>
          <w:numId w:val="18"/>
        </w:numPr>
        <w:ind w:left="0" w:firstLine="709"/>
        <w:jc w:val="both"/>
        <w:rPr>
          <w:rFonts w:cs="Times New Roman"/>
          <w:sz w:val="28"/>
          <w:szCs w:val="28"/>
        </w:rPr>
      </w:pPr>
      <w:r>
        <w:rPr>
          <w:rFonts w:cs="Times New Roman"/>
          <w:sz w:val="28"/>
          <w:szCs w:val="28"/>
        </w:rPr>
        <w:t>būtisks administratīva sloga samazinājums tiesām;</w:t>
      </w:r>
    </w:p>
    <w:p w:rsidR="00B5277E" w:rsidRDefault="00B5277E" w:rsidP="006E445A">
      <w:pPr>
        <w:pStyle w:val="ListParagraph"/>
        <w:numPr>
          <w:ilvl w:val="0"/>
          <w:numId w:val="18"/>
        </w:numPr>
        <w:ind w:left="0" w:firstLine="709"/>
        <w:jc w:val="both"/>
        <w:rPr>
          <w:rFonts w:cs="Times New Roman"/>
          <w:sz w:val="28"/>
          <w:szCs w:val="28"/>
        </w:rPr>
      </w:pPr>
      <w:r w:rsidRPr="0087512B">
        <w:rPr>
          <w:rFonts w:cs="Times New Roman"/>
          <w:sz w:val="28"/>
          <w:szCs w:val="28"/>
        </w:rPr>
        <w:t>novērstas jēdziena “būtisks sabiedrības interešu aizskārums” dažādas interpretācijas</w:t>
      </w:r>
      <w:r>
        <w:rPr>
          <w:rFonts w:cs="Times New Roman"/>
          <w:sz w:val="28"/>
          <w:szCs w:val="28"/>
        </w:rPr>
        <w:t>, skaidra un nepārprotama likumdevēja nostāja un tiesiskā noteiktība nozarē, nosakot skaidrus nosacījumus attiecībā uz azartspēļu organizēšanu;</w:t>
      </w:r>
    </w:p>
    <w:p w:rsidR="001A5A0A" w:rsidRPr="0087512B" w:rsidRDefault="001A5A0A" w:rsidP="006E445A">
      <w:pPr>
        <w:pStyle w:val="ListParagraph"/>
        <w:numPr>
          <w:ilvl w:val="0"/>
          <w:numId w:val="18"/>
        </w:numPr>
        <w:ind w:left="0" w:firstLine="709"/>
        <w:jc w:val="both"/>
        <w:rPr>
          <w:rFonts w:cs="Times New Roman"/>
          <w:sz w:val="28"/>
          <w:szCs w:val="28"/>
        </w:rPr>
      </w:pPr>
      <w:r w:rsidRPr="0087512B">
        <w:rPr>
          <w:rFonts w:cs="Times New Roman"/>
          <w:sz w:val="28"/>
          <w:szCs w:val="28"/>
        </w:rPr>
        <w:t>ieviesta vienveidīga piemērošanas prakse visā</w:t>
      </w:r>
      <w:r>
        <w:rPr>
          <w:rFonts w:cs="Times New Roman"/>
          <w:sz w:val="28"/>
          <w:szCs w:val="28"/>
        </w:rPr>
        <w:t xml:space="preserve"> valsts teritorijā.</w:t>
      </w:r>
    </w:p>
    <w:p w:rsidR="005C051B" w:rsidRPr="0087512B" w:rsidRDefault="005C051B" w:rsidP="005C051B">
      <w:pPr>
        <w:ind w:firstLine="567"/>
        <w:jc w:val="both"/>
        <w:rPr>
          <w:rFonts w:cs="Times New Roman"/>
          <w:i/>
          <w:sz w:val="28"/>
          <w:szCs w:val="28"/>
        </w:rPr>
      </w:pPr>
      <w:r w:rsidRPr="0087512B">
        <w:rPr>
          <w:rFonts w:cs="Times New Roman"/>
          <w:i/>
          <w:sz w:val="28"/>
          <w:szCs w:val="28"/>
        </w:rPr>
        <w:t>Risinājuma trūkum</w:t>
      </w:r>
      <w:r w:rsidR="006E445A">
        <w:rPr>
          <w:rFonts w:cs="Times New Roman"/>
          <w:i/>
          <w:sz w:val="28"/>
          <w:szCs w:val="28"/>
        </w:rPr>
        <w:t>s</w:t>
      </w:r>
      <w:r w:rsidRPr="0087512B">
        <w:rPr>
          <w:rFonts w:cs="Times New Roman"/>
          <w:i/>
          <w:sz w:val="28"/>
          <w:szCs w:val="28"/>
        </w:rPr>
        <w:t>:</w:t>
      </w:r>
    </w:p>
    <w:p w:rsidR="005C051B" w:rsidRPr="006E445A" w:rsidRDefault="006E445A" w:rsidP="00BE0F70">
      <w:pPr>
        <w:ind w:firstLine="709"/>
        <w:jc w:val="both"/>
        <w:rPr>
          <w:rFonts w:cs="Times New Roman"/>
          <w:sz w:val="28"/>
          <w:szCs w:val="28"/>
        </w:rPr>
      </w:pPr>
      <w:r>
        <w:rPr>
          <w:rFonts w:cs="Times New Roman"/>
          <w:sz w:val="28"/>
          <w:szCs w:val="28"/>
        </w:rPr>
        <w:t>P</w:t>
      </w:r>
      <w:r w:rsidR="005C051B" w:rsidRPr="006E445A">
        <w:rPr>
          <w:rFonts w:cs="Times New Roman"/>
          <w:sz w:val="28"/>
          <w:szCs w:val="28"/>
        </w:rPr>
        <w:t>astāv risks, ka aizliegumu uzskaitījums būs nepilnīgs un neaptvers visus gadījumus, kur pastāv atkarības palielināšanas riski</w:t>
      </w:r>
      <w:r w:rsidR="005539AD">
        <w:rPr>
          <w:rFonts w:cs="Times New Roman"/>
          <w:sz w:val="28"/>
          <w:szCs w:val="28"/>
        </w:rPr>
        <w:t>,</w:t>
      </w:r>
      <w:r w:rsidR="001A5A0A" w:rsidRPr="006E445A">
        <w:rPr>
          <w:rFonts w:cs="Times New Roman"/>
          <w:sz w:val="28"/>
          <w:szCs w:val="28"/>
        </w:rPr>
        <w:t xml:space="preserve"> vai </w:t>
      </w:r>
      <w:r w:rsidR="00D45ED9" w:rsidRPr="006E445A">
        <w:rPr>
          <w:rFonts w:cs="Times New Roman"/>
          <w:sz w:val="28"/>
          <w:szCs w:val="28"/>
        </w:rPr>
        <w:t xml:space="preserve">arī aizliegums tiks </w:t>
      </w:r>
      <w:r w:rsidR="00D45ED9" w:rsidRPr="006E445A">
        <w:rPr>
          <w:rFonts w:cs="Times New Roman"/>
          <w:sz w:val="28"/>
          <w:szCs w:val="28"/>
        </w:rPr>
        <w:lastRenderedPageBreak/>
        <w:t xml:space="preserve">attiecināts uz </w:t>
      </w:r>
      <w:r w:rsidR="001A5A0A" w:rsidRPr="006E445A">
        <w:rPr>
          <w:rFonts w:cs="Times New Roman"/>
          <w:sz w:val="28"/>
          <w:szCs w:val="28"/>
        </w:rPr>
        <w:t xml:space="preserve">azartspēļu organizēšanas vietu, kur noteiktu apsvērumu </w:t>
      </w:r>
      <w:r w:rsidR="00D45ED9" w:rsidRPr="006E445A">
        <w:rPr>
          <w:rFonts w:cs="Times New Roman"/>
          <w:sz w:val="28"/>
          <w:szCs w:val="28"/>
        </w:rPr>
        <w:t xml:space="preserve">dēļ </w:t>
      </w:r>
      <w:r w:rsidR="001A5A0A" w:rsidRPr="006E445A">
        <w:rPr>
          <w:rFonts w:cs="Times New Roman"/>
          <w:sz w:val="28"/>
          <w:szCs w:val="28"/>
        </w:rPr>
        <w:t xml:space="preserve">attiecīgie riski </w:t>
      </w:r>
      <w:r w:rsidR="00802745" w:rsidRPr="006E445A">
        <w:rPr>
          <w:rFonts w:cs="Times New Roman"/>
          <w:sz w:val="28"/>
          <w:szCs w:val="28"/>
        </w:rPr>
        <w:t xml:space="preserve">faktiski </w:t>
      </w:r>
      <w:r w:rsidR="001A5A0A" w:rsidRPr="006E445A">
        <w:rPr>
          <w:rFonts w:cs="Times New Roman"/>
          <w:sz w:val="28"/>
          <w:szCs w:val="28"/>
        </w:rPr>
        <w:t>nepastāv</w:t>
      </w:r>
      <w:r w:rsidR="005C051B" w:rsidRPr="006E445A">
        <w:rPr>
          <w:rFonts w:cs="Times New Roman"/>
          <w:sz w:val="28"/>
          <w:szCs w:val="28"/>
        </w:rPr>
        <w:t>.</w:t>
      </w:r>
    </w:p>
    <w:p w:rsidR="005C051B" w:rsidRPr="0087512B" w:rsidRDefault="005C051B" w:rsidP="005C051B">
      <w:pPr>
        <w:rPr>
          <w:rFonts w:cs="Times New Roman"/>
          <w:sz w:val="28"/>
          <w:szCs w:val="28"/>
        </w:rPr>
      </w:pPr>
    </w:p>
    <w:p w:rsidR="005C051B" w:rsidRPr="0087512B" w:rsidRDefault="005C051B" w:rsidP="00CF5C3F">
      <w:pPr>
        <w:ind w:firstLine="567"/>
        <w:jc w:val="both"/>
        <w:rPr>
          <w:rFonts w:cs="Times New Roman"/>
          <w:sz w:val="28"/>
          <w:szCs w:val="28"/>
        </w:rPr>
      </w:pPr>
      <w:r w:rsidRPr="0087512B">
        <w:rPr>
          <w:rFonts w:cs="Times New Roman"/>
          <w:sz w:val="28"/>
          <w:szCs w:val="28"/>
        </w:rPr>
        <w:t xml:space="preserve">Izvērtējot piedāvāto risinājumu priekšrocības un trūkumus, par atbilstošāko tiek uzskatīts </w:t>
      </w:r>
      <w:r>
        <w:rPr>
          <w:rFonts w:cs="Times New Roman"/>
          <w:sz w:val="28"/>
          <w:szCs w:val="28"/>
        </w:rPr>
        <w:t>2</w:t>
      </w:r>
      <w:r w:rsidRPr="0087512B">
        <w:rPr>
          <w:rFonts w:cs="Times New Roman"/>
          <w:sz w:val="28"/>
          <w:szCs w:val="28"/>
        </w:rPr>
        <w:t>.risinājuma variants, ņemot vērā tā samērīgumu, kā arī sabiedrības un nozares interešu sabalansētību.</w:t>
      </w:r>
    </w:p>
    <w:p w:rsidR="007F1CB6" w:rsidRPr="0087512B" w:rsidRDefault="007F1CB6" w:rsidP="005C051B">
      <w:pPr>
        <w:jc w:val="both"/>
        <w:rPr>
          <w:rFonts w:cs="Times New Roman"/>
          <w:sz w:val="28"/>
          <w:szCs w:val="28"/>
        </w:rPr>
      </w:pPr>
    </w:p>
    <w:p w:rsidR="005C051B" w:rsidRPr="007571C1" w:rsidRDefault="005C051B" w:rsidP="007571C1">
      <w:pPr>
        <w:tabs>
          <w:tab w:val="left" w:pos="0"/>
        </w:tabs>
        <w:spacing w:after="120"/>
        <w:ind w:firstLine="567"/>
        <w:jc w:val="both"/>
        <w:rPr>
          <w:rFonts w:cs="Times New Roman"/>
          <w:i/>
          <w:sz w:val="28"/>
          <w:szCs w:val="28"/>
        </w:rPr>
      </w:pPr>
      <w:r w:rsidRPr="005E6BC2">
        <w:rPr>
          <w:rFonts w:cs="Times New Roman"/>
          <w:i/>
          <w:sz w:val="28"/>
          <w:szCs w:val="28"/>
        </w:rPr>
        <w:t>Nepieciešamie pasākum</w:t>
      </w:r>
      <w:r>
        <w:rPr>
          <w:rFonts w:cs="Times New Roman"/>
          <w:i/>
          <w:sz w:val="28"/>
          <w:szCs w:val="28"/>
        </w:rPr>
        <w:t xml:space="preserve">i </w:t>
      </w:r>
      <w:r w:rsidR="00E11061">
        <w:rPr>
          <w:rFonts w:cs="Times New Roman"/>
          <w:i/>
          <w:sz w:val="28"/>
          <w:szCs w:val="28"/>
        </w:rPr>
        <w:t>2</w:t>
      </w:r>
      <w:r>
        <w:rPr>
          <w:rFonts w:cs="Times New Roman"/>
          <w:i/>
          <w:sz w:val="28"/>
          <w:szCs w:val="28"/>
        </w:rPr>
        <w:t>.risinājuma varianta ieviešanai</w:t>
      </w:r>
      <w:r w:rsidRPr="005E6BC2">
        <w:rPr>
          <w:rFonts w:cs="Times New Roman"/>
          <w:i/>
          <w:sz w:val="28"/>
          <w:szCs w:val="28"/>
        </w:rPr>
        <w:t>:</w:t>
      </w:r>
    </w:p>
    <w:p w:rsidR="00340259" w:rsidRPr="00340259" w:rsidRDefault="005C051B" w:rsidP="00340259">
      <w:pPr>
        <w:pStyle w:val="ListParagraph"/>
        <w:numPr>
          <w:ilvl w:val="1"/>
          <w:numId w:val="63"/>
        </w:numPr>
        <w:ind w:left="0" w:firstLine="709"/>
        <w:jc w:val="both"/>
        <w:rPr>
          <w:sz w:val="28"/>
          <w:szCs w:val="28"/>
        </w:rPr>
      </w:pPr>
      <w:r w:rsidRPr="006E445A">
        <w:rPr>
          <w:sz w:val="28"/>
          <w:szCs w:val="28"/>
        </w:rPr>
        <w:t>AIL 41.panta otrajā daļā iekļaut šādus kritērijus, paplašinot vietu uzskaitījumu, kur aizliegts organizēt azartspēles:</w:t>
      </w:r>
    </w:p>
    <w:p w:rsidR="0025656B" w:rsidRPr="0010170D" w:rsidRDefault="0025656B" w:rsidP="00335F4A">
      <w:pPr>
        <w:pStyle w:val="ListParagraph"/>
        <w:ind w:left="1080"/>
        <w:jc w:val="both"/>
        <w:rPr>
          <w:sz w:val="28"/>
          <w:szCs w:val="28"/>
        </w:rPr>
      </w:pPr>
      <w:r>
        <w:rPr>
          <w:sz w:val="28"/>
          <w:szCs w:val="28"/>
        </w:rPr>
        <w:t xml:space="preserve">a) </w:t>
      </w:r>
      <w:r w:rsidR="000C2BF0" w:rsidRPr="000C2BF0">
        <w:rPr>
          <w:sz w:val="28"/>
          <w:szCs w:val="28"/>
        </w:rPr>
        <w:t>ēkās vai būvēs, kur izvietotas pirmsskolas izglītības iestādes, pamata un vidējās izglītības iestādes un 250 metru attālumā/ perimetrā no to ieejas</w:t>
      </w:r>
      <w:r>
        <w:rPr>
          <w:sz w:val="28"/>
          <w:szCs w:val="28"/>
        </w:rPr>
        <w:t>;</w:t>
      </w:r>
    </w:p>
    <w:p w:rsidR="0025656B" w:rsidRPr="0010170D" w:rsidRDefault="0025656B" w:rsidP="00335F4A">
      <w:pPr>
        <w:pStyle w:val="ListParagraph"/>
        <w:ind w:left="1080"/>
        <w:jc w:val="both"/>
      </w:pPr>
      <w:r>
        <w:rPr>
          <w:sz w:val="28"/>
          <w:szCs w:val="28"/>
        </w:rPr>
        <w:t>b</w:t>
      </w:r>
      <w:r w:rsidRPr="00335F4A">
        <w:rPr>
          <w:sz w:val="28"/>
          <w:szCs w:val="28"/>
        </w:rPr>
        <w:t xml:space="preserve">) </w:t>
      </w:r>
      <w:r w:rsidR="000C2BF0" w:rsidRPr="000C2BF0">
        <w:rPr>
          <w:sz w:val="28"/>
          <w:szCs w:val="28"/>
        </w:rPr>
        <w:t>publiskos spēļu un rekreācijas laukumos (termins “publiskais spēļu un rekreācijas laukums” tiek lietots 2020.gada 7.janvāra Ministru kabineta noteikumu Nr. 18 “Spēļu un rekreācijas laukumu drošuma noteikumi” izpratnē), un 250 metru attālumā/ perimetrā no to ieejas</w:t>
      </w:r>
      <w:r>
        <w:rPr>
          <w:sz w:val="28"/>
          <w:szCs w:val="28"/>
        </w:rPr>
        <w:t>;</w:t>
      </w:r>
      <w:r w:rsidRPr="0010170D">
        <w:t xml:space="preserve"> </w:t>
      </w:r>
    </w:p>
    <w:p w:rsidR="0025656B" w:rsidRDefault="000C2BF0" w:rsidP="00335F4A">
      <w:pPr>
        <w:pStyle w:val="ListParagraph"/>
        <w:ind w:left="1080"/>
        <w:jc w:val="both"/>
        <w:rPr>
          <w:sz w:val="28"/>
          <w:szCs w:val="28"/>
        </w:rPr>
      </w:pPr>
      <w:r>
        <w:rPr>
          <w:sz w:val="28"/>
          <w:szCs w:val="28"/>
        </w:rPr>
        <w:t>c</w:t>
      </w:r>
      <w:r w:rsidR="0025656B">
        <w:rPr>
          <w:sz w:val="28"/>
          <w:szCs w:val="28"/>
        </w:rPr>
        <w:t>) dzīvojamās ēkās ārpus Rīgas centra un tā aizsardzības zonas, kā arī dzīvojamās ēkās citās Latvijas pilsētās.</w:t>
      </w:r>
    </w:p>
    <w:p w:rsidR="005C051B" w:rsidRDefault="005C051B" w:rsidP="000E19A1">
      <w:pPr>
        <w:pStyle w:val="ListParagraph"/>
        <w:numPr>
          <w:ilvl w:val="1"/>
          <w:numId w:val="63"/>
        </w:numPr>
        <w:ind w:left="0" w:firstLine="709"/>
        <w:jc w:val="both"/>
        <w:rPr>
          <w:sz w:val="28"/>
          <w:szCs w:val="28"/>
        </w:rPr>
      </w:pPr>
      <w:r w:rsidRPr="006E445A">
        <w:rPr>
          <w:sz w:val="28"/>
          <w:szCs w:val="28"/>
        </w:rPr>
        <w:t>izslēgt AIL 42.panta trešo daļu</w:t>
      </w:r>
      <w:r w:rsidR="00200E5F" w:rsidRPr="006E445A">
        <w:rPr>
          <w:sz w:val="28"/>
          <w:szCs w:val="28"/>
        </w:rPr>
        <w:t>;</w:t>
      </w:r>
    </w:p>
    <w:p w:rsidR="00394FC3" w:rsidRPr="006E445A" w:rsidRDefault="00394FC3" w:rsidP="000E19A1">
      <w:pPr>
        <w:pStyle w:val="ListParagraph"/>
        <w:numPr>
          <w:ilvl w:val="1"/>
          <w:numId w:val="63"/>
        </w:numPr>
        <w:ind w:left="0" w:firstLine="709"/>
        <w:jc w:val="both"/>
        <w:rPr>
          <w:sz w:val="28"/>
          <w:szCs w:val="28"/>
        </w:rPr>
      </w:pPr>
      <w:r>
        <w:rPr>
          <w:sz w:val="28"/>
          <w:szCs w:val="28"/>
        </w:rPr>
        <w:t>noteikt pārejas periodu azartspēļu zāļu slēgšanai, kas atbilst AIL 42.panta trešajā daļā noteiktajiem ierobežojumiem;</w:t>
      </w:r>
    </w:p>
    <w:p w:rsidR="00200E5F" w:rsidRPr="006E445A" w:rsidRDefault="00200E5F" w:rsidP="000E19A1">
      <w:pPr>
        <w:pStyle w:val="ListParagraph"/>
        <w:numPr>
          <w:ilvl w:val="1"/>
          <w:numId w:val="63"/>
        </w:numPr>
        <w:ind w:left="0" w:firstLine="709"/>
        <w:jc w:val="both"/>
        <w:rPr>
          <w:sz w:val="28"/>
          <w:szCs w:val="28"/>
        </w:rPr>
      </w:pPr>
      <w:r w:rsidRPr="006E445A">
        <w:rPr>
          <w:sz w:val="28"/>
          <w:szCs w:val="28"/>
        </w:rPr>
        <w:t>izstrādāt kārtību</w:t>
      </w:r>
      <w:r w:rsidR="00F00599" w:rsidRPr="006E445A">
        <w:rPr>
          <w:sz w:val="28"/>
          <w:szCs w:val="28"/>
        </w:rPr>
        <w:t>,</w:t>
      </w:r>
      <w:r w:rsidRPr="006E445A">
        <w:rPr>
          <w:sz w:val="28"/>
          <w:szCs w:val="28"/>
        </w:rPr>
        <w:t xml:space="preserve"> kā</w:t>
      </w:r>
      <w:r w:rsidR="00F00599" w:rsidRPr="006E445A">
        <w:rPr>
          <w:sz w:val="28"/>
          <w:szCs w:val="28"/>
        </w:rPr>
        <w:t>dā</w:t>
      </w:r>
      <w:r w:rsidRPr="006E445A">
        <w:rPr>
          <w:sz w:val="28"/>
          <w:szCs w:val="28"/>
        </w:rPr>
        <w:t xml:space="preserve"> IAUI</w:t>
      </w:r>
      <w:r w:rsidRPr="006E445A">
        <w:rPr>
          <w:rFonts w:cs="Times New Roman"/>
          <w:sz w:val="28"/>
          <w:szCs w:val="28"/>
        </w:rPr>
        <w:t xml:space="preserve"> izvērtē azartspēļu organizēšanas vietas atbilstību AIL likuma prasībām </w:t>
      </w:r>
      <w:r w:rsidR="009E43A1">
        <w:rPr>
          <w:rFonts w:cs="Times New Roman"/>
          <w:sz w:val="28"/>
          <w:szCs w:val="28"/>
        </w:rPr>
        <w:t>un izsniedz attiecīgās atļaujas;</w:t>
      </w:r>
    </w:p>
    <w:p w:rsidR="00C303A4" w:rsidRPr="00C303A4" w:rsidRDefault="009E43A1" w:rsidP="009E43A1">
      <w:pPr>
        <w:pStyle w:val="PlainText"/>
        <w:tabs>
          <w:tab w:val="left" w:pos="0"/>
        </w:tabs>
        <w:ind w:firstLine="709"/>
        <w:jc w:val="both"/>
        <w:rPr>
          <w:rFonts w:ascii="Times New Roman" w:hAnsi="Times New Roman" w:cs="Times New Roman"/>
          <w:sz w:val="28"/>
          <w:szCs w:val="28"/>
        </w:rPr>
      </w:pPr>
      <w:r>
        <w:rPr>
          <w:rFonts w:ascii="Times New Roman" w:eastAsia="Helvetica" w:hAnsi="Times New Roman" w:cs="Times New Roman"/>
          <w:sz w:val="28"/>
          <w:szCs w:val="28"/>
        </w:rPr>
        <w:t>5)</w:t>
      </w:r>
      <w:r w:rsidR="00C303A4" w:rsidRPr="00AC0C13">
        <w:rPr>
          <w:rFonts w:ascii="Times New Roman" w:eastAsia="Helvetica" w:hAnsi="Times New Roman" w:cs="Times New Roman"/>
          <w:sz w:val="28"/>
          <w:szCs w:val="28"/>
        </w:rPr>
        <w:t xml:space="preserve"> </w:t>
      </w:r>
      <w:r>
        <w:rPr>
          <w:rFonts w:ascii="Times New Roman" w:eastAsia="Helvetica" w:hAnsi="Times New Roman" w:cs="Times New Roman"/>
          <w:sz w:val="28"/>
          <w:szCs w:val="28"/>
        </w:rPr>
        <w:tab/>
      </w:r>
      <w:r w:rsidR="00C303A4" w:rsidRPr="00AC0C13">
        <w:rPr>
          <w:rFonts w:ascii="Times New Roman" w:eastAsia="Helvetica" w:hAnsi="Times New Roman" w:cs="Times New Roman"/>
          <w:sz w:val="28"/>
          <w:szCs w:val="28"/>
        </w:rPr>
        <w:t xml:space="preserve">paaugstināt minimāli pieļaujamo azartspēļu automātu skaitu vienā azartspēļu zālē no </w:t>
      </w:r>
      <w:r w:rsidR="0061155B">
        <w:rPr>
          <w:rFonts w:ascii="Times New Roman" w:eastAsia="Helvetica" w:hAnsi="Times New Roman" w:cs="Times New Roman"/>
          <w:sz w:val="28"/>
          <w:szCs w:val="28"/>
        </w:rPr>
        <w:t>divdesmit</w:t>
      </w:r>
      <w:r w:rsidR="00C303A4" w:rsidRPr="00AC0C13">
        <w:rPr>
          <w:rFonts w:ascii="Times New Roman" w:eastAsia="Helvetica" w:hAnsi="Times New Roman" w:cs="Times New Roman"/>
          <w:sz w:val="28"/>
          <w:szCs w:val="28"/>
        </w:rPr>
        <w:t xml:space="preserve"> uz divdesmit piecām</w:t>
      </w:r>
      <w:r w:rsidR="005C2920" w:rsidRPr="005C2920">
        <w:rPr>
          <w:rFonts w:ascii="Times New Roman" w:eastAsia="Helvetica" w:hAnsi="Times New Roman" w:cs="Times New Roman"/>
          <w:sz w:val="28"/>
          <w:szCs w:val="28"/>
        </w:rPr>
        <w:t xml:space="preserve"> </w:t>
      </w:r>
      <w:r w:rsidR="005C2920" w:rsidRPr="00AC0C13">
        <w:rPr>
          <w:rFonts w:ascii="Times New Roman" w:eastAsia="Helvetica" w:hAnsi="Times New Roman" w:cs="Times New Roman"/>
          <w:sz w:val="28"/>
          <w:szCs w:val="28"/>
        </w:rPr>
        <w:t>vienībām</w:t>
      </w:r>
      <w:r w:rsidR="00C303A4" w:rsidRPr="00AC0C13">
        <w:rPr>
          <w:rFonts w:ascii="Times New Roman" w:eastAsia="Helvetica" w:hAnsi="Times New Roman" w:cs="Times New Roman"/>
          <w:sz w:val="28"/>
          <w:szCs w:val="28"/>
        </w:rPr>
        <w:t>.</w:t>
      </w:r>
    </w:p>
    <w:p w:rsidR="00DC1BD6" w:rsidRPr="009D32EA" w:rsidRDefault="00DC1BD6" w:rsidP="006E445A">
      <w:pPr>
        <w:pStyle w:val="ListParagraph"/>
        <w:ind w:left="0"/>
        <w:jc w:val="both"/>
        <w:rPr>
          <w:sz w:val="28"/>
          <w:szCs w:val="28"/>
        </w:rPr>
      </w:pPr>
    </w:p>
    <w:p w:rsidR="00AD0515" w:rsidRPr="007571C1" w:rsidRDefault="00AD0515" w:rsidP="006E445A">
      <w:pPr>
        <w:pStyle w:val="Heading1"/>
        <w:numPr>
          <w:ilvl w:val="0"/>
          <w:numId w:val="36"/>
        </w:numPr>
        <w:spacing w:before="0"/>
        <w:ind w:left="0" w:firstLine="0"/>
        <w:jc w:val="center"/>
        <w:rPr>
          <w:rFonts w:ascii="Times New Roman" w:hAnsi="Times New Roman" w:cs="Times New Roman"/>
          <w:b/>
          <w:color w:val="auto"/>
          <w:sz w:val="28"/>
          <w:szCs w:val="28"/>
        </w:rPr>
      </w:pPr>
      <w:bookmarkStart w:id="1558" w:name="_Toc56087191"/>
      <w:bookmarkStart w:id="1559" w:name="_Toc517169412"/>
      <w:r w:rsidRPr="007571C1">
        <w:rPr>
          <w:rFonts w:ascii="Times New Roman" w:hAnsi="Times New Roman" w:cs="Times New Roman"/>
          <w:b/>
          <w:color w:val="auto"/>
          <w:sz w:val="28"/>
          <w:szCs w:val="28"/>
        </w:rPr>
        <w:t>Latvijā nelicencēt</w:t>
      </w:r>
      <w:r w:rsidR="005725CE">
        <w:rPr>
          <w:rFonts w:ascii="Times New Roman" w:hAnsi="Times New Roman" w:cs="Times New Roman"/>
          <w:b/>
          <w:color w:val="auto"/>
          <w:sz w:val="28"/>
          <w:szCs w:val="28"/>
        </w:rPr>
        <w:t>o</w:t>
      </w:r>
      <w:r w:rsidRPr="007571C1">
        <w:rPr>
          <w:rFonts w:ascii="Times New Roman" w:hAnsi="Times New Roman" w:cs="Times New Roman"/>
          <w:b/>
          <w:color w:val="auto"/>
          <w:sz w:val="28"/>
          <w:szCs w:val="28"/>
        </w:rPr>
        <w:t xml:space="preserve"> azartspē</w:t>
      </w:r>
      <w:r w:rsidR="005725CE">
        <w:rPr>
          <w:rFonts w:ascii="Times New Roman" w:hAnsi="Times New Roman" w:cs="Times New Roman"/>
          <w:b/>
          <w:color w:val="auto"/>
          <w:sz w:val="28"/>
          <w:szCs w:val="28"/>
        </w:rPr>
        <w:t>ļu un izložu</w:t>
      </w:r>
      <w:r w:rsidRPr="007571C1">
        <w:rPr>
          <w:rFonts w:ascii="Times New Roman" w:hAnsi="Times New Roman" w:cs="Times New Roman"/>
          <w:b/>
          <w:color w:val="auto"/>
          <w:sz w:val="28"/>
          <w:szCs w:val="28"/>
        </w:rPr>
        <w:t xml:space="preserve"> novēršana</w:t>
      </w:r>
      <w:r w:rsidR="005725CE">
        <w:rPr>
          <w:rFonts w:ascii="Times New Roman" w:hAnsi="Times New Roman" w:cs="Times New Roman"/>
          <w:b/>
          <w:color w:val="auto"/>
          <w:sz w:val="28"/>
          <w:szCs w:val="28"/>
        </w:rPr>
        <w:t>s pasākumi</w:t>
      </w:r>
      <w:bookmarkEnd w:id="1558"/>
    </w:p>
    <w:p w:rsidR="00AD0515" w:rsidRPr="0087512B" w:rsidRDefault="00AD0515" w:rsidP="006E445A">
      <w:pPr>
        <w:jc w:val="both"/>
        <w:rPr>
          <w:rFonts w:eastAsia="Times New Roman" w:cs="Times New Roman"/>
          <w:b/>
          <w:bCs/>
          <w:sz w:val="28"/>
          <w:szCs w:val="28"/>
          <w:lang w:eastAsia="lv-LV"/>
        </w:rPr>
      </w:pPr>
    </w:p>
    <w:p w:rsidR="00AD0515" w:rsidRPr="0087512B" w:rsidRDefault="001155EF" w:rsidP="006E445A">
      <w:pPr>
        <w:widowControl w:val="0"/>
        <w:ind w:firstLine="567"/>
        <w:jc w:val="both"/>
        <w:rPr>
          <w:rFonts w:eastAsia="Calibri" w:cs="Times New Roman"/>
          <w:sz w:val="28"/>
          <w:szCs w:val="28"/>
        </w:rPr>
      </w:pPr>
      <w:r>
        <w:rPr>
          <w:rFonts w:eastAsia="Calibri" w:cs="Times New Roman"/>
          <w:sz w:val="28"/>
          <w:szCs w:val="28"/>
        </w:rPr>
        <w:t>G</w:t>
      </w:r>
      <w:r w:rsidR="00AD0515" w:rsidRPr="0087512B">
        <w:rPr>
          <w:rFonts w:eastAsia="Calibri" w:cs="Times New Roman"/>
          <w:sz w:val="28"/>
          <w:szCs w:val="28"/>
        </w:rPr>
        <w:t xml:space="preserve">odīgas spēles principu ievērošanai </w:t>
      </w:r>
      <w:r>
        <w:rPr>
          <w:rFonts w:eastAsia="Calibri" w:cs="Times New Roman"/>
          <w:sz w:val="28"/>
          <w:szCs w:val="28"/>
        </w:rPr>
        <w:t>AI nozarē</w:t>
      </w:r>
      <w:r w:rsidRPr="0087512B">
        <w:rPr>
          <w:rFonts w:eastAsia="Calibri" w:cs="Times New Roman"/>
          <w:sz w:val="28"/>
          <w:szCs w:val="28"/>
        </w:rPr>
        <w:t xml:space="preserve"> </w:t>
      </w:r>
      <w:r w:rsidR="00AD0515" w:rsidRPr="0087512B">
        <w:rPr>
          <w:rFonts w:eastAsia="Calibri" w:cs="Times New Roman"/>
          <w:sz w:val="28"/>
          <w:szCs w:val="28"/>
        </w:rPr>
        <w:t xml:space="preserve">kaitē nelegālo vai Latvijā nelicencēto azartspēļu un izložu izplatība interneta vidē, un tā novēršanai nepieciešami efektīvāki līdzekļi. </w:t>
      </w:r>
    </w:p>
    <w:p w:rsidR="00AD0515" w:rsidRDefault="00AD0515" w:rsidP="00CF5C3F">
      <w:pPr>
        <w:pStyle w:val="BodyText"/>
        <w:spacing w:after="120"/>
        <w:ind w:firstLine="567"/>
        <w:jc w:val="both"/>
        <w:rPr>
          <w:sz w:val="28"/>
          <w:szCs w:val="28"/>
        </w:rPr>
      </w:pPr>
      <w:r w:rsidRPr="0087512B">
        <w:rPr>
          <w:sz w:val="28"/>
          <w:szCs w:val="28"/>
        </w:rPr>
        <w:t>Precīzi dati par nelegālā tirgus apjomu nav pieejami, bet, kā liecina azartspēļu nozares datu specializēta uzņēmuma</w:t>
      </w:r>
      <w:r w:rsidR="00E11D45">
        <w:rPr>
          <w:sz w:val="28"/>
          <w:szCs w:val="28"/>
        </w:rPr>
        <w:t xml:space="preserve"> H2</w:t>
      </w:r>
      <w:r w:rsidRPr="0087512B">
        <w:rPr>
          <w:sz w:val="28"/>
          <w:szCs w:val="28"/>
        </w:rPr>
        <w:t xml:space="preserve"> </w:t>
      </w:r>
      <w:r w:rsidR="00FD1F26">
        <w:rPr>
          <w:sz w:val="28"/>
          <w:szCs w:val="28"/>
        </w:rPr>
        <w:t>Gambling Capital</w:t>
      </w:r>
      <w:r w:rsidRPr="00E11D45">
        <w:rPr>
          <w:sz w:val="28"/>
          <w:szCs w:val="28"/>
        </w:rPr>
        <w:t xml:space="preserve"> </w:t>
      </w:r>
      <w:r w:rsidRPr="0087512B">
        <w:rPr>
          <w:sz w:val="28"/>
          <w:szCs w:val="28"/>
        </w:rPr>
        <w:t xml:space="preserve">Latvijā </w:t>
      </w:r>
      <w:r w:rsidR="00DE7680">
        <w:rPr>
          <w:sz w:val="28"/>
          <w:szCs w:val="28"/>
        </w:rPr>
        <w:t xml:space="preserve">pētījums </w:t>
      </w:r>
      <w:r w:rsidRPr="0087512B">
        <w:rPr>
          <w:sz w:val="28"/>
          <w:szCs w:val="28"/>
        </w:rPr>
        <w:t xml:space="preserve">nelegālā interaktīvo azartspēļu tirgus īpatsvars </w:t>
      </w:r>
      <w:r>
        <w:rPr>
          <w:sz w:val="28"/>
          <w:szCs w:val="28"/>
        </w:rPr>
        <w:t>2019.gadā ir 33,</w:t>
      </w:r>
      <w:r w:rsidR="009F48AE">
        <w:rPr>
          <w:sz w:val="28"/>
          <w:szCs w:val="28"/>
        </w:rPr>
        <w:t xml:space="preserve">9 </w:t>
      </w:r>
      <w:r>
        <w:rPr>
          <w:sz w:val="28"/>
          <w:szCs w:val="28"/>
        </w:rPr>
        <w:t xml:space="preserve">milj. euro </w:t>
      </w:r>
      <w:r w:rsidRPr="00D268BB">
        <w:rPr>
          <w:sz w:val="28"/>
          <w:szCs w:val="28"/>
        </w:rPr>
        <w:t xml:space="preserve">(informācija uz </w:t>
      </w:r>
      <w:r w:rsidR="009F48AE">
        <w:rPr>
          <w:sz w:val="28"/>
          <w:szCs w:val="28"/>
        </w:rPr>
        <w:t>09.06.2020</w:t>
      </w:r>
      <w:r w:rsidRPr="00D268BB">
        <w:rPr>
          <w:sz w:val="28"/>
          <w:szCs w:val="28"/>
        </w:rPr>
        <w:t>.)</w:t>
      </w:r>
      <w:r w:rsidR="0049690C">
        <w:rPr>
          <w:sz w:val="28"/>
          <w:szCs w:val="28"/>
        </w:rPr>
        <w:t>.</w:t>
      </w:r>
    </w:p>
    <w:p w:rsidR="002B0E86" w:rsidRDefault="002B0E86" w:rsidP="002B0E86">
      <w:pPr>
        <w:pStyle w:val="BodyText"/>
        <w:spacing w:after="120"/>
        <w:jc w:val="center"/>
        <w:rPr>
          <w:sz w:val="28"/>
          <w:szCs w:val="28"/>
        </w:rPr>
      </w:pPr>
    </w:p>
    <w:p w:rsidR="00C94287" w:rsidRDefault="00C94287" w:rsidP="00C94287">
      <w:pPr>
        <w:pStyle w:val="BodyText"/>
        <w:jc w:val="right"/>
        <w:rPr>
          <w:sz w:val="28"/>
          <w:szCs w:val="28"/>
        </w:rPr>
      </w:pPr>
      <w:r>
        <w:rPr>
          <w:sz w:val="28"/>
          <w:szCs w:val="28"/>
        </w:rPr>
        <w:t>1.attēls</w:t>
      </w:r>
    </w:p>
    <w:p w:rsidR="002B0E86" w:rsidRDefault="002B0E86" w:rsidP="00C94287">
      <w:pPr>
        <w:pStyle w:val="BodyText"/>
        <w:jc w:val="center"/>
        <w:rPr>
          <w:sz w:val="28"/>
          <w:szCs w:val="28"/>
        </w:rPr>
      </w:pPr>
      <w:r>
        <w:rPr>
          <w:sz w:val="28"/>
          <w:szCs w:val="28"/>
        </w:rPr>
        <w:t>Nelegālo un legālo interaktīvo azartspēļu tirgus īpatsvars</w:t>
      </w:r>
    </w:p>
    <w:p w:rsidR="0049690C" w:rsidRDefault="0049690C" w:rsidP="00956612">
      <w:pPr>
        <w:pStyle w:val="BodyText"/>
        <w:spacing w:after="120"/>
        <w:jc w:val="center"/>
        <w:rPr>
          <w:sz w:val="28"/>
          <w:szCs w:val="28"/>
        </w:rPr>
      </w:pPr>
      <w:r>
        <w:rPr>
          <w:noProof/>
          <w:sz w:val="28"/>
          <w:szCs w:val="28"/>
          <w:lang w:eastAsia="lv-LV"/>
        </w:rPr>
        <w:lastRenderedPageBreak/>
        <w:drawing>
          <wp:inline distT="0" distB="0" distL="0" distR="0" wp14:anchorId="6376F458" wp14:editId="4DA42A9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0515" w:rsidRPr="002B0E86" w:rsidRDefault="002B0E86" w:rsidP="00A86A73">
      <w:pPr>
        <w:pStyle w:val="BodyText"/>
        <w:jc w:val="both"/>
        <w:rPr>
          <w:sz w:val="20"/>
          <w:szCs w:val="20"/>
        </w:rPr>
      </w:pPr>
      <w:r>
        <w:rPr>
          <w:sz w:val="20"/>
          <w:szCs w:val="20"/>
        </w:rPr>
        <w:t xml:space="preserve">Avots: </w:t>
      </w:r>
      <w:r w:rsidR="00A86A73" w:rsidRPr="00A86A73">
        <w:rPr>
          <w:sz w:val="20"/>
          <w:szCs w:val="20"/>
        </w:rPr>
        <w:t>H2 Gambling Capital Latvijā pētījums</w:t>
      </w:r>
    </w:p>
    <w:p w:rsidR="00A86A73" w:rsidRDefault="00A86A73" w:rsidP="00A86A73">
      <w:pPr>
        <w:ind w:firstLine="567"/>
        <w:jc w:val="both"/>
        <w:rPr>
          <w:rFonts w:cs="Times New Roman"/>
          <w:sz w:val="28"/>
          <w:szCs w:val="28"/>
        </w:rPr>
      </w:pPr>
    </w:p>
    <w:p w:rsidR="00AD0515" w:rsidRPr="0087512B" w:rsidRDefault="00AD0515" w:rsidP="00A86A73">
      <w:pPr>
        <w:ind w:firstLine="567"/>
        <w:jc w:val="both"/>
        <w:rPr>
          <w:rFonts w:cs="Times New Roman"/>
          <w:bCs/>
          <w:sz w:val="28"/>
          <w:szCs w:val="28"/>
          <w:lang w:eastAsia="lv-LV"/>
        </w:rPr>
      </w:pPr>
      <w:r w:rsidRPr="0087512B">
        <w:rPr>
          <w:rFonts w:cs="Times New Roman"/>
          <w:sz w:val="28"/>
          <w:szCs w:val="28"/>
        </w:rPr>
        <w:t>Uz Latvijā licencētiem azartspēļu un izložu organizēt</w:t>
      </w:r>
      <w:r w:rsidR="004A2D02">
        <w:rPr>
          <w:rFonts w:cs="Times New Roman"/>
          <w:sz w:val="28"/>
          <w:szCs w:val="28"/>
        </w:rPr>
        <w:t>ā</w:t>
      </w:r>
      <w:r w:rsidRPr="0087512B">
        <w:rPr>
          <w:rFonts w:cs="Times New Roman"/>
          <w:sz w:val="28"/>
          <w:szCs w:val="28"/>
        </w:rPr>
        <w:t xml:space="preserve">jiem attiecas azartspēļu un izložu jomu regulējošie normatīvie akti, kuri </w:t>
      </w:r>
      <w:r w:rsidR="00BA5230">
        <w:rPr>
          <w:rFonts w:cs="Times New Roman"/>
          <w:sz w:val="28"/>
          <w:szCs w:val="28"/>
        </w:rPr>
        <w:t>tajā</w:t>
      </w:r>
      <w:r w:rsidR="004A2D02">
        <w:rPr>
          <w:rFonts w:cs="Times New Roman"/>
          <w:sz w:val="28"/>
          <w:szCs w:val="28"/>
        </w:rPr>
        <w:t xml:space="preserve"> skaitā,</w:t>
      </w:r>
      <w:r w:rsidRPr="0087512B">
        <w:rPr>
          <w:rFonts w:cs="Times New Roman"/>
          <w:sz w:val="28"/>
          <w:szCs w:val="28"/>
        </w:rPr>
        <w:t xml:space="preserve"> ir vērsti uz azartspēļu atkarības nodarīto kaitējumu mazināšanu indivīdam un sabiedrības veselībai</w:t>
      </w:r>
      <w:r>
        <w:rPr>
          <w:rFonts w:cs="Times New Roman"/>
          <w:sz w:val="28"/>
          <w:szCs w:val="28"/>
        </w:rPr>
        <w:t xml:space="preserve">. Piemēram, </w:t>
      </w:r>
      <w:r>
        <w:rPr>
          <w:rFonts w:eastAsia="Times New Roman" w:cs="Times New Roman"/>
          <w:color w:val="000000"/>
          <w:sz w:val="28"/>
          <w:szCs w:val="28"/>
          <w:lang w:eastAsia="lv-LV"/>
        </w:rPr>
        <w:t xml:space="preserve">izveidots </w:t>
      </w:r>
      <w:r w:rsidR="00BC5CAF">
        <w:rPr>
          <w:rFonts w:eastAsia="Times New Roman" w:cs="Times New Roman"/>
          <w:color w:val="000000"/>
          <w:sz w:val="28"/>
          <w:szCs w:val="28"/>
          <w:lang w:eastAsia="lv-LV"/>
        </w:rPr>
        <w:t xml:space="preserve">pašatteikušos personu </w:t>
      </w:r>
      <w:r>
        <w:rPr>
          <w:rFonts w:eastAsia="Times New Roman" w:cs="Times New Roman"/>
          <w:color w:val="000000"/>
          <w:sz w:val="28"/>
          <w:szCs w:val="28"/>
          <w:lang w:eastAsia="lv-LV"/>
        </w:rPr>
        <w:t xml:space="preserve">reģistrs, </w:t>
      </w:r>
      <w:r w:rsidRPr="000C2A33">
        <w:rPr>
          <w:rFonts w:eastAsia="Times New Roman" w:cs="Times New Roman"/>
          <w:color w:val="000000"/>
          <w:sz w:val="28"/>
          <w:szCs w:val="28"/>
          <w:lang w:eastAsia="lv-LV"/>
        </w:rPr>
        <w:t xml:space="preserve">paredzot, ka fiziskai personai ir tiesības pieprasīt noteikt tai liegumu spēlēt azartspēles, </w:t>
      </w:r>
      <w:r w:rsidR="004A2D02">
        <w:rPr>
          <w:rFonts w:eastAsia="Times New Roman" w:cs="Times New Roman"/>
          <w:color w:val="000000"/>
          <w:sz w:val="28"/>
          <w:szCs w:val="28"/>
          <w:lang w:eastAsia="lv-LV"/>
        </w:rPr>
        <w:t xml:space="preserve">tostarp </w:t>
      </w:r>
      <w:r w:rsidRPr="000C2A33">
        <w:rPr>
          <w:rFonts w:eastAsia="Times New Roman" w:cs="Times New Roman"/>
          <w:color w:val="000000"/>
          <w:sz w:val="28"/>
          <w:szCs w:val="28"/>
          <w:lang w:eastAsia="lv-LV"/>
        </w:rPr>
        <w:t xml:space="preserve">interaktīvās azartspēles, un interaktīvās </w:t>
      </w:r>
      <w:r>
        <w:rPr>
          <w:rFonts w:eastAsia="Times New Roman" w:cs="Times New Roman"/>
          <w:color w:val="000000"/>
          <w:sz w:val="28"/>
          <w:szCs w:val="28"/>
          <w:lang w:eastAsia="lv-LV"/>
        </w:rPr>
        <w:t>izlozes.</w:t>
      </w:r>
      <w:r w:rsidRPr="0087512B">
        <w:rPr>
          <w:rFonts w:cs="Times New Roman"/>
          <w:sz w:val="28"/>
          <w:szCs w:val="28"/>
        </w:rPr>
        <w:t xml:space="preserve"> AIL </w:t>
      </w:r>
      <w:r w:rsidRPr="0087512B">
        <w:rPr>
          <w:rFonts w:cs="Times New Roman"/>
          <w:bCs/>
          <w:sz w:val="28"/>
          <w:szCs w:val="28"/>
          <w:lang w:eastAsia="lv-LV"/>
        </w:rPr>
        <w:t>ir noteiktas prasības</w:t>
      </w:r>
      <w:r w:rsidRPr="0087512B">
        <w:rPr>
          <w:rFonts w:cs="Times New Roman"/>
          <w:sz w:val="28"/>
          <w:szCs w:val="28"/>
        </w:rPr>
        <w:t xml:space="preserve"> </w:t>
      </w:r>
      <w:r w:rsidRPr="0087512B">
        <w:rPr>
          <w:rFonts w:cs="Times New Roman"/>
          <w:bCs/>
          <w:sz w:val="28"/>
          <w:szCs w:val="28"/>
          <w:lang w:eastAsia="lv-LV"/>
        </w:rPr>
        <w:t>personas aizsardzībai interaktīvajās azartspēlēs un interaktīvajās izlozēs, kas būtu jāievēro organizētajam, lai novērstu no interaktīvajām azartspēlēm vai interaktīvajām izlozēm at</w:t>
      </w:r>
      <w:r w:rsidR="00B834AC">
        <w:rPr>
          <w:rFonts w:cs="Times New Roman"/>
          <w:bCs/>
          <w:sz w:val="28"/>
          <w:szCs w:val="28"/>
          <w:lang w:eastAsia="lv-LV"/>
        </w:rPr>
        <w:t xml:space="preserve">karīgo spēlētāju tālāku dalību </w:t>
      </w:r>
      <w:r w:rsidRPr="0087512B">
        <w:rPr>
          <w:rFonts w:cs="Times New Roman"/>
          <w:bCs/>
          <w:sz w:val="28"/>
          <w:szCs w:val="28"/>
          <w:lang w:eastAsia="lv-LV"/>
        </w:rPr>
        <w:t>spēlēs</w:t>
      </w:r>
      <w:r w:rsidRPr="0087512B">
        <w:rPr>
          <w:rStyle w:val="FootnoteReference"/>
          <w:bCs/>
          <w:sz w:val="28"/>
          <w:szCs w:val="28"/>
          <w:lang w:eastAsia="lv-LV"/>
        </w:rPr>
        <w:footnoteReference w:id="120"/>
      </w:r>
      <w:r w:rsidRPr="0087512B">
        <w:rPr>
          <w:rFonts w:cs="Times New Roman"/>
          <w:bCs/>
          <w:sz w:val="28"/>
          <w:szCs w:val="28"/>
          <w:lang w:eastAsia="lv-LV"/>
        </w:rPr>
        <w:t>.</w:t>
      </w:r>
    </w:p>
    <w:p w:rsidR="00AD0515" w:rsidRPr="0087512B" w:rsidRDefault="00AD0515" w:rsidP="00AD0515">
      <w:pPr>
        <w:ind w:firstLine="567"/>
        <w:jc w:val="both"/>
        <w:rPr>
          <w:rFonts w:cs="Times New Roman"/>
          <w:sz w:val="28"/>
          <w:szCs w:val="28"/>
        </w:rPr>
      </w:pPr>
      <w:r w:rsidRPr="0087512B">
        <w:rPr>
          <w:rFonts w:cs="Times New Roman"/>
          <w:sz w:val="28"/>
          <w:szCs w:val="28"/>
        </w:rPr>
        <w:t xml:space="preserve">Savukārt, izmantojot nelicencēto azartspēļu un izložu organizētāju pakalpojumus, indivīds darbojas kompetento iestāžu nekontrolētajā vidē, pakļaujot riskam sevi un savus līdzcilvēkus. </w:t>
      </w:r>
    </w:p>
    <w:p w:rsidR="00AD0515" w:rsidRPr="000834AD" w:rsidRDefault="00AD0515" w:rsidP="00AD0515">
      <w:pPr>
        <w:ind w:firstLine="720"/>
        <w:jc w:val="both"/>
        <w:rPr>
          <w:rFonts w:cs="Times New Roman"/>
          <w:sz w:val="28"/>
          <w:szCs w:val="28"/>
        </w:rPr>
      </w:pPr>
      <w:r w:rsidRPr="000834AD">
        <w:rPr>
          <w:rFonts w:cs="Times New Roman"/>
          <w:sz w:val="28"/>
          <w:szCs w:val="28"/>
        </w:rPr>
        <w:t xml:space="preserve">Saeima </w:t>
      </w:r>
      <w:r w:rsidR="00037E08">
        <w:rPr>
          <w:rFonts w:cs="Times New Roman"/>
          <w:sz w:val="28"/>
          <w:szCs w:val="28"/>
        </w:rPr>
        <w:t>2019.g</w:t>
      </w:r>
      <w:r w:rsidR="00EC4FC0">
        <w:rPr>
          <w:rFonts w:cs="Times New Roman"/>
          <w:sz w:val="28"/>
          <w:szCs w:val="28"/>
        </w:rPr>
        <w:t>ada</w:t>
      </w:r>
      <w:r w:rsidRPr="000834AD">
        <w:rPr>
          <w:rFonts w:cs="Times New Roman"/>
          <w:sz w:val="28"/>
          <w:szCs w:val="28"/>
        </w:rPr>
        <w:t xml:space="preserve"> 3.aprīlī pieņēma likumu Par valsts budžetu 2019.gadam un to pavadošos 14 likumprojektus, </w:t>
      </w:r>
      <w:r w:rsidR="00BA5230">
        <w:rPr>
          <w:rFonts w:cs="Times New Roman"/>
          <w:sz w:val="28"/>
          <w:szCs w:val="28"/>
        </w:rPr>
        <w:t>tajā skaitā,</w:t>
      </w:r>
      <w:r w:rsidRPr="000834AD">
        <w:rPr>
          <w:rFonts w:cs="Times New Roman"/>
          <w:sz w:val="28"/>
          <w:szCs w:val="28"/>
        </w:rPr>
        <w:t xml:space="preserve"> tika pieņemti četri likumprojekti, kas paredz ierobežot </w:t>
      </w:r>
      <w:r w:rsidR="000C7445" w:rsidRPr="006C51FB">
        <w:rPr>
          <w:rFonts w:cs="Times New Roman"/>
          <w:spacing w:val="-4"/>
          <w:sz w:val="28"/>
          <w:szCs w:val="28"/>
        </w:rPr>
        <w:t>Latvij</w:t>
      </w:r>
      <w:r w:rsidR="000C7445">
        <w:rPr>
          <w:rFonts w:cs="Times New Roman"/>
          <w:spacing w:val="-4"/>
          <w:sz w:val="28"/>
          <w:szCs w:val="28"/>
        </w:rPr>
        <w:t>ā</w:t>
      </w:r>
      <w:r w:rsidR="000C7445" w:rsidRPr="006C51FB">
        <w:rPr>
          <w:rFonts w:cs="Times New Roman"/>
          <w:spacing w:val="-4"/>
          <w:sz w:val="28"/>
          <w:szCs w:val="28"/>
        </w:rPr>
        <w:t xml:space="preserve"> </w:t>
      </w:r>
      <w:r w:rsidRPr="000834AD">
        <w:rPr>
          <w:rFonts w:cs="Times New Roman"/>
          <w:sz w:val="28"/>
          <w:szCs w:val="28"/>
        </w:rPr>
        <w:t xml:space="preserve">nelicencētu interaktīvo azartspēļu un izložu pieejamību. </w:t>
      </w:r>
    </w:p>
    <w:p w:rsidR="00AD0515" w:rsidRPr="000834AD" w:rsidRDefault="00AD0515" w:rsidP="00CF5C3F">
      <w:pPr>
        <w:ind w:firstLine="567"/>
        <w:jc w:val="both"/>
        <w:rPr>
          <w:rFonts w:cs="Times New Roman"/>
          <w:sz w:val="28"/>
          <w:szCs w:val="28"/>
        </w:rPr>
      </w:pPr>
      <w:r w:rsidRPr="000834AD">
        <w:rPr>
          <w:rFonts w:cs="Times New Roman"/>
          <w:sz w:val="28"/>
          <w:szCs w:val="28"/>
        </w:rPr>
        <w:t>Kompleksie pasākumi paredz:</w:t>
      </w:r>
    </w:p>
    <w:p w:rsidR="00AD0515" w:rsidRPr="006E445A" w:rsidRDefault="00AD0515" w:rsidP="006E445A">
      <w:pPr>
        <w:pStyle w:val="ListParagraph"/>
        <w:numPr>
          <w:ilvl w:val="0"/>
          <w:numId w:val="32"/>
        </w:numPr>
        <w:ind w:left="0" w:firstLine="709"/>
        <w:jc w:val="both"/>
        <w:rPr>
          <w:rFonts w:cs="Times New Roman"/>
          <w:sz w:val="28"/>
          <w:szCs w:val="28"/>
        </w:rPr>
      </w:pPr>
      <w:r w:rsidRPr="000834AD">
        <w:rPr>
          <w:rFonts w:cs="Times New Roman"/>
          <w:sz w:val="28"/>
          <w:szCs w:val="28"/>
        </w:rPr>
        <w:t>Grozījumus Maksājumu pakalpojumu un elektroniskās naudas likumā</w:t>
      </w:r>
      <w:r w:rsidR="006E445A">
        <w:rPr>
          <w:rFonts w:cs="Times New Roman"/>
          <w:sz w:val="28"/>
          <w:szCs w:val="28"/>
        </w:rPr>
        <w:t xml:space="preserve">, </w:t>
      </w:r>
      <w:r w:rsidRPr="006E445A">
        <w:rPr>
          <w:rFonts w:cs="Times New Roman"/>
          <w:sz w:val="28"/>
          <w:szCs w:val="28"/>
        </w:rPr>
        <w:t xml:space="preserve">nosakot pienākumu kredītiestādēm un maksājumu pakalpojumu sniedzējiem atteikt attālināto maksājumu veikšanu ar </w:t>
      </w:r>
      <w:r w:rsidRPr="006E445A">
        <w:rPr>
          <w:rFonts w:cs="Times New Roman"/>
          <w:spacing w:val="-4"/>
          <w:sz w:val="28"/>
          <w:szCs w:val="28"/>
        </w:rPr>
        <w:t>L</w:t>
      </w:r>
      <w:r w:rsidR="000C7445">
        <w:rPr>
          <w:rFonts w:cs="Times New Roman"/>
          <w:spacing w:val="-4"/>
          <w:sz w:val="28"/>
          <w:szCs w:val="28"/>
        </w:rPr>
        <w:t>atvijas</w:t>
      </w:r>
      <w:r w:rsidRPr="006E445A">
        <w:rPr>
          <w:rFonts w:cs="Times New Roman"/>
          <w:sz w:val="28"/>
          <w:szCs w:val="28"/>
        </w:rPr>
        <w:t xml:space="preserve"> rezidentam izsniegto maksājumu karti </w:t>
      </w:r>
      <w:r w:rsidRPr="006E445A">
        <w:rPr>
          <w:rFonts w:cs="Times New Roman"/>
          <w:spacing w:val="-4"/>
          <w:sz w:val="28"/>
          <w:szCs w:val="28"/>
        </w:rPr>
        <w:t>L</w:t>
      </w:r>
      <w:r w:rsidR="000C7445">
        <w:rPr>
          <w:rFonts w:cs="Times New Roman"/>
          <w:spacing w:val="-4"/>
          <w:sz w:val="28"/>
          <w:szCs w:val="28"/>
        </w:rPr>
        <w:t>atvijā</w:t>
      </w:r>
      <w:r w:rsidRPr="006E445A">
        <w:rPr>
          <w:rFonts w:cs="Times New Roman"/>
          <w:sz w:val="28"/>
          <w:szCs w:val="28"/>
        </w:rPr>
        <w:t xml:space="preserve"> nelicencētam interaktīvo azartspēļu un i</w:t>
      </w:r>
      <w:r w:rsidR="006E445A">
        <w:rPr>
          <w:rFonts w:cs="Times New Roman"/>
          <w:sz w:val="28"/>
          <w:szCs w:val="28"/>
        </w:rPr>
        <w:t>nteraktīvo izložu organizētājam.</w:t>
      </w:r>
    </w:p>
    <w:p w:rsidR="00AD0515" w:rsidRPr="000834AD" w:rsidRDefault="006E445A" w:rsidP="006E445A">
      <w:pPr>
        <w:ind w:firstLine="709"/>
        <w:jc w:val="both"/>
        <w:rPr>
          <w:rFonts w:cs="Times New Roman"/>
          <w:sz w:val="28"/>
          <w:szCs w:val="28"/>
        </w:rPr>
      </w:pPr>
      <w:r>
        <w:rPr>
          <w:rFonts w:cs="Times New Roman"/>
          <w:sz w:val="28"/>
          <w:szCs w:val="28"/>
        </w:rPr>
        <w:t xml:space="preserve">2) </w:t>
      </w:r>
      <w:r w:rsidR="00AD0515" w:rsidRPr="000834AD">
        <w:rPr>
          <w:rFonts w:cs="Times New Roman"/>
          <w:sz w:val="28"/>
          <w:szCs w:val="28"/>
        </w:rPr>
        <w:t>Grozījumus Elektronisko sakaru likumā</w:t>
      </w:r>
      <w:r>
        <w:rPr>
          <w:rFonts w:cs="Times New Roman"/>
          <w:sz w:val="28"/>
          <w:szCs w:val="28"/>
        </w:rPr>
        <w:t>:</w:t>
      </w:r>
    </w:p>
    <w:p w:rsidR="00AD0515" w:rsidRPr="000834AD" w:rsidRDefault="006E445A" w:rsidP="007E7F4B">
      <w:pPr>
        <w:ind w:firstLine="1134"/>
        <w:jc w:val="both"/>
        <w:rPr>
          <w:rFonts w:cs="Times New Roman"/>
          <w:sz w:val="28"/>
          <w:szCs w:val="28"/>
        </w:rPr>
      </w:pPr>
      <w:r>
        <w:rPr>
          <w:rFonts w:cs="Times New Roman"/>
          <w:sz w:val="28"/>
          <w:szCs w:val="28"/>
        </w:rPr>
        <w:t xml:space="preserve">a) </w:t>
      </w:r>
      <w:r w:rsidR="00AD0515" w:rsidRPr="000834AD">
        <w:rPr>
          <w:rFonts w:cs="Times New Roman"/>
          <w:sz w:val="28"/>
          <w:szCs w:val="28"/>
        </w:rPr>
        <w:t xml:space="preserve">elektronisko sakaru komersants, izpildot </w:t>
      </w:r>
      <w:r w:rsidR="00DC030F">
        <w:rPr>
          <w:rFonts w:cs="Times New Roman"/>
          <w:sz w:val="28"/>
          <w:szCs w:val="28"/>
        </w:rPr>
        <w:t>IAUI</w:t>
      </w:r>
      <w:r w:rsidR="00AD0515" w:rsidRPr="000834AD">
        <w:rPr>
          <w:rFonts w:cs="Times New Roman"/>
          <w:sz w:val="28"/>
          <w:szCs w:val="28"/>
        </w:rPr>
        <w:t xml:space="preserve"> lēmumu par piekļuves ierobežošanu, nodrošinās tīmekļa vietnes lietotāja pāradresāciju uz </w:t>
      </w:r>
      <w:r w:rsidR="00DC030F">
        <w:rPr>
          <w:rFonts w:cs="Times New Roman"/>
          <w:sz w:val="28"/>
          <w:szCs w:val="28"/>
        </w:rPr>
        <w:t>IAUI</w:t>
      </w:r>
      <w:r w:rsidR="00AD0515" w:rsidRPr="000834AD">
        <w:rPr>
          <w:rFonts w:cs="Times New Roman"/>
          <w:sz w:val="28"/>
          <w:szCs w:val="28"/>
        </w:rPr>
        <w:t xml:space="preserve"> tīmekļa vietni, kurā lietotājam tiks sniegta informācija par liegumu spēlēt </w:t>
      </w:r>
      <w:r w:rsidR="00AD0515" w:rsidRPr="00572348">
        <w:rPr>
          <w:rFonts w:cs="Times New Roman"/>
          <w:spacing w:val="-4"/>
          <w:sz w:val="28"/>
          <w:szCs w:val="28"/>
        </w:rPr>
        <w:t>L</w:t>
      </w:r>
      <w:r w:rsidR="000C7445">
        <w:rPr>
          <w:rFonts w:cs="Times New Roman"/>
          <w:spacing w:val="-4"/>
          <w:sz w:val="28"/>
          <w:szCs w:val="28"/>
        </w:rPr>
        <w:t>atvijā</w:t>
      </w:r>
      <w:r w:rsidR="00AD0515" w:rsidRPr="000834AD">
        <w:rPr>
          <w:rFonts w:cs="Times New Roman"/>
          <w:sz w:val="28"/>
          <w:szCs w:val="28"/>
        </w:rPr>
        <w:t xml:space="preserve"> </w:t>
      </w:r>
      <w:r w:rsidR="00AD0515" w:rsidRPr="000834AD">
        <w:rPr>
          <w:rFonts w:cs="Times New Roman"/>
          <w:sz w:val="28"/>
          <w:szCs w:val="28"/>
        </w:rPr>
        <w:lastRenderedPageBreak/>
        <w:t xml:space="preserve">nelicencētas interaktīvās azartspēles un interaktīvās izlozes, par </w:t>
      </w:r>
      <w:r w:rsidR="00AD0515" w:rsidRPr="00572348">
        <w:rPr>
          <w:rFonts w:cs="Times New Roman"/>
          <w:spacing w:val="-4"/>
          <w:sz w:val="28"/>
          <w:szCs w:val="28"/>
        </w:rPr>
        <w:t>L</w:t>
      </w:r>
      <w:r w:rsidR="000C7445">
        <w:rPr>
          <w:rFonts w:cs="Times New Roman"/>
          <w:spacing w:val="-4"/>
          <w:sz w:val="28"/>
          <w:szCs w:val="28"/>
        </w:rPr>
        <w:t>atvijā</w:t>
      </w:r>
      <w:r w:rsidR="00AD0515" w:rsidRPr="000834AD">
        <w:rPr>
          <w:rFonts w:cs="Times New Roman"/>
          <w:sz w:val="28"/>
          <w:szCs w:val="28"/>
        </w:rPr>
        <w:t xml:space="preserve"> licencētiem interaktīvajiem azartspēļu organizētājiem, kā arī informācija par atkarību no azartspēlēm un izlozēm mazinošiem pasākumiem;</w:t>
      </w:r>
    </w:p>
    <w:p w:rsidR="00AD0515" w:rsidRPr="000834AD" w:rsidRDefault="006E445A" w:rsidP="007E7F4B">
      <w:pPr>
        <w:ind w:firstLine="1134"/>
        <w:jc w:val="both"/>
        <w:rPr>
          <w:rFonts w:cs="Times New Roman"/>
          <w:sz w:val="28"/>
          <w:szCs w:val="28"/>
        </w:rPr>
      </w:pPr>
      <w:r>
        <w:rPr>
          <w:rFonts w:cs="Times New Roman"/>
          <w:sz w:val="28"/>
          <w:szCs w:val="28"/>
        </w:rPr>
        <w:t xml:space="preserve">b) </w:t>
      </w:r>
      <w:r w:rsidR="00AD0515" w:rsidRPr="000834AD">
        <w:rPr>
          <w:rFonts w:cs="Times New Roman"/>
          <w:sz w:val="28"/>
          <w:szCs w:val="28"/>
        </w:rPr>
        <w:t>nepārprotami noteikt minimālās piekļuves ierobežošanas prasības un arī tiesības elektronisko pakalpojumu sniedzējam izvēlēties tehnoloģisko risinājumu, kā tiek ierobežota piekļuve attiecīgajai tīmekļa vietnei sev piemērotā veidā;</w:t>
      </w:r>
    </w:p>
    <w:p w:rsidR="00AD0515" w:rsidRPr="000834AD" w:rsidRDefault="006E445A" w:rsidP="007E7F4B">
      <w:pPr>
        <w:ind w:firstLine="1134"/>
        <w:jc w:val="both"/>
        <w:rPr>
          <w:rFonts w:cs="Times New Roman"/>
          <w:sz w:val="28"/>
          <w:szCs w:val="28"/>
        </w:rPr>
      </w:pPr>
      <w:r>
        <w:rPr>
          <w:rFonts w:cs="Times New Roman"/>
          <w:sz w:val="28"/>
          <w:szCs w:val="28"/>
        </w:rPr>
        <w:t xml:space="preserve">c) </w:t>
      </w:r>
      <w:r w:rsidR="00AD0515" w:rsidRPr="000834AD">
        <w:rPr>
          <w:rFonts w:cs="Times New Roman"/>
          <w:sz w:val="28"/>
          <w:szCs w:val="28"/>
        </w:rPr>
        <w:t xml:space="preserve">pilnveidot regulējumu attiecībā uz to, ja elektronisko sakaru komersants atbilstoši normatīvo aktu prasībām regulāri nenodrošina pieejas ierobežošanu </w:t>
      </w:r>
      <w:r w:rsidR="000C7445" w:rsidRPr="00572348">
        <w:rPr>
          <w:rFonts w:cs="Times New Roman"/>
          <w:spacing w:val="-4"/>
          <w:sz w:val="28"/>
          <w:szCs w:val="28"/>
        </w:rPr>
        <w:t>L</w:t>
      </w:r>
      <w:r w:rsidR="000C7445">
        <w:rPr>
          <w:rFonts w:cs="Times New Roman"/>
          <w:spacing w:val="-4"/>
          <w:sz w:val="28"/>
          <w:szCs w:val="28"/>
        </w:rPr>
        <w:t>atvijā</w:t>
      </w:r>
      <w:r w:rsidR="000C7445" w:rsidRPr="000834AD">
        <w:rPr>
          <w:rFonts w:cs="Times New Roman"/>
          <w:sz w:val="28"/>
          <w:szCs w:val="28"/>
        </w:rPr>
        <w:t xml:space="preserve"> </w:t>
      </w:r>
      <w:r w:rsidR="00AD0515" w:rsidRPr="000834AD">
        <w:rPr>
          <w:rFonts w:cs="Times New Roman"/>
          <w:sz w:val="28"/>
          <w:szCs w:val="28"/>
        </w:rPr>
        <w:t>nelicencētu interaktīvo azartspēļu un interaktīvo izložu organizētāja tīmekļu vietnei vismaz minimālo prasību līmenī</w:t>
      </w:r>
      <w:r>
        <w:rPr>
          <w:rFonts w:cs="Times New Roman"/>
          <w:sz w:val="28"/>
          <w:szCs w:val="28"/>
        </w:rPr>
        <w:t>.</w:t>
      </w:r>
    </w:p>
    <w:p w:rsidR="00AD0515" w:rsidRDefault="00AC0C13" w:rsidP="006E445A">
      <w:pPr>
        <w:ind w:firstLine="709"/>
        <w:jc w:val="both"/>
        <w:rPr>
          <w:rFonts w:cs="Times New Roman"/>
          <w:sz w:val="28"/>
          <w:szCs w:val="28"/>
        </w:rPr>
      </w:pPr>
      <w:r>
        <w:rPr>
          <w:rFonts w:cs="Times New Roman"/>
          <w:sz w:val="28"/>
          <w:szCs w:val="28"/>
        </w:rPr>
        <w:t>3</w:t>
      </w:r>
      <w:r w:rsidR="006E445A">
        <w:rPr>
          <w:rFonts w:cs="Times New Roman"/>
          <w:sz w:val="28"/>
          <w:szCs w:val="28"/>
        </w:rPr>
        <w:t xml:space="preserve">) </w:t>
      </w:r>
      <w:r w:rsidR="00AD0515" w:rsidRPr="000834AD">
        <w:rPr>
          <w:rFonts w:cs="Times New Roman"/>
          <w:sz w:val="28"/>
          <w:szCs w:val="28"/>
        </w:rPr>
        <w:t>Grozījumus Latvijas Administratīvo pārkāpumu kodeksā</w:t>
      </w:r>
      <w:r w:rsidR="006E445A">
        <w:rPr>
          <w:rFonts w:cs="Times New Roman"/>
          <w:sz w:val="28"/>
          <w:szCs w:val="28"/>
        </w:rPr>
        <w:t xml:space="preserve">, </w:t>
      </w:r>
      <w:r w:rsidR="00AD0515" w:rsidRPr="000834AD">
        <w:rPr>
          <w:rFonts w:cs="Times New Roman"/>
          <w:sz w:val="28"/>
          <w:szCs w:val="28"/>
        </w:rPr>
        <w:t xml:space="preserve">paredzot noteikt atbildību personai par dalību </w:t>
      </w:r>
      <w:r w:rsidR="00AD0515" w:rsidRPr="00572348">
        <w:rPr>
          <w:rFonts w:cs="Times New Roman"/>
          <w:spacing w:val="-4"/>
          <w:sz w:val="28"/>
          <w:szCs w:val="28"/>
        </w:rPr>
        <w:t>L</w:t>
      </w:r>
      <w:r w:rsidR="000C7445">
        <w:rPr>
          <w:rFonts w:cs="Times New Roman"/>
          <w:spacing w:val="-4"/>
          <w:sz w:val="28"/>
          <w:szCs w:val="28"/>
        </w:rPr>
        <w:t>atvijā</w:t>
      </w:r>
      <w:r w:rsidR="00AD0515" w:rsidRPr="003908C3">
        <w:rPr>
          <w:rFonts w:cs="Times New Roman"/>
          <w:sz w:val="28"/>
          <w:szCs w:val="28"/>
        </w:rPr>
        <w:t xml:space="preserve"> </w:t>
      </w:r>
      <w:r w:rsidR="00AD0515" w:rsidRPr="000834AD">
        <w:rPr>
          <w:rFonts w:cs="Times New Roman"/>
          <w:sz w:val="28"/>
          <w:szCs w:val="28"/>
        </w:rPr>
        <w:t>nelicencētās interaktīvās azartspēlēs vai interaktīvās izlozēs</w:t>
      </w:r>
      <w:r w:rsidR="006E445A">
        <w:rPr>
          <w:rFonts w:cs="Times New Roman"/>
          <w:sz w:val="28"/>
          <w:szCs w:val="28"/>
        </w:rPr>
        <w:t>.</w:t>
      </w:r>
    </w:p>
    <w:p w:rsidR="00B13098" w:rsidRPr="000834AD" w:rsidRDefault="00AC0C13" w:rsidP="006E445A">
      <w:pPr>
        <w:ind w:firstLine="709"/>
        <w:jc w:val="both"/>
        <w:rPr>
          <w:rFonts w:cs="Times New Roman"/>
          <w:sz w:val="28"/>
          <w:szCs w:val="28"/>
        </w:rPr>
      </w:pPr>
      <w:r>
        <w:rPr>
          <w:rFonts w:cs="Times New Roman"/>
          <w:sz w:val="28"/>
          <w:szCs w:val="28"/>
        </w:rPr>
        <w:t>4</w:t>
      </w:r>
      <w:r w:rsidR="006E445A">
        <w:rPr>
          <w:rFonts w:cs="Times New Roman"/>
          <w:sz w:val="28"/>
          <w:szCs w:val="28"/>
        </w:rPr>
        <w:t xml:space="preserve">) </w:t>
      </w:r>
      <w:r w:rsidR="00B13098">
        <w:rPr>
          <w:rFonts w:cs="Times New Roman"/>
          <w:sz w:val="28"/>
          <w:szCs w:val="28"/>
        </w:rPr>
        <w:t xml:space="preserve">Grozījumi AIL, nosakot aizliegumu personai piedalīties nelicencētās azartspēlēs un izlozēs. </w:t>
      </w:r>
    </w:p>
    <w:p w:rsidR="00AD0515" w:rsidRPr="007571C1" w:rsidRDefault="00AD0515" w:rsidP="000C7445">
      <w:pPr>
        <w:ind w:firstLine="720"/>
        <w:jc w:val="both"/>
        <w:rPr>
          <w:rFonts w:cs="Times New Roman"/>
          <w:spacing w:val="-4"/>
          <w:sz w:val="28"/>
          <w:szCs w:val="28"/>
        </w:rPr>
      </w:pPr>
      <w:r>
        <w:rPr>
          <w:rFonts w:cs="Times New Roman"/>
          <w:sz w:val="28"/>
          <w:szCs w:val="28"/>
        </w:rPr>
        <w:t xml:space="preserve"> </w:t>
      </w:r>
      <w:r w:rsidRPr="007571C1">
        <w:rPr>
          <w:rFonts w:cs="Times New Roman"/>
          <w:spacing w:val="-4"/>
          <w:sz w:val="28"/>
          <w:szCs w:val="28"/>
        </w:rPr>
        <w:t xml:space="preserve">Papildus </w:t>
      </w:r>
      <w:r w:rsidR="00DE54A9">
        <w:rPr>
          <w:rFonts w:cs="Times New Roman"/>
          <w:spacing w:val="-4"/>
          <w:sz w:val="28"/>
          <w:szCs w:val="28"/>
        </w:rPr>
        <w:t>regulējum</w:t>
      </w:r>
      <w:r w:rsidR="008973EB">
        <w:rPr>
          <w:rFonts w:cs="Times New Roman"/>
          <w:spacing w:val="-4"/>
          <w:sz w:val="28"/>
          <w:szCs w:val="28"/>
        </w:rPr>
        <w:t>ā</w:t>
      </w:r>
      <w:r w:rsidR="00DE54A9">
        <w:rPr>
          <w:rFonts w:cs="Times New Roman"/>
          <w:spacing w:val="-4"/>
          <w:sz w:val="28"/>
          <w:szCs w:val="28"/>
        </w:rPr>
        <w:t xml:space="preserve"> atrunātajam</w:t>
      </w:r>
      <w:r w:rsidRPr="007571C1">
        <w:rPr>
          <w:rFonts w:cs="Times New Roman"/>
          <w:spacing w:val="-4"/>
          <w:sz w:val="28"/>
          <w:szCs w:val="28"/>
        </w:rPr>
        <w:t xml:space="preserve"> </w:t>
      </w:r>
      <w:r w:rsidR="008973EB">
        <w:rPr>
          <w:rFonts w:cs="Times New Roman"/>
          <w:spacing w:val="-4"/>
          <w:sz w:val="28"/>
          <w:szCs w:val="28"/>
        </w:rPr>
        <w:t xml:space="preserve">notiek komunikācija ar </w:t>
      </w:r>
      <w:r w:rsidRPr="007571C1">
        <w:rPr>
          <w:rFonts w:cs="Times New Roman"/>
          <w:spacing w:val="-4"/>
          <w:sz w:val="28"/>
          <w:szCs w:val="28"/>
        </w:rPr>
        <w:t>“elektronisko maku” turētāj</w:t>
      </w:r>
      <w:r w:rsidR="008C4A7C">
        <w:rPr>
          <w:rFonts w:cs="Times New Roman"/>
          <w:spacing w:val="-4"/>
          <w:sz w:val="28"/>
          <w:szCs w:val="28"/>
        </w:rPr>
        <w:t>iem</w:t>
      </w:r>
      <w:r w:rsidRPr="007571C1">
        <w:rPr>
          <w:rFonts w:cs="Times New Roman"/>
          <w:spacing w:val="-4"/>
          <w:sz w:val="28"/>
          <w:szCs w:val="28"/>
        </w:rPr>
        <w:t xml:space="preserve">, kas piedāvā pakalpojumu </w:t>
      </w:r>
      <w:r w:rsidR="00682068">
        <w:rPr>
          <w:rFonts w:cs="Times New Roman"/>
          <w:spacing w:val="-4"/>
          <w:sz w:val="28"/>
          <w:szCs w:val="28"/>
        </w:rPr>
        <w:t>L</w:t>
      </w:r>
      <w:r w:rsidR="000C7445">
        <w:rPr>
          <w:rFonts w:cs="Times New Roman"/>
          <w:spacing w:val="-4"/>
          <w:sz w:val="28"/>
          <w:szCs w:val="28"/>
        </w:rPr>
        <w:t>atvijas</w:t>
      </w:r>
      <w:r w:rsidRPr="007571C1">
        <w:rPr>
          <w:rFonts w:cs="Times New Roman"/>
          <w:spacing w:val="-4"/>
          <w:sz w:val="28"/>
          <w:szCs w:val="28"/>
        </w:rPr>
        <w:t xml:space="preserve"> rezidentiem (uz tiem attiec</w:t>
      </w:r>
      <w:r w:rsidR="00870930">
        <w:rPr>
          <w:rFonts w:cs="Times New Roman"/>
          <w:spacing w:val="-4"/>
          <w:sz w:val="28"/>
          <w:szCs w:val="28"/>
        </w:rPr>
        <w:t>a</w:t>
      </w:r>
      <w:r w:rsidRPr="007571C1">
        <w:rPr>
          <w:rFonts w:cs="Times New Roman"/>
          <w:spacing w:val="-4"/>
          <w:sz w:val="28"/>
          <w:szCs w:val="28"/>
        </w:rPr>
        <w:t xml:space="preserve">s arī noziedzīgi iegūto līdzekļu legalizēšanas un terorisma finansēšanas novēršanas sistēmā paredzētie klientu identificēšanas nosacījumi, kā arī citas Latvijas normatīvo aktu prasības, ko tie uzņemas, piedāvājot pakalpojumus Latvijas ekonomiskajā zonā), </w:t>
      </w:r>
      <w:r w:rsidR="00BA668C">
        <w:rPr>
          <w:rFonts w:cs="Times New Roman"/>
          <w:spacing w:val="-4"/>
          <w:sz w:val="28"/>
          <w:szCs w:val="28"/>
        </w:rPr>
        <w:t>vēršot to uzmanību</w:t>
      </w:r>
      <w:r w:rsidRPr="007571C1">
        <w:rPr>
          <w:rFonts w:cs="Times New Roman"/>
          <w:spacing w:val="-4"/>
          <w:sz w:val="28"/>
          <w:szCs w:val="28"/>
        </w:rPr>
        <w:t xml:space="preserve">, ka </w:t>
      </w:r>
      <w:r w:rsidR="000C7445">
        <w:rPr>
          <w:rFonts w:cs="Times New Roman"/>
          <w:spacing w:val="-4"/>
          <w:sz w:val="28"/>
          <w:szCs w:val="28"/>
        </w:rPr>
        <w:t>Latvijas</w:t>
      </w:r>
      <w:r w:rsidR="000C7445" w:rsidRPr="007571C1">
        <w:rPr>
          <w:rFonts w:cs="Times New Roman"/>
          <w:spacing w:val="-4"/>
          <w:sz w:val="28"/>
          <w:szCs w:val="28"/>
        </w:rPr>
        <w:t xml:space="preserve"> </w:t>
      </w:r>
      <w:r w:rsidRPr="007571C1">
        <w:rPr>
          <w:rFonts w:cs="Times New Roman"/>
          <w:spacing w:val="-4"/>
          <w:sz w:val="28"/>
          <w:szCs w:val="28"/>
        </w:rPr>
        <w:t xml:space="preserve">rezidentu attālinātie maksājumi un pārskaitījumi uz </w:t>
      </w:r>
      <w:r w:rsidR="006C489B">
        <w:rPr>
          <w:rFonts w:cs="Times New Roman"/>
          <w:spacing w:val="-4"/>
          <w:sz w:val="28"/>
          <w:szCs w:val="28"/>
        </w:rPr>
        <w:t>L</w:t>
      </w:r>
      <w:r w:rsidR="000C7445">
        <w:rPr>
          <w:rFonts w:cs="Times New Roman"/>
          <w:spacing w:val="-4"/>
          <w:sz w:val="28"/>
          <w:szCs w:val="28"/>
        </w:rPr>
        <w:t>atvijā</w:t>
      </w:r>
      <w:r w:rsidRPr="007571C1">
        <w:rPr>
          <w:rFonts w:cs="Times New Roman"/>
          <w:spacing w:val="-4"/>
          <w:sz w:val="28"/>
          <w:szCs w:val="28"/>
        </w:rPr>
        <w:t xml:space="preserve"> nelicencēto interaktīvo azartspēļu un interaktīvo izložu organizētājiem ir aizliegti.</w:t>
      </w:r>
    </w:p>
    <w:p w:rsidR="00AD0515" w:rsidRPr="007571C1" w:rsidRDefault="00AD0515" w:rsidP="00CF5C3F">
      <w:pPr>
        <w:ind w:firstLine="567"/>
        <w:jc w:val="both"/>
        <w:rPr>
          <w:rFonts w:cs="Times New Roman"/>
          <w:spacing w:val="-4"/>
          <w:sz w:val="28"/>
          <w:szCs w:val="28"/>
        </w:rPr>
      </w:pPr>
      <w:r w:rsidRPr="00EA268B">
        <w:rPr>
          <w:rFonts w:cs="Times New Roman"/>
          <w:sz w:val="28"/>
          <w:szCs w:val="28"/>
        </w:rPr>
        <w:t xml:space="preserve">Turklāt minētajiem uzsāktajiem projektiem un īstenotajiem pasākumiem, </w:t>
      </w:r>
      <w:r w:rsidR="00CF5C3F">
        <w:rPr>
          <w:rFonts w:cs="Times New Roman"/>
          <w:sz w:val="28"/>
          <w:szCs w:val="28"/>
        </w:rPr>
        <w:t>IAUI</w:t>
      </w:r>
      <w:r w:rsidRPr="00EA268B">
        <w:rPr>
          <w:rFonts w:cs="Times New Roman"/>
          <w:sz w:val="28"/>
          <w:szCs w:val="28"/>
        </w:rPr>
        <w:t xml:space="preserve"> sadarbībā ar Finanšu un kapitāla tirgus komisiju un Finanšu nozares asociāciju ir uzsākušas sadarbību, izmantojot arī alternatīvus tās rīcībā esošos instrumentus nelegālu darījumu ierobežošanai. </w:t>
      </w:r>
    </w:p>
    <w:p w:rsidR="00BA5230" w:rsidRDefault="00AD0515" w:rsidP="00CF5C3F">
      <w:pPr>
        <w:ind w:firstLine="567"/>
        <w:jc w:val="both"/>
        <w:rPr>
          <w:rFonts w:cs="Times New Roman"/>
          <w:sz w:val="28"/>
          <w:szCs w:val="28"/>
        </w:rPr>
      </w:pPr>
      <w:r w:rsidRPr="007571C1">
        <w:rPr>
          <w:rFonts w:cs="Times New Roman"/>
          <w:sz w:val="28"/>
          <w:szCs w:val="28"/>
        </w:rPr>
        <w:t>Paredzams, ka ieviest</w:t>
      </w:r>
      <w:r w:rsidR="00BA5230">
        <w:rPr>
          <w:rFonts w:cs="Times New Roman"/>
          <w:sz w:val="28"/>
          <w:szCs w:val="28"/>
        </w:rPr>
        <w:t>ā</w:t>
      </w:r>
      <w:r w:rsidRPr="007571C1">
        <w:rPr>
          <w:rFonts w:cs="Times New Roman"/>
          <w:sz w:val="28"/>
          <w:szCs w:val="28"/>
        </w:rPr>
        <w:t xml:space="preserve">s izmaiņas normatīvajā regulējumā būtiski samazinās nelegālo azartspēļu un izložu interaktīvo tirgus nišu, jo </w:t>
      </w:r>
      <w:r w:rsidR="000A5D5C">
        <w:rPr>
          <w:rFonts w:cs="Times New Roman"/>
          <w:sz w:val="28"/>
          <w:szCs w:val="28"/>
        </w:rPr>
        <w:t>L</w:t>
      </w:r>
      <w:r w:rsidR="000C7445">
        <w:rPr>
          <w:rFonts w:cs="Times New Roman"/>
          <w:sz w:val="28"/>
          <w:szCs w:val="28"/>
        </w:rPr>
        <w:t>atvijas</w:t>
      </w:r>
      <w:r w:rsidRPr="007571C1">
        <w:rPr>
          <w:rFonts w:cs="Times New Roman"/>
          <w:sz w:val="28"/>
          <w:szCs w:val="28"/>
        </w:rPr>
        <w:t xml:space="preserve"> regulatoram </w:t>
      </w:r>
      <w:r w:rsidR="00BA5230">
        <w:rPr>
          <w:rFonts w:cs="Times New Roman"/>
          <w:sz w:val="28"/>
          <w:szCs w:val="28"/>
        </w:rPr>
        <w:t>tiek</w:t>
      </w:r>
      <w:r w:rsidR="00BA5230" w:rsidRPr="007571C1">
        <w:rPr>
          <w:rFonts w:cs="Times New Roman"/>
          <w:sz w:val="28"/>
          <w:szCs w:val="28"/>
        </w:rPr>
        <w:t xml:space="preserve"> </w:t>
      </w:r>
      <w:r w:rsidRPr="007571C1">
        <w:rPr>
          <w:rFonts w:cs="Times New Roman"/>
          <w:sz w:val="28"/>
          <w:szCs w:val="28"/>
        </w:rPr>
        <w:t>piešķirtas labākas un efektīvākas metodes nelegālā tirgus ierobežošanai</w:t>
      </w:r>
      <w:r w:rsidR="00BA5230">
        <w:rPr>
          <w:rFonts w:cs="Times New Roman"/>
          <w:sz w:val="28"/>
          <w:szCs w:val="28"/>
        </w:rPr>
        <w:t>.</w:t>
      </w:r>
    </w:p>
    <w:p w:rsidR="00AD0515" w:rsidRPr="000834AD" w:rsidRDefault="00BA5230" w:rsidP="00956612">
      <w:pPr>
        <w:ind w:firstLine="567"/>
        <w:jc w:val="both"/>
        <w:rPr>
          <w:sz w:val="28"/>
          <w:szCs w:val="28"/>
        </w:rPr>
      </w:pPr>
      <w:r>
        <w:rPr>
          <w:rFonts w:cs="Times New Roman"/>
          <w:sz w:val="28"/>
          <w:szCs w:val="28"/>
        </w:rPr>
        <w:t>Taču v</w:t>
      </w:r>
      <w:r w:rsidRPr="007571C1">
        <w:rPr>
          <w:rFonts w:cs="Times New Roman"/>
          <w:sz w:val="28"/>
          <w:szCs w:val="28"/>
        </w:rPr>
        <w:t xml:space="preserve">ienlaikus </w:t>
      </w:r>
      <w:r w:rsidR="00AD0515" w:rsidRPr="007571C1">
        <w:rPr>
          <w:rFonts w:cs="Times New Roman"/>
          <w:sz w:val="28"/>
          <w:szCs w:val="28"/>
        </w:rPr>
        <w:t>ir jāpatur prātā, ka</w:t>
      </w:r>
      <w:r w:rsidR="00870930">
        <w:rPr>
          <w:rFonts w:cs="Times New Roman"/>
          <w:sz w:val="28"/>
          <w:szCs w:val="28"/>
        </w:rPr>
        <w:t>,</w:t>
      </w:r>
      <w:r w:rsidR="00AD0515" w:rsidRPr="007571C1">
        <w:rPr>
          <w:rFonts w:cs="Times New Roman"/>
          <w:sz w:val="28"/>
          <w:szCs w:val="28"/>
        </w:rPr>
        <w:t xml:space="preserve"> tehnoloģiskiem risinājumiem mainoties, būs nepieciešams veidot arvien ciešākus sadarbības kanālus starp visām azartspēļu jomas organizēšanā iesaistītajām pusēm un citu valstu regulatoriem informācijas apmaiņā par veiktajiem pasākumiem un konstatētajām jaunajām tendencēm.</w:t>
      </w:r>
    </w:p>
    <w:p w:rsidR="00C75608" w:rsidRDefault="00C75608" w:rsidP="00AD0515">
      <w:pPr>
        <w:pStyle w:val="ListParagraph"/>
        <w:ind w:left="0" w:firstLine="567"/>
        <w:jc w:val="both"/>
        <w:rPr>
          <w:i/>
          <w:sz w:val="28"/>
          <w:szCs w:val="28"/>
        </w:rPr>
      </w:pPr>
    </w:p>
    <w:p w:rsidR="00AD0515" w:rsidRDefault="00AD0515" w:rsidP="00AD0515">
      <w:pPr>
        <w:pStyle w:val="ListParagraph"/>
        <w:ind w:left="0" w:firstLine="567"/>
        <w:jc w:val="both"/>
        <w:rPr>
          <w:rFonts w:cs="Times New Roman"/>
          <w:i/>
          <w:sz w:val="28"/>
          <w:szCs w:val="28"/>
        </w:rPr>
      </w:pPr>
      <w:r w:rsidRPr="0087512B">
        <w:rPr>
          <w:i/>
          <w:sz w:val="28"/>
          <w:szCs w:val="28"/>
        </w:rPr>
        <w:t>Nelegālo pakalpojumu sniedzēju pakalpojumu ierobežošana</w:t>
      </w:r>
      <w:r w:rsidR="00D93EBE">
        <w:rPr>
          <w:rFonts w:cs="Times New Roman"/>
          <w:sz w:val="28"/>
          <w:szCs w:val="28"/>
        </w:rPr>
        <w:t xml:space="preserve"> </w:t>
      </w:r>
      <w:r w:rsidRPr="00D26193">
        <w:rPr>
          <w:rFonts w:cs="Times New Roman"/>
          <w:i/>
          <w:sz w:val="28"/>
          <w:szCs w:val="28"/>
        </w:rPr>
        <w:t>interaktīvās</w:t>
      </w:r>
      <w:r w:rsidRPr="000834AD">
        <w:rPr>
          <w:rFonts w:cs="Times New Roman"/>
          <w:sz w:val="28"/>
          <w:szCs w:val="28"/>
        </w:rPr>
        <w:t xml:space="preserve"> </w:t>
      </w:r>
      <w:r w:rsidRPr="000834AD">
        <w:rPr>
          <w:rFonts w:cs="Times New Roman"/>
          <w:i/>
          <w:sz w:val="28"/>
          <w:szCs w:val="28"/>
        </w:rPr>
        <w:t>reklāmas jomā:</w:t>
      </w:r>
    </w:p>
    <w:p w:rsidR="00AD0515" w:rsidRDefault="00AD0515" w:rsidP="00AD0515">
      <w:pPr>
        <w:pStyle w:val="Default"/>
        <w:ind w:firstLine="567"/>
        <w:jc w:val="both"/>
        <w:rPr>
          <w:sz w:val="28"/>
          <w:szCs w:val="28"/>
        </w:rPr>
      </w:pPr>
      <w:r w:rsidRPr="00EA26C7">
        <w:rPr>
          <w:sz w:val="28"/>
          <w:szCs w:val="28"/>
        </w:rPr>
        <w:t xml:space="preserve">Nelegālās azartspēļu reklāmas ierobežojums ir </w:t>
      </w:r>
      <w:r w:rsidR="00D26193">
        <w:rPr>
          <w:sz w:val="28"/>
          <w:szCs w:val="28"/>
        </w:rPr>
        <w:t>būtisks instruments</w:t>
      </w:r>
      <w:r w:rsidRPr="00EA26C7">
        <w:rPr>
          <w:sz w:val="28"/>
          <w:szCs w:val="28"/>
        </w:rPr>
        <w:t xml:space="preserve"> interaktīvo azartspēļu kontrolē un viens no </w:t>
      </w:r>
      <w:r w:rsidR="00CD4022" w:rsidRPr="00EA26C7">
        <w:rPr>
          <w:sz w:val="28"/>
          <w:szCs w:val="28"/>
        </w:rPr>
        <w:t>rādīt</w:t>
      </w:r>
      <w:r w:rsidR="00CD4022">
        <w:rPr>
          <w:sz w:val="28"/>
          <w:szCs w:val="28"/>
        </w:rPr>
        <w:t>ā</w:t>
      </w:r>
      <w:r w:rsidR="00CD4022" w:rsidRPr="00EA26C7">
        <w:rPr>
          <w:sz w:val="28"/>
          <w:szCs w:val="28"/>
        </w:rPr>
        <w:t xml:space="preserve">jiem </w:t>
      </w:r>
      <w:r w:rsidRPr="00EA26C7">
        <w:rPr>
          <w:sz w:val="28"/>
          <w:szCs w:val="28"/>
        </w:rPr>
        <w:t>uzraudzības kvalitatīvai nodrošināšanai</w:t>
      </w:r>
      <w:r>
        <w:rPr>
          <w:sz w:val="28"/>
          <w:szCs w:val="28"/>
        </w:rPr>
        <w:t xml:space="preserve"> un nelegāla azartspēļu tirgus samazināšanai</w:t>
      </w:r>
      <w:r w:rsidRPr="00EA26C7">
        <w:rPr>
          <w:sz w:val="28"/>
          <w:szCs w:val="28"/>
        </w:rPr>
        <w:t xml:space="preserve">. Minētais attiecas gan uz </w:t>
      </w:r>
      <w:r w:rsidR="00326D63">
        <w:rPr>
          <w:sz w:val="28"/>
          <w:szCs w:val="28"/>
        </w:rPr>
        <w:t>L</w:t>
      </w:r>
      <w:r w:rsidR="000C7445">
        <w:rPr>
          <w:sz w:val="28"/>
          <w:szCs w:val="28"/>
        </w:rPr>
        <w:t>atvijā</w:t>
      </w:r>
      <w:r w:rsidR="00BA5230" w:rsidRPr="00F51790">
        <w:rPr>
          <w:sz w:val="28"/>
          <w:szCs w:val="28"/>
        </w:rPr>
        <w:t xml:space="preserve"> </w:t>
      </w:r>
      <w:r w:rsidRPr="00EA26C7">
        <w:rPr>
          <w:sz w:val="28"/>
          <w:szCs w:val="28"/>
        </w:rPr>
        <w:t xml:space="preserve">licencētajiem interaktīvo azartspēļu organizētājiem, gan uz nelicencēto interaktīvo azartspēļu organizētājiem, kuru nelegālā reklāma ir pieejama </w:t>
      </w:r>
      <w:r w:rsidR="000C7445">
        <w:rPr>
          <w:spacing w:val="-4"/>
          <w:sz w:val="28"/>
          <w:szCs w:val="28"/>
        </w:rPr>
        <w:t xml:space="preserve">Latvijas </w:t>
      </w:r>
      <w:r w:rsidRPr="00EA26C7">
        <w:rPr>
          <w:sz w:val="28"/>
          <w:szCs w:val="28"/>
        </w:rPr>
        <w:t xml:space="preserve">iedzīvotājiem. </w:t>
      </w:r>
    </w:p>
    <w:p w:rsidR="00AD0515" w:rsidRPr="0034541C" w:rsidRDefault="008E57CA" w:rsidP="00AD0515">
      <w:pPr>
        <w:pStyle w:val="Default"/>
        <w:ind w:firstLine="567"/>
        <w:jc w:val="both"/>
        <w:rPr>
          <w:sz w:val="28"/>
          <w:szCs w:val="28"/>
        </w:rPr>
      </w:pPr>
      <w:r>
        <w:rPr>
          <w:sz w:val="28"/>
          <w:szCs w:val="28"/>
        </w:rPr>
        <w:lastRenderedPageBreak/>
        <w:t>E</w:t>
      </w:r>
      <w:r w:rsidR="00365C38">
        <w:rPr>
          <w:sz w:val="28"/>
          <w:szCs w:val="28"/>
        </w:rPr>
        <w:t xml:space="preserve">S </w:t>
      </w:r>
      <w:r w:rsidR="00AD0515" w:rsidRPr="00EA26C7">
        <w:rPr>
          <w:sz w:val="28"/>
          <w:szCs w:val="28"/>
        </w:rPr>
        <w:t xml:space="preserve">valstis stingri regulē azartspēļu reklāmu, proti, vairākās valstīs, tai skaitā </w:t>
      </w:r>
      <w:r w:rsidR="00326D63">
        <w:rPr>
          <w:spacing w:val="-4"/>
          <w:sz w:val="28"/>
          <w:szCs w:val="28"/>
        </w:rPr>
        <w:t>L</w:t>
      </w:r>
      <w:r w:rsidR="00365C38">
        <w:rPr>
          <w:spacing w:val="-4"/>
          <w:sz w:val="28"/>
          <w:szCs w:val="28"/>
        </w:rPr>
        <w:t>atvijā</w:t>
      </w:r>
      <w:r w:rsidR="00AD0515">
        <w:rPr>
          <w:sz w:val="28"/>
          <w:szCs w:val="28"/>
        </w:rPr>
        <w:t>, Lietuvā un Itālijā paredzēts</w:t>
      </w:r>
      <w:r w:rsidR="00AD0515" w:rsidRPr="00EA26C7">
        <w:rPr>
          <w:sz w:val="28"/>
          <w:szCs w:val="28"/>
        </w:rPr>
        <w:t xml:space="preserve"> aizliegum</w:t>
      </w:r>
      <w:r w:rsidR="00AD0515">
        <w:rPr>
          <w:sz w:val="28"/>
          <w:szCs w:val="28"/>
        </w:rPr>
        <w:t>s</w:t>
      </w:r>
      <w:r w:rsidR="00AD0515" w:rsidRPr="00EA26C7">
        <w:rPr>
          <w:sz w:val="28"/>
          <w:szCs w:val="28"/>
        </w:rPr>
        <w:t xml:space="preserve"> azartspēļu reklāmai. Par pārkāpumiem azartspēļu reklāmas jomā </w:t>
      </w:r>
      <w:r w:rsidR="00365C38">
        <w:rPr>
          <w:sz w:val="28"/>
          <w:szCs w:val="28"/>
        </w:rPr>
        <w:t>ES</w:t>
      </w:r>
      <w:r w:rsidR="00AD0515" w:rsidRPr="00EA26C7">
        <w:rPr>
          <w:sz w:val="28"/>
          <w:szCs w:val="28"/>
        </w:rPr>
        <w:t xml:space="preserve"> valstī</w:t>
      </w:r>
      <w:r w:rsidR="00047B56">
        <w:rPr>
          <w:sz w:val="28"/>
          <w:szCs w:val="28"/>
        </w:rPr>
        <w:t>s</w:t>
      </w:r>
      <w:r w:rsidR="00AD0515" w:rsidRPr="00EA26C7">
        <w:rPr>
          <w:sz w:val="28"/>
          <w:szCs w:val="28"/>
        </w:rPr>
        <w:t xml:space="preserve"> pastāv gan administ</w:t>
      </w:r>
      <w:r w:rsidR="00AD0515">
        <w:rPr>
          <w:sz w:val="28"/>
          <w:szCs w:val="28"/>
        </w:rPr>
        <w:t>ratīvā gan kriminālā atbildība.</w:t>
      </w:r>
      <w:r w:rsidR="00AD0515" w:rsidRPr="007571C1">
        <w:rPr>
          <w:sz w:val="28"/>
          <w:szCs w:val="28"/>
        </w:rPr>
        <w:t xml:space="preserve"> </w:t>
      </w:r>
      <w:r w:rsidR="000C7445" w:rsidRPr="007571C1">
        <w:rPr>
          <w:sz w:val="28"/>
          <w:szCs w:val="28"/>
        </w:rPr>
        <w:t>L</w:t>
      </w:r>
      <w:r w:rsidR="000C7445">
        <w:rPr>
          <w:sz w:val="28"/>
          <w:szCs w:val="28"/>
        </w:rPr>
        <w:t>atvijā</w:t>
      </w:r>
      <w:r w:rsidR="000C7445" w:rsidRPr="007571C1">
        <w:rPr>
          <w:sz w:val="28"/>
          <w:szCs w:val="28"/>
        </w:rPr>
        <w:t xml:space="preserve"> </w:t>
      </w:r>
      <w:r w:rsidR="00AD0515" w:rsidRPr="007571C1">
        <w:rPr>
          <w:sz w:val="28"/>
          <w:szCs w:val="28"/>
        </w:rPr>
        <w:t xml:space="preserve">nereģistrēto azartspēļu organizētāju reklāmas </w:t>
      </w:r>
      <w:r w:rsidR="00D26193">
        <w:rPr>
          <w:sz w:val="28"/>
          <w:szCs w:val="28"/>
        </w:rPr>
        <w:t xml:space="preserve">pieejamība </w:t>
      </w:r>
      <w:r w:rsidR="00AD0515" w:rsidRPr="007571C1">
        <w:rPr>
          <w:sz w:val="28"/>
          <w:szCs w:val="28"/>
        </w:rPr>
        <w:t>ir iev</w:t>
      </w:r>
      <w:r w:rsidR="00D26193">
        <w:rPr>
          <w:sz w:val="28"/>
          <w:szCs w:val="28"/>
        </w:rPr>
        <w:t>ērojama. N</w:t>
      </w:r>
      <w:r w:rsidR="00AD0515" w:rsidRPr="007571C1">
        <w:rPr>
          <w:sz w:val="28"/>
          <w:szCs w:val="28"/>
        </w:rPr>
        <w:t xml:space="preserve">elegālā azartspēļu reklāma tiešsaistē tiek izplatīta gan veidojot atsevišķas tīmekļa vietnes azartspēļu veidu un tīmekļa vietņu reklāmai, gan arī izmantojot sociālajos tīklos fizisko personu veidoto saturu, kas ietver reklāmas elementus, un piesaistot </w:t>
      </w:r>
      <w:r w:rsidR="00AD0515" w:rsidRPr="00450611">
        <w:rPr>
          <w:i/>
          <w:sz w:val="28"/>
          <w:szCs w:val="28"/>
        </w:rPr>
        <w:t>influencerus</w:t>
      </w:r>
      <w:r w:rsidR="00AD0515" w:rsidRPr="007571C1">
        <w:rPr>
          <w:sz w:val="28"/>
          <w:szCs w:val="28"/>
        </w:rPr>
        <w:t xml:space="preserve"> konkrētās azartspēles reklamēšanai. Bieži sastopams tāds nelegālās azartspēļu reklāmas veids </w:t>
      </w:r>
      <w:r w:rsidR="00CD4022" w:rsidRPr="007571C1">
        <w:rPr>
          <w:sz w:val="28"/>
          <w:szCs w:val="28"/>
        </w:rPr>
        <w:t>k</w:t>
      </w:r>
      <w:r w:rsidR="00CD4022">
        <w:rPr>
          <w:sz w:val="28"/>
          <w:szCs w:val="28"/>
        </w:rPr>
        <w:t>ā</w:t>
      </w:r>
      <w:r w:rsidR="00CD4022" w:rsidRPr="007571C1">
        <w:rPr>
          <w:sz w:val="28"/>
          <w:szCs w:val="28"/>
        </w:rPr>
        <w:t xml:space="preserve"> </w:t>
      </w:r>
      <w:r w:rsidR="00AD0515" w:rsidRPr="007571C1">
        <w:rPr>
          <w:sz w:val="28"/>
          <w:szCs w:val="28"/>
        </w:rPr>
        <w:t xml:space="preserve">uzpeldoši reklāmas lodziņi (pop-up), kas pārsvarā tiek izplatīti ar lielāko </w:t>
      </w:r>
      <w:r w:rsidR="00AD0515" w:rsidRPr="007571C1">
        <w:rPr>
          <w:color w:val="auto"/>
          <w:sz w:val="28"/>
          <w:szCs w:val="28"/>
        </w:rPr>
        <w:t>banneru izplatīšanas kanālu palīdzību.</w:t>
      </w:r>
      <w:r w:rsidR="00AD0515" w:rsidRPr="0034541C">
        <w:rPr>
          <w:color w:val="auto"/>
          <w:sz w:val="28"/>
          <w:szCs w:val="28"/>
        </w:rPr>
        <w:t xml:space="preserve"> </w:t>
      </w:r>
    </w:p>
    <w:p w:rsidR="00AD0515" w:rsidRDefault="00AD0515" w:rsidP="00AD0515">
      <w:pPr>
        <w:pStyle w:val="Default"/>
        <w:ind w:firstLine="567"/>
        <w:jc w:val="both"/>
        <w:rPr>
          <w:sz w:val="28"/>
          <w:szCs w:val="28"/>
        </w:rPr>
      </w:pPr>
      <w:r w:rsidRPr="0034541C">
        <w:rPr>
          <w:sz w:val="28"/>
          <w:szCs w:val="28"/>
        </w:rPr>
        <w:t>Pašreiz</w:t>
      </w:r>
      <w:r w:rsidRPr="00EA26C7">
        <w:rPr>
          <w:sz w:val="28"/>
          <w:szCs w:val="28"/>
        </w:rPr>
        <w:t xml:space="preserve"> ir vērojama azartspēļu reklāmas novirzīšana no tradicionālajiem masu medijiem (</w:t>
      </w:r>
      <w:r w:rsidR="0055374F">
        <w:rPr>
          <w:sz w:val="28"/>
          <w:szCs w:val="28"/>
        </w:rPr>
        <w:t xml:space="preserve">Latvijas jurisdikcijai nepakļaujošās </w:t>
      </w:r>
      <w:r w:rsidRPr="00EA26C7">
        <w:rPr>
          <w:sz w:val="28"/>
          <w:szCs w:val="28"/>
        </w:rPr>
        <w:t>TV un radio) tiešsaistes reklāmas jomā, novērojot aktivitātes būtisku pieaugumu sociālajos medijos, iesaistot slavenības un digitālajā vidē aktīvos cilvēkus, kuriem ir daudz sekotāju (</w:t>
      </w:r>
      <w:r w:rsidRPr="0066503A">
        <w:rPr>
          <w:sz w:val="28"/>
          <w:szCs w:val="28"/>
        </w:rPr>
        <w:t>ang.</w:t>
      </w:r>
      <w:r w:rsidR="00AD7092" w:rsidRPr="0066503A">
        <w:rPr>
          <w:sz w:val="28"/>
          <w:szCs w:val="28"/>
        </w:rPr>
        <w:t>val.</w:t>
      </w:r>
      <w:r w:rsidRPr="00956612">
        <w:rPr>
          <w:i/>
          <w:sz w:val="28"/>
          <w:szCs w:val="28"/>
        </w:rPr>
        <w:t xml:space="preserve"> influencers</w:t>
      </w:r>
      <w:r w:rsidRPr="00EA26C7">
        <w:rPr>
          <w:sz w:val="28"/>
          <w:szCs w:val="28"/>
        </w:rPr>
        <w:t xml:space="preserve">), azartspēļu reklāmas izplatībā. Tieši jauni cilvēki arvien mazāk seko tradicionālajiem medijiem, dodot </w:t>
      </w:r>
      <w:r w:rsidR="00CD4022" w:rsidRPr="00EA26C7">
        <w:rPr>
          <w:sz w:val="28"/>
          <w:szCs w:val="28"/>
        </w:rPr>
        <w:t>priekšro</w:t>
      </w:r>
      <w:r w:rsidR="00CD4022">
        <w:rPr>
          <w:sz w:val="28"/>
          <w:szCs w:val="28"/>
        </w:rPr>
        <w:t>k</w:t>
      </w:r>
      <w:r w:rsidR="00CD4022" w:rsidRPr="00EA26C7">
        <w:rPr>
          <w:sz w:val="28"/>
          <w:szCs w:val="28"/>
        </w:rPr>
        <w:t xml:space="preserve">u </w:t>
      </w:r>
      <w:r w:rsidRPr="00EA26C7">
        <w:rPr>
          <w:sz w:val="28"/>
          <w:szCs w:val="28"/>
        </w:rPr>
        <w:t>tiešsaistes vidē piedāvātajam saturam.</w:t>
      </w:r>
    </w:p>
    <w:p w:rsidR="00AD0515" w:rsidRDefault="00AD0515" w:rsidP="00CF5C3F">
      <w:pPr>
        <w:ind w:firstLine="567"/>
        <w:jc w:val="both"/>
        <w:rPr>
          <w:sz w:val="28"/>
          <w:szCs w:val="28"/>
        </w:rPr>
      </w:pPr>
      <w:r w:rsidRPr="00EA26C7">
        <w:rPr>
          <w:sz w:val="28"/>
          <w:szCs w:val="28"/>
        </w:rPr>
        <w:t>Ņemot vērā tiešsaistes azartspēļu reklāmas izplatīšanas kanālus, ir konstatējami sarežģījumi normatīvā regulējuma piemērošana</w:t>
      </w:r>
      <w:r w:rsidR="00CD4022">
        <w:rPr>
          <w:sz w:val="28"/>
          <w:szCs w:val="28"/>
        </w:rPr>
        <w:t>i</w:t>
      </w:r>
      <w:r w:rsidRPr="00EA26C7">
        <w:rPr>
          <w:sz w:val="28"/>
          <w:szCs w:val="28"/>
        </w:rPr>
        <w:t xml:space="preserve"> gadījumos, kad azartspēļu reklāmas autors, publicētājs vai izplatītājs atrodas citā jurisdikcijā. Turklāt azartspēļu</w:t>
      </w:r>
      <w:r w:rsidR="002B2F67">
        <w:rPr>
          <w:sz w:val="28"/>
          <w:szCs w:val="28"/>
        </w:rPr>
        <w:t xml:space="preserve"> reklāmas</w:t>
      </w:r>
      <w:r w:rsidRPr="00EA26C7">
        <w:rPr>
          <w:sz w:val="28"/>
          <w:szCs w:val="28"/>
        </w:rPr>
        <w:t xml:space="preserve"> aizlieguma kontrole ir īpaši komplicēta sociālo mediju jomā, kur nav noteiktas stingras prasības attiecībā uz saturu, ko veido sociālo mediju lietotājs, jo ne vienmēr to var viennozīmīgi identificēt kā azartspēļu reklāmu</w:t>
      </w:r>
      <w:r>
        <w:rPr>
          <w:sz w:val="28"/>
          <w:szCs w:val="28"/>
        </w:rPr>
        <w:t>.</w:t>
      </w:r>
    </w:p>
    <w:p w:rsidR="00AD0515" w:rsidRPr="00583E3C" w:rsidRDefault="00AD0515" w:rsidP="00CF5C3F">
      <w:pPr>
        <w:ind w:firstLine="567"/>
        <w:jc w:val="both"/>
        <w:rPr>
          <w:sz w:val="28"/>
          <w:szCs w:val="28"/>
        </w:rPr>
      </w:pPr>
      <w:r w:rsidRPr="00583E3C">
        <w:rPr>
          <w:sz w:val="28"/>
          <w:szCs w:val="28"/>
        </w:rPr>
        <w:t xml:space="preserve">Atsevišķi </w:t>
      </w:r>
      <w:r>
        <w:rPr>
          <w:sz w:val="28"/>
          <w:szCs w:val="28"/>
        </w:rPr>
        <w:t xml:space="preserve">ir </w:t>
      </w:r>
      <w:r w:rsidRPr="00583E3C">
        <w:rPr>
          <w:sz w:val="28"/>
          <w:szCs w:val="28"/>
        </w:rPr>
        <w:t xml:space="preserve">vērtējama </w:t>
      </w:r>
      <w:r>
        <w:rPr>
          <w:sz w:val="28"/>
          <w:szCs w:val="28"/>
        </w:rPr>
        <w:t xml:space="preserve">arī reklāma interaktīvajā vidē, </w:t>
      </w:r>
      <w:r w:rsidRPr="00583E3C">
        <w:rPr>
          <w:sz w:val="28"/>
          <w:szCs w:val="28"/>
        </w:rPr>
        <w:t xml:space="preserve">ņemot vērā </w:t>
      </w:r>
      <w:r w:rsidRPr="00583E3C">
        <w:rPr>
          <w:i/>
          <w:sz w:val="28"/>
          <w:szCs w:val="28"/>
        </w:rPr>
        <w:t>banneru</w:t>
      </w:r>
      <w:r w:rsidRPr="00583E3C">
        <w:rPr>
          <w:sz w:val="28"/>
          <w:szCs w:val="28"/>
        </w:rPr>
        <w:t xml:space="preserve">, </w:t>
      </w:r>
      <w:r w:rsidRPr="00583E3C">
        <w:rPr>
          <w:i/>
          <w:sz w:val="28"/>
          <w:szCs w:val="28"/>
        </w:rPr>
        <w:t>pop-up</w:t>
      </w:r>
      <w:r w:rsidRPr="00583E3C">
        <w:rPr>
          <w:sz w:val="28"/>
          <w:szCs w:val="28"/>
        </w:rPr>
        <w:t xml:space="preserve"> vai </w:t>
      </w:r>
      <w:r w:rsidRPr="00583E3C">
        <w:rPr>
          <w:i/>
          <w:sz w:val="28"/>
          <w:szCs w:val="28"/>
        </w:rPr>
        <w:t>spam</w:t>
      </w:r>
      <w:r w:rsidRPr="00583E3C">
        <w:rPr>
          <w:sz w:val="28"/>
          <w:szCs w:val="28"/>
        </w:rPr>
        <w:t xml:space="preserve"> iespējas, kad mājaslapas turētājs nevar ietekmēt saturu vai </w:t>
      </w:r>
      <w:r w:rsidR="00E4377D">
        <w:rPr>
          <w:sz w:val="28"/>
          <w:szCs w:val="28"/>
        </w:rPr>
        <w:t xml:space="preserve">norāda, ka </w:t>
      </w:r>
      <w:r w:rsidRPr="00583E3C">
        <w:rPr>
          <w:sz w:val="28"/>
          <w:szCs w:val="28"/>
        </w:rPr>
        <w:t>nezina</w:t>
      </w:r>
      <w:r>
        <w:rPr>
          <w:sz w:val="28"/>
          <w:szCs w:val="28"/>
        </w:rPr>
        <w:t xml:space="preserve"> par tāda izvietošanu, </w:t>
      </w:r>
      <w:r w:rsidRPr="00583E3C">
        <w:rPr>
          <w:sz w:val="28"/>
          <w:szCs w:val="28"/>
        </w:rPr>
        <w:t xml:space="preserve">un interneta specifikas dēļ reklāmas izvietotājs var ātri pāriet uz </w:t>
      </w:r>
      <w:r w:rsidRPr="00583E3C">
        <w:rPr>
          <w:i/>
          <w:sz w:val="28"/>
          <w:szCs w:val="28"/>
        </w:rPr>
        <w:t>com, eu, net</w:t>
      </w:r>
      <w:r w:rsidRPr="00583E3C">
        <w:rPr>
          <w:sz w:val="28"/>
          <w:szCs w:val="28"/>
        </w:rPr>
        <w:t xml:space="preserve"> utt. </w:t>
      </w:r>
    </w:p>
    <w:p w:rsidR="00AD0515" w:rsidRPr="00EA26C7" w:rsidRDefault="00AD0515" w:rsidP="00CF5C3F">
      <w:pPr>
        <w:pStyle w:val="Default"/>
        <w:ind w:firstLine="567"/>
        <w:jc w:val="both"/>
        <w:rPr>
          <w:sz w:val="28"/>
          <w:szCs w:val="28"/>
        </w:rPr>
      </w:pPr>
      <w:r>
        <w:rPr>
          <w:sz w:val="28"/>
          <w:szCs w:val="28"/>
        </w:rPr>
        <w:t>Ņemot vērā iepriekš minēto, jautājums</w:t>
      </w:r>
      <w:r w:rsidRPr="00EA26C7">
        <w:rPr>
          <w:sz w:val="28"/>
          <w:szCs w:val="28"/>
        </w:rPr>
        <w:t xml:space="preserve"> par tiešsaistes nelegālo azartspēļu reklāmu </w:t>
      </w:r>
      <w:r>
        <w:rPr>
          <w:sz w:val="28"/>
          <w:szCs w:val="28"/>
        </w:rPr>
        <w:t>ir</w:t>
      </w:r>
      <w:r w:rsidRPr="00EA26C7">
        <w:rPr>
          <w:sz w:val="28"/>
          <w:szCs w:val="28"/>
        </w:rPr>
        <w:t xml:space="preserve"> sadalāms trijās grupās:</w:t>
      </w:r>
    </w:p>
    <w:p w:rsidR="00AD0515" w:rsidRPr="00EA26C7" w:rsidRDefault="00AD0515" w:rsidP="004D3EA8">
      <w:pPr>
        <w:pStyle w:val="Default"/>
        <w:numPr>
          <w:ilvl w:val="1"/>
          <w:numId w:val="33"/>
        </w:numPr>
        <w:adjustRightInd/>
        <w:ind w:left="0" w:firstLine="709"/>
        <w:jc w:val="both"/>
        <w:rPr>
          <w:sz w:val="28"/>
          <w:szCs w:val="28"/>
        </w:rPr>
      </w:pPr>
      <w:r w:rsidRPr="00EA26C7">
        <w:rPr>
          <w:sz w:val="28"/>
          <w:szCs w:val="28"/>
        </w:rPr>
        <w:t xml:space="preserve">timekļa vietnes, kas satur azartspēļu reklāmu, un to saturs ir </w:t>
      </w:r>
      <w:r>
        <w:rPr>
          <w:sz w:val="28"/>
          <w:szCs w:val="28"/>
        </w:rPr>
        <w:t>pieejams</w:t>
      </w:r>
      <w:r w:rsidRPr="00EA26C7">
        <w:rPr>
          <w:sz w:val="28"/>
          <w:szCs w:val="28"/>
        </w:rPr>
        <w:t xml:space="preserve"> </w:t>
      </w:r>
      <w:r w:rsidR="000C7445">
        <w:rPr>
          <w:spacing w:val="-4"/>
          <w:sz w:val="28"/>
          <w:szCs w:val="28"/>
        </w:rPr>
        <w:t>Latvijas</w:t>
      </w:r>
      <w:r w:rsidR="000C7445" w:rsidRPr="00EA26C7">
        <w:rPr>
          <w:sz w:val="28"/>
          <w:szCs w:val="28"/>
        </w:rPr>
        <w:t xml:space="preserve"> </w:t>
      </w:r>
      <w:r w:rsidRPr="00EA26C7">
        <w:rPr>
          <w:sz w:val="28"/>
          <w:szCs w:val="28"/>
        </w:rPr>
        <w:t>iedzīvotāju auditorijai;</w:t>
      </w:r>
    </w:p>
    <w:p w:rsidR="00AD0515" w:rsidRPr="00EA26C7" w:rsidRDefault="00AD0515" w:rsidP="004D3EA8">
      <w:pPr>
        <w:pStyle w:val="Default"/>
        <w:numPr>
          <w:ilvl w:val="1"/>
          <w:numId w:val="33"/>
        </w:numPr>
        <w:adjustRightInd/>
        <w:ind w:left="0" w:firstLine="709"/>
        <w:jc w:val="both"/>
        <w:rPr>
          <w:sz w:val="28"/>
          <w:szCs w:val="28"/>
        </w:rPr>
      </w:pPr>
      <w:r w:rsidRPr="00EA26C7">
        <w:rPr>
          <w:sz w:val="28"/>
          <w:szCs w:val="28"/>
        </w:rPr>
        <w:t>nelegālās reklāmas banneri</w:t>
      </w:r>
      <w:r>
        <w:rPr>
          <w:sz w:val="28"/>
          <w:szCs w:val="28"/>
        </w:rPr>
        <w:t xml:space="preserve"> (</w:t>
      </w:r>
      <w:r w:rsidRPr="00FC25F4">
        <w:rPr>
          <w:i/>
          <w:sz w:val="28"/>
          <w:szCs w:val="28"/>
        </w:rPr>
        <w:t>pop-up</w:t>
      </w:r>
      <w:r>
        <w:rPr>
          <w:sz w:val="28"/>
          <w:szCs w:val="28"/>
        </w:rPr>
        <w:t>)</w:t>
      </w:r>
      <w:r w:rsidRPr="00EA26C7">
        <w:rPr>
          <w:sz w:val="28"/>
          <w:szCs w:val="28"/>
        </w:rPr>
        <w:t xml:space="preserve">, kas ir izvietoti tīmekļa vietnēs, kas ir pieejamas </w:t>
      </w:r>
      <w:r w:rsidR="000C7445">
        <w:rPr>
          <w:spacing w:val="-4"/>
          <w:sz w:val="28"/>
          <w:szCs w:val="28"/>
        </w:rPr>
        <w:t>Latvijas</w:t>
      </w:r>
      <w:r w:rsidR="000C7445">
        <w:rPr>
          <w:sz w:val="28"/>
          <w:szCs w:val="28"/>
        </w:rPr>
        <w:t xml:space="preserve"> </w:t>
      </w:r>
      <w:r>
        <w:rPr>
          <w:sz w:val="28"/>
          <w:szCs w:val="28"/>
        </w:rPr>
        <w:t>iedzīvotājiem (</w:t>
      </w:r>
      <w:r w:rsidRPr="00EA26C7">
        <w:rPr>
          <w:sz w:val="28"/>
          <w:szCs w:val="28"/>
        </w:rPr>
        <w:t>piekļūstot internetam ar Latvijas IP adrešu palīdzību);</w:t>
      </w:r>
    </w:p>
    <w:p w:rsidR="00AD0515" w:rsidRPr="00F76E1C" w:rsidRDefault="00AD0515" w:rsidP="004D3EA8">
      <w:pPr>
        <w:pStyle w:val="Default"/>
        <w:numPr>
          <w:ilvl w:val="1"/>
          <w:numId w:val="33"/>
        </w:numPr>
        <w:adjustRightInd/>
        <w:ind w:left="0" w:firstLine="709"/>
        <w:jc w:val="both"/>
        <w:rPr>
          <w:sz w:val="28"/>
          <w:szCs w:val="28"/>
        </w:rPr>
      </w:pPr>
      <w:r w:rsidRPr="00E03D58">
        <w:rPr>
          <w:sz w:val="28"/>
          <w:szCs w:val="28"/>
        </w:rPr>
        <w:t>sociālajos medijos izvietota reklāma, tai skaitā i</w:t>
      </w:r>
      <w:r w:rsidRPr="00450611">
        <w:rPr>
          <w:i/>
          <w:sz w:val="28"/>
          <w:szCs w:val="28"/>
        </w:rPr>
        <w:t>nfluenceru</w:t>
      </w:r>
      <w:r w:rsidRPr="00E03D58">
        <w:rPr>
          <w:sz w:val="28"/>
          <w:szCs w:val="28"/>
        </w:rPr>
        <w:t xml:space="preserve"> un </w:t>
      </w:r>
      <w:r w:rsidR="00CD4022" w:rsidRPr="00E03D58">
        <w:rPr>
          <w:sz w:val="28"/>
          <w:szCs w:val="28"/>
        </w:rPr>
        <w:t>sabiedrīb</w:t>
      </w:r>
      <w:r w:rsidR="00CD4022">
        <w:rPr>
          <w:sz w:val="28"/>
          <w:szCs w:val="28"/>
        </w:rPr>
        <w:t>ā</w:t>
      </w:r>
      <w:r w:rsidR="00CD4022" w:rsidRPr="00E03D58">
        <w:rPr>
          <w:sz w:val="28"/>
          <w:szCs w:val="28"/>
        </w:rPr>
        <w:t xml:space="preserve"> </w:t>
      </w:r>
      <w:r w:rsidRPr="00E03D58">
        <w:rPr>
          <w:sz w:val="28"/>
          <w:szCs w:val="28"/>
        </w:rPr>
        <w:t xml:space="preserve">pazīstamo cilvēku, kas ir pieejama </w:t>
      </w:r>
      <w:r w:rsidR="000C7445">
        <w:rPr>
          <w:spacing w:val="-4"/>
          <w:sz w:val="28"/>
          <w:szCs w:val="28"/>
        </w:rPr>
        <w:t>Latvijas</w:t>
      </w:r>
      <w:r w:rsidR="000C7445" w:rsidRPr="00E03D58">
        <w:rPr>
          <w:sz w:val="28"/>
          <w:szCs w:val="28"/>
        </w:rPr>
        <w:t xml:space="preserve"> </w:t>
      </w:r>
      <w:r w:rsidRPr="00E03D58">
        <w:rPr>
          <w:sz w:val="28"/>
          <w:szCs w:val="28"/>
        </w:rPr>
        <w:t xml:space="preserve">iedzīvotājiem (piekļūstot internetam ar Latvijas IP adrešu </w:t>
      </w:r>
      <w:r w:rsidRPr="00583E3C">
        <w:rPr>
          <w:sz w:val="28"/>
          <w:szCs w:val="28"/>
        </w:rPr>
        <w:t xml:space="preserve">palīdzību). </w:t>
      </w:r>
    </w:p>
    <w:p w:rsidR="00946B06" w:rsidRPr="00C25AF5" w:rsidRDefault="002C6273" w:rsidP="00CF5C3F">
      <w:pPr>
        <w:pStyle w:val="Default"/>
        <w:ind w:firstLine="567"/>
        <w:jc w:val="both"/>
        <w:rPr>
          <w:sz w:val="28"/>
          <w:szCs w:val="28"/>
        </w:rPr>
      </w:pPr>
      <w:r>
        <w:rPr>
          <w:sz w:val="28"/>
          <w:szCs w:val="28"/>
        </w:rPr>
        <w:t>Citu valstu a</w:t>
      </w:r>
      <w:r w:rsidRPr="00EA26C7">
        <w:rPr>
          <w:sz w:val="28"/>
          <w:szCs w:val="28"/>
        </w:rPr>
        <w:t>z</w:t>
      </w:r>
      <w:r>
        <w:rPr>
          <w:sz w:val="28"/>
          <w:szCs w:val="28"/>
        </w:rPr>
        <w:t xml:space="preserve">artspēļu </w:t>
      </w:r>
      <w:r w:rsidR="00AD0515">
        <w:rPr>
          <w:sz w:val="28"/>
          <w:szCs w:val="28"/>
        </w:rPr>
        <w:t>regulatori komunikācijā</w:t>
      </w:r>
      <w:r w:rsidR="00AD0515" w:rsidRPr="00EA26C7">
        <w:rPr>
          <w:sz w:val="28"/>
          <w:szCs w:val="28"/>
        </w:rPr>
        <w:t xml:space="preserve"> ar meklēšanas kanāliem (Google un citi), k</w:t>
      </w:r>
      <w:r w:rsidR="00CD4022">
        <w:rPr>
          <w:sz w:val="28"/>
          <w:szCs w:val="28"/>
        </w:rPr>
        <w:t>ā</w:t>
      </w:r>
      <w:r w:rsidR="00AD0515" w:rsidRPr="00EA26C7">
        <w:rPr>
          <w:sz w:val="28"/>
          <w:szCs w:val="28"/>
        </w:rPr>
        <w:t xml:space="preserve"> arī sociālajiem </w:t>
      </w:r>
      <w:r w:rsidR="00CD4022" w:rsidRPr="00EA26C7">
        <w:rPr>
          <w:sz w:val="28"/>
          <w:szCs w:val="28"/>
        </w:rPr>
        <w:t>t</w:t>
      </w:r>
      <w:r w:rsidR="00CD4022">
        <w:rPr>
          <w:sz w:val="28"/>
          <w:szCs w:val="28"/>
        </w:rPr>
        <w:t>ī</w:t>
      </w:r>
      <w:r w:rsidR="00CD4022" w:rsidRPr="00EA26C7">
        <w:rPr>
          <w:sz w:val="28"/>
          <w:szCs w:val="28"/>
        </w:rPr>
        <w:t xml:space="preserve">kliem </w:t>
      </w:r>
      <w:r w:rsidR="00AD0515" w:rsidRPr="00EA26C7">
        <w:rPr>
          <w:sz w:val="28"/>
          <w:szCs w:val="28"/>
        </w:rPr>
        <w:t>izmanto pieprasījuma par nelegālā satura izslēgšanu metodi (</w:t>
      </w:r>
      <w:r w:rsidR="00AD0515" w:rsidRPr="0066503A">
        <w:rPr>
          <w:sz w:val="28"/>
          <w:szCs w:val="28"/>
        </w:rPr>
        <w:t>ang.</w:t>
      </w:r>
      <w:r w:rsidR="00AD7092" w:rsidRPr="0066503A">
        <w:rPr>
          <w:sz w:val="28"/>
          <w:szCs w:val="28"/>
        </w:rPr>
        <w:t>val</w:t>
      </w:r>
      <w:r w:rsidR="009A07B3">
        <w:rPr>
          <w:sz w:val="28"/>
          <w:szCs w:val="28"/>
        </w:rPr>
        <w:t>.</w:t>
      </w:r>
      <w:r w:rsidRPr="002C6273">
        <w:rPr>
          <w:i/>
          <w:sz w:val="28"/>
          <w:szCs w:val="28"/>
        </w:rPr>
        <w:t xml:space="preserve"> </w:t>
      </w:r>
      <w:r w:rsidRPr="007F30EE">
        <w:rPr>
          <w:i/>
          <w:sz w:val="28"/>
          <w:szCs w:val="28"/>
        </w:rPr>
        <w:t>notice</w:t>
      </w:r>
      <w:r>
        <w:rPr>
          <w:i/>
          <w:sz w:val="28"/>
          <w:szCs w:val="28"/>
        </w:rPr>
        <w:t xml:space="preserve"> and</w:t>
      </w:r>
      <w:r w:rsidR="00CD4022">
        <w:rPr>
          <w:i/>
          <w:sz w:val="28"/>
          <w:szCs w:val="28"/>
        </w:rPr>
        <w:t xml:space="preserve"> </w:t>
      </w:r>
      <w:r w:rsidR="00AD0515" w:rsidRPr="00956612">
        <w:rPr>
          <w:i/>
          <w:sz w:val="28"/>
          <w:szCs w:val="28"/>
        </w:rPr>
        <w:t>take down</w:t>
      </w:r>
      <w:r w:rsidR="00AD0515" w:rsidRPr="00EA26C7">
        <w:rPr>
          <w:sz w:val="28"/>
          <w:szCs w:val="28"/>
        </w:rPr>
        <w:t>).</w:t>
      </w:r>
      <w:r w:rsidR="00946B06">
        <w:rPr>
          <w:sz w:val="28"/>
          <w:szCs w:val="28"/>
        </w:rPr>
        <w:t xml:space="preserve"> </w:t>
      </w:r>
      <w:r w:rsidR="00070710">
        <w:rPr>
          <w:sz w:val="28"/>
          <w:szCs w:val="28"/>
        </w:rPr>
        <w:t>Ar pieprasījumu</w:t>
      </w:r>
      <w:r w:rsidR="00C25AF5">
        <w:rPr>
          <w:sz w:val="28"/>
          <w:szCs w:val="28"/>
        </w:rPr>
        <w:t xml:space="preserve"> par nelegālā satura izslēgšanas metodi saprot </w:t>
      </w:r>
      <w:r w:rsidR="00C25AF5" w:rsidRPr="00EA26C7">
        <w:rPr>
          <w:sz w:val="28"/>
          <w:szCs w:val="28"/>
        </w:rPr>
        <w:t>meklēšanas kanāl</w:t>
      </w:r>
      <w:r w:rsidR="00C25AF5">
        <w:rPr>
          <w:sz w:val="28"/>
          <w:szCs w:val="28"/>
        </w:rPr>
        <w:t>u</w:t>
      </w:r>
      <w:r w:rsidR="00242E3C">
        <w:rPr>
          <w:sz w:val="28"/>
          <w:szCs w:val="28"/>
        </w:rPr>
        <w:t xml:space="preserve"> </w:t>
      </w:r>
      <w:r w:rsidR="00C25AF5" w:rsidRPr="00EA26C7">
        <w:rPr>
          <w:sz w:val="28"/>
          <w:szCs w:val="28"/>
        </w:rPr>
        <w:t xml:space="preserve">(Google un citi), </w:t>
      </w:r>
      <w:r w:rsidR="00CD4022" w:rsidRPr="00EA26C7">
        <w:rPr>
          <w:sz w:val="28"/>
          <w:szCs w:val="28"/>
        </w:rPr>
        <w:t>k</w:t>
      </w:r>
      <w:r w:rsidR="00CD4022">
        <w:rPr>
          <w:sz w:val="28"/>
          <w:szCs w:val="28"/>
        </w:rPr>
        <w:t>ā</w:t>
      </w:r>
      <w:r w:rsidR="00CD4022" w:rsidRPr="00EA26C7">
        <w:rPr>
          <w:sz w:val="28"/>
          <w:szCs w:val="28"/>
        </w:rPr>
        <w:t xml:space="preserve"> </w:t>
      </w:r>
      <w:r w:rsidR="00C25AF5" w:rsidRPr="00EA26C7">
        <w:rPr>
          <w:sz w:val="28"/>
          <w:szCs w:val="28"/>
        </w:rPr>
        <w:t>arī sociāl</w:t>
      </w:r>
      <w:r w:rsidR="00C25AF5">
        <w:rPr>
          <w:sz w:val="28"/>
          <w:szCs w:val="28"/>
        </w:rPr>
        <w:t>o</w:t>
      </w:r>
      <w:r w:rsidR="00070710">
        <w:rPr>
          <w:sz w:val="28"/>
          <w:szCs w:val="28"/>
        </w:rPr>
        <w:t xml:space="preserve"> tī</w:t>
      </w:r>
      <w:r w:rsidR="00C25AF5" w:rsidRPr="00EA26C7">
        <w:rPr>
          <w:sz w:val="28"/>
          <w:szCs w:val="28"/>
        </w:rPr>
        <w:t>kl</w:t>
      </w:r>
      <w:r w:rsidR="00C25AF5">
        <w:rPr>
          <w:sz w:val="28"/>
          <w:szCs w:val="28"/>
        </w:rPr>
        <w:t xml:space="preserve">u </w:t>
      </w:r>
      <w:r w:rsidR="00070710">
        <w:rPr>
          <w:sz w:val="28"/>
          <w:szCs w:val="28"/>
        </w:rPr>
        <w:t xml:space="preserve">paziņojumu </w:t>
      </w:r>
      <w:r w:rsidR="00946B06" w:rsidRPr="00044461">
        <w:rPr>
          <w:sz w:val="28"/>
          <w:szCs w:val="28"/>
        </w:rPr>
        <w:t>(</w:t>
      </w:r>
      <w:r>
        <w:rPr>
          <w:sz w:val="28"/>
          <w:szCs w:val="28"/>
        </w:rPr>
        <w:t>ang.val. n</w:t>
      </w:r>
      <w:r w:rsidRPr="00956612">
        <w:rPr>
          <w:i/>
          <w:sz w:val="28"/>
          <w:szCs w:val="28"/>
        </w:rPr>
        <w:t>otice</w:t>
      </w:r>
      <w:r w:rsidR="00946B06" w:rsidRPr="00044461">
        <w:rPr>
          <w:sz w:val="28"/>
          <w:szCs w:val="28"/>
        </w:rPr>
        <w:t>)</w:t>
      </w:r>
      <w:r w:rsidR="00C25AF5">
        <w:rPr>
          <w:sz w:val="28"/>
          <w:szCs w:val="28"/>
        </w:rPr>
        <w:t>,</w:t>
      </w:r>
      <w:r w:rsidR="00946B06" w:rsidRPr="00044461">
        <w:rPr>
          <w:sz w:val="28"/>
          <w:szCs w:val="28"/>
        </w:rPr>
        <w:t xml:space="preserve"> lūdzot</w:t>
      </w:r>
      <w:r>
        <w:rPr>
          <w:sz w:val="28"/>
          <w:szCs w:val="28"/>
        </w:rPr>
        <w:t xml:space="preserve"> veikt</w:t>
      </w:r>
      <w:r w:rsidR="00946B06" w:rsidRPr="00044461">
        <w:rPr>
          <w:sz w:val="28"/>
          <w:szCs w:val="28"/>
        </w:rPr>
        <w:t xml:space="preserve"> ātras un efektīvas darbības </w:t>
      </w:r>
      <w:r w:rsidR="00946B06" w:rsidRPr="00044461">
        <w:rPr>
          <w:sz w:val="28"/>
          <w:szCs w:val="28"/>
          <w:u w:val="single"/>
        </w:rPr>
        <w:t xml:space="preserve">prettiesiskā satura </w:t>
      </w:r>
      <w:r w:rsidR="006A679C">
        <w:rPr>
          <w:sz w:val="28"/>
          <w:szCs w:val="28"/>
        </w:rPr>
        <w:t>bloķēšanai</w:t>
      </w:r>
      <w:r w:rsidR="00946B06" w:rsidRPr="00044461">
        <w:rPr>
          <w:sz w:val="28"/>
          <w:szCs w:val="28"/>
        </w:rPr>
        <w:t>/dzēšanai (</w:t>
      </w:r>
      <w:r>
        <w:rPr>
          <w:sz w:val="28"/>
          <w:szCs w:val="28"/>
        </w:rPr>
        <w:t xml:space="preserve">ang.val. </w:t>
      </w:r>
      <w:r w:rsidRPr="00956612">
        <w:rPr>
          <w:i/>
          <w:sz w:val="28"/>
          <w:szCs w:val="28"/>
        </w:rPr>
        <w:t>action</w:t>
      </w:r>
      <w:r w:rsidR="00946B06" w:rsidRPr="00956612">
        <w:rPr>
          <w:i/>
          <w:sz w:val="28"/>
          <w:szCs w:val="28"/>
        </w:rPr>
        <w:t xml:space="preserve"> vai </w:t>
      </w:r>
      <w:r w:rsidRPr="00956612">
        <w:rPr>
          <w:i/>
          <w:sz w:val="28"/>
          <w:szCs w:val="28"/>
        </w:rPr>
        <w:t>take</w:t>
      </w:r>
      <w:r w:rsidR="00946B06" w:rsidRPr="00956612">
        <w:rPr>
          <w:i/>
          <w:sz w:val="28"/>
          <w:szCs w:val="28"/>
        </w:rPr>
        <w:t>-down</w:t>
      </w:r>
      <w:r w:rsidR="00946B06" w:rsidRPr="00044461">
        <w:rPr>
          <w:sz w:val="28"/>
          <w:szCs w:val="28"/>
        </w:rPr>
        <w:t xml:space="preserve">). </w:t>
      </w:r>
      <w:r w:rsidR="00A3634B">
        <w:rPr>
          <w:sz w:val="28"/>
          <w:szCs w:val="28"/>
        </w:rPr>
        <w:t xml:space="preserve"> </w:t>
      </w:r>
    </w:p>
    <w:p w:rsidR="00AD0515" w:rsidRDefault="002C6273" w:rsidP="002B0E86">
      <w:pPr>
        <w:pStyle w:val="Default"/>
        <w:ind w:firstLine="567"/>
        <w:jc w:val="both"/>
        <w:rPr>
          <w:sz w:val="28"/>
          <w:szCs w:val="28"/>
        </w:rPr>
      </w:pPr>
      <w:r>
        <w:rPr>
          <w:sz w:val="28"/>
          <w:szCs w:val="28"/>
        </w:rPr>
        <w:lastRenderedPageBreak/>
        <w:t>Lai gan ES nepastāv vienots regulējums un pieeja tam, kā tiek īstenota prettiesiska satura kontrole un izņemšana no interneta vietnēm, prettiesisk</w:t>
      </w:r>
      <w:r w:rsidR="009D3A4F">
        <w:rPr>
          <w:sz w:val="28"/>
          <w:szCs w:val="28"/>
        </w:rPr>
        <w:t>ā</w:t>
      </w:r>
      <w:r>
        <w:rPr>
          <w:sz w:val="28"/>
          <w:szCs w:val="28"/>
        </w:rPr>
        <w:t xml:space="preserve"> satur</w:t>
      </w:r>
      <w:r w:rsidR="009D3A4F">
        <w:rPr>
          <w:sz w:val="28"/>
          <w:szCs w:val="28"/>
        </w:rPr>
        <w:t>a</w:t>
      </w:r>
      <w:r>
        <w:rPr>
          <w:sz w:val="28"/>
          <w:szCs w:val="28"/>
        </w:rPr>
        <w:t xml:space="preserve"> </w:t>
      </w:r>
      <w:r w:rsidR="009D3A4F">
        <w:rPr>
          <w:sz w:val="28"/>
          <w:szCs w:val="28"/>
        </w:rPr>
        <w:t xml:space="preserve">jautājums </w:t>
      </w:r>
      <w:r>
        <w:rPr>
          <w:sz w:val="28"/>
          <w:szCs w:val="28"/>
        </w:rPr>
        <w:t>tiek aptverts ar tā dēvē</w:t>
      </w:r>
      <w:r w:rsidR="0065694F">
        <w:rPr>
          <w:sz w:val="28"/>
          <w:szCs w:val="28"/>
        </w:rPr>
        <w:t>to e-komercijas direktīvu (ang.</w:t>
      </w:r>
      <w:r>
        <w:rPr>
          <w:sz w:val="28"/>
          <w:szCs w:val="28"/>
        </w:rPr>
        <w:t xml:space="preserve">val. </w:t>
      </w:r>
      <w:r w:rsidRPr="00D86F95">
        <w:rPr>
          <w:i/>
          <w:iCs/>
          <w:sz w:val="28"/>
          <w:szCs w:val="28"/>
        </w:rPr>
        <w:t>e-commerce directive</w:t>
      </w:r>
      <w:r>
        <w:rPr>
          <w:sz w:val="28"/>
          <w:szCs w:val="28"/>
        </w:rPr>
        <w:t>)</w:t>
      </w:r>
      <w:r>
        <w:rPr>
          <w:rStyle w:val="FootnoteReference"/>
          <w:rFonts w:eastAsiaTheme="majorEastAsia"/>
          <w:sz w:val="28"/>
          <w:szCs w:val="28"/>
        </w:rPr>
        <w:footnoteReference w:id="121"/>
      </w:r>
      <w:r>
        <w:rPr>
          <w:sz w:val="28"/>
          <w:szCs w:val="28"/>
        </w:rPr>
        <w:t>. Arī šī direktīva norāda uz pieprasījumu par nelegāla satura izslēgšanu izmantošanu prettiesiska satura kontrolē.</w:t>
      </w:r>
    </w:p>
    <w:p w:rsidR="00AD0515" w:rsidRDefault="00AD0515" w:rsidP="002B0E86">
      <w:pPr>
        <w:pStyle w:val="Default"/>
        <w:ind w:firstLine="567"/>
        <w:jc w:val="both"/>
        <w:rPr>
          <w:sz w:val="28"/>
          <w:szCs w:val="28"/>
        </w:rPr>
      </w:pPr>
      <w:r>
        <w:rPr>
          <w:sz w:val="28"/>
          <w:szCs w:val="28"/>
        </w:rPr>
        <w:t>V</w:t>
      </w:r>
      <w:r w:rsidRPr="00EA26C7">
        <w:rPr>
          <w:sz w:val="28"/>
          <w:szCs w:val="28"/>
        </w:rPr>
        <w:t xml:space="preserve">iena ceturtdaļa </w:t>
      </w:r>
      <w:r w:rsidR="0055374F">
        <w:rPr>
          <w:sz w:val="28"/>
          <w:szCs w:val="28"/>
        </w:rPr>
        <w:t>no aptaujāt</w:t>
      </w:r>
      <w:r>
        <w:rPr>
          <w:sz w:val="28"/>
          <w:szCs w:val="28"/>
        </w:rPr>
        <w:t>ajiem regulatoriem</w:t>
      </w:r>
      <w:r w:rsidR="0055374F">
        <w:rPr>
          <w:sz w:val="28"/>
          <w:szCs w:val="28"/>
        </w:rPr>
        <w:t xml:space="preserve"> ir </w:t>
      </w:r>
      <w:r w:rsidR="00946B06">
        <w:rPr>
          <w:sz w:val="28"/>
          <w:szCs w:val="28"/>
        </w:rPr>
        <w:t xml:space="preserve">nodibinājuši </w:t>
      </w:r>
      <w:r w:rsidRPr="00EA26C7">
        <w:rPr>
          <w:sz w:val="28"/>
          <w:szCs w:val="28"/>
        </w:rPr>
        <w:t>komunikācij</w:t>
      </w:r>
      <w:r w:rsidR="00946B06">
        <w:rPr>
          <w:sz w:val="28"/>
          <w:szCs w:val="28"/>
        </w:rPr>
        <w:t xml:space="preserve">u </w:t>
      </w:r>
      <w:r w:rsidRPr="00EA26C7">
        <w:rPr>
          <w:sz w:val="28"/>
          <w:szCs w:val="28"/>
        </w:rPr>
        <w:t>ar sociālajiem medijiem</w:t>
      </w:r>
      <w:r>
        <w:rPr>
          <w:sz w:val="28"/>
          <w:szCs w:val="28"/>
        </w:rPr>
        <w:t xml:space="preserve"> par nelegālā reklāmas satura kontroli</w:t>
      </w:r>
      <w:r w:rsidR="00946B06">
        <w:rPr>
          <w:sz w:val="28"/>
          <w:szCs w:val="28"/>
        </w:rPr>
        <w:t xml:space="preserve"> un tā izslēgšanu</w:t>
      </w:r>
      <w:r w:rsidR="00C25AF5">
        <w:rPr>
          <w:sz w:val="28"/>
          <w:szCs w:val="28"/>
        </w:rPr>
        <w:t>, izmantojot pieprasījuma par nelegālā satura izslēgšanas metodi</w:t>
      </w:r>
      <w:r>
        <w:rPr>
          <w:sz w:val="28"/>
          <w:szCs w:val="28"/>
        </w:rPr>
        <w:t xml:space="preserve"> </w:t>
      </w:r>
      <w:r w:rsidR="00952965">
        <w:rPr>
          <w:sz w:val="28"/>
          <w:szCs w:val="28"/>
        </w:rPr>
        <w:t>–</w:t>
      </w:r>
      <w:r>
        <w:rPr>
          <w:sz w:val="28"/>
          <w:szCs w:val="28"/>
        </w:rPr>
        <w:t xml:space="preserve"> </w:t>
      </w:r>
      <w:r w:rsidRPr="00583E3C">
        <w:rPr>
          <w:sz w:val="28"/>
          <w:szCs w:val="28"/>
        </w:rPr>
        <w:t>Lielbritānija, Nīderlande, Norvēģija, Somija un Francija</w:t>
      </w:r>
      <w:r>
        <w:rPr>
          <w:sz w:val="28"/>
          <w:szCs w:val="28"/>
        </w:rPr>
        <w:t xml:space="preserve">. Daži komunicē ar Facebook, </w:t>
      </w:r>
      <w:r w:rsidRPr="00EA26C7">
        <w:rPr>
          <w:sz w:val="28"/>
          <w:szCs w:val="28"/>
        </w:rPr>
        <w:t xml:space="preserve">Twitter </w:t>
      </w:r>
      <w:r>
        <w:rPr>
          <w:sz w:val="28"/>
          <w:szCs w:val="28"/>
        </w:rPr>
        <w:t>vai Youtube s</w:t>
      </w:r>
      <w:r w:rsidRPr="00EA26C7">
        <w:rPr>
          <w:sz w:val="28"/>
          <w:szCs w:val="28"/>
        </w:rPr>
        <w:t>ociālajām platformām.</w:t>
      </w:r>
      <w:r>
        <w:rPr>
          <w:rStyle w:val="FootnoteReference"/>
          <w:sz w:val="28"/>
          <w:szCs w:val="28"/>
        </w:rPr>
        <w:footnoteReference w:id="122"/>
      </w:r>
      <w:r w:rsidRPr="00EA26C7">
        <w:rPr>
          <w:sz w:val="28"/>
          <w:szCs w:val="28"/>
        </w:rPr>
        <w:t xml:space="preserve"> </w:t>
      </w:r>
    </w:p>
    <w:p w:rsidR="00AD0515" w:rsidRDefault="00AD0515" w:rsidP="00956612">
      <w:pPr>
        <w:ind w:firstLine="567"/>
        <w:jc w:val="both"/>
      </w:pPr>
    </w:p>
    <w:p w:rsidR="00AD0515" w:rsidRDefault="00AD0515" w:rsidP="00AD0515">
      <w:pPr>
        <w:pStyle w:val="Default"/>
        <w:ind w:firstLine="567"/>
        <w:jc w:val="both"/>
        <w:rPr>
          <w:i/>
          <w:sz w:val="28"/>
          <w:szCs w:val="28"/>
        </w:rPr>
      </w:pPr>
      <w:r w:rsidRPr="000834AD">
        <w:rPr>
          <w:i/>
          <w:sz w:val="28"/>
          <w:szCs w:val="28"/>
        </w:rPr>
        <w:t xml:space="preserve">Nepieciešamie pasākumi </w:t>
      </w:r>
    </w:p>
    <w:p w:rsidR="00AD0515" w:rsidRPr="000834AD" w:rsidRDefault="00AD0515" w:rsidP="004D3EA8">
      <w:pPr>
        <w:pStyle w:val="Default"/>
        <w:numPr>
          <w:ilvl w:val="0"/>
          <w:numId w:val="34"/>
        </w:numPr>
        <w:adjustRightInd/>
        <w:ind w:left="0" w:firstLine="709"/>
        <w:jc w:val="both"/>
        <w:rPr>
          <w:sz w:val="28"/>
          <w:szCs w:val="28"/>
        </w:rPr>
      </w:pPr>
      <w:r>
        <w:rPr>
          <w:sz w:val="28"/>
          <w:szCs w:val="28"/>
        </w:rPr>
        <w:t xml:space="preserve">noteikt Elektronisko sakaru likumā </w:t>
      </w:r>
      <w:r w:rsidR="00CF5C3F">
        <w:rPr>
          <w:sz w:val="28"/>
          <w:szCs w:val="28"/>
        </w:rPr>
        <w:t>IAUI</w:t>
      </w:r>
      <w:r w:rsidRPr="000834AD">
        <w:rPr>
          <w:sz w:val="28"/>
          <w:szCs w:val="28"/>
        </w:rPr>
        <w:t xml:space="preserve"> tiesības bloķēt vai ierobežot piekļuvi konkrētajai tīmekļa vietnei</w:t>
      </w:r>
      <w:r>
        <w:rPr>
          <w:sz w:val="28"/>
          <w:szCs w:val="28"/>
        </w:rPr>
        <w:t>, kas satur azartspēļu reklāmu;</w:t>
      </w:r>
      <w:r w:rsidRPr="000834AD">
        <w:rPr>
          <w:sz w:val="28"/>
          <w:szCs w:val="28"/>
        </w:rPr>
        <w:t xml:space="preserve"> </w:t>
      </w:r>
    </w:p>
    <w:p w:rsidR="00AD0515" w:rsidRPr="000834AD" w:rsidRDefault="00CF5C3F" w:rsidP="004D3EA8">
      <w:pPr>
        <w:pStyle w:val="Default"/>
        <w:numPr>
          <w:ilvl w:val="0"/>
          <w:numId w:val="34"/>
        </w:numPr>
        <w:adjustRightInd/>
        <w:ind w:left="0" w:firstLine="709"/>
        <w:jc w:val="both"/>
        <w:rPr>
          <w:sz w:val="28"/>
          <w:szCs w:val="28"/>
        </w:rPr>
      </w:pPr>
      <w:r>
        <w:rPr>
          <w:sz w:val="28"/>
          <w:szCs w:val="28"/>
        </w:rPr>
        <w:t>IAUI</w:t>
      </w:r>
      <w:r w:rsidR="00AD0515">
        <w:rPr>
          <w:sz w:val="28"/>
          <w:szCs w:val="28"/>
        </w:rPr>
        <w:t xml:space="preserve"> </w:t>
      </w:r>
      <w:r w:rsidR="00AD0515" w:rsidRPr="00B56EDE">
        <w:rPr>
          <w:color w:val="auto"/>
          <w:sz w:val="28"/>
          <w:szCs w:val="28"/>
        </w:rPr>
        <w:t>nodrošinā</w:t>
      </w:r>
      <w:r w:rsidR="00AD0515">
        <w:rPr>
          <w:color w:val="auto"/>
          <w:sz w:val="28"/>
          <w:szCs w:val="28"/>
        </w:rPr>
        <w:t>t</w:t>
      </w:r>
      <w:r w:rsidR="00AD0515" w:rsidRPr="00766239">
        <w:rPr>
          <w:sz w:val="28"/>
          <w:szCs w:val="28"/>
        </w:rPr>
        <w:t xml:space="preserve"> </w:t>
      </w:r>
      <w:r w:rsidR="00AD0515">
        <w:rPr>
          <w:sz w:val="28"/>
          <w:szCs w:val="28"/>
        </w:rPr>
        <w:t>komunikāciju</w:t>
      </w:r>
      <w:r w:rsidR="00AD0515" w:rsidRPr="000834AD">
        <w:rPr>
          <w:sz w:val="28"/>
          <w:szCs w:val="28"/>
        </w:rPr>
        <w:t xml:space="preserve"> </w:t>
      </w:r>
      <w:r w:rsidR="00AD0515" w:rsidRPr="000834AD">
        <w:rPr>
          <w:color w:val="auto"/>
          <w:sz w:val="28"/>
          <w:szCs w:val="28"/>
        </w:rPr>
        <w:t xml:space="preserve">ar lielākajiem sociālajiem tīkliem, kā arī banneru izplatīšanas kanāliem (kā Google Adword, Aol Advertising, Right Media, BuyAds.com, OpenX) </w:t>
      </w:r>
      <w:r w:rsidR="00AD0515">
        <w:rPr>
          <w:color w:val="auto"/>
          <w:sz w:val="28"/>
          <w:szCs w:val="28"/>
        </w:rPr>
        <w:t>p</w:t>
      </w:r>
      <w:r w:rsidR="00AD0515" w:rsidRPr="000834AD">
        <w:rPr>
          <w:sz w:val="28"/>
          <w:szCs w:val="28"/>
        </w:rPr>
        <w:t xml:space="preserve">ar pieprasījumu nelegālās reklāmas </w:t>
      </w:r>
      <w:r w:rsidR="00AD0515">
        <w:rPr>
          <w:sz w:val="28"/>
          <w:szCs w:val="28"/>
        </w:rPr>
        <w:t>ne</w:t>
      </w:r>
      <w:r w:rsidR="00AD0515" w:rsidRPr="000834AD">
        <w:rPr>
          <w:sz w:val="28"/>
          <w:szCs w:val="28"/>
        </w:rPr>
        <w:t>pie</w:t>
      </w:r>
      <w:r w:rsidR="00AD0515">
        <w:rPr>
          <w:sz w:val="28"/>
          <w:szCs w:val="28"/>
        </w:rPr>
        <w:t>ejamībai no Latvijas IP adresēm</w:t>
      </w:r>
      <w:r w:rsidR="00C25AF5">
        <w:rPr>
          <w:sz w:val="28"/>
          <w:szCs w:val="28"/>
        </w:rPr>
        <w:t>.</w:t>
      </w:r>
    </w:p>
    <w:p w:rsidR="00FB4767" w:rsidRPr="007571C1" w:rsidRDefault="00FB4767" w:rsidP="009E0A36">
      <w:pPr>
        <w:pStyle w:val="Heading1"/>
        <w:numPr>
          <w:ilvl w:val="0"/>
          <w:numId w:val="36"/>
        </w:numPr>
        <w:ind w:left="0" w:firstLine="0"/>
        <w:jc w:val="center"/>
        <w:rPr>
          <w:rFonts w:ascii="Times New Roman" w:hAnsi="Times New Roman" w:cs="Times New Roman"/>
          <w:b/>
          <w:color w:val="auto"/>
          <w:sz w:val="28"/>
          <w:szCs w:val="28"/>
          <w:lang w:eastAsia="lv-LV"/>
        </w:rPr>
      </w:pPr>
      <w:bookmarkStart w:id="1560" w:name="_Toc56087192"/>
      <w:r w:rsidRPr="007571C1">
        <w:rPr>
          <w:rFonts w:ascii="Times New Roman" w:eastAsia="Times New Roman" w:hAnsi="Times New Roman" w:cs="Times New Roman"/>
          <w:b/>
          <w:color w:val="auto"/>
          <w:sz w:val="28"/>
          <w:szCs w:val="28"/>
          <w:lang w:eastAsia="lv-LV"/>
        </w:rPr>
        <w:t xml:space="preserve">Azartspēļu un izložu nozares </w:t>
      </w:r>
      <w:bookmarkEnd w:id="1559"/>
      <w:r w:rsidR="00AD0515">
        <w:rPr>
          <w:rFonts w:ascii="Times New Roman" w:eastAsia="Times New Roman" w:hAnsi="Times New Roman" w:cs="Times New Roman"/>
          <w:b/>
          <w:color w:val="auto"/>
          <w:sz w:val="28"/>
          <w:szCs w:val="28"/>
          <w:lang w:eastAsia="lv-LV"/>
        </w:rPr>
        <w:t>tendences</w:t>
      </w:r>
      <w:bookmarkEnd w:id="1560"/>
    </w:p>
    <w:p w:rsidR="00FB4767" w:rsidRPr="0087512B" w:rsidRDefault="00FB4767" w:rsidP="0087512B">
      <w:pPr>
        <w:rPr>
          <w:rFonts w:cs="Times New Roman"/>
          <w:sz w:val="28"/>
          <w:szCs w:val="28"/>
          <w:lang w:eastAsia="lv-LV"/>
        </w:rPr>
      </w:pPr>
    </w:p>
    <w:p w:rsidR="00FB4767"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AI nozarē novērojama stabila attīstības tendence. Vērtējot </w:t>
      </w:r>
      <w:r w:rsidR="008D2C10">
        <w:rPr>
          <w:rFonts w:cs="Times New Roman"/>
          <w:sz w:val="28"/>
          <w:szCs w:val="28"/>
          <w:lang w:eastAsia="lv-LV"/>
        </w:rPr>
        <w:t xml:space="preserve">IAUI sniegtos </w:t>
      </w:r>
      <w:r w:rsidRPr="0087512B">
        <w:rPr>
          <w:rFonts w:cs="Times New Roman"/>
          <w:sz w:val="28"/>
          <w:szCs w:val="28"/>
          <w:lang w:eastAsia="lv-LV"/>
        </w:rPr>
        <w:t>AI nozares datus piecu pilnu pārskata gadu griezumā</w:t>
      </w:r>
      <w:r w:rsidR="002F55AF">
        <w:rPr>
          <w:rFonts w:cs="Times New Roman"/>
          <w:sz w:val="28"/>
          <w:szCs w:val="28"/>
          <w:lang w:eastAsia="lv-LV"/>
        </w:rPr>
        <w:t>,</w:t>
      </w:r>
      <w:r w:rsidRPr="0087512B">
        <w:rPr>
          <w:rFonts w:cs="Times New Roman"/>
          <w:sz w:val="28"/>
          <w:szCs w:val="28"/>
          <w:lang w:eastAsia="lv-LV"/>
        </w:rPr>
        <w:t xml:space="preserve"> nozīmīgākais īpatsvars ir ieņēmumiem no azartspēlēm (skat. </w:t>
      </w:r>
      <w:r w:rsidR="00047082">
        <w:rPr>
          <w:rFonts w:cs="Times New Roman"/>
          <w:sz w:val="28"/>
          <w:szCs w:val="28"/>
          <w:lang w:eastAsia="lv-LV"/>
        </w:rPr>
        <w:t>2</w:t>
      </w:r>
      <w:r w:rsidRPr="0087512B">
        <w:rPr>
          <w:rFonts w:cs="Times New Roman"/>
          <w:sz w:val="28"/>
          <w:szCs w:val="28"/>
          <w:lang w:eastAsia="lv-LV"/>
        </w:rPr>
        <w:t>.attēlu).</w:t>
      </w:r>
    </w:p>
    <w:p w:rsidR="00A86A73" w:rsidRDefault="00A86A73" w:rsidP="00C94287">
      <w:pPr>
        <w:ind w:firstLine="567"/>
        <w:jc w:val="right"/>
        <w:rPr>
          <w:rFonts w:cs="Times New Roman"/>
          <w:sz w:val="28"/>
          <w:szCs w:val="28"/>
        </w:rPr>
      </w:pPr>
    </w:p>
    <w:p w:rsidR="00C94287" w:rsidRDefault="00A86A73" w:rsidP="00C94287">
      <w:pPr>
        <w:ind w:firstLine="567"/>
        <w:jc w:val="right"/>
        <w:rPr>
          <w:rFonts w:cs="Times New Roman"/>
          <w:sz w:val="28"/>
          <w:szCs w:val="28"/>
        </w:rPr>
      </w:pPr>
      <w:r>
        <w:rPr>
          <w:rFonts w:cs="Times New Roman"/>
          <w:sz w:val="28"/>
          <w:szCs w:val="28"/>
        </w:rPr>
        <w:t>2</w:t>
      </w:r>
      <w:r w:rsidR="00C94287">
        <w:rPr>
          <w:rFonts w:cs="Times New Roman"/>
          <w:sz w:val="28"/>
          <w:szCs w:val="28"/>
        </w:rPr>
        <w:t>.attēls</w:t>
      </w:r>
    </w:p>
    <w:p w:rsidR="008608B0" w:rsidRDefault="00D9009F" w:rsidP="0087512B">
      <w:pPr>
        <w:ind w:firstLine="567"/>
        <w:jc w:val="both"/>
        <w:rPr>
          <w:rFonts w:cs="Times New Roman"/>
          <w:sz w:val="28"/>
          <w:szCs w:val="28"/>
          <w:lang w:eastAsia="lv-LV"/>
        </w:rPr>
      </w:pPr>
      <w:r>
        <w:rPr>
          <w:rFonts w:cs="Times New Roman"/>
          <w:sz w:val="28"/>
          <w:szCs w:val="28"/>
        </w:rPr>
        <w:t xml:space="preserve"> </w:t>
      </w:r>
      <w:r w:rsidRPr="0087512B">
        <w:rPr>
          <w:rFonts w:cs="Times New Roman"/>
          <w:sz w:val="28"/>
          <w:szCs w:val="28"/>
        </w:rPr>
        <w:t>Azartspēļu un izložu uzņēmumu kopējais apgrozījums</w:t>
      </w:r>
      <w:r>
        <w:rPr>
          <w:rFonts w:cs="Times New Roman"/>
          <w:sz w:val="28"/>
          <w:szCs w:val="28"/>
        </w:rPr>
        <w:t xml:space="preserve"> (milj. </w:t>
      </w:r>
      <w:r w:rsidRPr="0029193D">
        <w:rPr>
          <w:rFonts w:cs="Times New Roman"/>
          <w:i/>
          <w:sz w:val="28"/>
          <w:szCs w:val="28"/>
        </w:rPr>
        <w:t>euro</w:t>
      </w:r>
      <w:r>
        <w:rPr>
          <w:rFonts w:cs="Times New Roman"/>
          <w:sz w:val="28"/>
          <w:szCs w:val="28"/>
        </w:rPr>
        <w:t>)</w:t>
      </w:r>
    </w:p>
    <w:p w:rsidR="00080927" w:rsidRDefault="00080927" w:rsidP="00CB3E6C">
      <w:pPr>
        <w:tabs>
          <w:tab w:val="left" w:pos="360"/>
          <w:tab w:val="left" w:pos="851"/>
          <w:tab w:val="left" w:pos="7088"/>
        </w:tabs>
        <w:jc w:val="center"/>
        <w:rPr>
          <w:rFonts w:cs="Times New Roman"/>
          <w:sz w:val="28"/>
          <w:szCs w:val="28"/>
        </w:rPr>
      </w:pPr>
      <w:r>
        <w:rPr>
          <w:rFonts w:cs="Times New Roman"/>
          <w:noProof/>
          <w:sz w:val="28"/>
          <w:szCs w:val="28"/>
          <w:lang w:eastAsia="lv-LV"/>
        </w:rPr>
        <w:lastRenderedPageBreak/>
        <w:drawing>
          <wp:inline distT="0" distB="0" distL="0" distR="0" wp14:anchorId="33BB8876" wp14:editId="653AAEA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4767" w:rsidRPr="00D9009F" w:rsidRDefault="00D9009F" w:rsidP="00D9009F">
      <w:pPr>
        <w:tabs>
          <w:tab w:val="left" w:pos="360"/>
          <w:tab w:val="left" w:pos="851"/>
          <w:tab w:val="left" w:pos="7088"/>
        </w:tabs>
        <w:jc w:val="both"/>
        <w:rPr>
          <w:rFonts w:cs="Times New Roman"/>
          <w:sz w:val="20"/>
          <w:szCs w:val="20"/>
        </w:rPr>
      </w:pPr>
      <w:r>
        <w:rPr>
          <w:rFonts w:cs="Times New Roman"/>
          <w:sz w:val="20"/>
          <w:szCs w:val="20"/>
        </w:rPr>
        <w:t>Avots: IAUI</w:t>
      </w:r>
    </w:p>
    <w:p w:rsidR="00FB4767" w:rsidRPr="0087512B" w:rsidRDefault="00FB4767" w:rsidP="0087512B">
      <w:pPr>
        <w:tabs>
          <w:tab w:val="left" w:pos="7230"/>
        </w:tabs>
        <w:ind w:left="360"/>
        <w:jc w:val="center"/>
        <w:rPr>
          <w:rFonts w:cs="Times New Roman"/>
          <w:i/>
          <w:sz w:val="28"/>
          <w:szCs w:val="28"/>
        </w:rPr>
      </w:pPr>
    </w:p>
    <w:p w:rsidR="00FB4767" w:rsidRPr="0087512B" w:rsidRDefault="00047082" w:rsidP="0087512B">
      <w:pPr>
        <w:pStyle w:val="CommentText"/>
        <w:ind w:firstLine="567"/>
        <w:jc w:val="both"/>
        <w:rPr>
          <w:rFonts w:cs="Times New Roman"/>
          <w:sz w:val="28"/>
          <w:szCs w:val="28"/>
        </w:rPr>
      </w:pPr>
      <w:bookmarkStart w:id="1561" w:name="_Toc517169413"/>
      <w:r>
        <w:rPr>
          <w:rFonts w:cs="Times New Roman"/>
          <w:sz w:val="28"/>
          <w:szCs w:val="28"/>
          <w:lang w:eastAsia="lv-LV"/>
        </w:rPr>
        <w:t>A</w:t>
      </w:r>
      <w:r w:rsidR="00FB4767" w:rsidRPr="0087512B">
        <w:rPr>
          <w:rFonts w:cs="Times New Roman"/>
          <w:sz w:val="28"/>
          <w:szCs w:val="28"/>
          <w:lang w:eastAsia="lv-LV"/>
        </w:rPr>
        <w:t xml:space="preserve">zartspēļu un izložu </w:t>
      </w:r>
      <w:r w:rsidR="005B48B7">
        <w:rPr>
          <w:rFonts w:cs="Times New Roman"/>
          <w:sz w:val="28"/>
          <w:szCs w:val="28"/>
          <w:lang w:eastAsia="lv-LV"/>
        </w:rPr>
        <w:t>kopēj</w:t>
      </w:r>
      <w:r>
        <w:rPr>
          <w:rFonts w:cs="Times New Roman"/>
          <w:sz w:val="28"/>
          <w:szCs w:val="28"/>
          <w:lang w:eastAsia="lv-LV"/>
        </w:rPr>
        <w:t>ais</w:t>
      </w:r>
      <w:r w:rsidR="005B48B7">
        <w:rPr>
          <w:rFonts w:cs="Times New Roman"/>
          <w:sz w:val="28"/>
          <w:szCs w:val="28"/>
          <w:lang w:eastAsia="lv-LV"/>
        </w:rPr>
        <w:t xml:space="preserve"> apgroz</w:t>
      </w:r>
      <w:r w:rsidR="003319B2">
        <w:rPr>
          <w:rFonts w:cs="Times New Roman"/>
          <w:sz w:val="28"/>
          <w:szCs w:val="28"/>
          <w:lang w:eastAsia="lv-LV"/>
        </w:rPr>
        <w:t>ījum</w:t>
      </w:r>
      <w:r>
        <w:rPr>
          <w:rFonts w:cs="Times New Roman"/>
          <w:sz w:val="28"/>
          <w:szCs w:val="28"/>
          <w:lang w:eastAsia="lv-LV"/>
        </w:rPr>
        <w:t xml:space="preserve">s </w:t>
      </w:r>
      <w:r w:rsidR="006A41CC">
        <w:rPr>
          <w:rFonts w:cs="Times New Roman"/>
          <w:sz w:val="28"/>
          <w:szCs w:val="28"/>
          <w:lang w:eastAsia="lv-LV"/>
        </w:rPr>
        <w:t>katru gadu pieaug</w:t>
      </w:r>
      <w:r w:rsidR="00FB4767" w:rsidRPr="0087512B">
        <w:rPr>
          <w:rFonts w:cs="Times New Roman"/>
          <w:sz w:val="28"/>
          <w:szCs w:val="28"/>
          <w:lang w:eastAsia="lv-LV"/>
        </w:rPr>
        <w:t>,</w:t>
      </w:r>
      <w:r>
        <w:rPr>
          <w:rFonts w:cs="Times New Roman"/>
          <w:sz w:val="28"/>
          <w:szCs w:val="28"/>
          <w:lang w:eastAsia="lv-LV"/>
        </w:rPr>
        <w:t xml:space="preserve"> </w:t>
      </w:r>
      <w:r w:rsidR="006A41CC">
        <w:rPr>
          <w:rFonts w:cs="Times New Roman"/>
          <w:sz w:val="28"/>
          <w:szCs w:val="28"/>
          <w:lang w:eastAsia="lv-LV"/>
        </w:rPr>
        <w:t>savukārt</w:t>
      </w:r>
      <w:r>
        <w:rPr>
          <w:rFonts w:cs="Times New Roman"/>
          <w:sz w:val="28"/>
          <w:szCs w:val="28"/>
          <w:lang w:eastAsia="lv-LV"/>
        </w:rPr>
        <w:t xml:space="preserve">, </w:t>
      </w:r>
      <w:r w:rsidR="00FB4767" w:rsidRPr="0087512B">
        <w:rPr>
          <w:rFonts w:cs="Times New Roman"/>
          <w:sz w:val="28"/>
          <w:szCs w:val="28"/>
          <w:lang w:eastAsia="lv-LV"/>
        </w:rPr>
        <w:t>azartspēļu iekārtu skait</w:t>
      </w:r>
      <w:r w:rsidR="006A41CC">
        <w:rPr>
          <w:rFonts w:cs="Times New Roman"/>
          <w:sz w:val="28"/>
          <w:szCs w:val="28"/>
          <w:lang w:eastAsia="lv-LV"/>
        </w:rPr>
        <w:t>s</w:t>
      </w:r>
      <w:r w:rsidR="00FB4767" w:rsidRPr="0087512B">
        <w:rPr>
          <w:rFonts w:cs="Times New Roman"/>
          <w:sz w:val="28"/>
          <w:szCs w:val="28"/>
          <w:lang w:eastAsia="lv-LV"/>
        </w:rPr>
        <w:t xml:space="preserve"> </w:t>
      </w:r>
      <w:r w:rsidR="00E26072">
        <w:rPr>
          <w:rFonts w:cs="Times New Roman"/>
          <w:sz w:val="28"/>
          <w:szCs w:val="28"/>
          <w:lang w:eastAsia="lv-LV"/>
        </w:rPr>
        <w:t>201</w:t>
      </w:r>
      <w:r>
        <w:rPr>
          <w:rFonts w:cs="Times New Roman"/>
          <w:sz w:val="28"/>
          <w:szCs w:val="28"/>
          <w:lang w:eastAsia="lv-LV"/>
        </w:rPr>
        <w:t>9</w:t>
      </w:r>
      <w:r w:rsidR="00E26072">
        <w:rPr>
          <w:rFonts w:cs="Times New Roman"/>
          <w:sz w:val="28"/>
          <w:szCs w:val="28"/>
          <w:lang w:eastAsia="lv-LV"/>
        </w:rPr>
        <w:t>.gad</w:t>
      </w:r>
      <w:r>
        <w:rPr>
          <w:rFonts w:cs="Times New Roman"/>
          <w:sz w:val="28"/>
          <w:szCs w:val="28"/>
          <w:lang w:eastAsia="lv-LV"/>
        </w:rPr>
        <w:t xml:space="preserve">a nogalē </w:t>
      </w:r>
      <w:r w:rsidR="006A41CC">
        <w:rPr>
          <w:rFonts w:cs="Times New Roman"/>
          <w:sz w:val="28"/>
          <w:szCs w:val="28"/>
          <w:lang w:eastAsia="lv-LV"/>
        </w:rPr>
        <w:t>ir sasniedzis</w:t>
      </w:r>
      <w:r>
        <w:rPr>
          <w:rFonts w:cs="Times New Roman"/>
          <w:sz w:val="28"/>
          <w:szCs w:val="28"/>
          <w:lang w:eastAsia="lv-LV"/>
        </w:rPr>
        <w:t xml:space="preserve"> 2017.gada nogal</w:t>
      </w:r>
      <w:r w:rsidR="006A41CC">
        <w:rPr>
          <w:rFonts w:cs="Times New Roman"/>
          <w:sz w:val="28"/>
          <w:szCs w:val="28"/>
          <w:lang w:eastAsia="lv-LV"/>
        </w:rPr>
        <w:t>es datus</w:t>
      </w:r>
      <w:r w:rsidR="00FB4767" w:rsidRPr="0087512B">
        <w:rPr>
          <w:rFonts w:cs="Times New Roman"/>
          <w:sz w:val="28"/>
          <w:szCs w:val="28"/>
          <w:lang w:eastAsia="lv-LV"/>
        </w:rPr>
        <w:t xml:space="preserve">, kas liecina par iekārtu </w:t>
      </w:r>
      <w:r w:rsidR="00A83F62">
        <w:rPr>
          <w:rFonts w:cs="Times New Roman"/>
          <w:sz w:val="28"/>
          <w:szCs w:val="28"/>
          <w:lang w:eastAsia="lv-LV"/>
        </w:rPr>
        <w:t xml:space="preserve">intensīvāku izmantošanu (skat. </w:t>
      </w:r>
      <w:r w:rsidR="00A86A73">
        <w:rPr>
          <w:rFonts w:cs="Times New Roman"/>
          <w:sz w:val="28"/>
          <w:szCs w:val="28"/>
          <w:lang w:eastAsia="lv-LV"/>
        </w:rPr>
        <w:t>2</w:t>
      </w:r>
      <w:r w:rsidR="00A83F62">
        <w:rPr>
          <w:rFonts w:cs="Times New Roman"/>
          <w:sz w:val="28"/>
          <w:szCs w:val="28"/>
          <w:lang w:eastAsia="lv-LV"/>
        </w:rPr>
        <w:t xml:space="preserve">. un </w:t>
      </w:r>
      <w:r w:rsidR="00A86A73">
        <w:rPr>
          <w:rFonts w:cs="Times New Roman"/>
          <w:sz w:val="28"/>
          <w:szCs w:val="28"/>
          <w:lang w:eastAsia="lv-LV"/>
        </w:rPr>
        <w:t>3</w:t>
      </w:r>
      <w:r w:rsidR="00A83F62">
        <w:rPr>
          <w:rFonts w:cs="Times New Roman"/>
          <w:sz w:val="28"/>
          <w:szCs w:val="28"/>
          <w:lang w:eastAsia="lv-LV"/>
        </w:rPr>
        <w:t>.attēlu).</w:t>
      </w:r>
    </w:p>
    <w:p w:rsidR="00E17C70" w:rsidRDefault="00E17C70" w:rsidP="00C94287">
      <w:pPr>
        <w:jc w:val="right"/>
        <w:rPr>
          <w:rFonts w:cs="Times New Roman"/>
          <w:sz w:val="28"/>
          <w:szCs w:val="28"/>
          <w:lang w:eastAsia="lv-LV"/>
        </w:rPr>
      </w:pPr>
    </w:p>
    <w:p w:rsidR="00C94287" w:rsidRDefault="00A86A73" w:rsidP="00C94287">
      <w:pPr>
        <w:jc w:val="right"/>
        <w:rPr>
          <w:rFonts w:cs="Times New Roman"/>
          <w:sz w:val="28"/>
          <w:szCs w:val="28"/>
          <w:lang w:eastAsia="lv-LV"/>
        </w:rPr>
      </w:pPr>
      <w:r>
        <w:rPr>
          <w:rFonts w:cs="Times New Roman"/>
          <w:sz w:val="28"/>
          <w:szCs w:val="28"/>
          <w:lang w:eastAsia="lv-LV"/>
        </w:rPr>
        <w:t>3</w:t>
      </w:r>
      <w:r w:rsidR="00C94287">
        <w:rPr>
          <w:rFonts w:cs="Times New Roman"/>
          <w:sz w:val="28"/>
          <w:szCs w:val="28"/>
          <w:lang w:eastAsia="lv-LV"/>
        </w:rPr>
        <w:t>.attēls</w:t>
      </w:r>
    </w:p>
    <w:p w:rsidR="00FB4767" w:rsidRPr="0087512B" w:rsidRDefault="00D9009F" w:rsidP="00D9009F">
      <w:pPr>
        <w:jc w:val="center"/>
        <w:rPr>
          <w:rFonts w:cs="Times New Roman"/>
          <w:sz w:val="28"/>
          <w:szCs w:val="28"/>
          <w:lang w:eastAsia="lv-LV"/>
        </w:rPr>
      </w:pPr>
      <w:r w:rsidRPr="0087512B">
        <w:rPr>
          <w:rFonts w:cs="Times New Roman"/>
          <w:sz w:val="28"/>
          <w:szCs w:val="28"/>
          <w:lang w:eastAsia="lv-LV"/>
        </w:rPr>
        <w:t xml:space="preserve"> Azartspēļu iekārtu skait</w:t>
      </w:r>
      <w:r>
        <w:rPr>
          <w:rFonts w:cs="Times New Roman"/>
          <w:sz w:val="28"/>
          <w:szCs w:val="28"/>
          <w:lang w:eastAsia="lv-LV"/>
        </w:rPr>
        <w:t>a izmaiņas pa mēnešiem</w:t>
      </w:r>
    </w:p>
    <w:p w:rsidR="00922558" w:rsidRDefault="002C2B20" w:rsidP="0087512B">
      <w:pPr>
        <w:jc w:val="center"/>
        <w:rPr>
          <w:rFonts w:cs="Times New Roman"/>
          <w:sz w:val="28"/>
          <w:szCs w:val="28"/>
          <w:lang w:eastAsia="lv-LV"/>
        </w:rPr>
      </w:pPr>
      <w:r>
        <w:rPr>
          <w:rFonts w:cs="Times New Roman"/>
          <w:noProof/>
          <w:sz w:val="28"/>
          <w:szCs w:val="28"/>
          <w:lang w:eastAsia="lv-LV"/>
        </w:rPr>
        <w:drawing>
          <wp:inline distT="0" distB="0" distL="0" distR="0" wp14:anchorId="409DE92E" wp14:editId="321F5B07">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4767" w:rsidRPr="00D9009F" w:rsidRDefault="00D9009F" w:rsidP="00D9009F">
      <w:pPr>
        <w:jc w:val="both"/>
        <w:rPr>
          <w:rFonts w:cs="Times New Roman"/>
          <w:sz w:val="20"/>
          <w:szCs w:val="20"/>
          <w:lang w:eastAsia="lv-LV"/>
        </w:rPr>
      </w:pPr>
      <w:r>
        <w:rPr>
          <w:rFonts w:cs="Times New Roman"/>
          <w:sz w:val="20"/>
          <w:szCs w:val="20"/>
          <w:lang w:eastAsia="lv-LV"/>
        </w:rPr>
        <w:t>Avots: IAUI</w:t>
      </w:r>
    </w:p>
    <w:p w:rsidR="00FB4767" w:rsidRPr="0087512B" w:rsidRDefault="00FB4767" w:rsidP="0087512B">
      <w:pPr>
        <w:jc w:val="both"/>
        <w:rPr>
          <w:rFonts w:cs="Times New Roman"/>
          <w:sz w:val="28"/>
          <w:szCs w:val="28"/>
          <w:lang w:eastAsia="lv-LV"/>
        </w:rPr>
      </w:pPr>
    </w:p>
    <w:p w:rsidR="00C94287" w:rsidRDefault="006A41CC" w:rsidP="00A86A73">
      <w:pPr>
        <w:ind w:firstLine="567"/>
        <w:jc w:val="both"/>
        <w:rPr>
          <w:rFonts w:cs="Times New Roman"/>
          <w:sz w:val="28"/>
          <w:szCs w:val="28"/>
          <w:lang w:eastAsia="lv-LV"/>
        </w:rPr>
      </w:pPr>
      <w:r>
        <w:rPr>
          <w:rFonts w:cs="Times New Roman"/>
          <w:sz w:val="28"/>
          <w:szCs w:val="28"/>
          <w:lang w:eastAsia="lv-LV"/>
        </w:rPr>
        <w:t xml:space="preserve">Lai arī ir novērojama tendence </w:t>
      </w:r>
      <w:r w:rsidR="00FB4767" w:rsidRPr="0087512B">
        <w:rPr>
          <w:rFonts w:cs="Times New Roman"/>
          <w:sz w:val="28"/>
          <w:szCs w:val="28"/>
          <w:lang w:eastAsia="lv-LV"/>
        </w:rPr>
        <w:t xml:space="preserve">azartspēļu un izložu uzņēmumu apgrozījuma pieaugumam, </w:t>
      </w:r>
      <w:r>
        <w:rPr>
          <w:rFonts w:cs="Times New Roman"/>
          <w:sz w:val="28"/>
          <w:szCs w:val="28"/>
          <w:lang w:eastAsia="lv-LV"/>
        </w:rPr>
        <w:t xml:space="preserve">azartspēļu nozares uzņēmumos nodarbināto skaits samazinās, kas </w:t>
      </w:r>
      <w:r>
        <w:rPr>
          <w:rFonts w:cs="Times New Roman"/>
          <w:sz w:val="28"/>
          <w:szCs w:val="28"/>
          <w:lang w:eastAsia="lv-LV"/>
        </w:rPr>
        <w:lastRenderedPageBreak/>
        <w:t>liecina par iespējamo interaktīvo azartspēļu popularitātes pieaugumu, kur nav nepieciešams papildu personāls</w:t>
      </w:r>
      <w:r w:rsidR="00FB4767" w:rsidRPr="0087512B">
        <w:rPr>
          <w:rFonts w:cs="Times New Roman"/>
          <w:sz w:val="28"/>
          <w:szCs w:val="28"/>
          <w:lang w:eastAsia="lv-LV"/>
        </w:rPr>
        <w:t xml:space="preserve"> (skat. </w:t>
      </w:r>
      <w:r w:rsidR="00A86A73">
        <w:rPr>
          <w:rFonts w:cs="Times New Roman"/>
          <w:sz w:val="28"/>
          <w:szCs w:val="28"/>
          <w:lang w:eastAsia="lv-LV"/>
        </w:rPr>
        <w:t>4</w:t>
      </w:r>
      <w:r w:rsidR="00FB4767" w:rsidRPr="0087512B">
        <w:rPr>
          <w:rFonts w:cs="Times New Roman"/>
          <w:sz w:val="28"/>
          <w:szCs w:val="28"/>
          <w:lang w:eastAsia="lv-LV"/>
        </w:rPr>
        <w:t>.attēlu).</w:t>
      </w:r>
    </w:p>
    <w:p w:rsidR="000C7445" w:rsidRDefault="000C7445" w:rsidP="00C94287">
      <w:pPr>
        <w:jc w:val="right"/>
        <w:rPr>
          <w:rFonts w:cs="Times New Roman"/>
          <w:sz w:val="28"/>
          <w:szCs w:val="28"/>
          <w:lang w:eastAsia="lv-LV"/>
        </w:rPr>
      </w:pPr>
    </w:p>
    <w:p w:rsidR="00C94287" w:rsidRDefault="00A86A73" w:rsidP="00C94287">
      <w:pPr>
        <w:jc w:val="right"/>
        <w:rPr>
          <w:rFonts w:cs="Times New Roman"/>
          <w:sz w:val="28"/>
          <w:szCs w:val="28"/>
          <w:lang w:eastAsia="lv-LV"/>
        </w:rPr>
      </w:pPr>
      <w:r>
        <w:rPr>
          <w:rFonts w:cs="Times New Roman"/>
          <w:sz w:val="28"/>
          <w:szCs w:val="28"/>
          <w:lang w:eastAsia="lv-LV"/>
        </w:rPr>
        <w:t>4</w:t>
      </w:r>
      <w:r w:rsidR="00D9009F">
        <w:rPr>
          <w:rFonts w:cs="Times New Roman"/>
          <w:sz w:val="28"/>
          <w:szCs w:val="28"/>
          <w:lang w:eastAsia="lv-LV"/>
        </w:rPr>
        <w:t>.attēls</w:t>
      </w:r>
    </w:p>
    <w:p w:rsidR="00D9009F" w:rsidRPr="0087512B" w:rsidRDefault="00D9009F" w:rsidP="00D9009F">
      <w:pPr>
        <w:jc w:val="center"/>
        <w:rPr>
          <w:rFonts w:cs="Times New Roman"/>
          <w:sz w:val="28"/>
          <w:szCs w:val="28"/>
          <w:lang w:eastAsia="lv-LV"/>
        </w:rPr>
      </w:pPr>
      <w:r>
        <w:rPr>
          <w:rFonts w:cs="Times New Roman"/>
          <w:sz w:val="28"/>
          <w:szCs w:val="28"/>
          <w:lang w:eastAsia="lv-LV"/>
        </w:rPr>
        <w:t>Azartspēļu nozares uzņēmumos</w:t>
      </w:r>
      <w:r w:rsidRPr="0087512B">
        <w:rPr>
          <w:rFonts w:cs="Times New Roman"/>
          <w:sz w:val="28"/>
          <w:szCs w:val="28"/>
          <w:lang w:eastAsia="lv-LV"/>
        </w:rPr>
        <w:t xml:space="preserve"> nodarbināto skaits</w:t>
      </w:r>
    </w:p>
    <w:p w:rsidR="008A391C" w:rsidRDefault="008A391C" w:rsidP="0087512B">
      <w:pPr>
        <w:jc w:val="center"/>
        <w:rPr>
          <w:rFonts w:cs="Times New Roman"/>
          <w:sz w:val="28"/>
          <w:szCs w:val="28"/>
          <w:lang w:eastAsia="lv-LV"/>
        </w:rPr>
      </w:pPr>
      <w:r>
        <w:rPr>
          <w:rFonts w:cs="Times New Roman"/>
          <w:noProof/>
          <w:sz w:val="28"/>
          <w:szCs w:val="28"/>
          <w:lang w:eastAsia="lv-LV"/>
        </w:rPr>
        <w:drawing>
          <wp:inline distT="0" distB="0" distL="0" distR="0" wp14:anchorId="0BB213C4" wp14:editId="2659A87A">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4767" w:rsidRPr="00D9009F" w:rsidRDefault="00D9009F" w:rsidP="0087512B">
      <w:pPr>
        <w:rPr>
          <w:rFonts w:cs="Times New Roman"/>
          <w:sz w:val="20"/>
          <w:szCs w:val="20"/>
          <w:lang w:eastAsia="lv-LV"/>
        </w:rPr>
      </w:pPr>
      <w:r>
        <w:rPr>
          <w:rFonts w:cs="Times New Roman"/>
          <w:sz w:val="20"/>
          <w:szCs w:val="20"/>
          <w:lang w:eastAsia="lv-LV"/>
        </w:rPr>
        <w:t>Avots: IAUI</w:t>
      </w:r>
    </w:p>
    <w:p w:rsidR="00D9009F" w:rsidRPr="0087512B" w:rsidRDefault="00D9009F" w:rsidP="0087512B">
      <w:pPr>
        <w:rPr>
          <w:rFonts w:cs="Times New Roman"/>
          <w:sz w:val="28"/>
          <w:szCs w:val="28"/>
          <w:lang w:eastAsia="lv-LV"/>
        </w:rPr>
      </w:pP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Lai izvērtētu nozares attīstības tendences reģionos, ir analizēti dati par azartspēļu iekārtu skaita izmaiņām Latvijas desmit lielākajās pilsētas. Rezultāti apliecina vienas pilsētas izteiktu līdera pozīciju, kur koncentrētas 90% visu azartspēļu nozarē izmantotās iekārtas (skat. </w:t>
      </w:r>
      <w:r w:rsidR="00A86A73">
        <w:rPr>
          <w:rFonts w:cs="Times New Roman"/>
          <w:sz w:val="28"/>
          <w:szCs w:val="28"/>
          <w:lang w:eastAsia="lv-LV"/>
        </w:rPr>
        <w:t>5</w:t>
      </w:r>
      <w:r w:rsidRPr="0087512B">
        <w:rPr>
          <w:rFonts w:cs="Times New Roman"/>
          <w:sz w:val="28"/>
          <w:szCs w:val="28"/>
          <w:lang w:eastAsia="lv-LV"/>
        </w:rPr>
        <w:t>.attēlu).</w:t>
      </w:r>
    </w:p>
    <w:p w:rsidR="000C7445" w:rsidRDefault="000C7445"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272FCE" w:rsidRDefault="00272FCE" w:rsidP="00C94287">
      <w:pPr>
        <w:jc w:val="right"/>
        <w:rPr>
          <w:rFonts w:cs="Times New Roman"/>
          <w:sz w:val="28"/>
          <w:szCs w:val="28"/>
          <w:lang w:eastAsia="lv-LV"/>
        </w:rPr>
      </w:pPr>
    </w:p>
    <w:p w:rsidR="00C94287" w:rsidRDefault="00A86A73" w:rsidP="00C94287">
      <w:pPr>
        <w:jc w:val="right"/>
        <w:rPr>
          <w:rFonts w:cs="Times New Roman"/>
          <w:sz w:val="28"/>
          <w:szCs w:val="28"/>
          <w:lang w:eastAsia="lv-LV"/>
        </w:rPr>
      </w:pPr>
      <w:r>
        <w:rPr>
          <w:rFonts w:cs="Times New Roman"/>
          <w:sz w:val="28"/>
          <w:szCs w:val="28"/>
          <w:lang w:eastAsia="lv-LV"/>
        </w:rPr>
        <w:lastRenderedPageBreak/>
        <w:t>5</w:t>
      </w:r>
      <w:r w:rsidR="00D9009F" w:rsidRPr="0087512B">
        <w:rPr>
          <w:rFonts w:cs="Times New Roman"/>
          <w:sz w:val="28"/>
          <w:szCs w:val="28"/>
          <w:lang w:eastAsia="lv-LV"/>
        </w:rPr>
        <w:t>.attēls</w:t>
      </w:r>
    </w:p>
    <w:p w:rsidR="00D9009F" w:rsidRDefault="00D9009F" w:rsidP="00812C3B">
      <w:pPr>
        <w:jc w:val="center"/>
        <w:rPr>
          <w:rFonts w:cs="Times New Roman"/>
          <w:sz w:val="28"/>
          <w:szCs w:val="28"/>
          <w:lang w:eastAsia="lv-LV"/>
        </w:rPr>
      </w:pPr>
      <w:r w:rsidRPr="0087512B">
        <w:rPr>
          <w:rFonts w:cs="Times New Roman"/>
          <w:sz w:val="28"/>
          <w:szCs w:val="28"/>
          <w:lang w:eastAsia="lv-LV"/>
        </w:rPr>
        <w:t>Azartspēļu iekārtu skaita izmaiņas Latvijas pilsētās</w:t>
      </w:r>
    </w:p>
    <w:p w:rsidR="00812C3B" w:rsidRDefault="00812C3B" w:rsidP="00812C3B">
      <w:pPr>
        <w:jc w:val="center"/>
        <w:rPr>
          <w:rFonts w:cs="Times New Roman"/>
          <w:sz w:val="28"/>
          <w:szCs w:val="28"/>
          <w:lang w:eastAsia="lv-LV"/>
        </w:rPr>
      </w:pPr>
      <w:r>
        <w:rPr>
          <w:rFonts w:cs="Times New Roman"/>
          <w:noProof/>
          <w:sz w:val="28"/>
          <w:szCs w:val="28"/>
          <w:lang w:eastAsia="lv-LV"/>
        </w:rPr>
        <w:drawing>
          <wp:inline distT="0" distB="0" distL="0" distR="0" wp14:anchorId="6CE43362" wp14:editId="1BD3C147">
            <wp:extent cx="6392174" cy="3200400"/>
            <wp:effectExtent l="0" t="0" r="889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4767" w:rsidRPr="00D9009F" w:rsidRDefault="00D9009F" w:rsidP="00D9009F">
      <w:pPr>
        <w:jc w:val="both"/>
        <w:rPr>
          <w:rFonts w:cs="Times New Roman"/>
          <w:sz w:val="20"/>
          <w:szCs w:val="20"/>
          <w:lang w:eastAsia="lv-LV"/>
        </w:rPr>
      </w:pPr>
      <w:r>
        <w:rPr>
          <w:rFonts w:cs="Times New Roman"/>
          <w:sz w:val="20"/>
          <w:szCs w:val="20"/>
          <w:lang w:eastAsia="lv-LV"/>
        </w:rPr>
        <w:t>Avots: IAUI</w:t>
      </w:r>
    </w:p>
    <w:p w:rsidR="00FB4767" w:rsidRPr="0087512B" w:rsidRDefault="00FB4767" w:rsidP="0087512B">
      <w:pPr>
        <w:rPr>
          <w:rFonts w:cs="Times New Roman"/>
          <w:sz w:val="28"/>
          <w:szCs w:val="28"/>
          <w:lang w:eastAsia="lv-LV"/>
        </w:rPr>
      </w:pPr>
    </w:p>
    <w:p w:rsidR="00FB4767" w:rsidRPr="0087512B" w:rsidRDefault="00FB4767" w:rsidP="0087512B">
      <w:pPr>
        <w:ind w:firstLine="567"/>
        <w:rPr>
          <w:rFonts w:cs="Times New Roman"/>
          <w:i/>
          <w:sz w:val="28"/>
          <w:szCs w:val="28"/>
          <w:lang w:eastAsia="lv-LV"/>
        </w:rPr>
      </w:pPr>
      <w:r w:rsidRPr="0087512B">
        <w:rPr>
          <w:rFonts w:cs="Times New Roman"/>
          <w:i/>
          <w:sz w:val="28"/>
          <w:szCs w:val="28"/>
          <w:lang w:eastAsia="lv-LV"/>
        </w:rPr>
        <w:t>Azartspēļu</w:t>
      </w:r>
      <w:r w:rsidR="0040327C" w:rsidRPr="0087512B">
        <w:rPr>
          <w:rFonts w:cs="Times New Roman"/>
          <w:i/>
          <w:sz w:val="28"/>
          <w:szCs w:val="28"/>
          <w:lang w:eastAsia="lv-LV"/>
        </w:rPr>
        <w:t xml:space="preserve"> jomas</w:t>
      </w:r>
      <w:r w:rsidRPr="0087512B">
        <w:rPr>
          <w:rFonts w:cs="Times New Roman"/>
          <w:i/>
          <w:sz w:val="28"/>
          <w:szCs w:val="28"/>
          <w:lang w:eastAsia="lv-LV"/>
        </w:rPr>
        <w:t xml:space="preserve"> attīstības tendences</w:t>
      </w:r>
      <w:bookmarkEnd w:id="1561"/>
    </w:p>
    <w:p w:rsidR="00FB4767" w:rsidRPr="0087512B" w:rsidRDefault="00FB4767" w:rsidP="0087512B">
      <w:pPr>
        <w:ind w:firstLine="567"/>
        <w:jc w:val="both"/>
        <w:rPr>
          <w:rFonts w:cs="Times New Roman"/>
          <w:sz w:val="28"/>
          <w:szCs w:val="28"/>
        </w:rPr>
      </w:pPr>
      <w:r w:rsidRPr="0087512B">
        <w:rPr>
          <w:rFonts w:cs="Times New Roman"/>
          <w:sz w:val="28"/>
          <w:szCs w:val="28"/>
        </w:rPr>
        <w:t xml:space="preserve">Azartspēļu nozare pēdējo 20 gadu laikā ir piedzīvojusi strauju tehnoloģisko izaugsmi gan pasaulē, gan Latvijā. Latvijā, sekojot globālajām tendencēm, pēdējos gados ir strauji attīstījušās </w:t>
      </w:r>
      <w:r w:rsidR="00BB10CF">
        <w:rPr>
          <w:rFonts w:cs="Times New Roman"/>
          <w:sz w:val="28"/>
          <w:szCs w:val="28"/>
        </w:rPr>
        <w:t>interaktīvās</w:t>
      </w:r>
      <w:r w:rsidR="00BB10CF" w:rsidRPr="0087512B">
        <w:rPr>
          <w:rFonts w:cs="Times New Roman"/>
          <w:sz w:val="28"/>
          <w:szCs w:val="28"/>
        </w:rPr>
        <w:t xml:space="preserve"> </w:t>
      </w:r>
      <w:r w:rsidRPr="0087512B">
        <w:rPr>
          <w:rFonts w:cs="Times New Roman"/>
          <w:sz w:val="28"/>
          <w:szCs w:val="28"/>
        </w:rPr>
        <w:t xml:space="preserve">azartspēles. To apliecina gan jaunu tirgus spēlētāju ienākšana, gan būtiskais attiecīgās nozares uzņēmumu ieņēmumu pieaugums. </w:t>
      </w:r>
    </w:p>
    <w:p w:rsidR="00FB4767" w:rsidRPr="0087512B" w:rsidRDefault="00FB4767" w:rsidP="0087512B">
      <w:pPr>
        <w:ind w:firstLine="567"/>
        <w:jc w:val="both"/>
        <w:rPr>
          <w:rFonts w:cs="Times New Roman"/>
          <w:sz w:val="28"/>
          <w:szCs w:val="28"/>
        </w:rPr>
      </w:pPr>
      <w:r w:rsidRPr="0087512B">
        <w:rPr>
          <w:rFonts w:cs="Times New Roman"/>
          <w:sz w:val="28"/>
          <w:szCs w:val="28"/>
        </w:rPr>
        <w:t xml:space="preserve">Tehnoloģiskās inovācijas ir vērojamas arī spēļu automātu segmentā un kazino darbībās. Pateicoties tehnoloģiju un viedierīču attīstībai, azartspēļu pakalpojums kļūst arvien pieejamāks, kas nozīmē turpinošu pieaugumu </w:t>
      </w:r>
      <w:r w:rsidR="00BB10CF">
        <w:rPr>
          <w:rFonts w:cs="Times New Roman"/>
          <w:sz w:val="28"/>
          <w:szCs w:val="28"/>
        </w:rPr>
        <w:t>interaktīvo</w:t>
      </w:r>
      <w:r w:rsidR="00BB10CF" w:rsidRPr="0087512B">
        <w:rPr>
          <w:rFonts w:cs="Times New Roman"/>
          <w:sz w:val="28"/>
          <w:szCs w:val="28"/>
        </w:rPr>
        <w:t xml:space="preserve"> </w:t>
      </w:r>
      <w:r w:rsidRPr="0087512B">
        <w:rPr>
          <w:rFonts w:cs="Times New Roman"/>
          <w:sz w:val="28"/>
          <w:szCs w:val="28"/>
        </w:rPr>
        <w:t>azartspēļu segmentā. Jau tagad spēlētāji var izvēlēties nedoties uz tradicionālajām spēļu zālēm, bet spēlēt azartspēles ne tikai savā datorā, bet arī planšetēs un viedtālruņos speciāli pielāgotās lapās. Mobilās platformas padara kazino spēles pieejamas arvien plašākam interesentu lokam.</w:t>
      </w:r>
    </w:p>
    <w:p w:rsidR="00FB4767" w:rsidRDefault="00FB4767" w:rsidP="0087512B">
      <w:pPr>
        <w:ind w:firstLine="567"/>
        <w:jc w:val="both"/>
        <w:rPr>
          <w:rFonts w:cs="Times New Roman"/>
          <w:sz w:val="28"/>
          <w:szCs w:val="28"/>
        </w:rPr>
      </w:pPr>
      <w:r w:rsidRPr="0087512B">
        <w:rPr>
          <w:rFonts w:cs="Times New Roman"/>
          <w:sz w:val="28"/>
          <w:szCs w:val="28"/>
        </w:rPr>
        <w:t>Latvijā interaktīvo azartspēļu joma attīstās ļoti strauji, 201</w:t>
      </w:r>
      <w:r w:rsidR="006A41CC">
        <w:rPr>
          <w:rFonts w:cs="Times New Roman"/>
          <w:sz w:val="28"/>
          <w:szCs w:val="28"/>
        </w:rPr>
        <w:t>9</w:t>
      </w:r>
      <w:r w:rsidRPr="0087512B">
        <w:rPr>
          <w:rFonts w:cs="Times New Roman"/>
          <w:sz w:val="28"/>
          <w:szCs w:val="28"/>
        </w:rPr>
        <w:t>.gadā sasniedzot dubultotu ieņēmumu pieaugumu, salīdzinot ar 201</w:t>
      </w:r>
      <w:r w:rsidR="006A41CC">
        <w:rPr>
          <w:rFonts w:cs="Times New Roman"/>
          <w:sz w:val="28"/>
          <w:szCs w:val="28"/>
        </w:rPr>
        <w:t xml:space="preserve">7.gadu </w:t>
      </w:r>
      <w:r w:rsidRPr="0087512B">
        <w:rPr>
          <w:rFonts w:cs="Times New Roman"/>
          <w:sz w:val="28"/>
          <w:szCs w:val="28"/>
        </w:rPr>
        <w:t xml:space="preserve">(skat. </w:t>
      </w:r>
      <w:r w:rsidR="00A86A73">
        <w:rPr>
          <w:rFonts w:cs="Times New Roman"/>
          <w:sz w:val="28"/>
          <w:szCs w:val="28"/>
        </w:rPr>
        <w:t>6</w:t>
      </w:r>
      <w:r w:rsidRPr="0087512B">
        <w:rPr>
          <w:rFonts w:cs="Times New Roman"/>
          <w:sz w:val="28"/>
          <w:szCs w:val="28"/>
        </w:rPr>
        <w:t>.attēlu).</w:t>
      </w:r>
    </w:p>
    <w:p w:rsidR="0078162A" w:rsidRDefault="0078162A"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272FCE" w:rsidRDefault="00272FCE" w:rsidP="00C94287">
      <w:pPr>
        <w:jc w:val="right"/>
        <w:rPr>
          <w:rFonts w:cs="Times New Roman"/>
          <w:sz w:val="28"/>
          <w:szCs w:val="28"/>
        </w:rPr>
      </w:pPr>
    </w:p>
    <w:p w:rsidR="00272FCE" w:rsidRDefault="00272FCE" w:rsidP="00C94287">
      <w:pPr>
        <w:jc w:val="right"/>
        <w:rPr>
          <w:rFonts w:cs="Times New Roman"/>
          <w:sz w:val="28"/>
          <w:szCs w:val="28"/>
        </w:rPr>
      </w:pPr>
    </w:p>
    <w:p w:rsidR="00272FCE" w:rsidRDefault="00272FCE" w:rsidP="00C94287">
      <w:pPr>
        <w:jc w:val="right"/>
        <w:rPr>
          <w:rFonts w:cs="Times New Roman"/>
          <w:sz w:val="28"/>
          <w:szCs w:val="28"/>
        </w:rPr>
      </w:pPr>
    </w:p>
    <w:p w:rsidR="00272FCE" w:rsidRDefault="00272FCE" w:rsidP="00C94287">
      <w:pPr>
        <w:jc w:val="right"/>
        <w:rPr>
          <w:rFonts w:cs="Times New Roman"/>
          <w:sz w:val="28"/>
          <w:szCs w:val="28"/>
        </w:rPr>
      </w:pPr>
    </w:p>
    <w:p w:rsidR="00272FCE" w:rsidRDefault="00272FCE" w:rsidP="00C94287">
      <w:pPr>
        <w:jc w:val="right"/>
        <w:rPr>
          <w:rFonts w:cs="Times New Roman"/>
          <w:sz w:val="28"/>
          <w:szCs w:val="28"/>
        </w:rPr>
      </w:pPr>
    </w:p>
    <w:p w:rsidR="00272FCE" w:rsidRDefault="00272FCE" w:rsidP="00C94287">
      <w:pPr>
        <w:jc w:val="right"/>
        <w:rPr>
          <w:rFonts w:cs="Times New Roman"/>
          <w:sz w:val="28"/>
          <w:szCs w:val="28"/>
        </w:rPr>
      </w:pPr>
    </w:p>
    <w:p w:rsidR="00C94287" w:rsidRDefault="00A86A73" w:rsidP="00C94287">
      <w:pPr>
        <w:jc w:val="right"/>
        <w:rPr>
          <w:rFonts w:cs="Times New Roman"/>
          <w:sz w:val="28"/>
          <w:szCs w:val="28"/>
        </w:rPr>
      </w:pPr>
      <w:r>
        <w:rPr>
          <w:rFonts w:cs="Times New Roman"/>
          <w:sz w:val="28"/>
          <w:szCs w:val="28"/>
        </w:rPr>
        <w:lastRenderedPageBreak/>
        <w:t>6</w:t>
      </w:r>
      <w:r w:rsidR="00D9009F">
        <w:rPr>
          <w:rFonts w:cs="Times New Roman"/>
          <w:sz w:val="28"/>
          <w:szCs w:val="28"/>
        </w:rPr>
        <w:t>.attēls</w:t>
      </w:r>
    </w:p>
    <w:p w:rsidR="00E253E1" w:rsidRDefault="00D9009F" w:rsidP="0087512B">
      <w:pPr>
        <w:jc w:val="center"/>
        <w:rPr>
          <w:rFonts w:cs="Times New Roman"/>
          <w:sz w:val="28"/>
          <w:szCs w:val="28"/>
        </w:rPr>
      </w:pPr>
      <w:r>
        <w:rPr>
          <w:rFonts w:cs="Times New Roman"/>
          <w:sz w:val="28"/>
          <w:szCs w:val="28"/>
        </w:rPr>
        <w:t xml:space="preserve">Ieņēmumi no </w:t>
      </w:r>
      <w:r w:rsidRPr="0087512B">
        <w:rPr>
          <w:rFonts w:cs="Times New Roman"/>
          <w:sz w:val="28"/>
          <w:szCs w:val="28"/>
        </w:rPr>
        <w:t>interaktīvajām azartspēlēm</w:t>
      </w:r>
      <w:r>
        <w:rPr>
          <w:rFonts w:cs="Times New Roman"/>
          <w:sz w:val="28"/>
          <w:szCs w:val="28"/>
        </w:rPr>
        <w:t xml:space="preserve"> (milj. euro)</w:t>
      </w:r>
      <w:r w:rsidR="00E253E1">
        <w:rPr>
          <w:rFonts w:cs="Times New Roman"/>
          <w:noProof/>
          <w:sz w:val="28"/>
          <w:szCs w:val="28"/>
          <w:lang w:eastAsia="lv-LV"/>
        </w:rPr>
        <w:drawing>
          <wp:inline distT="0" distB="0" distL="0" distR="0" wp14:anchorId="6ECF665A" wp14:editId="291DCFC4">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4767" w:rsidRPr="00D9009F" w:rsidRDefault="00D9009F" w:rsidP="00D9009F">
      <w:pPr>
        <w:jc w:val="both"/>
        <w:rPr>
          <w:rFonts w:cs="Times New Roman"/>
          <w:sz w:val="20"/>
          <w:szCs w:val="20"/>
        </w:rPr>
      </w:pPr>
      <w:r>
        <w:rPr>
          <w:rFonts w:cs="Times New Roman"/>
          <w:sz w:val="20"/>
          <w:szCs w:val="20"/>
        </w:rPr>
        <w:t>Avots: IAUI</w:t>
      </w:r>
    </w:p>
    <w:p w:rsidR="00FB4767" w:rsidRPr="0087512B" w:rsidRDefault="00FB4767" w:rsidP="0087512B">
      <w:pPr>
        <w:jc w:val="both"/>
        <w:rPr>
          <w:rFonts w:cs="Times New Roman"/>
          <w:sz w:val="28"/>
          <w:szCs w:val="28"/>
        </w:rPr>
      </w:pPr>
    </w:p>
    <w:p w:rsidR="00FB4767" w:rsidRPr="0087512B" w:rsidRDefault="00FB4767" w:rsidP="0087512B">
      <w:pPr>
        <w:ind w:firstLine="567"/>
        <w:jc w:val="both"/>
        <w:rPr>
          <w:rFonts w:cs="Times New Roman"/>
          <w:sz w:val="28"/>
          <w:szCs w:val="28"/>
        </w:rPr>
      </w:pPr>
      <w:r w:rsidRPr="0087512B">
        <w:rPr>
          <w:rFonts w:cs="Times New Roman"/>
          <w:sz w:val="28"/>
          <w:szCs w:val="28"/>
        </w:rPr>
        <w:t xml:space="preserve">Turpmākajos gados, pateicoties gan viedierīču tehnoloģiskajām inovācijām, padarot tās arvien jaudīgākas un lietotājiem ērtākas, gan datu pakalpojumu izmaksu samazinājumam, gan arvien pieaugošajam laikam, ko cilvēki pavada viedtālruņos, azartspēļu nozares attīstība ir saistāma tieši ar </w:t>
      </w:r>
      <w:r w:rsidR="00A9764C">
        <w:rPr>
          <w:rFonts w:cs="Times New Roman"/>
          <w:sz w:val="28"/>
          <w:szCs w:val="28"/>
        </w:rPr>
        <w:t>interaktīvo</w:t>
      </w:r>
      <w:r w:rsidR="00A9764C" w:rsidRPr="0087512B">
        <w:rPr>
          <w:rFonts w:cs="Times New Roman"/>
          <w:sz w:val="28"/>
          <w:szCs w:val="28"/>
        </w:rPr>
        <w:t xml:space="preserve"> </w:t>
      </w:r>
      <w:r w:rsidRPr="0087512B">
        <w:rPr>
          <w:rFonts w:cs="Times New Roman"/>
          <w:sz w:val="28"/>
          <w:szCs w:val="28"/>
        </w:rPr>
        <w:t xml:space="preserve">azartspēļu izaugsmi.  </w:t>
      </w:r>
    </w:p>
    <w:p w:rsidR="00FB4767" w:rsidRPr="0087512B" w:rsidRDefault="00FB4767" w:rsidP="0087512B">
      <w:pPr>
        <w:ind w:firstLine="567"/>
        <w:jc w:val="both"/>
        <w:rPr>
          <w:rFonts w:cs="Times New Roman"/>
          <w:sz w:val="28"/>
          <w:szCs w:val="28"/>
        </w:rPr>
      </w:pPr>
      <w:r w:rsidRPr="0087512B">
        <w:rPr>
          <w:rFonts w:cs="Times New Roman"/>
          <w:sz w:val="28"/>
          <w:szCs w:val="28"/>
        </w:rPr>
        <w:t>Mainās arī maksāšanas paradumi. Ja vēsturiski tradicionālajos kazino norēķini notika skaidrā naudā, tad internetā visi norēķini notiek bezskaidrā naudā. Globāli arvien vairāk tiek izmantoti dažādi bezskaidras naudas norēķinu servisi, ko pieprasa spēlētāji savai ērtībai. Kā vienu no tendencēm nākotnes kontekstā jāiezīmē arī aizvien plašāku kriptovalūtas izmantošanu</w:t>
      </w:r>
      <w:r w:rsidRPr="0087512B">
        <w:rPr>
          <w:rStyle w:val="FootnoteReference"/>
          <w:sz w:val="28"/>
          <w:szCs w:val="28"/>
        </w:rPr>
        <w:footnoteReference w:id="123"/>
      </w:r>
      <w:r w:rsidRPr="0087512B">
        <w:rPr>
          <w:rFonts w:cs="Times New Roman"/>
          <w:sz w:val="28"/>
          <w:szCs w:val="28"/>
        </w:rPr>
        <w:t xml:space="preserve">. </w:t>
      </w:r>
    </w:p>
    <w:p w:rsidR="00FB4767" w:rsidRPr="0087512B" w:rsidRDefault="00FB4767" w:rsidP="0087512B">
      <w:pPr>
        <w:ind w:firstLine="567"/>
        <w:jc w:val="both"/>
        <w:rPr>
          <w:rFonts w:cs="Times New Roman"/>
          <w:sz w:val="28"/>
          <w:szCs w:val="28"/>
        </w:rPr>
      </w:pPr>
      <w:r w:rsidRPr="00044461">
        <w:rPr>
          <w:rFonts w:cs="Times New Roman"/>
          <w:sz w:val="28"/>
          <w:szCs w:val="28"/>
        </w:rPr>
        <w:t>Latvijā 2019.gadā visi spēļu automāti ti</w:t>
      </w:r>
      <w:r w:rsidR="002F55AF">
        <w:rPr>
          <w:rFonts w:cs="Times New Roman"/>
          <w:sz w:val="28"/>
          <w:szCs w:val="28"/>
        </w:rPr>
        <w:t>ka</w:t>
      </w:r>
      <w:r w:rsidRPr="00044461">
        <w:rPr>
          <w:rFonts w:cs="Times New Roman"/>
          <w:sz w:val="28"/>
          <w:szCs w:val="28"/>
        </w:rPr>
        <w:t xml:space="preserve"> saslēgti vienotā tīklā, ieviešot </w:t>
      </w:r>
      <w:r w:rsidR="00D62BE2" w:rsidRPr="00CB3E6C">
        <w:rPr>
          <w:sz w:val="28"/>
        </w:rPr>
        <w:t>vienotās azartspēļu automātu kontroles un uzraudzības sistēmu</w:t>
      </w:r>
      <w:r w:rsidR="00D62BE2" w:rsidRPr="00CB3E6C">
        <w:rPr>
          <w:rFonts w:cs="Times New Roman"/>
          <w:sz w:val="32"/>
          <w:szCs w:val="28"/>
        </w:rPr>
        <w:t xml:space="preserve"> </w:t>
      </w:r>
      <w:r w:rsidR="00D62BE2" w:rsidRPr="00CB3E6C">
        <w:rPr>
          <w:rFonts w:cs="Times New Roman"/>
          <w:sz w:val="28"/>
          <w:szCs w:val="28"/>
        </w:rPr>
        <w:t xml:space="preserve">(turpmāk – </w:t>
      </w:r>
      <w:r w:rsidRPr="00D62BE2">
        <w:rPr>
          <w:rFonts w:cs="Times New Roman"/>
          <w:sz w:val="28"/>
          <w:szCs w:val="28"/>
        </w:rPr>
        <w:t>AKUS</w:t>
      </w:r>
      <w:r w:rsidR="00D62BE2" w:rsidRPr="00D62BE2">
        <w:rPr>
          <w:rFonts w:cs="Times New Roman"/>
          <w:sz w:val="28"/>
          <w:szCs w:val="28"/>
        </w:rPr>
        <w:t>)</w:t>
      </w:r>
      <w:r w:rsidRPr="00044461">
        <w:rPr>
          <w:rFonts w:cs="Times New Roman"/>
          <w:sz w:val="28"/>
          <w:szCs w:val="28"/>
        </w:rPr>
        <w:t>, kas uzlabo nozares uzraudzības iespējas</w:t>
      </w:r>
      <w:r w:rsidR="002F55AF">
        <w:rPr>
          <w:rFonts w:cs="Times New Roman"/>
          <w:sz w:val="28"/>
          <w:szCs w:val="28"/>
        </w:rPr>
        <w:t>,</w:t>
      </w:r>
      <w:r w:rsidRPr="00044461">
        <w:rPr>
          <w:rFonts w:cs="Times New Roman"/>
          <w:sz w:val="28"/>
          <w:szCs w:val="28"/>
        </w:rPr>
        <w:t xml:space="preserve"> tie</w:t>
      </w:r>
      <w:r w:rsidR="002F55AF">
        <w:rPr>
          <w:rFonts w:cs="Times New Roman"/>
          <w:sz w:val="28"/>
          <w:szCs w:val="28"/>
        </w:rPr>
        <w:t>c</w:t>
      </w:r>
      <w:r w:rsidRPr="00044461">
        <w:rPr>
          <w:rFonts w:cs="Times New Roman"/>
          <w:sz w:val="28"/>
          <w:szCs w:val="28"/>
        </w:rPr>
        <w:t>oties uz konkurētspējīgu un caurskatāmu uzņēmējdarbības vidi.</w:t>
      </w:r>
      <w:r w:rsidRPr="0087512B">
        <w:rPr>
          <w:rFonts w:cs="Times New Roman"/>
          <w:sz w:val="28"/>
          <w:szCs w:val="28"/>
        </w:rPr>
        <w:t xml:space="preserve"> </w:t>
      </w:r>
    </w:p>
    <w:p w:rsidR="00FB4767" w:rsidRPr="0087512B" w:rsidRDefault="00FB4767" w:rsidP="0087512B">
      <w:pPr>
        <w:ind w:firstLine="567"/>
        <w:jc w:val="both"/>
        <w:rPr>
          <w:rFonts w:cs="Times New Roman"/>
          <w:sz w:val="28"/>
          <w:szCs w:val="28"/>
        </w:rPr>
      </w:pPr>
      <w:r w:rsidRPr="0087512B">
        <w:rPr>
          <w:rFonts w:cs="Times New Roman"/>
          <w:sz w:val="28"/>
          <w:szCs w:val="28"/>
        </w:rPr>
        <w:t xml:space="preserve">Neskatoties uz to, ka azartspēles katrā ES valstī regulē nacionālie tiesību akti, </w:t>
      </w:r>
      <w:r w:rsidR="003355C7">
        <w:rPr>
          <w:rFonts w:cs="Times New Roman"/>
          <w:sz w:val="28"/>
          <w:szCs w:val="28"/>
        </w:rPr>
        <w:t>interaktīvajām</w:t>
      </w:r>
      <w:r w:rsidRPr="0087512B">
        <w:rPr>
          <w:rFonts w:cs="Times New Roman"/>
          <w:sz w:val="28"/>
          <w:szCs w:val="28"/>
        </w:rPr>
        <w:t xml:space="preserve"> azartspēlēm ir potenciāls nākotnē savu pakalpojumu eksportēt ne tikai Eiropas līmenī, bet arī globāli. Arī tradicionālajām jeb “zemes” azartspēlēm ir potenciāls kļūt par eksporta produktu.</w:t>
      </w:r>
    </w:p>
    <w:p w:rsidR="00FB4767" w:rsidRPr="0087512B" w:rsidRDefault="00FB4767" w:rsidP="0087512B">
      <w:pPr>
        <w:ind w:firstLine="567"/>
        <w:jc w:val="both"/>
        <w:rPr>
          <w:rFonts w:cs="Times New Roman"/>
          <w:sz w:val="28"/>
          <w:szCs w:val="28"/>
        </w:rPr>
      </w:pPr>
      <w:r w:rsidRPr="0087512B">
        <w:rPr>
          <w:rFonts w:cs="Times New Roman"/>
          <w:sz w:val="28"/>
          <w:szCs w:val="28"/>
        </w:rPr>
        <w:t xml:space="preserve">Šobrīd interneta spēļu vidē ir parādījusies jauna tendence attiecībā uz izklaides spēlēm, kas pēc savas būtības sāk tuvināties interaktīvajām azartspēlēm, un par ko diskusijas ir sāktas arī ES līmenī. </w:t>
      </w:r>
    </w:p>
    <w:p w:rsidR="00FB4767" w:rsidRPr="0087512B" w:rsidRDefault="00FB4767" w:rsidP="0087512B">
      <w:pPr>
        <w:ind w:firstLine="567"/>
        <w:jc w:val="both"/>
        <w:rPr>
          <w:rFonts w:cs="Times New Roman"/>
          <w:sz w:val="28"/>
          <w:szCs w:val="28"/>
        </w:rPr>
      </w:pPr>
      <w:r w:rsidRPr="0087512B">
        <w:rPr>
          <w:rFonts w:cs="Times New Roman"/>
          <w:sz w:val="28"/>
          <w:szCs w:val="28"/>
        </w:rPr>
        <w:lastRenderedPageBreak/>
        <w:t>2018.gada maijā Eiropas Azartspēļu uzraudzības institūciju Asociācijas ikgadējā konferencē galvenā diskusiju tēma bija “Jaunās tendences – azartspēļu un izklaides spēļu tuvināšanās”. Šobrīd izklaides spēles (</w:t>
      </w:r>
      <w:r w:rsidRPr="0087512B">
        <w:rPr>
          <w:rFonts w:cs="Times New Roman"/>
          <w:i/>
          <w:sz w:val="28"/>
          <w:szCs w:val="28"/>
        </w:rPr>
        <w:t>social games</w:t>
      </w:r>
      <w:r w:rsidRPr="0087512B">
        <w:rPr>
          <w:rFonts w:cs="Times New Roman"/>
          <w:sz w:val="28"/>
          <w:szCs w:val="28"/>
        </w:rPr>
        <w:t>) ir pieejamas visos sociālajos tīklos dažādu vecumu cilvēkiem, tās īpaši piesaista jauniešus, pat bērnus, ar dažāda veida interesantām aplikācijām, un šo spēļu būtība ir līdzīga kā azartspēlēm. Piemēram, lai nokļūtu augstākā līmenī, var veikt virtuālus pirkumus, likt derības, un dažās no spēlēm ir iespējams “nopelnīto” virtuālo naudu pat apmainīt pret reālu naudu. Eiropas valstu azartspēļu uzraugi diskutē par šo spēļu attīstību, to “tuv</w:t>
      </w:r>
      <w:r w:rsidR="003355C7">
        <w:rPr>
          <w:rFonts w:cs="Times New Roman"/>
          <w:sz w:val="28"/>
          <w:szCs w:val="28"/>
        </w:rPr>
        <w:t>ošanos” azartspēļu nosacījumiem</w:t>
      </w:r>
      <w:r w:rsidRPr="0087512B">
        <w:rPr>
          <w:rFonts w:cs="Times New Roman"/>
          <w:sz w:val="28"/>
          <w:szCs w:val="28"/>
        </w:rPr>
        <w:t xml:space="preserve">. Konferencē tika panākta vienošanās, ka azartspēļu uzraugiem ir svarīgi saglabāt augstus standartus azartspēļu nozares uzraudzībā, it īpaši attiecībā pret nepilngadīgajām personām un vieglāk ievainojamām personām. Tā kā sociālās spēles ļoti strauji tuvojas azartspēļu izraisītajiem riskiem, būtu svarīgi nepieļaut, ka izklaides spēles kļūst par neuzraudzītu azartspēļu sastāvdaļu. Tādējādi turpmāk būtu nepieciešams sekot Eiropas Azartspēļu uzraudzības institūciju Asociācijā secinātajam un turpmākiem iespējamiem risinājumiem un kontroles iespējām, lai nepilngadīgās personas šādās spēlēs, kas līdzinās azartspēlēm, nevarētu piedalīties. </w:t>
      </w:r>
    </w:p>
    <w:p w:rsidR="00FB4767" w:rsidRPr="0087512B" w:rsidRDefault="00FB4767" w:rsidP="0087512B">
      <w:pPr>
        <w:ind w:firstLine="567"/>
        <w:jc w:val="both"/>
        <w:rPr>
          <w:rFonts w:cs="Times New Roman"/>
          <w:i/>
          <w:sz w:val="28"/>
          <w:szCs w:val="28"/>
        </w:rPr>
      </w:pPr>
      <w:r w:rsidRPr="0087512B">
        <w:rPr>
          <w:rFonts w:cs="Times New Roman"/>
          <w:i/>
          <w:sz w:val="28"/>
          <w:szCs w:val="28"/>
        </w:rPr>
        <w:t xml:space="preserve">Izložu </w:t>
      </w:r>
      <w:r w:rsidR="0040327C" w:rsidRPr="0087512B">
        <w:rPr>
          <w:rFonts w:cs="Times New Roman"/>
          <w:i/>
          <w:sz w:val="28"/>
          <w:szCs w:val="28"/>
        </w:rPr>
        <w:t xml:space="preserve">jomas </w:t>
      </w:r>
      <w:r w:rsidRPr="0087512B">
        <w:rPr>
          <w:rFonts w:cs="Times New Roman"/>
          <w:i/>
          <w:sz w:val="28"/>
          <w:szCs w:val="28"/>
        </w:rPr>
        <w:t>attīstības tendences</w:t>
      </w:r>
    </w:p>
    <w:p w:rsidR="00FB4767" w:rsidRPr="0087512B" w:rsidRDefault="00FB4767" w:rsidP="0087512B">
      <w:pPr>
        <w:ind w:firstLine="567"/>
        <w:jc w:val="both"/>
        <w:rPr>
          <w:rFonts w:cs="Times New Roman"/>
          <w:sz w:val="28"/>
          <w:szCs w:val="28"/>
        </w:rPr>
      </w:pPr>
      <w:bookmarkStart w:id="1562" w:name="_Hlk533026053"/>
      <w:r w:rsidRPr="0087512B">
        <w:rPr>
          <w:rFonts w:cs="Times New Roman"/>
          <w:sz w:val="28"/>
          <w:szCs w:val="28"/>
        </w:rPr>
        <w:t>Pēdējos gados izložu jomā Latvijā paralēli tradicionālajām tirdzniecības vietām strauji attīstās arī interneta tirdzniecības kanāls, un spēkā esošais normatīvais regulējums ļauj tirgū ienākt arī interaktīvajām izlozēm</w:t>
      </w:r>
      <w:bookmarkEnd w:id="1562"/>
      <w:r w:rsidRPr="0087512B">
        <w:rPr>
          <w:rFonts w:cs="Times New Roman"/>
          <w:sz w:val="28"/>
          <w:szCs w:val="28"/>
        </w:rPr>
        <w:t>.</w:t>
      </w:r>
    </w:p>
    <w:p w:rsidR="00FB4767" w:rsidRPr="0087512B" w:rsidRDefault="00FB4767" w:rsidP="0087512B">
      <w:pPr>
        <w:ind w:firstLine="567"/>
        <w:jc w:val="both"/>
        <w:rPr>
          <w:rFonts w:cs="Times New Roman"/>
          <w:i/>
          <w:color w:val="FF0000"/>
          <w:sz w:val="28"/>
          <w:szCs w:val="28"/>
          <w:lang w:eastAsia="lv-LV"/>
        </w:rPr>
      </w:pPr>
      <w:bookmarkStart w:id="1563" w:name="_Hlk533029524"/>
      <w:r w:rsidRPr="0087512B">
        <w:rPr>
          <w:rFonts w:cs="Times New Roman"/>
          <w:sz w:val="28"/>
          <w:szCs w:val="28"/>
        </w:rPr>
        <w:t xml:space="preserve">Kā labākā prakse izložu organizēšanai plaši tiek atzīti valsts loteriju monopoli. </w:t>
      </w:r>
      <w:r w:rsidRPr="0087512B">
        <w:rPr>
          <w:sz w:val="28"/>
          <w:szCs w:val="28"/>
        </w:rPr>
        <w:t>Saskaņā ar ES Tiesas atzinumu monopola pieeja ir spējīga labāk un efektīvāk pārvarēt riskus, kas saistīti ar šo nozari</w:t>
      </w:r>
      <w:r w:rsidRPr="0087512B">
        <w:rPr>
          <w:sz w:val="28"/>
          <w:szCs w:val="28"/>
          <w:vertAlign w:val="superscript"/>
        </w:rPr>
        <w:t xml:space="preserve"> </w:t>
      </w:r>
      <w:r w:rsidRPr="0087512B">
        <w:rPr>
          <w:sz w:val="28"/>
          <w:szCs w:val="28"/>
          <w:vertAlign w:val="superscript"/>
        </w:rPr>
        <w:footnoteReference w:id="124"/>
      </w:r>
      <w:r w:rsidRPr="0087512B">
        <w:rPr>
          <w:sz w:val="28"/>
          <w:szCs w:val="28"/>
        </w:rPr>
        <w:t xml:space="preserve">. </w:t>
      </w:r>
      <w:r w:rsidRPr="0087512B">
        <w:rPr>
          <w:rFonts w:cs="Times New Roman"/>
          <w:sz w:val="28"/>
          <w:szCs w:val="28"/>
        </w:rPr>
        <w:t>ES uzskata, ka dalībvalstīm pašām ir tiesības pieņemt lēmumu attiecībā uz valsts loteriju monopola saglabāšanu un ES līmenī netiek saskatīta nepieciešamība ierobežot dalībvalstu vēlmi saglabāt savā īpašumā valsts loteriju uzņēmumus vai noteikt to darbībai stingrākas prasības.</w:t>
      </w:r>
      <w:bookmarkEnd w:id="1563"/>
    </w:p>
    <w:p w:rsidR="00FB4767" w:rsidRPr="0087512B" w:rsidRDefault="00FB4767" w:rsidP="0087512B">
      <w:pPr>
        <w:ind w:firstLine="567"/>
        <w:jc w:val="both"/>
        <w:rPr>
          <w:rFonts w:cs="Times New Roman"/>
          <w:sz w:val="28"/>
          <w:szCs w:val="28"/>
        </w:rPr>
      </w:pPr>
      <w:r w:rsidRPr="0087512B">
        <w:rPr>
          <w:rFonts w:cs="Times New Roman"/>
          <w:sz w:val="28"/>
          <w:szCs w:val="28"/>
        </w:rPr>
        <w:t>Attiecībā uz izložu produktu attīstību jāmin, ka starptautiskas izlozes ar lieliem uzkrājumiem ieņem arvien būtiskāku lomu loteriju uzņēmumu darbībā. Loteriju uzņēmumi strauji paplašina savus produktu portfeļus, diversificējot darbību un veltot konkrētām mērķa grupām to pieprasītos produktus, kā arī iesaistās interaktīvo azartspēļu tirgū.</w:t>
      </w:r>
    </w:p>
    <w:p w:rsidR="0078162A" w:rsidRDefault="0078162A"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C94287" w:rsidRDefault="00A86A73" w:rsidP="00C94287">
      <w:pPr>
        <w:jc w:val="right"/>
        <w:rPr>
          <w:rFonts w:cs="Times New Roman"/>
          <w:sz w:val="28"/>
          <w:szCs w:val="28"/>
        </w:rPr>
      </w:pPr>
      <w:r>
        <w:rPr>
          <w:rFonts w:cs="Times New Roman"/>
          <w:sz w:val="28"/>
          <w:szCs w:val="28"/>
        </w:rPr>
        <w:lastRenderedPageBreak/>
        <w:t>7</w:t>
      </w:r>
      <w:r w:rsidR="004C328E" w:rsidRPr="0087512B">
        <w:rPr>
          <w:rFonts w:cs="Times New Roman"/>
          <w:sz w:val="28"/>
          <w:szCs w:val="28"/>
        </w:rPr>
        <w:t>.attēls</w:t>
      </w:r>
    </w:p>
    <w:p w:rsidR="00FB4767" w:rsidRPr="0087512B" w:rsidRDefault="004C328E" w:rsidP="0087512B">
      <w:pPr>
        <w:jc w:val="center"/>
        <w:rPr>
          <w:rFonts w:cs="Times New Roman"/>
          <w:sz w:val="28"/>
          <w:szCs w:val="28"/>
        </w:rPr>
      </w:pPr>
      <w:r w:rsidRPr="0087512B">
        <w:rPr>
          <w:rFonts w:cs="Times New Roman"/>
          <w:sz w:val="28"/>
          <w:szCs w:val="28"/>
        </w:rPr>
        <w:t>Neto apgrozījums un peļņa no skaitļu izlozēm un momentloterijām</w:t>
      </w:r>
      <w:r>
        <w:rPr>
          <w:rFonts w:cs="Times New Roman"/>
          <w:sz w:val="28"/>
          <w:szCs w:val="28"/>
        </w:rPr>
        <w:t xml:space="preserve"> pa ceturkšņiem</w:t>
      </w:r>
      <w:r w:rsidRPr="0087512B">
        <w:rPr>
          <w:rFonts w:cs="Times New Roman"/>
          <w:sz w:val="28"/>
          <w:szCs w:val="28"/>
        </w:rPr>
        <w:t xml:space="preserve"> (</w:t>
      </w:r>
      <w:r>
        <w:rPr>
          <w:rFonts w:cs="Times New Roman"/>
          <w:sz w:val="28"/>
          <w:szCs w:val="28"/>
        </w:rPr>
        <w:t>milj. euro</w:t>
      </w:r>
      <w:r w:rsidRPr="0087512B">
        <w:rPr>
          <w:rFonts w:cs="Times New Roman"/>
          <w:sz w:val="28"/>
          <w:szCs w:val="28"/>
        </w:rPr>
        <w:t>)</w:t>
      </w:r>
      <w:r w:rsidR="00E41630">
        <w:rPr>
          <w:noProof/>
          <w:lang w:eastAsia="lv-LV"/>
        </w:rPr>
        <w:drawing>
          <wp:inline distT="0" distB="0" distL="0" distR="0" wp14:anchorId="7CD21BA4" wp14:editId="1BE754A6">
            <wp:extent cx="5939790" cy="3994030"/>
            <wp:effectExtent l="0" t="0" r="3810" b="6985"/>
            <wp:docPr id="18" name="Chart 1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4767" w:rsidRPr="004C328E" w:rsidRDefault="004C328E" w:rsidP="004C328E">
      <w:pPr>
        <w:jc w:val="both"/>
        <w:rPr>
          <w:rFonts w:cs="Times New Roman"/>
          <w:sz w:val="20"/>
          <w:szCs w:val="20"/>
        </w:rPr>
      </w:pPr>
      <w:r>
        <w:rPr>
          <w:rFonts w:cs="Times New Roman"/>
          <w:sz w:val="20"/>
          <w:szCs w:val="20"/>
        </w:rPr>
        <w:t>Avots: IAUI</w:t>
      </w:r>
    </w:p>
    <w:p w:rsidR="00FB4767" w:rsidRPr="0087512B" w:rsidRDefault="00FB4767" w:rsidP="0087512B">
      <w:pPr>
        <w:ind w:firstLine="720"/>
        <w:jc w:val="both"/>
        <w:rPr>
          <w:rFonts w:cs="Times New Roman"/>
          <w:sz w:val="28"/>
          <w:szCs w:val="28"/>
        </w:rPr>
      </w:pPr>
    </w:p>
    <w:p w:rsidR="00FB4767" w:rsidRPr="0087512B" w:rsidRDefault="00FB4767" w:rsidP="008E3C9D">
      <w:pPr>
        <w:ind w:firstLine="567"/>
        <w:jc w:val="both"/>
        <w:rPr>
          <w:rFonts w:cs="Times New Roman"/>
          <w:sz w:val="28"/>
          <w:szCs w:val="28"/>
        </w:rPr>
      </w:pPr>
      <w:r w:rsidRPr="0087512B">
        <w:rPr>
          <w:rFonts w:cs="Times New Roman"/>
          <w:sz w:val="28"/>
          <w:szCs w:val="28"/>
        </w:rPr>
        <w:t xml:space="preserve">Svarīga ir tirdzniecības tīklu un tehnoloģiju attīstība. Vienlaikus liela nozīme ir interneta kā pārdošanas kanāla attīstībai. Loteriju pārdošanas īpatsvars internetā visās valstīs strauji aug, operatori iegulda lielas investīcijas, lai aktivizētu šo pārdošanas virzienu. Pēdējos gados īpaši strauji aug loteriju tirdzniecība, izmantojot mobilos telefonus. </w:t>
      </w:r>
    </w:p>
    <w:p w:rsidR="00FB4767" w:rsidRPr="0087512B" w:rsidRDefault="00FB4767" w:rsidP="0087512B">
      <w:pPr>
        <w:ind w:firstLine="720"/>
        <w:jc w:val="both"/>
        <w:rPr>
          <w:rFonts w:cs="Times New Roman"/>
          <w:sz w:val="28"/>
          <w:szCs w:val="28"/>
        </w:rPr>
      </w:pPr>
    </w:p>
    <w:p w:rsidR="00A86A73" w:rsidRDefault="00A86A73" w:rsidP="00C94287">
      <w:pPr>
        <w:jc w:val="right"/>
        <w:rPr>
          <w:rFonts w:cs="Times New Roman"/>
          <w:sz w:val="28"/>
          <w:szCs w:val="28"/>
        </w:rPr>
      </w:pPr>
    </w:p>
    <w:p w:rsidR="00A86A73" w:rsidRDefault="00A86A73" w:rsidP="00C94287">
      <w:pPr>
        <w:jc w:val="right"/>
        <w:rPr>
          <w:rFonts w:cs="Times New Roman"/>
          <w:sz w:val="28"/>
          <w:szCs w:val="28"/>
        </w:rPr>
      </w:pPr>
    </w:p>
    <w:p w:rsidR="00A86A73" w:rsidRDefault="00A86A73" w:rsidP="00C94287">
      <w:pPr>
        <w:jc w:val="right"/>
        <w:rPr>
          <w:rFonts w:cs="Times New Roman"/>
          <w:sz w:val="28"/>
          <w:szCs w:val="28"/>
        </w:rPr>
      </w:pPr>
    </w:p>
    <w:p w:rsidR="00A86A73" w:rsidRDefault="00A86A73" w:rsidP="00C94287">
      <w:pPr>
        <w:jc w:val="right"/>
        <w:rPr>
          <w:rFonts w:cs="Times New Roman"/>
          <w:sz w:val="28"/>
          <w:szCs w:val="28"/>
        </w:rPr>
      </w:pPr>
    </w:p>
    <w:p w:rsidR="00A86A73" w:rsidRDefault="00A86A73"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E17C70" w:rsidRDefault="00E17C70" w:rsidP="00C94287">
      <w:pPr>
        <w:jc w:val="right"/>
        <w:rPr>
          <w:rFonts w:cs="Times New Roman"/>
          <w:sz w:val="28"/>
          <w:szCs w:val="28"/>
        </w:rPr>
      </w:pPr>
    </w:p>
    <w:p w:rsidR="00C94287" w:rsidRDefault="00A86A73" w:rsidP="00C94287">
      <w:pPr>
        <w:jc w:val="right"/>
        <w:rPr>
          <w:rFonts w:cs="Times New Roman"/>
          <w:sz w:val="28"/>
          <w:szCs w:val="28"/>
        </w:rPr>
      </w:pPr>
      <w:r>
        <w:rPr>
          <w:rFonts w:cs="Times New Roman"/>
          <w:sz w:val="28"/>
          <w:szCs w:val="28"/>
        </w:rPr>
        <w:lastRenderedPageBreak/>
        <w:t>8</w:t>
      </w:r>
      <w:r w:rsidR="004C328E" w:rsidRPr="0087512B">
        <w:rPr>
          <w:rFonts w:cs="Times New Roman"/>
          <w:sz w:val="28"/>
          <w:szCs w:val="28"/>
        </w:rPr>
        <w:t>.attēls</w:t>
      </w:r>
    </w:p>
    <w:p w:rsidR="00FB4767" w:rsidRPr="0087512B" w:rsidRDefault="004C328E" w:rsidP="0087512B">
      <w:pPr>
        <w:jc w:val="center"/>
        <w:rPr>
          <w:rFonts w:cs="Times New Roman"/>
          <w:strike/>
          <w:sz w:val="28"/>
          <w:szCs w:val="28"/>
        </w:rPr>
      </w:pPr>
      <w:r w:rsidRPr="0087512B">
        <w:rPr>
          <w:rFonts w:cs="Times New Roman"/>
          <w:sz w:val="28"/>
          <w:szCs w:val="28"/>
        </w:rPr>
        <w:t>Neto apgrozījums un peļņa</w:t>
      </w:r>
      <w:r>
        <w:rPr>
          <w:rFonts w:cs="Times New Roman"/>
          <w:sz w:val="28"/>
          <w:szCs w:val="28"/>
        </w:rPr>
        <w:t xml:space="preserve"> vai zaudējumi</w:t>
      </w:r>
      <w:r w:rsidRPr="0087512B">
        <w:rPr>
          <w:rFonts w:cs="Times New Roman"/>
          <w:sz w:val="28"/>
          <w:szCs w:val="28"/>
        </w:rPr>
        <w:t xml:space="preserve"> no skaitļu izlo</w:t>
      </w:r>
      <w:r>
        <w:rPr>
          <w:rFonts w:cs="Times New Roman"/>
          <w:sz w:val="28"/>
          <w:szCs w:val="28"/>
        </w:rPr>
        <w:t>žu</w:t>
      </w:r>
      <w:r w:rsidRPr="0087512B">
        <w:rPr>
          <w:rFonts w:cs="Times New Roman"/>
          <w:sz w:val="28"/>
          <w:szCs w:val="28"/>
        </w:rPr>
        <w:t xml:space="preserve"> un momentloterij</w:t>
      </w:r>
      <w:r>
        <w:rPr>
          <w:rFonts w:cs="Times New Roman"/>
          <w:sz w:val="28"/>
          <w:szCs w:val="28"/>
        </w:rPr>
        <w:t>u realizācijas ieņēmumiem pa gadiem</w:t>
      </w:r>
      <w:r w:rsidRPr="0087512B">
        <w:rPr>
          <w:rFonts w:cs="Times New Roman"/>
          <w:sz w:val="28"/>
          <w:szCs w:val="28"/>
        </w:rPr>
        <w:t xml:space="preserve"> (</w:t>
      </w:r>
      <w:r>
        <w:rPr>
          <w:rFonts w:cs="Times New Roman"/>
          <w:sz w:val="28"/>
          <w:szCs w:val="28"/>
        </w:rPr>
        <w:t>milj. euro</w:t>
      </w:r>
      <w:r w:rsidRPr="0087512B">
        <w:rPr>
          <w:rFonts w:cs="Times New Roman"/>
          <w:sz w:val="28"/>
          <w:szCs w:val="28"/>
        </w:rPr>
        <w:t>)</w:t>
      </w:r>
      <w:r w:rsidR="00E41630">
        <w:rPr>
          <w:noProof/>
          <w:lang w:eastAsia="lv-LV"/>
        </w:rPr>
        <w:drawing>
          <wp:inline distT="0" distB="0" distL="0" distR="0" wp14:anchorId="0F2644D3" wp14:editId="1932BFEE">
            <wp:extent cx="5886450" cy="4038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4767" w:rsidRPr="004C328E" w:rsidRDefault="004C328E" w:rsidP="004C328E">
      <w:pPr>
        <w:jc w:val="both"/>
        <w:rPr>
          <w:rFonts w:cs="Times New Roman"/>
          <w:sz w:val="20"/>
          <w:szCs w:val="20"/>
        </w:rPr>
      </w:pPr>
      <w:r>
        <w:rPr>
          <w:rFonts w:cs="Times New Roman"/>
          <w:sz w:val="20"/>
          <w:szCs w:val="20"/>
        </w:rPr>
        <w:t>Avots: IAUI</w:t>
      </w:r>
    </w:p>
    <w:p w:rsidR="00FB4767" w:rsidRPr="0087512B" w:rsidRDefault="00FB4767" w:rsidP="0087512B">
      <w:pPr>
        <w:ind w:firstLine="720"/>
        <w:jc w:val="both"/>
        <w:rPr>
          <w:rFonts w:cs="Times New Roman"/>
          <w:sz w:val="28"/>
          <w:szCs w:val="28"/>
        </w:rPr>
      </w:pPr>
    </w:p>
    <w:p w:rsidR="00FB4767" w:rsidRDefault="00FB4767" w:rsidP="0087512B">
      <w:pPr>
        <w:ind w:firstLine="567"/>
        <w:jc w:val="both"/>
        <w:rPr>
          <w:rFonts w:cs="Times New Roman"/>
          <w:sz w:val="28"/>
          <w:szCs w:val="28"/>
        </w:rPr>
      </w:pPr>
      <w:bookmarkStart w:id="1564" w:name="_Hlk533030619"/>
      <w:r w:rsidRPr="0087512B">
        <w:rPr>
          <w:rFonts w:cs="Times New Roman"/>
          <w:sz w:val="28"/>
          <w:szCs w:val="28"/>
        </w:rPr>
        <w:t>Vienlaikus kā negatīvu faktoru izložu jomā var minēt Latvijā nelicencēto operatoru pieaugošo nelegālo loteriju un derību uz loteriju rezultātiem piedāvājumu</w:t>
      </w:r>
      <w:bookmarkEnd w:id="1564"/>
      <w:r w:rsidRPr="0087512B">
        <w:rPr>
          <w:rFonts w:cs="Times New Roman"/>
          <w:sz w:val="28"/>
          <w:szCs w:val="28"/>
        </w:rPr>
        <w:t>.</w:t>
      </w:r>
    </w:p>
    <w:p w:rsidR="009A1A9B" w:rsidRDefault="009A1A9B" w:rsidP="009A1A9B">
      <w:pPr>
        <w:ind w:firstLine="567"/>
        <w:jc w:val="both"/>
        <w:rPr>
          <w:rFonts w:cs="Times New Roman"/>
          <w:i/>
          <w:sz w:val="28"/>
          <w:szCs w:val="28"/>
        </w:rPr>
      </w:pPr>
      <w:r>
        <w:rPr>
          <w:rFonts w:cs="Times New Roman"/>
          <w:i/>
          <w:sz w:val="28"/>
          <w:szCs w:val="28"/>
        </w:rPr>
        <w:t xml:space="preserve">Azartspēļu komponenšu integrēšana </w:t>
      </w:r>
      <w:r w:rsidR="007E738E">
        <w:rPr>
          <w:rFonts w:cs="Times New Roman"/>
          <w:i/>
          <w:sz w:val="28"/>
          <w:szCs w:val="28"/>
        </w:rPr>
        <w:t xml:space="preserve">videospēlēs </w:t>
      </w:r>
    </w:p>
    <w:p w:rsidR="009A1A9B" w:rsidRDefault="009A1A9B" w:rsidP="009A1A9B">
      <w:pPr>
        <w:ind w:firstLine="567"/>
        <w:jc w:val="both"/>
        <w:rPr>
          <w:rFonts w:cs="Times New Roman"/>
          <w:sz w:val="28"/>
          <w:szCs w:val="28"/>
        </w:rPr>
      </w:pPr>
      <w:r w:rsidRPr="0087512B">
        <w:rPr>
          <w:rFonts w:cs="Times New Roman"/>
          <w:sz w:val="28"/>
          <w:szCs w:val="28"/>
        </w:rPr>
        <w:t>Azartspēļu regulatoru Eiropas foruma</w:t>
      </w:r>
      <w:r w:rsidRPr="0087512B">
        <w:rPr>
          <w:rStyle w:val="FootnoteReference"/>
          <w:sz w:val="28"/>
          <w:szCs w:val="28"/>
        </w:rPr>
        <w:footnoteReference w:id="125"/>
      </w:r>
      <w:r w:rsidRPr="0087512B">
        <w:rPr>
          <w:rFonts w:cs="Times New Roman"/>
          <w:sz w:val="28"/>
          <w:szCs w:val="28"/>
        </w:rPr>
        <w:t xml:space="preserve"> ietvarā 17 dalībvalstis, t.sk., Latvija, 2018.gada jūlijā ir parakstījušas Deklarāciju</w:t>
      </w:r>
      <w:r w:rsidRPr="0087512B">
        <w:rPr>
          <w:rStyle w:val="FootnoteReference"/>
          <w:sz w:val="28"/>
          <w:szCs w:val="28"/>
        </w:rPr>
        <w:footnoteReference w:id="126"/>
      </w:r>
      <w:r w:rsidRPr="0087512B">
        <w:rPr>
          <w:rFonts w:cs="Times New Roman"/>
          <w:sz w:val="28"/>
          <w:szCs w:val="28"/>
        </w:rPr>
        <w:t xml:space="preserve"> par vēlmi uzsākt azartspēļu regulatoru konstruktīvu dialogu ar šo spēļu izstrādātājiem, lai nepieļautu azartspēļu elementus šajās spēlēs, kas var radīt atkarības un naudas izdevumu riskus īpaši nepilngadīgām personām.</w:t>
      </w:r>
    </w:p>
    <w:p w:rsidR="009A1A9B" w:rsidRPr="00B121B3" w:rsidRDefault="009A1A9B" w:rsidP="009A1A9B">
      <w:pPr>
        <w:ind w:firstLine="567"/>
        <w:jc w:val="both"/>
        <w:rPr>
          <w:rFonts w:eastAsia="Times New Roman"/>
          <w:sz w:val="28"/>
          <w:szCs w:val="28"/>
          <w:lang w:eastAsia="lv-LV"/>
        </w:rPr>
      </w:pPr>
      <w:r w:rsidRPr="00B121B3">
        <w:rPr>
          <w:rFonts w:eastAsia="Times New Roman"/>
          <w:sz w:val="28"/>
          <w:szCs w:val="28"/>
          <w:lang w:eastAsia="lv-LV"/>
        </w:rPr>
        <w:t xml:space="preserve">Virtuālajai videi attīstoties, paralēli tiešsaistes azartspēlēm attīstās video spēļu un mobilo spēļu (turpmāk – </w:t>
      </w:r>
      <w:r w:rsidR="007E738E">
        <w:rPr>
          <w:rFonts w:eastAsia="Times New Roman"/>
          <w:sz w:val="28"/>
          <w:szCs w:val="28"/>
          <w:lang w:eastAsia="lv-LV"/>
        </w:rPr>
        <w:t>videospēles</w:t>
      </w:r>
      <w:r w:rsidRPr="00B121B3">
        <w:rPr>
          <w:rFonts w:eastAsia="Times New Roman"/>
          <w:sz w:val="28"/>
          <w:szCs w:val="28"/>
          <w:lang w:eastAsia="lv-LV"/>
        </w:rPr>
        <w:t>) joma, kurā</w:t>
      </w:r>
      <w:r>
        <w:rPr>
          <w:rFonts w:eastAsia="Times New Roman"/>
          <w:sz w:val="28"/>
          <w:szCs w:val="28"/>
          <w:lang w:eastAsia="lv-LV"/>
        </w:rPr>
        <w:t xml:space="preserve"> </w:t>
      </w:r>
      <w:r w:rsidR="00FE3031">
        <w:rPr>
          <w:rFonts w:eastAsia="Times New Roman"/>
          <w:sz w:val="28"/>
          <w:szCs w:val="28"/>
          <w:lang w:eastAsia="lv-LV"/>
        </w:rPr>
        <w:t>tiek</w:t>
      </w:r>
      <w:r w:rsidR="00FE3031" w:rsidRPr="00B121B3">
        <w:rPr>
          <w:rFonts w:eastAsia="Times New Roman"/>
          <w:sz w:val="28"/>
          <w:szCs w:val="28"/>
          <w:lang w:eastAsia="lv-LV"/>
        </w:rPr>
        <w:t xml:space="preserve"> </w:t>
      </w:r>
      <w:r w:rsidRPr="00B121B3">
        <w:rPr>
          <w:rFonts w:eastAsia="Times New Roman"/>
          <w:sz w:val="28"/>
          <w:szCs w:val="28"/>
          <w:lang w:eastAsia="lv-LV"/>
        </w:rPr>
        <w:t>integrēti azartspēļu elementi. Pas</w:t>
      </w:r>
      <w:r>
        <w:rPr>
          <w:rFonts w:eastAsia="Times New Roman"/>
          <w:sz w:val="28"/>
          <w:szCs w:val="28"/>
          <w:lang w:eastAsia="lv-LV"/>
        </w:rPr>
        <w:t>aules azartspēļu regulatoru lokā</w:t>
      </w:r>
      <w:r w:rsidRPr="00B121B3">
        <w:rPr>
          <w:rFonts w:eastAsia="Times New Roman"/>
          <w:sz w:val="28"/>
          <w:szCs w:val="28"/>
          <w:lang w:eastAsia="lv-LV"/>
        </w:rPr>
        <w:t xml:space="preserve"> nonāca divi </w:t>
      </w:r>
      <w:r w:rsidR="007E738E">
        <w:rPr>
          <w:rFonts w:eastAsia="Times New Roman"/>
          <w:sz w:val="28"/>
          <w:szCs w:val="28"/>
          <w:lang w:eastAsia="lv-LV"/>
        </w:rPr>
        <w:t>videospēļu</w:t>
      </w:r>
      <w:r w:rsidR="00D45ED9">
        <w:rPr>
          <w:rFonts w:eastAsia="Times New Roman"/>
          <w:sz w:val="28"/>
          <w:szCs w:val="28"/>
          <w:lang w:eastAsia="lv-LV"/>
        </w:rPr>
        <w:t xml:space="preserve"> </w:t>
      </w:r>
      <w:r w:rsidRPr="00B121B3">
        <w:rPr>
          <w:rFonts w:eastAsia="Times New Roman"/>
          <w:sz w:val="28"/>
          <w:szCs w:val="28"/>
          <w:lang w:eastAsia="lv-LV"/>
        </w:rPr>
        <w:t>elementi, kas ietver sevī gan azartspēļu atkarība</w:t>
      </w:r>
      <w:r w:rsidR="00FE3031">
        <w:rPr>
          <w:rFonts w:eastAsia="Times New Roman"/>
          <w:sz w:val="28"/>
          <w:szCs w:val="28"/>
          <w:lang w:eastAsia="lv-LV"/>
        </w:rPr>
        <w:t>s</w:t>
      </w:r>
      <w:r w:rsidRPr="00B121B3">
        <w:rPr>
          <w:rFonts w:eastAsia="Times New Roman"/>
          <w:sz w:val="28"/>
          <w:szCs w:val="28"/>
          <w:lang w:eastAsia="lv-LV"/>
        </w:rPr>
        <w:t xml:space="preserve"> </w:t>
      </w:r>
      <w:r w:rsidR="00FE3031" w:rsidRPr="00B121B3">
        <w:rPr>
          <w:rFonts w:eastAsia="Times New Roman"/>
          <w:sz w:val="28"/>
          <w:szCs w:val="28"/>
          <w:lang w:eastAsia="lv-LV"/>
        </w:rPr>
        <w:t>veidošan</w:t>
      </w:r>
      <w:r w:rsidR="00FE3031">
        <w:rPr>
          <w:rFonts w:eastAsia="Times New Roman"/>
          <w:sz w:val="28"/>
          <w:szCs w:val="28"/>
          <w:lang w:eastAsia="lv-LV"/>
        </w:rPr>
        <w:t>ā</w:t>
      </w:r>
      <w:r w:rsidR="00FE3031" w:rsidRPr="00B121B3">
        <w:rPr>
          <w:rFonts w:eastAsia="Times New Roman"/>
          <w:sz w:val="28"/>
          <w:szCs w:val="28"/>
          <w:lang w:eastAsia="lv-LV"/>
        </w:rPr>
        <w:t xml:space="preserve">s </w:t>
      </w:r>
      <w:r w:rsidRPr="00B121B3">
        <w:rPr>
          <w:rFonts w:eastAsia="Times New Roman"/>
          <w:sz w:val="28"/>
          <w:szCs w:val="28"/>
          <w:lang w:eastAsia="lv-LV"/>
        </w:rPr>
        <w:t xml:space="preserve">riskus, gan arī azartspēles neatņemamo gadījuma komponenti.   </w:t>
      </w:r>
    </w:p>
    <w:p w:rsidR="009A1A9B" w:rsidRPr="00B121B3" w:rsidRDefault="009A1A9B" w:rsidP="009A1A9B">
      <w:pPr>
        <w:ind w:firstLine="567"/>
        <w:jc w:val="both"/>
        <w:rPr>
          <w:rStyle w:val="word"/>
          <w:sz w:val="28"/>
          <w:szCs w:val="28"/>
        </w:rPr>
      </w:pPr>
      <w:r w:rsidRPr="00B121B3">
        <w:rPr>
          <w:rStyle w:val="word"/>
          <w:sz w:val="28"/>
          <w:szCs w:val="28"/>
        </w:rPr>
        <w:t>Laupījuma</w:t>
      </w:r>
      <w:r w:rsidRPr="00B121B3">
        <w:rPr>
          <w:rStyle w:val="phrase"/>
          <w:sz w:val="28"/>
          <w:szCs w:val="28"/>
        </w:rPr>
        <w:t xml:space="preserve"> </w:t>
      </w:r>
      <w:r w:rsidRPr="00B121B3">
        <w:rPr>
          <w:rStyle w:val="word"/>
          <w:sz w:val="28"/>
          <w:szCs w:val="28"/>
        </w:rPr>
        <w:t>kārba (</w:t>
      </w:r>
      <w:r w:rsidRPr="0066503A">
        <w:rPr>
          <w:rStyle w:val="word"/>
          <w:sz w:val="28"/>
          <w:szCs w:val="28"/>
        </w:rPr>
        <w:t>ang. val.</w:t>
      </w:r>
      <w:r w:rsidRPr="00B121B3">
        <w:rPr>
          <w:rStyle w:val="word"/>
          <w:sz w:val="28"/>
          <w:szCs w:val="28"/>
        </w:rPr>
        <w:t xml:space="preserve"> </w:t>
      </w:r>
      <w:r w:rsidRPr="00956612">
        <w:rPr>
          <w:rStyle w:val="word"/>
          <w:i/>
          <w:sz w:val="28"/>
          <w:szCs w:val="28"/>
        </w:rPr>
        <w:t>loot box</w:t>
      </w:r>
      <w:r w:rsidRPr="00B121B3">
        <w:rPr>
          <w:rStyle w:val="word"/>
          <w:sz w:val="28"/>
          <w:szCs w:val="28"/>
        </w:rPr>
        <w:t xml:space="preserve">) - tas ir virtuālais priekšmets </w:t>
      </w:r>
      <w:r w:rsidR="007E738E">
        <w:rPr>
          <w:rStyle w:val="word"/>
          <w:sz w:val="28"/>
          <w:szCs w:val="28"/>
        </w:rPr>
        <w:t>videospēlēs</w:t>
      </w:r>
      <w:r w:rsidRPr="00B121B3">
        <w:rPr>
          <w:rStyle w:val="word"/>
          <w:sz w:val="28"/>
          <w:szCs w:val="28"/>
        </w:rPr>
        <w:t xml:space="preserve">, izmantojot kuru spēlētājs </w:t>
      </w:r>
      <w:r>
        <w:rPr>
          <w:rStyle w:val="word"/>
          <w:sz w:val="28"/>
          <w:szCs w:val="28"/>
        </w:rPr>
        <w:t xml:space="preserve">atkarībā no veiksmes </w:t>
      </w:r>
      <w:r w:rsidRPr="00B121B3">
        <w:rPr>
          <w:rStyle w:val="word"/>
          <w:sz w:val="28"/>
          <w:szCs w:val="28"/>
        </w:rPr>
        <w:t>gadījum</w:t>
      </w:r>
      <w:r>
        <w:rPr>
          <w:rStyle w:val="word"/>
          <w:sz w:val="28"/>
          <w:szCs w:val="28"/>
        </w:rPr>
        <w:t>a iegūst</w:t>
      </w:r>
      <w:r w:rsidRPr="00B121B3">
        <w:rPr>
          <w:rStyle w:val="word"/>
          <w:sz w:val="28"/>
          <w:szCs w:val="28"/>
        </w:rPr>
        <w:t xml:space="preserve"> virtuāl</w:t>
      </w:r>
      <w:r>
        <w:rPr>
          <w:rStyle w:val="word"/>
          <w:sz w:val="28"/>
          <w:szCs w:val="28"/>
        </w:rPr>
        <w:t>as</w:t>
      </w:r>
      <w:r w:rsidRPr="00B121B3">
        <w:rPr>
          <w:rStyle w:val="word"/>
          <w:sz w:val="28"/>
          <w:szCs w:val="28"/>
        </w:rPr>
        <w:t xml:space="preserve"> </w:t>
      </w:r>
      <w:r>
        <w:rPr>
          <w:rStyle w:val="word"/>
          <w:sz w:val="28"/>
          <w:szCs w:val="28"/>
        </w:rPr>
        <w:t>papildspējas, ko var izmantot spēlē</w:t>
      </w:r>
      <w:r w:rsidRPr="00B121B3">
        <w:rPr>
          <w:rStyle w:val="word"/>
          <w:sz w:val="28"/>
          <w:szCs w:val="28"/>
        </w:rPr>
        <w:t xml:space="preserve"> mainot</w:t>
      </w:r>
      <w:r w:rsidR="007E738E">
        <w:rPr>
          <w:rStyle w:val="word"/>
          <w:sz w:val="28"/>
          <w:szCs w:val="28"/>
        </w:rPr>
        <w:t xml:space="preserve"> videospēles</w:t>
      </w:r>
      <w:r w:rsidRPr="00B121B3">
        <w:rPr>
          <w:rStyle w:val="word"/>
          <w:sz w:val="28"/>
          <w:szCs w:val="28"/>
        </w:rPr>
        <w:t xml:space="preserve"> varoņa vizuālo tēlu, kā arī </w:t>
      </w:r>
      <w:r w:rsidRPr="00B121B3">
        <w:rPr>
          <w:rStyle w:val="word"/>
          <w:sz w:val="28"/>
          <w:szCs w:val="28"/>
        </w:rPr>
        <w:lastRenderedPageBreak/>
        <w:t>tād</w:t>
      </w:r>
      <w:r>
        <w:rPr>
          <w:rStyle w:val="word"/>
          <w:sz w:val="28"/>
          <w:szCs w:val="28"/>
        </w:rPr>
        <w:t xml:space="preserve">as papildspējas, </w:t>
      </w:r>
      <w:r w:rsidRPr="00B121B3">
        <w:rPr>
          <w:rStyle w:val="word"/>
          <w:sz w:val="28"/>
          <w:szCs w:val="28"/>
        </w:rPr>
        <w:t xml:space="preserve">kas var būtiski uzlabot spēlētāja rezultātu (ieroči, munīcija). </w:t>
      </w:r>
      <w:r>
        <w:rPr>
          <w:rStyle w:val="word"/>
          <w:sz w:val="28"/>
          <w:szCs w:val="28"/>
        </w:rPr>
        <w:t>Atkarība no veiksmes g</w:t>
      </w:r>
      <w:r w:rsidRPr="00B121B3">
        <w:rPr>
          <w:rStyle w:val="word"/>
          <w:sz w:val="28"/>
          <w:szCs w:val="28"/>
        </w:rPr>
        <w:t xml:space="preserve">adījuma norāda uz to, ka laupījuma kārbas pieeja ir līdzīga dalībai </w:t>
      </w:r>
      <w:r>
        <w:rPr>
          <w:rStyle w:val="word"/>
          <w:sz w:val="28"/>
          <w:szCs w:val="28"/>
        </w:rPr>
        <w:t>azart</w:t>
      </w:r>
      <w:r w:rsidRPr="00B121B3">
        <w:rPr>
          <w:rStyle w:val="word"/>
          <w:sz w:val="28"/>
          <w:szCs w:val="28"/>
        </w:rPr>
        <w:t>spēļu automāt</w:t>
      </w:r>
      <w:r>
        <w:rPr>
          <w:rStyle w:val="word"/>
          <w:sz w:val="28"/>
          <w:szCs w:val="28"/>
        </w:rPr>
        <w:t>os</w:t>
      </w:r>
      <w:r w:rsidRPr="00B121B3">
        <w:rPr>
          <w:rStyle w:val="word"/>
          <w:sz w:val="28"/>
          <w:szCs w:val="28"/>
        </w:rPr>
        <w:t xml:space="preserve">, kur, samaksājot vienu summu, var iegūt atšķirīgo rezultātu. </w:t>
      </w:r>
    </w:p>
    <w:p w:rsidR="009A1A9B" w:rsidRPr="00B121B3" w:rsidRDefault="009A1A9B" w:rsidP="008F7041">
      <w:pPr>
        <w:ind w:firstLine="567"/>
        <w:jc w:val="both"/>
        <w:rPr>
          <w:rStyle w:val="word"/>
          <w:sz w:val="28"/>
          <w:szCs w:val="28"/>
        </w:rPr>
      </w:pPr>
      <w:r w:rsidRPr="00B121B3">
        <w:rPr>
          <w:rStyle w:val="word"/>
          <w:sz w:val="28"/>
          <w:szCs w:val="28"/>
        </w:rPr>
        <w:t>Patērētāju aizsardzības asociācija norāda uz to, ka, izmantojot laupījuma kārbas, tiks iedarbināts līdzīgs azartspēļu atkarības veidošanas mehānisms kā azartspēlēs, bet atšķirībā no azartspēlēm, kur</w:t>
      </w:r>
      <w:r>
        <w:rPr>
          <w:rStyle w:val="word"/>
          <w:sz w:val="28"/>
          <w:szCs w:val="28"/>
        </w:rPr>
        <w:t>ās</w:t>
      </w:r>
      <w:r w:rsidRPr="00B121B3">
        <w:rPr>
          <w:rStyle w:val="word"/>
          <w:sz w:val="28"/>
          <w:szCs w:val="28"/>
        </w:rPr>
        <w:t xml:space="preserve"> pastāv vecuma ierobežojums, </w:t>
      </w:r>
      <w:r w:rsidR="007E738E">
        <w:rPr>
          <w:rStyle w:val="word"/>
          <w:sz w:val="28"/>
          <w:szCs w:val="28"/>
        </w:rPr>
        <w:t>videospēlēs</w:t>
      </w:r>
      <w:r w:rsidR="007E738E" w:rsidRPr="00B121B3">
        <w:rPr>
          <w:rStyle w:val="word"/>
          <w:sz w:val="28"/>
          <w:szCs w:val="28"/>
        </w:rPr>
        <w:t xml:space="preserve"> </w:t>
      </w:r>
      <w:r w:rsidRPr="00B121B3">
        <w:rPr>
          <w:rStyle w:val="word"/>
          <w:sz w:val="28"/>
          <w:szCs w:val="28"/>
        </w:rPr>
        <w:t xml:space="preserve">šis ierobežojums nepastāv un tajās iesaistīti </w:t>
      </w:r>
      <w:r>
        <w:rPr>
          <w:rStyle w:val="word"/>
          <w:sz w:val="28"/>
          <w:szCs w:val="28"/>
        </w:rPr>
        <w:t xml:space="preserve">nepilngadīgie </w:t>
      </w:r>
      <w:r w:rsidRPr="00B121B3">
        <w:rPr>
          <w:rStyle w:val="word"/>
          <w:sz w:val="28"/>
          <w:szCs w:val="28"/>
        </w:rPr>
        <w:t>bērni no 10 līdz 18 gadu vecuma</w:t>
      </w:r>
      <w:r w:rsidR="00C81686">
        <w:rPr>
          <w:rStyle w:val="word"/>
          <w:sz w:val="28"/>
          <w:szCs w:val="28"/>
        </w:rPr>
        <w:t>m</w:t>
      </w:r>
      <w:r w:rsidRPr="00B121B3">
        <w:rPr>
          <w:rStyle w:val="word"/>
          <w:sz w:val="28"/>
          <w:szCs w:val="28"/>
        </w:rPr>
        <w:t>.</w:t>
      </w:r>
    </w:p>
    <w:p w:rsidR="009A1A9B" w:rsidRPr="00B121B3" w:rsidRDefault="009A1A9B" w:rsidP="009A1A9B">
      <w:pPr>
        <w:ind w:firstLine="567"/>
        <w:jc w:val="both"/>
        <w:rPr>
          <w:sz w:val="28"/>
          <w:szCs w:val="28"/>
        </w:rPr>
      </w:pPr>
      <w:r w:rsidRPr="00B121B3">
        <w:rPr>
          <w:rStyle w:val="word"/>
          <w:sz w:val="28"/>
          <w:szCs w:val="28"/>
        </w:rPr>
        <w:t xml:space="preserve"> Papildspēju (</w:t>
      </w:r>
      <w:r w:rsidRPr="0066503A">
        <w:rPr>
          <w:rStyle w:val="word"/>
          <w:sz w:val="28"/>
          <w:szCs w:val="28"/>
        </w:rPr>
        <w:t>ang. val.</w:t>
      </w:r>
      <w:r w:rsidRPr="00956612">
        <w:rPr>
          <w:rStyle w:val="word"/>
          <w:i/>
          <w:sz w:val="28"/>
          <w:szCs w:val="28"/>
        </w:rPr>
        <w:t xml:space="preserve"> skins</w:t>
      </w:r>
      <w:r w:rsidRPr="00B121B3">
        <w:rPr>
          <w:rStyle w:val="word"/>
          <w:sz w:val="28"/>
          <w:szCs w:val="28"/>
        </w:rPr>
        <w:t>) iegāde var notikt gan ar laupījuma kārbas starpniecību, gan arī iegādājoties papildspēju</w:t>
      </w:r>
      <w:r w:rsidR="007E738E">
        <w:rPr>
          <w:rStyle w:val="word"/>
          <w:sz w:val="28"/>
          <w:szCs w:val="28"/>
        </w:rPr>
        <w:t xml:space="preserve"> videospēles</w:t>
      </w:r>
      <w:r w:rsidRPr="00B121B3">
        <w:rPr>
          <w:rStyle w:val="word"/>
          <w:sz w:val="28"/>
          <w:szCs w:val="28"/>
        </w:rPr>
        <w:t xml:space="preserve"> laikā, zinot, par kādu papildspēju veic apmaksu. Taču ir izveidotas vairākas digitālas platformas, kurās iegādātas papildspējas var izmantot</w:t>
      </w:r>
      <w:r w:rsidRPr="00E2514D">
        <w:rPr>
          <w:rStyle w:val="word"/>
          <w:sz w:val="28"/>
          <w:szCs w:val="28"/>
        </w:rPr>
        <w:t xml:space="preserve"> </w:t>
      </w:r>
      <w:r w:rsidRPr="00B121B3">
        <w:rPr>
          <w:rStyle w:val="word"/>
          <w:sz w:val="28"/>
          <w:szCs w:val="28"/>
        </w:rPr>
        <w:t xml:space="preserve">kā kriptovalūtu, kā arī </w:t>
      </w:r>
      <w:r>
        <w:rPr>
          <w:rStyle w:val="word"/>
          <w:sz w:val="28"/>
          <w:szCs w:val="28"/>
        </w:rPr>
        <w:t xml:space="preserve">tādas </w:t>
      </w:r>
      <w:r w:rsidRPr="00B121B3">
        <w:rPr>
          <w:rStyle w:val="word"/>
          <w:sz w:val="28"/>
          <w:szCs w:val="28"/>
        </w:rPr>
        <w:t>platformas</w:t>
      </w:r>
      <w:r>
        <w:rPr>
          <w:rStyle w:val="word"/>
          <w:sz w:val="28"/>
          <w:szCs w:val="28"/>
        </w:rPr>
        <w:t>, kuru</w:t>
      </w:r>
      <w:r w:rsidRPr="00B121B3">
        <w:rPr>
          <w:rStyle w:val="word"/>
          <w:sz w:val="28"/>
          <w:szCs w:val="28"/>
        </w:rPr>
        <w:t xml:space="preserve"> ietvaros </w:t>
      </w:r>
      <w:r w:rsidR="00FE3031" w:rsidRPr="00B121B3">
        <w:rPr>
          <w:rStyle w:val="word"/>
          <w:sz w:val="28"/>
          <w:szCs w:val="28"/>
        </w:rPr>
        <w:t>pārdo</w:t>
      </w:r>
      <w:r w:rsidR="00FE3031">
        <w:rPr>
          <w:rStyle w:val="word"/>
          <w:sz w:val="28"/>
          <w:szCs w:val="28"/>
        </w:rPr>
        <w:t>d</w:t>
      </w:r>
      <w:r w:rsidRPr="00B121B3">
        <w:rPr>
          <w:rStyle w:val="word"/>
          <w:sz w:val="28"/>
          <w:szCs w:val="28"/>
        </w:rPr>
        <w:t>/</w:t>
      </w:r>
      <w:r>
        <w:rPr>
          <w:rStyle w:val="word"/>
          <w:sz w:val="28"/>
          <w:szCs w:val="28"/>
        </w:rPr>
        <w:t>pērk</w:t>
      </w:r>
      <w:r w:rsidR="007E738E">
        <w:rPr>
          <w:rStyle w:val="word"/>
          <w:sz w:val="28"/>
          <w:szCs w:val="28"/>
        </w:rPr>
        <w:t xml:space="preserve"> videospēļu</w:t>
      </w:r>
      <w:r>
        <w:rPr>
          <w:rStyle w:val="word"/>
          <w:sz w:val="28"/>
          <w:szCs w:val="28"/>
        </w:rPr>
        <w:t xml:space="preserve"> vidē iegūtā</w:t>
      </w:r>
      <w:r w:rsidRPr="00B121B3">
        <w:rPr>
          <w:rStyle w:val="word"/>
          <w:sz w:val="28"/>
          <w:szCs w:val="28"/>
        </w:rPr>
        <w:t xml:space="preserve">s papildspējas. </w:t>
      </w:r>
    </w:p>
    <w:p w:rsidR="009A1A9B" w:rsidRPr="00B121B3" w:rsidRDefault="009A1A9B" w:rsidP="009A1A9B">
      <w:pPr>
        <w:ind w:firstLine="567"/>
        <w:jc w:val="both"/>
        <w:rPr>
          <w:sz w:val="28"/>
          <w:szCs w:val="28"/>
        </w:rPr>
      </w:pPr>
      <w:r w:rsidRPr="00B121B3">
        <w:rPr>
          <w:sz w:val="28"/>
          <w:szCs w:val="28"/>
        </w:rPr>
        <w:t>2018.gada aprīlī Juniper Research</w:t>
      </w:r>
      <w:r w:rsidRPr="00B121B3">
        <w:rPr>
          <w:rStyle w:val="FootnoteReference"/>
          <w:sz w:val="28"/>
          <w:szCs w:val="28"/>
        </w:rPr>
        <w:footnoteReference w:id="127"/>
      </w:r>
      <w:r w:rsidRPr="00B121B3">
        <w:rPr>
          <w:sz w:val="28"/>
          <w:szCs w:val="28"/>
        </w:rPr>
        <w:t xml:space="preserve"> prognozēja, ka laupījuma kārbu un papildspēju iegādei 2020.gadā tiks iztērēti vairāk nekā 50 miljardi ASV dolāru (2018.gadā izmaksu apjoms laupījuma kārbu un papildspēju iegādei bija 30 miljardi ASV dolāru).</w:t>
      </w:r>
    </w:p>
    <w:p w:rsidR="009A1A9B" w:rsidRPr="00B121B3" w:rsidRDefault="009A1A9B" w:rsidP="009A1A9B">
      <w:pPr>
        <w:ind w:firstLine="567"/>
        <w:jc w:val="both"/>
        <w:rPr>
          <w:sz w:val="28"/>
          <w:szCs w:val="28"/>
        </w:rPr>
      </w:pPr>
      <w:r w:rsidRPr="00B121B3">
        <w:rPr>
          <w:sz w:val="28"/>
          <w:szCs w:val="28"/>
        </w:rPr>
        <w:t xml:space="preserve">Ņemot vērā iespējamos azartspēļu atkarības riskus bērnu vidū, vairākas valstis veica soļus, lai ierobežotu vai aizliegtu laupījuma kārbas pieejas izmantošanu </w:t>
      </w:r>
      <w:r w:rsidR="007E738E">
        <w:rPr>
          <w:sz w:val="28"/>
          <w:szCs w:val="28"/>
        </w:rPr>
        <w:t>videospēlēs</w:t>
      </w:r>
      <w:r w:rsidRPr="00B121B3">
        <w:rPr>
          <w:sz w:val="28"/>
          <w:szCs w:val="28"/>
        </w:rPr>
        <w:t xml:space="preserve">, kā arī papildspēju tirdzniecību. </w:t>
      </w:r>
    </w:p>
    <w:p w:rsidR="009A1A9B" w:rsidRDefault="00FE3031" w:rsidP="009A1A9B">
      <w:pPr>
        <w:ind w:firstLine="567"/>
        <w:jc w:val="both"/>
        <w:rPr>
          <w:sz w:val="28"/>
          <w:szCs w:val="28"/>
        </w:rPr>
      </w:pPr>
      <w:r w:rsidRPr="00B121B3">
        <w:rPr>
          <w:sz w:val="28"/>
          <w:szCs w:val="28"/>
        </w:rPr>
        <w:t>Ķīn</w:t>
      </w:r>
      <w:r>
        <w:rPr>
          <w:sz w:val="28"/>
          <w:szCs w:val="28"/>
        </w:rPr>
        <w:t xml:space="preserve">ā </w:t>
      </w:r>
      <w:r w:rsidR="007E738E">
        <w:rPr>
          <w:sz w:val="28"/>
          <w:szCs w:val="28"/>
        </w:rPr>
        <w:t>videospēļu</w:t>
      </w:r>
      <w:r w:rsidR="007E738E" w:rsidRPr="00B121B3">
        <w:rPr>
          <w:sz w:val="28"/>
          <w:szCs w:val="28"/>
        </w:rPr>
        <w:t xml:space="preserve"> </w:t>
      </w:r>
      <w:r w:rsidR="009A1A9B" w:rsidRPr="00B121B3">
        <w:rPr>
          <w:sz w:val="28"/>
          <w:szCs w:val="28"/>
        </w:rPr>
        <w:t xml:space="preserve">publicētājiem obligāti </w:t>
      </w:r>
      <w:r w:rsidRPr="00B121B3">
        <w:rPr>
          <w:sz w:val="28"/>
          <w:szCs w:val="28"/>
        </w:rPr>
        <w:t>jānor</w:t>
      </w:r>
      <w:r>
        <w:rPr>
          <w:sz w:val="28"/>
          <w:szCs w:val="28"/>
        </w:rPr>
        <w:t>ā</w:t>
      </w:r>
      <w:r w:rsidRPr="00B121B3">
        <w:rPr>
          <w:sz w:val="28"/>
          <w:szCs w:val="28"/>
        </w:rPr>
        <w:t xml:space="preserve">da </w:t>
      </w:r>
      <w:r w:rsidR="009A1A9B" w:rsidRPr="00B121B3">
        <w:rPr>
          <w:sz w:val="28"/>
          <w:szCs w:val="28"/>
        </w:rPr>
        <w:t xml:space="preserve">varbūtību no laupījuma kārbas izvēlēties konkrētas papildspējas. Pēc minēto prasību ieviešanas 2017.gada </w:t>
      </w:r>
      <w:r w:rsidRPr="00B121B3">
        <w:rPr>
          <w:sz w:val="28"/>
          <w:szCs w:val="28"/>
        </w:rPr>
        <w:t>jūnij</w:t>
      </w:r>
      <w:r>
        <w:rPr>
          <w:sz w:val="28"/>
          <w:szCs w:val="28"/>
        </w:rPr>
        <w:t>ā</w:t>
      </w:r>
      <w:r w:rsidRPr="00B121B3">
        <w:rPr>
          <w:sz w:val="28"/>
          <w:szCs w:val="28"/>
        </w:rPr>
        <w:t xml:space="preserve"> </w:t>
      </w:r>
      <w:r w:rsidR="009A1A9B" w:rsidRPr="00B121B3">
        <w:rPr>
          <w:sz w:val="28"/>
          <w:szCs w:val="28"/>
        </w:rPr>
        <w:t xml:space="preserve">kompānija </w:t>
      </w:r>
      <w:hyperlink r:id="rId23" w:tooltip="Blizzard Entertainment" w:history="1">
        <w:r w:rsidR="009A1A9B" w:rsidRPr="00B121B3">
          <w:rPr>
            <w:rStyle w:val="Hyperlink"/>
            <w:sz w:val="28"/>
            <w:szCs w:val="28"/>
          </w:rPr>
          <w:t>Blizzard Entertainment</w:t>
        </w:r>
      </w:hyperlink>
      <w:r w:rsidR="009A1A9B" w:rsidRPr="00B121B3">
        <w:rPr>
          <w:rStyle w:val="Hyperlink"/>
          <w:sz w:val="28"/>
          <w:szCs w:val="28"/>
        </w:rPr>
        <w:t>,</w:t>
      </w:r>
      <w:r w:rsidR="009A1A9B" w:rsidRPr="00B121B3">
        <w:rPr>
          <w:sz w:val="28"/>
          <w:szCs w:val="28"/>
        </w:rPr>
        <w:t xml:space="preserve"> paziņoja, ka sakarā ar minēto prasību ieviešanu laupījumu kārbas netiek integrētas </w:t>
      </w:r>
      <w:r w:rsidR="007E738E">
        <w:rPr>
          <w:sz w:val="28"/>
          <w:szCs w:val="28"/>
        </w:rPr>
        <w:t>videospēlēs</w:t>
      </w:r>
      <w:r w:rsidR="007E738E" w:rsidRPr="00B121B3">
        <w:rPr>
          <w:sz w:val="28"/>
          <w:szCs w:val="28"/>
        </w:rPr>
        <w:t xml:space="preserve"> </w:t>
      </w:r>
      <w:r w:rsidR="009A1A9B" w:rsidRPr="00B121B3">
        <w:rPr>
          <w:sz w:val="28"/>
          <w:szCs w:val="28"/>
        </w:rPr>
        <w:t>Ķīnas teritorijā</w:t>
      </w:r>
      <w:r w:rsidR="009A1A9B" w:rsidRPr="00B121B3">
        <w:rPr>
          <w:rStyle w:val="FootnoteReference"/>
          <w:sz w:val="28"/>
          <w:szCs w:val="28"/>
        </w:rPr>
        <w:footnoteReference w:id="128"/>
      </w:r>
      <w:r w:rsidR="009A1A9B">
        <w:rPr>
          <w:sz w:val="28"/>
          <w:szCs w:val="28"/>
        </w:rPr>
        <w:t>.</w:t>
      </w:r>
    </w:p>
    <w:p w:rsidR="009A1A9B" w:rsidRPr="00C93BAC" w:rsidRDefault="009A1A9B" w:rsidP="009A1A9B">
      <w:pPr>
        <w:ind w:firstLine="567"/>
        <w:jc w:val="both"/>
        <w:rPr>
          <w:sz w:val="28"/>
          <w:szCs w:val="28"/>
        </w:rPr>
      </w:pPr>
      <w:r w:rsidRPr="00C93BAC">
        <w:rPr>
          <w:sz w:val="28"/>
          <w:szCs w:val="28"/>
        </w:rPr>
        <w:t>2017.gada novembrī Beļģija</w:t>
      </w:r>
      <w:r w:rsidR="00D45ED9">
        <w:rPr>
          <w:sz w:val="28"/>
          <w:szCs w:val="28"/>
        </w:rPr>
        <w:t>s Karaliste</w:t>
      </w:r>
      <w:r w:rsidRPr="00C93BAC">
        <w:rPr>
          <w:sz w:val="28"/>
          <w:szCs w:val="28"/>
        </w:rPr>
        <w:t xml:space="preserve"> atzina laupījumu kārbas kā vienu no azartspēļu veidiem, aizliedza to un apsolīja panākt laupīj</w:t>
      </w:r>
      <w:r>
        <w:rPr>
          <w:sz w:val="28"/>
          <w:szCs w:val="28"/>
        </w:rPr>
        <w:t>umu kārbas pieej</w:t>
      </w:r>
      <w:r w:rsidR="00FE3031">
        <w:rPr>
          <w:sz w:val="28"/>
          <w:szCs w:val="28"/>
        </w:rPr>
        <w:t>as aizliegumu</w:t>
      </w:r>
      <w:r>
        <w:rPr>
          <w:sz w:val="28"/>
          <w:szCs w:val="28"/>
        </w:rPr>
        <w:t xml:space="preserve"> visā Eiropas S</w:t>
      </w:r>
      <w:r w:rsidRPr="00C93BAC">
        <w:rPr>
          <w:sz w:val="28"/>
          <w:szCs w:val="28"/>
        </w:rPr>
        <w:t>avienībā</w:t>
      </w:r>
      <w:r w:rsidRPr="00C93BAC">
        <w:rPr>
          <w:rStyle w:val="FootnoteReference"/>
          <w:sz w:val="28"/>
          <w:szCs w:val="28"/>
        </w:rPr>
        <w:footnoteReference w:id="129"/>
      </w:r>
      <w:r w:rsidRPr="00C93BAC">
        <w:rPr>
          <w:sz w:val="28"/>
          <w:szCs w:val="28"/>
          <w:vertAlign w:val="superscript"/>
        </w:rPr>
        <w:t>,</w:t>
      </w:r>
      <w:r w:rsidRPr="00C93BAC">
        <w:rPr>
          <w:rStyle w:val="FootnoteReference"/>
          <w:sz w:val="28"/>
          <w:szCs w:val="28"/>
        </w:rPr>
        <w:footnoteReference w:id="130"/>
      </w:r>
      <w:r w:rsidRPr="00C93BAC">
        <w:rPr>
          <w:sz w:val="28"/>
          <w:szCs w:val="28"/>
        </w:rPr>
        <w:t xml:space="preserve">.  </w:t>
      </w:r>
    </w:p>
    <w:p w:rsidR="009A1A9B" w:rsidRDefault="009A1A9B" w:rsidP="009A1A9B">
      <w:pPr>
        <w:ind w:firstLine="567"/>
        <w:jc w:val="both"/>
        <w:rPr>
          <w:sz w:val="28"/>
          <w:szCs w:val="28"/>
        </w:rPr>
      </w:pPr>
      <w:r>
        <w:rPr>
          <w:sz w:val="28"/>
          <w:szCs w:val="28"/>
        </w:rPr>
        <w:t xml:space="preserve">2019.gada </w:t>
      </w:r>
      <w:r w:rsidR="00AC0C13">
        <w:rPr>
          <w:sz w:val="28"/>
          <w:szCs w:val="28"/>
        </w:rPr>
        <w:t>m</w:t>
      </w:r>
      <w:r>
        <w:rPr>
          <w:sz w:val="28"/>
          <w:szCs w:val="28"/>
        </w:rPr>
        <w:t>artā tiesa atzina par likumīgu Dānijas azartspēļu regulatora pieņemto lēmumu par 25 tīmekļa vietņu atzīšanu par nelegāl</w:t>
      </w:r>
      <w:r w:rsidR="00FE3031">
        <w:rPr>
          <w:sz w:val="28"/>
          <w:szCs w:val="28"/>
        </w:rPr>
        <w:t>ām</w:t>
      </w:r>
      <w:r>
        <w:rPr>
          <w:sz w:val="28"/>
          <w:szCs w:val="28"/>
        </w:rPr>
        <w:t xml:space="preserve"> sakarā ar papildspēju tirdzniecību piedāvāšanu</w:t>
      </w:r>
      <w:r>
        <w:rPr>
          <w:rStyle w:val="FootnoteReference"/>
          <w:sz w:val="28"/>
          <w:szCs w:val="28"/>
        </w:rPr>
        <w:footnoteReference w:id="131"/>
      </w:r>
      <w:r>
        <w:rPr>
          <w:sz w:val="28"/>
          <w:szCs w:val="28"/>
        </w:rPr>
        <w:t>.</w:t>
      </w:r>
      <w:r w:rsidRPr="00134ED9">
        <w:rPr>
          <w:rFonts w:ascii="&amp;quot" w:hAnsi="&amp;quot"/>
          <w:color w:val="14143C"/>
          <w:sz w:val="36"/>
          <w:szCs w:val="36"/>
        </w:rPr>
        <w:t xml:space="preserve"> </w:t>
      </w:r>
    </w:p>
    <w:p w:rsidR="009A1A9B" w:rsidRDefault="009A1A9B" w:rsidP="009A1A9B">
      <w:pPr>
        <w:ind w:left="1134"/>
        <w:jc w:val="both"/>
        <w:rPr>
          <w:rFonts w:cs="Times New Roman"/>
          <w:i/>
          <w:sz w:val="28"/>
          <w:szCs w:val="28"/>
          <w:lang w:eastAsia="lv-LV"/>
        </w:rPr>
      </w:pPr>
      <w:r w:rsidRPr="00044461">
        <w:rPr>
          <w:rFonts w:cs="Times New Roman"/>
          <w:i/>
          <w:sz w:val="28"/>
          <w:szCs w:val="28"/>
          <w:lang w:eastAsia="lv-LV"/>
        </w:rPr>
        <w:t>Nepieciešami</w:t>
      </w:r>
      <w:r w:rsidR="00FE3031">
        <w:rPr>
          <w:rFonts w:cs="Times New Roman"/>
          <w:i/>
          <w:sz w:val="28"/>
          <w:szCs w:val="28"/>
          <w:lang w:eastAsia="lv-LV"/>
        </w:rPr>
        <w:t>e</w:t>
      </w:r>
      <w:r w:rsidRPr="00044461">
        <w:rPr>
          <w:rFonts w:cs="Times New Roman"/>
          <w:i/>
          <w:sz w:val="28"/>
          <w:szCs w:val="28"/>
          <w:lang w:eastAsia="lv-LV"/>
        </w:rPr>
        <w:t xml:space="preserve"> pasākumi </w:t>
      </w:r>
    </w:p>
    <w:p w:rsidR="00FB4767" w:rsidRDefault="009A1A9B" w:rsidP="00926C74">
      <w:pPr>
        <w:ind w:firstLine="567"/>
        <w:jc w:val="both"/>
        <w:rPr>
          <w:sz w:val="28"/>
          <w:szCs w:val="28"/>
        </w:rPr>
      </w:pPr>
      <w:r w:rsidRPr="00413BFC">
        <w:rPr>
          <w:sz w:val="28"/>
          <w:szCs w:val="28"/>
        </w:rPr>
        <w:t xml:space="preserve">Izvērtēt nepieciešamību azartspēļu un izložu regulējumu attiecināt arī uz </w:t>
      </w:r>
      <w:r w:rsidR="007E738E">
        <w:rPr>
          <w:sz w:val="28"/>
          <w:szCs w:val="28"/>
        </w:rPr>
        <w:t>video</w:t>
      </w:r>
      <w:r w:rsidR="00CD00CE">
        <w:rPr>
          <w:sz w:val="28"/>
          <w:szCs w:val="28"/>
        </w:rPr>
        <w:t>s</w:t>
      </w:r>
      <w:r w:rsidR="007E738E" w:rsidRPr="00413BFC">
        <w:rPr>
          <w:sz w:val="28"/>
          <w:szCs w:val="28"/>
        </w:rPr>
        <w:t>pēlēm</w:t>
      </w:r>
      <w:r w:rsidRPr="00413BFC">
        <w:rPr>
          <w:sz w:val="28"/>
          <w:szCs w:val="28"/>
        </w:rPr>
        <w:t xml:space="preserve">, kā arī noteikt pasākumus azartspēļu atkarības </w:t>
      </w:r>
      <w:r w:rsidR="00FE3031" w:rsidRPr="00413BFC">
        <w:rPr>
          <w:sz w:val="28"/>
          <w:szCs w:val="28"/>
        </w:rPr>
        <w:t>veidošan</w:t>
      </w:r>
      <w:r w:rsidR="00FE3031">
        <w:rPr>
          <w:sz w:val="28"/>
          <w:szCs w:val="28"/>
        </w:rPr>
        <w:t>ā</w:t>
      </w:r>
      <w:r w:rsidR="00FE3031" w:rsidRPr="00413BFC">
        <w:rPr>
          <w:sz w:val="28"/>
          <w:szCs w:val="28"/>
        </w:rPr>
        <w:t xml:space="preserve">s </w:t>
      </w:r>
      <w:r w:rsidRPr="00413BFC">
        <w:rPr>
          <w:sz w:val="28"/>
          <w:szCs w:val="28"/>
        </w:rPr>
        <w:t xml:space="preserve">risku mazināšanai </w:t>
      </w:r>
      <w:r w:rsidR="007E738E">
        <w:rPr>
          <w:sz w:val="28"/>
          <w:szCs w:val="28"/>
        </w:rPr>
        <w:t>videospēlē</w:t>
      </w:r>
      <w:r w:rsidR="007E738E" w:rsidRPr="00413BFC">
        <w:rPr>
          <w:sz w:val="28"/>
          <w:szCs w:val="28"/>
        </w:rPr>
        <w:t>s</w:t>
      </w:r>
      <w:r>
        <w:rPr>
          <w:sz w:val="28"/>
          <w:szCs w:val="28"/>
        </w:rPr>
        <w:t>.</w:t>
      </w:r>
    </w:p>
    <w:p w:rsidR="00FB4767" w:rsidRPr="0087512B" w:rsidRDefault="00FB4767" w:rsidP="0087512B">
      <w:pPr>
        <w:ind w:firstLine="567"/>
        <w:jc w:val="both"/>
        <w:rPr>
          <w:rFonts w:cs="Times New Roman"/>
          <w:i/>
          <w:sz w:val="28"/>
          <w:szCs w:val="28"/>
          <w:lang w:eastAsia="lv-LV"/>
        </w:rPr>
      </w:pPr>
      <w:r w:rsidRPr="0087512B">
        <w:rPr>
          <w:rFonts w:cs="Times New Roman"/>
          <w:i/>
          <w:sz w:val="28"/>
          <w:szCs w:val="28"/>
        </w:rPr>
        <w:t>Jaunāko nozares attīstības tendenču apzināšana</w:t>
      </w:r>
      <w:r w:rsidR="00753BF8">
        <w:rPr>
          <w:rFonts w:cs="Times New Roman"/>
          <w:i/>
          <w:sz w:val="28"/>
          <w:szCs w:val="28"/>
        </w:rPr>
        <w:t xml:space="preserve"> un informācijas apmaiņa</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lastRenderedPageBreak/>
        <w:t xml:space="preserve">Lai varētu nodrošināt atbilstošo normatīvo vidi, nepieciešams sekot un izvērtēt jaunākās tendences azartspēļu un izložu jomā. </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rPr>
        <w:t xml:space="preserve">Pie straujām ārējās vides pārmaiņām, </w:t>
      </w:r>
      <w:r w:rsidRPr="0087512B">
        <w:rPr>
          <w:rFonts w:cs="Times New Roman"/>
          <w:sz w:val="28"/>
          <w:szCs w:val="28"/>
          <w:lang w:eastAsia="lv-LV"/>
        </w:rPr>
        <w:t>nepieciešams nodrošināt patstāvīgu nozari ietekmējošo tendenču monitoringu, iesaistītajām pusēm apmainoties ar rīcībā esošo informāciju un laicīgi uzrunājot iespējamos problēmjautājumus.</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Šobrīd ir identificēti šādi jautājumi, kuros būtu nepieciešama regulāra informācijas apmaiņa:</w:t>
      </w:r>
    </w:p>
    <w:p w:rsidR="00FB4767" w:rsidRPr="00CD00CE" w:rsidRDefault="00FB4767" w:rsidP="00CD00CE">
      <w:pPr>
        <w:pStyle w:val="ListParagraph"/>
        <w:numPr>
          <w:ilvl w:val="0"/>
          <w:numId w:val="24"/>
        </w:numPr>
        <w:ind w:left="0" w:firstLine="709"/>
        <w:jc w:val="both"/>
        <w:rPr>
          <w:rFonts w:cs="Times New Roman"/>
          <w:sz w:val="28"/>
          <w:szCs w:val="28"/>
          <w:lang w:eastAsia="lv-LV"/>
        </w:rPr>
      </w:pPr>
      <w:r w:rsidRPr="00CD00CE">
        <w:rPr>
          <w:rFonts w:cs="Times New Roman"/>
          <w:sz w:val="28"/>
          <w:szCs w:val="28"/>
          <w:lang w:eastAsia="lv-LV"/>
        </w:rPr>
        <w:t>nozares tendenču apzināšana;</w:t>
      </w:r>
    </w:p>
    <w:p w:rsidR="00FB4767" w:rsidRPr="0087512B" w:rsidRDefault="00FB4767" w:rsidP="00CD00CE">
      <w:pPr>
        <w:pStyle w:val="ListParagraph"/>
        <w:numPr>
          <w:ilvl w:val="0"/>
          <w:numId w:val="24"/>
        </w:numPr>
        <w:ind w:left="0" w:firstLine="709"/>
        <w:jc w:val="both"/>
        <w:rPr>
          <w:rFonts w:cs="Times New Roman"/>
          <w:sz w:val="28"/>
          <w:szCs w:val="28"/>
          <w:lang w:eastAsia="lv-LV"/>
        </w:rPr>
      </w:pPr>
      <w:r w:rsidRPr="0087512B">
        <w:rPr>
          <w:rFonts w:cs="Times New Roman"/>
          <w:sz w:val="28"/>
          <w:szCs w:val="28"/>
          <w:lang w:eastAsia="lv-LV"/>
        </w:rPr>
        <w:t>sabiedrības interešu aizstāvība;</w:t>
      </w:r>
    </w:p>
    <w:p w:rsidR="00FB4767" w:rsidRPr="0087512B" w:rsidRDefault="00FB4767" w:rsidP="00CD00CE">
      <w:pPr>
        <w:pStyle w:val="ListParagraph"/>
        <w:numPr>
          <w:ilvl w:val="0"/>
          <w:numId w:val="24"/>
        </w:numPr>
        <w:ind w:left="0" w:firstLine="709"/>
        <w:jc w:val="both"/>
        <w:rPr>
          <w:rFonts w:cs="Times New Roman"/>
          <w:sz w:val="28"/>
          <w:szCs w:val="28"/>
          <w:lang w:eastAsia="lv-LV"/>
        </w:rPr>
      </w:pPr>
      <w:r w:rsidRPr="0087512B">
        <w:rPr>
          <w:rFonts w:cs="Times New Roman"/>
          <w:sz w:val="28"/>
          <w:szCs w:val="28"/>
          <w:lang w:eastAsia="lv-LV"/>
        </w:rPr>
        <w:t>atbildīgās nozares attīstība un godīg</w:t>
      </w:r>
      <w:r w:rsidR="00FE3031">
        <w:rPr>
          <w:rFonts w:cs="Times New Roman"/>
          <w:sz w:val="28"/>
          <w:szCs w:val="28"/>
          <w:lang w:eastAsia="lv-LV"/>
        </w:rPr>
        <w:t>a</w:t>
      </w:r>
      <w:r w:rsidRPr="0087512B">
        <w:rPr>
          <w:rFonts w:cs="Times New Roman"/>
          <w:sz w:val="28"/>
          <w:szCs w:val="28"/>
          <w:lang w:eastAsia="lv-LV"/>
        </w:rPr>
        <w:t xml:space="preserve"> konkurence;</w:t>
      </w:r>
    </w:p>
    <w:p w:rsidR="00FB4767" w:rsidRPr="0087512B" w:rsidRDefault="00FB4767" w:rsidP="00CD00CE">
      <w:pPr>
        <w:pStyle w:val="ListParagraph"/>
        <w:numPr>
          <w:ilvl w:val="0"/>
          <w:numId w:val="24"/>
        </w:numPr>
        <w:ind w:left="0" w:firstLine="709"/>
        <w:jc w:val="both"/>
        <w:rPr>
          <w:rFonts w:cs="Times New Roman"/>
          <w:sz w:val="28"/>
          <w:szCs w:val="28"/>
          <w:lang w:eastAsia="lv-LV"/>
        </w:rPr>
      </w:pPr>
      <w:r w:rsidRPr="0087512B">
        <w:rPr>
          <w:rFonts w:cs="Times New Roman"/>
          <w:sz w:val="28"/>
          <w:szCs w:val="28"/>
          <w:lang w:eastAsia="lv-LV"/>
        </w:rPr>
        <w:t>cīņa ar nelegālo uzņēmējdarbības vidi;</w:t>
      </w:r>
    </w:p>
    <w:p w:rsidR="00FB4767" w:rsidRPr="0087512B" w:rsidRDefault="00FB4767" w:rsidP="00CD00CE">
      <w:pPr>
        <w:pStyle w:val="ListParagraph"/>
        <w:numPr>
          <w:ilvl w:val="0"/>
          <w:numId w:val="24"/>
        </w:numPr>
        <w:ind w:left="0" w:firstLine="709"/>
        <w:jc w:val="both"/>
        <w:rPr>
          <w:rFonts w:cs="Times New Roman"/>
          <w:sz w:val="28"/>
          <w:szCs w:val="28"/>
          <w:lang w:eastAsia="lv-LV"/>
        </w:rPr>
      </w:pPr>
      <w:r w:rsidRPr="0087512B">
        <w:rPr>
          <w:rFonts w:cs="Times New Roman"/>
          <w:sz w:val="28"/>
          <w:szCs w:val="28"/>
          <w:lang w:eastAsia="lv-LV"/>
        </w:rPr>
        <w:t>citas pieredzes apzināšana un labās prakses pārņemšana;</w:t>
      </w:r>
    </w:p>
    <w:p w:rsidR="00FB4767" w:rsidRPr="0087512B" w:rsidRDefault="00FB4767" w:rsidP="00CD00CE">
      <w:pPr>
        <w:pStyle w:val="ListParagraph"/>
        <w:numPr>
          <w:ilvl w:val="0"/>
          <w:numId w:val="24"/>
        </w:numPr>
        <w:ind w:left="0" w:firstLine="709"/>
        <w:jc w:val="both"/>
        <w:rPr>
          <w:rFonts w:cs="Times New Roman"/>
          <w:sz w:val="28"/>
          <w:szCs w:val="28"/>
          <w:lang w:eastAsia="lv-LV"/>
        </w:rPr>
      </w:pPr>
      <w:r w:rsidRPr="0087512B">
        <w:rPr>
          <w:rFonts w:cs="Times New Roman"/>
          <w:sz w:val="28"/>
          <w:szCs w:val="28"/>
          <w:lang w:eastAsia="lv-LV"/>
        </w:rPr>
        <w:t>normatīvo aktu pilnveidošana.</w:t>
      </w:r>
    </w:p>
    <w:p w:rsidR="00FB4767" w:rsidRPr="0087512B" w:rsidRDefault="00FB4767" w:rsidP="0087512B">
      <w:pPr>
        <w:jc w:val="both"/>
        <w:rPr>
          <w:rFonts w:cs="Times New Roman"/>
          <w:sz w:val="28"/>
          <w:szCs w:val="28"/>
          <w:lang w:eastAsia="lv-LV"/>
        </w:rPr>
      </w:pPr>
      <w:r w:rsidRPr="0087512B">
        <w:rPr>
          <w:rFonts w:cs="Times New Roman"/>
          <w:sz w:val="28"/>
          <w:szCs w:val="28"/>
          <w:lang w:eastAsia="lv-LV"/>
        </w:rPr>
        <w:t>Papildus tam, ir identificēti šādi apskatāmie jautājumi:</w:t>
      </w:r>
    </w:p>
    <w:p w:rsidR="00FB4767" w:rsidRPr="0087512B" w:rsidRDefault="00FB4767" w:rsidP="00CD00CE">
      <w:pPr>
        <w:pStyle w:val="ListParagraph"/>
        <w:numPr>
          <w:ilvl w:val="0"/>
          <w:numId w:val="25"/>
        </w:numPr>
        <w:ind w:left="0" w:firstLine="709"/>
        <w:jc w:val="both"/>
        <w:rPr>
          <w:rFonts w:cs="Times New Roman"/>
          <w:sz w:val="28"/>
          <w:szCs w:val="28"/>
        </w:rPr>
      </w:pPr>
      <w:r w:rsidRPr="0087512B">
        <w:rPr>
          <w:rFonts w:cs="Times New Roman"/>
          <w:sz w:val="28"/>
          <w:szCs w:val="28"/>
          <w:lang w:eastAsia="lv-LV"/>
        </w:rPr>
        <w:t>interaktīvā vide:</w:t>
      </w:r>
      <w:r w:rsidRPr="0087512B">
        <w:rPr>
          <w:rFonts w:cs="Times New Roman"/>
          <w:sz w:val="28"/>
          <w:szCs w:val="28"/>
        </w:rPr>
        <w:t xml:space="preserve"> </w:t>
      </w:r>
    </w:p>
    <w:p w:rsidR="00FB4767" w:rsidRPr="00CD00CE" w:rsidRDefault="00FB4767" w:rsidP="007E7F4B">
      <w:pPr>
        <w:pStyle w:val="ListParagraph"/>
        <w:numPr>
          <w:ilvl w:val="0"/>
          <w:numId w:val="26"/>
        </w:numPr>
        <w:ind w:left="0" w:firstLine="1134"/>
        <w:jc w:val="both"/>
        <w:rPr>
          <w:rFonts w:cs="Times New Roman"/>
          <w:sz w:val="28"/>
          <w:szCs w:val="28"/>
          <w:lang w:eastAsia="lv-LV"/>
        </w:rPr>
      </w:pPr>
      <w:r w:rsidRPr="00CD00CE">
        <w:rPr>
          <w:rFonts w:cs="Times New Roman"/>
          <w:sz w:val="28"/>
          <w:szCs w:val="28"/>
        </w:rPr>
        <w:t>tehnoloģiju un viedierīču attīstība, mobilo platformu uzlabojumi;</w:t>
      </w:r>
    </w:p>
    <w:p w:rsidR="00FB4767" w:rsidRPr="0087512B" w:rsidRDefault="00FB4767" w:rsidP="007E7F4B">
      <w:pPr>
        <w:pStyle w:val="ListParagraph"/>
        <w:numPr>
          <w:ilvl w:val="0"/>
          <w:numId w:val="26"/>
        </w:numPr>
        <w:ind w:left="0" w:firstLine="1134"/>
        <w:jc w:val="both"/>
        <w:rPr>
          <w:rFonts w:cs="Times New Roman"/>
          <w:sz w:val="28"/>
          <w:szCs w:val="28"/>
          <w:lang w:eastAsia="lv-LV"/>
        </w:rPr>
      </w:pPr>
      <w:r w:rsidRPr="0087512B">
        <w:rPr>
          <w:rFonts w:cs="Times New Roman"/>
          <w:sz w:val="28"/>
          <w:szCs w:val="28"/>
          <w:lang w:eastAsia="lv-LV"/>
        </w:rPr>
        <w:t>maksāšanas tendences interneta vidē pasaulē, t.sk., kriptovalūta;</w:t>
      </w:r>
    </w:p>
    <w:p w:rsidR="00FB4767" w:rsidRPr="0087512B" w:rsidRDefault="00FB4767" w:rsidP="007E7F4B">
      <w:pPr>
        <w:pStyle w:val="ListParagraph"/>
        <w:numPr>
          <w:ilvl w:val="0"/>
          <w:numId w:val="26"/>
        </w:numPr>
        <w:ind w:left="0" w:firstLine="1134"/>
        <w:jc w:val="both"/>
        <w:rPr>
          <w:rFonts w:cs="Times New Roman"/>
          <w:sz w:val="28"/>
          <w:szCs w:val="28"/>
          <w:lang w:eastAsia="lv-LV"/>
        </w:rPr>
      </w:pPr>
      <w:r w:rsidRPr="0087512B">
        <w:rPr>
          <w:rFonts w:cs="Times New Roman"/>
          <w:sz w:val="28"/>
          <w:szCs w:val="28"/>
          <w:lang w:eastAsia="lv-LV"/>
        </w:rPr>
        <w:t>interneta azartspēļu eksporta un importa potenciāls;</w:t>
      </w:r>
    </w:p>
    <w:p w:rsidR="00FB4767" w:rsidRPr="0087512B" w:rsidRDefault="00FB4767" w:rsidP="00CD00CE">
      <w:pPr>
        <w:pStyle w:val="ListParagraph"/>
        <w:numPr>
          <w:ilvl w:val="0"/>
          <w:numId w:val="25"/>
        </w:numPr>
        <w:ind w:left="0" w:firstLine="709"/>
        <w:jc w:val="both"/>
        <w:rPr>
          <w:rFonts w:cs="Times New Roman"/>
          <w:sz w:val="28"/>
          <w:szCs w:val="28"/>
        </w:rPr>
      </w:pPr>
      <w:r w:rsidRPr="0087512B">
        <w:rPr>
          <w:rFonts w:cs="Times New Roman"/>
          <w:sz w:val="28"/>
          <w:szCs w:val="28"/>
        </w:rPr>
        <w:t>tradicionālās jeb “zemes” azartspēles – potenciāls kļūt par eksporta produktu.</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Lai nodrošinātu politikas plānošanas dokumenta mērķu izpildi, nepieciešama efektīva informācijas apmaiņa starp iesaistītajām pusēm. </w:t>
      </w:r>
    </w:p>
    <w:p w:rsidR="00FB4767" w:rsidRPr="0087512B" w:rsidRDefault="00FB4767" w:rsidP="0087512B">
      <w:pPr>
        <w:ind w:firstLine="567"/>
        <w:jc w:val="both"/>
        <w:rPr>
          <w:rFonts w:cs="Times New Roman"/>
          <w:i/>
          <w:sz w:val="28"/>
          <w:szCs w:val="28"/>
          <w:lang w:eastAsia="lv-LV"/>
        </w:rPr>
      </w:pPr>
      <w:r w:rsidRPr="0087512B">
        <w:rPr>
          <w:rFonts w:cs="Times New Roman"/>
          <w:i/>
          <w:sz w:val="28"/>
          <w:szCs w:val="28"/>
          <w:lang w:eastAsia="lv-LV"/>
        </w:rPr>
        <w:t>Nepieciešami</w:t>
      </w:r>
      <w:r w:rsidR="0039543D" w:rsidRPr="0087512B">
        <w:rPr>
          <w:rFonts w:cs="Times New Roman"/>
          <w:i/>
          <w:sz w:val="28"/>
          <w:szCs w:val="28"/>
          <w:lang w:eastAsia="lv-LV"/>
        </w:rPr>
        <w:t>e</w:t>
      </w:r>
      <w:r w:rsidRPr="0087512B">
        <w:rPr>
          <w:rFonts w:cs="Times New Roman"/>
          <w:i/>
          <w:sz w:val="28"/>
          <w:szCs w:val="28"/>
          <w:lang w:eastAsia="lv-LV"/>
        </w:rPr>
        <w:t xml:space="preserve"> pasākumi:</w:t>
      </w:r>
    </w:p>
    <w:p w:rsidR="00FB4767" w:rsidRPr="00CD00CE" w:rsidRDefault="00FB4767" w:rsidP="00CD00CE">
      <w:pPr>
        <w:pStyle w:val="ListParagraph"/>
        <w:numPr>
          <w:ilvl w:val="0"/>
          <w:numId w:val="61"/>
        </w:numPr>
        <w:ind w:left="0" w:firstLine="709"/>
        <w:jc w:val="both"/>
        <w:rPr>
          <w:rFonts w:cs="Times New Roman"/>
          <w:sz w:val="28"/>
          <w:szCs w:val="28"/>
          <w:u w:val="single"/>
          <w:lang w:eastAsia="lv-LV"/>
        </w:rPr>
      </w:pPr>
      <w:r w:rsidRPr="00CD00CE">
        <w:rPr>
          <w:rFonts w:cs="Times New Roman"/>
          <w:sz w:val="28"/>
          <w:szCs w:val="28"/>
          <w:u w:val="single"/>
          <w:lang w:eastAsia="lv-LV"/>
        </w:rPr>
        <w:t>Nozares konsultatīvā sanāksme.</w:t>
      </w:r>
    </w:p>
    <w:p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Pasākums paredz nozares regulāro sanāksmju organizēšanu, kur ne retāk kā reizi pusgadā iesaistītās puses diskutē par aktuālajiem jautājumiem nozarē un informē par tendencēm. Sanāksmes organizē F</w:t>
      </w:r>
      <w:r w:rsidR="008308E1">
        <w:rPr>
          <w:rFonts w:cs="Times New Roman"/>
          <w:sz w:val="28"/>
          <w:szCs w:val="28"/>
          <w:lang w:eastAsia="lv-LV"/>
        </w:rPr>
        <w:t>M</w:t>
      </w:r>
      <w:r w:rsidRPr="0087512B">
        <w:rPr>
          <w:rFonts w:cs="Times New Roman"/>
          <w:sz w:val="28"/>
          <w:szCs w:val="28"/>
          <w:lang w:eastAsia="lv-LV"/>
        </w:rPr>
        <w:t>. Iesaistītās puses (dalībnieki) – IAUI, LSBA,</w:t>
      </w:r>
      <w:r w:rsidR="00706972" w:rsidRPr="0087512B">
        <w:rPr>
          <w:rFonts w:cs="Times New Roman"/>
          <w:sz w:val="28"/>
          <w:szCs w:val="28"/>
          <w:lang w:eastAsia="lv-LV"/>
        </w:rPr>
        <w:t xml:space="preserve"> LIAB,</w:t>
      </w:r>
      <w:r w:rsidRPr="0087512B">
        <w:rPr>
          <w:rFonts w:cs="Times New Roman"/>
          <w:sz w:val="28"/>
          <w:szCs w:val="28"/>
          <w:lang w:eastAsia="lv-LV"/>
        </w:rPr>
        <w:t xml:space="preserve"> Loto, Izglītības un zinātnes ministrija, </w:t>
      </w:r>
      <w:r w:rsidR="00C75608">
        <w:rPr>
          <w:rFonts w:cs="Times New Roman"/>
          <w:sz w:val="28"/>
          <w:szCs w:val="28"/>
          <w:lang w:eastAsia="lv-LV"/>
        </w:rPr>
        <w:t>VM</w:t>
      </w:r>
      <w:r w:rsidRPr="0087512B">
        <w:rPr>
          <w:rFonts w:cs="Times New Roman"/>
          <w:sz w:val="28"/>
          <w:szCs w:val="28"/>
          <w:lang w:eastAsia="lv-LV"/>
        </w:rPr>
        <w:t xml:space="preserve">, Ekonomikas ministrija, Satiksmes ministrija, Latvijas Tirdzniecības un rūpniecības kamera, Latvijas Darba devēju konfederācija. </w:t>
      </w:r>
    </w:p>
    <w:p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Darba kārtību sagatavo F</w:t>
      </w:r>
      <w:r w:rsidR="008308E1">
        <w:rPr>
          <w:rFonts w:cs="Times New Roman"/>
          <w:sz w:val="28"/>
          <w:szCs w:val="28"/>
          <w:lang w:eastAsia="lv-LV"/>
        </w:rPr>
        <w:t>M</w:t>
      </w:r>
      <w:r w:rsidRPr="0087512B">
        <w:rPr>
          <w:rFonts w:cs="Times New Roman"/>
          <w:sz w:val="28"/>
          <w:szCs w:val="28"/>
          <w:lang w:eastAsia="lv-LV"/>
        </w:rPr>
        <w:t xml:space="preserve">, bet atsevišķus jautājumus var ierosināt arī sanāksmes dalībnieki. </w:t>
      </w:r>
    </w:p>
    <w:p w:rsidR="00FB4767" w:rsidRPr="00CD00CE" w:rsidRDefault="00FB4767" w:rsidP="00CD00CE">
      <w:pPr>
        <w:pStyle w:val="ListParagraph"/>
        <w:numPr>
          <w:ilvl w:val="0"/>
          <w:numId w:val="61"/>
        </w:numPr>
        <w:ind w:left="0" w:firstLine="709"/>
        <w:rPr>
          <w:rFonts w:cs="Times New Roman"/>
          <w:sz w:val="28"/>
          <w:szCs w:val="28"/>
          <w:u w:val="single"/>
          <w:lang w:eastAsia="lv-LV"/>
        </w:rPr>
      </w:pPr>
      <w:r w:rsidRPr="00CD00CE">
        <w:rPr>
          <w:rFonts w:cs="Times New Roman"/>
          <w:sz w:val="28"/>
          <w:szCs w:val="28"/>
          <w:u w:val="single"/>
          <w:lang w:eastAsia="lv-LV"/>
        </w:rPr>
        <w:t>Citu ES dalībvalstu un pasaules valstu pieredzes izvērtēšana un labās prakses pārņemšana.</w:t>
      </w:r>
    </w:p>
    <w:p w:rsidR="00FB4767" w:rsidRPr="00CD00CE" w:rsidRDefault="00FB4767" w:rsidP="00CD00CE">
      <w:pPr>
        <w:ind w:firstLine="567"/>
        <w:jc w:val="both"/>
        <w:rPr>
          <w:rFonts w:cs="Times New Roman"/>
          <w:sz w:val="28"/>
          <w:szCs w:val="28"/>
          <w:lang w:eastAsia="lv-LV"/>
        </w:rPr>
      </w:pPr>
      <w:r w:rsidRPr="00CD00CE">
        <w:rPr>
          <w:rFonts w:cs="Times New Roman"/>
          <w:sz w:val="28"/>
          <w:szCs w:val="28"/>
          <w:lang w:eastAsia="lv-LV"/>
        </w:rPr>
        <w:t>Pasākums paredz Latvijas iestāžu/ organizāciju patstāvīgu informācijas apmaiņu ar līdzīgas kompetences iestādēm/ organizācijām citās ES un pasaules valstīs. Iesaistītās puses: F</w:t>
      </w:r>
      <w:r w:rsidR="009B61B4">
        <w:rPr>
          <w:rFonts w:cs="Times New Roman"/>
          <w:sz w:val="28"/>
          <w:szCs w:val="28"/>
          <w:lang w:eastAsia="lv-LV"/>
        </w:rPr>
        <w:t>M</w:t>
      </w:r>
      <w:r w:rsidRPr="00CD00CE">
        <w:rPr>
          <w:rFonts w:cs="Times New Roman"/>
          <w:sz w:val="28"/>
          <w:szCs w:val="28"/>
          <w:lang w:eastAsia="lv-LV"/>
        </w:rPr>
        <w:t>, IAUI, LSBA, LIAB, Loto, Izglītība un zinātnes ministrija, Veselības ministrija, Ekonomikas ministrija, Satiksmes ministrija. Par galvenajām atziņām un citu valstu piemēriem iesaistītās puses ziņo nozares konsultatīvajā sanāksmē.</w:t>
      </w:r>
    </w:p>
    <w:p w:rsidR="00FB4767" w:rsidRPr="00CD00CE" w:rsidRDefault="00FB4767" w:rsidP="00CD00CE">
      <w:pPr>
        <w:pStyle w:val="ListParagraph"/>
        <w:numPr>
          <w:ilvl w:val="0"/>
          <w:numId w:val="61"/>
        </w:numPr>
        <w:ind w:left="0" w:firstLine="709"/>
        <w:rPr>
          <w:rFonts w:cs="Times New Roman"/>
          <w:sz w:val="28"/>
          <w:szCs w:val="28"/>
          <w:u w:val="single"/>
          <w:lang w:eastAsia="lv-LV"/>
        </w:rPr>
      </w:pPr>
      <w:r w:rsidRPr="00CD00CE">
        <w:rPr>
          <w:rFonts w:cs="Times New Roman"/>
          <w:sz w:val="28"/>
          <w:szCs w:val="28"/>
          <w:u w:val="single"/>
          <w:lang w:eastAsia="lv-LV"/>
        </w:rPr>
        <w:t>Reģionālā sadarbība starp Baltijas valstīm.</w:t>
      </w:r>
    </w:p>
    <w:p w:rsidR="003C6078" w:rsidRPr="00CD00CE" w:rsidRDefault="00FB4767" w:rsidP="00CD00CE">
      <w:pPr>
        <w:ind w:firstLine="567"/>
        <w:jc w:val="both"/>
        <w:rPr>
          <w:rFonts w:cs="Times New Roman"/>
          <w:sz w:val="28"/>
          <w:szCs w:val="28"/>
          <w:lang w:eastAsia="lv-LV"/>
        </w:rPr>
      </w:pPr>
      <w:r w:rsidRPr="00CD00CE">
        <w:rPr>
          <w:rFonts w:cs="Times New Roman"/>
          <w:sz w:val="28"/>
          <w:szCs w:val="28"/>
          <w:lang w:eastAsia="lv-LV"/>
        </w:rPr>
        <w:t xml:space="preserve">Daudziem ar </w:t>
      </w:r>
      <w:r w:rsidR="001F7850" w:rsidRPr="00CD00CE">
        <w:rPr>
          <w:rFonts w:cs="Times New Roman"/>
          <w:sz w:val="28"/>
          <w:szCs w:val="28"/>
          <w:lang w:eastAsia="lv-LV"/>
        </w:rPr>
        <w:t>AI</w:t>
      </w:r>
      <w:r w:rsidRPr="00CD00CE">
        <w:rPr>
          <w:rFonts w:cs="Times New Roman"/>
          <w:sz w:val="28"/>
          <w:szCs w:val="28"/>
          <w:lang w:eastAsia="lv-LV"/>
        </w:rPr>
        <w:t xml:space="preserve"> nozari saistošiem procesiem ir reģionālā izpausme. Tā piemēram, nodrošinot no spēlēm pašatteikušos personas nepiekļūšanu azartspēlēm </w:t>
      </w:r>
      <w:r w:rsidRPr="00CD00CE">
        <w:rPr>
          <w:rFonts w:cs="Times New Roman"/>
          <w:sz w:val="28"/>
          <w:szCs w:val="28"/>
          <w:lang w:eastAsia="lv-LV"/>
        </w:rPr>
        <w:lastRenderedPageBreak/>
        <w:t>Latvijā, svarīgi, lai persona būtu līdzīgi pasargāta no pārmērīgas spēlēšanas arī kaimiņvalstīs. Reģionālajai sadarbībai ir liels potenciāls arī ēnu ekonomikas apkarošanas jautājumos (izvairīšanās no nodokļu nomaksas, līdzekļu novirzīšana tiesību aktos neatļautajām darbībām u.c.).</w:t>
      </w:r>
    </w:p>
    <w:p w:rsidR="00FB4767" w:rsidRPr="0087512B" w:rsidRDefault="00FB4767" w:rsidP="0087512B">
      <w:pPr>
        <w:pStyle w:val="Default"/>
        <w:ind w:firstLine="567"/>
        <w:jc w:val="both"/>
        <w:rPr>
          <w:sz w:val="28"/>
          <w:szCs w:val="28"/>
        </w:rPr>
      </w:pPr>
      <w:r w:rsidRPr="0087512B">
        <w:rPr>
          <w:sz w:val="28"/>
          <w:szCs w:val="28"/>
        </w:rPr>
        <w:t xml:space="preserve">2014.gada 15.maijā Latvijas IAUI, Lietuvas Finanšu ministrijas Azartspēļu uzraudzības iestāde un Igaunijas Nodokļu un muitas padome – iestādes, kas katrā Baltijas valstī atbild par azartspēļu nozares uzraudzības nodrošināšanu, noslēdza savstarpējās sadarbības līgumu. Līgums tika noslēgts, ievērojot to, ka starptautiskā sadarbība izložu un azartspēļu uzraudzības jomā ir būtisks nosacījums, lai nodrošinātu godīgu, caurskatāmu azartspēļu darbību, spēlētāju tiesību un likumīgu interešu aizsardzību, kā arī lai nepieļautu nelegālas azartspēles. Vienlaikus tika uzsākta aktīva un efektīva labās prakses un pieredzes apmaiņa. </w:t>
      </w:r>
    </w:p>
    <w:p w:rsidR="00FB4767" w:rsidRPr="0087512B" w:rsidRDefault="00FB4767" w:rsidP="0087512B">
      <w:pPr>
        <w:pStyle w:val="Default"/>
        <w:ind w:left="567"/>
        <w:jc w:val="both"/>
        <w:rPr>
          <w:sz w:val="28"/>
          <w:szCs w:val="28"/>
        </w:rPr>
      </w:pPr>
      <w:r w:rsidRPr="0087512B">
        <w:rPr>
          <w:sz w:val="28"/>
          <w:szCs w:val="28"/>
        </w:rPr>
        <w:t xml:space="preserve">Līgumu parakstījušas puses ir apņēmušās: </w:t>
      </w:r>
    </w:p>
    <w:p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institucionālo sadarbību, izmeklējot nelegālo azartspēļu organizēšanas lietas; </w:t>
      </w:r>
    </w:p>
    <w:p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pieredzes un labās prakses apmaiņu azartspēļu uzraudzības jautājumos; </w:t>
      </w:r>
    </w:p>
    <w:p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informācijas un pieredzes apmaiņu, kas ir noderīga normatīvo aktu pilnveidošanā (t.sk., licencēšanas nosacījumi, on-line azartspēļu organizēšanas nosacījumi, tehniskās prasības azartspēļu iekārtām un programmām); </w:t>
      </w:r>
    </w:p>
    <w:p w:rsidR="00FB4767" w:rsidRPr="0087512B" w:rsidRDefault="00FB4767" w:rsidP="00CD00CE">
      <w:pPr>
        <w:pStyle w:val="Default"/>
        <w:numPr>
          <w:ilvl w:val="0"/>
          <w:numId w:val="9"/>
        </w:numPr>
        <w:ind w:left="0" w:firstLine="709"/>
        <w:jc w:val="both"/>
        <w:rPr>
          <w:sz w:val="28"/>
          <w:szCs w:val="28"/>
        </w:rPr>
      </w:pPr>
      <w:r w:rsidRPr="0087512B">
        <w:rPr>
          <w:sz w:val="28"/>
          <w:szCs w:val="28"/>
        </w:rPr>
        <w:t xml:space="preserve">veicināt informācijas apmaiņu par efektīviem azartspēļu atkarību ierobežojošiem pasākumiem (t.sk., pētījumu, statistikas, metodoloģisko materiālu pielietojumu). </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Pasākums paredz sadarbības formāta izveidi</w:t>
      </w:r>
      <w:r w:rsidR="008B3031" w:rsidRPr="0087512B">
        <w:rPr>
          <w:rFonts w:cs="Times New Roman"/>
          <w:sz w:val="28"/>
          <w:szCs w:val="28"/>
          <w:lang w:eastAsia="lv-LV"/>
        </w:rPr>
        <w:t>,</w:t>
      </w:r>
      <w:r w:rsidRPr="0087512B">
        <w:rPr>
          <w:rFonts w:cs="Times New Roman"/>
          <w:sz w:val="28"/>
          <w:szCs w:val="28"/>
          <w:lang w:eastAsia="lv-LV"/>
        </w:rPr>
        <w:t xml:space="preserve"> iesaistot ne tikai politikas ieviešanas institūcijas, bet arī politikas veidotājus – starp Latvijas </w:t>
      </w:r>
      <w:r w:rsidR="009B61B4">
        <w:rPr>
          <w:rFonts w:cs="Times New Roman"/>
          <w:sz w:val="28"/>
          <w:szCs w:val="28"/>
          <w:lang w:eastAsia="lv-LV"/>
        </w:rPr>
        <w:t>FM</w:t>
      </w:r>
      <w:r w:rsidRPr="0087512B">
        <w:rPr>
          <w:rFonts w:cs="Times New Roman"/>
          <w:sz w:val="28"/>
          <w:szCs w:val="28"/>
          <w:lang w:eastAsia="lv-LV"/>
        </w:rPr>
        <w:t xml:space="preserve"> un IAUI ekspertiem un Igaunijas un Lietuvas kompetentajām iestādēm. Latvijas </w:t>
      </w:r>
      <w:r w:rsidR="009B61B4">
        <w:rPr>
          <w:rFonts w:cs="Times New Roman"/>
          <w:sz w:val="28"/>
          <w:szCs w:val="28"/>
          <w:lang w:eastAsia="lv-LV"/>
        </w:rPr>
        <w:t>FM</w:t>
      </w:r>
      <w:r w:rsidRPr="0087512B">
        <w:rPr>
          <w:rFonts w:cs="Times New Roman"/>
          <w:sz w:val="28"/>
          <w:szCs w:val="28"/>
          <w:lang w:eastAsia="lv-LV"/>
        </w:rPr>
        <w:t xml:space="preserve"> iniciēs sarunas par patstāvīga sadarbības formāta izveidi, uzrunājot reģionam aktuālos jautājumus vienu reizi gadā. Šī formāta sanāksmes var būt saskaņotas ar jau esoš</w:t>
      </w:r>
      <w:r w:rsidR="00FE3031">
        <w:rPr>
          <w:rFonts w:cs="Times New Roman"/>
          <w:sz w:val="28"/>
          <w:szCs w:val="28"/>
          <w:lang w:eastAsia="lv-LV"/>
        </w:rPr>
        <w:t>o</w:t>
      </w:r>
      <w:r w:rsidRPr="0087512B">
        <w:rPr>
          <w:rFonts w:cs="Times New Roman"/>
          <w:sz w:val="28"/>
          <w:szCs w:val="28"/>
          <w:lang w:eastAsia="lv-LV"/>
        </w:rPr>
        <w:t xml:space="preserve"> uzraudzības institūciju pasākumu kalendāru.</w:t>
      </w:r>
    </w:p>
    <w:p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LSBA, LIAB, </w:t>
      </w:r>
      <w:r w:rsidR="009B61B4">
        <w:rPr>
          <w:rFonts w:cs="Times New Roman"/>
          <w:sz w:val="28"/>
          <w:szCs w:val="28"/>
          <w:lang w:eastAsia="lv-LV"/>
        </w:rPr>
        <w:t>FM</w:t>
      </w:r>
      <w:r w:rsidRPr="0087512B">
        <w:rPr>
          <w:rFonts w:cs="Times New Roman"/>
          <w:sz w:val="28"/>
          <w:szCs w:val="28"/>
          <w:lang w:eastAsia="lv-LV"/>
        </w:rPr>
        <w:t>, Loto, Izglītības un zinātnes ministrija, Veselības ministrija, Ekonomikas ministrija, Satiksmes ministrija</w:t>
      </w:r>
      <w:r w:rsidR="00531553">
        <w:rPr>
          <w:rFonts w:cs="Times New Roman"/>
          <w:sz w:val="28"/>
          <w:szCs w:val="28"/>
          <w:lang w:eastAsia="lv-LV"/>
        </w:rPr>
        <w:t xml:space="preserve"> </w:t>
      </w:r>
      <w:r w:rsidR="00531553" w:rsidRPr="00044461">
        <w:rPr>
          <w:rFonts w:cs="Times New Roman"/>
          <w:sz w:val="28"/>
          <w:szCs w:val="28"/>
          <w:lang w:eastAsia="lv-LV"/>
        </w:rPr>
        <w:t>un Labklājības ministrija</w:t>
      </w:r>
      <w:r w:rsidRPr="0087512B">
        <w:rPr>
          <w:rFonts w:cs="Times New Roman"/>
          <w:sz w:val="28"/>
          <w:szCs w:val="28"/>
          <w:lang w:eastAsia="lv-LV"/>
        </w:rPr>
        <w:t xml:space="preserve"> Nozares konsultatīvajā sanāksmē sniedz priekšlikumus reģionālajā sadarbības formātā pārrunājamiem jautājumiem. </w:t>
      </w:r>
    </w:p>
    <w:p w:rsidR="00FB4767" w:rsidRPr="0087512B" w:rsidRDefault="009B61B4" w:rsidP="0087512B">
      <w:pPr>
        <w:ind w:firstLine="567"/>
        <w:jc w:val="both"/>
        <w:rPr>
          <w:rFonts w:cs="Times New Roman"/>
          <w:sz w:val="28"/>
          <w:szCs w:val="28"/>
          <w:lang w:eastAsia="lv-LV"/>
        </w:rPr>
      </w:pPr>
      <w:r>
        <w:rPr>
          <w:rFonts w:cs="Times New Roman"/>
          <w:sz w:val="28"/>
          <w:szCs w:val="28"/>
          <w:lang w:eastAsia="lv-LV"/>
        </w:rPr>
        <w:t>FM</w:t>
      </w:r>
      <w:r w:rsidR="00FB4767" w:rsidRPr="0087512B">
        <w:rPr>
          <w:rFonts w:cs="Times New Roman"/>
          <w:sz w:val="28"/>
          <w:szCs w:val="28"/>
          <w:lang w:eastAsia="lv-LV"/>
        </w:rPr>
        <w:t>, IAUI informē Nozares konsultatīvās sanāksmes dalībniekus par reģionālajā sadarbības formātā pārrunātajām aktualitātēm.</w:t>
      </w:r>
    </w:p>
    <w:p w:rsidR="00FB4767" w:rsidRPr="0087512B" w:rsidRDefault="00FB4767" w:rsidP="00CB3E6C">
      <w:pPr>
        <w:ind w:firstLine="567"/>
        <w:jc w:val="both"/>
        <w:rPr>
          <w:rFonts w:cs="Times New Roman"/>
          <w:sz w:val="28"/>
          <w:szCs w:val="28"/>
          <w:lang w:eastAsia="lv-LV"/>
        </w:rPr>
      </w:pPr>
      <w:r w:rsidRPr="0087512B">
        <w:rPr>
          <w:rFonts w:cs="Times New Roman"/>
          <w:sz w:val="28"/>
          <w:szCs w:val="28"/>
          <w:lang w:eastAsia="lv-LV"/>
        </w:rPr>
        <w:t>Sadarbības rezultātā rastie risinājumi tiks ieviesti reģiona valstu praksēs.</w:t>
      </w:r>
    </w:p>
    <w:p w:rsidR="00FB4767" w:rsidRPr="00F3362F" w:rsidRDefault="00B84176" w:rsidP="00F3362F">
      <w:pPr>
        <w:ind w:left="360"/>
        <w:rPr>
          <w:rFonts w:cs="Times New Roman"/>
          <w:sz w:val="28"/>
          <w:szCs w:val="28"/>
          <w:u w:val="single"/>
          <w:lang w:eastAsia="lv-LV"/>
        </w:rPr>
      </w:pPr>
      <w:r>
        <w:rPr>
          <w:rFonts w:cs="Times New Roman"/>
          <w:sz w:val="28"/>
          <w:szCs w:val="28"/>
          <w:u w:val="single"/>
          <w:lang w:eastAsia="lv-LV"/>
        </w:rPr>
        <w:t xml:space="preserve">4) </w:t>
      </w:r>
      <w:r w:rsidR="00FB4767" w:rsidRPr="00F3362F">
        <w:rPr>
          <w:rFonts w:cs="Times New Roman"/>
          <w:sz w:val="28"/>
          <w:szCs w:val="28"/>
          <w:u w:val="single"/>
          <w:lang w:eastAsia="lv-LV"/>
        </w:rPr>
        <w:t>Statistikas apkopošana, retrospektīvā tendenču izvērtēšana.</w:t>
      </w:r>
    </w:p>
    <w:p w:rsidR="00FB4767" w:rsidRPr="0087512B" w:rsidRDefault="00FB4767" w:rsidP="00CD00CE">
      <w:pPr>
        <w:pStyle w:val="NormalWeb"/>
        <w:spacing w:before="0" w:beforeAutospacing="0" w:after="0" w:afterAutospacing="0"/>
        <w:ind w:firstLine="567"/>
        <w:jc w:val="both"/>
        <w:rPr>
          <w:sz w:val="28"/>
          <w:szCs w:val="28"/>
        </w:rPr>
      </w:pPr>
      <w:r w:rsidRPr="0087512B">
        <w:rPr>
          <w:sz w:val="28"/>
          <w:szCs w:val="28"/>
        </w:rPr>
        <w:t xml:space="preserve">AI nozares tirgus un preču un pakalpojumu loteriju organizēšanas jomas statistika oficiālās statistikas programmas ietvaros ir valsts statistika, kuru nodrošina IAUI. Oficiālā statistika par </w:t>
      </w:r>
      <w:r w:rsidR="00FE3031">
        <w:rPr>
          <w:sz w:val="28"/>
          <w:szCs w:val="28"/>
        </w:rPr>
        <w:t>AI</w:t>
      </w:r>
      <w:r w:rsidRPr="0087512B">
        <w:rPr>
          <w:sz w:val="28"/>
          <w:szCs w:val="28"/>
        </w:rPr>
        <w:t xml:space="preserve"> nozari tiek iegūta no regulāriem ceturkšņa apsekojumiem jeb pārskatiem, kurus izložu un azartspēļu organizētāji iesniedz, izmantojot Vienotās izložu un azartspēļu uzraudzības informācijas sistēmas </w:t>
      </w:r>
      <w:r w:rsidRPr="0087512B">
        <w:rPr>
          <w:sz w:val="28"/>
          <w:szCs w:val="28"/>
        </w:rPr>
        <w:lastRenderedPageBreak/>
        <w:t>funkcionalitāti. Veidlapu formu un saturu nosaka Ministru kabineta izdotie noteikumi. Oficiālā statistika par preču un pakalpojumu loteriju organizēšanu tiek iegūta no IAUI rīcībā esošajiem statistikas datiem.</w:t>
      </w:r>
    </w:p>
    <w:p w:rsidR="00FB4767" w:rsidRPr="0087512B" w:rsidRDefault="00FB4767" w:rsidP="00CD00CE">
      <w:pPr>
        <w:pStyle w:val="NormalWeb"/>
        <w:spacing w:before="0" w:beforeAutospacing="0" w:after="0" w:afterAutospacing="0"/>
        <w:ind w:firstLine="567"/>
        <w:jc w:val="both"/>
        <w:rPr>
          <w:sz w:val="28"/>
          <w:szCs w:val="28"/>
        </w:rPr>
      </w:pPr>
      <w:r w:rsidRPr="0087512B">
        <w:rPr>
          <w:sz w:val="28"/>
          <w:szCs w:val="28"/>
        </w:rPr>
        <w:t>Oficiālā statistika atbilst šādiem kvalitātes kritērijiem:</w:t>
      </w:r>
    </w:p>
    <w:p w:rsidR="00FB4767" w:rsidRPr="0087512B" w:rsidRDefault="00FB4767" w:rsidP="007E7F4B">
      <w:pPr>
        <w:pStyle w:val="NormalWeb"/>
        <w:numPr>
          <w:ilvl w:val="0"/>
          <w:numId w:val="29"/>
        </w:numPr>
        <w:spacing w:before="0" w:beforeAutospacing="0" w:after="0" w:afterAutospacing="0"/>
        <w:ind w:left="0" w:firstLine="1134"/>
        <w:jc w:val="both"/>
        <w:rPr>
          <w:sz w:val="28"/>
          <w:szCs w:val="28"/>
        </w:rPr>
      </w:pPr>
      <w:r w:rsidRPr="0087512B">
        <w:rPr>
          <w:sz w:val="28"/>
          <w:szCs w:val="28"/>
        </w:rPr>
        <w:t>pašreizējo un potenciālo lietotāju vajadzības un AI nozares un preču un pakalpojumu loteriju organizēšanas jomas attīstības aktualitātes;</w:t>
      </w:r>
    </w:p>
    <w:p w:rsidR="00FB4767" w:rsidRPr="0087512B" w:rsidRDefault="00FB4767" w:rsidP="007E7F4B">
      <w:pPr>
        <w:pStyle w:val="NormalWeb"/>
        <w:numPr>
          <w:ilvl w:val="0"/>
          <w:numId w:val="29"/>
        </w:numPr>
        <w:spacing w:before="0" w:beforeAutospacing="0" w:after="0" w:afterAutospacing="0"/>
        <w:ind w:left="0" w:firstLine="1134"/>
        <w:jc w:val="both"/>
        <w:rPr>
          <w:sz w:val="28"/>
          <w:szCs w:val="28"/>
        </w:rPr>
      </w:pPr>
      <w:r w:rsidRPr="0087512B">
        <w:rPr>
          <w:sz w:val="28"/>
          <w:szCs w:val="28"/>
        </w:rPr>
        <w:t>patiesi un precīzi aprēķinu lielumi;</w:t>
      </w:r>
    </w:p>
    <w:p w:rsidR="00FB4767" w:rsidRPr="0087512B" w:rsidRDefault="00FB4767" w:rsidP="007E7F4B">
      <w:pPr>
        <w:pStyle w:val="NormalWeb"/>
        <w:numPr>
          <w:ilvl w:val="0"/>
          <w:numId w:val="29"/>
        </w:numPr>
        <w:spacing w:before="0" w:beforeAutospacing="0" w:after="0" w:afterAutospacing="0"/>
        <w:ind w:left="0" w:firstLine="1134"/>
        <w:jc w:val="both"/>
        <w:rPr>
          <w:sz w:val="28"/>
          <w:szCs w:val="28"/>
        </w:rPr>
      </w:pPr>
      <w:r w:rsidRPr="0087512B">
        <w:rPr>
          <w:sz w:val="28"/>
          <w:szCs w:val="28"/>
        </w:rPr>
        <w:t>statistikas datu publicēšanas savlaicīgums un atbilstība sākotnējam publicēšanas plānam;</w:t>
      </w:r>
    </w:p>
    <w:p w:rsidR="00FB4767" w:rsidRPr="0087512B" w:rsidRDefault="00FB4767" w:rsidP="007E7F4B">
      <w:pPr>
        <w:pStyle w:val="NormalWeb"/>
        <w:numPr>
          <w:ilvl w:val="0"/>
          <w:numId w:val="29"/>
        </w:numPr>
        <w:spacing w:before="0" w:beforeAutospacing="0" w:after="0" w:afterAutospacing="0"/>
        <w:ind w:left="0" w:firstLine="1134"/>
        <w:jc w:val="both"/>
        <w:rPr>
          <w:sz w:val="28"/>
          <w:szCs w:val="28"/>
        </w:rPr>
      </w:pPr>
      <w:r w:rsidRPr="0087512B">
        <w:rPr>
          <w:sz w:val="28"/>
          <w:szCs w:val="28"/>
        </w:rPr>
        <w:t>statistikas datu pieejamība, t.sk. statiskas datu iegūšanas iespējas;</w:t>
      </w:r>
    </w:p>
    <w:p w:rsidR="00FB4767" w:rsidRPr="0087512B" w:rsidRDefault="00FB4767" w:rsidP="007E7F4B">
      <w:pPr>
        <w:pStyle w:val="NormalWeb"/>
        <w:numPr>
          <w:ilvl w:val="0"/>
          <w:numId w:val="29"/>
        </w:numPr>
        <w:spacing w:before="0" w:beforeAutospacing="0" w:after="0" w:afterAutospacing="0"/>
        <w:ind w:left="0" w:firstLine="1134"/>
        <w:jc w:val="both"/>
        <w:rPr>
          <w:sz w:val="28"/>
          <w:szCs w:val="28"/>
        </w:rPr>
      </w:pPr>
      <w:r w:rsidRPr="0087512B">
        <w:rPr>
          <w:sz w:val="28"/>
          <w:szCs w:val="28"/>
        </w:rPr>
        <w:t>skaidrs un daudzveidīgs informācijas sniegšanas veids.</w:t>
      </w:r>
    </w:p>
    <w:p w:rsidR="00FB4767" w:rsidRPr="0087512B" w:rsidRDefault="00FB4767" w:rsidP="00CD00CE">
      <w:pPr>
        <w:pStyle w:val="NormalWeb"/>
        <w:spacing w:before="0" w:beforeAutospacing="0" w:after="0" w:afterAutospacing="0"/>
        <w:ind w:firstLine="567"/>
        <w:jc w:val="both"/>
        <w:rPr>
          <w:sz w:val="28"/>
          <w:szCs w:val="28"/>
        </w:rPr>
      </w:pPr>
      <w:r w:rsidRPr="0087512B">
        <w:rPr>
          <w:sz w:val="28"/>
          <w:szCs w:val="28"/>
        </w:rPr>
        <w:t>Oficiālās statistikas sagatavošanas procesā tiek nodrošināta atbilstoša metodoloģija un konsekvents terminu, klasifikāciju un metožu pielietojums.</w:t>
      </w:r>
    </w:p>
    <w:p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Pasākums paredz statistikas apkopošanas prakses turpināšanu, vienlaikus pievēršot lielāku uzmanību retrospektīvo procesu izvērtēšanai.</w:t>
      </w:r>
    </w:p>
    <w:p w:rsidR="00FB4767" w:rsidRPr="0087512B" w:rsidRDefault="00FB4767" w:rsidP="0087512B">
      <w:pPr>
        <w:ind w:left="1134"/>
        <w:jc w:val="both"/>
        <w:rPr>
          <w:rFonts w:cs="Times New Roman"/>
          <w:sz w:val="28"/>
          <w:szCs w:val="28"/>
          <w:lang w:eastAsia="lv-LV"/>
        </w:rPr>
      </w:pPr>
      <w:r w:rsidRPr="0087512B">
        <w:rPr>
          <w:rFonts w:cs="Times New Roman"/>
          <w:sz w:val="28"/>
          <w:szCs w:val="28"/>
          <w:lang w:eastAsia="lv-LV"/>
        </w:rPr>
        <w:t>Par pasākumu atbildīgā iestāde – IAUI.</w:t>
      </w:r>
    </w:p>
    <w:p w:rsidR="00FB4767" w:rsidRPr="0087512B" w:rsidRDefault="00FB4767" w:rsidP="0087512B">
      <w:pPr>
        <w:ind w:left="720"/>
        <w:rPr>
          <w:rFonts w:cs="Times New Roman"/>
          <w:sz w:val="28"/>
          <w:szCs w:val="28"/>
          <w:lang w:eastAsia="lv-LV"/>
        </w:rPr>
      </w:pPr>
    </w:p>
    <w:p w:rsidR="00FB4767" w:rsidRPr="00CD00CE" w:rsidRDefault="00FB4767" w:rsidP="00CD00CE">
      <w:pPr>
        <w:pStyle w:val="ListParagraph"/>
        <w:numPr>
          <w:ilvl w:val="0"/>
          <w:numId w:val="62"/>
        </w:numPr>
        <w:ind w:left="0" w:firstLine="709"/>
        <w:rPr>
          <w:rFonts w:cs="Times New Roman"/>
          <w:sz w:val="28"/>
          <w:szCs w:val="28"/>
          <w:u w:val="single"/>
          <w:lang w:eastAsia="lv-LV"/>
        </w:rPr>
      </w:pPr>
      <w:r w:rsidRPr="00CD00CE">
        <w:rPr>
          <w:rFonts w:cs="Times New Roman"/>
          <w:sz w:val="28"/>
          <w:szCs w:val="28"/>
          <w:u w:val="single"/>
          <w:lang w:eastAsia="lv-LV"/>
        </w:rPr>
        <w:t>IAUI informatīvā sanāksme ar nozari.</w:t>
      </w:r>
    </w:p>
    <w:p w:rsidR="00FB4767" w:rsidRPr="0087512B" w:rsidRDefault="00FB4767" w:rsidP="00CD00CE">
      <w:pPr>
        <w:ind w:firstLine="567"/>
        <w:jc w:val="both"/>
        <w:rPr>
          <w:rFonts w:cs="Times New Roman"/>
          <w:sz w:val="28"/>
          <w:szCs w:val="28"/>
        </w:rPr>
      </w:pPr>
      <w:r w:rsidRPr="0087512B">
        <w:rPr>
          <w:rFonts w:cs="Times New Roman"/>
          <w:sz w:val="28"/>
          <w:szCs w:val="28"/>
          <w:lang w:eastAsia="lv-LV"/>
        </w:rPr>
        <w:t xml:space="preserve">Pasākums paredz </w:t>
      </w:r>
      <w:r w:rsidRPr="0087512B">
        <w:rPr>
          <w:rFonts w:cs="Times New Roman"/>
          <w:sz w:val="28"/>
          <w:szCs w:val="28"/>
        </w:rPr>
        <w:t>IAUI turpināt rīkot ik ceturkšņa informatīvās sanāksmes azartspēļu un izložu organizētājiem. Sanāksmes laikā nozares pārstāvji tiek informēti par ceturkšņa azartspēļu nozares finansiāliem saimnieciskās darbības operatīvajiem rezultātiem, kontroles pasākumos konstatētajiem trūkumiem un pārkāpumiem, par nozares regulējuma aktualitātēm.</w:t>
      </w:r>
    </w:p>
    <w:p w:rsidR="00FB4767" w:rsidRDefault="00FB4767" w:rsidP="00CD00CE">
      <w:pPr>
        <w:ind w:firstLine="567"/>
        <w:jc w:val="both"/>
        <w:rPr>
          <w:rFonts w:cs="Times New Roman"/>
          <w:sz w:val="28"/>
          <w:szCs w:val="28"/>
          <w:lang w:eastAsia="lv-LV"/>
        </w:rPr>
      </w:pPr>
      <w:r w:rsidRPr="0087512B">
        <w:rPr>
          <w:rFonts w:cs="Times New Roman"/>
          <w:sz w:val="28"/>
          <w:szCs w:val="28"/>
          <w:lang w:eastAsia="lv-LV"/>
        </w:rPr>
        <w:t>Par pasākumu atbildīgā iestāde – IAUI. Iesaistītās puses – LSBA, LIAB, nozares pārstāvji.</w:t>
      </w:r>
    </w:p>
    <w:p w:rsidR="005C3954" w:rsidRPr="0087512B" w:rsidRDefault="005C3954" w:rsidP="00CD00CE">
      <w:pPr>
        <w:ind w:firstLine="567"/>
        <w:jc w:val="both"/>
        <w:rPr>
          <w:rFonts w:cs="Times New Roman"/>
          <w:sz w:val="28"/>
          <w:szCs w:val="28"/>
          <w:lang w:eastAsia="lv-LV"/>
        </w:rPr>
      </w:pPr>
    </w:p>
    <w:p w:rsidR="00FB4767" w:rsidRPr="0087512B" w:rsidRDefault="00FB4767" w:rsidP="00CD00CE">
      <w:pPr>
        <w:pStyle w:val="ListParagraph"/>
        <w:numPr>
          <w:ilvl w:val="0"/>
          <w:numId w:val="62"/>
        </w:numPr>
        <w:ind w:left="0" w:firstLine="709"/>
        <w:rPr>
          <w:rFonts w:cs="Times New Roman"/>
          <w:sz w:val="28"/>
          <w:szCs w:val="28"/>
          <w:u w:val="single"/>
          <w:lang w:eastAsia="lv-LV"/>
        </w:rPr>
      </w:pPr>
      <w:r w:rsidRPr="0087512B">
        <w:rPr>
          <w:rFonts w:cs="Times New Roman"/>
          <w:sz w:val="28"/>
          <w:szCs w:val="28"/>
          <w:u w:val="single"/>
          <w:lang w:eastAsia="lv-LV"/>
        </w:rPr>
        <w:t>Publikācijas un informatīvie materiāli.</w:t>
      </w:r>
    </w:p>
    <w:p w:rsidR="00FB4767" w:rsidRPr="0087512B" w:rsidRDefault="00FB4767" w:rsidP="00CD00CE">
      <w:pPr>
        <w:ind w:firstLine="709"/>
        <w:jc w:val="both"/>
        <w:rPr>
          <w:rFonts w:cs="Times New Roman"/>
          <w:sz w:val="28"/>
          <w:szCs w:val="28"/>
        </w:rPr>
      </w:pPr>
      <w:r w:rsidRPr="0087512B">
        <w:rPr>
          <w:rFonts w:cs="Times New Roman"/>
          <w:sz w:val="28"/>
          <w:szCs w:val="28"/>
          <w:lang w:eastAsia="lv-LV"/>
        </w:rPr>
        <w:t xml:space="preserve">Pasākums paredz </w:t>
      </w:r>
      <w:r w:rsidRPr="0087512B">
        <w:rPr>
          <w:rFonts w:cs="Times New Roman"/>
          <w:sz w:val="28"/>
          <w:szCs w:val="28"/>
        </w:rPr>
        <w:t xml:space="preserve">IAUI turpināt publicēt informatīvos materiālus IAUI tīmekļa vietnē internetā, sniedzot sabiedrībai pārskatu par nozares galvenajiem rādītājiem, vienlaikus apkopojot arī citu iestāžu/ organizāciju sagatavotos materiālus vienā tīmekļa vietnē. </w:t>
      </w:r>
    </w:p>
    <w:p w:rsidR="00FB4767" w:rsidRPr="0087512B" w:rsidRDefault="00FB4767" w:rsidP="00CD00CE">
      <w:pPr>
        <w:ind w:firstLine="709"/>
        <w:jc w:val="both"/>
        <w:rPr>
          <w:rFonts w:cs="Times New Roman"/>
          <w:sz w:val="28"/>
          <w:szCs w:val="28"/>
          <w:lang w:eastAsia="lv-LV"/>
        </w:rPr>
      </w:pPr>
      <w:r w:rsidRPr="0087512B">
        <w:rPr>
          <w:rFonts w:cs="Times New Roman"/>
          <w:sz w:val="28"/>
          <w:szCs w:val="28"/>
          <w:lang w:eastAsia="lv-LV"/>
        </w:rPr>
        <w:t>Par pasākumu atbildīgā iestāde – IAUI</w:t>
      </w:r>
      <w:r w:rsidR="006B3EAB">
        <w:rPr>
          <w:rFonts w:cs="Times New Roman"/>
          <w:sz w:val="28"/>
          <w:szCs w:val="28"/>
          <w:lang w:eastAsia="lv-LV"/>
        </w:rPr>
        <w:t>.</w:t>
      </w:r>
    </w:p>
    <w:p w:rsidR="00213D6F" w:rsidRDefault="00213D6F" w:rsidP="0087512B">
      <w:pPr>
        <w:ind w:left="1134"/>
        <w:jc w:val="both"/>
        <w:rPr>
          <w:rFonts w:cs="Times New Roman"/>
          <w:sz w:val="28"/>
          <w:szCs w:val="28"/>
        </w:rPr>
      </w:pPr>
    </w:p>
    <w:p w:rsidR="00FB4767" w:rsidRPr="0087512B" w:rsidRDefault="00FB4767" w:rsidP="00CD00CE">
      <w:pPr>
        <w:ind w:firstLine="709"/>
        <w:jc w:val="both"/>
        <w:rPr>
          <w:rFonts w:cs="Times New Roman"/>
          <w:sz w:val="28"/>
          <w:szCs w:val="28"/>
        </w:rPr>
      </w:pPr>
      <w:r w:rsidRPr="0087512B">
        <w:rPr>
          <w:rFonts w:cs="Times New Roman"/>
          <w:sz w:val="28"/>
          <w:szCs w:val="28"/>
        </w:rPr>
        <w:t>Pasākums paredz Veselības ministrijai sadarbībā ar IAUI izstrādāt informatīvo(s) materiālu(s) par azartspēļu atkarības riskiem un to mazināšanas iespējām.</w:t>
      </w:r>
    </w:p>
    <w:p w:rsidR="00FB4767" w:rsidRPr="0087512B" w:rsidRDefault="00FB4767" w:rsidP="00CD00CE">
      <w:pPr>
        <w:ind w:firstLine="709"/>
        <w:jc w:val="both"/>
        <w:rPr>
          <w:rFonts w:cs="Times New Roman"/>
          <w:sz w:val="28"/>
          <w:szCs w:val="28"/>
        </w:rPr>
      </w:pPr>
      <w:r w:rsidRPr="0087512B">
        <w:rPr>
          <w:rFonts w:cs="Times New Roman"/>
          <w:sz w:val="28"/>
          <w:szCs w:val="28"/>
          <w:lang w:eastAsia="lv-LV"/>
        </w:rPr>
        <w:t>Par pasākumu atbildīgā iestāde – Veselības ministrija, iesaistītā puse – IAUI.</w:t>
      </w:r>
    </w:p>
    <w:p w:rsidR="00015B9C" w:rsidRPr="007571C1" w:rsidRDefault="002A63F7" w:rsidP="009E0A36">
      <w:pPr>
        <w:pStyle w:val="Heading1"/>
        <w:numPr>
          <w:ilvl w:val="0"/>
          <w:numId w:val="36"/>
        </w:numPr>
        <w:ind w:left="0" w:firstLine="0"/>
        <w:jc w:val="center"/>
        <w:rPr>
          <w:rFonts w:ascii="Times New Roman" w:eastAsia="Times New Roman" w:hAnsi="Times New Roman" w:cs="Times New Roman"/>
          <w:b/>
          <w:color w:val="auto"/>
          <w:sz w:val="28"/>
          <w:szCs w:val="28"/>
          <w:lang w:eastAsia="lv-LV"/>
        </w:rPr>
      </w:pPr>
      <w:bookmarkStart w:id="1565" w:name="_Toc56087193"/>
      <w:r>
        <w:rPr>
          <w:rFonts w:ascii="Times New Roman" w:eastAsia="Times New Roman" w:hAnsi="Times New Roman" w:cs="Times New Roman"/>
          <w:b/>
          <w:color w:val="auto"/>
          <w:sz w:val="28"/>
          <w:szCs w:val="28"/>
          <w:lang w:eastAsia="lv-LV"/>
        </w:rPr>
        <w:t>Azartspēļu un izložu</w:t>
      </w:r>
      <w:r w:rsidR="00015B9C" w:rsidRPr="007571C1">
        <w:rPr>
          <w:rFonts w:ascii="Times New Roman" w:eastAsia="Times New Roman" w:hAnsi="Times New Roman" w:cs="Times New Roman"/>
          <w:b/>
          <w:color w:val="auto"/>
          <w:sz w:val="28"/>
          <w:szCs w:val="28"/>
          <w:lang w:eastAsia="lv-LV"/>
        </w:rPr>
        <w:t xml:space="preserve"> nozares uzraudzība</w:t>
      </w:r>
      <w:bookmarkEnd w:id="1565"/>
    </w:p>
    <w:p w:rsidR="00015B9C" w:rsidRPr="0087512B" w:rsidRDefault="00015B9C" w:rsidP="00015B9C">
      <w:pPr>
        <w:jc w:val="center"/>
        <w:rPr>
          <w:rFonts w:cs="Times New Roman"/>
          <w:i/>
          <w:sz w:val="28"/>
          <w:szCs w:val="28"/>
        </w:rPr>
      </w:pPr>
    </w:p>
    <w:p w:rsidR="00015B9C" w:rsidRPr="0087512B" w:rsidRDefault="00015B9C" w:rsidP="00015B9C">
      <w:pPr>
        <w:pStyle w:val="NoSpacing"/>
        <w:ind w:firstLine="567"/>
        <w:jc w:val="both"/>
        <w:rPr>
          <w:rFonts w:ascii="Times New Roman" w:hAnsi="Times New Roman" w:cs="Times New Roman"/>
          <w:sz w:val="28"/>
          <w:szCs w:val="28"/>
        </w:rPr>
      </w:pPr>
      <w:r w:rsidRPr="0087512B">
        <w:rPr>
          <w:rFonts w:ascii="Times New Roman" w:hAnsi="Times New Roman" w:cs="Times New Roman"/>
          <w:sz w:val="28"/>
          <w:szCs w:val="28"/>
        </w:rPr>
        <w:t>Latvija, veidojot AI nozares politiku, tāpat kā vairums ES dalībvalstu, ir izvirzījusi stingras prasības azartspēļu un izložu organizēšanai, nolūkā kontrolēt un regulēt azartspēļu un izložu piedāvājumu savās teritorijās, lai:</w:t>
      </w:r>
    </w:p>
    <w:p w:rsidR="00015B9C" w:rsidRPr="0087512B" w:rsidRDefault="00015B9C" w:rsidP="00CD00CE">
      <w:pPr>
        <w:pStyle w:val="NoSpacing"/>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lastRenderedPageBreak/>
        <w:t>nodrošinātu, ka azartspēles patērētājiem ir drošas (t.sk., atbilst vispārējām elektrodrošības prasībām) un tiek rīkotas godīgi (</w:t>
      </w:r>
      <w:r w:rsidR="00FE3031">
        <w:rPr>
          <w:rFonts w:ascii="Times New Roman" w:hAnsi="Times New Roman" w:cs="Times New Roman"/>
          <w:sz w:val="28"/>
          <w:szCs w:val="28"/>
        </w:rPr>
        <w:t xml:space="preserve">ang. val. </w:t>
      </w:r>
      <w:r w:rsidRPr="0087512B">
        <w:rPr>
          <w:rFonts w:ascii="Times New Roman" w:hAnsi="Times New Roman" w:cs="Times New Roman"/>
          <w:i/>
          <w:sz w:val="28"/>
          <w:szCs w:val="28"/>
        </w:rPr>
        <w:t>fair</w:t>
      </w:r>
      <w:r w:rsidRPr="0087512B">
        <w:rPr>
          <w:rFonts w:ascii="Times New Roman" w:hAnsi="Times New Roman" w:cs="Times New Roman"/>
          <w:sz w:val="28"/>
          <w:szCs w:val="28"/>
        </w:rPr>
        <w:t>) no viedokļa, ka automātu un citu azartspēļu iekārtu tehniskais aprīkojums un programmatūra nodrošina likumā noteiktās garantijas;</w:t>
      </w:r>
    </w:p>
    <w:p w:rsidR="00015B9C" w:rsidRPr="0087512B" w:rsidRDefault="00015B9C" w:rsidP="00CD00CE">
      <w:pPr>
        <w:pStyle w:val="NoSpacing"/>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nodrošinātu, ka azartspēļu un izložu organizētāji atbilst </w:t>
      </w:r>
      <w:r w:rsidR="00ED2C4A">
        <w:rPr>
          <w:rFonts w:ascii="Times New Roman" w:hAnsi="Times New Roman" w:cs="Times New Roman"/>
          <w:sz w:val="28"/>
          <w:szCs w:val="28"/>
        </w:rPr>
        <w:t xml:space="preserve">AIL </w:t>
      </w:r>
      <w:r w:rsidRPr="0087512B">
        <w:rPr>
          <w:rFonts w:ascii="Times New Roman" w:hAnsi="Times New Roman" w:cs="Times New Roman"/>
          <w:sz w:val="28"/>
          <w:szCs w:val="28"/>
        </w:rPr>
        <w:t>noteiktajām prasībām (tiem ir pietiekami finanšu līdzekļi, kuru izcelsme ir nosakāma, amatpersonām ir atbilstoša reputācija un tie nav bijuši notiesāti vai rīcībnespējīgi);</w:t>
      </w:r>
    </w:p>
    <w:p w:rsidR="00015B9C" w:rsidRPr="0087512B" w:rsidRDefault="00015B9C" w:rsidP="00CD00CE">
      <w:pPr>
        <w:pStyle w:val="NoSpacing"/>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nodrošinātu azartspēļu un izložu kontroli un uzraudzību, lai tās tiktu organizētas tikai atbilstoši normatīvo aktu prasībām;</w:t>
      </w:r>
    </w:p>
    <w:p w:rsidR="00015B9C" w:rsidRPr="0087512B" w:rsidRDefault="00015B9C" w:rsidP="00CD00CE">
      <w:pPr>
        <w:pStyle w:val="NoSpacing"/>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nodrošinātu sabiedrības un spēlētāju interešu aizsardzību un veiktu darbības, lai samazinātu iespējamo sociālo risku (atkarības veidošanos), saistītu ar azartspēlēm; </w:t>
      </w:r>
    </w:p>
    <w:p w:rsidR="00015B9C" w:rsidRPr="0087512B" w:rsidRDefault="00015B9C" w:rsidP="00CD00CE">
      <w:pPr>
        <w:pStyle w:val="NoSpacing"/>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nepieļautu noziedzīgi iegūtu līdzekļu legalizāciju un spēļu rezultātu sarunāšanu, izvirzot speciālas prasības nozares darījumu atpazīšanai, kontrolei un uzraudzībai. </w:t>
      </w:r>
    </w:p>
    <w:p w:rsidR="00015B9C" w:rsidRPr="0087512B" w:rsidRDefault="00015B9C" w:rsidP="00015B9C">
      <w:pPr>
        <w:ind w:firstLine="567"/>
        <w:jc w:val="both"/>
        <w:rPr>
          <w:rFonts w:cs="Times New Roman"/>
          <w:sz w:val="28"/>
          <w:szCs w:val="28"/>
        </w:rPr>
      </w:pPr>
      <w:r w:rsidRPr="0087512B">
        <w:rPr>
          <w:rFonts w:cs="Times New Roman"/>
          <w:sz w:val="28"/>
          <w:szCs w:val="28"/>
        </w:rPr>
        <w:t xml:space="preserve">Pārsvarā ES dalībvalstīs azartspēļu uzraudzības institūcijas ir par nozari atbildīgā ministra tiešā pakļautībā vai neatkarīga institūcija vai citās uzraugošajās iestādēs integrētas institūcijas. Latvijā AI nozares kontroles un uzraudzības funkcijas veic IAUI. </w:t>
      </w:r>
    </w:p>
    <w:p w:rsidR="00015B9C" w:rsidRPr="0087512B" w:rsidRDefault="00015B9C" w:rsidP="00015B9C">
      <w:pPr>
        <w:ind w:firstLine="720"/>
        <w:jc w:val="both"/>
        <w:rPr>
          <w:rFonts w:cs="Times New Roman"/>
          <w:sz w:val="28"/>
          <w:szCs w:val="28"/>
        </w:rPr>
      </w:pPr>
      <w:r w:rsidRPr="0087512B">
        <w:rPr>
          <w:rFonts w:cs="Times New Roman"/>
          <w:sz w:val="28"/>
          <w:szCs w:val="28"/>
        </w:rPr>
        <w:t>IAUI pamatuzdevums ir veikt azartspēļu un izložu organizētāju licencēšanu, uzraudzību un kontroli, lai īstenotu AIL mērķi – nodrošināt sabiedrības interešu un spēlētāju tiesību aizsardzību.</w:t>
      </w:r>
    </w:p>
    <w:p w:rsidR="00BB444F" w:rsidRDefault="00015B9C" w:rsidP="00015B9C">
      <w:pPr>
        <w:pStyle w:val="NoSpacing"/>
        <w:ind w:firstLine="720"/>
        <w:jc w:val="both"/>
        <w:rPr>
          <w:rFonts w:ascii="Times New Roman" w:hAnsi="Times New Roman" w:cs="Times New Roman"/>
          <w:sz w:val="28"/>
          <w:szCs w:val="28"/>
        </w:rPr>
      </w:pPr>
      <w:r w:rsidRPr="0087512B">
        <w:rPr>
          <w:rFonts w:ascii="Times New Roman" w:hAnsi="Times New Roman" w:cs="Times New Roman"/>
          <w:sz w:val="28"/>
          <w:szCs w:val="28"/>
        </w:rPr>
        <w:t xml:space="preserve">Atbilstoši 2017.gada 21.jūnijā apstiprinātajai IAUI darbības </w:t>
      </w:r>
      <w:r w:rsidRPr="0034541C">
        <w:rPr>
          <w:rFonts w:ascii="Times New Roman" w:hAnsi="Times New Roman" w:cs="Times New Roman"/>
          <w:sz w:val="28"/>
          <w:szCs w:val="28"/>
        </w:rPr>
        <w:t xml:space="preserve">stratēģijai </w:t>
      </w:r>
      <w:r w:rsidR="00B35D64" w:rsidRPr="0034541C">
        <w:rPr>
          <w:rFonts w:ascii="Times New Roman" w:hAnsi="Times New Roman" w:cs="Times New Roman"/>
          <w:sz w:val="28"/>
          <w:szCs w:val="28"/>
        </w:rPr>
        <w:t>20</w:t>
      </w:r>
      <w:r w:rsidR="00B35D64">
        <w:rPr>
          <w:rFonts w:ascii="Times New Roman" w:hAnsi="Times New Roman" w:cs="Times New Roman"/>
          <w:sz w:val="28"/>
          <w:szCs w:val="28"/>
        </w:rPr>
        <w:t>20</w:t>
      </w:r>
      <w:r w:rsidRPr="0034541C">
        <w:rPr>
          <w:rFonts w:ascii="Times New Roman" w:hAnsi="Times New Roman" w:cs="Times New Roman"/>
          <w:sz w:val="28"/>
          <w:szCs w:val="28"/>
        </w:rPr>
        <w:t>.-</w:t>
      </w:r>
      <w:r w:rsidR="00B35D64" w:rsidRPr="0034541C">
        <w:rPr>
          <w:rFonts w:ascii="Times New Roman" w:hAnsi="Times New Roman" w:cs="Times New Roman"/>
          <w:sz w:val="28"/>
          <w:szCs w:val="28"/>
        </w:rPr>
        <w:t>20</w:t>
      </w:r>
      <w:r w:rsidR="00B35D64">
        <w:rPr>
          <w:rFonts w:ascii="Times New Roman" w:hAnsi="Times New Roman" w:cs="Times New Roman"/>
          <w:sz w:val="28"/>
          <w:szCs w:val="28"/>
        </w:rPr>
        <w:t>2</w:t>
      </w:r>
      <w:r w:rsidR="00563417">
        <w:rPr>
          <w:rFonts w:ascii="Times New Roman" w:hAnsi="Times New Roman" w:cs="Times New Roman"/>
          <w:sz w:val="28"/>
          <w:szCs w:val="28"/>
        </w:rPr>
        <w:t>2</w:t>
      </w:r>
      <w:r w:rsidRPr="0034541C">
        <w:rPr>
          <w:rFonts w:ascii="Times New Roman" w:hAnsi="Times New Roman" w:cs="Times New Roman"/>
          <w:sz w:val="28"/>
          <w:szCs w:val="28"/>
        </w:rPr>
        <w:t>. gadam</w:t>
      </w:r>
      <w:r w:rsidRPr="0087512B">
        <w:rPr>
          <w:rFonts w:ascii="Times New Roman" w:hAnsi="Times New Roman" w:cs="Times New Roman"/>
          <w:sz w:val="28"/>
          <w:szCs w:val="28"/>
        </w:rPr>
        <w:t xml:space="preserve"> IAUI noteiktas šādas prioritātes:</w:t>
      </w:r>
      <w:r w:rsidR="00BB444F">
        <w:rPr>
          <w:rFonts w:ascii="Times New Roman" w:hAnsi="Times New Roman" w:cs="Times New Roman"/>
          <w:sz w:val="28"/>
          <w:szCs w:val="28"/>
        </w:rPr>
        <w:t xml:space="preserve"> </w:t>
      </w:r>
    </w:p>
    <w:p w:rsidR="00BB444F" w:rsidRDefault="00CD00CE" w:rsidP="00CD00C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63417" w:rsidRPr="009C3046">
        <w:rPr>
          <w:rFonts w:ascii="Times New Roman" w:hAnsi="Times New Roman" w:cs="Times New Roman"/>
          <w:sz w:val="28"/>
          <w:szCs w:val="28"/>
        </w:rPr>
        <w:t>Elektronisko</w:t>
      </w:r>
      <w:r w:rsidR="00563417" w:rsidRPr="00506001">
        <w:rPr>
          <w:rFonts w:ascii="Times New Roman" w:hAnsi="Times New Roman" w:cs="Times New Roman"/>
          <w:sz w:val="28"/>
          <w:szCs w:val="28"/>
        </w:rPr>
        <w:t xml:space="preserve"> sakaru pakalpojumu komersantu uzraudzība nelicencēto interaktīvo izložu un azartspēļu piekļuves </w:t>
      </w:r>
      <w:r w:rsidR="00563417" w:rsidRPr="009C3046">
        <w:rPr>
          <w:rFonts w:ascii="Times New Roman" w:hAnsi="Times New Roman" w:cs="Times New Roman"/>
          <w:sz w:val="28"/>
          <w:szCs w:val="28"/>
        </w:rPr>
        <w:t>ierobežošanā</w:t>
      </w:r>
      <w:r w:rsidR="00015B9C" w:rsidRPr="00BB444F">
        <w:rPr>
          <w:rFonts w:ascii="Times New Roman" w:hAnsi="Times New Roman" w:cs="Times New Roman"/>
          <w:sz w:val="28"/>
          <w:szCs w:val="28"/>
        </w:rPr>
        <w:t>;</w:t>
      </w:r>
      <w:r w:rsidR="00BB444F">
        <w:rPr>
          <w:rFonts w:ascii="Times New Roman" w:hAnsi="Times New Roman" w:cs="Times New Roman"/>
          <w:sz w:val="28"/>
          <w:szCs w:val="28"/>
        </w:rPr>
        <w:t xml:space="preserve"> </w:t>
      </w:r>
    </w:p>
    <w:p w:rsidR="00FE3031" w:rsidRDefault="00CD00CE" w:rsidP="00CD00C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63417" w:rsidRPr="00BB444F">
        <w:rPr>
          <w:rFonts w:ascii="Times New Roman" w:hAnsi="Times New Roman" w:cs="Times New Roman"/>
          <w:sz w:val="28"/>
          <w:szCs w:val="28"/>
        </w:rPr>
        <w:t>Nelegālo azartspēļu norises vietu un pieejamības ierobežošana</w:t>
      </w:r>
      <w:r w:rsidR="00B35D64" w:rsidRPr="00BB444F">
        <w:rPr>
          <w:rFonts w:ascii="Times New Roman" w:hAnsi="Times New Roman" w:cs="Times New Roman"/>
          <w:sz w:val="28"/>
          <w:szCs w:val="28"/>
        </w:rPr>
        <w:t>;</w:t>
      </w:r>
    </w:p>
    <w:p w:rsidR="00FE3031" w:rsidRDefault="00CD00CE" w:rsidP="00CD00C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63417" w:rsidRPr="009C3046">
        <w:rPr>
          <w:rFonts w:ascii="Times New Roman" w:hAnsi="Times New Roman" w:cs="Times New Roman"/>
          <w:sz w:val="28"/>
          <w:szCs w:val="28"/>
        </w:rPr>
        <w:t>Efektīva azartspēļu reklāmas kontrole</w:t>
      </w:r>
      <w:r w:rsidR="00B35D64" w:rsidRPr="00BB444F">
        <w:rPr>
          <w:rFonts w:ascii="Times New Roman" w:hAnsi="Times New Roman" w:cs="Times New Roman"/>
          <w:sz w:val="28"/>
          <w:szCs w:val="28"/>
        </w:rPr>
        <w:t>;</w:t>
      </w:r>
    </w:p>
    <w:p w:rsidR="00BB444F" w:rsidRDefault="00CD00CE" w:rsidP="00CD00C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63417" w:rsidRPr="009C3046">
        <w:rPr>
          <w:rFonts w:ascii="Times New Roman" w:hAnsi="Times New Roman" w:cs="Times New Roman"/>
          <w:sz w:val="28"/>
          <w:szCs w:val="28"/>
        </w:rPr>
        <w:t xml:space="preserve">Kontrole par to, kā </w:t>
      </w:r>
      <w:r w:rsidR="00296191">
        <w:rPr>
          <w:rFonts w:ascii="Times New Roman" w:hAnsi="Times New Roman" w:cs="Times New Roman"/>
          <w:sz w:val="28"/>
          <w:szCs w:val="28"/>
        </w:rPr>
        <w:t>elektronisko sakaru komersanti</w:t>
      </w:r>
      <w:r w:rsidR="00563417" w:rsidRPr="009C3046">
        <w:rPr>
          <w:rFonts w:ascii="Times New Roman" w:hAnsi="Times New Roman" w:cs="Times New Roman"/>
          <w:sz w:val="28"/>
          <w:szCs w:val="28"/>
        </w:rPr>
        <w:t xml:space="preserve"> pilda inspekcijas pieņemtos lēmumus par nelicencētu vietņu bloķēšanu un maksājumu iestāžu kompetences un pilnvaru palielināšana, ierobežojot neatļautus maksājumus</w:t>
      </w:r>
      <w:r w:rsidR="009E44D5">
        <w:rPr>
          <w:rFonts w:ascii="Times New Roman" w:hAnsi="Times New Roman" w:cs="Times New Roman"/>
          <w:sz w:val="28"/>
          <w:szCs w:val="28"/>
        </w:rPr>
        <w:t xml:space="preserve"> un piemērojot sodus personām par nelicencētu tīmekļu vietņu apmeklēšanu</w:t>
      </w:r>
      <w:r w:rsidR="00563417" w:rsidRPr="009C3046">
        <w:rPr>
          <w:rFonts w:ascii="Times New Roman" w:hAnsi="Times New Roman" w:cs="Times New Roman"/>
          <w:sz w:val="28"/>
          <w:szCs w:val="28"/>
        </w:rPr>
        <w:t>;</w:t>
      </w:r>
      <w:r w:rsidR="00BB444F">
        <w:rPr>
          <w:rFonts w:ascii="Times New Roman" w:hAnsi="Times New Roman" w:cs="Times New Roman"/>
          <w:sz w:val="28"/>
          <w:szCs w:val="28"/>
        </w:rPr>
        <w:t xml:space="preserve"> </w:t>
      </w:r>
    </w:p>
    <w:p w:rsidR="00015B9C" w:rsidRPr="00BB444F" w:rsidRDefault="00CD00CE" w:rsidP="00CD00C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63417" w:rsidRPr="009C3046">
        <w:rPr>
          <w:rFonts w:ascii="Times New Roman" w:hAnsi="Times New Roman" w:cs="Times New Roman"/>
          <w:sz w:val="28"/>
          <w:szCs w:val="28"/>
        </w:rPr>
        <w:t>Informatīvo kampaņu īstenošana, lai nodrošinātu sabiedrības informētību par azartspēļu un izložu nozares ietekmi uz valsts ekonomiku, sabiedrību un katru indivīdu.</w:t>
      </w:r>
      <w:r w:rsidR="00563417" w:rsidRPr="009C3046" w:rsidDel="00B35D64">
        <w:rPr>
          <w:rFonts w:ascii="Times New Roman" w:hAnsi="Times New Roman" w:cs="Times New Roman"/>
          <w:sz w:val="28"/>
          <w:szCs w:val="28"/>
          <w:highlight w:val="yellow"/>
        </w:rPr>
        <w:t xml:space="preserve"> </w:t>
      </w:r>
    </w:p>
    <w:p w:rsidR="00015B9C" w:rsidRPr="0087512B" w:rsidRDefault="00015B9C" w:rsidP="00841B91">
      <w:pPr>
        <w:pStyle w:val="NoSpacing"/>
        <w:ind w:firstLine="709"/>
        <w:jc w:val="both"/>
        <w:rPr>
          <w:rFonts w:ascii="Times New Roman" w:hAnsi="Times New Roman" w:cs="Times New Roman"/>
          <w:sz w:val="28"/>
          <w:szCs w:val="28"/>
        </w:rPr>
      </w:pPr>
      <w:r w:rsidRPr="00B35D64">
        <w:rPr>
          <w:rFonts w:ascii="Times New Roman" w:hAnsi="Times New Roman" w:cs="Times New Roman"/>
          <w:sz w:val="28"/>
          <w:szCs w:val="28"/>
        </w:rPr>
        <w:t>IAUI ir viena no 22 uzraudzības iestādēm, kas 2017.gada 15.jūnijā</w:t>
      </w:r>
      <w:r w:rsidRPr="0087512B">
        <w:rPr>
          <w:rFonts w:ascii="Times New Roman" w:hAnsi="Times New Roman" w:cs="Times New Roman"/>
          <w:sz w:val="28"/>
          <w:szCs w:val="28"/>
        </w:rPr>
        <w:t xml:space="preserve"> parakstījusi sadarbības memorandu par principa “Konsultē vispirms” ieviešanu. </w:t>
      </w:r>
    </w:p>
    <w:p w:rsidR="00015B9C" w:rsidRPr="0087512B" w:rsidRDefault="00015B9C" w:rsidP="00841B91">
      <w:pPr>
        <w:pStyle w:val="NoSpacing"/>
        <w:ind w:firstLine="709"/>
        <w:jc w:val="both"/>
        <w:rPr>
          <w:rFonts w:ascii="Times New Roman" w:hAnsi="Times New Roman" w:cs="Times New Roman"/>
          <w:sz w:val="28"/>
          <w:szCs w:val="28"/>
        </w:rPr>
      </w:pPr>
      <w:r w:rsidRPr="0087512B">
        <w:rPr>
          <w:rFonts w:ascii="Times New Roman" w:hAnsi="Times New Roman" w:cs="Times New Roman"/>
          <w:sz w:val="28"/>
          <w:szCs w:val="28"/>
        </w:rPr>
        <w:t>Par IAUI darbu vērtējums (klientu aptauja) tika veikts 2017.gada augustā – septembrī. Vidējais novērtējums 10 baļļu sistēmā par IAUI bija 8.5 punkti. Preču un pakalpojumu loteriju uzraudzībā – 7.97</w:t>
      </w:r>
      <w:r w:rsidR="00FE3031">
        <w:rPr>
          <w:rFonts w:ascii="Times New Roman" w:hAnsi="Times New Roman" w:cs="Times New Roman"/>
          <w:sz w:val="28"/>
          <w:szCs w:val="28"/>
        </w:rPr>
        <w:t xml:space="preserve"> punkti</w:t>
      </w:r>
      <w:r w:rsidRPr="0087512B">
        <w:rPr>
          <w:rFonts w:ascii="Times New Roman" w:hAnsi="Times New Roman" w:cs="Times New Roman"/>
          <w:sz w:val="28"/>
          <w:szCs w:val="28"/>
        </w:rPr>
        <w:t xml:space="preserve">. Par azartspēļu uzraudzību aptauja netika veikta, jo tas būtu neobjektīvi. Darba kvalitāti apliecina arī sūdzību/pārsūdzību neesamība par IAUI darbībām un rīcību.  </w:t>
      </w:r>
    </w:p>
    <w:p w:rsidR="00015B9C" w:rsidRPr="0087512B" w:rsidRDefault="00015B9C" w:rsidP="00841B91">
      <w:pPr>
        <w:pStyle w:val="NoSpacing"/>
        <w:ind w:firstLine="709"/>
        <w:jc w:val="both"/>
        <w:rPr>
          <w:rFonts w:ascii="Times New Roman" w:hAnsi="Times New Roman" w:cs="Times New Roman"/>
          <w:sz w:val="28"/>
          <w:szCs w:val="28"/>
        </w:rPr>
      </w:pPr>
      <w:r w:rsidRPr="0087512B">
        <w:rPr>
          <w:rFonts w:ascii="Times New Roman" w:hAnsi="Times New Roman" w:cs="Times New Roman"/>
          <w:sz w:val="28"/>
          <w:szCs w:val="28"/>
        </w:rPr>
        <w:lastRenderedPageBreak/>
        <w:t>Attīstoties AI nozarei, IAUI ir būtiski pieaudzis darba apjoms, kā rezultātā, lai uzdevumi tiktu atbilstoši prasībām un kvalitatīvi veikti, ir nepieciešams izvērtēt IAUI kapacitāti un finansējumu.</w:t>
      </w:r>
    </w:p>
    <w:p w:rsidR="00015B9C" w:rsidRPr="0087512B" w:rsidRDefault="00015B9C" w:rsidP="00841B91">
      <w:pPr>
        <w:pStyle w:val="NoSpacing"/>
        <w:ind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Iepriekšminētā pamatojums, ka </w:t>
      </w:r>
      <w:r w:rsidR="00296191">
        <w:rPr>
          <w:rFonts w:ascii="Times New Roman" w:hAnsi="Times New Roman" w:cs="Times New Roman"/>
          <w:sz w:val="28"/>
          <w:szCs w:val="28"/>
        </w:rPr>
        <w:t xml:space="preserve">kopš </w:t>
      </w:r>
      <w:r w:rsidRPr="0087512B">
        <w:rPr>
          <w:rFonts w:ascii="Times New Roman" w:hAnsi="Times New Roman" w:cs="Times New Roman"/>
          <w:sz w:val="28"/>
          <w:szCs w:val="28"/>
        </w:rPr>
        <w:t>2018.gad</w:t>
      </w:r>
      <w:r w:rsidR="00296191">
        <w:rPr>
          <w:rFonts w:ascii="Times New Roman" w:hAnsi="Times New Roman" w:cs="Times New Roman"/>
          <w:sz w:val="28"/>
          <w:szCs w:val="28"/>
        </w:rPr>
        <w:t>a</w:t>
      </w:r>
      <w:r w:rsidRPr="0087512B">
        <w:rPr>
          <w:rFonts w:ascii="Times New Roman" w:hAnsi="Times New Roman" w:cs="Times New Roman"/>
          <w:sz w:val="28"/>
          <w:szCs w:val="28"/>
        </w:rPr>
        <w:t xml:space="preserve"> un turpmāk IAUI funkcijas un pienākumu apjoms palielināsies, ir sekojošs:</w:t>
      </w:r>
    </w:p>
    <w:p w:rsidR="00015B9C" w:rsidRPr="006A1B34" w:rsidRDefault="00015B9C" w:rsidP="00FA2DBC">
      <w:pPr>
        <w:pStyle w:val="NoSpacing"/>
        <w:numPr>
          <w:ilvl w:val="1"/>
          <w:numId w:val="21"/>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pieaug interaktīvo azartspēļu organizētāju skaits – pašlaik izsniegtas </w:t>
      </w:r>
      <w:r w:rsidR="00FA2DBC" w:rsidRPr="0087512B">
        <w:rPr>
          <w:rFonts w:ascii="Times New Roman" w:hAnsi="Times New Roman" w:cs="Times New Roman"/>
          <w:sz w:val="28"/>
          <w:szCs w:val="28"/>
        </w:rPr>
        <w:t>1</w:t>
      </w:r>
      <w:r w:rsidR="00FA2DBC">
        <w:rPr>
          <w:rFonts w:ascii="Times New Roman" w:hAnsi="Times New Roman" w:cs="Times New Roman"/>
          <w:sz w:val="28"/>
          <w:szCs w:val="28"/>
        </w:rPr>
        <w:t>2</w:t>
      </w:r>
      <w:r w:rsidR="00FA2DBC" w:rsidRPr="0087512B">
        <w:rPr>
          <w:rFonts w:ascii="Times New Roman" w:hAnsi="Times New Roman" w:cs="Times New Roman"/>
          <w:sz w:val="28"/>
          <w:szCs w:val="28"/>
        </w:rPr>
        <w:t xml:space="preserve"> </w:t>
      </w:r>
      <w:r w:rsidRPr="006A1B34">
        <w:rPr>
          <w:rFonts w:ascii="Times New Roman" w:hAnsi="Times New Roman" w:cs="Times New Roman"/>
          <w:sz w:val="28"/>
          <w:szCs w:val="28"/>
        </w:rPr>
        <w:t xml:space="preserve">licences, </w:t>
      </w:r>
      <w:r w:rsidR="00FA2DBC">
        <w:rPr>
          <w:rFonts w:ascii="Times New Roman" w:hAnsi="Times New Roman" w:cs="Times New Roman"/>
          <w:sz w:val="28"/>
          <w:szCs w:val="28"/>
        </w:rPr>
        <w:t>a</w:t>
      </w:r>
      <w:r w:rsidR="00FA2DBC" w:rsidRPr="00FA2DBC">
        <w:rPr>
          <w:rFonts w:ascii="Times New Roman" w:hAnsi="Times New Roman" w:cs="Times New Roman"/>
          <w:sz w:val="28"/>
          <w:szCs w:val="28"/>
        </w:rPr>
        <w:t>zartspēles organizē</w:t>
      </w:r>
      <w:r w:rsidR="00FA2DBC">
        <w:rPr>
          <w:rFonts w:ascii="Times New Roman" w:hAnsi="Times New Roman" w:cs="Times New Roman"/>
          <w:sz w:val="28"/>
          <w:szCs w:val="28"/>
        </w:rPr>
        <w:t>jot</w:t>
      </w:r>
      <w:r w:rsidR="00FA2DBC" w:rsidRPr="00FA2DBC">
        <w:rPr>
          <w:rFonts w:ascii="Times New Roman" w:hAnsi="Times New Roman" w:cs="Times New Roman"/>
          <w:sz w:val="28"/>
          <w:szCs w:val="28"/>
        </w:rPr>
        <w:t xml:space="preserve"> 11 interneta vietnēs</w:t>
      </w:r>
      <w:r w:rsidR="00FA2DBC">
        <w:rPr>
          <w:rFonts w:ascii="Times New Roman" w:hAnsi="Times New Roman" w:cs="Times New Roman"/>
          <w:sz w:val="28"/>
          <w:szCs w:val="28"/>
        </w:rPr>
        <w:t>, viens iesniegums ir izskatīšanas stadij</w:t>
      </w:r>
      <w:r w:rsidR="001F138C">
        <w:rPr>
          <w:rFonts w:ascii="Times New Roman" w:hAnsi="Times New Roman" w:cs="Times New Roman"/>
          <w:sz w:val="28"/>
          <w:szCs w:val="28"/>
        </w:rPr>
        <w:t>ā (uz 20.07.2020.).</w:t>
      </w:r>
      <w:r w:rsidRPr="006A1B34">
        <w:rPr>
          <w:rFonts w:ascii="Times New Roman" w:hAnsi="Times New Roman" w:cs="Times New Roman"/>
          <w:sz w:val="28"/>
          <w:szCs w:val="28"/>
        </w:rPr>
        <w:t xml:space="preserve"> 2017.gadā Latvijā bija izsniegtas 7 interaktīvo azartspēļu organizēšanas licences</w:t>
      </w:r>
      <w:r w:rsidR="002B0E86">
        <w:rPr>
          <w:rFonts w:ascii="Times New Roman" w:hAnsi="Times New Roman" w:cs="Times New Roman"/>
          <w:sz w:val="28"/>
          <w:szCs w:val="28"/>
        </w:rPr>
        <w:t>;</w:t>
      </w:r>
    </w:p>
    <w:p w:rsidR="00015B9C" w:rsidRPr="006A1B34" w:rsidRDefault="00015B9C" w:rsidP="00CD00CE">
      <w:pPr>
        <w:pStyle w:val="NoSpacing"/>
        <w:numPr>
          <w:ilvl w:val="1"/>
          <w:numId w:val="21"/>
        </w:numPr>
        <w:ind w:left="0" w:firstLine="709"/>
        <w:jc w:val="both"/>
        <w:rPr>
          <w:rFonts w:ascii="Times New Roman" w:hAnsi="Times New Roman" w:cs="Times New Roman"/>
          <w:sz w:val="28"/>
          <w:szCs w:val="28"/>
        </w:rPr>
      </w:pPr>
      <w:r w:rsidRPr="006A1B34">
        <w:rPr>
          <w:rFonts w:ascii="Times New Roman" w:hAnsi="Times New Roman" w:cs="Times New Roman"/>
          <w:sz w:val="28"/>
          <w:szCs w:val="28"/>
        </w:rPr>
        <w:t>ieviešot AKUS – vienotās sistēmas darbības uzsākšanai, 2019.gada sākumā, kad turpinā</w:t>
      </w:r>
      <w:r w:rsidR="00296191">
        <w:rPr>
          <w:rFonts w:ascii="Times New Roman" w:hAnsi="Times New Roman" w:cs="Times New Roman"/>
          <w:sz w:val="28"/>
          <w:szCs w:val="28"/>
        </w:rPr>
        <w:t>jā</w:t>
      </w:r>
      <w:r w:rsidRPr="006A1B34">
        <w:rPr>
          <w:rFonts w:ascii="Times New Roman" w:hAnsi="Times New Roman" w:cs="Times New Roman"/>
          <w:sz w:val="28"/>
          <w:szCs w:val="28"/>
        </w:rPr>
        <w:t>s paralēli kontroles pasākumi, pārbaudot datus spēļu vietās un iegūtos datus AKUS, kļūdu testēšana un nepilnību novēršana, iegūto datu analīze un apstrāde, pārejas periodā pieaug</w:t>
      </w:r>
      <w:r w:rsidR="00296191">
        <w:rPr>
          <w:rFonts w:ascii="Times New Roman" w:hAnsi="Times New Roman" w:cs="Times New Roman"/>
          <w:sz w:val="28"/>
          <w:szCs w:val="28"/>
        </w:rPr>
        <w:t>a</w:t>
      </w:r>
      <w:r w:rsidRPr="006A1B34">
        <w:rPr>
          <w:rFonts w:ascii="Times New Roman" w:hAnsi="Times New Roman" w:cs="Times New Roman"/>
          <w:sz w:val="28"/>
          <w:szCs w:val="28"/>
        </w:rPr>
        <w:t xml:space="preserve"> darba apjoms;</w:t>
      </w:r>
    </w:p>
    <w:p w:rsidR="00015B9C" w:rsidRPr="006A1B34" w:rsidRDefault="009D1667" w:rsidP="00CD00CE">
      <w:pPr>
        <w:pStyle w:val="NoSpacing"/>
        <w:numPr>
          <w:ilvl w:val="1"/>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ar 2020.gadu </w:t>
      </w:r>
      <w:r w:rsidR="00015B9C" w:rsidRPr="006A1B34">
        <w:rPr>
          <w:rFonts w:ascii="Times New Roman" w:hAnsi="Times New Roman" w:cs="Times New Roman"/>
          <w:sz w:val="28"/>
          <w:szCs w:val="28"/>
        </w:rPr>
        <w:t xml:space="preserve">uzsākta IAUI administrētā </w:t>
      </w:r>
      <w:r w:rsidR="005B77E9">
        <w:rPr>
          <w:rFonts w:ascii="Times New Roman" w:hAnsi="Times New Roman" w:cs="Times New Roman"/>
          <w:sz w:val="28"/>
          <w:szCs w:val="28"/>
        </w:rPr>
        <w:t xml:space="preserve">pašatteikušos personu </w:t>
      </w:r>
      <w:r w:rsidR="00D03EEA">
        <w:rPr>
          <w:rFonts w:ascii="Times New Roman" w:hAnsi="Times New Roman" w:cs="Times New Roman"/>
          <w:sz w:val="28"/>
          <w:szCs w:val="28"/>
        </w:rPr>
        <w:t>reģistra darbība</w:t>
      </w:r>
      <w:r w:rsidR="00296191">
        <w:rPr>
          <w:rFonts w:ascii="Times New Roman" w:hAnsi="Times New Roman" w:cs="Times New Roman"/>
          <w:sz w:val="28"/>
          <w:szCs w:val="28"/>
        </w:rPr>
        <w:t>,</w:t>
      </w:r>
      <w:r w:rsidR="00D03EEA">
        <w:rPr>
          <w:rFonts w:ascii="Times New Roman" w:hAnsi="Times New Roman" w:cs="Times New Roman"/>
          <w:sz w:val="28"/>
          <w:szCs w:val="28"/>
        </w:rPr>
        <w:t xml:space="preserve"> </w:t>
      </w:r>
      <w:r w:rsidR="00015B9C" w:rsidRPr="006A1B34">
        <w:rPr>
          <w:rFonts w:ascii="Times New Roman" w:hAnsi="Times New Roman" w:cs="Times New Roman"/>
          <w:sz w:val="28"/>
          <w:szCs w:val="28"/>
        </w:rPr>
        <w:t xml:space="preserve">ievadot </w:t>
      </w:r>
      <w:r w:rsidR="005B77E9">
        <w:rPr>
          <w:rFonts w:ascii="Times New Roman" w:hAnsi="Times New Roman" w:cs="Times New Roman"/>
          <w:sz w:val="28"/>
          <w:szCs w:val="28"/>
        </w:rPr>
        <w:t xml:space="preserve">pašatteikušos personu </w:t>
      </w:r>
      <w:r w:rsidR="00C33950">
        <w:rPr>
          <w:rFonts w:ascii="Times New Roman" w:hAnsi="Times New Roman" w:cs="Times New Roman"/>
          <w:sz w:val="28"/>
          <w:szCs w:val="28"/>
        </w:rPr>
        <w:t>r</w:t>
      </w:r>
      <w:r w:rsidR="00015B9C" w:rsidRPr="006A1B34">
        <w:rPr>
          <w:rFonts w:ascii="Times New Roman" w:hAnsi="Times New Roman" w:cs="Times New Roman"/>
          <w:sz w:val="28"/>
          <w:szCs w:val="28"/>
        </w:rPr>
        <w:t>eģistrā datus no saņemtajiem iesniegumiem un kontrolējot to ievērošanu. Lai nodrošinātu atbalstu personām, kas vēlas tikt izslēgtas no iespējas spēlēt azartspēles, 2019.gada jūlijā IAUI darbu uzsāka konsultants (psihoterapeits/psihologs);</w:t>
      </w:r>
    </w:p>
    <w:p w:rsidR="00015B9C" w:rsidRDefault="00015B9C" w:rsidP="00CD00CE">
      <w:pPr>
        <w:pStyle w:val="NoSpacing"/>
        <w:numPr>
          <w:ilvl w:val="1"/>
          <w:numId w:val="21"/>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sākot ar 2018.gada 1.janvāri, atbilstoši Statistikas likuma 1.panta devītajai daļai, IAUI ir statistikas iestāde oficiālās statistikas programmas ietvaros, kā arī IAUI ir valsts nodevu administrējošā iestāde, uzskaitot maksājumus valsts budžetā ne tikai pēc naudas plūsmas, bet arī pēc uzkrāšanas principa.</w:t>
      </w:r>
    </w:p>
    <w:p w:rsidR="00E93474" w:rsidRPr="00AC0C13" w:rsidRDefault="00E93474" w:rsidP="00AC0C13">
      <w:pPr>
        <w:ind w:firstLine="709"/>
        <w:jc w:val="both"/>
        <w:rPr>
          <w:rFonts w:cs="Times New Roman"/>
          <w:sz w:val="28"/>
          <w:szCs w:val="28"/>
        </w:rPr>
      </w:pPr>
      <w:r>
        <w:rPr>
          <w:rFonts w:cs="Times New Roman"/>
          <w:sz w:val="28"/>
          <w:szCs w:val="28"/>
        </w:rPr>
        <w:t>Papildu</w:t>
      </w:r>
      <w:r w:rsidR="0086441C">
        <w:rPr>
          <w:rFonts w:cs="Times New Roman"/>
          <w:sz w:val="28"/>
          <w:szCs w:val="28"/>
        </w:rPr>
        <w:t>s</w:t>
      </w:r>
      <w:r>
        <w:rPr>
          <w:rFonts w:cs="Times New Roman"/>
          <w:sz w:val="28"/>
          <w:szCs w:val="28"/>
        </w:rPr>
        <w:t xml:space="preserve"> iepriekšminētajam pienākuma apjoma pieaugumam</w:t>
      </w:r>
      <w:r w:rsidR="008441B8">
        <w:rPr>
          <w:rFonts w:cs="Times New Roman"/>
          <w:sz w:val="28"/>
          <w:szCs w:val="28"/>
        </w:rPr>
        <w:t xml:space="preserve"> jāuzsver</w:t>
      </w:r>
      <w:r>
        <w:rPr>
          <w:rFonts w:cs="Times New Roman"/>
          <w:sz w:val="28"/>
          <w:szCs w:val="28"/>
        </w:rPr>
        <w:t>,</w:t>
      </w:r>
      <w:r w:rsidR="008441B8">
        <w:rPr>
          <w:rFonts w:cs="Times New Roman"/>
          <w:sz w:val="28"/>
          <w:szCs w:val="28"/>
        </w:rPr>
        <w:t xml:space="preserve"> ka</w:t>
      </w:r>
      <w:r>
        <w:rPr>
          <w:rFonts w:cs="Times New Roman"/>
          <w:sz w:val="28"/>
          <w:szCs w:val="28"/>
        </w:rPr>
        <w:t xml:space="preserve"> a</w:t>
      </w:r>
      <w:r w:rsidRPr="00AC0C13">
        <w:rPr>
          <w:rFonts w:cs="Times New Roman"/>
          <w:sz w:val="28"/>
          <w:szCs w:val="28"/>
        </w:rPr>
        <w:t xml:space="preserve">zartspēļu un izložu organizēšana ir cieši saistīta ar tehnoloģiju attīstības tendencēm pasaulē, un viena no IAUI darbības prioritātēm ir iekārtu tehnisko prasību pastiprināšana, spēļu programmu atbilstība normatīvo aktu prasībām un mājaslapu satura analīze. Latvijā, pateicoties augstajam IT attīstības līmenim un datu pārraides ātrumam, ir labvēlīga vide interaktīvo azartspēļu attīstībai. </w:t>
      </w:r>
    </w:p>
    <w:p w:rsidR="00E93474" w:rsidRPr="00AC0C13" w:rsidRDefault="00E93474" w:rsidP="00AC0C13">
      <w:pPr>
        <w:ind w:firstLine="709"/>
        <w:jc w:val="both"/>
        <w:rPr>
          <w:rFonts w:cs="Times New Roman"/>
          <w:sz w:val="28"/>
          <w:szCs w:val="28"/>
        </w:rPr>
      </w:pPr>
      <w:r w:rsidRPr="00AC0C13">
        <w:rPr>
          <w:rFonts w:cs="Times New Roman"/>
          <w:sz w:val="28"/>
          <w:szCs w:val="28"/>
        </w:rPr>
        <w:t>Ņemot vērā nepieciešamās izmaiņas reklāmas uzraudzības jomā un, lai pilnvērtīgi, kvalitatīvi un efektīvi veiktu IAUI deleģētās funkcijas un pienākumus, IAUI būtu nepieciešamas papildu 2 amata vietas (IAUI amatu sarakstā iekļauto amata vietu skaits ir 22 darbinieki): speciālists, kas pārzina informācijas tehnoloģiju jomu, kā arī analītiķis, kas spēj saredzēt iegūto datu un finanšu rādītāju kopsakarības, novērtēt riskus, radīt kvalitātes vadības sistēmu licencēšanas prasību pilnveidošanai.</w:t>
      </w:r>
    </w:p>
    <w:p w:rsidR="00015B9C" w:rsidRPr="000E51B2" w:rsidRDefault="00015B9C" w:rsidP="00015B9C">
      <w:pPr>
        <w:autoSpaceDN w:val="0"/>
        <w:jc w:val="both"/>
        <w:textAlignment w:val="baseline"/>
        <w:rPr>
          <w:rFonts w:cs="Times New Roman"/>
          <w:i/>
          <w:sz w:val="28"/>
          <w:szCs w:val="28"/>
        </w:rPr>
      </w:pPr>
      <w:r w:rsidRPr="000E51B2">
        <w:rPr>
          <w:rFonts w:cs="Times New Roman"/>
          <w:i/>
          <w:sz w:val="28"/>
          <w:szCs w:val="28"/>
        </w:rPr>
        <w:t xml:space="preserve">Informācijas </w:t>
      </w:r>
      <w:r>
        <w:rPr>
          <w:rFonts w:cs="Times New Roman"/>
          <w:i/>
          <w:sz w:val="28"/>
          <w:szCs w:val="28"/>
        </w:rPr>
        <w:t xml:space="preserve">iegūšana un </w:t>
      </w:r>
      <w:r w:rsidRPr="000E51B2">
        <w:rPr>
          <w:rFonts w:cs="Times New Roman"/>
          <w:i/>
          <w:sz w:val="28"/>
          <w:szCs w:val="28"/>
        </w:rPr>
        <w:t xml:space="preserve">apmaiņa </w:t>
      </w:r>
    </w:p>
    <w:p w:rsidR="00015B9C" w:rsidRPr="0087512B" w:rsidRDefault="00015B9C" w:rsidP="00015B9C">
      <w:pPr>
        <w:autoSpaceDN w:val="0"/>
        <w:ind w:firstLine="567"/>
        <w:jc w:val="both"/>
        <w:textAlignment w:val="baseline"/>
        <w:rPr>
          <w:rFonts w:cs="Times New Roman"/>
          <w:sz w:val="28"/>
          <w:szCs w:val="28"/>
        </w:rPr>
      </w:pPr>
      <w:r w:rsidRPr="0087512B">
        <w:rPr>
          <w:rFonts w:cs="Times New Roman"/>
          <w:sz w:val="28"/>
          <w:szCs w:val="28"/>
        </w:rPr>
        <w:t xml:space="preserve">Saskaņā ar likuma “Par iedzīvotāju ienākuma nodokli” 17.panta 10.punktu ienākuma izmaksātājs ietur nodokli ienākuma izmaksas vietā un iemaksā to budžetā ne vēlāk kā ienākuma izmaksas mēnesim sekojošā mēneša piektajā datumā. Ienākuma izmaksātājs izmaksas vietā sagatavo </w:t>
      </w:r>
      <w:r w:rsidR="00C33950">
        <w:rPr>
          <w:rFonts w:cs="Times New Roman"/>
          <w:sz w:val="28"/>
          <w:szCs w:val="28"/>
        </w:rPr>
        <w:t>p</w:t>
      </w:r>
      <w:r w:rsidRPr="0087512B">
        <w:rPr>
          <w:rFonts w:cs="Times New Roman"/>
          <w:sz w:val="28"/>
          <w:szCs w:val="28"/>
        </w:rPr>
        <w:t xml:space="preserve">aziņojumu par fiziskai personai izmaksātajām summām, atbilstoši 2008.gada 25.augusta Ministru Kabineta noteikumiem Nr.677 “Noteikumi par iedzīvotāju ienākuma nodokļa paziņojumiem”. Šī paziņojuma veidlapa satur ziņas par ienākuma izmaksātāju – azartspēļu organizētāja nosaukumu, ienākuma saņēmēja – spēlētāja vārdu un uzvārdu, kā arī </w:t>
      </w:r>
      <w:r w:rsidRPr="0087512B">
        <w:rPr>
          <w:rFonts w:cs="Times New Roman"/>
          <w:sz w:val="28"/>
          <w:szCs w:val="28"/>
        </w:rPr>
        <w:lastRenderedPageBreak/>
        <w:t>laimesta apjomu un datumu. Ņemot vērā to, ka šī nodokļa administrēšana ir Valsts ieņēmumu dienesta (turpmāk – VID) kompetencē, tad visas ziņas par personu, laimestiem un ieturēto iedzīvotāju ienākuma nodokli (turpmāk – IIN) tiek nodota VID. Šīs informācijas apmaiņa starp IAUI un VID būtu lietderīga sekojošu apsvērumu dēļ:</w:t>
      </w:r>
    </w:p>
    <w:p w:rsidR="00015B9C" w:rsidRPr="00CD00CE" w:rsidRDefault="00015B9C" w:rsidP="00CD00CE">
      <w:pPr>
        <w:pStyle w:val="ListParagraph"/>
        <w:numPr>
          <w:ilvl w:val="0"/>
          <w:numId w:val="22"/>
        </w:numPr>
        <w:autoSpaceDN w:val="0"/>
        <w:ind w:left="0" w:firstLine="709"/>
        <w:jc w:val="both"/>
        <w:textAlignment w:val="baseline"/>
        <w:rPr>
          <w:rFonts w:cs="Times New Roman"/>
          <w:sz w:val="28"/>
          <w:szCs w:val="28"/>
        </w:rPr>
      </w:pPr>
      <w:r w:rsidRPr="00CD00CE">
        <w:rPr>
          <w:rFonts w:cs="Times New Roman"/>
          <w:sz w:val="28"/>
          <w:szCs w:val="28"/>
        </w:rPr>
        <w:t>ļautu IAUI savlaicīgāk iegūt ziņas par laimestiem, lai varētu detalizētāk un pilnīgāk sekot IIN ieturēšanas metodikai (viena apmeklējuma laikā, vai vienreizējais laimests);</w:t>
      </w:r>
    </w:p>
    <w:p w:rsidR="00015B9C" w:rsidRPr="0087512B" w:rsidRDefault="00015B9C" w:rsidP="00CD00CE">
      <w:pPr>
        <w:pStyle w:val="ListParagraph"/>
        <w:numPr>
          <w:ilvl w:val="0"/>
          <w:numId w:val="22"/>
        </w:numPr>
        <w:autoSpaceDN w:val="0"/>
        <w:ind w:left="0" w:firstLine="709"/>
        <w:jc w:val="both"/>
        <w:textAlignment w:val="baseline"/>
        <w:rPr>
          <w:rFonts w:cs="Times New Roman"/>
          <w:sz w:val="28"/>
          <w:szCs w:val="28"/>
        </w:rPr>
      </w:pPr>
      <w:r w:rsidRPr="0087512B">
        <w:rPr>
          <w:rFonts w:cs="Times New Roman"/>
          <w:sz w:val="28"/>
          <w:szCs w:val="28"/>
        </w:rPr>
        <w:t>operatīvākai datu un informācijas salīdzināšanai par izmaksātajiem laimestiem un faktiski ieturēto IIN;</w:t>
      </w:r>
    </w:p>
    <w:p w:rsidR="00015B9C" w:rsidRPr="0087512B" w:rsidRDefault="00015B9C" w:rsidP="00CD00CE">
      <w:pPr>
        <w:pStyle w:val="ListParagraph"/>
        <w:numPr>
          <w:ilvl w:val="0"/>
          <w:numId w:val="22"/>
        </w:numPr>
        <w:autoSpaceDN w:val="0"/>
        <w:ind w:left="0" w:firstLine="709"/>
        <w:jc w:val="both"/>
        <w:textAlignment w:val="baseline"/>
        <w:rPr>
          <w:rFonts w:cs="Times New Roman"/>
          <w:sz w:val="28"/>
          <w:szCs w:val="28"/>
        </w:rPr>
      </w:pPr>
      <w:r w:rsidRPr="0087512B">
        <w:rPr>
          <w:rFonts w:cs="Times New Roman"/>
          <w:sz w:val="28"/>
          <w:szCs w:val="28"/>
        </w:rPr>
        <w:t xml:space="preserve">lai pastiprinātu kontroli, mazinātu iespējamos riskus un iegūtu analītisko informāciju, vai visi deklarētie laimesti ir laimesti, kas iegūti spēles rezultātā, vai tie ir tikai darījumi, kas, iespējams, saistīti ar noziedzīgi iegūtu līdzekļu legalizācijas un terorisma finansēšanas novēršanas riskiem.  </w:t>
      </w:r>
    </w:p>
    <w:p w:rsidR="00015B9C" w:rsidRPr="0087512B" w:rsidRDefault="00015B9C" w:rsidP="00015B9C">
      <w:pPr>
        <w:autoSpaceDN w:val="0"/>
        <w:ind w:firstLine="567"/>
        <w:jc w:val="both"/>
        <w:textAlignment w:val="baseline"/>
      </w:pPr>
      <w:r w:rsidRPr="0087512B">
        <w:rPr>
          <w:rFonts w:cs="Times New Roman"/>
          <w:sz w:val="28"/>
          <w:szCs w:val="28"/>
        </w:rPr>
        <w:t>AIL 37.panta pirmās daļas 4.punktā ir noteikts pienākums organizēt</w:t>
      </w:r>
      <w:r w:rsidR="00806D31">
        <w:rPr>
          <w:rFonts w:cs="Times New Roman"/>
          <w:sz w:val="28"/>
          <w:szCs w:val="28"/>
        </w:rPr>
        <w:t>ā</w:t>
      </w:r>
      <w:r w:rsidRPr="0087512B">
        <w:rPr>
          <w:rFonts w:cs="Times New Roman"/>
          <w:sz w:val="28"/>
          <w:szCs w:val="28"/>
        </w:rPr>
        <w:t xml:space="preserve">jam vismaz septiņas dienas glabāt videoierakstu, taču praksē konstatēts, ka no notikuma brīža līdz iesnieguma saņemšanai vai informācijas saņemšanai par iespējamo pārkāpumu paiet lielāks laiks nekā 7 dienas, kas noteikts </w:t>
      </w:r>
      <w:r w:rsidR="00806D31">
        <w:rPr>
          <w:rFonts w:cs="Times New Roman"/>
          <w:sz w:val="28"/>
          <w:szCs w:val="28"/>
        </w:rPr>
        <w:t>AIL</w:t>
      </w:r>
      <w:r w:rsidRPr="0087512B">
        <w:rPr>
          <w:rFonts w:cs="Times New Roman"/>
          <w:sz w:val="28"/>
          <w:szCs w:val="28"/>
        </w:rPr>
        <w:t xml:space="preserve"> Līdz ar to, videoieraksta neesamība apgrūtina iesnieguma izskatīšanu, lietas izvērtēšanu un iespējamāko objektīvāko lēmumu pieņemšanu. IAUI izmanto šo videoierakstu apstrādi tikai </w:t>
      </w:r>
      <w:r w:rsidR="00806D31">
        <w:rPr>
          <w:rFonts w:cs="Times New Roman"/>
          <w:sz w:val="28"/>
          <w:szCs w:val="28"/>
        </w:rPr>
        <w:t>AIL</w:t>
      </w:r>
      <w:r w:rsidR="00806D31" w:rsidRPr="0087512B">
        <w:rPr>
          <w:rFonts w:cs="Times New Roman"/>
          <w:sz w:val="28"/>
          <w:szCs w:val="28"/>
        </w:rPr>
        <w:t xml:space="preserve"> </w:t>
      </w:r>
      <w:r w:rsidRPr="0087512B">
        <w:rPr>
          <w:rFonts w:cs="Times New Roman"/>
          <w:sz w:val="28"/>
          <w:szCs w:val="28"/>
        </w:rPr>
        <w:t xml:space="preserve">noteiktajiem mērķiem, lai nodrošinātu sabiedrības un spēlētāju tiesību aizsardzību, kā arī administratīvo pārkāpumu lietās, ievērojot Datu aizsardzības likuma prasības. Organizatoriem tiek pieprasītas ziņas no konkrētas videonovērošanas kameras par noteiktu datumu un noteiktu laika posmu. Ņemot vērā iepriekš minēto, būtu nepieciešams pagarināt video ieraksta glabāšanas termiņu līdz 30 dienām. </w:t>
      </w:r>
    </w:p>
    <w:p w:rsidR="00015B9C" w:rsidRDefault="00015B9C" w:rsidP="00015B9C">
      <w:pPr>
        <w:pStyle w:val="NoSpacing"/>
        <w:ind w:firstLine="567"/>
        <w:jc w:val="both"/>
        <w:rPr>
          <w:rFonts w:ascii="Times New Roman" w:hAnsi="Times New Roman" w:cs="Times New Roman"/>
          <w:sz w:val="28"/>
          <w:szCs w:val="28"/>
        </w:rPr>
      </w:pPr>
      <w:r w:rsidRPr="0087512B">
        <w:rPr>
          <w:rFonts w:ascii="Times New Roman" w:hAnsi="Times New Roman" w:cs="Times New Roman"/>
          <w:sz w:val="28"/>
          <w:szCs w:val="28"/>
        </w:rPr>
        <w:t>IAUI darbības un pienākumu pārskatīšana, novirzot IAUI ierobežotos resursus aktuālāko darbību veikšanai, atsakoties no nebūtiskām, novecojušām un aktualitāti zaudējušām prasībām, kas neietekmē azartspēļu un izložu darbības kvalitāti.</w:t>
      </w:r>
    </w:p>
    <w:p w:rsidR="00015B9C" w:rsidRPr="0087512B" w:rsidRDefault="00015B9C" w:rsidP="00015B9C">
      <w:pPr>
        <w:ind w:firstLine="567"/>
        <w:jc w:val="both"/>
        <w:rPr>
          <w:rFonts w:cs="Times New Roman"/>
          <w:sz w:val="28"/>
          <w:szCs w:val="28"/>
        </w:rPr>
      </w:pPr>
      <w:r w:rsidRPr="0087512B">
        <w:rPr>
          <w:rFonts w:cs="Times New Roman"/>
          <w:i/>
          <w:sz w:val="28"/>
          <w:szCs w:val="28"/>
        </w:rPr>
        <w:t>Nepieciešamie pasākumi</w:t>
      </w:r>
      <w:r w:rsidRPr="0087512B">
        <w:rPr>
          <w:rFonts w:cs="Times New Roman"/>
          <w:sz w:val="28"/>
          <w:szCs w:val="28"/>
        </w:rPr>
        <w:t>:</w:t>
      </w:r>
    </w:p>
    <w:p w:rsidR="00015B9C" w:rsidRPr="00952638" w:rsidRDefault="00015B9C" w:rsidP="009C4E25">
      <w:pPr>
        <w:pStyle w:val="ListParagraph"/>
        <w:widowControl w:val="0"/>
        <w:numPr>
          <w:ilvl w:val="0"/>
          <w:numId w:val="23"/>
        </w:numPr>
        <w:ind w:left="0" w:firstLine="709"/>
        <w:jc w:val="both"/>
        <w:rPr>
          <w:rFonts w:eastAsia="Times New Roman" w:cs="Times New Roman"/>
          <w:sz w:val="28"/>
          <w:szCs w:val="28"/>
          <w:lang w:eastAsia="lv-LV"/>
        </w:rPr>
      </w:pPr>
      <w:r w:rsidRPr="00952638">
        <w:rPr>
          <w:rFonts w:eastAsia="Times New Roman" w:cs="Times New Roman"/>
          <w:sz w:val="28"/>
          <w:szCs w:val="28"/>
          <w:lang w:eastAsia="lv-LV"/>
        </w:rPr>
        <w:t>azartspēļu organizēšanas vietu atļauju izsniegšanas procesa centralizētā pieeja, par atbildīgo nosakot IAUI</w:t>
      </w:r>
      <w:r w:rsidR="00DE10BA" w:rsidRPr="00952638">
        <w:rPr>
          <w:rFonts w:eastAsia="Times New Roman" w:cs="Times New Roman"/>
          <w:sz w:val="28"/>
          <w:szCs w:val="28"/>
          <w:lang w:eastAsia="lv-LV"/>
        </w:rPr>
        <w:t>;</w:t>
      </w:r>
    </w:p>
    <w:p w:rsidR="00015B9C" w:rsidRPr="00015B9C" w:rsidRDefault="00015B9C" w:rsidP="009C4E25">
      <w:pPr>
        <w:pStyle w:val="ListParagraph"/>
        <w:widowControl w:val="0"/>
        <w:numPr>
          <w:ilvl w:val="0"/>
          <w:numId w:val="23"/>
        </w:numPr>
        <w:ind w:left="0" w:firstLine="709"/>
        <w:jc w:val="both"/>
        <w:rPr>
          <w:rFonts w:cs="Times New Roman"/>
          <w:sz w:val="28"/>
          <w:szCs w:val="28"/>
        </w:rPr>
      </w:pPr>
      <w:r w:rsidRPr="00D470BB">
        <w:rPr>
          <w:rFonts w:eastAsia="Times New Roman" w:cs="Times New Roman"/>
          <w:sz w:val="28"/>
          <w:szCs w:val="28"/>
          <w:lang w:eastAsia="lv-LV"/>
        </w:rPr>
        <w:t>IAUI kapacitātes stiprināšana</w:t>
      </w:r>
      <w:r w:rsidR="00A3634B" w:rsidRPr="00D470BB">
        <w:rPr>
          <w:rFonts w:eastAsia="Times New Roman" w:cs="Times New Roman"/>
          <w:sz w:val="28"/>
          <w:szCs w:val="28"/>
          <w:lang w:eastAsia="lv-LV"/>
        </w:rPr>
        <w:t xml:space="preserve"> – </w:t>
      </w:r>
      <w:r w:rsidR="00324D69">
        <w:rPr>
          <w:rFonts w:eastAsia="Times New Roman" w:cs="Times New Roman"/>
          <w:sz w:val="28"/>
          <w:szCs w:val="28"/>
          <w:lang w:eastAsia="lv-LV"/>
        </w:rPr>
        <w:t>2</w:t>
      </w:r>
      <w:r w:rsidR="0089683F" w:rsidRPr="00D470BB">
        <w:rPr>
          <w:rFonts w:eastAsia="Times New Roman" w:cs="Times New Roman"/>
          <w:sz w:val="28"/>
          <w:szCs w:val="28"/>
          <w:lang w:eastAsia="lv-LV"/>
        </w:rPr>
        <w:t xml:space="preserve"> </w:t>
      </w:r>
      <w:r w:rsidR="00A3634B" w:rsidRPr="00D470BB">
        <w:rPr>
          <w:rFonts w:eastAsia="Times New Roman" w:cs="Times New Roman"/>
          <w:sz w:val="28"/>
          <w:szCs w:val="28"/>
          <w:lang w:eastAsia="lv-LV"/>
        </w:rPr>
        <w:t xml:space="preserve">amata vietas </w:t>
      </w:r>
      <w:r w:rsidR="00FB34DF" w:rsidRPr="00D470BB">
        <w:rPr>
          <w:rFonts w:eastAsia="Times New Roman" w:cs="Times New Roman"/>
          <w:sz w:val="28"/>
          <w:szCs w:val="28"/>
          <w:lang w:eastAsia="lv-LV"/>
        </w:rPr>
        <w:t>–</w:t>
      </w:r>
      <w:r w:rsidR="00A3634B" w:rsidRPr="00D470BB">
        <w:rPr>
          <w:rFonts w:eastAsia="Times New Roman" w:cs="Times New Roman"/>
          <w:sz w:val="28"/>
          <w:szCs w:val="28"/>
          <w:lang w:eastAsia="lv-LV"/>
        </w:rPr>
        <w:t xml:space="preserve"> </w:t>
      </w:r>
      <w:r w:rsidRPr="00D470BB">
        <w:rPr>
          <w:rFonts w:eastAsia="Times New Roman" w:cs="Times New Roman"/>
          <w:sz w:val="28"/>
          <w:szCs w:val="28"/>
          <w:lang w:eastAsia="lv-LV"/>
        </w:rPr>
        <w:t xml:space="preserve">saistībā ar </w:t>
      </w:r>
      <w:r>
        <w:rPr>
          <w:rFonts w:eastAsia="Times New Roman" w:cs="Times New Roman"/>
          <w:sz w:val="28"/>
          <w:szCs w:val="28"/>
          <w:lang w:eastAsia="lv-LV"/>
        </w:rPr>
        <w:t xml:space="preserve">reklāmas aizlieguma ievērošanas uzraudzības funkcijām, azartspēļu organizēšanas vietu atļauju </w:t>
      </w:r>
      <w:r w:rsidR="00806D31">
        <w:rPr>
          <w:rFonts w:eastAsia="Times New Roman" w:cs="Times New Roman"/>
          <w:sz w:val="28"/>
          <w:szCs w:val="28"/>
          <w:lang w:eastAsia="lv-LV"/>
        </w:rPr>
        <w:t xml:space="preserve">izsniegšanas </w:t>
      </w:r>
      <w:r>
        <w:rPr>
          <w:rFonts w:eastAsia="Times New Roman" w:cs="Times New Roman"/>
          <w:sz w:val="28"/>
          <w:szCs w:val="28"/>
          <w:lang w:eastAsia="lv-LV"/>
        </w:rPr>
        <w:t>centralizētā procesa ieviešanu, atkarības profilaktisko pasākumu pastiprināšanu;</w:t>
      </w:r>
    </w:p>
    <w:p w:rsidR="00015B9C" w:rsidRPr="0087512B" w:rsidRDefault="00015B9C" w:rsidP="009C4E25">
      <w:pPr>
        <w:pStyle w:val="ListParagraph"/>
        <w:widowControl w:val="0"/>
        <w:numPr>
          <w:ilvl w:val="0"/>
          <w:numId w:val="23"/>
        </w:numPr>
        <w:ind w:left="0" w:firstLine="709"/>
        <w:jc w:val="both"/>
        <w:rPr>
          <w:rFonts w:cs="Times New Roman"/>
          <w:sz w:val="28"/>
          <w:szCs w:val="28"/>
        </w:rPr>
      </w:pPr>
      <w:r w:rsidRPr="0087512B">
        <w:rPr>
          <w:rFonts w:cs="Times New Roman"/>
          <w:sz w:val="28"/>
          <w:szCs w:val="28"/>
          <w:lang w:eastAsia="lv-LV"/>
        </w:rPr>
        <w:t xml:space="preserve">nodrošināt informācijas apmaiņu starp IAUI un VID par </w:t>
      </w:r>
      <w:r w:rsidR="00DE10BA">
        <w:rPr>
          <w:rFonts w:cs="Times New Roman"/>
          <w:sz w:val="28"/>
          <w:szCs w:val="28"/>
        </w:rPr>
        <w:t>p</w:t>
      </w:r>
      <w:r w:rsidRPr="0087512B">
        <w:rPr>
          <w:rFonts w:cs="Times New Roman"/>
          <w:sz w:val="28"/>
          <w:szCs w:val="28"/>
        </w:rPr>
        <w:t>aziņojumu par fiziska</w:t>
      </w:r>
      <w:r>
        <w:rPr>
          <w:rFonts w:cs="Times New Roman"/>
          <w:sz w:val="28"/>
          <w:szCs w:val="28"/>
        </w:rPr>
        <w:t>i personai izmaksātajām summām</w:t>
      </w:r>
      <w:r w:rsidRPr="0087512B">
        <w:rPr>
          <w:rFonts w:cs="Times New Roman"/>
          <w:sz w:val="28"/>
          <w:szCs w:val="28"/>
        </w:rPr>
        <w:t>, veicot attiecīgus grozījumus normatīvajos aktos</w:t>
      </w:r>
      <w:r w:rsidR="00DE10BA">
        <w:rPr>
          <w:rFonts w:cs="Times New Roman"/>
          <w:sz w:val="28"/>
          <w:szCs w:val="28"/>
        </w:rPr>
        <w:t>;</w:t>
      </w:r>
      <w:r w:rsidRPr="0087512B">
        <w:rPr>
          <w:rFonts w:cs="Times New Roman"/>
          <w:sz w:val="28"/>
          <w:szCs w:val="28"/>
        </w:rPr>
        <w:t xml:space="preserve"> </w:t>
      </w:r>
    </w:p>
    <w:p w:rsidR="00015B9C" w:rsidRPr="0087512B" w:rsidRDefault="00015B9C" w:rsidP="009C4E25">
      <w:pPr>
        <w:pStyle w:val="ListParagraph"/>
        <w:numPr>
          <w:ilvl w:val="0"/>
          <w:numId w:val="23"/>
        </w:numPr>
        <w:autoSpaceDN w:val="0"/>
        <w:ind w:left="0" w:firstLine="709"/>
        <w:jc w:val="both"/>
        <w:textAlignment w:val="baseline"/>
        <w:rPr>
          <w:rFonts w:cs="Times New Roman"/>
          <w:sz w:val="28"/>
          <w:szCs w:val="28"/>
        </w:rPr>
      </w:pPr>
      <w:r w:rsidRPr="0087512B">
        <w:rPr>
          <w:rFonts w:cs="Times New Roman"/>
          <w:sz w:val="28"/>
          <w:szCs w:val="28"/>
        </w:rPr>
        <w:t xml:space="preserve">veikt grozījumus AIL, pagarinot video ieraksta glabāšanas termiņu līdz 30 dienām. </w:t>
      </w:r>
    </w:p>
    <w:p w:rsidR="00264F2A" w:rsidRPr="000834AD" w:rsidRDefault="00264F2A">
      <w:pPr>
        <w:pStyle w:val="Default"/>
        <w:jc w:val="both"/>
        <w:rPr>
          <w:sz w:val="28"/>
          <w:szCs w:val="28"/>
        </w:rPr>
      </w:pPr>
    </w:p>
    <w:p w:rsidR="00FD76F5" w:rsidRPr="00635AFA" w:rsidRDefault="00647BCD" w:rsidP="000C7445">
      <w:pPr>
        <w:tabs>
          <w:tab w:val="left" w:pos="6521"/>
          <w:tab w:val="right" w:pos="8820"/>
        </w:tabs>
        <w:rPr>
          <w:rFonts w:cs="Times New Roman"/>
          <w:sz w:val="28"/>
          <w:szCs w:val="28"/>
        </w:rPr>
      </w:pPr>
      <w:r w:rsidRPr="0087512B">
        <w:rPr>
          <w:rFonts w:cs="Times New Roman"/>
          <w:szCs w:val="24"/>
        </w:rPr>
        <w:t xml:space="preserve">                </w:t>
      </w:r>
      <w:r w:rsidRPr="0087512B">
        <w:rPr>
          <w:rFonts w:cs="Times New Roman"/>
          <w:sz w:val="28"/>
          <w:szCs w:val="28"/>
        </w:rPr>
        <w:t xml:space="preserve">Finanšu </w:t>
      </w:r>
      <w:r w:rsidR="00F501D0" w:rsidRPr="0087512B">
        <w:rPr>
          <w:rFonts w:cs="Times New Roman"/>
          <w:sz w:val="28"/>
          <w:szCs w:val="28"/>
        </w:rPr>
        <w:t>ministr</w:t>
      </w:r>
      <w:r w:rsidR="00F501D0">
        <w:rPr>
          <w:rFonts w:cs="Times New Roman"/>
          <w:sz w:val="28"/>
          <w:szCs w:val="28"/>
        </w:rPr>
        <w:t>s</w:t>
      </w:r>
      <w:r w:rsidR="00F501D0">
        <w:rPr>
          <w:rFonts w:cs="Times New Roman"/>
          <w:sz w:val="28"/>
          <w:szCs w:val="28"/>
        </w:rPr>
        <w:tab/>
      </w:r>
      <w:r w:rsidR="00F501D0">
        <w:rPr>
          <w:rFonts w:cs="Times New Roman"/>
          <w:sz w:val="28"/>
          <w:szCs w:val="28"/>
        </w:rPr>
        <w:tab/>
      </w:r>
      <w:r w:rsidR="00AC2AC6">
        <w:rPr>
          <w:rFonts w:cs="Times New Roman"/>
          <w:sz w:val="28"/>
          <w:szCs w:val="28"/>
        </w:rPr>
        <w:t>J.Reirs</w:t>
      </w:r>
      <w:r w:rsidRPr="00FA4188">
        <w:rPr>
          <w:rFonts w:cs="Times New Roman"/>
          <w:sz w:val="28"/>
          <w:szCs w:val="28"/>
        </w:rPr>
        <w:t xml:space="preserve"> </w:t>
      </w:r>
    </w:p>
    <w:sectPr w:rsidR="00FD76F5" w:rsidRPr="00635AFA" w:rsidSect="004031D6">
      <w:headerReference w:type="default" r:id="rId24"/>
      <w:footerReference w:type="default" r:id="rId25"/>
      <w:footerReference w:type="first" r:id="rId26"/>
      <w:pgSz w:w="11906" w:h="16838"/>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6A" w:rsidRDefault="008C0E6A" w:rsidP="00635AFA">
      <w:r>
        <w:separator/>
      </w:r>
    </w:p>
  </w:endnote>
  <w:endnote w:type="continuationSeparator" w:id="0">
    <w:p w:rsidR="008C0E6A" w:rsidRDefault="008C0E6A" w:rsidP="0063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abonLT-Roman">
    <w:altName w:val="MS Gothic"/>
    <w:panose1 w:val="00000000000000000000"/>
    <w:charset w:val="80"/>
    <w:family w:val="roman"/>
    <w:notTrueType/>
    <w:pitch w:val="default"/>
    <w:sig w:usb0="00000000" w:usb1="08070000" w:usb2="00000010" w:usb3="00000000" w:csb0="00020000" w:csb1="00000000"/>
  </w:font>
  <w:font w:name="MyriadPro-Cond">
    <w:altName w:val="Arial"/>
    <w:panose1 w:val="00000000000000000000"/>
    <w:charset w:val="EE"/>
    <w:family w:val="swiss"/>
    <w:notTrueType/>
    <w:pitch w:val="default"/>
    <w:sig w:usb0="00000005" w:usb1="00000000" w:usb2="00000000" w:usb3="00000000" w:csb0="00000002" w:csb1="00000000"/>
  </w:font>
  <w:font w:name="Helvetica">
    <w:panose1 w:val="020B0504020202020204"/>
    <w:charset w:val="BA"/>
    <w:family w:val="swiss"/>
    <w:pitch w:val="variable"/>
    <w:sig w:usb0="E0002EFF" w:usb1="C000785B" w:usb2="00000009" w:usb3="00000000" w:csb0="000001FF" w:csb1="00000000"/>
  </w:font>
  <w:font w:name="Roboto">
    <w:altName w:val="Times New Roman"/>
    <w:charset w:val="BA"/>
    <w:family w:val="auto"/>
    <w:pitch w:val="variable"/>
    <w:sig w:usb0="00000001" w:usb1="5000217F" w:usb2="00000021" w:usb3="00000000" w:csb0="0000019F" w:csb1="00000000"/>
  </w:font>
  <w:font w:name="Franklin Gothic Book">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ED" w:rsidRDefault="00275AED">
    <w:pPr>
      <w:pStyle w:val="Footer"/>
    </w:pPr>
    <w:r w:rsidRPr="0050409B">
      <w:t>FMpamnp_</w:t>
    </w:r>
    <w:r w:rsidR="00077CCD">
      <w:t>1211</w:t>
    </w: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ED" w:rsidRDefault="00275AED">
    <w:pPr>
      <w:pStyle w:val="Footer"/>
    </w:pPr>
    <w:r w:rsidRPr="0050409B">
      <w:t>FMpamn</w:t>
    </w:r>
    <w:r>
      <w:t>p</w:t>
    </w:r>
    <w:r w:rsidRPr="0050409B">
      <w:t>_</w:t>
    </w:r>
    <w:r w:rsidR="00335F4A">
      <w:t>121120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6A" w:rsidRDefault="008C0E6A" w:rsidP="00635AFA">
      <w:r>
        <w:separator/>
      </w:r>
    </w:p>
  </w:footnote>
  <w:footnote w:type="continuationSeparator" w:id="0">
    <w:p w:rsidR="008C0E6A" w:rsidRDefault="008C0E6A" w:rsidP="00635AFA">
      <w:r>
        <w:continuationSeparator/>
      </w:r>
    </w:p>
  </w:footnote>
  <w:footnote w:id="1">
    <w:p w:rsidR="00275AED" w:rsidRPr="00A80C1E" w:rsidRDefault="00275AED" w:rsidP="00626D8D">
      <w:pPr>
        <w:pStyle w:val="FootnoteText"/>
        <w:rPr>
          <w:rFonts w:ascii="Times New Roman" w:hAnsi="Times New Roman"/>
          <w:lang w:val="lv-LV"/>
        </w:rPr>
      </w:pPr>
      <w:r w:rsidRPr="00614B2F">
        <w:rPr>
          <w:rStyle w:val="FootnoteReference"/>
          <w:rFonts w:ascii="Times New Roman" w:hAnsi="Times New Roman"/>
        </w:rPr>
        <w:footnoteRef/>
      </w:r>
      <w:r w:rsidRPr="00614B2F">
        <w:rPr>
          <w:rFonts w:ascii="Times New Roman" w:hAnsi="Times New Roman"/>
          <w:lang w:val="lv-LV"/>
        </w:rPr>
        <w:t xml:space="preserve"> </w:t>
      </w:r>
      <w:r w:rsidRPr="00614B2F">
        <w:rPr>
          <w:rFonts w:ascii="Times New Roman" w:hAnsi="Times New Roman"/>
          <w:bCs/>
          <w:color w:val="000000" w:themeColor="text1"/>
          <w:szCs w:val="24"/>
          <w:lang w:val="lv-LV"/>
        </w:rPr>
        <w:t xml:space="preserve">Eiropas </w:t>
      </w:r>
      <w:r w:rsidRPr="009E188C">
        <w:rPr>
          <w:rFonts w:ascii="Times New Roman" w:hAnsi="Times New Roman"/>
          <w:bCs/>
          <w:color w:val="000000" w:themeColor="text1"/>
          <w:szCs w:val="24"/>
          <w:lang w:val="lv-LV"/>
        </w:rPr>
        <w:t>Parlamenta 2011. gada 15. novembra rezolūcij</w:t>
      </w:r>
      <w:r>
        <w:rPr>
          <w:rFonts w:ascii="Times New Roman" w:hAnsi="Times New Roman"/>
          <w:bCs/>
          <w:color w:val="000000" w:themeColor="text1"/>
          <w:szCs w:val="24"/>
          <w:lang w:val="lv-LV"/>
        </w:rPr>
        <w:t>a</w:t>
      </w:r>
      <w:r w:rsidRPr="009E188C">
        <w:rPr>
          <w:rFonts w:ascii="Times New Roman" w:hAnsi="Times New Roman"/>
          <w:bCs/>
          <w:color w:val="000000" w:themeColor="text1"/>
          <w:szCs w:val="24"/>
          <w:lang w:val="lv-LV"/>
        </w:rPr>
        <w:t xml:space="preserve"> attiecībā par tiešsaistes azartspēlēm iekšējā tirgū (</w:t>
      </w:r>
      <w:hyperlink r:id="rId1" w:history="1">
        <w:r w:rsidRPr="009E188C">
          <w:rPr>
            <w:rStyle w:val="Hyperlink"/>
            <w:rFonts w:ascii="Times New Roman" w:eastAsiaTheme="majorEastAsia" w:hAnsi="Times New Roman"/>
            <w:bCs/>
            <w:szCs w:val="24"/>
            <w:lang w:val="lv-LV"/>
          </w:rPr>
          <w:t>2011/2084(INI)</w:t>
        </w:r>
      </w:hyperlink>
      <w:r w:rsidRPr="009E188C">
        <w:rPr>
          <w:rFonts w:ascii="Times New Roman" w:hAnsi="Times New Roman"/>
          <w:bCs/>
          <w:color w:val="000000" w:themeColor="text1"/>
          <w:szCs w:val="24"/>
          <w:lang w:val="lv-LV"/>
        </w:rPr>
        <w:t>),</w:t>
      </w:r>
      <w:r w:rsidRPr="009E188C">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 w:history="1">
        <w:r w:rsidRPr="009E188C">
          <w:rPr>
            <w:rStyle w:val="Hyperlink"/>
            <w:rFonts w:ascii="Times New Roman" w:hAnsi="Times New Roman"/>
            <w:lang w:val="lv-LV"/>
          </w:rPr>
          <w:t>http://www.europarl.europa.eu/sides/getDoc.do?type=TA&amp;reference=P7-TA-2011-0492&amp;language=LV&amp;ring=A7-2011-0342</w:t>
        </w:r>
      </w:hyperlink>
      <w:r>
        <w:rPr>
          <w:rFonts w:ascii="Times New Roman" w:hAnsi="Times New Roman"/>
          <w:lang w:val="lv-LV"/>
        </w:rPr>
        <w:t xml:space="preserve"> </w:t>
      </w:r>
    </w:p>
  </w:footnote>
  <w:footnote w:id="2">
    <w:p w:rsidR="00275AED" w:rsidRPr="00B06FE9" w:rsidRDefault="00275AED">
      <w:pPr>
        <w:pStyle w:val="FootnoteText"/>
        <w:rPr>
          <w:rFonts w:ascii="Times New Roman" w:hAnsi="Times New Roman"/>
          <w:lang w:val="lv-LV"/>
        </w:rPr>
      </w:pPr>
      <w:r w:rsidRPr="00A80C1E">
        <w:rPr>
          <w:rStyle w:val="FootnoteReferen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A80C1E">
        <w:rPr>
          <w:rFonts w:ascii="Times New Roman" w:hAnsi="Times New Roman"/>
          <w:lang w:val="lv-LV"/>
        </w:rPr>
        <w:t xml:space="preserve"> </w:t>
      </w:r>
      <w:hyperlink r:id="rId3" w:history="1">
        <w:r w:rsidRPr="00B06FE9">
          <w:rPr>
            <w:rStyle w:val="Hyperlink"/>
            <w:rFonts w:ascii="Times New Roman" w:eastAsiaTheme="majorEastAsia" w:hAnsi="Times New Roman"/>
            <w:lang w:val="lv-LV"/>
          </w:rPr>
          <w:t>https://eur-lex.europa.eu/legal-content/LV/TXT/?qid=1488204560202&amp;uri=CELEX:52011DC0128</w:t>
        </w:r>
      </w:hyperlink>
    </w:p>
  </w:footnote>
  <w:footnote w:id="3">
    <w:p w:rsidR="00275AED" w:rsidRPr="00B06FE9" w:rsidRDefault="00275AED">
      <w:pPr>
        <w:pStyle w:val="FootnoteText"/>
        <w:rPr>
          <w:rFonts w:ascii="Times New Roman" w:eastAsiaTheme="majorEastAsia" w:hAnsi="Times New Roman"/>
          <w:color w:val="0000FF"/>
          <w:u w:val="single"/>
          <w:lang w:val="lv-LV"/>
        </w:rPr>
      </w:pPr>
      <w:r w:rsidRPr="00B06FE9">
        <w:rPr>
          <w:rStyle w:val="FootnoteReference"/>
          <w:rFonts w:ascii="Times New Roman" w:hAnsi="Times New Roman"/>
        </w:rPr>
        <w:footnoteRef/>
      </w:r>
      <w:r w:rsidRPr="00B06FE9">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 w:history="1">
        <w:r w:rsidRPr="00B06FE9">
          <w:rPr>
            <w:rStyle w:val="Hyperlink"/>
            <w:rFonts w:ascii="Times New Roman" w:eastAsiaTheme="majorEastAsia" w:hAnsi="Times New Roman"/>
            <w:lang w:val="lv-LV"/>
          </w:rPr>
          <w:t>https://eur-lex.europa.eu/legal-content/EN/TXT/?uri=CELEX:52012DC0596</w:t>
        </w:r>
      </w:hyperlink>
    </w:p>
  </w:footnote>
  <w:footnote w:id="4">
    <w:p w:rsidR="00275AED" w:rsidRPr="00A80C1E" w:rsidRDefault="00275AED">
      <w:pPr>
        <w:pStyle w:val="FootnoteText"/>
        <w:rPr>
          <w:rFonts w:ascii="Times New Roman" w:hAnsi="Times New Roman"/>
          <w:lang w:val="lv-LV"/>
        </w:rPr>
      </w:pPr>
      <w:r w:rsidRPr="00B06FE9">
        <w:rPr>
          <w:rStyle w:val="FootnoteReference"/>
          <w:rFonts w:ascii="Times New Roman" w:hAnsi="Times New Roman"/>
        </w:rPr>
        <w:footnoteRef/>
      </w:r>
      <w:r w:rsidRPr="00B06FE9">
        <w:rPr>
          <w:rFonts w:ascii="Times New Roman" w:hAnsi="Times New Roman"/>
        </w:rPr>
        <w:t xml:space="preserve"> European Commission, Commission Staff Working Document Online gambling in the Internal Market, COM</w:t>
      </w:r>
      <w:r>
        <w:rPr>
          <w:rFonts w:ascii="Times New Roman" w:hAnsi="Times New Roman"/>
        </w:rPr>
        <w:t xml:space="preserve"> </w:t>
      </w:r>
      <w:r w:rsidRPr="00B06FE9">
        <w:rPr>
          <w:rFonts w:ascii="Times New Roman" w:hAnsi="Times New Roman"/>
        </w:rPr>
        <w:t>(2012) 345 final, 23.10.2012.</w:t>
      </w:r>
    </w:p>
  </w:footnote>
  <w:footnote w:id="5">
    <w:p w:rsidR="00275AED" w:rsidRPr="00881C41" w:rsidRDefault="00275AED" w:rsidP="00635AFA">
      <w:pPr>
        <w:pStyle w:val="FootnoteText"/>
        <w:rPr>
          <w:rFonts w:ascii="Times New Roman" w:hAnsi="Times New Roman"/>
          <w:lang w:val="lv-LV"/>
        </w:rPr>
      </w:pPr>
      <w:r w:rsidRPr="00881C41">
        <w:rPr>
          <w:rStyle w:val="FootnoteReferen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Sporta likums, 15.</w:t>
      </w:r>
      <w:r w:rsidRPr="00881C41">
        <w:rPr>
          <w:rFonts w:ascii="Times New Roman" w:hAnsi="Times New Roman"/>
          <w:vertAlign w:val="superscript"/>
          <w:lang w:val="lv-LV"/>
        </w:rPr>
        <w:t>1</w:t>
      </w:r>
      <w:r w:rsidRPr="00881C41">
        <w:rPr>
          <w:rFonts w:ascii="Times New Roman" w:hAnsi="Times New Roman"/>
          <w:lang w:val="lv-LV"/>
        </w:rPr>
        <w:t>pants</w:t>
      </w:r>
    </w:p>
  </w:footnote>
  <w:footnote w:id="6">
    <w:p w:rsidR="00275AED" w:rsidRPr="00881C41" w:rsidRDefault="00275AED" w:rsidP="00635AFA">
      <w:pPr>
        <w:pStyle w:val="FootnoteText"/>
        <w:rPr>
          <w:rFonts w:ascii="Times New Roman" w:hAnsi="Times New Roman"/>
          <w:lang w:val="lv-LV"/>
        </w:rPr>
      </w:pPr>
      <w:r w:rsidRPr="00881C41">
        <w:rPr>
          <w:rStyle w:val="FootnoteReferen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AIL 57., 58. un 59.pants</w:t>
      </w:r>
    </w:p>
  </w:footnote>
  <w:footnote w:id="7">
    <w:p w:rsidR="00275AED" w:rsidRPr="00614B2F" w:rsidRDefault="00275AED" w:rsidP="00635AFA">
      <w:pPr>
        <w:pStyle w:val="FootnoteText"/>
        <w:rPr>
          <w:rFonts w:ascii="Times New Roman" w:hAnsi="Times New Roman"/>
          <w:lang w:val="lv-LV"/>
        </w:rPr>
      </w:pPr>
      <w:r w:rsidRPr="00881C41">
        <w:rPr>
          <w:rStyle w:val="FootnoteReference"/>
          <w:rFonts w:ascii="Times New Roman" w:hAnsi="Times New Roman"/>
        </w:rPr>
        <w:footnoteRef/>
      </w:r>
      <w:r w:rsidRPr="00881C41">
        <w:rPr>
          <w:rFonts w:ascii="Times New Roman" w:hAnsi="Times New Roman"/>
        </w:rPr>
        <w:t xml:space="preserve"> </w:t>
      </w:r>
      <w:r w:rsidRPr="00614B2F">
        <w:rPr>
          <w:rFonts w:ascii="Times New Roman" w:hAnsi="Times New Roman"/>
          <w:lang w:val="lv-LV"/>
        </w:rPr>
        <w:t>AIL 60., 61. un 62.pants</w:t>
      </w:r>
    </w:p>
  </w:footnote>
  <w:footnote w:id="8">
    <w:p w:rsidR="00275AED" w:rsidRPr="00614B2F" w:rsidRDefault="00275AED" w:rsidP="00635AFA">
      <w:pPr>
        <w:pStyle w:val="FootnoteText"/>
        <w:rPr>
          <w:rFonts w:ascii="Times New Roman" w:hAnsi="Times New Roman"/>
          <w:lang w:val="lv-LV"/>
        </w:rPr>
      </w:pPr>
      <w:r w:rsidRPr="00614B2F">
        <w:rPr>
          <w:rStyle w:val="FootnoteReference"/>
          <w:rFonts w:ascii="Times New Roman" w:hAnsi="Times New Roman"/>
        </w:rPr>
        <w:footnoteRef/>
      </w:r>
      <w:r w:rsidRPr="00614B2F">
        <w:rPr>
          <w:rFonts w:ascii="Times New Roman" w:hAnsi="Times New Roman"/>
        </w:rPr>
        <w:t xml:space="preserve"> </w:t>
      </w:r>
      <w:r w:rsidRPr="00614B2F">
        <w:rPr>
          <w:rFonts w:ascii="Times New Roman" w:hAnsi="Times New Roman"/>
          <w:lang w:val="lv-LV"/>
        </w:rPr>
        <w:t>AIL 10., 55. un 64.pants</w:t>
      </w:r>
    </w:p>
  </w:footnote>
  <w:footnote w:id="9">
    <w:p w:rsidR="00275AED" w:rsidRPr="00101B86" w:rsidRDefault="00275AED" w:rsidP="00635AFA">
      <w:pPr>
        <w:pStyle w:val="FootnoteText"/>
        <w:rPr>
          <w:rFonts w:ascii="Times New Roman" w:hAnsi="Times New Roman"/>
        </w:rPr>
      </w:pPr>
      <w:r w:rsidRPr="00614B2F">
        <w:rPr>
          <w:rStyle w:val="FootnoteReference"/>
          <w:rFonts w:ascii="Times New Roman" w:hAnsi="Times New Roman"/>
        </w:rPr>
        <w:footnoteRef/>
      </w:r>
      <w:r w:rsidRPr="00614B2F">
        <w:rPr>
          <w:rFonts w:ascii="Times New Roman" w:hAnsi="Times New Roman"/>
        </w:rPr>
        <w:t xml:space="preserve"> </w:t>
      </w:r>
      <w:r w:rsidRPr="00101B86">
        <w:rPr>
          <w:rFonts w:ascii="Times New Roman" w:hAnsi="Times New Roman"/>
        </w:rPr>
        <w:t>SSK-10 klasifikācijas diagnožu grupa F63.0.</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101B86">
        <w:rPr>
          <w:rFonts w:ascii="Times New Roman" w:hAnsi="Times New Roman"/>
        </w:rPr>
        <w:t xml:space="preserve"> </w:t>
      </w:r>
      <w:hyperlink r:id="rId5" w:history="1">
        <w:r w:rsidRPr="00101B86">
          <w:rPr>
            <w:rStyle w:val="Hyperlink"/>
            <w:rFonts w:ascii="Times New Roman" w:eastAsiaTheme="majorEastAsia" w:hAnsi="Times New Roman"/>
          </w:rPr>
          <w:t>www.spkc.gov.lv/ssk10/index4cdd.html?p=%23121</w:t>
        </w:r>
      </w:hyperlink>
    </w:p>
  </w:footnote>
  <w:footnote w:id="10">
    <w:p w:rsidR="00275AED" w:rsidRPr="00101B86" w:rsidRDefault="00275AED" w:rsidP="00887234">
      <w:pPr>
        <w:pStyle w:val="FootnoteText"/>
        <w:rPr>
          <w:rFonts w:ascii="Times New Roman" w:hAnsi="Times New Roman"/>
          <w:lang w:val="lv-LV"/>
        </w:rPr>
      </w:pPr>
      <w:r w:rsidRPr="00101B86">
        <w:rPr>
          <w:rStyle w:val="FootnoteReference"/>
          <w:rFonts w:ascii="Times New Roman" w:hAnsi="Times New Roman"/>
        </w:rPr>
        <w:footnoteRef/>
      </w:r>
      <w:r w:rsidRPr="00101B86">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 w:history="1">
        <w:r w:rsidRPr="00101B86">
          <w:rPr>
            <w:rStyle w:val="Hyperlink"/>
            <w:rFonts w:ascii="Times New Roman" w:hAnsi="Times New Roman"/>
            <w:lang w:val="lv-LV"/>
          </w:rPr>
          <w:t>http://esparveselibu.lv/jaunumi/petijums-par-procesu-atkaribu-azartspelu-socialo-mediju-datorspelu-atkariba-izplatibu-latvijas-iedzivotaju-vidu-un-ietekmejosiem-riska-faktoriem/</w:t>
        </w:r>
      </w:hyperlink>
      <w:r w:rsidRPr="00101B86">
        <w:rPr>
          <w:rFonts w:ascii="Times New Roman" w:hAnsi="Times New Roman"/>
          <w:lang w:val="lv-LV"/>
        </w:rPr>
        <w:t xml:space="preserve"> </w:t>
      </w:r>
    </w:p>
  </w:footnote>
  <w:footnote w:id="11">
    <w:p w:rsidR="00275AED" w:rsidRPr="00101B86" w:rsidRDefault="00275AED" w:rsidP="00887234">
      <w:pPr>
        <w:rPr>
          <w:rFonts w:cs="Times New Roman"/>
          <w:sz w:val="20"/>
          <w:szCs w:val="20"/>
        </w:rPr>
      </w:pPr>
      <w:r w:rsidRPr="00101B86">
        <w:rPr>
          <w:rStyle w:val="FootnoteReference"/>
          <w:sz w:val="20"/>
          <w:szCs w:val="20"/>
        </w:rPr>
        <w:footnoteRef/>
      </w:r>
      <w:r w:rsidRPr="00101B86">
        <w:rPr>
          <w:rFonts w:cs="Times New Roman"/>
          <w:sz w:val="20"/>
          <w:szCs w:val="20"/>
        </w:rPr>
        <w:t xml:space="preserve"> </w:t>
      </w:r>
      <w:hyperlink r:id="rId7">
        <w:r w:rsidRPr="00101B86">
          <w:rPr>
            <w:rFonts w:cs="Times New Roman"/>
            <w:sz w:val="20"/>
            <w:szCs w:val="20"/>
          </w:rPr>
          <w:t>http://nafgah.org/statistics-gambling-addiction-2016/</w:t>
        </w:r>
      </w:hyperlink>
    </w:p>
  </w:footnote>
  <w:footnote w:id="12">
    <w:p w:rsidR="00275AED" w:rsidRPr="00EF1606" w:rsidRDefault="00275AED" w:rsidP="00887234">
      <w:pPr>
        <w:pStyle w:val="FootnoteText"/>
        <w:rPr>
          <w:rFonts w:ascii="Times New Roman" w:hAnsi="Times New Roman"/>
          <w:lang w:val="lv-LV"/>
        </w:rPr>
      </w:pPr>
      <w:r w:rsidRPr="00887234">
        <w:rPr>
          <w:rStyle w:val="FootnoteReference"/>
          <w:rFonts w:ascii="Times New Roman" w:hAnsi="Times New Roman"/>
        </w:rPr>
        <w:footnoteRef/>
      </w:r>
      <w:r w:rsidRPr="00887234">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8" w:history="1">
        <w:r w:rsidRPr="00EF1606">
          <w:rPr>
            <w:rStyle w:val="Hyperlink"/>
            <w:rFonts w:ascii="Times New Roman" w:hAnsi="Times New Roman"/>
            <w:lang w:val="lv-LV"/>
          </w:rPr>
          <w:t>http://lsba.lv/content/uploads/2017/05/2006_09__Sabiedribas-attieksme-pret-azartspelem.pdf</w:t>
        </w:r>
      </w:hyperlink>
      <w:r w:rsidRPr="00EF1606">
        <w:rPr>
          <w:rFonts w:ascii="Times New Roman" w:hAnsi="Times New Roman"/>
          <w:lang w:val="lv-LV"/>
        </w:rPr>
        <w:t xml:space="preserve"> </w:t>
      </w:r>
    </w:p>
  </w:footnote>
  <w:footnote w:id="13">
    <w:p w:rsidR="00275AED" w:rsidRPr="00EF1606" w:rsidRDefault="00275AED" w:rsidP="00745D7C">
      <w:pPr>
        <w:pStyle w:val="EndnoteText"/>
        <w:jc w:val="both"/>
        <w:rPr>
          <w:lang w:val="lv-LV"/>
        </w:rPr>
      </w:pPr>
      <w:r w:rsidRPr="00EF1606">
        <w:rPr>
          <w:rStyle w:val="FootnoteReference"/>
        </w:rPr>
        <w:footnoteRef/>
      </w:r>
      <w:r w:rsidRPr="00EF1606">
        <w:t xml:space="preserve"> </w:t>
      </w:r>
      <w:r w:rsidRPr="00EF1606">
        <w:rPr>
          <w:lang w:val="lv-LV"/>
        </w:rPr>
        <w:t>Dowling N. A., Merkouris S. S., Greenwood C. J., et al. Early risk and protective factors for problem gambling: a systematic review and meta-analysis of longitudinal studies. Clinical Psychology Review, 2017; 51: 109-124.</w:t>
      </w:r>
      <w:r>
        <w:rPr>
          <w:lang w:val="lv-LV"/>
        </w:rPr>
        <w:t xml:space="preserve"> </w:t>
      </w:r>
      <w:r w:rsidRPr="000A0F82">
        <w:rPr>
          <w:lang w:val="lv-LV"/>
        </w:rPr>
        <w:t>Pēdējo reizi skatīts 2020.gada 6.augustā:</w:t>
      </w:r>
      <w:r>
        <w:rPr>
          <w:lang w:val="lv-LV"/>
        </w:rPr>
        <w:t xml:space="preserve"> </w:t>
      </w:r>
      <w:hyperlink r:id="rId9" w:history="1">
        <w:r>
          <w:rPr>
            <w:rStyle w:val="Hyperlink"/>
          </w:rPr>
          <w:t>https://www.sciencedirect.com/science/article/pii/S0272735815301963</w:t>
        </w:r>
      </w:hyperlink>
    </w:p>
  </w:footnote>
  <w:footnote w:id="14">
    <w:p w:rsidR="00275AED" w:rsidRPr="00C96C3E" w:rsidRDefault="00275AED" w:rsidP="00DA138D">
      <w:pPr>
        <w:autoSpaceDE w:val="0"/>
        <w:autoSpaceDN w:val="0"/>
        <w:adjustRightInd w:val="0"/>
        <w:jc w:val="both"/>
        <w:rPr>
          <w:rFonts w:cs="Times New Roman"/>
          <w:sz w:val="20"/>
          <w:szCs w:val="20"/>
          <w:lang w:val="en-US"/>
        </w:rPr>
      </w:pPr>
      <w:r w:rsidRPr="00881C41">
        <w:rPr>
          <w:rStyle w:val="FootnoteReference"/>
          <w:sz w:val="20"/>
          <w:szCs w:val="20"/>
        </w:rPr>
        <w:footnoteRef/>
      </w:r>
      <w:r w:rsidRPr="00AE0001">
        <w:rPr>
          <w:rFonts w:cs="Times New Roman"/>
          <w:sz w:val="20"/>
          <w:szCs w:val="20"/>
        </w:rPr>
        <w:t xml:space="preserve"> </w:t>
      </w:r>
      <w:r w:rsidRPr="00C96C3E">
        <w:rPr>
          <w:rFonts w:cs="Times New Roman"/>
          <w:sz w:val="20"/>
          <w:szCs w:val="20"/>
          <w:lang w:val="en-US"/>
        </w:rPr>
        <w:t>Ariyabuddhiphongs V. Problem Gambling Prevention: Before, During, and After Measures. International Journal of Mental Health and Addiction, 2013; 11: 568–582.</w:t>
      </w:r>
      <w:r w:rsidRPr="00651B7B">
        <w:rPr>
          <w:sz w:val="20"/>
          <w:szCs w:val="20"/>
        </w:rPr>
        <w:t xml:space="preserve"> </w:t>
      </w:r>
      <w:hyperlink r:id="rId10" w:history="1">
        <w:r w:rsidRPr="00651B7B">
          <w:rPr>
            <w:rStyle w:val="Hyperlink"/>
            <w:sz w:val="20"/>
            <w:szCs w:val="20"/>
          </w:rPr>
          <w:t>https://link.springer.com/article/10.1007/s11469-013-9429-2</w:t>
        </w:r>
      </w:hyperlink>
    </w:p>
  </w:footnote>
  <w:footnote w:id="15">
    <w:p w:rsidR="00275AED" w:rsidRPr="00651B7B" w:rsidRDefault="00275AED" w:rsidP="00F74CEB">
      <w:pPr>
        <w:autoSpaceDE w:val="0"/>
        <w:autoSpaceDN w:val="0"/>
        <w:adjustRightInd w:val="0"/>
        <w:jc w:val="both"/>
        <w:rPr>
          <w:rFonts w:cs="Times New Roman"/>
          <w:sz w:val="20"/>
          <w:szCs w:val="20"/>
        </w:rPr>
      </w:pPr>
      <w:r w:rsidRPr="00C96C3E">
        <w:rPr>
          <w:rStyle w:val="FootnoteReference"/>
          <w:sz w:val="20"/>
          <w:szCs w:val="20"/>
        </w:rPr>
        <w:footnoteRef/>
      </w:r>
      <w:r w:rsidRPr="00C96C3E">
        <w:rPr>
          <w:sz w:val="20"/>
          <w:szCs w:val="20"/>
        </w:rPr>
        <w:t xml:space="preserve"> </w:t>
      </w:r>
      <w:r w:rsidRPr="00C96C3E">
        <w:rPr>
          <w:rFonts w:cs="Times New Roman"/>
          <w:sz w:val="20"/>
          <w:szCs w:val="20"/>
          <w:lang w:val="en-US"/>
        </w:rPr>
        <w:t xml:space="preserve">Meyer G., Hayer T., Griffiths M. (Eds.), Problem gambling in Europe. Challenges, prevention, and intervention. New York, NY: Springer, 2009, pp. 37-52. </w:t>
      </w:r>
      <w:r w:rsidRPr="00C96C3E">
        <w:rPr>
          <w:sz w:val="20"/>
          <w:szCs w:val="20"/>
        </w:rPr>
        <w:t>Pēdējo reizi skatīts 2020.gada 6.augustā:</w:t>
      </w:r>
      <w:r w:rsidRPr="00651B7B">
        <w:rPr>
          <w:sz w:val="20"/>
          <w:szCs w:val="20"/>
        </w:rPr>
        <w:t xml:space="preserve"> </w:t>
      </w:r>
      <w:hyperlink r:id="rId11" w:history="1">
        <w:r w:rsidRPr="00651B7B">
          <w:rPr>
            <w:rStyle w:val="Hyperlink"/>
            <w:sz w:val="20"/>
            <w:szCs w:val="20"/>
          </w:rPr>
          <w:t>https://www.researchgate.net/publication/265176543_Problem_gambling_in_Europe_Challenges_prevention_and_interventions</w:t>
        </w:r>
      </w:hyperlink>
      <w:r w:rsidRPr="00651B7B">
        <w:rPr>
          <w:rFonts w:cs="Times New Roman"/>
          <w:sz w:val="20"/>
          <w:szCs w:val="20"/>
        </w:rPr>
        <w:t xml:space="preserve"> </w:t>
      </w:r>
    </w:p>
  </w:footnote>
  <w:footnote w:id="16">
    <w:p w:rsidR="00275AED" w:rsidRPr="002A752C" w:rsidRDefault="00275AED" w:rsidP="00F74CEB">
      <w:pPr>
        <w:pStyle w:val="EndnoteText"/>
        <w:jc w:val="both"/>
        <w:rPr>
          <w:lang w:val="lv-LV"/>
        </w:rPr>
      </w:pPr>
      <w:r w:rsidRPr="002A752C">
        <w:rPr>
          <w:rStyle w:val="FootnoteReference"/>
        </w:rPr>
        <w:footnoteRef/>
      </w:r>
      <w:r w:rsidRPr="002A752C">
        <w:t xml:space="preserve"> </w:t>
      </w:r>
      <w:r w:rsidRPr="002A752C">
        <w:rPr>
          <w:lang w:val="lv-LV"/>
        </w:rPr>
        <w:t>Calado F., Griffiths M. D. Problem gambling worldwide: An update and systematic review of empirical research (2000-2015). Journal of Behavioural Addictions, 2016; 5 (4): 592-613.</w:t>
      </w:r>
      <w:r>
        <w:rPr>
          <w:lang w:val="lv-LV"/>
        </w:rPr>
        <w:t xml:space="preserve"> </w:t>
      </w:r>
      <w:r w:rsidRPr="000A0F82">
        <w:rPr>
          <w:lang w:val="lv-LV"/>
        </w:rPr>
        <w:t>Pēdējo reizi skatīts 2020.gada 6.augustā:</w:t>
      </w:r>
      <w:r>
        <w:rPr>
          <w:lang w:val="lv-LV"/>
        </w:rPr>
        <w:t xml:space="preserve"> </w:t>
      </w:r>
      <w:hyperlink r:id="rId12" w:history="1">
        <w:r>
          <w:rPr>
            <w:rStyle w:val="Hyperlink"/>
          </w:rPr>
          <w:t>https://www.ncbi.nlm.nih.gov/pmc/articles/PMC5370365/</w:t>
        </w:r>
      </w:hyperlink>
    </w:p>
  </w:footnote>
  <w:footnote w:id="17">
    <w:p w:rsidR="00275AED" w:rsidRPr="002A752C" w:rsidRDefault="00275AED" w:rsidP="00F74CEB">
      <w:pPr>
        <w:pStyle w:val="Default"/>
        <w:jc w:val="both"/>
        <w:rPr>
          <w:rFonts w:eastAsiaTheme="minorHAnsi"/>
          <w:sz w:val="20"/>
          <w:szCs w:val="20"/>
          <w:lang w:val="en-US" w:eastAsia="en-US"/>
        </w:rPr>
      </w:pPr>
      <w:r w:rsidRPr="002A752C">
        <w:rPr>
          <w:rStyle w:val="FootnoteReference"/>
          <w:sz w:val="20"/>
          <w:szCs w:val="20"/>
        </w:rPr>
        <w:footnoteRef/>
      </w:r>
      <w:r w:rsidRPr="002A752C">
        <w:rPr>
          <w:sz w:val="20"/>
          <w:szCs w:val="20"/>
        </w:rPr>
        <w:t xml:space="preserve"> </w:t>
      </w:r>
      <w:r w:rsidRPr="002A752C">
        <w:rPr>
          <w:rFonts w:eastAsiaTheme="minorHAnsi"/>
          <w:color w:val="auto"/>
          <w:sz w:val="20"/>
          <w:szCs w:val="20"/>
          <w:lang w:val="en-US" w:eastAsia="en-US"/>
        </w:rPr>
        <w:t>Kinks A., Trummal A., Helm J., et al.</w:t>
      </w:r>
      <w:r w:rsidRPr="002A752C">
        <w:rPr>
          <w:sz w:val="20"/>
          <w:szCs w:val="20"/>
        </w:rPr>
        <w:t xml:space="preserve"> </w:t>
      </w:r>
      <w:r w:rsidRPr="002A752C">
        <w:rPr>
          <w:rFonts w:eastAsiaTheme="minorHAnsi"/>
          <w:color w:val="auto"/>
          <w:sz w:val="20"/>
          <w:szCs w:val="20"/>
          <w:lang w:val="en-US" w:eastAsia="en-US"/>
        </w:rPr>
        <w:t xml:space="preserve">Contacts of the Estonian residents with gambling. </w:t>
      </w:r>
      <w:r w:rsidRPr="002A752C">
        <w:rPr>
          <w:rFonts w:eastAsiaTheme="minorHAnsi"/>
          <w:sz w:val="20"/>
          <w:szCs w:val="20"/>
        </w:rPr>
        <w:t>Centre for Gambling Addiction, TNS Emor, 201</w:t>
      </w:r>
      <w:r>
        <w:rPr>
          <w:rFonts w:eastAsiaTheme="minorHAnsi"/>
          <w:sz w:val="20"/>
          <w:szCs w:val="20"/>
        </w:rPr>
        <w:t>9</w:t>
      </w:r>
      <w:r w:rsidRPr="002A752C">
        <w:rPr>
          <w:rFonts w:eastAsiaTheme="minorHAnsi"/>
          <w:sz w:val="20"/>
          <w:szCs w:val="20"/>
        </w:rPr>
        <w:t>.</w:t>
      </w:r>
      <w:r>
        <w:rPr>
          <w:rFonts w:eastAsiaTheme="minorHAnsi"/>
          <w:sz w:val="20"/>
          <w:szCs w:val="20"/>
        </w:rPr>
        <w:t xml:space="preserve">  </w:t>
      </w:r>
    </w:p>
  </w:footnote>
  <w:footnote w:id="18">
    <w:p w:rsidR="00275AED" w:rsidRPr="002A752C" w:rsidRDefault="00275AED" w:rsidP="00F74CEB">
      <w:pPr>
        <w:pStyle w:val="FootnoteText"/>
        <w:jc w:val="both"/>
        <w:rPr>
          <w:rFonts w:ascii="Times New Roman" w:hAnsi="Times New Roman"/>
          <w:lang w:val="lv-LV"/>
        </w:rPr>
      </w:pPr>
      <w:r w:rsidRPr="002A752C">
        <w:rPr>
          <w:rStyle w:val="FootnoteReference"/>
          <w:rFonts w:ascii="Times New Roman" w:hAnsi="Times New Roman"/>
        </w:rPr>
        <w:footnoteRef/>
      </w:r>
      <w:r w:rsidRPr="002A752C">
        <w:rPr>
          <w:rFonts w:ascii="Times New Roman" w:hAnsi="Times New Roman"/>
        </w:rPr>
        <w:t xml:space="preserve"> </w:t>
      </w:r>
      <w:r>
        <w:rPr>
          <w:rFonts w:ascii="Times New Roman" w:hAnsi="Times New Roman"/>
          <w:lang w:val="lv-LV"/>
        </w:rPr>
        <w:t>SPKC</w:t>
      </w:r>
      <w:r w:rsidRPr="002A752C">
        <w:rPr>
          <w:rFonts w:ascii="Times New Roman" w:hAnsi="Times New Roman"/>
          <w:lang w:val="lv-LV"/>
        </w:rPr>
        <w:t xml:space="preserve"> dati.</w:t>
      </w:r>
    </w:p>
  </w:footnote>
  <w:footnote w:id="19">
    <w:p w:rsidR="00275AED" w:rsidRPr="002A752C" w:rsidRDefault="00275AED" w:rsidP="00F74CEB">
      <w:pPr>
        <w:pStyle w:val="FootnoteText"/>
        <w:jc w:val="both"/>
        <w:rPr>
          <w:rFonts w:ascii="Times New Roman" w:hAnsi="Times New Roman"/>
          <w:lang w:val="lv-LV"/>
        </w:rPr>
      </w:pPr>
      <w:r w:rsidRPr="002A752C">
        <w:rPr>
          <w:rStyle w:val="FootnoteReference"/>
          <w:rFonts w:ascii="Times New Roman" w:hAnsi="Times New Roman"/>
        </w:rPr>
        <w:footnoteRef/>
      </w:r>
      <w:r w:rsidRPr="002A752C">
        <w:rPr>
          <w:rFonts w:ascii="Times New Roman" w:hAnsi="Times New Roman"/>
          <w:lang w:val="lv-LV"/>
        </w:rPr>
        <w:t xml:space="preserve"> AIL 41.panta otrā daļa</w:t>
      </w:r>
    </w:p>
  </w:footnote>
  <w:footnote w:id="20">
    <w:p w:rsidR="00275AED" w:rsidRPr="002A752C" w:rsidRDefault="00275AED" w:rsidP="00F74CEB">
      <w:pPr>
        <w:pStyle w:val="FootnoteText"/>
        <w:jc w:val="both"/>
        <w:rPr>
          <w:rFonts w:ascii="Times New Roman" w:hAnsi="Times New Roman"/>
          <w:lang w:val="lv-LV"/>
        </w:rPr>
      </w:pPr>
      <w:r w:rsidRPr="002A752C">
        <w:rPr>
          <w:rStyle w:val="FootnoteReference"/>
          <w:rFonts w:ascii="Times New Roman" w:hAnsi="Times New Roman"/>
        </w:rPr>
        <w:footnoteRef/>
      </w:r>
      <w:r w:rsidRPr="002A752C">
        <w:rPr>
          <w:rFonts w:ascii="Times New Roman" w:hAnsi="Times New Roman"/>
        </w:rPr>
        <w:t xml:space="preserve"> </w:t>
      </w:r>
      <w:r w:rsidRPr="002A752C">
        <w:rPr>
          <w:rFonts w:ascii="Times New Roman" w:hAnsi="Times New Roman"/>
          <w:lang w:val="lv-LV"/>
        </w:rPr>
        <w:t>AIL 37.panta pirmās daļas 3.punkts, 41.panta pirmās daļas 6.punkts</w:t>
      </w:r>
    </w:p>
  </w:footnote>
  <w:footnote w:id="21">
    <w:p w:rsidR="00275AED" w:rsidRPr="0094238B" w:rsidRDefault="00275AED" w:rsidP="00651148">
      <w:pPr>
        <w:pStyle w:val="FootnoteText"/>
        <w:jc w:val="both"/>
        <w:rPr>
          <w:rFonts w:ascii="Times New Roman" w:hAnsi="Times New Roman"/>
        </w:rPr>
      </w:pPr>
      <w:r w:rsidRPr="00AE0001">
        <w:rPr>
          <w:rStyle w:val="FootnoteReference"/>
          <w:rFonts w:ascii="Times New Roman" w:hAnsi="Times New Roman"/>
        </w:rPr>
        <w:footnoteRef/>
      </w:r>
      <w:r w:rsidRPr="00AE0001">
        <w:rPr>
          <w:rFonts w:ascii="Times New Roman" w:hAnsi="Times New Roman"/>
        </w:rPr>
        <w:t xml:space="preserve"> AIL 37.pants un 39.pants</w:t>
      </w:r>
    </w:p>
  </w:footnote>
  <w:footnote w:id="22">
    <w:p w:rsidR="00275AED" w:rsidRPr="00AE0001" w:rsidRDefault="00275AED" w:rsidP="00651148">
      <w:pPr>
        <w:pStyle w:val="FootnoteText"/>
        <w:jc w:val="both"/>
        <w:rPr>
          <w:rFonts w:ascii="Times New Roman" w:hAnsi="Times New Roman"/>
        </w:rPr>
      </w:pPr>
      <w:r w:rsidRPr="0094238B">
        <w:rPr>
          <w:rStyle w:val="FootnoteReference"/>
          <w:rFonts w:ascii="Times New Roman" w:hAnsi="Times New Roman"/>
        </w:rPr>
        <w:footnoteRef/>
      </w:r>
      <w:r w:rsidRPr="0094238B">
        <w:rPr>
          <w:rFonts w:ascii="Times New Roman" w:hAnsi="Times New Roman"/>
        </w:rPr>
        <w:t xml:space="preserve"> </w:t>
      </w:r>
      <w:r w:rsidRPr="00AE0001">
        <w:rPr>
          <w:rFonts w:ascii="Times New Roman" w:hAnsi="Times New Roman"/>
        </w:rPr>
        <w:t xml:space="preserve">AIL </w:t>
      </w:r>
      <w:r w:rsidRPr="00AE0001">
        <w:rPr>
          <w:rFonts w:ascii="Times New Roman" w:hAnsi="Times New Roman"/>
          <w:lang w:val="lv-LV"/>
        </w:rPr>
        <w:t>41.panta trešā daļa</w:t>
      </w:r>
    </w:p>
  </w:footnote>
  <w:footnote w:id="23">
    <w:p w:rsidR="00275AED" w:rsidRPr="00AE0001" w:rsidRDefault="00275AED" w:rsidP="00651148">
      <w:pPr>
        <w:pStyle w:val="FootnoteText"/>
        <w:jc w:val="both"/>
        <w:rPr>
          <w:rFonts w:ascii="Times New Roman" w:hAnsi="Times New Roman"/>
        </w:rPr>
      </w:pPr>
      <w:r w:rsidRPr="00AE0001">
        <w:rPr>
          <w:rStyle w:val="FootnoteReference"/>
          <w:rFonts w:ascii="Times New Roman" w:hAnsi="Times New Roman"/>
        </w:rPr>
        <w:footnoteRef/>
      </w:r>
      <w:r w:rsidRPr="00AE0001">
        <w:rPr>
          <w:rFonts w:ascii="Times New Roman" w:hAnsi="Times New Roman"/>
        </w:rPr>
        <w:t xml:space="preserve"> AIL </w:t>
      </w:r>
      <w:r w:rsidRPr="00AE0001">
        <w:rPr>
          <w:rFonts w:ascii="Times New Roman" w:hAnsi="Times New Roman"/>
          <w:lang w:val="lv-LV"/>
        </w:rPr>
        <w:t xml:space="preserve">41.panta piektā daļa </w:t>
      </w:r>
    </w:p>
  </w:footnote>
  <w:footnote w:id="24">
    <w:p w:rsidR="00275AED" w:rsidRPr="00881C41" w:rsidRDefault="00275AED" w:rsidP="00651148">
      <w:pPr>
        <w:pStyle w:val="FootnoteText"/>
        <w:jc w:val="both"/>
        <w:rPr>
          <w:rFonts w:ascii="Times New Roman" w:hAnsi="Times New Roman"/>
        </w:rPr>
      </w:pPr>
      <w:r w:rsidRPr="00AE0001">
        <w:rPr>
          <w:rStyle w:val="FootnoteReference"/>
          <w:rFonts w:ascii="Times New Roman" w:hAnsi="Times New Roman"/>
        </w:rPr>
        <w:footnoteRef/>
      </w:r>
      <w:r w:rsidRPr="00AE0001">
        <w:rPr>
          <w:rFonts w:ascii="Times New Roman" w:hAnsi="Times New Roman"/>
        </w:rPr>
        <w:t xml:space="preserve"> AIL </w:t>
      </w:r>
      <w:r w:rsidRPr="00AE0001">
        <w:rPr>
          <w:rFonts w:ascii="Times New Roman" w:hAnsi="Times New Roman"/>
          <w:lang w:val="lv-LV"/>
        </w:rPr>
        <w:t>41.panta sestā daļa</w:t>
      </w:r>
    </w:p>
  </w:footnote>
  <w:footnote w:id="25">
    <w:p w:rsidR="00275AED" w:rsidRPr="00881C41" w:rsidRDefault="00275AED" w:rsidP="00651148">
      <w:pPr>
        <w:pStyle w:val="FootnoteText"/>
        <w:jc w:val="both"/>
        <w:rPr>
          <w:rFonts w:ascii="Times New Roman" w:hAnsi="Times New Roman"/>
        </w:rPr>
      </w:pPr>
      <w:r w:rsidRPr="00881C41">
        <w:rPr>
          <w:rStyle w:val="FootnoteReference"/>
          <w:rFonts w:ascii="Times New Roman" w:hAnsi="Times New Roman"/>
        </w:rPr>
        <w:footnoteRef/>
      </w:r>
      <w:r w:rsidRPr="00881C41">
        <w:rPr>
          <w:rFonts w:ascii="Times New Roman" w:hAnsi="Times New Roman"/>
        </w:rPr>
        <w:t xml:space="preserve"> AIL </w:t>
      </w:r>
      <w:r w:rsidRPr="00881C41">
        <w:rPr>
          <w:rFonts w:ascii="Times New Roman" w:hAnsi="Times New Roman"/>
          <w:lang w:val="lv-LV"/>
        </w:rPr>
        <w:t>54.pants un AIL 80.pants</w:t>
      </w:r>
    </w:p>
  </w:footnote>
  <w:footnote w:id="26">
    <w:p w:rsidR="00275AED" w:rsidRPr="00881C41" w:rsidRDefault="00275AED" w:rsidP="00651148">
      <w:pPr>
        <w:pStyle w:val="FootnoteText"/>
        <w:jc w:val="both"/>
        <w:rPr>
          <w:rFonts w:ascii="Times New Roman" w:hAnsi="Times New Roman"/>
        </w:rPr>
      </w:pPr>
      <w:r w:rsidRPr="00881C41">
        <w:rPr>
          <w:rStyle w:val="FootnoteReference"/>
          <w:rFonts w:ascii="Times New Roman" w:hAnsi="Times New Roman"/>
        </w:rPr>
        <w:footnoteRef/>
      </w:r>
      <w:r w:rsidRPr="00881C41">
        <w:rPr>
          <w:rFonts w:ascii="Times New Roman" w:hAnsi="Times New Roman"/>
        </w:rPr>
        <w:t xml:space="preserve"> AIL </w:t>
      </w:r>
      <w:r w:rsidRPr="00881C41">
        <w:rPr>
          <w:rFonts w:ascii="Times New Roman" w:hAnsi="Times New Roman"/>
          <w:bCs/>
          <w:lang w:val="lv-LV"/>
        </w:rPr>
        <w:t>54.</w:t>
      </w:r>
      <w:r w:rsidRPr="00881C41">
        <w:rPr>
          <w:rFonts w:ascii="Times New Roman" w:hAnsi="Times New Roman"/>
          <w:bCs/>
          <w:vertAlign w:val="superscript"/>
          <w:lang w:val="lv-LV"/>
        </w:rPr>
        <w:t>1</w:t>
      </w:r>
      <w:r w:rsidRPr="00881C41">
        <w:rPr>
          <w:rFonts w:ascii="Times New Roman" w:hAnsi="Times New Roman"/>
          <w:vertAlign w:val="superscript"/>
          <w:lang w:val="lv-LV"/>
        </w:rPr>
        <w:t> </w:t>
      </w:r>
      <w:r w:rsidRPr="00881C41">
        <w:rPr>
          <w:rFonts w:ascii="Times New Roman" w:hAnsi="Times New Roman"/>
          <w:bCs/>
          <w:lang w:val="lv-LV"/>
        </w:rPr>
        <w:t>pants un 79.</w:t>
      </w:r>
      <w:r w:rsidRPr="00881C41">
        <w:rPr>
          <w:rFonts w:ascii="Times New Roman" w:hAnsi="Times New Roman"/>
          <w:bCs/>
          <w:vertAlign w:val="superscript"/>
          <w:lang w:val="lv-LV"/>
        </w:rPr>
        <w:t>1 </w:t>
      </w:r>
      <w:r w:rsidRPr="00881C41">
        <w:rPr>
          <w:rFonts w:ascii="Times New Roman" w:hAnsi="Times New Roman"/>
          <w:bCs/>
          <w:lang w:val="lv-LV"/>
        </w:rPr>
        <w:t>pants</w:t>
      </w:r>
    </w:p>
  </w:footnote>
  <w:footnote w:id="27">
    <w:p w:rsidR="00275AED" w:rsidRPr="003A3838" w:rsidRDefault="00275AED" w:rsidP="003725D7">
      <w:pPr>
        <w:pStyle w:val="FootnoteText"/>
        <w:jc w:val="both"/>
        <w:rPr>
          <w:rFonts w:ascii="Times New Roman" w:hAnsi="Times New Roman"/>
          <w:lang w:val="lv-LV"/>
        </w:rPr>
      </w:pPr>
      <w:r w:rsidRPr="00A80C1E">
        <w:rPr>
          <w:rStyle w:val="FootnoteReference"/>
          <w:rFonts w:ascii="Times New Roman" w:eastAsiaTheme="majorEastAsia" w:hAnsi="Times New Roman"/>
        </w:rPr>
        <w:footnoteRef/>
      </w:r>
      <w:r w:rsidRPr="00A80C1E">
        <w:rPr>
          <w:rFonts w:ascii="Times New Roman" w:hAnsi="Times New Roman"/>
          <w:lang w:val="lv-LV"/>
        </w:rPr>
        <w:t xml:space="preserve"> </w:t>
      </w:r>
      <w:r w:rsidRPr="003A3838">
        <w:rPr>
          <w:rFonts w:ascii="Times New Roman" w:hAnsi="Times New Roman"/>
          <w:lang w:val="lv-LV"/>
        </w:rPr>
        <w:t>Tirgus un sabiedriskās domas pētījumu centrs “SKDS”, “</w:t>
      </w:r>
      <w:r w:rsidRPr="003A3838">
        <w:rPr>
          <w:rFonts w:ascii="Times New Roman" w:hAnsi="Times New Roman"/>
          <w:bCs/>
          <w:lang w:val="lv-LV"/>
        </w:rPr>
        <w:t>Latvijas iedzīvotāju attieksme pret azartspēlēm”, 2016.gada februāris</w:t>
      </w:r>
    </w:p>
  </w:footnote>
  <w:footnote w:id="28">
    <w:p w:rsidR="00275AED" w:rsidRPr="003A3838" w:rsidRDefault="00275AED" w:rsidP="003725D7">
      <w:pPr>
        <w:pStyle w:val="FootnoteText"/>
        <w:jc w:val="both"/>
        <w:rPr>
          <w:rFonts w:ascii="Times New Roman" w:hAnsi="Times New Roman"/>
        </w:rPr>
      </w:pPr>
      <w:r w:rsidRPr="003A3838">
        <w:rPr>
          <w:rStyle w:val="FootnoteReference"/>
          <w:rFonts w:ascii="Times New Roman" w:eastAsiaTheme="majorEastAsia" w:hAnsi="Times New Roman"/>
        </w:rPr>
        <w:footnoteRef/>
      </w:r>
      <w:r w:rsidRPr="003A3838">
        <w:rPr>
          <w:rFonts w:ascii="Times New Roman" w:hAnsi="Times New Roman"/>
        </w:rPr>
        <w:t xml:space="preserve"> Rickwood D., Blaszczynski A</w:t>
      </w:r>
      <w:r>
        <w:rPr>
          <w:rFonts w:ascii="Times New Roman" w:hAnsi="Times New Roman"/>
        </w:rPr>
        <w:t xml:space="preserve">, </w:t>
      </w:r>
      <w:r w:rsidRPr="003A3838">
        <w:rPr>
          <w:rFonts w:ascii="Times New Roman" w:hAnsi="Times New Roman"/>
        </w:rPr>
        <w:t xml:space="preserve">Delfabbro P., Dowling N., Heading K., Australian Psychological Society, The Psyhology of Gambling, 2010, p.8, </w:t>
      </w:r>
      <w:r w:rsidRPr="000A0F82">
        <w:rPr>
          <w:rFonts w:ascii="Times New Roman" w:hAnsi="Times New Roman"/>
          <w:lang w:val="lv-LV"/>
        </w:rPr>
        <w:t>Pēdējo reizi skatīts 2020.gada 6.augustā:</w:t>
      </w:r>
      <w:r>
        <w:rPr>
          <w:rFonts w:ascii="Times New Roman" w:hAnsi="Times New Roman"/>
          <w:lang w:val="lv-LV"/>
        </w:rPr>
        <w:t xml:space="preserve"> </w:t>
      </w:r>
      <w:hyperlink r:id="rId13" w:history="1">
        <w:r w:rsidRPr="003A3838">
          <w:rPr>
            <w:rStyle w:val="Hyperlink"/>
            <w:rFonts w:ascii="Times New Roman" w:eastAsiaTheme="majorEastAsia" w:hAnsi="Times New Roman"/>
          </w:rPr>
          <w:t>https://www.psychology.org.au/publications/inpsych/2010/december/gambling/</w:t>
        </w:r>
      </w:hyperlink>
    </w:p>
  </w:footnote>
  <w:footnote w:id="29">
    <w:p w:rsidR="00275AED" w:rsidRPr="003A3838" w:rsidRDefault="00275AED" w:rsidP="003725D7">
      <w:pPr>
        <w:pStyle w:val="FootnoteText"/>
        <w:jc w:val="both"/>
        <w:rPr>
          <w:rFonts w:ascii="Times New Roman" w:hAnsi="Times New Roman"/>
        </w:rPr>
      </w:pPr>
      <w:r w:rsidRPr="003A3838">
        <w:rPr>
          <w:rStyle w:val="FootnoteReference"/>
          <w:rFonts w:ascii="Times New Roman" w:eastAsiaTheme="majorEastAsia" w:hAnsi="Times New Roman"/>
        </w:rPr>
        <w:footnoteRef/>
      </w:r>
      <w:r w:rsidRPr="003A3838">
        <w:rPr>
          <w:rFonts w:ascii="Times New Roman" w:hAnsi="Times New Roman"/>
        </w:rPr>
        <w:t xml:space="preserve"> Neighbors C.,.Lostutter Ty</w:t>
      </w:r>
      <w:r>
        <w:rPr>
          <w:rFonts w:ascii="Times New Roman" w:hAnsi="Times New Roman"/>
        </w:rPr>
        <w:t>,</w:t>
      </w:r>
      <w:r w:rsidRPr="003A3838">
        <w:rPr>
          <w:rFonts w:ascii="Times New Roman" w:hAnsi="Times New Roman"/>
        </w:rPr>
        <w:t xml:space="preserve"> Cronce J.M., Larimer M.E, Exploring College Student Gambling Motivation, Nort</w:t>
      </w:r>
      <w:r>
        <w:rPr>
          <w:rFonts w:ascii="Times New Roman" w:hAnsi="Times New Roman"/>
        </w:rPr>
        <w:t>h</w:t>
      </w:r>
      <w:r w:rsidRPr="003A3838">
        <w:rPr>
          <w:rFonts w:ascii="Times New Roman" w:hAnsi="Times New Roman"/>
        </w:rPr>
        <w:t xml:space="preserve"> Dakota State University, University of Washington, 2002, p.4. </w:t>
      </w:r>
      <w:r w:rsidRPr="000A0F82">
        <w:rPr>
          <w:rFonts w:ascii="Times New Roman" w:hAnsi="Times New Roman"/>
          <w:lang w:val="lv-LV"/>
        </w:rPr>
        <w:t>Pēdējo reizi skatīts 2020.gada 6.augustā:</w:t>
      </w:r>
      <w:r>
        <w:rPr>
          <w:rFonts w:ascii="Times New Roman" w:hAnsi="Times New Roman"/>
          <w:lang w:val="lv-LV"/>
        </w:rPr>
        <w:t xml:space="preserve"> </w:t>
      </w:r>
      <w:hyperlink r:id="rId14" w:history="1">
        <w:r w:rsidRPr="003A3838">
          <w:rPr>
            <w:rStyle w:val="Hyperlink"/>
            <w:rFonts w:ascii="Times New Roman" w:eastAsiaTheme="majorEastAsia" w:hAnsi="Times New Roman"/>
          </w:rPr>
          <w:t>https://www.ncbi.nlm.nih.gov/pmc/articles/PMC1797802/</w:t>
        </w:r>
      </w:hyperlink>
    </w:p>
    <w:p w:rsidR="00275AED" w:rsidRPr="003A3838" w:rsidRDefault="00275AED" w:rsidP="003725D7">
      <w:pPr>
        <w:pStyle w:val="FootnoteText"/>
        <w:jc w:val="both"/>
        <w:rPr>
          <w:rFonts w:ascii="Times New Roman" w:hAnsi="Times New Roman"/>
        </w:rPr>
      </w:pPr>
    </w:p>
  </w:footnote>
  <w:footnote w:id="30">
    <w:p w:rsidR="00275AED" w:rsidRPr="00C96C3E" w:rsidRDefault="00275AED">
      <w:pPr>
        <w:pStyle w:val="FootnoteText"/>
        <w:rPr>
          <w:rFonts w:ascii="Times New Roman" w:hAnsi="Times New Roman"/>
        </w:rPr>
      </w:pPr>
      <w:r w:rsidRPr="00C73329">
        <w:rPr>
          <w:rStyle w:val="FootnoteReference"/>
          <w:rFonts w:ascii="Times New Roman" w:hAnsi="Times New Roman"/>
        </w:rPr>
        <w:footnoteRef/>
      </w:r>
      <w:r w:rsidRPr="00C73329">
        <w:rPr>
          <w:rFonts w:ascii="Times New Roman" w:hAnsi="Times New Roman"/>
        </w:rPr>
        <w:t xml:space="preserve"> </w:t>
      </w:r>
      <w:r w:rsidRPr="000A0F82">
        <w:rPr>
          <w:rFonts w:ascii="Times New Roman" w:hAnsi="Times New Roman"/>
          <w:lang w:val="lv-LV"/>
        </w:rPr>
        <w:t xml:space="preserve">Pēdējo reizi skatīts </w:t>
      </w:r>
      <w:r w:rsidRPr="00C96C3E">
        <w:rPr>
          <w:rFonts w:ascii="Times New Roman" w:hAnsi="Times New Roman"/>
          <w:lang w:val="lv-LV"/>
        </w:rPr>
        <w:t xml:space="preserve">2020.gada 6.augustā: </w:t>
      </w:r>
      <w:hyperlink r:id="rId15" w:history="1">
        <w:r w:rsidRPr="00C96C3E">
          <w:rPr>
            <w:rStyle w:val="Hyperlink"/>
            <w:rFonts w:ascii="Times New Roman" w:hAnsi="Times New Roman"/>
          </w:rPr>
          <w:t>http://esparveselibu.lv/jaunumi/petijums-par-procesu-atkaribu-azartspelu-socialo-mediju-datorspelu-atkariba-izplatibu-latvijas-iedzivotaju-vidu-un-ietekmejosiem-riska-faktoriem/</w:t>
        </w:r>
      </w:hyperlink>
    </w:p>
  </w:footnote>
  <w:footnote w:id="31">
    <w:p w:rsidR="00275AED" w:rsidRPr="00C96C3E" w:rsidRDefault="00275AED" w:rsidP="003725D7">
      <w:pPr>
        <w:pStyle w:val="FootnoteText"/>
        <w:jc w:val="both"/>
        <w:rPr>
          <w:rFonts w:ascii="Times New Roman" w:hAnsi="Times New Roman"/>
        </w:rPr>
      </w:pPr>
      <w:r w:rsidRPr="00C96C3E">
        <w:rPr>
          <w:rStyle w:val="FootnoteReferen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p.15 </w:t>
      </w:r>
      <w:r w:rsidRPr="00C96C3E">
        <w:rPr>
          <w:rFonts w:ascii="Times New Roman" w:hAnsi="Times New Roman"/>
          <w:lang w:val="lv-LV"/>
        </w:rPr>
        <w:t xml:space="preserve">Pēdējo reizi skatīts 2020.gada 6.augustā: </w:t>
      </w:r>
      <w:hyperlink r:id="rId16" w:history="1">
        <w:r w:rsidRPr="00C96C3E">
          <w:rPr>
            <w:rStyle w:val="Hyperlink"/>
            <w:rFonts w:ascii="Times New Roman" w:hAnsi="Times New Roman"/>
          </w:rPr>
          <w:t>https://prism.ucalgary.ca/handle/1880/51055</w:t>
        </w:r>
      </w:hyperlink>
      <w:r w:rsidRPr="00C96C3E">
        <w:rPr>
          <w:rFonts w:ascii="Times New Roman" w:hAnsi="Times New Roman"/>
        </w:rPr>
        <w:t xml:space="preserve">. </w:t>
      </w:r>
    </w:p>
  </w:footnote>
  <w:footnote w:id="32">
    <w:p w:rsidR="00275AED" w:rsidRPr="00C96C3E" w:rsidRDefault="00275AED" w:rsidP="003725D7">
      <w:pPr>
        <w:pStyle w:val="FootnoteText"/>
        <w:jc w:val="both"/>
        <w:rPr>
          <w:rFonts w:ascii="Times New Roman" w:hAnsi="Times New Roman"/>
        </w:rPr>
      </w:pPr>
      <w:r w:rsidRPr="00C96C3E">
        <w:rPr>
          <w:rStyle w:val="FootnoteReferen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p.6 </w:t>
      </w:r>
      <w:hyperlink r:id="rId17" w:history="1">
        <w:r w:rsidRPr="00C96C3E">
          <w:rPr>
            <w:rStyle w:val="Hyperlink"/>
            <w:rFonts w:ascii="Times New Roman" w:hAnsi="Times New Roman"/>
          </w:rPr>
          <w:t>https://prism.ucalgary.ca/handle/1880/51055</w:t>
        </w:r>
      </w:hyperlink>
      <w:r w:rsidRPr="00C96C3E">
        <w:rPr>
          <w:rFonts w:ascii="Times New Roman" w:hAnsi="Times New Roman"/>
        </w:rPr>
        <w:t xml:space="preserve">. </w:t>
      </w:r>
      <w:r w:rsidRPr="00C96C3E">
        <w:rPr>
          <w:rFonts w:ascii="Times New Roman" w:hAnsi="Times New Roman"/>
          <w:lang w:val="lv-LV"/>
        </w:rPr>
        <w:t xml:space="preserve">Pēdējo reizi skatīts 2020.gada 6.augustā: </w:t>
      </w:r>
      <w:hyperlink r:id="rId18" w:history="1">
        <w:r w:rsidRPr="007B44FD">
          <w:rPr>
            <w:rStyle w:val="Hyperlink"/>
            <w:rFonts w:ascii="Times New Roman" w:eastAsiaTheme="majorEastAsia" w:hAnsi="Times New Roman"/>
          </w:rPr>
          <w:t>https://prism.ucalgary.ca/handle/1880/51055</w:t>
        </w:r>
      </w:hyperlink>
    </w:p>
  </w:footnote>
  <w:footnote w:id="33">
    <w:p w:rsidR="00275AED" w:rsidRPr="00CF6BF4" w:rsidRDefault="00275AED" w:rsidP="003725D7">
      <w:pPr>
        <w:pStyle w:val="FootnoteText"/>
        <w:jc w:val="both"/>
        <w:rPr>
          <w:rFonts w:ascii="Times New Roman" w:hAnsi="Times New Roman"/>
        </w:rPr>
      </w:pPr>
      <w:r w:rsidRPr="00C96C3E">
        <w:rPr>
          <w:rStyle w:val="FootnoteReferen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p.18 </w:t>
      </w:r>
      <w:hyperlink r:id="rId19" w:history="1">
        <w:r w:rsidRPr="00C96C3E">
          <w:rPr>
            <w:rStyle w:val="Hyperlink"/>
            <w:rFonts w:ascii="Times New Roman" w:hAnsi="Times New Roman"/>
          </w:rPr>
          <w:t>https://prism.ucalgary.ca/handle/1880/51055</w:t>
        </w:r>
      </w:hyperlink>
      <w:r w:rsidRPr="00C96C3E">
        <w:rPr>
          <w:rStyle w:val="Hyperlink"/>
          <w:rFonts w:ascii="Times New Roman" w:hAnsi="Times New Roman"/>
        </w:rPr>
        <w:t xml:space="preserve">. </w:t>
      </w:r>
      <w:r w:rsidRPr="00C96C3E">
        <w:rPr>
          <w:rFonts w:ascii="Times New Roman" w:hAnsi="Times New Roman"/>
          <w:lang w:val="lv-LV"/>
        </w:rPr>
        <w:t xml:space="preserve">Pēdējo reizi skatīts 2020.gada 6.augustā: </w:t>
      </w:r>
      <w:hyperlink r:id="rId20" w:history="1">
        <w:r w:rsidRPr="007B44FD">
          <w:rPr>
            <w:rStyle w:val="Hyperlink"/>
            <w:rFonts w:ascii="Times New Roman" w:eastAsiaTheme="majorEastAsia" w:hAnsi="Times New Roman"/>
          </w:rPr>
          <w:t>https://prism.ucalgary.ca/handle/1880/51055</w:t>
        </w:r>
      </w:hyperlink>
      <w:r w:rsidRPr="00CF6BF4">
        <w:rPr>
          <w:rFonts w:ascii="Times New Roman" w:hAnsi="Times New Roman"/>
        </w:rPr>
        <w:t xml:space="preserve"> </w:t>
      </w:r>
    </w:p>
  </w:footnote>
  <w:footnote w:id="34">
    <w:p w:rsidR="00275AED" w:rsidRPr="00CF6BF4" w:rsidRDefault="00275AED" w:rsidP="003725D7">
      <w:pPr>
        <w:pStyle w:val="FootnoteText"/>
        <w:jc w:val="both"/>
        <w:rPr>
          <w:rFonts w:ascii="Times New Roman" w:hAnsi="Times New Roman"/>
        </w:rPr>
      </w:pPr>
      <w:r w:rsidRPr="00CF6BF4">
        <w:rPr>
          <w:rStyle w:val="FootnoteReference"/>
          <w:rFonts w:ascii="Times New Roman" w:eastAsiaTheme="majorEastAsia" w:hAnsi="Times New Roman"/>
        </w:rPr>
        <w:footnoteRef/>
      </w:r>
      <w:r w:rsidRPr="00CF6BF4">
        <w:rPr>
          <w:rFonts w:ascii="Times New Roman" w:hAnsi="Times New Roman"/>
        </w:rPr>
        <w:t xml:space="preserve"> Binde</w:t>
      </w:r>
      <w:r>
        <w:rPr>
          <w:rFonts w:ascii="Times New Roman" w:hAnsi="Times New Roman"/>
        </w:rPr>
        <w:t xml:space="preserve"> P.</w:t>
      </w:r>
      <w:r w:rsidRPr="00CF6BF4">
        <w:rPr>
          <w:rFonts w:ascii="Times New Roman" w:hAnsi="Times New Roman"/>
        </w:rPr>
        <w:t xml:space="preserve">, Gambling motivation and involvement, Swedish National Institute of Public health, 2009, p12 </w:t>
      </w:r>
      <w:r w:rsidRPr="000A0F82">
        <w:rPr>
          <w:rFonts w:ascii="Times New Roman" w:hAnsi="Times New Roman"/>
          <w:lang w:val="lv-LV"/>
        </w:rPr>
        <w:t>Pēdējo reizi skatīts 2020.gada 6.augustā:</w:t>
      </w:r>
      <w:r>
        <w:rPr>
          <w:rFonts w:ascii="Times New Roman" w:hAnsi="Times New Roman"/>
          <w:lang w:val="lv-LV"/>
        </w:rPr>
        <w:t xml:space="preserve"> </w:t>
      </w:r>
      <w:hyperlink r:id="rId21" w:history="1">
        <w:r w:rsidRPr="002E6E7B">
          <w:rPr>
            <w:rStyle w:val="Hyperlink"/>
            <w:rFonts w:ascii="Times New Roman" w:hAnsi="Times New Roman"/>
          </w:rPr>
          <w:t>https://prism.ucalgary.ca/handle/1880/51055</w:t>
        </w:r>
      </w:hyperlink>
      <w:r>
        <w:rPr>
          <w:rFonts w:ascii="Times New Roman" w:hAnsi="Times New Roman"/>
        </w:rPr>
        <w:t xml:space="preserve">. </w:t>
      </w:r>
    </w:p>
  </w:footnote>
  <w:footnote w:id="35">
    <w:p w:rsidR="00275AED" w:rsidRDefault="00275AED" w:rsidP="003725D7">
      <w:pPr>
        <w:pStyle w:val="FootnoteText"/>
        <w:jc w:val="both"/>
      </w:pPr>
      <w:r w:rsidRPr="000F1653">
        <w:rPr>
          <w:rStyle w:val="FootnoteReference"/>
          <w:rFonts w:ascii="Times New Roman" w:eastAsiaTheme="majorEastAsia" w:hAnsi="Times New Roman"/>
        </w:rPr>
        <w:footnoteRef/>
      </w:r>
      <w:r w:rsidRPr="000F1653">
        <w:rPr>
          <w:rFonts w:ascii="Times New Roman" w:hAnsi="Times New Roman"/>
        </w:rPr>
        <w:t xml:space="preserve"> </w:t>
      </w:r>
      <w:r>
        <w:rPr>
          <w:rFonts w:ascii="Times New Roman" w:hAnsi="Times New Roman"/>
        </w:rPr>
        <w:t xml:space="preserve"> </w:t>
      </w:r>
      <w:r w:rsidRPr="000F1653">
        <w:rPr>
          <w:rFonts w:ascii="Times New Roman" w:hAnsi="Times New Roman"/>
        </w:rPr>
        <w:t xml:space="preserve"> Binde</w:t>
      </w:r>
      <w:r>
        <w:rPr>
          <w:rFonts w:ascii="Times New Roman" w:hAnsi="Times New Roman"/>
        </w:rPr>
        <w:t xml:space="preserve"> P.</w:t>
      </w:r>
      <w:r w:rsidRPr="000F1653">
        <w:rPr>
          <w:rFonts w:ascii="Times New Roman" w:hAnsi="Times New Roman"/>
        </w:rPr>
        <w:t>, Gambling motivation and involvement, Swedish Nati</w:t>
      </w:r>
      <w:r>
        <w:rPr>
          <w:rFonts w:ascii="Times New Roman" w:hAnsi="Times New Roman"/>
        </w:rPr>
        <w:t xml:space="preserve">onal Institute of Public health. 2009, </w:t>
      </w:r>
      <w:r w:rsidRPr="000F1653">
        <w:rPr>
          <w:rFonts w:ascii="Times New Roman" w:hAnsi="Times New Roman"/>
        </w:rPr>
        <w:t>p.15</w:t>
      </w:r>
      <w:r>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2" w:history="1">
        <w:r w:rsidRPr="004C4334">
          <w:rPr>
            <w:rStyle w:val="Hyperlink"/>
            <w:rFonts w:ascii="Times New Roman" w:hAnsi="Times New Roman"/>
          </w:rPr>
          <w:t>https://prism.ucalgary.ca/handle/1880/51055</w:t>
        </w:r>
      </w:hyperlink>
      <w:r>
        <w:rPr>
          <w:rFonts w:ascii="Times New Roman" w:hAnsi="Times New Roman"/>
        </w:rPr>
        <w:t xml:space="preserve"> </w:t>
      </w:r>
      <w:r>
        <w:t xml:space="preserve"> </w:t>
      </w:r>
    </w:p>
  </w:footnote>
  <w:footnote w:id="36">
    <w:p w:rsidR="00275AED" w:rsidRPr="00871C12" w:rsidRDefault="00275AED" w:rsidP="003725D7">
      <w:pPr>
        <w:pStyle w:val="FootnoteText"/>
        <w:jc w:val="both"/>
        <w:rPr>
          <w:rFonts w:ascii="Times New Roman" w:hAnsi="Times New Roman"/>
        </w:rPr>
      </w:pPr>
      <w:r w:rsidRPr="00A80C1E">
        <w:rPr>
          <w:rStyle w:val="FootnoteReference"/>
          <w:rFonts w:ascii="Times New Roman" w:eastAsiaTheme="majorEastAsia" w:hAnsi="Times New Roman"/>
        </w:rPr>
        <w:footnoteRef/>
      </w:r>
      <w:r>
        <w:t xml:space="preserve"> </w:t>
      </w:r>
      <w:r w:rsidRPr="00871C12">
        <w:rPr>
          <w:rFonts w:ascii="Times New Roman" w:hAnsi="Times New Roman"/>
        </w:rPr>
        <w:t>Binde</w:t>
      </w:r>
      <w:r>
        <w:rPr>
          <w:rFonts w:ascii="Times New Roman" w:hAnsi="Times New Roman"/>
        </w:rPr>
        <w:t xml:space="preserve"> P.</w:t>
      </w:r>
      <w:r w:rsidRPr="00871C12">
        <w:rPr>
          <w:rFonts w:ascii="Times New Roman" w:hAnsi="Times New Roman"/>
        </w:rPr>
        <w:t>, Gambling motivation and involvement, Swedish National Institute of Public health,</w:t>
      </w:r>
      <w:r>
        <w:rPr>
          <w:rFonts w:ascii="Times New Roman" w:hAnsi="Times New Roman"/>
        </w:rPr>
        <w:t xml:space="preserve"> 2009.</w:t>
      </w:r>
      <w:r w:rsidRPr="00871C12">
        <w:rPr>
          <w:rFonts w:ascii="Times New Roman" w:hAnsi="Times New Roman"/>
        </w:rPr>
        <w:t xml:space="preserve"> p.18</w:t>
      </w:r>
      <w:r>
        <w:rPr>
          <w:rFonts w:ascii="Times New Roman" w:hAnsi="Times New Roman"/>
        </w:rPr>
        <w:t xml:space="preserve"> </w:t>
      </w:r>
      <w:hyperlink r:id="rId23" w:history="1">
        <w:r w:rsidRPr="004C4334">
          <w:rPr>
            <w:rStyle w:val="Hyperlink"/>
            <w:rFonts w:ascii="Times New Roman" w:hAnsi="Times New Roman"/>
          </w:rPr>
          <w:t>https://prism.ucalgary.ca/handle/1880/51055</w:t>
        </w:r>
      </w:hyperlink>
      <w:r>
        <w:rPr>
          <w:rFonts w:ascii="Times New Roman" w:hAnsi="Times New Roman"/>
        </w:rPr>
        <w:t xml:space="preserve"> </w:t>
      </w:r>
    </w:p>
  </w:footnote>
  <w:footnote w:id="37">
    <w:p w:rsidR="00275AED" w:rsidRDefault="00275AED" w:rsidP="00022601">
      <w:pPr>
        <w:pStyle w:val="FootnoteText"/>
        <w:jc w:val="both"/>
        <w:rPr>
          <w:rFonts w:ascii="Times New Roman" w:hAnsi="Times New Roman"/>
          <w:lang w:val="lv-LV"/>
        </w:rPr>
      </w:pPr>
      <w:r w:rsidRPr="00A80C1E">
        <w:rPr>
          <w:rStyle w:val="FootnoteReference"/>
          <w:rFonts w:ascii="Times New Roman" w:hAnsi="Times New Roman"/>
        </w:rPr>
        <w:footnoteRef/>
      </w:r>
      <w:r w:rsidRPr="000A0F82">
        <w:rPr>
          <w:rFonts w:ascii="Times New Roman" w:hAnsi="Times New Roman"/>
          <w:lang w:val="lv-LV"/>
        </w:rPr>
        <w:t>Pēdējo reizi skatīts 2020.gada 6.augustā:</w:t>
      </w:r>
    </w:p>
    <w:p w:rsidR="00275AED" w:rsidRPr="00827349" w:rsidRDefault="008C0E6A" w:rsidP="00022601">
      <w:pPr>
        <w:pStyle w:val="FootnoteText"/>
        <w:jc w:val="both"/>
        <w:rPr>
          <w:rFonts w:ascii="Times New Roman" w:hAnsi="Times New Roman"/>
          <w:lang w:val="lv-LV"/>
        </w:rPr>
      </w:pPr>
      <w:hyperlink r:id="rId24" w:history="1">
        <w:r w:rsidR="00275AED" w:rsidRPr="00827349">
          <w:rPr>
            <w:rStyle w:val="Hyperlink"/>
            <w:rFonts w:ascii="Times New Roman" w:eastAsiaTheme="majorEastAsia" w:hAnsi="Times New Roman"/>
            <w:lang w:val="lv-LV"/>
          </w:rPr>
          <w:t>https://www.spkc.gov.lv/upload/Petijumi%20un%20zinojumi/Atkaribu%20slimibu%20petijumi/espad2015_ziojums.pdf</w:t>
        </w:r>
      </w:hyperlink>
      <w:r w:rsidR="00275AED" w:rsidRPr="00827349">
        <w:rPr>
          <w:rFonts w:ascii="Times New Roman" w:hAnsi="Times New Roman"/>
          <w:lang w:val="lv-LV"/>
        </w:rPr>
        <w:t xml:space="preserve"> </w:t>
      </w:r>
    </w:p>
  </w:footnote>
  <w:footnote w:id="38">
    <w:p w:rsidR="00275AED" w:rsidRPr="00C96C3E" w:rsidRDefault="00275AED" w:rsidP="00AC7269">
      <w:pPr>
        <w:pStyle w:val="FootnoteText"/>
        <w:jc w:val="both"/>
        <w:rPr>
          <w:rFonts w:ascii="Times New Roman" w:hAnsi="Times New Roman"/>
        </w:rPr>
      </w:pPr>
      <w:r w:rsidRPr="00C96C3E">
        <w:rPr>
          <w:rStyle w:val="FootnoteReference"/>
          <w:rFonts w:ascii="Times New Roman" w:hAnsi="Times New Roman"/>
        </w:rPr>
        <w:footnoteRef/>
      </w:r>
      <w:r w:rsidRPr="00C96C3E">
        <w:rPr>
          <w:rFonts w:ascii="Times New Roman" w:hAnsi="Times New Roman"/>
        </w:rPr>
        <w:t xml:space="preserve"> Oh B. C., Ong Y. J., &amp; Loo, J.M.Y. (2017). A review of educational-based gambling prevention programs for adolescents. Asian journal of gambling issues and public health, 7(1), 4. </w:t>
      </w:r>
      <w:r w:rsidRPr="00C96C3E">
        <w:rPr>
          <w:rFonts w:ascii="Times New Roman" w:hAnsi="Times New Roman"/>
          <w:lang w:val="lv-LV"/>
        </w:rPr>
        <w:t xml:space="preserve">Pēdējo reizi skatīts 2020.gada 6.augustā: </w:t>
      </w:r>
      <w:hyperlink r:id="rId25" w:history="1">
        <w:r w:rsidRPr="00F340F9">
          <w:rPr>
            <w:rStyle w:val="Hyperlink"/>
            <w:rFonts w:ascii="Times New Roman" w:eastAsiaTheme="majorEastAsia" w:hAnsi="Times New Roman"/>
          </w:rPr>
          <w:t>https://www.ncbi.nlm.nih.gov/pmc/articles/PMC5488130/</w:t>
        </w:r>
      </w:hyperlink>
    </w:p>
  </w:footnote>
  <w:footnote w:id="39">
    <w:p w:rsidR="00275AED" w:rsidRPr="008E3079" w:rsidRDefault="00275AED" w:rsidP="006F14A0">
      <w:pPr>
        <w:pStyle w:val="FootnoteText"/>
        <w:jc w:val="both"/>
        <w:rPr>
          <w:rFonts w:ascii="Times New Roman" w:hAnsi="Times New Roman"/>
        </w:rPr>
      </w:pPr>
      <w:r w:rsidRPr="008E3079">
        <w:rPr>
          <w:rStyle w:val="FootnoteReference"/>
          <w:rFonts w:ascii="Times New Roman" w:hAnsi="Times New Roman"/>
        </w:rPr>
        <w:footnoteRef/>
      </w:r>
      <w:r w:rsidRPr="008E3079">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6" w:history="1">
        <w:r w:rsidRPr="008E3079">
          <w:rPr>
            <w:rStyle w:val="Hyperlink"/>
            <w:rFonts w:ascii="Times New Roman" w:hAnsi="Times New Roman"/>
          </w:rPr>
          <w:t>http://www.rpnc.lv/narkologiska-palidziba/stacionara-arstnieciba</w:t>
        </w:r>
      </w:hyperlink>
      <w:r w:rsidRPr="008E3079">
        <w:rPr>
          <w:rFonts w:ascii="Times New Roman" w:hAnsi="Times New Roman"/>
        </w:rPr>
        <w:t xml:space="preserve"> </w:t>
      </w:r>
    </w:p>
  </w:footnote>
  <w:footnote w:id="40">
    <w:p w:rsidR="00275AED" w:rsidRPr="008E3079" w:rsidRDefault="00275AED" w:rsidP="006F14A0">
      <w:pPr>
        <w:pStyle w:val="FootnoteText"/>
        <w:jc w:val="both"/>
        <w:rPr>
          <w:rFonts w:ascii="Times New Roman" w:hAnsi="Times New Roman"/>
        </w:rPr>
      </w:pPr>
      <w:r w:rsidRPr="008E3079">
        <w:rPr>
          <w:rStyle w:val="FootnoteReference"/>
          <w:rFonts w:ascii="Times New Roman" w:hAnsi="Times New Roman"/>
        </w:rPr>
        <w:footnoteRef/>
      </w:r>
      <w:r w:rsidRPr="008E3079">
        <w:rPr>
          <w:rFonts w:ascii="Times New Roman" w:hAnsi="Times New Roman"/>
        </w:rPr>
        <w:t xml:space="preserve"> Kopsavilkums par psihiskiem un uzvedības traucējumiem psihoaktīvo vielu lietošanas dēļ, 2017.gads; </w:t>
      </w:r>
      <w:r w:rsidRPr="000A0F82">
        <w:rPr>
          <w:rFonts w:ascii="Times New Roman" w:hAnsi="Times New Roman"/>
          <w:lang w:val="lv-LV"/>
        </w:rPr>
        <w:t>Pēdējo reizi skatīts 2020.gada 6.augustā:</w:t>
      </w:r>
      <w:r>
        <w:rPr>
          <w:rFonts w:ascii="Times New Roman" w:hAnsi="Times New Roman"/>
          <w:lang w:val="lv-LV"/>
        </w:rPr>
        <w:t xml:space="preserve"> </w:t>
      </w:r>
      <w:hyperlink r:id="rId27" w:history="1">
        <w:r w:rsidRPr="008E3079">
          <w:rPr>
            <w:rStyle w:val="Hyperlink"/>
            <w:rFonts w:ascii="Times New Roman" w:eastAsiaTheme="majorEastAsia" w:hAnsi="Times New Roman"/>
          </w:rPr>
          <w:t>https://www.spkc.gov.lv/lv/statistika-un-petijumi/statistika/veselibas-aprupes-statistika1</w:t>
        </w:r>
      </w:hyperlink>
      <w:r w:rsidRPr="008E3079">
        <w:rPr>
          <w:rFonts w:ascii="Times New Roman" w:hAnsi="Times New Roman"/>
        </w:rPr>
        <w:t xml:space="preserve"> </w:t>
      </w:r>
    </w:p>
  </w:footnote>
  <w:footnote w:id="41">
    <w:p w:rsidR="00275AED" w:rsidRPr="00F1765C" w:rsidRDefault="00275AED" w:rsidP="00F1765C">
      <w:pPr>
        <w:pStyle w:val="FootnoteText"/>
        <w:rPr>
          <w:rFonts w:ascii="Times New Roman" w:hAnsi="Times New Roman"/>
        </w:rPr>
      </w:pPr>
      <w:r w:rsidRPr="00DF061D">
        <w:rPr>
          <w:rStyle w:val="FootnoteReferen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DF061D">
        <w:rPr>
          <w:rFonts w:ascii="Times New Roman" w:hAnsi="Times New Roman"/>
        </w:rPr>
        <w:t xml:space="preserve"> </w:t>
      </w:r>
      <w:hyperlink r:id="rId28" w:history="1">
        <w:r w:rsidRPr="00F1765C">
          <w:rPr>
            <w:rStyle w:val="Hyperlink"/>
            <w:rFonts w:ascii="Times New Roman" w:eastAsiaTheme="majorEastAsia" w:hAnsi="Times New Roman"/>
          </w:rPr>
          <w:t>https://www.psychologytoday.com/us/treatment-rehab/gambling/me/poland</w:t>
        </w:r>
      </w:hyperlink>
      <w:r w:rsidRPr="00F1765C">
        <w:rPr>
          <w:rFonts w:ascii="Times New Roman" w:hAnsi="Times New Roman"/>
        </w:rPr>
        <w:t>;</w:t>
      </w:r>
      <w:r>
        <w:rPr>
          <w:rFonts w:ascii="Times New Roman" w:hAnsi="Times New Roman"/>
        </w:rPr>
        <w:t xml:space="preserve"> </w:t>
      </w:r>
      <w:hyperlink r:id="rId29" w:history="1">
        <w:r w:rsidRPr="00F1765C">
          <w:rPr>
            <w:rStyle w:val="Hyperlink"/>
            <w:rFonts w:ascii="Times New Roman" w:hAnsi="Times New Roman"/>
          </w:rPr>
          <w:t>https://www.gamblingtherapy.org/en/taxonomy/term/504</w:t>
        </w:r>
      </w:hyperlink>
      <w:r w:rsidRPr="00F1765C">
        <w:rPr>
          <w:rFonts w:ascii="Times New Roman" w:hAnsi="Times New Roman"/>
        </w:rPr>
        <w:t xml:space="preserve"> </w:t>
      </w:r>
    </w:p>
  </w:footnote>
  <w:footnote w:id="42">
    <w:p w:rsidR="00275AED" w:rsidRPr="00881C41" w:rsidRDefault="00275AED" w:rsidP="00F1765C">
      <w:pPr>
        <w:pStyle w:val="FootnoteText"/>
        <w:rPr>
          <w:rFonts w:ascii="Times New Roman" w:hAnsi="Times New Roman"/>
        </w:rPr>
      </w:pPr>
      <w:r w:rsidRPr="00F1765C">
        <w:rPr>
          <w:rStyle w:val="FootnoteReference"/>
          <w:rFonts w:ascii="Times New Roman" w:hAnsi="Times New Roman"/>
        </w:rPr>
        <w:footnoteRef/>
      </w:r>
      <w:r w:rsidRPr="00F1765C">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0" w:history="1">
        <w:r w:rsidRPr="00F1765C">
          <w:rPr>
            <w:rStyle w:val="Hyperlink"/>
            <w:rFonts w:ascii="Times New Roman" w:hAnsi="Times New Roman"/>
          </w:rPr>
          <w:t>https://www.ncbi.nlm.nih.gov/pmc/articles/PMC3000184/</w:t>
        </w:r>
      </w:hyperlink>
      <w:r>
        <w:rPr>
          <w:rFonts w:ascii="Times New Roman" w:hAnsi="Times New Roman"/>
        </w:rPr>
        <w:t xml:space="preserve"> </w:t>
      </w:r>
    </w:p>
  </w:footnote>
  <w:footnote w:id="43">
    <w:p w:rsidR="00275AED" w:rsidRPr="004A530C" w:rsidRDefault="00275AED" w:rsidP="004A530C">
      <w:pPr>
        <w:pStyle w:val="Default"/>
        <w:rPr>
          <w:rFonts w:eastAsiaTheme="minorHAnsi"/>
        </w:rPr>
      </w:pPr>
      <w:r w:rsidRPr="00A80C1E">
        <w:rPr>
          <w:rStyle w:val="FootnoteReference"/>
        </w:rPr>
        <w:footnoteRef/>
      </w:r>
      <w:r w:rsidRPr="00A80C1E">
        <w:t xml:space="preserve"> </w:t>
      </w:r>
      <w:r w:rsidRPr="004A530C">
        <w:rPr>
          <w:sz w:val="20"/>
          <w:szCs w:val="20"/>
        </w:rPr>
        <w:t xml:space="preserve">Williams R.J., West, B.L., &amp; Simpson, R.I. (2012). </w:t>
      </w:r>
      <w:r w:rsidRPr="004A530C">
        <w:rPr>
          <w:rFonts w:eastAsiaTheme="minorHAnsi"/>
          <w:sz w:val="20"/>
          <w:szCs w:val="20"/>
        </w:rPr>
        <w:t>Prevention of Problem and Pathological Gambling: A Comprehensive Review of the Evidence</w:t>
      </w:r>
      <w:r w:rsidRPr="004A530C">
        <w:rPr>
          <w:sz w:val="20"/>
          <w:szCs w:val="20"/>
        </w:rPr>
        <w:t>. Report prepared for the Ontario Problem Gambling Research Centre. Guelph, Ontario, Canada. October 1, 2012</w:t>
      </w:r>
      <w:r w:rsidRPr="00C47DD3">
        <w:t xml:space="preserve"> </w:t>
      </w:r>
      <w:r w:rsidRPr="000A0F82">
        <w:rPr>
          <w:sz w:val="20"/>
          <w:szCs w:val="20"/>
        </w:rPr>
        <w:t>Pēdējo reizi skatīts 2020.gada 6.augustā:</w:t>
      </w:r>
      <w:r>
        <w:t xml:space="preserve"> </w:t>
      </w:r>
      <w:hyperlink r:id="rId31" w:history="1">
        <w:r w:rsidRPr="004A530C">
          <w:rPr>
            <w:rStyle w:val="Hyperlink"/>
            <w:rFonts w:eastAsiaTheme="majorEastAsia"/>
            <w:sz w:val="20"/>
            <w:szCs w:val="20"/>
          </w:rPr>
          <w:t>http://142.66.3.39/handle/10133/3121</w:t>
        </w:r>
      </w:hyperlink>
      <w:r w:rsidRPr="004A530C">
        <w:rPr>
          <w:sz w:val="20"/>
          <w:szCs w:val="20"/>
        </w:rPr>
        <w:t>, p.42</w:t>
      </w:r>
    </w:p>
  </w:footnote>
  <w:footnote w:id="44">
    <w:p w:rsidR="00275AED" w:rsidRPr="00B25D00" w:rsidRDefault="00275AED" w:rsidP="00EA6FA5">
      <w:pPr>
        <w:pStyle w:val="FootnoteText"/>
        <w:jc w:val="both"/>
        <w:rPr>
          <w:lang w:val="lv-LV"/>
        </w:rPr>
      </w:pPr>
      <w:r w:rsidRPr="001610B8">
        <w:rPr>
          <w:rStyle w:val="FootnoteReference"/>
          <w:rFonts w:ascii="Times New Roman" w:hAnsi="Times New Roman"/>
        </w:rPr>
        <w:footnoteRef/>
      </w:r>
      <w:r w:rsidRPr="00B25D00">
        <w:rPr>
          <w:rFonts w:ascii="Times New Roman" w:hAnsi="Times New Roman"/>
          <w:lang w:val="lv-LV"/>
        </w:rPr>
        <w:t xml:space="preserve"> Azartspēļu un izložu likums,</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B25D00">
        <w:rPr>
          <w:lang w:val="lv-LV"/>
        </w:rPr>
        <w:t xml:space="preserve"> </w:t>
      </w:r>
      <w:hyperlink r:id="rId32" w:history="1">
        <w:r w:rsidRPr="00B25D00">
          <w:rPr>
            <w:rStyle w:val="Hyperlink"/>
            <w:rFonts w:ascii="Times New Roman" w:hAnsi="Times New Roman"/>
            <w:lang w:val="lv-LV"/>
          </w:rPr>
          <w:t>https://likumi.lv/doc.php?id=122941</w:t>
        </w:r>
      </w:hyperlink>
    </w:p>
  </w:footnote>
  <w:footnote w:id="45">
    <w:p w:rsidR="00275AED" w:rsidRPr="003D694C" w:rsidRDefault="00275AED" w:rsidP="00B34894">
      <w:pPr>
        <w:pStyle w:val="FootnoteText"/>
        <w:jc w:val="both"/>
        <w:rPr>
          <w:rFonts w:ascii="Times New Roman" w:hAnsi="Times New Roman"/>
          <w:lang w:val="lv-LV"/>
        </w:rPr>
      </w:pPr>
      <w:r w:rsidRPr="00DF061D">
        <w:rPr>
          <w:rStyle w:val="FootnoteReference"/>
          <w:rFonts w:ascii="Times New Roman" w:hAnsi="Times New Roman"/>
        </w:rPr>
        <w:footnoteRef/>
      </w:r>
      <w:r w:rsidRPr="00DF061D">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3" w:history="1">
        <w:r w:rsidRPr="003D694C">
          <w:rPr>
            <w:rStyle w:val="Hyperlink"/>
            <w:rFonts w:ascii="Times New Roman" w:eastAsiaTheme="majorEastAsia" w:hAnsi="Times New Roman"/>
            <w:lang w:val="lv-LV"/>
          </w:rPr>
          <w:t>https://gamblingcompliance.com/infographic/analysing-age-requirement-europe</w:t>
        </w:r>
      </w:hyperlink>
    </w:p>
  </w:footnote>
  <w:footnote w:id="46">
    <w:p w:rsidR="00275AED" w:rsidRPr="003D694C" w:rsidRDefault="00275AED" w:rsidP="00B34894">
      <w:pPr>
        <w:pStyle w:val="FootnoteText"/>
        <w:jc w:val="both"/>
        <w:rPr>
          <w:rFonts w:ascii="Times New Roman" w:hAnsi="Times New Roman"/>
          <w:lang w:val="lv-LV"/>
        </w:rPr>
      </w:pPr>
      <w:r w:rsidRPr="003D694C">
        <w:rPr>
          <w:rStyle w:val="FootnoteReferen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B25D00">
        <w:rPr>
          <w:rFonts w:ascii="Times New Roman" w:hAnsi="Times New Roman"/>
          <w:lang w:val="lv-LV"/>
        </w:rPr>
        <w:t xml:space="preserve"> </w:t>
      </w:r>
      <w:hyperlink r:id="rId34" w:history="1">
        <w:r w:rsidRPr="00D932AB">
          <w:rPr>
            <w:rStyle w:val="Hyperlink"/>
            <w:rFonts w:ascii="Times New Roman" w:eastAsiaTheme="majorEastAsia" w:hAnsi="Times New Roman"/>
            <w:lang w:val="lv-LV"/>
          </w:rPr>
          <w:t>https://gamblingcompliance.com/infographic/analysing-age-requirement-europe</w:t>
        </w:r>
      </w:hyperlink>
    </w:p>
  </w:footnote>
  <w:footnote w:id="47">
    <w:p w:rsidR="00275AED" w:rsidRPr="00D932AB" w:rsidRDefault="00275AED" w:rsidP="00B34894">
      <w:pPr>
        <w:pStyle w:val="FootnoteText"/>
        <w:jc w:val="both"/>
        <w:rPr>
          <w:rFonts w:ascii="Times New Roman" w:hAnsi="Times New Roman"/>
          <w:lang w:val="lv-LV"/>
        </w:rPr>
      </w:pPr>
      <w:r w:rsidRPr="00106D09">
        <w:rPr>
          <w:rStyle w:val="FootnoteReference"/>
          <w:rFonts w:ascii="Times New Roman" w:hAnsi="Times New Roman"/>
        </w:rPr>
        <w:footnoteRef/>
      </w:r>
      <w:r w:rsidRPr="00106D09">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5" w:history="1">
        <w:r w:rsidRPr="00D932AB">
          <w:rPr>
            <w:rStyle w:val="Hyperlink"/>
            <w:rFonts w:ascii="Times New Roman" w:eastAsiaTheme="majorEastAsia" w:hAnsi="Times New Roman"/>
            <w:lang w:val="lv-LV"/>
          </w:rPr>
          <w:t>https://gamblingcompliance.com/infographic/analysing-age-requirement-europe</w:t>
        </w:r>
      </w:hyperlink>
    </w:p>
  </w:footnote>
  <w:footnote w:id="48">
    <w:p w:rsidR="00275AED" w:rsidRPr="00D932AB" w:rsidRDefault="00275AED" w:rsidP="00B34894">
      <w:pPr>
        <w:pStyle w:val="FootnoteText"/>
        <w:jc w:val="both"/>
        <w:rPr>
          <w:rFonts w:ascii="Times New Roman" w:hAnsi="Times New Roman"/>
          <w:lang w:val="lv-LV"/>
        </w:rPr>
      </w:pPr>
      <w:r w:rsidRPr="00D932AB">
        <w:rPr>
          <w:rStyle w:val="FootnoteReferen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D932AB">
        <w:rPr>
          <w:rFonts w:ascii="Times New Roman" w:hAnsi="Times New Roman"/>
          <w:lang w:val="lv-LV"/>
        </w:rPr>
        <w:t xml:space="preserve"> </w:t>
      </w:r>
      <w:hyperlink r:id="rId36" w:history="1">
        <w:r w:rsidRPr="00D932AB">
          <w:rPr>
            <w:rStyle w:val="Hyperlink"/>
            <w:rFonts w:ascii="Times New Roman" w:eastAsiaTheme="majorEastAsia" w:hAnsi="Times New Roman"/>
            <w:lang w:val="lv-LV"/>
          </w:rPr>
          <w:t>https://gamblingcompliance.com/infographic/analysing-age-requirement-europe</w:t>
        </w:r>
      </w:hyperlink>
    </w:p>
  </w:footnote>
  <w:footnote w:id="49">
    <w:p w:rsidR="00275AED" w:rsidRPr="00422CB7" w:rsidRDefault="00275AED" w:rsidP="00C303A4">
      <w:pPr>
        <w:pStyle w:val="FootnoteText"/>
        <w:rPr>
          <w:lang w:val="lv-LV"/>
        </w:rPr>
      </w:pPr>
      <w:r>
        <w:rPr>
          <w:rStyle w:val="FootnoteReference"/>
        </w:rPr>
        <w:footnoteRef/>
      </w:r>
      <w:r>
        <w:t xml:space="preserve"> </w:t>
      </w:r>
      <w:r w:rsidRPr="002E3849">
        <w:rPr>
          <w:rFonts w:ascii="Times New Roman" w:hAnsi="Times New Roman"/>
        </w:rPr>
        <w:t xml:space="preserve">Williams, West, &amp; Simpson, </w:t>
      </w:r>
      <w:hyperlink r:id="rId37" w:history="1">
        <w:r w:rsidRPr="002E3849">
          <w:rPr>
            <w:rStyle w:val="Hyperlink"/>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Williams</w:t>
      </w:r>
      <w:r>
        <w:rPr>
          <w:rStyle w:val="hlfld-contribauthor"/>
          <w:rFonts w:ascii="Times New Roman" w:hAnsi="Times New Roman"/>
          <w:shd w:val="clear" w:color="auto" w:fill="FFFFFF"/>
        </w:rPr>
        <w:t xml:space="preserve">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8" w:tgtFrame="_blank" w:history="1">
        <w:r w:rsidRPr="002E3849">
          <w:rPr>
            <w:rStyle w:val="Hyperlink"/>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39" w:tgtFrame="_blank" w:history="1">
        <w:r w:rsidRPr="002E3849">
          <w:rPr>
            <w:rStyle w:val="Hyperlink"/>
            <w:rFonts w:ascii="Times New Roman" w:eastAsiaTheme="majorEastAsia" w:hAnsi="Times New Roman"/>
          </w:rPr>
          <w:t>[Google Scholar]</w:t>
        </w:r>
      </w:hyperlink>
      <w:r>
        <w:rPr>
          <w:rFonts w:ascii="Times New Roman" w:hAnsi="Times New Roman"/>
        </w:rPr>
        <w:t>, p. 68</w:t>
      </w:r>
    </w:p>
  </w:footnote>
  <w:footnote w:id="50">
    <w:p w:rsidR="00275AED" w:rsidRPr="005120F5" w:rsidRDefault="00275AED" w:rsidP="00C71E09">
      <w:pPr>
        <w:pStyle w:val="FootnoteText"/>
        <w:jc w:val="both"/>
        <w:rPr>
          <w:lang w:val="lv-LV"/>
        </w:rPr>
      </w:pPr>
      <w:r>
        <w:rPr>
          <w:rStyle w:val="FootnoteReference"/>
        </w:rPr>
        <w:footnoteRef/>
      </w:r>
      <w:r>
        <w:t xml:space="preserve"> </w:t>
      </w:r>
      <w:r w:rsidRPr="00AC0C13">
        <w:rPr>
          <w:rFonts w:ascii="Times New Roman" w:hAnsi="Times New Roman"/>
        </w:rPr>
        <w:t xml:space="preserve">Williams R.J., West, B.L., &amp; Simpson, R.I. (2012). Prevention of Problem/Pathological Gambling: A Comprehensive Review of the Evidence. Report prepared for the Ontario Problem Gambling Research Centre. Guelph, Ontario, Canada. October 1, 2012. </w:t>
      </w:r>
      <w:r w:rsidRPr="000A0F82">
        <w:rPr>
          <w:rFonts w:ascii="Times New Roman" w:hAnsi="Times New Roman"/>
          <w:lang w:val="lv-LV"/>
        </w:rPr>
        <w:t>Pēdējo reizi skatīts 2020.gada 6.augustā:</w:t>
      </w:r>
      <w:r>
        <w:rPr>
          <w:rFonts w:ascii="Times New Roman" w:hAnsi="Times New Roman"/>
          <w:lang w:val="lv-LV"/>
        </w:rPr>
        <w:t xml:space="preserve"> </w:t>
      </w:r>
      <w:r w:rsidRPr="00AC0C13">
        <w:rPr>
          <w:rFonts w:ascii="Times New Roman" w:hAnsi="Times New Roman"/>
        </w:rPr>
        <w:t>http://hdl.handle.net/10133/414, p.63 – 67</w:t>
      </w:r>
    </w:p>
  </w:footnote>
  <w:footnote w:id="51">
    <w:p w:rsidR="00275AED" w:rsidRPr="00D932AB" w:rsidRDefault="00275AED" w:rsidP="00DA61C1">
      <w:pPr>
        <w:autoSpaceDE w:val="0"/>
        <w:autoSpaceDN w:val="0"/>
        <w:adjustRightInd w:val="0"/>
        <w:jc w:val="both"/>
        <w:rPr>
          <w:rFonts w:cs="Times New Roman"/>
          <w:sz w:val="20"/>
          <w:szCs w:val="20"/>
        </w:rPr>
      </w:pPr>
      <w:r w:rsidRPr="00D932AB">
        <w:rPr>
          <w:rStyle w:val="FootnoteReference"/>
          <w:sz w:val="20"/>
          <w:szCs w:val="20"/>
        </w:rPr>
        <w:footnoteRef/>
      </w:r>
      <w:r>
        <w:rPr>
          <w:rFonts w:cs="Times New Roman"/>
          <w:sz w:val="20"/>
          <w:szCs w:val="20"/>
        </w:rPr>
        <w:t xml:space="preserve"> </w:t>
      </w:r>
      <w:r w:rsidRPr="00D932AB">
        <w:rPr>
          <w:rFonts w:cs="Times New Roman"/>
          <w:sz w:val="20"/>
          <w:szCs w:val="20"/>
        </w:rPr>
        <w:t>Australian/New Zealand Gaming Machine National Standard 2016</w:t>
      </w:r>
      <w:r>
        <w:rPr>
          <w:rFonts w:cs="Times New Roman"/>
          <w:sz w:val="20"/>
          <w:szCs w:val="20"/>
        </w:rPr>
        <w:t>.</w:t>
      </w:r>
      <w:r w:rsidRPr="00D932AB">
        <w:rPr>
          <w:rFonts w:cs="Times New Roman"/>
          <w:sz w:val="20"/>
          <w:szCs w:val="20"/>
        </w:rPr>
        <w:t xml:space="preserve"> </w:t>
      </w:r>
      <w:r w:rsidRPr="000A0F82">
        <w:rPr>
          <w:sz w:val="20"/>
          <w:szCs w:val="20"/>
        </w:rPr>
        <w:t>Pēdējo reizi skatīts 2020.gada 6.augustā:</w:t>
      </w:r>
      <w:r>
        <w:t xml:space="preserve"> </w:t>
      </w:r>
      <w:hyperlink r:id="rId40" w:history="1">
        <w:r w:rsidRPr="00D932AB">
          <w:rPr>
            <w:rStyle w:val="Hyperlink"/>
            <w:rFonts w:cs="Times New Roman"/>
            <w:color w:val="auto"/>
            <w:sz w:val="20"/>
            <w:szCs w:val="20"/>
          </w:rPr>
          <w:t>https://www.treasury.tas.gov.au/Documents/GMNS2016.pdf</w:t>
        </w:r>
      </w:hyperlink>
      <w:r>
        <w:rPr>
          <w:rStyle w:val="Hyperlink"/>
          <w:rFonts w:cs="Times New Roman"/>
          <w:color w:val="auto"/>
          <w:sz w:val="20"/>
          <w:szCs w:val="20"/>
        </w:rPr>
        <w:t xml:space="preserve"> </w:t>
      </w:r>
    </w:p>
  </w:footnote>
  <w:footnote w:id="52">
    <w:p w:rsidR="00275AED" w:rsidRPr="002E3849" w:rsidRDefault="00275AED">
      <w:pPr>
        <w:autoSpaceDE w:val="0"/>
        <w:autoSpaceDN w:val="0"/>
        <w:adjustRightInd w:val="0"/>
        <w:jc w:val="both"/>
        <w:rPr>
          <w:rFonts w:cs="Times New Roman"/>
          <w:b/>
          <w:bCs/>
          <w:sz w:val="20"/>
          <w:szCs w:val="20"/>
        </w:rPr>
      </w:pPr>
      <w:r w:rsidRPr="00394D5E">
        <w:rPr>
          <w:rStyle w:val="FootnoteReference"/>
          <w:sz w:val="20"/>
          <w:szCs w:val="20"/>
        </w:rPr>
        <w:footnoteRef/>
      </w:r>
      <w:r w:rsidRPr="00394D5E">
        <w:rPr>
          <w:rFonts w:cs="Times New Roman"/>
          <w:sz w:val="20"/>
          <w:szCs w:val="20"/>
        </w:rPr>
        <w:t xml:space="preserve"> </w:t>
      </w:r>
      <w:r w:rsidRPr="002E3849">
        <w:rPr>
          <w:rFonts w:cs="Times New Roman"/>
          <w:bCs/>
          <w:sz w:val="20"/>
          <w:szCs w:val="20"/>
        </w:rPr>
        <w:t>Machine standards category B3 &amp; B4,</w:t>
      </w:r>
      <w:r>
        <w:rPr>
          <w:rFonts w:cs="Times New Roman"/>
          <w:bCs/>
          <w:sz w:val="20"/>
          <w:szCs w:val="20"/>
        </w:rPr>
        <w:t>. UK Gabling Commission.</w:t>
      </w:r>
      <w:r w:rsidRPr="002E3849">
        <w:rPr>
          <w:rFonts w:cs="Times New Roman"/>
          <w:b/>
          <w:bCs/>
          <w:sz w:val="20"/>
          <w:szCs w:val="20"/>
        </w:rPr>
        <w:t xml:space="preserve"> </w:t>
      </w:r>
      <w:r w:rsidRPr="002E3849">
        <w:rPr>
          <w:rFonts w:cs="Times New Roman"/>
          <w:sz w:val="20"/>
          <w:szCs w:val="20"/>
        </w:rPr>
        <w:t>June 2012</w:t>
      </w:r>
      <w:r>
        <w:rPr>
          <w:rFonts w:cs="Times New Roman"/>
          <w:sz w:val="20"/>
          <w:szCs w:val="20"/>
        </w:rPr>
        <w:t>.</w:t>
      </w:r>
      <w:r w:rsidRPr="002E3849">
        <w:rPr>
          <w:rFonts w:cs="Times New Roman"/>
          <w:sz w:val="20"/>
          <w:szCs w:val="20"/>
        </w:rPr>
        <w:t xml:space="preserve"> </w:t>
      </w:r>
      <w:r w:rsidRPr="000A0F82">
        <w:rPr>
          <w:sz w:val="20"/>
          <w:szCs w:val="20"/>
        </w:rPr>
        <w:t>Pēdējo reizi skatīts 2020.gada 6.augustā:</w:t>
      </w:r>
      <w:r>
        <w:t xml:space="preserve"> </w:t>
      </w:r>
      <w:r w:rsidRPr="002E3849">
        <w:rPr>
          <w:rFonts w:cs="Times New Roman"/>
          <w:sz w:val="20"/>
          <w:szCs w:val="20"/>
        </w:rPr>
        <w:t>https://www.gamblingcommission.gov.uk/PDF/Machine-standards-category-B3-and-B4.pdf</w:t>
      </w:r>
    </w:p>
  </w:footnote>
  <w:footnote w:id="53">
    <w:p w:rsidR="00275AED" w:rsidRPr="002E3849" w:rsidRDefault="00275AED">
      <w:pPr>
        <w:pStyle w:val="FootnoteText"/>
        <w:jc w:val="both"/>
        <w:rPr>
          <w:rFonts w:ascii="Times New Roman" w:hAnsi="Times New Roman"/>
        </w:rPr>
      </w:pPr>
      <w:r w:rsidRPr="002E3849">
        <w:rPr>
          <w:rStyle w:val="FootnoteReference"/>
          <w:rFonts w:ascii="Times New Roman" w:hAnsi="Times New Roman"/>
        </w:rPr>
        <w:footnoteRef/>
      </w:r>
      <w:r w:rsidRPr="002E3849">
        <w:rPr>
          <w:rFonts w:ascii="Times New Roman" w:hAnsi="Times New Roman"/>
        </w:rPr>
        <w:t xml:space="preserve"> Calado F. and Griffits M.D., Problem gambling worldwide: An update and systematic review of empirical research (2000-2015)</w:t>
      </w:r>
      <w:r>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1" w:history="1">
        <w:r>
          <w:rPr>
            <w:rStyle w:val="Hyperlink"/>
            <w:rFonts w:eastAsiaTheme="majorEastAsia"/>
          </w:rPr>
          <w:t>https:/</w:t>
        </w:r>
        <w:r w:rsidRPr="00C71E09">
          <w:rPr>
            <w:rStyle w:val="Hyperlink"/>
            <w:rFonts w:ascii="Times New Roman" w:eastAsiaTheme="majorEastAsia" w:hAnsi="Times New Roman"/>
          </w:rPr>
          <w:t>/www.ncbi.nlm.nih.gov/pmc/articles/PMC5370365/</w:t>
        </w:r>
      </w:hyperlink>
    </w:p>
  </w:footnote>
  <w:footnote w:id="54">
    <w:p w:rsidR="00275AED" w:rsidRPr="002E3849" w:rsidRDefault="00275AED">
      <w:pPr>
        <w:pStyle w:val="FootnoteText"/>
        <w:jc w:val="both"/>
        <w:rPr>
          <w:rFonts w:ascii="Times New Roman" w:hAnsi="Times New Roman"/>
        </w:rPr>
      </w:pPr>
      <w:r w:rsidRPr="002E3849">
        <w:rPr>
          <w:rStyle w:val="FootnoteReference"/>
          <w:rFonts w:ascii="Times New Roman" w:hAnsi="Times New Roman"/>
        </w:rPr>
        <w:footnoteRef/>
      </w:r>
      <w:r w:rsidRPr="002E3849">
        <w:rPr>
          <w:rFonts w:ascii="Times New Roman" w:hAnsi="Times New Roman"/>
        </w:rPr>
        <w:t xml:space="preserve"> Williams</w:t>
      </w:r>
      <w:r>
        <w:rPr>
          <w:rFonts w:ascii="Times New Roman" w:hAnsi="Times New Roman"/>
        </w:rPr>
        <w:t xml:space="preserve"> </w:t>
      </w:r>
      <w:r w:rsidRPr="002E3849">
        <w:rPr>
          <w:rFonts w:ascii="Times New Roman" w:hAnsi="Times New Roman"/>
        </w:rPr>
        <w:t xml:space="preserve"> West, &amp; Simpson, </w:t>
      </w:r>
      <w:hyperlink r:id="rId42" w:history="1">
        <w:r w:rsidRPr="002E3849">
          <w:rPr>
            <w:rStyle w:val="Hyperlink"/>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Williams,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3" w:tgtFrame="_blank" w:history="1">
        <w:r w:rsidRPr="002E3849">
          <w:rPr>
            <w:rStyle w:val="Hyperlink"/>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44" w:tgtFrame="_blank" w:history="1">
        <w:r w:rsidRPr="002E3849">
          <w:rPr>
            <w:rStyle w:val="Hyperlink"/>
            <w:rFonts w:ascii="Times New Roman" w:eastAsiaTheme="majorEastAsia" w:hAnsi="Times New Roman"/>
          </w:rPr>
          <w:t>[Google Scholar]</w:t>
        </w:r>
      </w:hyperlink>
      <w:r w:rsidRPr="002E3849">
        <w:rPr>
          <w:rFonts w:ascii="Times New Roman" w:hAnsi="Times New Roman"/>
        </w:rPr>
        <w:t>, p. 33</w:t>
      </w:r>
    </w:p>
  </w:footnote>
  <w:footnote w:id="55">
    <w:p w:rsidR="00275AED" w:rsidRPr="00164046" w:rsidRDefault="00275AED" w:rsidP="00DA61C1">
      <w:pPr>
        <w:pStyle w:val="FootnoteText"/>
        <w:jc w:val="both"/>
        <w:rPr>
          <w:lang w:val="lv-LV"/>
        </w:rPr>
      </w:pPr>
      <w:r>
        <w:rPr>
          <w:rStyle w:val="FootnoteReference"/>
        </w:rPr>
        <w:footnoteRef/>
      </w:r>
      <w:r>
        <w:t xml:space="preserve"> </w:t>
      </w:r>
      <w:r w:rsidRPr="002E3849">
        <w:rPr>
          <w:rFonts w:ascii="Times New Roman" w:hAnsi="Times New Roman"/>
        </w:rPr>
        <w:t>Williams</w:t>
      </w:r>
      <w:r>
        <w:rPr>
          <w:rFonts w:ascii="Times New Roman" w:hAnsi="Times New Roman"/>
        </w:rPr>
        <w:t xml:space="preserve"> </w:t>
      </w:r>
      <w:r w:rsidRPr="002E3849">
        <w:rPr>
          <w:rFonts w:ascii="Times New Roman" w:hAnsi="Times New Roman"/>
        </w:rPr>
        <w:t xml:space="preserve">West, &amp; Simpson, </w:t>
      </w:r>
      <w:hyperlink r:id="rId45" w:history="1">
        <w:r w:rsidRPr="002E3849">
          <w:rPr>
            <w:rStyle w:val="Hyperlink"/>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Williams</w:t>
      </w:r>
      <w:r>
        <w:rPr>
          <w:rStyle w:val="hlfld-contribauthor"/>
          <w:rFonts w:ascii="Times New Roman" w:hAnsi="Times New Roman"/>
          <w:shd w:val="clear" w:color="auto" w:fill="FFFFFF"/>
        </w:rPr>
        <w:t xml:space="preserve">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2E3849">
        <w:rPr>
          <w:rStyle w:val="ref-overlay2"/>
          <w:rFonts w:ascii="Times New Roman" w:hAnsi="Times New Roman"/>
        </w:rPr>
        <w:t xml:space="preserve"> </w:t>
      </w:r>
      <w:hyperlink r:id="rId46" w:tgtFrame="_blank" w:history="1">
        <w:r w:rsidRPr="002E3849">
          <w:rPr>
            <w:rStyle w:val="Hyperlink"/>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47" w:tgtFrame="_blank" w:history="1">
        <w:r w:rsidRPr="002E3849">
          <w:rPr>
            <w:rStyle w:val="Hyperlink"/>
            <w:rFonts w:ascii="Times New Roman" w:eastAsiaTheme="majorEastAsia" w:hAnsi="Times New Roman"/>
          </w:rPr>
          <w:t>[Google Scholar]</w:t>
        </w:r>
      </w:hyperlink>
      <w:r>
        <w:rPr>
          <w:rFonts w:ascii="Times New Roman" w:hAnsi="Times New Roman"/>
        </w:rPr>
        <w:t>, p. 67</w:t>
      </w:r>
    </w:p>
  </w:footnote>
  <w:footnote w:id="56">
    <w:p w:rsidR="00275AED" w:rsidRPr="00E356F4" w:rsidRDefault="00275AED" w:rsidP="00EF1713">
      <w:pPr>
        <w:pStyle w:val="FootnoteText"/>
        <w:jc w:val="both"/>
        <w:rPr>
          <w:rFonts w:ascii="Times New Roman" w:hAnsi="Times New Roman"/>
          <w:lang w:val="lv-LV"/>
        </w:rPr>
      </w:pPr>
      <w:r w:rsidRPr="00A80C1E">
        <w:rPr>
          <w:rStyle w:val="FootnoteReference"/>
          <w:rFonts w:ascii="Times New Roman" w:hAnsi="Times New Roman"/>
        </w:rPr>
        <w:footnoteRef/>
      </w:r>
      <w:r w:rsidRPr="00A80C1E">
        <w:rPr>
          <w:rFonts w:ascii="Times New Roman" w:hAnsi="Times New Roman"/>
        </w:rPr>
        <w:t xml:space="preserve"> </w:t>
      </w:r>
      <w:r w:rsidRPr="00E356F4">
        <w:rPr>
          <w:rFonts w:ascii="Times New Roman" w:hAnsi="Times New Roman"/>
        </w:rPr>
        <w:t>Parliamentary Joint Select Committee on Gambling Reform, Third report The prevention and treatment of problem gambling, Oct</w:t>
      </w:r>
      <w:r w:rsidRPr="00C96C3E">
        <w:rPr>
          <w:rFonts w:ascii="Times New Roman" w:hAnsi="Times New Roman"/>
        </w:rPr>
        <w:t xml:space="preserve">ober 2012, P.111-112. </w:t>
      </w:r>
      <w:r w:rsidRPr="00C96C3E">
        <w:rPr>
          <w:rFonts w:ascii="Times New Roman" w:hAnsi="Times New Roman"/>
          <w:lang w:val="lv-LV"/>
        </w:rPr>
        <w:t xml:space="preserve">Pēdējo reizi skatīts 2020.gada 6.augustā: </w:t>
      </w:r>
      <w:hyperlink r:id="rId48" w:history="1">
        <w:r w:rsidRPr="00C71E09">
          <w:rPr>
            <w:rStyle w:val="Hyperlink"/>
            <w:rFonts w:ascii="Times New Roman" w:eastAsiaTheme="majorEastAsia" w:hAnsi="Times New Roman"/>
          </w:rPr>
          <w:t>https://www.aph.gov.au/Parliamentary_Business/Committees/Joint/Former_Committees/gamblingreform/completedinquires/2010-13/preventiontreatment/report/index</w:t>
        </w:r>
      </w:hyperlink>
    </w:p>
  </w:footnote>
  <w:footnote w:id="57">
    <w:p w:rsidR="00275AED" w:rsidRPr="00E356F4" w:rsidRDefault="00275AED" w:rsidP="00EF1713">
      <w:pPr>
        <w:pStyle w:val="FootnoteText"/>
        <w:jc w:val="both"/>
        <w:rPr>
          <w:rFonts w:ascii="Times New Roman" w:hAnsi="Times New Roman"/>
          <w:lang w:val="lv-LV"/>
        </w:rPr>
      </w:pPr>
      <w:r w:rsidRPr="00E356F4">
        <w:rPr>
          <w:rStyle w:val="FootnoteReference"/>
          <w:rFonts w:ascii="Times New Roman" w:hAnsi="Times New Roman"/>
        </w:rPr>
        <w:footnoteRef/>
      </w:r>
      <w:r w:rsidRPr="00E356F4">
        <w:rPr>
          <w:rFonts w:ascii="Times New Roman" w:hAnsi="Times New Roman"/>
        </w:rPr>
        <w:t xml:space="preserve"> Australian Gambling Research Center, Gambling in Suburban Australia, 3. Community context and local environment, Research Report,, March 2019,</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rPr>
        <w:t xml:space="preserve">  </w:t>
      </w:r>
      <w:hyperlink r:id="rId49" w:history="1">
        <w:r w:rsidRPr="00E356F4">
          <w:rPr>
            <w:rStyle w:val="Hyperlink"/>
            <w:rFonts w:ascii="Times New Roman" w:hAnsi="Times New Roman"/>
          </w:rPr>
          <w:t>https://aifs.gov.au/agrc/publications/gambling-suburban-australia/3-community-context-and-local-environment</w:t>
        </w:r>
      </w:hyperlink>
      <w:r w:rsidRPr="00E356F4">
        <w:rPr>
          <w:rFonts w:ascii="Times New Roman" w:hAnsi="Times New Roman"/>
        </w:rPr>
        <w:t xml:space="preserve"> </w:t>
      </w:r>
    </w:p>
  </w:footnote>
  <w:footnote w:id="58">
    <w:p w:rsidR="00275AED" w:rsidRPr="00E356F4" w:rsidRDefault="00275AED" w:rsidP="00EF1713">
      <w:pPr>
        <w:pStyle w:val="FootnoteText"/>
        <w:jc w:val="both"/>
        <w:rPr>
          <w:rFonts w:ascii="Times New Roman" w:hAnsi="Times New Roman"/>
          <w:lang w:val="lv-LV"/>
        </w:rPr>
      </w:pPr>
      <w:r w:rsidRPr="00E356F4">
        <w:rPr>
          <w:rStyle w:val="FootnoteReference"/>
          <w:rFonts w:ascii="Times New Roman" w:hAnsi="Times New Roman"/>
        </w:rPr>
        <w:footnoteRef/>
      </w:r>
      <w:r w:rsidRPr="00E356F4">
        <w:rPr>
          <w:rFonts w:ascii="Times New Roman" w:hAnsi="Times New Roman"/>
        </w:rPr>
        <w:t xml:space="preserve"> Gambling in Suburban Australia, 5. Life stressors, Research Report,  March 2019,  </w:t>
      </w:r>
      <w:r w:rsidRPr="000A0F82">
        <w:rPr>
          <w:rFonts w:ascii="Times New Roman" w:hAnsi="Times New Roman"/>
          <w:lang w:val="lv-LV"/>
        </w:rPr>
        <w:t>Pēdējo reizi skatīts 2020.gada 6.augustā:</w:t>
      </w:r>
      <w:r>
        <w:rPr>
          <w:rFonts w:ascii="Times New Roman" w:hAnsi="Times New Roman"/>
          <w:lang w:val="lv-LV"/>
        </w:rPr>
        <w:t xml:space="preserve"> </w:t>
      </w:r>
      <w:hyperlink r:id="rId50" w:history="1">
        <w:r w:rsidRPr="00E356F4">
          <w:rPr>
            <w:rStyle w:val="Hyperlink"/>
            <w:rFonts w:ascii="Times New Roman" w:hAnsi="Times New Roman"/>
          </w:rPr>
          <w:t>https://aifs.gov.au/agrc/publications/gambling-suburban-australia/5-life-stressors</w:t>
        </w:r>
      </w:hyperlink>
      <w:r w:rsidRPr="00E356F4">
        <w:rPr>
          <w:rFonts w:ascii="Times New Roman" w:hAnsi="Times New Roman"/>
        </w:rPr>
        <w:t xml:space="preserve"> </w:t>
      </w:r>
    </w:p>
  </w:footnote>
  <w:footnote w:id="59">
    <w:p w:rsidR="00275AED" w:rsidRPr="00E356F4" w:rsidRDefault="00275AED" w:rsidP="00EF1713">
      <w:pPr>
        <w:pStyle w:val="FootnoteText"/>
        <w:jc w:val="both"/>
        <w:rPr>
          <w:rFonts w:ascii="Times New Roman" w:hAnsi="Times New Roman"/>
          <w:lang w:val="lv-LV"/>
        </w:rPr>
      </w:pPr>
      <w:r w:rsidRPr="00E356F4">
        <w:rPr>
          <w:rStyle w:val="FootnoteReference"/>
          <w:rFonts w:ascii="Times New Roman" w:hAnsi="Times New Roman"/>
        </w:rPr>
        <w:footnoteRef/>
      </w:r>
      <w:r>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lang w:val="lv-LV"/>
        </w:rPr>
        <w:t xml:space="preserve"> https://www.stjornarradid.is/media/menntamalaraduneyti-media/media/mrn-pdf/youth_act70_2007.pdf</w:t>
      </w:r>
    </w:p>
  </w:footnote>
  <w:footnote w:id="60">
    <w:p w:rsidR="00275AED" w:rsidRPr="00E356F4" w:rsidRDefault="00275AED" w:rsidP="00EF1713">
      <w:pPr>
        <w:pStyle w:val="FootnoteText"/>
        <w:jc w:val="both"/>
        <w:rPr>
          <w:rFonts w:ascii="Times New Roman" w:hAnsi="Times New Roman"/>
          <w:lang w:val="lv-LV"/>
        </w:rPr>
      </w:pPr>
      <w:r w:rsidRPr="00E356F4">
        <w:rPr>
          <w:rStyle w:val="FootnoteReference"/>
          <w:rFonts w:ascii="Times New Roman" w:hAnsi="Times New Roman"/>
        </w:rPr>
        <w:footnoteRef/>
      </w:r>
      <w:r>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lang w:val="lv-LV"/>
        </w:rPr>
        <w:t xml:space="preserve"> </w:t>
      </w:r>
      <w:hyperlink r:id="rId51" w:history="1">
        <w:r w:rsidRPr="00E356F4">
          <w:rPr>
            <w:rStyle w:val="Hyperlink"/>
            <w:rFonts w:ascii="Times New Roman" w:hAnsi="Times New Roman"/>
            <w:lang w:val="lv-LV"/>
          </w:rPr>
          <w:t>http://volteface.me/publications/iceland-report/1-youth-iceland-model/</w:t>
        </w:r>
      </w:hyperlink>
      <w:r w:rsidRPr="00E356F4">
        <w:rPr>
          <w:rFonts w:ascii="Times New Roman" w:hAnsi="Times New Roman"/>
          <w:lang w:val="lv-LV"/>
        </w:rPr>
        <w:t xml:space="preserve"> </w:t>
      </w:r>
    </w:p>
  </w:footnote>
  <w:footnote w:id="61">
    <w:p w:rsidR="00275AED" w:rsidRPr="00795C33" w:rsidRDefault="00275AED" w:rsidP="00A80C1E">
      <w:pPr>
        <w:pStyle w:val="FootnoteText"/>
        <w:jc w:val="both"/>
        <w:rPr>
          <w:rFonts w:ascii="Times New Roman" w:hAnsi="Times New Roman"/>
          <w:lang w:val="lv-LV"/>
        </w:rPr>
      </w:pPr>
      <w:r w:rsidRPr="00795C33">
        <w:rPr>
          <w:rStyle w:val="FootnoteReference"/>
          <w:rFonts w:ascii="Times New Roman" w:hAnsi="Times New Roman"/>
        </w:rPr>
        <w:footnoteRef/>
      </w:r>
      <w:r w:rsidRPr="00795C33">
        <w:rPr>
          <w:rFonts w:ascii="Times New Roman" w:hAnsi="Times New Roman"/>
          <w:lang w:val="lv-LV"/>
        </w:rPr>
        <w:t xml:space="preserve"> LSBA šobrīd apvieno 10 biedrus, kas ir vadošie uzņēmumi Latvijas spēļu biznesā </w:t>
      </w:r>
    </w:p>
  </w:footnote>
  <w:footnote w:id="62">
    <w:p w:rsidR="00275AED" w:rsidRPr="00A80C1E" w:rsidRDefault="00275AED" w:rsidP="001017ED">
      <w:pPr>
        <w:pStyle w:val="FootnoteText"/>
        <w:jc w:val="both"/>
        <w:rPr>
          <w:rFonts w:ascii="Times New Roman" w:hAnsi="Times New Roman"/>
          <w:lang w:val="lv-LV"/>
        </w:rPr>
      </w:pPr>
      <w:r w:rsidRPr="00A80C1E">
        <w:rPr>
          <w:rStyle w:val="FootnoteReference"/>
          <w:rFonts w:ascii="Times New Roman" w:hAnsi="Times New Roman"/>
        </w:rPr>
        <w:footnoteRef/>
      </w:r>
      <w:r w:rsidRPr="00A80C1E">
        <w:rPr>
          <w:rFonts w:ascii="Times New Roman" w:hAnsi="Times New Roman"/>
          <w:lang w:val="lv-LV"/>
        </w:rPr>
        <w:t xml:space="preserve"> </w:t>
      </w:r>
      <w:r w:rsidRPr="00795C33">
        <w:rPr>
          <w:rFonts w:ascii="Times New Roman" w:hAnsi="Times New Roman"/>
          <w:lang w:val="lv-LV"/>
        </w:rPr>
        <w:t xml:space="preserve"> </w:t>
      </w:r>
      <w:r w:rsidRPr="00795C33">
        <w:rPr>
          <w:rFonts w:ascii="Times New Roman" w:hAnsi="Times New Roman"/>
          <w:bCs/>
          <w:color w:val="363636"/>
          <w:kern w:val="36"/>
          <w:lang w:val="lv-LV"/>
        </w:rPr>
        <w:t xml:space="preserve">Latvijas interaktīvo azartspēļu biedrība dibināta 2018.gada 17.maijā ar mērķi </w:t>
      </w:r>
      <w:r w:rsidRPr="00795C33">
        <w:rPr>
          <w:rFonts w:ascii="Times New Roman" w:hAnsi="Times New Roman"/>
          <w:color w:val="363636"/>
          <w:lang w:val="lv-LV"/>
        </w:rPr>
        <w:t>ieviest labas prakses standartus, kas veicinātu godīgu un sociāli atbildīgu vidi interaktīvo azartspēļu nozarē</w:t>
      </w:r>
    </w:p>
  </w:footnote>
  <w:footnote w:id="63">
    <w:p w:rsidR="00275AED" w:rsidRPr="007201D2" w:rsidRDefault="00275AED" w:rsidP="00635AFA">
      <w:pPr>
        <w:pStyle w:val="FootnoteText"/>
        <w:jc w:val="both"/>
        <w:rPr>
          <w:rFonts w:ascii="Times New Roman" w:hAnsi="Times New Roman"/>
          <w:lang w:val="lv-LV"/>
        </w:rPr>
      </w:pPr>
      <w:r w:rsidRPr="00A80C1E">
        <w:rPr>
          <w:rStyle w:val="FootnoteReference"/>
          <w:rFonts w:ascii="Times New Roman" w:hAnsi="Times New Roman"/>
        </w:rPr>
        <w:footnoteRef/>
      </w:r>
      <w:r w:rsidRPr="00A80C1E">
        <w:rPr>
          <w:rFonts w:ascii="Times New Roman" w:hAnsi="Times New Roman"/>
          <w:lang w:val="lv-LV"/>
        </w:rPr>
        <w:t xml:space="preserve"> </w:t>
      </w:r>
      <w:r w:rsidRPr="007201D2">
        <w:rPr>
          <w:rFonts w:ascii="Times New Roman" w:hAnsi="Times New Roman"/>
          <w:lang w:val="lv-LV"/>
        </w:rPr>
        <w:t>datorsistēma ar programmatūru, kas nodrošina valsts akciju sabiedrības “Latvijas Loto” izložu biļešu pārdošanu internetā </w:t>
      </w:r>
      <w:hyperlink r:id="rId52" w:history="1">
        <w:r w:rsidRPr="007201D2">
          <w:rPr>
            <w:rStyle w:val="Hyperlink"/>
            <w:rFonts w:ascii="Times New Roman" w:eastAsiaTheme="majorEastAsia" w:hAnsi="Times New Roman"/>
            <w:color w:val="auto"/>
            <w:lang w:val="lv-LV"/>
          </w:rPr>
          <w:t>www.latloto.lv</w:t>
        </w:r>
      </w:hyperlink>
      <w:r w:rsidRPr="007201D2">
        <w:rPr>
          <w:rFonts w:ascii="Times New Roman" w:hAnsi="Times New Roman"/>
          <w:lang w:val="lv-LV"/>
        </w:rPr>
        <w:t> dalībai izlozēs.</w:t>
      </w:r>
    </w:p>
  </w:footnote>
  <w:footnote w:id="64">
    <w:p w:rsidR="00275AED" w:rsidRPr="007201D2" w:rsidRDefault="00275AED" w:rsidP="00136D69">
      <w:pPr>
        <w:pStyle w:val="FootnoteText"/>
        <w:jc w:val="both"/>
        <w:rPr>
          <w:rFonts w:ascii="Times New Roman" w:hAnsi="Times New Roman"/>
          <w:lang w:val="lv-LV"/>
        </w:rPr>
      </w:pPr>
      <w:r w:rsidRPr="007201D2">
        <w:rPr>
          <w:rStyle w:val="FootnoteReference"/>
          <w:rFonts w:ascii="Times New Roman" w:eastAsiaTheme="majorEastAsia" w:hAnsi="Times New Roman"/>
        </w:rPr>
        <w:footnoteRef/>
      </w:r>
      <w:r w:rsidRPr="007201D2">
        <w:rPr>
          <w:rFonts w:ascii="Times New Roman" w:hAnsi="Times New Roman"/>
          <w:lang w:val="lv-LV"/>
        </w:rPr>
        <w:t xml:space="preserve"> Azartspēļu un izložu likuma 4.panta “Azartspēļu organizēšanas ierobežojumi” sestā daļa.</w:t>
      </w:r>
    </w:p>
  </w:footnote>
  <w:footnote w:id="65">
    <w:p w:rsidR="00275AED" w:rsidRDefault="00275AED" w:rsidP="00A80C1E">
      <w:pPr>
        <w:pStyle w:val="FootnoteText"/>
        <w:jc w:val="both"/>
        <w:rPr>
          <w:rFonts w:ascii="Times New Roman" w:hAnsi="Times New Roman"/>
          <w:lang w:val="lv-LV"/>
        </w:rPr>
      </w:pPr>
      <w:r w:rsidRPr="000A0F82">
        <w:rPr>
          <w:rFonts w:ascii="Times New Roman" w:hAnsi="Times New Roman"/>
          <w:lang w:val="lv-LV"/>
        </w:rPr>
        <w:t>Pēdējo reizi skatīts 2020.gada 6.augustā:</w:t>
      </w:r>
    </w:p>
    <w:p w:rsidR="00275AED" w:rsidRPr="00C7418B" w:rsidRDefault="00275AED" w:rsidP="00A80C1E">
      <w:pPr>
        <w:pStyle w:val="FootnoteText"/>
        <w:jc w:val="both"/>
        <w:rPr>
          <w:rFonts w:ascii="Times New Roman" w:hAnsi="Times New Roman"/>
          <w:lang w:val="lv-LV"/>
        </w:rPr>
      </w:pPr>
      <w:r w:rsidRPr="00C7418B">
        <w:rPr>
          <w:rStyle w:val="FootnoteReference"/>
          <w:rFonts w:ascii="Times New Roman" w:eastAsiaTheme="majorEastAsia" w:hAnsi="Times New Roman"/>
        </w:rPr>
        <w:footnoteRef/>
      </w:r>
      <w:r w:rsidRPr="00811C76">
        <w:rPr>
          <w:lang w:val="lv-LV"/>
        </w:rPr>
        <w:t xml:space="preserve"> </w:t>
      </w:r>
      <w:hyperlink r:id="rId53" w:history="1">
        <w:r w:rsidRPr="00C7418B">
          <w:rPr>
            <w:rStyle w:val="Hyperlink"/>
            <w:rFonts w:ascii="Times New Roman" w:eastAsiaTheme="majorEastAsia" w:hAnsi="Times New Roman"/>
            <w:lang w:val="lv-LV"/>
          </w:rPr>
          <w:t>https://www.responsiblegambling.nsw.gov.au/__data/assets/pdf_file/0003/138126/the-role-of-loyalty-programs-gambling-2016.pdf</w:t>
        </w:r>
      </w:hyperlink>
      <w:r w:rsidRPr="00C7418B">
        <w:rPr>
          <w:rFonts w:ascii="Times New Roman" w:hAnsi="Times New Roman"/>
          <w:lang w:val="lv-LV"/>
        </w:rPr>
        <w:t xml:space="preserve"> </w:t>
      </w:r>
    </w:p>
  </w:footnote>
  <w:footnote w:id="66">
    <w:p w:rsidR="00275AED" w:rsidRPr="00C7418B" w:rsidRDefault="00275AED" w:rsidP="000E55ED">
      <w:pPr>
        <w:jc w:val="both"/>
        <w:rPr>
          <w:rFonts w:cs="Times New Roman"/>
          <w:color w:val="777777"/>
          <w:sz w:val="20"/>
          <w:szCs w:val="20"/>
        </w:rPr>
      </w:pPr>
      <w:r w:rsidRPr="00C7418B">
        <w:rPr>
          <w:rStyle w:val="FootnoteReference"/>
          <w:sz w:val="20"/>
          <w:szCs w:val="20"/>
        </w:rPr>
        <w:footnoteRef/>
      </w:r>
      <w:r>
        <w:rPr>
          <w:rFonts w:cs="Times New Roman"/>
          <w:bCs/>
          <w:color w:val="111111"/>
          <w:sz w:val="20"/>
          <w:szCs w:val="20"/>
          <w:lang w:val="en"/>
        </w:rPr>
        <w:t xml:space="preserve"> </w:t>
      </w:r>
      <w:r w:rsidRPr="00C7418B">
        <w:rPr>
          <w:rFonts w:cs="Times New Roman"/>
          <w:bCs/>
          <w:color w:val="111111"/>
          <w:sz w:val="20"/>
          <w:szCs w:val="20"/>
          <w:lang w:val="en"/>
        </w:rPr>
        <w:t>Wohl M</w:t>
      </w:r>
      <w:r>
        <w:rPr>
          <w:rFonts w:cs="Times New Roman"/>
          <w:bCs/>
          <w:color w:val="111111"/>
          <w:sz w:val="20"/>
          <w:szCs w:val="20"/>
          <w:lang w:val="en"/>
        </w:rPr>
        <w:t>.</w:t>
      </w:r>
      <w:r w:rsidRPr="00C7418B">
        <w:rPr>
          <w:rFonts w:cs="Times New Roman"/>
          <w:bCs/>
          <w:color w:val="111111"/>
          <w:sz w:val="20"/>
          <w:szCs w:val="20"/>
          <w:lang w:val="en"/>
        </w:rPr>
        <w:t xml:space="preserve"> J.A</w:t>
      </w:r>
      <w:r>
        <w:rPr>
          <w:rFonts w:cs="Times New Roman"/>
          <w:bCs/>
          <w:color w:val="111111"/>
          <w:sz w:val="20"/>
          <w:szCs w:val="20"/>
          <w:lang w:val="en"/>
        </w:rPr>
        <w:t>.</w:t>
      </w:r>
      <w:r w:rsidRPr="00C7418B">
        <w:rPr>
          <w:rFonts w:cs="Times New Roman"/>
          <w:bCs/>
          <w:color w:val="111111"/>
          <w:sz w:val="20"/>
          <w:szCs w:val="20"/>
          <w:lang w:val="en"/>
        </w:rPr>
        <w:t>Loyalty programmes in the gambling industry: potentials for harm and possibilities for harm-minimization</w:t>
      </w:r>
      <w:r>
        <w:rPr>
          <w:rFonts w:cs="Times New Roman"/>
          <w:bCs/>
          <w:color w:val="111111"/>
          <w:sz w:val="20"/>
          <w:szCs w:val="20"/>
          <w:lang w:val="en"/>
        </w:rPr>
        <w:t>.</w:t>
      </w:r>
      <w:r w:rsidRPr="00C7418B">
        <w:rPr>
          <w:rFonts w:cs="Times New Roman"/>
          <w:color w:val="777777"/>
          <w:sz w:val="20"/>
          <w:szCs w:val="20"/>
        </w:rPr>
        <w:t xml:space="preserve"> </w:t>
      </w:r>
      <w:r w:rsidRPr="000A0F82">
        <w:rPr>
          <w:sz w:val="20"/>
          <w:szCs w:val="20"/>
        </w:rPr>
        <w:t>Pēdējo reizi skatīts 2020.gada 6.augustā:</w:t>
      </w:r>
      <w:r>
        <w:t xml:space="preserve"> </w:t>
      </w:r>
      <w:hyperlink r:id="rId54" w:history="1">
        <w:r w:rsidRPr="00811C76">
          <w:rPr>
            <w:rStyle w:val="Hyperlink"/>
            <w:rFonts w:cs="Times New Roman"/>
            <w:bCs/>
            <w:sz w:val="20"/>
            <w:szCs w:val="20"/>
          </w:rPr>
          <w:t>https://doi.org/10.1080/14459795.2018.1480649</w:t>
        </w:r>
      </w:hyperlink>
      <w:r w:rsidRPr="00811C76">
        <w:rPr>
          <w:rFonts w:cs="Times New Roman"/>
          <w:bCs/>
          <w:color w:val="111111"/>
          <w:sz w:val="20"/>
          <w:szCs w:val="20"/>
        </w:rPr>
        <w:t xml:space="preserve"> </w:t>
      </w:r>
    </w:p>
  </w:footnote>
  <w:footnote w:id="67">
    <w:p w:rsidR="00275AED" w:rsidRPr="0082613F" w:rsidRDefault="00275AED" w:rsidP="00136D69">
      <w:pPr>
        <w:pStyle w:val="FootnoteText"/>
        <w:jc w:val="both"/>
        <w:rPr>
          <w:rFonts w:ascii="Times New Roman" w:hAnsi="Times New Roman"/>
          <w:lang w:val="lv-LV"/>
        </w:rPr>
      </w:pPr>
      <w:r w:rsidRPr="00A80C1E">
        <w:rPr>
          <w:rStyle w:val="FootnoteReference"/>
          <w:rFonts w:ascii="Times New Roman" w:eastAsiaTheme="majorEastAsia" w:hAnsi="Times New Roman"/>
        </w:rPr>
        <w:footnoteRef/>
      </w:r>
      <w:r w:rsidRPr="001A75C8">
        <w:rPr>
          <w:rFonts w:ascii="Times New Roman" w:hAnsi="Times New Roman"/>
          <w:lang w:val="lv-LV"/>
        </w:rPr>
        <w:t xml:space="preserve"> </w:t>
      </w:r>
      <w:r w:rsidRPr="0082613F">
        <w:rPr>
          <w:rFonts w:ascii="Times New Roman" w:hAnsi="Times New Roman"/>
          <w:lang w:val="lv-LV"/>
        </w:rPr>
        <w:t>Spēlētājs ar savu dalību azartspēlē jau ir samaksājis par pamatspēli, kā rezultātā ir nopelnījis vai samaksājis arī par bezmaksas spēli.</w:t>
      </w:r>
    </w:p>
  </w:footnote>
  <w:footnote w:id="68">
    <w:p w:rsidR="00275AED" w:rsidRDefault="00275AED" w:rsidP="00FB3803">
      <w:pPr>
        <w:pStyle w:val="FootnoteText"/>
        <w:jc w:val="both"/>
        <w:rPr>
          <w:rFonts w:ascii="Times New Roman" w:hAnsi="Times New Roman"/>
          <w:lang w:val="lv-LV"/>
        </w:rPr>
      </w:pPr>
      <w:r w:rsidRPr="0082613F">
        <w:rPr>
          <w:rStyle w:val="FootnoteReference"/>
          <w:rFonts w:ascii="Times New Roman" w:eastAsiaTheme="majorEastAsia" w:hAnsi="Times New Roman"/>
        </w:rPr>
        <w:footnoteRef/>
      </w:r>
      <w:r w:rsidRPr="0082613F">
        <w:rPr>
          <w:rFonts w:ascii="Times New Roman" w:hAnsi="Times New Roman"/>
          <w:lang w:val="lv-LV"/>
        </w:rPr>
        <w:t xml:space="preserve"> </w:t>
      </w:r>
      <w:r w:rsidRPr="000A0F82">
        <w:rPr>
          <w:rFonts w:ascii="Times New Roman" w:hAnsi="Times New Roman"/>
          <w:lang w:val="lv-LV"/>
        </w:rPr>
        <w:t>Pēdējo reizi skatīts 2020.gada 6.augustā:</w:t>
      </w:r>
    </w:p>
    <w:p w:rsidR="00275AED" w:rsidRPr="0082613F" w:rsidRDefault="008C0E6A" w:rsidP="00FB3803">
      <w:pPr>
        <w:pStyle w:val="FootnoteText"/>
        <w:jc w:val="both"/>
        <w:rPr>
          <w:rFonts w:ascii="Times New Roman" w:hAnsi="Times New Roman"/>
          <w:lang w:val="lv-LV"/>
        </w:rPr>
      </w:pPr>
      <w:hyperlink r:id="rId55" w:history="1">
        <w:r w:rsidR="00275AED" w:rsidRPr="0082613F">
          <w:rPr>
            <w:rStyle w:val="Hyperlink"/>
            <w:rFonts w:ascii="Times New Roman" w:eastAsiaTheme="majorEastAsia" w:hAnsi="Times New Roman"/>
            <w:lang w:val="lv-LV"/>
          </w:rPr>
          <w:t>https://www.responsiblegambling.nsw.gov.au/__data/assets/pdf_file/0003/138126/the-role-of-loyalty-programs-gambling-2016.pdf</w:t>
        </w:r>
      </w:hyperlink>
      <w:r w:rsidR="00275AED" w:rsidRPr="0082613F">
        <w:rPr>
          <w:rFonts w:ascii="Times New Roman" w:hAnsi="Times New Roman"/>
          <w:lang w:val="lv-LV"/>
        </w:rPr>
        <w:t xml:space="preserve"> </w:t>
      </w:r>
    </w:p>
  </w:footnote>
  <w:footnote w:id="69">
    <w:p w:rsidR="00275AED" w:rsidRPr="00675F01" w:rsidRDefault="00275AED" w:rsidP="00423B87">
      <w:pPr>
        <w:jc w:val="both"/>
        <w:rPr>
          <w:rFonts w:cs="Times New Roman"/>
          <w:sz w:val="20"/>
          <w:szCs w:val="20"/>
        </w:rPr>
      </w:pPr>
      <w:r w:rsidRPr="00675F01">
        <w:rPr>
          <w:rStyle w:val="FootnoteReference"/>
          <w:sz w:val="20"/>
          <w:szCs w:val="20"/>
        </w:rPr>
        <w:footnoteRef/>
      </w:r>
      <w:r w:rsidRPr="00675F01">
        <w:rPr>
          <w:rFonts w:cs="Times New Roman"/>
          <w:sz w:val="20"/>
          <w:szCs w:val="20"/>
        </w:rPr>
        <w:t xml:space="preserve"> </w:t>
      </w:r>
      <w:r w:rsidRPr="00906D38">
        <w:rPr>
          <w:sz w:val="20"/>
          <w:szCs w:val="20"/>
        </w:rPr>
        <w:t>Van Dyke</w:t>
      </w:r>
      <w:r w:rsidRPr="00113C8C">
        <w:rPr>
          <w:rFonts w:cs="Times New Roman"/>
          <w:sz w:val="20"/>
          <w:szCs w:val="20"/>
        </w:rPr>
        <w:t xml:space="preserve"> N., </w:t>
      </w:r>
      <w:r w:rsidRPr="00906D38">
        <w:rPr>
          <w:sz w:val="20"/>
          <w:szCs w:val="20"/>
        </w:rPr>
        <w:t>Jenner</w:t>
      </w:r>
      <w:r w:rsidRPr="00113C8C">
        <w:rPr>
          <w:rFonts w:cs="Times New Roman"/>
          <w:sz w:val="20"/>
          <w:szCs w:val="20"/>
        </w:rPr>
        <w:t xml:space="preserve"> D., </w:t>
      </w:r>
      <w:r w:rsidRPr="00906D38">
        <w:rPr>
          <w:sz w:val="20"/>
          <w:szCs w:val="20"/>
        </w:rPr>
        <w:t>Maddern</w:t>
      </w:r>
      <w:r w:rsidRPr="00113C8C">
        <w:rPr>
          <w:rFonts w:cs="Times New Roman"/>
          <w:sz w:val="20"/>
          <w:szCs w:val="20"/>
        </w:rPr>
        <w:t xml:space="preserve"> C.</w:t>
      </w:r>
      <w:r w:rsidRPr="00675F01">
        <w:rPr>
          <w:rFonts w:cs="Times New Roman"/>
          <w:sz w:val="20"/>
          <w:szCs w:val="20"/>
        </w:rPr>
        <w:t xml:space="preserve">The role of loyalty programs in gambling: finalreport of findings from audit of elktronic gaming machine gambilng vebues, literature review online diskussion boards and longitudinal telefhone survey; Published on behalf of Gambling Research Australia by the Office of Liquor, Gaming and Racing Department of Justice, Melbourne, Victoria Australia January 2016   </w:t>
      </w:r>
    </w:p>
    <w:p w:rsidR="00275AED" w:rsidRDefault="00275AED" w:rsidP="00126DC3">
      <w:pPr>
        <w:pStyle w:val="FootnoteText"/>
        <w:jc w:val="both"/>
        <w:rPr>
          <w:rFonts w:ascii="Times New Roman" w:hAnsi="Times New Roman"/>
          <w:lang w:val="lv-LV"/>
        </w:rPr>
      </w:pPr>
      <w:r w:rsidRPr="000A0F82">
        <w:rPr>
          <w:rFonts w:ascii="Times New Roman" w:hAnsi="Times New Roman"/>
          <w:lang w:val="lv-LV"/>
        </w:rPr>
        <w:t>Pēdējo reizi skatīts 2020.gada 6.augustā:</w:t>
      </w:r>
    </w:p>
    <w:p w:rsidR="00275AED" w:rsidRPr="00811C76" w:rsidRDefault="008C0E6A" w:rsidP="00126DC3">
      <w:pPr>
        <w:pStyle w:val="FootnoteText"/>
        <w:jc w:val="both"/>
        <w:rPr>
          <w:rFonts w:ascii="Times New Roman" w:hAnsi="Times New Roman"/>
          <w:lang w:val="lv-LV"/>
        </w:rPr>
      </w:pPr>
      <w:hyperlink r:id="rId56" w:history="1">
        <w:r w:rsidR="00275AED" w:rsidRPr="00811C76">
          <w:rPr>
            <w:rStyle w:val="Hyperlink"/>
            <w:rFonts w:ascii="Times New Roman" w:eastAsiaTheme="majorEastAsia" w:hAnsi="Times New Roman"/>
            <w:lang w:val="lv-LV"/>
          </w:rPr>
          <w:t>https://www.responsiblegambling.nsw.gov.au/__data/assets/pdf_file/0003/138126/the-role-of-loyalty-programs-gambling-2016.pdf</w:t>
        </w:r>
      </w:hyperlink>
    </w:p>
  </w:footnote>
  <w:footnote w:id="70">
    <w:p w:rsidR="00275AED" w:rsidRDefault="00275AED" w:rsidP="00D3733A">
      <w:pPr>
        <w:pStyle w:val="FootnoteText"/>
        <w:jc w:val="both"/>
        <w:rPr>
          <w:rFonts w:ascii="Times New Roman" w:hAnsi="Times New Roman"/>
          <w:lang w:val="lv-LV"/>
        </w:rPr>
      </w:pPr>
      <w:r w:rsidRPr="00675F01">
        <w:rPr>
          <w:rStyle w:val="FootnoteReference"/>
          <w:rFonts w:ascii="Times New Roman" w:eastAsiaTheme="majorEastAsia" w:hAnsi="Times New Roman"/>
        </w:rPr>
        <w:footnoteRef/>
      </w:r>
      <w:r w:rsidRPr="00675F01">
        <w:rPr>
          <w:rFonts w:ascii="Times New Roman" w:hAnsi="Times New Roman"/>
        </w:rPr>
        <w:t xml:space="preserve"> </w:t>
      </w:r>
      <w:r w:rsidRPr="00675F01">
        <w:rPr>
          <w:rStyle w:val="hlfld-contribauthor"/>
          <w:rFonts w:ascii="Times New Roman" w:hAnsi="Times New Roman"/>
          <w:lang w:val="en"/>
        </w:rPr>
        <w:t>Williams</w:t>
      </w:r>
      <w:r>
        <w:rPr>
          <w:rStyle w:val="hlfld-contribauthor"/>
          <w:rFonts w:ascii="Times New Roman" w:hAnsi="Times New Roman"/>
          <w:lang w:val="en"/>
        </w:rPr>
        <w:t xml:space="preserve"> </w:t>
      </w:r>
      <w:r w:rsidRPr="00675F01">
        <w:rPr>
          <w:rStyle w:val="nlmgiven-names"/>
          <w:rFonts w:ascii="Times New Roman" w:hAnsi="Times New Roman"/>
          <w:lang w:val="en"/>
        </w:rPr>
        <w:t>R. J.</w:t>
      </w:r>
      <w:r w:rsidRPr="00675F01">
        <w:rPr>
          <w:rFonts w:ascii="Times New Roman" w:hAnsi="Times New Roman"/>
          <w:lang w:val="en"/>
        </w:rPr>
        <w:t xml:space="preserve">, &amp; </w:t>
      </w:r>
      <w:r w:rsidRPr="00675F01">
        <w:rPr>
          <w:rStyle w:val="hlfld-contribauthor"/>
          <w:rFonts w:ascii="Times New Roman" w:hAnsi="Times New Roman"/>
          <w:lang w:val="en"/>
        </w:rPr>
        <w:t xml:space="preserve">Wood, </w:t>
      </w:r>
      <w:r w:rsidRPr="00675F01">
        <w:rPr>
          <w:rStyle w:val="nlmgiven-names"/>
          <w:rFonts w:ascii="Times New Roman" w:hAnsi="Times New Roman"/>
          <w:lang w:val="en"/>
        </w:rPr>
        <w:t>R. T.</w:t>
      </w:r>
      <w:r w:rsidRPr="00675F01">
        <w:rPr>
          <w:rFonts w:ascii="Times New Roman" w:hAnsi="Times New Roman"/>
          <w:lang w:val="en"/>
        </w:rPr>
        <w:t xml:space="preserve"> (</w:t>
      </w:r>
      <w:r w:rsidRPr="00675F01">
        <w:rPr>
          <w:rStyle w:val="nlmyear"/>
          <w:rFonts w:ascii="Times New Roman" w:hAnsi="Times New Roman"/>
          <w:lang w:val="en"/>
        </w:rPr>
        <w:t>2004</w:t>
      </w:r>
      <w:r w:rsidRPr="00675F01">
        <w:rPr>
          <w:rFonts w:ascii="Times New Roman" w:hAnsi="Times New Roman"/>
          <w:lang w:val="en"/>
        </w:rPr>
        <w:t xml:space="preserve">). </w:t>
      </w:r>
      <w:r w:rsidRPr="00675F01">
        <w:rPr>
          <w:rStyle w:val="nlmarticle-title"/>
          <w:rFonts w:ascii="Times New Roman" w:hAnsi="Times New Roman"/>
          <w:lang w:val="en"/>
        </w:rPr>
        <w:t>The proportion of gaming revenue derived from problem gamblers: Examining the issues in a Canadian context</w:t>
      </w:r>
      <w:r w:rsidRPr="00675F01">
        <w:rPr>
          <w:rFonts w:ascii="Times New Roman" w:hAnsi="Times New Roman"/>
          <w:lang w:val="en"/>
        </w:rPr>
        <w:t xml:space="preserve">. </w:t>
      </w:r>
      <w:r w:rsidRPr="00675F01">
        <w:rPr>
          <w:rFonts w:ascii="Times New Roman" w:hAnsi="Times New Roman"/>
          <w:i/>
          <w:iCs/>
          <w:lang w:val="en"/>
        </w:rPr>
        <w:t>Analyses of Social Issues and Public Policy</w:t>
      </w:r>
      <w:r w:rsidRPr="00675F01">
        <w:rPr>
          <w:rFonts w:ascii="Times New Roman" w:hAnsi="Times New Roman"/>
          <w:lang w:val="en"/>
        </w:rPr>
        <w:t xml:space="preserve">, 4, </w:t>
      </w:r>
      <w:r w:rsidRPr="00675F01">
        <w:rPr>
          <w:rStyle w:val="nlmfpage"/>
          <w:rFonts w:ascii="Times New Roman" w:hAnsi="Times New Roman"/>
          <w:lang w:val="en"/>
        </w:rPr>
        <w:t>33</w:t>
      </w:r>
      <w:r w:rsidRPr="00675F01">
        <w:rPr>
          <w:rFonts w:ascii="Times New Roman" w:hAnsi="Times New Roman"/>
          <w:lang w:val="en"/>
        </w:rPr>
        <w:t>–</w:t>
      </w:r>
      <w:r w:rsidRPr="00675F01">
        <w:rPr>
          <w:rStyle w:val="nlmlpage"/>
          <w:rFonts w:ascii="Times New Roman" w:hAnsi="Times New Roman"/>
          <w:lang w:val="en"/>
        </w:rPr>
        <w:t>45</w:t>
      </w:r>
      <w:r w:rsidRPr="00675F01">
        <w:rPr>
          <w:rFonts w:ascii="Times New Roman" w:hAnsi="Times New Roman"/>
          <w:lang w:val="en"/>
        </w:rPr>
        <w:t>.</w:t>
      </w:r>
      <w:r>
        <w:rPr>
          <w:rFonts w:ascii="Times New Roman" w:hAnsi="Times New Roman"/>
          <w:lang w:val="en"/>
        </w:rPr>
        <w:t xml:space="preserve"> </w:t>
      </w:r>
      <w:r w:rsidRPr="000A0F82">
        <w:rPr>
          <w:rFonts w:ascii="Times New Roman" w:hAnsi="Times New Roman"/>
          <w:lang w:val="lv-LV"/>
        </w:rPr>
        <w:t>Pēdējo reizi skatīts 2020.gada 6.augustā:</w:t>
      </w:r>
    </w:p>
    <w:p w:rsidR="00275AED" w:rsidRPr="00811C76" w:rsidRDefault="008C0E6A" w:rsidP="00D3733A">
      <w:pPr>
        <w:pStyle w:val="FootnoteText"/>
        <w:jc w:val="both"/>
        <w:rPr>
          <w:rFonts w:ascii="Times New Roman" w:hAnsi="Times New Roman"/>
          <w:lang w:val="lv-LV"/>
        </w:rPr>
      </w:pPr>
      <w:hyperlink r:id="rId57" w:history="1">
        <w:r w:rsidR="00275AED" w:rsidRPr="00811C76">
          <w:rPr>
            <w:rStyle w:val="Hyperlink"/>
            <w:rFonts w:ascii="Times New Roman" w:eastAsiaTheme="majorEastAsia" w:hAnsi="Times New Roman"/>
            <w:lang w:val="lv-LV"/>
          </w:rPr>
          <w:t>https://www.researchgate.net/publication/227651794_The_Proportion_of_Gaming_Revenue_Derived_from_Problem_Gamblers_Examining_the_Issues_in_a_Canadian_Context</w:t>
        </w:r>
      </w:hyperlink>
    </w:p>
  </w:footnote>
  <w:footnote w:id="71">
    <w:p w:rsidR="00275AED" w:rsidRPr="00A45156" w:rsidRDefault="00275AED" w:rsidP="00136D69">
      <w:pPr>
        <w:pStyle w:val="FootnoteText"/>
        <w:jc w:val="both"/>
        <w:rPr>
          <w:rFonts w:ascii="Times New Roman" w:hAnsi="Times New Roman"/>
        </w:rPr>
      </w:pPr>
      <w:r w:rsidRPr="00A80C1E">
        <w:rPr>
          <w:rStyle w:val="FootnoteReference"/>
          <w:rFonts w:ascii="Times New Roman" w:eastAsiaTheme="majorEastAsia" w:hAnsi="Times New Roman"/>
        </w:rPr>
        <w:footnoteRef/>
      </w:r>
      <w:r w:rsidRPr="00A80C1E">
        <w:rPr>
          <w:rFonts w:ascii="Times New Roman" w:hAnsi="Times New Roman"/>
        </w:rPr>
        <w:t xml:space="preserve"> </w:t>
      </w:r>
      <w:r w:rsidRPr="00A45156">
        <w:rPr>
          <w:rFonts w:ascii="Times New Roman" w:hAnsi="Times New Roman"/>
          <w:bCs/>
          <w:color w:val="111111"/>
          <w:lang w:val="en"/>
        </w:rPr>
        <w:t>Wohl</w:t>
      </w:r>
      <w:r>
        <w:rPr>
          <w:rFonts w:ascii="Times New Roman" w:hAnsi="Times New Roman"/>
          <w:bCs/>
          <w:color w:val="111111"/>
          <w:lang w:val="en"/>
        </w:rPr>
        <w:t xml:space="preserve"> M.J.A.</w:t>
      </w:r>
      <w:r w:rsidRPr="00A45156">
        <w:rPr>
          <w:rFonts w:ascii="Times New Roman" w:hAnsi="Times New Roman"/>
          <w:bCs/>
          <w:color w:val="111111"/>
          <w:lang w:val="en"/>
        </w:rPr>
        <w:t xml:space="preserve"> Loyalty programmes in the gambling industry: potentials for harm and possibilities for harm-minimization</w:t>
      </w:r>
      <w:r>
        <w:rPr>
          <w:rFonts w:ascii="Times New Roman" w:hAnsi="Times New Roman"/>
          <w:color w:val="777777"/>
          <w:lang w:val="en"/>
        </w:rPr>
        <w:t>.</w:t>
      </w:r>
      <w:r>
        <w:rPr>
          <w:rFonts w:ascii="Times New Roman" w:hAnsi="Times New Roman"/>
          <w:bCs/>
          <w:color w:val="111111"/>
          <w:lang w:val="e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58" w:history="1">
        <w:r w:rsidRPr="00A45156">
          <w:rPr>
            <w:rStyle w:val="Hyperlink"/>
            <w:rFonts w:ascii="Times New Roman" w:eastAsiaTheme="majorEastAsia" w:hAnsi="Times New Roman"/>
            <w:bCs/>
            <w:lang w:val="en"/>
          </w:rPr>
          <w:t>https://doi.org/10.1080/14459795.2018.1480649</w:t>
        </w:r>
      </w:hyperlink>
    </w:p>
  </w:footnote>
  <w:footnote w:id="72">
    <w:p w:rsidR="00275AED" w:rsidRPr="00A45156" w:rsidRDefault="00275AED" w:rsidP="00136D69">
      <w:pPr>
        <w:pStyle w:val="FootnoteText"/>
        <w:jc w:val="both"/>
        <w:rPr>
          <w:rFonts w:ascii="Times New Roman" w:hAnsi="Times New Roman"/>
        </w:rPr>
      </w:pPr>
      <w:r w:rsidRPr="00A45156">
        <w:rPr>
          <w:rStyle w:val="FootnoteReference"/>
          <w:rFonts w:ascii="Times New Roman" w:eastAsiaTheme="majorEastAsia" w:hAnsi="Times New Roman"/>
        </w:rPr>
        <w:footnoteRef/>
      </w:r>
      <w:r>
        <w:rPr>
          <w:rFonts w:ascii="Times New Roman" w:hAnsi="Times New Roman"/>
          <w:bCs/>
          <w:color w:val="111111"/>
          <w:lang w:val="en"/>
        </w:rPr>
        <w:t xml:space="preserve"> </w:t>
      </w:r>
      <w:r w:rsidRPr="00A45156">
        <w:rPr>
          <w:rFonts w:ascii="Times New Roman" w:hAnsi="Times New Roman"/>
          <w:bCs/>
          <w:color w:val="111111"/>
          <w:lang w:val="en"/>
        </w:rPr>
        <w:t>Wohl</w:t>
      </w:r>
      <w:r>
        <w:rPr>
          <w:rFonts w:ascii="Times New Roman" w:hAnsi="Times New Roman"/>
          <w:bCs/>
          <w:color w:val="111111"/>
          <w:lang w:val="en"/>
        </w:rPr>
        <w:t xml:space="preserve"> M.J.A.</w:t>
      </w:r>
      <w:r w:rsidRPr="00A45156">
        <w:rPr>
          <w:rFonts w:ascii="Times New Roman" w:hAnsi="Times New Roman"/>
          <w:bCs/>
          <w:color w:val="111111"/>
          <w:lang w:val="en"/>
        </w:rPr>
        <w:t xml:space="preserve"> Loyalty programmes in the gambling industry: potentials for harm and possibilities for harm-minimization</w:t>
      </w:r>
      <w:r>
        <w:rPr>
          <w:rFonts w:ascii="Times New Roman" w:hAnsi="Times New Roman"/>
          <w:bCs/>
          <w:color w:val="111111"/>
          <w:lang w:val="en"/>
        </w:rPr>
        <w:t xml:space="preserve">. </w:t>
      </w:r>
      <w:r w:rsidRPr="00A45156">
        <w:rPr>
          <w:rFonts w:ascii="Times New Roman" w:hAnsi="Times New Roman"/>
          <w:color w:val="777777"/>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59" w:history="1">
        <w:r w:rsidRPr="00A45156">
          <w:rPr>
            <w:rStyle w:val="Hyperlink"/>
            <w:rFonts w:ascii="Times New Roman" w:eastAsiaTheme="majorEastAsia" w:hAnsi="Times New Roman"/>
            <w:bCs/>
            <w:lang w:val="en"/>
          </w:rPr>
          <w:t>https://doi.org/10.1080/14459795.2018.1480649</w:t>
        </w:r>
      </w:hyperlink>
    </w:p>
  </w:footnote>
  <w:footnote w:id="73">
    <w:p w:rsidR="00275AED" w:rsidRPr="00113C8C" w:rsidRDefault="00275AED" w:rsidP="00136D69">
      <w:pPr>
        <w:pStyle w:val="FootnoteText"/>
        <w:jc w:val="both"/>
        <w:rPr>
          <w:rFonts w:ascii="Times New Roman" w:hAnsi="Times New Roman"/>
        </w:rPr>
      </w:pPr>
      <w:r w:rsidRPr="00534BAF">
        <w:rPr>
          <w:rStyle w:val="FootnoteReference"/>
          <w:rFonts w:ascii="Times New Roman" w:eastAsiaTheme="majorEastAsia" w:hAnsi="Times New Roman"/>
        </w:rPr>
        <w:footnoteRef/>
      </w:r>
      <w:r w:rsidRPr="00534BAF">
        <w:rPr>
          <w:rFonts w:ascii="Times New Roman" w:hAnsi="Times New Roman"/>
        </w:rPr>
        <w:t xml:space="preserve">  </w:t>
      </w:r>
      <w:hyperlink r:id="rId60" w:history="1">
        <w:r w:rsidRPr="00DE53AF">
          <w:rPr>
            <w:rStyle w:val="Hyperlink"/>
            <w:rFonts w:ascii="Times New Roman" w:eastAsiaTheme="majorEastAsia" w:hAnsi="Times New Roman"/>
            <w:bCs/>
            <w:bdr w:val="none" w:sz="0" w:space="0" w:color="auto" w:frame="1"/>
            <w:shd w:val="clear" w:color="auto" w:fill="FFFFFF"/>
          </w:rPr>
          <w:t>Blaszczynski</w:t>
        </w:r>
      </w:hyperlink>
      <w:r w:rsidRPr="00113C8C">
        <w:rPr>
          <w:rFonts w:ascii="Times New Roman" w:hAnsi="Times New Roman"/>
        </w:rPr>
        <w:t xml:space="preserve"> A</w:t>
      </w:r>
      <w:r w:rsidRPr="00803F02">
        <w:rPr>
          <w:rFonts w:ascii="Times New Roman" w:hAnsi="Times New Roman"/>
        </w:rPr>
        <w:t>.,</w:t>
      </w:r>
      <w:r w:rsidRPr="00C96C3E">
        <w:rPr>
          <w:rFonts w:ascii="Times New Roman" w:hAnsi="Times New Roman"/>
        </w:rPr>
        <w:t xml:space="preserve"> Ladouceur R., Shaffer H.J</w:t>
      </w:r>
      <w:r w:rsidRPr="00113C8C">
        <w:rPr>
          <w:rFonts w:ascii="Times New Roman" w:hAnsi="Times New Roman"/>
        </w:rPr>
        <w:t>. 2004. A Science-Based Framework for Responsible Gambling: The Reno Mode</w:t>
      </w:r>
      <w:r>
        <w:rPr>
          <w:rFonts w:ascii="Times New Roman" w:hAnsi="Times New Roman"/>
        </w:rPr>
        <w:t xml:space="preserve"> </w:t>
      </w:r>
      <w:hyperlink r:id="rId61" w:tgtFrame="_blank" w:history="1">
        <w:r w:rsidRPr="00DE53AF">
          <w:rPr>
            <w:rStyle w:val="Hyperlink"/>
            <w:rFonts w:ascii="Times New Roman" w:eastAsiaTheme="majorEastAsia" w:hAnsi="Times New Roman"/>
            <w:i/>
            <w:color w:val="0080FF"/>
            <w:bdr w:val="none" w:sz="0" w:space="0" w:color="auto" w:frame="1"/>
          </w:rPr>
          <w:t>Journal of Gambling Studies</w:t>
        </w:r>
      </w:hyperlink>
      <w:r w:rsidRPr="00113C8C">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2" w:history="1">
        <w:r w:rsidRPr="00DE53AF">
          <w:rPr>
            <w:rStyle w:val="Hyperlink"/>
            <w:rFonts w:ascii="Times New Roman" w:eastAsiaTheme="majorEastAsia" w:hAnsi="Times New Roman"/>
          </w:rPr>
          <w:t>https://www.researchgate.net/publication/8359878_A_Science-Based_Framework_for_Responsible_Gambling_The_Reno_Model</w:t>
        </w:r>
      </w:hyperlink>
    </w:p>
  </w:footnote>
  <w:footnote w:id="74">
    <w:p w:rsidR="00275AED" w:rsidRPr="00113C8C" w:rsidRDefault="00275AED" w:rsidP="005B264D">
      <w:pPr>
        <w:pStyle w:val="FootnoteText"/>
        <w:jc w:val="both"/>
        <w:rPr>
          <w:rFonts w:ascii="Times New Roman" w:hAnsi="Times New Roman"/>
        </w:rPr>
      </w:pPr>
      <w:r w:rsidRPr="00DE53AF">
        <w:rPr>
          <w:rStyle w:val="FootnoteReference"/>
          <w:rFonts w:ascii="Times New Roman" w:eastAsiaTheme="majorEastAsia" w:hAnsi="Times New Roman"/>
        </w:rPr>
        <w:footnoteRef/>
      </w:r>
      <w:r w:rsidRPr="00DE53AF">
        <w:rPr>
          <w:rFonts w:ascii="Times New Roman" w:hAnsi="Times New Roman"/>
        </w:rPr>
        <w:t xml:space="preserve"> </w:t>
      </w:r>
      <w:r w:rsidRPr="00113C8C">
        <w:rPr>
          <w:rFonts w:ascii="Times New Roman" w:hAnsi="Times New Roman"/>
        </w:rPr>
        <w:t>Mrazek</w:t>
      </w:r>
      <w:r w:rsidRPr="00803F02">
        <w:rPr>
          <w:rFonts w:ascii="Times New Roman" w:hAnsi="Times New Roman"/>
        </w:rPr>
        <w:t xml:space="preserve"> P. J., Haggerty, R. J. (Eds.). (1994). Reducing the risk for mental disorders: Frontiers for preventive intervention research. Washington, DC: National Academy</w:t>
      </w:r>
      <w:r w:rsidRPr="00C96C3E">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3" w:history="1">
        <w:r w:rsidRPr="00DE53AF">
          <w:rPr>
            <w:rStyle w:val="Hyperlink"/>
            <w:rFonts w:ascii="Times New Roman" w:eastAsiaTheme="majorEastAsia" w:hAnsi="Times New Roman"/>
          </w:rPr>
          <w:t>https://pubmed.ncbi.nlm.nih.gov/25144015/</w:t>
        </w:r>
      </w:hyperlink>
    </w:p>
  </w:footnote>
  <w:footnote w:id="75">
    <w:p w:rsidR="00275AED" w:rsidRPr="0021568E" w:rsidRDefault="00275AED" w:rsidP="005B264D">
      <w:pPr>
        <w:pStyle w:val="Default"/>
        <w:jc w:val="both"/>
        <w:rPr>
          <w:sz w:val="20"/>
          <w:szCs w:val="20"/>
        </w:rPr>
      </w:pPr>
      <w:r w:rsidRPr="0021568E">
        <w:rPr>
          <w:rStyle w:val="FootnoteReference"/>
          <w:rFonts w:eastAsiaTheme="majorEastAsia"/>
          <w:sz w:val="20"/>
          <w:szCs w:val="20"/>
        </w:rPr>
        <w:footnoteRef/>
      </w:r>
      <w:r w:rsidRPr="0021568E">
        <w:rPr>
          <w:sz w:val="20"/>
          <w:szCs w:val="20"/>
        </w:rPr>
        <w:t xml:space="preserve"> Zavadskis A., Lazdiņa S. un Pelne A.  </w:t>
      </w:r>
      <w:r w:rsidRPr="0021568E">
        <w:rPr>
          <w:bCs/>
          <w:sz w:val="20"/>
          <w:szCs w:val="20"/>
        </w:rPr>
        <w:t xml:space="preserve">Atkarību izraisošo vielu profilakse </w:t>
      </w:r>
      <w:r w:rsidRPr="0021568E">
        <w:rPr>
          <w:sz w:val="20"/>
          <w:szCs w:val="20"/>
        </w:rPr>
        <w:t xml:space="preserve">Latvijā 2017. Gadā, Slimību profilakses un kontroles centrs, 2017, Rīgā, lpp. 8. </w:t>
      </w:r>
    </w:p>
  </w:footnote>
  <w:footnote w:id="76">
    <w:p w:rsidR="00275AED" w:rsidRDefault="00275AED" w:rsidP="00FF2F21">
      <w:pPr>
        <w:pStyle w:val="FootnoteText"/>
        <w:jc w:val="both"/>
      </w:pPr>
      <w:r>
        <w:rPr>
          <w:rStyle w:val="FootnoteReference"/>
          <w:rFonts w:eastAsiaTheme="majorEastAsia"/>
        </w:rPr>
        <w:footnoteRef/>
      </w:r>
      <w:r>
        <w:t xml:space="preserve"> </w:t>
      </w:r>
      <w:r w:rsidRPr="0021568E">
        <w:rPr>
          <w:rFonts w:ascii="Times New Roman" w:hAnsi="Times New Roman"/>
        </w:rPr>
        <w:t xml:space="preserve">Zavadskis A., Lazdiņa S. un Pelne A.  </w:t>
      </w:r>
      <w:r w:rsidRPr="0021568E">
        <w:rPr>
          <w:rFonts w:ascii="Times New Roman" w:hAnsi="Times New Roman"/>
          <w:bCs/>
        </w:rPr>
        <w:t xml:space="preserve">Atkarību izraisošo vielu profilakse </w:t>
      </w:r>
      <w:r w:rsidRPr="0021568E">
        <w:rPr>
          <w:rFonts w:ascii="Times New Roman" w:hAnsi="Times New Roman"/>
        </w:rPr>
        <w:t xml:space="preserve">Latvijā 2017. Gadā, Slimību profilakses un kontroles centrs, 2017, Rīgā, lpp. </w:t>
      </w:r>
      <w:r>
        <w:rPr>
          <w:rFonts w:ascii="Times New Roman" w:hAnsi="Times New Roman"/>
        </w:rPr>
        <w:t>9.,,18</w:t>
      </w:r>
      <w:r w:rsidRPr="0021568E">
        <w:rPr>
          <w:rFonts w:ascii="Times New Roman" w:hAnsi="Times New Roman"/>
        </w:rPr>
        <w:t>.</w:t>
      </w:r>
    </w:p>
  </w:footnote>
  <w:footnote w:id="77">
    <w:p w:rsidR="00275AED" w:rsidRPr="00A80C1E" w:rsidRDefault="00275AED" w:rsidP="006F2D1D">
      <w:pPr>
        <w:pStyle w:val="Default"/>
        <w:jc w:val="both"/>
        <w:rPr>
          <w:sz w:val="20"/>
          <w:szCs w:val="20"/>
        </w:rPr>
      </w:pPr>
      <w:r w:rsidRPr="00A80C1E">
        <w:rPr>
          <w:rStyle w:val="FootnoteReference"/>
          <w:sz w:val="20"/>
          <w:szCs w:val="20"/>
        </w:rPr>
        <w:footnoteRef/>
      </w:r>
      <w:r w:rsidRPr="00A80C1E">
        <w:rPr>
          <w:sz w:val="20"/>
          <w:szCs w:val="20"/>
        </w:rPr>
        <w:t xml:space="preserve">  Rīgas domes 2005.gada 8.marta saistošo noteikumu Nr.91 „Par reklāmu, izkārtņu un citu informatīvo materiālu izvietošanas kārtību Rīgā”   2.4.apakšpunkta (zaudēja spēku </w:t>
      </w:r>
      <w:r w:rsidRPr="00A80C1E">
        <w:rPr>
          <w:rFonts w:eastAsiaTheme="minorHAnsi"/>
          <w:sz w:val="20"/>
          <w:szCs w:val="20"/>
        </w:rPr>
        <w:t>07.01.2014</w:t>
      </w:r>
      <w:r w:rsidRPr="00A80C1E">
        <w:rPr>
          <w:rFonts w:eastAsiaTheme="majorEastAsia"/>
          <w:sz w:val="20"/>
          <w:szCs w:val="20"/>
        </w:rPr>
        <w:t>)</w:t>
      </w:r>
      <w:r w:rsidRPr="00A80C1E">
        <w:rPr>
          <w:rFonts w:eastAsiaTheme="minorHAnsi"/>
          <w:sz w:val="20"/>
          <w:szCs w:val="20"/>
        </w:rPr>
        <w:t>.</w:t>
      </w:r>
    </w:p>
  </w:footnote>
  <w:footnote w:id="78">
    <w:p w:rsidR="00275AED" w:rsidRPr="007810D1" w:rsidRDefault="00275AED" w:rsidP="00A80C1E">
      <w:pPr>
        <w:pStyle w:val="CommentText"/>
        <w:jc w:val="both"/>
        <w:rPr>
          <w:rFonts w:cs="Times New Roman"/>
        </w:rPr>
      </w:pPr>
      <w:r w:rsidRPr="00414A60">
        <w:rPr>
          <w:rStyle w:val="FootnoteReference"/>
        </w:rPr>
        <w:footnoteRef/>
      </w:r>
      <w:r w:rsidRPr="00414A60">
        <w:t xml:space="preserve"> European Commision, </w:t>
      </w:r>
      <w:r w:rsidRPr="00BF509E">
        <w:rPr>
          <w:rFonts w:cs="Times New Roman"/>
          <w:bCs/>
          <w:color w:val="000000"/>
        </w:rPr>
        <w:t>Evaluation of Regulatory Tools for Enforcing Online Gambling Rules and Channelling Demand towards Controlled Offers, November 2018, p.85-86</w:t>
      </w:r>
      <w:r>
        <w:rPr>
          <w:rFonts w:cs="Times New Roman"/>
          <w:bCs/>
          <w:color w:val="000000"/>
        </w:rPr>
        <w:t>.</w:t>
      </w:r>
      <w:r w:rsidRPr="00C96C3E">
        <w:t xml:space="preserve"> </w:t>
      </w:r>
      <w:r w:rsidRPr="000A0F82">
        <w:t>Pēdējo reizi skatīts 2020.gada 6.augustā:</w:t>
      </w:r>
      <w:r>
        <w:t xml:space="preserve"> </w:t>
      </w:r>
      <w:r>
        <w:rPr>
          <w:rFonts w:cs="Times New Roman"/>
          <w:bCs/>
          <w:color w:val="000000"/>
        </w:rPr>
        <w:t xml:space="preserve"> </w:t>
      </w:r>
      <w:hyperlink r:id="rId64" w:history="1">
        <w:r>
          <w:rPr>
            <w:rStyle w:val="Hyperlink"/>
          </w:rPr>
          <w:t>https://ec.europa.eu/growth/content/evaluation-regulatory-tools-enforcing-online-gambling-rules-and-channelling-demand-towards-1_en</w:t>
        </w:r>
      </w:hyperlink>
      <w:r w:rsidRPr="00BF509E">
        <w:rPr>
          <w:rFonts w:cs="Times New Roman"/>
          <w:bCs/>
          <w:color w:val="000000"/>
        </w:rPr>
        <w:t xml:space="preserve">  </w:t>
      </w:r>
    </w:p>
    <w:p w:rsidR="00275AED" w:rsidRPr="00BF509E" w:rsidRDefault="00275AED" w:rsidP="006F2D1D">
      <w:pPr>
        <w:pStyle w:val="FootnoteText"/>
        <w:rPr>
          <w:lang w:val="lv-LV"/>
        </w:rPr>
      </w:pPr>
    </w:p>
  </w:footnote>
  <w:footnote w:id="79">
    <w:p w:rsidR="00275AED" w:rsidRPr="0030527D" w:rsidRDefault="00275AED" w:rsidP="00A80C1E">
      <w:pPr>
        <w:pStyle w:val="FootnoteText"/>
        <w:jc w:val="both"/>
        <w:rPr>
          <w:rFonts w:ascii="Times New Roman" w:hAnsi="Times New Roman"/>
          <w:lang w:val="lv-LV"/>
        </w:rPr>
      </w:pPr>
      <w:r w:rsidRPr="0030527D">
        <w:rPr>
          <w:rStyle w:val="FootnoteReference"/>
          <w:rFonts w:ascii="Times New Roman" w:hAnsi="Times New Roman"/>
        </w:rPr>
        <w:footnoteRef/>
      </w:r>
      <w:r w:rsidRPr="0030527D">
        <w:rPr>
          <w:rFonts w:ascii="Times New Roman" w:hAnsi="Times New Roman"/>
          <w:lang w:val="lv-LV"/>
        </w:rPr>
        <w:t xml:space="preserve"> Turpat.</w:t>
      </w:r>
    </w:p>
  </w:footnote>
  <w:footnote w:id="80">
    <w:p w:rsidR="00275AED" w:rsidRPr="0030527D" w:rsidRDefault="00275AED" w:rsidP="00A80C1E">
      <w:pPr>
        <w:pStyle w:val="FootnoteText"/>
        <w:jc w:val="both"/>
        <w:rPr>
          <w:rFonts w:ascii="Times New Roman" w:hAnsi="Times New Roman"/>
          <w:lang w:val="lv-LV"/>
        </w:rPr>
      </w:pPr>
      <w:r w:rsidRPr="0030527D">
        <w:rPr>
          <w:rStyle w:val="FootnoteReference"/>
          <w:rFonts w:ascii="Times New Roman" w:hAnsi="Times New Roman"/>
        </w:rPr>
        <w:footnoteRef/>
      </w:r>
      <w:r w:rsidRPr="0030527D">
        <w:rPr>
          <w:rFonts w:ascii="Times New Roman" w:hAnsi="Times New Roman"/>
          <w:lang w:val="lv-LV"/>
        </w:rPr>
        <w:t xml:space="preserve"> </w:t>
      </w:r>
      <w:r w:rsidRPr="0030527D">
        <w:rPr>
          <w:rFonts w:ascii="Times New Roman" w:eastAsia="Calibri" w:hAnsi="Times New Roman"/>
          <w:lang w:val="lv-LV"/>
        </w:rPr>
        <w:t>2014.gada 14.jūlija Komisijas ieteikums par principiem, ko piemēro, lai aizsargātu tiešsaistes azartspēļu pakalpojumu patērētājus un spēlētājus un novērstu nepilngadīgo iesaistīšanos tiešsaistes azartspēlēs(2014/478/ES)</w:t>
      </w:r>
    </w:p>
  </w:footnote>
  <w:footnote w:id="81">
    <w:p w:rsidR="00275AED" w:rsidRPr="0030527D" w:rsidRDefault="00275AED" w:rsidP="00A80C1E">
      <w:pPr>
        <w:pStyle w:val="FootnoteText"/>
        <w:jc w:val="both"/>
        <w:rPr>
          <w:rFonts w:ascii="Times New Roman" w:hAnsi="Times New Roman"/>
          <w:lang w:val="lv-LV"/>
        </w:rPr>
      </w:pPr>
      <w:r w:rsidRPr="0030527D">
        <w:rPr>
          <w:rStyle w:val="FootnoteReference"/>
          <w:rFonts w:ascii="Times New Roman" w:hAnsi="Times New Roman"/>
        </w:rPr>
        <w:footnoteRef/>
      </w:r>
      <w:r w:rsidRPr="0030527D">
        <w:rPr>
          <w:rFonts w:ascii="Times New Roman" w:hAnsi="Times New Roman"/>
          <w:lang w:val="lv-LV"/>
        </w:rPr>
        <w:t xml:space="preserve"> Pilngadības vecums visās dalībvalstīs ir 18 gadu (izņemot Austriju, kur tas ir 19 gadu).</w:t>
      </w:r>
    </w:p>
  </w:footnote>
  <w:footnote w:id="82">
    <w:p w:rsidR="00275AED" w:rsidRPr="005F4CA3" w:rsidRDefault="00275AED" w:rsidP="00A80C1E">
      <w:pPr>
        <w:pStyle w:val="FootnoteText"/>
        <w:jc w:val="both"/>
        <w:rPr>
          <w:rFonts w:ascii="Times New Roman" w:hAnsi="Times New Roman"/>
          <w:lang w:val="lv-LV"/>
        </w:rPr>
      </w:pPr>
      <w:r w:rsidRPr="005F4CA3">
        <w:rPr>
          <w:rStyle w:val="FootnoteReference"/>
          <w:rFonts w:ascii="Times New Roman" w:hAnsi="Times New Roman"/>
        </w:rPr>
        <w:footnoteRef/>
      </w:r>
      <w:r w:rsidRPr="005F4CA3">
        <w:rPr>
          <w:rFonts w:ascii="Times New Roman" w:hAnsi="Times New Roman"/>
          <w:lang w:val="lv-LV"/>
        </w:rPr>
        <w:t xml:space="preserve"> C-258/08, Ladbrokes Betting &amp; Gaming Ltd, ES: C: 2010: 308, par. 19.</w:t>
      </w:r>
    </w:p>
  </w:footnote>
  <w:footnote w:id="83">
    <w:p w:rsidR="00275AED" w:rsidRPr="009961BE" w:rsidRDefault="00275AED" w:rsidP="00A80C1E">
      <w:pPr>
        <w:pStyle w:val="FootnoteText"/>
        <w:jc w:val="both"/>
        <w:rPr>
          <w:sz w:val="16"/>
          <w:lang w:val="lv-LV"/>
        </w:rPr>
      </w:pPr>
      <w:r w:rsidRPr="005F4CA3">
        <w:rPr>
          <w:rStyle w:val="FootnoteReference"/>
          <w:rFonts w:ascii="Times New Roman" w:hAnsi="Times New Roman"/>
        </w:rPr>
        <w:footnoteRef/>
      </w:r>
      <w:r w:rsidRPr="005F4CA3">
        <w:rPr>
          <w:rFonts w:ascii="Times New Roman" w:hAnsi="Times New Roman"/>
          <w:lang w:val="lv-LV"/>
        </w:rPr>
        <w:t xml:space="preserve"> </w:t>
      </w:r>
      <w:r w:rsidRPr="005F4CA3">
        <w:rPr>
          <w:rFonts w:ascii="Times New Roman" w:hAnsi="Times New Roman"/>
          <w:i/>
          <w:lang w:val="lv-LV"/>
        </w:rPr>
        <w:t>Dickinger and Ömer</w:t>
      </w:r>
      <w:r w:rsidRPr="005F4CA3">
        <w:rPr>
          <w:rFonts w:ascii="Times New Roman" w:hAnsi="Times New Roman"/>
          <w:lang w:val="lv-LV"/>
        </w:rPr>
        <w:t>, C-347/09, EU:C:2011:582, 50</w:t>
      </w:r>
      <w:r>
        <w:rPr>
          <w:rFonts w:ascii="Times New Roman" w:hAnsi="Times New Roman"/>
          <w:lang w:val="lv-LV"/>
        </w:rPr>
        <w:t>.</w:t>
      </w:r>
      <w:r w:rsidRPr="005F4CA3">
        <w:rPr>
          <w:rFonts w:ascii="Times New Roman" w:hAnsi="Times New Roman"/>
          <w:lang w:val="lv-LV"/>
        </w:rPr>
        <w:t xml:space="preserve"> un 56</w:t>
      </w:r>
      <w:r>
        <w:rPr>
          <w:rFonts w:ascii="Times New Roman" w:hAnsi="Times New Roman"/>
          <w:lang w:val="lv-LV"/>
        </w:rPr>
        <w:t>.</w:t>
      </w:r>
      <w:r w:rsidRPr="005F4CA3">
        <w:rPr>
          <w:rFonts w:ascii="Times New Roman" w:hAnsi="Times New Roman"/>
          <w:lang w:val="lv-LV"/>
        </w:rPr>
        <w:t xml:space="preserve"> paragrāfs.</w:t>
      </w:r>
    </w:p>
  </w:footnote>
  <w:footnote w:id="84">
    <w:p w:rsidR="00275AED" w:rsidRPr="009A63B4" w:rsidRDefault="00275AED" w:rsidP="004F4D67">
      <w:pPr>
        <w:pStyle w:val="FootnoteText"/>
        <w:jc w:val="both"/>
        <w:rPr>
          <w:rFonts w:ascii="Times New Roman" w:hAnsi="Times New Roman"/>
        </w:rPr>
      </w:pPr>
      <w:r w:rsidRPr="00A80C1E">
        <w:rPr>
          <w:rStyle w:val="FootnoteReference"/>
          <w:rFonts w:ascii="Times New Roman" w:hAnsi="Times New Roman"/>
        </w:rPr>
        <w:footnoteRef/>
      </w:r>
      <w:r w:rsidRPr="00A80C1E">
        <w:rPr>
          <w:rFonts w:ascii="Times New Roman" w:hAnsi="Times New Roman"/>
        </w:rPr>
        <w:t xml:space="preserve"> </w:t>
      </w:r>
      <w:r w:rsidRPr="009A63B4">
        <w:rPr>
          <w:rFonts w:ascii="Times New Roman" w:hAnsi="Times New Roman"/>
        </w:rPr>
        <w:t xml:space="preserve">Williams, Volberg, &amp; Stevens, </w:t>
      </w:r>
      <w:hyperlink r:id="rId65" w:history="1">
        <w:r w:rsidRPr="009A63B4">
          <w:rPr>
            <w:rStyle w:val="Hyperlink"/>
            <w:rFonts w:ascii="Times New Roman" w:eastAsiaTheme="majorEastAsia" w:hAnsi="Times New Roman"/>
          </w:rPr>
          <w:t>2012</w:t>
        </w:r>
      </w:hyperlink>
      <w:r w:rsidRPr="009A63B4">
        <w:rPr>
          <w:rStyle w:val="ref-overlay2"/>
          <w:rFonts w:ascii="Times New Roman" w:hAnsi="Times New Roman"/>
        </w:rPr>
        <w:t xml:space="preserve"> </w:t>
      </w:r>
      <w:r w:rsidRPr="009A63B4">
        <w:rPr>
          <w:rStyle w:val="hlfld-contribauthor"/>
          <w:rFonts w:ascii="Times New Roman" w:hAnsi="Times New Roman"/>
          <w:shd w:val="clear" w:color="auto" w:fill="FFFFFF"/>
        </w:rPr>
        <w:t xml:space="preserve">Williams, </w:t>
      </w:r>
      <w:r w:rsidRPr="009A63B4">
        <w:rPr>
          <w:rStyle w:val="nlmgiven-names"/>
          <w:rFonts w:ascii="Times New Roman" w:hAnsi="Times New Roman"/>
          <w:shd w:val="clear" w:color="auto" w:fill="FFFFFF"/>
        </w:rPr>
        <w:t>R. J.</w:t>
      </w:r>
      <w:r w:rsidRPr="009A63B4">
        <w:rPr>
          <w:rStyle w:val="ref-overlay2"/>
          <w:rFonts w:ascii="Times New Roman" w:hAnsi="Times New Roman"/>
        </w:rPr>
        <w:t xml:space="preserve">, </w:t>
      </w:r>
      <w:r w:rsidRPr="009A63B4">
        <w:rPr>
          <w:rStyle w:val="hlfld-contribauthor"/>
          <w:rFonts w:ascii="Times New Roman" w:hAnsi="Times New Roman"/>
          <w:shd w:val="clear" w:color="auto" w:fill="FFFFFF"/>
        </w:rPr>
        <w:t xml:space="preserve">Volberg, </w:t>
      </w:r>
      <w:r w:rsidRPr="009A63B4">
        <w:rPr>
          <w:rStyle w:val="nlmgiven-names"/>
          <w:rFonts w:ascii="Times New Roman" w:hAnsi="Times New Roman"/>
          <w:shd w:val="clear" w:color="auto" w:fill="FFFFFF"/>
        </w:rPr>
        <w:t>R. A.</w:t>
      </w:r>
      <w:r w:rsidRPr="009A63B4">
        <w:rPr>
          <w:rStyle w:val="ref-overlay2"/>
          <w:rFonts w:ascii="Times New Roman" w:hAnsi="Times New Roman"/>
        </w:rPr>
        <w:t xml:space="preserve">, &amp; </w:t>
      </w:r>
      <w:r w:rsidRPr="009A63B4">
        <w:rPr>
          <w:rStyle w:val="hlfld-contribauthor"/>
          <w:rFonts w:ascii="Times New Roman" w:hAnsi="Times New Roman"/>
          <w:shd w:val="clear" w:color="auto" w:fill="FFFFFF"/>
        </w:rPr>
        <w:t xml:space="preserve">Stevens, </w:t>
      </w:r>
      <w:r w:rsidRPr="009A63B4">
        <w:rPr>
          <w:rStyle w:val="nlmgiven-names"/>
          <w:rFonts w:ascii="Times New Roman" w:hAnsi="Times New Roman"/>
          <w:shd w:val="clear" w:color="auto" w:fill="FFFFFF"/>
        </w:rPr>
        <w:t>R. M. G.</w:t>
      </w:r>
      <w:r w:rsidRPr="009A63B4">
        <w:rPr>
          <w:rStyle w:val="ref-overlay2"/>
          <w:rFonts w:ascii="Times New Roman" w:hAnsi="Times New Roman"/>
        </w:rPr>
        <w:t xml:space="preserve"> (</w:t>
      </w:r>
      <w:r w:rsidRPr="009A63B4">
        <w:rPr>
          <w:rStyle w:val="nlmyear"/>
          <w:rFonts w:ascii="Times New Roman" w:hAnsi="Times New Roman"/>
          <w:shd w:val="clear" w:color="auto" w:fill="FFFFFF"/>
        </w:rPr>
        <w:t>2012</w:t>
      </w:r>
      <w:r w:rsidRPr="009A63B4">
        <w:rPr>
          <w:rStyle w:val="ref-overlay2"/>
          <w:rFonts w:ascii="Times New Roman" w:hAnsi="Times New Roman"/>
        </w:rPr>
        <w:t xml:space="preserve">). </w:t>
      </w:r>
      <w:r w:rsidRPr="009A63B4">
        <w:rPr>
          <w:rStyle w:val="ref-overlay2"/>
          <w:rFonts w:ascii="Times New Roman" w:hAnsi="Times New Roman"/>
          <w:i/>
          <w:iCs/>
        </w:rPr>
        <w:t>The population prevalence of problem gambling: Methodological influences, standardized rates, jurisdictional differences, and worldwide trends</w:t>
      </w:r>
      <w:r w:rsidRPr="009A63B4">
        <w:rPr>
          <w:rStyle w:val="ref-overlay2"/>
          <w:rFonts w:ascii="Times New Roman" w:hAnsi="Times New Roman"/>
        </w:rPr>
        <w:t xml:space="preserve">. </w:t>
      </w:r>
      <w:r w:rsidRPr="009A63B4">
        <w:rPr>
          <w:rStyle w:val="nlmpublisher-name"/>
          <w:rFonts w:ascii="Times New Roman" w:hAnsi="Times New Roman"/>
          <w:shd w:val="clear" w:color="auto" w:fill="FFFFFF"/>
        </w:rPr>
        <w:t>Report prepared for the Ontario Problem Gambling Research Centre and the Ontario Ministry of Health and Long Term Care</w:t>
      </w:r>
      <w:r w:rsidRPr="009A63B4">
        <w:rPr>
          <w:rStyle w:val="ref-overlay2"/>
          <w:rFonts w:ascii="Times New Roman" w:hAnsi="Times New Roman"/>
        </w:rPr>
        <w:t>. Retrieved</w:t>
      </w:r>
      <w:r>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9A63B4">
        <w:rPr>
          <w:rStyle w:val="ref-overlay2"/>
          <w:rFonts w:ascii="Times New Roman" w:hAnsi="Times New Roman"/>
        </w:rPr>
        <w:t xml:space="preserve"> </w:t>
      </w:r>
      <w:hyperlink r:id="rId66" w:tgtFrame="_blank" w:history="1">
        <w:r w:rsidRPr="009A63B4">
          <w:rPr>
            <w:rStyle w:val="Hyperlink"/>
            <w:rFonts w:ascii="Times New Roman" w:eastAsiaTheme="majorEastAsia" w:hAnsi="Times New Roman"/>
          </w:rPr>
          <w:t>https://www.uleth.ca/dspace/bitstream/handle/10133/3068/2012-PREVALENCE-OPGRC%20%282%29.pdf?sequence=3</w:t>
        </w:r>
      </w:hyperlink>
    </w:p>
  </w:footnote>
  <w:footnote w:id="85">
    <w:p w:rsidR="00275AED" w:rsidRPr="009A63B4" w:rsidRDefault="00275AED" w:rsidP="00960CCC">
      <w:pPr>
        <w:pStyle w:val="FootnoteText"/>
        <w:jc w:val="both"/>
        <w:rPr>
          <w:rFonts w:ascii="Times New Roman" w:hAnsi="Times New Roman"/>
          <w:lang w:val="lv-LV"/>
        </w:rPr>
      </w:pPr>
      <w:r w:rsidRPr="009A63B4">
        <w:rPr>
          <w:rStyle w:val="FootnoteReference"/>
          <w:rFonts w:ascii="Times New Roman" w:hAnsi="Times New Roman"/>
        </w:rPr>
        <w:footnoteRef/>
      </w:r>
      <w:r w:rsidRPr="009A63B4">
        <w:rPr>
          <w:rFonts w:ascii="Times New Roman" w:hAnsi="Times New Roman"/>
          <w:lang w:val="lv-LV"/>
        </w:rPr>
        <w:t xml:space="preserve"> GGR (apgrozījums mīnus izmaksātie laimesti) VAS “Latvijas Loto” aprēķināts pēc azartspēļu ieņēmumu aprēķināšanas metodes</w:t>
      </w:r>
    </w:p>
  </w:footnote>
  <w:footnote w:id="86">
    <w:p w:rsidR="00275AED" w:rsidRPr="009A63B4" w:rsidRDefault="00275AED" w:rsidP="00960CCC">
      <w:pPr>
        <w:pStyle w:val="FootnoteText"/>
        <w:jc w:val="both"/>
        <w:rPr>
          <w:rFonts w:ascii="Times New Roman" w:hAnsi="Times New Roman"/>
          <w:lang w:val="lv-LV"/>
        </w:rPr>
      </w:pPr>
      <w:r w:rsidRPr="009A63B4">
        <w:rPr>
          <w:rStyle w:val="FootnoteReference"/>
          <w:rFonts w:ascii="Times New Roman" w:hAnsi="Times New Roman"/>
        </w:rPr>
        <w:footnoteRef/>
      </w:r>
      <w:r w:rsidRPr="009A63B4">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9A63B4">
        <w:rPr>
          <w:rStyle w:val="Hyperlink"/>
          <w:rFonts w:ascii="Times New Roman" w:eastAsiaTheme="majorEastAsia" w:hAnsi="Times New Roman"/>
          <w:lang w:val="lv-LV"/>
        </w:rPr>
        <w:t>https://www.european-lotteries.org/european-gaming-standards</w:t>
      </w:r>
    </w:p>
  </w:footnote>
  <w:footnote w:id="87">
    <w:p w:rsidR="00275AED" w:rsidRPr="00A80C1E" w:rsidRDefault="00275AED" w:rsidP="00A80C1E">
      <w:pPr>
        <w:pStyle w:val="FootnoteText"/>
        <w:jc w:val="both"/>
        <w:rPr>
          <w:rFonts w:ascii="Times New Roman" w:hAnsi="Times New Roman"/>
          <w:lang w:val="lv-LV"/>
        </w:rPr>
      </w:pPr>
      <w:r w:rsidRPr="00A80C1E">
        <w:rPr>
          <w:rStyle w:val="FootnoteReference"/>
          <w:rFonts w:ascii="Times New Roman" w:hAnsi="Times New Roman"/>
        </w:rPr>
        <w:footnoteRef/>
      </w:r>
      <w:r w:rsidRPr="00A80C1E">
        <w:rPr>
          <w:rFonts w:ascii="Times New Roman" w:hAnsi="Times New Roman"/>
        </w:rPr>
        <w:t xml:space="preserve"> </w:t>
      </w:r>
      <w:r w:rsidRPr="00960CCC">
        <w:rPr>
          <w:rFonts w:ascii="Times New Roman" w:hAnsi="Times New Roman"/>
        </w:rPr>
        <w:t>AIL 60.pants</w:t>
      </w:r>
    </w:p>
  </w:footnote>
  <w:footnote w:id="88">
    <w:p w:rsidR="00275AED" w:rsidRPr="00960CCC" w:rsidRDefault="00275AED" w:rsidP="00A80C1E">
      <w:pPr>
        <w:pStyle w:val="FootnoteText"/>
        <w:jc w:val="both"/>
        <w:rPr>
          <w:rFonts w:ascii="Times New Roman" w:hAnsi="Times New Roman"/>
          <w:lang w:val="lv-LV"/>
        </w:rPr>
      </w:pPr>
      <w:r w:rsidRPr="00960CCC">
        <w:rPr>
          <w:rStyle w:val="FootnoteReference"/>
          <w:rFonts w:ascii="Times New Roman" w:hAnsi="Times New Roman"/>
        </w:rPr>
        <w:footnoteRef/>
      </w:r>
      <w:r w:rsidRPr="00960CCC">
        <w:rPr>
          <w:rFonts w:ascii="Times New Roman" w:hAnsi="Times New Roman"/>
        </w:rPr>
        <w:t xml:space="preserve"> AIL 72.pantā</w:t>
      </w:r>
    </w:p>
  </w:footnote>
  <w:footnote w:id="89">
    <w:p w:rsidR="00275AED" w:rsidRPr="00A80C1E" w:rsidRDefault="00275AED" w:rsidP="00A80C1E">
      <w:pPr>
        <w:pStyle w:val="FootnoteText"/>
        <w:jc w:val="both"/>
        <w:rPr>
          <w:rFonts w:ascii="Times New Roman" w:hAnsi="Times New Roman"/>
          <w:lang w:val="lv-LV"/>
        </w:rPr>
      </w:pPr>
      <w:r w:rsidRPr="00960CCC">
        <w:rPr>
          <w:rStyle w:val="FootnoteReference"/>
          <w:rFonts w:ascii="Times New Roman" w:hAnsi="Times New Roman"/>
        </w:rPr>
        <w:footnoteRef/>
      </w:r>
      <w:r w:rsidRPr="00960CCC">
        <w:rPr>
          <w:rFonts w:ascii="Times New Roman" w:hAnsi="Times New Roman"/>
        </w:rPr>
        <w:t xml:space="preserve"> AIL 69.pants</w:t>
      </w:r>
    </w:p>
  </w:footnote>
  <w:footnote w:id="90">
    <w:p w:rsidR="00275AED" w:rsidRPr="00881C41" w:rsidRDefault="00275AED" w:rsidP="00960CCC">
      <w:pPr>
        <w:jc w:val="both"/>
        <w:rPr>
          <w:sz w:val="20"/>
          <w:szCs w:val="20"/>
          <w:lang w:eastAsia="lv-LV"/>
        </w:rPr>
      </w:pPr>
      <w:r w:rsidRPr="00881C41">
        <w:rPr>
          <w:rStyle w:val="FootnoteReference"/>
          <w:sz w:val="20"/>
          <w:szCs w:val="20"/>
        </w:rPr>
        <w:footnoteRef/>
      </w:r>
      <w:r w:rsidRPr="00881C41">
        <w:rPr>
          <w:sz w:val="20"/>
          <w:szCs w:val="20"/>
        </w:rPr>
        <w:t xml:space="preserve"> </w:t>
      </w:r>
      <w:r w:rsidRPr="00881C41">
        <w:rPr>
          <w:bCs/>
          <w:sz w:val="20"/>
          <w:szCs w:val="20"/>
        </w:rPr>
        <w:t xml:space="preserve">Eiropas komisijas  (2014. gada 14. jūlijs) par principiem, ko piemēro, lai aizsargātu tiešsaistes azartspēļu pakalpojumu patērētājus un spēlētājus un novērstu nepilngadīgo iesaistīšanos tiešsaistes azartspēlēs (Dokuments attiecas uz EEZ) </w:t>
      </w:r>
      <w:r w:rsidRPr="00881C41">
        <w:rPr>
          <w:sz w:val="20"/>
          <w:szCs w:val="20"/>
        </w:rPr>
        <w:t>(2014/478/ES) 6.punkts</w:t>
      </w:r>
    </w:p>
  </w:footnote>
  <w:footnote w:id="91">
    <w:p w:rsidR="00275AED" w:rsidRPr="0002692C" w:rsidRDefault="00275AED" w:rsidP="00A80C1E">
      <w:pPr>
        <w:pStyle w:val="FootnoteText"/>
        <w:jc w:val="both"/>
        <w:rPr>
          <w:rFonts w:ascii="Times New Roman" w:hAnsi="Times New Roman"/>
          <w:lang w:val="lv-LV"/>
        </w:rPr>
      </w:pPr>
      <w:r w:rsidRPr="0050652A">
        <w:rPr>
          <w:rStyle w:val="FootnoteReference"/>
          <w:rFonts w:ascii="Times New Roman" w:hAnsi="Times New Roman"/>
        </w:rPr>
        <w:footnoteRef/>
      </w:r>
      <w:r w:rsidRPr="0050652A">
        <w:rPr>
          <w:rFonts w:ascii="Times New Roman" w:hAnsi="Times New Roman"/>
        </w:rPr>
        <w:t xml:space="preserve"> </w:t>
      </w:r>
      <w:r w:rsidRPr="0002692C">
        <w:rPr>
          <w:rFonts w:ascii="Times New Roman" w:hAnsi="Times New Roman"/>
          <w:lang w:val="lv-LV"/>
        </w:rPr>
        <w:t>Likums “Alkoholisko dzērienu aprites likums” 10.panta pirmā daļa.</w:t>
      </w:r>
    </w:p>
  </w:footnote>
  <w:footnote w:id="92">
    <w:p w:rsidR="00275AED" w:rsidRPr="003F0924" w:rsidRDefault="00275AED" w:rsidP="005C051B">
      <w:pPr>
        <w:pStyle w:val="Default"/>
        <w:jc w:val="both"/>
        <w:rPr>
          <w:sz w:val="20"/>
          <w:szCs w:val="20"/>
        </w:rPr>
      </w:pPr>
      <w:r w:rsidRPr="00A80C1E">
        <w:rPr>
          <w:rStyle w:val="FootnoteReference"/>
          <w:sz w:val="20"/>
          <w:szCs w:val="20"/>
        </w:rPr>
        <w:footnoteRef/>
      </w:r>
      <w:r w:rsidRPr="00A80C1E">
        <w:rPr>
          <w:sz w:val="20"/>
          <w:szCs w:val="20"/>
        </w:rPr>
        <w:t xml:space="preserve"> </w:t>
      </w:r>
      <w:r w:rsidRPr="003F0924">
        <w:rPr>
          <w:sz w:val="20"/>
          <w:szCs w:val="20"/>
        </w:rPr>
        <w:t xml:space="preserve">Williams, R.J., West, B.L., &amp; Simpson, R.I. (2012). </w:t>
      </w:r>
      <w:r w:rsidRPr="003F0924">
        <w:rPr>
          <w:i/>
          <w:iCs/>
          <w:sz w:val="20"/>
          <w:szCs w:val="20"/>
        </w:rPr>
        <w:t xml:space="preserve">Prevention of Problem/Pathological Gambling: A Comprehensive Review of the Evidence. </w:t>
      </w:r>
      <w:r w:rsidRPr="003F0924">
        <w:rPr>
          <w:sz w:val="20"/>
          <w:szCs w:val="20"/>
        </w:rPr>
        <w:t xml:space="preserve">Report prepared for the Ontario Problem Gambling Research Centre. Guelph, Ontario, Canada. October 1, 2012. </w:t>
      </w:r>
      <w:r w:rsidRPr="000A0F82">
        <w:rPr>
          <w:sz w:val="20"/>
          <w:szCs w:val="20"/>
        </w:rPr>
        <w:t>Pēdējo reizi skatīts 2020.gada 6.augustā:</w:t>
      </w:r>
      <w:r>
        <w:t xml:space="preserve"> </w:t>
      </w:r>
      <w:r w:rsidRPr="003F0924">
        <w:rPr>
          <w:sz w:val="20"/>
          <w:szCs w:val="20"/>
        </w:rPr>
        <w:t>http://hdl.handle.net/10133/414</w:t>
      </w:r>
      <w:r w:rsidRPr="003F0924">
        <w:rPr>
          <w:rFonts w:ascii="Calibri" w:hAnsi="Calibri" w:cs="Calibri"/>
          <w:sz w:val="20"/>
          <w:szCs w:val="20"/>
        </w:rPr>
        <w:t xml:space="preserve"> </w:t>
      </w:r>
    </w:p>
  </w:footnote>
  <w:footnote w:id="93">
    <w:p w:rsidR="00275AED" w:rsidRPr="009E188C" w:rsidRDefault="00275AED" w:rsidP="00960CCC">
      <w:pPr>
        <w:pStyle w:val="Default"/>
        <w:jc w:val="both"/>
        <w:rPr>
          <w:sz w:val="20"/>
          <w:szCs w:val="20"/>
        </w:rPr>
      </w:pPr>
      <w:r w:rsidRPr="003F0924">
        <w:rPr>
          <w:rStyle w:val="FootnoteReference"/>
          <w:sz w:val="20"/>
          <w:szCs w:val="20"/>
        </w:rPr>
        <w:footnoteRef/>
      </w:r>
      <w:r w:rsidRPr="003F0924">
        <w:rPr>
          <w:sz w:val="20"/>
          <w:szCs w:val="20"/>
        </w:rPr>
        <w:t xml:space="preserve"> Williams, R.J., West, B.L., &amp; Simpson, R.I. (2012). </w:t>
      </w:r>
      <w:r w:rsidRPr="003F0924">
        <w:rPr>
          <w:i/>
          <w:iCs/>
          <w:sz w:val="20"/>
          <w:szCs w:val="20"/>
        </w:rPr>
        <w:t xml:space="preserve">Prevention of Problem/Pathological Gambling: A </w:t>
      </w:r>
      <w:r w:rsidRPr="009E188C">
        <w:rPr>
          <w:i/>
          <w:iCs/>
          <w:sz w:val="20"/>
          <w:szCs w:val="20"/>
        </w:rPr>
        <w:t xml:space="preserve">Comprehensive Review of the Evidence. </w:t>
      </w:r>
      <w:r w:rsidRPr="009E188C">
        <w:rPr>
          <w:sz w:val="20"/>
          <w:szCs w:val="20"/>
        </w:rPr>
        <w:t xml:space="preserve">Report prepared for the Ontario Problem Gambling Research Centre. Guelph, Ontario, Canada. October 1, 2012. </w:t>
      </w:r>
      <w:hyperlink r:id="rId67" w:history="1">
        <w:r w:rsidRPr="009E188C">
          <w:rPr>
            <w:rStyle w:val="Hyperlink"/>
            <w:sz w:val="20"/>
            <w:szCs w:val="20"/>
          </w:rPr>
          <w:t>http://hdl.handle.net/10133/414</w:t>
        </w:r>
      </w:hyperlink>
      <w:r w:rsidRPr="009E188C">
        <w:rPr>
          <w:sz w:val="20"/>
          <w:szCs w:val="20"/>
        </w:rPr>
        <w:t xml:space="preserve">  </w:t>
      </w:r>
    </w:p>
  </w:footnote>
  <w:footnote w:id="94">
    <w:p w:rsidR="00275AED" w:rsidRPr="009E188C" w:rsidRDefault="00275AED" w:rsidP="00966BC7">
      <w:pPr>
        <w:jc w:val="both"/>
        <w:rPr>
          <w:rFonts w:cs="Times New Roman"/>
          <w:sz w:val="20"/>
          <w:szCs w:val="20"/>
        </w:rPr>
      </w:pPr>
      <w:r w:rsidRPr="009E188C">
        <w:rPr>
          <w:rStyle w:val="FootnoteReference"/>
          <w:sz w:val="20"/>
          <w:szCs w:val="20"/>
        </w:rPr>
        <w:footnoteRef/>
      </w:r>
      <w:r w:rsidRPr="009E188C">
        <w:rPr>
          <w:rFonts w:cs="Times New Roman"/>
          <w:sz w:val="20"/>
          <w:szCs w:val="20"/>
        </w:rPr>
        <w:t xml:space="preserve"> </w:t>
      </w:r>
      <w:r w:rsidRPr="000A0F82">
        <w:rPr>
          <w:sz w:val="20"/>
          <w:szCs w:val="20"/>
        </w:rPr>
        <w:t>Pēdējo reizi skatīts 2020.gada 6.augustā:</w:t>
      </w:r>
      <w:r>
        <w:t xml:space="preserve"> </w:t>
      </w:r>
      <w:hyperlink r:id="rId68" w:history="1">
        <w:r w:rsidRPr="009E188C">
          <w:rPr>
            <w:rStyle w:val="Hyperlink"/>
            <w:rFonts w:cs="Times New Roman"/>
            <w:sz w:val="20"/>
            <w:szCs w:val="20"/>
          </w:rPr>
          <w:t>https://77.мвд.рф/SMI/Itogi_kompleksnoj_operativno_profilaktic</w:t>
        </w:r>
      </w:hyperlink>
    </w:p>
  </w:footnote>
  <w:footnote w:id="95">
    <w:p w:rsidR="00275AED" w:rsidRPr="00FE52E9" w:rsidRDefault="00275AED" w:rsidP="00A2002B">
      <w:pPr>
        <w:pStyle w:val="FootnoteText"/>
        <w:rPr>
          <w:lang w:val="lv-LV"/>
        </w:rPr>
      </w:pPr>
      <w:r>
        <w:rPr>
          <w:rStyle w:val="FootnoteReference"/>
        </w:rPr>
        <w:footnoteRef/>
      </w:r>
      <w:r w:rsidRPr="00FE52E9">
        <w:rPr>
          <w:lang w:val="lv-LV"/>
        </w:rPr>
        <w:t xml:space="preserve"> </w:t>
      </w:r>
      <w:r w:rsidRPr="00FE52E9">
        <w:rPr>
          <w:rFonts w:ascii="Times New Roman" w:hAnsi="Times New Roman"/>
        </w:rPr>
        <w:t xml:space="preserve">Pēdējo reizi skatīts 2020.gada 6.augustā: </w:t>
      </w:r>
      <w:hyperlink r:id="rId69" w:history="1">
        <w:r w:rsidRPr="00FE52E9">
          <w:rPr>
            <w:rStyle w:val="Hyperlink"/>
            <w:rFonts w:ascii="Times New Roman" w:eastAsiaTheme="majorEastAsia" w:hAnsi="Times New Roman"/>
            <w:lang w:val="lv-LV"/>
          </w:rPr>
          <w:t>https://www.parlament.gv.at/PAKT/VHG/XXVI/III/III_00298/imfname_7564379.pdf</w:t>
        </w:r>
      </w:hyperlink>
    </w:p>
  </w:footnote>
  <w:footnote w:id="96">
    <w:p w:rsidR="00275AED" w:rsidRPr="009E188C" w:rsidRDefault="00275AED" w:rsidP="00966BC7">
      <w:pPr>
        <w:pStyle w:val="FootnoteText"/>
        <w:jc w:val="both"/>
        <w:rPr>
          <w:rFonts w:ascii="Times New Roman" w:hAnsi="Times New Roman"/>
        </w:rPr>
      </w:pPr>
      <w:r w:rsidRPr="009E188C">
        <w:rPr>
          <w:rStyle w:val="FootnoteReference"/>
          <w:rFonts w:ascii="Times New Roman" w:hAnsi="Times New Roman"/>
        </w:rPr>
        <w:footnoteRef/>
      </w:r>
      <w:r w:rsidRPr="009E188C">
        <w:rPr>
          <w:rFonts w:ascii="Times New Roman" w:hAnsi="Times New Roman"/>
        </w:rPr>
        <w:t xml:space="preserve"> St-Pierre, Renee &amp; Walker, Douglas &amp; Derevensky, Jeffrey &amp; Gupta, Rina. (2014). How Availability and Accessibility of Gambling Venues Influence Problem Gambling: A Review of the Literature. Gaming Law Review and Economics. 18. 150-172.</w:t>
      </w:r>
    </w:p>
  </w:footnote>
  <w:footnote w:id="97">
    <w:p w:rsidR="00275AED" w:rsidRPr="003F0924" w:rsidRDefault="00275AED" w:rsidP="00966BC7">
      <w:pPr>
        <w:pStyle w:val="Default"/>
        <w:jc w:val="both"/>
        <w:rPr>
          <w:sz w:val="20"/>
          <w:szCs w:val="20"/>
        </w:rPr>
      </w:pPr>
      <w:r w:rsidRPr="003F0924">
        <w:rPr>
          <w:rStyle w:val="FootnoteReference"/>
          <w:sz w:val="20"/>
          <w:szCs w:val="20"/>
        </w:rPr>
        <w:footnoteRef/>
      </w:r>
      <w:r w:rsidRPr="003F0924">
        <w:rPr>
          <w:sz w:val="20"/>
          <w:szCs w:val="20"/>
        </w:rPr>
        <w:t xml:space="preserve"> Williams, R.J., West, B.L., &amp; Simpson, R.I. (2012). </w:t>
      </w:r>
      <w:r w:rsidRPr="003F0924">
        <w:rPr>
          <w:i/>
          <w:iCs/>
          <w:sz w:val="20"/>
          <w:szCs w:val="20"/>
        </w:rPr>
        <w:t xml:space="preserve">Prevention of Problem/Pathological Gambling: A Comprehensive Review of the Evidence. </w:t>
      </w:r>
      <w:r w:rsidRPr="003F0924">
        <w:rPr>
          <w:sz w:val="20"/>
          <w:szCs w:val="20"/>
        </w:rPr>
        <w:t>Report prepared for the Ontario Problem Gambling Research Centre. Guelph, Ontario, Canada. October 1, 2012.</w:t>
      </w:r>
      <w:r w:rsidRPr="00C96C3E">
        <w:rPr>
          <w:sz w:val="20"/>
          <w:szCs w:val="20"/>
        </w:rPr>
        <w:t xml:space="preserve"> </w:t>
      </w:r>
      <w:r w:rsidRPr="000A0F82">
        <w:rPr>
          <w:sz w:val="20"/>
          <w:szCs w:val="20"/>
        </w:rPr>
        <w:t>Pēdējo reizi skatīts 2020.gada 6.augustā:</w:t>
      </w:r>
      <w:r>
        <w:t xml:space="preserve"> </w:t>
      </w:r>
      <w:r w:rsidRPr="003F0924">
        <w:rPr>
          <w:sz w:val="20"/>
          <w:szCs w:val="20"/>
        </w:rPr>
        <w:t xml:space="preserve"> </w:t>
      </w:r>
      <w:hyperlink r:id="rId70" w:history="1">
        <w:r w:rsidRPr="003F0924">
          <w:rPr>
            <w:rStyle w:val="Hyperlink"/>
            <w:rFonts w:eastAsiaTheme="majorEastAsia"/>
            <w:sz w:val="20"/>
            <w:szCs w:val="20"/>
          </w:rPr>
          <w:t>http://hdl.handle.net/10133/414</w:t>
        </w:r>
      </w:hyperlink>
      <w:r w:rsidRPr="003F0924">
        <w:rPr>
          <w:sz w:val="20"/>
          <w:szCs w:val="20"/>
        </w:rPr>
        <w:t>, p.40</w:t>
      </w:r>
    </w:p>
  </w:footnote>
  <w:footnote w:id="98">
    <w:p w:rsidR="00275AED" w:rsidRPr="00E65E63" w:rsidRDefault="00275AED" w:rsidP="005C051B">
      <w:pPr>
        <w:pStyle w:val="FootnoteText"/>
        <w:jc w:val="both"/>
        <w:rPr>
          <w:rFonts w:ascii="Times New Roman" w:hAnsi="Times New Roman"/>
        </w:rPr>
      </w:pPr>
      <w:r w:rsidRPr="00E65E63">
        <w:rPr>
          <w:rStyle w:val="FootnoteReference"/>
          <w:rFonts w:ascii="Times New Roman" w:hAnsi="Times New Roman"/>
        </w:rPr>
        <w:footnoteRef/>
      </w:r>
      <w:r w:rsidRPr="00E65E63">
        <w:rPr>
          <w:rFonts w:ascii="Times New Roman" w:hAnsi="Times New Roman"/>
        </w:rPr>
        <w:t xml:space="preserve"> Williams, R.J., West, B.L., &amp; Simpson, R.I. (2012). </w:t>
      </w:r>
      <w:r w:rsidRPr="00E65E63">
        <w:rPr>
          <w:rFonts w:ascii="Times New Roman" w:hAnsi="Times New Roman"/>
          <w:i/>
          <w:iCs/>
        </w:rPr>
        <w:t xml:space="preserve">Prevention of Problem/Pathological Gambling: A Comprehensive Review of the Evidence. </w:t>
      </w:r>
      <w:r w:rsidRPr="00E65E63">
        <w:rPr>
          <w:rFonts w:ascii="Times New Roman" w:hAnsi="Times New Roman"/>
        </w:rPr>
        <w:t>Report prepared for the Ontario Problem Gambling Research Centre. Guelph, Ontario, Canada. October 1, 2012.</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65E63">
        <w:rPr>
          <w:rFonts w:ascii="Times New Roman" w:hAnsi="Times New Roman"/>
        </w:rPr>
        <w:t xml:space="preserve"> </w:t>
      </w:r>
      <w:hyperlink r:id="rId71" w:history="1">
        <w:r w:rsidRPr="00E65E63">
          <w:rPr>
            <w:rStyle w:val="Hyperlink"/>
            <w:rFonts w:ascii="Times New Roman" w:eastAsiaTheme="majorEastAsia" w:hAnsi="Times New Roman"/>
          </w:rPr>
          <w:t>http://hdl.handle.net/10133/414</w:t>
        </w:r>
      </w:hyperlink>
      <w:r w:rsidRPr="00E65E63">
        <w:rPr>
          <w:rFonts w:ascii="Times New Roman" w:hAnsi="Times New Roman"/>
        </w:rPr>
        <w:t>, p.36</w:t>
      </w:r>
    </w:p>
  </w:footnote>
  <w:footnote w:id="99">
    <w:p w:rsidR="00275AED" w:rsidRPr="00E65E63" w:rsidRDefault="00275AED" w:rsidP="005C051B">
      <w:pPr>
        <w:pStyle w:val="FootnoteText"/>
        <w:jc w:val="both"/>
        <w:rPr>
          <w:rFonts w:ascii="Times New Roman" w:hAnsi="Times New Roman"/>
          <w:lang w:val="lv-LV"/>
        </w:rPr>
      </w:pPr>
      <w:r w:rsidRPr="00E65E63">
        <w:rPr>
          <w:rStyle w:val="FootnoteReference"/>
          <w:rFonts w:ascii="Times New Roman" w:hAnsi="Times New Roman"/>
        </w:rPr>
        <w:footnoteRef/>
      </w:r>
      <w:r w:rsidRPr="00E65E63">
        <w:rPr>
          <w:rFonts w:ascii="Times New Roman" w:hAnsi="Times New Roman"/>
        </w:rPr>
        <w:t xml:space="preserve"> The Interstate Treaty (</w:t>
      </w:r>
      <w:r w:rsidRPr="00E65E63">
        <w:rPr>
          <w:rFonts w:ascii="Times New Roman" w:hAnsi="Times New Roman"/>
          <w:i/>
          <w:iCs/>
        </w:rPr>
        <w:t>section 25(2)</w:t>
      </w:r>
      <w:r w:rsidRPr="00E65E63">
        <w:rPr>
          <w:rFonts w:ascii="Times New Roman" w:hAnsi="Times New Roman"/>
        </w:rPr>
        <w:t>)</w:t>
      </w:r>
    </w:p>
  </w:footnote>
  <w:footnote w:id="100">
    <w:p w:rsidR="00275AED" w:rsidRPr="00E65E63" w:rsidRDefault="00275AED" w:rsidP="005C051B">
      <w:pPr>
        <w:pStyle w:val="FootnoteText"/>
        <w:jc w:val="both"/>
        <w:rPr>
          <w:rFonts w:ascii="Times New Roman" w:hAnsi="Times New Roman"/>
          <w:lang w:val="lv-LV"/>
        </w:rPr>
      </w:pPr>
      <w:r w:rsidRPr="00E65E63">
        <w:rPr>
          <w:rStyle w:val="FootnoteReference"/>
          <w:rFonts w:ascii="Times New Roman" w:hAnsi="Times New Roman"/>
        </w:rPr>
        <w:footnoteRef/>
      </w:r>
      <w:r w:rsidRPr="00E65E63">
        <w:rPr>
          <w:rFonts w:ascii="Times New Roman" w:hAnsi="Times New Roman"/>
        </w:rPr>
        <w:t xml:space="preserve"> </w:t>
      </w:r>
      <w:r w:rsidRPr="00E65E63">
        <w:rPr>
          <w:rFonts w:ascii="Times New Roman" w:hAnsi="Times New Roman"/>
          <w:bCs/>
          <w:lang w:val="en-GB"/>
        </w:rPr>
        <w:t>Quirino Mancini, Tonucci &amp; Partners</w:t>
      </w:r>
      <w:r w:rsidRPr="00E65E63">
        <w:rPr>
          <w:rFonts w:ascii="Times New Roman" w:hAnsi="Times New Roman"/>
          <w:b/>
          <w:bCs/>
          <w:lang w:val="en-GB"/>
        </w:rPr>
        <w:t>, “</w:t>
      </w:r>
      <w:r w:rsidRPr="00E65E63">
        <w:rPr>
          <w:rFonts w:ascii="Times New Roman" w:hAnsi="Times New Roman"/>
          <w:bCs/>
          <w:kern w:val="36"/>
          <w:lang w:val="en-GB"/>
        </w:rPr>
        <w:t xml:space="preserve">Gaming in Italy: overview”; </w:t>
      </w:r>
      <w:r w:rsidRPr="00E65E63">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2" w:history="1">
        <w:r w:rsidRPr="00E65E63">
          <w:rPr>
            <w:rStyle w:val="Hyperlink"/>
            <w:rFonts w:ascii="Times New Roman" w:hAnsi="Times New Roman"/>
          </w:rPr>
          <w:t>https://uk.practicallaw.thomsonreuters.com/4-636</w:t>
        </w:r>
      </w:hyperlink>
      <w:r w:rsidRPr="00E65E63">
        <w:rPr>
          <w:rFonts w:ascii="Times New Roman" w:hAnsi="Times New Roman"/>
        </w:rPr>
        <w:t>9099?transitionType=Default&amp;contextData=(sc.Default)&amp;firstPage=true&amp;bhcp=1</w:t>
      </w:r>
    </w:p>
  </w:footnote>
  <w:footnote w:id="101">
    <w:p w:rsidR="00275AED" w:rsidRPr="00E65E63" w:rsidRDefault="00275AED" w:rsidP="0009786A">
      <w:pPr>
        <w:pStyle w:val="FootnoteText"/>
        <w:jc w:val="both"/>
        <w:rPr>
          <w:rFonts w:ascii="Times New Roman" w:hAnsi="Times New Roman"/>
        </w:rPr>
      </w:pPr>
      <w:r w:rsidRPr="00E65E63">
        <w:rPr>
          <w:rStyle w:val="FootnoteReference"/>
          <w:rFonts w:ascii="Times New Roman" w:hAnsi="Times New Roman"/>
        </w:rPr>
        <w:footnoteRef/>
      </w:r>
      <w:r w:rsidRPr="00E65E63">
        <w:rPr>
          <w:rFonts w:ascii="Times New Roman" w:hAnsi="Times New Roman"/>
        </w:rPr>
        <w:t xml:space="preserve"> Vlaemminck</w:t>
      </w:r>
      <w:r>
        <w:rPr>
          <w:rFonts w:ascii="Times New Roman" w:hAnsi="Times New Roman"/>
        </w:rPr>
        <w:t xml:space="preserve"> P.</w:t>
      </w:r>
      <w:r w:rsidRPr="00E65E63">
        <w:rPr>
          <w:rFonts w:ascii="Times New Roman" w:hAnsi="Times New Roman"/>
        </w:rPr>
        <w:t>, Verbeke</w:t>
      </w:r>
      <w:r>
        <w:rPr>
          <w:rFonts w:ascii="Times New Roman" w:hAnsi="Times New Roman"/>
        </w:rPr>
        <w:t xml:space="preserve"> R.</w:t>
      </w:r>
      <w:r w:rsidRPr="00E65E63">
        <w:rPr>
          <w:rFonts w:ascii="Times New Roman" w:hAnsi="Times New Roman"/>
        </w:rPr>
        <w:t xml:space="preserve">. The Gambling Law Review - Edition 4. Belgium. </w:t>
      </w:r>
      <w:r w:rsidRPr="000A0F82">
        <w:rPr>
          <w:rFonts w:ascii="Times New Roman" w:hAnsi="Times New Roman"/>
          <w:lang w:val="lv-LV"/>
        </w:rPr>
        <w:t>Pēdējo reizi skatīts 2020.gada 6.augustā:</w:t>
      </w:r>
      <w:r>
        <w:rPr>
          <w:rFonts w:ascii="Times New Roman" w:hAnsi="Times New Roman"/>
          <w:lang w:val="lv-LV"/>
        </w:rPr>
        <w:t xml:space="preserve"> </w:t>
      </w:r>
      <w:r w:rsidRPr="00E65E63">
        <w:rPr>
          <w:rFonts w:ascii="Times New Roman" w:hAnsi="Times New Roman"/>
        </w:rPr>
        <w:t>https://thelawreviews.co.uk/edition/the-gambling-law-review-edition-4/1194851/belgium#footnote-030</w:t>
      </w:r>
    </w:p>
  </w:footnote>
  <w:footnote w:id="102">
    <w:p w:rsidR="00275AED" w:rsidRPr="0009786A" w:rsidRDefault="00275AED" w:rsidP="0009786A">
      <w:pPr>
        <w:pStyle w:val="FootnoteText"/>
        <w:jc w:val="both"/>
        <w:rPr>
          <w:rFonts w:ascii="Times New Roman" w:hAnsi="Times New Roman"/>
        </w:rPr>
      </w:pPr>
      <w:r w:rsidRPr="00E65E63">
        <w:rPr>
          <w:rStyle w:val="FootnoteReference"/>
          <w:rFonts w:ascii="Times New Roman" w:hAnsi="Times New Roman"/>
        </w:rPr>
        <w:footnoteRef/>
      </w:r>
      <w:r w:rsidRPr="00E65E63">
        <w:rPr>
          <w:rFonts w:ascii="Times New Roman" w:hAnsi="Times New Roman"/>
        </w:rPr>
        <w:t xml:space="preserve"> Zammit</w:t>
      </w:r>
      <w:r>
        <w:rPr>
          <w:rFonts w:ascii="Times New Roman" w:hAnsi="Times New Roman"/>
        </w:rPr>
        <w:t xml:space="preserve"> A.J.</w:t>
      </w:r>
      <w:r w:rsidRPr="00E65E63">
        <w:rPr>
          <w:rFonts w:ascii="Times New Roman" w:hAnsi="Times New Roman"/>
        </w:rPr>
        <w:t>, Kimberley</w:t>
      </w:r>
      <w:r>
        <w:rPr>
          <w:rFonts w:ascii="Times New Roman" w:hAnsi="Times New Roman"/>
        </w:rPr>
        <w:t xml:space="preserve"> G..,</w:t>
      </w:r>
      <w:r w:rsidRPr="00E65E63">
        <w:rPr>
          <w:rFonts w:ascii="Times New Roman" w:hAnsi="Times New Roman"/>
        </w:rPr>
        <w:t>Vella</w:t>
      </w:r>
      <w:r>
        <w:rPr>
          <w:rFonts w:ascii="Times New Roman" w:hAnsi="Times New Roman"/>
        </w:rPr>
        <w:t xml:space="preserve"> A.</w:t>
      </w:r>
      <w:r w:rsidRPr="00E65E63">
        <w:rPr>
          <w:rFonts w:ascii="Times New Roman" w:hAnsi="Times New Roman"/>
        </w:rPr>
        <w:t>, GVZH Advocates. Gaming in Malta: overvi</w:t>
      </w:r>
      <w:r w:rsidRPr="0009786A">
        <w:rPr>
          <w:rFonts w:ascii="Times New Roman" w:hAnsi="Times New Roman"/>
        </w:rPr>
        <w:t>ew.</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09786A">
        <w:rPr>
          <w:rFonts w:ascii="Times New Roman" w:hAnsi="Times New Roman"/>
        </w:rPr>
        <w:t xml:space="preserve"> </w:t>
      </w:r>
      <w:hyperlink r:id="rId73" w:history="1">
        <w:r w:rsidRPr="0009786A">
          <w:rPr>
            <w:rStyle w:val="Hyperlink"/>
            <w:rFonts w:ascii="Times New Roman" w:hAnsi="Times New Roman"/>
          </w:rPr>
          <w:t>https://uk.practicallaw.thomsonreuters.com</w:t>
        </w:r>
      </w:hyperlink>
      <w:r w:rsidRPr="0009786A">
        <w:rPr>
          <w:rFonts w:ascii="Times New Roman" w:hAnsi="Times New Roman"/>
        </w:rPr>
        <w:t xml:space="preserve"> </w:t>
      </w:r>
    </w:p>
  </w:footnote>
  <w:footnote w:id="103">
    <w:p w:rsidR="00275AED" w:rsidRPr="00A26174" w:rsidRDefault="00275AED" w:rsidP="00A26174">
      <w:pPr>
        <w:pStyle w:val="Heading1"/>
        <w:numPr>
          <w:ilvl w:val="0"/>
          <w:numId w:val="0"/>
        </w:numPr>
        <w:shd w:val="clear" w:color="auto" w:fill="FFFFFF"/>
        <w:spacing w:before="0" w:line="267" w:lineRule="atLeast"/>
        <w:rPr>
          <w:rFonts w:ascii="Times New Roman" w:hAnsi="Times New Roman"/>
          <w:color w:val="222222"/>
          <w:spacing w:val="4"/>
          <w:sz w:val="20"/>
          <w:szCs w:val="20"/>
        </w:rPr>
      </w:pPr>
      <w:r w:rsidRPr="007C6896">
        <w:rPr>
          <w:rStyle w:val="FootnoteReference"/>
          <w:rFonts w:ascii="Times New Roman" w:hAnsi="Times New Roman"/>
          <w:color w:val="auto"/>
          <w:sz w:val="20"/>
          <w:szCs w:val="20"/>
        </w:rPr>
        <w:footnoteRef/>
      </w:r>
      <w:r w:rsidRPr="00A26174">
        <w:rPr>
          <w:rFonts w:ascii="Times New Roman" w:hAnsi="Times New Roman" w:cs="Times New Roman"/>
          <w:sz w:val="20"/>
          <w:szCs w:val="20"/>
        </w:rPr>
        <w:t xml:space="preserve">   </w:t>
      </w:r>
      <w:r w:rsidRPr="00A26174">
        <w:rPr>
          <w:rFonts w:ascii="Times New Roman" w:hAnsi="Times New Roman" w:cs="Times New Roman"/>
          <w:bCs/>
          <w:color w:val="222222"/>
          <w:spacing w:val="4"/>
          <w:sz w:val="20"/>
          <w:szCs w:val="20"/>
        </w:rPr>
        <w:t xml:space="preserve">Gaming Law of the Republic of Lithuania, </w:t>
      </w:r>
      <w:r w:rsidRPr="00A26174">
        <w:rPr>
          <w:rStyle w:val="Strong"/>
          <w:rFonts w:ascii="Times New Roman" w:hAnsi="Times New Roman" w:cs="Times New Roman"/>
          <w:b w:val="0"/>
          <w:color w:val="444444"/>
          <w:spacing w:val="2"/>
          <w:sz w:val="20"/>
          <w:szCs w:val="20"/>
          <w:shd w:val="clear" w:color="auto" w:fill="FFFFFF"/>
        </w:rPr>
        <w:t>Article 8</w:t>
      </w:r>
      <w:r w:rsidRPr="00A26174">
        <w:rPr>
          <w:rStyle w:val="Strong"/>
          <w:rFonts w:ascii="Times New Roman" w:hAnsi="Times New Roman" w:cs="Times New Roman"/>
          <w:b w:val="0"/>
          <w:color w:val="444444"/>
          <w:spacing w:val="2"/>
          <w:sz w:val="20"/>
          <w:szCs w:val="20"/>
          <w:shd w:val="clear" w:color="auto" w:fill="FFFFFF"/>
          <w:vertAlign w:val="superscript"/>
        </w:rPr>
        <w:t>1 ;</w:t>
      </w:r>
      <w:r w:rsidRPr="00C96C3E">
        <w:rPr>
          <w:rFonts w:ascii="Times New Roman" w:hAnsi="Times New Roman"/>
          <w:sz w:val="20"/>
          <w:szCs w:val="20"/>
        </w:rPr>
        <w:t xml:space="preserve"> </w:t>
      </w:r>
      <w:r w:rsidRPr="007C6896">
        <w:rPr>
          <w:rFonts w:ascii="Times New Roman" w:hAnsi="Times New Roman"/>
          <w:color w:val="auto"/>
          <w:sz w:val="20"/>
          <w:szCs w:val="20"/>
        </w:rPr>
        <w:t>Pēdējo reizi skatīts 2020.gada 6.augustā:</w:t>
      </w:r>
      <w:r w:rsidRPr="007C6896">
        <w:rPr>
          <w:rFonts w:ascii="Times New Roman" w:hAnsi="Times New Roman"/>
          <w:color w:val="auto"/>
        </w:rPr>
        <w:t xml:space="preserve"> </w:t>
      </w:r>
      <w:r w:rsidRPr="007C6896">
        <w:rPr>
          <w:rStyle w:val="Strong"/>
          <w:rFonts w:ascii="Times New Roman" w:hAnsi="Times New Roman" w:cs="Times New Roman"/>
          <w:b w:val="0"/>
          <w:color w:val="auto"/>
          <w:spacing w:val="2"/>
          <w:sz w:val="20"/>
          <w:szCs w:val="20"/>
          <w:shd w:val="clear" w:color="auto" w:fill="FFFFFF"/>
          <w:vertAlign w:val="superscript"/>
        </w:rPr>
        <w:t xml:space="preserve"> </w:t>
      </w:r>
      <w:hyperlink r:id="rId74" w:history="1">
        <w:r w:rsidRPr="00A26174">
          <w:rPr>
            <w:rStyle w:val="Hyperlink"/>
            <w:rFonts w:ascii="Times New Roman" w:hAnsi="Times New Roman" w:cs="Times New Roman"/>
            <w:sz w:val="20"/>
            <w:szCs w:val="20"/>
          </w:rPr>
          <w:t>https://lpt.lrv.lt/en/legal-information/gaming-law-of-the-republic-of-lithuania</w:t>
        </w:r>
      </w:hyperlink>
    </w:p>
  </w:footnote>
  <w:footnote w:id="104">
    <w:p w:rsidR="00275AED" w:rsidRPr="00AC0C13" w:rsidRDefault="00275AED" w:rsidP="00A26174">
      <w:pPr>
        <w:pStyle w:val="Heading1"/>
        <w:numPr>
          <w:ilvl w:val="0"/>
          <w:numId w:val="0"/>
        </w:numPr>
        <w:shd w:val="clear" w:color="auto" w:fill="FFFFFF"/>
        <w:spacing w:before="0"/>
        <w:rPr>
          <w:rFonts w:ascii="Times New Roman" w:hAnsi="Times New Roman"/>
          <w:color w:val="000000"/>
        </w:rPr>
      </w:pPr>
      <w:r w:rsidRPr="007C6896">
        <w:rPr>
          <w:rStyle w:val="FootnoteReference"/>
          <w:color w:val="auto"/>
          <w:sz w:val="20"/>
          <w:szCs w:val="20"/>
        </w:rPr>
        <w:footnoteRef/>
      </w:r>
      <w:r w:rsidRPr="00A26174">
        <w:rPr>
          <w:sz w:val="20"/>
          <w:szCs w:val="20"/>
        </w:rPr>
        <w:t xml:space="preserve"> </w:t>
      </w:r>
      <w:r w:rsidRPr="007C6896">
        <w:rPr>
          <w:rFonts w:ascii="Times New Roman" w:hAnsi="Times New Roman" w:cs="Times New Roman"/>
          <w:color w:val="auto"/>
          <w:sz w:val="20"/>
          <w:szCs w:val="20"/>
        </w:rPr>
        <w:t xml:space="preserve">Estonia. </w:t>
      </w:r>
      <w:r w:rsidRPr="00A26174">
        <w:rPr>
          <w:rFonts w:ascii="Times New Roman" w:hAnsi="Times New Roman" w:cs="Times New Roman"/>
          <w:color w:val="000000"/>
          <w:sz w:val="20"/>
          <w:szCs w:val="20"/>
        </w:rPr>
        <w:t xml:space="preserve">Gambling Act </w:t>
      </w:r>
      <w:r w:rsidRPr="00A26174">
        <w:rPr>
          <w:rStyle w:val="Strong"/>
          <w:rFonts w:ascii="Times New Roman" w:hAnsi="Times New Roman" w:cs="Times New Roman"/>
          <w:b w:val="0"/>
          <w:bCs w:val="0"/>
          <w:color w:val="000000"/>
          <w:sz w:val="20"/>
          <w:szCs w:val="20"/>
          <w:bdr w:val="none" w:sz="0" w:space="0" w:color="auto" w:frame="1"/>
        </w:rPr>
        <w:t>§ 37. </w:t>
      </w:r>
      <w:bookmarkStart w:id="1556" w:name="para37"/>
      <w:r w:rsidRPr="00A26174">
        <w:rPr>
          <w:rFonts w:ascii="Times New Roman" w:hAnsi="Times New Roman" w:cs="Times New Roman"/>
          <w:color w:val="0061AA"/>
          <w:sz w:val="20"/>
          <w:szCs w:val="20"/>
          <w:bdr w:val="none" w:sz="0" w:space="0" w:color="auto" w:frame="1"/>
        </w:rPr>
        <w:t> </w:t>
      </w:r>
      <w:bookmarkEnd w:id="1556"/>
      <w:r w:rsidRPr="00A26174">
        <w:rPr>
          <w:rFonts w:ascii="Times New Roman" w:hAnsi="Times New Roman" w:cs="Times New Roman"/>
          <w:color w:val="000000"/>
          <w:sz w:val="20"/>
          <w:szCs w:val="20"/>
        </w:rPr>
        <w:t>Requirements for gaming location</w:t>
      </w:r>
      <w:r w:rsidRPr="00AC0C13">
        <w:rPr>
          <w:rFonts w:ascii="Times New Roman" w:hAnsi="Times New Roman" w:cs="Times New Roman"/>
          <w:color w:val="000000"/>
          <w:sz w:val="20"/>
          <w:szCs w:val="20"/>
        </w:rPr>
        <w:t xml:space="preserve"> </w:t>
      </w:r>
      <w:r w:rsidRPr="007C6896">
        <w:rPr>
          <w:rFonts w:ascii="Times New Roman" w:hAnsi="Times New Roman"/>
          <w:color w:val="auto"/>
          <w:sz w:val="20"/>
          <w:szCs w:val="20"/>
        </w:rPr>
        <w:t>Pēdējo reizi skatīts 2020.gada 6.augustā:</w:t>
      </w:r>
      <w:r w:rsidRPr="007C6896">
        <w:rPr>
          <w:rFonts w:ascii="Times New Roman" w:hAnsi="Times New Roman"/>
          <w:color w:val="auto"/>
        </w:rPr>
        <w:t xml:space="preserve"> </w:t>
      </w:r>
      <w:hyperlink r:id="rId75" w:history="1">
        <w:r w:rsidRPr="00AC0C13">
          <w:rPr>
            <w:rStyle w:val="Hyperlink"/>
            <w:rFonts w:ascii="Times New Roman" w:hAnsi="Times New Roman" w:cs="Times New Roman"/>
            <w:sz w:val="20"/>
            <w:szCs w:val="20"/>
          </w:rPr>
          <w:t>https://www.riigiteataja.ee/en/eli/515012016007/consolide</w:t>
        </w:r>
      </w:hyperlink>
      <w:r w:rsidRPr="00AC0C13">
        <w:rPr>
          <w:rFonts w:ascii="Times New Roman" w:hAnsi="Times New Roman" w:cs="Times New Roman"/>
          <w:color w:val="202020"/>
          <w:sz w:val="20"/>
          <w:szCs w:val="20"/>
          <w:shd w:val="clear" w:color="auto" w:fill="FFFFFF"/>
        </w:rPr>
        <w:t> </w:t>
      </w:r>
    </w:p>
  </w:footnote>
  <w:footnote w:id="105">
    <w:p w:rsidR="00275AED" w:rsidRPr="0030022C" w:rsidRDefault="00275AED" w:rsidP="00A26174">
      <w:pPr>
        <w:pStyle w:val="FootnoteText"/>
        <w:jc w:val="both"/>
        <w:rPr>
          <w:rFonts w:ascii="Times New Roman" w:hAnsi="Times New Roman"/>
        </w:rPr>
      </w:pPr>
      <w:r w:rsidRPr="00B55247">
        <w:rPr>
          <w:rStyle w:val="FootnoteReference"/>
          <w:rFonts w:ascii="Times New Roman" w:eastAsiaTheme="majorEastAsia" w:hAnsi="Times New Roman"/>
        </w:rPr>
        <w:footnoteRef/>
      </w:r>
      <w:r w:rsidRPr="00B55247">
        <w:rPr>
          <w:rFonts w:ascii="Times New Roman" w:hAnsi="Times New Roman"/>
        </w:rPr>
        <w:t xml:space="preserve"> </w:t>
      </w:r>
      <w:r w:rsidRPr="0030022C">
        <w:rPr>
          <w:rFonts w:ascii="Times New Roman" w:hAnsi="Times New Roman"/>
        </w:rPr>
        <w:t xml:space="preserve">Afghanistan, Albania, Algeria, Bangladesh, Bhutan, Indonesia, Iran, Jordan, Libya, Mali, Oman, Pakistan, Qatar, Saudi Arabia, Somalia, Sudan, Syria, United Arab Emirates, and Yemen (Online Casino Suite, 2012).  </w:t>
      </w:r>
    </w:p>
  </w:footnote>
  <w:footnote w:id="106">
    <w:p w:rsidR="00275AED" w:rsidRPr="0030022C" w:rsidRDefault="00275AED" w:rsidP="00A26174">
      <w:pPr>
        <w:jc w:val="both"/>
        <w:rPr>
          <w:rFonts w:cs="Times New Roman"/>
          <w:sz w:val="20"/>
          <w:szCs w:val="20"/>
        </w:rPr>
      </w:pPr>
      <w:r w:rsidRPr="0030022C">
        <w:rPr>
          <w:rStyle w:val="FootnoteReference"/>
          <w:sz w:val="20"/>
          <w:szCs w:val="20"/>
        </w:rPr>
        <w:footnoteRef/>
      </w:r>
      <w:r w:rsidRPr="0030022C">
        <w:rPr>
          <w:rFonts w:cs="Times New Roman"/>
          <w:sz w:val="20"/>
          <w:szCs w:val="20"/>
        </w:rPr>
        <w:t xml:space="preserve"> </w:t>
      </w:r>
      <w:r w:rsidRPr="000A0F82">
        <w:rPr>
          <w:sz w:val="20"/>
          <w:szCs w:val="20"/>
        </w:rPr>
        <w:t>Pēdējo reizi skatīts 2020.gada 6.augustā:</w:t>
      </w:r>
      <w:r>
        <w:t xml:space="preserve"> </w:t>
      </w:r>
      <w:hyperlink r:id="rId76" w:history="1">
        <w:r w:rsidRPr="0030022C">
          <w:rPr>
            <w:rStyle w:val="Hyperlink"/>
            <w:rFonts w:cs="Times New Roman"/>
            <w:sz w:val="20"/>
            <w:szCs w:val="20"/>
          </w:rPr>
          <w:t>https://europeangaming.eu/portal/latest-news/2018/11/02/31737/european-council-offers-support-to-albanias-gambling-ban/</w:t>
        </w:r>
      </w:hyperlink>
    </w:p>
  </w:footnote>
  <w:footnote w:id="107">
    <w:p w:rsidR="00275AED" w:rsidRPr="0030022C" w:rsidRDefault="00275AED" w:rsidP="00A26174">
      <w:pPr>
        <w:pStyle w:val="FootnoteText"/>
        <w:jc w:val="both"/>
        <w:rPr>
          <w:rFonts w:ascii="Times New Roman" w:hAnsi="Times New Roman"/>
          <w:lang w:val="lv-LV"/>
        </w:rPr>
      </w:pPr>
      <w:r w:rsidRPr="0030022C">
        <w:rPr>
          <w:rStyle w:val="FootnoteReference"/>
          <w:rFonts w:ascii="Times New Roman" w:eastAsiaTheme="majorEastAsia" w:hAnsi="Times New Roman"/>
        </w:rPr>
        <w:footnoteRef/>
      </w:r>
      <w:r w:rsidRPr="0030022C">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7" w:history="1">
        <w:r w:rsidRPr="00D37786">
          <w:rPr>
            <w:rStyle w:val="Hyperlink"/>
            <w:rFonts w:ascii="Times New Roman" w:hAnsi="Times New Roman"/>
            <w:lang w:val="lv-LV"/>
          </w:rPr>
          <w:t>https://iclg.com/practice-areas/gambling-laws-and-regulations/ireland</w:t>
        </w:r>
      </w:hyperlink>
      <w:r>
        <w:rPr>
          <w:rFonts w:ascii="Times New Roman" w:hAnsi="Times New Roman"/>
          <w:lang w:val="lv-LV"/>
        </w:rPr>
        <w:t xml:space="preserve"> </w:t>
      </w:r>
    </w:p>
  </w:footnote>
  <w:footnote w:id="108">
    <w:p w:rsidR="00275AED" w:rsidRPr="0030022C" w:rsidRDefault="00275AED" w:rsidP="00A26174">
      <w:pPr>
        <w:pStyle w:val="FootnoteText"/>
        <w:jc w:val="both"/>
        <w:rPr>
          <w:rFonts w:ascii="Times New Roman" w:hAnsi="Times New Roman"/>
          <w:color w:val="000000"/>
        </w:rPr>
      </w:pPr>
      <w:r w:rsidRPr="0030022C">
        <w:rPr>
          <w:rStyle w:val="FootnoteReference"/>
          <w:rFonts w:ascii="Times New Roman" w:hAnsi="Times New Roman"/>
        </w:rPr>
        <w:footnoteRef/>
      </w:r>
      <w:r w:rsidRPr="0030022C">
        <w:rPr>
          <w:rFonts w:ascii="Times New Roman" w:hAnsi="Times New Roman"/>
        </w:rPr>
        <w:t xml:space="preserve"> </w:t>
      </w:r>
      <w:r w:rsidRPr="0030022C">
        <w:rPr>
          <w:rFonts w:ascii="Times New Roman" w:hAnsi="Times New Roman"/>
          <w:color w:val="000000"/>
        </w:rPr>
        <w:t xml:space="preserve">Williams, R.J., West, B.L., &amp; Simpson, R.I. (2012). </w:t>
      </w:r>
      <w:r w:rsidRPr="0030022C">
        <w:rPr>
          <w:rFonts w:ascii="Times New Roman" w:hAnsi="Times New Roman"/>
          <w:i/>
          <w:iCs/>
          <w:color w:val="000000"/>
        </w:rPr>
        <w:t xml:space="preserve">Prevention of Problem Gambling: A Comprehensive Review of the Evidence, and Identified Best Practices. </w:t>
      </w:r>
      <w:r w:rsidRPr="0030022C">
        <w:rPr>
          <w:rFonts w:ascii="Times New Roman" w:hAnsi="Times New Roman"/>
          <w:color w:val="000000"/>
        </w:rPr>
        <w:t>Report prepared for the Ontario Problem Gambling Research Centre and the Ontario Ministry of Health and Long Term Care. October 1, 2012. http://hdl.handle.net/10133/3121</w:t>
      </w:r>
    </w:p>
  </w:footnote>
  <w:footnote w:id="109">
    <w:p w:rsidR="00275AED" w:rsidRPr="0030022C" w:rsidRDefault="00275AED" w:rsidP="00A26174">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xml:space="preserve">, Gambling motivation and involvement,  Swedish National Institute of Public health, p.15 </w:t>
      </w:r>
    </w:p>
  </w:footnote>
  <w:footnote w:id="110">
    <w:p w:rsidR="00275AED" w:rsidRPr="0030022C" w:rsidRDefault="00275AED" w:rsidP="00A26174">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xml:space="preserve">, Gambling motivation and involvement,  Swedish National Institute of Public health, p.6 </w:t>
      </w:r>
    </w:p>
  </w:footnote>
  <w:footnote w:id="111">
    <w:p w:rsidR="00275AED" w:rsidRPr="000F1653" w:rsidRDefault="00275AED" w:rsidP="00A26174">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Gambling motivation and involvement,  Swedish National Institute of Public health, p.18</w:t>
      </w:r>
    </w:p>
  </w:footnote>
  <w:footnote w:id="112">
    <w:p w:rsidR="00275AED" w:rsidRPr="00BD2B68" w:rsidRDefault="00275AED" w:rsidP="00A80C1E">
      <w:pPr>
        <w:pStyle w:val="FootnoteText"/>
        <w:jc w:val="both"/>
        <w:rPr>
          <w:rFonts w:ascii="Times New Roman" w:hAnsi="Times New Roman"/>
        </w:rPr>
      </w:pPr>
      <w:r w:rsidRPr="00A80C1E">
        <w:rPr>
          <w:rStyle w:val="FootnoteReference"/>
          <w:rFonts w:ascii="Times New Roman" w:hAnsi="Times New Roman"/>
        </w:rPr>
        <w:footnoteRef/>
      </w:r>
      <w:r w:rsidRPr="00A80C1E">
        <w:rPr>
          <w:rFonts w:ascii="Times New Roman" w:hAnsi="Times New Roman"/>
        </w:rPr>
        <w:t xml:space="preserve"> </w:t>
      </w:r>
      <w:r w:rsidRPr="00BD2B68">
        <w:rPr>
          <w:rFonts w:ascii="Times New Roman" w:hAnsi="Times New Roman"/>
        </w:rPr>
        <w:t>Augstākās tiesas 2010.gada 18.jūnija sprieduma lietā Nr.SKA 289/2010 7. un 8.punkts</w:t>
      </w:r>
    </w:p>
  </w:footnote>
  <w:footnote w:id="113">
    <w:p w:rsidR="00275AED" w:rsidRPr="00A80C1E" w:rsidRDefault="00275AED" w:rsidP="00A80C1E">
      <w:pPr>
        <w:pStyle w:val="FootnoteText"/>
        <w:jc w:val="both"/>
        <w:rPr>
          <w:rFonts w:ascii="Times New Roman" w:hAnsi="Times New Roman"/>
        </w:rPr>
      </w:pPr>
      <w:r w:rsidRPr="00BD2B68">
        <w:rPr>
          <w:rStyle w:val="FootnoteReference"/>
          <w:rFonts w:ascii="Times New Roman" w:hAnsi="Times New Roman"/>
        </w:rPr>
        <w:footnoteRef/>
      </w:r>
      <w:r w:rsidRPr="00BD2B68">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8" w:history="1">
        <w:r w:rsidRPr="00BD2B68">
          <w:rPr>
            <w:rStyle w:val="Hyperlink"/>
            <w:rFonts w:ascii="Times New Roman" w:hAnsi="Times New Roman"/>
          </w:rPr>
          <w:t>https://manas.tiesas.lv/eTiesasMvc/lv/nolemumi</w:t>
        </w:r>
      </w:hyperlink>
      <w:r w:rsidRPr="00D21FE6">
        <w:rPr>
          <w:rFonts w:ascii="Times New Roman" w:hAnsi="Times New Roman"/>
        </w:rPr>
        <w:t xml:space="preserve"> </w:t>
      </w:r>
    </w:p>
  </w:footnote>
  <w:footnote w:id="114">
    <w:p w:rsidR="00275AED" w:rsidRPr="00C03DF5" w:rsidRDefault="00275AED" w:rsidP="00A80C1E">
      <w:pPr>
        <w:pStyle w:val="FootnoteText"/>
        <w:jc w:val="both"/>
        <w:rPr>
          <w:rFonts w:ascii="Times New Roman" w:hAnsi="Times New Roman"/>
        </w:rPr>
      </w:pPr>
      <w:r w:rsidRPr="00A80C1E">
        <w:rPr>
          <w:rStyle w:val="FootnoteReference"/>
          <w:rFonts w:ascii="Times New Roman" w:hAnsi="Times New Roman"/>
        </w:rPr>
        <w:footnoteRef/>
      </w:r>
      <w:r w:rsidRPr="00A80C1E">
        <w:rPr>
          <w:rFonts w:ascii="Times New Roman" w:hAnsi="Times New Roman"/>
        </w:rPr>
        <w:t xml:space="preserve"> </w:t>
      </w:r>
      <w:r w:rsidRPr="00C03DF5">
        <w:rPr>
          <w:rFonts w:ascii="Times New Roman" w:hAnsi="Times New Roman"/>
        </w:rPr>
        <w:t>Augstākās tiesas 2010.gada 18.jūnija sprieduma lietā Nr.SKA 289/2010 9.punkts</w:t>
      </w:r>
    </w:p>
  </w:footnote>
  <w:footnote w:id="115">
    <w:p w:rsidR="00275AED" w:rsidRPr="00C03DF5" w:rsidRDefault="00275AED" w:rsidP="00956612">
      <w:pPr>
        <w:pStyle w:val="FootnoteText"/>
        <w:jc w:val="both"/>
        <w:rPr>
          <w:rFonts w:ascii="Times New Roman" w:hAnsi="Times New Roman"/>
          <w:lang w:val="lv-LV"/>
        </w:rPr>
      </w:pPr>
      <w:r w:rsidRPr="00C03DF5">
        <w:rPr>
          <w:rStyle w:val="FootnoteReference"/>
          <w:rFonts w:ascii="Times New Roman" w:hAnsi="Times New Roman"/>
        </w:rPr>
        <w:footnoteRef/>
      </w:r>
      <w:r w:rsidRPr="00C03DF5">
        <w:rPr>
          <w:rFonts w:ascii="Times New Roman" w:hAnsi="Times New Roman"/>
        </w:rPr>
        <w:t xml:space="preserve"> Tiesu judikatūrā nostiprinātās atziņas: (Senāta 2010.gada 17.jūnija sprieduma lietā Nr. SKA-227/2010 10.punkts, 2010.gada 22.jūnija sprieduma lietā Nr. SKA-318/2010 14.punkts, 2010.gada 14.oktobra sprieduma lietā Nr. SKA-404/2010 8.punkts, 2012.gada 30.oktobra sprieduma lietā Nr. SKA-5/2012 10.punkts)</w:t>
      </w:r>
    </w:p>
  </w:footnote>
  <w:footnote w:id="116">
    <w:p w:rsidR="00275AED" w:rsidRPr="00C03DF5" w:rsidRDefault="00275AED" w:rsidP="005B25AB">
      <w:pPr>
        <w:pStyle w:val="FootnoteText"/>
        <w:jc w:val="both"/>
        <w:rPr>
          <w:rFonts w:ascii="Times New Roman" w:hAnsi="Times New Roman"/>
          <w:lang w:val="lv-LV"/>
        </w:rPr>
      </w:pPr>
      <w:r w:rsidRPr="00C03DF5">
        <w:rPr>
          <w:rStyle w:val="FootnoteReference"/>
          <w:rFonts w:ascii="Times New Roman" w:hAnsi="Times New Roman"/>
        </w:rPr>
        <w:footnoteRef/>
      </w:r>
      <w:r w:rsidRPr="00C03DF5">
        <w:rPr>
          <w:rFonts w:ascii="Times New Roman" w:hAnsi="Times New Roman"/>
        </w:rPr>
        <w:t xml:space="preserve"> </w:t>
      </w:r>
      <w:r>
        <w:rPr>
          <w:rFonts w:ascii="Times New Roman" w:hAnsi="Times New Roman"/>
        </w:rPr>
        <w:t xml:space="preserve">German </w:t>
      </w:r>
      <w:r w:rsidRPr="00C03DF5">
        <w:rPr>
          <w:rFonts w:ascii="Times New Roman" w:hAnsi="Times New Roman"/>
        </w:rPr>
        <w:t>The Interstate Treaty (</w:t>
      </w:r>
      <w:r w:rsidRPr="00C03DF5">
        <w:rPr>
          <w:rFonts w:ascii="Times New Roman" w:hAnsi="Times New Roman"/>
          <w:i/>
          <w:iCs/>
        </w:rPr>
        <w:t>section 25(2)</w:t>
      </w:r>
      <w:r w:rsidRPr="00C03DF5">
        <w:rPr>
          <w:rFonts w:ascii="Times New Roman" w:hAnsi="Times New Roman"/>
        </w:rPr>
        <w:t>)</w:t>
      </w:r>
    </w:p>
  </w:footnote>
  <w:footnote w:id="117">
    <w:p w:rsidR="00275AED" w:rsidRPr="00C03DF5" w:rsidRDefault="00275AED" w:rsidP="005B25AB">
      <w:pPr>
        <w:pStyle w:val="FootnoteText"/>
        <w:jc w:val="both"/>
        <w:rPr>
          <w:rFonts w:ascii="Times New Roman" w:hAnsi="Times New Roman"/>
          <w:lang w:val="lv-LV"/>
        </w:rPr>
      </w:pPr>
      <w:r w:rsidRPr="00C03DF5">
        <w:rPr>
          <w:rStyle w:val="FootnoteReference"/>
          <w:rFonts w:ascii="Times New Roman" w:hAnsi="Times New Roman"/>
        </w:rPr>
        <w:footnoteRef/>
      </w:r>
      <w:r w:rsidRPr="00C03DF5">
        <w:rPr>
          <w:rFonts w:ascii="Times New Roman" w:hAnsi="Times New Roman"/>
        </w:rPr>
        <w:t xml:space="preserve"> Quirino Mancini, Tonucci &amp; Partners, “Gaming in Italy: overview”;</w:t>
      </w:r>
      <w:r w:rsidRPr="00C03DF5">
        <w:rPr>
          <w:rFonts w:ascii="Times New Roman" w:hAnsi="Times New Roman"/>
          <w:bCs/>
          <w:color w:val="212121"/>
          <w:kern w:val="36"/>
          <w:lang w:val="en-GB"/>
        </w:rPr>
        <w:t xml:space="preserve"> </w:t>
      </w:r>
      <w:r w:rsidRPr="00C03DF5">
        <w:rPr>
          <w:rFonts w:ascii="Times New Roman" w:hAnsi="Times New Roman"/>
        </w:rPr>
        <w:t xml:space="preserve"> </w:t>
      </w:r>
      <w:hyperlink r:id="rId79" w:history="1">
        <w:r w:rsidRPr="00C03DF5">
          <w:rPr>
            <w:rStyle w:val="Hyperlink"/>
            <w:rFonts w:ascii="Times New Roman" w:hAnsi="Times New Roman"/>
          </w:rPr>
          <w:t>https://uk.practicallaw.thomsonreuters.com/4-636</w:t>
        </w:r>
      </w:hyperlink>
      <w:r w:rsidRPr="00C03DF5">
        <w:rPr>
          <w:rFonts w:ascii="Times New Roman" w:hAnsi="Times New Roman"/>
        </w:rPr>
        <w:t xml:space="preserve"> 9099?transitionType=Default&amp;contextData=(sc.Default)&amp;firstPage=true&amp;bhcp=1</w:t>
      </w:r>
      <w:r>
        <w:rPr>
          <w:rFonts w:ascii="Times New Roman" w:hAnsi="Times New Roman"/>
        </w:rPr>
        <w:t xml:space="preserve"> </w:t>
      </w:r>
      <w:r w:rsidRPr="00C03DF5">
        <w:rPr>
          <w:rFonts w:ascii="Times New Roman" w:hAnsi="Times New Roman"/>
        </w:rPr>
        <w:t xml:space="preserve"> </w:t>
      </w:r>
    </w:p>
  </w:footnote>
  <w:footnote w:id="118">
    <w:p w:rsidR="00275AED" w:rsidRPr="00C03DF5" w:rsidRDefault="00275AED" w:rsidP="005B25AB">
      <w:pPr>
        <w:pStyle w:val="FootnoteText"/>
        <w:jc w:val="both"/>
        <w:rPr>
          <w:rFonts w:ascii="Times New Roman" w:hAnsi="Times New Roman"/>
        </w:rPr>
      </w:pPr>
      <w:r w:rsidRPr="00C03DF5">
        <w:rPr>
          <w:rStyle w:val="FootnoteReference"/>
          <w:rFonts w:ascii="Times New Roman" w:hAnsi="Times New Roman"/>
        </w:rPr>
        <w:footnoteRef/>
      </w:r>
      <w:r w:rsidRPr="00C03DF5">
        <w:rPr>
          <w:rFonts w:ascii="Times New Roman" w:hAnsi="Times New Roman"/>
        </w:rPr>
        <w:t xml:space="preserve"> Philippe Vlaemminck, Robbe Verbeke. The Gambling Law Review </w:t>
      </w:r>
      <w:r>
        <w:rPr>
          <w:rFonts w:ascii="Times New Roman" w:hAnsi="Times New Roman"/>
        </w:rPr>
        <w:t>–</w:t>
      </w:r>
      <w:r w:rsidRPr="00C03DF5">
        <w:rPr>
          <w:rFonts w:ascii="Times New Roman" w:hAnsi="Times New Roman"/>
        </w:rPr>
        <w:t xml:space="preserve"> Edition 4. Belgium. </w:t>
      </w:r>
      <w:r w:rsidRPr="000A0F82">
        <w:rPr>
          <w:rFonts w:ascii="Times New Roman" w:hAnsi="Times New Roman"/>
          <w:lang w:val="lv-LV"/>
        </w:rPr>
        <w:t>Pēdējo reizi skatīts 2020.gada 6.augustā:</w:t>
      </w:r>
      <w:r>
        <w:rPr>
          <w:rFonts w:ascii="Times New Roman" w:hAnsi="Times New Roman"/>
          <w:lang w:val="lv-LV"/>
        </w:rPr>
        <w:t xml:space="preserve"> </w:t>
      </w:r>
      <w:hyperlink r:id="rId80" w:anchor="footnote-030" w:history="1">
        <w:r w:rsidRPr="00C03DF5">
          <w:rPr>
            <w:rStyle w:val="Hyperlink"/>
            <w:rFonts w:ascii="Times New Roman" w:hAnsi="Times New Roman"/>
          </w:rPr>
          <w:t>https://thelawreviews.co.uk/edition/the-gambling-law-review-edition-4/1194851/belgium#footnote-030</w:t>
        </w:r>
      </w:hyperlink>
      <w:r w:rsidRPr="00C03DF5">
        <w:rPr>
          <w:rFonts w:ascii="Times New Roman" w:hAnsi="Times New Roman"/>
        </w:rPr>
        <w:t xml:space="preserve"> </w:t>
      </w:r>
    </w:p>
  </w:footnote>
  <w:footnote w:id="119">
    <w:p w:rsidR="00275AED" w:rsidRPr="00C03DF5" w:rsidRDefault="00275AED" w:rsidP="005B25AB">
      <w:pPr>
        <w:pStyle w:val="FootnoteText"/>
        <w:jc w:val="both"/>
        <w:rPr>
          <w:rFonts w:ascii="Times New Roman" w:hAnsi="Times New Roman"/>
        </w:rPr>
      </w:pPr>
      <w:r w:rsidRPr="00C03DF5">
        <w:rPr>
          <w:rStyle w:val="FootnoteReference"/>
          <w:rFonts w:ascii="Times New Roman" w:hAnsi="Times New Roman"/>
        </w:rPr>
        <w:footnoteRef/>
      </w:r>
      <w:r w:rsidRPr="00C03DF5">
        <w:rPr>
          <w:rFonts w:ascii="Times New Roman" w:hAnsi="Times New Roman"/>
        </w:rPr>
        <w:t xml:space="preserve"> Zammit</w:t>
      </w:r>
      <w:r>
        <w:rPr>
          <w:rFonts w:ascii="Times New Roman" w:hAnsi="Times New Roman"/>
        </w:rPr>
        <w:t xml:space="preserve"> A.J.</w:t>
      </w:r>
      <w:r w:rsidRPr="00C03DF5">
        <w:rPr>
          <w:rFonts w:ascii="Times New Roman" w:hAnsi="Times New Roman"/>
        </w:rPr>
        <w:t>, Kimberley</w:t>
      </w:r>
      <w:r>
        <w:rPr>
          <w:rFonts w:ascii="Times New Roman" w:hAnsi="Times New Roman"/>
        </w:rPr>
        <w:t xml:space="preserve"> G., </w:t>
      </w:r>
      <w:r w:rsidRPr="00C03DF5">
        <w:rPr>
          <w:rFonts w:ascii="Times New Roman" w:hAnsi="Times New Roman"/>
        </w:rPr>
        <w:t>Vella</w:t>
      </w:r>
      <w:r>
        <w:rPr>
          <w:rFonts w:ascii="Times New Roman" w:hAnsi="Times New Roman"/>
        </w:rPr>
        <w:t xml:space="preserve"> A.</w:t>
      </w:r>
      <w:r w:rsidRPr="00C03DF5">
        <w:rPr>
          <w:rFonts w:ascii="Times New Roman" w:hAnsi="Times New Roman"/>
        </w:rPr>
        <w:t xml:space="preserve">, GVZH Advocates. Gaming in Malta: overview. </w:t>
      </w:r>
      <w:r w:rsidRPr="000A0F82">
        <w:rPr>
          <w:rFonts w:ascii="Times New Roman" w:hAnsi="Times New Roman"/>
          <w:lang w:val="lv-LV"/>
        </w:rPr>
        <w:t>Pēdējo reizi skatīts 2020.gada 6.augustā:</w:t>
      </w:r>
      <w:r>
        <w:rPr>
          <w:rFonts w:ascii="Times New Roman" w:hAnsi="Times New Roman"/>
          <w:lang w:val="lv-LV"/>
        </w:rPr>
        <w:t xml:space="preserve"> </w:t>
      </w:r>
      <w:hyperlink r:id="rId81" w:history="1">
        <w:r w:rsidRPr="00C03DF5">
          <w:rPr>
            <w:rStyle w:val="Hyperlink"/>
            <w:rFonts w:ascii="Times New Roman" w:hAnsi="Times New Roman"/>
          </w:rPr>
          <w:t>https://uk.practicallaw.thomsonreuters.com</w:t>
        </w:r>
      </w:hyperlink>
      <w:r w:rsidRPr="00C03DF5">
        <w:rPr>
          <w:rFonts w:ascii="Times New Roman" w:hAnsi="Times New Roman"/>
        </w:rPr>
        <w:t xml:space="preserve"> </w:t>
      </w:r>
    </w:p>
  </w:footnote>
  <w:footnote w:id="120">
    <w:p w:rsidR="00275AED" w:rsidRPr="00335F4A" w:rsidRDefault="00275AED" w:rsidP="00AD0515">
      <w:pPr>
        <w:pStyle w:val="FootnoteText"/>
        <w:jc w:val="both"/>
        <w:rPr>
          <w:rFonts w:ascii="Times New Roman" w:hAnsi="Times New Roman"/>
          <w:lang w:val="lv-LV"/>
        </w:rPr>
      </w:pPr>
      <w:r w:rsidRPr="00881405">
        <w:rPr>
          <w:rStyle w:val="FootnoteReference"/>
          <w:rFonts w:ascii="Times New Roman" w:hAnsi="Times New Roman"/>
        </w:rPr>
        <w:footnoteRef/>
      </w:r>
      <w:r w:rsidRPr="00335F4A">
        <w:rPr>
          <w:rFonts w:ascii="Times New Roman" w:hAnsi="Times New Roman"/>
          <w:lang w:val="lv-LV"/>
        </w:rPr>
        <w:t xml:space="preserve"> AIL 54.pants un AIL 80.pants</w:t>
      </w:r>
    </w:p>
  </w:footnote>
  <w:footnote w:id="121">
    <w:p w:rsidR="00275AED" w:rsidRPr="006E6E68" w:rsidRDefault="00275AED" w:rsidP="00956612">
      <w:pPr>
        <w:jc w:val="both"/>
        <w:rPr>
          <w:rFonts w:eastAsia="Times New Roman" w:cs="Times New Roman"/>
          <w:sz w:val="20"/>
          <w:szCs w:val="20"/>
        </w:rPr>
      </w:pPr>
      <w:r w:rsidRPr="009C22A4">
        <w:rPr>
          <w:rStyle w:val="FootnoteReference"/>
          <w:sz w:val="20"/>
          <w:szCs w:val="20"/>
        </w:rPr>
        <w:footnoteRef/>
      </w:r>
      <w:r w:rsidRPr="009C22A4">
        <w:rPr>
          <w:rFonts w:cs="Times New Roman"/>
          <w:sz w:val="20"/>
          <w:szCs w:val="20"/>
        </w:rPr>
        <w:t xml:space="preserve"> </w:t>
      </w:r>
      <w:r w:rsidRPr="006E6E68">
        <w:rPr>
          <w:rFonts w:eastAsia="Times New Roman" w:cs="Times New Roman"/>
          <w:sz w:val="20"/>
          <w:szCs w:val="20"/>
        </w:rPr>
        <w:t>Eiropas Parlamenta Un Padomes Direktīva 2000/31/EK (2000.gada 8.jūnjs) par dažiem informācijas sabiedrības pakalpojumu tiesiskiem aspektiem, jo īpaši elektronisko tirdzniecību, iekšējā tirgū (Direktīva par elektronisko tirdzniecību)</w:t>
      </w:r>
    </w:p>
  </w:footnote>
  <w:footnote w:id="122">
    <w:p w:rsidR="00275AED" w:rsidRPr="006E6E68" w:rsidRDefault="00275AED" w:rsidP="009C22A4">
      <w:pPr>
        <w:pStyle w:val="FootnoteText"/>
        <w:jc w:val="both"/>
        <w:rPr>
          <w:rFonts w:ascii="Times New Roman" w:hAnsi="Times New Roman"/>
          <w:lang w:val="lv-LV"/>
        </w:rPr>
      </w:pPr>
      <w:r w:rsidRPr="006E6E68">
        <w:rPr>
          <w:rStyle w:val="FootnoteReference"/>
          <w:rFonts w:ascii="Times New Roman" w:hAnsi="Times New Roman"/>
        </w:rPr>
        <w:footnoteRef/>
      </w:r>
      <w:r w:rsidRPr="006E6E68">
        <w:rPr>
          <w:rFonts w:ascii="Times New Roman" w:hAnsi="Times New Roman"/>
        </w:rPr>
        <w:t xml:space="preserve"> European Commisssion Evaluation of Regulatory Tools for Enforcing Online Gabling Rules and Channelling Demans towards Controlled Offers, 2018, p.89., p.114, </w:t>
      </w:r>
      <w:r w:rsidRPr="000A0F82">
        <w:rPr>
          <w:rFonts w:ascii="Times New Roman" w:hAnsi="Times New Roman"/>
          <w:lang w:val="lv-LV"/>
        </w:rPr>
        <w:t>Pēdējo reizi skatīts 2020.gada 6.augustā:</w:t>
      </w:r>
      <w:r>
        <w:rPr>
          <w:rFonts w:ascii="Times New Roman" w:hAnsi="Times New Roman"/>
          <w:lang w:val="lv-LV"/>
        </w:rPr>
        <w:t xml:space="preserve"> </w:t>
      </w:r>
      <w:hyperlink r:id="rId82" w:history="1">
        <w:r w:rsidRPr="006E6E68">
          <w:rPr>
            <w:rStyle w:val="Hyperlink"/>
            <w:rFonts w:ascii="Times New Roman" w:hAnsi="Times New Roman"/>
          </w:rPr>
          <w:t>https://publications.europa.eu/en/publication-detail/-/publication/6bac835f-2442-11e9-8d04-01aa75ed71a1/language-en</w:t>
        </w:r>
      </w:hyperlink>
      <w:r w:rsidRPr="006E6E68">
        <w:rPr>
          <w:rFonts w:ascii="Times New Roman" w:hAnsi="Times New Roman"/>
        </w:rPr>
        <w:t xml:space="preserve"> </w:t>
      </w:r>
    </w:p>
  </w:footnote>
  <w:footnote w:id="123">
    <w:p w:rsidR="00275AED" w:rsidRPr="00A80C1E" w:rsidRDefault="00275AED" w:rsidP="00A80C1E">
      <w:pPr>
        <w:jc w:val="both"/>
        <w:rPr>
          <w:sz w:val="20"/>
          <w:szCs w:val="20"/>
        </w:rPr>
      </w:pPr>
      <w:r w:rsidRPr="00A80C1E">
        <w:rPr>
          <w:rStyle w:val="FootnoteReference"/>
          <w:sz w:val="20"/>
          <w:szCs w:val="20"/>
        </w:rPr>
        <w:footnoteRef/>
      </w:r>
      <w:r w:rsidRPr="00A80C1E">
        <w:rPr>
          <w:sz w:val="20"/>
          <w:szCs w:val="20"/>
        </w:rPr>
        <w:t xml:space="preserve"> </w:t>
      </w:r>
      <w:r w:rsidRPr="00602AD8">
        <w:rPr>
          <w:sz w:val="20"/>
          <w:szCs w:val="20"/>
        </w:rPr>
        <w:t>Pēdējo reizi skatīts 2020.gada 6.augustā:</w:t>
      </w:r>
      <w:r>
        <w:t xml:space="preserve"> </w:t>
      </w:r>
      <w:hyperlink r:id="rId83" w:history="1">
        <w:r w:rsidRPr="00A80C1E">
          <w:rPr>
            <w:rStyle w:val="Hyperlink"/>
            <w:sz w:val="20"/>
            <w:szCs w:val="20"/>
          </w:rPr>
          <w:t>http://kazinotops.lv/cetras-tendences-kuras-ietekmes-online-kazino-nakotni/</w:t>
        </w:r>
      </w:hyperlink>
    </w:p>
  </w:footnote>
  <w:footnote w:id="124">
    <w:p w:rsidR="00275AED" w:rsidRPr="00A80C1E" w:rsidRDefault="00275AED" w:rsidP="00A80C1E">
      <w:pPr>
        <w:pStyle w:val="FootnoteText"/>
        <w:jc w:val="both"/>
        <w:rPr>
          <w:rFonts w:ascii="Times New Roman" w:hAnsi="Times New Roman"/>
        </w:rPr>
      </w:pPr>
      <w:r w:rsidRPr="00A80C1E">
        <w:rPr>
          <w:rStyle w:val="FootnoteReference"/>
          <w:rFonts w:ascii="Times New Roman" w:hAnsi="Times New Roman"/>
        </w:rPr>
        <w:footnoteRef/>
      </w:r>
      <w:r w:rsidRPr="00A80C1E">
        <w:rPr>
          <w:rFonts w:ascii="Times New Roman" w:hAnsi="Times New Roman"/>
        </w:rPr>
        <w:t xml:space="preserve"> CJEU, judgment of 8 September 2010, </w:t>
      </w:r>
      <w:r w:rsidRPr="00A80C1E">
        <w:rPr>
          <w:rFonts w:ascii="Times New Roman" w:hAnsi="Times New Roman"/>
          <w:i/>
        </w:rPr>
        <w:t>Markus Stoss</w:t>
      </w:r>
      <w:r w:rsidRPr="00A80C1E">
        <w:rPr>
          <w:rFonts w:ascii="Times New Roman" w:hAnsi="Times New Roman"/>
        </w:rPr>
        <w:t>, C-316/07, 358/07, 360/07, 409/07 and 410/07, paragraphs 81 and 107.</w:t>
      </w:r>
    </w:p>
  </w:footnote>
  <w:footnote w:id="125">
    <w:p w:rsidR="00275AED" w:rsidRPr="00881C41" w:rsidRDefault="00275AED" w:rsidP="009A1A9B">
      <w:pPr>
        <w:pStyle w:val="FootnoteText"/>
        <w:jc w:val="both"/>
        <w:rPr>
          <w:rFonts w:ascii="Times New Roman" w:hAnsi="Times New Roman"/>
          <w:lang w:val="lv-LV"/>
        </w:rPr>
      </w:pPr>
      <w:r w:rsidRPr="00881C41">
        <w:rPr>
          <w:rStyle w:val="FootnoteReferen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 xml:space="preserve"> The Gaming Regulators European Forum</w:t>
      </w:r>
    </w:p>
  </w:footnote>
  <w:footnote w:id="126">
    <w:p w:rsidR="00275AED" w:rsidRPr="00881C41" w:rsidRDefault="00275AED" w:rsidP="009A1A9B">
      <w:pPr>
        <w:pStyle w:val="FootnoteText"/>
        <w:jc w:val="both"/>
        <w:rPr>
          <w:rFonts w:ascii="Times New Roman" w:hAnsi="Times New Roman"/>
          <w:lang w:val="lv-LV"/>
        </w:rPr>
      </w:pPr>
      <w:r w:rsidRPr="00881C41">
        <w:rPr>
          <w:rStyle w:val="FootnoteReferen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Declaration of gambling regulators on their concerns related to the blurring of lines between gambling and gaming</w:t>
      </w:r>
    </w:p>
  </w:footnote>
  <w:footnote w:id="127">
    <w:p w:rsidR="00275AED" w:rsidRPr="00E761EB" w:rsidRDefault="00275AED" w:rsidP="009A1A9B">
      <w:pPr>
        <w:pStyle w:val="FootnoteText"/>
        <w:jc w:val="both"/>
        <w:rPr>
          <w:rFonts w:ascii="Times New Roman" w:hAnsi="Times New Roman"/>
          <w:lang w:val="lv-LV"/>
        </w:rPr>
      </w:pPr>
      <w:r w:rsidRPr="009C22A4">
        <w:rPr>
          <w:rStyle w:val="FootnoteReference"/>
          <w:rFonts w:ascii="Times New Roman" w:hAnsi="Times New Roman"/>
        </w:rPr>
        <w:footnoteRef/>
      </w:r>
      <w:r w:rsidRPr="009C22A4">
        <w:rPr>
          <w:rFonts w:ascii="Times New Roman" w:hAnsi="Times New Roman"/>
          <w:lang w:val="lv-LV"/>
        </w:rPr>
        <w:t xml:space="preserve"> </w:t>
      </w:r>
      <w:r>
        <w:rPr>
          <w:rFonts w:ascii="Times New Roman" w:hAnsi="Times New Roman"/>
          <w:lang w:val="lv-LV"/>
        </w:rPr>
        <w:t xml:space="preserve">Pēdējo reizi skatīts 2020.gada 6.augustā: </w:t>
      </w:r>
      <w:hyperlink r:id="rId84" w:history="1">
        <w:r w:rsidRPr="00E761EB">
          <w:rPr>
            <w:rStyle w:val="Hyperlink"/>
            <w:rFonts w:ascii="Times New Roman" w:eastAsiaTheme="majorEastAsia" w:hAnsi="Times New Roman"/>
            <w:lang w:val="lv-LV"/>
          </w:rPr>
          <w:t>https://www.juniperresearch.com/press/press-releases/loot-boxes-and-skins-gambling</w:t>
        </w:r>
      </w:hyperlink>
    </w:p>
  </w:footnote>
  <w:footnote w:id="128">
    <w:p w:rsidR="00275AED" w:rsidRPr="00885CE8" w:rsidRDefault="00275AED" w:rsidP="009A1A9B">
      <w:pPr>
        <w:pStyle w:val="FootnoteText"/>
        <w:jc w:val="both"/>
        <w:rPr>
          <w:rFonts w:ascii="Times New Roman" w:hAnsi="Times New Roman"/>
          <w:lang w:val="lv-LV"/>
        </w:rPr>
      </w:pPr>
      <w:r w:rsidRPr="00E761EB">
        <w:rPr>
          <w:rStyle w:val="FootnoteReference"/>
          <w:rFonts w:ascii="Times New Roman" w:hAnsi="Times New Roman"/>
        </w:rPr>
        <w:footnoteRef/>
      </w:r>
      <w:r w:rsidRPr="00E761EB">
        <w:rPr>
          <w:rFonts w:ascii="Times New Roman" w:hAnsi="Times New Roman"/>
          <w:lang w:val="lv-LV"/>
        </w:rPr>
        <w:t xml:space="preserve"> </w:t>
      </w:r>
      <w:r>
        <w:rPr>
          <w:rFonts w:ascii="Times New Roman" w:hAnsi="Times New Roman"/>
          <w:lang w:val="lv-LV"/>
        </w:rPr>
        <w:t xml:space="preserve">Pēdējo reizi skatīts 2020.gada 6.augustā: </w:t>
      </w:r>
      <w:hyperlink r:id="rId85" w:history="1">
        <w:r w:rsidRPr="00885CE8">
          <w:rPr>
            <w:rStyle w:val="Hyperlink"/>
            <w:rFonts w:ascii="Times New Roman" w:eastAsiaTheme="majorEastAsia" w:hAnsi="Times New Roman"/>
            <w:lang w:val="lv-LV"/>
          </w:rPr>
          <w:t>http://blizzardwatch.com/2017/06/06/new-way-buy-overwatch-loot-boxes-china/</w:t>
        </w:r>
      </w:hyperlink>
    </w:p>
  </w:footnote>
  <w:footnote w:id="129">
    <w:p w:rsidR="00275AED" w:rsidRPr="00885CE8" w:rsidRDefault="00275AED" w:rsidP="009A1A9B">
      <w:pPr>
        <w:pStyle w:val="FootnoteText"/>
        <w:jc w:val="both"/>
        <w:rPr>
          <w:rFonts w:ascii="Times New Roman" w:hAnsi="Times New Roman"/>
          <w:lang w:val="lv-LV"/>
        </w:rPr>
      </w:pPr>
      <w:r w:rsidRPr="00885CE8">
        <w:rPr>
          <w:rStyle w:val="FootnoteReference"/>
          <w:rFonts w:ascii="Times New Roman" w:hAnsi="Times New Roman"/>
        </w:rPr>
        <w:footnoteRef/>
      </w:r>
      <w:r>
        <w:rPr>
          <w:rFonts w:ascii="Times New Roman" w:hAnsi="Times New Roman"/>
          <w:lang w:val="lv-LV"/>
        </w:rPr>
        <w:t xml:space="preserve"> Pēdējo reizi skatīts 2020.gada 6.augustā: </w:t>
      </w:r>
      <w:r w:rsidRPr="00885CE8">
        <w:rPr>
          <w:rFonts w:ascii="Times New Roman" w:hAnsi="Times New Roman"/>
          <w:lang w:val="lv-LV"/>
        </w:rPr>
        <w:t xml:space="preserve"> </w:t>
      </w:r>
      <w:hyperlink r:id="rId86" w:history="1">
        <w:r w:rsidRPr="00885CE8">
          <w:rPr>
            <w:rStyle w:val="Hyperlink"/>
            <w:rFonts w:ascii="Times New Roman" w:eastAsiaTheme="majorEastAsia" w:hAnsi="Times New Roman"/>
            <w:lang w:val="lv-LV"/>
          </w:rPr>
          <w:t>https://www.bbc.com/news/technology-43906306</w:t>
        </w:r>
      </w:hyperlink>
    </w:p>
  </w:footnote>
  <w:footnote w:id="130">
    <w:p w:rsidR="00275AED" w:rsidRPr="00885CE8" w:rsidRDefault="00275AED" w:rsidP="009A1A9B">
      <w:pPr>
        <w:pStyle w:val="FootnoteText"/>
        <w:jc w:val="both"/>
        <w:rPr>
          <w:rFonts w:ascii="Times New Roman" w:hAnsi="Times New Roman"/>
          <w:lang w:val="lv-LV"/>
        </w:rPr>
      </w:pPr>
      <w:r w:rsidRPr="00885CE8">
        <w:rPr>
          <w:rStyle w:val="FootnoteReference"/>
          <w:rFonts w:ascii="Times New Roman" w:hAnsi="Times New Roman"/>
        </w:rPr>
        <w:footnoteRef/>
      </w:r>
      <w:r w:rsidRPr="00885CE8">
        <w:rPr>
          <w:rFonts w:ascii="Times New Roman" w:hAnsi="Times New Roman"/>
          <w:lang w:val="lv-LV"/>
        </w:rPr>
        <w:t xml:space="preserve"> </w:t>
      </w:r>
      <w:r>
        <w:rPr>
          <w:rFonts w:ascii="Times New Roman" w:hAnsi="Times New Roman"/>
          <w:lang w:val="lv-LV"/>
        </w:rPr>
        <w:t xml:space="preserve">Pēdējo reizi skatīts 2020.gada 6.augustā: </w:t>
      </w:r>
      <w:r w:rsidRPr="00885CE8">
        <w:rPr>
          <w:rFonts w:ascii="Times New Roman" w:hAnsi="Times New Roman"/>
          <w:lang w:val="lv-LV"/>
        </w:rPr>
        <w:t>https://www.pcgamer.com/belgium-says-loot-boxes-are-gambling-wants-them-banned-in-europe/</w:t>
      </w:r>
    </w:p>
  </w:footnote>
  <w:footnote w:id="131">
    <w:p w:rsidR="00275AED" w:rsidRPr="00885CE8" w:rsidRDefault="00275AED" w:rsidP="009A1A9B">
      <w:pPr>
        <w:pStyle w:val="FootnoteText"/>
        <w:jc w:val="both"/>
        <w:rPr>
          <w:rFonts w:ascii="Times New Roman" w:hAnsi="Times New Roman"/>
          <w:lang w:val="lv-LV"/>
        </w:rPr>
      </w:pPr>
      <w:r w:rsidRPr="00885CE8">
        <w:rPr>
          <w:rStyle w:val="FootnoteReference"/>
          <w:rFonts w:ascii="Times New Roman" w:hAnsi="Times New Roman"/>
        </w:rPr>
        <w:footnoteRef/>
      </w:r>
      <w:r w:rsidRPr="00885CE8">
        <w:rPr>
          <w:rFonts w:ascii="Times New Roman" w:hAnsi="Times New Roman"/>
          <w:lang w:val="lv-LV"/>
        </w:rPr>
        <w:t xml:space="preserve"> </w:t>
      </w:r>
      <w:r>
        <w:rPr>
          <w:rFonts w:ascii="Times New Roman" w:hAnsi="Times New Roman"/>
          <w:lang w:val="lv-LV"/>
        </w:rPr>
        <w:t xml:space="preserve">Pēdējo reizi skatīts 2020.gada 6.augustā: </w:t>
      </w:r>
      <w:hyperlink r:id="rId87" w:history="1">
        <w:r w:rsidRPr="00885CE8">
          <w:rPr>
            <w:rStyle w:val="Hyperlink"/>
            <w:rFonts w:ascii="Times New Roman" w:eastAsiaTheme="majorEastAsia" w:hAnsi="Times New Roman"/>
            <w:lang w:val="lv-LV"/>
          </w:rPr>
          <w:t>https://www.spillemyndigheden.dk/en/news/danish-gambling-authority-has-25-illegal-gambling-websites-blocked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622394"/>
      <w:docPartObj>
        <w:docPartGallery w:val="Page Numbers (Top of Page)"/>
        <w:docPartUnique/>
      </w:docPartObj>
    </w:sdtPr>
    <w:sdtEndPr>
      <w:rPr>
        <w:noProof/>
      </w:rPr>
    </w:sdtEndPr>
    <w:sdtContent>
      <w:p w:rsidR="00275AED" w:rsidRDefault="00275AED">
        <w:pPr>
          <w:pStyle w:val="Header"/>
          <w:jc w:val="center"/>
        </w:pPr>
        <w:r>
          <w:fldChar w:fldCharType="begin"/>
        </w:r>
        <w:r>
          <w:instrText xml:space="preserve"> PAGE   \* MERGEFORMAT </w:instrText>
        </w:r>
        <w:r>
          <w:fldChar w:fldCharType="separate"/>
        </w:r>
        <w:r w:rsidR="004707B1">
          <w:rPr>
            <w:noProof/>
          </w:rPr>
          <w:t>21</w:t>
        </w:r>
        <w:r>
          <w:rPr>
            <w:noProof/>
          </w:rPr>
          <w:fldChar w:fldCharType="end"/>
        </w:r>
      </w:p>
    </w:sdtContent>
  </w:sdt>
  <w:p w:rsidR="00275AED" w:rsidRDefault="00275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20"/>
    <w:multiLevelType w:val="multilevel"/>
    <w:tmpl w:val="089473C0"/>
    <w:lvl w:ilvl="0">
      <w:start w:val="2"/>
      <w:numFmt w:val="decimal"/>
      <w:lvlText w:val="%1)"/>
      <w:lvlJc w:val="left"/>
      <w:pPr>
        <w:ind w:left="1080" w:hanging="360"/>
      </w:pPr>
      <w:rPr>
        <w:rFonts w:ascii="Times New Roman" w:eastAsiaTheme="minorHAnsi" w:hAnsi="Times New Roman" w:cstheme="minorBidi" w:hint="default"/>
        <w:b w:val="0"/>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0CE02FD"/>
    <w:multiLevelType w:val="hybridMultilevel"/>
    <w:tmpl w:val="71F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8F4171"/>
    <w:multiLevelType w:val="hybridMultilevel"/>
    <w:tmpl w:val="E2569086"/>
    <w:lvl w:ilvl="0" w:tplc="5E80C3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8E677B"/>
    <w:multiLevelType w:val="hybridMultilevel"/>
    <w:tmpl w:val="2A96381C"/>
    <w:lvl w:ilvl="0" w:tplc="E16A41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B4BCF"/>
    <w:multiLevelType w:val="hybridMultilevel"/>
    <w:tmpl w:val="8FC88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824E4D"/>
    <w:multiLevelType w:val="hybridMultilevel"/>
    <w:tmpl w:val="BC86F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A066E"/>
    <w:multiLevelType w:val="hybridMultilevel"/>
    <w:tmpl w:val="A418AEDC"/>
    <w:lvl w:ilvl="0" w:tplc="20ACC5FA">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4457C6"/>
    <w:multiLevelType w:val="hybridMultilevel"/>
    <w:tmpl w:val="6E3C92C0"/>
    <w:lvl w:ilvl="0" w:tplc="5BC63B96">
      <w:start w:val="1"/>
      <w:numFmt w:val="lowerLetter"/>
      <w:lvlText w:val="%1)"/>
      <w:lvlJc w:val="left"/>
      <w:pPr>
        <w:ind w:left="2149" w:hanging="360"/>
      </w:pPr>
      <w:rPr>
        <w:rFonts w:ascii="Times New Roman" w:eastAsiaTheme="minorHAnsi" w:hAnsi="Times New Roman" w:cs="Times New Roman"/>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8" w15:restartNumberingAfterBreak="0">
    <w:nsid w:val="086E06B3"/>
    <w:multiLevelType w:val="multilevel"/>
    <w:tmpl w:val="85A820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D4B2305"/>
    <w:multiLevelType w:val="hybridMultilevel"/>
    <w:tmpl w:val="F5C063AA"/>
    <w:lvl w:ilvl="0" w:tplc="33443E0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0D4E2A5B"/>
    <w:multiLevelType w:val="hybridMultilevel"/>
    <w:tmpl w:val="28D27FDE"/>
    <w:lvl w:ilvl="0" w:tplc="9E1AE9D8">
      <w:numFmt w:val="bullet"/>
      <w:lvlText w:val="-"/>
      <w:lvlJc w:val="left"/>
      <w:pPr>
        <w:ind w:left="1429"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2A210B6"/>
    <w:multiLevelType w:val="hybridMultilevel"/>
    <w:tmpl w:val="05D4F3B2"/>
    <w:lvl w:ilvl="0" w:tplc="E16A4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F849BC"/>
    <w:multiLevelType w:val="hybridMultilevel"/>
    <w:tmpl w:val="1792A958"/>
    <w:lvl w:ilvl="0" w:tplc="2C566EDC">
      <w:start w:val="1"/>
      <w:numFmt w:val="decimal"/>
      <w:lvlText w:val="%1)"/>
      <w:lvlJc w:val="left"/>
      <w:pPr>
        <w:ind w:left="720" w:hanging="360"/>
      </w:pPr>
      <w:rPr>
        <w:rFonts w:ascii="Times New Roman" w:eastAsiaTheme="minorHAnsi"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C46CD1"/>
    <w:multiLevelType w:val="hybridMultilevel"/>
    <w:tmpl w:val="EB78F9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DE341F"/>
    <w:multiLevelType w:val="hybridMultilevel"/>
    <w:tmpl w:val="E558109E"/>
    <w:lvl w:ilvl="0" w:tplc="01FC69D0">
      <w:start w:val="1"/>
      <w:numFmt w:val="decimal"/>
      <w:lvlText w:val="%1)"/>
      <w:lvlJc w:val="left"/>
      <w:pPr>
        <w:ind w:left="1440" w:hanging="360"/>
      </w:pPr>
      <w:rPr>
        <w:rFonts w:ascii="Times New Roman" w:eastAsiaTheme="minorHAnsi" w:hAnsi="Times New Roman" w:cs="Times New Roman"/>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7744E0E"/>
    <w:multiLevelType w:val="hybridMultilevel"/>
    <w:tmpl w:val="73F276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D57AAD"/>
    <w:multiLevelType w:val="hybridMultilevel"/>
    <w:tmpl w:val="2D28D30E"/>
    <w:lvl w:ilvl="0" w:tplc="9E1AE9D8">
      <w:numFmt w:val="bullet"/>
      <w:lvlText w:val="-"/>
      <w:lvlJc w:val="left"/>
      <w:pPr>
        <w:ind w:left="1353" w:hanging="360"/>
      </w:pPr>
      <w:rPr>
        <w:rFonts w:ascii="Times New Roman" w:eastAsiaTheme="minorHAnsi" w:hAnsi="Times New Roman" w:cs="Times New Roman" w:hint="default"/>
        <w:b/>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7" w15:restartNumberingAfterBreak="0">
    <w:nsid w:val="2CEB6EA4"/>
    <w:multiLevelType w:val="hybridMultilevel"/>
    <w:tmpl w:val="5ECE7758"/>
    <w:lvl w:ilvl="0" w:tplc="0A768F2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FEA597D"/>
    <w:multiLevelType w:val="hybridMultilevel"/>
    <w:tmpl w:val="C3983CDC"/>
    <w:lvl w:ilvl="0" w:tplc="4F3AE904">
      <w:start w:val="1"/>
      <w:numFmt w:val="decimal"/>
      <w:lvlText w:val="%1)"/>
      <w:lvlJc w:val="left"/>
      <w:pPr>
        <w:ind w:left="1080" w:hanging="360"/>
      </w:pPr>
      <w:rPr>
        <w:rFonts w:ascii="Times New Roman" w:eastAsia="Calibri"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6A0DF3"/>
    <w:multiLevelType w:val="hybridMultilevel"/>
    <w:tmpl w:val="99525D9E"/>
    <w:lvl w:ilvl="0" w:tplc="1C08B6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1D60D6A"/>
    <w:multiLevelType w:val="hybridMultilevel"/>
    <w:tmpl w:val="0820123A"/>
    <w:lvl w:ilvl="0" w:tplc="9920E5B0">
      <w:start w:val="1"/>
      <w:numFmt w:val="decimal"/>
      <w:lvlText w:val="%1)"/>
      <w:lvlJc w:val="left"/>
      <w:pPr>
        <w:ind w:left="1287" w:hanging="360"/>
      </w:pPr>
      <w:rPr>
        <w:rFonts w:ascii="Times New Roman" w:eastAsiaTheme="minorHAnsi" w:hAnsi="Times New Roman" w:cs="Times New Roman"/>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3917900"/>
    <w:multiLevelType w:val="hybridMultilevel"/>
    <w:tmpl w:val="08D08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AC7E7F"/>
    <w:multiLevelType w:val="hybridMultilevel"/>
    <w:tmpl w:val="E06C4FFE"/>
    <w:lvl w:ilvl="0" w:tplc="327E8790">
      <w:start w:val="1"/>
      <w:numFmt w:val="lowerLetter"/>
      <w:lvlText w:val="%1)"/>
      <w:lvlJc w:val="left"/>
      <w:pPr>
        <w:ind w:left="1080" w:hanging="360"/>
      </w:pPr>
      <w:rPr>
        <w:rFonts w:ascii="Times New Roman" w:eastAsia="Times New Roman" w:hAnsi="Times New Roman" w:cs="Times New Roman"/>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7337124"/>
    <w:multiLevelType w:val="hybridMultilevel"/>
    <w:tmpl w:val="B516C18A"/>
    <w:lvl w:ilvl="0" w:tplc="6BF290DE">
      <w:start w:val="1"/>
      <w:numFmt w:val="lowerLetter"/>
      <w:lvlText w:val="%1)"/>
      <w:lvlJc w:val="left"/>
      <w:pPr>
        <w:ind w:left="435" w:hanging="360"/>
      </w:pPr>
      <w:rPr>
        <w:rFonts w:ascii="Times New Roman" w:eastAsiaTheme="minorHAnsi" w:hAnsi="Times New Roman" w:cs="Times New Roman"/>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4" w15:restartNumberingAfterBreak="0">
    <w:nsid w:val="3B211A6E"/>
    <w:multiLevelType w:val="hybridMultilevel"/>
    <w:tmpl w:val="3DEC13D4"/>
    <w:lvl w:ilvl="0" w:tplc="EB5A8B8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B212105"/>
    <w:multiLevelType w:val="hybridMultilevel"/>
    <w:tmpl w:val="EF5E9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DB7D4D"/>
    <w:multiLevelType w:val="hybridMultilevel"/>
    <w:tmpl w:val="62D2A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EF5E3B"/>
    <w:multiLevelType w:val="hybridMultilevel"/>
    <w:tmpl w:val="D2BACB80"/>
    <w:lvl w:ilvl="0" w:tplc="C27C96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3E0C00ED"/>
    <w:multiLevelType w:val="hybridMultilevel"/>
    <w:tmpl w:val="63B0D5D8"/>
    <w:lvl w:ilvl="0" w:tplc="E16A4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F0137E6"/>
    <w:multiLevelType w:val="hybridMultilevel"/>
    <w:tmpl w:val="BB0E90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A875E0"/>
    <w:multiLevelType w:val="hybridMultilevel"/>
    <w:tmpl w:val="37843672"/>
    <w:lvl w:ilvl="0" w:tplc="3D984AC8">
      <w:start w:val="1"/>
      <w:numFmt w:val="decimal"/>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36F43AC"/>
    <w:multiLevelType w:val="hybridMultilevel"/>
    <w:tmpl w:val="135CFFF0"/>
    <w:lvl w:ilvl="0" w:tplc="3DC28D6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C720B6"/>
    <w:multiLevelType w:val="hybridMultilevel"/>
    <w:tmpl w:val="810AE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D41F25"/>
    <w:multiLevelType w:val="hybridMultilevel"/>
    <w:tmpl w:val="200A69EC"/>
    <w:lvl w:ilvl="0" w:tplc="D8E2D2C6">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7392223"/>
    <w:multiLevelType w:val="hybridMultilevel"/>
    <w:tmpl w:val="4616216E"/>
    <w:lvl w:ilvl="0" w:tplc="FDBA7FC4">
      <w:start w:val="1"/>
      <w:numFmt w:val="lowerLetter"/>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A626483"/>
    <w:multiLevelType w:val="hybridMultilevel"/>
    <w:tmpl w:val="93C69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975E73"/>
    <w:multiLevelType w:val="multilevel"/>
    <w:tmpl w:val="6BC28944"/>
    <w:lvl w:ilvl="0">
      <w:start w:val="1"/>
      <w:numFmt w:val="decimal"/>
      <w:lvlText w:val="%1)"/>
      <w:lvlJc w:val="left"/>
      <w:pPr>
        <w:ind w:left="1080" w:hanging="360"/>
      </w:pPr>
      <w:rPr>
        <w:rFonts w:ascii="Times New Roman" w:eastAsiaTheme="minorHAnsi" w:hAnsi="Times New Roman" w:cstheme="minorBidi"/>
        <w:b w:val="0"/>
        <w:i w:val="0"/>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4A1705D"/>
    <w:multiLevelType w:val="hybridMultilevel"/>
    <w:tmpl w:val="B3E29492"/>
    <w:lvl w:ilvl="0" w:tplc="04260011">
      <w:start w:val="1"/>
      <w:numFmt w:val="decimal"/>
      <w:lvlText w:val="%1)"/>
      <w:lvlJc w:val="left"/>
      <w:pPr>
        <w:ind w:left="1854" w:hanging="360"/>
      </w:pPr>
    </w:lvl>
    <w:lvl w:ilvl="1" w:tplc="106411FC">
      <w:start w:val="1"/>
      <w:numFmt w:val="lowerLetter"/>
      <w:lvlText w:val="%2)"/>
      <w:lvlJc w:val="left"/>
      <w:pPr>
        <w:ind w:left="2574" w:hanging="360"/>
      </w:pPr>
      <w:rPr>
        <w:rFonts w:ascii="Times New Roman" w:eastAsia="Times New Roman" w:hAnsi="Times New Roman" w:cs="Times New Roman"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8" w15:restartNumberingAfterBreak="0">
    <w:nsid w:val="57A778B8"/>
    <w:multiLevelType w:val="hybridMultilevel"/>
    <w:tmpl w:val="288CE95C"/>
    <w:lvl w:ilvl="0" w:tplc="FC889DA4">
      <w:start w:val="1"/>
      <w:numFmt w:val="lowerLetter"/>
      <w:lvlText w:val="%1)"/>
      <w:lvlJc w:val="left"/>
      <w:pPr>
        <w:ind w:left="1440" w:hanging="360"/>
      </w:pPr>
      <w:rPr>
        <w:rFonts w:ascii="Times New Roman" w:eastAsiaTheme="minorHAnsi" w:hAnsi="Times New Roman" w:cstheme="minorBidi"/>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8F20175"/>
    <w:multiLevelType w:val="hybridMultilevel"/>
    <w:tmpl w:val="C162765C"/>
    <w:lvl w:ilvl="0" w:tplc="4232E4FE">
      <w:start w:val="1"/>
      <w:numFmt w:val="decimal"/>
      <w:lvlText w:val="%1)"/>
      <w:lvlJc w:val="left"/>
      <w:pPr>
        <w:ind w:left="1620" w:hanging="360"/>
      </w:pPr>
      <w:rPr>
        <w:rFonts w:ascii="Times New Roman" w:eastAsiaTheme="minorHAnsi" w:hAnsi="Times New Roman" w:cs="Times New Roman"/>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40" w15:restartNumberingAfterBreak="0">
    <w:nsid w:val="598A4CE6"/>
    <w:multiLevelType w:val="hybridMultilevel"/>
    <w:tmpl w:val="B1D2674A"/>
    <w:lvl w:ilvl="0" w:tplc="A9D84B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C4D434B"/>
    <w:multiLevelType w:val="hybridMultilevel"/>
    <w:tmpl w:val="BF4EBEDA"/>
    <w:lvl w:ilvl="0" w:tplc="2BACE5B2">
      <w:start w:val="1"/>
      <w:numFmt w:val="decimal"/>
      <w:lvlText w:val="%1)"/>
      <w:lvlJc w:val="left"/>
      <w:pPr>
        <w:ind w:left="1647" w:hanging="360"/>
      </w:pPr>
      <w:rPr>
        <w:rFonts w:ascii="Times New Roman" w:eastAsiaTheme="minorHAnsi" w:hAnsi="Times New Roman" w:cs="Times New Roman"/>
        <w:b w:val="0"/>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42" w15:restartNumberingAfterBreak="0">
    <w:nsid w:val="5E0A74FE"/>
    <w:multiLevelType w:val="hybridMultilevel"/>
    <w:tmpl w:val="2618F092"/>
    <w:lvl w:ilvl="0" w:tplc="EF2AC12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5E7A3EC6"/>
    <w:multiLevelType w:val="hybridMultilevel"/>
    <w:tmpl w:val="716E0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EE2613E"/>
    <w:multiLevelType w:val="multilevel"/>
    <w:tmpl w:val="47F2A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014C6B"/>
    <w:multiLevelType w:val="hybridMultilevel"/>
    <w:tmpl w:val="E04C5694"/>
    <w:lvl w:ilvl="0" w:tplc="BBC04684">
      <w:start w:val="4"/>
      <w:numFmt w:val="decimal"/>
      <w:lvlText w:val="%1)"/>
      <w:lvlJc w:val="left"/>
      <w:pPr>
        <w:ind w:left="1069" w:hanging="360"/>
      </w:pPr>
      <w:rPr>
        <w:rFonts w:ascii="Times New Roman" w:eastAsiaTheme="minorHAnsi"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0C10D7"/>
    <w:multiLevelType w:val="multilevel"/>
    <w:tmpl w:val="D66C7214"/>
    <w:lvl w:ilvl="0">
      <w:start w:val="1"/>
      <w:numFmt w:val="decimal"/>
      <w:lvlText w:val="%1)"/>
      <w:lvlJc w:val="left"/>
      <w:pPr>
        <w:ind w:left="1080" w:hanging="360"/>
      </w:pPr>
      <w:rPr>
        <w:rFonts w:ascii="Times New Roman" w:eastAsiaTheme="minorHAnsi" w:hAnsi="Times New Roman" w:cs="Times New Roman"/>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63E76AB1"/>
    <w:multiLevelType w:val="hybridMultilevel"/>
    <w:tmpl w:val="2DA2E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F9147D"/>
    <w:multiLevelType w:val="multilevel"/>
    <w:tmpl w:val="21E8374E"/>
    <w:lvl w:ilvl="0">
      <w:start w:val="1"/>
      <w:numFmt w:val="decimal"/>
      <w:lvlText w:val="%1."/>
      <w:lvlJc w:val="left"/>
      <w:pPr>
        <w:ind w:left="792" w:hanging="360"/>
      </w:pPr>
      <w:rPr>
        <w:rFonts w:hint="default"/>
        <w:b/>
      </w:rPr>
    </w:lvl>
    <w:lvl w:ilvl="1">
      <w:start w:val="1"/>
      <w:numFmt w:val="decimal"/>
      <w:isLgl/>
      <w:lvlText w:val="%1.%2."/>
      <w:lvlJc w:val="left"/>
      <w:pPr>
        <w:ind w:left="2422" w:hanging="720"/>
      </w:pPr>
      <w:rPr>
        <w:rFonts w:ascii="Times New Roman" w:hAnsi="Times New Roman" w:cs="Times New Roman" w:hint="default"/>
        <w:b/>
        <w:color w:val="auto"/>
      </w:rPr>
    </w:lvl>
    <w:lvl w:ilvl="2">
      <w:start w:val="1"/>
      <w:numFmt w:val="decimal"/>
      <w:isLgl/>
      <w:lvlText w:val="%1.%2.%3."/>
      <w:lvlJc w:val="left"/>
      <w:pPr>
        <w:ind w:left="1440" w:hanging="720"/>
      </w:pPr>
      <w:rPr>
        <w:rFonts w:ascii="Times New Roman" w:hAnsi="Times New Roman" w:cs="Times New Roman" w:hint="default"/>
        <w:i w:val="0"/>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49" w15:restartNumberingAfterBreak="0">
    <w:nsid w:val="6599705B"/>
    <w:multiLevelType w:val="hybridMultilevel"/>
    <w:tmpl w:val="17AECCD2"/>
    <w:lvl w:ilvl="0" w:tplc="41DAC28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8997246"/>
    <w:multiLevelType w:val="hybridMultilevel"/>
    <w:tmpl w:val="EE7E0822"/>
    <w:lvl w:ilvl="0" w:tplc="9E1AE9D8">
      <w:numFmt w:val="bullet"/>
      <w:lvlText w:val="-"/>
      <w:lvlJc w:val="left"/>
      <w:pPr>
        <w:ind w:left="1440" w:hanging="360"/>
      </w:pPr>
      <w:rPr>
        <w:rFonts w:ascii="Times New Roman" w:eastAsiaTheme="minorHAnsi" w:hAnsi="Times New Roman" w:cs="Times New Roman" w:hint="default"/>
        <w:b/>
      </w:rPr>
    </w:lvl>
    <w:lvl w:ilvl="1" w:tplc="69C88262">
      <w:start w:val="1"/>
      <w:numFmt w:val="decimal"/>
      <w:lvlText w:val="%2)"/>
      <w:lvlJc w:val="left"/>
      <w:pPr>
        <w:ind w:left="786" w:hanging="360"/>
      </w:pPr>
      <w:rPr>
        <w:rFonts w:hint="default"/>
        <w:b w:val="0"/>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8C35397"/>
    <w:multiLevelType w:val="hybridMultilevel"/>
    <w:tmpl w:val="10084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ACD11B3"/>
    <w:multiLevelType w:val="hybridMultilevel"/>
    <w:tmpl w:val="E0AEFF7E"/>
    <w:lvl w:ilvl="0" w:tplc="3CD62F8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6B2F3402"/>
    <w:multiLevelType w:val="hybridMultilevel"/>
    <w:tmpl w:val="DF7A0F4C"/>
    <w:lvl w:ilvl="0" w:tplc="9E1AE9D8">
      <w:numFmt w:val="bullet"/>
      <w:lvlText w:val="-"/>
      <w:lvlJc w:val="left"/>
      <w:pPr>
        <w:ind w:left="1440" w:hanging="360"/>
      </w:pPr>
      <w:rPr>
        <w:rFonts w:ascii="Times New Roman" w:eastAsiaTheme="minorHAnsi"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6CD32415"/>
    <w:multiLevelType w:val="hybridMultilevel"/>
    <w:tmpl w:val="689CA4B6"/>
    <w:lvl w:ilvl="0" w:tplc="7D9079D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D920C3"/>
    <w:multiLevelType w:val="hybridMultilevel"/>
    <w:tmpl w:val="20304A0A"/>
    <w:lvl w:ilvl="0" w:tplc="CC209B5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705951F0"/>
    <w:multiLevelType w:val="hybridMultilevel"/>
    <w:tmpl w:val="304AEC9A"/>
    <w:lvl w:ilvl="0" w:tplc="9E1AE9D8">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44A1824"/>
    <w:multiLevelType w:val="hybridMultilevel"/>
    <w:tmpl w:val="9A32F5EE"/>
    <w:lvl w:ilvl="0" w:tplc="B51ED9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9" w15:restartNumberingAfterBreak="0">
    <w:nsid w:val="746E768D"/>
    <w:multiLevelType w:val="hybridMultilevel"/>
    <w:tmpl w:val="18C82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71C3CE1"/>
    <w:multiLevelType w:val="hybridMultilevel"/>
    <w:tmpl w:val="0714D578"/>
    <w:lvl w:ilvl="0" w:tplc="246E1C2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76B0FB8"/>
    <w:multiLevelType w:val="hybridMultilevel"/>
    <w:tmpl w:val="8DBCE02A"/>
    <w:lvl w:ilvl="0" w:tplc="9E1AE9D8">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839014D"/>
    <w:multiLevelType w:val="hybridMultilevel"/>
    <w:tmpl w:val="8EFE2C5E"/>
    <w:lvl w:ilvl="0" w:tplc="8C42422C">
      <w:start w:val="1"/>
      <w:numFmt w:val="decimal"/>
      <w:lvlText w:val="%1)"/>
      <w:lvlJc w:val="left"/>
      <w:pPr>
        <w:ind w:left="1418" w:hanging="360"/>
      </w:pPr>
      <w:rPr>
        <w:rFonts w:ascii="Times New Roman" w:eastAsiaTheme="minorHAnsi" w:hAnsi="Times New Roman" w:cs="Times New Roman"/>
        <w:b w:val="0"/>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3" w15:restartNumberingAfterBreak="0">
    <w:nsid w:val="7BCB5DAB"/>
    <w:multiLevelType w:val="hybridMultilevel"/>
    <w:tmpl w:val="E04A0082"/>
    <w:lvl w:ilvl="0" w:tplc="FF6459BA">
      <w:start w:val="1"/>
      <w:numFmt w:val="decimal"/>
      <w:lvlText w:val="%1)"/>
      <w:lvlJc w:val="left"/>
      <w:pPr>
        <w:ind w:left="1069" w:hanging="360"/>
      </w:pPr>
      <w:rPr>
        <w:rFonts w:ascii="Times New Roman" w:eastAsiaTheme="minorHAnsi" w:hAnsi="Times New Roman" w:cs="Times New Roman"/>
        <w:b w:val="0"/>
      </w:rPr>
    </w:lvl>
    <w:lvl w:ilvl="1" w:tplc="D22A47A4">
      <w:start w:val="1"/>
      <w:numFmt w:val="lowerLetter"/>
      <w:lvlText w:val="%2)"/>
      <w:lvlJc w:val="left"/>
      <w:pPr>
        <w:ind w:left="1834" w:hanging="405"/>
      </w:pPr>
      <w:rPr>
        <w:rFonts w:hint="default"/>
        <w:b w:val="0"/>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4" w15:restartNumberingAfterBreak="0">
    <w:nsid w:val="7BFA069F"/>
    <w:multiLevelType w:val="hybridMultilevel"/>
    <w:tmpl w:val="DFBA8784"/>
    <w:lvl w:ilvl="0" w:tplc="43AEF670">
      <w:start w:val="1"/>
      <w:numFmt w:val="decimal"/>
      <w:lvlText w:val="%1)"/>
      <w:lvlJc w:val="left"/>
      <w:pPr>
        <w:ind w:left="720" w:hanging="360"/>
      </w:pPr>
      <w:rPr>
        <w:rFonts w:ascii="Times New Roman" w:eastAsia="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C4C508B"/>
    <w:multiLevelType w:val="hybridMultilevel"/>
    <w:tmpl w:val="6A8E44B4"/>
    <w:lvl w:ilvl="0" w:tplc="7ABE2D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CA76661"/>
    <w:multiLevelType w:val="hybridMultilevel"/>
    <w:tmpl w:val="0C46134E"/>
    <w:lvl w:ilvl="0" w:tplc="633692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7" w15:restartNumberingAfterBreak="0">
    <w:nsid w:val="7CF4791B"/>
    <w:multiLevelType w:val="hybridMultilevel"/>
    <w:tmpl w:val="A8F8A568"/>
    <w:lvl w:ilvl="0" w:tplc="B1D6EDEC">
      <w:start w:val="5"/>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3"/>
  </w:num>
  <w:num w:numId="3">
    <w:abstractNumId w:val="54"/>
  </w:num>
  <w:num w:numId="4">
    <w:abstractNumId w:val="30"/>
  </w:num>
  <w:num w:numId="5">
    <w:abstractNumId w:val="39"/>
  </w:num>
  <w:num w:numId="6">
    <w:abstractNumId w:val="18"/>
  </w:num>
  <w:num w:numId="7">
    <w:abstractNumId w:val="38"/>
  </w:num>
  <w:num w:numId="8">
    <w:abstractNumId w:val="63"/>
  </w:num>
  <w:num w:numId="9">
    <w:abstractNumId w:val="49"/>
  </w:num>
  <w:num w:numId="10">
    <w:abstractNumId w:val="24"/>
  </w:num>
  <w:num w:numId="11">
    <w:abstractNumId w:val="10"/>
  </w:num>
  <w:num w:numId="12">
    <w:abstractNumId w:val="62"/>
  </w:num>
  <w:num w:numId="13">
    <w:abstractNumId w:val="11"/>
  </w:num>
  <w:num w:numId="14">
    <w:abstractNumId w:val="46"/>
  </w:num>
  <w:num w:numId="15">
    <w:abstractNumId w:val="31"/>
  </w:num>
  <w:num w:numId="16">
    <w:abstractNumId w:val="36"/>
  </w:num>
  <w:num w:numId="17">
    <w:abstractNumId w:val="16"/>
  </w:num>
  <w:num w:numId="18">
    <w:abstractNumId w:val="14"/>
  </w:num>
  <w:num w:numId="19">
    <w:abstractNumId w:val="53"/>
  </w:num>
  <w:num w:numId="20">
    <w:abstractNumId w:val="28"/>
  </w:num>
  <w:num w:numId="21">
    <w:abstractNumId w:val="50"/>
  </w:num>
  <w:num w:numId="22">
    <w:abstractNumId w:val="20"/>
  </w:num>
  <w:num w:numId="23">
    <w:abstractNumId w:val="64"/>
  </w:num>
  <w:num w:numId="24">
    <w:abstractNumId w:val="41"/>
  </w:num>
  <w:num w:numId="25">
    <w:abstractNumId w:val="3"/>
  </w:num>
  <w:num w:numId="26">
    <w:abstractNumId w:val="34"/>
  </w:num>
  <w:num w:numId="27">
    <w:abstractNumId w:val="61"/>
  </w:num>
  <w:num w:numId="28">
    <w:abstractNumId w:val="57"/>
  </w:num>
  <w:num w:numId="29">
    <w:abstractNumId w:val="22"/>
  </w:num>
  <w:num w:numId="30">
    <w:abstractNumId w:val="52"/>
  </w:num>
  <w:num w:numId="31">
    <w:abstractNumId w:val="35"/>
  </w:num>
  <w:num w:numId="32">
    <w:abstractNumId w:val="15"/>
  </w:num>
  <w:num w:numId="33">
    <w:abstractNumId w:val="44"/>
    <w:lvlOverride w:ilvl="0"/>
    <w:lvlOverride w:ilvl="1">
      <w:startOverride w:val="1"/>
    </w:lvlOverride>
    <w:lvlOverride w:ilvl="2"/>
    <w:lvlOverride w:ilvl="3"/>
    <w:lvlOverride w:ilvl="4"/>
    <w:lvlOverride w:ilvl="5"/>
    <w:lvlOverride w:ilvl="6"/>
    <w:lvlOverride w:ilvl="7"/>
    <w:lvlOverride w:ilvl="8"/>
  </w:num>
  <w:num w:numId="34">
    <w:abstractNumId w:val="56"/>
  </w:num>
  <w:num w:numId="35">
    <w:abstractNumId w:val="55"/>
  </w:num>
  <w:num w:numId="36">
    <w:abstractNumId w:val="48"/>
  </w:num>
  <w:num w:numId="37">
    <w:abstractNumId w:val="65"/>
  </w:num>
  <w:num w:numId="38">
    <w:abstractNumId w:val="12"/>
  </w:num>
  <w:num w:numId="39">
    <w:abstractNumId w:val="23"/>
  </w:num>
  <w:num w:numId="40">
    <w:abstractNumId w:val="37"/>
  </w:num>
  <w:num w:numId="41">
    <w:abstractNumId w:val="17"/>
  </w:num>
  <w:num w:numId="42">
    <w:abstractNumId w:val="7"/>
  </w:num>
  <w:num w:numId="43">
    <w:abstractNumId w:val="42"/>
  </w:num>
  <w:num w:numId="44">
    <w:abstractNumId w:val="27"/>
  </w:num>
  <w:num w:numId="45">
    <w:abstractNumId w:val="9"/>
  </w:num>
  <w:num w:numId="46">
    <w:abstractNumId w:val="66"/>
  </w:num>
  <w:num w:numId="47">
    <w:abstractNumId w:val="51"/>
  </w:num>
  <w:num w:numId="48">
    <w:abstractNumId w:val="29"/>
  </w:num>
  <w:num w:numId="49">
    <w:abstractNumId w:val="25"/>
  </w:num>
  <w:num w:numId="50">
    <w:abstractNumId w:val="1"/>
  </w:num>
  <w:num w:numId="51">
    <w:abstractNumId w:val="43"/>
  </w:num>
  <w:num w:numId="52">
    <w:abstractNumId w:val="4"/>
  </w:num>
  <w:num w:numId="53">
    <w:abstractNumId w:val="59"/>
  </w:num>
  <w:num w:numId="54">
    <w:abstractNumId w:val="60"/>
  </w:num>
  <w:num w:numId="55">
    <w:abstractNumId w:val="6"/>
  </w:num>
  <w:num w:numId="56">
    <w:abstractNumId w:val="13"/>
  </w:num>
  <w:num w:numId="57">
    <w:abstractNumId w:val="26"/>
  </w:num>
  <w:num w:numId="58">
    <w:abstractNumId w:val="21"/>
  </w:num>
  <w:num w:numId="59">
    <w:abstractNumId w:val="5"/>
  </w:num>
  <w:num w:numId="60">
    <w:abstractNumId w:val="45"/>
  </w:num>
  <w:num w:numId="61">
    <w:abstractNumId w:val="47"/>
  </w:num>
  <w:num w:numId="62">
    <w:abstractNumId w:val="32"/>
  </w:num>
  <w:num w:numId="63">
    <w:abstractNumId w:val="0"/>
  </w:num>
  <w:num w:numId="64">
    <w:abstractNumId w:val="40"/>
  </w:num>
  <w:num w:numId="65">
    <w:abstractNumId w:val="58"/>
  </w:num>
  <w:num w:numId="66">
    <w:abstractNumId w:val="67"/>
  </w:num>
  <w:num w:numId="67">
    <w:abstractNumId w:val="2"/>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A"/>
    <w:rsid w:val="00001E57"/>
    <w:rsid w:val="0000277F"/>
    <w:rsid w:val="0000578F"/>
    <w:rsid w:val="00006E70"/>
    <w:rsid w:val="00007230"/>
    <w:rsid w:val="00007D7D"/>
    <w:rsid w:val="000102CF"/>
    <w:rsid w:val="00010C4B"/>
    <w:rsid w:val="00011063"/>
    <w:rsid w:val="00011633"/>
    <w:rsid w:val="0001282F"/>
    <w:rsid w:val="0001364B"/>
    <w:rsid w:val="00014013"/>
    <w:rsid w:val="00014623"/>
    <w:rsid w:val="0001590C"/>
    <w:rsid w:val="00015990"/>
    <w:rsid w:val="00015B9C"/>
    <w:rsid w:val="000163A6"/>
    <w:rsid w:val="00021BB3"/>
    <w:rsid w:val="00022601"/>
    <w:rsid w:val="00022D5B"/>
    <w:rsid w:val="00023DF3"/>
    <w:rsid w:val="000255AF"/>
    <w:rsid w:val="0002692C"/>
    <w:rsid w:val="000270A4"/>
    <w:rsid w:val="00027AD4"/>
    <w:rsid w:val="00030E74"/>
    <w:rsid w:val="000327F4"/>
    <w:rsid w:val="000329B8"/>
    <w:rsid w:val="00033DCF"/>
    <w:rsid w:val="00035E60"/>
    <w:rsid w:val="0003633E"/>
    <w:rsid w:val="000365E4"/>
    <w:rsid w:val="000374B4"/>
    <w:rsid w:val="00037E08"/>
    <w:rsid w:val="0004004D"/>
    <w:rsid w:val="0004220A"/>
    <w:rsid w:val="00044461"/>
    <w:rsid w:val="000455D1"/>
    <w:rsid w:val="00047082"/>
    <w:rsid w:val="00047B56"/>
    <w:rsid w:val="00047F46"/>
    <w:rsid w:val="00051B85"/>
    <w:rsid w:val="000539EE"/>
    <w:rsid w:val="000540A5"/>
    <w:rsid w:val="00056DF2"/>
    <w:rsid w:val="00060A5C"/>
    <w:rsid w:val="00061A2D"/>
    <w:rsid w:val="00062506"/>
    <w:rsid w:val="00062F91"/>
    <w:rsid w:val="0006362B"/>
    <w:rsid w:val="0006508C"/>
    <w:rsid w:val="00065B35"/>
    <w:rsid w:val="000662F1"/>
    <w:rsid w:val="00070710"/>
    <w:rsid w:val="00073C7D"/>
    <w:rsid w:val="00077CCD"/>
    <w:rsid w:val="00080927"/>
    <w:rsid w:val="00081074"/>
    <w:rsid w:val="00083C50"/>
    <w:rsid w:val="0008597D"/>
    <w:rsid w:val="0008700F"/>
    <w:rsid w:val="000930DA"/>
    <w:rsid w:val="00095D26"/>
    <w:rsid w:val="0009643F"/>
    <w:rsid w:val="000965EB"/>
    <w:rsid w:val="0009786A"/>
    <w:rsid w:val="000A08AB"/>
    <w:rsid w:val="000A2714"/>
    <w:rsid w:val="000A3334"/>
    <w:rsid w:val="000A4E80"/>
    <w:rsid w:val="000A54BE"/>
    <w:rsid w:val="000A5D5C"/>
    <w:rsid w:val="000A66C3"/>
    <w:rsid w:val="000B08DE"/>
    <w:rsid w:val="000B1006"/>
    <w:rsid w:val="000B583A"/>
    <w:rsid w:val="000B5EE2"/>
    <w:rsid w:val="000B6FC8"/>
    <w:rsid w:val="000C0DD2"/>
    <w:rsid w:val="000C1DC5"/>
    <w:rsid w:val="000C2BF0"/>
    <w:rsid w:val="000C2E77"/>
    <w:rsid w:val="000C30E4"/>
    <w:rsid w:val="000C4636"/>
    <w:rsid w:val="000C7445"/>
    <w:rsid w:val="000C757C"/>
    <w:rsid w:val="000D5B38"/>
    <w:rsid w:val="000D784F"/>
    <w:rsid w:val="000D7C18"/>
    <w:rsid w:val="000E0164"/>
    <w:rsid w:val="000E14C9"/>
    <w:rsid w:val="000E19A1"/>
    <w:rsid w:val="000E40E1"/>
    <w:rsid w:val="000E51B2"/>
    <w:rsid w:val="000E55ED"/>
    <w:rsid w:val="000E5D4E"/>
    <w:rsid w:val="000E740D"/>
    <w:rsid w:val="000F0D5B"/>
    <w:rsid w:val="000F1BD0"/>
    <w:rsid w:val="000F1DC1"/>
    <w:rsid w:val="000F2BA8"/>
    <w:rsid w:val="000F3D30"/>
    <w:rsid w:val="000F6400"/>
    <w:rsid w:val="000F71E2"/>
    <w:rsid w:val="0010116E"/>
    <w:rsid w:val="001013B3"/>
    <w:rsid w:val="001017ED"/>
    <w:rsid w:val="00101B86"/>
    <w:rsid w:val="001027FE"/>
    <w:rsid w:val="00102BAE"/>
    <w:rsid w:val="00105EA2"/>
    <w:rsid w:val="00106D09"/>
    <w:rsid w:val="00106EA4"/>
    <w:rsid w:val="00107CD1"/>
    <w:rsid w:val="0011168F"/>
    <w:rsid w:val="00111D91"/>
    <w:rsid w:val="001124F2"/>
    <w:rsid w:val="00113C8C"/>
    <w:rsid w:val="00113D7D"/>
    <w:rsid w:val="001155EF"/>
    <w:rsid w:val="0011600F"/>
    <w:rsid w:val="00117B0E"/>
    <w:rsid w:val="00120BF6"/>
    <w:rsid w:val="00126DC3"/>
    <w:rsid w:val="00127F30"/>
    <w:rsid w:val="00131297"/>
    <w:rsid w:val="00131A44"/>
    <w:rsid w:val="001324B1"/>
    <w:rsid w:val="001331FA"/>
    <w:rsid w:val="00134380"/>
    <w:rsid w:val="00136D23"/>
    <w:rsid w:val="00136D69"/>
    <w:rsid w:val="001371D8"/>
    <w:rsid w:val="00137AA9"/>
    <w:rsid w:val="001400F6"/>
    <w:rsid w:val="0014032C"/>
    <w:rsid w:val="001409D2"/>
    <w:rsid w:val="001415D6"/>
    <w:rsid w:val="001433E9"/>
    <w:rsid w:val="00144250"/>
    <w:rsid w:val="0014482C"/>
    <w:rsid w:val="00144D6B"/>
    <w:rsid w:val="00144E8B"/>
    <w:rsid w:val="001456FB"/>
    <w:rsid w:val="001457DB"/>
    <w:rsid w:val="00146272"/>
    <w:rsid w:val="001462C4"/>
    <w:rsid w:val="001525D9"/>
    <w:rsid w:val="00153E05"/>
    <w:rsid w:val="001556EE"/>
    <w:rsid w:val="001567F7"/>
    <w:rsid w:val="00157E61"/>
    <w:rsid w:val="0016015E"/>
    <w:rsid w:val="00160720"/>
    <w:rsid w:val="00161872"/>
    <w:rsid w:val="001627B7"/>
    <w:rsid w:val="00164046"/>
    <w:rsid w:val="0016444A"/>
    <w:rsid w:val="00167873"/>
    <w:rsid w:val="00167D60"/>
    <w:rsid w:val="0017025F"/>
    <w:rsid w:val="0017029E"/>
    <w:rsid w:val="00170705"/>
    <w:rsid w:val="00170A91"/>
    <w:rsid w:val="00172E55"/>
    <w:rsid w:val="00173BDF"/>
    <w:rsid w:val="0017438C"/>
    <w:rsid w:val="0017615F"/>
    <w:rsid w:val="001762F2"/>
    <w:rsid w:val="0017687D"/>
    <w:rsid w:val="0017763B"/>
    <w:rsid w:val="00177769"/>
    <w:rsid w:val="0018083E"/>
    <w:rsid w:val="00181F24"/>
    <w:rsid w:val="001853BE"/>
    <w:rsid w:val="00186FA2"/>
    <w:rsid w:val="001914F1"/>
    <w:rsid w:val="0019265E"/>
    <w:rsid w:val="00193257"/>
    <w:rsid w:val="00193F92"/>
    <w:rsid w:val="0019461C"/>
    <w:rsid w:val="00194FAD"/>
    <w:rsid w:val="001978D9"/>
    <w:rsid w:val="00197D11"/>
    <w:rsid w:val="001A1023"/>
    <w:rsid w:val="001A257B"/>
    <w:rsid w:val="001A2DA5"/>
    <w:rsid w:val="001A5021"/>
    <w:rsid w:val="001A5A0A"/>
    <w:rsid w:val="001A6211"/>
    <w:rsid w:val="001A75C8"/>
    <w:rsid w:val="001B0701"/>
    <w:rsid w:val="001B1B55"/>
    <w:rsid w:val="001B217E"/>
    <w:rsid w:val="001B21E3"/>
    <w:rsid w:val="001B2E91"/>
    <w:rsid w:val="001B563B"/>
    <w:rsid w:val="001B6934"/>
    <w:rsid w:val="001B78E8"/>
    <w:rsid w:val="001B7B50"/>
    <w:rsid w:val="001D0E0E"/>
    <w:rsid w:val="001D2525"/>
    <w:rsid w:val="001D4CEB"/>
    <w:rsid w:val="001D59BD"/>
    <w:rsid w:val="001E0D64"/>
    <w:rsid w:val="001E1A4C"/>
    <w:rsid w:val="001E26A4"/>
    <w:rsid w:val="001E4078"/>
    <w:rsid w:val="001F0CA7"/>
    <w:rsid w:val="001F138C"/>
    <w:rsid w:val="001F2694"/>
    <w:rsid w:val="001F2788"/>
    <w:rsid w:val="001F41B1"/>
    <w:rsid w:val="001F6FA2"/>
    <w:rsid w:val="001F7850"/>
    <w:rsid w:val="001F7AF9"/>
    <w:rsid w:val="001F7ECC"/>
    <w:rsid w:val="001F7FA1"/>
    <w:rsid w:val="0020082E"/>
    <w:rsid w:val="00200E5F"/>
    <w:rsid w:val="00201A78"/>
    <w:rsid w:val="002022C4"/>
    <w:rsid w:val="002054A6"/>
    <w:rsid w:val="00206499"/>
    <w:rsid w:val="00207E22"/>
    <w:rsid w:val="00210AA8"/>
    <w:rsid w:val="00210DDB"/>
    <w:rsid w:val="002131A1"/>
    <w:rsid w:val="00213D6F"/>
    <w:rsid w:val="00214457"/>
    <w:rsid w:val="00215043"/>
    <w:rsid w:val="0021526C"/>
    <w:rsid w:val="00215862"/>
    <w:rsid w:val="002161BC"/>
    <w:rsid w:val="002211D9"/>
    <w:rsid w:val="00222A69"/>
    <w:rsid w:val="00223DFF"/>
    <w:rsid w:val="00224301"/>
    <w:rsid w:val="002263CD"/>
    <w:rsid w:val="00230C9C"/>
    <w:rsid w:val="00235F00"/>
    <w:rsid w:val="00242E3C"/>
    <w:rsid w:val="0024413D"/>
    <w:rsid w:val="00245688"/>
    <w:rsid w:val="0025357B"/>
    <w:rsid w:val="002536A6"/>
    <w:rsid w:val="00253D1F"/>
    <w:rsid w:val="00254770"/>
    <w:rsid w:val="0025656B"/>
    <w:rsid w:val="00257278"/>
    <w:rsid w:val="00260D80"/>
    <w:rsid w:val="0026206F"/>
    <w:rsid w:val="00262429"/>
    <w:rsid w:val="002642C2"/>
    <w:rsid w:val="002646F4"/>
    <w:rsid w:val="00264F2A"/>
    <w:rsid w:val="00265EB4"/>
    <w:rsid w:val="00265FCE"/>
    <w:rsid w:val="0026684F"/>
    <w:rsid w:val="00267134"/>
    <w:rsid w:val="00270C19"/>
    <w:rsid w:val="00271CE9"/>
    <w:rsid w:val="00272FCE"/>
    <w:rsid w:val="00274629"/>
    <w:rsid w:val="00275AED"/>
    <w:rsid w:val="002810B6"/>
    <w:rsid w:val="00281CEF"/>
    <w:rsid w:val="00281D20"/>
    <w:rsid w:val="00290A73"/>
    <w:rsid w:val="002912A0"/>
    <w:rsid w:val="0029193D"/>
    <w:rsid w:val="00296191"/>
    <w:rsid w:val="00296361"/>
    <w:rsid w:val="002A0761"/>
    <w:rsid w:val="002A2335"/>
    <w:rsid w:val="002A627A"/>
    <w:rsid w:val="002A63F7"/>
    <w:rsid w:val="002A735E"/>
    <w:rsid w:val="002A752C"/>
    <w:rsid w:val="002A76AB"/>
    <w:rsid w:val="002A78EA"/>
    <w:rsid w:val="002A7C8A"/>
    <w:rsid w:val="002B0268"/>
    <w:rsid w:val="002B0E80"/>
    <w:rsid w:val="002B0E86"/>
    <w:rsid w:val="002B2AD0"/>
    <w:rsid w:val="002B2F67"/>
    <w:rsid w:val="002B352E"/>
    <w:rsid w:val="002B4250"/>
    <w:rsid w:val="002B73A6"/>
    <w:rsid w:val="002B73BA"/>
    <w:rsid w:val="002B7462"/>
    <w:rsid w:val="002C20A3"/>
    <w:rsid w:val="002C2B20"/>
    <w:rsid w:val="002C2C91"/>
    <w:rsid w:val="002C372D"/>
    <w:rsid w:val="002C42C3"/>
    <w:rsid w:val="002C6273"/>
    <w:rsid w:val="002C6369"/>
    <w:rsid w:val="002C6E54"/>
    <w:rsid w:val="002D55D6"/>
    <w:rsid w:val="002E0AD2"/>
    <w:rsid w:val="002E22E4"/>
    <w:rsid w:val="002E2869"/>
    <w:rsid w:val="002E3849"/>
    <w:rsid w:val="002E4D43"/>
    <w:rsid w:val="002E67F5"/>
    <w:rsid w:val="002E6964"/>
    <w:rsid w:val="002E7422"/>
    <w:rsid w:val="002E7E1D"/>
    <w:rsid w:val="002F06C4"/>
    <w:rsid w:val="002F07F6"/>
    <w:rsid w:val="002F10CF"/>
    <w:rsid w:val="002F55AF"/>
    <w:rsid w:val="002F7058"/>
    <w:rsid w:val="0030022C"/>
    <w:rsid w:val="0030149A"/>
    <w:rsid w:val="0030527D"/>
    <w:rsid w:val="003057E7"/>
    <w:rsid w:val="00311B5F"/>
    <w:rsid w:val="00312573"/>
    <w:rsid w:val="0031340D"/>
    <w:rsid w:val="0031459E"/>
    <w:rsid w:val="00315112"/>
    <w:rsid w:val="00317111"/>
    <w:rsid w:val="003177F5"/>
    <w:rsid w:val="00317E35"/>
    <w:rsid w:val="003222D5"/>
    <w:rsid w:val="00324D69"/>
    <w:rsid w:val="00325300"/>
    <w:rsid w:val="00326D63"/>
    <w:rsid w:val="0033051A"/>
    <w:rsid w:val="00330F9D"/>
    <w:rsid w:val="003319B2"/>
    <w:rsid w:val="003319E0"/>
    <w:rsid w:val="003319EC"/>
    <w:rsid w:val="00331BF4"/>
    <w:rsid w:val="003324CF"/>
    <w:rsid w:val="0033343E"/>
    <w:rsid w:val="0033543F"/>
    <w:rsid w:val="003355C7"/>
    <w:rsid w:val="00335F4A"/>
    <w:rsid w:val="00337622"/>
    <w:rsid w:val="00340259"/>
    <w:rsid w:val="00341F8A"/>
    <w:rsid w:val="003442F2"/>
    <w:rsid w:val="0034541C"/>
    <w:rsid w:val="00346DEB"/>
    <w:rsid w:val="003556DA"/>
    <w:rsid w:val="00356FE2"/>
    <w:rsid w:val="0036056D"/>
    <w:rsid w:val="00361841"/>
    <w:rsid w:val="00361A2C"/>
    <w:rsid w:val="00363830"/>
    <w:rsid w:val="00363DC4"/>
    <w:rsid w:val="00364413"/>
    <w:rsid w:val="00365C38"/>
    <w:rsid w:val="003669CF"/>
    <w:rsid w:val="0037028F"/>
    <w:rsid w:val="003705A7"/>
    <w:rsid w:val="00371186"/>
    <w:rsid w:val="00371707"/>
    <w:rsid w:val="003725D7"/>
    <w:rsid w:val="0037494A"/>
    <w:rsid w:val="00375F15"/>
    <w:rsid w:val="00376128"/>
    <w:rsid w:val="00380975"/>
    <w:rsid w:val="003821BC"/>
    <w:rsid w:val="0038699A"/>
    <w:rsid w:val="00386A6D"/>
    <w:rsid w:val="00387548"/>
    <w:rsid w:val="0039139E"/>
    <w:rsid w:val="00391BD1"/>
    <w:rsid w:val="00392314"/>
    <w:rsid w:val="00394685"/>
    <w:rsid w:val="0039483E"/>
    <w:rsid w:val="00394D5E"/>
    <w:rsid w:val="00394FC3"/>
    <w:rsid w:val="0039543D"/>
    <w:rsid w:val="00395459"/>
    <w:rsid w:val="00396566"/>
    <w:rsid w:val="003A3838"/>
    <w:rsid w:val="003A4803"/>
    <w:rsid w:val="003A4FC9"/>
    <w:rsid w:val="003A54CF"/>
    <w:rsid w:val="003A65BC"/>
    <w:rsid w:val="003A6C11"/>
    <w:rsid w:val="003A7DD9"/>
    <w:rsid w:val="003B153C"/>
    <w:rsid w:val="003B1D89"/>
    <w:rsid w:val="003B28E8"/>
    <w:rsid w:val="003B5C91"/>
    <w:rsid w:val="003C1214"/>
    <w:rsid w:val="003C336C"/>
    <w:rsid w:val="003C404E"/>
    <w:rsid w:val="003C6078"/>
    <w:rsid w:val="003C7CAD"/>
    <w:rsid w:val="003D0F23"/>
    <w:rsid w:val="003D561F"/>
    <w:rsid w:val="003D68AF"/>
    <w:rsid w:val="003D694C"/>
    <w:rsid w:val="003D6CEC"/>
    <w:rsid w:val="003D79EC"/>
    <w:rsid w:val="003D7E7E"/>
    <w:rsid w:val="003E0395"/>
    <w:rsid w:val="003E0820"/>
    <w:rsid w:val="003E0EE2"/>
    <w:rsid w:val="003E19CB"/>
    <w:rsid w:val="003E2E6C"/>
    <w:rsid w:val="003E34D2"/>
    <w:rsid w:val="003E466C"/>
    <w:rsid w:val="003E6AB0"/>
    <w:rsid w:val="003E7296"/>
    <w:rsid w:val="003E7842"/>
    <w:rsid w:val="003F0393"/>
    <w:rsid w:val="003F0924"/>
    <w:rsid w:val="003F3520"/>
    <w:rsid w:val="003F5F6E"/>
    <w:rsid w:val="003F64BA"/>
    <w:rsid w:val="003F7E49"/>
    <w:rsid w:val="0040277E"/>
    <w:rsid w:val="004031D6"/>
    <w:rsid w:val="0040327C"/>
    <w:rsid w:val="00404679"/>
    <w:rsid w:val="0040517A"/>
    <w:rsid w:val="00405853"/>
    <w:rsid w:val="00406341"/>
    <w:rsid w:val="004065EE"/>
    <w:rsid w:val="00406AFE"/>
    <w:rsid w:val="0041022E"/>
    <w:rsid w:val="0041099D"/>
    <w:rsid w:val="00411319"/>
    <w:rsid w:val="00413BFC"/>
    <w:rsid w:val="00416ADE"/>
    <w:rsid w:val="004202EC"/>
    <w:rsid w:val="00421D08"/>
    <w:rsid w:val="00422B7B"/>
    <w:rsid w:val="00422CB7"/>
    <w:rsid w:val="004231B6"/>
    <w:rsid w:val="0042368B"/>
    <w:rsid w:val="00423B87"/>
    <w:rsid w:val="0042570E"/>
    <w:rsid w:val="00425EA1"/>
    <w:rsid w:val="00426632"/>
    <w:rsid w:val="004266CC"/>
    <w:rsid w:val="00427D08"/>
    <w:rsid w:val="0043183F"/>
    <w:rsid w:val="00431DA2"/>
    <w:rsid w:val="004324A6"/>
    <w:rsid w:val="00434639"/>
    <w:rsid w:val="00434D44"/>
    <w:rsid w:val="00435C37"/>
    <w:rsid w:val="0043681F"/>
    <w:rsid w:val="00440663"/>
    <w:rsid w:val="0044115C"/>
    <w:rsid w:val="0044582A"/>
    <w:rsid w:val="00446311"/>
    <w:rsid w:val="0045044E"/>
    <w:rsid w:val="00450611"/>
    <w:rsid w:val="00450660"/>
    <w:rsid w:val="0045225C"/>
    <w:rsid w:val="00453A61"/>
    <w:rsid w:val="00460056"/>
    <w:rsid w:val="00460B0A"/>
    <w:rsid w:val="0046129F"/>
    <w:rsid w:val="00461451"/>
    <w:rsid w:val="0046270E"/>
    <w:rsid w:val="00462D9E"/>
    <w:rsid w:val="00465EC8"/>
    <w:rsid w:val="004707B1"/>
    <w:rsid w:val="00471DB7"/>
    <w:rsid w:val="00473DA7"/>
    <w:rsid w:val="00473E90"/>
    <w:rsid w:val="00475697"/>
    <w:rsid w:val="00480252"/>
    <w:rsid w:val="00481552"/>
    <w:rsid w:val="00483F95"/>
    <w:rsid w:val="00486F35"/>
    <w:rsid w:val="00487A33"/>
    <w:rsid w:val="0049109D"/>
    <w:rsid w:val="0049119A"/>
    <w:rsid w:val="004914F9"/>
    <w:rsid w:val="0049225A"/>
    <w:rsid w:val="00492933"/>
    <w:rsid w:val="00494967"/>
    <w:rsid w:val="0049690C"/>
    <w:rsid w:val="004A02DB"/>
    <w:rsid w:val="004A1030"/>
    <w:rsid w:val="004A1B32"/>
    <w:rsid w:val="004A241E"/>
    <w:rsid w:val="004A2CCF"/>
    <w:rsid w:val="004A2D02"/>
    <w:rsid w:val="004A317B"/>
    <w:rsid w:val="004A389B"/>
    <w:rsid w:val="004A530C"/>
    <w:rsid w:val="004A71DA"/>
    <w:rsid w:val="004B0B50"/>
    <w:rsid w:val="004B3FB6"/>
    <w:rsid w:val="004B5452"/>
    <w:rsid w:val="004B5D92"/>
    <w:rsid w:val="004B64DE"/>
    <w:rsid w:val="004B7743"/>
    <w:rsid w:val="004C267E"/>
    <w:rsid w:val="004C328E"/>
    <w:rsid w:val="004C4A20"/>
    <w:rsid w:val="004C794E"/>
    <w:rsid w:val="004D0C6C"/>
    <w:rsid w:val="004D1131"/>
    <w:rsid w:val="004D18C1"/>
    <w:rsid w:val="004D1C21"/>
    <w:rsid w:val="004D2135"/>
    <w:rsid w:val="004D2478"/>
    <w:rsid w:val="004D2DBC"/>
    <w:rsid w:val="004D355D"/>
    <w:rsid w:val="004D367C"/>
    <w:rsid w:val="004D3EA8"/>
    <w:rsid w:val="004D4626"/>
    <w:rsid w:val="004D474A"/>
    <w:rsid w:val="004E0848"/>
    <w:rsid w:val="004E166E"/>
    <w:rsid w:val="004E2D43"/>
    <w:rsid w:val="004E42F1"/>
    <w:rsid w:val="004E5482"/>
    <w:rsid w:val="004E5D55"/>
    <w:rsid w:val="004F0664"/>
    <w:rsid w:val="004F0952"/>
    <w:rsid w:val="004F4D67"/>
    <w:rsid w:val="004F4ED4"/>
    <w:rsid w:val="004F6066"/>
    <w:rsid w:val="004F62AF"/>
    <w:rsid w:val="004F7217"/>
    <w:rsid w:val="004F737D"/>
    <w:rsid w:val="004F76A4"/>
    <w:rsid w:val="00501172"/>
    <w:rsid w:val="005026DF"/>
    <w:rsid w:val="0050296D"/>
    <w:rsid w:val="00502EAA"/>
    <w:rsid w:val="00503AD1"/>
    <w:rsid w:val="0050409B"/>
    <w:rsid w:val="00504766"/>
    <w:rsid w:val="00505232"/>
    <w:rsid w:val="00505C37"/>
    <w:rsid w:val="00506001"/>
    <w:rsid w:val="005065F2"/>
    <w:rsid w:val="00511548"/>
    <w:rsid w:val="00511D5F"/>
    <w:rsid w:val="00513277"/>
    <w:rsid w:val="00513DC1"/>
    <w:rsid w:val="00513EA7"/>
    <w:rsid w:val="00514D89"/>
    <w:rsid w:val="0051707F"/>
    <w:rsid w:val="0052268F"/>
    <w:rsid w:val="005232F2"/>
    <w:rsid w:val="00523E96"/>
    <w:rsid w:val="00523FF6"/>
    <w:rsid w:val="0052533A"/>
    <w:rsid w:val="00525864"/>
    <w:rsid w:val="00525B37"/>
    <w:rsid w:val="00531553"/>
    <w:rsid w:val="005322CB"/>
    <w:rsid w:val="0053426C"/>
    <w:rsid w:val="00534BAF"/>
    <w:rsid w:val="005357B6"/>
    <w:rsid w:val="00535BAD"/>
    <w:rsid w:val="00536595"/>
    <w:rsid w:val="005369C1"/>
    <w:rsid w:val="00537917"/>
    <w:rsid w:val="005408C8"/>
    <w:rsid w:val="005413A1"/>
    <w:rsid w:val="00542BBD"/>
    <w:rsid w:val="005450C7"/>
    <w:rsid w:val="0054621C"/>
    <w:rsid w:val="005463A4"/>
    <w:rsid w:val="0055024C"/>
    <w:rsid w:val="00552A68"/>
    <w:rsid w:val="00553047"/>
    <w:rsid w:val="0055374F"/>
    <w:rsid w:val="005539AD"/>
    <w:rsid w:val="00556643"/>
    <w:rsid w:val="005568CF"/>
    <w:rsid w:val="00556C6B"/>
    <w:rsid w:val="00557966"/>
    <w:rsid w:val="0056099B"/>
    <w:rsid w:val="00561DA3"/>
    <w:rsid w:val="00563417"/>
    <w:rsid w:val="00565CDB"/>
    <w:rsid w:val="005663B6"/>
    <w:rsid w:val="005672BB"/>
    <w:rsid w:val="0057094B"/>
    <w:rsid w:val="005725CE"/>
    <w:rsid w:val="0057275A"/>
    <w:rsid w:val="00572B4B"/>
    <w:rsid w:val="005749E1"/>
    <w:rsid w:val="00581841"/>
    <w:rsid w:val="00582DFA"/>
    <w:rsid w:val="00585739"/>
    <w:rsid w:val="0059198F"/>
    <w:rsid w:val="005920FE"/>
    <w:rsid w:val="00595590"/>
    <w:rsid w:val="00595786"/>
    <w:rsid w:val="00595A24"/>
    <w:rsid w:val="00596C79"/>
    <w:rsid w:val="00597FD4"/>
    <w:rsid w:val="005A0D9F"/>
    <w:rsid w:val="005A1413"/>
    <w:rsid w:val="005A4DD8"/>
    <w:rsid w:val="005A6955"/>
    <w:rsid w:val="005A7A72"/>
    <w:rsid w:val="005B1C7D"/>
    <w:rsid w:val="005B1F62"/>
    <w:rsid w:val="005B2575"/>
    <w:rsid w:val="005B25AB"/>
    <w:rsid w:val="005B264D"/>
    <w:rsid w:val="005B48B7"/>
    <w:rsid w:val="005B6B78"/>
    <w:rsid w:val="005B77E9"/>
    <w:rsid w:val="005C050F"/>
    <w:rsid w:val="005C051B"/>
    <w:rsid w:val="005C15E5"/>
    <w:rsid w:val="005C2920"/>
    <w:rsid w:val="005C3954"/>
    <w:rsid w:val="005C545F"/>
    <w:rsid w:val="005C5F0D"/>
    <w:rsid w:val="005C6213"/>
    <w:rsid w:val="005C6A84"/>
    <w:rsid w:val="005D097C"/>
    <w:rsid w:val="005D1561"/>
    <w:rsid w:val="005D200B"/>
    <w:rsid w:val="005D39BC"/>
    <w:rsid w:val="005D58A2"/>
    <w:rsid w:val="005D6F1E"/>
    <w:rsid w:val="005E0370"/>
    <w:rsid w:val="005E14A7"/>
    <w:rsid w:val="005E27D2"/>
    <w:rsid w:val="005E3BD5"/>
    <w:rsid w:val="005E3EEF"/>
    <w:rsid w:val="005E5B4B"/>
    <w:rsid w:val="005E6807"/>
    <w:rsid w:val="005E6C2A"/>
    <w:rsid w:val="005E6CC6"/>
    <w:rsid w:val="005E7113"/>
    <w:rsid w:val="005E7E89"/>
    <w:rsid w:val="005F00F7"/>
    <w:rsid w:val="005F7339"/>
    <w:rsid w:val="00602236"/>
    <w:rsid w:val="00602939"/>
    <w:rsid w:val="00602AD8"/>
    <w:rsid w:val="00602C98"/>
    <w:rsid w:val="0060689D"/>
    <w:rsid w:val="00610035"/>
    <w:rsid w:val="00610145"/>
    <w:rsid w:val="0061155B"/>
    <w:rsid w:val="00612D07"/>
    <w:rsid w:val="00613289"/>
    <w:rsid w:val="00613D8B"/>
    <w:rsid w:val="006140A8"/>
    <w:rsid w:val="00614B2F"/>
    <w:rsid w:val="00615191"/>
    <w:rsid w:val="0061533F"/>
    <w:rsid w:val="00616D38"/>
    <w:rsid w:val="006205DF"/>
    <w:rsid w:val="00620CB7"/>
    <w:rsid w:val="00621699"/>
    <w:rsid w:val="00621AD7"/>
    <w:rsid w:val="0062293C"/>
    <w:rsid w:val="00622B3F"/>
    <w:rsid w:val="00622FF1"/>
    <w:rsid w:val="00623A55"/>
    <w:rsid w:val="00624B91"/>
    <w:rsid w:val="006256C6"/>
    <w:rsid w:val="00626D8D"/>
    <w:rsid w:val="006275C9"/>
    <w:rsid w:val="0063002D"/>
    <w:rsid w:val="00635AFA"/>
    <w:rsid w:val="00636DCB"/>
    <w:rsid w:val="00642A2E"/>
    <w:rsid w:val="00644C5A"/>
    <w:rsid w:val="00646009"/>
    <w:rsid w:val="00646127"/>
    <w:rsid w:val="00647997"/>
    <w:rsid w:val="00647BCD"/>
    <w:rsid w:val="00650CFA"/>
    <w:rsid w:val="00651148"/>
    <w:rsid w:val="00651B7B"/>
    <w:rsid w:val="00652002"/>
    <w:rsid w:val="0065215A"/>
    <w:rsid w:val="00652272"/>
    <w:rsid w:val="006527C3"/>
    <w:rsid w:val="00655868"/>
    <w:rsid w:val="00656120"/>
    <w:rsid w:val="006566D8"/>
    <w:rsid w:val="0065694F"/>
    <w:rsid w:val="006601EC"/>
    <w:rsid w:val="006613C5"/>
    <w:rsid w:val="00662CA7"/>
    <w:rsid w:val="0066503A"/>
    <w:rsid w:val="006658C1"/>
    <w:rsid w:val="00672020"/>
    <w:rsid w:val="00675F01"/>
    <w:rsid w:val="00676478"/>
    <w:rsid w:val="0067654C"/>
    <w:rsid w:val="006770D5"/>
    <w:rsid w:val="00682068"/>
    <w:rsid w:val="00684119"/>
    <w:rsid w:val="00684A4F"/>
    <w:rsid w:val="00684DCF"/>
    <w:rsid w:val="00685EAC"/>
    <w:rsid w:val="00687C0A"/>
    <w:rsid w:val="0069225D"/>
    <w:rsid w:val="00694594"/>
    <w:rsid w:val="006958FC"/>
    <w:rsid w:val="00695E96"/>
    <w:rsid w:val="006966D5"/>
    <w:rsid w:val="0069733A"/>
    <w:rsid w:val="00697DCB"/>
    <w:rsid w:val="006A158E"/>
    <w:rsid w:val="006A1B34"/>
    <w:rsid w:val="006A3055"/>
    <w:rsid w:val="006A3337"/>
    <w:rsid w:val="006A41CC"/>
    <w:rsid w:val="006A679C"/>
    <w:rsid w:val="006B036D"/>
    <w:rsid w:val="006B0889"/>
    <w:rsid w:val="006B0ECD"/>
    <w:rsid w:val="006B3EAB"/>
    <w:rsid w:val="006B5AEA"/>
    <w:rsid w:val="006C144C"/>
    <w:rsid w:val="006C1D6F"/>
    <w:rsid w:val="006C2FA0"/>
    <w:rsid w:val="006C489B"/>
    <w:rsid w:val="006C51FB"/>
    <w:rsid w:val="006C58CE"/>
    <w:rsid w:val="006C59E1"/>
    <w:rsid w:val="006C71DF"/>
    <w:rsid w:val="006C7253"/>
    <w:rsid w:val="006C787F"/>
    <w:rsid w:val="006D24C3"/>
    <w:rsid w:val="006D388E"/>
    <w:rsid w:val="006D51A8"/>
    <w:rsid w:val="006D5FDD"/>
    <w:rsid w:val="006D60F9"/>
    <w:rsid w:val="006D676D"/>
    <w:rsid w:val="006D7573"/>
    <w:rsid w:val="006D7847"/>
    <w:rsid w:val="006E0F4A"/>
    <w:rsid w:val="006E1006"/>
    <w:rsid w:val="006E1565"/>
    <w:rsid w:val="006E1A05"/>
    <w:rsid w:val="006E1E66"/>
    <w:rsid w:val="006E35B0"/>
    <w:rsid w:val="006E43BD"/>
    <w:rsid w:val="006E445A"/>
    <w:rsid w:val="006E50C2"/>
    <w:rsid w:val="006E53F5"/>
    <w:rsid w:val="006E6785"/>
    <w:rsid w:val="006E6E68"/>
    <w:rsid w:val="006E74E9"/>
    <w:rsid w:val="006F0603"/>
    <w:rsid w:val="006F14A0"/>
    <w:rsid w:val="006F2D1D"/>
    <w:rsid w:val="006F2F3D"/>
    <w:rsid w:val="006F40D2"/>
    <w:rsid w:val="006F538A"/>
    <w:rsid w:val="006F58E5"/>
    <w:rsid w:val="006F65A8"/>
    <w:rsid w:val="006F7BD0"/>
    <w:rsid w:val="00702D63"/>
    <w:rsid w:val="00705918"/>
    <w:rsid w:val="00706972"/>
    <w:rsid w:val="00706C8C"/>
    <w:rsid w:val="00711011"/>
    <w:rsid w:val="00717786"/>
    <w:rsid w:val="007201D2"/>
    <w:rsid w:val="00720733"/>
    <w:rsid w:val="007211B7"/>
    <w:rsid w:val="0072283B"/>
    <w:rsid w:val="00722A68"/>
    <w:rsid w:val="00722FC9"/>
    <w:rsid w:val="0072351C"/>
    <w:rsid w:val="00725D7D"/>
    <w:rsid w:val="007318F4"/>
    <w:rsid w:val="00732DF5"/>
    <w:rsid w:val="00734B24"/>
    <w:rsid w:val="0073516E"/>
    <w:rsid w:val="00741045"/>
    <w:rsid w:val="00742E1B"/>
    <w:rsid w:val="00745D7C"/>
    <w:rsid w:val="00753BF8"/>
    <w:rsid w:val="00753F05"/>
    <w:rsid w:val="0075407F"/>
    <w:rsid w:val="00754D45"/>
    <w:rsid w:val="007552C3"/>
    <w:rsid w:val="0075597D"/>
    <w:rsid w:val="00755B0B"/>
    <w:rsid w:val="00755E22"/>
    <w:rsid w:val="007571C1"/>
    <w:rsid w:val="00757D1D"/>
    <w:rsid w:val="00764250"/>
    <w:rsid w:val="00764479"/>
    <w:rsid w:val="00765B61"/>
    <w:rsid w:val="00765DEC"/>
    <w:rsid w:val="00766437"/>
    <w:rsid w:val="007666E2"/>
    <w:rsid w:val="00766C67"/>
    <w:rsid w:val="007672F8"/>
    <w:rsid w:val="007678FE"/>
    <w:rsid w:val="00767E9F"/>
    <w:rsid w:val="007716F8"/>
    <w:rsid w:val="00771F14"/>
    <w:rsid w:val="00773029"/>
    <w:rsid w:val="00774483"/>
    <w:rsid w:val="007753AA"/>
    <w:rsid w:val="0077629D"/>
    <w:rsid w:val="007802CE"/>
    <w:rsid w:val="0078039C"/>
    <w:rsid w:val="00780449"/>
    <w:rsid w:val="0078162A"/>
    <w:rsid w:val="0078253A"/>
    <w:rsid w:val="00782CEF"/>
    <w:rsid w:val="0078367E"/>
    <w:rsid w:val="007850C6"/>
    <w:rsid w:val="00786C29"/>
    <w:rsid w:val="007914AD"/>
    <w:rsid w:val="00791637"/>
    <w:rsid w:val="00791F82"/>
    <w:rsid w:val="00792970"/>
    <w:rsid w:val="00792DB3"/>
    <w:rsid w:val="00793591"/>
    <w:rsid w:val="007941C9"/>
    <w:rsid w:val="00794D82"/>
    <w:rsid w:val="007A3577"/>
    <w:rsid w:val="007A5925"/>
    <w:rsid w:val="007A61C8"/>
    <w:rsid w:val="007A6F06"/>
    <w:rsid w:val="007A7465"/>
    <w:rsid w:val="007B146C"/>
    <w:rsid w:val="007B21C6"/>
    <w:rsid w:val="007B2AC6"/>
    <w:rsid w:val="007B431F"/>
    <w:rsid w:val="007B44FD"/>
    <w:rsid w:val="007B4B78"/>
    <w:rsid w:val="007C14F4"/>
    <w:rsid w:val="007C158A"/>
    <w:rsid w:val="007C1BDA"/>
    <w:rsid w:val="007C2BD3"/>
    <w:rsid w:val="007C4001"/>
    <w:rsid w:val="007C6896"/>
    <w:rsid w:val="007C693C"/>
    <w:rsid w:val="007C6F5B"/>
    <w:rsid w:val="007C733E"/>
    <w:rsid w:val="007D05C2"/>
    <w:rsid w:val="007D127D"/>
    <w:rsid w:val="007D14B0"/>
    <w:rsid w:val="007D14DA"/>
    <w:rsid w:val="007D1B58"/>
    <w:rsid w:val="007D2FD7"/>
    <w:rsid w:val="007D5E84"/>
    <w:rsid w:val="007D66A2"/>
    <w:rsid w:val="007D7091"/>
    <w:rsid w:val="007E0D04"/>
    <w:rsid w:val="007E21F5"/>
    <w:rsid w:val="007E62E8"/>
    <w:rsid w:val="007E63BE"/>
    <w:rsid w:val="007E6D6C"/>
    <w:rsid w:val="007E738E"/>
    <w:rsid w:val="007E7F4B"/>
    <w:rsid w:val="007F0BEB"/>
    <w:rsid w:val="007F0F46"/>
    <w:rsid w:val="007F1CB6"/>
    <w:rsid w:val="007F32BE"/>
    <w:rsid w:val="007F3F3D"/>
    <w:rsid w:val="007F4AB9"/>
    <w:rsid w:val="007F6436"/>
    <w:rsid w:val="007F7854"/>
    <w:rsid w:val="007F7ABD"/>
    <w:rsid w:val="00800ECA"/>
    <w:rsid w:val="00801810"/>
    <w:rsid w:val="00802464"/>
    <w:rsid w:val="00802745"/>
    <w:rsid w:val="008029F5"/>
    <w:rsid w:val="0080304B"/>
    <w:rsid w:val="00803763"/>
    <w:rsid w:val="00803AB1"/>
    <w:rsid w:val="00803F02"/>
    <w:rsid w:val="00804592"/>
    <w:rsid w:val="00804AD9"/>
    <w:rsid w:val="008058E6"/>
    <w:rsid w:val="00806684"/>
    <w:rsid w:val="00806D31"/>
    <w:rsid w:val="00806DB0"/>
    <w:rsid w:val="00807130"/>
    <w:rsid w:val="008112F3"/>
    <w:rsid w:val="00811C76"/>
    <w:rsid w:val="00812638"/>
    <w:rsid w:val="00812C3B"/>
    <w:rsid w:val="008138E9"/>
    <w:rsid w:val="0081414A"/>
    <w:rsid w:val="008141EC"/>
    <w:rsid w:val="0081528C"/>
    <w:rsid w:val="00815B5C"/>
    <w:rsid w:val="00816EBC"/>
    <w:rsid w:val="008171A7"/>
    <w:rsid w:val="008171B5"/>
    <w:rsid w:val="00817975"/>
    <w:rsid w:val="00820CC3"/>
    <w:rsid w:val="00821FAF"/>
    <w:rsid w:val="0082212A"/>
    <w:rsid w:val="0082273C"/>
    <w:rsid w:val="008231CA"/>
    <w:rsid w:val="008235E0"/>
    <w:rsid w:val="00824685"/>
    <w:rsid w:val="008246C6"/>
    <w:rsid w:val="0082613F"/>
    <w:rsid w:val="0082703D"/>
    <w:rsid w:val="00827207"/>
    <w:rsid w:val="00827349"/>
    <w:rsid w:val="008308E1"/>
    <w:rsid w:val="00831F8E"/>
    <w:rsid w:val="008332B7"/>
    <w:rsid w:val="00833683"/>
    <w:rsid w:val="008346C1"/>
    <w:rsid w:val="008357B7"/>
    <w:rsid w:val="00837BBB"/>
    <w:rsid w:val="00837E25"/>
    <w:rsid w:val="008405F5"/>
    <w:rsid w:val="00840E6B"/>
    <w:rsid w:val="00841B91"/>
    <w:rsid w:val="00841C1A"/>
    <w:rsid w:val="00841FB9"/>
    <w:rsid w:val="008439D3"/>
    <w:rsid w:val="008441B8"/>
    <w:rsid w:val="00844D8D"/>
    <w:rsid w:val="008472F9"/>
    <w:rsid w:val="00851435"/>
    <w:rsid w:val="00852384"/>
    <w:rsid w:val="00853766"/>
    <w:rsid w:val="0085476E"/>
    <w:rsid w:val="008551E1"/>
    <w:rsid w:val="0085646E"/>
    <w:rsid w:val="00856C89"/>
    <w:rsid w:val="0085750F"/>
    <w:rsid w:val="0086056C"/>
    <w:rsid w:val="008608B0"/>
    <w:rsid w:val="00862F19"/>
    <w:rsid w:val="0086441C"/>
    <w:rsid w:val="008705F6"/>
    <w:rsid w:val="00870930"/>
    <w:rsid w:val="00872CAD"/>
    <w:rsid w:val="00873AD9"/>
    <w:rsid w:val="0087512B"/>
    <w:rsid w:val="008773BF"/>
    <w:rsid w:val="0088186F"/>
    <w:rsid w:val="008828CF"/>
    <w:rsid w:val="008842D6"/>
    <w:rsid w:val="0088594C"/>
    <w:rsid w:val="008859E1"/>
    <w:rsid w:val="00885CE8"/>
    <w:rsid w:val="00885FA1"/>
    <w:rsid w:val="008862B0"/>
    <w:rsid w:val="00886674"/>
    <w:rsid w:val="008866A7"/>
    <w:rsid w:val="00887234"/>
    <w:rsid w:val="00893917"/>
    <w:rsid w:val="00894556"/>
    <w:rsid w:val="0089565A"/>
    <w:rsid w:val="00895C58"/>
    <w:rsid w:val="0089683F"/>
    <w:rsid w:val="008973EB"/>
    <w:rsid w:val="008A150E"/>
    <w:rsid w:val="008A1C48"/>
    <w:rsid w:val="008A1F63"/>
    <w:rsid w:val="008A2F5A"/>
    <w:rsid w:val="008A391C"/>
    <w:rsid w:val="008A5047"/>
    <w:rsid w:val="008A5619"/>
    <w:rsid w:val="008A5AAB"/>
    <w:rsid w:val="008A5DB6"/>
    <w:rsid w:val="008A6B26"/>
    <w:rsid w:val="008A73A5"/>
    <w:rsid w:val="008A7BE4"/>
    <w:rsid w:val="008B0DBD"/>
    <w:rsid w:val="008B1C1A"/>
    <w:rsid w:val="008B3031"/>
    <w:rsid w:val="008B4E2C"/>
    <w:rsid w:val="008B5B45"/>
    <w:rsid w:val="008B611E"/>
    <w:rsid w:val="008B62AA"/>
    <w:rsid w:val="008B6E23"/>
    <w:rsid w:val="008B6E57"/>
    <w:rsid w:val="008B770B"/>
    <w:rsid w:val="008C06B4"/>
    <w:rsid w:val="008C0E6A"/>
    <w:rsid w:val="008C1297"/>
    <w:rsid w:val="008C34D0"/>
    <w:rsid w:val="008C4A7C"/>
    <w:rsid w:val="008C4E01"/>
    <w:rsid w:val="008C509C"/>
    <w:rsid w:val="008C5B16"/>
    <w:rsid w:val="008C6008"/>
    <w:rsid w:val="008C64AF"/>
    <w:rsid w:val="008D1858"/>
    <w:rsid w:val="008D1C7B"/>
    <w:rsid w:val="008D23F8"/>
    <w:rsid w:val="008D2496"/>
    <w:rsid w:val="008D2C10"/>
    <w:rsid w:val="008D4BE6"/>
    <w:rsid w:val="008D58B4"/>
    <w:rsid w:val="008D5A3A"/>
    <w:rsid w:val="008D700B"/>
    <w:rsid w:val="008E238C"/>
    <w:rsid w:val="008E3079"/>
    <w:rsid w:val="008E3C9D"/>
    <w:rsid w:val="008E3F36"/>
    <w:rsid w:val="008E4324"/>
    <w:rsid w:val="008E4995"/>
    <w:rsid w:val="008E57CA"/>
    <w:rsid w:val="008E76CD"/>
    <w:rsid w:val="008F369B"/>
    <w:rsid w:val="008F4E6B"/>
    <w:rsid w:val="008F5C51"/>
    <w:rsid w:val="008F7041"/>
    <w:rsid w:val="008F7842"/>
    <w:rsid w:val="008F7B8B"/>
    <w:rsid w:val="008F7ED8"/>
    <w:rsid w:val="009003A3"/>
    <w:rsid w:val="009031CE"/>
    <w:rsid w:val="0090580F"/>
    <w:rsid w:val="00906D38"/>
    <w:rsid w:val="0090725C"/>
    <w:rsid w:val="00907D0C"/>
    <w:rsid w:val="00916392"/>
    <w:rsid w:val="00917D86"/>
    <w:rsid w:val="0092167D"/>
    <w:rsid w:val="009220DB"/>
    <w:rsid w:val="00922558"/>
    <w:rsid w:val="00922712"/>
    <w:rsid w:val="00922A37"/>
    <w:rsid w:val="00924215"/>
    <w:rsid w:val="00924943"/>
    <w:rsid w:val="0092494C"/>
    <w:rsid w:val="00926C74"/>
    <w:rsid w:val="00927962"/>
    <w:rsid w:val="00933132"/>
    <w:rsid w:val="0093572A"/>
    <w:rsid w:val="0093680B"/>
    <w:rsid w:val="00940F18"/>
    <w:rsid w:val="00941314"/>
    <w:rsid w:val="00941C9D"/>
    <w:rsid w:val="00941F00"/>
    <w:rsid w:val="00942B57"/>
    <w:rsid w:val="00942E60"/>
    <w:rsid w:val="009452B3"/>
    <w:rsid w:val="00946B06"/>
    <w:rsid w:val="00947B31"/>
    <w:rsid w:val="00947FAD"/>
    <w:rsid w:val="0095220C"/>
    <w:rsid w:val="00952638"/>
    <w:rsid w:val="00952965"/>
    <w:rsid w:val="00952D26"/>
    <w:rsid w:val="00953963"/>
    <w:rsid w:val="009554F1"/>
    <w:rsid w:val="00955EAE"/>
    <w:rsid w:val="00956090"/>
    <w:rsid w:val="00956612"/>
    <w:rsid w:val="009579A1"/>
    <w:rsid w:val="00960CCC"/>
    <w:rsid w:val="00962011"/>
    <w:rsid w:val="00964215"/>
    <w:rsid w:val="00964D67"/>
    <w:rsid w:val="00966BC7"/>
    <w:rsid w:val="009710A8"/>
    <w:rsid w:val="00971CF0"/>
    <w:rsid w:val="009723B6"/>
    <w:rsid w:val="00973B9D"/>
    <w:rsid w:val="00975E03"/>
    <w:rsid w:val="009760B5"/>
    <w:rsid w:val="00977703"/>
    <w:rsid w:val="00981B7E"/>
    <w:rsid w:val="00981D97"/>
    <w:rsid w:val="009827A1"/>
    <w:rsid w:val="00983358"/>
    <w:rsid w:val="00984C5C"/>
    <w:rsid w:val="00987DE8"/>
    <w:rsid w:val="00991181"/>
    <w:rsid w:val="00991189"/>
    <w:rsid w:val="0099145F"/>
    <w:rsid w:val="0099196C"/>
    <w:rsid w:val="00991E7C"/>
    <w:rsid w:val="00993840"/>
    <w:rsid w:val="00994111"/>
    <w:rsid w:val="009947ED"/>
    <w:rsid w:val="00996814"/>
    <w:rsid w:val="00996E12"/>
    <w:rsid w:val="009A07B3"/>
    <w:rsid w:val="009A1A9B"/>
    <w:rsid w:val="009A2C82"/>
    <w:rsid w:val="009A5BB9"/>
    <w:rsid w:val="009A63B4"/>
    <w:rsid w:val="009A6BDB"/>
    <w:rsid w:val="009B2F2D"/>
    <w:rsid w:val="009B3F8D"/>
    <w:rsid w:val="009B4A3D"/>
    <w:rsid w:val="009B5418"/>
    <w:rsid w:val="009B61B4"/>
    <w:rsid w:val="009B6900"/>
    <w:rsid w:val="009B7038"/>
    <w:rsid w:val="009B7B5E"/>
    <w:rsid w:val="009C0DFB"/>
    <w:rsid w:val="009C103F"/>
    <w:rsid w:val="009C1C71"/>
    <w:rsid w:val="009C22A4"/>
    <w:rsid w:val="009C3046"/>
    <w:rsid w:val="009C4E25"/>
    <w:rsid w:val="009C6FB0"/>
    <w:rsid w:val="009D06FC"/>
    <w:rsid w:val="009D1402"/>
    <w:rsid w:val="009D14BE"/>
    <w:rsid w:val="009D1667"/>
    <w:rsid w:val="009D1C78"/>
    <w:rsid w:val="009D3A4F"/>
    <w:rsid w:val="009D42C3"/>
    <w:rsid w:val="009D4918"/>
    <w:rsid w:val="009D53AE"/>
    <w:rsid w:val="009D59E4"/>
    <w:rsid w:val="009D5C0F"/>
    <w:rsid w:val="009D5C4F"/>
    <w:rsid w:val="009D5ED0"/>
    <w:rsid w:val="009E0A36"/>
    <w:rsid w:val="009E188C"/>
    <w:rsid w:val="009E2186"/>
    <w:rsid w:val="009E43A1"/>
    <w:rsid w:val="009E44D5"/>
    <w:rsid w:val="009E4C99"/>
    <w:rsid w:val="009E60D7"/>
    <w:rsid w:val="009E6AE0"/>
    <w:rsid w:val="009E7691"/>
    <w:rsid w:val="009F1880"/>
    <w:rsid w:val="009F3754"/>
    <w:rsid w:val="009F48AE"/>
    <w:rsid w:val="00A00755"/>
    <w:rsid w:val="00A00B1D"/>
    <w:rsid w:val="00A0170D"/>
    <w:rsid w:val="00A02650"/>
    <w:rsid w:val="00A041FC"/>
    <w:rsid w:val="00A05BFF"/>
    <w:rsid w:val="00A10FC7"/>
    <w:rsid w:val="00A139D6"/>
    <w:rsid w:val="00A14EEF"/>
    <w:rsid w:val="00A15CE0"/>
    <w:rsid w:val="00A2002B"/>
    <w:rsid w:val="00A21B21"/>
    <w:rsid w:val="00A22A87"/>
    <w:rsid w:val="00A2307B"/>
    <w:rsid w:val="00A23409"/>
    <w:rsid w:val="00A23445"/>
    <w:rsid w:val="00A23453"/>
    <w:rsid w:val="00A236DF"/>
    <w:rsid w:val="00A236FE"/>
    <w:rsid w:val="00A23F26"/>
    <w:rsid w:val="00A2453A"/>
    <w:rsid w:val="00A26174"/>
    <w:rsid w:val="00A262DF"/>
    <w:rsid w:val="00A31C22"/>
    <w:rsid w:val="00A31DE2"/>
    <w:rsid w:val="00A3350C"/>
    <w:rsid w:val="00A34EDA"/>
    <w:rsid w:val="00A35D9F"/>
    <w:rsid w:val="00A3634B"/>
    <w:rsid w:val="00A374A4"/>
    <w:rsid w:val="00A40320"/>
    <w:rsid w:val="00A412C7"/>
    <w:rsid w:val="00A41B02"/>
    <w:rsid w:val="00A45156"/>
    <w:rsid w:val="00A476F1"/>
    <w:rsid w:val="00A51312"/>
    <w:rsid w:val="00A51456"/>
    <w:rsid w:val="00A5220C"/>
    <w:rsid w:val="00A537CE"/>
    <w:rsid w:val="00A54174"/>
    <w:rsid w:val="00A55CCD"/>
    <w:rsid w:val="00A563A3"/>
    <w:rsid w:val="00A5735B"/>
    <w:rsid w:val="00A63A20"/>
    <w:rsid w:val="00A652E3"/>
    <w:rsid w:val="00A717A3"/>
    <w:rsid w:val="00A71C4E"/>
    <w:rsid w:val="00A75DE7"/>
    <w:rsid w:val="00A76A40"/>
    <w:rsid w:val="00A77450"/>
    <w:rsid w:val="00A80772"/>
    <w:rsid w:val="00A80C1E"/>
    <w:rsid w:val="00A83F62"/>
    <w:rsid w:val="00A86A73"/>
    <w:rsid w:val="00A902B9"/>
    <w:rsid w:val="00A92098"/>
    <w:rsid w:val="00A927C9"/>
    <w:rsid w:val="00A92F58"/>
    <w:rsid w:val="00A93203"/>
    <w:rsid w:val="00A93C1C"/>
    <w:rsid w:val="00A944E8"/>
    <w:rsid w:val="00A94BFA"/>
    <w:rsid w:val="00A951D1"/>
    <w:rsid w:val="00A95689"/>
    <w:rsid w:val="00A95D52"/>
    <w:rsid w:val="00A9764C"/>
    <w:rsid w:val="00AA0520"/>
    <w:rsid w:val="00AA0E2E"/>
    <w:rsid w:val="00AA37A3"/>
    <w:rsid w:val="00AA5F29"/>
    <w:rsid w:val="00AA61C2"/>
    <w:rsid w:val="00AA7811"/>
    <w:rsid w:val="00AB5B96"/>
    <w:rsid w:val="00AB74AB"/>
    <w:rsid w:val="00AC084A"/>
    <w:rsid w:val="00AC0C13"/>
    <w:rsid w:val="00AC13AB"/>
    <w:rsid w:val="00AC2AC6"/>
    <w:rsid w:val="00AC577A"/>
    <w:rsid w:val="00AC69BD"/>
    <w:rsid w:val="00AC7269"/>
    <w:rsid w:val="00AD0515"/>
    <w:rsid w:val="00AD5FCA"/>
    <w:rsid w:val="00AD7092"/>
    <w:rsid w:val="00AE0033"/>
    <w:rsid w:val="00AE23F4"/>
    <w:rsid w:val="00AE2E9C"/>
    <w:rsid w:val="00AE46F8"/>
    <w:rsid w:val="00AE531E"/>
    <w:rsid w:val="00AE62DA"/>
    <w:rsid w:val="00AE6E01"/>
    <w:rsid w:val="00AE6FA5"/>
    <w:rsid w:val="00AF4169"/>
    <w:rsid w:val="00B00D8D"/>
    <w:rsid w:val="00B0147C"/>
    <w:rsid w:val="00B021DF"/>
    <w:rsid w:val="00B03410"/>
    <w:rsid w:val="00B04397"/>
    <w:rsid w:val="00B051FE"/>
    <w:rsid w:val="00B06390"/>
    <w:rsid w:val="00B06FE9"/>
    <w:rsid w:val="00B13098"/>
    <w:rsid w:val="00B145C9"/>
    <w:rsid w:val="00B16211"/>
    <w:rsid w:val="00B23F19"/>
    <w:rsid w:val="00B23F8E"/>
    <w:rsid w:val="00B25D00"/>
    <w:rsid w:val="00B26BF7"/>
    <w:rsid w:val="00B27B6B"/>
    <w:rsid w:val="00B336CD"/>
    <w:rsid w:val="00B3372A"/>
    <w:rsid w:val="00B344C6"/>
    <w:rsid w:val="00B34894"/>
    <w:rsid w:val="00B35D64"/>
    <w:rsid w:val="00B41AD4"/>
    <w:rsid w:val="00B4330A"/>
    <w:rsid w:val="00B46241"/>
    <w:rsid w:val="00B46EC3"/>
    <w:rsid w:val="00B475E7"/>
    <w:rsid w:val="00B477C6"/>
    <w:rsid w:val="00B51657"/>
    <w:rsid w:val="00B52194"/>
    <w:rsid w:val="00B5277E"/>
    <w:rsid w:val="00B533C6"/>
    <w:rsid w:val="00B53C2D"/>
    <w:rsid w:val="00B55247"/>
    <w:rsid w:val="00B55EE1"/>
    <w:rsid w:val="00B578FA"/>
    <w:rsid w:val="00B616E3"/>
    <w:rsid w:val="00B63728"/>
    <w:rsid w:val="00B63810"/>
    <w:rsid w:val="00B63BB6"/>
    <w:rsid w:val="00B6554C"/>
    <w:rsid w:val="00B65A26"/>
    <w:rsid w:val="00B65E53"/>
    <w:rsid w:val="00B6620C"/>
    <w:rsid w:val="00B70C38"/>
    <w:rsid w:val="00B73E1C"/>
    <w:rsid w:val="00B748C6"/>
    <w:rsid w:val="00B75A32"/>
    <w:rsid w:val="00B7727F"/>
    <w:rsid w:val="00B7778F"/>
    <w:rsid w:val="00B77D1E"/>
    <w:rsid w:val="00B834AC"/>
    <w:rsid w:val="00B83750"/>
    <w:rsid w:val="00B84176"/>
    <w:rsid w:val="00B85006"/>
    <w:rsid w:val="00B900F0"/>
    <w:rsid w:val="00B903CC"/>
    <w:rsid w:val="00B90BC0"/>
    <w:rsid w:val="00B927D9"/>
    <w:rsid w:val="00B9420C"/>
    <w:rsid w:val="00B94AF2"/>
    <w:rsid w:val="00B96380"/>
    <w:rsid w:val="00B96C2B"/>
    <w:rsid w:val="00B9716E"/>
    <w:rsid w:val="00B97409"/>
    <w:rsid w:val="00BA3D2E"/>
    <w:rsid w:val="00BA5230"/>
    <w:rsid w:val="00BA526D"/>
    <w:rsid w:val="00BA668C"/>
    <w:rsid w:val="00BA71CE"/>
    <w:rsid w:val="00BB0072"/>
    <w:rsid w:val="00BB10CF"/>
    <w:rsid w:val="00BB27F3"/>
    <w:rsid w:val="00BB310E"/>
    <w:rsid w:val="00BB3B27"/>
    <w:rsid w:val="00BB3BDF"/>
    <w:rsid w:val="00BB444F"/>
    <w:rsid w:val="00BB5F07"/>
    <w:rsid w:val="00BB62CA"/>
    <w:rsid w:val="00BB682F"/>
    <w:rsid w:val="00BC04E6"/>
    <w:rsid w:val="00BC08F9"/>
    <w:rsid w:val="00BC14CD"/>
    <w:rsid w:val="00BC1DFB"/>
    <w:rsid w:val="00BC2B60"/>
    <w:rsid w:val="00BC3D1A"/>
    <w:rsid w:val="00BC3D5E"/>
    <w:rsid w:val="00BC3ECE"/>
    <w:rsid w:val="00BC5CAF"/>
    <w:rsid w:val="00BC7F9F"/>
    <w:rsid w:val="00BD2B68"/>
    <w:rsid w:val="00BD445C"/>
    <w:rsid w:val="00BD4688"/>
    <w:rsid w:val="00BD495A"/>
    <w:rsid w:val="00BD5B9A"/>
    <w:rsid w:val="00BD5CD7"/>
    <w:rsid w:val="00BD6844"/>
    <w:rsid w:val="00BE0F70"/>
    <w:rsid w:val="00BE1168"/>
    <w:rsid w:val="00BE62A1"/>
    <w:rsid w:val="00BE62AD"/>
    <w:rsid w:val="00BE696F"/>
    <w:rsid w:val="00BF22F3"/>
    <w:rsid w:val="00BF23E2"/>
    <w:rsid w:val="00BF47BA"/>
    <w:rsid w:val="00BF5A9C"/>
    <w:rsid w:val="00C001CD"/>
    <w:rsid w:val="00C004E6"/>
    <w:rsid w:val="00C023E8"/>
    <w:rsid w:val="00C02CAD"/>
    <w:rsid w:val="00C03DF5"/>
    <w:rsid w:val="00C04185"/>
    <w:rsid w:val="00C04D81"/>
    <w:rsid w:val="00C04FB2"/>
    <w:rsid w:val="00C05024"/>
    <w:rsid w:val="00C050E7"/>
    <w:rsid w:val="00C13D8F"/>
    <w:rsid w:val="00C13F89"/>
    <w:rsid w:val="00C14B7C"/>
    <w:rsid w:val="00C15C22"/>
    <w:rsid w:val="00C204FE"/>
    <w:rsid w:val="00C2084B"/>
    <w:rsid w:val="00C21111"/>
    <w:rsid w:val="00C217EF"/>
    <w:rsid w:val="00C22A10"/>
    <w:rsid w:val="00C22B04"/>
    <w:rsid w:val="00C2367F"/>
    <w:rsid w:val="00C23AFF"/>
    <w:rsid w:val="00C23D39"/>
    <w:rsid w:val="00C2504A"/>
    <w:rsid w:val="00C25AF5"/>
    <w:rsid w:val="00C25BB7"/>
    <w:rsid w:val="00C26FD4"/>
    <w:rsid w:val="00C27E9B"/>
    <w:rsid w:val="00C303A4"/>
    <w:rsid w:val="00C31203"/>
    <w:rsid w:val="00C33950"/>
    <w:rsid w:val="00C3614C"/>
    <w:rsid w:val="00C36BCC"/>
    <w:rsid w:val="00C36C48"/>
    <w:rsid w:val="00C37929"/>
    <w:rsid w:val="00C42D76"/>
    <w:rsid w:val="00C43806"/>
    <w:rsid w:val="00C44249"/>
    <w:rsid w:val="00C4584C"/>
    <w:rsid w:val="00C458B6"/>
    <w:rsid w:val="00C45F44"/>
    <w:rsid w:val="00C478B7"/>
    <w:rsid w:val="00C47DD3"/>
    <w:rsid w:val="00C50A7E"/>
    <w:rsid w:val="00C5186C"/>
    <w:rsid w:val="00C54DDE"/>
    <w:rsid w:val="00C55354"/>
    <w:rsid w:val="00C60651"/>
    <w:rsid w:val="00C60E08"/>
    <w:rsid w:val="00C61015"/>
    <w:rsid w:val="00C61EE8"/>
    <w:rsid w:val="00C634A4"/>
    <w:rsid w:val="00C63FCF"/>
    <w:rsid w:val="00C676FD"/>
    <w:rsid w:val="00C676FF"/>
    <w:rsid w:val="00C678BE"/>
    <w:rsid w:val="00C71E09"/>
    <w:rsid w:val="00C72924"/>
    <w:rsid w:val="00C73329"/>
    <w:rsid w:val="00C73E2F"/>
    <w:rsid w:val="00C7418B"/>
    <w:rsid w:val="00C75608"/>
    <w:rsid w:val="00C75754"/>
    <w:rsid w:val="00C764E5"/>
    <w:rsid w:val="00C767B9"/>
    <w:rsid w:val="00C772E9"/>
    <w:rsid w:val="00C7791D"/>
    <w:rsid w:val="00C814F0"/>
    <w:rsid w:val="00C81686"/>
    <w:rsid w:val="00C81724"/>
    <w:rsid w:val="00C82657"/>
    <w:rsid w:val="00C8339F"/>
    <w:rsid w:val="00C8489E"/>
    <w:rsid w:val="00C856ED"/>
    <w:rsid w:val="00C90307"/>
    <w:rsid w:val="00C91709"/>
    <w:rsid w:val="00C9269F"/>
    <w:rsid w:val="00C94287"/>
    <w:rsid w:val="00C95911"/>
    <w:rsid w:val="00C96C3E"/>
    <w:rsid w:val="00CA02FD"/>
    <w:rsid w:val="00CA1E85"/>
    <w:rsid w:val="00CA2123"/>
    <w:rsid w:val="00CA5F46"/>
    <w:rsid w:val="00CA766E"/>
    <w:rsid w:val="00CB1347"/>
    <w:rsid w:val="00CB3E6C"/>
    <w:rsid w:val="00CB5033"/>
    <w:rsid w:val="00CB5624"/>
    <w:rsid w:val="00CB76D7"/>
    <w:rsid w:val="00CB78F2"/>
    <w:rsid w:val="00CC2B9C"/>
    <w:rsid w:val="00CD00CE"/>
    <w:rsid w:val="00CD06D0"/>
    <w:rsid w:val="00CD1073"/>
    <w:rsid w:val="00CD1AF2"/>
    <w:rsid w:val="00CD1F14"/>
    <w:rsid w:val="00CD2E82"/>
    <w:rsid w:val="00CD398C"/>
    <w:rsid w:val="00CD4022"/>
    <w:rsid w:val="00CD4F4D"/>
    <w:rsid w:val="00CD57C3"/>
    <w:rsid w:val="00CD67E3"/>
    <w:rsid w:val="00CD6B8D"/>
    <w:rsid w:val="00CD7B51"/>
    <w:rsid w:val="00CD7DDF"/>
    <w:rsid w:val="00CE110C"/>
    <w:rsid w:val="00CE2B04"/>
    <w:rsid w:val="00CE6522"/>
    <w:rsid w:val="00CE7CA1"/>
    <w:rsid w:val="00CF19DF"/>
    <w:rsid w:val="00CF21B5"/>
    <w:rsid w:val="00CF3C15"/>
    <w:rsid w:val="00CF4192"/>
    <w:rsid w:val="00CF4D47"/>
    <w:rsid w:val="00CF5C3F"/>
    <w:rsid w:val="00CF6BF4"/>
    <w:rsid w:val="00D0001F"/>
    <w:rsid w:val="00D008D5"/>
    <w:rsid w:val="00D01D1F"/>
    <w:rsid w:val="00D02A94"/>
    <w:rsid w:val="00D02DC7"/>
    <w:rsid w:val="00D03EEA"/>
    <w:rsid w:val="00D03FD6"/>
    <w:rsid w:val="00D053EC"/>
    <w:rsid w:val="00D057E8"/>
    <w:rsid w:val="00D05E44"/>
    <w:rsid w:val="00D07917"/>
    <w:rsid w:val="00D11719"/>
    <w:rsid w:val="00D11E6C"/>
    <w:rsid w:val="00D12052"/>
    <w:rsid w:val="00D13A41"/>
    <w:rsid w:val="00D14D15"/>
    <w:rsid w:val="00D1505B"/>
    <w:rsid w:val="00D1554A"/>
    <w:rsid w:val="00D1562D"/>
    <w:rsid w:val="00D21B6C"/>
    <w:rsid w:val="00D21FE6"/>
    <w:rsid w:val="00D2512E"/>
    <w:rsid w:val="00D259EB"/>
    <w:rsid w:val="00D25CB6"/>
    <w:rsid w:val="00D26115"/>
    <w:rsid w:val="00D26193"/>
    <w:rsid w:val="00D2619C"/>
    <w:rsid w:val="00D264BD"/>
    <w:rsid w:val="00D31DC9"/>
    <w:rsid w:val="00D31EB4"/>
    <w:rsid w:val="00D32F96"/>
    <w:rsid w:val="00D32FDD"/>
    <w:rsid w:val="00D33362"/>
    <w:rsid w:val="00D344E8"/>
    <w:rsid w:val="00D36CF3"/>
    <w:rsid w:val="00D3733A"/>
    <w:rsid w:val="00D376DA"/>
    <w:rsid w:val="00D4170D"/>
    <w:rsid w:val="00D419B0"/>
    <w:rsid w:val="00D41C9D"/>
    <w:rsid w:val="00D42813"/>
    <w:rsid w:val="00D42F2F"/>
    <w:rsid w:val="00D43103"/>
    <w:rsid w:val="00D4339E"/>
    <w:rsid w:val="00D4482D"/>
    <w:rsid w:val="00D45ED9"/>
    <w:rsid w:val="00D470BB"/>
    <w:rsid w:val="00D50DB1"/>
    <w:rsid w:val="00D511AE"/>
    <w:rsid w:val="00D51566"/>
    <w:rsid w:val="00D51DD1"/>
    <w:rsid w:val="00D56B7E"/>
    <w:rsid w:val="00D62590"/>
    <w:rsid w:val="00D62BE2"/>
    <w:rsid w:val="00D6305C"/>
    <w:rsid w:val="00D647E8"/>
    <w:rsid w:val="00D64D7D"/>
    <w:rsid w:val="00D6673A"/>
    <w:rsid w:val="00D66E0E"/>
    <w:rsid w:val="00D72C17"/>
    <w:rsid w:val="00D72FF0"/>
    <w:rsid w:val="00D731AD"/>
    <w:rsid w:val="00D833D6"/>
    <w:rsid w:val="00D85A29"/>
    <w:rsid w:val="00D85E62"/>
    <w:rsid w:val="00D9009F"/>
    <w:rsid w:val="00D91728"/>
    <w:rsid w:val="00D91AF0"/>
    <w:rsid w:val="00D92380"/>
    <w:rsid w:val="00D931FF"/>
    <w:rsid w:val="00D932AB"/>
    <w:rsid w:val="00D93EBE"/>
    <w:rsid w:val="00D967A3"/>
    <w:rsid w:val="00D973A3"/>
    <w:rsid w:val="00DA07AD"/>
    <w:rsid w:val="00DA09F0"/>
    <w:rsid w:val="00DA138D"/>
    <w:rsid w:val="00DA1DD5"/>
    <w:rsid w:val="00DA3380"/>
    <w:rsid w:val="00DA47FB"/>
    <w:rsid w:val="00DA501B"/>
    <w:rsid w:val="00DA61C1"/>
    <w:rsid w:val="00DB0529"/>
    <w:rsid w:val="00DB0A79"/>
    <w:rsid w:val="00DB11B7"/>
    <w:rsid w:val="00DB2F30"/>
    <w:rsid w:val="00DB40E5"/>
    <w:rsid w:val="00DB4C32"/>
    <w:rsid w:val="00DB5044"/>
    <w:rsid w:val="00DC030F"/>
    <w:rsid w:val="00DC1BD6"/>
    <w:rsid w:val="00DC318F"/>
    <w:rsid w:val="00DC5A6E"/>
    <w:rsid w:val="00DC79F1"/>
    <w:rsid w:val="00DD0D35"/>
    <w:rsid w:val="00DD61B6"/>
    <w:rsid w:val="00DE10BA"/>
    <w:rsid w:val="00DE1360"/>
    <w:rsid w:val="00DE3225"/>
    <w:rsid w:val="00DE3D5A"/>
    <w:rsid w:val="00DE4816"/>
    <w:rsid w:val="00DE53AF"/>
    <w:rsid w:val="00DE54A9"/>
    <w:rsid w:val="00DE5916"/>
    <w:rsid w:val="00DE7680"/>
    <w:rsid w:val="00DE797E"/>
    <w:rsid w:val="00DF061D"/>
    <w:rsid w:val="00DF1024"/>
    <w:rsid w:val="00DF2435"/>
    <w:rsid w:val="00DF4FEF"/>
    <w:rsid w:val="00DF70DB"/>
    <w:rsid w:val="00DF7175"/>
    <w:rsid w:val="00E014ED"/>
    <w:rsid w:val="00E02240"/>
    <w:rsid w:val="00E03935"/>
    <w:rsid w:val="00E03D58"/>
    <w:rsid w:val="00E04CF4"/>
    <w:rsid w:val="00E064F8"/>
    <w:rsid w:val="00E068C9"/>
    <w:rsid w:val="00E11061"/>
    <w:rsid w:val="00E114C3"/>
    <w:rsid w:val="00E11947"/>
    <w:rsid w:val="00E11D45"/>
    <w:rsid w:val="00E1213B"/>
    <w:rsid w:val="00E1259F"/>
    <w:rsid w:val="00E14285"/>
    <w:rsid w:val="00E149CF"/>
    <w:rsid w:val="00E16415"/>
    <w:rsid w:val="00E172B5"/>
    <w:rsid w:val="00E17C70"/>
    <w:rsid w:val="00E17E5E"/>
    <w:rsid w:val="00E2177F"/>
    <w:rsid w:val="00E21F46"/>
    <w:rsid w:val="00E2247D"/>
    <w:rsid w:val="00E250AD"/>
    <w:rsid w:val="00E253E1"/>
    <w:rsid w:val="00E26072"/>
    <w:rsid w:val="00E33978"/>
    <w:rsid w:val="00E33E75"/>
    <w:rsid w:val="00E356F4"/>
    <w:rsid w:val="00E37E64"/>
    <w:rsid w:val="00E37F03"/>
    <w:rsid w:val="00E41630"/>
    <w:rsid w:val="00E4377D"/>
    <w:rsid w:val="00E4538F"/>
    <w:rsid w:val="00E45FB7"/>
    <w:rsid w:val="00E46327"/>
    <w:rsid w:val="00E46B25"/>
    <w:rsid w:val="00E52187"/>
    <w:rsid w:val="00E5494D"/>
    <w:rsid w:val="00E55DF6"/>
    <w:rsid w:val="00E602E7"/>
    <w:rsid w:val="00E62969"/>
    <w:rsid w:val="00E65E63"/>
    <w:rsid w:val="00E6784A"/>
    <w:rsid w:val="00E70A71"/>
    <w:rsid w:val="00E70C40"/>
    <w:rsid w:val="00E71B6C"/>
    <w:rsid w:val="00E7257F"/>
    <w:rsid w:val="00E73C71"/>
    <w:rsid w:val="00E758DE"/>
    <w:rsid w:val="00E761EB"/>
    <w:rsid w:val="00E767BE"/>
    <w:rsid w:val="00E772E1"/>
    <w:rsid w:val="00E808BF"/>
    <w:rsid w:val="00E80DA8"/>
    <w:rsid w:val="00E8157E"/>
    <w:rsid w:val="00E82797"/>
    <w:rsid w:val="00E834D5"/>
    <w:rsid w:val="00E83F6E"/>
    <w:rsid w:val="00E84338"/>
    <w:rsid w:val="00E8495E"/>
    <w:rsid w:val="00E858BA"/>
    <w:rsid w:val="00E85957"/>
    <w:rsid w:val="00E85B3E"/>
    <w:rsid w:val="00E91875"/>
    <w:rsid w:val="00E93474"/>
    <w:rsid w:val="00E9429B"/>
    <w:rsid w:val="00E947B5"/>
    <w:rsid w:val="00E96845"/>
    <w:rsid w:val="00E974AD"/>
    <w:rsid w:val="00E974BC"/>
    <w:rsid w:val="00EA1DAD"/>
    <w:rsid w:val="00EA268B"/>
    <w:rsid w:val="00EA2741"/>
    <w:rsid w:val="00EA577C"/>
    <w:rsid w:val="00EA5CBB"/>
    <w:rsid w:val="00EA6CBF"/>
    <w:rsid w:val="00EA6FA5"/>
    <w:rsid w:val="00EB4EFF"/>
    <w:rsid w:val="00EB5039"/>
    <w:rsid w:val="00EB6A26"/>
    <w:rsid w:val="00EB7ECB"/>
    <w:rsid w:val="00EC253A"/>
    <w:rsid w:val="00EC2C7A"/>
    <w:rsid w:val="00EC3B87"/>
    <w:rsid w:val="00EC4FC0"/>
    <w:rsid w:val="00ED140D"/>
    <w:rsid w:val="00ED1CA1"/>
    <w:rsid w:val="00ED2B76"/>
    <w:rsid w:val="00ED2C4A"/>
    <w:rsid w:val="00ED3788"/>
    <w:rsid w:val="00ED523F"/>
    <w:rsid w:val="00ED6B5C"/>
    <w:rsid w:val="00ED6C6B"/>
    <w:rsid w:val="00EE1012"/>
    <w:rsid w:val="00EE13FB"/>
    <w:rsid w:val="00EE56E4"/>
    <w:rsid w:val="00EE6417"/>
    <w:rsid w:val="00EE6EF4"/>
    <w:rsid w:val="00EE77DF"/>
    <w:rsid w:val="00EF1606"/>
    <w:rsid w:val="00EF1713"/>
    <w:rsid w:val="00EF3097"/>
    <w:rsid w:val="00EF30AA"/>
    <w:rsid w:val="00EF3426"/>
    <w:rsid w:val="00EF3FCF"/>
    <w:rsid w:val="00EF664A"/>
    <w:rsid w:val="00EF7838"/>
    <w:rsid w:val="00F00599"/>
    <w:rsid w:val="00F00A04"/>
    <w:rsid w:val="00F040CB"/>
    <w:rsid w:val="00F064F0"/>
    <w:rsid w:val="00F07896"/>
    <w:rsid w:val="00F116BC"/>
    <w:rsid w:val="00F11D92"/>
    <w:rsid w:val="00F11F3A"/>
    <w:rsid w:val="00F122B4"/>
    <w:rsid w:val="00F12BDA"/>
    <w:rsid w:val="00F13399"/>
    <w:rsid w:val="00F161BD"/>
    <w:rsid w:val="00F16797"/>
    <w:rsid w:val="00F167A6"/>
    <w:rsid w:val="00F16AFC"/>
    <w:rsid w:val="00F1765C"/>
    <w:rsid w:val="00F177B1"/>
    <w:rsid w:val="00F21678"/>
    <w:rsid w:val="00F22837"/>
    <w:rsid w:val="00F23CCA"/>
    <w:rsid w:val="00F2554B"/>
    <w:rsid w:val="00F277C4"/>
    <w:rsid w:val="00F27B9A"/>
    <w:rsid w:val="00F326C5"/>
    <w:rsid w:val="00F3362F"/>
    <w:rsid w:val="00F33A89"/>
    <w:rsid w:val="00F340F9"/>
    <w:rsid w:val="00F34B50"/>
    <w:rsid w:val="00F3592F"/>
    <w:rsid w:val="00F374E9"/>
    <w:rsid w:val="00F4260E"/>
    <w:rsid w:val="00F43D35"/>
    <w:rsid w:val="00F44A94"/>
    <w:rsid w:val="00F47C3B"/>
    <w:rsid w:val="00F501D0"/>
    <w:rsid w:val="00F51118"/>
    <w:rsid w:val="00F52B67"/>
    <w:rsid w:val="00F53F63"/>
    <w:rsid w:val="00F555A1"/>
    <w:rsid w:val="00F5626A"/>
    <w:rsid w:val="00F56908"/>
    <w:rsid w:val="00F60BA8"/>
    <w:rsid w:val="00F60CC0"/>
    <w:rsid w:val="00F64A9C"/>
    <w:rsid w:val="00F652D2"/>
    <w:rsid w:val="00F675A9"/>
    <w:rsid w:val="00F72C51"/>
    <w:rsid w:val="00F72FAE"/>
    <w:rsid w:val="00F73901"/>
    <w:rsid w:val="00F74CEB"/>
    <w:rsid w:val="00F77728"/>
    <w:rsid w:val="00F81361"/>
    <w:rsid w:val="00F8172A"/>
    <w:rsid w:val="00F8226F"/>
    <w:rsid w:val="00F82A20"/>
    <w:rsid w:val="00F83FBA"/>
    <w:rsid w:val="00F849EE"/>
    <w:rsid w:val="00F859EA"/>
    <w:rsid w:val="00F85B50"/>
    <w:rsid w:val="00F868AE"/>
    <w:rsid w:val="00F86AC9"/>
    <w:rsid w:val="00F9016D"/>
    <w:rsid w:val="00F914D9"/>
    <w:rsid w:val="00F91F60"/>
    <w:rsid w:val="00F93CCD"/>
    <w:rsid w:val="00F946E9"/>
    <w:rsid w:val="00F969DB"/>
    <w:rsid w:val="00FA2DBC"/>
    <w:rsid w:val="00FA3666"/>
    <w:rsid w:val="00FA70E3"/>
    <w:rsid w:val="00FA76A8"/>
    <w:rsid w:val="00FB0A00"/>
    <w:rsid w:val="00FB34DF"/>
    <w:rsid w:val="00FB3803"/>
    <w:rsid w:val="00FB3969"/>
    <w:rsid w:val="00FB44E4"/>
    <w:rsid w:val="00FB4767"/>
    <w:rsid w:val="00FB4A12"/>
    <w:rsid w:val="00FB4E06"/>
    <w:rsid w:val="00FB587F"/>
    <w:rsid w:val="00FB6533"/>
    <w:rsid w:val="00FC0490"/>
    <w:rsid w:val="00FC16A0"/>
    <w:rsid w:val="00FC25F4"/>
    <w:rsid w:val="00FC38A1"/>
    <w:rsid w:val="00FC7671"/>
    <w:rsid w:val="00FC7842"/>
    <w:rsid w:val="00FC7937"/>
    <w:rsid w:val="00FD0732"/>
    <w:rsid w:val="00FD1F26"/>
    <w:rsid w:val="00FD420A"/>
    <w:rsid w:val="00FD4815"/>
    <w:rsid w:val="00FD76F5"/>
    <w:rsid w:val="00FE274F"/>
    <w:rsid w:val="00FE2DED"/>
    <w:rsid w:val="00FE3031"/>
    <w:rsid w:val="00FE3544"/>
    <w:rsid w:val="00FE3F42"/>
    <w:rsid w:val="00FE5189"/>
    <w:rsid w:val="00FE52E9"/>
    <w:rsid w:val="00FF278F"/>
    <w:rsid w:val="00FF2DC0"/>
    <w:rsid w:val="00FF2F21"/>
    <w:rsid w:val="00FF524E"/>
    <w:rsid w:val="00FF6192"/>
    <w:rsid w:val="00FF67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0BD40-7709-4AE6-AF4E-5047B91F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AFA"/>
  </w:style>
  <w:style w:type="paragraph" w:styleId="Heading1">
    <w:name w:val="heading 1"/>
    <w:basedOn w:val="Normal"/>
    <w:next w:val="Normal"/>
    <w:link w:val="Heading1Char"/>
    <w:uiPriority w:val="9"/>
    <w:qFormat/>
    <w:rsid w:val="00635AF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AF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5AFA"/>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35AF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35AF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35AF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5AF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35A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A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A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5A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5AF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35AF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35A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35A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35A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35A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AFA"/>
    <w:rPr>
      <w:rFonts w:asciiTheme="majorHAnsi" w:eastAsiaTheme="majorEastAsia" w:hAnsiTheme="majorHAnsi" w:cstheme="majorBidi"/>
      <w:i/>
      <w:iCs/>
      <w:color w:val="272727" w:themeColor="text1" w:themeTint="D8"/>
      <w:sz w:val="21"/>
      <w:szCs w:val="21"/>
    </w:rPr>
  </w:style>
  <w:style w:type="paragraph" w:styleId="ListParagraph">
    <w:name w:val="List Paragraph"/>
    <w:aliases w:val="2,Saraksta rindkopa,Saraksta rindkopa1,Numbered Para 1,Dot pt,No Spacing1,List Paragraph Char Char Char,Indicator Text,List Paragraph1,Bullet 1,Bullet Points,MAIN CONTENT,IFCL - List Paragraph,List Paragraph12,OBC Bullet,F5 List Paragraph"/>
    <w:basedOn w:val="Normal"/>
    <w:link w:val="ListParagraphChar"/>
    <w:uiPriority w:val="34"/>
    <w:qFormat/>
    <w:rsid w:val="00635AFA"/>
    <w:pPr>
      <w:ind w:left="720"/>
      <w:contextualSpacing/>
    </w:pPr>
  </w:style>
  <w:style w:type="character" w:styleId="Hyperlink">
    <w:name w:val="Hyperlink"/>
    <w:basedOn w:val="DefaultParagraphFont"/>
    <w:uiPriority w:val="99"/>
    <w:unhideWhenUsed/>
    <w:rsid w:val="00635AFA"/>
    <w:rPr>
      <w:color w:val="0000FF"/>
      <w:u w:val="single"/>
    </w:rPr>
  </w:style>
  <w:style w:type="paragraph" w:styleId="TOCHeading">
    <w:name w:val="TOC Heading"/>
    <w:basedOn w:val="Heading1"/>
    <w:next w:val="Normal"/>
    <w:uiPriority w:val="39"/>
    <w:unhideWhenUsed/>
    <w:qFormat/>
    <w:rsid w:val="00635AFA"/>
    <w:pPr>
      <w:numPr>
        <w:numId w:val="0"/>
      </w:numPr>
      <w:spacing w:line="259" w:lineRule="auto"/>
      <w:outlineLvl w:val="9"/>
    </w:pPr>
    <w:rPr>
      <w:lang w:val="en-US"/>
    </w:rPr>
  </w:style>
  <w:style w:type="paragraph" w:styleId="TOC1">
    <w:name w:val="toc 1"/>
    <w:basedOn w:val="Normal"/>
    <w:next w:val="Normal"/>
    <w:autoRedefine/>
    <w:uiPriority w:val="39"/>
    <w:unhideWhenUsed/>
    <w:rsid w:val="00077CCD"/>
    <w:pPr>
      <w:tabs>
        <w:tab w:val="left" w:pos="426"/>
        <w:tab w:val="right" w:leader="dot" w:pos="8931"/>
        <w:tab w:val="left" w:pos="9072"/>
        <w:tab w:val="left" w:pos="9214"/>
      </w:tabs>
      <w:spacing w:after="100"/>
      <w:jc w:val="both"/>
    </w:pPr>
  </w:style>
  <w:style w:type="paragraph" w:styleId="TOC2">
    <w:name w:val="toc 2"/>
    <w:basedOn w:val="Normal"/>
    <w:next w:val="Normal"/>
    <w:autoRedefine/>
    <w:uiPriority w:val="39"/>
    <w:unhideWhenUsed/>
    <w:rsid w:val="005A6955"/>
    <w:pPr>
      <w:tabs>
        <w:tab w:val="left" w:pos="851"/>
        <w:tab w:val="left" w:pos="880"/>
        <w:tab w:val="right" w:leader="dot" w:pos="8931"/>
      </w:tabs>
      <w:spacing w:after="100"/>
      <w:ind w:left="284" w:firstLine="142"/>
      <w:jc w:val="both"/>
    </w:pPr>
  </w:style>
  <w:style w:type="character" w:customStyle="1" w:styleId="ListParagraphChar">
    <w:name w:val="List Paragraph Char"/>
    <w:aliases w:val="2 Char,Saraksta rindkopa Char,Saraksta rindkopa1 Char,Numbered Para 1 Char,Dot pt Char,No Spacing1 Char,List Paragraph Char Char Char Char,Indicator Text Char,List Paragraph1 Char,Bullet 1 Char,Bullet Points Char,MAIN CONTENT Char"/>
    <w:link w:val="ListParagraph"/>
    <w:uiPriority w:val="34"/>
    <w:qFormat/>
    <w:locked/>
    <w:rsid w:val="00635AFA"/>
  </w:style>
  <w:style w:type="paragraph" w:styleId="TOC3">
    <w:name w:val="toc 3"/>
    <w:basedOn w:val="Normal"/>
    <w:next w:val="Normal"/>
    <w:autoRedefine/>
    <w:uiPriority w:val="39"/>
    <w:unhideWhenUsed/>
    <w:rsid w:val="005A6955"/>
    <w:pPr>
      <w:tabs>
        <w:tab w:val="left" w:pos="709"/>
        <w:tab w:val="left" w:pos="1134"/>
        <w:tab w:val="left" w:pos="1276"/>
        <w:tab w:val="right" w:leader="dot" w:pos="8931"/>
        <w:tab w:val="right" w:leader="dot" w:pos="9344"/>
      </w:tabs>
      <w:spacing w:after="100"/>
      <w:ind w:left="284" w:firstLine="425"/>
      <w:jc w:val="both"/>
    </w:pPr>
  </w:style>
  <w:style w:type="paragraph" w:styleId="FootnoteText">
    <w:name w:val="footnote text"/>
    <w:aliases w:val="Footnote Text1,Char Char Char1,Char1,Char Char Char Char Char1,Char Char Char Char Char Char Char,Char Char Char Char Char Char Char Char Char,Char Char Char Char Char Char Char C Char,Footnote Text Char2 Char,Footnote,Footnote Char,Znak"/>
    <w:basedOn w:val="Normal"/>
    <w:link w:val="FootnoteTextChar"/>
    <w:uiPriority w:val="99"/>
    <w:qFormat/>
    <w:rsid w:val="00635AFA"/>
    <w:rPr>
      <w:rFonts w:ascii="Calibri" w:eastAsia="Times New Roman" w:hAnsi="Calibri" w:cs="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1"/>
    <w:basedOn w:val="DefaultParagraphFont"/>
    <w:link w:val="FootnoteText"/>
    <w:uiPriority w:val="99"/>
    <w:rsid w:val="00635AFA"/>
    <w:rPr>
      <w:rFonts w:ascii="Calibri" w:eastAsia="Times New Roman" w:hAnsi="Calibri" w:cs="Times New Roman"/>
      <w:sz w:val="20"/>
      <w:szCs w:val="20"/>
      <w:lang w:val="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635AFA"/>
    <w:rPr>
      <w:rFonts w:cs="Times New Roman"/>
      <w:vertAlign w:val="superscript"/>
    </w:rPr>
  </w:style>
  <w:style w:type="paragraph" w:styleId="BodyText">
    <w:name w:val="Body Text"/>
    <w:basedOn w:val="Normal"/>
    <w:link w:val="BodyTextChar"/>
    <w:uiPriority w:val="99"/>
    <w:unhideWhenUsed/>
    <w:rsid w:val="00635AFA"/>
    <w:rPr>
      <w:rFonts w:cs="Times New Roman"/>
      <w:position w:val="-14"/>
      <w:szCs w:val="24"/>
      <w:lang w:eastAsia="x-none"/>
    </w:rPr>
  </w:style>
  <w:style w:type="character" w:customStyle="1" w:styleId="BodyTextChar">
    <w:name w:val="Body Text Char"/>
    <w:basedOn w:val="DefaultParagraphFont"/>
    <w:link w:val="BodyText"/>
    <w:uiPriority w:val="99"/>
    <w:rsid w:val="00635AFA"/>
    <w:rPr>
      <w:rFonts w:cs="Times New Roman"/>
      <w:position w:val="-14"/>
      <w:szCs w:val="24"/>
      <w:lang w:eastAsia="x-none"/>
    </w:rPr>
  </w:style>
  <w:style w:type="paragraph" w:customStyle="1" w:styleId="CharCharCharChar">
    <w:name w:val="Char Char Char Char"/>
    <w:aliases w:val="Char2"/>
    <w:basedOn w:val="Normal"/>
    <w:next w:val="Normal"/>
    <w:link w:val="FootnoteReference"/>
    <w:rsid w:val="00635AFA"/>
    <w:pPr>
      <w:keepNext/>
      <w:keepLines/>
      <w:spacing w:before="120" w:after="160" w:line="240" w:lineRule="exact"/>
      <w:jc w:val="both"/>
      <w:outlineLvl w:val="0"/>
    </w:pPr>
    <w:rPr>
      <w:rFonts w:cs="Times New Roman"/>
      <w:vertAlign w:val="superscript"/>
    </w:rPr>
  </w:style>
  <w:style w:type="table" w:styleId="TableGrid">
    <w:name w:val="Table Grid"/>
    <w:aliases w:val="Regular table,Table Num"/>
    <w:basedOn w:val="TableNormal"/>
    <w:uiPriority w:val="39"/>
    <w:rsid w:val="0063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tabul">
    <w:name w:val="pamattekststabul"/>
    <w:basedOn w:val="Normal"/>
    <w:rsid w:val="00635AFA"/>
    <w:pPr>
      <w:spacing w:before="100" w:beforeAutospacing="1" w:after="100" w:afterAutospacing="1"/>
    </w:pPr>
    <w:rPr>
      <w:rFonts w:eastAsia="Times New Roman" w:cs="Times New Roman"/>
      <w:szCs w:val="24"/>
      <w:lang w:val="en-US"/>
    </w:rPr>
  </w:style>
  <w:style w:type="paragraph" w:customStyle="1" w:styleId="Default">
    <w:name w:val="Default"/>
    <w:rsid w:val="00635AFA"/>
    <w:pPr>
      <w:autoSpaceDE w:val="0"/>
      <w:autoSpaceDN w:val="0"/>
      <w:adjustRightInd w:val="0"/>
    </w:pPr>
    <w:rPr>
      <w:rFonts w:eastAsia="Times New Roman" w:cs="Times New Roman"/>
      <w:color w:val="000000"/>
      <w:szCs w:val="24"/>
      <w:lang w:eastAsia="lv-LV"/>
    </w:rPr>
  </w:style>
  <w:style w:type="paragraph" w:styleId="EndnoteText">
    <w:name w:val="endnote text"/>
    <w:basedOn w:val="Normal"/>
    <w:link w:val="EndnoteTextChar1"/>
    <w:uiPriority w:val="99"/>
    <w:unhideWhenUsed/>
    <w:rsid w:val="00635AFA"/>
    <w:rPr>
      <w:rFonts w:cs="Times New Roman"/>
      <w:sz w:val="20"/>
      <w:szCs w:val="20"/>
      <w:lang w:val="en-US"/>
    </w:rPr>
  </w:style>
  <w:style w:type="character" w:customStyle="1" w:styleId="EndnoteTextChar">
    <w:name w:val="Endnote Text Char"/>
    <w:basedOn w:val="DefaultParagraphFont"/>
    <w:uiPriority w:val="99"/>
    <w:semiHidden/>
    <w:rsid w:val="00635AFA"/>
    <w:rPr>
      <w:sz w:val="20"/>
      <w:szCs w:val="20"/>
    </w:rPr>
  </w:style>
  <w:style w:type="character" w:customStyle="1" w:styleId="EndnoteTextChar1">
    <w:name w:val="Endnote Text Char1"/>
    <w:basedOn w:val="DefaultParagraphFont"/>
    <w:link w:val="EndnoteText"/>
    <w:uiPriority w:val="99"/>
    <w:rsid w:val="00635AFA"/>
    <w:rPr>
      <w:rFonts w:cs="Times New Roman"/>
      <w:sz w:val="20"/>
      <w:szCs w:val="20"/>
      <w:lang w:val="en-US"/>
    </w:rPr>
  </w:style>
  <w:style w:type="paragraph" w:styleId="NoSpacing">
    <w:name w:val="No Spacing"/>
    <w:uiPriority w:val="1"/>
    <w:qFormat/>
    <w:rsid w:val="00635AFA"/>
    <w:rPr>
      <w:rFonts w:asciiTheme="minorHAnsi" w:hAnsiTheme="minorHAnsi"/>
      <w:sz w:val="22"/>
    </w:rPr>
  </w:style>
  <w:style w:type="paragraph" w:styleId="NormalWeb">
    <w:name w:val="Normal (Web)"/>
    <w:basedOn w:val="Normal"/>
    <w:uiPriority w:val="99"/>
    <w:unhideWhenUsed/>
    <w:rsid w:val="00635AFA"/>
    <w:pPr>
      <w:spacing w:before="100" w:beforeAutospacing="1" w:after="100" w:afterAutospacing="1"/>
    </w:pPr>
    <w:rPr>
      <w:rFonts w:eastAsia="Times New Roman" w:cs="Times New Roman"/>
      <w:szCs w:val="24"/>
      <w:lang w:eastAsia="lv-LV"/>
    </w:rPr>
  </w:style>
  <w:style w:type="paragraph" w:styleId="PlainText">
    <w:name w:val="Plain Text"/>
    <w:basedOn w:val="Normal"/>
    <w:link w:val="PlainTextChar"/>
    <w:uiPriority w:val="99"/>
    <w:unhideWhenUsed/>
    <w:rsid w:val="00635AFA"/>
    <w:rPr>
      <w:rFonts w:ascii="Calibri" w:hAnsi="Calibri"/>
      <w:sz w:val="22"/>
      <w:szCs w:val="21"/>
    </w:rPr>
  </w:style>
  <w:style w:type="character" w:customStyle="1" w:styleId="PlainTextChar">
    <w:name w:val="Plain Text Char"/>
    <w:basedOn w:val="DefaultParagraphFont"/>
    <w:link w:val="PlainText"/>
    <w:uiPriority w:val="99"/>
    <w:rsid w:val="00635AFA"/>
    <w:rPr>
      <w:rFonts w:ascii="Calibri" w:hAnsi="Calibri"/>
      <w:sz w:val="22"/>
      <w:szCs w:val="21"/>
    </w:rPr>
  </w:style>
  <w:style w:type="paragraph" w:customStyle="1" w:styleId="tv213">
    <w:name w:val="tv213"/>
    <w:basedOn w:val="Normal"/>
    <w:rsid w:val="00635AFA"/>
    <w:pPr>
      <w:spacing w:before="100" w:beforeAutospacing="1" w:after="100" w:afterAutospacing="1"/>
    </w:pPr>
    <w:rPr>
      <w:rFonts w:eastAsia="Calibri" w:cs="Times New Roman"/>
      <w:szCs w:val="24"/>
      <w:lang w:eastAsia="lv-LV"/>
    </w:rPr>
  </w:style>
  <w:style w:type="paragraph" w:customStyle="1" w:styleId="xmsonormal">
    <w:name w:val="x_msonormal"/>
    <w:basedOn w:val="Normal"/>
    <w:rsid w:val="00635AFA"/>
    <w:pPr>
      <w:spacing w:before="100" w:beforeAutospacing="1" w:after="100" w:afterAutospacing="1"/>
    </w:pPr>
    <w:rPr>
      <w:rFonts w:eastAsia="Times New Roman" w:cs="Times New Roman"/>
      <w:szCs w:val="24"/>
      <w:lang w:eastAsia="lv-LV"/>
    </w:rPr>
  </w:style>
  <w:style w:type="paragraph" w:customStyle="1" w:styleId="Parasts">
    <w:name w:val="Parasts"/>
    <w:rsid w:val="00635AFA"/>
    <w:pPr>
      <w:suppressAutoHyphens/>
      <w:autoSpaceDN w:val="0"/>
      <w:spacing w:after="160" w:line="244" w:lineRule="auto"/>
      <w:textAlignment w:val="baseline"/>
    </w:pPr>
    <w:rPr>
      <w:rFonts w:ascii="Calibri" w:eastAsia="Calibri" w:hAnsi="Calibri" w:cs="Times New Roman"/>
      <w:sz w:val="22"/>
      <w:lang w:val="en-US"/>
    </w:rPr>
  </w:style>
  <w:style w:type="character" w:customStyle="1" w:styleId="Noklusjumarindkopasfonts">
    <w:name w:val="Noklusējuma rindkopas fonts"/>
    <w:rsid w:val="00635AFA"/>
  </w:style>
  <w:style w:type="character" w:customStyle="1" w:styleId="Hipersaite">
    <w:name w:val="Hipersaite"/>
    <w:basedOn w:val="Noklusjumarindkopasfonts"/>
    <w:rsid w:val="00635AFA"/>
    <w:rPr>
      <w:color w:val="0563C1"/>
      <w:u w:val="single"/>
    </w:rPr>
  </w:style>
  <w:style w:type="paragraph" w:styleId="Header">
    <w:name w:val="header"/>
    <w:basedOn w:val="Normal"/>
    <w:link w:val="HeaderChar"/>
    <w:uiPriority w:val="99"/>
    <w:unhideWhenUsed/>
    <w:rsid w:val="00635AFA"/>
    <w:pPr>
      <w:tabs>
        <w:tab w:val="center" w:pos="4153"/>
        <w:tab w:val="right" w:pos="8306"/>
      </w:tabs>
    </w:pPr>
  </w:style>
  <w:style w:type="character" w:customStyle="1" w:styleId="HeaderChar">
    <w:name w:val="Header Char"/>
    <w:basedOn w:val="DefaultParagraphFont"/>
    <w:link w:val="Header"/>
    <w:uiPriority w:val="99"/>
    <w:rsid w:val="00635AFA"/>
  </w:style>
  <w:style w:type="paragraph" w:styleId="Footer">
    <w:name w:val="footer"/>
    <w:basedOn w:val="Normal"/>
    <w:link w:val="FooterChar"/>
    <w:unhideWhenUsed/>
    <w:rsid w:val="00635AFA"/>
    <w:pPr>
      <w:tabs>
        <w:tab w:val="center" w:pos="4153"/>
        <w:tab w:val="right" w:pos="8306"/>
      </w:tabs>
    </w:pPr>
  </w:style>
  <w:style w:type="character" w:customStyle="1" w:styleId="FooterChar">
    <w:name w:val="Footer Char"/>
    <w:basedOn w:val="DefaultParagraphFont"/>
    <w:link w:val="Footer"/>
    <w:rsid w:val="00635AFA"/>
  </w:style>
  <w:style w:type="character" w:styleId="CommentReference">
    <w:name w:val="annotation reference"/>
    <w:basedOn w:val="DefaultParagraphFont"/>
    <w:uiPriority w:val="99"/>
    <w:semiHidden/>
    <w:unhideWhenUsed/>
    <w:rsid w:val="00453A61"/>
    <w:rPr>
      <w:sz w:val="16"/>
      <w:szCs w:val="16"/>
    </w:rPr>
  </w:style>
  <w:style w:type="paragraph" w:styleId="CommentText">
    <w:name w:val="annotation text"/>
    <w:basedOn w:val="Normal"/>
    <w:link w:val="CommentTextChar"/>
    <w:uiPriority w:val="99"/>
    <w:unhideWhenUsed/>
    <w:rsid w:val="00453A61"/>
    <w:rPr>
      <w:sz w:val="20"/>
      <w:szCs w:val="20"/>
    </w:rPr>
  </w:style>
  <w:style w:type="character" w:customStyle="1" w:styleId="CommentTextChar">
    <w:name w:val="Comment Text Char"/>
    <w:basedOn w:val="DefaultParagraphFont"/>
    <w:link w:val="CommentText"/>
    <w:uiPriority w:val="99"/>
    <w:rsid w:val="00453A61"/>
    <w:rPr>
      <w:sz w:val="20"/>
      <w:szCs w:val="20"/>
    </w:rPr>
  </w:style>
  <w:style w:type="paragraph" w:styleId="BalloonText">
    <w:name w:val="Balloon Text"/>
    <w:basedOn w:val="Normal"/>
    <w:link w:val="BalloonTextChar"/>
    <w:uiPriority w:val="99"/>
    <w:semiHidden/>
    <w:unhideWhenUsed/>
    <w:rsid w:val="00453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A61"/>
    <w:rPr>
      <w:b/>
      <w:bCs/>
    </w:rPr>
  </w:style>
  <w:style w:type="character" w:customStyle="1" w:styleId="CommentSubjectChar">
    <w:name w:val="Comment Subject Char"/>
    <w:basedOn w:val="CommentTextChar"/>
    <w:link w:val="CommentSubject"/>
    <w:uiPriority w:val="99"/>
    <w:semiHidden/>
    <w:rsid w:val="00453A61"/>
    <w:rPr>
      <w:b/>
      <w:bCs/>
      <w:sz w:val="20"/>
      <w:szCs w:val="20"/>
    </w:rPr>
  </w:style>
  <w:style w:type="table" w:customStyle="1" w:styleId="TableGrid1">
    <w:name w:val="Table Grid1"/>
    <w:basedOn w:val="TableNormal"/>
    <w:next w:val="TableGrid"/>
    <w:uiPriority w:val="39"/>
    <w:rsid w:val="00453A6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A61"/>
  </w:style>
  <w:style w:type="paragraph" w:customStyle="1" w:styleId="02Pamatteksts">
    <w:name w:val="02_Pamatteksts"/>
    <w:basedOn w:val="Normal"/>
    <w:rsid w:val="00453A61"/>
    <w:pPr>
      <w:ind w:firstLine="720"/>
      <w:jc w:val="both"/>
    </w:pPr>
    <w:rPr>
      <w:rFonts w:eastAsia="Times New Roman" w:cs="Times New Roman"/>
      <w:sz w:val="28"/>
      <w:szCs w:val="24"/>
    </w:rPr>
  </w:style>
  <w:style w:type="character" w:customStyle="1" w:styleId="ref-overlay2">
    <w:name w:val="ref-overlay2"/>
    <w:basedOn w:val="DefaultParagraphFont"/>
    <w:rsid w:val="00453A61"/>
    <w:rPr>
      <w:shd w:val="clear" w:color="auto" w:fill="FFFFFF"/>
    </w:rPr>
  </w:style>
  <w:style w:type="character" w:customStyle="1" w:styleId="hlfld-contribauthor">
    <w:name w:val="hlfld-contribauthor"/>
    <w:basedOn w:val="DefaultParagraphFont"/>
    <w:rsid w:val="00453A61"/>
  </w:style>
  <w:style w:type="character" w:customStyle="1" w:styleId="nlmgiven-names">
    <w:name w:val="nlm_given-names"/>
    <w:basedOn w:val="DefaultParagraphFont"/>
    <w:rsid w:val="00453A61"/>
  </w:style>
  <w:style w:type="character" w:customStyle="1" w:styleId="nlmyear">
    <w:name w:val="nlm_year"/>
    <w:basedOn w:val="DefaultParagraphFont"/>
    <w:rsid w:val="00453A61"/>
  </w:style>
  <w:style w:type="character" w:customStyle="1" w:styleId="nlmarticle-title">
    <w:name w:val="nlm_article-title"/>
    <w:basedOn w:val="DefaultParagraphFont"/>
    <w:rsid w:val="00453A61"/>
  </w:style>
  <w:style w:type="character" w:customStyle="1" w:styleId="ref-links2">
    <w:name w:val="ref-links2"/>
    <w:basedOn w:val="DefaultParagraphFont"/>
    <w:rsid w:val="00453A61"/>
  </w:style>
  <w:style w:type="character" w:customStyle="1" w:styleId="xlinks-container">
    <w:name w:val="xlinks-container"/>
    <w:basedOn w:val="DefaultParagraphFont"/>
    <w:rsid w:val="00453A61"/>
  </w:style>
  <w:style w:type="character" w:customStyle="1" w:styleId="nlmfpage">
    <w:name w:val="nlm_fpage"/>
    <w:basedOn w:val="DefaultParagraphFont"/>
    <w:rsid w:val="00453A61"/>
  </w:style>
  <w:style w:type="character" w:customStyle="1" w:styleId="nlmlpage">
    <w:name w:val="nlm_lpage"/>
    <w:basedOn w:val="DefaultParagraphFont"/>
    <w:rsid w:val="00453A61"/>
  </w:style>
  <w:style w:type="character" w:customStyle="1" w:styleId="nlmpub-id">
    <w:name w:val="nlm_pub-id"/>
    <w:basedOn w:val="DefaultParagraphFont"/>
    <w:rsid w:val="00453A61"/>
  </w:style>
  <w:style w:type="character" w:customStyle="1" w:styleId="nlmpublisher-name">
    <w:name w:val="nlm_publisher-name"/>
    <w:basedOn w:val="DefaultParagraphFont"/>
    <w:rsid w:val="00453A61"/>
  </w:style>
  <w:style w:type="character" w:styleId="FollowedHyperlink">
    <w:name w:val="FollowedHyperlink"/>
    <w:basedOn w:val="DefaultParagraphFont"/>
    <w:uiPriority w:val="99"/>
    <w:semiHidden/>
    <w:unhideWhenUsed/>
    <w:rsid w:val="00453A61"/>
    <w:rPr>
      <w:color w:val="954F72" w:themeColor="followedHyperlink"/>
      <w:u w:val="single"/>
    </w:rPr>
  </w:style>
  <w:style w:type="character" w:customStyle="1" w:styleId="nlmdate-in-citation">
    <w:name w:val="nlm_date-in-citation"/>
    <w:basedOn w:val="DefaultParagraphFont"/>
    <w:rsid w:val="00453A61"/>
  </w:style>
  <w:style w:type="character" w:customStyle="1" w:styleId="nlmpublisher-loc">
    <w:name w:val="nlm_publisher-loc"/>
    <w:basedOn w:val="DefaultParagraphFont"/>
    <w:rsid w:val="00453A61"/>
  </w:style>
  <w:style w:type="character" w:styleId="Strong">
    <w:name w:val="Strong"/>
    <w:basedOn w:val="DefaultParagraphFont"/>
    <w:uiPriority w:val="22"/>
    <w:qFormat/>
    <w:rsid w:val="00FB4767"/>
    <w:rPr>
      <w:b/>
      <w:bCs/>
    </w:rPr>
  </w:style>
  <w:style w:type="table" w:customStyle="1" w:styleId="TableNum1">
    <w:name w:val="Table Num1"/>
    <w:basedOn w:val="TableNormal"/>
    <w:next w:val="TableGrid"/>
    <w:rsid w:val="00B26BF7"/>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5C051B"/>
  </w:style>
  <w:style w:type="character" w:customStyle="1" w:styleId="word">
    <w:name w:val="word"/>
    <w:basedOn w:val="DefaultParagraphFont"/>
    <w:rsid w:val="005C051B"/>
  </w:style>
  <w:style w:type="paragraph" w:customStyle="1" w:styleId="mt-translation">
    <w:name w:val="mt-translation"/>
    <w:basedOn w:val="Normal"/>
    <w:rsid w:val="003725D7"/>
    <w:pPr>
      <w:spacing w:before="100" w:beforeAutospacing="1" w:after="100" w:afterAutospacing="1"/>
    </w:pPr>
    <w:rPr>
      <w:rFonts w:eastAsia="Times New Roman" w:cs="Times New Roman"/>
      <w:color w:val="000000"/>
      <w:szCs w:val="24"/>
      <w:lang w:eastAsia="lv-LV"/>
    </w:rPr>
  </w:style>
  <w:style w:type="character" w:styleId="EndnoteReference">
    <w:name w:val="endnote reference"/>
    <w:basedOn w:val="DefaultParagraphFont"/>
    <w:uiPriority w:val="99"/>
    <w:semiHidden/>
    <w:unhideWhenUsed/>
    <w:rsid w:val="0082273C"/>
    <w:rPr>
      <w:vertAlign w:val="superscript"/>
    </w:rPr>
  </w:style>
  <w:style w:type="character" w:styleId="IntenseEmphasis">
    <w:name w:val="Intense Emphasis"/>
    <w:basedOn w:val="DefaultParagraphFont"/>
    <w:uiPriority w:val="21"/>
    <w:qFormat/>
    <w:rsid w:val="00CA5F46"/>
    <w:rPr>
      <w:i/>
      <w:iCs/>
      <w:color w:val="5B9BD5" w:themeColor="accent1"/>
    </w:rPr>
  </w:style>
  <w:style w:type="character" w:customStyle="1" w:styleId="ref-lnk">
    <w:name w:val="ref-lnk"/>
    <w:basedOn w:val="DefaultParagraphFont"/>
    <w:rsid w:val="008B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1923">
      <w:bodyDiv w:val="1"/>
      <w:marLeft w:val="0"/>
      <w:marRight w:val="0"/>
      <w:marTop w:val="0"/>
      <w:marBottom w:val="0"/>
      <w:divBdr>
        <w:top w:val="none" w:sz="0" w:space="0" w:color="auto"/>
        <w:left w:val="none" w:sz="0" w:space="0" w:color="auto"/>
        <w:bottom w:val="none" w:sz="0" w:space="0" w:color="auto"/>
        <w:right w:val="none" w:sz="0" w:space="0" w:color="auto"/>
      </w:divBdr>
    </w:div>
    <w:div w:id="207187602">
      <w:bodyDiv w:val="1"/>
      <w:marLeft w:val="0"/>
      <w:marRight w:val="0"/>
      <w:marTop w:val="0"/>
      <w:marBottom w:val="0"/>
      <w:divBdr>
        <w:top w:val="none" w:sz="0" w:space="0" w:color="auto"/>
        <w:left w:val="none" w:sz="0" w:space="0" w:color="auto"/>
        <w:bottom w:val="none" w:sz="0" w:space="0" w:color="auto"/>
        <w:right w:val="none" w:sz="0" w:space="0" w:color="auto"/>
      </w:divBdr>
    </w:div>
    <w:div w:id="235480939">
      <w:bodyDiv w:val="1"/>
      <w:marLeft w:val="0"/>
      <w:marRight w:val="0"/>
      <w:marTop w:val="0"/>
      <w:marBottom w:val="0"/>
      <w:divBdr>
        <w:top w:val="none" w:sz="0" w:space="0" w:color="auto"/>
        <w:left w:val="none" w:sz="0" w:space="0" w:color="auto"/>
        <w:bottom w:val="none" w:sz="0" w:space="0" w:color="auto"/>
        <w:right w:val="none" w:sz="0" w:space="0" w:color="auto"/>
      </w:divBdr>
    </w:div>
    <w:div w:id="404449377">
      <w:bodyDiv w:val="1"/>
      <w:marLeft w:val="0"/>
      <w:marRight w:val="0"/>
      <w:marTop w:val="0"/>
      <w:marBottom w:val="0"/>
      <w:divBdr>
        <w:top w:val="none" w:sz="0" w:space="0" w:color="auto"/>
        <w:left w:val="none" w:sz="0" w:space="0" w:color="auto"/>
        <w:bottom w:val="none" w:sz="0" w:space="0" w:color="auto"/>
        <w:right w:val="none" w:sz="0" w:space="0" w:color="auto"/>
      </w:divBdr>
    </w:div>
    <w:div w:id="490760069">
      <w:bodyDiv w:val="1"/>
      <w:marLeft w:val="0"/>
      <w:marRight w:val="0"/>
      <w:marTop w:val="0"/>
      <w:marBottom w:val="0"/>
      <w:divBdr>
        <w:top w:val="none" w:sz="0" w:space="0" w:color="auto"/>
        <w:left w:val="none" w:sz="0" w:space="0" w:color="auto"/>
        <w:bottom w:val="none" w:sz="0" w:space="0" w:color="auto"/>
        <w:right w:val="none" w:sz="0" w:space="0" w:color="auto"/>
      </w:divBdr>
    </w:div>
    <w:div w:id="568538807">
      <w:bodyDiv w:val="1"/>
      <w:marLeft w:val="0"/>
      <w:marRight w:val="0"/>
      <w:marTop w:val="0"/>
      <w:marBottom w:val="0"/>
      <w:divBdr>
        <w:top w:val="none" w:sz="0" w:space="0" w:color="auto"/>
        <w:left w:val="none" w:sz="0" w:space="0" w:color="auto"/>
        <w:bottom w:val="none" w:sz="0" w:space="0" w:color="auto"/>
        <w:right w:val="none" w:sz="0" w:space="0" w:color="auto"/>
      </w:divBdr>
    </w:div>
    <w:div w:id="666249243">
      <w:bodyDiv w:val="1"/>
      <w:marLeft w:val="0"/>
      <w:marRight w:val="0"/>
      <w:marTop w:val="0"/>
      <w:marBottom w:val="0"/>
      <w:divBdr>
        <w:top w:val="none" w:sz="0" w:space="0" w:color="auto"/>
        <w:left w:val="none" w:sz="0" w:space="0" w:color="auto"/>
        <w:bottom w:val="none" w:sz="0" w:space="0" w:color="auto"/>
        <w:right w:val="none" w:sz="0" w:space="0" w:color="auto"/>
      </w:divBdr>
    </w:div>
    <w:div w:id="759957076">
      <w:bodyDiv w:val="1"/>
      <w:marLeft w:val="0"/>
      <w:marRight w:val="0"/>
      <w:marTop w:val="0"/>
      <w:marBottom w:val="0"/>
      <w:divBdr>
        <w:top w:val="none" w:sz="0" w:space="0" w:color="auto"/>
        <w:left w:val="none" w:sz="0" w:space="0" w:color="auto"/>
        <w:bottom w:val="none" w:sz="0" w:space="0" w:color="auto"/>
        <w:right w:val="none" w:sz="0" w:space="0" w:color="auto"/>
      </w:divBdr>
    </w:div>
    <w:div w:id="873349231">
      <w:bodyDiv w:val="1"/>
      <w:marLeft w:val="0"/>
      <w:marRight w:val="0"/>
      <w:marTop w:val="0"/>
      <w:marBottom w:val="0"/>
      <w:divBdr>
        <w:top w:val="none" w:sz="0" w:space="0" w:color="auto"/>
        <w:left w:val="none" w:sz="0" w:space="0" w:color="auto"/>
        <w:bottom w:val="none" w:sz="0" w:space="0" w:color="auto"/>
        <w:right w:val="none" w:sz="0" w:space="0" w:color="auto"/>
      </w:divBdr>
    </w:div>
    <w:div w:id="1078790892">
      <w:bodyDiv w:val="1"/>
      <w:marLeft w:val="0"/>
      <w:marRight w:val="0"/>
      <w:marTop w:val="0"/>
      <w:marBottom w:val="0"/>
      <w:divBdr>
        <w:top w:val="none" w:sz="0" w:space="0" w:color="auto"/>
        <w:left w:val="none" w:sz="0" w:space="0" w:color="auto"/>
        <w:bottom w:val="none" w:sz="0" w:space="0" w:color="auto"/>
        <w:right w:val="none" w:sz="0" w:space="0" w:color="auto"/>
      </w:divBdr>
    </w:div>
    <w:div w:id="1212614321">
      <w:bodyDiv w:val="1"/>
      <w:marLeft w:val="0"/>
      <w:marRight w:val="0"/>
      <w:marTop w:val="0"/>
      <w:marBottom w:val="0"/>
      <w:divBdr>
        <w:top w:val="none" w:sz="0" w:space="0" w:color="auto"/>
        <w:left w:val="none" w:sz="0" w:space="0" w:color="auto"/>
        <w:bottom w:val="none" w:sz="0" w:space="0" w:color="auto"/>
        <w:right w:val="none" w:sz="0" w:space="0" w:color="auto"/>
      </w:divBdr>
    </w:div>
    <w:div w:id="1268928259">
      <w:bodyDiv w:val="1"/>
      <w:marLeft w:val="0"/>
      <w:marRight w:val="0"/>
      <w:marTop w:val="0"/>
      <w:marBottom w:val="0"/>
      <w:divBdr>
        <w:top w:val="none" w:sz="0" w:space="0" w:color="auto"/>
        <w:left w:val="none" w:sz="0" w:space="0" w:color="auto"/>
        <w:bottom w:val="none" w:sz="0" w:space="0" w:color="auto"/>
        <w:right w:val="none" w:sz="0" w:space="0" w:color="auto"/>
      </w:divBdr>
    </w:div>
    <w:div w:id="1514027332">
      <w:bodyDiv w:val="1"/>
      <w:marLeft w:val="0"/>
      <w:marRight w:val="0"/>
      <w:marTop w:val="0"/>
      <w:marBottom w:val="0"/>
      <w:divBdr>
        <w:top w:val="none" w:sz="0" w:space="0" w:color="auto"/>
        <w:left w:val="none" w:sz="0" w:space="0" w:color="auto"/>
        <w:bottom w:val="none" w:sz="0" w:space="0" w:color="auto"/>
        <w:right w:val="none" w:sz="0" w:space="0" w:color="auto"/>
      </w:divBdr>
    </w:div>
    <w:div w:id="1573856746">
      <w:bodyDiv w:val="1"/>
      <w:marLeft w:val="0"/>
      <w:marRight w:val="0"/>
      <w:marTop w:val="0"/>
      <w:marBottom w:val="0"/>
      <w:divBdr>
        <w:top w:val="none" w:sz="0" w:space="0" w:color="auto"/>
        <w:left w:val="none" w:sz="0" w:space="0" w:color="auto"/>
        <w:bottom w:val="none" w:sz="0" w:space="0" w:color="auto"/>
        <w:right w:val="none" w:sz="0" w:space="0" w:color="auto"/>
      </w:divBdr>
    </w:div>
    <w:div w:id="1593733103">
      <w:bodyDiv w:val="1"/>
      <w:marLeft w:val="0"/>
      <w:marRight w:val="0"/>
      <w:marTop w:val="0"/>
      <w:marBottom w:val="0"/>
      <w:divBdr>
        <w:top w:val="none" w:sz="0" w:space="0" w:color="auto"/>
        <w:left w:val="none" w:sz="0" w:space="0" w:color="auto"/>
        <w:bottom w:val="none" w:sz="0" w:space="0" w:color="auto"/>
        <w:right w:val="none" w:sz="0" w:space="0" w:color="auto"/>
      </w:divBdr>
    </w:div>
    <w:div w:id="1653673679">
      <w:bodyDiv w:val="1"/>
      <w:marLeft w:val="0"/>
      <w:marRight w:val="0"/>
      <w:marTop w:val="0"/>
      <w:marBottom w:val="0"/>
      <w:divBdr>
        <w:top w:val="none" w:sz="0" w:space="0" w:color="auto"/>
        <w:left w:val="none" w:sz="0" w:space="0" w:color="auto"/>
        <w:bottom w:val="none" w:sz="0" w:space="0" w:color="auto"/>
        <w:right w:val="none" w:sz="0" w:space="0" w:color="auto"/>
      </w:divBdr>
    </w:div>
    <w:div w:id="1746998092">
      <w:bodyDiv w:val="1"/>
      <w:marLeft w:val="0"/>
      <w:marRight w:val="0"/>
      <w:marTop w:val="0"/>
      <w:marBottom w:val="0"/>
      <w:divBdr>
        <w:top w:val="none" w:sz="0" w:space="0" w:color="auto"/>
        <w:left w:val="none" w:sz="0" w:space="0" w:color="auto"/>
        <w:bottom w:val="none" w:sz="0" w:space="0" w:color="auto"/>
        <w:right w:val="none" w:sz="0" w:space="0" w:color="auto"/>
      </w:divBdr>
    </w:div>
    <w:div w:id="20689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loto.lv" TargetMode="Externa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yperlink" Target="http://www.spelesbriviba.lv/" TargetMode="Externa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osaspele.l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ru.wikipedia.org/wiki/Blizzard_Entertain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122941" TargetMode="External"/><Relationship Id="rId22" Type="http://schemas.openxmlformats.org/officeDocument/2006/relationships/chart" Target="charts/chart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psychology.org.au/publications/inpsych/2010/december/gambling/" TargetMode="External"/><Relationship Id="rId18" Type="http://schemas.openxmlformats.org/officeDocument/2006/relationships/hyperlink" Target="https://prism.ucalgary.ca/handle/1880/51055" TargetMode="External"/><Relationship Id="rId26" Type="http://schemas.openxmlformats.org/officeDocument/2006/relationships/hyperlink" Target="http://www.rpnc.lv/narkologiska-palidziba/stacionara-arstnieciba" TargetMode="External"/><Relationship Id="rId39"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21" Type="http://schemas.openxmlformats.org/officeDocument/2006/relationships/hyperlink" Target="https://prism.ucalgary.ca/handle/1880/51055" TargetMode="External"/><Relationship Id="rId34" Type="http://schemas.openxmlformats.org/officeDocument/2006/relationships/hyperlink" Target="https://gamblingcompliance.com/infographic/analysing-age-requirement-europe" TargetMode="External"/><Relationship Id="rId42" Type="http://schemas.openxmlformats.org/officeDocument/2006/relationships/hyperlink" Target="https://www.tandfonline.com/doi/full/10.1080/14459795.2017.1360928" TargetMode="External"/><Relationship Id="rId47"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50" Type="http://schemas.openxmlformats.org/officeDocument/2006/relationships/hyperlink" Target="https://aifs.gov.au/agrc/publications/gambling-suburban-australia/5-life-stressors" TargetMode="External"/><Relationship Id="rId55" Type="http://schemas.openxmlformats.org/officeDocument/2006/relationships/hyperlink" Target="https://www.responsiblegambling.nsw.gov.au/__data/assets/pdf_file/0003/138126/the-role-of-loyalty-programs-gambling-2016.pdf" TargetMode="External"/><Relationship Id="rId63" Type="http://schemas.openxmlformats.org/officeDocument/2006/relationships/hyperlink" Target="https://pubmed.ncbi.nlm.nih.gov/25144015/" TargetMode="External"/><Relationship Id="rId68" Type="http://schemas.openxmlformats.org/officeDocument/2006/relationships/hyperlink" Target="https://77.&#1084;&#1074;&#1076;.&#1088;&#1092;/SMI/Itogi_kompleksnoj_operativno_profilaktic" TargetMode="External"/><Relationship Id="rId76" Type="http://schemas.openxmlformats.org/officeDocument/2006/relationships/hyperlink" Target="https://europeangaming.eu/portal/latest-news/2018/11/02/31737/european-council-offers-support-to-albanias-gambling-ban/" TargetMode="External"/><Relationship Id="rId84" Type="http://schemas.openxmlformats.org/officeDocument/2006/relationships/hyperlink" Target="https://www.juniperresearch.com/press/press-releases/loot-boxes-and-skins-gambling" TargetMode="External"/><Relationship Id="rId7" Type="http://schemas.openxmlformats.org/officeDocument/2006/relationships/hyperlink" Target="http://nafgah.org/statistics-gambling-addiction-2016/" TargetMode="External"/><Relationship Id="rId71" Type="http://schemas.openxmlformats.org/officeDocument/2006/relationships/hyperlink" Target="http://hdl.handle.net/10133/414" TargetMode="External"/><Relationship Id="rId2" Type="http://schemas.openxmlformats.org/officeDocument/2006/relationships/hyperlink" Target="http://www.europarl.europa.eu/sides/getDoc.do?type=TA&amp;reference=P7-TA-2011-0492&amp;language=LV&amp;ring=A7-2011-0342" TargetMode="External"/><Relationship Id="rId16" Type="http://schemas.openxmlformats.org/officeDocument/2006/relationships/hyperlink" Target="https://prism.ucalgary.ca/handle/1880/51055" TargetMode="External"/><Relationship Id="rId29" Type="http://schemas.openxmlformats.org/officeDocument/2006/relationships/hyperlink" Target="https://www.gamblingtherapy.org/en/taxonomy/term/504" TargetMode="External"/><Relationship Id="rId11" Type="http://schemas.openxmlformats.org/officeDocument/2006/relationships/hyperlink" Target="https://www.researchgate.net/publication/265176543_Problem_gambling_in_Europe_Challenges_prevention_and_interventions" TargetMode="External"/><Relationship Id="rId24" Type="http://schemas.openxmlformats.org/officeDocument/2006/relationships/hyperlink" Target="https://www.spkc.gov.lv/upload/Petijumi%20un%20zinojumi/Atkaribu%20slimibu%20petijumi/espad2015_ziojums.pdf" TargetMode="External"/><Relationship Id="rId32" Type="http://schemas.openxmlformats.org/officeDocument/2006/relationships/hyperlink" Target="https://likumi.lv/doc.php?id=122941" TargetMode="External"/><Relationship Id="rId37" Type="http://schemas.openxmlformats.org/officeDocument/2006/relationships/hyperlink" Target="https://www.tandfonline.com/doi/full/10.1080/14459795.2017.1360928" TargetMode="External"/><Relationship Id="rId40" Type="http://schemas.openxmlformats.org/officeDocument/2006/relationships/hyperlink" Target="https://www.treasury.tas.gov.au/Documents/GMNS2016.pdf" TargetMode="External"/><Relationship Id="rId45" Type="http://schemas.openxmlformats.org/officeDocument/2006/relationships/hyperlink" Target="https://www.tandfonline.com/doi/full/10.1080/14459795.2017.1360928" TargetMode="External"/><Relationship Id="rId53" Type="http://schemas.openxmlformats.org/officeDocument/2006/relationships/hyperlink" Target="https://www.responsiblegambling.nsw.gov.au/__data/assets/pdf_file/0003/138126/the-role-of-loyalty-programs-gambling-2016.pdf" TargetMode="External"/><Relationship Id="rId58" Type="http://schemas.openxmlformats.org/officeDocument/2006/relationships/hyperlink" Target="https://doi.org/10.1080/14459795.2018.1480649" TargetMode="External"/><Relationship Id="rId66" Type="http://schemas.openxmlformats.org/officeDocument/2006/relationships/hyperlink" Target="https://www.uleth.ca/dspace/bitstream/handle/10133/3068/2012-PREVALENCE-OPGRC%20%282%29.pdf?sequence=3" TargetMode="External"/><Relationship Id="rId74" Type="http://schemas.openxmlformats.org/officeDocument/2006/relationships/hyperlink" Target="https://lpt.lrv.lt/en/legal-information/gaming-law-of-the-republic-of-lithuania" TargetMode="External"/><Relationship Id="rId79" Type="http://schemas.openxmlformats.org/officeDocument/2006/relationships/hyperlink" Target="https://uk.practicallaw.thomsonreuters.com/4-636" TargetMode="External"/><Relationship Id="rId87" Type="http://schemas.openxmlformats.org/officeDocument/2006/relationships/hyperlink" Target="https://www.spillemyndigheden.dk/en/news/danish-gambling-authority-has-25-illegal-gambling-websites-blocked" TargetMode="External"/><Relationship Id="rId5" Type="http://schemas.openxmlformats.org/officeDocument/2006/relationships/hyperlink" Target="http://www.spkc.gov.lv/ssk10/index4cdd.html?p=%23121" TargetMode="External"/><Relationship Id="rId61" Type="http://schemas.openxmlformats.org/officeDocument/2006/relationships/hyperlink" Target="https://www.researchgate.net/journal/1050-5350_Journal_of_Gambling_Studies" TargetMode="External"/><Relationship Id="rId82" Type="http://schemas.openxmlformats.org/officeDocument/2006/relationships/hyperlink" Target="https://publications.europa.eu/en/publication-detail/-/publication/6bac835f-2442-11e9-8d04-01aa75ed71a1/language-en" TargetMode="External"/><Relationship Id="rId19" Type="http://schemas.openxmlformats.org/officeDocument/2006/relationships/hyperlink" Target="https://prism.ucalgary.ca/handle/1880/51055" TargetMode="External"/><Relationship Id="rId4" Type="http://schemas.openxmlformats.org/officeDocument/2006/relationships/hyperlink" Target="https://eur-lex.europa.eu/legal-content/EN/TXT/?uri=CELEX:52012DC0596" TargetMode="External"/><Relationship Id="rId9" Type="http://schemas.openxmlformats.org/officeDocument/2006/relationships/hyperlink" Target="https://www.sciencedirect.com/science/article/pii/S0272735815301963" TargetMode="External"/><Relationship Id="rId14" Type="http://schemas.openxmlformats.org/officeDocument/2006/relationships/hyperlink" Target="https://www.ncbi.nlm.nih.gov/pmc/articles/PMC1797802/" TargetMode="External"/><Relationship Id="rId22" Type="http://schemas.openxmlformats.org/officeDocument/2006/relationships/hyperlink" Target="https://prism.ucalgary.ca/handle/1880/51055" TargetMode="External"/><Relationship Id="rId27" Type="http://schemas.openxmlformats.org/officeDocument/2006/relationships/hyperlink" Target="https://www.spkc.gov.lv/lv/statistika-un-petijumi/statistika/veselibas-aprupes-statistika1" TargetMode="External"/><Relationship Id="rId30" Type="http://schemas.openxmlformats.org/officeDocument/2006/relationships/hyperlink" Target="https://www.ncbi.nlm.nih.gov/pmc/articles/PMC3000184/" TargetMode="External"/><Relationship Id="rId35" Type="http://schemas.openxmlformats.org/officeDocument/2006/relationships/hyperlink" Target="https://gamblingcompliance.com/infographic/analysing-age-requirement-europe" TargetMode="External"/><Relationship Id="rId43" Type="http://schemas.openxmlformats.org/officeDocument/2006/relationships/hyperlink" Target="https://www.uleth.ca/dspace/bitstream/handle/10133/3121/2012-PREVENTION-OPGRC.pdf?sequence=3" TargetMode="External"/><Relationship Id="rId48" Type="http://schemas.openxmlformats.org/officeDocument/2006/relationships/hyperlink" Target="https://www.aph.gov.au/Parliamentary_Business/Committees/Joint/Former_Committees/gamblingreform/completedinquires/2010-13/preventiontreatment/report/index" TargetMode="External"/><Relationship Id="rId56" Type="http://schemas.openxmlformats.org/officeDocument/2006/relationships/hyperlink" Target="https://www.responsiblegambling.nsw.gov.au/__data/assets/pdf_file/0003/138126/the-role-of-loyalty-programs-gambling-2016.pdf" TargetMode="External"/><Relationship Id="rId64" Type="http://schemas.openxmlformats.org/officeDocument/2006/relationships/hyperlink" Target="https://ec.europa.eu/growth/content/evaluation-regulatory-tools-enforcing-online-gambling-rules-and-channelling-demand-towards-1_en" TargetMode="External"/><Relationship Id="rId69" Type="http://schemas.openxmlformats.org/officeDocument/2006/relationships/hyperlink" Target="https://www.parlament.gv.at/PAKT/VHG/XXVI/III/III_00298/imfname_7564379.pdf" TargetMode="External"/><Relationship Id="rId77" Type="http://schemas.openxmlformats.org/officeDocument/2006/relationships/hyperlink" Target="https://iclg.com/practice-areas/gambling-laws-and-regulations/ireland" TargetMode="External"/><Relationship Id="rId8" Type="http://schemas.openxmlformats.org/officeDocument/2006/relationships/hyperlink" Target="http://lsba.lv/content/uploads/2017/05/2006_09__Sabiedribas-attieksme-pret-azartspelem.pdf" TargetMode="External"/><Relationship Id="rId51" Type="http://schemas.openxmlformats.org/officeDocument/2006/relationships/hyperlink" Target="http://volteface.me/publications/iceland-report/1-youth-iceland-model/" TargetMode="External"/><Relationship Id="rId72" Type="http://schemas.openxmlformats.org/officeDocument/2006/relationships/hyperlink" Target="https://uk.practicallaw.thomsonreuters.com/4-636" TargetMode="External"/><Relationship Id="rId80" Type="http://schemas.openxmlformats.org/officeDocument/2006/relationships/hyperlink" Target="https://thelawreviews.co.uk/edition/the-gambling-law-review-edition-4/1194851/belgium" TargetMode="External"/><Relationship Id="rId85" Type="http://schemas.openxmlformats.org/officeDocument/2006/relationships/hyperlink" Target="http://blizzardwatch.com/2017/06/06/new-way-buy-overwatch-loot-boxes-china/" TargetMode="External"/><Relationship Id="rId3" Type="http://schemas.openxmlformats.org/officeDocument/2006/relationships/hyperlink" Target="https://eur-lex.europa.eu/legal-content/LV/TXT/?qid=1488204560202&amp;uri=CELEX:52011DC0128" TargetMode="External"/><Relationship Id="rId12" Type="http://schemas.openxmlformats.org/officeDocument/2006/relationships/hyperlink" Target="https://www.ncbi.nlm.nih.gov/pmc/articles/PMC5370365/" TargetMode="External"/><Relationship Id="rId17" Type="http://schemas.openxmlformats.org/officeDocument/2006/relationships/hyperlink" Target="https://prism.ucalgary.ca/handle/1880/51055" TargetMode="External"/><Relationship Id="rId25" Type="http://schemas.openxmlformats.org/officeDocument/2006/relationships/hyperlink" Target="https://www.ncbi.nlm.nih.gov/pmc/articles/PMC5488130/" TargetMode="External"/><Relationship Id="rId33" Type="http://schemas.openxmlformats.org/officeDocument/2006/relationships/hyperlink" Target="https://gamblingcompliance.com/infographic/analysing-age-requirement-europe" TargetMode="External"/><Relationship Id="rId38" Type="http://schemas.openxmlformats.org/officeDocument/2006/relationships/hyperlink" Target="https://www.uleth.ca/dspace/bitstream/handle/10133/3121/2012-PREVENTION-OPGRC.pdf?sequence=3" TargetMode="External"/><Relationship Id="rId46" Type="http://schemas.openxmlformats.org/officeDocument/2006/relationships/hyperlink" Target="https://www.uleth.ca/dspace/bitstream/handle/10133/3121/2012-PREVENTION-OPGRC.pdf?sequence=3" TargetMode="External"/><Relationship Id="rId59" Type="http://schemas.openxmlformats.org/officeDocument/2006/relationships/hyperlink" Target="https://doi.org/10.1080/14459795.2018.1480649" TargetMode="External"/><Relationship Id="rId67" Type="http://schemas.openxmlformats.org/officeDocument/2006/relationships/hyperlink" Target="http://hdl.handle.net/10133/414" TargetMode="External"/><Relationship Id="rId20" Type="http://schemas.openxmlformats.org/officeDocument/2006/relationships/hyperlink" Target="https://prism.ucalgary.ca/handle/1880/51055" TargetMode="External"/><Relationship Id="rId41" Type="http://schemas.openxmlformats.org/officeDocument/2006/relationships/hyperlink" Target="https://www.ncbi.nlm.nih.gov/pmc/articles/PMC5370365/" TargetMode="External"/><Relationship Id="rId54" Type="http://schemas.openxmlformats.org/officeDocument/2006/relationships/hyperlink" Target="https://doi.org/10.1080/14459795.2018.1480649" TargetMode="External"/><Relationship Id="rId62" Type="http://schemas.openxmlformats.org/officeDocument/2006/relationships/hyperlink" Target="https://www.researchgate.net/publication/8359878_A_Science-Based_Framework_for_Responsible_Gambling_The_Reno_Model" TargetMode="External"/><Relationship Id="rId70" Type="http://schemas.openxmlformats.org/officeDocument/2006/relationships/hyperlink" Target="http://hdl.handle.net/10133/414" TargetMode="External"/><Relationship Id="rId75" Type="http://schemas.openxmlformats.org/officeDocument/2006/relationships/hyperlink" Target="https://www.riigiteataja.ee/en/eli/515012016007/consolide" TargetMode="External"/><Relationship Id="rId83" Type="http://schemas.openxmlformats.org/officeDocument/2006/relationships/hyperlink" Target="http://kazinotops.lv/cetras-tendences-kuras-ietekmes-online-kazino-nakotni/" TargetMode="External"/><Relationship Id="rId1" Type="http://schemas.openxmlformats.org/officeDocument/2006/relationships/hyperlink" Target="http://www.europarl.europa.eu/oeil/popups/ficheprocedure.do?lang=en&amp;reference=2011/2084(INI)" TargetMode="External"/><Relationship Id="rId6" Type="http://schemas.openxmlformats.org/officeDocument/2006/relationships/hyperlink" Target="http://esparveselibu.lv/jaunumi/petijums-par-procesu-atkaribu-azartspelu-socialo-mediju-datorspelu-atkariba-izplatibu-latvijas-iedzivotaju-vidu-un-ietekmejosiem-riska-faktoriem/" TargetMode="External"/><Relationship Id="rId15" Type="http://schemas.openxmlformats.org/officeDocument/2006/relationships/hyperlink" Target="http://esparveselibu.lv/jaunumi/petijums-par-procesu-atkaribu-azartspelu-socialo-mediju-datorspelu-atkariba-izplatibu-latvijas-iedzivotaju-vidu-un-ietekmejosiem-riska-faktoriem/" TargetMode="External"/><Relationship Id="rId23" Type="http://schemas.openxmlformats.org/officeDocument/2006/relationships/hyperlink" Target="https://prism.ucalgary.ca/handle/1880/51055" TargetMode="External"/><Relationship Id="rId28" Type="http://schemas.openxmlformats.org/officeDocument/2006/relationships/hyperlink" Target="https://www.psychologytoday.com/us/treatment-rehab/gambling/me/poland" TargetMode="External"/><Relationship Id="rId36" Type="http://schemas.openxmlformats.org/officeDocument/2006/relationships/hyperlink" Target="https://gamblingcompliance.com/infographic/analysing-age-requirement-europe" TargetMode="External"/><Relationship Id="rId49" Type="http://schemas.openxmlformats.org/officeDocument/2006/relationships/hyperlink" Target="https://aifs.gov.au/agrc/publications/gambling-suburban-australia/3-community-context-and-local-environment" TargetMode="External"/><Relationship Id="rId57" Type="http://schemas.openxmlformats.org/officeDocument/2006/relationships/hyperlink" Target="https://www.researchgate.net/publication/227651794_The_Proportion_of_Gaming_Revenue_Derived_from_Problem_Gamblers_Examining_the_Issues_in_a_Canadian_Context" TargetMode="External"/><Relationship Id="rId10" Type="http://schemas.openxmlformats.org/officeDocument/2006/relationships/hyperlink" Target="https://link.springer.com/article/10.1007/s11469-013-9429-2" TargetMode="External"/><Relationship Id="rId31" Type="http://schemas.openxmlformats.org/officeDocument/2006/relationships/hyperlink" Target="http://142.66.3.39/handle/10133/3121" TargetMode="External"/><Relationship Id="rId44"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52" Type="http://schemas.openxmlformats.org/officeDocument/2006/relationships/hyperlink" Target="http://www.latloto.lv/" TargetMode="External"/><Relationship Id="rId60" Type="http://schemas.openxmlformats.org/officeDocument/2006/relationships/hyperlink" Target="https://www.researchgate.net/profile/Alex_Blaszczynski" TargetMode="External"/><Relationship Id="rId65" Type="http://schemas.openxmlformats.org/officeDocument/2006/relationships/hyperlink" Target="https://www.tandfonline.com/doi/full/10.1080/14459795.2017.1360928" TargetMode="External"/><Relationship Id="rId73" Type="http://schemas.openxmlformats.org/officeDocument/2006/relationships/hyperlink" Target="https://uk.practicallaw.thomsonreuters.com" TargetMode="External"/><Relationship Id="rId78" Type="http://schemas.openxmlformats.org/officeDocument/2006/relationships/hyperlink" Target="https://manas.tiesas.lv/eTiesasMvc/lv/nolemumi" TargetMode="External"/><Relationship Id="rId81" Type="http://schemas.openxmlformats.org/officeDocument/2006/relationships/hyperlink" Target="https://uk.practicallaw.thomsonreuters.com" TargetMode="External"/><Relationship Id="rId86" Type="http://schemas.openxmlformats.org/officeDocument/2006/relationships/hyperlink" Target="https://www.bbc.com/news/technology-4390630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Legālais tirgus (milj. euro)</c:v>
                </c:pt>
              </c:strCache>
            </c:strRef>
          </c:tx>
          <c:spPr>
            <a:solidFill>
              <a:schemeClr val="accent1"/>
            </a:solidFill>
            <a:ln>
              <a:noFill/>
            </a:ln>
            <a:effectLst/>
            <a:sp3d/>
          </c:spPr>
          <c:invertIfNegative val="0"/>
          <c:cat>
            <c:strRef>
              <c:f>Sheet1!$A$2:$A$6</c:f>
              <c:strCache>
                <c:ptCount val="5"/>
                <c:pt idx="0">
                  <c:v>2018</c:v>
                </c:pt>
                <c:pt idx="1">
                  <c:v>2019</c:v>
                </c:pt>
                <c:pt idx="2">
                  <c:v>2020 (prognoze)</c:v>
                </c:pt>
                <c:pt idx="3">
                  <c:v>2021 (prognoze)</c:v>
                </c:pt>
                <c:pt idx="4">
                  <c:v>2020 (prognoze)</c:v>
                </c:pt>
              </c:strCache>
            </c:strRef>
          </c:cat>
          <c:val>
            <c:numRef>
              <c:f>Sheet1!$B$2:$B$6</c:f>
              <c:numCache>
                <c:formatCode>General</c:formatCode>
                <c:ptCount val="5"/>
                <c:pt idx="0">
                  <c:v>41.2</c:v>
                </c:pt>
                <c:pt idx="1">
                  <c:v>54.7</c:v>
                </c:pt>
                <c:pt idx="2">
                  <c:v>38.9</c:v>
                </c:pt>
                <c:pt idx="3">
                  <c:v>38.799999999999997</c:v>
                </c:pt>
                <c:pt idx="4">
                  <c:v>44.9</c:v>
                </c:pt>
              </c:numCache>
            </c:numRef>
          </c:val>
          <c:extLst>
            <c:ext xmlns:c16="http://schemas.microsoft.com/office/drawing/2014/chart" uri="{C3380CC4-5D6E-409C-BE32-E72D297353CC}">
              <c16:uniqueId val="{00000000-41C6-4997-AE83-A327C49914A5}"/>
            </c:ext>
          </c:extLst>
        </c:ser>
        <c:ser>
          <c:idx val="1"/>
          <c:order val="1"/>
          <c:tx>
            <c:strRef>
              <c:f>Sheet1!$C$1</c:f>
              <c:strCache>
                <c:ptCount val="1"/>
                <c:pt idx="0">
                  <c:v>Nelegālais tirgus (milj. euro)</c:v>
                </c:pt>
              </c:strCache>
            </c:strRef>
          </c:tx>
          <c:spPr>
            <a:solidFill>
              <a:schemeClr val="accent2"/>
            </a:solidFill>
            <a:ln>
              <a:noFill/>
            </a:ln>
            <a:effectLst/>
            <a:sp3d/>
          </c:spPr>
          <c:invertIfNegative val="0"/>
          <c:cat>
            <c:strRef>
              <c:f>Sheet1!$A$2:$A$6</c:f>
              <c:strCache>
                <c:ptCount val="5"/>
                <c:pt idx="0">
                  <c:v>2018</c:v>
                </c:pt>
                <c:pt idx="1">
                  <c:v>2019</c:v>
                </c:pt>
                <c:pt idx="2">
                  <c:v>2020 (prognoze)</c:v>
                </c:pt>
                <c:pt idx="3">
                  <c:v>2021 (prognoze)</c:v>
                </c:pt>
                <c:pt idx="4">
                  <c:v>2020 (prognoze)</c:v>
                </c:pt>
              </c:strCache>
            </c:strRef>
          </c:cat>
          <c:val>
            <c:numRef>
              <c:f>Sheet1!$C$2:$C$6</c:f>
              <c:numCache>
                <c:formatCode>General</c:formatCode>
                <c:ptCount val="5"/>
                <c:pt idx="0">
                  <c:v>35.700000000000003</c:v>
                </c:pt>
                <c:pt idx="1">
                  <c:v>33.9</c:v>
                </c:pt>
                <c:pt idx="2">
                  <c:v>45.4</c:v>
                </c:pt>
                <c:pt idx="3">
                  <c:v>35.799999999999997</c:v>
                </c:pt>
                <c:pt idx="4">
                  <c:v>36.1</c:v>
                </c:pt>
              </c:numCache>
            </c:numRef>
          </c:val>
          <c:extLst>
            <c:ext xmlns:c16="http://schemas.microsoft.com/office/drawing/2014/chart" uri="{C3380CC4-5D6E-409C-BE32-E72D297353CC}">
              <c16:uniqueId val="{00000001-41C6-4997-AE83-A327C49914A5}"/>
            </c:ext>
          </c:extLst>
        </c:ser>
        <c:ser>
          <c:idx val="2"/>
          <c:order val="2"/>
          <c:tx>
            <c:strRef>
              <c:f>Sheet1!$D$1</c:f>
              <c:strCache>
                <c:ptCount val="1"/>
                <c:pt idx="0">
                  <c:v>Nelegālais tirgus no kopējiem ieņēmumiem (%)</c:v>
                </c:pt>
              </c:strCache>
            </c:strRef>
          </c:tx>
          <c:spPr>
            <a:solidFill>
              <a:schemeClr val="accent3"/>
            </a:solidFill>
            <a:ln>
              <a:noFill/>
            </a:ln>
            <a:effectLst/>
            <a:sp3d/>
          </c:spPr>
          <c:invertIfNegative val="0"/>
          <c:cat>
            <c:strRef>
              <c:f>Sheet1!$A$2:$A$6</c:f>
              <c:strCache>
                <c:ptCount val="5"/>
                <c:pt idx="0">
                  <c:v>2018</c:v>
                </c:pt>
                <c:pt idx="1">
                  <c:v>2019</c:v>
                </c:pt>
                <c:pt idx="2">
                  <c:v>2020 (prognoze)</c:v>
                </c:pt>
                <c:pt idx="3">
                  <c:v>2021 (prognoze)</c:v>
                </c:pt>
                <c:pt idx="4">
                  <c:v>2020 (prognoze)</c:v>
                </c:pt>
              </c:strCache>
            </c:strRef>
          </c:cat>
          <c:val>
            <c:numRef>
              <c:f>Sheet1!$D$2:$D$6</c:f>
              <c:numCache>
                <c:formatCode>General</c:formatCode>
                <c:ptCount val="5"/>
                <c:pt idx="0">
                  <c:v>46</c:v>
                </c:pt>
                <c:pt idx="1">
                  <c:v>38</c:v>
                </c:pt>
                <c:pt idx="2">
                  <c:v>54</c:v>
                </c:pt>
                <c:pt idx="3">
                  <c:v>48</c:v>
                </c:pt>
                <c:pt idx="4">
                  <c:v>45</c:v>
                </c:pt>
              </c:numCache>
            </c:numRef>
          </c:val>
          <c:extLst>
            <c:ext xmlns:c16="http://schemas.microsoft.com/office/drawing/2014/chart" uri="{C3380CC4-5D6E-409C-BE32-E72D297353CC}">
              <c16:uniqueId val="{00000002-41C6-4997-AE83-A327C49914A5}"/>
            </c:ext>
          </c:extLst>
        </c:ser>
        <c:dLbls>
          <c:showLegendKey val="0"/>
          <c:showVal val="0"/>
          <c:showCatName val="0"/>
          <c:showSerName val="0"/>
          <c:showPercent val="0"/>
          <c:showBubbleSize val="0"/>
        </c:dLbls>
        <c:gapWidth val="150"/>
        <c:shape val="box"/>
        <c:axId val="1502752335"/>
        <c:axId val="1502752751"/>
        <c:axId val="0"/>
      </c:bar3DChart>
      <c:catAx>
        <c:axId val="1502752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2752751"/>
        <c:crosses val="autoZero"/>
        <c:auto val="1"/>
        <c:lblAlgn val="ctr"/>
        <c:lblOffset val="100"/>
        <c:noMultiLvlLbl val="0"/>
      </c:catAx>
      <c:valAx>
        <c:axId val="1502752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275233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Ieņēmumi no izlozēm</c:v>
                </c:pt>
              </c:strCache>
            </c:strRef>
          </c:tx>
          <c:spPr>
            <a:solidFill>
              <a:schemeClr val="accent1"/>
            </a:solidFill>
            <a:ln>
              <a:noFill/>
            </a:ln>
            <a:effectLst/>
            <a:sp3d/>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#,##0</c:formatCode>
                <c:ptCount val="7"/>
                <c:pt idx="0">
                  <c:v>19309</c:v>
                </c:pt>
                <c:pt idx="1">
                  <c:v>21888</c:v>
                </c:pt>
                <c:pt idx="2">
                  <c:v>24686</c:v>
                </c:pt>
                <c:pt idx="3">
                  <c:v>29318</c:v>
                </c:pt>
                <c:pt idx="4">
                  <c:v>36699</c:v>
                </c:pt>
                <c:pt idx="5">
                  <c:v>40809</c:v>
                </c:pt>
                <c:pt idx="6">
                  <c:v>48250</c:v>
                </c:pt>
              </c:numCache>
            </c:numRef>
          </c:val>
          <c:extLst>
            <c:ext xmlns:c16="http://schemas.microsoft.com/office/drawing/2014/chart" uri="{C3380CC4-5D6E-409C-BE32-E72D297353CC}">
              <c16:uniqueId val="{00000000-AE53-47FF-9EB9-A2A8B2D9A33D}"/>
            </c:ext>
          </c:extLst>
        </c:ser>
        <c:ser>
          <c:idx val="1"/>
          <c:order val="1"/>
          <c:tx>
            <c:strRef>
              <c:f>Sheet1!$C$1</c:f>
              <c:strCache>
                <c:ptCount val="1"/>
                <c:pt idx="0">
                  <c:v>Ieņēmumi no azartspēlēm</c:v>
                </c:pt>
              </c:strCache>
            </c:strRef>
          </c:tx>
          <c:spPr>
            <a:solidFill>
              <a:schemeClr val="accent2"/>
            </a:solidFill>
            <a:ln>
              <a:noFill/>
            </a:ln>
            <a:effectLst/>
            <a:sp3d/>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#,##0</c:formatCode>
                <c:ptCount val="7"/>
                <c:pt idx="0">
                  <c:v>157574</c:v>
                </c:pt>
                <c:pt idx="1">
                  <c:v>172888</c:v>
                </c:pt>
                <c:pt idx="2">
                  <c:v>201755</c:v>
                </c:pt>
                <c:pt idx="3">
                  <c:v>218847</c:v>
                </c:pt>
                <c:pt idx="4">
                  <c:v>248619</c:v>
                </c:pt>
                <c:pt idx="5">
                  <c:v>277701</c:v>
                </c:pt>
                <c:pt idx="6">
                  <c:v>307050</c:v>
                </c:pt>
              </c:numCache>
            </c:numRef>
          </c:val>
          <c:extLst>
            <c:ext xmlns:c16="http://schemas.microsoft.com/office/drawing/2014/chart" uri="{C3380CC4-5D6E-409C-BE32-E72D297353CC}">
              <c16:uniqueId val="{00000001-AE53-47FF-9EB9-A2A8B2D9A33D}"/>
            </c:ext>
          </c:extLst>
        </c:ser>
        <c:ser>
          <c:idx val="2"/>
          <c:order val="2"/>
          <c:tx>
            <c:strRef>
              <c:f>Sheet1!$D$1</c:f>
              <c:strCache>
                <c:ptCount val="1"/>
                <c:pt idx="0">
                  <c:v>Cita darbība</c:v>
                </c:pt>
              </c:strCache>
            </c:strRef>
          </c:tx>
          <c:spPr>
            <a:solidFill>
              <a:schemeClr val="accent3"/>
            </a:solidFill>
            <a:ln>
              <a:noFill/>
            </a:ln>
            <a:effectLst/>
            <a:sp3d/>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Sheet1!$D$2:$D$8</c:f>
              <c:numCache>
                <c:formatCode>#,##0</c:formatCode>
                <c:ptCount val="7"/>
                <c:pt idx="0">
                  <c:v>14207</c:v>
                </c:pt>
                <c:pt idx="1">
                  <c:v>15938</c:v>
                </c:pt>
                <c:pt idx="2">
                  <c:v>16255</c:v>
                </c:pt>
                <c:pt idx="3">
                  <c:v>16210</c:v>
                </c:pt>
                <c:pt idx="4">
                  <c:v>16998</c:v>
                </c:pt>
                <c:pt idx="5">
                  <c:v>15827</c:v>
                </c:pt>
                <c:pt idx="6">
                  <c:v>17463</c:v>
                </c:pt>
              </c:numCache>
            </c:numRef>
          </c:val>
          <c:extLst>
            <c:ext xmlns:c16="http://schemas.microsoft.com/office/drawing/2014/chart" uri="{C3380CC4-5D6E-409C-BE32-E72D297353CC}">
              <c16:uniqueId val="{00000002-AE53-47FF-9EB9-A2A8B2D9A33D}"/>
            </c:ext>
          </c:extLst>
        </c:ser>
        <c:dLbls>
          <c:showLegendKey val="0"/>
          <c:showVal val="0"/>
          <c:showCatName val="0"/>
          <c:showSerName val="0"/>
          <c:showPercent val="0"/>
          <c:showBubbleSize val="0"/>
        </c:dLbls>
        <c:gapWidth val="150"/>
        <c:shape val="box"/>
        <c:axId val="1936744287"/>
        <c:axId val="1936739711"/>
        <c:axId val="0"/>
      </c:bar3DChart>
      <c:catAx>
        <c:axId val="1936744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36739711"/>
        <c:crosses val="autoZero"/>
        <c:auto val="1"/>
        <c:lblAlgn val="ctr"/>
        <c:lblOffset val="100"/>
        <c:noMultiLvlLbl val="0"/>
      </c:catAx>
      <c:valAx>
        <c:axId val="1936739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3674428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2017</c:v>
                </c:pt>
              </c:strCache>
            </c:strRef>
          </c:tx>
          <c:spPr>
            <a:ln w="28575" cap="rnd">
              <a:solidFill>
                <a:schemeClr val="accent1"/>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Sheet1!$B$2:$B$13</c:f>
              <c:numCache>
                <c:formatCode>General</c:formatCode>
                <c:ptCount val="12"/>
                <c:pt idx="0">
                  <c:v>8937</c:v>
                </c:pt>
                <c:pt idx="1">
                  <c:v>8911</c:v>
                </c:pt>
                <c:pt idx="2">
                  <c:v>8945</c:v>
                </c:pt>
                <c:pt idx="3">
                  <c:v>8969</c:v>
                </c:pt>
                <c:pt idx="4">
                  <c:v>8950</c:v>
                </c:pt>
                <c:pt idx="5">
                  <c:v>8932</c:v>
                </c:pt>
                <c:pt idx="6">
                  <c:v>8941</c:v>
                </c:pt>
                <c:pt idx="7">
                  <c:v>8863</c:v>
                </c:pt>
                <c:pt idx="8">
                  <c:v>8827</c:v>
                </c:pt>
                <c:pt idx="9">
                  <c:v>8802</c:v>
                </c:pt>
                <c:pt idx="10">
                  <c:v>8772</c:v>
                </c:pt>
                <c:pt idx="11">
                  <c:v>8728</c:v>
                </c:pt>
              </c:numCache>
            </c:numRef>
          </c:val>
          <c:smooth val="0"/>
          <c:extLst>
            <c:ext xmlns:c16="http://schemas.microsoft.com/office/drawing/2014/chart" uri="{C3380CC4-5D6E-409C-BE32-E72D297353CC}">
              <c16:uniqueId val="{00000000-8D40-40A5-9670-C81E73A44233}"/>
            </c:ext>
          </c:extLst>
        </c:ser>
        <c:ser>
          <c:idx val="1"/>
          <c:order val="1"/>
          <c:tx>
            <c:strRef>
              <c:f>Sheet1!$C$1</c:f>
              <c:strCache>
                <c:ptCount val="1"/>
                <c:pt idx="0">
                  <c:v>2018</c:v>
                </c:pt>
              </c:strCache>
            </c:strRef>
          </c:tx>
          <c:spPr>
            <a:ln w="28575" cap="rnd">
              <a:solidFill>
                <a:schemeClr val="accent2"/>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Sheet1!$C$2:$C$13</c:f>
              <c:numCache>
                <c:formatCode>General</c:formatCode>
                <c:ptCount val="12"/>
                <c:pt idx="0">
                  <c:v>8546</c:v>
                </c:pt>
                <c:pt idx="1">
                  <c:v>8548</c:v>
                </c:pt>
                <c:pt idx="2">
                  <c:v>8557</c:v>
                </c:pt>
                <c:pt idx="3">
                  <c:v>8565</c:v>
                </c:pt>
                <c:pt idx="4">
                  <c:v>8630</c:v>
                </c:pt>
                <c:pt idx="5">
                  <c:v>8660</c:v>
                </c:pt>
                <c:pt idx="6">
                  <c:v>8654</c:v>
                </c:pt>
                <c:pt idx="7">
                  <c:v>8602</c:v>
                </c:pt>
                <c:pt idx="8">
                  <c:v>8546</c:v>
                </c:pt>
                <c:pt idx="9">
                  <c:v>8606</c:v>
                </c:pt>
                <c:pt idx="10">
                  <c:v>8616</c:v>
                </c:pt>
                <c:pt idx="11">
                  <c:v>8680</c:v>
                </c:pt>
              </c:numCache>
            </c:numRef>
          </c:val>
          <c:smooth val="0"/>
          <c:extLst>
            <c:ext xmlns:c16="http://schemas.microsoft.com/office/drawing/2014/chart" uri="{C3380CC4-5D6E-409C-BE32-E72D297353CC}">
              <c16:uniqueId val="{00000001-8D40-40A5-9670-C81E73A44233}"/>
            </c:ext>
          </c:extLst>
        </c:ser>
        <c:ser>
          <c:idx val="2"/>
          <c:order val="2"/>
          <c:tx>
            <c:strRef>
              <c:f>Sheet1!$D$1</c:f>
              <c:strCache>
                <c:ptCount val="1"/>
                <c:pt idx="0">
                  <c:v>2019</c:v>
                </c:pt>
              </c:strCache>
            </c:strRef>
          </c:tx>
          <c:spPr>
            <a:ln w="28575" cap="rnd">
              <a:solidFill>
                <a:schemeClr val="accent3"/>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Sheet1!$D$2:$D$13</c:f>
              <c:numCache>
                <c:formatCode>General</c:formatCode>
                <c:ptCount val="12"/>
                <c:pt idx="0">
                  <c:v>8632</c:v>
                </c:pt>
                <c:pt idx="1">
                  <c:v>8647</c:v>
                </c:pt>
                <c:pt idx="2">
                  <c:v>8608</c:v>
                </c:pt>
                <c:pt idx="3">
                  <c:v>8658</c:v>
                </c:pt>
                <c:pt idx="4">
                  <c:v>8680</c:v>
                </c:pt>
                <c:pt idx="5">
                  <c:v>8643</c:v>
                </c:pt>
                <c:pt idx="6">
                  <c:v>8643</c:v>
                </c:pt>
                <c:pt idx="7">
                  <c:v>8664</c:v>
                </c:pt>
                <c:pt idx="8">
                  <c:v>8685</c:v>
                </c:pt>
                <c:pt idx="9">
                  <c:v>8685</c:v>
                </c:pt>
                <c:pt idx="10">
                  <c:v>8690</c:v>
                </c:pt>
                <c:pt idx="11">
                  <c:v>8720</c:v>
                </c:pt>
              </c:numCache>
            </c:numRef>
          </c:val>
          <c:smooth val="0"/>
          <c:extLst>
            <c:ext xmlns:c16="http://schemas.microsoft.com/office/drawing/2014/chart" uri="{C3380CC4-5D6E-409C-BE32-E72D297353CC}">
              <c16:uniqueId val="{00000002-8D40-40A5-9670-C81E73A44233}"/>
            </c:ext>
          </c:extLst>
        </c:ser>
        <c:ser>
          <c:idx val="3"/>
          <c:order val="3"/>
          <c:tx>
            <c:strRef>
              <c:f>Sheet1!$E$1</c:f>
              <c:strCache>
                <c:ptCount val="1"/>
                <c:pt idx="0">
                  <c:v>2020</c:v>
                </c:pt>
              </c:strCache>
            </c:strRef>
          </c:tx>
          <c:spPr>
            <a:ln w="28575" cap="rnd">
              <a:solidFill>
                <a:schemeClr val="accent4"/>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Sheet1!$E$2:$E$13</c:f>
              <c:numCache>
                <c:formatCode>General</c:formatCode>
                <c:ptCount val="12"/>
                <c:pt idx="0">
                  <c:v>8595</c:v>
                </c:pt>
                <c:pt idx="1">
                  <c:v>8296</c:v>
                </c:pt>
                <c:pt idx="2">
                  <c:v>8141</c:v>
                </c:pt>
              </c:numCache>
            </c:numRef>
          </c:val>
          <c:smooth val="0"/>
          <c:extLst>
            <c:ext xmlns:c16="http://schemas.microsoft.com/office/drawing/2014/chart" uri="{C3380CC4-5D6E-409C-BE32-E72D297353CC}">
              <c16:uniqueId val="{00000003-8D40-40A5-9670-C81E73A44233}"/>
            </c:ext>
          </c:extLst>
        </c:ser>
        <c:dLbls>
          <c:showLegendKey val="0"/>
          <c:showVal val="0"/>
          <c:showCatName val="0"/>
          <c:showSerName val="0"/>
          <c:showPercent val="0"/>
          <c:showBubbleSize val="0"/>
        </c:dLbls>
        <c:smooth val="0"/>
        <c:axId val="2003588703"/>
        <c:axId val="2003588287"/>
      </c:lineChart>
      <c:catAx>
        <c:axId val="2003588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03588287"/>
        <c:crosses val="autoZero"/>
        <c:auto val="1"/>
        <c:lblAlgn val="ctr"/>
        <c:lblOffset val="100"/>
        <c:noMultiLvlLbl val="0"/>
      </c:catAx>
      <c:valAx>
        <c:axId val="2003588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0358870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Sheet1!$B$1</c:f>
              <c:strCache>
                <c:ptCount val="1"/>
                <c:pt idx="0">
                  <c:v>Series 1</c:v>
                </c:pt>
              </c:strCache>
            </c:strRef>
          </c:tx>
          <c:spPr>
            <a:solidFill>
              <a:schemeClr val="accent1"/>
            </a:solidFill>
            <a:ln>
              <a:noFill/>
            </a:ln>
            <a:effectLst/>
          </c:spPr>
          <c:cat>
            <c:strRef>
              <c:f>Sheet1!$A$2:$A$8</c:f>
              <c:strCache>
                <c:ptCount val="7"/>
                <c:pt idx="0">
                  <c:v>2014</c:v>
                </c:pt>
                <c:pt idx="1">
                  <c:v>2015</c:v>
                </c:pt>
                <c:pt idx="2">
                  <c:v>2016</c:v>
                </c:pt>
                <c:pt idx="3">
                  <c:v>2017</c:v>
                </c:pt>
                <c:pt idx="4">
                  <c:v>2018</c:v>
                </c:pt>
                <c:pt idx="5">
                  <c:v>2019</c:v>
                </c:pt>
                <c:pt idx="6">
                  <c:v>2020</c:v>
                </c:pt>
              </c:strCache>
            </c:strRef>
          </c:cat>
          <c:val>
            <c:numRef>
              <c:f>Sheet1!$B$2:$B$8</c:f>
              <c:numCache>
                <c:formatCode>General</c:formatCode>
                <c:ptCount val="7"/>
                <c:pt idx="0">
                  <c:v>3632</c:v>
                </c:pt>
                <c:pt idx="1">
                  <c:v>3819</c:v>
                </c:pt>
                <c:pt idx="2">
                  <c:v>3748</c:v>
                </c:pt>
                <c:pt idx="3">
                  <c:v>3925</c:v>
                </c:pt>
                <c:pt idx="4">
                  <c:v>3866</c:v>
                </c:pt>
                <c:pt idx="5">
                  <c:v>3746</c:v>
                </c:pt>
                <c:pt idx="6">
                  <c:v>3688</c:v>
                </c:pt>
              </c:numCache>
            </c:numRef>
          </c:val>
          <c:extLst>
            <c:ext xmlns:c16="http://schemas.microsoft.com/office/drawing/2014/chart" uri="{C3380CC4-5D6E-409C-BE32-E72D297353CC}">
              <c16:uniqueId val="{00000000-BD4A-416A-9D7F-469F6FBBE8E5}"/>
            </c:ext>
          </c:extLst>
        </c:ser>
        <c:dLbls>
          <c:showLegendKey val="0"/>
          <c:showVal val="0"/>
          <c:showCatName val="0"/>
          <c:showSerName val="0"/>
          <c:showPercent val="0"/>
          <c:showBubbleSize val="0"/>
        </c:dLbls>
        <c:axId val="1944966015"/>
        <c:axId val="1944974751"/>
      </c:areaChart>
      <c:catAx>
        <c:axId val="19449660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4974751"/>
        <c:crosses val="autoZero"/>
        <c:auto val="1"/>
        <c:lblAlgn val="ctr"/>
        <c:lblOffset val="100"/>
        <c:noMultiLvlLbl val="0"/>
      </c:catAx>
      <c:valAx>
        <c:axId val="1944974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4966015"/>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Sheet1!$B$2:$B$11</c:f>
              <c:numCache>
                <c:formatCode>General</c:formatCode>
                <c:ptCount val="10"/>
                <c:pt idx="0">
                  <c:v>4452</c:v>
                </c:pt>
                <c:pt idx="1">
                  <c:v>429</c:v>
                </c:pt>
                <c:pt idx="2">
                  <c:v>391</c:v>
                </c:pt>
                <c:pt idx="3">
                  <c:v>410</c:v>
                </c:pt>
                <c:pt idx="4">
                  <c:v>224</c:v>
                </c:pt>
                <c:pt idx="5">
                  <c:v>263</c:v>
                </c:pt>
                <c:pt idx="6">
                  <c:v>280</c:v>
                </c:pt>
                <c:pt idx="7">
                  <c:v>88</c:v>
                </c:pt>
                <c:pt idx="8">
                  <c:v>205</c:v>
                </c:pt>
                <c:pt idx="9">
                  <c:v>199</c:v>
                </c:pt>
              </c:numCache>
            </c:numRef>
          </c:val>
          <c:extLst>
            <c:ext xmlns:c16="http://schemas.microsoft.com/office/drawing/2014/chart" uri="{C3380CC4-5D6E-409C-BE32-E72D297353CC}">
              <c16:uniqueId val="{00000000-ADAF-4415-8A33-06ADF9A219BA}"/>
            </c:ext>
          </c:extLst>
        </c:ser>
        <c:ser>
          <c:idx val="1"/>
          <c:order val="1"/>
          <c:tx>
            <c:strRef>
              <c:f>Sheet1!$C$1</c:f>
              <c:strCache>
                <c:ptCount val="1"/>
                <c:pt idx="0">
                  <c:v>2017</c:v>
                </c:pt>
              </c:strCache>
            </c:strRef>
          </c:tx>
          <c:spPr>
            <a:solidFill>
              <a:schemeClr val="accent2"/>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Sheet1!$C$2:$C$11</c:f>
              <c:numCache>
                <c:formatCode>General</c:formatCode>
                <c:ptCount val="10"/>
                <c:pt idx="0">
                  <c:v>4477</c:v>
                </c:pt>
                <c:pt idx="1">
                  <c:v>407</c:v>
                </c:pt>
                <c:pt idx="2">
                  <c:v>392</c:v>
                </c:pt>
                <c:pt idx="3">
                  <c:v>414</c:v>
                </c:pt>
                <c:pt idx="4">
                  <c:v>228</c:v>
                </c:pt>
                <c:pt idx="5">
                  <c:v>262</c:v>
                </c:pt>
                <c:pt idx="6">
                  <c:v>269</c:v>
                </c:pt>
                <c:pt idx="7">
                  <c:v>88</c:v>
                </c:pt>
                <c:pt idx="8">
                  <c:v>206</c:v>
                </c:pt>
                <c:pt idx="9">
                  <c:v>197</c:v>
                </c:pt>
              </c:numCache>
            </c:numRef>
          </c:val>
          <c:extLst>
            <c:ext xmlns:c16="http://schemas.microsoft.com/office/drawing/2014/chart" uri="{C3380CC4-5D6E-409C-BE32-E72D297353CC}">
              <c16:uniqueId val="{00000001-ADAF-4415-8A33-06ADF9A219BA}"/>
            </c:ext>
          </c:extLst>
        </c:ser>
        <c:ser>
          <c:idx val="2"/>
          <c:order val="2"/>
          <c:tx>
            <c:strRef>
              <c:f>Sheet1!$D$1</c:f>
              <c:strCache>
                <c:ptCount val="1"/>
                <c:pt idx="0">
                  <c:v>2018</c:v>
                </c:pt>
              </c:strCache>
            </c:strRef>
          </c:tx>
          <c:spPr>
            <a:solidFill>
              <a:schemeClr val="accent3"/>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Sheet1!$D$2:$D$11</c:f>
              <c:numCache>
                <c:formatCode>General</c:formatCode>
                <c:ptCount val="10"/>
                <c:pt idx="0">
                  <c:v>4277</c:v>
                </c:pt>
                <c:pt idx="1">
                  <c:v>396</c:v>
                </c:pt>
                <c:pt idx="2">
                  <c:v>376</c:v>
                </c:pt>
                <c:pt idx="3">
                  <c:v>417</c:v>
                </c:pt>
                <c:pt idx="4">
                  <c:v>221</c:v>
                </c:pt>
                <c:pt idx="5">
                  <c:v>262</c:v>
                </c:pt>
                <c:pt idx="6">
                  <c:v>264</c:v>
                </c:pt>
                <c:pt idx="7">
                  <c:v>84</c:v>
                </c:pt>
                <c:pt idx="8">
                  <c:v>199</c:v>
                </c:pt>
                <c:pt idx="9">
                  <c:v>195</c:v>
                </c:pt>
              </c:numCache>
            </c:numRef>
          </c:val>
          <c:extLst>
            <c:ext xmlns:c16="http://schemas.microsoft.com/office/drawing/2014/chart" uri="{C3380CC4-5D6E-409C-BE32-E72D297353CC}">
              <c16:uniqueId val="{00000002-ADAF-4415-8A33-06ADF9A219BA}"/>
            </c:ext>
          </c:extLst>
        </c:ser>
        <c:ser>
          <c:idx val="3"/>
          <c:order val="3"/>
          <c:tx>
            <c:strRef>
              <c:f>Sheet1!$E$1</c:f>
              <c:strCache>
                <c:ptCount val="1"/>
                <c:pt idx="0">
                  <c:v>2019</c:v>
                </c:pt>
              </c:strCache>
            </c:strRef>
          </c:tx>
          <c:spPr>
            <a:solidFill>
              <a:schemeClr val="accent4"/>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Sheet1!$E$2:$E$11</c:f>
              <c:numCache>
                <c:formatCode>General</c:formatCode>
                <c:ptCount val="10"/>
                <c:pt idx="0">
                  <c:v>4270</c:v>
                </c:pt>
                <c:pt idx="1">
                  <c:v>400</c:v>
                </c:pt>
                <c:pt idx="2">
                  <c:v>383</c:v>
                </c:pt>
                <c:pt idx="3">
                  <c:v>424</c:v>
                </c:pt>
                <c:pt idx="4">
                  <c:v>222</c:v>
                </c:pt>
                <c:pt idx="5">
                  <c:v>264</c:v>
                </c:pt>
                <c:pt idx="6">
                  <c:v>265</c:v>
                </c:pt>
                <c:pt idx="7">
                  <c:v>84</c:v>
                </c:pt>
                <c:pt idx="8">
                  <c:v>203</c:v>
                </c:pt>
                <c:pt idx="9">
                  <c:v>195</c:v>
                </c:pt>
              </c:numCache>
            </c:numRef>
          </c:val>
          <c:extLst>
            <c:ext xmlns:c16="http://schemas.microsoft.com/office/drawing/2014/chart" uri="{C3380CC4-5D6E-409C-BE32-E72D297353CC}">
              <c16:uniqueId val="{00000003-ADAF-4415-8A33-06ADF9A219BA}"/>
            </c:ext>
          </c:extLst>
        </c:ser>
        <c:dLbls>
          <c:showLegendKey val="0"/>
          <c:showVal val="0"/>
          <c:showCatName val="0"/>
          <c:showSerName val="0"/>
          <c:showPercent val="0"/>
          <c:showBubbleSize val="0"/>
        </c:dLbls>
        <c:gapWidth val="219"/>
        <c:overlap val="-27"/>
        <c:axId val="2003584127"/>
        <c:axId val="2003584543"/>
      </c:barChart>
      <c:catAx>
        <c:axId val="2003584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03584543"/>
        <c:crosses val="autoZero"/>
        <c:auto val="1"/>
        <c:lblAlgn val="ctr"/>
        <c:lblOffset val="100"/>
        <c:noMultiLvlLbl val="0"/>
      </c:catAx>
      <c:valAx>
        <c:axId val="2003584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0358412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Kazino spēles</c:v>
                </c:pt>
              </c:strCache>
            </c:strRef>
          </c:tx>
          <c:spPr>
            <a:solidFill>
              <a:schemeClr val="accent1"/>
            </a:solidFill>
            <a:ln>
              <a:noFill/>
            </a:ln>
            <a:effectLst/>
            <a:sp3d/>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c:formatCode>
                <c:ptCount val="6"/>
                <c:pt idx="0">
                  <c:v>1598</c:v>
                </c:pt>
                <c:pt idx="1">
                  <c:v>5201</c:v>
                </c:pt>
                <c:pt idx="2">
                  <c:v>10018</c:v>
                </c:pt>
                <c:pt idx="3">
                  <c:v>17924</c:v>
                </c:pt>
                <c:pt idx="4">
                  <c:v>27608</c:v>
                </c:pt>
                <c:pt idx="5">
                  <c:v>39340</c:v>
                </c:pt>
              </c:numCache>
            </c:numRef>
          </c:val>
          <c:extLst>
            <c:ext xmlns:c16="http://schemas.microsoft.com/office/drawing/2014/chart" uri="{C3380CC4-5D6E-409C-BE32-E72D297353CC}">
              <c16:uniqueId val="{00000000-CB46-4914-B3AE-F50124CAEDF3}"/>
            </c:ext>
          </c:extLst>
        </c:ser>
        <c:ser>
          <c:idx val="1"/>
          <c:order val="1"/>
          <c:tx>
            <c:strRef>
              <c:f>Sheet1!$C$1</c:f>
              <c:strCache>
                <c:ptCount val="1"/>
                <c:pt idx="0">
                  <c:v>Totalizators</c:v>
                </c:pt>
              </c:strCache>
            </c:strRef>
          </c:tx>
          <c:spPr>
            <a:solidFill>
              <a:schemeClr val="accent2"/>
            </a:solidFill>
            <a:ln>
              <a:noFill/>
            </a:ln>
            <a:effectLst/>
            <a:sp3d/>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#,##0</c:formatCode>
                <c:ptCount val="6"/>
                <c:pt idx="0">
                  <c:v>4158</c:v>
                </c:pt>
                <c:pt idx="1">
                  <c:v>6226</c:v>
                </c:pt>
                <c:pt idx="2">
                  <c:v>8131</c:v>
                </c:pt>
                <c:pt idx="3">
                  <c:v>9974</c:v>
                </c:pt>
                <c:pt idx="4">
                  <c:v>13284</c:v>
                </c:pt>
                <c:pt idx="5">
                  <c:v>14921</c:v>
                </c:pt>
              </c:numCache>
            </c:numRef>
          </c:val>
          <c:extLst>
            <c:ext xmlns:c16="http://schemas.microsoft.com/office/drawing/2014/chart" uri="{C3380CC4-5D6E-409C-BE32-E72D297353CC}">
              <c16:uniqueId val="{00000001-CB46-4914-B3AE-F50124CAEDF3}"/>
            </c:ext>
          </c:extLst>
        </c:ser>
        <c:ser>
          <c:idx val="2"/>
          <c:order val="2"/>
          <c:tx>
            <c:strRef>
              <c:f>Sheet1!$D$1</c:f>
              <c:strCache>
                <c:ptCount val="1"/>
                <c:pt idx="0">
                  <c:v>Kāršu spēles</c:v>
                </c:pt>
              </c:strCache>
            </c:strRef>
          </c:tx>
          <c:spPr>
            <a:solidFill>
              <a:schemeClr val="accent3"/>
            </a:solidFill>
            <a:ln>
              <a:noFill/>
            </a:ln>
            <a:effectLst/>
            <a:sp3d/>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0</c:v>
                </c:pt>
                <c:pt idx="1">
                  <c:v>0</c:v>
                </c:pt>
                <c:pt idx="2">
                  <c:v>0.16900000000000001</c:v>
                </c:pt>
                <c:pt idx="3">
                  <c:v>0.22800000000000001</c:v>
                </c:pt>
                <c:pt idx="4">
                  <c:v>0.26300000000000001</c:v>
                </c:pt>
                <c:pt idx="5">
                  <c:v>0.42299999999999999</c:v>
                </c:pt>
              </c:numCache>
            </c:numRef>
          </c:val>
          <c:extLst>
            <c:ext xmlns:c16="http://schemas.microsoft.com/office/drawing/2014/chart" uri="{C3380CC4-5D6E-409C-BE32-E72D297353CC}">
              <c16:uniqueId val="{00000002-CB46-4914-B3AE-F50124CAEDF3}"/>
            </c:ext>
          </c:extLst>
        </c:ser>
        <c:dLbls>
          <c:showLegendKey val="0"/>
          <c:showVal val="0"/>
          <c:showCatName val="0"/>
          <c:showSerName val="0"/>
          <c:showPercent val="0"/>
          <c:showBubbleSize val="0"/>
        </c:dLbls>
        <c:gapWidth val="150"/>
        <c:shape val="box"/>
        <c:axId val="1993950927"/>
        <c:axId val="1993947599"/>
        <c:axId val="0"/>
      </c:bar3DChart>
      <c:catAx>
        <c:axId val="19939509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93947599"/>
        <c:crosses val="autoZero"/>
        <c:auto val="1"/>
        <c:lblAlgn val="ctr"/>
        <c:lblOffset val="100"/>
        <c:noMultiLvlLbl val="0"/>
      </c:catAx>
      <c:valAx>
        <c:axId val="19939475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9395092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8731875597391E-2"/>
          <c:y val="0.15356550580431175"/>
          <c:w val="0.91950308702515393"/>
          <c:h val="0.68367036210025989"/>
        </c:manualLayout>
      </c:layout>
      <c:barChart>
        <c:barDir val="col"/>
        <c:grouping val="clustered"/>
        <c:varyColors val="0"/>
        <c:ser>
          <c:idx val="0"/>
          <c:order val="0"/>
          <c:tx>
            <c:strRef>
              <c:f>'[Izlozes_2020_1_cet_.xlsx]2020_1_cet.'!$A$4</c:f>
              <c:strCache>
                <c:ptCount val="1"/>
                <c:pt idx="0">
                  <c:v>Neto apgrozījums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'[Izlozes_2020_1_cet_.xlsx]2020_1_cet.'!$B$3:$N$3</c:f>
              <c:strCache>
                <c:ptCount val="13"/>
                <c:pt idx="0">
                  <c:v>2017. 1.cet.</c:v>
                </c:pt>
                <c:pt idx="1">
                  <c:v>2017. 2.cet.</c:v>
                </c:pt>
                <c:pt idx="2">
                  <c:v>2017. 3.cet.</c:v>
                </c:pt>
                <c:pt idx="3">
                  <c:v>2017. 4.cet.</c:v>
                </c:pt>
                <c:pt idx="4">
                  <c:v>2018. 1.cet.</c:v>
                </c:pt>
                <c:pt idx="5">
                  <c:v>2018. 2.cet.</c:v>
                </c:pt>
                <c:pt idx="6">
                  <c:v>2018. 3.cet.</c:v>
                </c:pt>
                <c:pt idx="7">
                  <c:v>2018. 4.cet.</c:v>
                </c:pt>
                <c:pt idx="8">
                  <c:v>2019. 1.cet.</c:v>
                </c:pt>
                <c:pt idx="9">
                  <c:v>2019. 2.cet.</c:v>
                </c:pt>
                <c:pt idx="10">
                  <c:v>2019. 3.cet.</c:v>
                </c:pt>
                <c:pt idx="11">
                  <c:v>2019. 4.cet.</c:v>
                </c:pt>
                <c:pt idx="12">
                  <c:v>2020. 1.cet. </c:v>
                </c:pt>
              </c:strCache>
            </c:strRef>
          </c:cat>
          <c:val>
            <c:numRef>
              <c:f>'[Izlozes_2020_1_cet_.xlsx]2020_1_cet.'!$B$4:$N$4</c:f>
              <c:numCache>
                <c:formatCode>0.000</c:formatCode>
                <c:ptCount val="13"/>
                <c:pt idx="0">
                  <c:v>8.1340330000000005</c:v>
                </c:pt>
                <c:pt idx="1">
                  <c:v>9.0129809999999999</c:v>
                </c:pt>
                <c:pt idx="2">
                  <c:v>8.7695699999999999</c:v>
                </c:pt>
                <c:pt idx="3">
                  <c:v>10.782225</c:v>
                </c:pt>
                <c:pt idx="4">
                  <c:v>10.587614</c:v>
                </c:pt>
                <c:pt idx="5">
                  <c:v>9.4955750000000005</c:v>
                </c:pt>
                <c:pt idx="6">
                  <c:v>9.1326619999999998</c:v>
                </c:pt>
                <c:pt idx="7" formatCode="General">
                  <c:v>11.592000000000001</c:v>
                </c:pt>
                <c:pt idx="8" formatCode="General">
                  <c:v>11.186</c:v>
                </c:pt>
                <c:pt idx="9" formatCode="General">
                  <c:v>10.929</c:v>
                </c:pt>
                <c:pt idx="10" formatCode="General">
                  <c:v>11.414</c:v>
                </c:pt>
                <c:pt idx="11" formatCode="General">
                  <c:v>14.721</c:v>
                </c:pt>
                <c:pt idx="12" formatCode="General">
                  <c:v>14.07</c:v>
                </c:pt>
              </c:numCache>
            </c:numRef>
          </c:val>
          <c:extLst>
            <c:ext xmlns:c16="http://schemas.microsoft.com/office/drawing/2014/chart" uri="{C3380CC4-5D6E-409C-BE32-E72D297353CC}">
              <c16:uniqueId val="{00000000-1F96-43E9-A8A4-50EDE594BDF6}"/>
            </c:ext>
          </c:extLst>
        </c:ser>
        <c:dLbls>
          <c:dLblPos val="outEnd"/>
          <c:showLegendKey val="0"/>
          <c:showVal val="1"/>
          <c:showCatName val="0"/>
          <c:showSerName val="0"/>
          <c:showPercent val="0"/>
          <c:showBubbleSize val="0"/>
        </c:dLbls>
        <c:gapWidth val="100"/>
        <c:axId val="195822160"/>
        <c:axId val="195822544"/>
      </c:barChart>
      <c:lineChart>
        <c:grouping val="stacked"/>
        <c:varyColors val="0"/>
        <c:ser>
          <c:idx val="1"/>
          <c:order val="1"/>
          <c:tx>
            <c:strRef>
              <c:f>'[Izlozes_2020_1_cet_.xlsx]2020_1_cet.'!$A$5</c:f>
              <c:strCache>
                <c:ptCount val="1"/>
                <c:pt idx="0">
                  <c:v>Pārskata perioda peļņa</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1-1F96-43E9-A8A4-50EDE594BDF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'[Izlozes_2020_1_cet_.xlsx]2020_1_cet.'!$B$3:$N$3</c:f>
              <c:strCache>
                <c:ptCount val="13"/>
                <c:pt idx="0">
                  <c:v>2017. 1.cet.</c:v>
                </c:pt>
                <c:pt idx="1">
                  <c:v>2017. 2.cet.</c:v>
                </c:pt>
                <c:pt idx="2">
                  <c:v>2017. 3.cet.</c:v>
                </c:pt>
                <c:pt idx="3">
                  <c:v>2017. 4.cet.</c:v>
                </c:pt>
                <c:pt idx="4">
                  <c:v>2018. 1.cet.</c:v>
                </c:pt>
                <c:pt idx="5">
                  <c:v>2018. 2.cet.</c:v>
                </c:pt>
                <c:pt idx="6">
                  <c:v>2018. 3.cet.</c:v>
                </c:pt>
                <c:pt idx="7">
                  <c:v>2018. 4.cet.</c:v>
                </c:pt>
                <c:pt idx="8">
                  <c:v>2019. 1.cet.</c:v>
                </c:pt>
                <c:pt idx="9">
                  <c:v>2019. 2.cet.</c:v>
                </c:pt>
                <c:pt idx="10">
                  <c:v>2019. 3.cet.</c:v>
                </c:pt>
                <c:pt idx="11">
                  <c:v>2019. 4.cet.</c:v>
                </c:pt>
                <c:pt idx="12">
                  <c:v>2020. 1.cet. </c:v>
                </c:pt>
              </c:strCache>
            </c:strRef>
          </c:cat>
          <c:val>
            <c:numRef>
              <c:f>'[Izlozes_2020_1_cet_.xlsx]2020_1_cet.'!$B$5:$N$5</c:f>
              <c:numCache>
                <c:formatCode>0.000</c:formatCode>
                <c:ptCount val="13"/>
                <c:pt idx="0">
                  <c:v>1.399567</c:v>
                </c:pt>
                <c:pt idx="1">
                  <c:v>1.436177</c:v>
                </c:pt>
                <c:pt idx="2">
                  <c:v>1.3669960000000001</c:v>
                </c:pt>
                <c:pt idx="3">
                  <c:v>1.6411039999999999</c:v>
                </c:pt>
                <c:pt idx="4">
                  <c:v>1.8039769999999999</c:v>
                </c:pt>
                <c:pt idx="5">
                  <c:v>1.5189509999999999</c:v>
                </c:pt>
                <c:pt idx="6">
                  <c:v>1.55257</c:v>
                </c:pt>
                <c:pt idx="7" formatCode="General">
                  <c:v>1.5920000000000001</c:v>
                </c:pt>
                <c:pt idx="8" formatCode="General">
                  <c:v>1.782</c:v>
                </c:pt>
                <c:pt idx="9" formatCode="General">
                  <c:v>1.651</c:v>
                </c:pt>
                <c:pt idx="10" formatCode="General">
                  <c:v>1.7509999999999999</c:v>
                </c:pt>
                <c:pt idx="11" formatCode="General">
                  <c:v>2.1459999999999999</c:v>
                </c:pt>
                <c:pt idx="12" formatCode="General">
                  <c:v>2.6509999999999998</c:v>
                </c:pt>
              </c:numCache>
            </c:numRef>
          </c:val>
          <c:smooth val="0"/>
          <c:extLst>
            <c:ext xmlns:c16="http://schemas.microsoft.com/office/drawing/2014/chart" uri="{C3380CC4-5D6E-409C-BE32-E72D297353CC}">
              <c16:uniqueId val="{00000002-1F96-43E9-A8A4-50EDE594BDF6}"/>
            </c:ext>
          </c:extLst>
        </c:ser>
        <c:dLbls>
          <c:showLegendKey val="0"/>
          <c:showVal val="0"/>
          <c:showCatName val="0"/>
          <c:showSerName val="0"/>
          <c:showPercent val="0"/>
          <c:showBubbleSize val="0"/>
        </c:dLbls>
        <c:marker val="1"/>
        <c:smooth val="0"/>
        <c:axId val="195822160"/>
        <c:axId val="195822544"/>
      </c:lineChart>
      <c:catAx>
        <c:axId val="195822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lv-LV"/>
          </a:p>
        </c:txPr>
        <c:crossAx val="195822544"/>
        <c:crosses val="autoZero"/>
        <c:auto val="1"/>
        <c:lblAlgn val="ctr"/>
        <c:lblOffset val="100"/>
        <c:noMultiLvlLbl val="0"/>
      </c:catAx>
      <c:valAx>
        <c:axId val="1958225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lv-LV"/>
          </a:p>
        </c:txPr>
        <c:crossAx val="195822160"/>
        <c:crosses val="autoZero"/>
        <c:crossBetween val="between"/>
      </c:valAx>
      <c:spPr>
        <a:noFill/>
        <a:ln>
          <a:noFill/>
        </a:ln>
        <a:effectLst/>
      </c:spPr>
    </c:plotArea>
    <c:legend>
      <c:legendPos val="b"/>
      <c:layout>
        <c:manualLayout>
          <c:xMode val="edge"/>
          <c:yMode val="edge"/>
          <c:x val="0.10650766568431552"/>
          <c:y val="0.92772474530731053"/>
          <c:w val="0.80951279422336475"/>
          <c:h val="5.789062816547588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212995183274E-2"/>
          <c:y val="9.4328928105092386E-2"/>
          <c:w val="0.78630102793346801"/>
          <c:h val="0.78018458433901794"/>
        </c:manualLayout>
      </c:layout>
      <c:barChart>
        <c:barDir val="col"/>
        <c:grouping val="stacked"/>
        <c:varyColors val="0"/>
        <c:ser>
          <c:idx val="1"/>
          <c:order val="1"/>
          <c:tx>
            <c:strRef>
              <c:f>'[Neto_2007_2019_izlozes.xls]2007-2019'!$B$4</c:f>
              <c:strCache>
                <c:ptCount val="1"/>
                <c:pt idx="0">
                  <c:v>Skaitļu izlozes</c:v>
                </c:pt>
              </c:strCache>
            </c:strRef>
          </c:tx>
          <c:spPr>
            <a:solidFill>
              <a:schemeClr val="accent3">
                <a:alpha val="70000"/>
              </a:schemeClr>
            </a:solidFill>
            <a:ln>
              <a:no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'[Neto_2007_2019_izlozes.xls]2007-2019'!$E$2:$O$2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'[Neto_2007_2019_izlozes.xls]2007-2019'!$E$4:$O$4</c:f>
              <c:numCache>
                <c:formatCode>#\ ##0.000</c:formatCode>
                <c:ptCount val="11"/>
                <c:pt idx="0">
                  <c:v>7.847683</c:v>
                </c:pt>
                <c:pt idx="1">
                  <c:v>7.1910109999999996</c:v>
                </c:pt>
                <c:pt idx="2">
                  <c:v>9.2498360000000002</c:v>
                </c:pt>
                <c:pt idx="3">
                  <c:v>12.826014000000001</c:v>
                </c:pt>
                <c:pt idx="4">
                  <c:v>16.965077000000001</c:v>
                </c:pt>
                <c:pt idx="5">
                  <c:v>18.913032000000001</c:v>
                </c:pt>
                <c:pt idx="6">
                  <c:v>21.022596</c:v>
                </c:pt>
                <c:pt idx="7">
                  <c:v>23.965555999999999</c:v>
                </c:pt>
                <c:pt idx="8" formatCode="0.000">
                  <c:v>24.046078000000001</c:v>
                </c:pt>
                <c:pt idx="9" formatCode="0.000">
                  <c:v>23.026872999999998</c:v>
                </c:pt>
                <c:pt idx="10" formatCode="General">
                  <c:v>22.035</c:v>
                </c:pt>
              </c:numCache>
            </c:numRef>
          </c:val>
          <c:extLst>
            <c:ext xmlns:c16="http://schemas.microsoft.com/office/drawing/2014/chart" uri="{C3380CC4-5D6E-409C-BE32-E72D297353CC}">
              <c16:uniqueId val="{00000000-FB4F-41D1-A451-36552A066060}"/>
            </c:ext>
          </c:extLst>
        </c:ser>
        <c:ser>
          <c:idx val="2"/>
          <c:order val="2"/>
          <c:tx>
            <c:strRef>
              <c:f>'[Neto_2007_2019_izlozes.xls]2007-2019'!$B$5</c:f>
              <c:strCache>
                <c:ptCount val="1"/>
                <c:pt idx="0">
                  <c:v>Momentloterijas</c:v>
                </c:pt>
              </c:strCache>
            </c:strRef>
          </c:tx>
          <c:spPr>
            <a:solidFill>
              <a:schemeClr val="accent5">
                <a:alpha val="70000"/>
              </a:schemeClr>
            </a:solidFill>
            <a:ln>
              <a:no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'[Neto_2007_2019_izlozes.xls]2007-2019'!$E$2:$O$2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'[Neto_2007_2019_izlozes.xls]2007-2019'!$E$5:$O$5</c:f>
              <c:numCache>
                <c:formatCode>#\ ##0.000</c:formatCode>
                <c:ptCount val="11"/>
                <c:pt idx="0">
                  <c:v>1.333358</c:v>
                </c:pt>
                <c:pt idx="1">
                  <c:v>1.21695</c:v>
                </c:pt>
                <c:pt idx="2">
                  <c:v>1.2954239999999999</c:v>
                </c:pt>
                <c:pt idx="3">
                  <c:v>2.078757</c:v>
                </c:pt>
                <c:pt idx="4">
                  <c:v>2.3444150000000001</c:v>
                </c:pt>
                <c:pt idx="5">
                  <c:v>2.975384</c:v>
                </c:pt>
                <c:pt idx="6">
                  <c:v>3.6633469999999999</c:v>
                </c:pt>
                <c:pt idx="7">
                  <c:v>5.352277</c:v>
                </c:pt>
                <c:pt idx="8" formatCode="0.000">
                  <c:v>12.652730999999999</c:v>
                </c:pt>
                <c:pt idx="9" formatCode="0.000">
                  <c:v>17.781109000000001</c:v>
                </c:pt>
                <c:pt idx="10" formatCode="General">
                  <c:v>26.213999999999999</c:v>
                </c:pt>
              </c:numCache>
            </c:numRef>
          </c:val>
          <c:extLst>
            <c:ext xmlns:c16="http://schemas.microsoft.com/office/drawing/2014/chart" uri="{C3380CC4-5D6E-409C-BE32-E72D297353CC}">
              <c16:uniqueId val="{00000001-FB4F-41D1-A451-36552A066060}"/>
            </c:ext>
          </c:extLst>
        </c:ser>
        <c:dLbls>
          <c:showLegendKey val="0"/>
          <c:showVal val="0"/>
          <c:showCatName val="0"/>
          <c:showSerName val="0"/>
          <c:showPercent val="0"/>
          <c:showBubbleSize val="0"/>
        </c:dLbls>
        <c:gapWidth val="80"/>
        <c:overlap val="100"/>
        <c:axId val="80372479"/>
        <c:axId val="1"/>
      </c:barChart>
      <c:lineChart>
        <c:grouping val="standard"/>
        <c:varyColors val="0"/>
        <c:ser>
          <c:idx val="0"/>
          <c:order val="0"/>
          <c:tx>
            <c:strRef>
              <c:f>'[Neto_2007_2019_izlozes.xls]2007-2019'!$B$3</c:f>
              <c:strCache>
                <c:ptCount val="1"/>
                <c:pt idx="0">
                  <c:v>Pārskata gada peļņa vai zaudējumi</c:v>
                </c:pt>
              </c:strCache>
            </c:strRef>
          </c:tx>
          <c:spPr>
            <a:ln w="28575" cap="rnd">
              <a:solidFill>
                <a:schemeClr val="accent1">
                  <a:alpha val="70000"/>
                </a:schemeClr>
              </a:solidFill>
              <a:round/>
            </a:ln>
            <a:effectLst/>
          </c:spPr>
          <c:marker>
            <c:symbol val="circle"/>
            <c:size val="6"/>
            <c:spPr>
              <a:solidFill>
                <a:schemeClr val="accent1">
                  <a:alpha val="70000"/>
                </a:schemeClr>
              </a:solidFill>
              <a:ln>
                <a:noFill/>
              </a:ln>
              <a:effectLst/>
            </c:spPr>
          </c:marker>
          <c:dLbls>
            <c:dLbl>
              <c:idx val="4"/>
              <c:layout>
                <c:manualLayout>
                  <c:x val="-9.9428287347750428E-4"/>
                  <c:y val="2.3767274180858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4F-41D1-A451-36552A066060}"/>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'[Neto_2007_2019_izlozes.xls]2007-2019'!$E$2:$O$2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'[Neto_2007_2019_izlozes.xls]2007-2019'!$E$3:$O$3</c:f>
              <c:numCache>
                <c:formatCode>0.000</c:formatCode>
                <c:ptCount val="11"/>
                <c:pt idx="0">
                  <c:v>0.85712944149435699</c:v>
                </c:pt>
                <c:pt idx="1">
                  <c:v>0.74035008338028807</c:v>
                </c:pt>
                <c:pt idx="2">
                  <c:v>-2.4410361921673753</c:v>
                </c:pt>
                <c:pt idx="3">
                  <c:v>1.9960230732892812</c:v>
                </c:pt>
                <c:pt idx="4">
                  <c:v>2.9230382866346805</c:v>
                </c:pt>
                <c:pt idx="5">
                  <c:v>3.5163419999999999</c:v>
                </c:pt>
                <c:pt idx="6">
                  <c:v>4.0272240000000004</c:v>
                </c:pt>
                <c:pt idx="7">
                  <c:v>4.9999079999999996</c:v>
                </c:pt>
                <c:pt idx="8">
                  <c:v>5.8271129999999998</c:v>
                </c:pt>
                <c:pt idx="9">
                  <c:v>6.4870929999999998</c:v>
                </c:pt>
                <c:pt idx="10" formatCode="General">
                  <c:v>7.2759999999999998</c:v>
                </c:pt>
              </c:numCache>
            </c:numRef>
          </c:val>
          <c:smooth val="0"/>
          <c:extLst>
            <c:ext xmlns:c16="http://schemas.microsoft.com/office/drawing/2014/chart" uri="{C3380CC4-5D6E-409C-BE32-E72D297353CC}">
              <c16:uniqueId val="{00000003-FB4F-41D1-A451-36552A066060}"/>
            </c:ext>
          </c:extLst>
        </c:ser>
        <c:dLbls>
          <c:showLegendKey val="0"/>
          <c:showVal val="0"/>
          <c:showCatName val="0"/>
          <c:showSerName val="0"/>
          <c:showPercent val="0"/>
          <c:showBubbleSize val="0"/>
        </c:dLbls>
        <c:marker val="1"/>
        <c:smooth val="0"/>
        <c:axId val="80372479"/>
        <c:axId val="1"/>
      </c:lineChart>
      <c:catAx>
        <c:axId val="80372479"/>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1" u="none" strike="noStrike" kern="1200" cap="none" spc="20" normalizeH="0" baseline="0">
                <a:solidFill>
                  <a:schemeClr val="tx1"/>
                </a:solidFill>
                <a:latin typeface="+mn-lt"/>
                <a:ea typeface="+mn-ea"/>
                <a:cs typeface="+mn-cs"/>
              </a:defRPr>
            </a:pPr>
            <a:endParaRPr lang="lv-LV"/>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numFmt formatCode="#\ ##0.000" sourceLinked="1"/>
        <c:majorTickMark val="out"/>
        <c:minorTickMark val="none"/>
        <c:tickLblPos val="nextTo"/>
        <c:spPr>
          <a:ln w="6350">
            <a:noFill/>
          </a:ln>
        </c:spPr>
        <c:txPr>
          <a:bodyPr rot="-60000000" spcFirstLastPara="1" vertOverflow="ellipsis" vert="horz" wrap="square" anchor="ctr" anchorCtr="1"/>
          <a:lstStyle/>
          <a:p>
            <a:pPr>
              <a:defRPr sz="900" b="0" i="1" u="none" strike="noStrike" kern="1200" spc="20" baseline="0">
                <a:solidFill>
                  <a:schemeClr val="tx1"/>
                </a:solidFill>
                <a:latin typeface="+mn-lt"/>
                <a:ea typeface="+mn-ea"/>
                <a:cs typeface="+mn-cs"/>
              </a:defRPr>
            </a:pPr>
            <a:endParaRPr lang="lv-LV"/>
          </a:p>
        </c:txPr>
        <c:crossAx val="80372479"/>
        <c:crosses val="autoZero"/>
        <c:crossBetween val="between"/>
      </c:valAx>
      <c:spPr>
        <a:noFill/>
        <a:ln w="25400">
          <a:noFill/>
        </a:ln>
      </c:spPr>
    </c:plotArea>
    <c:legend>
      <c:legendPos val="r"/>
      <c:layout>
        <c:manualLayout>
          <c:xMode val="edge"/>
          <c:yMode val="edge"/>
          <c:x val="0.29521545243737735"/>
          <c:y val="0.82492249789531025"/>
          <c:w val="0.5026491348775578"/>
          <c:h val="0.17327712573664142"/>
        </c:manualLayout>
      </c:layout>
      <c:overlay val="0"/>
      <c:spPr>
        <a:noFill/>
        <a:ln w="25400">
          <a:noFill/>
        </a:ln>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Pielikums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17BD-0234-4651-9464-91FF7835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D743A-F23D-4373-9DD0-7650EEC0644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FF2B986B-8B58-4554-9A93-29C5C4717162}">
  <ds:schemaRefs>
    <ds:schemaRef ds:uri="http://schemas.microsoft.com/sharepoint/v3/contenttype/forms"/>
  </ds:schemaRefs>
</ds:datastoreItem>
</file>

<file path=customXml/itemProps4.xml><?xml version="1.0" encoding="utf-8"?>
<ds:datastoreItem xmlns:ds="http://schemas.openxmlformats.org/officeDocument/2006/customXml" ds:itemID="{5A3F488E-9768-4147-8B87-AC94FBFA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118119</Words>
  <Characters>67328</Characters>
  <Application>Microsoft Office Word</Application>
  <DocSecurity>0</DocSecurity>
  <Lines>561</Lines>
  <Paragraphs>370</Paragraphs>
  <ScaleCrop>false</ScaleCrop>
  <HeadingPairs>
    <vt:vector size="2" baseType="variant">
      <vt:variant>
        <vt:lpstr>Title</vt:lpstr>
      </vt:variant>
      <vt:variant>
        <vt:i4>1</vt:i4>
      </vt:variant>
    </vt:vector>
  </HeadingPairs>
  <TitlesOfParts>
    <vt:vector size="1" baseType="lpstr">
      <vt:lpstr>Pielikums “ESOŠĀS SITUĀCIJAS VISPĀRĪGS RAKSTUROJUMS”</vt:lpstr>
    </vt:vector>
  </TitlesOfParts>
  <Company>Finanšu ministrija</Company>
  <LinksUpToDate>false</LinksUpToDate>
  <CharactersWithSpaces>185077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“ESOŠĀS SITUĀCIJAS VISPĀRĪGS RAKSTUROJUMS”</dc:title>
  <dc:subject>Pielikums</dc:subject>
  <dc:creator>E.Šidlovskis</dc:creator>
  <cp:keywords/>
  <dc:description>edgars.sidlovskis@fm.gov.lv, 67083894</dc:description>
  <cp:lastModifiedBy>Laimdota Adlere</cp:lastModifiedBy>
  <cp:revision>2</cp:revision>
  <cp:lastPrinted>2020-06-29T07:15:00Z</cp:lastPrinted>
  <dcterms:created xsi:type="dcterms:W3CDTF">2020-12-04T09:54:00Z</dcterms:created>
  <dcterms:modified xsi:type="dcterms:W3CDTF">2020-12-04T09:54:00Z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