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0939B" w14:textId="77777777" w:rsidR="00D45E44" w:rsidRPr="00943D7A" w:rsidRDefault="00D45E44" w:rsidP="00D45E44">
      <w:pPr>
        <w:pStyle w:val="naisnod"/>
        <w:spacing w:before="0" w:after="0"/>
        <w:ind w:firstLine="720"/>
        <w:rPr>
          <w:sz w:val="28"/>
          <w:szCs w:val="28"/>
        </w:rPr>
      </w:pPr>
      <w:r w:rsidRPr="00943D7A">
        <w:rPr>
          <w:sz w:val="28"/>
          <w:szCs w:val="28"/>
        </w:rPr>
        <w:t>Izziņa par atzinumos sniegtajiem iebildumiem</w:t>
      </w:r>
    </w:p>
    <w:p w14:paraId="094B93E1" w14:textId="77777777" w:rsidR="00D45E44" w:rsidRPr="00943D7A" w:rsidRDefault="00D45E44" w:rsidP="00D45E44">
      <w:pPr>
        <w:pStyle w:val="naisf"/>
        <w:spacing w:before="0" w:after="0"/>
        <w:ind w:firstLine="720"/>
      </w:pPr>
    </w:p>
    <w:tbl>
      <w:tblPr>
        <w:tblW w:w="0" w:type="auto"/>
        <w:jc w:val="center"/>
        <w:tblLook w:val="00A0" w:firstRow="1" w:lastRow="0" w:firstColumn="1" w:lastColumn="0" w:noHBand="0" w:noVBand="0"/>
      </w:tblPr>
      <w:tblGrid>
        <w:gridCol w:w="13204"/>
      </w:tblGrid>
      <w:tr w:rsidR="00D45E44" w:rsidRPr="00943D7A" w14:paraId="2224AB80" w14:textId="77777777" w:rsidTr="001D6E1B">
        <w:trPr>
          <w:jc w:val="center"/>
        </w:trPr>
        <w:tc>
          <w:tcPr>
            <w:tcW w:w="13204" w:type="dxa"/>
            <w:tcBorders>
              <w:bottom w:val="single" w:sz="6" w:space="0" w:color="000000"/>
            </w:tcBorders>
          </w:tcPr>
          <w:p w14:paraId="3374C7E0" w14:textId="11853A04" w:rsidR="00D45E44" w:rsidRPr="00943D7A" w:rsidRDefault="00AF502B" w:rsidP="00AF502B">
            <w:pPr>
              <w:ind w:firstLine="720"/>
              <w:jc w:val="center"/>
              <w:rPr>
                <w:sz w:val="28"/>
                <w:szCs w:val="28"/>
              </w:rPr>
            </w:pPr>
            <w:r w:rsidRPr="00943D7A">
              <w:rPr>
                <w:sz w:val="28"/>
                <w:szCs w:val="28"/>
              </w:rPr>
              <w:t xml:space="preserve">Informatīvais </w:t>
            </w:r>
            <w:r w:rsidR="00551B1F" w:rsidRPr="00943D7A">
              <w:rPr>
                <w:sz w:val="28"/>
                <w:szCs w:val="28"/>
              </w:rPr>
              <w:t>ziņojums “</w:t>
            </w:r>
            <w:r w:rsidRPr="00943D7A">
              <w:rPr>
                <w:sz w:val="28"/>
                <w:szCs w:val="28"/>
              </w:rPr>
              <w:t>Par Modernizācijas fonda ieviešanu</w:t>
            </w:r>
            <w:r w:rsidR="00551B1F" w:rsidRPr="00943D7A">
              <w:rPr>
                <w:sz w:val="28"/>
                <w:szCs w:val="28"/>
              </w:rPr>
              <w:t>”</w:t>
            </w:r>
          </w:p>
        </w:tc>
      </w:tr>
    </w:tbl>
    <w:p w14:paraId="73D42025" w14:textId="77777777" w:rsidR="00D45E44" w:rsidRPr="00943D7A" w:rsidRDefault="00D45E44" w:rsidP="00D45E44">
      <w:pPr>
        <w:pStyle w:val="naisc"/>
        <w:spacing w:before="0" w:after="0"/>
        <w:ind w:firstLine="1080"/>
      </w:pPr>
      <w:r w:rsidRPr="00943D7A">
        <w:t>(dokumenta veids un nosaukums)</w:t>
      </w:r>
    </w:p>
    <w:p w14:paraId="2BE212B2" w14:textId="77777777" w:rsidR="00D45E44" w:rsidRPr="00943D7A" w:rsidRDefault="00D45E44" w:rsidP="00D45E44">
      <w:pPr>
        <w:pStyle w:val="naisf"/>
        <w:spacing w:before="0" w:after="0"/>
        <w:ind w:firstLine="720"/>
      </w:pPr>
    </w:p>
    <w:p w14:paraId="1AF3F5D5" w14:textId="77777777" w:rsidR="00D45E44" w:rsidRPr="00943D7A" w:rsidRDefault="00D45E44" w:rsidP="00D45E44">
      <w:pPr>
        <w:pStyle w:val="naisf"/>
        <w:spacing w:before="0" w:after="0"/>
        <w:ind w:firstLine="0"/>
        <w:jc w:val="center"/>
        <w:rPr>
          <w:b/>
        </w:rPr>
      </w:pPr>
      <w:r w:rsidRPr="00943D7A">
        <w:rPr>
          <w:b/>
        </w:rPr>
        <w:t>I. Jautājumi, par kuriem saskaņošanā vienošanās nav panākta</w:t>
      </w:r>
    </w:p>
    <w:p w14:paraId="1C2AA494" w14:textId="77777777" w:rsidR="00D45E44" w:rsidRPr="00943D7A" w:rsidRDefault="00D45E44" w:rsidP="00D45E44">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3544"/>
        <w:gridCol w:w="3802"/>
        <w:gridCol w:w="2126"/>
        <w:gridCol w:w="1969"/>
      </w:tblGrid>
      <w:tr w:rsidR="00D45E44" w:rsidRPr="00943D7A" w14:paraId="4A1F6D87" w14:textId="77777777" w:rsidTr="009023FA">
        <w:tc>
          <w:tcPr>
            <w:tcW w:w="708" w:type="dxa"/>
            <w:tcBorders>
              <w:top w:val="single" w:sz="6" w:space="0" w:color="000000"/>
              <w:left w:val="single" w:sz="6" w:space="0" w:color="000000"/>
              <w:bottom w:val="single" w:sz="6" w:space="0" w:color="000000"/>
              <w:right w:val="single" w:sz="6" w:space="0" w:color="000000"/>
            </w:tcBorders>
            <w:vAlign w:val="center"/>
          </w:tcPr>
          <w:p w14:paraId="2AF87E16" w14:textId="77777777" w:rsidR="00D45E44" w:rsidRPr="00943D7A" w:rsidRDefault="00D45E44" w:rsidP="001D6E1B">
            <w:pPr>
              <w:pStyle w:val="naisc"/>
              <w:spacing w:before="0" w:after="0"/>
            </w:pPr>
            <w:r w:rsidRPr="00943D7A">
              <w:t>Nr. p. k.</w:t>
            </w:r>
          </w:p>
        </w:tc>
        <w:tc>
          <w:tcPr>
            <w:tcW w:w="2119" w:type="dxa"/>
            <w:tcBorders>
              <w:top w:val="single" w:sz="6" w:space="0" w:color="000000"/>
              <w:left w:val="single" w:sz="6" w:space="0" w:color="000000"/>
              <w:bottom w:val="single" w:sz="6" w:space="0" w:color="000000"/>
              <w:right w:val="single" w:sz="6" w:space="0" w:color="000000"/>
            </w:tcBorders>
            <w:vAlign w:val="center"/>
          </w:tcPr>
          <w:p w14:paraId="1A09CDF0" w14:textId="77777777" w:rsidR="00D45E44" w:rsidRPr="00943D7A" w:rsidRDefault="00D45E44" w:rsidP="001D6E1B">
            <w:pPr>
              <w:pStyle w:val="naisc"/>
              <w:spacing w:before="0" w:after="0"/>
              <w:ind w:firstLine="12"/>
            </w:pPr>
            <w:r w:rsidRPr="00943D7A">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052E2FA8" w14:textId="77777777" w:rsidR="00D45E44" w:rsidRPr="00943D7A" w:rsidRDefault="00D45E44" w:rsidP="001D6E1B">
            <w:pPr>
              <w:pStyle w:val="naisc"/>
              <w:spacing w:before="0" w:after="0"/>
              <w:ind w:right="3"/>
            </w:pPr>
            <w:r w:rsidRPr="00943D7A">
              <w:t>Atzinumā norādītais ministrijas (citas institūcijas) iebildums, kā arī saskaņošanā papildus izteiktais iebildums par projekta konkrēto punktu (pantu)</w:t>
            </w:r>
          </w:p>
        </w:tc>
        <w:tc>
          <w:tcPr>
            <w:tcW w:w="3802" w:type="dxa"/>
            <w:tcBorders>
              <w:top w:val="single" w:sz="6" w:space="0" w:color="000000"/>
              <w:left w:val="single" w:sz="6" w:space="0" w:color="000000"/>
              <w:bottom w:val="single" w:sz="6" w:space="0" w:color="000000"/>
              <w:right w:val="single" w:sz="6" w:space="0" w:color="000000"/>
            </w:tcBorders>
            <w:vAlign w:val="center"/>
          </w:tcPr>
          <w:p w14:paraId="57E6EDBD" w14:textId="77777777" w:rsidR="00D45E44" w:rsidRPr="00943D7A" w:rsidRDefault="00D45E44" w:rsidP="001D6E1B">
            <w:pPr>
              <w:pStyle w:val="naisc"/>
              <w:spacing w:before="0" w:after="0"/>
              <w:ind w:firstLine="21"/>
            </w:pPr>
            <w:r w:rsidRPr="00943D7A">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513B3DDB" w14:textId="77777777" w:rsidR="00D45E44" w:rsidRPr="00943D7A" w:rsidRDefault="00D45E44" w:rsidP="001D6E1B">
            <w:pPr>
              <w:jc w:val="center"/>
            </w:pPr>
            <w:r w:rsidRPr="00943D7A">
              <w:t>Atzinuma sniedzēja uzturētais iebildums, ja tas atšķiras no atzinumā norādītā iebilduma pamatojuma</w:t>
            </w:r>
          </w:p>
        </w:tc>
        <w:tc>
          <w:tcPr>
            <w:tcW w:w="1969" w:type="dxa"/>
            <w:tcBorders>
              <w:top w:val="single" w:sz="4" w:space="0" w:color="auto"/>
              <w:left w:val="single" w:sz="4" w:space="0" w:color="auto"/>
              <w:bottom w:val="single" w:sz="4" w:space="0" w:color="auto"/>
            </w:tcBorders>
            <w:vAlign w:val="center"/>
          </w:tcPr>
          <w:p w14:paraId="68C0DE5C" w14:textId="77777777" w:rsidR="00D45E44" w:rsidRPr="00943D7A" w:rsidRDefault="00D45E44" w:rsidP="001D6E1B">
            <w:pPr>
              <w:jc w:val="center"/>
            </w:pPr>
            <w:r w:rsidRPr="00943D7A">
              <w:t>Projekta attiecīgā punkta (panta) galīgā redakcija</w:t>
            </w:r>
          </w:p>
        </w:tc>
      </w:tr>
      <w:tr w:rsidR="000E3959" w:rsidRPr="00943D7A" w14:paraId="4A863593" w14:textId="77777777" w:rsidTr="009023FA">
        <w:tc>
          <w:tcPr>
            <w:tcW w:w="708" w:type="dxa"/>
            <w:tcBorders>
              <w:top w:val="single" w:sz="6" w:space="0" w:color="000000"/>
              <w:left w:val="single" w:sz="6" w:space="0" w:color="000000"/>
              <w:bottom w:val="single" w:sz="6" w:space="0" w:color="000000"/>
              <w:right w:val="single" w:sz="6" w:space="0" w:color="000000"/>
            </w:tcBorders>
          </w:tcPr>
          <w:p w14:paraId="32B9A26B" w14:textId="77777777" w:rsidR="00D45E44" w:rsidRPr="00943D7A" w:rsidRDefault="00D45E44" w:rsidP="001D6E1B">
            <w:pPr>
              <w:pStyle w:val="naisc"/>
              <w:spacing w:before="0" w:after="0"/>
            </w:pPr>
            <w:r w:rsidRPr="00943D7A">
              <w:t>1</w:t>
            </w:r>
          </w:p>
        </w:tc>
        <w:tc>
          <w:tcPr>
            <w:tcW w:w="2119" w:type="dxa"/>
            <w:tcBorders>
              <w:top w:val="single" w:sz="6" w:space="0" w:color="000000"/>
              <w:left w:val="single" w:sz="6" w:space="0" w:color="000000"/>
              <w:bottom w:val="single" w:sz="6" w:space="0" w:color="000000"/>
              <w:right w:val="single" w:sz="6" w:space="0" w:color="000000"/>
            </w:tcBorders>
          </w:tcPr>
          <w:p w14:paraId="1698BC90" w14:textId="77777777" w:rsidR="00D45E44" w:rsidRPr="00943D7A" w:rsidRDefault="00D45E44" w:rsidP="001D6E1B">
            <w:pPr>
              <w:pStyle w:val="naisc"/>
              <w:spacing w:before="0" w:after="0"/>
              <w:ind w:firstLine="720"/>
            </w:pPr>
            <w:r w:rsidRPr="00943D7A">
              <w:t>2</w:t>
            </w:r>
          </w:p>
        </w:tc>
        <w:tc>
          <w:tcPr>
            <w:tcW w:w="3544" w:type="dxa"/>
            <w:tcBorders>
              <w:top w:val="single" w:sz="6" w:space="0" w:color="000000"/>
              <w:left w:val="single" w:sz="6" w:space="0" w:color="000000"/>
              <w:bottom w:val="single" w:sz="6" w:space="0" w:color="000000"/>
              <w:right w:val="single" w:sz="6" w:space="0" w:color="000000"/>
            </w:tcBorders>
          </w:tcPr>
          <w:p w14:paraId="7C86A40B" w14:textId="77777777" w:rsidR="00D45E44" w:rsidRPr="00943D7A" w:rsidRDefault="00D45E44" w:rsidP="001D6E1B">
            <w:pPr>
              <w:pStyle w:val="naisc"/>
              <w:spacing w:before="0" w:after="0"/>
              <w:ind w:firstLine="720"/>
            </w:pPr>
            <w:r w:rsidRPr="00943D7A">
              <w:t>3</w:t>
            </w:r>
          </w:p>
        </w:tc>
        <w:tc>
          <w:tcPr>
            <w:tcW w:w="3802" w:type="dxa"/>
            <w:tcBorders>
              <w:top w:val="single" w:sz="6" w:space="0" w:color="000000"/>
              <w:left w:val="single" w:sz="6" w:space="0" w:color="000000"/>
              <w:bottom w:val="single" w:sz="6" w:space="0" w:color="000000"/>
              <w:right w:val="single" w:sz="6" w:space="0" w:color="000000"/>
            </w:tcBorders>
          </w:tcPr>
          <w:p w14:paraId="545041FD" w14:textId="77777777" w:rsidR="00D45E44" w:rsidRPr="00943D7A" w:rsidRDefault="00D45E44" w:rsidP="001D6E1B">
            <w:pPr>
              <w:pStyle w:val="naisc"/>
              <w:spacing w:before="0" w:after="0"/>
              <w:ind w:firstLine="720"/>
            </w:pPr>
            <w:r w:rsidRPr="00943D7A">
              <w:t>4</w:t>
            </w:r>
          </w:p>
        </w:tc>
        <w:tc>
          <w:tcPr>
            <w:tcW w:w="2126" w:type="dxa"/>
            <w:tcBorders>
              <w:top w:val="single" w:sz="4" w:space="0" w:color="auto"/>
              <w:left w:val="single" w:sz="4" w:space="0" w:color="auto"/>
              <w:bottom w:val="single" w:sz="4" w:space="0" w:color="auto"/>
              <w:right w:val="single" w:sz="4" w:space="0" w:color="auto"/>
            </w:tcBorders>
          </w:tcPr>
          <w:p w14:paraId="26007AD3" w14:textId="77777777" w:rsidR="00D45E44" w:rsidRPr="00943D7A" w:rsidRDefault="00D45E44" w:rsidP="001D6E1B">
            <w:pPr>
              <w:jc w:val="center"/>
            </w:pPr>
            <w:r w:rsidRPr="00943D7A">
              <w:t>5</w:t>
            </w:r>
          </w:p>
        </w:tc>
        <w:tc>
          <w:tcPr>
            <w:tcW w:w="1969" w:type="dxa"/>
            <w:tcBorders>
              <w:top w:val="single" w:sz="4" w:space="0" w:color="auto"/>
              <w:left w:val="single" w:sz="4" w:space="0" w:color="auto"/>
              <w:bottom w:val="single" w:sz="4" w:space="0" w:color="auto"/>
            </w:tcBorders>
          </w:tcPr>
          <w:p w14:paraId="7B74CA6A" w14:textId="77777777" w:rsidR="00D45E44" w:rsidRPr="00943D7A" w:rsidRDefault="00D45E44" w:rsidP="001D6E1B">
            <w:pPr>
              <w:jc w:val="center"/>
            </w:pPr>
            <w:r w:rsidRPr="00943D7A">
              <w:t>6</w:t>
            </w:r>
          </w:p>
        </w:tc>
      </w:tr>
      <w:tr w:rsidR="00A138C3" w:rsidRPr="00943D7A" w14:paraId="0E82573F" w14:textId="77777777" w:rsidTr="009023FA">
        <w:tc>
          <w:tcPr>
            <w:tcW w:w="708" w:type="dxa"/>
            <w:tcBorders>
              <w:top w:val="single" w:sz="6" w:space="0" w:color="000000"/>
              <w:left w:val="single" w:sz="6" w:space="0" w:color="000000"/>
              <w:bottom w:val="single" w:sz="6" w:space="0" w:color="000000"/>
              <w:right w:val="single" w:sz="6" w:space="0" w:color="000000"/>
            </w:tcBorders>
          </w:tcPr>
          <w:p w14:paraId="6B74C622" w14:textId="066C1344" w:rsidR="00A138C3" w:rsidRPr="00943D7A" w:rsidRDefault="00A138C3">
            <w:pPr>
              <w:jc w:val="center"/>
            </w:pPr>
          </w:p>
        </w:tc>
        <w:tc>
          <w:tcPr>
            <w:tcW w:w="2119" w:type="dxa"/>
            <w:tcBorders>
              <w:top w:val="single" w:sz="6" w:space="0" w:color="000000"/>
              <w:left w:val="single" w:sz="6" w:space="0" w:color="000000"/>
              <w:bottom w:val="single" w:sz="6" w:space="0" w:color="000000"/>
              <w:right w:val="single" w:sz="6" w:space="0" w:color="000000"/>
            </w:tcBorders>
          </w:tcPr>
          <w:p w14:paraId="79E206ED" w14:textId="7B2BCF26" w:rsidR="00A138C3" w:rsidRPr="00943D7A" w:rsidRDefault="00A138C3" w:rsidP="00C41CAB">
            <w:pPr>
              <w:jc w:val="both"/>
              <w:rPr>
                <w:b/>
              </w:rPr>
            </w:pPr>
          </w:p>
        </w:tc>
        <w:tc>
          <w:tcPr>
            <w:tcW w:w="3544" w:type="dxa"/>
            <w:tcBorders>
              <w:top w:val="single" w:sz="6" w:space="0" w:color="000000"/>
              <w:left w:val="single" w:sz="6" w:space="0" w:color="000000"/>
              <w:bottom w:val="single" w:sz="6" w:space="0" w:color="000000"/>
              <w:right w:val="single" w:sz="6" w:space="0" w:color="000000"/>
            </w:tcBorders>
          </w:tcPr>
          <w:p w14:paraId="6F30A69C" w14:textId="17503B94" w:rsidR="00334FCB" w:rsidRPr="00943D7A" w:rsidRDefault="00334FCB" w:rsidP="00267B23">
            <w:pPr>
              <w:spacing w:after="60"/>
              <w:jc w:val="both"/>
              <w:rPr>
                <w:b/>
              </w:rPr>
            </w:pPr>
          </w:p>
        </w:tc>
        <w:tc>
          <w:tcPr>
            <w:tcW w:w="3802" w:type="dxa"/>
            <w:tcBorders>
              <w:top w:val="single" w:sz="6" w:space="0" w:color="000000"/>
              <w:left w:val="single" w:sz="6" w:space="0" w:color="000000"/>
              <w:bottom w:val="single" w:sz="6" w:space="0" w:color="000000"/>
              <w:right w:val="single" w:sz="6" w:space="0" w:color="000000"/>
            </w:tcBorders>
          </w:tcPr>
          <w:p w14:paraId="387499E5" w14:textId="21115A54" w:rsidR="000109D5" w:rsidRPr="00943D7A" w:rsidRDefault="000109D5" w:rsidP="00267B23">
            <w:pPr>
              <w:ind w:right="-1"/>
              <w:jc w:val="both"/>
            </w:pPr>
          </w:p>
        </w:tc>
        <w:tc>
          <w:tcPr>
            <w:tcW w:w="2126" w:type="dxa"/>
            <w:tcBorders>
              <w:top w:val="single" w:sz="4" w:space="0" w:color="auto"/>
              <w:left w:val="single" w:sz="4" w:space="0" w:color="auto"/>
              <w:bottom w:val="single" w:sz="4" w:space="0" w:color="auto"/>
              <w:right w:val="single" w:sz="4" w:space="0" w:color="auto"/>
            </w:tcBorders>
          </w:tcPr>
          <w:p w14:paraId="6C40BD55" w14:textId="77777777" w:rsidR="00A138C3" w:rsidRPr="00943D7A" w:rsidRDefault="00A138C3" w:rsidP="00C41CAB">
            <w:pPr>
              <w:jc w:val="both"/>
            </w:pPr>
          </w:p>
        </w:tc>
        <w:tc>
          <w:tcPr>
            <w:tcW w:w="1969" w:type="dxa"/>
            <w:tcBorders>
              <w:top w:val="single" w:sz="4" w:space="0" w:color="auto"/>
              <w:left w:val="single" w:sz="4" w:space="0" w:color="auto"/>
              <w:bottom w:val="single" w:sz="4" w:space="0" w:color="auto"/>
              <w:right w:val="single" w:sz="4" w:space="0" w:color="auto"/>
            </w:tcBorders>
          </w:tcPr>
          <w:p w14:paraId="0AAC493D" w14:textId="1FF3D4D4" w:rsidR="00A138C3" w:rsidRPr="00943D7A" w:rsidRDefault="00A138C3" w:rsidP="00785DDA">
            <w:pPr>
              <w:ind w:right="-1"/>
              <w:jc w:val="both"/>
              <w:rPr>
                <w:b/>
                <w:color w:val="FF0000"/>
                <w:u w:val="single"/>
              </w:rPr>
            </w:pPr>
          </w:p>
        </w:tc>
      </w:tr>
    </w:tbl>
    <w:p w14:paraId="157DE4BA" w14:textId="4B9A915A" w:rsidR="00D45E44" w:rsidRPr="00943D7A" w:rsidRDefault="00D45E44" w:rsidP="00D45E44">
      <w:pPr>
        <w:pStyle w:val="naisf"/>
        <w:spacing w:before="0" w:after="0"/>
        <w:ind w:firstLine="0"/>
      </w:pPr>
    </w:p>
    <w:p w14:paraId="6A9C369C" w14:textId="77777777" w:rsidR="00D45E44" w:rsidRPr="00943D7A" w:rsidRDefault="00D45E44" w:rsidP="00D45E44">
      <w:pPr>
        <w:pStyle w:val="naisf"/>
        <w:spacing w:before="0" w:after="0"/>
        <w:ind w:firstLine="0"/>
        <w:rPr>
          <w:b/>
        </w:rPr>
      </w:pPr>
      <w:r w:rsidRPr="00943D7A">
        <w:rPr>
          <w:b/>
        </w:rPr>
        <w:t>Informācija par starpministriju (starpinstitūciju) sanāksmi vai elektronisko saskaņošanu</w:t>
      </w:r>
    </w:p>
    <w:p w14:paraId="05E7E2C8" w14:textId="77777777" w:rsidR="00D45E44" w:rsidRPr="00943D7A" w:rsidRDefault="00D45E44" w:rsidP="00D45E44">
      <w:pPr>
        <w:pStyle w:val="naisf"/>
        <w:spacing w:before="0" w:after="0"/>
        <w:ind w:firstLine="0"/>
        <w:rPr>
          <w:b/>
        </w:rPr>
      </w:pPr>
    </w:p>
    <w:tbl>
      <w:tblPr>
        <w:tblW w:w="12582" w:type="dxa"/>
        <w:tblLook w:val="00A0" w:firstRow="1" w:lastRow="0" w:firstColumn="1" w:lastColumn="0" w:noHBand="0" w:noVBand="0"/>
      </w:tblPr>
      <w:tblGrid>
        <w:gridCol w:w="6345"/>
        <w:gridCol w:w="6237"/>
      </w:tblGrid>
      <w:tr w:rsidR="00D45E44" w:rsidRPr="00943D7A" w14:paraId="60AC0833" w14:textId="77777777" w:rsidTr="001D6E1B">
        <w:tc>
          <w:tcPr>
            <w:tcW w:w="6345" w:type="dxa"/>
            <w:shd w:val="clear" w:color="auto" w:fill="auto"/>
          </w:tcPr>
          <w:p w14:paraId="2BF3B98C" w14:textId="77777777" w:rsidR="00D45E44" w:rsidRPr="00943D7A" w:rsidRDefault="00D45E44" w:rsidP="001D6E1B">
            <w:pPr>
              <w:pStyle w:val="naisf"/>
              <w:spacing w:before="0" w:after="0"/>
              <w:ind w:firstLine="0"/>
            </w:pPr>
            <w:r w:rsidRPr="00943D7A">
              <w:t xml:space="preserve">Datums: </w:t>
            </w:r>
          </w:p>
        </w:tc>
        <w:tc>
          <w:tcPr>
            <w:tcW w:w="6237" w:type="dxa"/>
            <w:tcBorders>
              <w:bottom w:val="single" w:sz="4" w:space="0" w:color="auto"/>
            </w:tcBorders>
            <w:shd w:val="clear" w:color="auto" w:fill="auto"/>
          </w:tcPr>
          <w:p w14:paraId="70AAB9EF" w14:textId="4086DC65" w:rsidR="00D45E44" w:rsidRPr="00943D7A" w:rsidRDefault="00AF502B" w:rsidP="000F297D">
            <w:pPr>
              <w:pStyle w:val="NormalWeb"/>
              <w:spacing w:before="0" w:beforeAutospacing="0" w:after="0" w:afterAutospacing="0"/>
            </w:pPr>
            <w:r w:rsidRPr="00943D7A">
              <w:t>Izsludināts VSS 1</w:t>
            </w:r>
            <w:r w:rsidR="000F297D" w:rsidRPr="00943D7A">
              <w:t>5</w:t>
            </w:r>
            <w:r w:rsidRPr="00943D7A">
              <w:t>.08.2019</w:t>
            </w:r>
          </w:p>
        </w:tc>
      </w:tr>
      <w:tr w:rsidR="00D45E44" w:rsidRPr="00943D7A" w14:paraId="49A8E79E" w14:textId="77777777" w:rsidTr="001D6E1B">
        <w:tc>
          <w:tcPr>
            <w:tcW w:w="6345" w:type="dxa"/>
          </w:tcPr>
          <w:p w14:paraId="42C36877" w14:textId="77777777" w:rsidR="00D45E44" w:rsidRPr="00943D7A" w:rsidRDefault="00D45E44" w:rsidP="001D6E1B">
            <w:pPr>
              <w:pStyle w:val="naisf"/>
              <w:spacing w:before="0" w:after="0"/>
              <w:ind w:firstLine="0"/>
            </w:pPr>
          </w:p>
        </w:tc>
        <w:tc>
          <w:tcPr>
            <w:tcW w:w="6237" w:type="dxa"/>
            <w:tcBorders>
              <w:top w:val="single" w:sz="4" w:space="0" w:color="auto"/>
            </w:tcBorders>
          </w:tcPr>
          <w:p w14:paraId="5D8B7233" w14:textId="77777777" w:rsidR="00D45E44" w:rsidRPr="00943D7A" w:rsidRDefault="00D45E44" w:rsidP="001D6E1B">
            <w:pPr>
              <w:pStyle w:val="NormalWeb"/>
              <w:spacing w:before="0" w:beforeAutospacing="0" w:after="0" w:afterAutospacing="0"/>
            </w:pPr>
          </w:p>
        </w:tc>
      </w:tr>
      <w:tr w:rsidR="00D45E44" w:rsidRPr="00943D7A" w14:paraId="28B71EDF" w14:textId="77777777" w:rsidTr="001D6E1B">
        <w:tc>
          <w:tcPr>
            <w:tcW w:w="6345" w:type="dxa"/>
          </w:tcPr>
          <w:p w14:paraId="6FCA711C" w14:textId="77777777" w:rsidR="00D45E44" w:rsidRPr="00943D7A" w:rsidRDefault="00D45E44" w:rsidP="001D6E1B">
            <w:pPr>
              <w:pStyle w:val="naiskr"/>
              <w:spacing w:before="0" w:after="0"/>
              <w:jc w:val="both"/>
            </w:pPr>
            <w:r w:rsidRPr="00943D7A">
              <w:t>Saskaņošanas dalībnieki un datums, kad saņemts atzinums</w:t>
            </w:r>
          </w:p>
        </w:tc>
        <w:tc>
          <w:tcPr>
            <w:tcW w:w="6237" w:type="dxa"/>
            <w:tcBorders>
              <w:bottom w:val="single" w:sz="4" w:space="0" w:color="auto"/>
            </w:tcBorders>
          </w:tcPr>
          <w:p w14:paraId="446241C6" w14:textId="13F1219A" w:rsidR="00D45E44" w:rsidRPr="00943D7A" w:rsidRDefault="00D45E44" w:rsidP="001D6E1B">
            <w:r w:rsidRPr="00943D7A">
              <w:t>Ekonomikas ministrija (</w:t>
            </w:r>
            <w:r w:rsidR="00494DFF" w:rsidRPr="00943D7A">
              <w:t>02.09.2019</w:t>
            </w:r>
            <w:r w:rsidR="00744285" w:rsidRPr="00943D7A">
              <w:t>; 15.0</w:t>
            </w:r>
            <w:r w:rsidR="00585E8C" w:rsidRPr="00943D7A">
              <w:t>1</w:t>
            </w:r>
            <w:r w:rsidR="00744285" w:rsidRPr="00943D7A">
              <w:t>.2020</w:t>
            </w:r>
            <w:r w:rsidR="00585E8C" w:rsidRPr="00943D7A">
              <w:t xml:space="preserve">; </w:t>
            </w:r>
            <w:r w:rsidR="004041CF" w:rsidRPr="00943D7A">
              <w:t>13.10.2020</w:t>
            </w:r>
            <w:r w:rsidR="00D953C5">
              <w:t xml:space="preserve">; </w:t>
            </w:r>
            <w:r w:rsidR="00FA577B">
              <w:t>04.11.2020</w:t>
            </w:r>
            <w:r w:rsidRPr="00943D7A">
              <w:t>)</w:t>
            </w:r>
          </w:p>
          <w:p w14:paraId="6F70E815" w14:textId="0825FD23" w:rsidR="00D45E44" w:rsidRPr="00943D7A" w:rsidRDefault="00D45E44" w:rsidP="001D6E1B">
            <w:r w:rsidRPr="00943D7A">
              <w:t>Finanšu ministrija (</w:t>
            </w:r>
            <w:r w:rsidR="00D81FF1" w:rsidRPr="00943D7A">
              <w:t>02.09.2019</w:t>
            </w:r>
            <w:r w:rsidR="00171F5C" w:rsidRPr="00943D7A">
              <w:t>; 20.01.2020</w:t>
            </w:r>
            <w:r w:rsidR="004041CF" w:rsidRPr="00943D7A">
              <w:t>; 09.10.2020</w:t>
            </w:r>
            <w:r w:rsidR="00FA577B">
              <w:t>; 05.11.2020</w:t>
            </w:r>
            <w:r w:rsidRPr="00943D7A">
              <w:t>)</w:t>
            </w:r>
          </w:p>
          <w:p w14:paraId="23885456" w14:textId="2994F9E4" w:rsidR="00551B1F" w:rsidRPr="00943D7A" w:rsidRDefault="00551B1F" w:rsidP="001D6E1B">
            <w:r w:rsidRPr="00943D7A">
              <w:t>Tieslietu ministrija (</w:t>
            </w:r>
            <w:r w:rsidR="00006269" w:rsidRPr="00943D7A">
              <w:t>30.08</w:t>
            </w:r>
            <w:r w:rsidRPr="00943D7A">
              <w:t>.2019</w:t>
            </w:r>
            <w:r w:rsidR="00E415A1" w:rsidRPr="00943D7A">
              <w:t>; 16.01.2020</w:t>
            </w:r>
            <w:r w:rsidR="00647AE3" w:rsidRPr="00943D7A">
              <w:t>; 12.10.2020</w:t>
            </w:r>
            <w:r w:rsidR="00F7286B">
              <w:t>; 06.11.2020</w:t>
            </w:r>
            <w:r w:rsidRPr="00943D7A">
              <w:t>)</w:t>
            </w:r>
          </w:p>
          <w:p w14:paraId="309D702F" w14:textId="468D5138" w:rsidR="00D45E44" w:rsidRPr="00943D7A" w:rsidRDefault="00D45E44" w:rsidP="00006269">
            <w:r w:rsidRPr="00943D7A">
              <w:t>Pārresoru koordinācijas centrs (</w:t>
            </w:r>
            <w:r w:rsidR="00006269" w:rsidRPr="00943D7A">
              <w:t>29</w:t>
            </w:r>
            <w:r w:rsidR="00551B1F" w:rsidRPr="00943D7A">
              <w:t>.0</w:t>
            </w:r>
            <w:r w:rsidR="00006269" w:rsidRPr="00943D7A">
              <w:t>8</w:t>
            </w:r>
            <w:r w:rsidRPr="00943D7A">
              <w:t>.2019</w:t>
            </w:r>
            <w:r w:rsidR="0068404B" w:rsidRPr="00943D7A">
              <w:t>; 08.10.2020</w:t>
            </w:r>
            <w:r w:rsidR="00F8243D">
              <w:t>; 03.11.2020</w:t>
            </w:r>
            <w:r w:rsidRPr="00943D7A">
              <w:t>)</w:t>
            </w:r>
          </w:p>
          <w:p w14:paraId="1148C7BA" w14:textId="4AA7EF8B" w:rsidR="00006269" w:rsidRPr="00943D7A" w:rsidRDefault="00006269" w:rsidP="00006269">
            <w:r w:rsidRPr="00943D7A">
              <w:t>Latvijas Lielo pilsētu asociācija (02.09.2019</w:t>
            </w:r>
            <w:r w:rsidR="0068404B" w:rsidRPr="00943D7A">
              <w:t>; 09.10.2020</w:t>
            </w:r>
            <w:r w:rsidR="00746D97">
              <w:t>;</w:t>
            </w:r>
            <w:r w:rsidR="00F8243D">
              <w:t xml:space="preserve"> 05.11.2020</w:t>
            </w:r>
            <w:r w:rsidRPr="00943D7A">
              <w:t>)</w:t>
            </w:r>
          </w:p>
          <w:p w14:paraId="10051077" w14:textId="2DFFDB0D" w:rsidR="00006269" w:rsidRPr="00943D7A" w:rsidRDefault="00006269" w:rsidP="00006269">
            <w:r w:rsidRPr="00943D7A">
              <w:lastRenderedPageBreak/>
              <w:t>Latvijas pašvaldību savienība (27.08.2019</w:t>
            </w:r>
            <w:r w:rsidR="003A0A1F" w:rsidRPr="00943D7A">
              <w:t>; 14.01.2020</w:t>
            </w:r>
            <w:r w:rsidR="0068404B" w:rsidRPr="00943D7A">
              <w:t>; 09.10.2020</w:t>
            </w:r>
            <w:r w:rsidR="00F8243D">
              <w:t>, 02.11.2020</w:t>
            </w:r>
            <w:r w:rsidRPr="00943D7A">
              <w:t>)</w:t>
            </w:r>
          </w:p>
          <w:p w14:paraId="01A3369C" w14:textId="3500A071" w:rsidR="00494DFF" w:rsidRPr="00943D7A" w:rsidRDefault="00494DFF" w:rsidP="00006269">
            <w:r w:rsidRPr="00943D7A">
              <w:t>Satiksmes ministrija (02.09.2019</w:t>
            </w:r>
            <w:r w:rsidR="00617232" w:rsidRPr="00943D7A">
              <w:t>; 15.01.2020</w:t>
            </w:r>
            <w:r w:rsidR="0068404B" w:rsidRPr="00943D7A">
              <w:t>; 09.10.2020</w:t>
            </w:r>
            <w:r w:rsidR="00BE47BE">
              <w:t>; 06.11.2020</w:t>
            </w:r>
            <w:r w:rsidRPr="00943D7A">
              <w:t>)</w:t>
            </w:r>
          </w:p>
          <w:p w14:paraId="759727F2" w14:textId="17F8D5D3" w:rsidR="00885E7C" w:rsidRPr="00943D7A" w:rsidRDefault="00885E7C" w:rsidP="00006269">
            <w:r w:rsidRPr="00943D7A">
              <w:t>AS "Augstsprieguma tīkls" (15.01.2020</w:t>
            </w:r>
            <w:r w:rsidR="00F51612">
              <w:t xml:space="preserve">; </w:t>
            </w:r>
            <w:r w:rsidR="00AD31EB">
              <w:t>05.11.2020</w:t>
            </w:r>
            <w:r w:rsidRPr="00943D7A">
              <w:t>)</w:t>
            </w:r>
          </w:p>
          <w:p w14:paraId="71C83571" w14:textId="26CB33A5" w:rsidR="00E20161" w:rsidRPr="00943D7A" w:rsidRDefault="00305EE8" w:rsidP="00006269">
            <w:r w:rsidRPr="00943D7A">
              <w:t>Zemkopības ministrija (</w:t>
            </w:r>
            <w:r w:rsidR="00171F5C" w:rsidRPr="00943D7A">
              <w:t>17</w:t>
            </w:r>
            <w:r w:rsidR="00E20161" w:rsidRPr="00943D7A">
              <w:t>.01.2020</w:t>
            </w:r>
            <w:r w:rsidR="007C3557" w:rsidRPr="00943D7A">
              <w:t>; 09.10.2020</w:t>
            </w:r>
            <w:r w:rsidR="000C18A8">
              <w:t>; 06.11.2020</w:t>
            </w:r>
            <w:r w:rsidR="00E20161" w:rsidRPr="00943D7A">
              <w:t>)</w:t>
            </w:r>
          </w:p>
        </w:tc>
      </w:tr>
    </w:tbl>
    <w:p w14:paraId="14281D5E" w14:textId="77777777" w:rsidR="00D45E44" w:rsidRPr="00943D7A" w:rsidRDefault="00D45E44" w:rsidP="00D45E44"/>
    <w:tbl>
      <w:tblPr>
        <w:tblW w:w="13136" w:type="dxa"/>
        <w:tblLook w:val="00A0" w:firstRow="1" w:lastRow="0" w:firstColumn="1" w:lastColumn="0" w:noHBand="0" w:noVBand="0"/>
      </w:tblPr>
      <w:tblGrid>
        <w:gridCol w:w="6642"/>
        <w:gridCol w:w="6494"/>
      </w:tblGrid>
      <w:tr w:rsidR="00D45E44" w:rsidRPr="00943D7A" w14:paraId="3AADB408" w14:textId="77777777" w:rsidTr="00551B1F">
        <w:trPr>
          <w:trHeight w:val="710"/>
        </w:trPr>
        <w:tc>
          <w:tcPr>
            <w:tcW w:w="6642" w:type="dxa"/>
          </w:tcPr>
          <w:p w14:paraId="61FB5625" w14:textId="77777777" w:rsidR="00D45E44" w:rsidRPr="00943D7A" w:rsidRDefault="00D45E44" w:rsidP="001D6E1B">
            <w:pPr>
              <w:pStyle w:val="naiskr"/>
              <w:spacing w:before="0" w:after="0"/>
            </w:pPr>
            <w:r w:rsidRPr="00943D7A">
              <w:t>Saskaņošanas dalībnieki izskatīja šādu ministriju (citu institūciju) iebildumus</w:t>
            </w:r>
          </w:p>
        </w:tc>
        <w:tc>
          <w:tcPr>
            <w:tcW w:w="6494" w:type="dxa"/>
            <w:tcBorders>
              <w:bottom w:val="single" w:sz="4" w:space="0" w:color="auto"/>
            </w:tcBorders>
          </w:tcPr>
          <w:p w14:paraId="1848C4AC" w14:textId="51C74757" w:rsidR="00D45E44" w:rsidRPr="00943D7A" w:rsidRDefault="00D45E44" w:rsidP="00551B1F"/>
        </w:tc>
      </w:tr>
      <w:tr w:rsidR="00D45E44" w:rsidRPr="00943D7A" w14:paraId="206131D5" w14:textId="77777777" w:rsidTr="00551B1F">
        <w:trPr>
          <w:trHeight w:val="1100"/>
        </w:trPr>
        <w:tc>
          <w:tcPr>
            <w:tcW w:w="6642" w:type="dxa"/>
          </w:tcPr>
          <w:p w14:paraId="57F4035A" w14:textId="77777777" w:rsidR="00551B1F" w:rsidRPr="00943D7A" w:rsidRDefault="00551B1F" w:rsidP="001D6E1B">
            <w:pPr>
              <w:pStyle w:val="naiskr"/>
              <w:spacing w:before="0" w:after="0"/>
            </w:pPr>
          </w:p>
          <w:p w14:paraId="34E05D91" w14:textId="77777777" w:rsidR="00D45E44" w:rsidRPr="00943D7A" w:rsidRDefault="00D45E44" w:rsidP="001D6E1B">
            <w:pPr>
              <w:pStyle w:val="naiskr"/>
              <w:spacing w:before="0" w:after="0"/>
            </w:pPr>
            <w:r w:rsidRPr="00943D7A">
              <w:t>Ministrijas (citas institūcijas), kuras nav ieradušās uz sanāksmi vai kuras nav atbildējušas uz uzaicinājumu piedalīties elektroniskajā saskaņošanā</w:t>
            </w:r>
          </w:p>
        </w:tc>
        <w:tc>
          <w:tcPr>
            <w:tcW w:w="6494" w:type="dxa"/>
            <w:tcBorders>
              <w:top w:val="single" w:sz="4" w:space="0" w:color="auto"/>
              <w:bottom w:val="single" w:sz="4" w:space="0" w:color="auto"/>
            </w:tcBorders>
          </w:tcPr>
          <w:p w14:paraId="7B24E57A" w14:textId="77777777" w:rsidR="00D45E44" w:rsidRPr="00943D7A" w:rsidRDefault="00D45E44" w:rsidP="001D6E1B">
            <w:pPr>
              <w:pStyle w:val="naiskr"/>
              <w:spacing w:before="0" w:after="0"/>
              <w:ind w:firstLine="17"/>
            </w:pPr>
          </w:p>
          <w:p w14:paraId="1E72422B" w14:textId="3F9BF6CA" w:rsidR="00741670" w:rsidRPr="00943D7A" w:rsidRDefault="00741670" w:rsidP="001D6E1B">
            <w:pPr>
              <w:pStyle w:val="naiskr"/>
              <w:spacing w:before="0" w:after="0"/>
              <w:ind w:firstLine="17"/>
            </w:pPr>
          </w:p>
        </w:tc>
      </w:tr>
    </w:tbl>
    <w:p w14:paraId="0B13426A" w14:textId="77777777" w:rsidR="00551B1F" w:rsidRPr="00943D7A" w:rsidRDefault="00551B1F" w:rsidP="00D45E44">
      <w:pPr>
        <w:pStyle w:val="naisf"/>
        <w:spacing w:before="0" w:after="0"/>
        <w:ind w:firstLine="0"/>
        <w:jc w:val="center"/>
        <w:rPr>
          <w:b/>
        </w:rPr>
      </w:pPr>
    </w:p>
    <w:p w14:paraId="59F771C2" w14:textId="77777777" w:rsidR="00D45E44" w:rsidRPr="00943D7A" w:rsidRDefault="00D45E44" w:rsidP="00D45E44">
      <w:pPr>
        <w:pStyle w:val="naisf"/>
        <w:spacing w:before="0" w:after="0"/>
        <w:ind w:firstLine="0"/>
        <w:jc w:val="center"/>
        <w:rPr>
          <w:b/>
        </w:rPr>
      </w:pPr>
      <w:r w:rsidRPr="00943D7A">
        <w:rPr>
          <w:b/>
        </w:rPr>
        <w:t>II. Jautājumi, par kuriem saskaņošanā vienošanās ir panākta</w:t>
      </w:r>
    </w:p>
    <w:p w14:paraId="04D4084E" w14:textId="77777777" w:rsidR="00D45E44" w:rsidRPr="00943D7A" w:rsidRDefault="00D45E44" w:rsidP="00D45E44">
      <w:pPr>
        <w:pStyle w:val="naisf"/>
        <w:spacing w:before="0" w:after="0"/>
        <w:ind w:firstLine="720"/>
      </w:pPr>
    </w:p>
    <w:p w14:paraId="554F503B" w14:textId="77777777" w:rsidR="00D45E44" w:rsidRPr="00943D7A" w:rsidRDefault="00D45E44" w:rsidP="00D45E44">
      <w:pPr>
        <w:pStyle w:val="naisf"/>
        <w:spacing w:before="0" w:after="0"/>
        <w:ind w:firstLine="720"/>
      </w:pPr>
    </w:p>
    <w:tbl>
      <w:tblPr>
        <w:tblW w:w="145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152"/>
        <w:gridCol w:w="4394"/>
        <w:gridCol w:w="5103"/>
        <w:gridCol w:w="2385"/>
      </w:tblGrid>
      <w:tr w:rsidR="00D45E44" w:rsidRPr="00943D7A" w14:paraId="6F087869"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5D49A" w14:textId="77777777" w:rsidR="00D45E44" w:rsidRPr="00943D7A" w:rsidRDefault="00D45E44" w:rsidP="00672E77">
            <w:pPr>
              <w:pStyle w:val="naisc"/>
              <w:spacing w:before="0" w:after="0"/>
              <w:jc w:val="left"/>
            </w:pPr>
            <w:r w:rsidRPr="00943D7A">
              <w:t>Nr. p. k.</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7A0ABC" w14:textId="77777777" w:rsidR="00D45E44" w:rsidRPr="00943D7A" w:rsidRDefault="00D45E44" w:rsidP="001D6E1B">
            <w:pPr>
              <w:pStyle w:val="naisc"/>
              <w:spacing w:before="0" w:after="0"/>
              <w:ind w:firstLine="12"/>
            </w:pPr>
            <w:r w:rsidRPr="00943D7A">
              <w:t>Saskaņošanai nosūtītā projekta redakcija (konkrēta punkta (panta) redakcija)</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FAB2A0" w14:textId="5D91E1D5" w:rsidR="00D45E44" w:rsidRPr="00943D7A" w:rsidRDefault="00D45E44" w:rsidP="001D6E1B">
            <w:pPr>
              <w:pStyle w:val="naisc"/>
              <w:spacing w:before="0" w:after="0"/>
              <w:ind w:right="3"/>
            </w:pPr>
            <w:r w:rsidRPr="00943D7A">
              <w:t xml:space="preserve">Atzinumā norādītais ministrijas (citas institūcijas) iebildums, kā arī saskaņošanā papildus izteiktais iebildums </w:t>
            </w:r>
            <w:r w:rsidR="00A33116" w:rsidRPr="00943D7A">
              <w:t>par projekta konkrēto punktu (</w:t>
            </w:r>
            <w:r w:rsidRPr="00943D7A">
              <w:t>pantu)</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A38649" w14:textId="77777777" w:rsidR="00D45E44" w:rsidRPr="00943D7A" w:rsidRDefault="00D45E44" w:rsidP="00737CA4">
            <w:pPr>
              <w:pStyle w:val="naisc"/>
              <w:spacing w:before="0" w:after="0"/>
              <w:jc w:val="both"/>
            </w:pPr>
            <w:r w:rsidRPr="00943D7A">
              <w:t>Atbildīgās ministrijas norāde par to, ka iebildums ir ņemts vērā, vai informācija par saskaņošanā panākto alternatīvo risinājumu</w:t>
            </w:r>
          </w:p>
        </w:tc>
        <w:tc>
          <w:tcPr>
            <w:tcW w:w="2385" w:type="dxa"/>
            <w:tcBorders>
              <w:top w:val="single" w:sz="4" w:space="0" w:color="auto"/>
              <w:left w:val="single" w:sz="4" w:space="0" w:color="auto"/>
              <w:bottom w:val="single" w:sz="4" w:space="0" w:color="auto"/>
            </w:tcBorders>
            <w:vAlign w:val="center"/>
          </w:tcPr>
          <w:p w14:paraId="1A635033" w14:textId="77777777" w:rsidR="00D45E44" w:rsidRPr="00943D7A" w:rsidRDefault="00D45E44" w:rsidP="001D6E1B">
            <w:pPr>
              <w:jc w:val="center"/>
            </w:pPr>
            <w:r w:rsidRPr="00943D7A">
              <w:t>Projekta attiecīgā punkta (panta) galīgā redakcija</w:t>
            </w:r>
          </w:p>
        </w:tc>
      </w:tr>
      <w:tr w:rsidR="00D45E44" w:rsidRPr="00943D7A" w14:paraId="7E0C3989"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0043B7" w14:textId="77777777" w:rsidR="00D45E44" w:rsidRPr="00943D7A" w:rsidRDefault="00D45E44" w:rsidP="00672E77">
            <w:pPr>
              <w:pStyle w:val="naisc"/>
              <w:spacing w:before="0" w:after="0"/>
              <w:jc w:val="left"/>
            </w:pPr>
            <w:r w:rsidRPr="00943D7A">
              <w:t>1</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3288CA" w14:textId="77777777" w:rsidR="00D45E44" w:rsidRPr="00943D7A" w:rsidRDefault="00D45E44" w:rsidP="001D6E1B">
            <w:pPr>
              <w:pStyle w:val="naisc"/>
              <w:spacing w:before="0" w:after="0"/>
              <w:ind w:firstLine="12"/>
            </w:pPr>
            <w:r w:rsidRPr="00943D7A">
              <w:t>2</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B687E6" w14:textId="77777777" w:rsidR="00D45E44" w:rsidRPr="00943D7A" w:rsidRDefault="00D45E44" w:rsidP="001D6E1B">
            <w:pPr>
              <w:pStyle w:val="naisc"/>
              <w:spacing w:before="0" w:after="0"/>
            </w:pPr>
            <w:r w:rsidRPr="00943D7A">
              <w:t>3</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884637" w14:textId="77777777" w:rsidR="00D45E44" w:rsidRPr="00943D7A" w:rsidRDefault="00D45E44" w:rsidP="00551B1F">
            <w:pPr>
              <w:pStyle w:val="naisc"/>
              <w:spacing w:before="0" w:after="0"/>
            </w:pPr>
            <w:r w:rsidRPr="00943D7A">
              <w:t>4</w:t>
            </w:r>
          </w:p>
        </w:tc>
        <w:tc>
          <w:tcPr>
            <w:tcW w:w="2385" w:type="dxa"/>
            <w:tcBorders>
              <w:top w:val="single" w:sz="4" w:space="0" w:color="auto"/>
              <w:left w:val="single" w:sz="4" w:space="0" w:color="auto"/>
              <w:bottom w:val="single" w:sz="4" w:space="0" w:color="auto"/>
            </w:tcBorders>
          </w:tcPr>
          <w:p w14:paraId="38FA86A5" w14:textId="77777777" w:rsidR="00D45E44" w:rsidRPr="00943D7A" w:rsidRDefault="00D45E44" w:rsidP="001D6E1B">
            <w:pPr>
              <w:jc w:val="center"/>
            </w:pPr>
            <w:r w:rsidRPr="00943D7A">
              <w:t>5</w:t>
            </w:r>
          </w:p>
        </w:tc>
      </w:tr>
      <w:tr w:rsidR="003E5969" w:rsidRPr="00943D7A" w14:paraId="66F2754B"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B55D09" w14:textId="5DF0A20C" w:rsidR="003E5969" w:rsidRPr="00943D7A" w:rsidRDefault="003B2FE9" w:rsidP="00586C29">
            <w:r w:rsidRPr="00943D7A">
              <w:t>1</w:t>
            </w:r>
            <w:r w:rsidR="00586C29"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BEEB07" w14:textId="13D90BB6" w:rsidR="003E5969" w:rsidRPr="00943D7A" w:rsidRDefault="009A4EB6" w:rsidP="001D6E1B">
            <w:pPr>
              <w:jc w:val="both"/>
              <w:rPr>
                <w:b/>
              </w:rPr>
            </w:pPr>
            <w:r w:rsidRPr="00943D7A">
              <w:rPr>
                <w:b/>
              </w:rPr>
              <w:t>Protokollēmum</w:t>
            </w:r>
            <w:r w:rsidR="006E75E6">
              <w:rPr>
                <w:b/>
              </w:rPr>
              <w:t>a projekts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027DB" w14:textId="7ABD4B7B" w:rsidR="003E5969" w:rsidRPr="00943D7A" w:rsidRDefault="003E5969" w:rsidP="003E5969">
            <w:pPr>
              <w:pStyle w:val="ListParagraph"/>
              <w:widowControl w:val="0"/>
              <w:spacing w:after="0" w:line="240" w:lineRule="auto"/>
              <w:ind w:left="0"/>
              <w:jc w:val="center"/>
              <w:rPr>
                <w:rFonts w:ascii="Times New Roman" w:hAnsi="Times New Roman"/>
                <w:b/>
                <w:bCs/>
                <w:sz w:val="24"/>
                <w:szCs w:val="24"/>
                <w:lang w:val="lv-LV"/>
              </w:rPr>
            </w:pPr>
            <w:r w:rsidRPr="00943D7A">
              <w:rPr>
                <w:rFonts w:ascii="Times New Roman" w:hAnsi="Times New Roman"/>
                <w:b/>
                <w:bCs/>
                <w:sz w:val="24"/>
                <w:szCs w:val="24"/>
                <w:lang w:val="lv-LV"/>
              </w:rPr>
              <w:t>Ekonomikas ministrijas 02.09.2019</w:t>
            </w:r>
            <w:r w:rsidR="006E75E6">
              <w:rPr>
                <w:rFonts w:ascii="Times New Roman" w:hAnsi="Times New Roman"/>
                <w:b/>
                <w:bCs/>
                <w:sz w:val="24"/>
                <w:szCs w:val="24"/>
                <w:lang w:val="lv-LV"/>
              </w:rPr>
              <w:t>.</w:t>
            </w:r>
            <w:r w:rsidRPr="00943D7A">
              <w:rPr>
                <w:rFonts w:ascii="Times New Roman" w:hAnsi="Times New Roman"/>
                <w:b/>
                <w:bCs/>
                <w:sz w:val="24"/>
                <w:szCs w:val="24"/>
                <w:lang w:val="lv-LV"/>
              </w:rPr>
              <w:t xml:space="preserve"> atzinums.</w:t>
            </w:r>
          </w:p>
          <w:p w14:paraId="18A5B7FB" w14:textId="77777777" w:rsidR="003E5969" w:rsidRPr="00943D7A" w:rsidRDefault="003E5969" w:rsidP="003E5969">
            <w:pPr>
              <w:spacing w:before="120" w:after="120"/>
              <w:jc w:val="both"/>
            </w:pPr>
            <w:r w:rsidRPr="00943D7A">
              <w:rPr>
                <w:b/>
                <w:bCs/>
              </w:rPr>
              <w:t>Neatbalstām Protokollēmuma 2.punktu</w:t>
            </w:r>
            <w:r w:rsidRPr="00943D7A">
              <w:t>, kurā ir noteikts, ka par Modernizācijas fonda (turpmāk – MF) atbildīgo iestādi nacionālā līmenī tiek noteikts VARAM.</w:t>
            </w:r>
          </w:p>
          <w:p w14:paraId="288FCD3C" w14:textId="77777777" w:rsidR="003E5969" w:rsidRPr="00943D7A" w:rsidRDefault="003E5969" w:rsidP="003E5969">
            <w:pPr>
              <w:spacing w:before="120" w:after="120"/>
              <w:jc w:val="both"/>
            </w:pPr>
            <w:r w:rsidRPr="00943D7A">
              <w:lastRenderedPageBreak/>
              <w:t>Norādām, ka saskaņā ar Eiropas Parlamenta un Padomes direktīvas Nr.2003/87/EK</w:t>
            </w:r>
            <w:r w:rsidRPr="00943D7A">
              <w:rPr>
                <w:rStyle w:val="FootnoteReference"/>
              </w:rPr>
              <w:footnoteReference w:id="1"/>
            </w:r>
            <w:r w:rsidRPr="00943D7A">
              <w:t xml:space="preserve"> (turpmāk – Direktīva 2003/87/EK) 10.d panta 1.punktu (izteikts ar Direktīvu Nr.2018/410</w:t>
            </w:r>
            <w:r w:rsidRPr="00943D7A">
              <w:rPr>
                <w:rStyle w:val="FootnoteReference"/>
              </w:rPr>
              <w:footnoteReference w:id="2"/>
            </w:r>
            <w:r w:rsidRPr="00943D7A">
              <w:t xml:space="preserve">) MF līdzekļi ir izmantojami, lai </w:t>
            </w:r>
            <w:r w:rsidRPr="00943D7A">
              <w:rPr>
                <w:u w:val="single"/>
              </w:rPr>
              <w:t>finansētu neliela mēroga investīciju projektus energosistēmu modernizācijā un energoefektivitātes uzlabošanā</w:t>
            </w:r>
            <w:r w:rsidRPr="00943D7A">
              <w:t>. Tātad ir skaidri noteikts, ka MF iekļautie finanšu līdzekļi ir izmantojami tikai un vienīgi projektiem enerģētikā. Šis nosacījums ir arī skaidri noteikts Informatīvā ziņojuma 2. nodaļā</w:t>
            </w:r>
          </w:p>
          <w:p w14:paraId="2FC1415A" w14:textId="77777777" w:rsidR="003E5969" w:rsidRPr="00943D7A" w:rsidRDefault="003E5969" w:rsidP="003E5969">
            <w:pPr>
              <w:spacing w:before="120" w:after="120"/>
              <w:jc w:val="both"/>
            </w:pPr>
            <w:r w:rsidRPr="00943D7A">
              <w:t>Saskaņā ar Ministru kabineta 2010.gada 23.marta noteikumu Nr.271 “Ekonomikas ministrijas nolikums” 1.punktu enerģētikas politiku izstrādā un īstenot Ekonomikas ministrija. Savukārt Ministru kabineta 2011.gada 29.marta noteikumos Nr.233 “Vides aizsardzības un reģionālās attīstības ministrijas nolikums” nav noteikts, ka VARAM ir kompetence un tiesības izstrādāt un īstenot enerģētikas politiku.</w:t>
            </w:r>
          </w:p>
          <w:p w14:paraId="6C4B2D54" w14:textId="23F4E945" w:rsidR="003E5969" w:rsidRPr="00943D7A" w:rsidRDefault="003E5969" w:rsidP="00586C29">
            <w:pPr>
              <w:pStyle w:val="ListParagraph"/>
              <w:widowControl w:val="0"/>
              <w:spacing w:after="0" w:line="240" w:lineRule="auto"/>
              <w:ind w:left="0"/>
              <w:jc w:val="both"/>
              <w:rPr>
                <w:rFonts w:ascii="Times New Roman" w:hAnsi="Times New Roman"/>
                <w:b/>
                <w:bCs/>
                <w:sz w:val="28"/>
                <w:szCs w:val="28"/>
                <w:lang w:val="lv-LV"/>
              </w:rPr>
            </w:pPr>
            <w:r w:rsidRPr="00943D7A">
              <w:rPr>
                <w:rFonts w:ascii="Times New Roman" w:hAnsi="Times New Roman"/>
                <w:sz w:val="24"/>
                <w:szCs w:val="24"/>
                <w:u w:val="single"/>
                <w:lang w:val="lv-LV"/>
              </w:rPr>
              <w:t>Līdz ar to norādām, ka Protokollēmuma 2.punktā ir jānosaka, ka par MF atbildīgo iestādi nacionālajā līmenī tiek noteikta</w:t>
            </w:r>
            <w:r w:rsidRPr="00943D7A">
              <w:rPr>
                <w:rFonts w:ascii="Times New Roman" w:hAnsi="Times New Roman"/>
                <w:sz w:val="28"/>
                <w:szCs w:val="28"/>
                <w:u w:val="single"/>
                <w:lang w:val="lv-LV"/>
              </w:rPr>
              <w:t xml:space="preserve"> </w:t>
            </w:r>
            <w:r w:rsidRPr="00943D7A">
              <w:rPr>
                <w:rFonts w:ascii="Times New Roman" w:hAnsi="Times New Roman"/>
                <w:sz w:val="24"/>
                <w:szCs w:val="24"/>
                <w:u w:val="single"/>
                <w:lang w:val="lv-LV"/>
              </w:rPr>
              <w:t>Ekonomikas ministrija.</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2FBAB7" w14:textId="77777777" w:rsidR="004650F6" w:rsidRPr="00943D7A" w:rsidRDefault="004650F6" w:rsidP="004650F6">
            <w:pPr>
              <w:spacing w:after="120"/>
              <w:jc w:val="center"/>
              <w:rPr>
                <w:b/>
              </w:rPr>
            </w:pPr>
            <w:r w:rsidRPr="00943D7A">
              <w:rPr>
                <w:b/>
              </w:rPr>
              <w:lastRenderedPageBreak/>
              <w:t>Vienošanās panākta saskaņošanas laikā</w:t>
            </w:r>
          </w:p>
          <w:p w14:paraId="48E87FA3" w14:textId="77777777" w:rsidR="009A4EB6" w:rsidRPr="00943D7A" w:rsidRDefault="009A4EB6" w:rsidP="009A4EB6">
            <w:pPr>
              <w:jc w:val="both"/>
            </w:pPr>
          </w:p>
          <w:p w14:paraId="1A7575E5" w14:textId="77777777" w:rsidR="009A4EB6" w:rsidRPr="00943D7A" w:rsidRDefault="009A4EB6" w:rsidP="009A4EB6">
            <w:pPr>
              <w:jc w:val="both"/>
            </w:pPr>
            <w:r w:rsidRPr="00943D7A">
              <w:t>Direktīvas 2003/87 10. panta 1. punktā noteikts: “</w:t>
            </w:r>
            <w:r w:rsidRPr="00943D7A">
              <w:rPr>
                <w:i/>
              </w:rPr>
              <w:t>2 % no kopējā kvotu daudzuma laikā no 2021. līdz 2030. gadam izsola, lai izveidotu fondu, kura mērķis ir uzlabot energoefektivitāti un modernizēt energosistēmas dažās dalībvalstīs, kā noteikts 10.d pantā</w:t>
            </w:r>
            <w:r w:rsidRPr="00943D7A">
              <w:t xml:space="preserve">”. Direktīvas 2003/87 10 d  panta 2. punktā ir uzskaitīts plašs loks ar prioritārajām investīcijām, </w:t>
            </w:r>
            <w:r w:rsidRPr="00943D7A">
              <w:lastRenderedPageBreak/>
              <w:t xml:space="preserve">t.sk. investīcijām energoefektivitātē transporta, ēku, lauksaimniecības un atkritumu apsaimniekošanas jomās. Turklāt jānorāda, ka 30 % no visa Modernizācijas fonda līdzekļiem ir iespēja izmantot pasākumiem, kas nav ietverti 10.d panta 2. punkta minētajā uzskaitījumā. </w:t>
            </w:r>
          </w:p>
          <w:p w14:paraId="27389853" w14:textId="77777777" w:rsidR="009A4EB6" w:rsidRPr="00943D7A" w:rsidRDefault="009A4EB6" w:rsidP="009A4EB6">
            <w:pPr>
              <w:jc w:val="both"/>
            </w:pPr>
          </w:p>
          <w:p w14:paraId="41388297" w14:textId="77777777" w:rsidR="009A4EB6" w:rsidRPr="00943D7A" w:rsidRDefault="009A4EB6" w:rsidP="009A4EB6">
            <w:pPr>
              <w:jc w:val="both"/>
            </w:pPr>
            <w:r w:rsidRPr="00943D7A">
              <w:t>Pretēji Ekonomikas ministrijas paustajam vēlamies norādīt, ka informatīvajā ziņojumā nav minēts, ka Modernizācijas fonda līdzekļi būtu izmantojami tikai un vienīgi projektiem enerģētikā un tas būtu pretrunā arī ar Direktīvas 2003/87 10 d panta nosacījumiem. Saskaņā ar Direktīvas 2003/87 10 d panta 1. punkta otrajā rindkopā minēto atbalstītajām investīcijām jābūt saskanīgām ar Direktīvas 2003/87 mērķiem, kā arī ar mērķiem, ko paredz ES klimata un enerģētikas politikas satvars laikposmam līdz 2030. gadam, un Parīzes nolīgumā paustajiem ilgtermiņa mērķiem. Gan Direktīva 2003/87, gan klimata un enerģētikas satvars, gan Parīzes nolīgums ir tieši saistīti ar klimata politiku un Latvija saskaņā ar Ministru kabineta 2011. gada 29. marta noteikumu Nr. 233 “Vides aizsardzības un reģionālās attīstības ministrijas nolikums” 4. punktu VARAM ir atbildīgā iestāde par vides, dabas aizsardzības un klimata politikas izstrādi, līdz ar to par Modernizācijas fonda atbildīgo iestādi nosakāma VARAM.</w:t>
            </w:r>
          </w:p>
          <w:p w14:paraId="1B16DBCA" w14:textId="2FF6BDE9" w:rsidR="003E5969" w:rsidRPr="00943D7A" w:rsidRDefault="009A4EB6" w:rsidP="009A4EB6">
            <w:pPr>
              <w:jc w:val="both"/>
              <w:rPr>
                <w:b/>
                <w:lang w:eastAsia="x-none"/>
              </w:rPr>
            </w:pPr>
            <w:r w:rsidRPr="00943D7A">
              <w:lastRenderedPageBreak/>
              <w:t>Ar Modernizācijas fonda izveidi netiek plānots mainīt VARAM kompetenci izstrādāt vai īstenot politiku enerģētikas jomā, bet gan sagatavot juridisko ietvaru, lai varētu sniegt atbalstu SEG emisiju samazinošu pasākumu īstenošanai, t.sk. enerģētikas sektorā.</w:t>
            </w:r>
          </w:p>
        </w:tc>
        <w:tc>
          <w:tcPr>
            <w:tcW w:w="2385" w:type="dxa"/>
            <w:tcBorders>
              <w:top w:val="single" w:sz="4" w:space="0" w:color="auto"/>
              <w:left w:val="single" w:sz="4" w:space="0" w:color="auto"/>
              <w:bottom w:val="single" w:sz="4" w:space="0" w:color="auto"/>
            </w:tcBorders>
          </w:tcPr>
          <w:p w14:paraId="4AD51936" w14:textId="77777777" w:rsidR="00DD11E2" w:rsidRPr="00943D7A" w:rsidRDefault="00DD11E2" w:rsidP="00586C29">
            <w:pPr>
              <w:pStyle w:val="Title"/>
              <w:spacing w:before="120" w:after="120"/>
              <w:jc w:val="both"/>
              <w:outlineLvl w:val="0"/>
              <w:rPr>
                <w:b/>
                <w:sz w:val="24"/>
                <w:szCs w:val="24"/>
              </w:rPr>
            </w:pPr>
          </w:p>
          <w:p w14:paraId="56FA99FD" w14:textId="73FB9145" w:rsidR="003E5969" w:rsidRPr="00943D7A" w:rsidRDefault="009A4EB6" w:rsidP="00785DDA">
            <w:pPr>
              <w:pStyle w:val="Title"/>
              <w:spacing w:before="120" w:after="120"/>
              <w:jc w:val="both"/>
              <w:outlineLvl w:val="0"/>
              <w:rPr>
                <w:b/>
                <w:sz w:val="24"/>
                <w:szCs w:val="24"/>
              </w:rPr>
            </w:pPr>
            <w:r w:rsidRPr="00943D7A">
              <w:rPr>
                <w:b/>
                <w:sz w:val="24"/>
                <w:szCs w:val="24"/>
              </w:rPr>
              <w:t>Papildināts Protokolēmum</w:t>
            </w:r>
            <w:r w:rsidR="006E75E6">
              <w:rPr>
                <w:b/>
                <w:sz w:val="24"/>
                <w:szCs w:val="24"/>
              </w:rPr>
              <w:t>a projekts</w:t>
            </w:r>
            <w:r w:rsidRPr="00943D7A">
              <w:rPr>
                <w:b/>
                <w:sz w:val="24"/>
                <w:szCs w:val="24"/>
              </w:rPr>
              <w:t xml:space="preserve"> ar 4. punktu šādā redakcijā; “</w:t>
            </w:r>
            <w:r w:rsidR="00460660" w:rsidRPr="00943D7A">
              <w:rPr>
                <w:sz w:val="24"/>
                <w:szCs w:val="24"/>
              </w:rPr>
              <w:t xml:space="preserve">4. Vides aizsardzības un reģionālās attīstības ministrijai un Ekonomikas </w:t>
            </w:r>
            <w:r w:rsidR="00460660" w:rsidRPr="00943D7A">
              <w:rPr>
                <w:sz w:val="24"/>
                <w:szCs w:val="24"/>
              </w:rPr>
              <w:lastRenderedPageBreak/>
              <w:t>ministrijai līdz 2021. gada 1.jūlijam izstrādāt un vides aizsardzības un reģionālās attīstības ministram noteiktā kārtībā iesniegt Ministru kabinetā Modernizācijas fonda daudzgadu programmas darbības noteikumus, ņemot vērā Latvijas Nacionāl</w:t>
            </w:r>
            <w:r w:rsidR="007B1183" w:rsidRPr="00943D7A">
              <w:rPr>
                <w:sz w:val="24"/>
                <w:szCs w:val="24"/>
              </w:rPr>
              <w:t>aj</w:t>
            </w:r>
            <w:r w:rsidR="00460660" w:rsidRPr="00943D7A">
              <w:rPr>
                <w:sz w:val="24"/>
                <w:szCs w:val="24"/>
              </w:rPr>
              <w:t>ā enerģētikas un klimata plānā 2021.-2030. gadam”, kas apstiprināts ar Ministru kabineta 2020. gada 4. februāra rīkojumu Nr. 46</w:t>
            </w:r>
            <w:r w:rsidR="00003DCD">
              <w:rPr>
                <w:sz w:val="24"/>
                <w:szCs w:val="24"/>
              </w:rPr>
              <w:t xml:space="preserve"> </w:t>
            </w:r>
            <w:r w:rsidR="00003DCD" w:rsidRPr="00003DCD">
              <w:rPr>
                <w:sz w:val="24"/>
                <w:szCs w:val="24"/>
              </w:rPr>
              <w:t>“Par Latvijas Nacionālo enerģētikas un klimata plānu 2021.-2030. gadam”</w:t>
            </w:r>
            <w:r w:rsidR="00460660" w:rsidRPr="00003DCD">
              <w:rPr>
                <w:sz w:val="24"/>
                <w:szCs w:val="24"/>
              </w:rPr>
              <w:t>,</w:t>
            </w:r>
            <w:r w:rsidR="00460660" w:rsidRPr="00943D7A">
              <w:rPr>
                <w:sz w:val="24"/>
                <w:szCs w:val="24"/>
              </w:rPr>
              <w:t xml:space="preserve"> noteikt</w:t>
            </w:r>
            <w:r w:rsidR="007B1183" w:rsidRPr="00943D7A">
              <w:rPr>
                <w:sz w:val="24"/>
                <w:szCs w:val="24"/>
              </w:rPr>
              <w:t>os</w:t>
            </w:r>
            <w:r w:rsidR="00460660" w:rsidRPr="00943D7A">
              <w:rPr>
                <w:sz w:val="24"/>
                <w:szCs w:val="24"/>
              </w:rPr>
              <w:t xml:space="preserve"> p</w:t>
            </w:r>
            <w:r w:rsidR="007B1183" w:rsidRPr="00943D7A">
              <w:rPr>
                <w:sz w:val="24"/>
                <w:szCs w:val="24"/>
              </w:rPr>
              <w:t>asākumus</w:t>
            </w:r>
            <w:r w:rsidR="00460660" w:rsidRPr="00943D7A">
              <w:rPr>
                <w:sz w:val="24"/>
                <w:szCs w:val="24"/>
              </w:rPr>
              <w:t>.</w:t>
            </w:r>
            <w:r w:rsidRPr="00943D7A">
              <w:rPr>
                <w:b/>
                <w:sz w:val="24"/>
                <w:szCs w:val="24"/>
              </w:rPr>
              <w:t>”</w:t>
            </w:r>
          </w:p>
        </w:tc>
      </w:tr>
      <w:tr w:rsidR="003B2FE9" w:rsidRPr="00943D7A" w14:paraId="0339573C"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077B2B" w14:textId="1017AB12" w:rsidR="003B2FE9" w:rsidRPr="00943D7A" w:rsidDel="00E2051D" w:rsidRDefault="003B2FE9" w:rsidP="003B2FE9">
            <w:r w:rsidRPr="00943D7A">
              <w:lastRenderedPageBreak/>
              <w:t>2.</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0D0B18" w14:textId="44682FCF" w:rsidR="003B2FE9" w:rsidRPr="00943D7A" w:rsidRDefault="003B2FE9" w:rsidP="003B2FE9">
            <w:pPr>
              <w:jc w:val="both"/>
              <w:rPr>
                <w:b/>
              </w:rPr>
            </w:pPr>
            <w:r w:rsidRPr="00943D7A">
              <w:rPr>
                <w:b/>
              </w:rPr>
              <w:t>Protokollēmum</w:t>
            </w:r>
            <w:r w:rsidR="006E75E6">
              <w:rPr>
                <w:b/>
              </w:rPr>
              <w:t>a projekts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D9B75D" w14:textId="6BFEFF26" w:rsidR="003B2FE9" w:rsidRPr="00943D7A" w:rsidRDefault="003B2FE9" w:rsidP="003B2FE9">
            <w:pPr>
              <w:pStyle w:val="ListParagraph"/>
              <w:widowControl w:val="0"/>
              <w:spacing w:after="0" w:line="240" w:lineRule="auto"/>
              <w:ind w:left="0"/>
              <w:jc w:val="center"/>
              <w:rPr>
                <w:rFonts w:ascii="Times New Roman" w:hAnsi="Times New Roman"/>
                <w:b/>
                <w:bCs/>
                <w:sz w:val="24"/>
                <w:szCs w:val="24"/>
                <w:lang w:val="lv-LV"/>
              </w:rPr>
            </w:pPr>
            <w:r w:rsidRPr="00943D7A">
              <w:rPr>
                <w:rFonts w:ascii="Times New Roman" w:hAnsi="Times New Roman"/>
                <w:b/>
                <w:bCs/>
                <w:sz w:val="24"/>
                <w:szCs w:val="24"/>
                <w:lang w:val="lv-LV"/>
              </w:rPr>
              <w:t>Ekonomikas ministrijas 02.09.2019</w:t>
            </w:r>
            <w:r w:rsidR="006E75E6">
              <w:rPr>
                <w:rFonts w:ascii="Times New Roman" w:hAnsi="Times New Roman"/>
                <w:b/>
                <w:bCs/>
                <w:sz w:val="24"/>
                <w:szCs w:val="24"/>
                <w:lang w:val="lv-LV"/>
              </w:rPr>
              <w:t>.</w:t>
            </w:r>
            <w:r w:rsidRPr="00943D7A">
              <w:rPr>
                <w:rFonts w:ascii="Times New Roman" w:hAnsi="Times New Roman"/>
                <w:b/>
                <w:bCs/>
                <w:sz w:val="24"/>
                <w:szCs w:val="24"/>
                <w:lang w:val="lv-LV"/>
              </w:rPr>
              <w:t>atzinums</w:t>
            </w:r>
          </w:p>
          <w:p w14:paraId="7A5C3629" w14:textId="77777777" w:rsidR="003B2FE9" w:rsidRPr="00943D7A" w:rsidRDefault="003B2FE9" w:rsidP="003B2FE9">
            <w:pPr>
              <w:spacing w:before="120" w:after="120"/>
              <w:jc w:val="both"/>
            </w:pPr>
            <w:r w:rsidRPr="00943D7A">
              <w:rPr>
                <w:b/>
                <w:bCs/>
              </w:rPr>
              <w:t>Neatbalstām Protokollēmuma 3.punktu</w:t>
            </w:r>
            <w:r w:rsidRPr="00943D7A">
              <w:t>, kurā ir noteikts, ka MF apjoms netiek palielināts un tajā netiek iekļautas tās bezmaksas emisijas kvotas, kuru nepiešķiršanu elektroenerģijas ražošanai 2021.–2030. gadā Ministru kabinets atbalstīja 2019.gada 16.jūlija Ministru kabineta sēdē.</w:t>
            </w:r>
          </w:p>
          <w:p w14:paraId="3E96B8C2" w14:textId="77777777" w:rsidR="003B2FE9" w:rsidRPr="00943D7A" w:rsidRDefault="003B2FE9" w:rsidP="003B2FE9">
            <w:pPr>
              <w:spacing w:before="120" w:after="120"/>
              <w:jc w:val="both"/>
            </w:pPr>
            <w:r w:rsidRPr="00943D7A">
              <w:t xml:space="preserve">Atkārtoti norādām (skatīt Ekonomikas ministrijas 2019.gada 29.aprīļa atzinumu Nr. 3.1-20/2019/87 un 2019.gada 23.maija atzinumu Nr. 3.1-20/2019/112), ka iepriekšminētās emisijas kvotas Direktīvā Nr.2003/87/EK pēc būtība tika noteiktas (atļautas), kā piešķiramas bez maksas elektroenerģijas ražošanas iekārtām nolūkā modernizēt, diversificēt un ilgtspējīgi pārveidot enerģētikas nozari, tāpēc šīs emisijas kvotas būtu novirzāmas </w:t>
            </w:r>
            <w:r w:rsidRPr="00943D7A">
              <w:lastRenderedPageBreak/>
              <w:t xml:space="preserve">enerģētikas nozares modernizēšanai un diversificēšanai, kā nolūkā ir izveidots MF. </w:t>
            </w:r>
          </w:p>
          <w:p w14:paraId="366F75E8" w14:textId="373AB9AD" w:rsidR="003B2FE9" w:rsidRPr="00943D7A" w:rsidRDefault="003B2FE9" w:rsidP="00785DDA">
            <w:pPr>
              <w:pStyle w:val="ListParagraph"/>
              <w:widowControl w:val="0"/>
              <w:spacing w:after="0" w:line="240" w:lineRule="auto"/>
              <w:ind w:left="0"/>
              <w:jc w:val="both"/>
              <w:rPr>
                <w:rFonts w:ascii="Times New Roman" w:hAnsi="Times New Roman"/>
                <w:b/>
                <w:bCs/>
                <w:sz w:val="24"/>
                <w:szCs w:val="24"/>
                <w:lang w:val="lv-LV"/>
              </w:rPr>
            </w:pPr>
            <w:r w:rsidRPr="00943D7A">
              <w:rPr>
                <w:rFonts w:ascii="Times New Roman" w:hAnsi="Times New Roman"/>
                <w:sz w:val="24"/>
                <w:szCs w:val="24"/>
                <w:lang w:val="lv-LV"/>
              </w:rPr>
              <w:t>Līdz ar to norādām, ka Protokollēmuma 3.punktā ir jānosaka, ka MF finansējums ir palielināms ar to bezmaksas kvotu apjomu, kas piešķirts, ievērojot Direktīvas 2003/87/EK 10.c panta 4. punktu.</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F1FB76" w14:textId="77777777" w:rsidR="003B2FE9" w:rsidRPr="00943D7A" w:rsidRDefault="003B2FE9" w:rsidP="003B2FE9">
            <w:pPr>
              <w:spacing w:after="120"/>
              <w:jc w:val="center"/>
              <w:rPr>
                <w:b/>
              </w:rPr>
            </w:pPr>
            <w:r w:rsidRPr="00943D7A">
              <w:rPr>
                <w:b/>
              </w:rPr>
              <w:lastRenderedPageBreak/>
              <w:t>Vienošanās panākta saskaņošanas laikā</w:t>
            </w:r>
          </w:p>
          <w:p w14:paraId="6D0B051E" w14:textId="7062B374" w:rsidR="003B2FE9" w:rsidRPr="00943D7A" w:rsidRDefault="003B2FE9" w:rsidP="00785DDA">
            <w:pPr>
              <w:spacing w:after="120"/>
              <w:jc w:val="both"/>
              <w:rPr>
                <w:b/>
              </w:rPr>
            </w:pPr>
            <w:r w:rsidRPr="00943D7A">
              <w:t xml:space="preserve">Informatīvā ziņojuma </w:t>
            </w:r>
            <w:r w:rsidR="00616B39" w:rsidRPr="00943D7A">
              <w:t>12</w:t>
            </w:r>
            <w:r w:rsidRPr="00943D7A">
              <w:t>.lpp ir norādīts, ka Direktīvā 2003/87</w:t>
            </w:r>
            <w:r w:rsidR="00A7384E" w:rsidRPr="00943D7A">
              <w:t>/EK</w:t>
            </w:r>
            <w:r w:rsidRPr="00943D7A">
              <w:t xml:space="preserve"> nav noteikts, ka emisijas kvotu apjoms, ko potenciāli varēja bezmaksas piešķirt elektroenerģijas ražotājiem 2003/87 10.c panta 4. punkta ietvaros (derogācijai), būtu obligāti  “iezīmēts” kā emisijas kvotu apjoms elektroenerģijas ražojošo iekārtu atbalstam vai enerģētikas nozares modernizācijai. Turpretī ir būtiski norādīt, ka tās noteikti ir daļa no Direktīvas 2003/87 10. panta 2. punktā minētajām emisijas kvotām, ko dalībvalstis izsola, un Latvijas nacionālā </w:t>
            </w:r>
            <w:r w:rsidRPr="00943D7A">
              <w:rPr>
                <w:color w:val="000000" w:themeColor="text1"/>
              </w:rPr>
              <w:t>līmenī tas ir EKII finansējuma avots.</w:t>
            </w:r>
          </w:p>
        </w:tc>
        <w:tc>
          <w:tcPr>
            <w:tcW w:w="2385" w:type="dxa"/>
            <w:tcBorders>
              <w:top w:val="single" w:sz="4" w:space="0" w:color="auto"/>
              <w:left w:val="single" w:sz="4" w:space="0" w:color="auto"/>
              <w:bottom w:val="single" w:sz="4" w:space="0" w:color="auto"/>
            </w:tcBorders>
          </w:tcPr>
          <w:p w14:paraId="5AD046CF" w14:textId="725AEAC7" w:rsidR="003B2FE9" w:rsidRPr="00943D7A" w:rsidRDefault="003B2FE9" w:rsidP="003B2FE9">
            <w:pPr>
              <w:pStyle w:val="Title"/>
              <w:spacing w:before="120" w:after="120"/>
              <w:jc w:val="both"/>
              <w:outlineLvl w:val="0"/>
              <w:rPr>
                <w:b/>
                <w:sz w:val="24"/>
                <w:szCs w:val="24"/>
              </w:rPr>
            </w:pPr>
            <w:r w:rsidRPr="00943D7A">
              <w:rPr>
                <w:sz w:val="24"/>
                <w:szCs w:val="24"/>
                <w:shd w:val="clear" w:color="auto" w:fill="FFFFFF"/>
              </w:rPr>
              <w:t>Informatīvā ziņojuma 5. nodaļa papildināta ar teikumu šādā redakcijā: ” Lēmuma pieņemšana Ministru kabinetā</w:t>
            </w:r>
            <w:r w:rsidRPr="00943D7A">
              <w:rPr>
                <w:rStyle w:val="FootnoteReference"/>
                <w:sz w:val="24"/>
                <w:szCs w:val="24"/>
                <w:shd w:val="clear" w:color="auto" w:fill="FFFFFF"/>
              </w:rPr>
              <w:footnoteReference w:id="3"/>
            </w:r>
            <w:r w:rsidRPr="00943D7A">
              <w:rPr>
                <w:sz w:val="24"/>
                <w:szCs w:val="24"/>
                <w:shd w:val="clear" w:color="auto" w:fill="FFFFFF"/>
              </w:rPr>
              <w:t xml:space="preserve"> par finansējuma apjomiem ir formāla, jo ir </w:t>
            </w:r>
            <w:r w:rsidRPr="00943D7A">
              <w:rPr>
                <w:sz w:val="24"/>
                <w:szCs w:val="24"/>
              </w:rPr>
              <w:t xml:space="preserve"> iestājies Direktīvas 2003/87 10 d. panta ceturtajā daļā noteiktais termiņš (</w:t>
            </w:r>
            <w:r w:rsidRPr="00943D7A">
              <w:rPr>
                <w:sz w:val="24"/>
                <w:szCs w:val="24"/>
                <w:shd w:val="clear" w:color="auto" w:fill="FFFFFF"/>
              </w:rPr>
              <w:t xml:space="preserve">2019. gada 30. septembris), turklāt EK 2019. gada 30. oktobra telefonsarunā ar VARAM </w:t>
            </w:r>
            <w:r w:rsidR="005213CF" w:rsidRPr="00943D7A">
              <w:rPr>
                <w:sz w:val="24"/>
                <w:szCs w:val="24"/>
                <w:shd w:val="clear" w:color="auto" w:fill="FFFFFF"/>
              </w:rPr>
              <w:t xml:space="preserve">kontaktpersonu Modernizācijas fonda jautājumos </w:t>
            </w:r>
            <w:r w:rsidRPr="00943D7A">
              <w:rPr>
                <w:sz w:val="24"/>
                <w:szCs w:val="24"/>
                <w:shd w:val="clear" w:color="auto" w:fill="FFFFFF"/>
              </w:rPr>
              <w:t xml:space="preserve">minēja, ka </w:t>
            </w:r>
            <w:r w:rsidR="0007515C" w:rsidRPr="00943D7A">
              <w:rPr>
                <w:sz w:val="24"/>
                <w:szCs w:val="24"/>
                <w:shd w:val="clear" w:color="auto" w:fill="FFFFFF"/>
              </w:rPr>
              <w:t>EK</w:t>
            </w:r>
            <w:r w:rsidRPr="00943D7A">
              <w:rPr>
                <w:sz w:val="24"/>
                <w:szCs w:val="24"/>
                <w:shd w:val="clear" w:color="auto" w:fill="FFFFFF"/>
              </w:rPr>
              <w:t xml:space="preserve"> uzskata, ka Latvija neizmanto iespēju palielināt </w:t>
            </w:r>
            <w:r w:rsidRPr="00943D7A">
              <w:rPr>
                <w:sz w:val="24"/>
                <w:szCs w:val="24"/>
                <w:shd w:val="clear" w:color="auto" w:fill="FFFFFF"/>
              </w:rPr>
              <w:lastRenderedPageBreak/>
              <w:t>Modernizācijas fonda finansējumu un saskaņā ar EK norādījumiem ES dalībvalstīm, kas izvēlas neveikt Modernizācijas fonda finansējuma palielinājumu veicot emisiju kvotu pārskaitīšanu no izsolāmajiem kvotu apjomiem, tām nav jāinformē EK par pieņemto lēmumu.”</w:t>
            </w:r>
          </w:p>
        </w:tc>
      </w:tr>
      <w:tr w:rsidR="003B2FE9" w:rsidRPr="00943D7A" w14:paraId="6128BC2F"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27BD30" w14:textId="6802AE9E" w:rsidR="003B2FE9" w:rsidRPr="00943D7A" w:rsidDel="00E2051D" w:rsidRDefault="003B2FE9" w:rsidP="003B2FE9">
            <w:r w:rsidRPr="00943D7A">
              <w:lastRenderedPageBreak/>
              <w:t>3.</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91BD44" w14:textId="308F44AD" w:rsidR="003B2FE9" w:rsidRPr="00943D7A" w:rsidRDefault="003B2FE9" w:rsidP="003B2FE9">
            <w:pPr>
              <w:jc w:val="both"/>
              <w:rPr>
                <w:b/>
              </w:rPr>
            </w:pPr>
            <w:r w:rsidRPr="00943D7A">
              <w:rPr>
                <w:b/>
              </w:rPr>
              <w:t>Informatīvais ziņojums un protokollēmum</w:t>
            </w:r>
            <w:r w:rsidR="006E75E6">
              <w:rPr>
                <w:b/>
              </w:rPr>
              <w:t>a projekts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DB12A2" w14:textId="7AB4E7BE" w:rsidR="003B2FE9" w:rsidRPr="00943D7A" w:rsidRDefault="003B2FE9" w:rsidP="003B2FE9">
            <w:pPr>
              <w:spacing w:after="60"/>
              <w:jc w:val="center"/>
              <w:rPr>
                <w:b/>
              </w:rPr>
            </w:pPr>
            <w:r w:rsidRPr="00943D7A">
              <w:rPr>
                <w:b/>
              </w:rPr>
              <w:t>Finanšu ministrijas 20.01.</w:t>
            </w:r>
            <w:r w:rsidR="006E75E6">
              <w:rPr>
                <w:b/>
              </w:rPr>
              <w:t>20</w:t>
            </w:r>
            <w:r w:rsidRPr="00943D7A">
              <w:rPr>
                <w:b/>
              </w:rPr>
              <w:t>20</w:t>
            </w:r>
            <w:r w:rsidR="006E75E6">
              <w:rPr>
                <w:b/>
              </w:rPr>
              <w:t>.</w:t>
            </w:r>
            <w:r w:rsidRPr="00943D7A">
              <w:rPr>
                <w:b/>
              </w:rPr>
              <w:t xml:space="preserve"> atzinums</w:t>
            </w:r>
          </w:p>
          <w:p w14:paraId="6766AEBC" w14:textId="77777777" w:rsidR="003B2FE9" w:rsidRPr="00943D7A" w:rsidRDefault="003B2FE9" w:rsidP="003B2FE9">
            <w:pPr>
              <w:spacing w:after="60"/>
              <w:jc w:val="both"/>
            </w:pPr>
            <w:r w:rsidRPr="00943D7A">
              <w:t xml:space="preserve">Ar Ministru kabineta sēdes protokollēmuma projektu konceptuāli tiek atbalstīts, ka Vides aizsardzības un reģionālās attīstības ministrija (turpmāk – VARAM) iegūst līdzdalību akciju sabiedrībā “Attīstības finanšu institūcija Altum” (turpmāk – Altum). Vienlaikus informatīvā ziņojuma 3.nodaļas “Modernizācijas fonda pārvaldība un investīciju izvērtēšanas process” pēdējā rindkopa apraksta VARAM līdzdalības iegūšanas procedūru un tam nepieciešamos lēmumus. </w:t>
            </w:r>
          </w:p>
          <w:p w14:paraId="694A52FD" w14:textId="77777777" w:rsidR="003B2FE9" w:rsidRPr="00943D7A" w:rsidRDefault="003B2FE9" w:rsidP="003B2FE9">
            <w:pPr>
              <w:spacing w:after="60"/>
              <w:jc w:val="both"/>
            </w:pPr>
            <w:r w:rsidRPr="00943D7A">
              <w:t xml:space="preserve">Vēršam uzmanību, ka paralēli Publiskas personas kapitāla daļu un kapitālsabiedrību </w:t>
            </w:r>
            <w:r w:rsidRPr="00943D7A">
              <w:lastRenderedPageBreak/>
              <w:t xml:space="preserve">pārvaldības likumam, Altum darbību regulē Attīstības finanšu institūcijas likums. Minētais likums noteic Altum darbības mērķi, jomas, juridisko statusu, organizatorisko struktūru un finansēšanas mehānismu. Vienlaikus  likuma 3.panta otrā daļa noteic finanšu institūcijas kapitāla daļu sadalījumu starp Finanšu ministriju (40%), Ekonomikas ministriju (30%) un Zemkopības ministriju (30%), kas vēsturiski veidojies no valsts akciju sabiedrības “Latvijas Hipotēku un zemes banka”, sabiedrības ar ierobežotu atbildību “Latvijas Garantiju aģentūra” un “Lauku atbalsta fonda” apvienošanas un šo kapitālsabiedrību ieguldījuma kopējā Altum kapitālā. </w:t>
            </w:r>
          </w:p>
          <w:p w14:paraId="635E94F1" w14:textId="77777777" w:rsidR="003B2FE9" w:rsidRPr="00943D7A" w:rsidRDefault="003B2FE9" w:rsidP="003B2FE9">
            <w:pPr>
              <w:spacing w:after="60"/>
              <w:jc w:val="both"/>
            </w:pPr>
            <w:r w:rsidRPr="00943D7A">
              <w:t xml:space="preserve">No informatīvā ziņojuma secināms, ka VARAM līdzdalības iegūšanai netiek veikts ieguldījums Altum kapitālā, bet tam uzticēs Eiropas Investīciju bankas (turpmāk – EIB) izsolītos emisijas kvotu līdzekļus atbilstoši Latvijai pienākošai sadalījuma atslēgai novirzīšanai konkrētu investīciju atbalstam pēc EIB investīciju komitejas akcepta. </w:t>
            </w:r>
          </w:p>
          <w:p w14:paraId="3E84C402" w14:textId="77777777" w:rsidR="003B2FE9" w:rsidRPr="00943D7A" w:rsidRDefault="003B2FE9" w:rsidP="003B2FE9">
            <w:pPr>
              <w:spacing w:after="60"/>
              <w:jc w:val="both"/>
            </w:pPr>
            <w:r w:rsidRPr="00943D7A">
              <w:t xml:space="preserve">Vadoties no minētā, Finanšu ministrija aicina izvērtēt jautājumu par nepieciešamību iegūt līdzdalību Altum pēc tam, kad veikts Ministru kabineta sēdes protokollēmuma 7.punktā iekļautais invertējums un ir skaidri Modernizācijas fonda daudzgadu programmas darbības </w:t>
            </w:r>
            <w:r w:rsidRPr="00943D7A">
              <w:lastRenderedPageBreak/>
              <w:t>noteikumi. Vienlaikus, ja tiek konceptuāli atbalstīta VARAM līdzdalības iegūšanas Altum, Finanšu ministrija uzskata, ka tas jāvirza kopā ar VARAM turējumā esošās sabiedrības ar ierobežotu atbildību “Vides investīciju fonds” pievienošanu ALTUM, kas netika atbalstīta Altum izveides brīdī, bet, kas patiesi nodrošinātu finanšu instrumentu efektīvu ieviešanu, koncentrējot kapacitāti un resursus vienuviet.</w:t>
            </w:r>
          </w:p>
          <w:p w14:paraId="6716CA05" w14:textId="06604E22" w:rsidR="003B2FE9" w:rsidRPr="00943D7A" w:rsidRDefault="003B2FE9" w:rsidP="00785DDA">
            <w:pPr>
              <w:pStyle w:val="ListParagraph"/>
              <w:widowControl w:val="0"/>
              <w:spacing w:after="0" w:line="240" w:lineRule="auto"/>
              <w:ind w:left="0"/>
              <w:jc w:val="both"/>
              <w:rPr>
                <w:rFonts w:ascii="Times New Roman" w:hAnsi="Times New Roman"/>
                <w:b/>
                <w:bCs/>
                <w:sz w:val="24"/>
                <w:szCs w:val="24"/>
                <w:lang w:val="lv-LV"/>
              </w:rPr>
            </w:pPr>
            <w:r w:rsidRPr="00943D7A">
              <w:rPr>
                <w:rFonts w:ascii="Times New Roman" w:hAnsi="Times New Roman"/>
                <w:sz w:val="24"/>
                <w:szCs w:val="24"/>
                <w:lang w:val="lv-LV"/>
              </w:rPr>
              <w:t>Tāpat papildus lūdzam sniegt informāciju, kā Vides aizsardzības un reģionālās attīstības ministrijas līdzdalības iegūšanu akciju sabiedrībā “Attīstības finanšu institūcija Altum” atbilst Eiropas Komisijas lēmuma SA.36904 – Latvija, Hipotēku un zemes bankas attīstības daļu un Latvijas Attīstības finanšu institūcijas izveidi (turpmāk – EK lēmums SA.36904) – nosacījumiem, tai skaitā, attiecībā uz  pamatkapitāla un rezerves kapitāla limitiem, kas noteikti EK lēmumā SA.36904. Vienlaikus vēršam uzmanību, ka gadījumā, ja būs nepieciešams veikt grozījumus EK lēmumā SA.36904, plānoto pasākuma īstenošanu varēs uzsākt tikai pēc EK lēmuma par pasākuma saderību ar ES iekšējo tirgu saņemšanas.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A213D1" w14:textId="77777777" w:rsidR="003B2FE9" w:rsidRPr="00943D7A" w:rsidRDefault="003B2FE9" w:rsidP="003B2FE9">
            <w:pPr>
              <w:spacing w:before="120" w:after="120"/>
              <w:jc w:val="center"/>
              <w:rPr>
                <w:b/>
              </w:rPr>
            </w:pPr>
            <w:r w:rsidRPr="00943D7A">
              <w:rPr>
                <w:b/>
              </w:rPr>
              <w:lastRenderedPageBreak/>
              <w:t>Ņemts vērā</w:t>
            </w:r>
          </w:p>
          <w:p w14:paraId="70510671" w14:textId="158B49BA" w:rsidR="003B2FE9" w:rsidRPr="00943D7A" w:rsidRDefault="003B2FE9" w:rsidP="00785DDA">
            <w:pPr>
              <w:spacing w:after="120"/>
              <w:jc w:val="both"/>
              <w:rPr>
                <w:b/>
              </w:rPr>
            </w:pPr>
            <w:r w:rsidRPr="00943D7A">
              <w:t>Svītrot</w:t>
            </w:r>
            <w:r w:rsidR="0042673C" w:rsidRPr="00943D7A">
              <w:t>a</w:t>
            </w:r>
            <w:r w:rsidRPr="00943D7A">
              <w:t>s MK sēdes protokollēmuma 6. un 7.punkt</w:t>
            </w:r>
            <w:r w:rsidR="0042673C" w:rsidRPr="00943D7A">
              <w:t>u redakcijas, kas attiecās uz VARAM līdzdalības iegūšanu Altum</w:t>
            </w:r>
            <w:r w:rsidRPr="00943D7A">
              <w:t>.</w:t>
            </w:r>
          </w:p>
        </w:tc>
        <w:tc>
          <w:tcPr>
            <w:tcW w:w="2385" w:type="dxa"/>
            <w:tcBorders>
              <w:top w:val="single" w:sz="4" w:space="0" w:color="auto"/>
              <w:left w:val="single" w:sz="4" w:space="0" w:color="auto"/>
              <w:bottom w:val="single" w:sz="4" w:space="0" w:color="auto"/>
            </w:tcBorders>
          </w:tcPr>
          <w:p w14:paraId="0AD746C7" w14:textId="034A5BAC" w:rsidR="003B2FE9" w:rsidRPr="00943D7A" w:rsidRDefault="003B2FE9" w:rsidP="003B2FE9">
            <w:pPr>
              <w:ind w:right="-1"/>
              <w:jc w:val="both"/>
              <w:rPr>
                <w:color w:val="000000" w:themeColor="text1"/>
              </w:rPr>
            </w:pPr>
            <w:r w:rsidRPr="00943D7A">
              <w:rPr>
                <w:b/>
              </w:rPr>
              <w:t>Informatīvais ziņojums un protokollēmum</w:t>
            </w:r>
            <w:r w:rsidR="006E75E6">
              <w:rPr>
                <w:b/>
              </w:rPr>
              <w:t>a projekts</w:t>
            </w:r>
          </w:p>
          <w:p w14:paraId="6F711B14" w14:textId="7FC2EED2" w:rsidR="003B2FE9" w:rsidRPr="00943D7A" w:rsidRDefault="003B2FE9" w:rsidP="003B2FE9">
            <w:pPr>
              <w:pStyle w:val="Title"/>
              <w:spacing w:before="120" w:after="120"/>
              <w:jc w:val="both"/>
              <w:outlineLvl w:val="0"/>
              <w:rPr>
                <w:b/>
                <w:sz w:val="24"/>
                <w:szCs w:val="24"/>
              </w:rPr>
            </w:pPr>
            <w:r w:rsidRPr="00943D7A">
              <w:rPr>
                <w:color w:val="000000" w:themeColor="text1"/>
                <w:sz w:val="24"/>
                <w:szCs w:val="24"/>
              </w:rPr>
              <w:t>Papildināts informatīvais ziņojums attiecībā uz valsts atbalsta nosacījumiem</w:t>
            </w:r>
          </w:p>
        </w:tc>
      </w:tr>
      <w:tr w:rsidR="00D836BD" w:rsidRPr="00943D7A" w14:paraId="325A9255" w14:textId="77777777" w:rsidTr="00787BC7">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AF88D4" w14:textId="75B4EA14" w:rsidR="00D836BD" w:rsidRPr="00943D7A" w:rsidRDefault="00F30BF7" w:rsidP="00D836BD">
            <w:r w:rsidRPr="00943D7A">
              <w:lastRenderedPageBreak/>
              <w:t>4.</w:t>
            </w:r>
          </w:p>
        </w:tc>
        <w:tc>
          <w:tcPr>
            <w:tcW w:w="2152" w:type="dxa"/>
            <w:tcBorders>
              <w:top w:val="single" w:sz="6" w:space="0" w:color="000000"/>
              <w:left w:val="single" w:sz="6" w:space="0" w:color="000000"/>
              <w:bottom w:val="single" w:sz="6" w:space="0" w:color="000000"/>
              <w:right w:val="single" w:sz="6" w:space="0" w:color="000000"/>
            </w:tcBorders>
          </w:tcPr>
          <w:p w14:paraId="0620FF84" w14:textId="12CA8A28" w:rsidR="00D836BD" w:rsidRPr="00943D7A" w:rsidRDefault="00D836BD" w:rsidP="00D836BD">
            <w:pPr>
              <w:jc w:val="both"/>
              <w:rPr>
                <w:b/>
              </w:rPr>
            </w:pPr>
            <w:r w:rsidRPr="00943D7A">
              <w:rPr>
                <w:b/>
              </w:rPr>
              <w:t xml:space="preserve">Protokollēmuma </w:t>
            </w:r>
            <w:r w:rsidR="006E75E6">
              <w:rPr>
                <w:b/>
              </w:rPr>
              <w:t xml:space="preserve">projekta </w:t>
            </w:r>
            <w:r w:rsidRPr="00943D7A">
              <w:rPr>
                <w:b/>
              </w:rPr>
              <w:t>5. punkts</w:t>
            </w:r>
          </w:p>
        </w:tc>
        <w:tc>
          <w:tcPr>
            <w:tcW w:w="4394" w:type="dxa"/>
            <w:tcBorders>
              <w:top w:val="single" w:sz="6" w:space="0" w:color="000000"/>
              <w:left w:val="single" w:sz="6" w:space="0" w:color="000000"/>
              <w:bottom w:val="single" w:sz="6" w:space="0" w:color="000000"/>
              <w:right w:val="single" w:sz="6" w:space="0" w:color="000000"/>
            </w:tcBorders>
          </w:tcPr>
          <w:p w14:paraId="57B0091F" w14:textId="75B6A7D1" w:rsidR="00D836BD" w:rsidRPr="00943D7A" w:rsidRDefault="00D836BD" w:rsidP="00D836BD">
            <w:pPr>
              <w:spacing w:after="60"/>
              <w:jc w:val="center"/>
              <w:rPr>
                <w:b/>
              </w:rPr>
            </w:pPr>
            <w:r w:rsidRPr="00943D7A">
              <w:rPr>
                <w:b/>
              </w:rPr>
              <w:t>Finanšu ministrijas 20.01.2020</w:t>
            </w:r>
            <w:r w:rsidR="006E75E6">
              <w:rPr>
                <w:b/>
              </w:rPr>
              <w:t>.</w:t>
            </w:r>
            <w:r w:rsidRPr="00943D7A">
              <w:rPr>
                <w:b/>
              </w:rPr>
              <w:t xml:space="preserve"> atzinums</w:t>
            </w:r>
          </w:p>
          <w:p w14:paraId="3AF71DE8" w14:textId="175AD018" w:rsidR="00D836BD" w:rsidRPr="00943D7A" w:rsidRDefault="00D836BD" w:rsidP="00787BC7">
            <w:pPr>
              <w:spacing w:after="60"/>
              <w:jc w:val="both"/>
              <w:rPr>
                <w:b/>
              </w:rPr>
            </w:pPr>
            <w:r w:rsidRPr="00943D7A">
              <w:t xml:space="preserve">Aicinām svītrot Ministru kabineta sēdes protokollēmuma 5.punktu un izlemt par </w:t>
            </w:r>
            <w:r w:rsidRPr="00943D7A">
              <w:lastRenderedPageBreak/>
              <w:t>Modernizācijas fonda līdzekļu apsaimniekošanas atbildīgo iestādi kopā ar protokollēmuma 4.punktā minētās Modernizācijas fonda daudzgadu programmas darbības noteikumu apstiprināšanu.</w:t>
            </w:r>
          </w:p>
        </w:tc>
        <w:tc>
          <w:tcPr>
            <w:tcW w:w="5103" w:type="dxa"/>
            <w:tcBorders>
              <w:top w:val="single" w:sz="6" w:space="0" w:color="000000"/>
              <w:left w:val="single" w:sz="6" w:space="0" w:color="000000"/>
              <w:bottom w:val="single" w:sz="6" w:space="0" w:color="000000"/>
              <w:right w:val="single" w:sz="6" w:space="0" w:color="000000"/>
            </w:tcBorders>
          </w:tcPr>
          <w:p w14:paraId="11EDD66E" w14:textId="24EDDB17" w:rsidR="00D836BD" w:rsidRPr="00943D7A" w:rsidRDefault="00787BC7" w:rsidP="00D836BD">
            <w:pPr>
              <w:ind w:right="-1"/>
              <w:jc w:val="center"/>
              <w:rPr>
                <w:b/>
              </w:rPr>
            </w:pPr>
            <w:r w:rsidRPr="00943D7A">
              <w:rPr>
                <w:b/>
              </w:rPr>
              <w:lastRenderedPageBreak/>
              <w:t>Ņ</w:t>
            </w:r>
            <w:r w:rsidR="00D836BD" w:rsidRPr="00943D7A">
              <w:rPr>
                <w:b/>
              </w:rPr>
              <w:t>emts vērā</w:t>
            </w:r>
          </w:p>
          <w:p w14:paraId="3543148A" w14:textId="4C50750F" w:rsidR="00D836BD" w:rsidRPr="00943D7A" w:rsidRDefault="00D836BD" w:rsidP="00D836BD">
            <w:pPr>
              <w:spacing w:before="120" w:after="120"/>
              <w:jc w:val="center"/>
              <w:rPr>
                <w:bCs/>
              </w:rPr>
            </w:pPr>
          </w:p>
        </w:tc>
        <w:tc>
          <w:tcPr>
            <w:tcW w:w="2385" w:type="dxa"/>
            <w:tcBorders>
              <w:top w:val="single" w:sz="4" w:space="0" w:color="auto"/>
              <w:left w:val="single" w:sz="4" w:space="0" w:color="auto"/>
              <w:bottom w:val="single" w:sz="4" w:space="0" w:color="auto"/>
            </w:tcBorders>
          </w:tcPr>
          <w:p w14:paraId="6977C201" w14:textId="2039C3EF" w:rsidR="00D836BD" w:rsidRPr="00943D7A" w:rsidRDefault="00D836BD" w:rsidP="00D836BD">
            <w:pPr>
              <w:pStyle w:val="Title"/>
              <w:spacing w:before="120" w:after="120"/>
              <w:jc w:val="both"/>
              <w:outlineLvl w:val="0"/>
              <w:rPr>
                <w:bCs/>
                <w:sz w:val="24"/>
                <w:szCs w:val="24"/>
              </w:rPr>
            </w:pPr>
            <w:r w:rsidRPr="00943D7A">
              <w:rPr>
                <w:bCs/>
                <w:sz w:val="24"/>
                <w:szCs w:val="24"/>
              </w:rPr>
              <w:t>Protokollēmuma</w:t>
            </w:r>
            <w:r w:rsidR="006E75E6">
              <w:rPr>
                <w:bCs/>
                <w:sz w:val="24"/>
                <w:szCs w:val="24"/>
              </w:rPr>
              <w:t xml:space="preserve"> projekta</w:t>
            </w:r>
            <w:r w:rsidRPr="00943D7A">
              <w:rPr>
                <w:bCs/>
                <w:sz w:val="24"/>
                <w:szCs w:val="24"/>
              </w:rPr>
              <w:t xml:space="preserve"> 5. punkt</w:t>
            </w:r>
            <w:r w:rsidR="008C40F5" w:rsidRPr="00943D7A">
              <w:rPr>
                <w:bCs/>
                <w:sz w:val="24"/>
                <w:szCs w:val="24"/>
              </w:rPr>
              <w:t xml:space="preserve">s izteikts </w:t>
            </w:r>
            <w:r w:rsidR="006E75E6">
              <w:rPr>
                <w:bCs/>
                <w:sz w:val="24"/>
                <w:szCs w:val="24"/>
              </w:rPr>
              <w:t>šādā</w:t>
            </w:r>
            <w:r w:rsidR="008C40F5" w:rsidRPr="00943D7A">
              <w:rPr>
                <w:bCs/>
                <w:sz w:val="24"/>
                <w:szCs w:val="24"/>
              </w:rPr>
              <w:t xml:space="preserve"> redakcijā:”</w:t>
            </w:r>
            <w:r w:rsidR="00935540" w:rsidRPr="00943D7A">
              <w:rPr>
                <w:szCs w:val="28"/>
              </w:rPr>
              <w:t xml:space="preserve"> </w:t>
            </w:r>
            <w:r w:rsidR="00BA7DC8" w:rsidRPr="00BA7DC8">
              <w:rPr>
                <w:sz w:val="24"/>
                <w:szCs w:val="24"/>
              </w:rPr>
              <w:lastRenderedPageBreak/>
              <w:t>Modernizācijas fonda līdzekļu investēšanas funkciju atbildīgo iestādi Latvijā noteikt vienlaikus ar Modernizācijas fonda daudzgadu programmas darbības noteikumu apstiprināšanu</w:t>
            </w:r>
            <w:r w:rsidR="008C40F5" w:rsidRPr="00943D7A">
              <w:rPr>
                <w:bCs/>
                <w:sz w:val="24"/>
                <w:szCs w:val="24"/>
              </w:rPr>
              <w:t>”</w:t>
            </w:r>
            <w:r w:rsidR="00935540" w:rsidRPr="00943D7A">
              <w:rPr>
                <w:bCs/>
                <w:sz w:val="24"/>
                <w:szCs w:val="24"/>
              </w:rPr>
              <w:t>.</w:t>
            </w:r>
          </w:p>
        </w:tc>
      </w:tr>
      <w:tr w:rsidR="00D836BD" w:rsidRPr="00943D7A" w14:paraId="18970D9E"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065B84" w14:textId="53FAD280" w:rsidR="00D836BD" w:rsidRPr="00943D7A" w:rsidDel="00E2051D" w:rsidRDefault="00F30BF7" w:rsidP="00D836BD">
            <w:r w:rsidRPr="00943D7A">
              <w:lastRenderedPageBreak/>
              <w:t>5</w:t>
            </w:r>
            <w:r w:rsidR="00D836BD"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F1C8FF" w14:textId="0B539255" w:rsidR="00D836BD" w:rsidRPr="00943D7A" w:rsidRDefault="00D836BD" w:rsidP="00D836BD">
            <w:pPr>
              <w:jc w:val="both"/>
              <w:rPr>
                <w:b/>
              </w:rPr>
            </w:pPr>
            <w:r w:rsidRPr="00943D7A">
              <w:rPr>
                <w:b/>
              </w:rPr>
              <w:t>Protokollēmuma</w:t>
            </w:r>
            <w:r w:rsidR="006E75E6">
              <w:rPr>
                <w:b/>
              </w:rPr>
              <w:t xml:space="preserve"> projekta</w:t>
            </w:r>
            <w:r w:rsidRPr="00943D7A">
              <w:rPr>
                <w:b/>
              </w:rPr>
              <w:t xml:space="preserve"> 5., 6. </w:t>
            </w:r>
            <w:r w:rsidR="006E75E6">
              <w:rPr>
                <w:b/>
              </w:rPr>
              <w:t xml:space="preserve">un </w:t>
            </w:r>
            <w:r w:rsidRPr="00943D7A">
              <w:rPr>
                <w:b/>
              </w:rPr>
              <w:t>7. punkts.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B216C4" w14:textId="1EDC3616" w:rsidR="00D836BD" w:rsidRPr="00943D7A" w:rsidRDefault="00D836BD" w:rsidP="00D836BD">
            <w:pPr>
              <w:spacing w:after="60"/>
              <w:jc w:val="center"/>
              <w:rPr>
                <w:b/>
              </w:rPr>
            </w:pPr>
            <w:r w:rsidRPr="00943D7A">
              <w:rPr>
                <w:b/>
              </w:rPr>
              <w:t>Zemkopības ministrijas 17.01.2020</w:t>
            </w:r>
            <w:r w:rsidR="006E75E6">
              <w:rPr>
                <w:b/>
              </w:rPr>
              <w:t>.</w:t>
            </w:r>
            <w:r w:rsidRPr="00943D7A">
              <w:rPr>
                <w:b/>
              </w:rPr>
              <w:t xml:space="preserve"> atzinums</w:t>
            </w:r>
          </w:p>
          <w:p w14:paraId="73B8A3A5" w14:textId="71203923" w:rsidR="00D836BD" w:rsidRPr="00943D7A" w:rsidRDefault="00D836BD" w:rsidP="00D836BD">
            <w:pPr>
              <w:pStyle w:val="ListParagraph"/>
              <w:widowControl w:val="0"/>
              <w:spacing w:after="0" w:line="240" w:lineRule="auto"/>
              <w:ind w:left="0"/>
              <w:jc w:val="both"/>
              <w:rPr>
                <w:rFonts w:ascii="Times New Roman" w:hAnsi="Times New Roman"/>
                <w:b/>
                <w:bCs/>
                <w:sz w:val="24"/>
                <w:szCs w:val="24"/>
                <w:lang w:val="lv-LV"/>
              </w:rPr>
            </w:pPr>
            <w:r w:rsidRPr="00943D7A">
              <w:rPr>
                <w:rFonts w:ascii="Times New Roman" w:hAnsi="Times New Roman"/>
                <w:sz w:val="24"/>
                <w:szCs w:val="24"/>
                <w:lang w:val="lv-LV"/>
              </w:rPr>
              <w:t>Neatbalstām protokollēmuma projekta 5., 6. un 7.punktu, jo līdzdalības iegūšana akciju sabiedrībā “Attīstības finanšu institūcija Altum”, balstoties tikai uz iespējamo Modernizācijas fonda līdzekļu administrēšanu, nav pamatota.</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3CEF0B" w14:textId="77777777" w:rsidR="00D836BD" w:rsidRPr="00943D7A" w:rsidRDefault="00D836BD" w:rsidP="00D836BD">
            <w:pPr>
              <w:spacing w:before="120" w:after="120"/>
              <w:jc w:val="center"/>
              <w:rPr>
                <w:b/>
              </w:rPr>
            </w:pPr>
            <w:r w:rsidRPr="00943D7A">
              <w:rPr>
                <w:b/>
              </w:rPr>
              <w:t>Ņemts vērā</w:t>
            </w:r>
          </w:p>
          <w:p w14:paraId="0D6AD5F3" w14:textId="1B981D4B" w:rsidR="00D836BD" w:rsidRPr="00943D7A" w:rsidRDefault="00D836BD" w:rsidP="00D836BD">
            <w:pPr>
              <w:spacing w:after="120"/>
              <w:jc w:val="both"/>
              <w:rPr>
                <w:b/>
              </w:rPr>
            </w:pPr>
            <w:r w:rsidRPr="00943D7A">
              <w:rPr>
                <w:szCs w:val="28"/>
              </w:rPr>
              <w:t xml:space="preserve">Svītrotas MK sēdes protokollēmuma 6. un 7.punktu </w:t>
            </w:r>
            <w:r w:rsidRPr="00943D7A">
              <w:t>redakcijas, kas attiecās uz VARAM līdzdalības iegūšanu Altum</w:t>
            </w:r>
            <w:r w:rsidRPr="00943D7A">
              <w:rPr>
                <w:szCs w:val="28"/>
              </w:rPr>
              <w:t>.</w:t>
            </w:r>
          </w:p>
        </w:tc>
        <w:tc>
          <w:tcPr>
            <w:tcW w:w="2385" w:type="dxa"/>
            <w:tcBorders>
              <w:top w:val="single" w:sz="4" w:space="0" w:color="auto"/>
              <w:left w:val="single" w:sz="4" w:space="0" w:color="auto"/>
              <w:bottom w:val="single" w:sz="4" w:space="0" w:color="auto"/>
            </w:tcBorders>
          </w:tcPr>
          <w:p w14:paraId="569E790F" w14:textId="20218419" w:rsidR="00D836BD" w:rsidRPr="00943D7A" w:rsidRDefault="00D836BD" w:rsidP="00D836BD">
            <w:pPr>
              <w:pStyle w:val="Title"/>
              <w:spacing w:before="120" w:after="120"/>
              <w:jc w:val="both"/>
              <w:outlineLvl w:val="0"/>
              <w:rPr>
                <w:b/>
                <w:sz w:val="24"/>
                <w:szCs w:val="24"/>
              </w:rPr>
            </w:pPr>
            <w:r w:rsidRPr="00943D7A">
              <w:rPr>
                <w:b/>
                <w:sz w:val="24"/>
                <w:szCs w:val="24"/>
              </w:rPr>
              <w:t>Protokollēmuma</w:t>
            </w:r>
            <w:r w:rsidR="006E75E6">
              <w:rPr>
                <w:b/>
                <w:sz w:val="24"/>
                <w:szCs w:val="24"/>
              </w:rPr>
              <w:t xml:space="preserve"> projekta</w:t>
            </w:r>
            <w:r w:rsidRPr="00943D7A">
              <w:rPr>
                <w:b/>
                <w:sz w:val="24"/>
                <w:szCs w:val="24"/>
              </w:rPr>
              <w:t xml:space="preserve"> 5., 6.</w:t>
            </w:r>
            <w:r w:rsidR="006E75E6">
              <w:rPr>
                <w:b/>
                <w:sz w:val="24"/>
                <w:szCs w:val="24"/>
              </w:rPr>
              <w:t xml:space="preserve">un </w:t>
            </w:r>
            <w:r w:rsidRPr="00943D7A">
              <w:rPr>
                <w:b/>
                <w:sz w:val="24"/>
                <w:szCs w:val="24"/>
              </w:rPr>
              <w:t>7. punkts</w:t>
            </w:r>
          </w:p>
        </w:tc>
      </w:tr>
      <w:tr w:rsidR="00D836BD" w:rsidRPr="00943D7A" w14:paraId="6085B75F"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3861D" w14:textId="586A6DD6" w:rsidR="00D836BD" w:rsidRPr="00943D7A" w:rsidRDefault="00F30BF7" w:rsidP="00D836BD">
            <w:r w:rsidRPr="00943D7A">
              <w:t>6</w:t>
            </w:r>
            <w:r w:rsidR="00D836BD"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ACDE33" w14:textId="13DA7F49"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47D488" w14:textId="2351E761" w:rsidR="00D836BD" w:rsidRPr="00943D7A" w:rsidRDefault="00D836BD" w:rsidP="00D836BD">
            <w:pPr>
              <w:pStyle w:val="ListParagraph"/>
              <w:widowControl w:val="0"/>
              <w:spacing w:after="0" w:line="240" w:lineRule="auto"/>
              <w:ind w:left="0"/>
              <w:jc w:val="both"/>
              <w:rPr>
                <w:rFonts w:ascii="Times New Roman" w:hAnsi="Times New Roman"/>
                <w:b/>
                <w:bCs/>
                <w:sz w:val="24"/>
                <w:szCs w:val="24"/>
                <w:lang w:val="lv-LV"/>
              </w:rPr>
            </w:pPr>
            <w:r w:rsidRPr="00943D7A">
              <w:rPr>
                <w:rFonts w:ascii="Times New Roman" w:hAnsi="Times New Roman"/>
                <w:b/>
                <w:bCs/>
                <w:sz w:val="24"/>
                <w:szCs w:val="24"/>
                <w:lang w:val="lv-LV"/>
              </w:rPr>
              <w:t>Ekonomikas ministrijas 02.09.2019</w:t>
            </w:r>
            <w:r w:rsidR="006E75E6">
              <w:rPr>
                <w:rFonts w:ascii="Times New Roman" w:hAnsi="Times New Roman"/>
                <w:b/>
                <w:bCs/>
                <w:sz w:val="24"/>
                <w:szCs w:val="24"/>
                <w:lang w:val="lv-LV"/>
              </w:rPr>
              <w:t>.</w:t>
            </w:r>
            <w:r w:rsidRPr="00943D7A">
              <w:rPr>
                <w:rFonts w:ascii="Times New Roman" w:hAnsi="Times New Roman"/>
                <w:b/>
                <w:bCs/>
                <w:sz w:val="24"/>
                <w:szCs w:val="24"/>
                <w:lang w:val="lv-LV"/>
              </w:rPr>
              <w:t xml:space="preserve"> atzinums</w:t>
            </w:r>
          </w:p>
          <w:p w14:paraId="62B14B9B" w14:textId="77777777" w:rsidR="00D836BD" w:rsidRPr="00943D7A" w:rsidRDefault="00D836BD" w:rsidP="00D836BD">
            <w:pPr>
              <w:spacing w:before="120" w:after="120"/>
              <w:jc w:val="both"/>
            </w:pPr>
            <w:r w:rsidRPr="00943D7A">
              <w:rPr>
                <w:b/>
                <w:bCs/>
              </w:rPr>
              <w:t>Neatbalstām Informatīvā ziņojuma 3.nodaļas pēdējā rindkopā minēto</w:t>
            </w:r>
            <w:r w:rsidRPr="00943D7A">
              <w:t>, ka MF ietvars saistāms ar klimata mērķu sasniegšanu enerģētikas, transporta, lauksaimniecības un atkritumu apsaimniekošanas sektoros, jo tas neatbilst nosacījumiem, kas ir noteikti Direktīvas 2003/87/EK 10.d panta 1. un 2.punktā:</w:t>
            </w:r>
          </w:p>
          <w:p w14:paraId="46AE7038" w14:textId="77777777" w:rsidR="00D836BD" w:rsidRPr="00943D7A" w:rsidRDefault="00D836BD" w:rsidP="00D836BD">
            <w:pPr>
              <w:spacing w:before="120" w:after="120"/>
              <w:jc w:val="both"/>
              <w:rPr>
                <w:i/>
                <w:iCs/>
              </w:rPr>
            </w:pPr>
            <w:r w:rsidRPr="00943D7A">
              <w:t>“</w:t>
            </w:r>
            <w:r w:rsidRPr="00943D7A">
              <w:rPr>
                <w:i/>
                <w:iCs/>
              </w:rPr>
              <w:t xml:space="preserve">1. Laikposmam no 2021. līdz 2030. gadam tiek izveidots fonds, ar kuru atbalsta investīcijas, ko ierosinājušas saņēmējas dalībvalstis, tostarp, </w:t>
            </w:r>
            <w:r w:rsidRPr="00943D7A">
              <w:rPr>
                <w:b/>
                <w:bCs/>
                <w:i/>
                <w:iCs/>
              </w:rPr>
              <w:t xml:space="preserve">lai finansētu neliela </w:t>
            </w:r>
            <w:r w:rsidRPr="00943D7A">
              <w:rPr>
                <w:b/>
                <w:bCs/>
                <w:i/>
                <w:iCs/>
              </w:rPr>
              <w:lastRenderedPageBreak/>
              <w:t>mēroga investīciju projektus, energosistēmu modernizācijā un energoefektivitātes uzlabošanā</w:t>
            </w:r>
            <w:r w:rsidRPr="00943D7A">
              <w:rPr>
                <w:i/>
                <w:iCs/>
              </w:rPr>
              <w:t xml:space="preserve"> tādās dalībvalstīs, kuru IKP uz vienu iedzīvotāju tirgus cenās 2013. gadā nesasniedza 60 % no Savienības vidējā rādītāja (“modernizācijas fonds”). Modernizācijas fondu finansē no kvotu izsolēm, kā noteikts 10. pantā.</w:t>
            </w:r>
          </w:p>
          <w:p w14:paraId="2D13F84D" w14:textId="77777777" w:rsidR="00D836BD" w:rsidRPr="00943D7A" w:rsidRDefault="00D836BD" w:rsidP="00D836BD">
            <w:pPr>
              <w:spacing w:before="120" w:after="120"/>
              <w:jc w:val="both"/>
              <w:rPr>
                <w:i/>
                <w:iCs/>
              </w:rPr>
            </w:pPr>
            <w:r w:rsidRPr="00943D7A">
              <w:rPr>
                <w:i/>
                <w:iCs/>
              </w:rPr>
              <w:t xml:space="preserve">Atbalstītajām investīcijām jābūt saskanīgām ar šīs direktīvas mērķiem, </w:t>
            </w:r>
            <w:r w:rsidRPr="00943D7A">
              <w:rPr>
                <w:b/>
                <w:bCs/>
                <w:i/>
                <w:iCs/>
              </w:rPr>
              <w:t>kā arī ar mērķiem, ko paredz Savienības klimata un enerģētikas politikas satvars</w:t>
            </w:r>
            <w:r w:rsidRPr="00943D7A">
              <w:rPr>
                <w:i/>
                <w:iCs/>
              </w:rPr>
              <w:t xml:space="preserve"> laikposmam līdz 2030. gadam, un Parīzes nolīgumā paustajiem ilgtermiņa mērķiem. No modernizācijas fonda atbalstu nesniedz elektroenerģijas ražošanas iekārtām, kurās izmanto cieto fosilo kurināmo, izņemot efektīvai un ilgtspējīgai centralizētajai siltumapgādei dalībvalstīs, kuru IKP uz vienu iedzīvotāju tirgus cenās 2013. gadā nesasniedza 30 % no Savienības vidējā rādītāja, ar noteikumu, ka vismaz līdzvērtīgas vērtības kvotu apjoms tiek izmantots tādām investīcijām saskaņā ar 10.c pantu, kas neietver cieto fosilo kurināmo.</w:t>
            </w:r>
          </w:p>
          <w:p w14:paraId="72296149" w14:textId="77777777" w:rsidR="00D836BD" w:rsidRPr="00943D7A" w:rsidRDefault="00D836BD" w:rsidP="00D836BD">
            <w:pPr>
              <w:spacing w:before="120" w:after="120"/>
              <w:jc w:val="both"/>
            </w:pPr>
            <w:r w:rsidRPr="00943D7A">
              <w:rPr>
                <w:i/>
                <w:iCs/>
              </w:rPr>
              <w:t xml:space="preserve">2. </w:t>
            </w:r>
            <w:r w:rsidRPr="00943D7A">
              <w:rPr>
                <w:b/>
                <w:bCs/>
                <w:i/>
                <w:iCs/>
              </w:rPr>
              <w:t xml:space="preserve">Vismaz 70 % finanšu resursus no modernizācijas fonda izmanto tam, lai atbalstītu investīcijas elektroenerģijas ražošanā un izmantošanā no atjaunojamiem avotiem, </w:t>
            </w:r>
            <w:r w:rsidRPr="00943D7A">
              <w:rPr>
                <w:b/>
                <w:bCs/>
                <w:i/>
                <w:iCs/>
              </w:rPr>
              <w:lastRenderedPageBreak/>
              <w:t>energoefektivitātes uzlabošanā</w:t>
            </w:r>
            <w:r w:rsidRPr="00943D7A">
              <w:rPr>
                <w:i/>
                <w:iCs/>
              </w:rPr>
              <w:t xml:space="preserve">, izņemot energoefektivitātes uzlabošanu, kas saistīta ar elektroenerģijas ražošanu, kurā izmanto cieto fosilo kurināmo, </w:t>
            </w:r>
            <w:r w:rsidRPr="00943D7A">
              <w:rPr>
                <w:b/>
                <w:bCs/>
                <w:i/>
                <w:iCs/>
              </w:rPr>
              <w:t>enerģijas uzglabāšanā un energotīklu, tostarp centralizētajā siltumapgādē izmantoto cauruļvadu, un elektropārvades tīklu modernizēšanā un starpsavienojumu palielināšana starp dalībvalstīm, kā arī tam, lai atbalstītu taisnīgu pāreju no oglekļa atkarīgajos reģionos saņēmējās dalībvalstīs, ar mērķi tādējādi atbalstīt darba ņēmēju pārcelšanu, pārkvalificēšanu un kvalifikācijas celšanu, izglītību, darba meklēšanas iniciatīvas un jaunuzņēmumus, veidojot dialogu ar sociālajiem partneriem. Finansējumu var piešķirt arī investīcijām energoefektivitātē transporta, ēku, lauksaimniecības un atkritumu apsaimniekošanas nozarēs.</w:t>
            </w:r>
            <w:r w:rsidRPr="00943D7A">
              <w:t>”</w:t>
            </w:r>
          </w:p>
          <w:p w14:paraId="38861A04" w14:textId="77777777" w:rsidR="00D836BD" w:rsidRPr="00943D7A" w:rsidRDefault="00D836BD" w:rsidP="00D836BD">
            <w:pPr>
              <w:spacing w:before="120" w:after="120"/>
              <w:jc w:val="both"/>
            </w:pPr>
            <w:r w:rsidRPr="00943D7A">
              <w:t xml:space="preserve">Norādām, ka iepriekšminētie Direktīvas 2003/87/EK nosacījumi skaidri nosaka, ka MF līdzekļi ir izmantojami transporta, ēku, lauksaimniecības un atkritumu apsaimniekošanas nozarēs </w:t>
            </w:r>
            <w:r w:rsidRPr="00943D7A">
              <w:rPr>
                <w:u w:val="single"/>
              </w:rPr>
              <w:t>energoefektivitātes uzlabošanas pasākumiem</w:t>
            </w:r>
            <w:r w:rsidRPr="00943D7A">
              <w:t>.</w:t>
            </w:r>
          </w:p>
          <w:p w14:paraId="70DF66B0" w14:textId="77777777" w:rsidR="00D836BD" w:rsidRPr="00943D7A" w:rsidRDefault="00D836BD" w:rsidP="00D836BD">
            <w:pPr>
              <w:spacing w:before="120" w:after="120"/>
              <w:jc w:val="both"/>
            </w:pPr>
            <w:r w:rsidRPr="00943D7A">
              <w:t xml:space="preserve">Tāpat norādām, ka Direktīvā 2003/87/EK ir noteikts, ka MF līdzekļu izmantojumam ir jābūt saskanīgam ar mērķiem, kas ir noteikti Savienības klimata un enerģētikas politikas </w:t>
            </w:r>
            <w:r w:rsidRPr="00943D7A">
              <w:lastRenderedPageBreak/>
              <w:t>satvarā. Atgādinām, ka Eiropadomes 2014.gada 23.-24.oktobra secinājumos “Klimata un enerģētikas politikas satvars laikposmam līdz 2030.gadam”</w:t>
            </w:r>
            <w:r w:rsidRPr="00943D7A">
              <w:rPr>
                <w:rStyle w:val="FootnoteReference"/>
              </w:rPr>
              <w:footnoteReference w:id="4"/>
            </w:r>
            <w:r w:rsidRPr="00943D7A">
              <w:t xml:space="preserve"> ir noteikti šādi mērķi: 1) SEG emisiju samazināšanas mērķis, 2) atjaunojamo energoresursu izmantošanas mērķis; 3) energoefektivitātes uzlabošanas mērķis; 4) starpsavienojumu mērķis.</w:t>
            </w:r>
          </w:p>
          <w:p w14:paraId="57D5384C" w14:textId="45735DCE" w:rsidR="00D836BD" w:rsidRPr="00943D7A" w:rsidRDefault="00D836BD" w:rsidP="00D836BD">
            <w:pPr>
              <w:spacing w:before="120" w:after="120"/>
              <w:jc w:val="both"/>
              <w:rPr>
                <w:b/>
                <w:bCs/>
              </w:rPr>
            </w:pPr>
            <w:r w:rsidRPr="00943D7A">
              <w:t>Līdz ar to norādām, ka Informatīvā ziņojuma 3. nodaļas pēdējā rindkopa ir svītrojama.</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B3D7F" w14:textId="77777777" w:rsidR="00D836BD" w:rsidRPr="00943D7A" w:rsidRDefault="00D836BD" w:rsidP="00D836BD">
            <w:pPr>
              <w:spacing w:after="120"/>
              <w:jc w:val="center"/>
              <w:rPr>
                <w:b/>
              </w:rPr>
            </w:pPr>
            <w:r w:rsidRPr="00943D7A">
              <w:rPr>
                <w:b/>
              </w:rPr>
              <w:lastRenderedPageBreak/>
              <w:t>Vienošanās panākta saskaņošanas laikā</w:t>
            </w:r>
          </w:p>
          <w:p w14:paraId="6DADA50E" w14:textId="77777777" w:rsidR="00D836BD" w:rsidRPr="00943D7A" w:rsidRDefault="00D836BD" w:rsidP="00D836BD">
            <w:pPr>
              <w:spacing w:before="120" w:after="120"/>
              <w:jc w:val="both"/>
            </w:pPr>
            <w:r w:rsidRPr="00943D7A">
              <w:t xml:space="preserve">Informatīvā ziņojuma teikums: “MF ietvars </w:t>
            </w:r>
            <w:r w:rsidRPr="00943D7A">
              <w:rPr>
                <w:u w:val="single"/>
              </w:rPr>
              <w:t>saistāms ar klimata</w:t>
            </w:r>
            <w:r w:rsidRPr="00943D7A">
              <w:t xml:space="preserve"> mērķu sasniegšanu enerģētikas, transporta, lauksaimniecības un atkritumu apsaimniekošanas sektoros” nav pretrunā ar Direktīvas 10.d. panta nosacījumiem.</w:t>
            </w:r>
          </w:p>
          <w:p w14:paraId="29DD996C" w14:textId="39A20678" w:rsidR="00D836BD" w:rsidRPr="00943D7A" w:rsidRDefault="00D836BD" w:rsidP="00D836BD">
            <w:pPr>
              <w:jc w:val="both"/>
              <w:rPr>
                <w:b/>
                <w:lang w:eastAsia="x-none"/>
              </w:rPr>
            </w:pPr>
            <w:r w:rsidRPr="00943D7A">
              <w:t xml:space="preserve">Gan Direktīva 2003/87, gan klimata un enerģētikas satvars, gan Parīzes nolīgums ir tieši saistīti ar klimata politiku. Turklāt Direktīvas 2003/87 pirmais pants “priekšmets” skaidri norāda uz SEG emisijām un to samazināšanu. Gan energoefektivitātes, gan atjaunojamo energoresursu izmantošanas veicināšana ir pasākumi, kas vērsti uz tiešu SEG emisiju </w:t>
            </w:r>
            <w:r w:rsidRPr="00943D7A">
              <w:lastRenderedPageBreak/>
              <w:t>samazināšanu. Jāpiebilst, ka 2018. gada 28. novembrī Eiropas Komisijas publicētajā paziņojumu “Tīru planētu visiem! Stratēģisks Eiropas ilgtermiņa redzējums par pārticīgu, modernu, konkurētspējīgu un klimatneitrālu ekonomiku", kas ir redzējums klimatneitrālas Eiropas sasniegšanai līdz 2050. gadam un kurā paredzēti 8 scenāriji un visi scenāriji pamatā ietver SEG emisiju samazināšanu balstoties uz ilgtermiņā izdevīgākajām rīcībpolitikām atjaunojamās enerģijas un energoefektivitātes jomā.</w:t>
            </w:r>
          </w:p>
        </w:tc>
        <w:tc>
          <w:tcPr>
            <w:tcW w:w="2385" w:type="dxa"/>
            <w:tcBorders>
              <w:top w:val="single" w:sz="4" w:space="0" w:color="auto"/>
              <w:left w:val="single" w:sz="4" w:space="0" w:color="auto"/>
              <w:bottom w:val="single" w:sz="4" w:space="0" w:color="auto"/>
            </w:tcBorders>
          </w:tcPr>
          <w:p w14:paraId="43176777" w14:textId="5819931C" w:rsidR="00D836BD" w:rsidRPr="00943D7A" w:rsidRDefault="00D836BD" w:rsidP="00D836BD">
            <w:pPr>
              <w:ind w:right="-1"/>
              <w:jc w:val="both"/>
              <w:rPr>
                <w:shd w:val="clear" w:color="auto" w:fill="FFFFFF"/>
              </w:rPr>
            </w:pPr>
            <w:r w:rsidRPr="00943D7A">
              <w:rPr>
                <w:b/>
              </w:rPr>
              <w:lastRenderedPageBreak/>
              <w:t xml:space="preserve">Informatīvā ziņojuma 3.sadaļa papildināta ar </w:t>
            </w:r>
            <w:r w:rsidR="006E75E6">
              <w:rPr>
                <w:b/>
              </w:rPr>
              <w:t xml:space="preserve">tekstu </w:t>
            </w:r>
            <w:r w:rsidRPr="00943D7A">
              <w:rPr>
                <w:b/>
              </w:rPr>
              <w:t>šād</w:t>
            </w:r>
            <w:r w:rsidR="006E75E6">
              <w:rPr>
                <w:b/>
              </w:rPr>
              <w:t>ā</w:t>
            </w:r>
            <w:r w:rsidRPr="00943D7A">
              <w:rPr>
                <w:b/>
              </w:rPr>
              <w:t xml:space="preserve"> redakcij</w:t>
            </w:r>
            <w:r w:rsidR="006E75E6">
              <w:rPr>
                <w:b/>
              </w:rPr>
              <w:t>ā</w:t>
            </w:r>
            <w:r w:rsidRPr="00943D7A">
              <w:rPr>
                <w:b/>
              </w:rPr>
              <w:t>: “</w:t>
            </w:r>
            <w:r w:rsidRPr="00943D7A">
              <w:rPr>
                <w:shd w:val="clear" w:color="auto" w:fill="FFFFFF"/>
              </w:rPr>
              <w:t xml:space="preserve">Ņemot vērā iepriekš minēto un faktu, ka Modernizācijas fonda ietvars saistāms ar klimata mērķu sasniegšanu enerģētikas, transporta, lauksaimniecības un atkritumu apsaimniekošanas </w:t>
            </w:r>
            <w:r w:rsidRPr="00943D7A">
              <w:rPr>
                <w:shd w:val="clear" w:color="auto" w:fill="FFFFFF"/>
              </w:rPr>
              <w:lastRenderedPageBreak/>
              <w:t xml:space="preserve">sektoros, </w:t>
            </w:r>
            <w:r w:rsidRPr="00943D7A">
              <w:rPr>
                <w:u w:val="single"/>
                <w:shd w:val="clear" w:color="auto" w:fill="FFFFFF"/>
              </w:rPr>
              <w:t>par Modernizācijas fonda atbildīgo iestādi Latvijā ir jānosaka VARAM.</w:t>
            </w:r>
            <w:r w:rsidRPr="00943D7A">
              <w:rPr>
                <w:shd w:val="clear" w:color="auto" w:fill="FFFFFF"/>
              </w:rPr>
              <w:t xml:space="preserve"> Tā kā Modernizācijas fonda ietvaros atbalstāmās aktivitātes galvenokārt (bet ne tikai) ir saistāmas ar enerģētikas nozari, kas ir Ekonomikas ministrijas (turpmāk – EM) kompetences jautājums, Modernizācijas fonda ieviešana un darbības nodrošināšana nacionālā līmenī VARAM jāveic sadarbībā ar EM.</w:t>
            </w:r>
          </w:p>
          <w:p w14:paraId="35538799" w14:textId="4660D211" w:rsidR="00D836BD" w:rsidRPr="00943D7A" w:rsidRDefault="00CA5021" w:rsidP="00D836BD">
            <w:pPr>
              <w:jc w:val="both"/>
              <w:rPr>
                <w:b/>
              </w:rPr>
            </w:pPr>
            <w:r w:rsidRPr="00943D7A">
              <w:rPr>
                <w:color w:val="000000" w:themeColor="text1"/>
              </w:rPr>
              <w:t xml:space="preserve">Lai nodrošinātu centralizētu investīciju priekšlikumu iesniegšanu EIB un arī, lai nodrošinātu līdzekļu segregāciju no esošajiem finanšu instrumentiem, piemēram, Emisijas kvotu izsolīšanas instrumenta (turpmāk </w:t>
            </w:r>
            <w:r w:rsidRPr="00943D7A">
              <w:rPr>
                <w:color w:val="000000" w:themeColor="text1"/>
              </w:rPr>
              <w:lastRenderedPageBreak/>
              <w:t xml:space="preserve">- EKII), ir nepieciešams izstrādāt jaunu nacionālo investīciju programmu (shēmu). </w:t>
            </w:r>
            <w:r w:rsidRPr="00943D7A">
              <w:t xml:space="preserve">Modernizācijas fonda līdzekļu </w:t>
            </w:r>
            <w:r w:rsidR="0068625B" w:rsidRPr="00943D7A">
              <w:t>investēšanas</w:t>
            </w:r>
            <w:r w:rsidRPr="00943D7A">
              <w:t xml:space="preserve"> funkciju atbildīgās iestādes noteikšana Latvijā tiks vērtēta kopā ar VARAM un Ekonomikas ministrijas  (turpmāk - EM) izstrādāto Modernizācijas fonda daudzgadu programmas (shēmas) darbības noteikumu apstiprināšanu. Uz informatīvā ziņojuma izstrādes brīdi potenciāli tiek pieļauts, ka </w:t>
            </w:r>
            <w:r w:rsidRPr="00943D7A">
              <w:rPr>
                <w:color w:val="000000" w:themeColor="text1"/>
              </w:rPr>
              <w:t xml:space="preserve">Akciju sabiedrība “Attīstības finanšu institūcija Altum” (turpmāk – ALTUM) varētu veikt šīs daudzgadu programmas līdzekļu </w:t>
            </w:r>
            <w:r w:rsidR="0068625B" w:rsidRPr="00943D7A">
              <w:rPr>
                <w:color w:val="000000" w:themeColor="text1"/>
              </w:rPr>
              <w:t>investēšanas</w:t>
            </w:r>
            <w:r w:rsidRPr="00943D7A">
              <w:rPr>
                <w:color w:val="000000" w:themeColor="text1"/>
              </w:rPr>
              <w:t xml:space="preserve"> funkciju, jo tai ir pieredze dažādu finanšu </w:t>
            </w:r>
            <w:r w:rsidRPr="00943D7A">
              <w:rPr>
                <w:color w:val="000000" w:themeColor="text1"/>
              </w:rPr>
              <w:lastRenderedPageBreak/>
              <w:t>instrumentu izmantošanā, t.sk. energoefektivitātes veicināšanā un atbalsta lauksaimnieku attīstībai sniegšanā.</w:t>
            </w:r>
          </w:p>
        </w:tc>
      </w:tr>
      <w:tr w:rsidR="00D836BD" w:rsidRPr="00943D7A" w14:paraId="3454D00D"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9DA170" w14:textId="060495D2" w:rsidR="00D836BD" w:rsidRPr="00943D7A" w:rsidRDefault="00F30BF7" w:rsidP="00D836BD">
            <w:r w:rsidRPr="00943D7A">
              <w:lastRenderedPageBreak/>
              <w:t>7</w:t>
            </w:r>
            <w:r w:rsidR="00D836BD"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474777" w14:textId="472CBC80"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A59F6E" w14:textId="682D71BC" w:rsidR="00D836BD" w:rsidRPr="00943D7A" w:rsidRDefault="00D836BD" w:rsidP="00D836BD">
            <w:pPr>
              <w:pStyle w:val="ListParagraph"/>
              <w:widowControl w:val="0"/>
              <w:spacing w:after="0" w:line="240" w:lineRule="auto"/>
              <w:ind w:left="0"/>
              <w:jc w:val="center"/>
              <w:rPr>
                <w:rFonts w:ascii="Times New Roman" w:hAnsi="Times New Roman"/>
                <w:b/>
                <w:bCs/>
                <w:sz w:val="24"/>
                <w:szCs w:val="24"/>
                <w:lang w:val="lv-LV"/>
              </w:rPr>
            </w:pPr>
            <w:r w:rsidRPr="00943D7A">
              <w:rPr>
                <w:rFonts w:ascii="Times New Roman" w:hAnsi="Times New Roman"/>
                <w:b/>
                <w:bCs/>
                <w:sz w:val="24"/>
                <w:szCs w:val="24"/>
                <w:lang w:val="lv-LV"/>
              </w:rPr>
              <w:t>Ekonomikas ministrijas 02.09.2019</w:t>
            </w:r>
            <w:r w:rsidR="006E75E6">
              <w:rPr>
                <w:rFonts w:ascii="Times New Roman" w:hAnsi="Times New Roman"/>
                <w:b/>
                <w:bCs/>
                <w:sz w:val="24"/>
                <w:szCs w:val="24"/>
                <w:lang w:val="lv-LV"/>
              </w:rPr>
              <w:t>.</w:t>
            </w:r>
            <w:r w:rsidRPr="00943D7A">
              <w:rPr>
                <w:rFonts w:ascii="Times New Roman" w:hAnsi="Times New Roman"/>
                <w:b/>
                <w:bCs/>
                <w:sz w:val="24"/>
                <w:szCs w:val="24"/>
                <w:lang w:val="lv-LV"/>
              </w:rPr>
              <w:t>atzinums.</w:t>
            </w:r>
          </w:p>
          <w:p w14:paraId="08E21D4D" w14:textId="77777777" w:rsidR="00D836BD" w:rsidRPr="00943D7A" w:rsidRDefault="00D836BD" w:rsidP="00D836BD">
            <w:pPr>
              <w:spacing w:before="120" w:after="120"/>
              <w:jc w:val="both"/>
            </w:pPr>
            <w:r w:rsidRPr="00943D7A">
              <w:rPr>
                <w:b/>
                <w:bCs/>
              </w:rPr>
              <w:t>Neatbalstām Informatīvā ziņojuma 2.nodaļā iekļauto nosacījumu,</w:t>
            </w:r>
            <w:r w:rsidRPr="00943D7A">
              <w:t xml:space="preserve"> ka MF līdzekļi ir jākoncentrē uz siltumnīcefekta gāzu (turpmāk – SEG) emisiju apjoma, kas ir radīts Eiropas Savienības (turpmāk – ES) Emisijas kvotu tirdzniecības sistēmā (turpmāk – ES ETS) neiekļautajās darbībās (turpmāk – ne-ETS darbības), samazināšanu.</w:t>
            </w:r>
          </w:p>
          <w:p w14:paraId="658ABA62" w14:textId="77777777" w:rsidR="00D836BD" w:rsidRPr="00943D7A" w:rsidRDefault="00D836BD" w:rsidP="00D836BD">
            <w:pPr>
              <w:spacing w:before="120" w:after="120"/>
              <w:jc w:val="both"/>
            </w:pPr>
            <w:r w:rsidRPr="00943D7A">
              <w:t xml:space="preserve">Atkārtoti norādām, ka, neskatoties uz VARAM pausto viedokli un uzskatu, </w:t>
            </w:r>
            <w:r w:rsidRPr="00943D7A">
              <w:rPr>
                <w:u w:val="single"/>
              </w:rPr>
              <w:t>Latvijai kopumā kā ES dalībvalstij ir saistoši ne tikai SEG emisiju samazināšanas mērķi, bet arī tie mērķi, kas ir noteikti enerģētikas, tai skaitā, transporta darbībām</w:t>
            </w:r>
            <w:r w:rsidRPr="00943D7A">
              <w:t xml:space="preserve"> – juridiski saistošie atjaunojamo </w:t>
            </w:r>
            <w:r w:rsidRPr="00943D7A">
              <w:lastRenderedPageBreak/>
              <w:t>energoresursu izmantošanas mērķi (enerģijas galapatēriņā un transportā), moderno biodegvielu izmantošanas mērķis, energoefektivitātes uzlabošanas mērķi (energoresursu patēriņa un energoietaupījumu mērķi), starpsavienojumu mērķis, enerģētiskās drošības uzlabošanas un enerģētiskās nabadzības samazināšanas mērķis.</w:t>
            </w:r>
          </w:p>
          <w:p w14:paraId="161D3046" w14:textId="77777777" w:rsidR="00D836BD" w:rsidRPr="00943D7A" w:rsidRDefault="00D836BD" w:rsidP="00D836BD">
            <w:pPr>
              <w:spacing w:before="120" w:after="120"/>
              <w:jc w:val="both"/>
            </w:pPr>
            <w:r w:rsidRPr="00943D7A">
              <w:t>Ņemot vērā iepriekšminēto un arī Direktīvas Nr.2003/87/EK 10.d panta 1.punktā noteikto, norādām, ka MF līdzekļi ir jākoncentrē nevis uz SEG emisiju samazināšanu ne-ETS darbībās, bet uz enerģētikas nozares modernizēšanu (kas savukārt rezultēsies SEG emisiju samazināšanā enerģētikā).</w:t>
            </w:r>
          </w:p>
          <w:p w14:paraId="78D1ABC4" w14:textId="77777777" w:rsidR="00D836BD" w:rsidRPr="00943D7A" w:rsidRDefault="00D836BD" w:rsidP="00D836BD">
            <w:pPr>
              <w:spacing w:before="120" w:after="120"/>
              <w:jc w:val="both"/>
            </w:pPr>
            <w:r w:rsidRPr="00943D7A">
              <w:t>Papildus norādām, ka Latvijai ir noteikti ne tikai juridiski saistoši ne-ETS darbību SEG emisiju samazināšanas mērķi, bet Latvijas Ilgtspējīga attīstības stratēģijā līdz 2030.gadam</w:t>
            </w:r>
            <w:r w:rsidRPr="00943D7A">
              <w:rPr>
                <w:rStyle w:val="FootnoteReference"/>
              </w:rPr>
              <w:footnoteReference w:id="5"/>
            </w:r>
            <w:r w:rsidRPr="00943D7A">
              <w:t xml:space="preserve"> ir noteikts arī Latvijas kopējā SEG emisiju apjoma samazināšanas mērķis.</w:t>
            </w:r>
          </w:p>
          <w:p w14:paraId="008D6ACA" w14:textId="1EB78334" w:rsidR="00D836BD" w:rsidRPr="00943D7A" w:rsidRDefault="00D836BD" w:rsidP="00D836BD">
            <w:pPr>
              <w:pStyle w:val="ListParagraph"/>
              <w:widowControl w:val="0"/>
              <w:spacing w:after="0" w:line="240" w:lineRule="auto"/>
              <w:ind w:left="0"/>
              <w:jc w:val="both"/>
              <w:rPr>
                <w:rFonts w:ascii="Times New Roman" w:hAnsi="Times New Roman"/>
                <w:b/>
                <w:bCs/>
                <w:sz w:val="24"/>
                <w:szCs w:val="24"/>
                <w:lang w:val="lv-LV"/>
              </w:rPr>
            </w:pPr>
            <w:r w:rsidRPr="00943D7A">
              <w:rPr>
                <w:rFonts w:ascii="Times New Roman" w:hAnsi="Times New Roman"/>
                <w:sz w:val="24"/>
                <w:szCs w:val="24"/>
                <w:lang w:val="lv-LV"/>
              </w:rPr>
              <w:t>Līdz ar to norādām, ka Informatīvā ziņojuma 2.nodaļas pēdējā rindkopa ir svītrojama.</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D218F8" w14:textId="77777777" w:rsidR="00D836BD" w:rsidRPr="00943D7A" w:rsidRDefault="00D836BD" w:rsidP="00D836BD">
            <w:pPr>
              <w:spacing w:after="120"/>
              <w:jc w:val="center"/>
              <w:rPr>
                <w:b/>
              </w:rPr>
            </w:pPr>
            <w:r w:rsidRPr="00943D7A">
              <w:rPr>
                <w:b/>
              </w:rPr>
              <w:lastRenderedPageBreak/>
              <w:t>Vienošanās panākta saskaņošanas laikā</w:t>
            </w:r>
          </w:p>
          <w:p w14:paraId="510D9365" w14:textId="77777777" w:rsidR="00D836BD" w:rsidRPr="00943D7A" w:rsidRDefault="00D836BD" w:rsidP="00D836BD">
            <w:pPr>
              <w:spacing w:before="120" w:after="120"/>
              <w:jc w:val="both"/>
            </w:pPr>
            <w:r w:rsidRPr="00943D7A">
              <w:t xml:space="preserve">Modernizācijas fonds ir Direktīvas 2003/87 sastāvdaļa, un Direktīva 2003/87 ir vērsta uz SEG emisiju samazināšanu. Arī 2018. gada 14. marta </w:t>
            </w:r>
            <w:r w:rsidRPr="00943D7A">
              <w:rPr>
                <w:i/>
              </w:rPr>
              <w:t>Eiropas Parlamenta un Padomes Direktīvas (ES) 2018/410, ar ko groza Direktīvu 2003/87/EK, lai sekmētu emisiju izmaksefektīvu samazināšanu un investīcijas mazoglekļa risinājumos, un Lēmumu (ES) 2015/1814</w:t>
            </w:r>
            <w:r w:rsidRPr="00943D7A">
              <w:t xml:space="preserve"> nosaukumā ir skaidri norādīts Direktīvas uzdevums – sekmēt izmaksefektīvu SEG samazināšanu.</w:t>
            </w:r>
          </w:p>
          <w:p w14:paraId="10DC640F" w14:textId="77777777" w:rsidR="00D836BD" w:rsidRPr="00943D7A" w:rsidRDefault="00D836BD" w:rsidP="00D836BD">
            <w:pPr>
              <w:spacing w:before="120" w:after="120"/>
              <w:jc w:val="both"/>
            </w:pPr>
            <w:r w:rsidRPr="00943D7A">
              <w:t>Ja ES ETS sektora mērķa atbildība ir ES ETS operatoru atbildība, tad ne-ETS SEG emisiju samazināšanas mērķa izpildes saistības ir pārdalītas katrai ES dalībvalstij, t.sk. Latvijai un kā norādīts Informatīvā ziņojuma attēlā Nr. 2 lielākās SEG emisijas ir tieši no ne-ETS sektora.</w:t>
            </w:r>
          </w:p>
          <w:p w14:paraId="4C467098" w14:textId="71F7492C" w:rsidR="00D836BD" w:rsidRPr="00943D7A" w:rsidRDefault="00D836BD" w:rsidP="00D836BD">
            <w:pPr>
              <w:jc w:val="both"/>
              <w:rPr>
                <w:b/>
                <w:lang w:eastAsia="x-none"/>
              </w:rPr>
            </w:pPr>
            <w:r w:rsidRPr="00943D7A">
              <w:lastRenderedPageBreak/>
              <w:t>Ir saprotams, ka Latvijai ir saistoši ne tikai SEG emisiju mērķi, taču norādām, ka izmantojot Modernizācijas fonda līdzekļus atbilstoši Direktīvas 2003/87 10.d 2. un 6. punktam ir iespējams veikt SEG samazinājumus vairākās nozarēs ne tikai enerģētikā.</w:t>
            </w:r>
          </w:p>
        </w:tc>
        <w:tc>
          <w:tcPr>
            <w:tcW w:w="2385" w:type="dxa"/>
            <w:tcBorders>
              <w:top w:val="single" w:sz="4" w:space="0" w:color="auto"/>
              <w:left w:val="single" w:sz="4" w:space="0" w:color="auto"/>
              <w:bottom w:val="single" w:sz="4" w:space="0" w:color="auto"/>
            </w:tcBorders>
          </w:tcPr>
          <w:p w14:paraId="455A4D50" w14:textId="18527F37" w:rsidR="00D836BD" w:rsidRPr="00943D7A" w:rsidRDefault="00D836BD" w:rsidP="00D836BD">
            <w:pPr>
              <w:jc w:val="both"/>
              <w:rPr>
                <w:b/>
              </w:rPr>
            </w:pPr>
            <w:r w:rsidRPr="00943D7A">
              <w:rPr>
                <w:b/>
              </w:rPr>
              <w:lastRenderedPageBreak/>
              <w:t>Informatīvais ziņojuma 3. sadaļa papildināta ar</w:t>
            </w:r>
            <w:r w:rsidR="006E75E6">
              <w:rPr>
                <w:b/>
              </w:rPr>
              <w:t xml:space="preserve"> tekstu</w:t>
            </w:r>
            <w:r w:rsidRPr="00943D7A">
              <w:rPr>
                <w:b/>
              </w:rPr>
              <w:t xml:space="preserve"> </w:t>
            </w:r>
            <w:r w:rsidR="006E75E6">
              <w:rPr>
                <w:b/>
              </w:rPr>
              <w:t xml:space="preserve">šādā </w:t>
            </w:r>
            <w:r w:rsidRPr="00943D7A">
              <w:rPr>
                <w:b/>
              </w:rPr>
              <w:t>redakcij</w:t>
            </w:r>
            <w:r w:rsidR="006E75E6">
              <w:rPr>
                <w:b/>
              </w:rPr>
              <w:t>ā</w:t>
            </w:r>
            <w:r w:rsidRPr="00943D7A">
              <w:rPr>
                <w:b/>
              </w:rPr>
              <w:t>: “</w:t>
            </w:r>
            <w:r w:rsidRPr="00943D7A">
              <w:rPr>
                <w:shd w:val="clear" w:color="auto" w:fill="FFFFFF"/>
              </w:rPr>
              <w:t xml:space="preserve">Tā kā  Modernizācijas fonda ietvaros atbalstāmās aktivitātes galvenokārt (bet ne tikai) ir saistāmas ar enerģētikas nozari, kas ir Ekonomikas ministrijas (turpmāk – EM) kompetences jautājums, Modernizācijas fonda ieviešana un darbības nodrošināšana nacionālā līmenī </w:t>
            </w:r>
            <w:r w:rsidRPr="00943D7A">
              <w:rPr>
                <w:shd w:val="clear" w:color="auto" w:fill="FFFFFF"/>
              </w:rPr>
              <w:lastRenderedPageBreak/>
              <w:t>VARAM jāveic sadarbībā ar EM.</w:t>
            </w:r>
            <w:r w:rsidRPr="00943D7A">
              <w:rPr>
                <w:b/>
              </w:rPr>
              <w:t>”</w:t>
            </w:r>
          </w:p>
        </w:tc>
      </w:tr>
      <w:tr w:rsidR="00D836BD" w:rsidRPr="00943D7A" w14:paraId="5FE06487"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099B46" w14:textId="79ACA9C9" w:rsidR="00D836BD" w:rsidRPr="00943D7A" w:rsidRDefault="00D836BD" w:rsidP="00D836BD">
            <w:pPr>
              <w:pStyle w:val="naisc"/>
              <w:spacing w:before="0" w:after="0"/>
              <w:ind w:left="426"/>
              <w:jc w:val="left"/>
            </w:pPr>
            <w:r w:rsidRPr="00943D7A">
              <w:lastRenderedPageBreak/>
              <w:t>1.</w:t>
            </w:r>
          </w:p>
          <w:p w14:paraId="54FCEC24" w14:textId="78F43C0D" w:rsidR="00D836BD" w:rsidRPr="00943D7A" w:rsidRDefault="00F30BF7" w:rsidP="00D836BD">
            <w:r w:rsidRPr="00943D7A">
              <w:t>8</w:t>
            </w:r>
            <w:r w:rsidR="00D836BD"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96A825" w14:textId="6508B75C"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0F04F" w14:textId="6EDB74C4" w:rsidR="00D836BD" w:rsidRPr="00943D7A" w:rsidRDefault="00D836BD" w:rsidP="00D836BD">
            <w:pPr>
              <w:pStyle w:val="ListParagraph"/>
              <w:widowControl w:val="0"/>
              <w:spacing w:after="0" w:line="240" w:lineRule="auto"/>
              <w:ind w:left="0"/>
              <w:jc w:val="center"/>
              <w:rPr>
                <w:rFonts w:ascii="Times New Roman" w:hAnsi="Times New Roman"/>
                <w:b/>
                <w:sz w:val="24"/>
                <w:szCs w:val="24"/>
                <w:lang w:val="lv-LV"/>
              </w:rPr>
            </w:pPr>
            <w:r w:rsidRPr="00943D7A">
              <w:rPr>
                <w:rFonts w:ascii="Times New Roman" w:hAnsi="Times New Roman"/>
                <w:b/>
                <w:bCs/>
                <w:sz w:val="24"/>
                <w:szCs w:val="24"/>
                <w:lang w:val="lv-LV"/>
              </w:rPr>
              <w:t>Parresoru koordinācijas Centra 29.08.2019</w:t>
            </w:r>
            <w:r w:rsidR="006E75E6">
              <w:rPr>
                <w:rFonts w:ascii="Times New Roman" w:hAnsi="Times New Roman"/>
                <w:b/>
                <w:bCs/>
                <w:sz w:val="24"/>
                <w:szCs w:val="24"/>
                <w:lang w:val="lv-LV"/>
              </w:rPr>
              <w:t>.</w:t>
            </w:r>
            <w:r w:rsidRPr="00943D7A">
              <w:rPr>
                <w:rFonts w:ascii="Times New Roman" w:hAnsi="Times New Roman"/>
                <w:b/>
                <w:bCs/>
                <w:sz w:val="24"/>
                <w:szCs w:val="24"/>
                <w:lang w:val="lv-LV"/>
              </w:rPr>
              <w:t xml:space="preserve"> atzinums</w:t>
            </w:r>
          </w:p>
          <w:p w14:paraId="31C616FF" w14:textId="77777777" w:rsidR="00D836BD" w:rsidRPr="00943D7A" w:rsidRDefault="00D836BD" w:rsidP="00D836BD">
            <w:pPr>
              <w:pStyle w:val="ListParagraph"/>
              <w:spacing w:after="0" w:line="240" w:lineRule="auto"/>
              <w:ind w:left="0"/>
              <w:jc w:val="both"/>
              <w:rPr>
                <w:rFonts w:ascii="Times New Roman" w:hAnsi="Times New Roman"/>
                <w:sz w:val="24"/>
                <w:szCs w:val="24"/>
                <w:lang w:val="lv-LV"/>
              </w:rPr>
            </w:pPr>
            <w:r w:rsidRPr="00943D7A">
              <w:rPr>
                <w:rFonts w:ascii="Times New Roman" w:hAnsi="Times New Roman"/>
                <w:sz w:val="24"/>
                <w:szCs w:val="24"/>
                <w:lang w:val="lv-LV"/>
              </w:rPr>
              <w:t xml:space="preserve">Ņemot vērā, ka projektā, izvērtējot Modernizācijas fonda palielināšanas </w:t>
            </w:r>
            <w:r w:rsidRPr="00943D7A">
              <w:rPr>
                <w:rFonts w:ascii="Times New Roman" w:hAnsi="Times New Roman"/>
                <w:sz w:val="24"/>
                <w:szCs w:val="24"/>
                <w:lang w:val="lv-LV"/>
              </w:rPr>
              <w:lastRenderedPageBreak/>
              <w:t xml:space="preserve">iespējas (8.lpp), nepārprotami tiek norādīta vajadzība nesamazināt Emisijas kvotu izsolīšanas instrumenta (turpmāk - EKII) finansējumu, kas var veidoties, ja tiks paredzēts Modernizācijas fonda finansējuma pieaugums, izmantojot (a) solidaritātes emisiju kvotu apjomu vai (b) vienlaicīgi kombinējot solidaritātes emisijas kvotu un derogācijai pieejamo emisiju kvotu apjomu, </w:t>
            </w:r>
            <w:r w:rsidRPr="00943D7A">
              <w:rPr>
                <w:rFonts w:ascii="Times New Roman" w:hAnsi="Times New Roman"/>
                <w:b/>
                <w:sz w:val="24"/>
                <w:szCs w:val="24"/>
                <w:lang w:val="lv-LV"/>
              </w:rPr>
              <w:t xml:space="preserve">lūdzam projektā sniegt plašāku skaidrojumu par EKII instrumenta prioritizēšanu </w:t>
            </w:r>
            <w:r w:rsidRPr="00943D7A">
              <w:rPr>
                <w:rFonts w:ascii="Times New Roman" w:hAnsi="Times New Roman"/>
                <w:i/>
                <w:sz w:val="24"/>
                <w:szCs w:val="24"/>
                <w:lang w:val="lv-LV"/>
              </w:rPr>
              <w:t xml:space="preserve">versus </w:t>
            </w:r>
            <w:r w:rsidRPr="00943D7A">
              <w:rPr>
                <w:rFonts w:ascii="Times New Roman" w:hAnsi="Times New Roman"/>
                <w:sz w:val="24"/>
                <w:szCs w:val="24"/>
                <w:lang w:val="lv-LV"/>
              </w:rPr>
              <w:t xml:space="preserve">Modernizācijas fonda finansējuma pieaugumam, saprotot, ka </w:t>
            </w:r>
            <w:r w:rsidRPr="00943D7A">
              <w:rPr>
                <w:rFonts w:ascii="Times New Roman" w:hAnsi="Times New Roman"/>
                <w:b/>
                <w:sz w:val="24"/>
                <w:szCs w:val="24"/>
                <w:lang w:val="lv-LV"/>
              </w:rPr>
              <w:t>Modernizācijas fonda investīcijas tiks mērķētas tikai uz ne ETS darbībām</w:t>
            </w:r>
            <w:r w:rsidRPr="00943D7A">
              <w:rPr>
                <w:rFonts w:ascii="Times New Roman" w:hAnsi="Times New Roman"/>
                <w:sz w:val="24"/>
                <w:szCs w:val="24"/>
                <w:lang w:val="lv-LV"/>
              </w:rPr>
              <w:t>, kas Latvijas gadījumā ir kritisks, emisiju ietilpīgs sektors un nozīmīgs attīstības izaicinājums sekmīgai uzņēmējdarbībai.</w:t>
            </w:r>
          </w:p>
          <w:p w14:paraId="176D11B3" w14:textId="77777777" w:rsidR="00D836BD" w:rsidRPr="00943D7A" w:rsidRDefault="00D836BD" w:rsidP="00D836BD">
            <w:pPr>
              <w:pStyle w:val="ListParagraph"/>
              <w:spacing w:after="0" w:line="240" w:lineRule="auto"/>
              <w:ind w:left="0"/>
              <w:jc w:val="both"/>
              <w:rPr>
                <w:rFonts w:ascii="Times New Roman" w:hAnsi="Times New Roman"/>
                <w:sz w:val="24"/>
                <w:szCs w:val="24"/>
                <w:lang w:val="lv-LV"/>
              </w:rPr>
            </w:pPr>
          </w:p>
          <w:p w14:paraId="47573804" w14:textId="00767159" w:rsidR="00D836BD" w:rsidRPr="00943D7A" w:rsidRDefault="00D836BD" w:rsidP="00D836BD">
            <w:pPr>
              <w:pStyle w:val="ListParagraph"/>
              <w:spacing w:after="0" w:line="240" w:lineRule="auto"/>
              <w:ind w:left="0"/>
              <w:jc w:val="both"/>
              <w:rPr>
                <w:rFonts w:ascii="Times New Roman" w:hAnsi="Times New Roman"/>
                <w:sz w:val="24"/>
                <w:szCs w:val="24"/>
                <w:lang w:val="lv-LV"/>
              </w:rPr>
            </w:pPr>
            <w:r w:rsidRPr="00943D7A">
              <w:rPr>
                <w:rFonts w:ascii="Times New Roman" w:hAnsi="Times New Roman"/>
                <w:sz w:val="24"/>
                <w:szCs w:val="24"/>
                <w:lang w:val="lv-LV"/>
              </w:rPr>
              <w:t>Ievērojot minēto aicinām atkārtoti apsvērt Modernizācijas fonda finansējuma palielinājuma iespējas, ņemot vērā VARAM pieredzi par emisiju samazināšanas izmaksām ne ETS darbībām un prognozēto ne ETS darbību emisiju pieaugumu.</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D8B0F3" w14:textId="64E33758" w:rsidR="00D836BD" w:rsidRPr="00943D7A" w:rsidRDefault="00D836BD" w:rsidP="00D836BD">
            <w:pPr>
              <w:jc w:val="center"/>
              <w:rPr>
                <w:lang w:eastAsia="x-none"/>
              </w:rPr>
            </w:pPr>
            <w:r w:rsidRPr="00943D7A">
              <w:rPr>
                <w:b/>
                <w:lang w:eastAsia="x-none"/>
              </w:rPr>
              <w:lastRenderedPageBreak/>
              <w:t>Ņemts vērā</w:t>
            </w:r>
          </w:p>
          <w:p w14:paraId="434A28AC" w14:textId="6DA013CD" w:rsidR="00D836BD" w:rsidRPr="00943D7A" w:rsidRDefault="00D836BD" w:rsidP="00D836BD">
            <w:pPr>
              <w:pStyle w:val="ListParagraph"/>
              <w:spacing w:after="0" w:line="240" w:lineRule="auto"/>
              <w:ind w:left="0"/>
              <w:jc w:val="both"/>
              <w:rPr>
                <w:rFonts w:ascii="Times New Roman" w:eastAsia="Calibri" w:hAnsi="Times New Roman"/>
                <w:sz w:val="24"/>
                <w:szCs w:val="24"/>
                <w:lang w:val="lv-LV"/>
              </w:rPr>
            </w:pPr>
            <w:r w:rsidRPr="00943D7A">
              <w:rPr>
                <w:rFonts w:ascii="Times New Roman" w:eastAsia="Calibri" w:hAnsi="Times New Roman"/>
                <w:sz w:val="24"/>
                <w:szCs w:val="24"/>
                <w:lang w:val="lv-LV"/>
              </w:rPr>
              <w:t>Precizēta Informatīvā ziņojuma 5.nodaļa.</w:t>
            </w:r>
          </w:p>
          <w:p w14:paraId="0F072CD3" w14:textId="120A177C" w:rsidR="00D836BD" w:rsidRPr="00943D7A" w:rsidRDefault="00D836BD" w:rsidP="00D836BD">
            <w:pPr>
              <w:pStyle w:val="ListParagraph"/>
              <w:spacing w:after="0" w:line="240" w:lineRule="auto"/>
              <w:ind w:left="0"/>
              <w:jc w:val="both"/>
              <w:rPr>
                <w:bCs/>
                <w:color w:val="000000" w:themeColor="text1"/>
                <w:sz w:val="24"/>
                <w:szCs w:val="24"/>
                <w:lang w:val="lv-LV"/>
              </w:rPr>
            </w:pPr>
            <w:r w:rsidRPr="00943D7A">
              <w:rPr>
                <w:rFonts w:ascii="Times New Roman" w:eastAsia="Calibri" w:hAnsi="Times New Roman"/>
                <w:sz w:val="24"/>
                <w:szCs w:val="24"/>
                <w:lang w:val="lv-LV"/>
              </w:rPr>
              <w:t xml:space="preserve">VARAM ir uzsākusi aktualizēt Emisijas kvotu izsolīšanas instrumenta darbības stratēģiju un šīs </w:t>
            </w:r>
            <w:r w:rsidRPr="00943D7A">
              <w:rPr>
                <w:rFonts w:ascii="Times New Roman" w:eastAsia="Calibri" w:hAnsi="Times New Roman"/>
                <w:sz w:val="24"/>
                <w:szCs w:val="24"/>
                <w:lang w:val="lv-LV"/>
              </w:rPr>
              <w:lastRenderedPageBreak/>
              <w:t xml:space="preserve">stratēģijas ietvaros arī turpmāk tiek plānots, ka </w:t>
            </w:r>
            <w:r w:rsidRPr="00943D7A">
              <w:rPr>
                <w:rFonts w:ascii="Times New Roman" w:hAnsi="Times New Roman"/>
                <w:bCs/>
                <w:color w:val="000000" w:themeColor="text1"/>
                <w:sz w:val="24"/>
                <w:szCs w:val="24"/>
                <w:lang w:val="lv-LV"/>
              </w:rPr>
              <w:t>p</w:t>
            </w:r>
            <w:r w:rsidRPr="00943D7A">
              <w:rPr>
                <w:rFonts w:ascii="Times New Roman" w:hAnsi="Times New Roman"/>
                <w:color w:val="000000" w:themeColor="text1"/>
                <w:sz w:val="24"/>
                <w:szCs w:val="24"/>
                <w:lang w:val="lv-LV"/>
              </w:rPr>
              <w:t xml:space="preserve">rioritāri </w:t>
            </w:r>
            <w:r w:rsidRPr="00943D7A">
              <w:rPr>
                <w:rFonts w:ascii="Times New Roman" w:hAnsi="Times New Roman"/>
                <w:bCs/>
                <w:color w:val="000000" w:themeColor="text1"/>
                <w:sz w:val="24"/>
                <w:szCs w:val="24"/>
                <w:lang w:val="lv-LV"/>
              </w:rPr>
              <w:t>finansējums tiks piešķirts tādu aktivitāšu finansēšanai, kas vērstas uz SEG emisiju samazināšanu ne-ETS sektorā. Līdz ar to var teikt, ka gan EKII, gan Modernizācijas fonda līdzekļi tiks vērsti uz ne-ETS sektora SEG emisiju problemātikas risināšanu.</w:t>
            </w:r>
          </w:p>
          <w:p w14:paraId="214F4211" w14:textId="477BD1D5" w:rsidR="00D836BD" w:rsidRPr="00943D7A" w:rsidRDefault="00D836BD" w:rsidP="00D836BD">
            <w:pPr>
              <w:jc w:val="both"/>
              <w:rPr>
                <w:rFonts w:eastAsia="Calibri"/>
              </w:rPr>
            </w:pPr>
            <w:r w:rsidRPr="00943D7A">
              <w:rPr>
                <w:rFonts w:eastAsia="Calibri"/>
              </w:rPr>
              <w:t>Atkārtoti izvērtējot Modernizācjas fonda finansējuma palielinājuma iespējas un ņemot vērā Informatīvā ziņojums 5. nodaļā aprakstītos apsvērumus ir secināts, ka nebūtu pieļaujama nacionālā finanšu instrumenta finansējuma samazināšana.</w:t>
            </w:r>
          </w:p>
          <w:p w14:paraId="486968A8" w14:textId="72DAFBB1" w:rsidR="00D836BD" w:rsidRPr="00943D7A" w:rsidRDefault="00D836BD" w:rsidP="00D836BD">
            <w:pPr>
              <w:jc w:val="both"/>
              <w:rPr>
                <w:b/>
                <w:lang w:eastAsia="x-none"/>
              </w:rPr>
            </w:pPr>
          </w:p>
        </w:tc>
        <w:tc>
          <w:tcPr>
            <w:tcW w:w="2385" w:type="dxa"/>
            <w:tcBorders>
              <w:top w:val="single" w:sz="4" w:space="0" w:color="auto"/>
              <w:left w:val="single" w:sz="4" w:space="0" w:color="auto"/>
              <w:bottom w:val="single" w:sz="4" w:space="0" w:color="auto"/>
            </w:tcBorders>
          </w:tcPr>
          <w:p w14:paraId="0EE0C489" w14:textId="6AECF68F" w:rsidR="00D836BD" w:rsidRPr="00943D7A" w:rsidRDefault="00D836BD" w:rsidP="00D836BD">
            <w:pPr>
              <w:jc w:val="both"/>
              <w:rPr>
                <w:rFonts w:eastAsia="Calibri"/>
              </w:rPr>
            </w:pPr>
            <w:r w:rsidRPr="00943D7A">
              <w:rPr>
                <w:b/>
              </w:rPr>
              <w:lastRenderedPageBreak/>
              <w:t>Informatīvais ziņojums</w:t>
            </w:r>
          </w:p>
        </w:tc>
      </w:tr>
      <w:tr w:rsidR="00D836BD" w:rsidRPr="00943D7A" w14:paraId="35A1946D"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EEEDA5" w14:textId="5CFFCEFE" w:rsidR="00D836BD" w:rsidRPr="00943D7A" w:rsidRDefault="00D836BD" w:rsidP="00D836BD">
            <w:pPr>
              <w:pStyle w:val="naisc"/>
              <w:spacing w:before="0" w:after="0"/>
              <w:ind w:left="426"/>
              <w:jc w:val="left"/>
            </w:pPr>
          </w:p>
          <w:p w14:paraId="5CB4BFA9" w14:textId="4CB0C9B7" w:rsidR="00D836BD" w:rsidRPr="00943D7A" w:rsidRDefault="00F30BF7" w:rsidP="00D836BD">
            <w:r w:rsidRPr="00943D7A">
              <w:t>9</w:t>
            </w:r>
            <w:r w:rsidR="00D836BD"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FA284" w14:textId="6EE6F1CF"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46EF48" w14:textId="741B655B" w:rsidR="00D836BD" w:rsidRPr="00943D7A" w:rsidRDefault="00D836BD" w:rsidP="00D836BD">
            <w:pPr>
              <w:jc w:val="center"/>
              <w:rPr>
                <w:b/>
              </w:rPr>
            </w:pPr>
            <w:r w:rsidRPr="00943D7A">
              <w:rPr>
                <w:b/>
              </w:rPr>
              <w:t>02.09.2019</w:t>
            </w:r>
            <w:r w:rsidR="006E75E6">
              <w:rPr>
                <w:b/>
              </w:rPr>
              <w:t>.</w:t>
            </w:r>
            <w:r w:rsidRPr="00943D7A">
              <w:rPr>
                <w:b/>
              </w:rPr>
              <w:t xml:space="preserve"> Satiksmes ministrijas atzinums</w:t>
            </w:r>
          </w:p>
          <w:p w14:paraId="19335E16" w14:textId="77777777" w:rsidR="00D836BD" w:rsidRPr="00943D7A" w:rsidRDefault="00D836BD" w:rsidP="00D836BD">
            <w:pPr>
              <w:jc w:val="both"/>
              <w:rPr>
                <w:rFonts w:eastAsiaTheme="minorHAnsi"/>
              </w:rPr>
            </w:pPr>
            <w:r w:rsidRPr="00943D7A">
              <w:rPr>
                <w:rFonts w:eastAsiaTheme="minorHAnsi"/>
              </w:rPr>
              <w:t xml:space="preserve">Informatīvā ziņojuma projektā norādīts, ka šo Informatīvo ziņojumu ir plānots izskatīt Ministru kabineta sēdē vienlaikus ar patlaban VARAM gatavoto informatīvo </w:t>
            </w:r>
            <w:r w:rsidRPr="00943D7A">
              <w:rPr>
                <w:rFonts w:eastAsiaTheme="minorHAnsi"/>
              </w:rPr>
              <w:lastRenderedPageBreak/>
              <w:t>ziņojumu par Emisijas kvotu izsilšanas instrumenta (turpmāk – EKII) darbības stratēģiju, kurā tiks identificēti pasākumi EKII finansējuma izmantošanai pēc 2020. gada. Attiecīgi atzinumu Satiksmes ministrija varēs sniegt pēc abu informatīvo ziņojumu izskatīšanas.</w:t>
            </w:r>
          </w:p>
          <w:p w14:paraId="74AA780B" w14:textId="312884CE" w:rsidR="00D836BD" w:rsidRPr="00943D7A" w:rsidRDefault="00D836BD" w:rsidP="00D836BD">
            <w:pPr>
              <w:jc w:val="both"/>
              <w:rPr>
                <w:b/>
              </w:rPr>
            </w:pPr>
            <w:r w:rsidRPr="00943D7A">
              <w:rPr>
                <w:rFonts w:eastAsiaTheme="minorHAnsi"/>
              </w:rPr>
              <w:t xml:space="preserve">Atbilstoši Informatīvajā ziņojumā paredzētajam modernizācijas fonda līdzekļus plānots novirzīt pamatā emisiju samazināšanai Eiropas Savienības emisijas tirdzniecības sistēmā neiekļautajām darbībām (ne-ETS) problemātiskajos sektoros, kas neskar gaisa satiksmi. </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0633D" w14:textId="5F918A8F" w:rsidR="00D836BD" w:rsidRPr="00943D7A" w:rsidRDefault="00D836BD" w:rsidP="00D836BD">
            <w:pPr>
              <w:jc w:val="center"/>
              <w:rPr>
                <w:b/>
                <w:color w:val="000000" w:themeColor="text1"/>
              </w:rPr>
            </w:pPr>
            <w:r w:rsidRPr="00943D7A">
              <w:rPr>
                <w:b/>
                <w:color w:val="000000" w:themeColor="text1"/>
              </w:rPr>
              <w:lastRenderedPageBreak/>
              <w:t>Ņemts vērā</w:t>
            </w:r>
          </w:p>
          <w:p w14:paraId="5EBE8530" w14:textId="35374939" w:rsidR="00D836BD" w:rsidRPr="00943D7A" w:rsidRDefault="00D836BD" w:rsidP="00D836BD">
            <w:pPr>
              <w:jc w:val="both"/>
              <w:rPr>
                <w:rFonts w:eastAsia="Calibri"/>
              </w:rPr>
            </w:pPr>
            <w:r w:rsidRPr="00943D7A">
              <w:rPr>
                <w:color w:val="000000" w:themeColor="text1"/>
              </w:rPr>
              <w:t xml:space="preserve">Emisijas kvotu izsolīšanas instrumenta (turpmāk – EKII) darbība šobrīd ir reglamentēta t.sk. ar VARAM 2016. gada 21 .oktobra rīkojumu </w:t>
            </w:r>
            <w:r w:rsidRPr="00943D7A">
              <w:rPr>
                <w:bCs/>
                <w:color w:val="000000" w:themeColor="text1"/>
              </w:rPr>
              <w:t xml:space="preserve">Nr. 265 “Par Emisijas kvotu izsolīšanas instrumenta darbības stratēģijas apstiprināšanu”. </w:t>
            </w:r>
            <w:r w:rsidRPr="00943D7A">
              <w:rPr>
                <w:bCs/>
                <w:color w:val="000000" w:themeColor="text1"/>
              </w:rPr>
              <w:lastRenderedPageBreak/>
              <w:t xml:space="preserve">Ņemot vērā, ka EKII darbības stratēģijas joprojām tiek gatavota, dokumentu izskatīšana vienā MK sēdē kopā ar informatīvo ziņojumu par Modernizācijas fonda darbību </w:t>
            </w:r>
            <w:r w:rsidR="00546250" w:rsidRPr="00943D7A">
              <w:rPr>
                <w:bCs/>
                <w:color w:val="000000" w:themeColor="text1"/>
              </w:rPr>
              <w:t xml:space="preserve">var arī nebūt </w:t>
            </w:r>
            <w:r w:rsidRPr="00943D7A">
              <w:rPr>
                <w:bCs/>
                <w:color w:val="000000" w:themeColor="text1"/>
              </w:rPr>
              <w:t>iespējama. Līdz ar to ir svītrota</w:t>
            </w:r>
            <w:r w:rsidRPr="00943D7A">
              <w:rPr>
                <w:rFonts w:eastAsia="Calibri"/>
              </w:rPr>
              <w:t xml:space="preserve"> atsauce 10.lpp kājenē attiecībā uz informatīvo ziņojumu par atjaunotās EKII darbības stratēģijas izskatīšanu vienlaicīgi ar Informatīvo ziņojumu par Modernizācijas fonda darbību. </w:t>
            </w:r>
          </w:p>
          <w:p w14:paraId="6BF439EE" w14:textId="77777777" w:rsidR="00D836BD" w:rsidRPr="00943D7A" w:rsidRDefault="00D836BD" w:rsidP="00D836BD">
            <w:pPr>
              <w:jc w:val="both"/>
              <w:rPr>
                <w:rFonts w:eastAsia="Calibri"/>
              </w:rPr>
            </w:pPr>
          </w:p>
          <w:p w14:paraId="0B52CBF3" w14:textId="7AE7F0BF" w:rsidR="00D836BD" w:rsidRPr="00943D7A" w:rsidRDefault="00D836BD" w:rsidP="00D836BD">
            <w:pPr>
              <w:jc w:val="both"/>
              <w:rPr>
                <w:bCs/>
                <w:color w:val="000000" w:themeColor="text1"/>
              </w:rPr>
            </w:pPr>
            <w:r w:rsidRPr="00943D7A">
              <w:rPr>
                <w:rFonts w:eastAsia="Calibri"/>
              </w:rPr>
              <w:t xml:space="preserve">Vēršam uzmanību, ka izstrādājot EKII darbības stratēģiju </w:t>
            </w:r>
            <w:r w:rsidRPr="00943D7A">
              <w:rPr>
                <w:bCs/>
                <w:color w:val="000000" w:themeColor="text1"/>
              </w:rPr>
              <w:t>tiek plānots nodrošināt demarkāciju starp citiem finanšu instrumentiem, novēršot pieejamā finansējuma dublēšanos.</w:t>
            </w:r>
          </w:p>
          <w:p w14:paraId="0266D26B" w14:textId="77777777" w:rsidR="00D836BD" w:rsidRPr="00943D7A" w:rsidRDefault="00D836BD" w:rsidP="00D836BD">
            <w:pPr>
              <w:jc w:val="both"/>
              <w:rPr>
                <w:bCs/>
                <w:color w:val="000000" w:themeColor="text1"/>
              </w:rPr>
            </w:pPr>
          </w:p>
          <w:p w14:paraId="3567BDE8" w14:textId="11058D85" w:rsidR="00D836BD" w:rsidRPr="00943D7A" w:rsidRDefault="00D836BD" w:rsidP="00D836BD">
            <w:pPr>
              <w:jc w:val="both"/>
              <w:rPr>
                <w:bCs/>
                <w:color w:val="000000" w:themeColor="text1"/>
              </w:rPr>
            </w:pPr>
            <w:r w:rsidRPr="00943D7A">
              <w:t xml:space="preserve">Informatīvā ziņojuma </w:t>
            </w:r>
            <w:r w:rsidRPr="00943D7A">
              <w:rPr>
                <w:u w:val="single"/>
              </w:rPr>
              <w:t>uzdevums nav noteikt konkrētus pasākumus vai pat projektus</w:t>
            </w:r>
            <w:r w:rsidRPr="00943D7A">
              <w:t xml:space="preserve">, kas tiks atbalstīti Modernizācijas fonda ietvaros. Saskaņā ar ministru kabineta 2019. gada 17. jūnija rīkojumu Nr. 381 (prot. Nr. 33 75. §) “Par konceptuālo ziņojumu "Par bezmaksas emisijas kvotu piešķiršanu elektroenerģijas ražotājiem Eiropas Savienības emisiju tirdzniecības sistēmas 2021.–2030. gada periodā"” 3. punktu Informatīvā ziņojuma un protokollēmuma uzdevums ir </w:t>
            </w:r>
            <w:r w:rsidRPr="00943D7A">
              <w:rPr>
                <w:u w:val="single"/>
              </w:rPr>
              <w:t>noteikt Modernizācijas fonda pārvaldību un pieejamo finansējuma apjomu</w:t>
            </w:r>
            <w:r w:rsidRPr="00943D7A">
              <w:t>, lai saskaņā ar Direktīvas 2003/87 10.d panta 4. daļu līdz 2019. gada 30. septembrim būtu iespējams paziņot Eiropas Komisijai par izmantojamajiem emisijas kvotu apjomiem Modernizācijas fonda vajadzībām.</w:t>
            </w:r>
          </w:p>
          <w:p w14:paraId="67ED2DDE" w14:textId="77777777" w:rsidR="00D836BD" w:rsidRPr="00943D7A" w:rsidRDefault="00D836BD" w:rsidP="00D836BD">
            <w:pPr>
              <w:jc w:val="both"/>
              <w:rPr>
                <w:bCs/>
                <w:color w:val="000000" w:themeColor="text1"/>
              </w:rPr>
            </w:pPr>
          </w:p>
          <w:p w14:paraId="4ACC32E2" w14:textId="07E7F356" w:rsidR="00D836BD" w:rsidRPr="00943D7A" w:rsidRDefault="00D836BD" w:rsidP="00D836BD">
            <w:pPr>
              <w:jc w:val="both"/>
            </w:pPr>
            <w:r w:rsidRPr="00943D7A">
              <w:rPr>
                <w:bCs/>
                <w:color w:val="000000" w:themeColor="text1"/>
              </w:rPr>
              <w:lastRenderedPageBreak/>
              <w:t xml:space="preserve">Papildus informējam, ka saskaņā ar </w:t>
            </w:r>
            <w:r w:rsidRPr="00943D7A">
              <w:t>2009. gada 7. aprīļa Ministru kabineta noteikumu Nr. 300 “Ministru kabineta kārtības rullis” 79. punktu ministrija vai cita institūcija nevar atteikties sniegt atzinumu, ja attiecīgais projekts tieši skar tās kompetencē esošos jautājumus.</w:t>
            </w:r>
          </w:p>
        </w:tc>
        <w:tc>
          <w:tcPr>
            <w:tcW w:w="2385" w:type="dxa"/>
            <w:tcBorders>
              <w:top w:val="single" w:sz="4" w:space="0" w:color="auto"/>
              <w:left w:val="single" w:sz="4" w:space="0" w:color="auto"/>
              <w:bottom w:val="single" w:sz="4" w:space="0" w:color="auto"/>
            </w:tcBorders>
          </w:tcPr>
          <w:p w14:paraId="16C8EFBB" w14:textId="768444A1" w:rsidR="00D836BD" w:rsidRPr="00943D7A" w:rsidRDefault="00D836BD" w:rsidP="00D836BD">
            <w:pPr>
              <w:jc w:val="both"/>
              <w:rPr>
                <w:rFonts w:eastAsia="Calibri"/>
              </w:rPr>
            </w:pPr>
            <w:r w:rsidRPr="00943D7A">
              <w:rPr>
                <w:b/>
              </w:rPr>
              <w:lastRenderedPageBreak/>
              <w:t>Informatīvais ziņojums</w:t>
            </w:r>
          </w:p>
        </w:tc>
      </w:tr>
      <w:tr w:rsidR="00D836BD" w:rsidRPr="00943D7A" w14:paraId="52900685"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735353" w14:textId="2500DE16" w:rsidR="00D836BD" w:rsidRPr="00943D7A" w:rsidRDefault="00F30BF7" w:rsidP="00D836BD">
            <w:r w:rsidRPr="00943D7A">
              <w:lastRenderedPageBreak/>
              <w:t>10</w:t>
            </w:r>
            <w:r w:rsidR="00D836BD"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509FC0" w14:textId="64AB85D1"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570523" w14:textId="5A0C5276" w:rsidR="00D836BD" w:rsidRPr="00943D7A" w:rsidRDefault="00D836BD" w:rsidP="00D836BD">
            <w:pPr>
              <w:pStyle w:val="ListParagraph"/>
              <w:widowControl w:val="0"/>
              <w:spacing w:after="0" w:line="240" w:lineRule="auto"/>
              <w:ind w:left="0"/>
              <w:jc w:val="center"/>
              <w:rPr>
                <w:rFonts w:ascii="Times New Roman" w:hAnsi="Times New Roman"/>
                <w:b/>
                <w:bCs/>
                <w:sz w:val="24"/>
                <w:szCs w:val="24"/>
                <w:lang w:val="lv-LV"/>
              </w:rPr>
            </w:pPr>
            <w:r w:rsidRPr="00943D7A">
              <w:rPr>
                <w:rFonts w:ascii="Times New Roman" w:hAnsi="Times New Roman"/>
                <w:b/>
                <w:bCs/>
                <w:sz w:val="24"/>
                <w:szCs w:val="24"/>
                <w:lang w:val="lv-LV"/>
              </w:rPr>
              <w:t>Ekonomikas ministrijas 02.09.2019</w:t>
            </w:r>
            <w:r w:rsidR="006E75E6">
              <w:rPr>
                <w:rFonts w:ascii="Times New Roman" w:hAnsi="Times New Roman"/>
                <w:b/>
                <w:bCs/>
                <w:sz w:val="24"/>
                <w:szCs w:val="24"/>
                <w:lang w:val="lv-LV"/>
              </w:rPr>
              <w:t>.</w:t>
            </w:r>
            <w:r w:rsidRPr="00943D7A">
              <w:rPr>
                <w:rFonts w:ascii="Times New Roman" w:hAnsi="Times New Roman"/>
                <w:b/>
                <w:bCs/>
                <w:sz w:val="24"/>
                <w:szCs w:val="24"/>
                <w:lang w:val="lv-LV"/>
              </w:rPr>
              <w:t xml:space="preserve"> atzinums</w:t>
            </w:r>
          </w:p>
          <w:p w14:paraId="776D1456" w14:textId="77777777" w:rsidR="00D836BD" w:rsidRPr="00943D7A" w:rsidRDefault="00D836BD" w:rsidP="00D836BD">
            <w:pPr>
              <w:spacing w:before="120" w:after="120"/>
              <w:jc w:val="both"/>
            </w:pPr>
            <w:r w:rsidRPr="00943D7A">
              <w:t xml:space="preserve">Ņemot vērā šī atzinuma 1.punktā minētos argumentus, </w:t>
            </w:r>
            <w:r w:rsidRPr="00943D7A">
              <w:rPr>
                <w:b/>
                <w:bCs/>
              </w:rPr>
              <w:t>neatbalstām Informatīvā ziņojuma 3.nodaļas 5.rindkopu</w:t>
            </w:r>
            <w:r w:rsidRPr="00943D7A">
              <w:t>, kur ir noteikts, ka par MF atbildīgā iestāde ir VARAM, kā ar argumentu minot to, ka VARAM nodrošina līdzdalību ES ETS un izpilda Latvijas saistības attiecībā uz SEG emisiju samazināšanu un oglekļa dioksīda piesaisti likuma “Par piesārņojumu” 2. panta 9. punkta izpratnē.</w:t>
            </w:r>
          </w:p>
          <w:p w14:paraId="2EB21490" w14:textId="77777777" w:rsidR="00D836BD" w:rsidRPr="00943D7A" w:rsidRDefault="00D836BD" w:rsidP="00D836BD">
            <w:pPr>
              <w:spacing w:before="120" w:after="120"/>
              <w:jc w:val="both"/>
            </w:pPr>
            <w:r w:rsidRPr="00943D7A">
              <w:t xml:space="preserve">Norādām, ka MF administrēšana pēc būtības nav saistīta ar Latvijas līdzdalības ES ETS nodrošināšanu. MF tiks iekļauti finanšu līdzekļi, kas gūti izsolot emisijas kvotas, kuru izsolīšanu neveiks dalībvalsts, bet tā tiks veikta Kopējā izsoļu platformā (šobrīd šis pats princips tiek ievērots finanšu līdzekļu ieguvei Emisijas kvotu izsolīšanas instrumentam (turpmāk – EKII)). Savukārt ar Latvijas līdzdalību ES ETS nodrošināšanu ir saprotamas tādas darbības, kā SEG atļauju izsniegšana, ES </w:t>
            </w:r>
            <w:r w:rsidRPr="00943D7A">
              <w:lastRenderedPageBreak/>
              <w:t>ETS Latvijas operatoru un gaisa kuģu operatoru darbību monitorings un uzraudzība, ikgadējo emisiju ziņojumu pārbaude, emisijas kvotu piešķiršana un piešķīruma atbilstības pārbaude uc. Tāpēc ir secināms, ka MF administrēšana un tajā iekļauto līdzekļu izmantošana nav saistīta ar Latvijas līdzdalību ES ETS nodrošināšanu.</w:t>
            </w:r>
          </w:p>
          <w:p w14:paraId="00CBB2C1" w14:textId="77777777" w:rsidR="00D836BD" w:rsidRPr="00943D7A" w:rsidRDefault="00D836BD" w:rsidP="00D836BD">
            <w:pPr>
              <w:spacing w:before="120" w:after="120"/>
              <w:jc w:val="both"/>
            </w:pPr>
            <w:r w:rsidRPr="00943D7A">
              <w:t>Papildus norādām, ka VARAM klimata politiku izstrādā sadarbībā ar Zemkopības ministriju, Ekonomikas ministriju, Satiksmes ministriju un citām nozaru ministrijām un koordinē attiecīgās politikas īstenošanu</w:t>
            </w:r>
            <w:r w:rsidRPr="00943D7A">
              <w:rPr>
                <w:rStyle w:val="FootnoteReference"/>
              </w:rPr>
              <w:footnoteReference w:id="6"/>
            </w:r>
            <w:r w:rsidRPr="00943D7A">
              <w:t>. SEG emisiju samazināšanas saistības tiek izpildītas nozarēs – enerģētika, transports, rūpnieciskie procesi, ķīmisko vielu izmantošana, lauksaimniecība, atkritumu apsaimniekošana, kurās nozaru ministrija īsteno pasākumus, kas nodrošina SEG emisiju saistību izpildi. Līdz ar to ir saprotams, ka SEG emisiju samazināšanas saistības izpilda ne tikai VARAM, bet visas nozaru ministrijas, kuru nozarēs tiek radītas SEG emisijas.</w:t>
            </w:r>
          </w:p>
          <w:p w14:paraId="150D4153" w14:textId="41DDBB7C" w:rsidR="00D836BD" w:rsidRPr="00943D7A" w:rsidRDefault="00D836BD" w:rsidP="00D836BD">
            <w:pPr>
              <w:spacing w:before="120" w:after="120"/>
              <w:jc w:val="both"/>
              <w:rPr>
                <w:b/>
                <w:bCs/>
              </w:rPr>
            </w:pPr>
            <w:r w:rsidRPr="00943D7A">
              <w:t xml:space="preserve">Līdz ar to norādām, ka Informatīvā ziņojuma 3.nodaļas 5. rindkopa ir svītrojama. </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49C34B" w14:textId="35B1B60F" w:rsidR="00D836BD" w:rsidRPr="00943D7A" w:rsidRDefault="00D836BD" w:rsidP="00D836BD">
            <w:pPr>
              <w:jc w:val="center"/>
              <w:rPr>
                <w:b/>
                <w:lang w:eastAsia="x-none"/>
              </w:rPr>
            </w:pPr>
            <w:r w:rsidRPr="00943D7A">
              <w:rPr>
                <w:b/>
                <w:lang w:eastAsia="x-none"/>
              </w:rPr>
              <w:lastRenderedPageBreak/>
              <w:t>Ņemts vērā</w:t>
            </w:r>
          </w:p>
          <w:p w14:paraId="1BD5CFD1" w14:textId="5D0ACDE8" w:rsidR="00D836BD" w:rsidRPr="00943D7A" w:rsidRDefault="00D836BD" w:rsidP="00D836BD">
            <w:pPr>
              <w:spacing w:before="120" w:after="120"/>
              <w:jc w:val="both"/>
            </w:pPr>
            <w:r w:rsidRPr="00943D7A">
              <w:t xml:space="preserve">Ņemot vērā redakcionālo kļūdu, labota atsauce uz likuma “Par piesārņojumu” 2. panta 8.  punktu Informatīvā ziņojuma 3. nodaļas 6. rindkopā. </w:t>
            </w:r>
          </w:p>
          <w:p w14:paraId="749247E9" w14:textId="77777777" w:rsidR="00D836BD" w:rsidRPr="00943D7A" w:rsidRDefault="00D836BD" w:rsidP="00D836BD">
            <w:pPr>
              <w:spacing w:before="120" w:after="120"/>
              <w:jc w:val="both"/>
            </w:pPr>
            <w:r w:rsidRPr="00943D7A">
              <w:t>Atsaucoties uz Direktīvas 2003/87 1. pantu ar šo Direktīvu tiek izveidota SEG emisijas kvotu tirdzniecība ES, lai veicinātu SEG emisiju samazināšanos rentablā un ekonomiski efektīvā veidā. Saskaņā arī ar Eiropas Komisijas pausto</w:t>
            </w:r>
            <w:r w:rsidRPr="00943D7A">
              <w:rPr>
                <w:rStyle w:val="FootnoteReference"/>
              </w:rPr>
              <w:footnoteReference w:id="7"/>
            </w:r>
            <w:r w:rsidRPr="00943D7A">
              <w:t xml:space="preserve">, ES ETS ir stūrakmens ES politikā cīņai pret klimata pārmaiņām un ir galvenais tās instruments SEG emisiju rentablai samazināšanai. Jānorāda, ka Modernizācijas fonds ir nedalāma Direktīvas 2003/87 sastāvdaļa un arī ir attiecināms uz klimata pārmaiņu mazināšanu un klimata mērķu sasniegšanu. </w:t>
            </w:r>
          </w:p>
          <w:p w14:paraId="388FC5F3" w14:textId="54B58774" w:rsidR="00D836BD" w:rsidRPr="00943D7A" w:rsidRDefault="00D836BD" w:rsidP="00D836BD">
            <w:pPr>
              <w:spacing w:before="120" w:after="120"/>
              <w:jc w:val="both"/>
              <w:rPr>
                <w:b/>
              </w:rPr>
            </w:pPr>
            <w:r w:rsidRPr="00943D7A">
              <w:t xml:space="preserve">Piekrītam, ka VARAM izstrādā politiku klimata pārmaiņu samazināšanas saistību – SEG emisiju samazināšana un oglekļa dioksīda piesaiste – izpildei, atbilstoši konkrēto saistību izpildes termiņiem un </w:t>
            </w:r>
            <w:r w:rsidRPr="00943D7A">
              <w:rPr>
                <w:u w:val="single"/>
              </w:rPr>
              <w:t>koordinē</w:t>
            </w:r>
            <w:r w:rsidRPr="00943D7A">
              <w:t xml:space="preserve"> attiecīgās politikas īstenošanu, kā to nosaka arī likuma “Par piesārņojumu” 52. panta 1. punkts. Tā kā VARAM </w:t>
            </w:r>
            <w:r w:rsidRPr="00943D7A">
              <w:lastRenderedPageBreak/>
              <w:t>koordinē klimata politikas īstenošanu un saskaņā ar Ministru kabineta 2011. gada 29. marta noteikumu Nr. 233 “Vides aizsardzības un reģionālās attīstības ministrijas nolikums” 4. punktu ir atbildīgā iestāde par klimata politikas izstrādi, tad par Modernizācijas fonda, kura ietvaros var veikt investīcijas ne tikai enerģētikas sektorā, bet arī, piemēram, transporta, lauksaimniecības un atkritumu apsaimniekošanas nozarē, atbildīgo iestādi jānosaka VARAM.</w:t>
            </w:r>
          </w:p>
        </w:tc>
        <w:tc>
          <w:tcPr>
            <w:tcW w:w="2385" w:type="dxa"/>
            <w:tcBorders>
              <w:top w:val="single" w:sz="4" w:space="0" w:color="auto"/>
              <w:left w:val="single" w:sz="4" w:space="0" w:color="auto"/>
              <w:bottom w:val="single" w:sz="4" w:space="0" w:color="auto"/>
            </w:tcBorders>
          </w:tcPr>
          <w:p w14:paraId="7EA9C8F9" w14:textId="233995D6" w:rsidR="00D836BD" w:rsidRPr="00943D7A" w:rsidRDefault="00D836BD" w:rsidP="00D836BD">
            <w:pPr>
              <w:jc w:val="both"/>
              <w:rPr>
                <w:b/>
              </w:rPr>
            </w:pPr>
            <w:r w:rsidRPr="00943D7A">
              <w:rPr>
                <w:b/>
              </w:rPr>
              <w:lastRenderedPageBreak/>
              <w:t>Informatīvais ziņojums</w:t>
            </w:r>
          </w:p>
        </w:tc>
      </w:tr>
      <w:tr w:rsidR="00D836BD" w:rsidRPr="00943D7A" w14:paraId="726D350D"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899D3A" w14:textId="2D54A552" w:rsidR="00D836BD" w:rsidRPr="00943D7A" w:rsidRDefault="00D836BD" w:rsidP="00D836BD">
            <w:r w:rsidRPr="00943D7A">
              <w:t>1</w:t>
            </w:r>
            <w:r w:rsidR="00F30BF7" w:rsidRPr="00943D7A">
              <w:t>1</w:t>
            </w:r>
            <w:r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618DEA" w14:textId="69B925CB"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9921A4" w14:textId="25C46331" w:rsidR="00D836BD" w:rsidRPr="00943D7A" w:rsidRDefault="00D836BD" w:rsidP="00D836BD">
            <w:pPr>
              <w:pStyle w:val="ListParagraph"/>
              <w:widowControl w:val="0"/>
              <w:spacing w:after="0" w:line="240" w:lineRule="auto"/>
              <w:ind w:left="0"/>
              <w:jc w:val="center"/>
              <w:rPr>
                <w:rFonts w:ascii="Times New Roman" w:hAnsi="Times New Roman"/>
                <w:b/>
                <w:bCs/>
                <w:sz w:val="24"/>
                <w:szCs w:val="24"/>
                <w:lang w:val="lv-LV"/>
              </w:rPr>
            </w:pPr>
            <w:r w:rsidRPr="00943D7A">
              <w:rPr>
                <w:rFonts w:ascii="Times New Roman" w:hAnsi="Times New Roman"/>
                <w:b/>
                <w:bCs/>
                <w:sz w:val="24"/>
                <w:szCs w:val="24"/>
                <w:lang w:val="lv-LV"/>
              </w:rPr>
              <w:t>Ekonomikas ministrijas 02.09.2019</w:t>
            </w:r>
            <w:r w:rsidR="006E75E6">
              <w:rPr>
                <w:rFonts w:ascii="Times New Roman" w:hAnsi="Times New Roman"/>
                <w:b/>
                <w:bCs/>
                <w:sz w:val="24"/>
                <w:szCs w:val="24"/>
                <w:lang w:val="lv-LV"/>
              </w:rPr>
              <w:t>.</w:t>
            </w:r>
            <w:r w:rsidRPr="00943D7A">
              <w:rPr>
                <w:rFonts w:ascii="Times New Roman" w:hAnsi="Times New Roman"/>
                <w:b/>
                <w:bCs/>
                <w:sz w:val="24"/>
                <w:szCs w:val="24"/>
                <w:lang w:val="lv-LV"/>
              </w:rPr>
              <w:t xml:space="preserve"> atzinums.</w:t>
            </w:r>
          </w:p>
          <w:p w14:paraId="27AC7C67" w14:textId="77777777" w:rsidR="00D836BD" w:rsidRPr="00943D7A" w:rsidRDefault="00D836BD" w:rsidP="00D836BD">
            <w:pPr>
              <w:jc w:val="both"/>
            </w:pPr>
            <w:r w:rsidRPr="00943D7A">
              <w:lastRenderedPageBreak/>
              <w:t>Attiecībā uz Informatīvā ziņojuma 2.nodaļas pēdējo rindkopu, lūdzam to papildināt ar šādu informāciju:</w:t>
            </w:r>
          </w:p>
          <w:p w14:paraId="1F2D3D82" w14:textId="77777777" w:rsidR="00D836BD" w:rsidRPr="00943D7A" w:rsidRDefault="00D836BD" w:rsidP="00D836BD">
            <w:pPr>
              <w:jc w:val="both"/>
            </w:pPr>
            <w:r w:rsidRPr="00943D7A">
              <w:t>1) kādi ne-ETS projekti nevarēs kvalificēties pie šāda nosacījuma?</w:t>
            </w:r>
          </w:p>
          <w:p w14:paraId="259D5FA6" w14:textId="77777777" w:rsidR="00D836BD" w:rsidRPr="00943D7A" w:rsidRDefault="00D836BD" w:rsidP="00D836BD">
            <w:pPr>
              <w:jc w:val="both"/>
            </w:pPr>
            <w:r w:rsidRPr="00943D7A">
              <w:t>2) vai mazo rūpniecības uzņēmumu energoapgāde un energoefektivitāte ir ietverta?</w:t>
            </w:r>
          </w:p>
          <w:p w14:paraId="216B185B" w14:textId="77777777" w:rsidR="00D836BD" w:rsidRPr="00943D7A" w:rsidRDefault="00D836BD" w:rsidP="00D836BD">
            <w:pPr>
              <w:jc w:val="both"/>
            </w:pPr>
            <w:r w:rsidRPr="00943D7A">
              <w:t>3)</w:t>
            </w:r>
            <w:r w:rsidRPr="00943D7A">
              <w:tab/>
              <w:t>vai mājsaimniecību energosistēmu modernizēšana un energoefektivitāte ir ietverta?</w:t>
            </w:r>
          </w:p>
          <w:p w14:paraId="2492259D" w14:textId="77777777" w:rsidR="00D836BD" w:rsidRPr="00943D7A" w:rsidRDefault="00D836BD" w:rsidP="00D836BD">
            <w:pPr>
              <w:jc w:val="both"/>
            </w:pPr>
            <w:r w:rsidRPr="00943D7A">
              <w:t>4) ņemot vērā mājsaimniecību zemo maksātspēju, kādi pasākumi būtu un kādi nebūtu pieejami mājsaimniecībām?</w:t>
            </w:r>
          </w:p>
          <w:p w14:paraId="758E2DA9" w14:textId="77777777" w:rsidR="00D836BD" w:rsidRPr="00943D7A" w:rsidRDefault="00D836BD" w:rsidP="00D836BD">
            <w:pPr>
              <w:jc w:val="center"/>
              <w:rPr>
                <w:b/>
              </w:rPr>
            </w:pP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EFA51" w14:textId="23598230" w:rsidR="00D836BD" w:rsidRPr="00943D7A" w:rsidRDefault="00D836BD" w:rsidP="00D836BD">
            <w:pPr>
              <w:spacing w:before="120" w:after="120"/>
              <w:jc w:val="center"/>
              <w:rPr>
                <w:b/>
              </w:rPr>
            </w:pPr>
            <w:r w:rsidRPr="00943D7A">
              <w:rPr>
                <w:b/>
              </w:rPr>
              <w:lastRenderedPageBreak/>
              <w:t>Ņemts vērā</w:t>
            </w:r>
          </w:p>
          <w:p w14:paraId="6E25C812" w14:textId="77777777" w:rsidR="00D836BD" w:rsidRPr="00943D7A" w:rsidRDefault="00D836BD" w:rsidP="00D836BD">
            <w:pPr>
              <w:spacing w:before="120" w:after="120"/>
              <w:jc w:val="both"/>
            </w:pPr>
            <w:r w:rsidRPr="00943D7A">
              <w:lastRenderedPageBreak/>
              <w:t>Precizēts informatīvais ziņojums svītrojot vārdu “trīs” 2. nodaļas pēdējā rindkopā.</w:t>
            </w:r>
          </w:p>
          <w:p w14:paraId="3A7941CA" w14:textId="45D968AE" w:rsidR="00D836BD" w:rsidRPr="00943D7A" w:rsidRDefault="00D836BD" w:rsidP="00D836BD">
            <w:pPr>
              <w:spacing w:before="120" w:after="120"/>
              <w:jc w:val="both"/>
            </w:pPr>
            <w:r w:rsidRPr="00943D7A">
              <w:t xml:space="preserve">Informatīvā ziņojuma 2. sadaļā tiek norādīti Latvijas problemātiskie sektori SEG emisiju ziņā un šie būtu potenciālie virzieni, kuros vajadzētu koncentrēt Modernizācijas fonda līdzekļus. Lūdzam ņemt vērā, ka Informatīvā ziņojuma </w:t>
            </w:r>
            <w:r w:rsidRPr="00943D7A">
              <w:rPr>
                <w:u w:val="single"/>
              </w:rPr>
              <w:t>uzdevums nav noteikt konkrētus pasākumus vai pat projektus</w:t>
            </w:r>
            <w:r w:rsidRPr="00943D7A">
              <w:t xml:space="preserve">, kas tiks atbalstīti Modernizācijas fonda ietvaros. Saskaņā ar ministru kabineta 2019. gada 17. jūnija rīkojumu Nr. 381 (prot. Nr. 33 75. §) “Par konceptuālo ziņojumu "Par bezmaksas emisijas kvotu piešķiršanu elektroenerģijas ražotājiem Eiropas Savienības emisiju tirdzniecības sistēmas 2021.–2030. gada periodā"” 3. punktu Informatīvā ziņojuma un protokollēmuma uzdevums ir </w:t>
            </w:r>
            <w:r w:rsidRPr="00943D7A">
              <w:rPr>
                <w:u w:val="single"/>
              </w:rPr>
              <w:t xml:space="preserve">noteikt Modernizācijas fonda pārvaldību un </w:t>
            </w:r>
            <w:r w:rsidR="00133803" w:rsidRPr="00943D7A">
              <w:rPr>
                <w:u w:val="single"/>
              </w:rPr>
              <w:t xml:space="preserve">potenciāli </w:t>
            </w:r>
            <w:r w:rsidRPr="00943D7A">
              <w:rPr>
                <w:u w:val="single"/>
              </w:rPr>
              <w:t>pieejamo finansējuma apjomu</w:t>
            </w:r>
            <w:r w:rsidRPr="00943D7A">
              <w:t xml:space="preserve">, lai saskaņā ar Direktīvas 2003/87 10.d panta 4. daļu līdz 2019. gada 30. septembrim būtu iespējams paziņot Eiropas Komisijai par izmantojamajiem emisijas kvotu apjomiem Modernizācijas fonda vajadzībām. </w:t>
            </w:r>
          </w:p>
          <w:p w14:paraId="6A7A9CB6" w14:textId="58DDC7E9" w:rsidR="00D836BD" w:rsidRPr="00943D7A" w:rsidRDefault="00D836BD" w:rsidP="00D836BD">
            <w:pPr>
              <w:spacing w:before="120" w:after="120"/>
              <w:jc w:val="both"/>
              <w:rPr>
                <w:b/>
              </w:rPr>
            </w:pPr>
            <w:r w:rsidRPr="00943D7A">
              <w:t xml:space="preserve">Papildus jānorāda, ka saskaņā ar Direktīvas 2003/87 10.d panta 12. punktu Eiropas Komisija izstrādās īstenošanas regulu par detāli izstrādātiem nosacījumiem attiecībā uz Modernizācijas fonda darbību, kuras izstrāde un ieviešana plānota 2019.-2020. gadā. Detāla Modernizācijas fonda noteikumu izstrāde nacionālā līmenī, t.sk. par atbalstāmajiem pasākumiem tiks uzsākti jau pēc </w:t>
            </w:r>
            <w:r w:rsidRPr="00943D7A">
              <w:lastRenderedPageBreak/>
              <w:t>minētās īstenošanas regulas pirmā projekta saņemšanas no Eiropas Komisijas.</w:t>
            </w:r>
          </w:p>
        </w:tc>
        <w:tc>
          <w:tcPr>
            <w:tcW w:w="2385" w:type="dxa"/>
            <w:tcBorders>
              <w:top w:val="single" w:sz="4" w:space="0" w:color="auto"/>
              <w:left w:val="single" w:sz="4" w:space="0" w:color="auto"/>
              <w:bottom w:val="single" w:sz="4" w:space="0" w:color="auto"/>
            </w:tcBorders>
          </w:tcPr>
          <w:p w14:paraId="7CDAD6BE" w14:textId="1F0A5059" w:rsidR="00D836BD" w:rsidRPr="00943D7A" w:rsidRDefault="00D836BD" w:rsidP="00D836BD">
            <w:pPr>
              <w:jc w:val="both"/>
              <w:rPr>
                <w:b/>
              </w:rPr>
            </w:pPr>
            <w:r w:rsidRPr="00943D7A">
              <w:rPr>
                <w:b/>
              </w:rPr>
              <w:lastRenderedPageBreak/>
              <w:t>Informatīvais ziņojums</w:t>
            </w:r>
          </w:p>
        </w:tc>
      </w:tr>
      <w:tr w:rsidR="00D836BD" w:rsidRPr="00943D7A" w14:paraId="11FB374E"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26C2A7" w14:textId="2356FE87" w:rsidR="00D836BD" w:rsidRPr="00943D7A" w:rsidRDefault="00D836BD" w:rsidP="00D836BD">
            <w:r w:rsidRPr="00943D7A">
              <w:lastRenderedPageBreak/>
              <w:t>1</w:t>
            </w:r>
            <w:r w:rsidR="00F30BF7" w:rsidRPr="00943D7A">
              <w:t>2</w:t>
            </w:r>
            <w:r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065317" w14:textId="3401AAD8"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85579E" w14:textId="7A1E1EF9" w:rsidR="00D836BD" w:rsidRPr="00943D7A" w:rsidRDefault="00D836BD" w:rsidP="00D836BD">
            <w:pPr>
              <w:pStyle w:val="ListParagraph"/>
              <w:widowControl w:val="0"/>
              <w:spacing w:after="0" w:line="240" w:lineRule="auto"/>
              <w:ind w:left="0"/>
              <w:jc w:val="center"/>
              <w:rPr>
                <w:rFonts w:ascii="Times New Roman" w:hAnsi="Times New Roman"/>
                <w:b/>
                <w:bCs/>
                <w:sz w:val="24"/>
                <w:szCs w:val="24"/>
                <w:lang w:val="lv-LV"/>
              </w:rPr>
            </w:pPr>
            <w:r w:rsidRPr="00943D7A">
              <w:rPr>
                <w:rFonts w:ascii="Times New Roman" w:hAnsi="Times New Roman"/>
                <w:b/>
                <w:bCs/>
                <w:sz w:val="24"/>
                <w:szCs w:val="24"/>
                <w:lang w:val="lv-LV"/>
              </w:rPr>
              <w:t>Ekonomikas ministrijas 02.09.2019</w:t>
            </w:r>
            <w:r w:rsidR="006E75E6">
              <w:rPr>
                <w:rFonts w:ascii="Times New Roman" w:hAnsi="Times New Roman"/>
                <w:b/>
                <w:bCs/>
                <w:sz w:val="24"/>
                <w:szCs w:val="24"/>
                <w:lang w:val="lv-LV"/>
              </w:rPr>
              <w:t>.</w:t>
            </w:r>
            <w:r w:rsidRPr="00943D7A">
              <w:rPr>
                <w:rFonts w:ascii="Times New Roman" w:hAnsi="Times New Roman"/>
                <w:b/>
                <w:bCs/>
                <w:sz w:val="24"/>
                <w:szCs w:val="24"/>
                <w:lang w:val="lv-LV"/>
              </w:rPr>
              <w:t xml:space="preserve"> atzinums</w:t>
            </w:r>
          </w:p>
          <w:p w14:paraId="2F7F2FA7" w14:textId="77777777" w:rsidR="00D836BD" w:rsidRPr="00943D7A" w:rsidRDefault="00D836BD" w:rsidP="00D836BD">
            <w:pPr>
              <w:spacing w:before="120" w:after="120"/>
              <w:jc w:val="both"/>
            </w:pPr>
            <w:r w:rsidRPr="00943D7A">
              <w:rPr>
                <w:b/>
                <w:bCs/>
              </w:rPr>
              <w:t>Neatbalstām Informatīvā ziņojuma 1.rindkopu</w:t>
            </w:r>
            <w:r w:rsidRPr="00943D7A">
              <w:t>, kur ir noteikts, ka Informatīvais ziņojums ir sagatavots saskaņā ar Ministru kabineta 2019. gada 17. jūlija rīkojuma Nr. 381 3. punktu.</w:t>
            </w:r>
          </w:p>
          <w:p w14:paraId="3D53D8D5" w14:textId="77777777" w:rsidR="00D836BD" w:rsidRPr="00943D7A" w:rsidRDefault="00D836BD" w:rsidP="00D836BD">
            <w:pPr>
              <w:spacing w:before="120" w:after="120"/>
              <w:jc w:val="both"/>
            </w:pPr>
            <w:r w:rsidRPr="00943D7A">
              <w:t>Norādām, ka Informatīvais ziņojums un Protokollēmums ir sagatavots, pārkāpjot Ministru kabineta 2019.gada 17.jūlija rīkojuma Nr.381 “Par konceptuālo ziņojumu "Par bezmaksas emisijas kvotu piešķiršanu elektroenerģijas ražotājiem Eiropas Savienības emisiju tirdzniecības sistēmas 2021.–2030. gada periodā"” 3.punktu, jo VARAM Informatīvo ziņojuma un Protokollēmuma izstrādē neiesaistīja Ekonomikas ministriju, Satiksmes ministriju un Zemkopības ministriju, līdz ar to arī neievēroja nosacījumu par ministriju sadarbību.</w:t>
            </w:r>
          </w:p>
          <w:p w14:paraId="16AE6BB4" w14:textId="559876DE" w:rsidR="00D836BD" w:rsidRPr="00943D7A" w:rsidRDefault="00D836BD" w:rsidP="00D836BD">
            <w:pPr>
              <w:spacing w:before="120" w:after="120"/>
              <w:jc w:val="both"/>
              <w:rPr>
                <w:b/>
              </w:rPr>
            </w:pPr>
            <w:r w:rsidRPr="00943D7A">
              <w:t>Līdz ar to norādām, ka Informatīvā ziņojuma 1.rindkopa ir attiecīgi jālabo, nosakot, ka VARAM sagatavoja Informatīvo ziņojumu vienpersoniski.</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8E38F4" w14:textId="476CA22B" w:rsidR="00D836BD" w:rsidRPr="00943D7A" w:rsidRDefault="00D836BD" w:rsidP="00D836BD">
            <w:pPr>
              <w:jc w:val="center"/>
              <w:rPr>
                <w:b/>
                <w:lang w:eastAsia="x-none"/>
              </w:rPr>
            </w:pPr>
            <w:r w:rsidRPr="00943D7A">
              <w:rPr>
                <w:b/>
                <w:lang w:eastAsia="x-none"/>
              </w:rPr>
              <w:t>Ņemts vērā</w:t>
            </w:r>
          </w:p>
          <w:p w14:paraId="7B2BCC71" w14:textId="77777777" w:rsidR="00D836BD" w:rsidRPr="00943D7A" w:rsidRDefault="00D836BD" w:rsidP="00D836BD">
            <w:pPr>
              <w:spacing w:before="120" w:after="120"/>
              <w:jc w:val="both"/>
            </w:pPr>
            <w:r w:rsidRPr="00943D7A">
              <w:t xml:space="preserve">Precizēta informatīvā ziņojuma 1. rindkopa: “Informatīvais ziņojums ir sagatavots balstoties uz Ministru kabineta 2019. gada 17. jūlija rīkojuma Nr. 381 3. punktu.” </w:t>
            </w:r>
          </w:p>
          <w:p w14:paraId="5A4F0927" w14:textId="77777777" w:rsidR="00D836BD" w:rsidRPr="00943D7A" w:rsidRDefault="00D836BD" w:rsidP="00D836BD">
            <w:pPr>
              <w:spacing w:before="120" w:after="120"/>
              <w:jc w:val="both"/>
            </w:pPr>
            <w:r w:rsidRPr="00943D7A">
              <w:t>Informatīvais ziņojums tika izsludināts 2019. gada 15. augustā valsts sekretāru sanāksmē un saskaņā ar 2009. gada 7. aprīļa Ministru kabineta noteikumu Nr. 300 “Ministru kabineta kārtības rullis” 88. punktu 10 darbadienu laikā saskaņošanā iesaistītajām institūcijām dota iespēja sniegt konstruktīvus priekšlikumus tādā veidā nodrošinot savu ieguldījumu Informatīvā ziņojuma un protokollēmuma izstrādē.</w:t>
            </w:r>
          </w:p>
          <w:p w14:paraId="3C66A3C5" w14:textId="77777777" w:rsidR="00D836BD" w:rsidRPr="00943D7A" w:rsidRDefault="00D836BD" w:rsidP="00D836BD">
            <w:pPr>
              <w:spacing w:before="120" w:after="120"/>
              <w:jc w:val="center"/>
              <w:rPr>
                <w:b/>
              </w:rPr>
            </w:pPr>
          </w:p>
        </w:tc>
        <w:tc>
          <w:tcPr>
            <w:tcW w:w="2385" w:type="dxa"/>
            <w:tcBorders>
              <w:top w:val="single" w:sz="4" w:space="0" w:color="auto"/>
              <w:left w:val="single" w:sz="4" w:space="0" w:color="auto"/>
              <w:bottom w:val="single" w:sz="4" w:space="0" w:color="auto"/>
            </w:tcBorders>
          </w:tcPr>
          <w:p w14:paraId="48A58C11" w14:textId="2D96302D" w:rsidR="00D836BD" w:rsidRPr="00943D7A" w:rsidRDefault="00D836BD" w:rsidP="00D836BD">
            <w:pPr>
              <w:jc w:val="both"/>
              <w:rPr>
                <w:b/>
              </w:rPr>
            </w:pPr>
            <w:r w:rsidRPr="00943D7A">
              <w:rPr>
                <w:b/>
              </w:rPr>
              <w:t>Informatīvais ziņojums</w:t>
            </w:r>
          </w:p>
        </w:tc>
      </w:tr>
      <w:tr w:rsidR="00D836BD" w:rsidRPr="00943D7A" w14:paraId="50DC90DC"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40D68F" w14:textId="3D4EADB4" w:rsidR="00D836BD" w:rsidRPr="00943D7A" w:rsidRDefault="00D836BD" w:rsidP="00D836BD">
            <w:pPr>
              <w:pStyle w:val="naisc"/>
              <w:spacing w:before="0" w:after="0"/>
              <w:ind w:left="426"/>
              <w:jc w:val="left"/>
            </w:pPr>
            <w:r w:rsidRPr="00943D7A">
              <w:t>s</w:t>
            </w:r>
          </w:p>
          <w:p w14:paraId="58584FF8" w14:textId="5B6F3C4F" w:rsidR="00D836BD" w:rsidRPr="00943D7A" w:rsidRDefault="00D836BD" w:rsidP="00D836BD">
            <w:r w:rsidRPr="00943D7A">
              <w:t>1</w:t>
            </w:r>
            <w:r w:rsidR="00F30BF7" w:rsidRPr="00943D7A">
              <w:t>3</w:t>
            </w:r>
            <w:r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418BE" w14:textId="24560184"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14CA99" w14:textId="4E3E9C97" w:rsidR="00D836BD" w:rsidRPr="00943D7A" w:rsidRDefault="00D836BD" w:rsidP="00D836BD">
            <w:pPr>
              <w:jc w:val="center"/>
              <w:rPr>
                <w:b/>
              </w:rPr>
            </w:pPr>
            <w:r w:rsidRPr="00943D7A">
              <w:rPr>
                <w:b/>
              </w:rPr>
              <w:t>Ekonomikas ministrijas 02.09.</w:t>
            </w:r>
            <w:r w:rsidR="006E75E6">
              <w:rPr>
                <w:b/>
              </w:rPr>
              <w:t>20</w:t>
            </w:r>
            <w:r w:rsidRPr="00943D7A">
              <w:rPr>
                <w:b/>
              </w:rPr>
              <w:t>19</w:t>
            </w:r>
            <w:r w:rsidR="006E75E6">
              <w:rPr>
                <w:b/>
              </w:rPr>
              <w:t>.</w:t>
            </w:r>
            <w:r w:rsidRPr="00943D7A">
              <w:rPr>
                <w:b/>
              </w:rPr>
              <w:t xml:space="preserve"> atzinums.</w:t>
            </w:r>
          </w:p>
          <w:p w14:paraId="52E62756" w14:textId="32D17E7F" w:rsidR="00D836BD" w:rsidRPr="00943D7A" w:rsidRDefault="00D836BD" w:rsidP="00D836BD">
            <w:pPr>
              <w:jc w:val="both"/>
              <w:rPr>
                <w:b/>
              </w:rPr>
            </w:pPr>
            <w:r w:rsidRPr="00943D7A">
              <w:rPr>
                <w:b/>
                <w:bCs/>
              </w:rPr>
              <w:t xml:space="preserve">Lūgums detalizēti, argumentēti un ar atsaucēm papildināt Informatīvā </w:t>
            </w:r>
            <w:r w:rsidRPr="00943D7A">
              <w:rPr>
                <w:b/>
                <w:bCs/>
              </w:rPr>
              <w:lastRenderedPageBreak/>
              <w:t>ziņojuma 5.nodaļā iekļauto informāciju</w:t>
            </w:r>
            <w:r w:rsidRPr="00943D7A">
              <w:t>, jo šobrīd tajā iekļautā informācija ir vienpusēja un tendencioza.</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EC29A1" w14:textId="77777777" w:rsidR="00D836BD" w:rsidRPr="00943D7A" w:rsidRDefault="00D836BD" w:rsidP="00D836BD">
            <w:pPr>
              <w:spacing w:before="120" w:after="120"/>
              <w:jc w:val="center"/>
            </w:pPr>
            <w:r w:rsidRPr="00943D7A">
              <w:rPr>
                <w:b/>
              </w:rPr>
              <w:lastRenderedPageBreak/>
              <w:t>Ņemts vērā</w:t>
            </w:r>
            <w:r w:rsidRPr="00943D7A">
              <w:t>.</w:t>
            </w:r>
          </w:p>
          <w:p w14:paraId="32542EA7" w14:textId="5CB658C7" w:rsidR="00D836BD" w:rsidRPr="00943D7A" w:rsidRDefault="00D836BD" w:rsidP="00D836BD">
            <w:pPr>
              <w:spacing w:before="120" w:after="120"/>
            </w:pPr>
            <w:r w:rsidRPr="00943D7A">
              <w:t>Precizēta 5. nodaļa</w:t>
            </w:r>
          </w:p>
          <w:p w14:paraId="627FE0E3" w14:textId="77777777" w:rsidR="00D836BD" w:rsidRPr="00943D7A" w:rsidRDefault="00D836BD" w:rsidP="00D836BD">
            <w:pPr>
              <w:jc w:val="both"/>
              <w:rPr>
                <w:b/>
                <w:lang w:eastAsia="x-none"/>
              </w:rPr>
            </w:pPr>
          </w:p>
        </w:tc>
        <w:tc>
          <w:tcPr>
            <w:tcW w:w="2385" w:type="dxa"/>
            <w:tcBorders>
              <w:top w:val="single" w:sz="4" w:space="0" w:color="auto"/>
              <w:left w:val="single" w:sz="4" w:space="0" w:color="auto"/>
              <w:bottom w:val="single" w:sz="4" w:space="0" w:color="auto"/>
            </w:tcBorders>
          </w:tcPr>
          <w:p w14:paraId="5EE34BB7" w14:textId="558407B2" w:rsidR="00D836BD" w:rsidRPr="00943D7A" w:rsidRDefault="00D836BD" w:rsidP="00D836BD">
            <w:pPr>
              <w:jc w:val="both"/>
              <w:rPr>
                <w:color w:val="000000" w:themeColor="text1"/>
              </w:rPr>
            </w:pPr>
            <w:r w:rsidRPr="00943D7A">
              <w:rPr>
                <w:b/>
              </w:rPr>
              <w:t>Informatīvais ziņojums</w:t>
            </w:r>
          </w:p>
        </w:tc>
      </w:tr>
      <w:tr w:rsidR="00D836BD" w:rsidRPr="00943D7A" w14:paraId="62ABA65F"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58B66" w14:textId="5569968A" w:rsidR="00D836BD" w:rsidRPr="00943D7A" w:rsidRDefault="00D836BD" w:rsidP="00D836BD">
            <w:r w:rsidRPr="00943D7A">
              <w:t>1</w:t>
            </w:r>
            <w:r w:rsidR="00F30BF7" w:rsidRPr="00943D7A">
              <w:t>4.</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E1AD36" w14:textId="44FA01D0"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1A78E1" w14:textId="77777777" w:rsidR="00D836BD" w:rsidRPr="00943D7A" w:rsidRDefault="00D836BD" w:rsidP="00D836BD">
            <w:pPr>
              <w:spacing w:before="120" w:after="120"/>
              <w:jc w:val="center"/>
              <w:rPr>
                <w:b/>
              </w:rPr>
            </w:pPr>
            <w:r w:rsidRPr="00943D7A">
              <w:rPr>
                <w:b/>
              </w:rPr>
              <w:t>Ekonomikas ministrijas 02.09.19 atzinums</w:t>
            </w:r>
          </w:p>
          <w:p w14:paraId="089C3EF0" w14:textId="77777777" w:rsidR="00D836BD" w:rsidRPr="00943D7A" w:rsidRDefault="00D836BD" w:rsidP="00D836BD">
            <w:pPr>
              <w:spacing w:before="120" w:after="120"/>
              <w:jc w:val="both"/>
            </w:pPr>
            <w:r w:rsidRPr="00943D7A">
              <w:rPr>
                <w:b/>
                <w:bCs/>
              </w:rPr>
              <w:t>Lūgums iekļaut pilnīgu informāciju par EKII darbības efektivitāti</w:t>
            </w:r>
            <w:r w:rsidRPr="00943D7A">
              <w:t xml:space="preserve"> un īpaši iekļaut Valsts kontroles revīzijas Nr. 2.4.1-16/2016 “Vai Vides aizsardzības un reģionālās attīstības ministrijas administrētie klimata pārmaiņu samazināšanai paredzētie līdzekļi tiek plānoti un izlietoti efektīvi un atbilstoši normatīvo aktu prasībām?”</w:t>
            </w:r>
            <w:r w:rsidRPr="00943D7A">
              <w:rPr>
                <w:rStyle w:val="FootnoteReference"/>
              </w:rPr>
              <w:footnoteReference w:id="8"/>
            </w:r>
            <w:r w:rsidRPr="00943D7A">
              <w:t xml:space="preserve"> (2017.gads), lai pamatotu to, vai tiešām EKII ir efektīvs instruments valstij noteikto saistošo mērķu sasniegšanai. Valsts kontroles revīzijas ziņojumā salīdzinot EKII un Klimata pārmaiņu finanšu instrumenta (turpmāk – KPFI) īstenošanas efektivitāti, tika secināts, ka EKII efektivitātes rādītājs ir vairāk nekā 35 reizes mazāks nekā KPFI efektivitātes rādītājs.</w:t>
            </w:r>
          </w:p>
          <w:p w14:paraId="6D271F94" w14:textId="77777777" w:rsidR="00D836BD" w:rsidRPr="00943D7A" w:rsidRDefault="00D836BD" w:rsidP="00D836BD">
            <w:pPr>
              <w:spacing w:before="120" w:after="120"/>
              <w:jc w:val="both"/>
            </w:pPr>
            <w:r w:rsidRPr="00943D7A">
              <w:t xml:space="preserve">Ņemot vērā VARAM izstrādātajā konceptuālajā ziņojumā “Par bezmaksas emisijas kvotu piešķiršanu elektroenerģijas ražotājiem Eiropas Savienības emisiju tirdzniecības sistēmas 2021. - 2030. gada periodā”, kas apstiprināts Ministru kabineta 2019.gada 16.jūlija sēdē (Ministru kabineta </w:t>
            </w:r>
            <w:r w:rsidRPr="00943D7A">
              <w:lastRenderedPageBreak/>
              <w:t>2019.gda 16.jūlija sēdes protokola Nr.33 75.§), iekļauto informāciju, šobrīd ir pamatotas šaubas par EKII kā efektīvu rīku valstij noteikto mērķu sasniegšanai. Ekonomikas ministrijas veiktais aprēķins uzrāda šādu SEG emisiju izmaksu efektivitāti EKII ietvaros īstenotajos projektos:</w:t>
            </w:r>
          </w:p>
          <w:p w14:paraId="10F358EB" w14:textId="77777777" w:rsidR="00D836BD" w:rsidRPr="00943D7A" w:rsidRDefault="00D836BD" w:rsidP="00D836BD">
            <w:pPr>
              <w:widowControl w:val="0"/>
              <w:numPr>
                <w:ilvl w:val="0"/>
                <w:numId w:val="31"/>
              </w:numPr>
              <w:spacing w:before="120" w:after="120"/>
              <w:ind w:left="343" w:hanging="230"/>
              <w:jc w:val="both"/>
            </w:pPr>
            <w:r w:rsidRPr="00943D7A">
              <w:t>“Siltumnīcefekta gāzu emisiju samazināšana valsts nozīmes aizsargājamos arhitektūras pieminekļos” – izmaksu efektivitāte 19 459,1 EUR uz tonnu CO</w:t>
            </w:r>
            <w:r w:rsidRPr="00943D7A">
              <w:rPr>
                <w:vertAlign w:val="subscript"/>
              </w:rPr>
              <w:t>2</w:t>
            </w:r>
            <w:r w:rsidRPr="00943D7A">
              <w:t xml:space="preserve"> emisiju;</w:t>
            </w:r>
          </w:p>
          <w:p w14:paraId="62A6F56D" w14:textId="77777777" w:rsidR="00D836BD" w:rsidRPr="00943D7A" w:rsidRDefault="00D836BD" w:rsidP="00D836BD">
            <w:pPr>
              <w:widowControl w:val="0"/>
              <w:numPr>
                <w:ilvl w:val="0"/>
                <w:numId w:val="31"/>
              </w:numPr>
              <w:spacing w:before="120" w:after="120"/>
              <w:ind w:left="343" w:hanging="230"/>
              <w:jc w:val="both"/>
            </w:pPr>
            <w:r w:rsidRPr="00943D7A">
              <w:t>“Siltumnīcefekta gāzu emisiju samazināšana – zema enerģijas patēriņa ēkas” – izmaksu efektivitāte 41 793,1 EUR uz tonnu CO</w:t>
            </w:r>
            <w:r w:rsidRPr="00943D7A">
              <w:rPr>
                <w:vertAlign w:val="subscript"/>
              </w:rPr>
              <w:t>2</w:t>
            </w:r>
            <w:r w:rsidRPr="00943D7A">
              <w:t xml:space="preserve"> emisiju;</w:t>
            </w:r>
          </w:p>
          <w:p w14:paraId="3A22506F" w14:textId="77777777" w:rsidR="00D836BD" w:rsidRPr="00943D7A" w:rsidRDefault="00D836BD" w:rsidP="00D836BD">
            <w:pPr>
              <w:widowControl w:val="0"/>
              <w:numPr>
                <w:ilvl w:val="0"/>
                <w:numId w:val="31"/>
              </w:numPr>
              <w:spacing w:before="120" w:after="120"/>
              <w:ind w:left="343" w:hanging="230"/>
              <w:jc w:val="both"/>
            </w:pPr>
            <w:r w:rsidRPr="00943D7A">
              <w:t>“Siltumnīcefekta gāzu emisiju samazināšana ar viedajām pilsētvides tehnoloģijām” – izmaksu efektivitāte 10 700,4 EUR uz tonnu CO</w:t>
            </w:r>
            <w:r w:rsidRPr="00943D7A">
              <w:rPr>
                <w:vertAlign w:val="subscript"/>
              </w:rPr>
              <w:t>2</w:t>
            </w:r>
            <w:r w:rsidRPr="00943D7A">
              <w:t xml:space="preserve"> emisiju.</w:t>
            </w:r>
          </w:p>
          <w:p w14:paraId="51747323" w14:textId="77777777" w:rsidR="00D836BD" w:rsidRPr="00943D7A" w:rsidRDefault="00D836BD" w:rsidP="00D836BD">
            <w:pPr>
              <w:jc w:val="both"/>
            </w:pPr>
            <w:r w:rsidRPr="00943D7A">
              <w:t>Tāpat ir secināms, ka uz 2018.gadu EKII pieejamais finanšu līdzekļu apjoms ir apmēram 166,7 milj.EUR, bet EKII ietvaros īstenotajiem projektiem piešķirtais finansējums līdz 2018.gadam ir tikai 22,6 milj.EUR, kas rada šaubas par VARAM kapacitātes iespējām lietderīgam EKII līdzekļu izlietojumam.</w:t>
            </w:r>
          </w:p>
          <w:p w14:paraId="7B71E41F" w14:textId="77777777" w:rsidR="00D836BD" w:rsidRPr="00943D7A" w:rsidRDefault="00D836BD" w:rsidP="00D836BD">
            <w:pPr>
              <w:spacing w:before="120" w:after="120"/>
              <w:jc w:val="both"/>
            </w:pPr>
            <w:r w:rsidRPr="00943D7A">
              <w:t xml:space="preserve">Papildus ir jānorāda, ka saskaņā ar VARAM ministra J.Pūces 2019.gada </w:t>
            </w:r>
            <w:r w:rsidRPr="00943D7A">
              <w:lastRenderedPageBreak/>
              <w:t>7.maija Ministru kabineta sēdē pausto viedokli</w:t>
            </w:r>
            <w:r w:rsidRPr="00943D7A">
              <w:rPr>
                <w:rStyle w:val="FootnoteReference"/>
              </w:rPr>
              <w:footnoteReference w:id="9"/>
            </w:r>
            <w:r w:rsidRPr="00943D7A">
              <w:t>, EKII līdzekļi tiks izlietoti šādiem pasākumiem kā prioritātēm – tīro transportlīdzekļu veicināšana publiskajā sektorā, ieguldījumi tehnoloģijās, stimulējot klimata tehnoloģiju ražošanu</w:t>
            </w:r>
            <w:r w:rsidRPr="00943D7A">
              <w:rPr>
                <w:rStyle w:val="FootnoteReference"/>
              </w:rPr>
              <w:footnoteReference w:id="10"/>
            </w:r>
            <w:r w:rsidRPr="00943D7A">
              <w:t>, vai publiskā sektora būvniecības aktivitātes</w:t>
            </w:r>
            <w:r w:rsidRPr="00943D7A">
              <w:rPr>
                <w:rStyle w:val="FootnoteReference"/>
              </w:rPr>
              <w:footnoteReference w:id="11"/>
            </w:r>
            <w:r w:rsidRPr="00943D7A">
              <w:t>, koncentrējoties uz inovācijām, kā arī tika norādīts, ka netiks atbalstīti tādi pasākumi, kā energoefektivitātes uzlabošana ēkās.</w:t>
            </w:r>
          </w:p>
          <w:p w14:paraId="5B49745E" w14:textId="77777777" w:rsidR="00D836BD" w:rsidRPr="00943D7A" w:rsidRDefault="00D836BD" w:rsidP="00D836BD">
            <w:pPr>
              <w:spacing w:before="120" w:after="120"/>
              <w:jc w:val="both"/>
            </w:pPr>
            <w:r w:rsidRPr="00943D7A">
              <w:t>Līdz ar to norādām, ka Informatīvā ziņojuma 5.nodaļa ir būtiski papildināma, kā arī ir nepieciešams šajā nodaļā svītrot uzsvaru uz EKII priekšrocībām.</w:t>
            </w:r>
          </w:p>
          <w:p w14:paraId="76BEAC55" w14:textId="75F239B3" w:rsidR="00D836BD" w:rsidRPr="00943D7A" w:rsidRDefault="00D836BD" w:rsidP="00D836BD">
            <w:pPr>
              <w:spacing w:before="120" w:after="120"/>
              <w:jc w:val="both"/>
              <w:rPr>
                <w:b/>
              </w:rPr>
            </w:pPr>
            <w:r w:rsidRPr="00943D7A">
              <w:t>Tāpat norādām, ka periodā no 2021.gada līdz 2030.gadam saskaņā ar Informatīvajā ziņojumā iekļauto informāciju VARAM no emisijas kvotu izsolīšanas būs pieejami līdz 490 milj. EUR</w:t>
            </w:r>
            <w:r w:rsidRPr="00943D7A">
              <w:rPr>
                <w:rStyle w:val="FootnoteReference"/>
              </w:rPr>
              <w:footnoteReference w:id="12"/>
            </w:r>
            <w:r w:rsidRPr="00943D7A">
              <w:t xml:space="preserve"> (vai 365 milj.EUR bez tā emisijas kvotu apjoma, kas būtu piešķiramas bez maksas elektroenerģijas ražotājiem). Papildus šim apjomam VARAM būs pieejams arī EKII pieejamais finanšu līdzekļu apjoms, kas netiks izlietots periodā līdz 2021.gadam (šobrīd EKII </w:t>
            </w:r>
            <w:r w:rsidRPr="00943D7A">
              <w:lastRenderedPageBreak/>
              <w:t>atlikums ir apmēram 120 milj.EUR</w:t>
            </w:r>
            <w:r w:rsidRPr="00943D7A">
              <w:rPr>
                <w:rStyle w:val="FootnoteReference"/>
              </w:rPr>
              <w:footnoteReference w:id="13"/>
            </w:r>
            <w:r w:rsidRPr="00943D7A">
              <w:t>), kā arī KPFII līdzekļu atlikums</w:t>
            </w:r>
            <w:r w:rsidRPr="00943D7A">
              <w:rPr>
                <w:rStyle w:val="FootnoteReference"/>
              </w:rPr>
              <w:footnoteReference w:id="14"/>
            </w:r>
            <w:r w:rsidRPr="00943D7A">
              <w:t xml:space="preserve">. Tātad ir secināms, ka </w:t>
            </w:r>
            <w:r w:rsidRPr="00943D7A">
              <w:rPr>
                <w:u w:val="single"/>
              </w:rPr>
              <w:t>jau šobrīd VARAM EKII ietvaros var rēķināties ar apmēram 610 milj.EUR (vai 485 milj.EUR bez tā emisijas kvotu apjoma, kas būtu piešķiramas bez maksas elektroenerģijas ražotājiem)</w:t>
            </w:r>
            <w:r w:rsidRPr="00943D7A">
              <w:t>, kas ir ievērojami lielāks finansējuma apjoms, kas Latvijai ir pieejams enerģētikas mērķu sasniegšanā. Ekonomikas ministrijai enerģētikas un energoefektivitātes mērķu sasniegšanai īstenojamiem pasākumiem periodā no 2014.gada līdz 2020.gadam ES fondu ietvaros ir pieejami 377 milj.EUR</w:t>
            </w:r>
            <w:r w:rsidRPr="00943D7A">
              <w:rPr>
                <w:rStyle w:val="FootnoteReference"/>
              </w:rPr>
              <w:footnoteReference w:id="15"/>
            </w:r>
            <w:r w:rsidRPr="00943D7A">
              <w:t>, un ir paredzams, ka periodā pēc 2021.gada šis apjoms būs mazāks.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636DF9" w14:textId="6601451C" w:rsidR="00D836BD" w:rsidRPr="00943D7A" w:rsidRDefault="00D836BD" w:rsidP="00D836BD">
            <w:pPr>
              <w:jc w:val="center"/>
              <w:rPr>
                <w:b/>
              </w:rPr>
            </w:pPr>
            <w:r w:rsidRPr="00943D7A">
              <w:rPr>
                <w:b/>
              </w:rPr>
              <w:lastRenderedPageBreak/>
              <w:t>Ņemts vērā</w:t>
            </w:r>
          </w:p>
          <w:p w14:paraId="2D7EB104" w14:textId="77777777" w:rsidR="00D836BD" w:rsidRPr="00943D7A" w:rsidRDefault="00D836BD" w:rsidP="00D836BD">
            <w:pPr>
              <w:jc w:val="both"/>
            </w:pPr>
          </w:p>
          <w:p w14:paraId="7059ABD6" w14:textId="77777777" w:rsidR="00D836BD" w:rsidRPr="00943D7A" w:rsidRDefault="00D836BD" w:rsidP="00D836BD">
            <w:pPr>
              <w:jc w:val="both"/>
              <w:rPr>
                <w:b/>
              </w:rPr>
            </w:pPr>
            <w:r w:rsidRPr="00943D7A">
              <w:t>Ir iekļauta informācija saistībā ar EKII darbības efektivitāti.</w:t>
            </w:r>
          </w:p>
          <w:p w14:paraId="3B221239" w14:textId="77777777" w:rsidR="00D836BD" w:rsidRPr="00943D7A" w:rsidRDefault="00D836BD" w:rsidP="00D836BD">
            <w:pPr>
              <w:jc w:val="both"/>
            </w:pPr>
          </w:p>
          <w:p w14:paraId="2521FAB0" w14:textId="43F292AF" w:rsidR="00D836BD" w:rsidRPr="00943D7A" w:rsidRDefault="00D836BD" w:rsidP="00D836BD">
            <w:pPr>
              <w:jc w:val="both"/>
            </w:pPr>
            <w:r w:rsidRPr="00943D7A">
              <w:t xml:space="preserve">VARAM sniedzot atbildi Valsts Kontrolei attiecībā uz veikto revīziju un arī kā tas tika norādīts konceptuālā ziņojuma “Par konceptuālo ziņojumu "Par bezmaksas emisijas kvotu piešķiršanu elektroenerģijas ražotājiem Eiropas Savienības emisiju tirdzniecības sistēmas 2021.–2030. gada periodā"” saskaņošanas laikā, ir būtiski ņemt vērā, ka par EKII efektivitāti nevar spriest tikai pēc, piemēram, izlietotā EKII finansējuma </w:t>
            </w:r>
            <w:r w:rsidRPr="00943D7A">
              <w:rPr>
                <w:i/>
              </w:rPr>
              <w:t xml:space="preserve">euro </w:t>
            </w:r>
            <w:r w:rsidRPr="00943D7A">
              <w:t>pret sasniegtajiem CO</w:t>
            </w:r>
            <w:r w:rsidRPr="00943D7A">
              <w:rPr>
                <w:vertAlign w:val="subscript"/>
              </w:rPr>
              <w:t>2</w:t>
            </w:r>
            <w:r w:rsidRPr="00943D7A">
              <w:t xml:space="preserve"> tiešajiem emisijas samazinājumiem, jo būtiski ņemt vērā arī netiešos SEG emisiju samazinājumus, kas iespējami dēļ projektu demonstrācijas, inovācijas un multiplikatīvā efekta. Tas ir sevišķi svarīgi, jo klimata politikas mērķu sasniegšanai nepieciešamas pakāpeniskas, visaptverošas un būtiskas izmaiņas tautsaimniecībā un iedzīvotāju dzīvesveidā un to nav iespējams panākt tikai līdzfinansējot atsevišķus projektus. Papildus jānorāda, ka EKII ieļautie konkursi var būt ar ļoti atšķirīgiem īstenošanas nosacījumiem un pat viena konkursa ietvaros esošie projekti var būt ar būtiski atšķirīgiem raksturlielumiem. EKII konkursos </w:t>
            </w:r>
            <w:r w:rsidRPr="00943D7A">
              <w:lastRenderedPageBreak/>
              <w:t xml:space="preserve">atbalstāmās aktivitātes, kritēriji, rezultatīvie rādītāji un citi nosacījumi ir atrunāti EKII konkursu nolikumos, kas saskaņoti un apstiprināti kā MK noteikumi. </w:t>
            </w:r>
          </w:p>
          <w:p w14:paraId="239AED95" w14:textId="77777777" w:rsidR="00D836BD" w:rsidRPr="00943D7A" w:rsidRDefault="00D836BD" w:rsidP="00D836BD">
            <w:pPr>
              <w:jc w:val="both"/>
            </w:pPr>
          </w:p>
          <w:p w14:paraId="09993716" w14:textId="1C8CAF0A" w:rsidR="00D836BD" w:rsidRPr="00943D7A" w:rsidRDefault="00D836BD" w:rsidP="00D836BD">
            <w:pPr>
              <w:jc w:val="both"/>
            </w:pPr>
            <w:r w:rsidRPr="00943D7A">
              <w:t xml:space="preserve">VARAM apstiprina, ka uz 2018. gada beigām kopējie ieņēmumi no emisijas kvotu izsolēm bija 166,7 milj. </w:t>
            </w:r>
            <w:r w:rsidRPr="00943D7A">
              <w:rPr>
                <w:i/>
              </w:rPr>
              <w:t>euro</w:t>
            </w:r>
            <w:r w:rsidRPr="00943D7A">
              <w:t xml:space="preserve">. Tomēr jāņem vērā, ka 60,66 milj. </w:t>
            </w:r>
            <w:r w:rsidRPr="00943D7A">
              <w:rPr>
                <w:i/>
              </w:rPr>
              <w:t>euro</w:t>
            </w:r>
            <w:r w:rsidRPr="00943D7A">
              <w:t xml:space="preserve"> tika gūti tikai 2018. gada novembra vidū no emisijas kvotu realizācijas sekundārajā tirgū, kas bija vienreizējs darījums. Jāuzsver, ka līdz 2018. gadam finansējuma apjoms EKII ietvaros palielinājās salīdzinoši lēni un bija jāakumulē (jāuzkrāj), lai varētu realizēt projektu konkursus. Emisijas kvotas gada vidējā cena laika periodā no 2012. gada novembra līdz 2017. gada beigām svārstījās no 4,40 </w:t>
            </w:r>
            <w:r w:rsidRPr="00943D7A">
              <w:rPr>
                <w:i/>
              </w:rPr>
              <w:t>euro</w:t>
            </w:r>
            <w:r w:rsidRPr="00943D7A">
              <w:t xml:space="preserve"> līdz 7,63 </w:t>
            </w:r>
            <w:r w:rsidRPr="00943D7A">
              <w:rPr>
                <w:i/>
              </w:rPr>
              <w:t>euro</w:t>
            </w:r>
            <w:r w:rsidRPr="00943D7A">
              <w:t xml:space="preserve">, tādejādi šajā laika periodā tika gūti 65,33 milj </w:t>
            </w:r>
            <w:r w:rsidRPr="00943D7A">
              <w:rPr>
                <w:i/>
              </w:rPr>
              <w:t>euro</w:t>
            </w:r>
            <w:r w:rsidRPr="00943D7A">
              <w:t xml:space="preserve">. 2018. gadā uzsākās straujš emisijas kvotu cenu kāpums kas arī nodrošināja izsoļu ieņēmumus primārajā tirgū ~40,69 milj. </w:t>
            </w:r>
            <w:r w:rsidRPr="00943D7A">
              <w:rPr>
                <w:i/>
              </w:rPr>
              <w:t>euro</w:t>
            </w:r>
            <w:r w:rsidRPr="00943D7A">
              <w:t xml:space="preserve"> apmērā. Līdz ar to viena gada laikā - 2018. gadā - tika gūts 1,55 reizes vairāk ieņēmumu nekā iepriekšējos piecos gados un divos mēnešos kopā. EKII ietvaros notiek 4 projektu konkursu īstenošana par projektu realizāciju 49,76 milj. </w:t>
            </w:r>
            <w:r w:rsidRPr="00943D7A">
              <w:rPr>
                <w:i/>
              </w:rPr>
              <w:t>euro</w:t>
            </w:r>
            <w:r w:rsidRPr="00943D7A">
              <w:t xml:space="preserve"> apmērā. Papildus tam VARAM izstrādā nākamo EKII projektu konkursu, kura starpministriju saskaņošana plānota tuvāko mēnešu laikā. Ņemot vērā iepriekš minēto nav pamats uzskatīt, ka būtu kapacitātes trūkums EKII finanšu instrumenta līdzekļu apguvei un administrēšanai.</w:t>
            </w:r>
          </w:p>
          <w:p w14:paraId="55E3052F" w14:textId="4EC0FEEE" w:rsidR="00D836BD" w:rsidRPr="00943D7A" w:rsidRDefault="00D836BD" w:rsidP="00D836BD">
            <w:pPr>
              <w:spacing w:before="120" w:after="120"/>
              <w:jc w:val="both"/>
            </w:pPr>
            <w:r w:rsidRPr="00943D7A">
              <w:t>VARAM informē, ka šobrīd norisinās darbs pie EKII darbības stratēģijas atjaunošanas, kas ti</w:t>
            </w:r>
            <w:r w:rsidR="00331C1A" w:rsidRPr="00943D7A">
              <w:t>e</w:t>
            </w:r>
            <w:r w:rsidRPr="00943D7A">
              <w:t xml:space="preserve">k </w:t>
            </w:r>
            <w:r w:rsidRPr="00943D7A">
              <w:lastRenderedPageBreak/>
              <w:t>skaņota ar ministrijām un virzīta apstiprināšanai MK. EKII darbības stratēģijā būs identificēti prioritārie investīciju virzieni, turklāt tiek izvērtēta iespēja par līdzekļu izlietošanas optimizēšanu, t.sk. potenciālu papildus jaunu finansēšanas mehānismu ieviešanu EKII finanšu instrumenta ietvaros.</w:t>
            </w:r>
          </w:p>
          <w:p w14:paraId="014AACC7" w14:textId="77777777" w:rsidR="00D836BD" w:rsidRPr="00943D7A" w:rsidRDefault="00D836BD" w:rsidP="00D836BD">
            <w:pPr>
              <w:spacing w:before="120" w:after="120"/>
              <w:jc w:val="both"/>
              <w:rPr>
                <w:bCs/>
              </w:rPr>
            </w:pPr>
            <w:r w:rsidRPr="00943D7A">
              <w:rPr>
                <w:bCs/>
              </w:rPr>
              <w:t xml:space="preserve">Vēršam Ekonomikas ministrijas uzmanību, ka nav korekti salīdzināt finansējuma apmērus vienā gadījumā (EKII) skaitot klāt esošā perioda neizmantotos ieņēmumus ar ieņēmumiem, kas tiks gūti periodā 2021.-2030.gadā, savukārt, otrā gadījumā (Ekonomikas ministrijai pieejamo līdzekļu apmēru) izdalot periodus atsevišķi (turklāt periodi ir īsāki). Turklāt jāņem vērā, ka nākošais ES daudzgadu budžeta ietvars ir no 2021.-2027. gadam, savukārt ES ETS 4. periods ir no 2021.-2030. gadam. </w:t>
            </w:r>
          </w:p>
          <w:p w14:paraId="28D2F376" w14:textId="07FE9B28" w:rsidR="00D836BD" w:rsidRPr="00943D7A" w:rsidRDefault="00D836BD" w:rsidP="00D836BD">
            <w:pPr>
              <w:spacing w:before="120" w:after="120"/>
              <w:jc w:val="both"/>
              <w:rPr>
                <w:bCs/>
              </w:rPr>
            </w:pPr>
            <w:r w:rsidRPr="00943D7A">
              <w:rPr>
                <w:bCs/>
              </w:rPr>
              <w:t>Informatīvajā ziņojumā pieejamais finansējums Modernizācijas fondam un arī EKII laika periodam 2021.-2030. gadam ir tikai indikatīvs un balstīts uz esošajām emisijas kvotu cenu prognozēm 25-</w:t>
            </w:r>
            <w:r w:rsidR="000A591C" w:rsidRPr="00943D7A">
              <w:rPr>
                <w:bCs/>
              </w:rPr>
              <w:t>44,5</w:t>
            </w:r>
            <w:r w:rsidRPr="00943D7A">
              <w:rPr>
                <w:bCs/>
              </w:rPr>
              <w:t xml:space="preserve"> </w:t>
            </w:r>
            <w:r w:rsidRPr="00943D7A">
              <w:rPr>
                <w:bCs/>
                <w:i/>
              </w:rPr>
              <w:t>euro</w:t>
            </w:r>
            <w:r w:rsidRPr="00943D7A">
              <w:rPr>
                <w:bCs/>
              </w:rPr>
              <w:t xml:space="preserve"> par vienu emisijas kvotu. Saskaņā ar informatīvā ziņojuma attēlā Nr. 4. sniegto informāciju bāzes scenārijā visā periodā EKII ieņēmumi varētu būt no 401,67 līdz </w:t>
            </w:r>
            <w:r w:rsidR="000651B8" w:rsidRPr="00943D7A">
              <w:rPr>
                <w:bCs/>
              </w:rPr>
              <w:t>714</w:t>
            </w:r>
            <w:r w:rsidR="008D5952" w:rsidRPr="00943D7A">
              <w:rPr>
                <w:bCs/>
              </w:rPr>
              <w:t>,97</w:t>
            </w:r>
            <w:r w:rsidRPr="00943D7A">
              <w:rPr>
                <w:bCs/>
              </w:rPr>
              <w:t xml:space="preserve"> milj. </w:t>
            </w:r>
            <w:r w:rsidRPr="00943D7A">
              <w:rPr>
                <w:bCs/>
                <w:i/>
              </w:rPr>
              <w:t>euro</w:t>
            </w:r>
            <w:r w:rsidRPr="00943D7A">
              <w:rPr>
                <w:bCs/>
              </w:rPr>
              <w:t xml:space="preserve">, taču ir jāņem vērā, ka norādītās emisijas kvotu ieņēmumu prognozes faktiski varētu arī </w:t>
            </w:r>
            <w:r w:rsidRPr="00943D7A">
              <w:rPr>
                <w:bCs/>
              </w:rPr>
              <w:lastRenderedPageBreak/>
              <w:t xml:space="preserve">nepiepildīties gadījumā, ja cena noslīd zemāk par 25 </w:t>
            </w:r>
            <w:r w:rsidRPr="00943D7A">
              <w:rPr>
                <w:bCs/>
                <w:i/>
              </w:rPr>
              <w:t>euro</w:t>
            </w:r>
            <w:r w:rsidRPr="00943D7A">
              <w:rPr>
                <w:bCs/>
              </w:rPr>
              <w:t>, kas ir iespējams brīvā tirgus apstākļos(kā tas piemēram notika 2020. gada martā/aprīlī noslīdot līdz 16-18 eiro robežai).Ja modelē ieņēmumu apjomus ņemot vērā potenciālās emisijas kvotu cenu prognozes laika rindā un ikgadējo tirgus stabilitātes ietekmi uz emisijas kvotu izsolēm (kā tas ir darīts veidojot grafiku informatīvā ziņojuma attēlā Nr. 5), tad kopējie EKII ieņēmumi laika periodam varētu būt ~ </w:t>
            </w:r>
            <w:r w:rsidR="00F1035D" w:rsidRPr="00943D7A">
              <w:rPr>
                <w:bCs/>
              </w:rPr>
              <w:t xml:space="preserve">678 </w:t>
            </w:r>
            <w:r w:rsidRPr="00943D7A">
              <w:rPr>
                <w:bCs/>
              </w:rPr>
              <w:t xml:space="preserve">milj. </w:t>
            </w:r>
            <w:r w:rsidRPr="00943D7A">
              <w:rPr>
                <w:bCs/>
                <w:i/>
              </w:rPr>
              <w:t>euro</w:t>
            </w:r>
            <w:r w:rsidRPr="00943D7A">
              <w:rPr>
                <w:bCs/>
              </w:rPr>
              <w:t>. Taču jāņem vērā, ka tā ir summa nākotnes cenu vērtībā (</w:t>
            </w:r>
            <w:r w:rsidRPr="00943D7A">
              <w:rPr>
                <w:bCs/>
                <w:i/>
              </w:rPr>
              <w:t>future value</w:t>
            </w:r>
            <w:r w:rsidRPr="00943D7A">
              <w:rPr>
                <w:bCs/>
              </w:rPr>
              <w:t>), diskontējot šos ieņēmumus un rēķinot pašreizējo neto vērtību (</w:t>
            </w:r>
            <w:r w:rsidRPr="00943D7A">
              <w:rPr>
                <w:bCs/>
                <w:i/>
              </w:rPr>
              <w:t>net present value</w:t>
            </w:r>
            <w:r w:rsidRPr="00943D7A">
              <w:rPr>
                <w:bCs/>
              </w:rPr>
              <w:t xml:space="preserve"> - NPV) EKII ieņēmumiem tā būtu ievērojami zemāk, piemēram, pie reālās finanšu diskonta likmes 4%, laika periodā no 2021.-2030. gadam, NPV būs tikai ~</w:t>
            </w:r>
            <w:r w:rsidR="00B576B2" w:rsidRPr="00943D7A">
              <w:rPr>
                <w:bCs/>
              </w:rPr>
              <w:t>537</w:t>
            </w:r>
            <w:r w:rsidR="003E3542" w:rsidRPr="00943D7A">
              <w:rPr>
                <w:bCs/>
              </w:rPr>
              <w:t>,56</w:t>
            </w:r>
            <w:r w:rsidRPr="00943D7A">
              <w:rPr>
                <w:bCs/>
              </w:rPr>
              <w:t xml:space="preserve"> milj. </w:t>
            </w:r>
            <w:r w:rsidRPr="00943D7A">
              <w:rPr>
                <w:bCs/>
                <w:i/>
              </w:rPr>
              <w:t>euro</w:t>
            </w:r>
            <w:r w:rsidRPr="00943D7A">
              <w:rPr>
                <w:bCs/>
              </w:rPr>
              <w:t>.</w:t>
            </w:r>
          </w:p>
          <w:p w14:paraId="0BE6302B" w14:textId="4323AF70" w:rsidR="00D836BD" w:rsidRPr="00943D7A" w:rsidRDefault="00D836BD" w:rsidP="00D836BD">
            <w:pPr>
              <w:spacing w:before="120" w:after="120"/>
              <w:jc w:val="both"/>
              <w:rPr>
                <w:b/>
                <w:bCs/>
              </w:rPr>
            </w:pPr>
            <w:r w:rsidRPr="00943D7A">
              <w:t>Vēlamies norādīt, ka uz Informatīvā ziņojuma izstrādes brīdi ES fondiem nav iespējams precīzi nosaukt finansējuma apmēru un atbalstāmās nozares, kā arī atbalsta nosacījumus periodam pēc 2020.</w:t>
            </w:r>
            <w:r w:rsidRPr="00943D7A">
              <w:rPr>
                <w:bCs/>
              </w:rPr>
              <w:t> </w:t>
            </w:r>
            <w:r w:rsidRPr="00943D7A">
              <w:t>gada, jo diskusijas par ES daudzgadu finanšu shēmas (turpmāk - DFS) 2021</w:t>
            </w:r>
            <w:r w:rsidRPr="00943D7A">
              <w:rPr>
                <w:bCs/>
              </w:rPr>
              <w:t>.</w:t>
            </w:r>
            <w:r w:rsidRPr="00943D7A">
              <w:t xml:space="preserve">-2027.gadam nav noslēgušās (neskatoties uz 2020. gada 21. jūlija politisko vienošanos starp Eiropas Savienības līderiem attiecībā uz DFS, Eiropas Parlaments 23. jūlijā tomēr neatbalstīja DFS priekšlikumu esošajā redakcijā). Ņemot vērā, ka Kohēzijas fonda un </w:t>
            </w:r>
            <w:r w:rsidRPr="00943D7A">
              <w:lastRenderedPageBreak/>
              <w:t>ERAF specifiskā mērķa: ““Zaļāka Eiropa ar zemu oglekļa saturu, veicinot tīras un godīgas enerģijas pāreju, videi draudzīgas un zilas investīcijas, aprites ekonomiku, pielāgošanos klimatam un risku novēršanu un pārvaldību (“PO2” mērķis) pirmie divi apakšmērķi ir energoefektivitātes un atjaunojamo energoresursu veicināšana</w:t>
            </w:r>
            <w:r w:rsidRPr="00943D7A">
              <w:rPr>
                <w:rStyle w:val="FootnoteReference"/>
              </w:rPr>
              <w:footnoteReference w:id="16"/>
            </w:r>
            <w:r w:rsidRPr="00943D7A">
              <w:t xml:space="preserve">, tad pastāv iespēja, ka finansējums nākošajā daudzgadu budžeta ietvarā energoefektivitātes un atjaunojamo energoresursu pasākumiem varētu būt pat lielāks nekā iepriekšējā periodā.  Turklāt jāņem vērā arī </w:t>
            </w:r>
            <w:r w:rsidRPr="00943D7A">
              <w:rPr>
                <w:i/>
                <w:iCs/>
              </w:rPr>
              <w:t>Next Generation EU</w:t>
            </w:r>
            <w:r w:rsidRPr="00943D7A">
              <w:t xml:space="preserve"> un Taisnīgā pārkārtošanās fonda potenciālās finansējuma iespējas.</w:t>
            </w:r>
          </w:p>
        </w:tc>
        <w:tc>
          <w:tcPr>
            <w:tcW w:w="2385" w:type="dxa"/>
            <w:tcBorders>
              <w:top w:val="single" w:sz="4" w:space="0" w:color="auto"/>
              <w:left w:val="single" w:sz="4" w:space="0" w:color="auto"/>
              <w:bottom w:val="single" w:sz="4" w:space="0" w:color="auto"/>
            </w:tcBorders>
          </w:tcPr>
          <w:p w14:paraId="18D29BB1" w14:textId="46246CAB" w:rsidR="00D836BD" w:rsidRPr="00943D7A" w:rsidRDefault="00D836BD" w:rsidP="00D836BD">
            <w:pPr>
              <w:jc w:val="both"/>
              <w:rPr>
                <w:b/>
              </w:rPr>
            </w:pPr>
            <w:r w:rsidRPr="00943D7A">
              <w:rPr>
                <w:b/>
              </w:rPr>
              <w:lastRenderedPageBreak/>
              <w:t>Informatīvais ziņojums</w:t>
            </w:r>
          </w:p>
        </w:tc>
      </w:tr>
      <w:tr w:rsidR="00D836BD" w:rsidRPr="00943D7A" w14:paraId="11C04FCD"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EE812A" w14:textId="4D931157" w:rsidR="00D836BD" w:rsidRPr="00943D7A" w:rsidRDefault="00D836BD" w:rsidP="00D836BD">
            <w:r w:rsidRPr="00943D7A">
              <w:lastRenderedPageBreak/>
              <w:t>1</w:t>
            </w:r>
            <w:r w:rsidR="00F30BF7" w:rsidRPr="00943D7A">
              <w:t>5</w:t>
            </w:r>
            <w:r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DE12CE" w14:textId="57A0A298"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3328D" w14:textId="59BCFDCC" w:rsidR="00D836BD" w:rsidRPr="00943D7A" w:rsidRDefault="00D836BD" w:rsidP="00D836BD">
            <w:pPr>
              <w:spacing w:before="120" w:after="120"/>
              <w:jc w:val="center"/>
              <w:rPr>
                <w:b/>
              </w:rPr>
            </w:pPr>
            <w:r w:rsidRPr="00943D7A">
              <w:rPr>
                <w:b/>
              </w:rPr>
              <w:t>Ekonomikas ministrijas 02.09.</w:t>
            </w:r>
            <w:r w:rsidR="006E75E6">
              <w:rPr>
                <w:b/>
              </w:rPr>
              <w:t>20</w:t>
            </w:r>
            <w:r w:rsidRPr="00943D7A">
              <w:rPr>
                <w:b/>
              </w:rPr>
              <w:t>19</w:t>
            </w:r>
            <w:r w:rsidR="006E75E6">
              <w:rPr>
                <w:b/>
              </w:rPr>
              <w:t>.</w:t>
            </w:r>
            <w:r w:rsidRPr="00943D7A">
              <w:rPr>
                <w:b/>
              </w:rPr>
              <w:t xml:space="preserve"> atzinums</w:t>
            </w:r>
          </w:p>
          <w:p w14:paraId="13844E11" w14:textId="3C6765DB" w:rsidR="00D836BD" w:rsidRPr="00943D7A" w:rsidRDefault="00D836BD" w:rsidP="00D836BD">
            <w:pPr>
              <w:spacing w:before="120" w:after="120"/>
              <w:jc w:val="both"/>
              <w:rPr>
                <w:b/>
              </w:rPr>
            </w:pPr>
            <w:r w:rsidRPr="00943D7A">
              <w:rPr>
                <w:b/>
                <w:bCs/>
              </w:rPr>
              <w:t>Lūgums papildināt ziņojumu ar nodaļu “MF priekšrocības un EKII trūkumi”</w:t>
            </w:r>
            <w:r w:rsidRPr="00943D7A">
              <w:t>, vai šo analīzi veikt 5.nodaļā mainot tās nosaukumu.</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881E84" w14:textId="77777777" w:rsidR="00D836BD" w:rsidRPr="00943D7A" w:rsidRDefault="00D836BD" w:rsidP="00D836BD">
            <w:pPr>
              <w:spacing w:before="120" w:after="120"/>
              <w:jc w:val="center"/>
              <w:rPr>
                <w:b/>
                <w:bCs/>
              </w:rPr>
            </w:pPr>
            <w:r w:rsidRPr="00943D7A">
              <w:rPr>
                <w:b/>
                <w:bCs/>
              </w:rPr>
              <w:t>Ņemts vērā.</w:t>
            </w:r>
          </w:p>
          <w:p w14:paraId="55B3A4DC" w14:textId="6D4FF8A3" w:rsidR="00D836BD" w:rsidRPr="00943D7A" w:rsidRDefault="00D836BD" w:rsidP="00D836BD">
            <w:pPr>
              <w:spacing w:before="120" w:after="120"/>
              <w:jc w:val="both"/>
              <w:rPr>
                <w:b/>
                <w:color w:val="FF0000"/>
              </w:rPr>
            </w:pPr>
            <w:r w:rsidRPr="00943D7A">
              <w:rPr>
                <w:bCs/>
              </w:rPr>
              <w:t>Precizēta 5. nodaļa, t.sk. mainot tās nosaukumu uz “</w:t>
            </w:r>
            <w:r w:rsidRPr="00943D7A">
              <w:t>Apsvērumi lēmuma pieņemšanai attiecībā uz finansējuma pārvirzīšanas iespēju no EKII uz Modernizācijas fondu</w:t>
            </w:r>
            <w:r w:rsidRPr="00943D7A">
              <w:rPr>
                <w:bCs/>
              </w:rPr>
              <w:t>”.</w:t>
            </w:r>
          </w:p>
        </w:tc>
        <w:tc>
          <w:tcPr>
            <w:tcW w:w="2385" w:type="dxa"/>
            <w:tcBorders>
              <w:top w:val="single" w:sz="4" w:space="0" w:color="auto"/>
              <w:left w:val="single" w:sz="4" w:space="0" w:color="auto"/>
              <w:bottom w:val="single" w:sz="4" w:space="0" w:color="auto"/>
            </w:tcBorders>
          </w:tcPr>
          <w:p w14:paraId="67C87F16" w14:textId="21FDC36F" w:rsidR="00D836BD" w:rsidRPr="00943D7A" w:rsidRDefault="00D836BD" w:rsidP="00D836BD">
            <w:pPr>
              <w:jc w:val="both"/>
              <w:rPr>
                <w:color w:val="000000" w:themeColor="text1"/>
              </w:rPr>
            </w:pPr>
            <w:r w:rsidRPr="00943D7A">
              <w:rPr>
                <w:b/>
              </w:rPr>
              <w:t>Informatīvais ziņojums</w:t>
            </w:r>
          </w:p>
        </w:tc>
      </w:tr>
      <w:tr w:rsidR="00D836BD" w:rsidRPr="00943D7A" w14:paraId="65C1DEA7"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D9AAD" w14:textId="1E0D1F35" w:rsidR="00D836BD" w:rsidRPr="00943D7A" w:rsidRDefault="00D836BD" w:rsidP="00D836BD">
            <w:r w:rsidRPr="00943D7A">
              <w:t>1</w:t>
            </w:r>
            <w:r w:rsidR="00F30BF7" w:rsidRPr="00943D7A">
              <w:t>6</w:t>
            </w:r>
            <w:r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A3C041" w14:textId="6DDAAF0F"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317DAA" w14:textId="71CE3368" w:rsidR="00D836BD" w:rsidRPr="00943D7A" w:rsidRDefault="00D836BD" w:rsidP="00D836BD">
            <w:pPr>
              <w:spacing w:before="120" w:after="120"/>
              <w:jc w:val="center"/>
              <w:rPr>
                <w:b/>
              </w:rPr>
            </w:pPr>
            <w:r w:rsidRPr="00943D7A">
              <w:rPr>
                <w:b/>
              </w:rPr>
              <w:t>Ekonomikas ministrijas 02.09.</w:t>
            </w:r>
            <w:r w:rsidR="006E75E6">
              <w:rPr>
                <w:b/>
              </w:rPr>
              <w:t>20</w:t>
            </w:r>
            <w:r w:rsidRPr="00943D7A">
              <w:rPr>
                <w:b/>
              </w:rPr>
              <w:t>19</w:t>
            </w:r>
            <w:r w:rsidR="006E75E6">
              <w:rPr>
                <w:b/>
              </w:rPr>
              <w:t>.</w:t>
            </w:r>
            <w:r w:rsidRPr="00943D7A">
              <w:rPr>
                <w:b/>
              </w:rPr>
              <w:t xml:space="preserve"> atzinums</w:t>
            </w:r>
          </w:p>
          <w:p w14:paraId="36135C8C" w14:textId="5B2AA644" w:rsidR="00D836BD" w:rsidRPr="00943D7A" w:rsidRDefault="00D836BD" w:rsidP="00D836BD">
            <w:pPr>
              <w:spacing w:before="120" w:after="120"/>
              <w:jc w:val="both"/>
              <w:rPr>
                <w:b/>
              </w:rPr>
            </w:pPr>
            <w:r w:rsidRPr="00943D7A">
              <w:rPr>
                <w:b/>
                <w:bCs/>
              </w:rPr>
              <w:t>Lūgums papildināt 5.nodaļas 3.rindkopu</w:t>
            </w:r>
            <w:r w:rsidRPr="00943D7A">
              <w:t xml:space="preserve"> ar informāciju, uz kā pamata tika izdarīti secinājumi par MF trūkumiem. Norādām, ka Informatīvā ziņojumā nav sniegta informācija, kas liecinātu, ka MF līdzekļi būs pieejami novēloti, ka tā izveide sarežģīs naudas plūsmas struktūru utt.</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18B360" w14:textId="77777777" w:rsidR="00D836BD" w:rsidRPr="00943D7A" w:rsidRDefault="00D836BD" w:rsidP="00D836BD">
            <w:pPr>
              <w:spacing w:before="120" w:after="120"/>
              <w:jc w:val="center"/>
              <w:rPr>
                <w:b/>
                <w:bCs/>
              </w:rPr>
            </w:pPr>
            <w:r w:rsidRPr="00943D7A">
              <w:rPr>
                <w:b/>
                <w:bCs/>
              </w:rPr>
              <w:t>Ņemts vērā.</w:t>
            </w:r>
          </w:p>
          <w:p w14:paraId="047173C9" w14:textId="2DA65B51" w:rsidR="00D836BD" w:rsidRPr="00943D7A" w:rsidRDefault="00D836BD" w:rsidP="00D836BD">
            <w:pPr>
              <w:spacing w:before="120" w:after="120"/>
              <w:jc w:val="both"/>
              <w:rPr>
                <w:bCs/>
              </w:rPr>
            </w:pPr>
            <w:r w:rsidRPr="00943D7A">
              <w:rPr>
                <w:bCs/>
              </w:rPr>
              <w:t xml:space="preserve">Precizēta 5. nodaļa. </w:t>
            </w:r>
          </w:p>
          <w:p w14:paraId="1FD24605" w14:textId="164444C9" w:rsidR="00D836BD" w:rsidRPr="00943D7A" w:rsidRDefault="00D836BD" w:rsidP="00D836BD">
            <w:pPr>
              <w:spacing w:before="120" w:after="120"/>
              <w:jc w:val="both"/>
              <w:rPr>
                <w:b/>
              </w:rPr>
            </w:pPr>
            <w:r w:rsidRPr="00943D7A">
              <w:rPr>
                <w:bCs/>
              </w:rPr>
              <w:t xml:space="preserve">Informācija par identificētajiem riskiem un potenciālajiem trūkumiem attiecībā uz Modernizācijas fondu ir izdarīti balstoties uz Direktīvas 2003/87 10.d pantā un Eiropas Komisijas </w:t>
            </w:r>
            <w:r w:rsidRPr="00943D7A">
              <w:rPr>
                <w:i/>
                <w:color w:val="000000" w:themeColor="text1"/>
              </w:rPr>
              <w:t xml:space="preserve">2020.gada 9. jūlija īstenošanas regulu Nr. (ES) </w:t>
            </w:r>
            <w:r w:rsidRPr="00943D7A">
              <w:rPr>
                <w:color w:val="000000" w:themeColor="text1"/>
              </w:rPr>
              <w:t>2020/1001</w:t>
            </w:r>
            <w:r w:rsidRPr="00943D7A">
              <w:rPr>
                <w:i/>
                <w:color w:val="000000" w:themeColor="text1"/>
              </w:rPr>
              <w:t xml:space="preserve">, ar ko nosaka sīki izstrādātus noteikumus par Eiropas Parlamenta un Padomes </w:t>
            </w:r>
            <w:r w:rsidRPr="00943D7A">
              <w:rPr>
                <w:i/>
                <w:color w:val="000000" w:themeColor="text1"/>
              </w:rPr>
              <w:lastRenderedPageBreak/>
              <w:t>Direktīvas 2003/87/EK piemērošanu Modernizācijas fonda darbībai, kura mērķis ir atbalstīt investīcijas energosistēmu modernizācijā un energoefektivitātes uzlabošanā atsevišķās dalībvalstīs</w:t>
            </w:r>
            <w:r w:rsidRPr="00943D7A" w:rsidDel="00511195">
              <w:rPr>
                <w:color w:val="000000" w:themeColor="text1"/>
              </w:rPr>
              <w:t xml:space="preserve"> </w:t>
            </w:r>
            <w:r w:rsidRPr="00943D7A">
              <w:rPr>
                <w:bCs/>
              </w:rPr>
              <w:t xml:space="preserve"> iekļauto informāciju  un arī balstoties uz pieejamo informāciju, kas iekļauta </w:t>
            </w:r>
            <w:r w:rsidRPr="00943D7A">
              <w:t>2019. gada 28. augusta Eiropas Komisijas deleģētās regulas Nr. 2019/1868 ar ko groza Regulu (ES) Nr. 1031/2010 nolūkā kvotu izsolīšanu pieskaņot ES ETS 2021.-2030. gada noteikumiem un kvotu klasificēšanai par finanšu instrumentiem saskaņā ar Eiropas Parlamenta un Padomes Direktīvu 2014/65/ES.</w:t>
            </w:r>
          </w:p>
        </w:tc>
        <w:tc>
          <w:tcPr>
            <w:tcW w:w="2385" w:type="dxa"/>
            <w:tcBorders>
              <w:top w:val="single" w:sz="4" w:space="0" w:color="auto"/>
              <w:left w:val="single" w:sz="4" w:space="0" w:color="auto"/>
              <w:bottom w:val="single" w:sz="4" w:space="0" w:color="auto"/>
            </w:tcBorders>
          </w:tcPr>
          <w:p w14:paraId="60D4FB84" w14:textId="33D23310" w:rsidR="00D836BD" w:rsidRPr="00943D7A" w:rsidRDefault="00D836BD" w:rsidP="00D836BD">
            <w:pPr>
              <w:jc w:val="both"/>
              <w:rPr>
                <w:color w:val="000000" w:themeColor="text1"/>
              </w:rPr>
            </w:pPr>
            <w:r w:rsidRPr="00943D7A">
              <w:rPr>
                <w:b/>
              </w:rPr>
              <w:lastRenderedPageBreak/>
              <w:t>Informatīvais ziņojums</w:t>
            </w:r>
          </w:p>
        </w:tc>
      </w:tr>
      <w:tr w:rsidR="00D836BD" w:rsidRPr="00943D7A" w14:paraId="7BB38EC2"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DCBC04" w14:textId="7872FD9B" w:rsidR="00D836BD" w:rsidRPr="00943D7A" w:rsidRDefault="00D836BD" w:rsidP="00D836BD">
            <w:r w:rsidRPr="00943D7A">
              <w:t>1</w:t>
            </w:r>
            <w:r w:rsidR="00F30BF7" w:rsidRPr="00943D7A">
              <w:t>7</w:t>
            </w:r>
            <w:r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25B03C" w14:textId="074677F9"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8BB1B" w14:textId="104D4D3B" w:rsidR="00D836BD" w:rsidRPr="00943D7A" w:rsidRDefault="00D836BD" w:rsidP="00D836BD">
            <w:pPr>
              <w:spacing w:before="120" w:after="120"/>
              <w:jc w:val="center"/>
              <w:rPr>
                <w:b/>
              </w:rPr>
            </w:pPr>
            <w:r w:rsidRPr="00943D7A">
              <w:rPr>
                <w:b/>
              </w:rPr>
              <w:t>Ekonomikas ministrijas 02.09.</w:t>
            </w:r>
            <w:r w:rsidR="006E75E6">
              <w:rPr>
                <w:b/>
              </w:rPr>
              <w:t>20</w:t>
            </w:r>
            <w:r w:rsidRPr="00943D7A">
              <w:rPr>
                <w:b/>
              </w:rPr>
              <w:t>19</w:t>
            </w:r>
            <w:r w:rsidR="006E75E6">
              <w:rPr>
                <w:b/>
              </w:rPr>
              <w:t>.</w:t>
            </w:r>
            <w:r w:rsidRPr="00943D7A">
              <w:rPr>
                <w:b/>
              </w:rPr>
              <w:t xml:space="preserve"> atzinums</w:t>
            </w:r>
          </w:p>
          <w:p w14:paraId="62E6ABE9" w14:textId="6D255215" w:rsidR="00D836BD" w:rsidRPr="00943D7A" w:rsidRDefault="00D836BD" w:rsidP="00D836BD">
            <w:pPr>
              <w:spacing w:before="120" w:after="120"/>
              <w:jc w:val="both"/>
              <w:rPr>
                <w:b/>
              </w:rPr>
            </w:pPr>
            <w:r w:rsidRPr="00943D7A">
              <w:t>Tāpat lūgums iekļaut korektu 17. zemsvītras piezīmi, jo tā Informatīvajā ziņojumā ir tukša.</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F32305" w14:textId="77777777" w:rsidR="00D836BD" w:rsidRPr="00943D7A" w:rsidRDefault="00D836BD" w:rsidP="00D836BD">
            <w:pPr>
              <w:spacing w:before="120" w:after="120"/>
              <w:jc w:val="center"/>
              <w:rPr>
                <w:b/>
              </w:rPr>
            </w:pPr>
            <w:r w:rsidRPr="00943D7A">
              <w:rPr>
                <w:b/>
              </w:rPr>
              <w:t>Ņemts vērā</w:t>
            </w:r>
          </w:p>
          <w:p w14:paraId="465DF9BD" w14:textId="77777777" w:rsidR="00D836BD" w:rsidRPr="00943D7A" w:rsidRDefault="00D836BD" w:rsidP="00D836BD">
            <w:pPr>
              <w:jc w:val="both"/>
              <w:rPr>
                <w:b/>
                <w:color w:val="FF0000"/>
              </w:rPr>
            </w:pPr>
          </w:p>
        </w:tc>
        <w:tc>
          <w:tcPr>
            <w:tcW w:w="2385" w:type="dxa"/>
            <w:tcBorders>
              <w:top w:val="single" w:sz="4" w:space="0" w:color="auto"/>
              <w:left w:val="single" w:sz="4" w:space="0" w:color="auto"/>
              <w:bottom w:val="single" w:sz="4" w:space="0" w:color="auto"/>
            </w:tcBorders>
          </w:tcPr>
          <w:p w14:paraId="1E429750" w14:textId="09CDB62B" w:rsidR="00D836BD" w:rsidRPr="00943D7A" w:rsidRDefault="00D836BD" w:rsidP="00D836BD">
            <w:pPr>
              <w:jc w:val="both"/>
              <w:rPr>
                <w:color w:val="000000" w:themeColor="text1"/>
              </w:rPr>
            </w:pPr>
            <w:r w:rsidRPr="00943D7A">
              <w:rPr>
                <w:b/>
              </w:rPr>
              <w:t>Informatīvais ziņojums</w:t>
            </w:r>
          </w:p>
        </w:tc>
      </w:tr>
      <w:tr w:rsidR="00D836BD" w:rsidRPr="00943D7A" w14:paraId="64F18172"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597B7B" w14:textId="6E781CD7" w:rsidR="00D836BD" w:rsidRPr="00943D7A" w:rsidRDefault="00D836BD" w:rsidP="00D836BD">
            <w:r w:rsidRPr="00943D7A">
              <w:t>1</w:t>
            </w:r>
            <w:r w:rsidR="00F30BF7" w:rsidRPr="00943D7A">
              <w:t>8</w:t>
            </w:r>
            <w:r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E2EE76" w14:textId="1E7C41F7"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FFE462" w14:textId="44DD6BEB" w:rsidR="00D836BD" w:rsidRPr="00943D7A" w:rsidRDefault="00D836BD" w:rsidP="00D836BD">
            <w:pPr>
              <w:spacing w:before="120" w:after="120"/>
              <w:jc w:val="center"/>
              <w:rPr>
                <w:b/>
              </w:rPr>
            </w:pPr>
            <w:r w:rsidRPr="00943D7A">
              <w:rPr>
                <w:b/>
              </w:rPr>
              <w:t>Ekonomikas ministrijas 02.09.</w:t>
            </w:r>
            <w:r w:rsidR="006E75E6">
              <w:rPr>
                <w:b/>
              </w:rPr>
              <w:t>20</w:t>
            </w:r>
            <w:r w:rsidRPr="00943D7A">
              <w:rPr>
                <w:b/>
              </w:rPr>
              <w:t>19</w:t>
            </w:r>
            <w:r w:rsidR="006E75E6">
              <w:rPr>
                <w:b/>
              </w:rPr>
              <w:t>.</w:t>
            </w:r>
            <w:r w:rsidRPr="00943D7A">
              <w:rPr>
                <w:b/>
              </w:rPr>
              <w:t xml:space="preserve"> atzinums</w:t>
            </w:r>
          </w:p>
          <w:p w14:paraId="54E2D100" w14:textId="36E941A5" w:rsidR="00D836BD" w:rsidRPr="00943D7A" w:rsidRDefault="00D836BD" w:rsidP="00D836BD">
            <w:pPr>
              <w:pStyle w:val="ListParagraph"/>
              <w:widowControl w:val="0"/>
              <w:spacing w:after="0" w:line="240" w:lineRule="auto"/>
              <w:ind w:left="0"/>
              <w:jc w:val="both"/>
              <w:rPr>
                <w:rFonts w:ascii="Times New Roman" w:hAnsi="Times New Roman"/>
                <w:b/>
                <w:sz w:val="24"/>
                <w:szCs w:val="24"/>
                <w:lang w:val="lv-LV"/>
              </w:rPr>
            </w:pPr>
            <w:r w:rsidRPr="00943D7A">
              <w:rPr>
                <w:rFonts w:ascii="Times New Roman" w:hAnsi="Times New Roman"/>
                <w:sz w:val="24"/>
                <w:szCs w:val="24"/>
                <w:lang w:val="lv-LV"/>
              </w:rPr>
              <w:t>Papildus lūdzam ņemt vērā labojumus un komentārus, kas ir veikti Informatīvā ziņojuma tekstā (pievienots atzinuma pielikumā).</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E8824" w14:textId="7AA18701" w:rsidR="00D836BD" w:rsidRPr="00943D7A" w:rsidRDefault="00D836BD" w:rsidP="00D836BD">
            <w:pPr>
              <w:spacing w:before="120" w:after="120"/>
              <w:jc w:val="center"/>
            </w:pPr>
            <w:r w:rsidRPr="00943D7A">
              <w:rPr>
                <w:b/>
              </w:rPr>
              <w:t>Ņemts vērā</w:t>
            </w:r>
          </w:p>
          <w:p w14:paraId="1C78C651" w14:textId="7AC9A45E" w:rsidR="00D836BD" w:rsidRPr="00943D7A" w:rsidRDefault="00D836BD" w:rsidP="00D836BD">
            <w:pPr>
              <w:spacing w:before="120" w:after="120"/>
              <w:jc w:val="both"/>
              <w:rPr>
                <w:b/>
              </w:rPr>
            </w:pPr>
            <w:r w:rsidRPr="00943D7A">
              <w:t>Neskatoties uz to, ka komentāri nebija iekļauti atzinuma formā, veikti redakcionāli labojumi un labota Informatīvā ziņojuma 5.nodaļā.</w:t>
            </w:r>
          </w:p>
        </w:tc>
        <w:tc>
          <w:tcPr>
            <w:tcW w:w="2385" w:type="dxa"/>
            <w:tcBorders>
              <w:top w:val="single" w:sz="4" w:space="0" w:color="auto"/>
              <w:left w:val="single" w:sz="4" w:space="0" w:color="auto"/>
              <w:bottom w:val="single" w:sz="4" w:space="0" w:color="auto"/>
            </w:tcBorders>
          </w:tcPr>
          <w:p w14:paraId="605CD8AE" w14:textId="1FFB5AA7" w:rsidR="00D836BD" w:rsidRPr="00943D7A" w:rsidRDefault="00D836BD" w:rsidP="00D836BD">
            <w:pPr>
              <w:jc w:val="both"/>
              <w:rPr>
                <w:b/>
              </w:rPr>
            </w:pPr>
            <w:r w:rsidRPr="00943D7A">
              <w:rPr>
                <w:b/>
              </w:rPr>
              <w:t>Informatīvais ziņojums</w:t>
            </w:r>
          </w:p>
        </w:tc>
      </w:tr>
      <w:tr w:rsidR="00D836BD" w:rsidRPr="00943D7A" w14:paraId="4F60678D"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3696E" w14:textId="10F755ED" w:rsidR="00D836BD" w:rsidRPr="00943D7A" w:rsidRDefault="00D836BD" w:rsidP="00D836BD">
            <w:r w:rsidRPr="00943D7A">
              <w:t>1</w:t>
            </w:r>
            <w:r w:rsidR="00F30BF7" w:rsidRPr="00943D7A">
              <w:t>9</w:t>
            </w:r>
            <w:r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06839" w14:textId="237B09FD"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715FFE" w14:textId="77777777" w:rsidR="00D836BD" w:rsidRPr="00943D7A" w:rsidRDefault="00D836BD" w:rsidP="00D836BD">
            <w:pPr>
              <w:pStyle w:val="ListParagraph"/>
              <w:widowControl w:val="0"/>
              <w:spacing w:after="0" w:line="240" w:lineRule="auto"/>
              <w:ind w:left="0"/>
              <w:jc w:val="center"/>
              <w:rPr>
                <w:rFonts w:ascii="Times New Roman" w:hAnsi="Times New Roman"/>
                <w:b/>
                <w:sz w:val="24"/>
                <w:szCs w:val="24"/>
                <w:lang w:val="lv-LV"/>
              </w:rPr>
            </w:pPr>
            <w:r w:rsidRPr="00943D7A">
              <w:rPr>
                <w:rFonts w:ascii="Times New Roman" w:hAnsi="Times New Roman"/>
                <w:b/>
                <w:sz w:val="24"/>
                <w:szCs w:val="24"/>
                <w:lang w:val="lv-LV"/>
              </w:rPr>
              <w:t>Latvijas Lielo pilsētu asociācijas 02.09.2019 atzinums</w:t>
            </w:r>
          </w:p>
          <w:p w14:paraId="5ADAFC37" w14:textId="587C6FF5" w:rsidR="00D836BD" w:rsidRPr="00943D7A" w:rsidRDefault="00D836BD" w:rsidP="00D836BD">
            <w:pPr>
              <w:spacing w:before="120" w:after="120"/>
              <w:jc w:val="both"/>
              <w:rPr>
                <w:b/>
              </w:rPr>
            </w:pPr>
            <w:r w:rsidRPr="00943D7A">
              <w:rPr>
                <w:color w:val="000000"/>
              </w:rPr>
              <w:t xml:space="preserve">Informatīvajā ziņojumā norādīts, ka Modernizācijas fonda finansējumu ir plānots izlietot ne-ETS SEG emisiju mazinošu pasākumu ieviešanai, tādējādi </w:t>
            </w:r>
            <w:r w:rsidRPr="00943D7A">
              <w:rPr>
                <w:color w:val="000000"/>
              </w:rPr>
              <w:lastRenderedPageBreak/>
              <w:t xml:space="preserve">nodrošinot ne-ETS darbību SEG emisiju mērķa 2030. gadam izpildi (4.lpp.). Ņemot vērā Modernizācijas fonda plānoto finansējuma apjomu un 2007.-2013. un 2014.-2020. gada Eiropas Savienības fondu plānošanas periodā pieejamā finansējuma apjomu SEG emisiju mazināšanai, </w:t>
            </w:r>
            <w:r w:rsidRPr="00943D7A">
              <w:rPr>
                <w:b/>
                <w:bCs/>
                <w:color w:val="000000"/>
              </w:rPr>
              <w:t>lūdzam skaidrot, kādus pasākumus Vides aizsardzības un reģionālās attīstības ministrija plāno ieviest, lai ar Modernizācijas fondā pieejamo salīdzinoši nelielo finansējuma apjomu nodrošinātu ne-ETS darbību SEG emisiju mērķa 2030. gadam izpildi.</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C6C5F2" w14:textId="5EEBD0F4" w:rsidR="00D836BD" w:rsidRPr="00943D7A" w:rsidRDefault="00D836BD" w:rsidP="00D836BD">
            <w:pPr>
              <w:spacing w:before="120" w:after="120"/>
              <w:jc w:val="center"/>
              <w:rPr>
                <w:b/>
              </w:rPr>
            </w:pPr>
            <w:r w:rsidRPr="00943D7A">
              <w:rPr>
                <w:b/>
              </w:rPr>
              <w:lastRenderedPageBreak/>
              <w:t>Ņemts vērā.</w:t>
            </w:r>
          </w:p>
          <w:p w14:paraId="69CF289C" w14:textId="77777777" w:rsidR="00D836BD" w:rsidRPr="00943D7A" w:rsidRDefault="00D836BD" w:rsidP="00D836BD">
            <w:pPr>
              <w:spacing w:before="120" w:after="120"/>
              <w:jc w:val="both"/>
            </w:pPr>
            <w:r w:rsidRPr="00943D7A">
              <w:t>Precizēts informatīvais ziņojums svītrojot vārdu “trīs” 2. nodaļas pēdējā rindkopā.</w:t>
            </w:r>
          </w:p>
          <w:p w14:paraId="59A4BEF0" w14:textId="77777777" w:rsidR="00D836BD" w:rsidRPr="00943D7A" w:rsidRDefault="00D836BD" w:rsidP="00D836BD">
            <w:pPr>
              <w:spacing w:before="120" w:after="120"/>
              <w:jc w:val="both"/>
            </w:pPr>
            <w:r w:rsidRPr="00943D7A">
              <w:t xml:space="preserve">Informatīvā ziņojuma uzdevums nav noteikt konkrētus pasākumus vai pat projektus, kas tiks </w:t>
            </w:r>
            <w:r w:rsidRPr="00943D7A">
              <w:lastRenderedPageBreak/>
              <w:t xml:space="preserve">atbalstīti Modernizācijas fonda ietvaros. Saskaņā ar Ministru kabineta 2019. gada 17. jūnija rīkojumu Nr. 381 (prot. Nr. 33 75. §) “Par konceptuālo ziņojumu "Par bezmaksas emisijas kvotu piešķiršanu elektroenerģijas ražotājiem Eiropas Savienības emisiju tirdzniecības sistēmas 2021.–2030. gada periodā"” 3. punktu Informatīvā ziņojuma un MK sēdes protokollēmuma uzdevums ir noteikt Modernizācijas fonda pārvaldību un pieejamo finansējuma apjomu, lai saskaņā ar Direktīvas 2003/87 10.d panta 4. daļu līdz 2019. gada 30. septembrim būtu iespējams paziņot Eiropas Komisijai par izmantojamajiem kvotu apjomiem Modernizācijas fonda vajadzībām. </w:t>
            </w:r>
          </w:p>
          <w:p w14:paraId="1E0ABBF3" w14:textId="6332E637" w:rsidR="00D836BD" w:rsidRPr="00943D7A" w:rsidRDefault="00D836BD" w:rsidP="00D836BD">
            <w:pPr>
              <w:spacing w:before="120" w:after="120"/>
              <w:jc w:val="both"/>
              <w:rPr>
                <w:b/>
              </w:rPr>
            </w:pPr>
            <w:r w:rsidRPr="00943D7A">
              <w:t>Detālu Modernizācijas fonda noteikumu izstrāde nacionālā līmenī, t.sk. par atbalstāmajiem pasākumiem notiks atbilstoši Īstenošanas regulai.</w:t>
            </w:r>
          </w:p>
        </w:tc>
        <w:tc>
          <w:tcPr>
            <w:tcW w:w="2385" w:type="dxa"/>
            <w:tcBorders>
              <w:top w:val="single" w:sz="4" w:space="0" w:color="auto"/>
              <w:left w:val="single" w:sz="4" w:space="0" w:color="auto"/>
              <w:bottom w:val="single" w:sz="4" w:space="0" w:color="auto"/>
            </w:tcBorders>
          </w:tcPr>
          <w:p w14:paraId="1CD91752" w14:textId="7DB8A93E" w:rsidR="00D836BD" w:rsidRPr="00943D7A" w:rsidRDefault="00D836BD" w:rsidP="00D836BD">
            <w:pPr>
              <w:jc w:val="both"/>
              <w:rPr>
                <w:b/>
              </w:rPr>
            </w:pPr>
            <w:r w:rsidRPr="00943D7A">
              <w:rPr>
                <w:b/>
              </w:rPr>
              <w:lastRenderedPageBreak/>
              <w:t>Informatīvais ziņojums</w:t>
            </w:r>
          </w:p>
        </w:tc>
      </w:tr>
      <w:tr w:rsidR="00D836BD" w:rsidRPr="00943D7A" w14:paraId="55A665AC"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8B111B" w14:textId="7BA81546" w:rsidR="00D836BD" w:rsidRPr="00943D7A" w:rsidRDefault="00F30BF7" w:rsidP="00D836BD">
            <w:r w:rsidRPr="00943D7A">
              <w:t>20</w:t>
            </w:r>
            <w:r w:rsidR="00D836BD" w:rsidRPr="00943D7A">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C0217" w14:textId="24DE2F6F" w:rsidR="00D836BD" w:rsidRPr="00943D7A" w:rsidRDefault="00D836BD"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37AF3" w14:textId="7D81E7AA" w:rsidR="00D836BD" w:rsidRPr="00943D7A" w:rsidRDefault="00D836BD" w:rsidP="00D836BD">
            <w:pPr>
              <w:pStyle w:val="ListParagraph"/>
              <w:widowControl w:val="0"/>
              <w:spacing w:after="0" w:line="240" w:lineRule="auto"/>
              <w:ind w:left="0"/>
              <w:jc w:val="center"/>
              <w:rPr>
                <w:rFonts w:ascii="Times New Roman" w:hAnsi="Times New Roman"/>
                <w:b/>
                <w:sz w:val="24"/>
                <w:szCs w:val="24"/>
                <w:lang w:val="lv-LV"/>
              </w:rPr>
            </w:pPr>
            <w:r w:rsidRPr="00943D7A">
              <w:rPr>
                <w:rFonts w:ascii="Times New Roman" w:hAnsi="Times New Roman"/>
                <w:b/>
                <w:sz w:val="24"/>
                <w:szCs w:val="24"/>
                <w:lang w:val="lv-LV"/>
              </w:rPr>
              <w:t>Latvijas Lielo pilsētu asociācijas 02.09.2019</w:t>
            </w:r>
            <w:r w:rsidR="006E75E6">
              <w:rPr>
                <w:rFonts w:ascii="Times New Roman" w:hAnsi="Times New Roman"/>
                <w:b/>
                <w:sz w:val="24"/>
                <w:szCs w:val="24"/>
                <w:lang w:val="lv-LV"/>
              </w:rPr>
              <w:t>.</w:t>
            </w:r>
            <w:r w:rsidRPr="00943D7A">
              <w:rPr>
                <w:rFonts w:ascii="Times New Roman" w:hAnsi="Times New Roman"/>
                <w:b/>
                <w:sz w:val="24"/>
                <w:szCs w:val="24"/>
                <w:lang w:val="lv-LV"/>
              </w:rPr>
              <w:t xml:space="preserve"> atzinums</w:t>
            </w:r>
          </w:p>
          <w:p w14:paraId="1188F890" w14:textId="57908DA6" w:rsidR="00D836BD" w:rsidRPr="00943D7A" w:rsidRDefault="00D836BD" w:rsidP="00D836BD">
            <w:pPr>
              <w:pStyle w:val="ListParagraph"/>
              <w:widowControl w:val="0"/>
              <w:spacing w:after="0" w:line="240" w:lineRule="auto"/>
              <w:ind w:left="0"/>
              <w:jc w:val="both"/>
              <w:rPr>
                <w:rFonts w:ascii="Times New Roman" w:hAnsi="Times New Roman"/>
                <w:b/>
                <w:sz w:val="24"/>
                <w:szCs w:val="24"/>
                <w:lang w:val="lv-LV"/>
              </w:rPr>
            </w:pPr>
            <w:r w:rsidRPr="00943D7A">
              <w:rPr>
                <w:rFonts w:ascii="Times New Roman" w:hAnsi="Times New Roman"/>
                <w:color w:val="000000"/>
                <w:sz w:val="24"/>
                <w:szCs w:val="24"/>
                <w:lang w:val="lv-LV"/>
              </w:rPr>
              <w:t xml:space="preserve">Informatīvā ziņojuma 2. nodaļā (3.-4.lpp.) ir norādīts, ka lielākie ne-ETS SEG emisiju avoti ir transporta sektors (29 %), lauksaimniecības sektors (25 %) un cita ne-ETS enerģētika (16 %), un Modernizācijas fonda līdzekļi būtu jākoncentrē uz investīcijām ne-ETS sektora attiecīgajos problemātiskajos sektoros. Atbalstām investīciju veikšanu ne-ETS SEG emisiju samazināšanā transporta sektorā un citā ne-ETS enerģētikā, taču norādām, ka </w:t>
            </w:r>
            <w:r w:rsidRPr="00943D7A">
              <w:rPr>
                <w:rFonts w:ascii="Times New Roman" w:hAnsi="Times New Roman"/>
                <w:b/>
                <w:bCs/>
                <w:color w:val="000000"/>
                <w:sz w:val="24"/>
                <w:szCs w:val="24"/>
                <w:lang w:val="lv-LV"/>
              </w:rPr>
              <w:t xml:space="preserve">Modernizācijas fonda finansējuma ieguldīšana lauksaimniecības sektora </w:t>
            </w:r>
            <w:r w:rsidRPr="00943D7A">
              <w:rPr>
                <w:rFonts w:ascii="Times New Roman" w:hAnsi="Times New Roman"/>
                <w:b/>
                <w:bCs/>
                <w:color w:val="000000"/>
                <w:sz w:val="24"/>
                <w:szCs w:val="24"/>
                <w:lang w:val="lv-LV"/>
              </w:rPr>
              <w:lastRenderedPageBreak/>
              <w:t>radīto ne-ETS SEG emisiju mazināšanā nav atbalstāma</w:t>
            </w:r>
            <w:r w:rsidRPr="00943D7A">
              <w:rPr>
                <w:rFonts w:ascii="Times New Roman" w:hAnsi="Times New Roman"/>
                <w:color w:val="000000"/>
                <w:sz w:val="24"/>
                <w:szCs w:val="24"/>
                <w:lang w:val="lv-LV"/>
              </w:rPr>
              <w:t xml:space="preserve">, ņemot vērā sektoram novirzīto ikgadējo subsīdiju apjomu un Zemkopība ministrijas atbildībā esošo Eiropas Savienības fondu atbalsta programmu lauksaimniecībai apjomu. Tā vietā </w:t>
            </w:r>
            <w:r w:rsidRPr="00943D7A">
              <w:rPr>
                <w:rFonts w:ascii="Times New Roman" w:hAnsi="Times New Roman"/>
                <w:b/>
                <w:bCs/>
                <w:color w:val="000000"/>
                <w:sz w:val="24"/>
                <w:szCs w:val="24"/>
                <w:lang w:val="lv-LV"/>
              </w:rPr>
              <w:t>Eiropas Savienības fondu atbalsta programmu lauksaimniecībai ietvaros pieejamā finansējuma sadalē būtu nepieciešams ieviest tādus kritērijus, kas vērsti uz lauksaimniecības sektora radīto ne-ETS SEG emisiju samazināšanu.</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57806" w14:textId="42F03274" w:rsidR="00D836BD" w:rsidRPr="00943D7A" w:rsidRDefault="00D836BD" w:rsidP="00D836BD">
            <w:pPr>
              <w:jc w:val="center"/>
              <w:rPr>
                <w:b/>
                <w:lang w:eastAsia="x-none"/>
              </w:rPr>
            </w:pPr>
            <w:r w:rsidRPr="00943D7A">
              <w:rPr>
                <w:b/>
                <w:lang w:eastAsia="x-none"/>
              </w:rPr>
              <w:lastRenderedPageBreak/>
              <w:t>Ņemts vērā</w:t>
            </w:r>
          </w:p>
          <w:p w14:paraId="2FEA7FCF" w14:textId="77777777" w:rsidR="00D836BD" w:rsidRPr="00943D7A" w:rsidRDefault="00D836BD" w:rsidP="00D836BD">
            <w:pPr>
              <w:spacing w:before="120" w:after="120"/>
              <w:jc w:val="both"/>
            </w:pPr>
            <w:r w:rsidRPr="00943D7A">
              <w:t>Precizēts informatīvais ziņojums svītrojot vārdu “trīs” 2. nodaļas pēdējā rindkopā.</w:t>
            </w:r>
          </w:p>
          <w:p w14:paraId="5235E4F7" w14:textId="77777777" w:rsidR="00D836BD" w:rsidRPr="00943D7A" w:rsidRDefault="00D836BD" w:rsidP="00D836BD">
            <w:pPr>
              <w:jc w:val="both"/>
            </w:pPr>
            <w:r w:rsidRPr="00943D7A">
              <w:t>Lūdzam ņemt vērā, ka šī Informatīvā ziņojuma uzdevums nav noteikt konkrētus pasākumus vai pat projektus, kas tiks atbalstīti Modernizācijas fonda ietvaros. Tajā pat laikā Direktīvas 2003/87 10 d  panta 2. punktā ir uzskaitīts plašs loks ar prioritārajām investīcijām, t.sk. investīcijām energoefektivitātē transporta, ēku, lauksaimniecības un atkritumu apsaimniekošanas jomās.</w:t>
            </w:r>
          </w:p>
          <w:p w14:paraId="789DBD7B" w14:textId="46071B7F" w:rsidR="00D836BD" w:rsidRPr="00943D7A" w:rsidRDefault="00D836BD" w:rsidP="00D836BD">
            <w:pPr>
              <w:spacing w:before="120" w:after="120"/>
              <w:jc w:val="both"/>
              <w:rPr>
                <w:bCs/>
                <w:color w:val="000000" w:themeColor="text1"/>
              </w:rPr>
            </w:pPr>
            <w:r w:rsidRPr="00943D7A">
              <w:rPr>
                <w:rFonts w:eastAsia="Calibri"/>
              </w:rPr>
              <w:t xml:space="preserve">Vēršam uzmanību, ka </w:t>
            </w:r>
            <w:r w:rsidRPr="00943D7A">
              <w:rPr>
                <w:bCs/>
                <w:color w:val="000000" w:themeColor="text1"/>
              </w:rPr>
              <w:t xml:space="preserve">tiek plānots nodrošināt demarkāciju starp citiem finanšu instrumentiem un </w:t>
            </w:r>
            <w:r w:rsidRPr="00943D7A">
              <w:rPr>
                <w:bCs/>
                <w:color w:val="000000" w:themeColor="text1"/>
              </w:rPr>
              <w:lastRenderedPageBreak/>
              <w:t xml:space="preserve">fondiem novēršot pieejamā finansējuma dublēšanos, t.sk. arī ar ES lauku attīstības politikai pieejamo finansējumu. </w:t>
            </w:r>
          </w:p>
          <w:p w14:paraId="4EB4555F" w14:textId="77777777" w:rsidR="00D836BD" w:rsidRPr="00943D7A" w:rsidRDefault="00D836BD" w:rsidP="00D836BD">
            <w:pPr>
              <w:spacing w:before="120" w:after="120"/>
              <w:jc w:val="center"/>
              <w:rPr>
                <w:b/>
              </w:rPr>
            </w:pPr>
          </w:p>
        </w:tc>
        <w:tc>
          <w:tcPr>
            <w:tcW w:w="2385" w:type="dxa"/>
            <w:tcBorders>
              <w:top w:val="single" w:sz="4" w:space="0" w:color="auto"/>
              <w:left w:val="single" w:sz="4" w:space="0" w:color="auto"/>
              <w:bottom w:val="single" w:sz="4" w:space="0" w:color="auto"/>
            </w:tcBorders>
          </w:tcPr>
          <w:p w14:paraId="773C0C07" w14:textId="7ACE760F" w:rsidR="00D836BD" w:rsidRPr="00943D7A" w:rsidRDefault="00D836BD" w:rsidP="00D836BD">
            <w:pPr>
              <w:jc w:val="both"/>
              <w:rPr>
                <w:b/>
              </w:rPr>
            </w:pPr>
            <w:r w:rsidRPr="00943D7A">
              <w:rPr>
                <w:b/>
              </w:rPr>
              <w:lastRenderedPageBreak/>
              <w:t>Informatīvais ziņojums</w:t>
            </w:r>
          </w:p>
        </w:tc>
      </w:tr>
      <w:tr w:rsidR="00F30BF7" w:rsidRPr="00943D7A" w14:paraId="594E9E68"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9E907" w14:textId="36AF05CA" w:rsidR="00F30BF7" w:rsidRPr="00943D7A" w:rsidRDefault="00F30BF7" w:rsidP="00D836BD">
            <w:r w:rsidRPr="00943D7A">
              <w:t xml:space="preserve">21.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2D6B3C" w14:textId="37C664D7" w:rsidR="00F30BF7" w:rsidRPr="00943D7A" w:rsidRDefault="00C62A02" w:rsidP="00D836BD">
            <w:pPr>
              <w:jc w:val="both"/>
              <w:rPr>
                <w:b/>
              </w:rPr>
            </w:pPr>
            <w:r w:rsidRPr="00943D7A">
              <w:rPr>
                <w:b/>
              </w:rPr>
              <w:t>Protokollēmuma 4. punkts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FE22FD" w14:textId="7BA16807" w:rsidR="00F30BF7" w:rsidRPr="00943D7A" w:rsidRDefault="003668E0" w:rsidP="00D836BD">
            <w:pPr>
              <w:pStyle w:val="ListParagraph"/>
              <w:widowControl w:val="0"/>
              <w:spacing w:after="0" w:line="240" w:lineRule="auto"/>
              <w:ind w:left="0"/>
              <w:jc w:val="center"/>
              <w:rPr>
                <w:rFonts w:ascii="Times New Roman" w:hAnsi="Times New Roman"/>
                <w:b/>
                <w:sz w:val="24"/>
                <w:szCs w:val="24"/>
                <w:lang w:val="lv-LV"/>
              </w:rPr>
            </w:pPr>
            <w:r w:rsidRPr="00943D7A">
              <w:rPr>
                <w:rFonts w:ascii="Times New Roman" w:hAnsi="Times New Roman"/>
                <w:b/>
                <w:sz w:val="24"/>
                <w:szCs w:val="24"/>
                <w:lang w:val="lv-LV"/>
              </w:rPr>
              <w:t>Ekonomikas ministrijas 13.10.2020</w:t>
            </w:r>
            <w:r w:rsidR="006E75E6">
              <w:rPr>
                <w:rFonts w:ascii="Times New Roman" w:hAnsi="Times New Roman"/>
                <w:b/>
                <w:sz w:val="24"/>
                <w:szCs w:val="24"/>
                <w:lang w:val="lv-LV"/>
              </w:rPr>
              <w:t>.</w:t>
            </w:r>
            <w:r w:rsidRPr="00943D7A">
              <w:rPr>
                <w:rFonts w:ascii="Times New Roman" w:hAnsi="Times New Roman"/>
                <w:b/>
                <w:sz w:val="24"/>
                <w:szCs w:val="24"/>
                <w:lang w:val="lv-LV"/>
              </w:rPr>
              <w:t xml:space="preserve"> atzinums</w:t>
            </w:r>
          </w:p>
          <w:p w14:paraId="44911701" w14:textId="77777777" w:rsidR="003668E0" w:rsidRPr="00943D7A" w:rsidRDefault="003668E0" w:rsidP="00787BC7">
            <w:pPr>
              <w:widowControl w:val="0"/>
              <w:spacing w:after="120"/>
              <w:jc w:val="both"/>
              <w:rPr>
                <w:b/>
                <w:bCs/>
                <w:sz w:val="26"/>
                <w:szCs w:val="26"/>
              </w:rPr>
            </w:pPr>
            <w:r w:rsidRPr="00943D7A">
              <w:rPr>
                <w:sz w:val="26"/>
                <w:szCs w:val="26"/>
              </w:rPr>
              <w:t>Lūgums Protokollēmuma 4.punktu izteikt šādā redakcijā:</w:t>
            </w:r>
          </w:p>
          <w:p w14:paraId="0D2C6C11" w14:textId="77777777" w:rsidR="003668E0" w:rsidRPr="00943D7A" w:rsidRDefault="003668E0" w:rsidP="00787BC7">
            <w:pPr>
              <w:spacing w:after="120"/>
              <w:ind w:left="35" w:firstLine="142"/>
              <w:jc w:val="both"/>
              <w:rPr>
                <w:sz w:val="26"/>
                <w:szCs w:val="26"/>
              </w:rPr>
            </w:pPr>
            <w:r w:rsidRPr="00943D7A">
              <w:rPr>
                <w:sz w:val="26"/>
                <w:szCs w:val="26"/>
              </w:rPr>
              <w:t xml:space="preserve">“4. Vides aizsardzības un reģionālās attīstības ministrijai un Ekonomikas ministrijai līdz 2021. gada </w:t>
            </w:r>
            <w:r w:rsidRPr="00943D7A">
              <w:rPr>
                <w:b/>
                <w:bCs/>
                <w:sz w:val="26"/>
                <w:szCs w:val="26"/>
              </w:rPr>
              <w:t>1.jūnijam</w:t>
            </w:r>
            <w:r w:rsidRPr="00943D7A">
              <w:rPr>
                <w:sz w:val="26"/>
                <w:szCs w:val="26"/>
              </w:rPr>
              <w:t xml:space="preserve"> izstrādāt un </w:t>
            </w:r>
            <w:r w:rsidRPr="00943D7A">
              <w:rPr>
                <w:color w:val="000000"/>
                <w:sz w:val="26"/>
                <w:szCs w:val="26"/>
                <w:shd w:val="clear" w:color="auto" w:fill="FFFFFF"/>
              </w:rPr>
              <w:t xml:space="preserve">vides aizsardzības un reģionālās attīstības ministram noteiktā kārtībā </w:t>
            </w:r>
            <w:r w:rsidRPr="00943D7A">
              <w:rPr>
                <w:sz w:val="26"/>
                <w:szCs w:val="26"/>
              </w:rPr>
              <w:t xml:space="preserve">iesniegt Ministru kabinetā Modernizācijas fonda daudzgadu programmas darbības noteikumus, kas izstrādāti, </w:t>
            </w:r>
            <w:r w:rsidRPr="00943D7A">
              <w:rPr>
                <w:b/>
                <w:bCs/>
                <w:sz w:val="26"/>
                <w:szCs w:val="26"/>
              </w:rPr>
              <w:t>ņemot vērā un saskaņā ar “Latvijas Nacionālā enerģētikas un klimata plānā 2021.-2030. gadam”, kas apstiprināts ar Ministru kabineta 2020. gada 4. februāra rīkojumu Nr. 46, noteiktām prioritātēm.”</w:t>
            </w:r>
          </w:p>
          <w:p w14:paraId="6C77D7C0" w14:textId="0893B11C" w:rsidR="003668E0" w:rsidRPr="00943D7A" w:rsidRDefault="003668E0" w:rsidP="00D836BD">
            <w:pPr>
              <w:pStyle w:val="ListParagraph"/>
              <w:widowControl w:val="0"/>
              <w:spacing w:after="0" w:line="240" w:lineRule="auto"/>
              <w:ind w:left="0"/>
              <w:jc w:val="center"/>
              <w:rPr>
                <w:rFonts w:ascii="Times New Roman" w:hAnsi="Times New Roman"/>
                <w:b/>
                <w:sz w:val="24"/>
                <w:szCs w:val="24"/>
                <w:lang w:val="lv-LV"/>
              </w:rPr>
            </w:pP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C67F0F" w14:textId="77777777" w:rsidR="00F30BF7" w:rsidRPr="00943D7A" w:rsidRDefault="00C62A02" w:rsidP="00D836BD">
            <w:pPr>
              <w:jc w:val="center"/>
              <w:rPr>
                <w:b/>
                <w:lang w:eastAsia="x-none"/>
              </w:rPr>
            </w:pPr>
            <w:r w:rsidRPr="00943D7A">
              <w:rPr>
                <w:b/>
                <w:lang w:eastAsia="x-none"/>
              </w:rPr>
              <w:lastRenderedPageBreak/>
              <w:t>Ņemts vērā</w:t>
            </w:r>
          </w:p>
          <w:p w14:paraId="4C9CE3B9" w14:textId="7A4516C3" w:rsidR="00C62A02" w:rsidRPr="00943D7A" w:rsidRDefault="0031731B" w:rsidP="00787BC7">
            <w:pPr>
              <w:jc w:val="both"/>
              <w:rPr>
                <w:bCs/>
                <w:lang w:eastAsia="x-none"/>
              </w:rPr>
            </w:pPr>
            <w:r w:rsidRPr="00943D7A">
              <w:rPr>
                <w:bCs/>
                <w:lang w:eastAsia="x-none"/>
              </w:rPr>
              <w:t>Lai nodrošinātu protokollēmuma</w:t>
            </w:r>
            <w:r w:rsidR="0060509F" w:rsidRPr="00943D7A">
              <w:rPr>
                <w:bCs/>
                <w:lang w:eastAsia="x-none"/>
              </w:rPr>
              <w:t xml:space="preserve"> 4. punktā noteiktā uzdevuma izpildei reālu termiņu</w:t>
            </w:r>
            <w:r w:rsidR="0035579F" w:rsidRPr="00943D7A">
              <w:rPr>
                <w:bCs/>
                <w:lang w:eastAsia="x-none"/>
              </w:rPr>
              <w:t>,</w:t>
            </w:r>
            <w:r w:rsidR="0060509F" w:rsidRPr="00943D7A">
              <w:rPr>
                <w:bCs/>
                <w:lang w:eastAsia="x-none"/>
              </w:rPr>
              <w:t xml:space="preserve"> </w:t>
            </w:r>
            <w:r w:rsidR="004B10F9" w:rsidRPr="00943D7A">
              <w:rPr>
                <w:bCs/>
                <w:lang w:eastAsia="x-none"/>
              </w:rPr>
              <w:t>ierosinām to noteikt kā 1.jū</w:t>
            </w:r>
            <w:r w:rsidR="005C668F" w:rsidRPr="00943D7A">
              <w:rPr>
                <w:bCs/>
                <w:lang w:eastAsia="x-none"/>
              </w:rPr>
              <w:t>l</w:t>
            </w:r>
            <w:r w:rsidR="004B10F9" w:rsidRPr="00943D7A">
              <w:rPr>
                <w:bCs/>
                <w:lang w:eastAsia="x-none"/>
              </w:rPr>
              <w:t>iju.</w:t>
            </w:r>
          </w:p>
        </w:tc>
        <w:tc>
          <w:tcPr>
            <w:tcW w:w="2385" w:type="dxa"/>
            <w:tcBorders>
              <w:top w:val="single" w:sz="4" w:space="0" w:color="auto"/>
              <w:left w:val="single" w:sz="4" w:space="0" w:color="auto"/>
              <w:bottom w:val="single" w:sz="4" w:space="0" w:color="auto"/>
            </w:tcBorders>
          </w:tcPr>
          <w:p w14:paraId="39D91D87" w14:textId="3996D39E" w:rsidR="00F30BF7" w:rsidRPr="00943D7A" w:rsidRDefault="009D386D" w:rsidP="00787BC7">
            <w:pPr>
              <w:pStyle w:val="Title"/>
              <w:spacing w:before="120" w:after="120"/>
              <w:jc w:val="both"/>
              <w:outlineLvl w:val="0"/>
              <w:rPr>
                <w:b/>
              </w:rPr>
            </w:pPr>
            <w:r w:rsidRPr="00943D7A">
              <w:rPr>
                <w:bCs/>
                <w:sz w:val="24"/>
                <w:szCs w:val="24"/>
              </w:rPr>
              <w:t>Protokollēmuma 4.punkt</w:t>
            </w:r>
            <w:r w:rsidR="008D0362" w:rsidRPr="00943D7A">
              <w:rPr>
                <w:bCs/>
                <w:sz w:val="24"/>
                <w:szCs w:val="24"/>
              </w:rPr>
              <w:t>s</w:t>
            </w:r>
            <w:r w:rsidRPr="00943D7A">
              <w:rPr>
                <w:bCs/>
                <w:sz w:val="24"/>
                <w:szCs w:val="24"/>
              </w:rPr>
              <w:t xml:space="preserve"> izteikts šādā redakcijā:</w:t>
            </w:r>
            <w:r w:rsidRPr="00943D7A">
              <w:rPr>
                <w:b/>
                <w:sz w:val="32"/>
                <w:szCs w:val="22"/>
              </w:rPr>
              <w:t xml:space="preserve"> </w:t>
            </w:r>
            <w:r w:rsidRPr="00943D7A">
              <w:rPr>
                <w:b/>
                <w:sz w:val="24"/>
                <w:szCs w:val="24"/>
              </w:rPr>
              <w:t>“</w:t>
            </w:r>
            <w:r w:rsidRPr="00943D7A">
              <w:rPr>
                <w:sz w:val="24"/>
                <w:szCs w:val="24"/>
              </w:rPr>
              <w:t xml:space="preserve">4. Vides aizsardzības un reģionālās attīstības ministrijai un Ekonomikas ministrijai līdz 2021. gada 1.jūlijam izstrādāt un </w:t>
            </w:r>
            <w:r w:rsidRPr="00943D7A">
              <w:rPr>
                <w:sz w:val="24"/>
                <w:szCs w:val="24"/>
                <w:shd w:val="clear" w:color="auto" w:fill="FFFFFF"/>
              </w:rPr>
              <w:t xml:space="preserve">vides aizsardzības un reģionālās attīstības ministram noteiktā kārtībā </w:t>
            </w:r>
            <w:r w:rsidRPr="00943D7A">
              <w:rPr>
                <w:sz w:val="24"/>
                <w:szCs w:val="24"/>
              </w:rPr>
              <w:t xml:space="preserve">iesniegt Ministru kabinetā Modernizācijas fonda daudzgadu programmas darbības noteikumus, ņemot vērā Latvijas Nacionālā enerģētikas </w:t>
            </w:r>
            <w:r w:rsidRPr="00943D7A">
              <w:rPr>
                <w:sz w:val="24"/>
                <w:szCs w:val="24"/>
              </w:rPr>
              <w:lastRenderedPageBreak/>
              <w:t>un klimata plānā 2021.-2030. gadam”, kas apstiprināts ar Ministru kabineta 2020. gada 4. februāra rīkojumu Nr. 46</w:t>
            </w:r>
            <w:r w:rsidR="00BA7DC8">
              <w:rPr>
                <w:sz w:val="24"/>
                <w:szCs w:val="24"/>
              </w:rPr>
              <w:t xml:space="preserve"> </w:t>
            </w:r>
            <w:r w:rsidR="004717EF" w:rsidRPr="00C61B9E">
              <w:rPr>
                <w:sz w:val="24"/>
                <w:szCs w:val="24"/>
              </w:rPr>
              <w:t>“Par Latvijas Nacionālo enerģētikas un klimata plānu 2021.-2030. gadam”</w:t>
            </w:r>
            <w:r w:rsidRPr="00943D7A">
              <w:rPr>
                <w:sz w:val="24"/>
                <w:szCs w:val="24"/>
              </w:rPr>
              <w:t xml:space="preserve"> noteikt</w:t>
            </w:r>
            <w:r w:rsidR="00F22EB3" w:rsidRPr="00943D7A">
              <w:rPr>
                <w:sz w:val="24"/>
                <w:szCs w:val="24"/>
              </w:rPr>
              <w:t>os</w:t>
            </w:r>
            <w:r w:rsidRPr="00943D7A">
              <w:rPr>
                <w:sz w:val="24"/>
                <w:szCs w:val="24"/>
              </w:rPr>
              <w:t xml:space="preserve"> p</w:t>
            </w:r>
            <w:r w:rsidR="00F22EB3" w:rsidRPr="00943D7A">
              <w:rPr>
                <w:sz w:val="24"/>
                <w:szCs w:val="24"/>
              </w:rPr>
              <w:t>asākumus</w:t>
            </w:r>
            <w:r w:rsidRPr="00943D7A">
              <w:rPr>
                <w:sz w:val="24"/>
                <w:szCs w:val="24"/>
              </w:rPr>
              <w:t>.</w:t>
            </w:r>
            <w:r w:rsidRPr="00943D7A">
              <w:rPr>
                <w:b/>
                <w:sz w:val="24"/>
                <w:szCs w:val="24"/>
              </w:rPr>
              <w:t>”</w:t>
            </w:r>
          </w:p>
        </w:tc>
      </w:tr>
      <w:tr w:rsidR="00EE261B" w:rsidRPr="00943D7A" w14:paraId="3EC4D72A"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7B292" w14:textId="2020AF2B" w:rsidR="00EE261B" w:rsidRPr="00943D7A" w:rsidRDefault="00EE261B" w:rsidP="00D836BD">
            <w:r w:rsidRPr="00943D7A">
              <w:lastRenderedPageBreak/>
              <w:t>22.</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FA54FF" w14:textId="766ACA1A" w:rsidR="00EE261B" w:rsidRPr="00943D7A" w:rsidRDefault="00050547" w:rsidP="00D836BD">
            <w:pPr>
              <w:jc w:val="both"/>
              <w:rPr>
                <w:b/>
              </w:rPr>
            </w:pPr>
            <w:r w:rsidRPr="00943D7A">
              <w:rPr>
                <w:b/>
              </w:rPr>
              <w:t>Protokollēmuma 6. punkts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BA4F76" w14:textId="7A20DDBC" w:rsidR="00086478" w:rsidRPr="00943D7A" w:rsidRDefault="00086478" w:rsidP="00086478">
            <w:pPr>
              <w:pStyle w:val="ListParagraph"/>
              <w:widowControl w:val="0"/>
              <w:spacing w:after="0" w:line="240" w:lineRule="auto"/>
              <w:ind w:left="0"/>
              <w:jc w:val="center"/>
              <w:rPr>
                <w:rFonts w:ascii="Times New Roman" w:hAnsi="Times New Roman"/>
                <w:b/>
                <w:sz w:val="24"/>
                <w:szCs w:val="24"/>
                <w:lang w:val="lv-LV"/>
              </w:rPr>
            </w:pPr>
            <w:r w:rsidRPr="00943D7A">
              <w:rPr>
                <w:rFonts w:ascii="Times New Roman" w:hAnsi="Times New Roman"/>
                <w:b/>
                <w:sz w:val="24"/>
                <w:szCs w:val="24"/>
                <w:lang w:val="lv-LV"/>
              </w:rPr>
              <w:t>Ekonomikas ministrijas 13.10.2020</w:t>
            </w:r>
            <w:r w:rsidR="006E75E6">
              <w:rPr>
                <w:rFonts w:ascii="Times New Roman" w:hAnsi="Times New Roman"/>
                <w:b/>
                <w:sz w:val="24"/>
                <w:szCs w:val="24"/>
                <w:lang w:val="lv-LV"/>
              </w:rPr>
              <w:t>.</w:t>
            </w:r>
            <w:r w:rsidRPr="00943D7A">
              <w:rPr>
                <w:rFonts w:ascii="Times New Roman" w:hAnsi="Times New Roman"/>
                <w:b/>
                <w:sz w:val="24"/>
                <w:szCs w:val="24"/>
                <w:lang w:val="lv-LV"/>
              </w:rPr>
              <w:t xml:space="preserve"> atzinums</w:t>
            </w:r>
          </w:p>
          <w:p w14:paraId="2A2D6BE5" w14:textId="08FE09B5" w:rsidR="00F46043" w:rsidRPr="00943D7A" w:rsidRDefault="00F46043" w:rsidP="00F22EB3">
            <w:pPr>
              <w:widowControl w:val="0"/>
              <w:spacing w:after="120"/>
              <w:jc w:val="both"/>
              <w:rPr>
                <w:sz w:val="26"/>
                <w:szCs w:val="26"/>
              </w:rPr>
            </w:pPr>
            <w:r w:rsidRPr="00943D7A">
              <w:rPr>
                <w:noProof/>
                <w:sz w:val="26"/>
                <w:szCs w:val="26"/>
              </w:rPr>
              <w:t>Lūgums protokollēmuma 6.punktu izteikt šādā redakcijā:</w:t>
            </w:r>
          </w:p>
          <w:p w14:paraId="2B90E82A" w14:textId="77777777" w:rsidR="00F46043" w:rsidRPr="00943D7A" w:rsidRDefault="00F46043" w:rsidP="00F22EB3">
            <w:pPr>
              <w:pStyle w:val="Title"/>
              <w:spacing w:after="120"/>
              <w:ind w:left="35" w:firstLine="532"/>
              <w:jc w:val="both"/>
              <w:outlineLvl w:val="0"/>
              <w:rPr>
                <w:sz w:val="26"/>
                <w:szCs w:val="26"/>
              </w:rPr>
            </w:pPr>
            <w:r w:rsidRPr="00943D7A">
              <w:rPr>
                <w:noProof/>
                <w:sz w:val="26"/>
                <w:szCs w:val="26"/>
              </w:rPr>
              <w:t>“</w:t>
            </w:r>
            <w:r w:rsidRPr="00943D7A">
              <w:rPr>
                <w:sz w:val="26"/>
                <w:szCs w:val="26"/>
              </w:rPr>
              <w:t>6. Vides aizsardzības un reģionālās attīstības ministrijai iesniegt Eiropas Komisijai aktuālās nominācijas par Latvijas pārstāvjiem Modernizācijas fonda Investīciju komitejai (loceklis, tā aizvietotājs un nepieciešamības gadījumā arī novērotājs)</w:t>
            </w:r>
            <w:r w:rsidRPr="00943D7A">
              <w:rPr>
                <w:b/>
                <w:bCs/>
                <w:sz w:val="26"/>
                <w:szCs w:val="26"/>
              </w:rPr>
              <w:t>, kā komitejas locekli nominējot Vides aizsardzības un reģionālās attīstības ministrijas pārstāvi, bet kā aizvietotāju nominējot Ekonomikas ministrijas pārstāvi.</w:t>
            </w:r>
            <w:r w:rsidRPr="00943D7A">
              <w:rPr>
                <w:sz w:val="26"/>
                <w:szCs w:val="26"/>
              </w:rPr>
              <w:t>”.</w:t>
            </w:r>
          </w:p>
          <w:p w14:paraId="1A9B78D4" w14:textId="77777777" w:rsidR="00EE261B" w:rsidRPr="00943D7A" w:rsidRDefault="00EE261B" w:rsidP="00D836BD">
            <w:pPr>
              <w:pStyle w:val="ListParagraph"/>
              <w:widowControl w:val="0"/>
              <w:spacing w:after="0" w:line="240" w:lineRule="auto"/>
              <w:ind w:left="0"/>
              <w:jc w:val="center"/>
              <w:rPr>
                <w:rFonts w:ascii="Times New Roman" w:hAnsi="Times New Roman"/>
                <w:b/>
                <w:sz w:val="24"/>
                <w:szCs w:val="24"/>
                <w:lang w:val="lv-LV"/>
              </w:rPr>
            </w:pP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C81A1E" w14:textId="77777777" w:rsidR="00EE261B" w:rsidRPr="00943D7A" w:rsidRDefault="00F46043" w:rsidP="00A5104E">
            <w:pPr>
              <w:jc w:val="center"/>
              <w:rPr>
                <w:b/>
                <w:lang w:eastAsia="x-none"/>
              </w:rPr>
            </w:pPr>
            <w:r w:rsidRPr="00943D7A">
              <w:rPr>
                <w:b/>
                <w:lang w:eastAsia="x-none"/>
              </w:rPr>
              <w:t>Ņemts vērā</w:t>
            </w:r>
          </w:p>
          <w:p w14:paraId="59772DB6" w14:textId="2F37863D" w:rsidR="00F46043" w:rsidRPr="00943D7A" w:rsidRDefault="00CD5FCD" w:rsidP="00F22EB3">
            <w:pPr>
              <w:jc w:val="both"/>
              <w:rPr>
                <w:bCs/>
                <w:lang w:eastAsia="x-none"/>
              </w:rPr>
            </w:pPr>
            <w:r w:rsidRPr="00943D7A">
              <w:rPr>
                <w:bCs/>
                <w:lang w:eastAsia="x-none"/>
              </w:rPr>
              <w:t>Investīciju komitej</w:t>
            </w:r>
            <w:r w:rsidR="001E6DF5" w:rsidRPr="00943D7A">
              <w:rPr>
                <w:bCs/>
                <w:lang w:eastAsia="x-none"/>
              </w:rPr>
              <w:t>as sanāksmē pied</w:t>
            </w:r>
            <w:r w:rsidR="00AC3B93" w:rsidRPr="00943D7A">
              <w:rPr>
                <w:bCs/>
                <w:lang w:eastAsia="x-none"/>
              </w:rPr>
              <w:t>a</w:t>
            </w:r>
            <w:r w:rsidR="001E6DF5" w:rsidRPr="00943D7A">
              <w:rPr>
                <w:bCs/>
                <w:lang w:eastAsia="x-none"/>
              </w:rPr>
              <w:t xml:space="preserve">lās </w:t>
            </w:r>
            <w:r w:rsidR="00056F5A" w:rsidRPr="00943D7A">
              <w:rPr>
                <w:bCs/>
                <w:lang w:eastAsia="x-none"/>
              </w:rPr>
              <w:t xml:space="preserve">vai nu </w:t>
            </w:r>
            <w:r w:rsidR="00AC3B93" w:rsidRPr="00943D7A">
              <w:rPr>
                <w:bCs/>
                <w:lang w:eastAsia="x-none"/>
              </w:rPr>
              <w:t>Investīciju komitejas loceklis</w:t>
            </w:r>
            <w:r w:rsidR="00056F5A" w:rsidRPr="00943D7A">
              <w:rPr>
                <w:bCs/>
                <w:lang w:eastAsia="x-none"/>
              </w:rPr>
              <w:t>,</w:t>
            </w:r>
            <w:r w:rsidR="00AC3B93" w:rsidRPr="00943D7A">
              <w:rPr>
                <w:bCs/>
                <w:lang w:eastAsia="x-none"/>
              </w:rPr>
              <w:t xml:space="preserve"> vai tā aizvietotājs. Investīciju komitejas locekli</w:t>
            </w:r>
            <w:r w:rsidR="00056F5A" w:rsidRPr="00943D7A">
              <w:rPr>
                <w:bCs/>
                <w:lang w:eastAsia="x-none"/>
              </w:rPr>
              <w:t xml:space="preserve"> vai aizvietotāju drīkst </w:t>
            </w:r>
            <w:r w:rsidR="00A5104E" w:rsidRPr="00943D7A">
              <w:rPr>
                <w:bCs/>
                <w:lang w:eastAsia="x-none"/>
              </w:rPr>
              <w:t xml:space="preserve"> pavadīt arī piesaistīts eksperts par ko jāinformē investīciju komitejas vadītājs pirms sanāksmes.</w:t>
            </w:r>
          </w:p>
        </w:tc>
        <w:tc>
          <w:tcPr>
            <w:tcW w:w="2385" w:type="dxa"/>
            <w:tcBorders>
              <w:top w:val="single" w:sz="4" w:space="0" w:color="auto"/>
              <w:left w:val="single" w:sz="4" w:space="0" w:color="auto"/>
              <w:bottom w:val="single" w:sz="4" w:space="0" w:color="auto"/>
            </w:tcBorders>
          </w:tcPr>
          <w:p w14:paraId="4C219102" w14:textId="4BCE2121" w:rsidR="00EE261B" w:rsidRPr="00943D7A" w:rsidRDefault="00574B78" w:rsidP="00F22EB3">
            <w:pPr>
              <w:pStyle w:val="Title"/>
              <w:spacing w:before="120" w:after="120"/>
              <w:jc w:val="both"/>
              <w:outlineLvl w:val="0"/>
              <w:rPr>
                <w:b/>
                <w:sz w:val="24"/>
                <w:szCs w:val="24"/>
              </w:rPr>
            </w:pPr>
            <w:r w:rsidRPr="00943D7A">
              <w:rPr>
                <w:sz w:val="24"/>
                <w:szCs w:val="24"/>
              </w:rPr>
              <w:t xml:space="preserve">Protokollēmujma </w:t>
            </w:r>
            <w:r w:rsidR="008D0362" w:rsidRPr="00943D7A">
              <w:rPr>
                <w:sz w:val="24"/>
                <w:szCs w:val="24"/>
              </w:rPr>
              <w:t>6.</w:t>
            </w:r>
            <w:r w:rsidRPr="00943D7A">
              <w:rPr>
                <w:sz w:val="24"/>
                <w:szCs w:val="24"/>
              </w:rPr>
              <w:t>punkts izteikts šādā redakcijā: “</w:t>
            </w:r>
            <w:r w:rsidR="008D0362" w:rsidRPr="00943D7A">
              <w:rPr>
                <w:sz w:val="24"/>
                <w:szCs w:val="24"/>
              </w:rPr>
              <w:t xml:space="preserve">Vides aizsardzības un reģionālās attīstības ministrijai mēneša laikā pēc šī informatīvā ziņojuma apstiprināšanas Ministru kabinetā iesniegt Eiropas Komisijai un Eiropas Investīciju bankai aktuālās nominācijas par Latvijas pārstāvjiem Modernizācijas fonda Investīciju komitejai, kā komitejas locekli nominējot Vides aizsardzības un </w:t>
            </w:r>
            <w:r w:rsidR="008D0362" w:rsidRPr="00943D7A">
              <w:rPr>
                <w:sz w:val="24"/>
                <w:szCs w:val="24"/>
              </w:rPr>
              <w:lastRenderedPageBreak/>
              <w:t>reģionālās attīstības ministrijas pārstāvi, bet kā aizvietotāju nominējot Ekonomikas ministrijas pārstāvi.</w:t>
            </w:r>
            <w:r w:rsidRPr="00943D7A">
              <w:rPr>
                <w:sz w:val="24"/>
                <w:szCs w:val="24"/>
              </w:rPr>
              <w:t>”</w:t>
            </w:r>
          </w:p>
        </w:tc>
      </w:tr>
      <w:tr w:rsidR="00086478" w:rsidRPr="00943D7A" w14:paraId="36F8AB03"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930A20" w14:textId="1853C087" w:rsidR="00086478" w:rsidRPr="00943D7A" w:rsidRDefault="00086478" w:rsidP="00D836BD">
            <w:r w:rsidRPr="00943D7A">
              <w:lastRenderedPageBreak/>
              <w:t>23.</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82C7E" w14:textId="595F5689" w:rsidR="00086478" w:rsidRPr="00943D7A" w:rsidRDefault="00AB5A61"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CCC818" w14:textId="26827D6D" w:rsidR="00086478" w:rsidRPr="00943D7A" w:rsidRDefault="00086478" w:rsidP="00F46043">
            <w:pPr>
              <w:widowControl w:val="0"/>
              <w:spacing w:after="120"/>
              <w:jc w:val="both"/>
              <w:rPr>
                <w:b/>
                <w:bCs/>
                <w:noProof/>
                <w:sz w:val="26"/>
                <w:szCs w:val="26"/>
              </w:rPr>
            </w:pPr>
            <w:r w:rsidRPr="00943D7A">
              <w:rPr>
                <w:b/>
                <w:bCs/>
                <w:noProof/>
                <w:sz w:val="26"/>
                <w:szCs w:val="26"/>
              </w:rPr>
              <w:t>F</w:t>
            </w:r>
            <w:r w:rsidR="00C17D17" w:rsidRPr="00943D7A">
              <w:rPr>
                <w:b/>
                <w:bCs/>
                <w:noProof/>
                <w:sz w:val="26"/>
                <w:szCs w:val="26"/>
              </w:rPr>
              <w:t xml:space="preserve">inanšu ministrijas </w:t>
            </w:r>
            <w:r w:rsidR="00803DA7" w:rsidRPr="00943D7A">
              <w:rPr>
                <w:b/>
                <w:bCs/>
                <w:noProof/>
                <w:sz w:val="26"/>
                <w:szCs w:val="26"/>
              </w:rPr>
              <w:t>09</w:t>
            </w:r>
            <w:r w:rsidR="00C17D17" w:rsidRPr="00943D7A">
              <w:rPr>
                <w:b/>
                <w:bCs/>
                <w:noProof/>
                <w:sz w:val="26"/>
                <w:szCs w:val="26"/>
              </w:rPr>
              <w:t>.10.</w:t>
            </w:r>
            <w:r w:rsidR="006E75E6">
              <w:rPr>
                <w:b/>
                <w:bCs/>
                <w:noProof/>
                <w:sz w:val="26"/>
                <w:szCs w:val="26"/>
              </w:rPr>
              <w:t>20</w:t>
            </w:r>
            <w:r w:rsidR="00C17D17" w:rsidRPr="00943D7A">
              <w:rPr>
                <w:b/>
                <w:bCs/>
                <w:noProof/>
                <w:sz w:val="26"/>
                <w:szCs w:val="26"/>
              </w:rPr>
              <w:t>20</w:t>
            </w:r>
            <w:r w:rsidR="006E75E6">
              <w:rPr>
                <w:b/>
                <w:bCs/>
                <w:noProof/>
                <w:sz w:val="26"/>
                <w:szCs w:val="26"/>
              </w:rPr>
              <w:t>.</w:t>
            </w:r>
            <w:r w:rsidR="00F23CB4" w:rsidRPr="00943D7A">
              <w:rPr>
                <w:b/>
                <w:bCs/>
                <w:noProof/>
                <w:sz w:val="26"/>
                <w:szCs w:val="26"/>
              </w:rPr>
              <w:t xml:space="preserve"> atzinums</w:t>
            </w:r>
          </w:p>
          <w:p w14:paraId="1CEB5078" w14:textId="77777777" w:rsidR="00A1722E" w:rsidRPr="00943D7A" w:rsidRDefault="00A1722E" w:rsidP="00F22EB3">
            <w:pPr>
              <w:jc w:val="both"/>
              <w:rPr>
                <w:rFonts w:cs="Calibri"/>
              </w:rPr>
            </w:pPr>
            <w:r w:rsidRPr="00943D7A">
              <w:rPr>
                <w:rFonts w:cs="Calibri"/>
              </w:rPr>
              <w:t>Informatīvā ziņojuma 10.lpp teikts, ka “…</w:t>
            </w:r>
            <w:r w:rsidRPr="00943D7A">
              <w:rPr>
                <w:rFonts w:cs="Calibri"/>
                <w:i/>
                <w:iCs/>
              </w:rPr>
              <w:t xml:space="preserve">pamatojoties uz VARAM un EM izstrādātiem Modernizācijas fonda daudzgadu programmas (shēmas) darbības noteikumiem, plānots veikt izmantojot ALTUM.”, </w:t>
            </w:r>
            <w:r w:rsidRPr="00943D7A">
              <w:rPr>
                <w:rFonts w:cs="Calibri"/>
              </w:rPr>
              <w:t>kā arī</w:t>
            </w:r>
            <w:r w:rsidRPr="00943D7A">
              <w:rPr>
                <w:rFonts w:cs="Calibri"/>
                <w:i/>
                <w:iCs/>
              </w:rPr>
              <w:t xml:space="preserve"> </w:t>
            </w:r>
            <w:r w:rsidRPr="00943D7A">
              <w:rPr>
                <w:rFonts w:cs="Calibri"/>
              </w:rPr>
              <w:t>teikts, ka “..</w:t>
            </w:r>
            <w:r w:rsidRPr="00943D7A">
              <w:rPr>
                <w:rFonts w:cs="Calibri"/>
                <w:i/>
                <w:iCs/>
              </w:rPr>
              <w:t xml:space="preserve">no Modernizācijas fonda līdzekļiem nebūs iespējams segt dalībvalstu administratīvās izmaksas, kas rodas saistībā ar Modernizācijas fonda darbību un uzturēšanu.”. </w:t>
            </w:r>
            <w:r w:rsidRPr="00943D7A">
              <w:rPr>
                <w:rFonts w:cs="Calibri"/>
              </w:rPr>
              <w:t>Savukārt Attīstības finanšu institūcijas likums nosaka akciju sabiedrības “Attīstības finanšu institūcijas Altum” (turpmāk - Altum) darbības jomas un mērķus valsts atbalsta un attīstības programmu īstenošanai deleģēto valsts pārvaldes uzdevumu izpildē, t.sk., darbības risku un sagaidāmo zaudējumu novērtējumu, finansiālo rezultātu un īstenošanas izmaksas.</w:t>
            </w:r>
          </w:p>
          <w:p w14:paraId="0A7AD45A" w14:textId="77777777" w:rsidR="00A1722E" w:rsidRPr="00943D7A" w:rsidRDefault="00A1722E" w:rsidP="00F22EB3">
            <w:pPr>
              <w:jc w:val="both"/>
              <w:rPr>
                <w:rFonts w:cs="Calibri"/>
              </w:rPr>
            </w:pPr>
            <w:r w:rsidRPr="00943D7A">
              <w:rPr>
                <w:rFonts w:cs="Calibri"/>
              </w:rPr>
              <w:t xml:space="preserve">Pamatojoties uz iepriekšminēto, lūdzam papildināt informatīvo ziņojumu ar informāciju, no kādiem avotiem plānots segt Latvijas administratīvās izmaksas, tai </w:t>
            </w:r>
            <w:r w:rsidRPr="00943D7A">
              <w:rPr>
                <w:rFonts w:cs="Calibri"/>
              </w:rPr>
              <w:lastRenderedPageBreak/>
              <w:t>skaitā Altum pārvaldības izmaksas, kas radīsies saistībā ar Modernizācijas fonda darbību un uzturēšanu, ievērojot informatīvajā ziņojumā sniegto papildu informāciju, ka tās nebūs iespējams segt no Modernizācijas fonda līdzekļiem.</w:t>
            </w:r>
          </w:p>
          <w:p w14:paraId="46CFA076" w14:textId="60D606B9" w:rsidR="00794020" w:rsidRPr="00943D7A" w:rsidRDefault="00794020" w:rsidP="00F46043">
            <w:pPr>
              <w:widowControl w:val="0"/>
              <w:spacing w:after="120"/>
              <w:jc w:val="both"/>
              <w:rPr>
                <w:b/>
                <w:bCs/>
                <w:noProof/>
                <w:sz w:val="26"/>
                <w:szCs w:val="26"/>
              </w:rPr>
            </w:pP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43678D" w14:textId="0FCF8034" w:rsidR="004730AF" w:rsidRPr="00943D7A" w:rsidRDefault="004730AF" w:rsidP="000C749E">
            <w:pPr>
              <w:ind w:right="-1" w:firstLine="709"/>
              <w:jc w:val="center"/>
              <w:rPr>
                <w:b/>
                <w:bCs/>
              </w:rPr>
            </w:pPr>
            <w:r w:rsidRPr="00943D7A">
              <w:rPr>
                <w:b/>
                <w:bCs/>
              </w:rPr>
              <w:lastRenderedPageBreak/>
              <w:t>Ņemts vērā</w:t>
            </w:r>
          </w:p>
          <w:p w14:paraId="264B9BAC" w14:textId="0635E094" w:rsidR="00086478" w:rsidRPr="00943D7A" w:rsidRDefault="008D570E" w:rsidP="00EC5590">
            <w:pPr>
              <w:ind w:firstLine="597"/>
              <w:jc w:val="both"/>
              <w:rPr>
                <w:b/>
                <w:lang w:eastAsia="x-none"/>
              </w:rPr>
            </w:pPr>
            <w:r w:rsidRPr="00943D7A">
              <w:t xml:space="preserve">Administratīvo izmaksu finansēšanas avots un apjoms, kas būs nepieciešams saistībā ar Modernizācijas fonda darbību un uzturēšanu, tiks noteikts Modernizācijas fonda daudzgadu programmas noteikumu izstrādes laikā, t.i. ņemot vērā nosacījumus, kas saistīti ar izvēlēto iestādi daudzgadu programmas līdzekļu investēšanas funkciju īstenošanai, kā arī programmas (shēmas) ieviešanas praktiskajiem nosacījumiem. </w:t>
            </w:r>
            <w:r w:rsidRPr="00943D7A">
              <w:rPr>
                <w:color w:val="414142"/>
                <w:shd w:val="clear" w:color="auto" w:fill="FFFFFF"/>
              </w:rPr>
              <w:t>Jautājums par valsts budžeta līdzekļu piešķiršanu Modernizācijas fonda administratīvo izdevumu segšanai 2022. gadā un turpmākajos gados tiks izskatīts Ministru kabinetā kopā ar visu ministriju un citu centrālo valsts iestāžu iesniegtajiem prioritāro pasākumu pieteikumiem gadskārtējā valsts budžeta likumprojekta un vidēja termiņa budžeta ietvara likumprojekta sagatavošanas un izskatīšanas procesā atbilstoši valsts budžeta finansiālajām iespējām.</w:t>
            </w:r>
            <w:r w:rsidRPr="00943D7A">
              <w:t xml:space="preserve"> Tajā pat laikā kā alternatīva iespēja ir izvērtēt Modernizācijas fonda administratīvo izmaksu segšanu atbilstoši Direktīvas 2003/87/EK 10 panta 3.daļas i) punktā noteiktajam, t.i. segt izmaksas no emisijas kvotu izsoļu ieņēmumiem, kas uzskatāmas kā ar klimatu saistīti izdevumi</w:t>
            </w:r>
          </w:p>
        </w:tc>
        <w:tc>
          <w:tcPr>
            <w:tcW w:w="2385" w:type="dxa"/>
            <w:tcBorders>
              <w:top w:val="single" w:sz="4" w:space="0" w:color="auto"/>
              <w:left w:val="single" w:sz="4" w:space="0" w:color="auto"/>
              <w:bottom w:val="single" w:sz="4" w:space="0" w:color="auto"/>
            </w:tcBorders>
          </w:tcPr>
          <w:p w14:paraId="3D9FCFEE" w14:textId="7889DA1C" w:rsidR="00086478" w:rsidRPr="00943D7A" w:rsidRDefault="00AB5A61" w:rsidP="008D0362">
            <w:pPr>
              <w:pStyle w:val="Title"/>
              <w:spacing w:before="120" w:after="120"/>
              <w:jc w:val="both"/>
              <w:outlineLvl w:val="0"/>
              <w:rPr>
                <w:sz w:val="24"/>
                <w:szCs w:val="24"/>
              </w:rPr>
            </w:pPr>
            <w:r w:rsidRPr="00943D7A">
              <w:rPr>
                <w:sz w:val="24"/>
                <w:szCs w:val="24"/>
              </w:rPr>
              <w:t xml:space="preserve">Papildināta Informatīvā ziņojuma </w:t>
            </w:r>
            <w:r w:rsidR="00C17D17" w:rsidRPr="00943D7A">
              <w:rPr>
                <w:sz w:val="24"/>
                <w:szCs w:val="24"/>
              </w:rPr>
              <w:t>3. sadaļa.</w:t>
            </w:r>
          </w:p>
        </w:tc>
      </w:tr>
      <w:tr w:rsidR="00CE49B9" w:rsidRPr="00943D7A" w14:paraId="66B2E723"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D2E1FD" w14:textId="1DCB1F78" w:rsidR="00CE49B9" w:rsidRPr="00943D7A" w:rsidRDefault="00CE49B9" w:rsidP="00D836BD">
            <w:r w:rsidRPr="00943D7A">
              <w:t>24.</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349176" w14:textId="3C35C4C2" w:rsidR="00CE49B9" w:rsidRPr="00943D7A" w:rsidRDefault="00C943DA" w:rsidP="00D836BD">
            <w:pPr>
              <w:jc w:val="both"/>
              <w:rPr>
                <w:b/>
              </w:rPr>
            </w:pPr>
            <w:r w:rsidRPr="00943D7A">
              <w:rPr>
                <w:b/>
              </w:rPr>
              <w:t>Informatīvais ziņojums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82548F" w14:textId="0F69EC43" w:rsidR="00C943DA" w:rsidRPr="00943D7A" w:rsidRDefault="00C943DA" w:rsidP="00C943DA">
            <w:pPr>
              <w:widowControl w:val="0"/>
              <w:spacing w:after="120"/>
              <w:jc w:val="both"/>
              <w:rPr>
                <w:b/>
                <w:bCs/>
                <w:noProof/>
              </w:rPr>
            </w:pPr>
            <w:r w:rsidRPr="00943D7A">
              <w:rPr>
                <w:b/>
                <w:bCs/>
                <w:noProof/>
              </w:rPr>
              <w:t xml:space="preserve">Finanšu ministrijas </w:t>
            </w:r>
            <w:r w:rsidR="00803DA7" w:rsidRPr="00943D7A">
              <w:rPr>
                <w:b/>
                <w:bCs/>
                <w:noProof/>
              </w:rPr>
              <w:t>09</w:t>
            </w:r>
            <w:r w:rsidRPr="00943D7A">
              <w:rPr>
                <w:b/>
                <w:bCs/>
                <w:noProof/>
              </w:rPr>
              <w:t>.10.20 atzinums</w:t>
            </w:r>
          </w:p>
          <w:p w14:paraId="06BD1ABC" w14:textId="638B3307" w:rsidR="00CE49B9" w:rsidRPr="00943D7A" w:rsidRDefault="00C943DA" w:rsidP="00F46043">
            <w:pPr>
              <w:widowControl w:val="0"/>
              <w:spacing w:after="120"/>
              <w:jc w:val="both"/>
              <w:rPr>
                <w:b/>
                <w:bCs/>
                <w:noProof/>
              </w:rPr>
            </w:pPr>
            <w:r w:rsidRPr="00943D7A">
              <w:rPr>
                <w:rFonts w:cs="Calibri"/>
              </w:rPr>
              <w:t xml:space="preserve">Ņemot vērā, ka par Modernizācijas fonda līdzekļu apsaimniekošu atbildīgā iestāde Latvijā būs akciju sabiedrība “Altum”, lūdzam informatīvo ziņojumu papildināt ar informāciju, kā tas atbilst Eiropas Komisijas lēmuma SA.36904 – </w:t>
            </w:r>
            <w:r w:rsidRPr="00943D7A">
              <w:rPr>
                <w:rFonts w:cs="Calibri"/>
                <w:i/>
                <w:iCs/>
              </w:rPr>
              <w:t xml:space="preserve">Latvija, Hipotēķu un zemes bankas attīstības daļu un Latvijas Attīstības finanšu institūcijas izveidi </w:t>
            </w:r>
            <w:r w:rsidRPr="00943D7A">
              <w:rPr>
                <w:rFonts w:cs="Calibri"/>
              </w:rPr>
              <w:t xml:space="preserve">nosacījumiem, t.sk., vai netiks pārkāpts tajā noteiktais pamatkapitāla vai rezerves kapitāla iepludināšanas limits, kas noteikts EK lēmuma SA.36904 24.punktā.. Vienlaikus vēršam uzmanību, ka gadījumā, ja būs nepieciešams veikt grozījumus EK lēmumā SA.36904, plānotā pasākuma īstenošanu varēs uzsākt tikai pēc EK lēmuma par pasākuma saderību ar ES iekšējo tirgu saņemšanas. Papildus vēršam uzmanību, ka grozījumi EK lēmumā SA.36904 būtu paredzami arī tad, ja netiks veikts ieguldījums Altum kapitālā, jo EK lēmuma SA.36904 23.punkts citādu iespēju, kā finansējumu iepludināt caur pamatkapitālu vai rezerves kapitālu nemaz </w:t>
            </w:r>
            <w:r w:rsidRPr="00943D7A">
              <w:rPr>
                <w:rFonts w:cs="Calibri"/>
              </w:rPr>
              <w:lastRenderedPageBreak/>
              <w:t xml:space="preserve">neparedz. </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B760FC" w14:textId="51E3F1CB" w:rsidR="00CE49B9" w:rsidRPr="00943D7A" w:rsidRDefault="004730AF" w:rsidP="00F22EB3">
            <w:pPr>
              <w:ind w:right="-1" w:firstLine="709"/>
              <w:jc w:val="center"/>
              <w:rPr>
                <w:b/>
                <w:bCs/>
              </w:rPr>
            </w:pPr>
            <w:r w:rsidRPr="00943D7A">
              <w:rPr>
                <w:b/>
                <w:bCs/>
              </w:rPr>
              <w:lastRenderedPageBreak/>
              <w:t>Ņemts vērā</w:t>
            </w:r>
          </w:p>
        </w:tc>
        <w:tc>
          <w:tcPr>
            <w:tcW w:w="2385" w:type="dxa"/>
            <w:tcBorders>
              <w:top w:val="single" w:sz="4" w:space="0" w:color="auto"/>
              <w:left w:val="single" w:sz="4" w:space="0" w:color="auto"/>
              <w:bottom w:val="single" w:sz="4" w:space="0" w:color="auto"/>
            </w:tcBorders>
          </w:tcPr>
          <w:p w14:paraId="59107059" w14:textId="124102A7" w:rsidR="00CE49B9" w:rsidRPr="00943D7A" w:rsidRDefault="00C943DA" w:rsidP="008D0362">
            <w:pPr>
              <w:pStyle w:val="Title"/>
              <w:spacing w:before="120" w:after="120"/>
              <w:jc w:val="both"/>
              <w:outlineLvl w:val="0"/>
              <w:rPr>
                <w:sz w:val="24"/>
                <w:szCs w:val="24"/>
              </w:rPr>
            </w:pPr>
            <w:r w:rsidRPr="00943D7A">
              <w:rPr>
                <w:sz w:val="24"/>
                <w:szCs w:val="24"/>
              </w:rPr>
              <w:t>Papildināta Informatīvā ziņojuma 3. sadaļa</w:t>
            </w:r>
          </w:p>
        </w:tc>
      </w:tr>
      <w:tr w:rsidR="004730AF" w:rsidRPr="00943D7A" w14:paraId="513DD1E2" w14:textId="77777777" w:rsidTr="364CB06C">
        <w:tc>
          <w:tcPr>
            <w:tcW w:w="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56A5EC" w14:textId="6EEEF2F4" w:rsidR="004730AF" w:rsidRPr="00943D7A" w:rsidRDefault="004730AF" w:rsidP="00D836BD">
            <w:r w:rsidRPr="00943D7A">
              <w:t>25.</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27F0C1" w14:textId="4FA6C27D" w:rsidR="004730AF" w:rsidRPr="00943D7A" w:rsidRDefault="00913A43" w:rsidP="00D836BD">
            <w:pPr>
              <w:jc w:val="both"/>
              <w:rPr>
                <w:b/>
              </w:rPr>
            </w:pPr>
            <w:r w:rsidRPr="00943D7A">
              <w:rPr>
                <w:b/>
              </w:rPr>
              <w:t>Protokollēmuma 5. punkts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349DF" w14:textId="01DF2BB6" w:rsidR="00803DA7" w:rsidRPr="00943D7A" w:rsidRDefault="00803DA7" w:rsidP="00803DA7">
            <w:pPr>
              <w:widowControl w:val="0"/>
              <w:spacing w:after="120"/>
              <w:jc w:val="both"/>
              <w:rPr>
                <w:b/>
                <w:bCs/>
                <w:noProof/>
              </w:rPr>
            </w:pPr>
            <w:r w:rsidRPr="00943D7A">
              <w:rPr>
                <w:b/>
                <w:bCs/>
                <w:noProof/>
              </w:rPr>
              <w:t>Finanšu ministrijas 09.10.</w:t>
            </w:r>
            <w:r w:rsidR="006E75E6">
              <w:rPr>
                <w:b/>
                <w:bCs/>
                <w:noProof/>
              </w:rPr>
              <w:t>20</w:t>
            </w:r>
            <w:r w:rsidRPr="00943D7A">
              <w:rPr>
                <w:b/>
                <w:bCs/>
                <w:noProof/>
              </w:rPr>
              <w:t>20</w:t>
            </w:r>
            <w:r w:rsidR="006E75E6">
              <w:rPr>
                <w:b/>
                <w:bCs/>
                <w:noProof/>
              </w:rPr>
              <w:t>.</w:t>
            </w:r>
            <w:r w:rsidRPr="00943D7A">
              <w:rPr>
                <w:b/>
                <w:bCs/>
                <w:noProof/>
              </w:rPr>
              <w:t xml:space="preserve"> atzinums</w:t>
            </w:r>
          </w:p>
          <w:p w14:paraId="1295F7C4" w14:textId="6CF28D92" w:rsidR="00913A43" w:rsidRPr="00943D7A" w:rsidRDefault="00913A43" w:rsidP="00F22EB3">
            <w:pPr>
              <w:jc w:val="both"/>
            </w:pPr>
            <w:r w:rsidRPr="00943D7A">
              <w:t>Lūdzam izteikt protokollēmuma projekta 5.punktu sekojoši:</w:t>
            </w:r>
          </w:p>
          <w:p w14:paraId="0A1264B8" w14:textId="7BCD6B30" w:rsidR="00913A43" w:rsidRPr="00943D7A" w:rsidRDefault="00913A43" w:rsidP="00F22EB3">
            <w:pPr>
              <w:jc w:val="both"/>
            </w:pPr>
            <w:r w:rsidRPr="00943D7A">
              <w:t>“5. Noteikt Modernizācijas fonda līdzekļu apsaimniekošanas atbildīgo iestādi Latvijā kopā ar Modernizācijas fonda daudzgadu programmas darbības noteikumu apstiprināšanu.”</w:t>
            </w:r>
          </w:p>
          <w:p w14:paraId="4D4BE16C" w14:textId="77777777" w:rsidR="004730AF" w:rsidRPr="00943D7A" w:rsidRDefault="004730AF" w:rsidP="00C943DA">
            <w:pPr>
              <w:widowControl w:val="0"/>
              <w:spacing w:after="120"/>
              <w:jc w:val="both"/>
              <w:rPr>
                <w:b/>
                <w:bCs/>
                <w:noProof/>
                <w:sz w:val="26"/>
                <w:szCs w:val="26"/>
              </w:rPr>
            </w:pP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13C6BF" w14:textId="0FD13E7B" w:rsidR="004730AF" w:rsidRPr="00943D7A" w:rsidRDefault="00803DA7" w:rsidP="004730AF">
            <w:pPr>
              <w:ind w:right="-1" w:firstLine="709"/>
              <w:jc w:val="center"/>
              <w:rPr>
                <w:b/>
                <w:bCs/>
              </w:rPr>
            </w:pPr>
            <w:r w:rsidRPr="00943D7A">
              <w:rPr>
                <w:b/>
                <w:bCs/>
              </w:rPr>
              <w:t>Ņemts vērā</w:t>
            </w:r>
          </w:p>
        </w:tc>
        <w:tc>
          <w:tcPr>
            <w:tcW w:w="2385" w:type="dxa"/>
            <w:tcBorders>
              <w:top w:val="single" w:sz="4" w:space="0" w:color="auto"/>
              <w:left w:val="single" w:sz="4" w:space="0" w:color="auto"/>
              <w:bottom w:val="single" w:sz="4" w:space="0" w:color="auto"/>
            </w:tcBorders>
          </w:tcPr>
          <w:p w14:paraId="58BC7769" w14:textId="499E9020" w:rsidR="004730AF" w:rsidRPr="00943D7A" w:rsidRDefault="004B3D6E" w:rsidP="008D0362">
            <w:pPr>
              <w:pStyle w:val="Title"/>
              <w:spacing w:before="120" w:after="120"/>
              <w:jc w:val="both"/>
              <w:outlineLvl w:val="0"/>
              <w:rPr>
                <w:sz w:val="24"/>
                <w:szCs w:val="24"/>
              </w:rPr>
            </w:pPr>
            <w:r w:rsidRPr="00943D7A">
              <w:rPr>
                <w:bCs/>
                <w:sz w:val="24"/>
                <w:szCs w:val="24"/>
              </w:rPr>
              <w:t xml:space="preserve">Protokollēmuma 5. punkts izteikts </w:t>
            </w:r>
            <w:r w:rsidR="00F22EB3" w:rsidRPr="00943D7A">
              <w:rPr>
                <w:bCs/>
                <w:sz w:val="24"/>
                <w:szCs w:val="24"/>
              </w:rPr>
              <w:t>šādā</w:t>
            </w:r>
            <w:r w:rsidRPr="00943D7A">
              <w:rPr>
                <w:bCs/>
                <w:sz w:val="24"/>
                <w:szCs w:val="24"/>
              </w:rPr>
              <w:t xml:space="preserve"> redakcijā:”</w:t>
            </w:r>
            <w:r w:rsidRPr="00943D7A">
              <w:rPr>
                <w:szCs w:val="28"/>
              </w:rPr>
              <w:t xml:space="preserve"> </w:t>
            </w:r>
            <w:r w:rsidRPr="00943D7A">
              <w:rPr>
                <w:sz w:val="24"/>
                <w:szCs w:val="24"/>
              </w:rPr>
              <w:t>5. </w:t>
            </w:r>
            <w:r w:rsidR="001946FA" w:rsidRPr="001946FA">
              <w:rPr>
                <w:sz w:val="24"/>
                <w:szCs w:val="24"/>
              </w:rPr>
              <w:t>Modernizācijas fonda līdzekļu investēšanas funkciju atbildīgo iestādi Latvijā noteikt vienlaikus ar Modernizācijas fonda daudzgadu programmas darbības noteikumu apstiprināšanu</w:t>
            </w:r>
            <w:r w:rsidRPr="00943D7A">
              <w:rPr>
                <w:bCs/>
                <w:sz w:val="24"/>
                <w:szCs w:val="24"/>
              </w:rPr>
              <w:t>”.</w:t>
            </w:r>
          </w:p>
        </w:tc>
      </w:tr>
    </w:tbl>
    <w:p w14:paraId="70EF3C77" w14:textId="77777777" w:rsidR="00D45E44" w:rsidRPr="00943D7A" w:rsidRDefault="00D45E44" w:rsidP="00D45E44">
      <w:r w:rsidRPr="00943D7A">
        <w:t xml:space="preserve">Atbildīgā amatpersona: </w:t>
      </w:r>
    </w:p>
    <w:p w14:paraId="0CE98814" w14:textId="321C73BF" w:rsidR="00807AA6" w:rsidRPr="00943D7A" w:rsidRDefault="001A16FD" w:rsidP="00D45E44">
      <w:pPr>
        <w:rPr>
          <w:sz w:val="20"/>
          <w:szCs w:val="20"/>
        </w:rPr>
      </w:pPr>
      <w:r w:rsidRPr="00943D7A">
        <w:rPr>
          <w:sz w:val="20"/>
          <w:szCs w:val="20"/>
        </w:rPr>
        <w:t>G.Zustenieks;</w:t>
      </w:r>
      <w:r w:rsidR="00551B1F" w:rsidRPr="00943D7A">
        <w:rPr>
          <w:sz w:val="20"/>
          <w:szCs w:val="20"/>
        </w:rPr>
        <w:t xml:space="preserve"> </w:t>
      </w:r>
      <w:r w:rsidRPr="00943D7A">
        <w:rPr>
          <w:sz w:val="20"/>
          <w:szCs w:val="20"/>
        </w:rPr>
        <w:t>67026489</w:t>
      </w:r>
    </w:p>
    <w:p w14:paraId="47318044" w14:textId="7616206F" w:rsidR="00551B1F" w:rsidRPr="00943D7A" w:rsidRDefault="00F7286B" w:rsidP="00D45E44">
      <w:pPr>
        <w:rPr>
          <w:sz w:val="20"/>
          <w:szCs w:val="20"/>
        </w:rPr>
      </w:pPr>
      <w:hyperlink r:id="rId8" w:history="1">
        <w:r w:rsidR="00551B1F" w:rsidRPr="00943D7A">
          <w:rPr>
            <w:rStyle w:val="Hyperlink"/>
            <w:sz w:val="20"/>
            <w:szCs w:val="20"/>
          </w:rPr>
          <w:t>gusts.zustenieks@varam.gov.lv</w:t>
        </w:r>
      </w:hyperlink>
      <w:r w:rsidR="00551B1F" w:rsidRPr="00943D7A">
        <w:rPr>
          <w:sz w:val="20"/>
          <w:szCs w:val="20"/>
        </w:rPr>
        <w:t xml:space="preserve"> </w:t>
      </w:r>
    </w:p>
    <w:sectPr w:rsidR="00551B1F" w:rsidRPr="00943D7A" w:rsidSect="001D6E1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73D0A" w14:textId="77777777" w:rsidR="00E11B8A" w:rsidRDefault="00E11B8A" w:rsidP="00D45E44">
      <w:r>
        <w:separator/>
      </w:r>
    </w:p>
  </w:endnote>
  <w:endnote w:type="continuationSeparator" w:id="0">
    <w:p w14:paraId="14D72BC5" w14:textId="77777777" w:rsidR="00E11B8A" w:rsidRDefault="00E11B8A" w:rsidP="00D4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B24BC" w14:textId="77777777" w:rsidR="00B84D95" w:rsidRDefault="00B84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37A5" w14:textId="54D3490A" w:rsidR="00E54AA9" w:rsidRPr="00F13E2F" w:rsidRDefault="00E54AA9">
    <w:pPr>
      <w:pStyle w:val="Footer"/>
      <w:rPr>
        <w:sz w:val="20"/>
        <w:szCs w:val="20"/>
      </w:rPr>
    </w:pPr>
    <w:r w:rsidRPr="00446AE4">
      <w:rPr>
        <w:sz w:val="20"/>
        <w:szCs w:val="20"/>
      </w:rPr>
      <w:fldChar w:fldCharType="begin"/>
    </w:r>
    <w:r w:rsidRPr="00446AE4">
      <w:rPr>
        <w:sz w:val="20"/>
        <w:szCs w:val="20"/>
      </w:rPr>
      <w:instrText xml:space="preserve"> FILENAME   \* MERGEFORMAT </w:instrText>
    </w:r>
    <w:r w:rsidRPr="00446AE4">
      <w:rPr>
        <w:sz w:val="20"/>
        <w:szCs w:val="20"/>
      </w:rPr>
      <w:fldChar w:fldCharType="separate"/>
    </w:r>
    <w:r w:rsidR="00B53113">
      <w:rPr>
        <w:noProof/>
        <w:sz w:val="20"/>
        <w:szCs w:val="20"/>
      </w:rPr>
      <w:t>VARAMIzz_ModF_091120</w:t>
    </w:r>
    <w:r w:rsidRPr="00446AE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5E2CE" w14:textId="5154D66E" w:rsidR="00E54AA9" w:rsidRPr="00B67DFF" w:rsidRDefault="00E54AA9">
    <w:pPr>
      <w:pStyle w:val="Footer"/>
      <w:rPr>
        <w:sz w:val="20"/>
        <w:szCs w:val="20"/>
      </w:rPr>
    </w:pPr>
    <w:r w:rsidRPr="00B67DFF">
      <w:rPr>
        <w:sz w:val="20"/>
        <w:szCs w:val="20"/>
      </w:rPr>
      <w:fldChar w:fldCharType="begin"/>
    </w:r>
    <w:r w:rsidRPr="00B67DFF">
      <w:rPr>
        <w:sz w:val="20"/>
        <w:szCs w:val="20"/>
      </w:rPr>
      <w:instrText xml:space="preserve"> FILENAME   \* MERGEFORMAT </w:instrText>
    </w:r>
    <w:r w:rsidRPr="00B67DFF">
      <w:rPr>
        <w:sz w:val="20"/>
        <w:szCs w:val="20"/>
      </w:rPr>
      <w:fldChar w:fldCharType="separate"/>
    </w:r>
    <w:r w:rsidR="00B84D95">
      <w:rPr>
        <w:noProof/>
        <w:sz w:val="20"/>
        <w:szCs w:val="20"/>
      </w:rPr>
      <w:t>VARAMIzz_ModF_091120</w:t>
    </w:r>
    <w:r w:rsidRPr="00B67DF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10CB2" w14:textId="77777777" w:rsidR="00E11B8A" w:rsidRDefault="00E11B8A" w:rsidP="00D45E44">
      <w:r>
        <w:separator/>
      </w:r>
    </w:p>
  </w:footnote>
  <w:footnote w:type="continuationSeparator" w:id="0">
    <w:p w14:paraId="67CCF6E8" w14:textId="77777777" w:rsidR="00E11B8A" w:rsidRDefault="00E11B8A" w:rsidP="00D45E44">
      <w:r>
        <w:continuationSeparator/>
      </w:r>
    </w:p>
  </w:footnote>
  <w:footnote w:id="1">
    <w:p w14:paraId="05A5D22A" w14:textId="77777777" w:rsidR="00E54AA9" w:rsidRPr="00BC2ED8" w:rsidRDefault="00E54AA9" w:rsidP="003E5969">
      <w:pPr>
        <w:pStyle w:val="FootnoteText"/>
        <w:spacing w:after="0" w:line="240" w:lineRule="auto"/>
        <w:jc w:val="both"/>
        <w:rPr>
          <w:rFonts w:ascii="Times New Roman" w:hAnsi="Times New Roman"/>
          <w:lang w:val="lv-LV"/>
        </w:rPr>
      </w:pPr>
      <w:r w:rsidRPr="00BC2ED8">
        <w:rPr>
          <w:rStyle w:val="FootnoteReference"/>
          <w:rFonts w:ascii="Times New Roman" w:hAnsi="Times New Roman"/>
          <w:lang w:val="lv-LV"/>
        </w:rPr>
        <w:footnoteRef/>
      </w:r>
      <w:r w:rsidRPr="00BC2ED8">
        <w:rPr>
          <w:rFonts w:ascii="Times New Roman" w:hAnsi="Times New Roman"/>
          <w:lang w:val="lv-LV"/>
        </w:rPr>
        <w:t xml:space="preserve"> Eiropas Parlamenta un Padomes 2003.gada 13.oktobra direktīva Nr.2003/87/EK, ar kuru nosaka sistēmu siltumnīcas efektu izraisošo gāzu emisijas kvotu tirdzniecībai M9  Savienībā un groza Padomes Direktīvu 96/61/EK</w:t>
      </w:r>
    </w:p>
  </w:footnote>
  <w:footnote w:id="2">
    <w:p w14:paraId="457C3D6B" w14:textId="77777777" w:rsidR="00E54AA9" w:rsidRPr="00BC2ED8" w:rsidRDefault="00E54AA9" w:rsidP="003E5969">
      <w:pPr>
        <w:pStyle w:val="FootnoteText"/>
        <w:spacing w:after="0" w:line="240" w:lineRule="auto"/>
        <w:jc w:val="both"/>
        <w:rPr>
          <w:rFonts w:ascii="Times New Roman" w:hAnsi="Times New Roman"/>
          <w:lang w:val="lv-LV"/>
        </w:rPr>
      </w:pPr>
      <w:r w:rsidRPr="00BC2ED8">
        <w:rPr>
          <w:rStyle w:val="FootnoteReference"/>
          <w:rFonts w:ascii="Times New Roman" w:hAnsi="Times New Roman"/>
          <w:lang w:val="lv-LV"/>
        </w:rPr>
        <w:footnoteRef/>
      </w:r>
      <w:r w:rsidRPr="00BC2ED8">
        <w:rPr>
          <w:rFonts w:ascii="Times New Roman" w:hAnsi="Times New Roman"/>
          <w:lang w:val="lv-LV"/>
        </w:rPr>
        <w:t xml:space="preserve"> Eiropas Parlamenta un Padomes 2018.gada 14.marta direktīva Nr.2018/410, ar ko groza Direktīvu 2003/87/EK, lai sekmētu emisiju izmaksefektīvu samazināšanu un investīcijas mazoglekļa risinājumos, un Lēmumu (ES) 2015/1814</w:t>
      </w:r>
    </w:p>
  </w:footnote>
  <w:footnote w:id="3">
    <w:p w14:paraId="1B5C2CE7" w14:textId="77777777" w:rsidR="003B2FE9" w:rsidRPr="00785DDA" w:rsidRDefault="003B2FE9" w:rsidP="004650F6">
      <w:pPr>
        <w:pStyle w:val="FootnoteText"/>
        <w:jc w:val="both"/>
        <w:rPr>
          <w:lang w:val="lv-LV"/>
        </w:rPr>
      </w:pPr>
      <w:r>
        <w:rPr>
          <w:rStyle w:val="FootnoteReference"/>
        </w:rPr>
        <w:footnoteRef/>
      </w:r>
      <w:r w:rsidRPr="00785DDA">
        <w:rPr>
          <w:lang w:val="lv-LV"/>
        </w:rPr>
        <w:t xml:space="preserve"> I</w:t>
      </w:r>
      <w:r w:rsidRPr="00785DDA">
        <w:rPr>
          <w:rFonts w:ascii="Times New Roman" w:hAnsi="Times New Roman"/>
          <w:lang w:val="lv-LV"/>
        </w:rPr>
        <w:t>nformatīvais ziņojums “Par Modernizācijas fonda ieviešanu” un tam pievienotais protokollēmuma projekts pirmo reizi tika iesniegts Valsts kancelejā 2019. gada 20. septembrī un  sākotnēji bija iekļauti 2019. gada 8.oktobra Ministru kabineta sēdes darba kārtībā, tomēr šo dokumentu izskatīšana tika atlikta.</w:t>
      </w:r>
    </w:p>
  </w:footnote>
  <w:footnote w:id="4">
    <w:p w14:paraId="36A03EE2" w14:textId="77777777" w:rsidR="00D836BD" w:rsidRPr="00B21E01" w:rsidRDefault="00D836BD" w:rsidP="009A4EB6">
      <w:pPr>
        <w:pStyle w:val="FootnoteText"/>
        <w:spacing w:after="0" w:line="240" w:lineRule="auto"/>
        <w:rPr>
          <w:rFonts w:ascii="Times New Roman" w:hAnsi="Times New Roman"/>
          <w:lang w:val="lv-LV"/>
        </w:rPr>
      </w:pPr>
      <w:r w:rsidRPr="00B21E01">
        <w:rPr>
          <w:rStyle w:val="FootnoteReference"/>
          <w:rFonts w:ascii="Times New Roman" w:hAnsi="Times New Roman"/>
        </w:rPr>
        <w:footnoteRef/>
      </w:r>
      <w:r w:rsidRPr="00B21E01">
        <w:rPr>
          <w:rFonts w:ascii="Times New Roman" w:hAnsi="Times New Roman"/>
          <w:lang w:val="lv-LV"/>
        </w:rPr>
        <w:t xml:space="preserve"> </w:t>
      </w:r>
      <w:hyperlink r:id="rId1" w:history="1">
        <w:r w:rsidRPr="00B21E01">
          <w:rPr>
            <w:rStyle w:val="Hyperlink"/>
            <w:rFonts w:ascii="Times New Roman" w:hAnsi="Times New Roman"/>
            <w:lang w:val="lv-LV"/>
          </w:rPr>
          <w:t>http://data.consilium.europa.eu/doc/document/ST-169-2014-INIT/lv/pdf</w:t>
        </w:r>
      </w:hyperlink>
    </w:p>
  </w:footnote>
  <w:footnote w:id="5">
    <w:p w14:paraId="01312541" w14:textId="77777777" w:rsidR="00D836BD" w:rsidRPr="00AC0697" w:rsidRDefault="00D836BD" w:rsidP="009A4EB6">
      <w:pPr>
        <w:pStyle w:val="FootnoteText"/>
        <w:spacing w:after="0" w:line="240" w:lineRule="auto"/>
        <w:rPr>
          <w:rFonts w:ascii="Times New Roman" w:hAnsi="Times New Roman"/>
          <w:lang w:val="lv-LV"/>
        </w:rPr>
      </w:pPr>
      <w:r w:rsidRPr="00AC0697">
        <w:rPr>
          <w:rStyle w:val="FootnoteReference"/>
          <w:rFonts w:ascii="Times New Roman" w:hAnsi="Times New Roman"/>
        </w:rPr>
        <w:footnoteRef/>
      </w:r>
      <w:r w:rsidRPr="00AC0697">
        <w:rPr>
          <w:rFonts w:ascii="Times New Roman" w:hAnsi="Times New Roman"/>
          <w:lang w:val="lv-LV"/>
        </w:rPr>
        <w:t xml:space="preserve"> </w:t>
      </w:r>
      <w:hyperlink r:id="rId2" w:history="1">
        <w:r w:rsidRPr="00AC0697">
          <w:rPr>
            <w:rStyle w:val="Hyperlink"/>
            <w:rFonts w:ascii="Times New Roman" w:hAnsi="Times New Roman"/>
            <w:lang w:val="lv-LV"/>
          </w:rPr>
          <w:t>https://www.pkc.gov.lv/sites/default/files/inline-files/Latvija_2030_7.pdf</w:t>
        </w:r>
      </w:hyperlink>
    </w:p>
  </w:footnote>
  <w:footnote w:id="6">
    <w:p w14:paraId="7896879E" w14:textId="77777777" w:rsidR="00D836BD" w:rsidRPr="00AC0697" w:rsidRDefault="00D836BD" w:rsidP="00C61609">
      <w:pPr>
        <w:pStyle w:val="FootnoteText"/>
        <w:spacing w:after="0" w:line="240" w:lineRule="auto"/>
        <w:rPr>
          <w:rFonts w:ascii="Times New Roman" w:hAnsi="Times New Roman"/>
          <w:lang w:val="lv-LV"/>
        </w:rPr>
      </w:pPr>
      <w:r w:rsidRPr="00AC0697">
        <w:rPr>
          <w:rStyle w:val="FootnoteReference"/>
          <w:rFonts w:ascii="Times New Roman" w:hAnsi="Times New Roman"/>
        </w:rPr>
        <w:footnoteRef/>
      </w:r>
      <w:r w:rsidRPr="00AC0697">
        <w:rPr>
          <w:rFonts w:ascii="Times New Roman" w:hAnsi="Times New Roman"/>
          <w:lang w:val="lv-LV"/>
        </w:rPr>
        <w:t xml:space="preserve"> Likuma “Par piesārņojumu” 52.panta pirmā daļa</w:t>
      </w:r>
    </w:p>
  </w:footnote>
  <w:footnote w:id="7">
    <w:p w14:paraId="130F8031" w14:textId="77777777" w:rsidR="00D836BD" w:rsidRPr="002B429B" w:rsidRDefault="00D836BD" w:rsidP="00C61609">
      <w:pPr>
        <w:pStyle w:val="FootnoteText"/>
        <w:rPr>
          <w:lang w:val="lv-LV"/>
        </w:rPr>
      </w:pPr>
      <w:r>
        <w:rPr>
          <w:rStyle w:val="FootnoteReference"/>
        </w:rPr>
        <w:footnoteRef/>
      </w:r>
      <w:r w:rsidRPr="001A7925">
        <w:rPr>
          <w:lang w:val="lv-LV"/>
        </w:rPr>
        <w:t xml:space="preserve"> </w:t>
      </w:r>
      <w:hyperlink r:id="rId3" w:history="1">
        <w:r w:rsidRPr="001A7925">
          <w:rPr>
            <w:rStyle w:val="Hyperlink"/>
            <w:lang w:val="lv-LV"/>
          </w:rPr>
          <w:t>https://ec.europa.eu/clima/policies/ets_en</w:t>
        </w:r>
      </w:hyperlink>
    </w:p>
  </w:footnote>
  <w:footnote w:id="8">
    <w:p w14:paraId="6949859C" w14:textId="77777777" w:rsidR="00D836BD" w:rsidRPr="004D14D4" w:rsidRDefault="00D836BD" w:rsidP="00EC4256">
      <w:pPr>
        <w:pStyle w:val="FootnoteText"/>
        <w:spacing w:after="0" w:line="240" w:lineRule="auto"/>
        <w:rPr>
          <w:rFonts w:ascii="Times New Roman" w:hAnsi="Times New Roman"/>
          <w:lang w:val="lv-LV"/>
        </w:rPr>
      </w:pPr>
      <w:r w:rsidRPr="00AC0697">
        <w:rPr>
          <w:rStyle w:val="FootnoteReference"/>
          <w:rFonts w:ascii="Times New Roman" w:hAnsi="Times New Roman"/>
        </w:rPr>
        <w:footnoteRef/>
      </w:r>
      <w:r w:rsidRPr="00AC0697">
        <w:rPr>
          <w:rFonts w:ascii="Times New Roman" w:hAnsi="Times New Roman"/>
          <w:lang w:val="lv-LV"/>
        </w:rPr>
        <w:t xml:space="preserve"> </w:t>
      </w:r>
      <w:hyperlink r:id="rId4" w:history="1">
        <w:r w:rsidRPr="00AC0697">
          <w:rPr>
            <w:rStyle w:val="Hyperlink"/>
            <w:rFonts w:ascii="Times New Roman" w:hAnsi="Times New Roman"/>
            <w:lang w:val="lv-LV"/>
          </w:rPr>
          <w:t>http://www.lrvk.gov.lv/revizija/vai-vides-aizsardzibas-un-regionalas-attistibas-ministrijas-administretie-klimata-parmainu-samazinasanai-paredzetie-lidzekli-tiek-planoti-un-izlietoti-efektivi-un-atbilstosi-normativo-aktu-prasibam/</w:t>
        </w:r>
      </w:hyperlink>
    </w:p>
  </w:footnote>
  <w:footnote w:id="9">
    <w:p w14:paraId="4497AF07" w14:textId="77777777" w:rsidR="00D836BD" w:rsidRPr="00E017DF" w:rsidRDefault="00D836BD" w:rsidP="00EC4256">
      <w:pPr>
        <w:pStyle w:val="FootnoteText"/>
        <w:spacing w:after="0" w:line="240" w:lineRule="auto"/>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lang w:val="lv-LV"/>
        </w:rPr>
        <w:t xml:space="preserve"> </w:t>
      </w:r>
      <w:hyperlink r:id="rId5" w:history="1">
        <w:r w:rsidRPr="00E017DF">
          <w:rPr>
            <w:rStyle w:val="Hyperlink"/>
            <w:rFonts w:ascii="Times New Roman" w:hAnsi="Times New Roman"/>
            <w:lang w:val="lv-LV"/>
          </w:rPr>
          <w:t>https://www.youtube.com/watch?v=ufVR1JV4Or0</w:t>
        </w:r>
      </w:hyperlink>
    </w:p>
  </w:footnote>
  <w:footnote w:id="10">
    <w:p w14:paraId="0A2274F7" w14:textId="77777777" w:rsidR="00D836BD" w:rsidRPr="00E017DF" w:rsidRDefault="00D836BD" w:rsidP="00EC4256">
      <w:pPr>
        <w:pStyle w:val="FootnoteText"/>
        <w:spacing w:after="0" w:line="240" w:lineRule="auto"/>
        <w:jc w:val="both"/>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rPr>
        <w:t xml:space="preserve"> </w:t>
      </w:r>
      <w:r w:rsidRPr="00E017DF">
        <w:rPr>
          <w:rFonts w:ascii="Times New Roman" w:hAnsi="Times New Roman"/>
          <w:lang w:val="lv-LV"/>
        </w:rPr>
        <w:t>Tehnoloģiju ražošana rada jaunas SEG emisijas nevis samazina esošo SEG emisiju apjomu</w:t>
      </w:r>
    </w:p>
  </w:footnote>
  <w:footnote w:id="11">
    <w:p w14:paraId="66EDDDE7" w14:textId="77777777" w:rsidR="00D836BD" w:rsidRPr="00E017DF" w:rsidRDefault="00D836BD" w:rsidP="00EC4256">
      <w:pPr>
        <w:pStyle w:val="FootnoteText"/>
        <w:spacing w:after="0" w:line="240" w:lineRule="auto"/>
        <w:jc w:val="both"/>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lang w:val="lv-LV"/>
        </w:rPr>
        <w:t xml:space="preserve"> Būvniecības sektors un būvmateriālu ražošanas sektors ir lielākie SEG emisiju avoti rūpniecības nozarē, un būvniecības pastiprināta attīstība veicinās jaunu SEG emisiju radīšanu nevis samazinās esošo SEG emisiju apjomu</w:t>
      </w:r>
    </w:p>
  </w:footnote>
  <w:footnote w:id="12">
    <w:p w14:paraId="4E66CD45" w14:textId="77777777" w:rsidR="00D836BD" w:rsidRPr="00E017DF" w:rsidRDefault="00D836BD" w:rsidP="00EC4256">
      <w:pPr>
        <w:pStyle w:val="FootnoteText"/>
        <w:spacing w:after="0" w:line="240" w:lineRule="auto"/>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lang w:val="lv-LV"/>
        </w:rPr>
        <w:t xml:space="preserve"> pie emisijas kvotu cenas 30,5</w:t>
      </w:r>
      <w:r w:rsidRPr="00E017DF">
        <w:rPr>
          <w:rFonts w:ascii="Times New Roman" w:hAnsi="Times New Roman"/>
          <w:iCs/>
          <w:lang w:val="lv-LV"/>
        </w:rPr>
        <w:t xml:space="preserve"> EUR </w:t>
      </w:r>
      <w:r w:rsidRPr="00E017DF">
        <w:rPr>
          <w:rFonts w:ascii="Times New Roman" w:hAnsi="Times New Roman"/>
          <w:lang w:val="lv-LV"/>
        </w:rPr>
        <w:t>Saskaņā ar ekspertu vidējām prognozēm ES ETS 4. periodā (publicēts 10.04.2019.; http://carbon-pulse.com/72837/)</w:t>
      </w:r>
    </w:p>
  </w:footnote>
  <w:footnote w:id="13">
    <w:p w14:paraId="58DDAE8D" w14:textId="77777777" w:rsidR="00D836BD" w:rsidRPr="00E017DF" w:rsidRDefault="00D836BD" w:rsidP="00EC4256">
      <w:pPr>
        <w:pStyle w:val="FootnoteText"/>
        <w:spacing w:after="0" w:line="240" w:lineRule="auto"/>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lang w:val="lv-LV"/>
        </w:rPr>
        <w:t xml:space="preserve"> </w:t>
      </w:r>
      <w:hyperlink r:id="rId6" w:history="1">
        <w:r w:rsidRPr="00E017DF">
          <w:rPr>
            <w:rStyle w:val="Hyperlink"/>
            <w:rFonts w:ascii="Times New Roman" w:hAnsi="Times New Roman"/>
            <w:lang w:val="lv-LV"/>
          </w:rPr>
          <w:t>http://tap.mk.gov.lv/doc/2019_07/VARAMKonc_180619_bezmaksas_kv.1194.docx</w:t>
        </w:r>
      </w:hyperlink>
      <w:r w:rsidRPr="00E017DF">
        <w:rPr>
          <w:rFonts w:ascii="Times New Roman" w:hAnsi="Times New Roman"/>
          <w:lang w:val="lv-LV"/>
        </w:rPr>
        <w:t xml:space="preserve"> </w:t>
      </w:r>
    </w:p>
  </w:footnote>
  <w:footnote w:id="14">
    <w:p w14:paraId="4B7E32EF" w14:textId="77777777" w:rsidR="00D836BD" w:rsidRPr="006E43FC" w:rsidRDefault="00D836BD" w:rsidP="00EC4256">
      <w:pPr>
        <w:pStyle w:val="FootnoteText"/>
        <w:spacing w:after="0" w:line="240" w:lineRule="auto"/>
        <w:rPr>
          <w:rFonts w:ascii="Times New Roman" w:hAnsi="Times New Roman"/>
          <w:lang w:val="lv-LV"/>
        </w:rPr>
      </w:pPr>
      <w:r w:rsidRPr="006E43FC">
        <w:rPr>
          <w:rStyle w:val="FootnoteReference"/>
          <w:rFonts w:ascii="Times New Roman" w:hAnsi="Times New Roman"/>
        </w:rPr>
        <w:footnoteRef/>
      </w:r>
      <w:r w:rsidRPr="006E43FC">
        <w:rPr>
          <w:rFonts w:ascii="Times New Roman" w:hAnsi="Times New Roman"/>
        </w:rPr>
        <w:t xml:space="preserve"> </w:t>
      </w:r>
      <w:r w:rsidRPr="006E43FC">
        <w:rPr>
          <w:rFonts w:ascii="Times New Roman" w:hAnsi="Times New Roman"/>
          <w:lang w:val="lv-LV"/>
        </w:rPr>
        <w:t>Likuma “Par Latvijas Republikas dalību Kioto protokola elastīgajos mehānismos” 8.panta trešā daļa</w:t>
      </w:r>
    </w:p>
  </w:footnote>
  <w:footnote w:id="15">
    <w:p w14:paraId="4374E140" w14:textId="77777777" w:rsidR="00D836BD" w:rsidRPr="006E43FC" w:rsidRDefault="00D836BD" w:rsidP="00EC4256">
      <w:pPr>
        <w:pStyle w:val="FootnoteText"/>
        <w:spacing w:after="0" w:line="240" w:lineRule="auto"/>
        <w:rPr>
          <w:rFonts w:ascii="Times New Roman" w:hAnsi="Times New Roman"/>
          <w:lang w:val="lv-LV"/>
        </w:rPr>
      </w:pPr>
      <w:r w:rsidRPr="006E43FC">
        <w:rPr>
          <w:rStyle w:val="FootnoteReference"/>
          <w:rFonts w:ascii="Times New Roman" w:hAnsi="Times New Roman"/>
        </w:rPr>
        <w:footnoteRef/>
      </w:r>
      <w:r w:rsidRPr="006E43FC">
        <w:rPr>
          <w:rFonts w:ascii="Times New Roman" w:hAnsi="Times New Roman"/>
          <w:lang w:val="lv-LV"/>
        </w:rPr>
        <w:t xml:space="preserve"> </w:t>
      </w:r>
      <w:hyperlink r:id="rId7" w:history="1">
        <w:r w:rsidRPr="006E43FC">
          <w:rPr>
            <w:rStyle w:val="Hyperlink"/>
            <w:rFonts w:ascii="Times New Roman" w:hAnsi="Times New Roman"/>
            <w:lang w:val="lv-LV"/>
          </w:rPr>
          <w:t>https://www.em.gov.lv/resources/web/esfondi/2019.03.04.%20ES%20fondi%20LV%20macins.jpg</w:t>
        </w:r>
      </w:hyperlink>
    </w:p>
  </w:footnote>
  <w:footnote w:id="16">
    <w:p w14:paraId="10416BF0" w14:textId="77777777" w:rsidR="00D836BD" w:rsidRPr="00911572" w:rsidRDefault="00D836BD" w:rsidP="00EC4256">
      <w:pPr>
        <w:pStyle w:val="FootnoteText"/>
        <w:spacing w:after="0" w:line="240" w:lineRule="auto"/>
        <w:rPr>
          <w:lang w:val="lv-LV"/>
        </w:rPr>
      </w:pPr>
      <w:r>
        <w:rPr>
          <w:rStyle w:val="FootnoteReference"/>
        </w:rPr>
        <w:footnoteRef/>
      </w:r>
      <w:r>
        <w:t xml:space="preserve"> </w:t>
      </w:r>
      <w:hyperlink r:id="rId8" w:history="1">
        <w:r>
          <w:rPr>
            <w:rStyle w:val="Hyperlink"/>
          </w:rPr>
          <w:t>https://eur-lex.europa.eu/legal-content/EN/TXT/?uri=COM%3A2018%3A372%3AFIN</w:t>
        </w:r>
      </w:hyperlink>
      <w:r>
        <w:t xml:space="preserve"> (2.pants)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D69F" w14:textId="77777777" w:rsidR="00E54AA9" w:rsidRDefault="00E54AA9"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E81A2" w14:textId="77777777" w:rsidR="00E54AA9" w:rsidRDefault="00E54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56A5" w14:textId="6A0064CA" w:rsidR="00E54AA9" w:rsidRDefault="00E54AA9"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5DDA">
      <w:rPr>
        <w:rStyle w:val="PageNumber"/>
        <w:noProof/>
      </w:rPr>
      <w:t>3</w:t>
    </w:r>
    <w:r>
      <w:rPr>
        <w:rStyle w:val="PageNumber"/>
      </w:rPr>
      <w:fldChar w:fldCharType="end"/>
    </w:r>
  </w:p>
  <w:p w14:paraId="6FB7C138" w14:textId="77777777" w:rsidR="00E54AA9" w:rsidRDefault="00E54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E92A" w14:textId="77777777" w:rsidR="00B84D95" w:rsidRDefault="00B84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4DC3"/>
    <w:multiLevelType w:val="hybridMultilevel"/>
    <w:tmpl w:val="DA326BB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1">
    <w:nsid w:val="07F91EBE"/>
    <w:multiLevelType w:val="hybridMultilevel"/>
    <w:tmpl w:val="244CB970"/>
    <w:lvl w:ilvl="0" w:tplc="FFFFFFFF">
      <w:start w:val="1"/>
      <w:numFmt w:val="bullet"/>
      <w:lvlText w:val=""/>
      <w:lvlJc w:val="left"/>
      <w:pPr>
        <w:ind w:left="1571" w:hanging="360"/>
      </w:pPr>
      <w:rPr>
        <w:rFonts w:ascii="Symbol" w:eastAsia="Calibri" w:hAnsi="Symbol"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 w15:restartNumberingAfterBreak="0">
    <w:nsid w:val="08165DD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051C34"/>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7703"/>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AB5B49"/>
    <w:multiLevelType w:val="hybridMultilevel"/>
    <w:tmpl w:val="7E3E926A"/>
    <w:lvl w:ilvl="0" w:tplc="5DA044DE">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BC21881"/>
    <w:multiLevelType w:val="hybridMultilevel"/>
    <w:tmpl w:val="1DB0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81A35"/>
    <w:multiLevelType w:val="hybridMultilevel"/>
    <w:tmpl w:val="59A44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9650A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10" w15:restartNumberingAfterBreak="0">
    <w:nsid w:val="290969D5"/>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D6027"/>
    <w:multiLevelType w:val="hybridMultilevel"/>
    <w:tmpl w:val="2AC06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484D29"/>
    <w:multiLevelType w:val="hybridMultilevel"/>
    <w:tmpl w:val="6444F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7F1E0E"/>
    <w:multiLevelType w:val="multilevel"/>
    <w:tmpl w:val="7D9C4AD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9D0535"/>
    <w:multiLevelType w:val="hybridMultilevel"/>
    <w:tmpl w:val="A22C2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BE4A3A"/>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D05FE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363DD1"/>
    <w:multiLevelType w:val="hybridMultilevel"/>
    <w:tmpl w:val="9B769BB6"/>
    <w:lvl w:ilvl="0" w:tplc="101A3428">
      <w:start w:val="1"/>
      <w:numFmt w:val="bullet"/>
      <w:lvlText w:val="•"/>
      <w:lvlJc w:val="left"/>
      <w:pPr>
        <w:tabs>
          <w:tab w:val="num" w:pos="720"/>
        </w:tabs>
        <w:ind w:left="720" w:hanging="360"/>
      </w:pPr>
      <w:rPr>
        <w:rFonts w:ascii="Times New Roman" w:hAnsi="Times New Roman" w:hint="default"/>
      </w:rPr>
    </w:lvl>
    <w:lvl w:ilvl="1" w:tplc="35B00B7E" w:tentative="1">
      <w:start w:val="1"/>
      <w:numFmt w:val="bullet"/>
      <w:lvlText w:val="•"/>
      <w:lvlJc w:val="left"/>
      <w:pPr>
        <w:tabs>
          <w:tab w:val="num" w:pos="1440"/>
        </w:tabs>
        <w:ind w:left="1440" w:hanging="360"/>
      </w:pPr>
      <w:rPr>
        <w:rFonts w:ascii="Times New Roman" w:hAnsi="Times New Roman" w:hint="default"/>
      </w:rPr>
    </w:lvl>
    <w:lvl w:ilvl="2" w:tplc="4D0E9006" w:tentative="1">
      <w:start w:val="1"/>
      <w:numFmt w:val="bullet"/>
      <w:lvlText w:val="•"/>
      <w:lvlJc w:val="left"/>
      <w:pPr>
        <w:tabs>
          <w:tab w:val="num" w:pos="2160"/>
        </w:tabs>
        <w:ind w:left="2160" w:hanging="360"/>
      </w:pPr>
      <w:rPr>
        <w:rFonts w:ascii="Times New Roman" w:hAnsi="Times New Roman" w:hint="default"/>
      </w:rPr>
    </w:lvl>
    <w:lvl w:ilvl="3" w:tplc="C9D0E1EE" w:tentative="1">
      <w:start w:val="1"/>
      <w:numFmt w:val="bullet"/>
      <w:lvlText w:val="•"/>
      <w:lvlJc w:val="left"/>
      <w:pPr>
        <w:tabs>
          <w:tab w:val="num" w:pos="2880"/>
        </w:tabs>
        <w:ind w:left="2880" w:hanging="360"/>
      </w:pPr>
      <w:rPr>
        <w:rFonts w:ascii="Times New Roman" w:hAnsi="Times New Roman" w:hint="default"/>
      </w:rPr>
    </w:lvl>
    <w:lvl w:ilvl="4" w:tplc="E84672AC" w:tentative="1">
      <w:start w:val="1"/>
      <w:numFmt w:val="bullet"/>
      <w:lvlText w:val="•"/>
      <w:lvlJc w:val="left"/>
      <w:pPr>
        <w:tabs>
          <w:tab w:val="num" w:pos="3600"/>
        </w:tabs>
        <w:ind w:left="3600" w:hanging="360"/>
      </w:pPr>
      <w:rPr>
        <w:rFonts w:ascii="Times New Roman" w:hAnsi="Times New Roman" w:hint="default"/>
      </w:rPr>
    </w:lvl>
    <w:lvl w:ilvl="5" w:tplc="9F5621FE" w:tentative="1">
      <w:start w:val="1"/>
      <w:numFmt w:val="bullet"/>
      <w:lvlText w:val="•"/>
      <w:lvlJc w:val="left"/>
      <w:pPr>
        <w:tabs>
          <w:tab w:val="num" w:pos="4320"/>
        </w:tabs>
        <w:ind w:left="4320" w:hanging="360"/>
      </w:pPr>
      <w:rPr>
        <w:rFonts w:ascii="Times New Roman" w:hAnsi="Times New Roman" w:hint="default"/>
      </w:rPr>
    </w:lvl>
    <w:lvl w:ilvl="6" w:tplc="89A6211E" w:tentative="1">
      <w:start w:val="1"/>
      <w:numFmt w:val="bullet"/>
      <w:lvlText w:val="•"/>
      <w:lvlJc w:val="left"/>
      <w:pPr>
        <w:tabs>
          <w:tab w:val="num" w:pos="5040"/>
        </w:tabs>
        <w:ind w:left="5040" w:hanging="360"/>
      </w:pPr>
      <w:rPr>
        <w:rFonts w:ascii="Times New Roman" w:hAnsi="Times New Roman" w:hint="default"/>
      </w:rPr>
    </w:lvl>
    <w:lvl w:ilvl="7" w:tplc="FC2847EA" w:tentative="1">
      <w:start w:val="1"/>
      <w:numFmt w:val="bullet"/>
      <w:lvlText w:val="•"/>
      <w:lvlJc w:val="left"/>
      <w:pPr>
        <w:tabs>
          <w:tab w:val="num" w:pos="5760"/>
        </w:tabs>
        <w:ind w:left="5760" w:hanging="360"/>
      </w:pPr>
      <w:rPr>
        <w:rFonts w:ascii="Times New Roman" w:hAnsi="Times New Roman" w:hint="default"/>
      </w:rPr>
    </w:lvl>
    <w:lvl w:ilvl="8" w:tplc="327C4F4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8FF2496"/>
    <w:multiLevelType w:val="hybridMultilevel"/>
    <w:tmpl w:val="701C6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044E98"/>
    <w:multiLevelType w:val="hybridMultilevel"/>
    <w:tmpl w:val="0016C310"/>
    <w:lvl w:ilvl="0" w:tplc="DE5AA668">
      <w:start w:val="1"/>
      <w:numFmt w:val="decimal"/>
      <w:lvlText w:val="%1)"/>
      <w:lvlJc w:val="left"/>
      <w:pPr>
        <w:ind w:left="360" w:hanging="360"/>
      </w:pPr>
      <w:rPr>
        <w:rFonts w:hint="default"/>
      </w:rPr>
    </w:lvl>
    <w:lvl w:ilvl="1" w:tplc="956260A0" w:tentative="1">
      <w:start w:val="1"/>
      <w:numFmt w:val="lowerLetter"/>
      <w:lvlText w:val="%2."/>
      <w:lvlJc w:val="left"/>
      <w:pPr>
        <w:ind w:left="1080" w:hanging="360"/>
      </w:pPr>
    </w:lvl>
    <w:lvl w:ilvl="2" w:tplc="3AE25218" w:tentative="1">
      <w:start w:val="1"/>
      <w:numFmt w:val="lowerRoman"/>
      <w:lvlText w:val="%3."/>
      <w:lvlJc w:val="right"/>
      <w:pPr>
        <w:ind w:left="1800" w:hanging="180"/>
      </w:pPr>
    </w:lvl>
    <w:lvl w:ilvl="3" w:tplc="E1029D96" w:tentative="1">
      <w:start w:val="1"/>
      <w:numFmt w:val="decimal"/>
      <w:lvlText w:val="%4."/>
      <w:lvlJc w:val="left"/>
      <w:pPr>
        <w:ind w:left="2520" w:hanging="360"/>
      </w:pPr>
    </w:lvl>
    <w:lvl w:ilvl="4" w:tplc="1DDCCF0A" w:tentative="1">
      <w:start w:val="1"/>
      <w:numFmt w:val="lowerLetter"/>
      <w:lvlText w:val="%5."/>
      <w:lvlJc w:val="left"/>
      <w:pPr>
        <w:ind w:left="3240" w:hanging="360"/>
      </w:pPr>
    </w:lvl>
    <w:lvl w:ilvl="5" w:tplc="40DA718A" w:tentative="1">
      <w:start w:val="1"/>
      <w:numFmt w:val="lowerRoman"/>
      <w:lvlText w:val="%6."/>
      <w:lvlJc w:val="right"/>
      <w:pPr>
        <w:ind w:left="3960" w:hanging="180"/>
      </w:pPr>
    </w:lvl>
    <w:lvl w:ilvl="6" w:tplc="1BEEEF30" w:tentative="1">
      <w:start w:val="1"/>
      <w:numFmt w:val="decimal"/>
      <w:lvlText w:val="%7."/>
      <w:lvlJc w:val="left"/>
      <w:pPr>
        <w:ind w:left="4680" w:hanging="360"/>
      </w:pPr>
    </w:lvl>
    <w:lvl w:ilvl="7" w:tplc="B6986388" w:tentative="1">
      <w:start w:val="1"/>
      <w:numFmt w:val="lowerLetter"/>
      <w:lvlText w:val="%8."/>
      <w:lvlJc w:val="left"/>
      <w:pPr>
        <w:ind w:left="5400" w:hanging="360"/>
      </w:pPr>
    </w:lvl>
    <w:lvl w:ilvl="8" w:tplc="C110208C" w:tentative="1">
      <w:start w:val="1"/>
      <w:numFmt w:val="lowerRoman"/>
      <w:lvlText w:val="%9."/>
      <w:lvlJc w:val="right"/>
      <w:pPr>
        <w:ind w:left="6120" w:hanging="180"/>
      </w:pPr>
    </w:lvl>
  </w:abstractNum>
  <w:abstractNum w:abstractNumId="20" w15:restartNumberingAfterBreak="0">
    <w:nsid w:val="4E293C01"/>
    <w:multiLevelType w:val="hybridMultilevel"/>
    <w:tmpl w:val="7DEEA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4FA81AAD"/>
    <w:multiLevelType w:val="hybridMultilevel"/>
    <w:tmpl w:val="02DE4DCE"/>
    <w:lvl w:ilvl="0" w:tplc="345885F4">
      <w:start w:val="1"/>
      <w:numFmt w:val="decimal"/>
      <w:lvlText w:val="%1)"/>
      <w:lvlJc w:val="left"/>
      <w:pPr>
        <w:ind w:left="1211" w:hanging="360"/>
      </w:pPr>
      <w:rPr>
        <w:rFonts w:hint="default"/>
        <w:b w:val="0"/>
        <w:bCs w:val="0"/>
      </w:rPr>
    </w:lvl>
    <w:lvl w:ilvl="1" w:tplc="833C263C" w:tentative="1">
      <w:start w:val="1"/>
      <w:numFmt w:val="lowerLetter"/>
      <w:lvlText w:val="%2."/>
      <w:lvlJc w:val="left"/>
      <w:pPr>
        <w:ind w:left="1931" w:hanging="360"/>
      </w:pPr>
    </w:lvl>
    <w:lvl w:ilvl="2" w:tplc="4BD22DBA" w:tentative="1">
      <w:start w:val="1"/>
      <w:numFmt w:val="lowerRoman"/>
      <w:lvlText w:val="%3."/>
      <w:lvlJc w:val="right"/>
      <w:pPr>
        <w:ind w:left="2651" w:hanging="180"/>
      </w:pPr>
    </w:lvl>
    <w:lvl w:ilvl="3" w:tplc="B576284E" w:tentative="1">
      <w:start w:val="1"/>
      <w:numFmt w:val="decimal"/>
      <w:lvlText w:val="%4."/>
      <w:lvlJc w:val="left"/>
      <w:pPr>
        <w:ind w:left="3371" w:hanging="360"/>
      </w:pPr>
    </w:lvl>
    <w:lvl w:ilvl="4" w:tplc="866443B4" w:tentative="1">
      <w:start w:val="1"/>
      <w:numFmt w:val="lowerLetter"/>
      <w:lvlText w:val="%5."/>
      <w:lvlJc w:val="left"/>
      <w:pPr>
        <w:ind w:left="4091" w:hanging="360"/>
      </w:pPr>
    </w:lvl>
    <w:lvl w:ilvl="5" w:tplc="DB1A0972" w:tentative="1">
      <w:start w:val="1"/>
      <w:numFmt w:val="lowerRoman"/>
      <w:lvlText w:val="%6."/>
      <w:lvlJc w:val="right"/>
      <w:pPr>
        <w:ind w:left="4811" w:hanging="180"/>
      </w:pPr>
    </w:lvl>
    <w:lvl w:ilvl="6" w:tplc="A95A5C04" w:tentative="1">
      <w:start w:val="1"/>
      <w:numFmt w:val="decimal"/>
      <w:lvlText w:val="%7."/>
      <w:lvlJc w:val="left"/>
      <w:pPr>
        <w:ind w:left="5531" w:hanging="360"/>
      </w:pPr>
    </w:lvl>
    <w:lvl w:ilvl="7" w:tplc="92F07AE0" w:tentative="1">
      <w:start w:val="1"/>
      <w:numFmt w:val="lowerLetter"/>
      <w:lvlText w:val="%8."/>
      <w:lvlJc w:val="left"/>
      <w:pPr>
        <w:ind w:left="6251" w:hanging="360"/>
      </w:pPr>
    </w:lvl>
    <w:lvl w:ilvl="8" w:tplc="4658F238" w:tentative="1">
      <w:start w:val="1"/>
      <w:numFmt w:val="lowerRoman"/>
      <w:lvlText w:val="%9."/>
      <w:lvlJc w:val="right"/>
      <w:pPr>
        <w:ind w:left="6971" w:hanging="180"/>
      </w:pPr>
    </w:lvl>
  </w:abstractNum>
  <w:abstractNum w:abstractNumId="22" w15:restartNumberingAfterBreak="0">
    <w:nsid w:val="50D54A28"/>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3" w15:restartNumberingAfterBreak="0">
    <w:nsid w:val="53604FA7"/>
    <w:multiLevelType w:val="hybridMultilevel"/>
    <w:tmpl w:val="63FC4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89504C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25" w15:restartNumberingAfterBreak="0">
    <w:nsid w:val="5B673CEC"/>
    <w:multiLevelType w:val="hybridMultilevel"/>
    <w:tmpl w:val="30D60B22"/>
    <w:lvl w:ilvl="0" w:tplc="644E891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9FD4BA9"/>
    <w:multiLevelType w:val="hybridMultilevel"/>
    <w:tmpl w:val="9ACC08C0"/>
    <w:lvl w:ilvl="0" w:tplc="354E79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6D6A38EB"/>
    <w:multiLevelType w:val="hybridMultilevel"/>
    <w:tmpl w:val="BD089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54227A7"/>
    <w:multiLevelType w:val="hybridMultilevel"/>
    <w:tmpl w:val="BEF67F7E"/>
    <w:lvl w:ilvl="0" w:tplc="740A0DD4">
      <w:numFmt w:val="bullet"/>
      <w:lvlText w:val="-"/>
      <w:lvlJc w:val="left"/>
      <w:pPr>
        <w:ind w:left="720" w:hanging="360"/>
      </w:pPr>
      <w:rPr>
        <w:rFonts w:ascii="Calibri" w:eastAsia="Times New Roman"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5465872"/>
    <w:multiLevelType w:val="hybridMultilevel"/>
    <w:tmpl w:val="B75CECDA"/>
    <w:lvl w:ilvl="0" w:tplc="B92EC43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0120D7"/>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E25152"/>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12479"/>
    <w:multiLevelType w:val="multilevel"/>
    <w:tmpl w:val="C9F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10"/>
  </w:num>
  <w:num w:numId="4">
    <w:abstractNumId w:val="25"/>
  </w:num>
  <w:num w:numId="5">
    <w:abstractNumId w:val="2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5"/>
  </w:num>
  <w:num w:numId="11">
    <w:abstractNumId w:val="24"/>
  </w:num>
  <w:num w:numId="12">
    <w:abstractNumId w:val="30"/>
  </w:num>
  <w:num w:numId="13">
    <w:abstractNumId w:val="16"/>
  </w:num>
  <w:num w:numId="14">
    <w:abstractNumId w:val="3"/>
  </w:num>
  <w:num w:numId="15">
    <w:abstractNumId w:val="8"/>
  </w:num>
  <w:num w:numId="16">
    <w:abstractNumId w:val="14"/>
  </w:num>
  <w:num w:numId="17">
    <w:abstractNumId w:val="0"/>
  </w:num>
  <w:num w:numId="18">
    <w:abstractNumId w:val="31"/>
  </w:num>
  <w:num w:numId="19">
    <w:abstractNumId w:val="27"/>
  </w:num>
  <w:num w:numId="20">
    <w:abstractNumId w:val="13"/>
  </w:num>
  <w:num w:numId="21">
    <w:abstractNumId w:val="32"/>
  </w:num>
  <w:num w:numId="22">
    <w:abstractNumId w:val="20"/>
  </w:num>
  <w:num w:numId="23">
    <w:abstractNumId w:val="4"/>
  </w:num>
  <w:num w:numId="24">
    <w:abstractNumId w:val="28"/>
  </w:num>
  <w:num w:numId="25">
    <w:abstractNumId w:val="17"/>
  </w:num>
  <w:num w:numId="26">
    <w:abstractNumId w:val="11"/>
  </w:num>
  <w:num w:numId="27">
    <w:abstractNumId w:val="2"/>
  </w:num>
  <w:num w:numId="28">
    <w:abstractNumId w:val="9"/>
  </w:num>
  <w:num w:numId="29">
    <w:abstractNumId w:val="19"/>
  </w:num>
  <w:num w:numId="30">
    <w:abstractNumId w:val="29"/>
  </w:num>
  <w:num w:numId="31">
    <w:abstractNumId w:val="1"/>
  </w:num>
  <w:num w:numId="32">
    <w:abstractNumId w:val="12"/>
  </w:num>
  <w:num w:numId="33">
    <w:abstractNumId w:val="18"/>
  </w:num>
  <w:num w:numId="34">
    <w:abstractNumId w:val="2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44"/>
    <w:rsid w:val="000004F0"/>
    <w:rsid w:val="00003DCD"/>
    <w:rsid w:val="00006269"/>
    <w:rsid w:val="000107BB"/>
    <w:rsid w:val="000109D5"/>
    <w:rsid w:val="000112C1"/>
    <w:rsid w:val="0001283C"/>
    <w:rsid w:val="00014269"/>
    <w:rsid w:val="00015891"/>
    <w:rsid w:val="000167EE"/>
    <w:rsid w:val="00020F84"/>
    <w:rsid w:val="00020F90"/>
    <w:rsid w:val="00023BEE"/>
    <w:rsid w:val="0002724B"/>
    <w:rsid w:val="00027269"/>
    <w:rsid w:val="00027EE6"/>
    <w:rsid w:val="00041ADA"/>
    <w:rsid w:val="000421BC"/>
    <w:rsid w:val="00044DC8"/>
    <w:rsid w:val="00050547"/>
    <w:rsid w:val="000517FA"/>
    <w:rsid w:val="00054C3D"/>
    <w:rsid w:val="00056F5A"/>
    <w:rsid w:val="0006239B"/>
    <w:rsid w:val="00064ECF"/>
    <w:rsid w:val="000651B8"/>
    <w:rsid w:val="000674A9"/>
    <w:rsid w:val="000721B8"/>
    <w:rsid w:val="00072820"/>
    <w:rsid w:val="000733D2"/>
    <w:rsid w:val="00073F7A"/>
    <w:rsid w:val="0007515C"/>
    <w:rsid w:val="000771AD"/>
    <w:rsid w:val="0008039F"/>
    <w:rsid w:val="00085592"/>
    <w:rsid w:val="00086478"/>
    <w:rsid w:val="00095C44"/>
    <w:rsid w:val="000967CD"/>
    <w:rsid w:val="00096D0F"/>
    <w:rsid w:val="000972FF"/>
    <w:rsid w:val="000A08DF"/>
    <w:rsid w:val="000A168E"/>
    <w:rsid w:val="000A238D"/>
    <w:rsid w:val="000A2A2D"/>
    <w:rsid w:val="000A3332"/>
    <w:rsid w:val="000A3669"/>
    <w:rsid w:val="000A591C"/>
    <w:rsid w:val="000A6574"/>
    <w:rsid w:val="000A6D0D"/>
    <w:rsid w:val="000B038D"/>
    <w:rsid w:val="000B484F"/>
    <w:rsid w:val="000B67BF"/>
    <w:rsid w:val="000B7FDA"/>
    <w:rsid w:val="000C18A8"/>
    <w:rsid w:val="000C749E"/>
    <w:rsid w:val="000C770E"/>
    <w:rsid w:val="000D31C9"/>
    <w:rsid w:val="000D681B"/>
    <w:rsid w:val="000E2436"/>
    <w:rsid w:val="000E3959"/>
    <w:rsid w:val="000E4BD5"/>
    <w:rsid w:val="000E5A2F"/>
    <w:rsid w:val="000E66EC"/>
    <w:rsid w:val="000E6AD1"/>
    <w:rsid w:val="000F297D"/>
    <w:rsid w:val="000F3C46"/>
    <w:rsid w:val="000F525A"/>
    <w:rsid w:val="000F5917"/>
    <w:rsid w:val="00101E6D"/>
    <w:rsid w:val="00101F95"/>
    <w:rsid w:val="00116C08"/>
    <w:rsid w:val="001202C0"/>
    <w:rsid w:val="00125EBB"/>
    <w:rsid w:val="0012669E"/>
    <w:rsid w:val="00132389"/>
    <w:rsid w:val="00133803"/>
    <w:rsid w:val="0014391F"/>
    <w:rsid w:val="0015078D"/>
    <w:rsid w:val="00150B19"/>
    <w:rsid w:val="00163906"/>
    <w:rsid w:val="00165F47"/>
    <w:rsid w:val="00171F5C"/>
    <w:rsid w:val="00173E96"/>
    <w:rsid w:val="0017647A"/>
    <w:rsid w:val="001767FB"/>
    <w:rsid w:val="001774AB"/>
    <w:rsid w:val="00181AFD"/>
    <w:rsid w:val="001911F9"/>
    <w:rsid w:val="00191C11"/>
    <w:rsid w:val="001946FA"/>
    <w:rsid w:val="001952D0"/>
    <w:rsid w:val="001A144B"/>
    <w:rsid w:val="001A16FD"/>
    <w:rsid w:val="001A265A"/>
    <w:rsid w:val="001B6C54"/>
    <w:rsid w:val="001C6111"/>
    <w:rsid w:val="001D3DA4"/>
    <w:rsid w:val="001D6E1B"/>
    <w:rsid w:val="001D71DF"/>
    <w:rsid w:val="001D76DF"/>
    <w:rsid w:val="001E6DF5"/>
    <w:rsid w:val="001E755A"/>
    <w:rsid w:val="001F5A6E"/>
    <w:rsid w:val="00201E76"/>
    <w:rsid w:val="00201E88"/>
    <w:rsid w:val="002120BD"/>
    <w:rsid w:val="002159C3"/>
    <w:rsid w:val="00217B95"/>
    <w:rsid w:val="00223E2B"/>
    <w:rsid w:val="00223FB1"/>
    <w:rsid w:val="00236FA5"/>
    <w:rsid w:val="002401D2"/>
    <w:rsid w:val="002444C2"/>
    <w:rsid w:val="002470C5"/>
    <w:rsid w:val="002472AA"/>
    <w:rsid w:val="002544F0"/>
    <w:rsid w:val="00256C82"/>
    <w:rsid w:val="002609C5"/>
    <w:rsid w:val="00265F9E"/>
    <w:rsid w:val="0026658A"/>
    <w:rsid w:val="00267B23"/>
    <w:rsid w:val="00271D74"/>
    <w:rsid w:val="0028355B"/>
    <w:rsid w:val="00285BA7"/>
    <w:rsid w:val="002A362D"/>
    <w:rsid w:val="002A47AF"/>
    <w:rsid w:val="002B04C5"/>
    <w:rsid w:val="002B0A7F"/>
    <w:rsid w:val="002B236C"/>
    <w:rsid w:val="002B4E02"/>
    <w:rsid w:val="002C7097"/>
    <w:rsid w:val="002D261F"/>
    <w:rsid w:val="002D67D0"/>
    <w:rsid w:val="002D7310"/>
    <w:rsid w:val="002E04CA"/>
    <w:rsid w:val="002E2BCD"/>
    <w:rsid w:val="002E2C9B"/>
    <w:rsid w:val="002E4396"/>
    <w:rsid w:val="002F1086"/>
    <w:rsid w:val="002F64F0"/>
    <w:rsid w:val="002F790E"/>
    <w:rsid w:val="003013B8"/>
    <w:rsid w:val="00301564"/>
    <w:rsid w:val="00305EE8"/>
    <w:rsid w:val="00313F1C"/>
    <w:rsid w:val="00316B64"/>
    <w:rsid w:val="00316EAB"/>
    <w:rsid w:val="0031731B"/>
    <w:rsid w:val="0032311D"/>
    <w:rsid w:val="00331011"/>
    <w:rsid w:val="00331C1A"/>
    <w:rsid w:val="00334FCB"/>
    <w:rsid w:val="00335C7B"/>
    <w:rsid w:val="00350777"/>
    <w:rsid w:val="0035090F"/>
    <w:rsid w:val="00351B86"/>
    <w:rsid w:val="0035579F"/>
    <w:rsid w:val="00355827"/>
    <w:rsid w:val="00365B11"/>
    <w:rsid w:val="003668E0"/>
    <w:rsid w:val="003720E6"/>
    <w:rsid w:val="003723EF"/>
    <w:rsid w:val="00377E42"/>
    <w:rsid w:val="00380C25"/>
    <w:rsid w:val="00384111"/>
    <w:rsid w:val="00387347"/>
    <w:rsid w:val="0038741D"/>
    <w:rsid w:val="00392BD8"/>
    <w:rsid w:val="003942BF"/>
    <w:rsid w:val="003A0A1F"/>
    <w:rsid w:val="003A1AE3"/>
    <w:rsid w:val="003A3ED3"/>
    <w:rsid w:val="003B2751"/>
    <w:rsid w:val="003B2FE9"/>
    <w:rsid w:val="003B42FA"/>
    <w:rsid w:val="003B6862"/>
    <w:rsid w:val="003D07E3"/>
    <w:rsid w:val="003D33ED"/>
    <w:rsid w:val="003D680C"/>
    <w:rsid w:val="003E3542"/>
    <w:rsid w:val="003E546C"/>
    <w:rsid w:val="003E5969"/>
    <w:rsid w:val="003F1F5F"/>
    <w:rsid w:val="003F531C"/>
    <w:rsid w:val="003F7694"/>
    <w:rsid w:val="003F7BE2"/>
    <w:rsid w:val="00400729"/>
    <w:rsid w:val="004008AF"/>
    <w:rsid w:val="004041CF"/>
    <w:rsid w:val="00406246"/>
    <w:rsid w:val="004113EB"/>
    <w:rsid w:val="00413124"/>
    <w:rsid w:val="00414448"/>
    <w:rsid w:val="00414543"/>
    <w:rsid w:val="0042673C"/>
    <w:rsid w:val="00443417"/>
    <w:rsid w:val="00453BE4"/>
    <w:rsid w:val="00453C17"/>
    <w:rsid w:val="00460660"/>
    <w:rsid w:val="0046073B"/>
    <w:rsid w:val="004614F2"/>
    <w:rsid w:val="00464E07"/>
    <w:rsid w:val="004650F6"/>
    <w:rsid w:val="004717EF"/>
    <w:rsid w:val="00471885"/>
    <w:rsid w:val="004730AF"/>
    <w:rsid w:val="0047540F"/>
    <w:rsid w:val="004768D4"/>
    <w:rsid w:val="00481E0B"/>
    <w:rsid w:val="004837A4"/>
    <w:rsid w:val="004874AA"/>
    <w:rsid w:val="00494DFF"/>
    <w:rsid w:val="00497E4D"/>
    <w:rsid w:val="004A4F47"/>
    <w:rsid w:val="004A72C2"/>
    <w:rsid w:val="004B10F9"/>
    <w:rsid w:val="004B14CA"/>
    <w:rsid w:val="004B2243"/>
    <w:rsid w:val="004B245B"/>
    <w:rsid w:val="004B3D6E"/>
    <w:rsid w:val="004B64A0"/>
    <w:rsid w:val="004C10B6"/>
    <w:rsid w:val="004C31D5"/>
    <w:rsid w:val="004D3F43"/>
    <w:rsid w:val="004D426B"/>
    <w:rsid w:val="004D598A"/>
    <w:rsid w:val="004D786D"/>
    <w:rsid w:val="004E0BBF"/>
    <w:rsid w:val="004E620E"/>
    <w:rsid w:val="00503107"/>
    <w:rsid w:val="00511195"/>
    <w:rsid w:val="00516B41"/>
    <w:rsid w:val="005213CF"/>
    <w:rsid w:val="005227DA"/>
    <w:rsid w:val="005229F6"/>
    <w:rsid w:val="00523668"/>
    <w:rsid w:val="00524514"/>
    <w:rsid w:val="0052601D"/>
    <w:rsid w:val="00531C73"/>
    <w:rsid w:val="0053526A"/>
    <w:rsid w:val="00536FF8"/>
    <w:rsid w:val="005419E6"/>
    <w:rsid w:val="00543123"/>
    <w:rsid w:val="0054479C"/>
    <w:rsid w:val="00545763"/>
    <w:rsid w:val="00546250"/>
    <w:rsid w:val="0055161F"/>
    <w:rsid w:val="00551B1F"/>
    <w:rsid w:val="0055400B"/>
    <w:rsid w:val="00554B2A"/>
    <w:rsid w:val="00561A7E"/>
    <w:rsid w:val="00562121"/>
    <w:rsid w:val="00562D42"/>
    <w:rsid w:val="00563C9C"/>
    <w:rsid w:val="00563F9C"/>
    <w:rsid w:val="005656FB"/>
    <w:rsid w:val="005663A3"/>
    <w:rsid w:val="005705EA"/>
    <w:rsid w:val="00574B78"/>
    <w:rsid w:val="005831EE"/>
    <w:rsid w:val="00585BCB"/>
    <w:rsid w:val="00585E8C"/>
    <w:rsid w:val="00586C29"/>
    <w:rsid w:val="00586C2C"/>
    <w:rsid w:val="00592BE6"/>
    <w:rsid w:val="00597B9C"/>
    <w:rsid w:val="005A2FF1"/>
    <w:rsid w:val="005A5DE5"/>
    <w:rsid w:val="005A6746"/>
    <w:rsid w:val="005B14DC"/>
    <w:rsid w:val="005B274D"/>
    <w:rsid w:val="005B2D08"/>
    <w:rsid w:val="005B331C"/>
    <w:rsid w:val="005B3A9A"/>
    <w:rsid w:val="005C2B1C"/>
    <w:rsid w:val="005C668F"/>
    <w:rsid w:val="005D0565"/>
    <w:rsid w:val="005D46FF"/>
    <w:rsid w:val="005D57B2"/>
    <w:rsid w:val="005D68A6"/>
    <w:rsid w:val="005D7CC1"/>
    <w:rsid w:val="005E2E1F"/>
    <w:rsid w:val="005F182C"/>
    <w:rsid w:val="005F2108"/>
    <w:rsid w:val="006001E1"/>
    <w:rsid w:val="006027EC"/>
    <w:rsid w:val="00604979"/>
    <w:rsid w:val="0060509F"/>
    <w:rsid w:val="00605FE4"/>
    <w:rsid w:val="00606385"/>
    <w:rsid w:val="00611749"/>
    <w:rsid w:val="006135C1"/>
    <w:rsid w:val="00616B39"/>
    <w:rsid w:val="00617232"/>
    <w:rsid w:val="00622590"/>
    <w:rsid w:val="006247BD"/>
    <w:rsid w:val="00631ACE"/>
    <w:rsid w:val="00636FDD"/>
    <w:rsid w:val="00646C64"/>
    <w:rsid w:val="00646D6E"/>
    <w:rsid w:val="00647941"/>
    <w:rsid w:val="00647AE3"/>
    <w:rsid w:val="00647CAA"/>
    <w:rsid w:val="0065080F"/>
    <w:rsid w:val="006724F6"/>
    <w:rsid w:val="00672E77"/>
    <w:rsid w:val="006763BA"/>
    <w:rsid w:val="006838F2"/>
    <w:rsid w:val="0068404B"/>
    <w:rsid w:val="006859DE"/>
    <w:rsid w:val="0068625B"/>
    <w:rsid w:val="00686650"/>
    <w:rsid w:val="006954E6"/>
    <w:rsid w:val="00697976"/>
    <w:rsid w:val="006A3483"/>
    <w:rsid w:val="006A601C"/>
    <w:rsid w:val="006B556D"/>
    <w:rsid w:val="006C095D"/>
    <w:rsid w:val="006C425E"/>
    <w:rsid w:val="006D1A73"/>
    <w:rsid w:val="006D25F3"/>
    <w:rsid w:val="006D500A"/>
    <w:rsid w:val="006E26BA"/>
    <w:rsid w:val="006E5ACA"/>
    <w:rsid w:val="006E75E6"/>
    <w:rsid w:val="006F0F44"/>
    <w:rsid w:val="006F2DB0"/>
    <w:rsid w:val="006F5B54"/>
    <w:rsid w:val="00705CE2"/>
    <w:rsid w:val="00706469"/>
    <w:rsid w:val="007174E8"/>
    <w:rsid w:val="0073226B"/>
    <w:rsid w:val="00737CA4"/>
    <w:rsid w:val="00741670"/>
    <w:rsid w:val="00744285"/>
    <w:rsid w:val="007469F0"/>
    <w:rsid w:val="00746D97"/>
    <w:rsid w:val="00752991"/>
    <w:rsid w:val="00767692"/>
    <w:rsid w:val="00772EAF"/>
    <w:rsid w:val="007827FA"/>
    <w:rsid w:val="007838FC"/>
    <w:rsid w:val="00785181"/>
    <w:rsid w:val="00785DDA"/>
    <w:rsid w:val="00787BC7"/>
    <w:rsid w:val="00792DB4"/>
    <w:rsid w:val="00794020"/>
    <w:rsid w:val="00794F96"/>
    <w:rsid w:val="007A454F"/>
    <w:rsid w:val="007A5326"/>
    <w:rsid w:val="007A6A00"/>
    <w:rsid w:val="007B1183"/>
    <w:rsid w:val="007B189F"/>
    <w:rsid w:val="007B4B1D"/>
    <w:rsid w:val="007B7544"/>
    <w:rsid w:val="007C0664"/>
    <w:rsid w:val="007C1FC5"/>
    <w:rsid w:val="007C3557"/>
    <w:rsid w:val="007C4792"/>
    <w:rsid w:val="007C69C3"/>
    <w:rsid w:val="007D388B"/>
    <w:rsid w:val="007E03CE"/>
    <w:rsid w:val="007E0F73"/>
    <w:rsid w:val="007E25A9"/>
    <w:rsid w:val="007E5D0C"/>
    <w:rsid w:val="007E67CB"/>
    <w:rsid w:val="007F1468"/>
    <w:rsid w:val="007F3A30"/>
    <w:rsid w:val="007F6690"/>
    <w:rsid w:val="007F737A"/>
    <w:rsid w:val="00803DA7"/>
    <w:rsid w:val="008059BE"/>
    <w:rsid w:val="00807312"/>
    <w:rsid w:val="00807AA6"/>
    <w:rsid w:val="008110F3"/>
    <w:rsid w:val="00813550"/>
    <w:rsid w:val="0081414D"/>
    <w:rsid w:val="0082691D"/>
    <w:rsid w:val="008302F6"/>
    <w:rsid w:val="00834244"/>
    <w:rsid w:val="008403DB"/>
    <w:rsid w:val="008469C8"/>
    <w:rsid w:val="00851D27"/>
    <w:rsid w:val="00852A0C"/>
    <w:rsid w:val="00867C3F"/>
    <w:rsid w:val="00872523"/>
    <w:rsid w:val="00883AE3"/>
    <w:rsid w:val="00885786"/>
    <w:rsid w:val="00885E7C"/>
    <w:rsid w:val="00886941"/>
    <w:rsid w:val="00890848"/>
    <w:rsid w:val="00891DEE"/>
    <w:rsid w:val="00893D37"/>
    <w:rsid w:val="00897040"/>
    <w:rsid w:val="008A14A0"/>
    <w:rsid w:val="008A6BCC"/>
    <w:rsid w:val="008B2891"/>
    <w:rsid w:val="008B3884"/>
    <w:rsid w:val="008B5445"/>
    <w:rsid w:val="008B6016"/>
    <w:rsid w:val="008B684E"/>
    <w:rsid w:val="008C40F5"/>
    <w:rsid w:val="008C5407"/>
    <w:rsid w:val="008C62B8"/>
    <w:rsid w:val="008D0362"/>
    <w:rsid w:val="008D19CC"/>
    <w:rsid w:val="008D2958"/>
    <w:rsid w:val="008D45CE"/>
    <w:rsid w:val="008D570E"/>
    <w:rsid w:val="008D5952"/>
    <w:rsid w:val="008E0924"/>
    <w:rsid w:val="008E0A14"/>
    <w:rsid w:val="008E0DD6"/>
    <w:rsid w:val="008E1F4F"/>
    <w:rsid w:val="008E23C3"/>
    <w:rsid w:val="008E3398"/>
    <w:rsid w:val="008E5D51"/>
    <w:rsid w:val="008E73A6"/>
    <w:rsid w:val="008F22AA"/>
    <w:rsid w:val="008F282E"/>
    <w:rsid w:val="009023FA"/>
    <w:rsid w:val="00903B22"/>
    <w:rsid w:val="00907261"/>
    <w:rsid w:val="009127D5"/>
    <w:rsid w:val="00913A43"/>
    <w:rsid w:val="00915255"/>
    <w:rsid w:val="00917748"/>
    <w:rsid w:val="009178E1"/>
    <w:rsid w:val="00920143"/>
    <w:rsid w:val="009244C2"/>
    <w:rsid w:val="009248DD"/>
    <w:rsid w:val="0092777F"/>
    <w:rsid w:val="00930A01"/>
    <w:rsid w:val="00932B76"/>
    <w:rsid w:val="00933040"/>
    <w:rsid w:val="00935540"/>
    <w:rsid w:val="00941F38"/>
    <w:rsid w:val="00943D7A"/>
    <w:rsid w:val="00946E7A"/>
    <w:rsid w:val="009501BB"/>
    <w:rsid w:val="00950F3B"/>
    <w:rsid w:val="00966566"/>
    <w:rsid w:val="009668CD"/>
    <w:rsid w:val="0097289F"/>
    <w:rsid w:val="009741C5"/>
    <w:rsid w:val="009831C7"/>
    <w:rsid w:val="009866F3"/>
    <w:rsid w:val="009869F4"/>
    <w:rsid w:val="00993C93"/>
    <w:rsid w:val="009959BD"/>
    <w:rsid w:val="00995F5D"/>
    <w:rsid w:val="009A1CB0"/>
    <w:rsid w:val="009A4DCD"/>
    <w:rsid w:val="009A4EB6"/>
    <w:rsid w:val="009A6A17"/>
    <w:rsid w:val="009A7F77"/>
    <w:rsid w:val="009B5CB0"/>
    <w:rsid w:val="009B7AA9"/>
    <w:rsid w:val="009C144C"/>
    <w:rsid w:val="009C7A15"/>
    <w:rsid w:val="009D386D"/>
    <w:rsid w:val="009E0EF4"/>
    <w:rsid w:val="009E1E38"/>
    <w:rsid w:val="009E2F61"/>
    <w:rsid w:val="009E7516"/>
    <w:rsid w:val="009F291F"/>
    <w:rsid w:val="009F5C16"/>
    <w:rsid w:val="00A0001C"/>
    <w:rsid w:val="00A04995"/>
    <w:rsid w:val="00A05748"/>
    <w:rsid w:val="00A060D7"/>
    <w:rsid w:val="00A11015"/>
    <w:rsid w:val="00A11167"/>
    <w:rsid w:val="00A134CB"/>
    <w:rsid w:val="00A138C3"/>
    <w:rsid w:val="00A15CA1"/>
    <w:rsid w:val="00A1722E"/>
    <w:rsid w:val="00A17E6E"/>
    <w:rsid w:val="00A23695"/>
    <w:rsid w:val="00A278BB"/>
    <w:rsid w:val="00A30AE7"/>
    <w:rsid w:val="00A33116"/>
    <w:rsid w:val="00A35912"/>
    <w:rsid w:val="00A35D6A"/>
    <w:rsid w:val="00A456E4"/>
    <w:rsid w:val="00A47347"/>
    <w:rsid w:val="00A5104E"/>
    <w:rsid w:val="00A516F2"/>
    <w:rsid w:val="00A52339"/>
    <w:rsid w:val="00A55894"/>
    <w:rsid w:val="00A55B4A"/>
    <w:rsid w:val="00A62A90"/>
    <w:rsid w:val="00A66230"/>
    <w:rsid w:val="00A7384E"/>
    <w:rsid w:val="00A743F6"/>
    <w:rsid w:val="00A7572E"/>
    <w:rsid w:val="00A779C6"/>
    <w:rsid w:val="00A85729"/>
    <w:rsid w:val="00A862B6"/>
    <w:rsid w:val="00A86A18"/>
    <w:rsid w:val="00A93178"/>
    <w:rsid w:val="00A94945"/>
    <w:rsid w:val="00A96F98"/>
    <w:rsid w:val="00AA1B8E"/>
    <w:rsid w:val="00AA3C17"/>
    <w:rsid w:val="00AA4B99"/>
    <w:rsid w:val="00AB5A61"/>
    <w:rsid w:val="00AB7615"/>
    <w:rsid w:val="00AC3B93"/>
    <w:rsid w:val="00AC75D3"/>
    <w:rsid w:val="00AC78B0"/>
    <w:rsid w:val="00AD112B"/>
    <w:rsid w:val="00AD1156"/>
    <w:rsid w:val="00AD2D2F"/>
    <w:rsid w:val="00AD31EB"/>
    <w:rsid w:val="00AD6A8C"/>
    <w:rsid w:val="00AE1041"/>
    <w:rsid w:val="00AE3366"/>
    <w:rsid w:val="00AE6305"/>
    <w:rsid w:val="00AE6DC0"/>
    <w:rsid w:val="00AF502B"/>
    <w:rsid w:val="00AF578B"/>
    <w:rsid w:val="00B013EF"/>
    <w:rsid w:val="00B07612"/>
    <w:rsid w:val="00B15F3A"/>
    <w:rsid w:val="00B167E2"/>
    <w:rsid w:val="00B1699E"/>
    <w:rsid w:val="00B17C50"/>
    <w:rsid w:val="00B25E11"/>
    <w:rsid w:val="00B315D1"/>
    <w:rsid w:val="00B40FFE"/>
    <w:rsid w:val="00B4308D"/>
    <w:rsid w:val="00B43708"/>
    <w:rsid w:val="00B44A55"/>
    <w:rsid w:val="00B452DE"/>
    <w:rsid w:val="00B45645"/>
    <w:rsid w:val="00B50587"/>
    <w:rsid w:val="00B51D54"/>
    <w:rsid w:val="00B52901"/>
    <w:rsid w:val="00B53113"/>
    <w:rsid w:val="00B54FED"/>
    <w:rsid w:val="00B576B2"/>
    <w:rsid w:val="00B613DC"/>
    <w:rsid w:val="00B62718"/>
    <w:rsid w:val="00B63775"/>
    <w:rsid w:val="00B679EE"/>
    <w:rsid w:val="00B71C8D"/>
    <w:rsid w:val="00B734BB"/>
    <w:rsid w:val="00B73772"/>
    <w:rsid w:val="00B75A38"/>
    <w:rsid w:val="00B804CB"/>
    <w:rsid w:val="00B80E4A"/>
    <w:rsid w:val="00B84333"/>
    <w:rsid w:val="00B84D95"/>
    <w:rsid w:val="00B84E16"/>
    <w:rsid w:val="00B86ACF"/>
    <w:rsid w:val="00B902E9"/>
    <w:rsid w:val="00B91861"/>
    <w:rsid w:val="00B925F8"/>
    <w:rsid w:val="00B935C8"/>
    <w:rsid w:val="00B94F24"/>
    <w:rsid w:val="00BA0B2F"/>
    <w:rsid w:val="00BA3D81"/>
    <w:rsid w:val="00BA7A75"/>
    <w:rsid w:val="00BA7DC8"/>
    <w:rsid w:val="00BB164E"/>
    <w:rsid w:val="00BB38DA"/>
    <w:rsid w:val="00BB6956"/>
    <w:rsid w:val="00BC61A4"/>
    <w:rsid w:val="00BD104D"/>
    <w:rsid w:val="00BD1B5C"/>
    <w:rsid w:val="00BD3679"/>
    <w:rsid w:val="00BE1F5F"/>
    <w:rsid w:val="00BE47BE"/>
    <w:rsid w:val="00BE5785"/>
    <w:rsid w:val="00BF2744"/>
    <w:rsid w:val="00BF451C"/>
    <w:rsid w:val="00BF7D5B"/>
    <w:rsid w:val="00C028B1"/>
    <w:rsid w:val="00C06E57"/>
    <w:rsid w:val="00C06FCA"/>
    <w:rsid w:val="00C10F74"/>
    <w:rsid w:val="00C12271"/>
    <w:rsid w:val="00C15047"/>
    <w:rsid w:val="00C17D17"/>
    <w:rsid w:val="00C2260D"/>
    <w:rsid w:val="00C25763"/>
    <w:rsid w:val="00C310E9"/>
    <w:rsid w:val="00C41CAB"/>
    <w:rsid w:val="00C61609"/>
    <w:rsid w:val="00C61B9E"/>
    <w:rsid w:val="00C62A02"/>
    <w:rsid w:val="00C645D9"/>
    <w:rsid w:val="00C6589D"/>
    <w:rsid w:val="00C65A2D"/>
    <w:rsid w:val="00C74DE9"/>
    <w:rsid w:val="00C80617"/>
    <w:rsid w:val="00C80928"/>
    <w:rsid w:val="00C8316C"/>
    <w:rsid w:val="00C83854"/>
    <w:rsid w:val="00C921BE"/>
    <w:rsid w:val="00C92FDD"/>
    <w:rsid w:val="00C943DA"/>
    <w:rsid w:val="00C9451C"/>
    <w:rsid w:val="00C95F40"/>
    <w:rsid w:val="00C97FF7"/>
    <w:rsid w:val="00CA374B"/>
    <w:rsid w:val="00CA5021"/>
    <w:rsid w:val="00CB52FD"/>
    <w:rsid w:val="00CB7825"/>
    <w:rsid w:val="00CC0004"/>
    <w:rsid w:val="00CC60EF"/>
    <w:rsid w:val="00CD00EF"/>
    <w:rsid w:val="00CD4F46"/>
    <w:rsid w:val="00CD5136"/>
    <w:rsid w:val="00CD5FCD"/>
    <w:rsid w:val="00CE0CAE"/>
    <w:rsid w:val="00CE25DC"/>
    <w:rsid w:val="00CE34FB"/>
    <w:rsid w:val="00CE49B9"/>
    <w:rsid w:val="00CE583A"/>
    <w:rsid w:val="00CF39C4"/>
    <w:rsid w:val="00CF4B0D"/>
    <w:rsid w:val="00CF7822"/>
    <w:rsid w:val="00D14824"/>
    <w:rsid w:val="00D20BAD"/>
    <w:rsid w:val="00D21D3E"/>
    <w:rsid w:val="00D268E6"/>
    <w:rsid w:val="00D27518"/>
    <w:rsid w:val="00D41EC6"/>
    <w:rsid w:val="00D42445"/>
    <w:rsid w:val="00D44646"/>
    <w:rsid w:val="00D45E44"/>
    <w:rsid w:val="00D50C40"/>
    <w:rsid w:val="00D57314"/>
    <w:rsid w:val="00D63915"/>
    <w:rsid w:val="00D732CD"/>
    <w:rsid w:val="00D81FF1"/>
    <w:rsid w:val="00D836BD"/>
    <w:rsid w:val="00D8512D"/>
    <w:rsid w:val="00D8729E"/>
    <w:rsid w:val="00D9068E"/>
    <w:rsid w:val="00D923EA"/>
    <w:rsid w:val="00D94399"/>
    <w:rsid w:val="00D953C5"/>
    <w:rsid w:val="00D9578C"/>
    <w:rsid w:val="00DA15F1"/>
    <w:rsid w:val="00DA79D7"/>
    <w:rsid w:val="00DB1795"/>
    <w:rsid w:val="00DB2526"/>
    <w:rsid w:val="00DB3A01"/>
    <w:rsid w:val="00DB41FE"/>
    <w:rsid w:val="00DB6274"/>
    <w:rsid w:val="00DB7F10"/>
    <w:rsid w:val="00DC0E2D"/>
    <w:rsid w:val="00DC4790"/>
    <w:rsid w:val="00DD11E2"/>
    <w:rsid w:val="00DF5A2A"/>
    <w:rsid w:val="00E0101C"/>
    <w:rsid w:val="00E010B5"/>
    <w:rsid w:val="00E0237F"/>
    <w:rsid w:val="00E064F6"/>
    <w:rsid w:val="00E11B8A"/>
    <w:rsid w:val="00E20161"/>
    <w:rsid w:val="00E2051D"/>
    <w:rsid w:val="00E22124"/>
    <w:rsid w:val="00E3037A"/>
    <w:rsid w:val="00E32F64"/>
    <w:rsid w:val="00E365E8"/>
    <w:rsid w:val="00E37BF6"/>
    <w:rsid w:val="00E415A1"/>
    <w:rsid w:val="00E43584"/>
    <w:rsid w:val="00E4677E"/>
    <w:rsid w:val="00E46A82"/>
    <w:rsid w:val="00E4702F"/>
    <w:rsid w:val="00E54AA9"/>
    <w:rsid w:val="00E564DD"/>
    <w:rsid w:val="00E60BC7"/>
    <w:rsid w:val="00E60D3B"/>
    <w:rsid w:val="00E63267"/>
    <w:rsid w:val="00E63910"/>
    <w:rsid w:val="00E66955"/>
    <w:rsid w:val="00E66F18"/>
    <w:rsid w:val="00E73FE8"/>
    <w:rsid w:val="00E76D27"/>
    <w:rsid w:val="00E80C3A"/>
    <w:rsid w:val="00E90B24"/>
    <w:rsid w:val="00E967A0"/>
    <w:rsid w:val="00EB1145"/>
    <w:rsid w:val="00EB48E9"/>
    <w:rsid w:val="00EB5BD2"/>
    <w:rsid w:val="00EC0006"/>
    <w:rsid w:val="00EC1EBF"/>
    <w:rsid w:val="00EC2BDF"/>
    <w:rsid w:val="00EC4256"/>
    <w:rsid w:val="00EC5590"/>
    <w:rsid w:val="00EC7EF4"/>
    <w:rsid w:val="00ED007B"/>
    <w:rsid w:val="00ED18D4"/>
    <w:rsid w:val="00ED1B73"/>
    <w:rsid w:val="00ED3D55"/>
    <w:rsid w:val="00ED5973"/>
    <w:rsid w:val="00ED66B2"/>
    <w:rsid w:val="00EE261B"/>
    <w:rsid w:val="00EE31E1"/>
    <w:rsid w:val="00EE34A9"/>
    <w:rsid w:val="00EE3ACF"/>
    <w:rsid w:val="00EF1E6C"/>
    <w:rsid w:val="00EF2722"/>
    <w:rsid w:val="00EF58C4"/>
    <w:rsid w:val="00EF5DC0"/>
    <w:rsid w:val="00EF613A"/>
    <w:rsid w:val="00EF77AC"/>
    <w:rsid w:val="00F003A4"/>
    <w:rsid w:val="00F029A2"/>
    <w:rsid w:val="00F02E89"/>
    <w:rsid w:val="00F02F63"/>
    <w:rsid w:val="00F0717C"/>
    <w:rsid w:val="00F1035D"/>
    <w:rsid w:val="00F13B55"/>
    <w:rsid w:val="00F22EB3"/>
    <w:rsid w:val="00F23CB4"/>
    <w:rsid w:val="00F2462D"/>
    <w:rsid w:val="00F246E2"/>
    <w:rsid w:val="00F2504A"/>
    <w:rsid w:val="00F30BF7"/>
    <w:rsid w:val="00F30E90"/>
    <w:rsid w:val="00F30F11"/>
    <w:rsid w:val="00F32933"/>
    <w:rsid w:val="00F33005"/>
    <w:rsid w:val="00F353CF"/>
    <w:rsid w:val="00F40130"/>
    <w:rsid w:val="00F4051F"/>
    <w:rsid w:val="00F40CCC"/>
    <w:rsid w:val="00F4180B"/>
    <w:rsid w:val="00F46043"/>
    <w:rsid w:val="00F4688D"/>
    <w:rsid w:val="00F503EE"/>
    <w:rsid w:val="00F505A8"/>
    <w:rsid w:val="00F51612"/>
    <w:rsid w:val="00F554F3"/>
    <w:rsid w:val="00F63EAC"/>
    <w:rsid w:val="00F64BD1"/>
    <w:rsid w:val="00F7019E"/>
    <w:rsid w:val="00F70C25"/>
    <w:rsid w:val="00F7286B"/>
    <w:rsid w:val="00F8243D"/>
    <w:rsid w:val="00F826BF"/>
    <w:rsid w:val="00F9251B"/>
    <w:rsid w:val="00FA0B02"/>
    <w:rsid w:val="00FA41E6"/>
    <w:rsid w:val="00FA577B"/>
    <w:rsid w:val="00FA7A14"/>
    <w:rsid w:val="00FB27AF"/>
    <w:rsid w:val="00FB3182"/>
    <w:rsid w:val="00FB39A7"/>
    <w:rsid w:val="00FB3E75"/>
    <w:rsid w:val="00FC48D8"/>
    <w:rsid w:val="00FD2653"/>
    <w:rsid w:val="00FD30E4"/>
    <w:rsid w:val="00FD4DE3"/>
    <w:rsid w:val="00FD592E"/>
    <w:rsid w:val="00FD7131"/>
    <w:rsid w:val="00FE513C"/>
    <w:rsid w:val="00FE6177"/>
    <w:rsid w:val="00FF2347"/>
    <w:rsid w:val="00FF2B02"/>
    <w:rsid w:val="00FF553B"/>
    <w:rsid w:val="12DDCCE3"/>
    <w:rsid w:val="364CB06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6C2771"/>
  <w15:docId w15:val="{A2DA5FB1-A1CC-47C4-B92D-47400CAF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51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D45E44"/>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rsid w:val="00D45E44"/>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D45E44"/>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5E4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semiHidden/>
    <w:rsid w:val="00D45E44"/>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D45E44"/>
    <w:rPr>
      <w:rFonts w:ascii="Calibri Light" w:eastAsia="Times New Roman" w:hAnsi="Calibri Light" w:cs="Times New Roman"/>
      <w:b/>
      <w:bCs/>
      <w:sz w:val="26"/>
      <w:szCs w:val="26"/>
      <w:lang w:val="x-none" w:eastAsia="x-none"/>
    </w:rPr>
  </w:style>
  <w:style w:type="character" w:styleId="Hyperlink">
    <w:name w:val="Hyperlink"/>
    <w:uiPriority w:val="99"/>
    <w:semiHidden/>
    <w:rsid w:val="00D45E44"/>
    <w:rPr>
      <w:rFonts w:cs="Times New Roman"/>
      <w:color w:val="0000FF"/>
      <w:u w:val="single"/>
    </w:rPr>
  </w:style>
  <w:style w:type="character" w:styleId="FollowedHyperlink">
    <w:name w:val="FollowedHyperlink"/>
    <w:uiPriority w:val="99"/>
    <w:semiHidden/>
    <w:rsid w:val="00D45E44"/>
    <w:rPr>
      <w:rFonts w:cs="Times New Roman"/>
      <w:color w:val="800080"/>
      <w:u w:val="single"/>
    </w:rPr>
  </w:style>
  <w:style w:type="paragraph" w:customStyle="1" w:styleId="h1">
    <w:name w:val="h1"/>
    <w:basedOn w:val="Normal"/>
    <w:uiPriority w:val="99"/>
    <w:rsid w:val="00D45E44"/>
    <w:pPr>
      <w:spacing w:after="150"/>
    </w:pPr>
    <w:rPr>
      <w:color w:val="306060"/>
      <w:sz w:val="31"/>
      <w:szCs w:val="31"/>
    </w:rPr>
  </w:style>
  <w:style w:type="paragraph" w:customStyle="1" w:styleId="h2">
    <w:name w:val="h2"/>
    <w:basedOn w:val="Normal"/>
    <w:uiPriority w:val="99"/>
    <w:rsid w:val="00D45E44"/>
    <w:pPr>
      <w:spacing w:before="100" w:beforeAutospacing="1" w:after="100" w:afterAutospacing="1"/>
    </w:pPr>
    <w:rPr>
      <w:color w:val="306060"/>
    </w:rPr>
  </w:style>
  <w:style w:type="paragraph" w:customStyle="1" w:styleId="a">
    <w:name w:val="a"/>
    <w:basedOn w:val="Normal"/>
    <w:uiPriority w:val="99"/>
    <w:rsid w:val="00D45E44"/>
    <w:pPr>
      <w:spacing w:before="100" w:beforeAutospacing="1" w:after="100" w:afterAutospacing="1"/>
    </w:pPr>
    <w:rPr>
      <w:color w:val="306060"/>
    </w:rPr>
  </w:style>
  <w:style w:type="paragraph" w:customStyle="1" w:styleId="b">
    <w:name w:val="b"/>
    <w:basedOn w:val="Normal"/>
    <w:uiPriority w:val="99"/>
    <w:rsid w:val="00D45E44"/>
    <w:pPr>
      <w:spacing w:before="100" w:beforeAutospacing="1" w:after="100" w:afterAutospacing="1"/>
    </w:pPr>
    <w:rPr>
      <w:color w:val="306060"/>
    </w:rPr>
  </w:style>
  <w:style w:type="paragraph" w:customStyle="1" w:styleId="body">
    <w:name w:val="body"/>
    <w:basedOn w:val="Normal"/>
    <w:uiPriority w:val="99"/>
    <w:rsid w:val="00D45E44"/>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D45E44"/>
    <w:pPr>
      <w:spacing w:before="100" w:beforeAutospacing="1" w:after="100" w:afterAutospacing="1"/>
    </w:pPr>
    <w:rPr>
      <w:color w:val="F0F8F8"/>
    </w:rPr>
  </w:style>
  <w:style w:type="paragraph" w:customStyle="1" w:styleId="radio">
    <w:name w:val="radio"/>
    <w:basedOn w:val="Normal"/>
    <w:uiPriority w:val="99"/>
    <w:rsid w:val="00D45E44"/>
    <w:pPr>
      <w:spacing w:before="100" w:beforeAutospacing="1" w:after="100" w:afterAutospacing="1"/>
    </w:pPr>
  </w:style>
  <w:style w:type="paragraph" w:customStyle="1" w:styleId="headcol">
    <w:name w:val="headcol"/>
    <w:basedOn w:val="Normal"/>
    <w:uiPriority w:val="99"/>
    <w:rsid w:val="00D45E44"/>
    <w:pPr>
      <w:spacing w:before="100" w:beforeAutospacing="1" w:after="100" w:afterAutospacing="1"/>
    </w:pPr>
    <w:rPr>
      <w:color w:val="F0F8F8"/>
    </w:rPr>
  </w:style>
  <w:style w:type="paragraph" w:customStyle="1" w:styleId="titlecol">
    <w:name w:val="titlecol"/>
    <w:basedOn w:val="Normal"/>
    <w:uiPriority w:val="99"/>
    <w:rsid w:val="00D45E44"/>
    <w:pPr>
      <w:spacing w:before="100" w:beforeAutospacing="1" w:after="100" w:afterAutospacing="1"/>
      <w:jc w:val="right"/>
    </w:pPr>
    <w:rPr>
      <w:b/>
      <w:bCs/>
    </w:rPr>
  </w:style>
  <w:style w:type="paragraph" w:customStyle="1" w:styleId="th">
    <w:name w:val="th"/>
    <w:basedOn w:val="Normal"/>
    <w:uiPriority w:val="99"/>
    <w:rsid w:val="00D45E44"/>
    <w:pPr>
      <w:spacing w:before="100" w:beforeAutospacing="1" w:after="100" w:afterAutospacing="1"/>
    </w:pPr>
    <w:rPr>
      <w:b/>
      <w:bCs/>
      <w:color w:val="333333"/>
    </w:rPr>
  </w:style>
  <w:style w:type="paragraph" w:customStyle="1" w:styleId="thr">
    <w:name w:val="thr"/>
    <w:basedOn w:val="Normal"/>
    <w:uiPriority w:val="99"/>
    <w:rsid w:val="00D45E44"/>
    <w:pPr>
      <w:spacing w:before="100" w:beforeAutospacing="1" w:after="100" w:afterAutospacing="1"/>
      <w:jc w:val="right"/>
    </w:pPr>
  </w:style>
  <w:style w:type="paragraph" w:customStyle="1" w:styleId="bdc">
    <w:name w:val="bdc"/>
    <w:basedOn w:val="Normal"/>
    <w:uiPriority w:val="99"/>
    <w:rsid w:val="00D45E44"/>
    <w:pPr>
      <w:spacing w:before="100" w:beforeAutospacing="1" w:after="100" w:afterAutospacing="1"/>
    </w:pPr>
    <w:rPr>
      <w:b/>
      <w:bCs/>
    </w:rPr>
  </w:style>
  <w:style w:type="paragraph" w:customStyle="1" w:styleId="input">
    <w:name w:val="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D45E44"/>
    <w:pPr>
      <w:shd w:val="clear" w:color="auto" w:fill="F0F8F8"/>
      <w:spacing w:before="100" w:beforeAutospacing="1" w:after="100" w:afterAutospacing="1"/>
    </w:pPr>
    <w:rPr>
      <w:color w:val="333333"/>
    </w:rPr>
  </w:style>
  <w:style w:type="paragraph" w:customStyle="1" w:styleId="top1">
    <w:name w:val="top1"/>
    <w:basedOn w:val="Normal"/>
    <w:uiPriority w:val="99"/>
    <w:rsid w:val="00D45E44"/>
    <w:pPr>
      <w:spacing w:before="100" w:beforeAutospacing="1" w:after="100" w:afterAutospacing="1"/>
    </w:pPr>
  </w:style>
  <w:style w:type="paragraph" w:customStyle="1" w:styleId="logo">
    <w:name w:val="logo"/>
    <w:basedOn w:val="Normal"/>
    <w:uiPriority w:val="99"/>
    <w:rsid w:val="00D45E44"/>
    <w:pPr>
      <w:spacing w:before="100" w:beforeAutospacing="1" w:after="100" w:afterAutospacing="1"/>
    </w:pPr>
  </w:style>
  <w:style w:type="paragraph" w:customStyle="1" w:styleId="top2">
    <w:name w:val="top2"/>
    <w:basedOn w:val="Normal"/>
    <w:uiPriority w:val="99"/>
    <w:rsid w:val="00D45E44"/>
    <w:pPr>
      <w:spacing w:before="100" w:beforeAutospacing="1" w:after="100" w:afterAutospacing="1"/>
    </w:pPr>
  </w:style>
  <w:style w:type="paragraph" w:customStyle="1" w:styleId="hline">
    <w:name w:val="hline"/>
    <w:basedOn w:val="Normal"/>
    <w:uiPriority w:val="99"/>
    <w:rsid w:val="00D45E44"/>
    <w:pPr>
      <w:spacing w:before="100" w:beforeAutospacing="1" w:after="100" w:afterAutospacing="1"/>
    </w:pPr>
  </w:style>
  <w:style w:type="paragraph" w:customStyle="1" w:styleId="vline">
    <w:name w:val="vline"/>
    <w:basedOn w:val="Normal"/>
    <w:uiPriority w:val="99"/>
    <w:rsid w:val="00D45E44"/>
    <w:pPr>
      <w:spacing w:before="100" w:beforeAutospacing="1" w:after="100" w:afterAutospacing="1"/>
    </w:pPr>
  </w:style>
  <w:style w:type="paragraph" w:customStyle="1" w:styleId="zvabri">
    <w:name w:val="zvabri"/>
    <w:basedOn w:val="Normal"/>
    <w:uiPriority w:val="99"/>
    <w:rsid w:val="00D45E44"/>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D45E44"/>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D45E44"/>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rsid w:val="00D45E44"/>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D45E44"/>
    <w:rPr>
      <w:rFonts w:ascii="Arial" w:eastAsia="Times New Roman" w:hAnsi="Arial" w:cs="Times New Roman"/>
      <w:vanish/>
      <w:sz w:val="16"/>
      <w:szCs w:val="16"/>
      <w:lang w:val="x-none" w:eastAsia="x-none"/>
    </w:rPr>
  </w:style>
  <w:style w:type="paragraph" w:styleId="NormalWeb">
    <w:name w:val="Normal (Web)"/>
    <w:basedOn w:val="Normal"/>
    <w:uiPriority w:val="99"/>
    <w:rsid w:val="00D45E44"/>
    <w:pPr>
      <w:spacing w:before="100" w:beforeAutospacing="1" w:after="100" w:afterAutospacing="1"/>
    </w:pPr>
  </w:style>
  <w:style w:type="paragraph" w:customStyle="1" w:styleId="naisf">
    <w:name w:val="naisf"/>
    <w:basedOn w:val="Normal"/>
    <w:rsid w:val="00D45E44"/>
    <w:pPr>
      <w:spacing w:before="75" w:after="75"/>
      <w:ind w:firstLine="375"/>
      <w:jc w:val="both"/>
    </w:pPr>
  </w:style>
  <w:style w:type="paragraph" w:customStyle="1" w:styleId="nais1">
    <w:name w:val="nais1"/>
    <w:basedOn w:val="Normal"/>
    <w:uiPriority w:val="99"/>
    <w:rsid w:val="00D45E44"/>
    <w:pPr>
      <w:spacing w:before="75" w:after="75"/>
      <w:ind w:left="450" w:firstLine="375"/>
      <w:jc w:val="both"/>
    </w:pPr>
  </w:style>
  <w:style w:type="paragraph" w:customStyle="1" w:styleId="nais2">
    <w:name w:val="nais2"/>
    <w:basedOn w:val="Normal"/>
    <w:uiPriority w:val="99"/>
    <w:rsid w:val="00D45E44"/>
    <w:pPr>
      <w:spacing w:before="75" w:after="75"/>
      <w:ind w:left="900" w:firstLine="375"/>
      <w:jc w:val="both"/>
    </w:pPr>
  </w:style>
  <w:style w:type="paragraph" w:customStyle="1" w:styleId="naispant">
    <w:name w:val="naispant"/>
    <w:basedOn w:val="Normal"/>
    <w:uiPriority w:val="99"/>
    <w:rsid w:val="00D45E44"/>
    <w:pPr>
      <w:spacing w:before="75" w:after="75"/>
      <w:ind w:left="375" w:firstLine="375"/>
      <w:jc w:val="both"/>
    </w:pPr>
    <w:rPr>
      <w:b/>
      <w:bCs/>
    </w:rPr>
  </w:style>
  <w:style w:type="paragraph" w:customStyle="1" w:styleId="naisvisr">
    <w:name w:val="naisvisr"/>
    <w:basedOn w:val="Normal"/>
    <w:uiPriority w:val="99"/>
    <w:rsid w:val="00D45E44"/>
    <w:pPr>
      <w:spacing w:before="150" w:after="150"/>
      <w:jc w:val="center"/>
    </w:pPr>
    <w:rPr>
      <w:b/>
      <w:bCs/>
      <w:sz w:val="28"/>
      <w:szCs w:val="28"/>
    </w:rPr>
  </w:style>
  <w:style w:type="paragraph" w:customStyle="1" w:styleId="naisnod">
    <w:name w:val="naisnod"/>
    <w:basedOn w:val="Normal"/>
    <w:uiPriority w:val="99"/>
    <w:rsid w:val="00D45E44"/>
    <w:pPr>
      <w:spacing w:before="150" w:after="150"/>
      <w:jc w:val="center"/>
    </w:pPr>
    <w:rPr>
      <w:b/>
      <w:bCs/>
    </w:rPr>
  </w:style>
  <w:style w:type="paragraph" w:customStyle="1" w:styleId="naislab">
    <w:name w:val="naislab"/>
    <w:basedOn w:val="Normal"/>
    <w:uiPriority w:val="99"/>
    <w:rsid w:val="00D45E44"/>
    <w:pPr>
      <w:spacing w:before="75" w:after="75"/>
      <w:jc w:val="right"/>
    </w:pPr>
  </w:style>
  <w:style w:type="paragraph" w:customStyle="1" w:styleId="naiskr">
    <w:name w:val="naiskr"/>
    <w:basedOn w:val="Normal"/>
    <w:rsid w:val="00D45E44"/>
    <w:pPr>
      <w:spacing w:before="75" w:after="75"/>
    </w:pPr>
  </w:style>
  <w:style w:type="paragraph" w:customStyle="1" w:styleId="naisc">
    <w:name w:val="naisc"/>
    <w:basedOn w:val="Normal"/>
    <w:rsid w:val="00D45E44"/>
    <w:pPr>
      <w:spacing w:before="75" w:after="75"/>
      <w:jc w:val="center"/>
    </w:pPr>
  </w:style>
  <w:style w:type="character" w:styleId="Strong">
    <w:name w:val="Strong"/>
    <w:uiPriority w:val="22"/>
    <w:qFormat/>
    <w:rsid w:val="00D45E44"/>
    <w:rPr>
      <w:rFonts w:cs="Times New Roman"/>
      <w:b/>
      <w:bCs/>
    </w:rPr>
  </w:style>
  <w:style w:type="character" w:customStyle="1" w:styleId="th1">
    <w:name w:val="th1"/>
    <w:uiPriority w:val="99"/>
    <w:rsid w:val="00D45E44"/>
    <w:rPr>
      <w:rFonts w:cs="Times New Roman"/>
      <w:b/>
      <w:bCs/>
      <w:color w:val="333333"/>
    </w:rPr>
  </w:style>
  <w:style w:type="character" w:styleId="Emphasis">
    <w:name w:val="Emphasis"/>
    <w:uiPriority w:val="99"/>
    <w:qFormat/>
    <w:rsid w:val="00D45E44"/>
    <w:rPr>
      <w:rFonts w:cs="Times New Roman"/>
      <w:i/>
      <w:iCs/>
    </w:rPr>
  </w:style>
  <w:style w:type="paragraph" w:styleId="BalloonText">
    <w:name w:val="Balloon Text"/>
    <w:basedOn w:val="Normal"/>
    <w:link w:val="BalloonTextChar"/>
    <w:uiPriority w:val="99"/>
    <w:semiHidden/>
    <w:rsid w:val="00D45E4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45E44"/>
    <w:rPr>
      <w:rFonts w:ascii="Tahoma" w:eastAsia="Times New Roman" w:hAnsi="Tahoma" w:cs="Times New Roman"/>
      <w:sz w:val="16"/>
      <w:szCs w:val="16"/>
      <w:lang w:val="x-none" w:eastAsia="x-none"/>
    </w:rPr>
  </w:style>
  <w:style w:type="table" w:styleId="TableGrid">
    <w:name w:val="Table Grid"/>
    <w:basedOn w:val="TableNormal"/>
    <w:uiPriority w:val="99"/>
    <w:rsid w:val="00D45E4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D45E44"/>
    <w:pPr>
      <w:ind w:firstLine="709"/>
      <w:jc w:val="both"/>
    </w:pPr>
    <w:rPr>
      <w:sz w:val="28"/>
      <w:szCs w:val="28"/>
      <w:lang w:eastAsia="x-none"/>
    </w:rPr>
  </w:style>
  <w:style w:type="character" w:customStyle="1" w:styleId="BodyTextIndent3Char">
    <w:name w:val="Body Text Indent 3 Char"/>
    <w:basedOn w:val="DefaultParagraphFont"/>
    <w:link w:val="BodyTextIndent3"/>
    <w:uiPriority w:val="99"/>
    <w:rsid w:val="00D45E44"/>
    <w:rPr>
      <w:rFonts w:ascii="Times New Roman" w:eastAsia="Times New Roman" w:hAnsi="Times New Roman" w:cs="Times New Roman"/>
      <w:sz w:val="28"/>
      <w:szCs w:val="28"/>
      <w:lang w:eastAsia="x-none"/>
    </w:rPr>
  </w:style>
  <w:style w:type="paragraph" w:styleId="Header">
    <w:name w:val="header"/>
    <w:basedOn w:val="Normal"/>
    <w:link w:val="HeaderChar"/>
    <w:uiPriority w:val="99"/>
    <w:rsid w:val="00D45E44"/>
    <w:pPr>
      <w:tabs>
        <w:tab w:val="center" w:pos="4153"/>
        <w:tab w:val="right" w:pos="8306"/>
      </w:tabs>
    </w:pPr>
  </w:style>
  <w:style w:type="character" w:customStyle="1" w:styleId="HeaderChar">
    <w:name w:val="Header Char"/>
    <w:basedOn w:val="DefaultParagraphFont"/>
    <w:link w:val="Header"/>
    <w:uiPriority w:val="99"/>
    <w:rsid w:val="00D45E44"/>
    <w:rPr>
      <w:rFonts w:ascii="Times New Roman" w:eastAsia="Times New Roman" w:hAnsi="Times New Roman" w:cs="Times New Roman"/>
      <w:sz w:val="24"/>
      <w:szCs w:val="24"/>
      <w:lang w:eastAsia="lv-LV"/>
    </w:rPr>
  </w:style>
  <w:style w:type="character" w:styleId="PageNumber">
    <w:name w:val="page number"/>
    <w:uiPriority w:val="99"/>
    <w:rsid w:val="00D45E44"/>
    <w:rPr>
      <w:rFonts w:cs="Times New Roman"/>
    </w:rPr>
  </w:style>
  <w:style w:type="paragraph" w:styleId="Footer">
    <w:name w:val="footer"/>
    <w:basedOn w:val="Normal"/>
    <w:link w:val="FooterChar"/>
    <w:uiPriority w:val="99"/>
    <w:rsid w:val="00D45E44"/>
    <w:pPr>
      <w:tabs>
        <w:tab w:val="center" w:pos="4153"/>
        <w:tab w:val="right" w:pos="8306"/>
      </w:tabs>
    </w:pPr>
  </w:style>
  <w:style w:type="character" w:customStyle="1" w:styleId="FooterChar">
    <w:name w:val="Footer Char"/>
    <w:basedOn w:val="DefaultParagraphFont"/>
    <w:link w:val="Footer"/>
    <w:uiPriority w:val="99"/>
    <w:rsid w:val="00D45E44"/>
    <w:rPr>
      <w:rFonts w:ascii="Times New Roman" w:eastAsia="Times New Roman" w:hAnsi="Times New Roman" w:cs="Times New Roman"/>
      <w:sz w:val="24"/>
      <w:szCs w:val="24"/>
      <w:lang w:eastAsia="lv-LV"/>
    </w:rPr>
  </w:style>
  <w:style w:type="paragraph" w:styleId="ListParagraph">
    <w:name w:val="List Paragraph"/>
    <w:aliases w:val="2,Strip,H&amp;P List Paragraph,Medium Grid 1 - Accent 21,Bullets,Normal bullet 2,Bullet list,Numbered List,List Paragraph1,Paragraph,Bullet point 1,1st level - Bullet List Paragraph,Lettre d'introduction,Paragrafo elenco,List Paragraph11"/>
    <w:basedOn w:val="Normal"/>
    <w:link w:val="ListParagraphChar"/>
    <w:uiPriority w:val="34"/>
    <w:qFormat/>
    <w:rsid w:val="00D45E44"/>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unhideWhenUsed/>
    <w:rsid w:val="00D45E44"/>
    <w:rPr>
      <w:sz w:val="16"/>
      <w:szCs w:val="16"/>
    </w:rPr>
  </w:style>
  <w:style w:type="paragraph" w:styleId="CommentText">
    <w:name w:val="annotation text"/>
    <w:basedOn w:val="Normal"/>
    <w:link w:val="CommentTextChar"/>
    <w:uiPriority w:val="99"/>
    <w:unhideWhenUsed/>
    <w:rsid w:val="00D45E44"/>
    <w:rPr>
      <w:sz w:val="20"/>
      <w:szCs w:val="20"/>
    </w:rPr>
  </w:style>
  <w:style w:type="character" w:customStyle="1" w:styleId="CommentTextChar">
    <w:name w:val="Comment Text Char"/>
    <w:basedOn w:val="DefaultParagraphFont"/>
    <w:link w:val="CommentText"/>
    <w:uiPriority w:val="99"/>
    <w:rsid w:val="00D45E4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D45E44"/>
    <w:rPr>
      <w:b/>
      <w:bCs/>
      <w:lang w:val="x-none" w:eastAsia="x-none"/>
    </w:rPr>
  </w:style>
  <w:style w:type="character" w:customStyle="1" w:styleId="CommentSubjectChar">
    <w:name w:val="Comment Subject Char"/>
    <w:basedOn w:val="CommentTextChar"/>
    <w:link w:val="CommentSubject"/>
    <w:rsid w:val="00D45E44"/>
    <w:rPr>
      <w:rFonts w:ascii="Times New Roman" w:eastAsia="Times New Roman" w:hAnsi="Times New Roman" w:cs="Times New Roman"/>
      <w:b/>
      <w:bCs/>
      <w:sz w:val="20"/>
      <w:szCs w:val="20"/>
      <w:lang w:val="x-none" w:eastAsia="x-none"/>
    </w:rPr>
  </w:style>
  <w:style w:type="paragraph" w:customStyle="1" w:styleId="tv213">
    <w:name w:val="tv213"/>
    <w:basedOn w:val="Normal"/>
    <w:rsid w:val="00D45E44"/>
    <w:pPr>
      <w:spacing w:before="100" w:beforeAutospacing="1" w:after="100" w:afterAutospacing="1"/>
    </w:pPr>
  </w:style>
  <w:style w:type="character" w:customStyle="1" w:styleId="italic">
    <w:name w:val="italic"/>
    <w:rsid w:val="00D45E44"/>
  </w:style>
  <w:style w:type="character" w:customStyle="1" w:styleId="ListParagraphChar">
    <w:name w:val="List Paragraph Char"/>
    <w:aliases w:val="2 Char,Strip Char,H&amp;P List Paragraph Char,Medium Grid 1 - Accent 21 Char,Bullets Char,Normal bullet 2 Char,Bullet list Char,Numbered List Char,List Paragraph1 Char,Paragraph Char,Bullet point 1 Char,Lettre d'introduction Char"/>
    <w:link w:val="ListParagraph"/>
    <w:uiPriority w:val="34"/>
    <w:qFormat/>
    <w:rsid w:val="00D45E44"/>
    <w:rPr>
      <w:rFonts w:ascii="Calibri" w:eastAsia="Times New Roman" w:hAnsi="Calibri" w:cs="Times New Roman"/>
      <w:lang w:val="x-none"/>
    </w:rPr>
  </w:style>
  <w:style w:type="paragraph" w:styleId="FootnoteText">
    <w:name w:val="footnote text"/>
    <w:aliases w:val="Char,(Diplomarbeit),(Diplomarbeit)1,(Diplomarbeit)2,(Diplomarbeit)3,(Diplomarbeit)4,(Diplomarbeit)5,(Diplomarbeit)6,(Diplomarbeit)7,-E Fußnotentext,Footnote,Fußnote,Fußnote Char,Fußnote Char Char Char,Fußnotentext Ursprung,footnote text,o"/>
    <w:basedOn w:val="Normal"/>
    <w:link w:val="FootnoteTextChar"/>
    <w:uiPriority w:val="99"/>
    <w:unhideWhenUsed/>
    <w:qFormat/>
    <w:rsid w:val="00D45E44"/>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aliases w:val="Char Char,(Diplomarbeit) Char,(Diplomarbeit)1 Char,(Diplomarbeit)2 Char,(Diplomarbeit)3 Char,(Diplomarbeit)4 Char,(Diplomarbeit)5 Char,(Diplomarbeit)6 Char,(Diplomarbeit)7 Char,-E Fußnotentext Char,Footnote Char,Fußnote Char1,o Char"/>
    <w:basedOn w:val="DefaultParagraphFont"/>
    <w:link w:val="FootnoteText"/>
    <w:uiPriority w:val="99"/>
    <w:qFormat/>
    <w:rsid w:val="00D45E44"/>
    <w:rPr>
      <w:rFonts w:ascii="Calibri" w:eastAsia="Calibri" w:hAnsi="Calibri" w:cs="Times New Roman"/>
      <w:sz w:val="20"/>
      <w:szCs w:val="20"/>
      <w:lang w:val="en-US"/>
    </w:rPr>
  </w:style>
  <w:style w:type="character" w:styleId="FootnoteReference">
    <w:name w:val="footnote reference"/>
    <w:aliases w:val="Footnote Reference Number,SUPERS,-E Fußnotenzeichen,(Diplomarbeit FZ),(Diplomarbeit FZ)1,(Diplomarbeit FZ)2,(Diplomarbeit FZ)3,(Diplomarbeit FZ)4,(Diplomarbeit FZ)5,(Diplomarbeit FZ)6,(Diplomarbeit FZ)7,(Diplomarbeit FZ)8,fr,BVI fnr,N"/>
    <w:link w:val="FootnoteRefernece"/>
    <w:uiPriority w:val="99"/>
    <w:unhideWhenUsed/>
    <w:qFormat/>
    <w:rsid w:val="00D45E44"/>
    <w:rPr>
      <w:vertAlign w:val="superscript"/>
    </w:rPr>
  </w:style>
  <w:style w:type="character" w:customStyle="1" w:styleId="spelle">
    <w:name w:val="spelle"/>
    <w:rsid w:val="00D45E44"/>
  </w:style>
  <w:style w:type="paragraph" w:styleId="BodyText">
    <w:name w:val="Body Text"/>
    <w:basedOn w:val="Normal"/>
    <w:link w:val="BodyTextChar"/>
    <w:uiPriority w:val="99"/>
    <w:unhideWhenUsed/>
    <w:rsid w:val="00D45E44"/>
    <w:pPr>
      <w:spacing w:after="120"/>
    </w:pPr>
    <w:rPr>
      <w:lang w:val="x-none" w:eastAsia="x-none"/>
    </w:rPr>
  </w:style>
  <w:style w:type="character" w:customStyle="1" w:styleId="BodyTextChar">
    <w:name w:val="Body Text Char"/>
    <w:basedOn w:val="DefaultParagraphFont"/>
    <w:link w:val="BodyText"/>
    <w:uiPriority w:val="99"/>
    <w:rsid w:val="00D45E44"/>
    <w:rPr>
      <w:rFonts w:ascii="Times New Roman" w:eastAsia="Times New Roman" w:hAnsi="Times New Roman" w:cs="Times New Roman"/>
      <w:sz w:val="24"/>
      <w:szCs w:val="24"/>
      <w:lang w:val="x-none" w:eastAsia="x-none"/>
    </w:rPr>
  </w:style>
  <w:style w:type="table" w:customStyle="1" w:styleId="ListTable5Dark-Accent33">
    <w:name w:val="List Table 5 Dark - Accent 33"/>
    <w:basedOn w:val="TableNormal"/>
    <w:next w:val="ListTable5Dark-Accent31"/>
    <w:uiPriority w:val="50"/>
    <w:rsid w:val="00D45E44"/>
    <w:pPr>
      <w:spacing w:after="0" w:line="240" w:lineRule="auto"/>
    </w:pPr>
    <w:rPr>
      <w:rFonts w:ascii="Calibri" w:eastAsia="Calibri" w:hAnsi="Calibri" w:cs="DokChampa"/>
      <w:color w:val="FFFFFF"/>
      <w:lang w:val="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45E44"/>
    <w:pPr>
      <w:spacing w:after="0" w:line="240" w:lineRule="auto"/>
    </w:pPr>
    <w:rPr>
      <w:rFonts w:ascii="Times New Roman" w:eastAsia="Times New Roman" w:hAnsi="Times New Roman" w:cs="Times New Roman"/>
      <w:color w:val="FFFFFF"/>
      <w:sz w:val="20"/>
      <w:szCs w:val="20"/>
      <w:lang w:eastAsia="lv-LV"/>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FootnoteCharacters">
    <w:name w:val="Footnote Characters"/>
    <w:rsid w:val="00D45E44"/>
    <w:rPr>
      <w:rFonts w:ascii="Times New Roman" w:hAnsi="Times New Roman"/>
      <w:sz w:val="20"/>
    </w:rPr>
  </w:style>
  <w:style w:type="paragraph" w:customStyle="1" w:styleId="FootnoteText2">
    <w:name w:val="Footnote Text2"/>
    <w:basedOn w:val="TOC4"/>
    <w:rsid w:val="00D45E44"/>
    <w:pPr>
      <w:tabs>
        <w:tab w:val="left" w:pos="1540"/>
        <w:tab w:val="right" w:leader="dot" w:pos="9061"/>
      </w:tabs>
      <w:suppressAutoHyphens/>
      <w:ind w:left="0"/>
    </w:pPr>
    <w:rPr>
      <w:rFonts w:ascii="Calibri Light" w:hAnsi="Calibri Light" w:cs="Calibri"/>
      <w:i/>
      <w:sz w:val="18"/>
      <w:lang w:val="en-US" w:eastAsia="zh-CN"/>
    </w:rPr>
  </w:style>
  <w:style w:type="paragraph" w:styleId="TOC4">
    <w:name w:val="toc 4"/>
    <w:basedOn w:val="Normal"/>
    <w:next w:val="Normal"/>
    <w:autoRedefine/>
    <w:rsid w:val="00D45E44"/>
    <w:pPr>
      <w:ind w:left="720"/>
    </w:pPr>
  </w:style>
  <w:style w:type="paragraph" w:customStyle="1" w:styleId="FootnoteRefernece">
    <w:name w:val="Footnote Refernece"/>
    <w:aliases w:val="ftref,Odwołanie przypisu,Footnotes refss,Ref,de nota al pie,E,E FNZ"/>
    <w:basedOn w:val="Normal"/>
    <w:next w:val="Normal"/>
    <w:link w:val="FootnoteReference"/>
    <w:uiPriority w:val="99"/>
    <w:rsid w:val="00D45E44"/>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D45E4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ody0">
    <w:name w:val="Body"/>
    <w:rsid w:val="00D45E44"/>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lv-LV"/>
    </w:rPr>
  </w:style>
  <w:style w:type="paragraph" w:customStyle="1" w:styleId="pamattekststabul">
    <w:name w:val="pamattekststabul"/>
    <w:basedOn w:val="Normal"/>
    <w:rsid w:val="00D45E44"/>
    <w:pPr>
      <w:spacing w:before="100" w:beforeAutospacing="1" w:after="100" w:afterAutospacing="1"/>
    </w:pPr>
    <w:rPr>
      <w:lang w:val="en-US" w:eastAsia="en-US"/>
    </w:rPr>
  </w:style>
  <w:style w:type="paragraph" w:customStyle="1" w:styleId="ManualNumPar1">
    <w:name w:val="Manual NumPar 1"/>
    <w:basedOn w:val="Normal"/>
    <w:next w:val="Normal"/>
    <w:rsid w:val="00D45E44"/>
    <w:pPr>
      <w:spacing w:before="120" w:after="120"/>
      <w:ind w:left="850" w:hanging="850"/>
      <w:jc w:val="both"/>
    </w:pPr>
    <w:rPr>
      <w:rFonts w:eastAsia="Calibri"/>
      <w:szCs w:val="22"/>
      <w:lang w:eastAsia="en-US"/>
    </w:rPr>
  </w:style>
  <w:style w:type="paragraph" w:customStyle="1" w:styleId="ChapterTitle">
    <w:name w:val="ChapterTitle"/>
    <w:basedOn w:val="Normal"/>
    <w:next w:val="Normal"/>
    <w:rsid w:val="00D45E44"/>
    <w:pPr>
      <w:keepNext/>
      <w:spacing w:before="120" w:after="360"/>
      <w:jc w:val="center"/>
    </w:pPr>
    <w:rPr>
      <w:rFonts w:eastAsia="Calibri"/>
      <w:b/>
      <w:sz w:val="32"/>
      <w:szCs w:val="22"/>
      <w:lang w:eastAsia="en-US"/>
    </w:rPr>
  </w:style>
  <w:style w:type="paragraph" w:customStyle="1" w:styleId="Point0number">
    <w:name w:val="Point 0 (number)"/>
    <w:basedOn w:val="Normal"/>
    <w:rsid w:val="00D45E44"/>
    <w:pPr>
      <w:numPr>
        <w:numId w:val="6"/>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D45E44"/>
    <w:pPr>
      <w:numPr>
        <w:ilvl w:val="2"/>
        <w:numId w:val="6"/>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D45E44"/>
    <w:pPr>
      <w:numPr>
        <w:ilvl w:val="4"/>
        <w:numId w:val="6"/>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D45E44"/>
    <w:pPr>
      <w:numPr>
        <w:ilvl w:val="6"/>
        <w:numId w:val="6"/>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D45E44"/>
    <w:pPr>
      <w:numPr>
        <w:ilvl w:val="1"/>
        <w:numId w:val="6"/>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D45E44"/>
    <w:pPr>
      <w:numPr>
        <w:ilvl w:val="3"/>
        <w:numId w:val="6"/>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D45E44"/>
    <w:pPr>
      <w:numPr>
        <w:ilvl w:val="5"/>
        <w:numId w:val="6"/>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D45E44"/>
    <w:pPr>
      <w:numPr>
        <w:ilvl w:val="7"/>
        <w:numId w:val="6"/>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D45E44"/>
    <w:pPr>
      <w:numPr>
        <w:ilvl w:val="8"/>
        <w:numId w:val="6"/>
      </w:numPr>
      <w:tabs>
        <w:tab w:val="clear" w:pos="3118"/>
        <w:tab w:val="num" w:pos="360"/>
      </w:tabs>
      <w:spacing w:before="120" w:after="120"/>
      <w:ind w:left="0" w:firstLine="0"/>
      <w:jc w:val="both"/>
    </w:pPr>
    <w:rPr>
      <w:rFonts w:eastAsia="Calibri"/>
      <w:szCs w:val="22"/>
      <w:lang w:eastAsia="en-US"/>
    </w:rPr>
  </w:style>
  <w:style w:type="paragraph" w:customStyle="1" w:styleId="Titrearticle">
    <w:name w:val="Titre article"/>
    <w:basedOn w:val="Normal"/>
    <w:next w:val="Normal"/>
    <w:rsid w:val="00D45E44"/>
    <w:pPr>
      <w:keepNext/>
      <w:spacing w:before="360" w:after="120"/>
      <w:jc w:val="center"/>
    </w:pPr>
    <w:rPr>
      <w:rFonts w:eastAsia="Calibri"/>
      <w:i/>
      <w:szCs w:val="22"/>
      <w:lang w:eastAsia="en-US"/>
    </w:rPr>
  </w:style>
  <w:style w:type="character" w:customStyle="1" w:styleId="None">
    <w:name w:val="None"/>
    <w:rsid w:val="00D45E44"/>
  </w:style>
  <w:style w:type="paragraph" w:customStyle="1" w:styleId="CharCharCharChar">
    <w:name w:val="Char Char Char Char"/>
    <w:aliases w:val="Char2"/>
    <w:basedOn w:val="Normal"/>
    <w:next w:val="Normal"/>
    <w:uiPriority w:val="99"/>
    <w:rsid w:val="00D45E44"/>
    <w:pPr>
      <w:widowControl w:val="0"/>
      <w:autoSpaceDE w:val="0"/>
      <w:autoSpaceDN w:val="0"/>
      <w:adjustRightInd w:val="0"/>
      <w:spacing w:after="160" w:line="240" w:lineRule="exact"/>
      <w:jc w:val="both"/>
    </w:pPr>
    <w:rPr>
      <w:rFonts w:ascii="Calibri" w:hAnsi="Calibri"/>
      <w:sz w:val="20"/>
      <w:szCs w:val="20"/>
      <w:vertAlign w:val="superscript"/>
    </w:rPr>
  </w:style>
  <w:style w:type="paragraph" w:customStyle="1" w:styleId="xmsonormal">
    <w:name w:val="x_msonormal"/>
    <w:basedOn w:val="Normal"/>
    <w:rsid w:val="00D45E44"/>
    <w:pPr>
      <w:spacing w:before="100" w:beforeAutospacing="1" w:after="100" w:afterAutospacing="1"/>
    </w:pPr>
  </w:style>
  <w:style w:type="paragraph" w:customStyle="1" w:styleId="mt-translation">
    <w:name w:val="mt-translation"/>
    <w:basedOn w:val="Normal"/>
    <w:rsid w:val="00D45E44"/>
    <w:pPr>
      <w:spacing w:before="100" w:beforeAutospacing="1" w:after="100" w:afterAutospacing="1"/>
    </w:pPr>
    <w:rPr>
      <w:lang w:val="en-GB" w:eastAsia="en-GB"/>
    </w:rPr>
  </w:style>
  <w:style w:type="paragraph" w:customStyle="1" w:styleId="xmsolistparagraph">
    <w:name w:val="x_msolistparagraph"/>
    <w:basedOn w:val="Normal"/>
    <w:rsid w:val="00D45E44"/>
    <w:pPr>
      <w:spacing w:before="100" w:beforeAutospacing="1" w:after="100" w:afterAutospacing="1"/>
    </w:pPr>
  </w:style>
  <w:style w:type="paragraph" w:customStyle="1" w:styleId="BodyA">
    <w:name w:val="Body A"/>
    <w:rsid w:val="00D45E44"/>
    <w:pPr>
      <w:spacing w:after="0" w:line="240" w:lineRule="auto"/>
    </w:pPr>
    <w:rPr>
      <w:rFonts w:ascii="Helvetica" w:eastAsia="Arial Unicode MS" w:hAnsi="Helvetica" w:cs="Arial Unicode MS"/>
      <w:color w:val="000000"/>
      <w:u w:color="000000"/>
      <w:lang w:eastAsia="lv-LV"/>
    </w:rPr>
  </w:style>
  <w:style w:type="paragraph" w:styleId="Revision">
    <w:name w:val="Revision"/>
    <w:hidden/>
    <w:uiPriority w:val="99"/>
    <w:semiHidden/>
    <w:rsid w:val="00A7572E"/>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64ECF"/>
    <w:pPr>
      <w:spacing w:after="120"/>
      <w:ind w:left="283"/>
    </w:pPr>
  </w:style>
  <w:style w:type="character" w:customStyle="1" w:styleId="BodyTextIndentChar">
    <w:name w:val="Body Text Indent Char"/>
    <w:basedOn w:val="DefaultParagraphFont"/>
    <w:link w:val="BodyTextIndent"/>
    <w:uiPriority w:val="99"/>
    <w:semiHidden/>
    <w:rsid w:val="00064ECF"/>
    <w:rPr>
      <w:rFonts w:ascii="Times New Roman" w:eastAsia="Times New Roman" w:hAnsi="Times New Roman" w:cs="Times New Roman"/>
      <w:sz w:val="24"/>
      <w:szCs w:val="24"/>
      <w:lang w:eastAsia="lv-LV"/>
    </w:rPr>
  </w:style>
  <w:style w:type="paragraph" w:styleId="Title">
    <w:name w:val="Title"/>
    <w:basedOn w:val="Normal"/>
    <w:link w:val="TitleChar"/>
    <w:qFormat/>
    <w:rsid w:val="004650F6"/>
    <w:pPr>
      <w:jc w:val="center"/>
    </w:pPr>
    <w:rPr>
      <w:sz w:val="28"/>
      <w:szCs w:val="20"/>
      <w:lang w:eastAsia="en-US"/>
    </w:rPr>
  </w:style>
  <w:style w:type="character" w:customStyle="1" w:styleId="TitleChar">
    <w:name w:val="Title Char"/>
    <w:basedOn w:val="DefaultParagraphFont"/>
    <w:link w:val="Title"/>
    <w:rsid w:val="004650F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5912">
      <w:bodyDiv w:val="1"/>
      <w:marLeft w:val="0"/>
      <w:marRight w:val="0"/>
      <w:marTop w:val="0"/>
      <w:marBottom w:val="0"/>
      <w:divBdr>
        <w:top w:val="none" w:sz="0" w:space="0" w:color="auto"/>
        <w:left w:val="none" w:sz="0" w:space="0" w:color="auto"/>
        <w:bottom w:val="none" w:sz="0" w:space="0" w:color="auto"/>
        <w:right w:val="none" w:sz="0" w:space="0" w:color="auto"/>
      </w:divBdr>
    </w:div>
    <w:div w:id="90707316">
      <w:bodyDiv w:val="1"/>
      <w:marLeft w:val="0"/>
      <w:marRight w:val="0"/>
      <w:marTop w:val="0"/>
      <w:marBottom w:val="0"/>
      <w:divBdr>
        <w:top w:val="none" w:sz="0" w:space="0" w:color="auto"/>
        <w:left w:val="none" w:sz="0" w:space="0" w:color="auto"/>
        <w:bottom w:val="none" w:sz="0" w:space="0" w:color="auto"/>
        <w:right w:val="none" w:sz="0" w:space="0" w:color="auto"/>
      </w:divBdr>
    </w:div>
    <w:div w:id="286351365">
      <w:bodyDiv w:val="1"/>
      <w:marLeft w:val="0"/>
      <w:marRight w:val="0"/>
      <w:marTop w:val="0"/>
      <w:marBottom w:val="0"/>
      <w:divBdr>
        <w:top w:val="none" w:sz="0" w:space="0" w:color="auto"/>
        <w:left w:val="none" w:sz="0" w:space="0" w:color="auto"/>
        <w:bottom w:val="none" w:sz="0" w:space="0" w:color="auto"/>
        <w:right w:val="none" w:sz="0" w:space="0" w:color="auto"/>
      </w:divBdr>
    </w:div>
    <w:div w:id="651448684">
      <w:bodyDiv w:val="1"/>
      <w:marLeft w:val="0"/>
      <w:marRight w:val="0"/>
      <w:marTop w:val="0"/>
      <w:marBottom w:val="0"/>
      <w:divBdr>
        <w:top w:val="none" w:sz="0" w:space="0" w:color="auto"/>
        <w:left w:val="none" w:sz="0" w:space="0" w:color="auto"/>
        <w:bottom w:val="none" w:sz="0" w:space="0" w:color="auto"/>
        <w:right w:val="none" w:sz="0" w:space="0" w:color="auto"/>
      </w:divBdr>
    </w:div>
    <w:div w:id="740177039">
      <w:bodyDiv w:val="1"/>
      <w:marLeft w:val="0"/>
      <w:marRight w:val="0"/>
      <w:marTop w:val="0"/>
      <w:marBottom w:val="0"/>
      <w:divBdr>
        <w:top w:val="none" w:sz="0" w:space="0" w:color="auto"/>
        <w:left w:val="none" w:sz="0" w:space="0" w:color="auto"/>
        <w:bottom w:val="none" w:sz="0" w:space="0" w:color="auto"/>
        <w:right w:val="none" w:sz="0" w:space="0" w:color="auto"/>
      </w:divBdr>
    </w:div>
    <w:div w:id="1111125547">
      <w:bodyDiv w:val="1"/>
      <w:marLeft w:val="0"/>
      <w:marRight w:val="0"/>
      <w:marTop w:val="0"/>
      <w:marBottom w:val="0"/>
      <w:divBdr>
        <w:top w:val="none" w:sz="0" w:space="0" w:color="auto"/>
        <w:left w:val="none" w:sz="0" w:space="0" w:color="auto"/>
        <w:bottom w:val="none" w:sz="0" w:space="0" w:color="auto"/>
        <w:right w:val="none" w:sz="0" w:space="0" w:color="auto"/>
      </w:divBdr>
    </w:div>
    <w:div w:id="1178352386">
      <w:bodyDiv w:val="1"/>
      <w:marLeft w:val="0"/>
      <w:marRight w:val="0"/>
      <w:marTop w:val="0"/>
      <w:marBottom w:val="0"/>
      <w:divBdr>
        <w:top w:val="none" w:sz="0" w:space="0" w:color="auto"/>
        <w:left w:val="none" w:sz="0" w:space="0" w:color="auto"/>
        <w:bottom w:val="none" w:sz="0" w:space="0" w:color="auto"/>
        <w:right w:val="none" w:sz="0" w:space="0" w:color="auto"/>
      </w:divBdr>
    </w:div>
    <w:div w:id="1236472931">
      <w:bodyDiv w:val="1"/>
      <w:marLeft w:val="0"/>
      <w:marRight w:val="0"/>
      <w:marTop w:val="0"/>
      <w:marBottom w:val="0"/>
      <w:divBdr>
        <w:top w:val="none" w:sz="0" w:space="0" w:color="auto"/>
        <w:left w:val="none" w:sz="0" w:space="0" w:color="auto"/>
        <w:bottom w:val="none" w:sz="0" w:space="0" w:color="auto"/>
        <w:right w:val="none" w:sz="0" w:space="0" w:color="auto"/>
      </w:divBdr>
    </w:div>
    <w:div w:id="1249343363">
      <w:bodyDiv w:val="1"/>
      <w:marLeft w:val="0"/>
      <w:marRight w:val="0"/>
      <w:marTop w:val="0"/>
      <w:marBottom w:val="0"/>
      <w:divBdr>
        <w:top w:val="none" w:sz="0" w:space="0" w:color="auto"/>
        <w:left w:val="none" w:sz="0" w:space="0" w:color="auto"/>
        <w:bottom w:val="none" w:sz="0" w:space="0" w:color="auto"/>
        <w:right w:val="none" w:sz="0" w:space="0" w:color="auto"/>
      </w:divBdr>
    </w:div>
    <w:div w:id="1736277992">
      <w:bodyDiv w:val="1"/>
      <w:marLeft w:val="0"/>
      <w:marRight w:val="0"/>
      <w:marTop w:val="0"/>
      <w:marBottom w:val="0"/>
      <w:divBdr>
        <w:top w:val="none" w:sz="0" w:space="0" w:color="auto"/>
        <w:left w:val="none" w:sz="0" w:space="0" w:color="auto"/>
        <w:bottom w:val="none" w:sz="0" w:space="0" w:color="auto"/>
        <w:right w:val="none" w:sz="0" w:space="0" w:color="auto"/>
      </w:divBdr>
    </w:div>
    <w:div w:id="1940258918">
      <w:bodyDiv w:val="1"/>
      <w:marLeft w:val="0"/>
      <w:marRight w:val="0"/>
      <w:marTop w:val="0"/>
      <w:marBottom w:val="0"/>
      <w:divBdr>
        <w:top w:val="none" w:sz="0" w:space="0" w:color="auto"/>
        <w:left w:val="none" w:sz="0" w:space="0" w:color="auto"/>
        <w:bottom w:val="none" w:sz="0" w:space="0" w:color="auto"/>
        <w:right w:val="none" w:sz="0" w:space="0" w:color="auto"/>
      </w:divBdr>
    </w:div>
    <w:div w:id="20345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s.zustenieks@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OM%3A2018%3A372%3AFIN" TargetMode="External"/><Relationship Id="rId3" Type="http://schemas.openxmlformats.org/officeDocument/2006/relationships/hyperlink" Target="https://ec.europa.eu/clima/policies/ets_en" TargetMode="External"/><Relationship Id="rId7" Type="http://schemas.openxmlformats.org/officeDocument/2006/relationships/hyperlink" Target="https://www.em.gov.lv/resources/web/esfondi/2019.03.04.%20ES%20fondi%20LV%20macins.jpg" TargetMode="External"/><Relationship Id="rId2" Type="http://schemas.openxmlformats.org/officeDocument/2006/relationships/hyperlink" Target="https://www.pkc.gov.lv/sites/default/files/inline-files/Latvija_2030_7.pdf" TargetMode="External"/><Relationship Id="rId1" Type="http://schemas.openxmlformats.org/officeDocument/2006/relationships/hyperlink" Target="http://data.consilium.europa.eu/doc/document/ST-169-2014-INIT/lv/pdf" TargetMode="External"/><Relationship Id="rId6" Type="http://schemas.openxmlformats.org/officeDocument/2006/relationships/hyperlink" Target="http://tap.mk.gov.lv/doc/2019_07/VARAMKonc_180619_bezmaksas_kv.1194.docx" TargetMode="External"/><Relationship Id="rId5" Type="http://schemas.openxmlformats.org/officeDocument/2006/relationships/hyperlink" Target="https://www.youtube.com/watch?v=ufVR1JV4Or0" TargetMode="External"/><Relationship Id="rId4" Type="http://schemas.openxmlformats.org/officeDocument/2006/relationships/hyperlink" Target="http://www.lrvk.gov.lv/revizija/vai-vides-aizsardzibas-un-regionalas-attistibas-ministrijas-administretie-klimata-parmainu-samazinasanai-paredzetie-lidzekli-tiek-planoti-un-izlietoti-efektivi-un-atbilstosi-normativo-aktu-pras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96B69-C1D3-4C1F-864A-CF1234A4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8241</Words>
  <Characters>46977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Vides aizsardzības un reģionālās attīstības ministrija</Company>
  <LinksUpToDate>false</LinksUpToDate>
  <CharactersWithSpaces>55108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Gusts Zustenieks</dc:creator>
  <cp:keywords/>
  <dc:description/>
  <cp:lastModifiedBy>Gusts Zustenieks</cp:lastModifiedBy>
  <cp:revision>21</cp:revision>
  <cp:lastPrinted>2019-04-29T11:44:00Z</cp:lastPrinted>
  <dcterms:created xsi:type="dcterms:W3CDTF">2020-10-30T11:08:00Z</dcterms:created>
  <dcterms:modified xsi:type="dcterms:W3CDTF">2020-11-06T11:46:00Z</dcterms:modified>
  <cp:category>Vides politika</cp:category>
</cp:coreProperties>
</file>