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397C" w14:textId="77777777" w:rsidR="00B87751" w:rsidRPr="00A02A4B" w:rsidRDefault="00B87751" w:rsidP="00B87751">
      <w:pPr>
        <w:jc w:val="center"/>
        <w:rPr>
          <w:rFonts w:ascii="Times New Roman" w:hAnsi="Times New Roman"/>
          <w:b/>
          <w:sz w:val="28"/>
          <w:szCs w:val="28"/>
        </w:rPr>
      </w:pPr>
      <w:r w:rsidRPr="00A02A4B">
        <w:rPr>
          <w:rFonts w:ascii="Times New Roman" w:hAnsi="Times New Roman"/>
          <w:b/>
          <w:sz w:val="28"/>
          <w:szCs w:val="28"/>
        </w:rPr>
        <w:t>Ministru kabineta noteikumu projekt</w:t>
      </w:r>
      <w:r>
        <w:rPr>
          <w:rFonts w:ascii="Times New Roman" w:hAnsi="Times New Roman"/>
          <w:b/>
          <w:sz w:val="28"/>
          <w:szCs w:val="28"/>
        </w:rPr>
        <w:t>a</w:t>
      </w:r>
      <w:r w:rsidRPr="00A02A4B">
        <w:rPr>
          <w:rFonts w:ascii="Times New Roman" w:hAnsi="Times New Roman"/>
          <w:b/>
          <w:sz w:val="28"/>
          <w:szCs w:val="28"/>
        </w:rPr>
        <w:t xml:space="preserve"> </w:t>
      </w:r>
      <w:r>
        <w:rPr>
          <w:rFonts w:ascii="Times New Roman" w:hAnsi="Times New Roman"/>
          <w:b/>
          <w:sz w:val="28"/>
          <w:szCs w:val="28"/>
        </w:rPr>
        <w:t>“</w:t>
      </w:r>
      <w:r w:rsidR="0032345E" w:rsidRPr="0032345E">
        <w:rPr>
          <w:rFonts w:ascii="Times New Roman" w:eastAsia="Times New Roman" w:hAnsi="Times New Roman" w:cs="Times New Roman"/>
          <w:b/>
          <w:bCs/>
          <w:sz w:val="28"/>
          <w:szCs w:val="28"/>
          <w:lang w:eastAsia="lv-LV"/>
        </w:rPr>
        <w:t>Grozījumi Ministru kabineta 2019. gada 8. janvāra noteikumos Nr. 9 “</w:t>
      </w:r>
      <w:r w:rsidR="0032345E" w:rsidRPr="0032345E">
        <w:rPr>
          <w:rFonts w:ascii="Times New Roman" w:eastAsia="Times New Roman" w:hAnsi="Times New Roman" w:cs="Times New Roman"/>
          <w:b/>
          <w:bCs/>
          <w:color w:val="000000"/>
          <w:sz w:val="28"/>
          <w:szCs w:val="28"/>
          <w:lang w:eastAsia="lv-LV"/>
        </w:rPr>
        <w:t>Lauksaimniecības, zivsaimniecības un lauku attīstības garantiju programmas noteikumi</w:t>
      </w:r>
      <w:r w:rsidR="0032345E" w:rsidRPr="0032345E">
        <w:rPr>
          <w:rFonts w:ascii="Times New Roman" w:eastAsia="Times New Roman" w:hAnsi="Times New Roman" w:cs="Times New Roman"/>
          <w:b/>
          <w:bCs/>
          <w:sz w:val="28"/>
          <w:szCs w:val="28"/>
          <w:lang w:eastAsia="lv-LV"/>
        </w:rPr>
        <w:t>”</w:t>
      </w:r>
      <w:r>
        <w:rPr>
          <w:rFonts w:ascii="Times New Roman" w:hAnsi="Times New Roman"/>
          <w:b/>
          <w:sz w:val="28"/>
          <w:szCs w:val="28"/>
        </w:rPr>
        <w:t>”</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text" w:val="ziņojums"/>
          <w:attr w:name="baseform" w:val="ziņojums"/>
          <w:attr w:name="id" w:val="-1"/>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p>
    <w:p w14:paraId="1F3A0F5C"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E5323B" w:rsidRPr="00E5323B" w14:paraId="74F8FB0F" w14:textId="77777777" w:rsidTr="00EE0BD2">
        <w:trPr>
          <w:tblCellSpacing w:w="15" w:type="dxa"/>
        </w:trPr>
        <w:tc>
          <w:tcPr>
            <w:tcW w:w="0" w:type="auto"/>
            <w:gridSpan w:val="2"/>
            <w:vAlign w:val="center"/>
            <w:hideMark/>
          </w:tcPr>
          <w:p w14:paraId="116BF093"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0266058A" w14:textId="77777777" w:rsidTr="00EE0BD2">
        <w:trPr>
          <w:tblCellSpacing w:w="15" w:type="dxa"/>
        </w:trPr>
        <w:tc>
          <w:tcPr>
            <w:tcW w:w="1980" w:type="pct"/>
            <w:hideMark/>
          </w:tcPr>
          <w:p w14:paraId="0EC46F7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hideMark/>
          </w:tcPr>
          <w:p w14:paraId="20F56D12" w14:textId="77777777" w:rsidR="0072635E" w:rsidRPr="0072635E" w:rsidRDefault="0032345E" w:rsidP="0032345E">
            <w:pPr>
              <w:spacing w:after="0" w:line="240" w:lineRule="auto"/>
              <w:jc w:val="both"/>
              <w:rPr>
                <w:rFonts w:ascii="Times New Roman" w:hAnsi="Times New Roman"/>
                <w:sz w:val="24"/>
                <w:szCs w:val="24"/>
              </w:rPr>
            </w:pPr>
            <w:r w:rsidRPr="0032345E">
              <w:rPr>
                <w:rFonts w:ascii="Times New Roman" w:hAnsi="Times New Roman"/>
                <w:sz w:val="24"/>
                <w:szCs w:val="24"/>
                <w:lang w:val="sv-SE"/>
              </w:rPr>
              <w:t>Grozījumi Ministru kabineta 2019. gada 8. janvāra noteikumos Nr. 9 “Lauksaimniecības, zivsaimniecības un lauku attīstības garantiju programmas noteikumi”</w:t>
            </w:r>
            <w:r w:rsidR="006714D2">
              <w:rPr>
                <w:rFonts w:ascii="Times New Roman" w:hAnsi="Times New Roman"/>
                <w:sz w:val="24"/>
                <w:szCs w:val="24"/>
              </w:rPr>
              <w:t xml:space="preserve"> sagatavoti</w:t>
            </w:r>
            <w:r w:rsidR="0072635E">
              <w:rPr>
                <w:rFonts w:ascii="Times New Roman" w:hAnsi="Times New Roman"/>
                <w:sz w:val="24"/>
                <w:szCs w:val="24"/>
              </w:rPr>
              <w:t>, l</w:t>
            </w:r>
            <w:r w:rsidR="0072635E" w:rsidRPr="00B87751">
              <w:rPr>
                <w:rFonts w:ascii="Times New Roman" w:hAnsi="Times New Roman"/>
                <w:sz w:val="24"/>
                <w:szCs w:val="24"/>
              </w:rPr>
              <w:t xml:space="preserve">ai nodrošinātu </w:t>
            </w:r>
            <w:r>
              <w:rPr>
                <w:rFonts w:ascii="Times New Roman" w:hAnsi="Times New Roman"/>
                <w:sz w:val="24"/>
                <w:szCs w:val="24"/>
              </w:rPr>
              <w:t>finansējumu garantijām.</w:t>
            </w:r>
          </w:p>
        </w:tc>
      </w:tr>
    </w:tbl>
    <w:p w14:paraId="1EEF22E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E5323B" w14:paraId="10A1AF53" w14:textId="77777777" w:rsidTr="00EE0BD2">
        <w:trPr>
          <w:tblCellSpacing w:w="15" w:type="dxa"/>
        </w:trPr>
        <w:tc>
          <w:tcPr>
            <w:tcW w:w="0" w:type="auto"/>
            <w:gridSpan w:val="3"/>
            <w:vAlign w:val="center"/>
            <w:hideMark/>
          </w:tcPr>
          <w:p w14:paraId="5719B78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87751" w14:paraId="21365F54" w14:textId="77777777" w:rsidTr="00EE0BD2">
        <w:trPr>
          <w:tblCellSpacing w:w="15" w:type="dxa"/>
        </w:trPr>
        <w:tc>
          <w:tcPr>
            <w:tcW w:w="296" w:type="pct"/>
            <w:hideMark/>
          </w:tcPr>
          <w:p w14:paraId="25CFC65D" w14:textId="77777777"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1.</w:t>
            </w:r>
          </w:p>
        </w:tc>
        <w:tc>
          <w:tcPr>
            <w:tcW w:w="1678" w:type="pct"/>
            <w:hideMark/>
          </w:tcPr>
          <w:p w14:paraId="2EF9B501" w14:textId="77777777"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Pamatojums</w:t>
            </w:r>
          </w:p>
        </w:tc>
        <w:tc>
          <w:tcPr>
            <w:tcW w:w="2960" w:type="pct"/>
            <w:hideMark/>
          </w:tcPr>
          <w:p w14:paraId="3CA1AB53" w14:textId="77777777" w:rsidR="00E5323B" w:rsidRPr="00B87751" w:rsidRDefault="003D1933" w:rsidP="000A480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D1933">
              <w:rPr>
                <w:rFonts w:ascii="Times New Roman" w:hAnsi="Times New Roman"/>
                <w:sz w:val="24"/>
                <w:szCs w:val="24"/>
              </w:rPr>
              <w:t>Attīstības finanšu institūcijas likuma</w:t>
            </w:r>
            <w:r>
              <w:rPr>
                <w:rFonts w:ascii="Times New Roman" w:hAnsi="Times New Roman"/>
                <w:sz w:val="24"/>
                <w:szCs w:val="24"/>
              </w:rPr>
              <w:t xml:space="preserve"> </w:t>
            </w:r>
            <w:r w:rsidRPr="003D1933">
              <w:rPr>
                <w:rFonts w:ascii="Times New Roman" w:hAnsi="Times New Roman"/>
                <w:sz w:val="24"/>
                <w:szCs w:val="24"/>
              </w:rPr>
              <w:t>12. panta ceturt</w:t>
            </w:r>
            <w:r w:rsidR="000A4803">
              <w:rPr>
                <w:rFonts w:ascii="Times New Roman" w:hAnsi="Times New Roman"/>
                <w:sz w:val="24"/>
                <w:szCs w:val="24"/>
              </w:rPr>
              <w:t>ā</w:t>
            </w:r>
            <w:r w:rsidRPr="003D1933">
              <w:rPr>
                <w:rFonts w:ascii="Times New Roman" w:hAnsi="Times New Roman"/>
                <w:sz w:val="24"/>
                <w:szCs w:val="24"/>
              </w:rPr>
              <w:t xml:space="preserve"> daļ</w:t>
            </w:r>
            <w:r>
              <w:rPr>
                <w:rFonts w:ascii="Times New Roman" w:hAnsi="Times New Roman"/>
                <w:sz w:val="24"/>
                <w:szCs w:val="24"/>
              </w:rPr>
              <w:t>a</w:t>
            </w:r>
          </w:p>
        </w:tc>
      </w:tr>
      <w:tr w:rsidR="00E5323B" w:rsidRPr="00AF408F" w14:paraId="25A0485F" w14:textId="77777777" w:rsidTr="00EE0BD2">
        <w:trPr>
          <w:tblCellSpacing w:w="15" w:type="dxa"/>
        </w:trPr>
        <w:tc>
          <w:tcPr>
            <w:tcW w:w="296" w:type="pct"/>
            <w:hideMark/>
          </w:tcPr>
          <w:p w14:paraId="3DF3DAA1" w14:textId="77777777" w:rsidR="002F091B" w:rsidRPr="00AF408F" w:rsidRDefault="00E5323B" w:rsidP="00E5323B">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2.</w:t>
            </w:r>
          </w:p>
          <w:p w14:paraId="4F172668" w14:textId="77777777" w:rsidR="002F091B" w:rsidRPr="00AF408F" w:rsidRDefault="002F091B" w:rsidP="002F091B">
            <w:pPr>
              <w:rPr>
                <w:rFonts w:ascii="Times New Roman" w:eastAsia="Times New Roman" w:hAnsi="Times New Roman" w:cs="Times New Roman"/>
                <w:sz w:val="24"/>
                <w:szCs w:val="24"/>
                <w:lang w:eastAsia="lv-LV"/>
              </w:rPr>
            </w:pPr>
          </w:p>
          <w:p w14:paraId="46294E67" w14:textId="77777777" w:rsidR="002F091B" w:rsidRPr="00AF408F" w:rsidRDefault="002F091B" w:rsidP="002F091B">
            <w:pPr>
              <w:rPr>
                <w:rFonts w:ascii="Times New Roman" w:eastAsia="Times New Roman" w:hAnsi="Times New Roman" w:cs="Times New Roman"/>
                <w:sz w:val="24"/>
                <w:szCs w:val="24"/>
                <w:lang w:eastAsia="lv-LV"/>
              </w:rPr>
            </w:pPr>
          </w:p>
          <w:p w14:paraId="39B1B177" w14:textId="77777777" w:rsidR="002F091B" w:rsidRPr="00AF408F" w:rsidRDefault="002F091B" w:rsidP="002F091B">
            <w:pPr>
              <w:rPr>
                <w:rFonts w:ascii="Times New Roman" w:eastAsia="Times New Roman" w:hAnsi="Times New Roman" w:cs="Times New Roman"/>
                <w:sz w:val="24"/>
                <w:szCs w:val="24"/>
                <w:lang w:eastAsia="lv-LV"/>
              </w:rPr>
            </w:pPr>
          </w:p>
          <w:p w14:paraId="70F1F938" w14:textId="77777777" w:rsidR="00655F2C" w:rsidRPr="00AF408F" w:rsidRDefault="00655F2C" w:rsidP="002F091B">
            <w:pPr>
              <w:rPr>
                <w:rFonts w:ascii="Times New Roman" w:eastAsia="Times New Roman" w:hAnsi="Times New Roman" w:cs="Times New Roman"/>
                <w:sz w:val="24"/>
                <w:szCs w:val="24"/>
                <w:lang w:eastAsia="lv-LV"/>
              </w:rPr>
            </w:pPr>
          </w:p>
        </w:tc>
        <w:tc>
          <w:tcPr>
            <w:tcW w:w="1678" w:type="pct"/>
            <w:hideMark/>
          </w:tcPr>
          <w:p w14:paraId="0DF2D521" w14:textId="77777777" w:rsidR="009428EE" w:rsidRPr="00AF408F" w:rsidRDefault="00E5323B" w:rsidP="00E5323B">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37E7092A" w14:textId="77777777" w:rsidR="009428EE" w:rsidRPr="00AF408F" w:rsidRDefault="009428EE" w:rsidP="009428EE">
            <w:pPr>
              <w:rPr>
                <w:rFonts w:ascii="Times New Roman" w:eastAsia="Times New Roman" w:hAnsi="Times New Roman" w:cs="Times New Roman"/>
                <w:sz w:val="24"/>
                <w:szCs w:val="24"/>
                <w:lang w:eastAsia="lv-LV"/>
              </w:rPr>
            </w:pPr>
          </w:p>
          <w:p w14:paraId="3557503F" w14:textId="77777777" w:rsidR="00E5323B" w:rsidRPr="00AF408F" w:rsidRDefault="00E5323B" w:rsidP="009428EE">
            <w:pPr>
              <w:rPr>
                <w:rFonts w:ascii="Times New Roman" w:eastAsia="Times New Roman" w:hAnsi="Times New Roman" w:cs="Times New Roman"/>
                <w:sz w:val="24"/>
                <w:szCs w:val="24"/>
                <w:lang w:eastAsia="lv-LV"/>
              </w:rPr>
            </w:pPr>
          </w:p>
        </w:tc>
        <w:tc>
          <w:tcPr>
            <w:tcW w:w="2960" w:type="pct"/>
            <w:hideMark/>
          </w:tcPr>
          <w:p w14:paraId="5888C022" w14:textId="6262D778" w:rsidR="00A54D62" w:rsidRPr="00AF408F" w:rsidRDefault="007F11AC" w:rsidP="007463D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rPr>
              <w:t>Tā kā</w:t>
            </w:r>
            <w:r w:rsidR="0021066D" w:rsidRPr="00AF408F">
              <w:rPr>
                <w:rFonts w:ascii="Times New Roman" w:hAnsi="Times New Roman" w:cs="Times New Roman"/>
                <w:sz w:val="24"/>
                <w:szCs w:val="24"/>
              </w:rPr>
              <w:t xml:space="preserve"> </w:t>
            </w:r>
            <w:r w:rsidR="00F06FA7" w:rsidRPr="00AF408F">
              <w:rPr>
                <w:rFonts w:ascii="Times New Roman" w:hAnsi="Times New Roman" w:cs="Times New Roman"/>
                <w:sz w:val="24"/>
                <w:szCs w:val="24"/>
              </w:rPr>
              <w:t xml:space="preserve">akciju sabiedrība "Attīstības finanšu institūcija </w:t>
            </w:r>
            <w:r w:rsidR="00F06FA7" w:rsidRPr="00AF408F">
              <w:rPr>
                <w:rFonts w:ascii="Times New Roman" w:hAnsi="Times New Roman" w:cs="Times New Roman"/>
                <w:sz w:val="24"/>
                <w:szCs w:val="24"/>
                <w:lang w:val="sv-SE"/>
              </w:rPr>
              <w:t>"Altum""</w:t>
            </w:r>
            <w:r w:rsidR="00F06FA7" w:rsidRPr="00AF408F">
              <w:rPr>
                <w:rFonts w:ascii="Times New Roman" w:hAnsi="Times New Roman" w:cs="Times New Roman"/>
                <w:sz w:val="24"/>
                <w:szCs w:val="24"/>
              </w:rPr>
              <w:t xml:space="preserve"> (turpmāk – sabiedrība "</w:t>
            </w:r>
            <w:proofErr w:type="spellStart"/>
            <w:r w:rsidR="00F06FA7" w:rsidRPr="00AF408F">
              <w:rPr>
                <w:rFonts w:ascii="Times New Roman" w:hAnsi="Times New Roman" w:cs="Times New Roman"/>
                <w:sz w:val="24"/>
                <w:szCs w:val="24"/>
              </w:rPr>
              <w:t>Altum</w:t>
            </w:r>
            <w:proofErr w:type="spellEnd"/>
            <w:r w:rsidR="00F06FA7" w:rsidRPr="00AF408F">
              <w:rPr>
                <w:rFonts w:ascii="Times New Roman" w:hAnsi="Times New Roman" w:cs="Times New Roman"/>
                <w:sz w:val="24"/>
                <w:szCs w:val="24"/>
              </w:rPr>
              <w:t>")</w:t>
            </w:r>
            <w:r w:rsidR="008C5344" w:rsidRPr="00AF408F">
              <w:rPr>
                <w:rFonts w:ascii="Times New Roman" w:hAnsi="Times New Roman" w:cs="Times New Roman"/>
                <w:sz w:val="24"/>
                <w:szCs w:val="24"/>
              </w:rPr>
              <w:t xml:space="preserve"> garantiju </w:t>
            </w:r>
            <w:r w:rsidR="008C5344" w:rsidRPr="00AF408F">
              <w:rPr>
                <w:rFonts w:ascii="Times New Roman" w:hAnsi="Times New Roman" w:cs="Times New Roman"/>
                <w:sz w:val="24"/>
                <w:szCs w:val="24"/>
                <w:lang w:val="sv-SE"/>
              </w:rPr>
              <w:t>programmā gandrīz jau ir izsniegusi garantijas</w:t>
            </w:r>
            <w:r w:rsidR="00F06FA7" w:rsidRPr="00AF408F">
              <w:rPr>
                <w:rFonts w:ascii="Times New Roman" w:hAnsi="Times New Roman" w:cs="Times New Roman"/>
                <w:sz w:val="24"/>
                <w:szCs w:val="24"/>
              </w:rPr>
              <w:t xml:space="preserve"> par kredītiestāžu izsniegtiem aizdevumiem</w:t>
            </w:r>
            <w:r w:rsidR="008C5344" w:rsidRPr="00AF408F">
              <w:rPr>
                <w:rFonts w:ascii="Times New Roman" w:hAnsi="Times New Roman" w:cs="Times New Roman"/>
                <w:sz w:val="24"/>
                <w:szCs w:val="24"/>
                <w:lang w:val="sv-SE"/>
              </w:rPr>
              <w:t xml:space="preserve"> </w:t>
            </w:r>
            <w:r w:rsidR="00F06FA7" w:rsidRPr="00AF408F">
              <w:rPr>
                <w:rFonts w:ascii="Times New Roman" w:hAnsi="Times New Roman" w:cs="Times New Roman"/>
                <w:sz w:val="24"/>
                <w:szCs w:val="24"/>
                <w:lang w:val="sv-SE"/>
              </w:rPr>
              <w:t>Ministru kabineta 2019. gada 8. janvāra noteikum</w:t>
            </w:r>
            <w:r>
              <w:rPr>
                <w:rFonts w:ascii="Times New Roman" w:hAnsi="Times New Roman" w:cs="Times New Roman"/>
                <w:sz w:val="24"/>
                <w:szCs w:val="24"/>
                <w:lang w:val="sv-SE"/>
              </w:rPr>
              <w:t>u</w:t>
            </w:r>
            <w:r w:rsidR="00F06FA7" w:rsidRPr="00AF408F">
              <w:rPr>
                <w:rFonts w:ascii="Times New Roman" w:hAnsi="Times New Roman" w:cs="Times New Roman"/>
                <w:sz w:val="24"/>
                <w:szCs w:val="24"/>
                <w:lang w:val="sv-SE"/>
              </w:rPr>
              <w:t xml:space="preserve"> Nr.</w:t>
            </w:r>
            <w:r>
              <w:rPr>
                <w:rFonts w:ascii="Times New Roman" w:hAnsi="Times New Roman" w:cs="Times New Roman"/>
                <w:sz w:val="24"/>
                <w:szCs w:val="24"/>
                <w:lang w:val="sv-SE"/>
              </w:rPr>
              <w:t> </w:t>
            </w:r>
            <w:r w:rsidR="00F06FA7" w:rsidRPr="00AF408F">
              <w:rPr>
                <w:rFonts w:ascii="Times New Roman" w:hAnsi="Times New Roman" w:cs="Times New Roman"/>
                <w:sz w:val="24"/>
                <w:szCs w:val="24"/>
                <w:lang w:val="sv-SE"/>
              </w:rPr>
              <w:t>9 “Lauksaimniecības, zivsaimniecības un lauku attīstības garantiju programmas noteikumi” (turpmāk – noteikumi Nr. 9) 4.</w:t>
            </w:r>
            <w:r>
              <w:rPr>
                <w:rFonts w:ascii="Times New Roman" w:hAnsi="Times New Roman" w:cs="Times New Roman"/>
                <w:sz w:val="24"/>
                <w:szCs w:val="24"/>
                <w:lang w:val="sv-SE"/>
              </w:rPr>
              <w:t xml:space="preserve"> </w:t>
            </w:r>
            <w:r w:rsidR="00F06FA7" w:rsidRPr="00AF408F">
              <w:rPr>
                <w:rFonts w:ascii="Times New Roman" w:hAnsi="Times New Roman" w:cs="Times New Roman"/>
                <w:sz w:val="24"/>
                <w:szCs w:val="24"/>
                <w:lang w:val="sv-SE"/>
              </w:rPr>
              <w:t xml:space="preserve">punktā </w:t>
            </w:r>
            <w:r w:rsidR="008C5344" w:rsidRPr="00AF408F">
              <w:rPr>
                <w:rFonts w:ascii="Times New Roman" w:hAnsi="Times New Roman" w:cs="Times New Roman"/>
                <w:sz w:val="24"/>
                <w:szCs w:val="24"/>
                <w:lang w:val="sv-SE"/>
              </w:rPr>
              <w:t>paredzētā finansējuma 1</w:t>
            </w:r>
            <w:r>
              <w:rPr>
                <w:rFonts w:ascii="Times New Roman" w:hAnsi="Times New Roman" w:cs="Times New Roman"/>
                <w:sz w:val="24"/>
                <w:szCs w:val="24"/>
                <w:lang w:val="sv-SE"/>
              </w:rPr>
              <w:t> </w:t>
            </w:r>
            <w:r w:rsidR="008C5344" w:rsidRPr="00AF408F">
              <w:rPr>
                <w:rFonts w:ascii="Times New Roman" w:hAnsi="Times New Roman" w:cs="Times New Roman"/>
                <w:sz w:val="24"/>
                <w:szCs w:val="24"/>
                <w:lang w:val="sv-SE"/>
              </w:rPr>
              <w:t>100</w:t>
            </w:r>
            <w:r>
              <w:rPr>
                <w:rFonts w:ascii="Times New Roman" w:hAnsi="Times New Roman" w:cs="Times New Roman"/>
                <w:sz w:val="24"/>
                <w:szCs w:val="24"/>
                <w:lang w:val="sv-SE"/>
              </w:rPr>
              <w:t> </w:t>
            </w:r>
            <w:r w:rsidR="008C5344" w:rsidRPr="00AF408F">
              <w:rPr>
                <w:rFonts w:ascii="Times New Roman" w:hAnsi="Times New Roman" w:cs="Times New Roman"/>
                <w:sz w:val="24"/>
                <w:szCs w:val="24"/>
                <w:lang w:val="sv-SE"/>
              </w:rPr>
              <w:t xml:space="preserve">000 </w:t>
            </w:r>
            <w:r w:rsidR="008C5344" w:rsidRPr="00AF408F">
              <w:rPr>
                <w:rFonts w:ascii="Times New Roman" w:hAnsi="Times New Roman" w:cs="Times New Roman"/>
                <w:i/>
                <w:sz w:val="24"/>
                <w:szCs w:val="24"/>
                <w:lang w:val="sv-SE"/>
              </w:rPr>
              <w:t>euro</w:t>
            </w:r>
            <w:r w:rsidR="0021066D" w:rsidRPr="00AF408F">
              <w:rPr>
                <w:rFonts w:ascii="Times New Roman" w:hAnsi="Times New Roman" w:cs="Times New Roman"/>
                <w:sz w:val="24"/>
                <w:szCs w:val="24"/>
                <w:lang w:val="sv-SE"/>
              </w:rPr>
              <w:t xml:space="preserve"> apmērā</w:t>
            </w:r>
            <w:r>
              <w:rPr>
                <w:rFonts w:ascii="Times New Roman" w:hAnsi="Times New Roman" w:cs="Times New Roman"/>
                <w:sz w:val="24"/>
                <w:szCs w:val="24"/>
                <w:lang w:val="sv-SE"/>
              </w:rPr>
              <w:t xml:space="preserve"> un</w:t>
            </w:r>
            <w:r w:rsidR="008C5344" w:rsidRPr="00AF408F">
              <w:rPr>
                <w:rFonts w:ascii="Times New Roman" w:hAnsi="Times New Roman" w:cs="Times New Roman"/>
                <w:sz w:val="24"/>
                <w:szCs w:val="24"/>
                <w:lang w:val="sv-SE"/>
              </w:rPr>
              <w:t xml:space="preserve"> </w:t>
            </w:r>
            <w:r w:rsidR="0021066D" w:rsidRPr="00AF408F">
              <w:rPr>
                <w:rFonts w:ascii="Times New Roman" w:hAnsi="Times New Roman" w:cs="Times New Roman"/>
                <w:sz w:val="24"/>
                <w:szCs w:val="24"/>
                <w:lang w:val="sv-SE"/>
              </w:rPr>
              <w:t xml:space="preserve">palielinās </w:t>
            </w:r>
            <w:r>
              <w:rPr>
                <w:rFonts w:ascii="Times New Roman" w:hAnsi="Times New Roman" w:cs="Times New Roman"/>
                <w:sz w:val="24"/>
                <w:szCs w:val="24"/>
                <w:lang w:val="sv-SE"/>
              </w:rPr>
              <w:t xml:space="preserve">arī </w:t>
            </w:r>
            <w:r w:rsidR="0021066D" w:rsidRPr="00AF408F">
              <w:rPr>
                <w:rFonts w:ascii="Times New Roman" w:hAnsi="Times New Roman" w:cs="Times New Roman"/>
                <w:sz w:val="24"/>
                <w:szCs w:val="24"/>
                <w:lang w:val="sv-SE"/>
              </w:rPr>
              <w:t>interese</w:t>
            </w:r>
            <w:r w:rsidR="008C5344" w:rsidRPr="00AF408F">
              <w:rPr>
                <w:rFonts w:ascii="Times New Roman" w:hAnsi="Times New Roman" w:cs="Times New Roman"/>
                <w:sz w:val="24"/>
                <w:szCs w:val="24"/>
                <w:lang w:val="sv-SE"/>
              </w:rPr>
              <w:t xml:space="preserve"> par garantiju pieprasījumu no komercbankām par aizdevumu izsniegš</w:t>
            </w:r>
            <w:r w:rsidR="0021066D" w:rsidRPr="00AF408F">
              <w:rPr>
                <w:rFonts w:ascii="Times New Roman" w:hAnsi="Times New Roman" w:cs="Times New Roman"/>
                <w:sz w:val="24"/>
                <w:szCs w:val="24"/>
                <w:lang w:val="sv-SE"/>
              </w:rPr>
              <w:t>anu Lauku attīstības plāna 2014–</w:t>
            </w:r>
            <w:r w:rsidR="008C5344" w:rsidRPr="00AF408F">
              <w:rPr>
                <w:rFonts w:ascii="Times New Roman" w:hAnsi="Times New Roman" w:cs="Times New Roman"/>
                <w:sz w:val="24"/>
                <w:szCs w:val="24"/>
                <w:lang w:val="sv-SE"/>
              </w:rPr>
              <w:t>2020 investīciju projektiem, grozījumi</w:t>
            </w:r>
            <w:r w:rsidR="0021066D" w:rsidRPr="00AF408F">
              <w:rPr>
                <w:rFonts w:ascii="Times New Roman" w:hAnsi="Times New Roman" w:cs="Times New Roman"/>
                <w:sz w:val="24"/>
                <w:szCs w:val="24"/>
                <w:lang w:val="sv-SE"/>
              </w:rPr>
              <w:t>, kas ietverti</w:t>
            </w:r>
            <w:r w:rsidR="008C5344" w:rsidRPr="00AF408F">
              <w:rPr>
                <w:rFonts w:ascii="Times New Roman" w:hAnsi="Times New Roman" w:cs="Times New Roman"/>
                <w:sz w:val="24"/>
                <w:szCs w:val="24"/>
                <w:lang w:val="sv-SE"/>
              </w:rPr>
              <w:t xml:space="preserve"> </w:t>
            </w:r>
            <w:r w:rsidR="00F06FA7" w:rsidRPr="00AF408F">
              <w:rPr>
                <w:rFonts w:ascii="Times New Roman" w:hAnsi="Times New Roman" w:cs="Times New Roman"/>
                <w:sz w:val="24"/>
                <w:szCs w:val="24"/>
                <w:lang w:val="sv-SE"/>
              </w:rPr>
              <w:t>noteikumu projekta 1.</w:t>
            </w:r>
            <w:r w:rsidR="006E7FEA">
              <w:rPr>
                <w:rFonts w:ascii="Times New Roman" w:hAnsi="Times New Roman" w:cs="Times New Roman"/>
                <w:sz w:val="24"/>
                <w:szCs w:val="24"/>
                <w:lang w:val="sv-SE"/>
              </w:rPr>
              <w:t> </w:t>
            </w:r>
            <w:r w:rsidR="00F06FA7" w:rsidRPr="00AF408F">
              <w:rPr>
                <w:rFonts w:ascii="Times New Roman" w:hAnsi="Times New Roman" w:cs="Times New Roman"/>
                <w:sz w:val="24"/>
                <w:szCs w:val="24"/>
                <w:lang w:val="sv-SE"/>
              </w:rPr>
              <w:t>p</w:t>
            </w:r>
            <w:r w:rsidR="0021066D" w:rsidRPr="00AF408F">
              <w:rPr>
                <w:rFonts w:ascii="Times New Roman" w:hAnsi="Times New Roman" w:cs="Times New Roman"/>
                <w:sz w:val="24"/>
                <w:szCs w:val="24"/>
                <w:lang w:val="sv-SE"/>
              </w:rPr>
              <w:t xml:space="preserve">unktā, </w:t>
            </w:r>
            <w:r w:rsidR="008C5344" w:rsidRPr="00AF408F">
              <w:rPr>
                <w:rFonts w:ascii="Times New Roman" w:hAnsi="Times New Roman" w:cs="Times New Roman"/>
                <w:sz w:val="24"/>
                <w:szCs w:val="24"/>
                <w:lang w:val="sv-SE"/>
              </w:rPr>
              <w:t xml:space="preserve">paredz palielināt finansējuma apmēru garantiju izsniegšanas nodrošināšanai par 725 000 </w:t>
            </w:r>
            <w:r w:rsidR="008C5344" w:rsidRPr="00AF408F">
              <w:rPr>
                <w:rFonts w:ascii="Times New Roman" w:hAnsi="Times New Roman" w:cs="Times New Roman"/>
                <w:i/>
                <w:sz w:val="24"/>
                <w:szCs w:val="24"/>
                <w:lang w:val="sv-SE"/>
              </w:rPr>
              <w:t>euro</w:t>
            </w:r>
            <w:r w:rsidR="008C5344" w:rsidRPr="00AF408F">
              <w:rPr>
                <w:rFonts w:ascii="Times New Roman" w:hAnsi="Times New Roman" w:cs="Times New Roman"/>
                <w:sz w:val="24"/>
                <w:szCs w:val="24"/>
                <w:lang w:val="sv-SE"/>
              </w:rPr>
              <w:t>.</w:t>
            </w:r>
          </w:p>
          <w:p w14:paraId="113FBDCF" w14:textId="524B039A" w:rsidR="004028AC" w:rsidRPr="00AF408F" w:rsidRDefault="00840999" w:rsidP="007463DE">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lang w:val="sv-SE"/>
              </w:rPr>
              <w:t>Lauksaimniecības, zivsaimniecības un</w:t>
            </w:r>
            <w:r w:rsidRPr="00AF408F">
              <w:rPr>
                <w:rFonts w:ascii="Times New Roman" w:hAnsi="Times New Roman" w:cs="Times New Roman"/>
                <w:sz w:val="24"/>
                <w:szCs w:val="24"/>
              </w:rPr>
              <w:t xml:space="preserve"> lauku attīstības garantiju programmas finansējumam </w:t>
            </w:r>
            <w:r w:rsidR="0021066D" w:rsidRPr="00AF408F">
              <w:rPr>
                <w:rFonts w:ascii="Times New Roman" w:hAnsi="Times New Roman" w:cs="Times New Roman"/>
                <w:sz w:val="24"/>
                <w:szCs w:val="24"/>
              </w:rPr>
              <w:t xml:space="preserve">tiek </w:t>
            </w:r>
            <w:r w:rsidRPr="00AF408F">
              <w:rPr>
                <w:rFonts w:ascii="Times New Roman" w:hAnsi="Times New Roman" w:cs="Times New Roman"/>
                <w:sz w:val="24"/>
                <w:szCs w:val="24"/>
              </w:rPr>
              <w:t>izmanto</w:t>
            </w:r>
            <w:r w:rsidR="0021066D" w:rsidRPr="00AF408F">
              <w:rPr>
                <w:rFonts w:ascii="Times New Roman" w:hAnsi="Times New Roman" w:cs="Times New Roman"/>
                <w:sz w:val="24"/>
                <w:szCs w:val="24"/>
              </w:rPr>
              <w:t>ti</w:t>
            </w:r>
            <w:r w:rsidRPr="00AF408F">
              <w:rPr>
                <w:rFonts w:ascii="Times New Roman" w:hAnsi="Times New Roman" w:cs="Times New Roman"/>
                <w:sz w:val="24"/>
                <w:szCs w:val="24"/>
              </w:rPr>
              <w:t xml:space="preserve"> Latvijas Lauku attīstības programmas 2007.–2013.</w:t>
            </w:r>
            <w:r w:rsidR="0021066D" w:rsidRPr="00AF408F">
              <w:rPr>
                <w:rFonts w:ascii="Times New Roman" w:hAnsi="Times New Roman" w:cs="Times New Roman"/>
                <w:sz w:val="24"/>
                <w:szCs w:val="24"/>
              </w:rPr>
              <w:t> </w:t>
            </w:r>
            <w:r w:rsidRPr="00AF408F">
              <w:rPr>
                <w:rFonts w:ascii="Times New Roman" w:hAnsi="Times New Roman" w:cs="Times New Roman"/>
                <w:sz w:val="24"/>
                <w:szCs w:val="24"/>
              </w:rPr>
              <w:t>gadam un Rīcības programmas Eiropas Zivsaimniecības fonda atbalsta ieviešanai Latvijā 2007.–2013.</w:t>
            </w:r>
            <w:r w:rsidR="0021066D" w:rsidRPr="00AF408F">
              <w:rPr>
                <w:rFonts w:ascii="Times New Roman" w:hAnsi="Times New Roman" w:cs="Times New Roman"/>
                <w:sz w:val="24"/>
                <w:szCs w:val="24"/>
              </w:rPr>
              <w:t> </w:t>
            </w:r>
            <w:r w:rsidRPr="00AF408F">
              <w:rPr>
                <w:rFonts w:ascii="Times New Roman" w:hAnsi="Times New Roman" w:cs="Times New Roman"/>
                <w:sz w:val="24"/>
                <w:szCs w:val="24"/>
              </w:rPr>
              <w:t>gada plānošanas perioda pasākuma “Kredītu fonds” atmaks</w:t>
            </w:r>
            <w:r w:rsidR="0021066D" w:rsidRPr="00AF408F">
              <w:rPr>
                <w:rFonts w:ascii="Times New Roman" w:hAnsi="Times New Roman" w:cs="Times New Roman"/>
                <w:sz w:val="24"/>
                <w:szCs w:val="24"/>
              </w:rPr>
              <w:t>as</w:t>
            </w:r>
            <w:r w:rsidRPr="00AF408F">
              <w:rPr>
                <w:rFonts w:ascii="Times New Roman" w:hAnsi="Times New Roman" w:cs="Times New Roman"/>
                <w:sz w:val="24"/>
                <w:szCs w:val="24"/>
              </w:rPr>
              <w:t xml:space="preserve"> finansējuma līdzekļ</w:t>
            </w:r>
            <w:r w:rsidR="0021066D" w:rsidRPr="00AF408F">
              <w:rPr>
                <w:rFonts w:ascii="Times New Roman" w:hAnsi="Times New Roman" w:cs="Times New Roman"/>
                <w:sz w:val="24"/>
                <w:szCs w:val="24"/>
              </w:rPr>
              <w:t>i</w:t>
            </w:r>
            <w:r w:rsidRPr="00AF408F">
              <w:rPr>
                <w:rFonts w:ascii="Times New Roman" w:hAnsi="Times New Roman" w:cs="Times New Roman"/>
                <w:sz w:val="24"/>
                <w:szCs w:val="24"/>
              </w:rPr>
              <w:t xml:space="preserve"> 725 000 </w:t>
            </w:r>
            <w:proofErr w:type="spellStart"/>
            <w:r w:rsidRPr="00AF408F">
              <w:rPr>
                <w:rFonts w:ascii="Times New Roman" w:hAnsi="Times New Roman" w:cs="Times New Roman"/>
                <w:i/>
                <w:sz w:val="24"/>
                <w:szCs w:val="24"/>
              </w:rPr>
              <w:t>euro</w:t>
            </w:r>
            <w:proofErr w:type="spellEnd"/>
            <w:r w:rsidRPr="00AF408F">
              <w:rPr>
                <w:rFonts w:ascii="Times New Roman" w:hAnsi="Times New Roman" w:cs="Times New Roman"/>
                <w:sz w:val="24"/>
                <w:szCs w:val="24"/>
              </w:rPr>
              <w:t xml:space="preserve"> apmērā.</w:t>
            </w:r>
            <w:r w:rsidR="004028AC" w:rsidRPr="00AF408F">
              <w:rPr>
                <w:rFonts w:ascii="Times New Roman" w:hAnsi="Times New Roman" w:cs="Times New Roman"/>
                <w:sz w:val="24"/>
                <w:szCs w:val="24"/>
              </w:rPr>
              <w:t xml:space="preserve"> </w:t>
            </w:r>
          </w:p>
          <w:p w14:paraId="55615F6D" w14:textId="739D5896" w:rsidR="00AF6A3C" w:rsidRPr="00AF408F" w:rsidRDefault="004028AC" w:rsidP="007463DE">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rPr>
              <w:t>No Latvijas Lauku attīstības programmā 2007.–2013.</w:t>
            </w:r>
            <w:r w:rsidR="0021066D" w:rsidRPr="00AF408F">
              <w:rPr>
                <w:rFonts w:ascii="Times New Roman" w:hAnsi="Times New Roman" w:cs="Times New Roman"/>
                <w:sz w:val="24"/>
                <w:szCs w:val="24"/>
              </w:rPr>
              <w:t> </w:t>
            </w:r>
            <w:r w:rsidRPr="00AF408F">
              <w:rPr>
                <w:rFonts w:ascii="Times New Roman" w:hAnsi="Times New Roman" w:cs="Times New Roman"/>
                <w:sz w:val="24"/>
                <w:szCs w:val="24"/>
              </w:rPr>
              <w:t xml:space="preserve">gadam īstenotā pasākuma “Kredītu fonds” atmaksājamais finansējums garantiju programmai tiek novirzīts 600 000 </w:t>
            </w:r>
            <w:proofErr w:type="spellStart"/>
            <w:r w:rsidRPr="00AF408F">
              <w:rPr>
                <w:rFonts w:ascii="Times New Roman" w:hAnsi="Times New Roman" w:cs="Times New Roman"/>
                <w:i/>
                <w:sz w:val="24"/>
                <w:szCs w:val="24"/>
              </w:rPr>
              <w:t>euro</w:t>
            </w:r>
            <w:proofErr w:type="spellEnd"/>
            <w:r w:rsidR="0021066D" w:rsidRPr="00AF408F">
              <w:rPr>
                <w:rFonts w:ascii="Times New Roman" w:hAnsi="Times New Roman" w:cs="Times New Roman"/>
                <w:i/>
                <w:sz w:val="24"/>
                <w:szCs w:val="24"/>
              </w:rPr>
              <w:t xml:space="preserve"> </w:t>
            </w:r>
            <w:r w:rsidR="0021066D" w:rsidRPr="00AF408F">
              <w:rPr>
                <w:rFonts w:ascii="Times New Roman" w:hAnsi="Times New Roman" w:cs="Times New Roman"/>
                <w:sz w:val="24"/>
                <w:szCs w:val="24"/>
              </w:rPr>
              <w:t>apmērā</w:t>
            </w:r>
            <w:r w:rsidRPr="00AF408F">
              <w:rPr>
                <w:rFonts w:ascii="Times New Roman" w:hAnsi="Times New Roman" w:cs="Times New Roman"/>
                <w:sz w:val="24"/>
                <w:szCs w:val="24"/>
              </w:rPr>
              <w:t xml:space="preserve">, bet no Rīcības programmā Eiropas Zivsaimniecības fonda atbalsta ieviešanai Latvijā 2007.–2013. gadam īstenotā pasākuma “Kredītu fonds” </w:t>
            </w:r>
            <w:r w:rsidR="0021066D" w:rsidRPr="00AF408F">
              <w:rPr>
                <w:rFonts w:ascii="Times New Roman" w:hAnsi="Times New Roman" w:cs="Times New Roman"/>
                <w:sz w:val="24"/>
                <w:szCs w:val="24"/>
              </w:rPr>
              <w:t xml:space="preserve">– </w:t>
            </w:r>
            <w:r w:rsidRPr="00AF408F">
              <w:rPr>
                <w:rFonts w:ascii="Times New Roman" w:hAnsi="Times New Roman" w:cs="Times New Roman"/>
                <w:sz w:val="24"/>
                <w:szCs w:val="24"/>
              </w:rPr>
              <w:t xml:space="preserve">125 000 </w:t>
            </w:r>
            <w:proofErr w:type="spellStart"/>
            <w:r w:rsidRPr="00AF408F">
              <w:rPr>
                <w:rFonts w:ascii="Times New Roman" w:hAnsi="Times New Roman" w:cs="Times New Roman"/>
                <w:i/>
                <w:sz w:val="24"/>
                <w:szCs w:val="24"/>
              </w:rPr>
              <w:t>euro</w:t>
            </w:r>
            <w:proofErr w:type="spellEnd"/>
            <w:r w:rsidR="0021066D" w:rsidRPr="00AF408F">
              <w:rPr>
                <w:rFonts w:ascii="Times New Roman" w:hAnsi="Times New Roman" w:cs="Times New Roman"/>
                <w:i/>
                <w:sz w:val="24"/>
                <w:szCs w:val="24"/>
              </w:rPr>
              <w:t xml:space="preserve"> </w:t>
            </w:r>
            <w:r w:rsidR="0021066D" w:rsidRPr="00AF408F">
              <w:rPr>
                <w:rFonts w:ascii="Times New Roman" w:hAnsi="Times New Roman" w:cs="Times New Roman"/>
                <w:sz w:val="24"/>
                <w:szCs w:val="24"/>
              </w:rPr>
              <w:t>apmērā</w:t>
            </w:r>
            <w:r w:rsidRPr="00AF408F">
              <w:rPr>
                <w:rFonts w:ascii="Times New Roman" w:hAnsi="Times New Roman" w:cs="Times New Roman"/>
                <w:sz w:val="24"/>
                <w:szCs w:val="24"/>
              </w:rPr>
              <w:t>.</w:t>
            </w:r>
          </w:p>
          <w:p w14:paraId="7325F8AA" w14:textId="26873241" w:rsidR="00BE2080" w:rsidRPr="00AF408F" w:rsidRDefault="00601442" w:rsidP="00BE2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BE2080" w:rsidRPr="00AF408F">
              <w:rPr>
                <w:rFonts w:ascii="Times New Roman" w:hAnsi="Times New Roman" w:cs="Times New Roman"/>
                <w:sz w:val="24"/>
                <w:szCs w:val="24"/>
              </w:rPr>
              <w:t>noteikumu proje</w:t>
            </w:r>
            <w:r w:rsidR="00D51D74">
              <w:rPr>
                <w:rFonts w:ascii="Times New Roman" w:hAnsi="Times New Roman" w:cs="Times New Roman"/>
                <w:sz w:val="24"/>
                <w:szCs w:val="24"/>
              </w:rPr>
              <w:t>k</w:t>
            </w:r>
            <w:r w:rsidR="00BE2080" w:rsidRPr="00AF408F">
              <w:rPr>
                <w:rFonts w:ascii="Times New Roman" w:hAnsi="Times New Roman" w:cs="Times New Roman"/>
                <w:sz w:val="24"/>
                <w:szCs w:val="24"/>
              </w:rPr>
              <w:t>ta 2. punktā noteikts, ka sabiedrībai "</w:t>
            </w:r>
            <w:proofErr w:type="spellStart"/>
            <w:r w:rsidR="00BE2080" w:rsidRPr="00AF408F">
              <w:rPr>
                <w:rFonts w:ascii="Times New Roman" w:hAnsi="Times New Roman" w:cs="Times New Roman"/>
                <w:sz w:val="24"/>
                <w:szCs w:val="24"/>
              </w:rPr>
              <w:t>Altum</w:t>
            </w:r>
            <w:proofErr w:type="spellEnd"/>
            <w:r w:rsidR="00BE2080" w:rsidRPr="00AF408F">
              <w:rPr>
                <w:rFonts w:ascii="Times New Roman" w:hAnsi="Times New Roman" w:cs="Times New Roman"/>
                <w:sz w:val="24"/>
                <w:szCs w:val="24"/>
              </w:rPr>
              <w:t xml:space="preserve">" jānodrošina atsevišķa </w:t>
            </w:r>
            <w:r w:rsidR="00BE2080" w:rsidRPr="00AF408F">
              <w:rPr>
                <w:rFonts w:ascii="Times New Roman" w:hAnsi="Times New Roman" w:cs="Times New Roman"/>
                <w:sz w:val="24"/>
                <w:szCs w:val="24"/>
              </w:rPr>
              <w:lastRenderedPageBreak/>
              <w:t>lauksaimniecībai, lauku attīstībai un zivsaimniecības attīstībai sniegtā atbalsta finanšu līdzekļu</w:t>
            </w:r>
            <w:r>
              <w:rPr>
                <w:rFonts w:ascii="Times New Roman" w:hAnsi="Times New Roman" w:cs="Times New Roman"/>
                <w:sz w:val="24"/>
                <w:szCs w:val="24"/>
              </w:rPr>
              <w:t xml:space="preserve"> uzskaite</w:t>
            </w:r>
            <w:r w:rsidR="005C3F38">
              <w:rPr>
                <w:rFonts w:ascii="Times New Roman" w:hAnsi="Times New Roman" w:cs="Times New Roman"/>
                <w:sz w:val="24"/>
                <w:szCs w:val="24"/>
              </w:rPr>
              <w:t>.</w:t>
            </w:r>
          </w:p>
          <w:p w14:paraId="1396BF67" w14:textId="16CA531D" w:rsidR="006941D3" w:rsidRPr="00AF408F" w:rsidRDefault="006941D3" w:rsidP="007463DE">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rPr>
              <w:t xml:space="preserve">Ar finansējumu </w:t>
            </w:r>
            <w:r w:rsidR="00415F40" w:rsidRPr="00AF408F">
              <w:rPr>
                <w:rFonts w:ascii="Times New Roman" w:hAnsi="Times New Roman" w:cs="Times New Roman"/>
                <w:sz w:val="24"/>
                <w:szCs w:val="24"/>
              </w:rPr>
              <w:t>1 100 000</w:t>
            </w:r>
            <w:r w:rsidRPr="00AF408F">
              <w:rPr>
                <w:rFonts w:ascii="Times New Roman" w:hAnsi="Times New Roman" w:cs="Times New Roman"/>
                <w:sz w:val="24"/>
                <w:szCs w:val="24"/>
              </w:rPr>
              <w:t xml:space="preserve"> </w:t>
            </w:r>
            <w:proofErr w:type="spellStart"/>
            <w:r w:rsidRPr="00AF408F">
              <w:rPr>
                <w:rFonts w:ascii="Times New Roman" w:hAnsi="Times New Roman" w:cs="Times New Roman"/>
                <w:i/>
                <w:sz w:val="24"/>
                <w:szCs w:val="24"/>
              </w:rPr>
              <w:t>euro</w:t>
            </w:r>
            <w:proofErr w:type="spellEnd"/>
            <w:r w:rsidRPr="00AF408F">
              <w:rPr>
                <w:rFonts w:ascii="Times New Roman" w:hAnsi="Times New Roman" w:cs="Times New Roman"/>
                <w:sz w:val="24"/>
                <w:szCs w:val="24"/>
              </w:rPr>
              <w:t xml:space="preserve"> apmērā 2019.</w:t>
            </w:r>
            <w:r w:rsidR="0021066D" w:rsidRPr="00AF408F">
              <w:rPr>
                <w:rFonts w:ascii="Times New Roman" w:hAnsi="Times New Roman" w:cs="Times New Roman"/>
                <w:sz w:val="24"/>
                <w:szCs w:val="24"/>
              </w:rPr>
              <w:t> </w:t>
            </w:r>
            <w:r w:rsidRPr="00AF408F">
              <w:rPr>
                <w:rFonts w:ascii="Times New Roman" w:hAnsi="Times New Roman" w:cs="Times New Roman"/>
                <w:sz w:val="24"/>
                <w:szCs w:val="24"/>
              </w:rPr>
              <w:t xml:space="preserve">gadā ir izsniegtas 10 garantijas </w:t>
            </w:r>
            <w:r w:rsidR="0021066D" w:rsidRPr="00AF408F">
              <w:rPr>
                <w:rFonts w:ascii="Times New Roman" w:hAnsi="Times New Roman" w:cs="Times New Roman"/>
                <w:sz w:val="24"/>
                <w:szCs w:val="24"/>
              </w:rPr>
              <w:t xml:space="preserve">kopumā par </w:t>
            </w:r>
            <w:r w:rsidR="00415F40" w:rsidRPr="00AF408F">
              <w:rPr>
                <w:rFonts w:ascii="Times New Roman" w:hAnsi="Times New Roman" w:cs="Times New Roman"/>
                <w:sz w:val="24"/>
                <w:szCs w:val="24"/>
              </w:rPr>
              <w:t>2 400 000</w:t>
            </w:r>
            <w:r w:rsidRPr="00AF408F">
              <w:rPr>
                <w:rFonts w:ascii="Times New Roman" w:hAnsi="Times New Roman" w:cs="Times New Roman"/>
                <w:sz w:val="24"/>
                <w:szCs w:val="24"/>
              </w:rPr>
              <w:t xml:space="preserve"> </w:t>
            </w:r>
            <w:proofErr w:type="spellStart"/>
            <w:r w:rsidRPr="00AF408F">
              <w:rPr>
                <w:rFonts w:ascii="Times New Roman" w:hAnsi="Times New Roman" w:cs="Times New Roman"/>
                <w:i/>
                <w:sz w:val="24"/>
                <w:szCs w:val="24"/>
              </w:rPr>
              <w:t>euro</w:t>
            </w:r>
            <w:proofErr w:type="spellEnd"/>
            <w:r w:rsidRPr="00AF408F">
              <w:rPr>
                <w:rFonts w:ascii="Times New Roman" w:hAnsi="Times New Roman" w:cs="Times New Roman"/>
                <w:sz w:val="24"/>
                <w:szCs w:val="24"/>
              </w:rPr>
              <w:t xml:space="preserve">, savukārt līdz 20.11.2020. </w:t>
            </w:r>
            <w:r w:rsidR="0021066D" w:rsidRPr="00AF408F">
              <w:rPr>
                <w:rFonts w:ascii="Times New Roman" w:hAnsi="Times New Roman" w:cs="Times New Roman"/>
                <w:sz w:val="24"/>
                <w:szCs w:val="24"/>
              </w:rPr>
              <w:t xml:space="preserve">– </w:t>
            </w:r>
            <w:r w:rsidRPr="00AF408F">
              <w:rPr>
                <w:rFonts w:ascii="Times New Roman" w:hAnsi="Times New Roman" w:cs="Times New Roman"/>
                <w:sz w:val="24"/>
                <w:szCs w:val="24"/>
              </w:rPr>
              <w:t xml:space="preserve">jau 17 garantijas </w:t>
            </w:r>
            <w:r w:rsidR="0021066D" w:rsidRPr="00AF408F">
              <w:rPr>
                <w:rFonts w:ascii="Times New Roman" w:hAnsi="Times New Roman" w:cs="Times New Roman"/>
                <w:sz w:val="24"/>
                <w:szCs w:val="24"/>
              </w:rPr>
              <w:t xml:space="preserve">kopumā par </w:t>
            </w:r>
            <w:r w:rsidR="00415F40" w:rsidRPr="00AF408F">
              <w:rPr>
                <w:rFonts w:ascii="Times New Roman" w:hAnsi="Times New Roman" w:cs="Times New Roman"/>
                <w:sz w:val="24"/>
                <w:szCs w:val="24"/>
              </w:rPr>
              <w:t>7 200 000</w:t>
            </w:r>
            <w:r w:rsidRPr="00AF408F">
              <w:rPr>
                <w:rFonts w:ascii="Times New Roman" w:hAnsi="Times New Roman" w:cs="Times New Roman"/>
                <w:sz w:val="24"/>
                <w:szCs w:val="24"/>
              </w:rPr>
              <w:t xml:space="preserve"> </w:t>
            </w:r>
            <w:proofErr w:type="spellStart"/>
            <w:r w:rsidRPr="00AF408F">
              <w:rPr>
                <w:rFonts w:ascii="Times New Roman" w:hAnsi="Times New Roman" w:cs="Times New Roman"/>
                <w:i/>
                <w:sz w:val="24"/>
                <w:szCs w:val="24"/>
              </w:rPr>
              <w:t>euro</w:t>
            </w:r>
            <w:proofErr w:type="spellEnd"/>
            <w:r w:rsidRPr="00AF408F">
              <w:rPr>
                <w:rFonts w:ascii="Times New Roman" w:hAnsi="Times New Roman" w:cs="Times New Roman"/>
                <w:sz w:val="24"/>
                <w:szCs w:val="24"/>
              </w:rPr>
              <w:t xml:space="preserve">. </w:t>
            </w:r>
          </w:p>
          <w:p w14:paraId="5008E5E5" w14:textId="438BB46D" w:rsidR="00112BD0" w:rsidRPr="00AF408F" w:rsidRDefault="003D4E55" w:rsidP="007463DE">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rPr>
              <w:t xml:space="preserve">Noteikumu projekta </w:t>
            </w:r>
            <w:r w:rsidR="00D80DC4" w:rsidRPr="00AF408F">
              <w:rPr>
                <w:rFonts w:ascii="Times New Roman" w:hAnsi="Times New Roman" w:cs="Times New Roman"/>
                <w:sz w:val="24"/>
                <w:szCs w:val="24"/>
              </w:rPr>
              <w:t>3</w:t>
            </w:r>
            <w:r w:rsidRPr="00AF408F">
              <w:rPr>
                <w:rFonts w:ascii="Times New Roman" w:hAnsi="Times New Roman" w:cs="Times New Roman"/>
                <w:sz w:val="24"/>
                <w:szCs w:val="24"/>
              </w:rPr>
              <w:t>.</w:t>
            </w:r>
            <w:r w:rsidR="00D80DC4" w:rsidRPr="00AF408F">
              <w:rPr>
                <w:rFonts w:ascii="Times New Roman" w:hAnsi="Times New Roman" w:cs="Times New Roman"/>
                <w:sz w:val="24"/>
                <w:szCs w:val="24"/>
              </w:rPr>
              <w:t xml:space="preserve"> </w:t>
            </w:r>
            <w:r w:rsidRPr="00AF408F">
              <w:rPr>
                <w:rFonts w:ascii="Times New Roman" w:hAnsi="Times New Roman" w:cs="Times New Roman"/>
                <w:sz w:val="24"/>
                <w:szCs w:val="24"/>
              </w:rPr>
              <w:t>punkts paredz termi</w:t>
            </w:r>
            <w:r w:rsidR="00BD5BB1" w:rsidRPr="00AF408F">
              <w:rPr>
                <w:rFonts w:ascii="Times New Roman" w:hAnsi="Times New Roman" w:cs="Times New Roman"/>
                <w:sz w:val="24"/>
                <w:szCs w:val="24"/>
              </w:rPr>
              <w:t>ņu</w:t>
            </w:r>
            <w:r w:rsidR="0021066D" w:rsidRPr="00AF408F">
              <w:rPr>
                <w:rFonts w:ascii="Times New Roman" w:hAnsi="Times New Roman" w:cs="Times New Roman"/>
                <w:sz w:val="24"/>
                <w:szCs w:val="24"/>
              </w:rPr>
              <w:t>,</w:t>
            </w:r>
            <w:r w:rsidRPr="00AF408F">
              <w:rPr>
                <w:rFonts w:ascii="Times New Roman" w:hAnsi="Times New Roman" w:cs="Times New Roman"/>
                <w:sz w:val="24"/>
                <w:szCs w:val="24"/>
              </w:rPr>
              <w:t xml:space="preserve"> līdz kuram sabiedrība </w:t>
            </w:r>
            <w:r w:rsidR="0019602C" w:rsidRPr="00AF408F">
              <w:rPr>
                <w:rFonts w:ascii="Times New Roman" w:hAnsi="Times New Roman" w:cs="Times New Roman"/>
                <w:sz w:val="24"/>
                <w:szCs w:val="24"/>
                <w:lang w:val="sv-SE"/>
              </w:rPr>
              <w:t>"Altum"</w:t>
            </w:r>
            <w:r w:rsidRPr="00AF408F">
              <w:rPr>
                <w:rFonts w:ascii="Times New Roman" w:hAnsi="Times New Roman" w:cs="Times New Roman"/>
                <w:sz w:val="24"/>
                <w:szCs w:val="24"/>
              </w:rPr>
              <w:t xml:space="preserve"> var pieš</w:t>
            </w:r>
            <w:r w:rsidR="0021066D" w:rsidRPr="00AF408F">
              <w:rPr>
                <w:rFonts w:ascii="Times New Roman" w:hAnsi="Times New Roman" w:cs="Times New Roman"/>
                <w:sz w:val="24"/>
                <w:szCs w:val="24"/>
              </w:rPr>
              <w:t>ķ</w:t>
            </w:r>
            <w:r w:rsidRPr="00AF408F">
              <w:rPr>
                <w:rFonts w:ascii="Times New Roman" w:hAnsi="Times New Roman" w:cs="Times New Roman"/>
                <w:sz w:val="24"/>
                <w:szCs w:val="24"/>
              </w:rPr>
              <w:t>irt valsts atbalstu</w:t>
            </w:r>
            <w:r w:rsidR="00F9721E">
              <w:rPr>
                <w:rFonts w:ascii="Times New Roman" w:hAnsi="Times New Roman" w:cs="Times New Roman"/>
                <w:sz w:val="24"/>
                <w:szCs w:val="24"/>
              </w:rPr>
              <w:t>, ievērojot</w:t>
            </w:r>
            <w:r w:rsidRPr="00AF408F">
              <w:rPr>
                <w:rFonts w:ascii="Times New Roman" w:hAnsi="Times New Roman" w:cs="Times New Roman"/>
                <w:sz w:val="24"/>
                <w:szCs w:val="24"/>
              </w:rPr>
              <w:t xml:space="preserve"> atbilstoši</w:t>
            </w:r>
            <w:r w:rsidR="00BE2080" w:rsidRPr="00AF408F">
              <w:rPr>
                <w:rFonts w:ascii="Times New Roman" w:hAnsi="Times New Roman" w:cs="Times New Roman"/>
                <w:sz w:val="24"/>
                <w:szCs w:val="24"/>
              </w:rPr>
              <w:t xml:space="preserve"> </w:t>
            </w:r>
            <w:r w:rsidR="00D12E7D" w:rsidRPr="00AF408F">
              <w:rPr>
                <w:rFonts w:ascii="Times New Roman" w:hAnsi="Times New Roman" w:cs="Times New Roman"/>
                <w:sz w:val="24"/>
                <w:szCs w:val="24"/>
              </w:rPr>
              <w:t>Komisijas 2014. gada 25. jūnija Regul</w:t>
            </w:r>
            <w:r w:rsidR="00BD5BB1" w:rsidRPr="00AF408F">
              <w:rPr>
                <w:rFonts w:ascii="Times New Roman" w:hAnsi="Times New Roman" w:cs="Times New Roman"/>
                <w:sz w:val="24"/>
                <w:szCs w:val="24"/>
              </w:rPr>
              <w:t>a</w:t>
            </w:r>
            <w:r w:rsidR="0021066D" w:rsidRPr="00AF408F">
              <w:rPr>
                <w:rFonts w:ascii="Times New Roman" w:hAnsi="Times New Roman" w:cs="Times New Roman"/>
                <w:sz w:val="24"/>
                <w:szCs w:val="24"/>
              </w:rPr>
              <w:t>s</w:t>
            </w:r>
            <w:r w:rsidR="00D12E7D" w:rsidRPr="00AF408F">
              <w:rPr>
                <w:rFonts w:ascii="Times New Roman" w:hAnsi="Times New Roman" w:cs="Times New Roman"/>
                <w:sz w:val="24"/>
                <w:szCs w:val="24"/>
              </w:rPr>
              <w:t xml:space="preserve"> (ES) Nr. 702/2014, ar kuru konkrētas atbalsta kategorijas lauksaimniecības un mežsaimniecības nozarē un lauku apvidos atzīst par saderīgām ar iekšējo tirgu, piemērojot Līguma par Eiropas Savienības darbību 107. un 108. pantu (turpmāk – regula Nr. 702/2014),</w:t>
            </w:r>
            <w:r w:rsidRPr="00AF408F">
              <w:rPr>
                <w:rFonts w:ascii="Times New Roman" w:hAnsi="Times New Roman" w:cs="Times New Roman"/>
                <w:sz w:val="24"/>
                <w:szCs w:val="24"/>
              </w:rPr>
              <w:t xml:space="preserve"> </w:t>
            </w:r>
            <w:r w:rsidR="00D12E7D" w:rsidRPr="00AF408F">
              <w:rPr>
                <w:rFonts w:ascii="Times New Roman" w:hAnsi="Times New Roman" w:cs="Times New Roman"/>
                <w:sz w:val="24"/>
                <w:szCs w:val="24"/>
              </w:rPr>
              <w:t>Komisijas 2013. gada 18. decembra Regul</w:t>
            </w:r>
            <w:r w:rsidR="00BD5BB1" w:rsidRPr="00AF408F">
              <w:rPr>
                <w:rFonts w:ascii="Times New Roman" w:hAnsi="Times New Roman" w:cs="Times New Roman"/>
                <w:sz w:val="24"/>
                <w:szCs w:val="24"/>
              </w:rPr>
              <w:t>a</w:t>
            </w:r>
            <w:r w:rsidR="0021066D" w:rsidRPr="00AF408F">
              <w:rPr>
                <w:rFonts w:ascii="Times New Roman" w:hAnsi="Times New Roman" w:cs="Times New Roman"/>
                <w:sz w:val="24"/>
                <w:szCs w:val="24"/>
              </w:rPr>
              <w:t>s</w:t>
            </w:r>
            <w:r w:rsidR="00BD5BB1" w:rsidRPr="00AF408F">
              <w:rPr>
                <w:rFonts w:ascii="Times New Roman" w:hAnsi="Times New Roman" w:cs="Times New Roman"/>
                <w:sz w:val="24"/>
                <w:szCs w:val="24"/>
              </w:rPr>
              <w:t xml:space="preserve"> </w:t>
            </w:r>
            <w:r w:rsidR="00D12E7D" w:rsidRPr="00AF408F">
              <w:rPr>
                <w:rFonts w:ascii="Times New Roman" w:hAnsi="Times New Roman" w:cs="Times New Roman"/>
                <w:sz w:val="24"/>
                <w:szCs w:val="24"/>
              </w:rPr>
              <w:t>(ES) Nr. </w:t>
            </w:r>
            <w:hyperlink r:id="rId8" w:tgtFrame="_blank" w:history="1">
              <w:r w:rsidR="00D12E7D" w:rsidRPr="00AF408F">
                <w:rPr>
                  <w:rFonts w:ascii="Times New Roman" w:hAnsi="Times New Roman" w:cs="Times New Roman"/>
                  <w:sz w:val="24"/>
                  <w:szCs w:val="24"/>
                </w:rPr>
                <w:t>1407/2013</w:t>
              </w:r>
            </w:hyperlink>
            <w:r w:rsidR="00D12E7D" w:rsidRPr="00AF408F">
              <w:rPr>
                <w:rFonts w:ascii="Times New Roman" w:hAnsi="Times New Roman" w:cs="Times New Roman"/>
                <w:sz w:val="24"/>
                <w:szCs w:val="24"/>
              </w:rPr>
              <w:t xml:space="preserve"> par Līguma par Eiropas Savienības darbību 107. un 108. panta piemērošanu </w:t>
            </w:r>
            <w:proofErr w:type="spellStart"/>
            <w:r w:rsidR="00D12E7D" w:rsidRPr="00AF408F">
              <w:rPr>
                <w:rFonts w:ascii="Times New Roman" w:hAnsi="Times New Roman" w:cs="Times New Roman"/>
                <w:i/>
                <w:sz w:val="24"/>
                <w:szCs w:val="24"/>
              </w:rPr>
              <w:t>de</w:t>
            </w:r>
            <w:proofErr w:type="spellEnd"/>
            <w:r w:rsidR="00D12E7D" w:rsidRPr="00AF408F">
              <w:rPr>
                <w:rFonts w:ascii="Times New Roman" w:hAnsi="Times New Roman" w:cs="Times New Roman"/>
                <w:i/>
                <w:sz w:val="24"/>
                <w:szCs w:val="24"/>
              </w:rPr>
              <w:t xml:space="preserve"> </w:t>
            </w:r>
            <w:proofErr w:type="spellStart"/>
            <w:r w:rsidR="00D12E7D" w:rsidRPr="00AF408F">
              <w:rPr>
                <w:rFonts w:ascii="Times New Roman" w:hAnsi="Times New Roman" w:cs="Times New Roman"/>
                <w:i/>
                <w:sz w:val="24"/>
                <w:szCs w:val="24"/>
              </w:rPr>
              <w:t>minimis</w:t>
            </w:r>
            <w:proofErr w:type="spellEnd"/>
            <w:r w:rsidR="00D12E7D" w:rsidRPr="00AF408F">
              <w:rPr>
                <w:rFonts w:ascii="Times New Roman" w:hAnsi="Times New Roman" w:cs="Times New Roman"/>
                <w:sz w:val="24"/>
                <w:szCs w:val="24"/>
              </w:rPr>
              <w:t xml:space="preserve"> atbalstam (turpmāk</w:t>
            </w:r>
            <w:r w:rsidR="0021066D" w:rsidRPr="00AF408F">
              <w:rPr>
                <w:rFonts w:ascii="Times New Roman" w:hAnsi="Times New Roman" w:cs="Times New Roman"/>
                <w:sz w:val="24"/>
                <w:szCs w:val="24"/>
              </w:rPr>
              <w:t> </w:t>
            </w:r>
            <w:r w:rsidR="00D12E7D" w:rsidRPr="00AF408F">
              <w:rPr>
                <w:rFonts w:ascii="Times New Roman" w:hAnsi="Times New Roman" w:cs="Times New Roman"/>
                <w:sz w:val="24"/>
                <w:szCs w:val="24"/>
              </w:rPr>
              <w:t>– regula Nr.</w:t>
            </w:r>
            <w:r w:rsidR="007F11AC">
              <w:rPr>
                <w:rFonts w:ascii="Times New Roman" w:hAnsi="Times New Roman" w:cs="Times New Roman"/>
                <w:sz w:val="24"/>
                <w:szCs w:val="24"/>
              </w:rPr>
              <w:t> </w:t>
            </w:r>
            <w:hyperlink r:id="rId9" w:tgtFrame="_blank" w:history="1">
              <w:r w:rsidR="00D12E7D" w:rsidRPr="00AF408F">
                <w:rPr>
                  <w:rFonts w:ascii="Times New Roman" w:hAnsi="Times New Roman" w:cs="Times New Roman"/>
                  <w:sz w:val="24"/>
                  <w:szCs w:val="24"/>
                </w:rPr>
                <w:t>1407/2013</w:t>
              </w:r>
            </w:hyperlink>
            <w:r w:rsidR="00D12E7D" w:rsidRPr="00AF408F">
              <w:rPr>
                <w:rFonts w:ascii="Times New Roman" w:hAnsi="Times New Roman" w:cs="Times New Roman"/>
                <w:sz w:val="24"/>
                <w:szCs w:val="24"/>
              </w:rPr>
              <w:t>), Komisijas 2014.</w:t>
            </w:r>
            <w:r w:rsidR="0021066D" w:rsidRPr="00AF408F">
              <w:rPr>
                <w:rFonts w:ascii="Times New Roman" w:hAnsi="Times New Roman" w:cs="Times New Roman"/>
                <w:sz w:val="24"/>
                <w:szCs w:val="24"/>
              </w:rPr>
              <w:t> </w:t>
            </w:r>
            <w:r w:rsidR="00D12E7D" w:rsidRPr="00AF408F">
              <w:rPr>
                <w:rFonts w:ascii="Times New Roman" w:hAnsi="Times New Roman" w:cs="Times New Roman"/>
                <w:sz w:val="24"/>
                <w:szCs w:val="24"/>
              </w:rPr>
              <w:t>gada 27. jūnija Regul</w:t>
            </w:r>
            <w:r w:rsidR="00BD5BB1" w:rsidRPr="00AF408F">
              <w:rPr>
                <w:rFonts w:ascii="Times New Roman" w:hAnsi="Times New Roman" w:cs="Times New Roman"/>
                <w:sz w:val="24"/>
                <w:szCs w:val="24"/>
              </w:rPr>
              <w:t>a</w:t>
            </w:r>
            <w:r w:rsidR="0021066D" w:rsidRPr="00AF408F">
              <w:rPr>
                <w:rFonts w:ascii="Times New Roman" w:hAnsi="Times New Roman" w:cs="Times New Roman"/>
                <w:sz w:val="24"/>
                <w:szCs w:val="24"/>
              </w:rPr>
              <w:t>s</w:t>
            </w:r>
            <w:r w:rsidR="00D12E7D" w:rsidRPr="00AF408F">
              <w:rPr>
                <w:rFonts w:ascii="Times New Roman" w:hAnsi="Times New Roman" w:cs="Times New Roman"/>
                <w:sz w:val="24"/>
                <w:szCs w:val="24"/>
              </w:rPr>
              <w:t xml:space="preserve"> (EK) Nr. 717/2014 par Līguma par Eiropas Savienības darbību 107. un 108.</w:t>
            </w:r>
            <w:r w:rsidR="0021066D" w:rsidRPr="00AF408F">
              <w:rPr>
                <w:rFonts w:ascii="Times New Roman" w:hAnsi="Times New Roman" w:cs="Times New Roman"/>
                <w:sz w:val="24"/>
                <w:szCs w:val="24"/>
              </w:rPr>
              <w:t> </w:t>
            </w:r>
            <w:r w:rsidR="00D12E7D" w:rsidRPr="00AF408F">
              <w:rPr>
                <w:rFonts w:ascii="Times New Roman" w:hAnsi="Times New Roman" w:cs="Times New Roman"/>
                <w:sz w:val="24"/>
                <w:szCs w:val="24"/>
              </w:rPr>
              <w:t xml:space="preserve">panta piemērošanu </w:t>
            </w:r>
            <w:proofErr w:type="spellStart"/>
            <w:r w:rsidR="00D12E7D" w:rsidRPr="00AF408F">
              <w:rPr>
                <w:rFonts w:ascii="Times New Roman" w:hAnsi="Times New Roman" w:cs="Times New Roman"/>
                <w:i/>
                <w:sz w:val="24"/>
                <w:szCs w:val="24"/>
              </w:rPr>
              <w:t>de</w:t>
            </w:r>
            <w:proofErr w:type="spellEnd"/>
            <w:r w:rsidR="00D12E7D" w:rsidRPr="00AF408F">
              <w:rPr>
                <w:rFonts w:ascii="Times New Roman" w:hAnsi="Times New Roman" w:cs="Times New Roman"/>
                <w:i/>
                <w:sz w:val="24"/>
                <w:szCs w:val="24"/>
              </w:rPr>
              <w:t xml:space="preserve"> </w:t>
            </w:r>
            <w:proofErr w:type="spellStart"/>
            <w:r w:rsidR="00D12E7D" w:rsidRPr="00AF408F">
              <w:rPr>
                <w:rFonts w:ascii="Times New Roman" w:hAnsi="Times New Roman" w:cs="Times New Roman"/>
                <w:i/>
                <w:sz w:val="24"/>
                <w:szCs w:val="24"/>
              </w:rPr>
              <w:t>minimis</w:t>
            </w:r>
            <w:proofErr w:type="spellEnd"/>
            <w:r w:rsidR="00D12E7D" w:rsidRPr="00AF408F">
              <w:rPr>
                <w:rFonts w:ascii="Times New Roman" w:hAnsi="Times New Roman" w:cs="Times New Roman"/>
                <w:sz w:val="24"/>
                <w:szCs w:val="24"/>
              </w:rPr>
              <w:t xml:space="preserve"> atbalstam zvej</w:t>
            </w:r>
            <w:r w:rsidR="00BD5BB1" w:rsidRPr="00AF408F">
              <w:rPr>
                <w:rFonts w:ascii="Times New Roman" w:hAnsi="Times New Roman" w:cs="Times New Roman"/>
                <w:sz w:val="24"/>
                <w:szCs w:val="24"/>
              </w:rPr>
              <w:t xml:space="preserve">niecības un akvakultūras nozarē </w:t>
            </w:r>
            <w:r w:rsidR="00D12E7D" w:rsidRPr="00AF408F">
              <w:rPr>
                <w:rFonts w:ascii="Times New Roman" w:hAnsi="Times New Roman" w:cs="Times New Roman"/>
                <w:sz w:val="24"/>
                <w:szCs w:val="24"/>
              </w:rPr>
              <w:t>(turpmāk – regula Nr.</w:t>
            </w:r>
            <w:r w:rsidR="0021066D" w:rsidRPr="00AF408F">
              <w:rPr>
                <w:rFonts w:ascii="Times New Roman" w:hAnsi="Times New Roman" w:cs="Times New Roman"/>
                <w:sz w:val="24"/>
                <w:szCs w:val="24"/>
              </w:rPr>
              <w:t> </w:t>
            </w:r>
            <w:r w:rsidR="00D12E7D" w:rsidRPr="00AF408F">
              <w:rPr>
                <w:rFonts w:ascii="Times New Roman" w:hAnsi="Times New Roman" w:cs="Times New Roman"/>
                <w:sz w:val="24"/>
                <w:szCs w:val="24"/>
              </w:rPr>
              <w:t>717/2014)</w:t>
            </w:r>
            <w:r w:rsidR="00BD5BB1" w:rsidRPr="00AF408F">
              <w:rPr>
                <w:rFonts w:ascii="Times New Roman" w:hAnsi="Times New Roman" w:cs="Times New Roman"/>
                <w:sz w:val="24"/>
                <w:szCs w:val="24"/>
              </w:rPr>
              <w:t xml:space="preserve"> un Komisijas 2013. gada 18. decembra Regula</w:t>
            </w:r>
            <w:r w:rsidR="0021066D" w:rsidRPr="00AF408F">
              <w:rPr>
                <w:rFonts w:ascii="Times New Roman" w:hAnsi="Times New Roman" w:cs="Times New Roman"/>
                <w:sz w:val="24"/>
                <w:szCs w:val="24"/>
              </w:rPr>
              <w:t>s</w:t>
            </w:r>
            <w:r w:rsidR="00BD5BB1" w:rsidRPr="00AF408F">
              <w:rPr>
                <w:rFonts w:ascii="Times New Roman" w:hAnsi="Times New Roman" w:cs="Times New Roman"/>
                <w:sz w:val="24"/>
                <w:szCs w:val="24"/>
              </w:rPr>
              <w:t xml:space="preserve"> (EK) Nr. 1408/2013 par Līguma par Eiropas Savienības darbību 107. un 108. panta piemērošanu </w:t>
            </w:r>
            <w:proofErr w:type="spellStart"/>
            <w:r w:rsidR="00BD5BB1" w:rsidRPr="00AF408F">
              <w:rPr>
                <w:rFonts w:ascii="Times New Roman" w:hAnsi="Times New Roman" w:cs="Times New Roman"/>
                <w:i/>
                <w:sz w:val="24"/>
                <w:szCs w:val="24"/>
              </w:rPr>
              <w:t>de</w:t>
            </w:r>
            <w:proofErr w:type="spellEnd"/>
            <w:r w:rsidR="00BD5BB1" w:rsidRPr="00AF408F">
              <w:rPr>
                <w:rFonts w:ascii="Times New Roman" w:hAnsi="Times New Roman" w:cs="Times New Roman"/>
                <w:i/>
                <w:sz w:val="24"/>
                <w:szCs w:val="24"/>
              </w:rPr>
              <w:t xml:space="preserve"> </w:t>
            </w:r>
            <w:proofErr w:type="spellStart"/>
            <w:r w:rsidR="00BD5BB1" w:rsidRPr="00AF408F">
              <w:rPr>
                <w:rFonts w:ascii="Times New Roman" w:hAnsi="Times New Roman" w:cs="Times New Roman"/>
                <w:i/>
                <w:sz w:val="24"/>
                <w:szCs w:val="24"/>
              </w:rPr>
              <w:t>minimis</w:t>
            </w:r>
            <w:proofErr w:type="spellEnd"/>
            <w:r w:rsidR="00BD5BB1" w:rsidRPr="00AF408F">
              <w:rPr>
                <w:rFonts w:ascii="Times New Roman" w:hAnsi="Times New Roman" w:cs="Times New Roman"/>
                <w:sz w:val="24"/>
                <w:szCs w:val="24"/>
              </w:rPr>
              <w:t xml:space="preserve"> atbalstam lauksaimniecības nozarē (turpmāk – regula Nr. 1408/2013) </w:t>
            </w:r>
            <w:r w:rsidRPr="00AF408F">
              <w:rPr>
                <w:rFonts w:ascii="Times New Roman" w:hAnsi="Times New Roman" w:cs="Times New Roman"/>
                <w:sz w:val="24"/>
                <w:szCs w:val="24"/>
              </w:rPr>
              <w:t>darbības termiņ</w:t>
            </w:r>
            <w:r w:rsidR="00BD5BB1" w:rsidRPr="00AF408F">
              <w:rPr>
                <w:rFonts w:ascii="Times New Roman" w:hAnsi="Times New Roman" w:cs="Times New Roman"/>
                <w:sz w:val="24"/>
                <w:szCs w:val="24"/>
              </w:rPr>
              <w:t>a</w:t>
            </w:r>
            <w:r w:rsidRPr="00AF408F">
              <w:rPr>
                <w:rFonts w:ascii="Times New Roman" w:hAnsi="Times New Roman" w:cs="Times New Roman"/>
                <w:sz w:val="24"/>
                <w:szCs w:val="24"/>
              </w:rPr>
              <w:t xml:space="preserve"> beig</w:t>
            </w:r>
            <w:r w:rsidR="006E7FEA">
              <w:rPr>
                <w:rFonts w:ascii="Times New Roman" w:hAnsi="Times New Roman" w:cs="Times New Roman"/>
                <w:sz w:val="24"/>
                <w:szCs w:val="24"/>
              </w:rPr>
              <w:t>as</w:t>
            </w:r>
            <w:r w:rsidR="00BD5BB1" w:rsidRPr="00AF408F">
              <w:rPr>
                <w:rFonts w:ascii="Times New Roman" w:hAnsi="Times New Roman" w:cs="Times New Roman"/>
                <w:sz w:val="24"/>
                <w:szCs w:val="24"/>
              </w:rPr>
              <w:t>.</w:t>
            </w:r>
          </w:p>
          <w:p w14:paraId="00686ADF" w14:textId="625D6659" w:rsidR="00BD5BB1" w:rsidRPr="00AF408F" w:rsidRDefault="0021066D" w:rsidP="007463DE">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rPr>
              <w:t>Ar n</w:t>
            </w:r>
            <w:r w:rsidR="00D80DC4" w:rsidRPr="00AF408F">
              <w:rPr>
                <w:rFonts w:ascii="Times New Roman" w:hAnsi="Times New Roman" w:cs="Times New Roman"/>
                <w:sz w:val="24"/>
                <w:szCs w:val="24"/>
              </w:rPr>
              <w:t>oteikumu proje</w:t>
            </w:r>
            <w:r w:rsidR="00BD5BB1" w:rsidRPr="00AF408F">
              <w:rPr>
                <w:rFonts w:ascii="Times New Roman" w:hAnsi="Times New Roman" w:cs="Times New Roman"/>
                <w:sz w:val="24"/>
                <w:szCs w:val="24"/>
              </w:rPr>
              <w:t xml:space="preserve">kta </w:t>
            </w:r>
            <w:r w:rsidR="00D80DC4" w:rsidRPr="00AF408F">
              <w:rPr>
                <w:rFonts w:ascii="Times New Roman" w:hAnsi="Times New Roman" w:cs="Times New Roman"/>
                <w:sz w:val="24"/>
                <w:szCs w:val="24"/>
              </w:rPr>
              <w:t>4</w:t>
            </w:r>
            <w:r w:rsidR="00BD5BB1" w:rsidRPr="00AF408F">
              <w:rPr>
                <w:rFonts w:ascii="Times New Roman" w:hAnsi="Times New Roman" w:cs="Times New Roman"/>
                <w:sz w:val="24"/>
                <w:szCs w:val="24"/>
              </w:rPr>
              <w:t>.</w:t>
            </w:r>
            <w:r w:rsidR="00281C34" w:rsidRPr="00AF408F">
              <w:rPr>
                <w:rFonts w:ascii="Times New Roman" w:hAnsi="Times New Roman" w:cs="Times New Roman"/>
                <w:sz w:val="24"/>
                <w:szCs w:val="24"/>
              </w:rPr>
              <w:t xml:space="preserve"> un </w:t>
            </w:r>
            <w:r w:rsidR="00D80DC4" w:rsidRPr="00AF408F">
              <w:rPr>
                <w:rFonts w:ascii="Times New Roman" w:hAnsi="Times New Roman" w:cs="Times New Roman"/>
                <w:sz w:val="24"/>
                <w:szCs w:val="24"/>
              </w:rPr>
              <w:t>8</w:t>
            </w:r>
            <w:r w:rsidR="00281C34" w:rsidRPr="00AF408F">
              <w:rPr>
                <w:rFonts w:ascii="Times New Roman" w:hAnsi="Times New Roman" w:cs="Times New Roman"/>
                <w:sz w:val="24"/>
                <w:szCs w:val="24"/>
              </w:rPr>
              <w:t xml:space="preserve">. </w:t>
            </w:r>
            <w:r w:rsidR="00BD5BB1" w:rsidRPr="00AF408F">
              <w:rPr>
                <w:rFonts w:ascii="Times New Roman" w:hAnsi="Times New Roman" w:cs="Times New Roman"/>
                <w:sz w:val="24"/>
                <w:szCs w:val="24"/>
              </w:rPr>
              <w:t>punkt</w:t>
            </w:r>
            <w:r w:rsidRPr="00AF408F">
              <w:rPr>
                <w:rFonts w:ascii="Times New Roman" w:hAnsi="Times New Roman" w:cs="Times New Roman"/>
                <w:sz w:val="24"/>
                <w:szCs w:val="24"/>
              </w:rPr>
              <w:t>u izdarīts</w:t>
            </w:r>
            <w:r w:rsidR="00BD5BB1" w:rsidRPr="00AF408F">
              <w:rPr>
                <w:rFonts w:ascii="Times New Roman" w:hAnsi="Times New Roman" w:cs="Times New Roman"/>
                <w:sz w:val="24"/>
                <w:szCs w:val="24"/>
              </w:rPr>
              <w:t xml:space="preserve"> tehnisks precizējums, jo noteikumi tiek papildināti ar jaunu pielikumu.</w:t>
            </w:r>
          </w:p>
          <w:p w14:paraId="50249D82" w14:textId="6DEB8F8B" w:rsidR="006941D3" w:rsidRPr="00AF408F" w:rsidRDefault="00BD5BB1" w:rsidP="007463DE">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rPr>
              <w:t>Noteikum</w:t>
            </w:r>
            <w:r w:rsidR="0021066D" w:rsidRPr="00AF408F">
              <w:rPr>
                <w:rFonts w:ascii="Times New Roman" w:hAnsi="Times New Roman" w:cs="Times New Roman"/>
                <w:sz w:val="24"/>
                <w:szCs w:val="24"/>
              </w:rPr>
              <w:t>u</w:t>
            </w:r>
            <w:r w:rsidRPr="00AF408F">
              <w:rPr>
                <w:rFonts w:ascii="Times New Roman" w:hAnsi="Times New Roman" w:cs="Times New Roman"/>
                <w:sz w:val="24"/>
                <w:szCs w:val="24"/>
              </w:rPr>
              <w:t xml:space="preserve"> Nr. </w:t>
            </w:r>
            <w:r w:rsidR="00F14172" w:rsidRPr="00AF408F">
              <w:rPr>
                <w:rFonts w:ascii="Times New Roman" w:hAnsi="Times New Roman" w:cs="Times New Roman"/>
                <w:sz w:val="24"/>
                <w:szCs w:val="24"/>
              </w:rPr>
              <w:t xml:space="preserve">9 </w:t>
            </w:r>
            <w:r w:rsidR="0021066D" w:rsidRPr="00AF408F">
              <w:rPr>
                <w:rFonts w:ascii="Times New Roman" w:hAnsi="Times New Roman" w:cs="Times New Roman"/>
                <w:sz w:val="24"/>
                <w:szCs w:val="24"/>
              </w:rPr>
              <w:t xml:space="preserve">pašreizējā redakcija </w:t>
            </w:r>
            <w:r w:rsidRPr="00AF408F">
              <w:rPr>
                <w:rFonts w:ascii="Times New Roman" w:hAnsi="Times New Roman" w:cs="Times New Roman"/>
                <w:sz w:val="24"/>
                <w:szCs w:val="24"/>
              </w:rPr>
              <w:t xml:space="preserve">paredz </w:t>
            </w:r>
            <w:r w:rsidR="007F11AC" w:rsidRPr="00AF408F">
              <w:rPr>
                <w:rFonts w:ascii="Times New Roman" w:hAnsi="Times New Roman" w:cs="Times New Roman"/>
                <w:sz w:val="24"/>
                <w:szCs w:val="24"/>
              </w:rPr>
              <w:t xml:space="preserve">garantiju piešķiršanu </w:t>
            </w:r>
            <w:r w:rsidRPr="00AF408F">
              <w:rPr>
                <w:rFonts w:ascii="Times New Roman" w:hAnsi="Times New Roman" w:cs="Times New Roman"/>
                <w:sz w:val="24"/>
                <w:szCs w:val="24"/>
              </w:rPr>
              <w:t xml:space="preserve">par </w:t>
            </w:r>
            <w:r w:rsidR="0021066D" w:rsidRPr="00AF408F">
              <w:rPr>
                <w:rFonts w:ascii="Times New Roman" w:hAnsi="Times New Roman" w:cs="Times New Roman"/>
                <w:sz w:val="24"/>
                <w:szCs w:val="24"/>
              </w:rPr>
              <w:t>vienreizēju maksu</w:t>
            </w:r>
            <w:r w:rsidRPr="00AF408F">
              <w:rPr>
                <w:rFonts w:ascii="Times New Roman" w:hAnsi="Times New Roman" w:cs="Times New Roman"/>
                <w:sz w:val="24"/>
                <w:szCs w:val="24"/>
              </w:rPr>
              <w:t xml:space="preserve">, </w:t>
            </w:r>
            <w:r w:rsidR="0021066D" w:rsidRPr="00AF408F">
              <w:rPr>
                <w:rFonts w:ascii="Times New Roman" w:hAnsi="Times New Roman" w:cs="Times New Roman"/>
                <w:sz w:val="24"/>
                <w:szCs w:val="24"/>
              </w:rPr>
              <w:t xml:space="preserve">bet mazajiem un vidējiem uzņēmumiem šāda summa no </w:t>
            </w:r>
            <w:r w:rsidRPr="00AF408F">
              <w:rPr>
                <w:rFonts w:ascii="Times New Roman" w:hAnsi="Times New Roman" w:cs="Times New Roman"/>
                <w:sz w:val="24"/>
                <w:szCs w:val="24"/>
              </w:rPr>
              <w:t>apgrozām</w:t>
            </w:r>
            <w:r w:rsidR="0021066D" w:rsidRPr="00AF408F">
              <w:rPr>
                <w:rFonts w:ascii="Times New Roman" w:hAnsi="Times New Roman" w:cs="Times New Roman"/>
                <w:sz w:val="24"/>
                <w:szCs w:val="24"/>
              </w:rPr>
              <w:t>ajiem</w:t>
            </w:r>
            <w:r w:rsidRPr="00AF408F">
              <w:rPr>
                <w:rFonts w:ascii="Times New Roman" w:hAnsi="Times New Roman" w:cs="Times New Roman"/>
                <w:sz w:val="24"/>
                <w:szCs w:val="24"/>
              </w:rPr>
              <w:t xml:space="preserve"> līdzekļ</w:t>
            </w:r>
            <w:r w:rsidR="0021066D" w:rsidRPr="00AF408F">
              <w:rPr>
                <w:rFonts w:ascii="Times New Roman" w:hAnsi="Times New Roman" w:cs="Times New Roman"/>
                <w:sz w:val="24"/>
                <w:szCs w:val="24"/>
              </w:rPr>
              <w:t xml:space="preserve">iem </w:t>
            </w:r>
            <w:r w:rsidRPr="00AF408F">
              <w:rPr>
                <w:rFonts w:ascii="Times New Roman" w:hAnsi="Times New Roman" w:cs="Times New Roman"/>
                <w:sz w:val="24"/>
                <w:szCs w:val="24"/>
              </w:rPr>
              <w:t xml:space="preserve">ir </w:t>
            </w:r>
            <w:r w:rsidR="0021066D" w:rsidRPr="00AF408F">
              <w:rPr>
                <w:rFonts w:ascii="Times New Roman" w:hAnsi="Times New Roman" w:cs="Times New Roman"/>
                <w:sz w:val="24"/>
                <w:szCs w:val="24"/>
              </w:rPr>
              <w:t>pārāk liela</w:t>
            </w:r>
            <w:r w:rsidR="007F11AC">
              <w:rPr>
                <w:rFonts w:ascii="Times New Roman" w:hAnsi="Times New Roman" w:cs="Times New Roman"/>
                <w:sz w:val="24"/>
                <w:szCs w:val="24"/>
              </w:rPr>
              <w:t xml:space="preserve"> un</w:t>
            </w:r>
            <w:r w:rsidR="0021066D" w:rsidRPr="00AF408F">
              <w:rPr>
                <w:rFonts w:ascii="Times New Roman" w:hAnsi="Times New Roman" w:cs="Times New Roman"/>
                <w:sz w:val="24"/>
                <w:szCs w:val="24"/>
              </w:rPr>
              <w:t xml:space="preserve"> tie </w:t>
            </w:r>
            <w:r w:rsidR="00281C34" w:rsidRPr="00AF408F">
              <w:rPr>
                <w:rFonts w:ascii="Times New Roman" w:hAnsi="Times New Roman" w:cs="Times New Roman"/>
                <w:sz w:val="24"/>
                <w:szCs w:val="24"/>
              </w:rPr>
              <w:t xml:space="preserve">nevar atļauties </w:t>
            </w:r>
            <w:r w:rsidR="0021066D" w:rsidRPr="00AF408F">
              <w:rPr>
                <w:rFonts w:ascii="Times New Roman" w:hAnsi="Times New Roman" w:cs="Times New Roman"/>
                <w:sz w:val="24"/>
                <w:szCs w:val="24"/>
              </w:rPr>
              <w:t xml:space="preserve">to </w:t>
            </w:r>
            <w:r w:rsidR="00281C34" w:rsidRPr="00AF408F">
              <w:rPr>
                <w:rFonts w:ascii="Times New Roman" w:hAnsi="Times New Roman" w:cs="Times New Roman"/>
                <w:sz w:val="24"/>
                <w:szCs w:val="24"/>
              </w:rPr>
              <w:t>izmantot.</w:t>
            </w:r>
            <w:r w:rsidRPr="00AF408F">
              <w:rPr>
                <w:rFonts w:ascii="Times New Roman" w:hAnsi="Times New Roman" w:cs="Times New Roman"/>
                <w:sz w:val="24"/>
                <w:szCs w:val="24"/>
              </w:rPr>
              <w:t xml:space="preserve"> </w:t>
            </w:r>
            <w:r w:rsidR="00237F32">
              <w:rPr>
                <w:rFonts w:ascii="Times New Roman" w:hAnsi="Times New Roman" w:cs="Times New Roman"/>
                <w:sz w:val="24"/>
                <w:szCs w:val="24"/>
              </w:rPr>
              <w:t>Tādēļ nepieciešami grozījumi spēkā esošajos noteikumos</w:t>
            </w:r>
            <w:r w:rsidR="007F11AC">
              <w:rPr>
                <w:rFonts w:ascii="Times New Roman" w:hAnsi="Times New Roman" w:cs="Times New Roman"/>
                <w:sz w:val="24"/>
                <w:szCs w:val="24"/>
              </w:rPr>
              <w:t>,</w:t>
            </w:r>
            <w:r w:rsidR="00237F32">
              <w:rPr>
                <w:rFonts w:ascii="Times New Roman" w:hAnsi="Times New Roman" w:cs="Times New Roman"/>
                <w:sz w:val="24"/>
                <w:szCs w:val="24"/>
              </w:rPr>
              <w:t xml:space="preserve"> paredzot </w:t>
            </w:r>
            <w:r w:rsidR="00237F32" w:rsidRPr="00237F32">
              <w:rPr>
                <w:rFonts w:ascii="Times New Roman" w:hAnsi="Times New Roman" w:cs="Times New Roman"/>
                <w:sz w:val="24"/>
                <w:szCs w:val="24"/>
              </w:rPr>
              <w:t>atbalstāmo darbību un izmaksu</w:t>
            </w:r>
            <w:r w:rsidR="00237F32">
              <w:rPr>
                <w:rFonts w:ascii="Times New Roman" w:hAnsi="Times New Roman" w:cs="Times New Roman"/>
                <w:sz w:val="24"/>
                <w:szCs w:val="24"/>
              </w:rPr>
              <w:t xml:space="preserve"> nosacījumus arī apgrozāmo līdzekļu garantijām </w:t>
            </w:r>
            <w:r w:rsidR="00237F32" w:rsidRPr="00AF408F">
              <w:rPr>
                <w:rFonts w:ascii="Times New Roman" w:hAnsi="Times New Roman" w:cs="Times New Roman"/>
                <w:sz w:val="24"/>
                <w:szCs w:val="24"/>
              </w:rPr>
              <w:t>mazajiem un vidējiem uzņēmumiem</w:t>
            </w:r>
            <w:r w:rsidR="00601442">
              <w:rPr>
                <w:rFonts w:ascii="Times New Roman" w:hAnsi="Times New Roman" w:cs="Times New Roman"/>
                <w:sz w:val="24"/>
                <w:szCs w:val="24"/>
              </w:rPr>
              <w:t xml:space="preserve"> </w:t>
            </w:r>
            <w:r w:rsidR="007F11AC">
              <w:rPr>
                <w:rFonts w:ascii="Times New Roman" w:hAnsi="Times New Roman" w:cs="Times New Roman"/>
                <w:sz w:val="24"/>
                <w:szCs w:val="24"/>
              </w:rPr>
              <w:t xml:space="preserve">– ikgadēju maksājumu </w:t>
            </w:r>
            <w:r w:rsidR="00601442">
              <w:rPr>
                <w:rFonts w:ascii="Times New Roman" w:hAnsi="Times New Roman" w:cs="Times New Roman"/>
                <w:sz w:val="24"/>
                <w:szCs w:val="24"/>
              </w:rPr>
              <w:t xml:space="preserve">vienreizēja </w:t>
            </w:r>
            <w:proofErr w:type="spellStart"/>
            <w:r w:rsidR="00601442">
              <w:rPr>
                <w:rFonts w:ascii="Times New Roman" w:hAnsi="Times New Roman" w:cs="Times New Roman"/>
                <w:sz w:val="24"/>
                <w:szCs w:val="24"/>
              </w:rPr>
              <w:t>makājuma</w:t>
            </w:r>
            <w:proofErr w:type="spellEnd"/>
            <w:r w:rsidR="00601442">
              <w:rPr>
                <w:rFonts w:ascii="Times New Roman" w:hAnsi="Times New Roman" w:cs="Times New Roman"/>
                <w:sz w:val="24"/>
                <w:szCs w:val="24"/>
              </w:rPr>
              <w:t xml:space="preserve"> vietā</w:t>
            </w:r>
            <w:r w:rsidR="00237F32">
              <w:rPr>
                <w:rFonts w:ascii="Times New Roman" w:hAnsi="Times New Roman" w:cs="Times New Roman"/>
                <w:sz w:val="24"/>
                <w:szCs w:val="24"/>
              </w:rPr>
              <w:t>. Atbilstoši precizēti n</w:t>
            </w:r>
            <w:r w:rsidRPr="00AF408F">
              <w:rPr>
                <w:rFonts w:ascii="Times New Roman" w:hAnsi="Times New Roman" w:cs="Times New Roman"/>
                <w:sz w:val="24"/>
                <w:szCs w:val="24"/>
              </w:rPr>
              <w:t xml:space="preserve">oteikumu </w:t>
            </w:r>
            <w:r w:rsidR="00D80DC4" w:rsidRPr="00AF408F">
              <w:rPr>
                <w:rFonts w:ascii="Times New Roman" w:hAnsi="Times New Roman" w:cs="Times New Roman"/>
                <w:sz w:val="24"/>
                <w:szCs w:val="24"/>
              </w:rPr>
              <w:t>5</w:t>
            </w:r>
            <w:r w:rsidRPr="00AF408F">
              <w:rPr>
                <w:rFonts w:ascii="Times New Roman" w:hAnsi="Times New Roman" w:cs="Times New Roman"/>
                <w:sz w:val="24"/>
                <w:szCs w:val="24"/>
              </w:rPr>
              <w:t>.</w:t>
            </w:r>
            <w:r w:rsidR="0019602C" w:rsidRPr="00AF408F">
              <w:rPr>
                <w:rFonts w:ascii="Times New Roman" w:hAnsi="Times New Roman" w:cs="Times New Roman"/>
                <w:sz w:val="24"/>
                <w:szCs w:val="24"/>
              </w:rPr>
              <w:t xml:space="preserve">, </w:t>
            </w:r>
            <w:r w:rsidR="00D80DC4" w:rsidRPr="00AF408F">
              <w:rPr>
                <w:rFonts w:ascii="Times New Roman" w:hAnsi="Times New Roman" w:cs="Times New Roman"/>
                <w:sz w:val="24"/>
                <w:szCs w:val="24"/>
              </w:rPr>
              <w:t>9</w:t>
            </w:r>
            <w:r w:rsidR="0019602C" w:rsidRPr="00AF408F">
              <w:rPr>
                <w:rFonts w:ascii="Times New Roman" w:hAnsi="Times New Roman" w:cs="Times New Roman"/>
                <w:sz w:val="24"/>
                <w:szCs w:val="24"/>
              </w:rPr>
              <w:t>. un 1</w:t>
            </w:r>
            <w:r w:rsidR="00D80DC4" w:rsidRPr="00AF408F">
              <w:rPr>
                <w:rFonts w:ascii="Times New Roman" w:hAnsi="Times New Roman" w:cs="Times New Roman"/>
                <w:sz w:val="24"/>
                <w:szCs w:val="24"/>
              </w:rPr>
              <w:t>3</w:t>
            </w:r>
            <w:r w:rsidR="0019602C" w:rsidRPr="00AF408F">
              <w:rPr>
                <w:rFonts w:ascii="Times New Roman" w:hAnsi="Times New Roman" w:cs="Times New Roman"/>
                <w:sz w:val="24"/>
                <w:szCs w:val="24"/>
              </w:rPr>
              <w:t xml:space="preserve">. </w:t>
            </w:r>
            <w:r w:rsidRPr="00AF408F">
              <w:rPr>
                <w:rFonts w:ascii="Times New Roman" w:hAnsi="Times New Roman" w:cs="Times New Roman"/>
                <w:sz w:val="24"/>
                <w:szCs w:val="24"/>
              </w:rPr>
              <w:t>punkts</w:t>
            </w:r>
            <w:r w:rsidR="00237F32">
              <w:rPr>
                <w:rFonts w:ascii="Times New Roman" w:hAnsi="Times New Roman" w:cs="Times New Roman"/>
                <w:sz w:val="24"/>
                <w:szCs w:val="24"/>
              </w:rPr>
              <w:t>, kas</w:t>
            </w:r>
            <w:r w:rsidRPr="00AF408F">
              <w:rPr>
                <w:rFonts w:ascii="Times New Roman" w:hAnsi="Times New Roman" w:cs="Times New Roman"/>
                <w:sz w:val="24"/>
                <w:szCs w:val="24"/>
              </w:rPr>
              <w:t xml:space="preserve"> paredz</w:t>
            </w:r>
            <w:r w:rsidR="0021066D" w:rsidRPr="00AF408F">
              <w:rPr>
                <w:rFonts w:ascii="Times New Roman" w:hAnsi="Times New Roman" w:cs="Times New Roman"/>
                <w:sz w:val="24"/>
                <w:szCs w:val="24"/>
              </w:rPr>
              <w:t>, ka</w:t>
            </w:r>
            <w:r w:rsidRPr="00AF408F">
              <w:rPr>
                <w:rFonts w:ascii="Times New Roman" w:hAnsi="Times New Roman" w:cs="Times New Roman"/>
                <w:sz w:val="24"/>
                <w:szCs w:val="24"/>
              </w:rPr>
              <w:t xml:space="preserve"> apgrozāmo</w:t>
            </w:r>
            <w:r w:rsidR="00281C34" w:rsidRPr="00AF408F">
              <w:rPr>
                <w:rFonts w:ascii="Times New Roman" w:hAnsi="Times New Roman" w:cs="Times New Roman"/>
                <w:sz w:val="24"/>
                <w:szCs w:val="24"/>
              </w:rPr>
              <w:t xml:space="preserve"> </w:t>
            </w:r>
            <w:r w:rsidRPr="00AF408F">
              <w:rPr>
                <w:rFonts w:ascii="Times New Roman" w:hAnsi="Times New Roman" w:cs="Times New Roman"/>
                <w:sz w:val="24"/>
                <w:szCs w:val="24"/>
              </w:rPr>
              <w:t>līdzekļu</w:t>
            </w:r>
            <w:r w:rsidR="00281C34" w:rsidRPr="00AF408F">
              <w:rPr>
                <w:rFonts w:ascii="Times New Roman" w:hAnsi="Times New Roman" w:cs="Times New Roman"/>
                <w:sz w:val="24"/>
                <w:szCs w:val="24"/>
              </w:rPr>
              <w:t xml:space="preserve"> garantijas maks</w:t>
            </w:r>
            <w:r w:rsidR="0021066D" w:rsidRPr="00AF408F">
              <w:rPr>
                <w:rFonts w:ascii="Times New Roman" w:hAnsi="Times New Roman" w:cs="Times New Roman"/>
                <w:sz w:val="24"/>
                <w:szCs w:val="24"/>
              </w:rPr>
              <w:t xml:space="preserve">a ir </w:t>
            </w:r>
            <w:r w:rsidR="00281C34" w:rsidRPr="00AF408F">
              <w:rPr>
                <w:rFonts w:ascii="Times New Roman" w:hAnsi="Times New Roman" w:cs="Times New Roman"/>
                <w:sz w:val="24"/>
                <w:szCs w:val="24"/>
              </w:rPr>
              <w:t>ikgadēj</w:t>
            </w:r>
            <w:r w:rsidR="0021066D" w:rsidRPr="00AF408F">
              <w:rPr>
                <w:rFonts w:ascii="Times New Roman" w:hAnsi="Times New Roman" w:cs="Times New Roman"/>
                <w:sz w:val="24"/>
                <w:szCs w:val="24"/>
              </w:rPr>
              <w:t>a</w:t>
            </w:r>
            <w:r w:rsidR="00281C34" w:rsidRPr="00AF408F">
              <w:rPr>
                <w:rFonts w:ascii="Times New Roman" w:hAnsi="Times New Roman" w:cs="Times New Roman"/>
                <w:sz w:val="24"/>
                <w:szCs w:val="24"/>
              </w:rPr>
              <w:t>, tādējādi to padarot pieejamu arī maziem un vidējiem uzņēmumiem.</w:t>
            </w:r>
            <w:r w:rsidR="006941D3" w:rsidRPr="00AF408F">
              <w:rPr>
                <w:rFonts w:ascii="Times New Roman" w:hAnsi="Times New Roman" w:cs="Times New Roman"/>
                <w:sz w:val="24"/>
                <w:szCs w:val="24"/>
              </w:rPr>
              <w:t xml:space="preserve"> </w:t>
            </w:r>
          </w:p>
          <w:p w14:paraId="27BB5E4B" w14:textId="0781EB2E" w:rsidR="00BD5BB1" w:rsidRPr="00AF408F" w:rsidRDefault="0021066D" w:rsidP="007463DE">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rPr>
              <w:t>Patlaban i</w:t>
            </w:r>
            <w:r w:rsidR="006941D3" w:rsidRPr="00AF408F">
              <w:rPr>
                <w:rFonts w:ascii="Times New Roman" w:hAnsi="Times New Roman" w:cs="Times New Roman"/>
                <w:sz w:val="24"/>
                <w:szCs w:val="24"/>
              </w:rPr>
              <w:t xml:space="preserve">nvestīciju garantijām lauksaimnieku garantijas programmā vidējā prēmijas likme ir 1,3%, savukārt </w:t>
            </w:r>
            <w:proofErr w:type="spellStart"/>
            <w:r w:rsidR="006941D3" w:rsidRPr="00AF408F">
              <w:rPr>
                <w:rFonts w:ascii="Times New Roman" w:hAnsi="Times New Roman" w:cs="Times New Roman"/>
                <w:sz w:val="24"/>
                <w:szCs w:val="24"/>
              </w:rPr>
              <w:t>komersntu</w:t>
            </w:r>
            <w:proofErr w:type="spellEnd"/>
            <w:r w:rsidR="006941D3" w:rsidRPr="00AF408F">
              <w:rPr>
                <w:rFonts w:ascii="Times New Roman" w:hAnsi="Times New Roman" w:cs="Times New Roman"/>
                <w:sz w:val="24"/>
                <w:szCs w:val="24"/>
              </w:rPr>
              <w:t xml:space="preserve"> </w:t>
            </w:r>
            <w:proofErr w:type="spellStart"/>
            <w:r w:rsidR="006941D3" w:rsidRPr="00AF408F">
              <w:rPr>
                <w:rFonts w:ascii="Times New Roman" w:hAnsi="Times New Roman" w:cs="Times New Roman"/>
                <w:sz w:val="24"/>
                <w:szCs w:val="24"/>
              </w:rPr>
              <w:t>garantjām</w:t>
            </w:r>
            <w:proofErr w:type="spellEnd"/>
            <w:r w:rsidR="006941D3" w:rsidRPr="00AF408F">
              <w:rPr>
                <w:rFonts w:ascii="Times New Roman" w:hAnsi="Times New Roman" w:cs="Times New Roman"/>
                <w:sz w:val="24"/>
                <w:szCs w:val="24"/>
              </w:rPr>
              <w:t xml:space="preserve"> </w:t>
            </w:r>
            <w:r w:rsidRPr="00AF408F">
              <w:rPr>
                <w:rFonts w:ascii="Times New Roman" w:hAnsi="Times New Roman" w:cs="Times New Roman"/>
                <w:sz w:val="24"/>
                <w:szCs w:val="24"/>
              </w:rPr>
              <w:t xml:space="preserve">– </w:t>
            </w:r>
            <w:r w:rsidR="006941D3" w:rsidRPr="00AF408F">
              <w:rPr>
                <w:rFonts w:ascii="Times New Roman" w:hAnsi="Times New Roman" w:cs="Times New Roman"/>
                <w:sz w:val="24"/>
                <w:szCs w:val="24"/>
              </w:rPr>
              <w:t>0</w:t>
            </w:r>
            <w:r w:rsidRPr="00AF408F">
              <w:rPr>
                <w:rFonts w:ascii="Times New Roman" w:hAnsi="Times New Roman" w:cs="Times New Roman"/>
                <w:sz w:val="24"/>
                <w:szCs w:val="24"/>
              </w:rPr>
              <w:t>,</w:t>
            </w:r>
            <w:r w:rsidR="006941D3" w:rsidRPr="00AF408F">
              <w:rPr>
                <w:rFonts w:ascii="Times New Roman" w:hAnsi="Times New Roman" w:cs="Times New Roman"/>
                <w:sz w:val="24"/>
                <w:szCs w:val="24"/>
              </w:rPr>
              <w:t>9</w:t>
            </w:r>
            <w:r w:rsidRPr="00AF408F">
              <w:rPr>
                <w:rFonts w:ascii="Times New Roman" w:hAnsi="Times New Roman" w:cs="Times New Roman"/>
                <w:sz w:val="24"/>
                <w:szCs w:val="24"/>
              </w:rPr>
              <w:t> </w:t>
            </w:r>
            <w:r w:rsidR="006941D3" w:rsidRPr="00AF408F">
              <w:rPr>
                <w:rFonts w:ascii="Times New Roman" w:hAnsi="Times New Roman" w:cs="Times New Roman"/>
                <w:sz w:val="24"/>
                <w:szCs w:val="24"/>
              </w:rPr>
              <w:t>%. Šāda pieeja apgrozāmo līdzekļu garantijām lauksaimnieku programmā varētu veicināt finansējuma pieejamību apgrozāmiem līdzekļiem.</w:t>
            </w:r>
          </w:p>
          <w:p w14:paraId="5A1D2375" w14:textId="1E27FDC8" w:rsidR="00281C34" w:rsidRPr="00AF408F" w:rsidRDefault="00281C34" w:rsidP="007463DE">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rPr>
              <w:t xml:space="preserve">Noteikumu projekta </w:t>
            </w:r>
            <w:r w:rsidR="00D80DC4" w:rsidRPr="00AF408F">
              <w:rPr>
                <w:rFonts w:ascii="Times New Roman" w:hAnsi="Times New Roman" w:cs="Times New Roman"/>
                <w:sz w:val="24"/>
                <w:szCs w:val="24"/>
              </w:rPr>
              <w:t>6</w:t>
            </w:r>
            <w:r w:rsidRPr="00AF408F">
              <w:rPr>
                <w:rFonts w:ascii="Times New Roman" w:hAnsi="Times New Roman" w:cs="Times New Roman"/>
                <w:sz w:val="24"/>
                <w:szCs w:val="24"/>
              </w:rPr>
              <w:t>.,</w:t>
            </w:r>
            <w:r w:rsidR="0021066D" w:rsidRPr="00AF408F">
              <w:rPr>
                <w:rFonts w:ascii="Times New Roman" w:hAnsi="Times New Roman" w:cs="Times New Roman"/>
                <w:sz w:val="24"/>
                <w:szCs w:val="24"/>
              </w:rPr>
              <w:t xml:space="preserve"> </w:t>
            </w:r>
            <w:r w:rsidR="00D80DC4" w:rsidRPr="00AF408F">
              <w:rPr>
                <w:rFonts w:ascii="Times New Roman" w:hAnsi="Times New Roman" w:cs="Times New Roman"/>
                <w:sz w:val="24"/>
                <w:szCs w:val="24"/>
              </w:rPr>
              <w:t>7</w:t>
            </w:r>
            <w:r w:rsidRPr="00AF408F">
              <w:rPr>
                <w:rFonts w:ascii="Times New Roman" w:hAnsi="Times New Roman" w:cs="Times New Roman"/>
                <w:sz w:val="24"/>
                <w:szCs w:val="24"/>
              </w:rPr>
              <w:t>.,</w:t>
            </w:r>
            <w:r w:rsidR="0021066D" w:rsidRPr="00AF408F">
              <w:rPr>
                <w:rFonts w:ascii="Times New Roman" w:hAnsi="Times New Roman" w:cs="Times New Roman"/>
                <w:sz w:val="24"/>
                <w:szCs w:val="24"/>
              </w:rPr>
              <w:t xml:space="preserve"> </w:t>
            </w:r>
            <w:r w:rsidR="00D80DC4" w:rsidRPr="00AF408F">
              <w:rPr>
                <w:rFonts w:ascii="Times New Roman" w:hAnsi="Times New Roman" w:cs="Times New Roman"/>
                <w:sz w:val="24"/>
                <w:szCs w:val="24"/>
              </w:rPr>
              <w:t>10</w:t>
            </w:r>
            <w:r w:rsidRPr="00AF408F">
              <w:rPr>
                <w:rFonts w:ascii="Times New Roman" w:hAnsi="Times New Roman" w:cs="Times New Roman"/>
                <w:sz w:val="24"/>
                <w:szCs w:val="24"/>
              </w:rPr>
              <w:t>.,</w:t>
            </w:r>
            <w:r w:rsidR="0021066D" w:rsidRPr="00AF408F">
              <w:rPr>
                <w:rFonts w:ascii="Times New Roman" w:hAnsi="Times New Roman" w:cs="Times New Roman"/>
                <w:sz w:val="24"/>
                <w:szCs w:val="24"/>
              </w:rPr>
              <w:t xml:space="preserve"> </w:t>
            </w:r>
            <w:r w:rsidRPr="00AF408F">
              <w:rPr>
                <w:rFonts w:ascii="Times New Roman" w:hAnsi="Times New Roman" w:cs="Times New Roman"/>
                <w:sz w:val="24"/>
                <w:szCs w:val="24"/>
              </w:rPr>
              <w:t>1</w:t>
            </w:r>
            <w:r w:rsidR="00D80DC4" w:rsidRPr="00AF408F">
              <w:rPr>
                <w:rFonts w:ascii="Times New Roman" w:hAnsi="Times New Roman" w:cs="Times New Roman"/>
                <w:sz w:val="24"/>
                <w:szCs w:val="24"/>
              </w:rPr>
              <w:t>1</w:t>
            </w:r>
            <w:r w:rsidRPr="00AF408F">
              <w:rPr>
                <w:rFonts w:ascii="Times New Roman" w:hAnsi="Times New Roman" w:cs="Times New Roman"/>
                <w:sz w:val="24"/>
                <w:szCs w:val="24"/>
              </w:rPr>
              <w:t>. un 1</w:t>
            </w:r>
            <w:r w:rsidR="00D80DC4" w:rsidRPr="00AF408F">
              <w:rPr>
                <w:rFonts w:ascii="Times New Roman" w:hAnsi="Times New Roman" w:cs="Times New Roman"/>
                <w:sz w:val="24"/>
                <w:szCs w:val="24"/>
              </w:rPr>
              <w:t>2</w:t>
            </w:r>
            <w:r w:rsidRPr="00AF408F">
              <w:rPr>
                <w:rFonts w:ascii="Times New Roman" w:hAnsi="Times New Roman" w:cs="Times New Roman"/>
                <w:sz w:val="24"/>
                <w:szCs w:val="24"/>
              </w:rPr>
              <w:t xml:space="preserve">. punkts paredz svītrot atsauci uz lielajiem uzņēmumiem, jo garantiju  </w:t>
            </w:r>
            <w:r w:rsidRPr="00AF408F">
              <w:rPr>
                <w:rFonts w:ascii="Times New Roman" w:hAnsi="Times New Roman" w:cs="Times New Roman"/>
                <w:sz w:val="24"/>
                <w:szCs w:val="24"/>
              </w:rPr>
              <w:lastRenderedPageBreak/>
              <w:t>atbalsts tiek paredzēts visiem uzņēmumiem</w:t>
            </w:r>
            <w:r w:rsidR="0021066D" w:rsidRPr="00AF408F">
              <w:rPr>
                <w:rFonts w:ascii="Times New Roman" w:hAnsi="Times New Roman" w:cs="Times New Roman"/>
                <w:sz w:val="24"/>
                <w:szCs w:val="24"/>
              </w:rPr>
              <w:t>,</w:t>
            </w:r>
            <w:r w:rsidRPr="00AF408F">
              <w:rPr>
                <w:rFonts w:ascii="Times New Roman" w:hAnsi="Times New Roman" w:cs="Times New Roman"/>
                <w:sz w:val="24"/>
                <w:szCs w:val="24"/>
              </w:rPr>
              <w:t xml:space="preserve"> ne tikai lielajiem, tādēļ </w:t>
            </w:r>
            <w:proofErr w:type="spellStart"/>
            <w:r w:rsidRPr="00AF408F">
              <w:rPr>
                <w:rFonts w:ascii="Times New Roman" w:hAnsi="Times New Roman" w:cs="Times New Roman"/>
                <w:i/>
                <w:sz w:val="24"/>
                <w:szCs w:val="24"/>
              </w:rPr>
              <w:t>de</w:t>
            </w:r>
            <w:proofErr w:type="spellEnd"/>
            <w:r w:rsidRPr="00AF408F">
              <w:rPr>
                <w:rFonts w:ascii="Times New Roman" w:hAnsi="Times New Roman" w:cs="Times New Roman"/>
                <w:i/>
                <w:sz w:val="24"/>
                <w:szCs w:val="24"/>
              </w:rPr>
              <w:t xml:space="preserve"> </w:t>
            </w:r>
            <w:proofErr w:type="spellStart"/>
            <w:r w:rsidRPr="00AF408F">
              <w:rPr>
                <w:rFonts w:ascii="Times New Roman" w:hAnsi="Times New Roman" w:cs="Times New Roman"/>
                <w:i/>
                <w:sz w:val="24"/>
                <w:szCs w:val="24"/>
              </w:rPr>
              <w:t>minimis</w:t>
            </w:r>
            <w:proofErr w:type="spellEnd"/>
            <w:r w:rsidRPr="00AF408F">
              <w:rPr>
                <w:rFonts w:ascii="Times New Roman" w:hAnsi="Times New Roman" w:cs="Times New Roman"/>
                <w:sz w:val="24"/>
                <w:szCs w:val="24"/>
              </w:rPr>
              <w:t xml:space="preserve"> atbalsta nosacījumi attiecināmi arī uz maziem un vidējiem uzņēmumiem.</w:t>
            </w:r>
          </w:p>
          <w:p w14:paraId="2AE632E5" w14:textId="49B877F0" w:rsidR="00281C34" w:rsidRPr="00AF408F" w:rsidRDefault="0019602C" w:rsidP="007463DE">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rPr>
              <w:t xml:space="preserve">Ja garantiju ir plānots </w:t>
            </w:r>
            <w:proofErr w:type="spellStart"/>
            <w:r w:rsidRPr="00AF408F">
              <w:rPr>
                <w:rFonts w:ascii="Times New Roman" w:hAnsi="Times New Roman" w:cs="Times New Roman"/>
                <w:sz w:val="24"/>
                <w:szCs w:val="24"/>
              </w:rPr>
              <w:t>kumulēt</w:t>
            </w:r>
            <w:proofErr w:type="spellEnd"/>
            <w:r w:rsidRPr="00AF408F">
              <w:rPr>
                <w:rFonts w:ascii="Times New Roman" w:hAnsi="Times New Roman" w:cs="Times New Roman"/>
                <w:sz w:val="24"/>
                <w:szCs w:val="24"/>
              </w:rPr>
              <w:t xml:space="preserve"> ar citu atbalstu</w:t>
            </w:r>
            <w:r w:rsidR="0021066D" w:rsidRPr="00AF408F">
              <w:rPr>
                <w:rFonts w:ascii="Times New Roman" w:hAnsi="Times New Roman" w:cs="Times New Roman"/>
                <w:sz w:val="24"/>
                <w:szCs w:val="24"/>
              </w:rPr>
              <w:t>,</w:t>
            </w:r>
            <w:r w:rsidRPr="00AF408F">
              <w:rPr>
                <w:rFonts w:ascii="Times New Roman" w:hAnsi="Times New Roman" w:cs="Times New Roman"/>
                <w:sz w:val="24"/>
                <w:szCs w:val="24"/>
              </w:rPr>
              <w:t xml:space="preserve"> tiktu nodrošināta korekta kumulācijas normu ievērošana</w:t>
            </w:r>
            <w:r w:rsidR="0021066D" w:rsidRPr="00AF408F">
              <w:rPr>
                <w:rFonts w:ascii="Times New Roman" w:hAnsi="Times New Roman" w:cs="Times New Roman"/>
                <w:sz w:val="24"/>
                <w:szCs w:val="24"/>
              </w:rPr>
              <w:t>.</w:t>
            </w:r>
          </w:p>
          <w:p w14:paraId="5C3B4A8A" w14:textId="4E39E428" w:rsidR="002C4D3F" w:rsidRDefault="0021066D" w:rsidP="007463DE">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rPr>
              <w:t>N</w:t>
            </w:r>
            <w:r w:rsidR="0019602C" w:rsidRPr="00AF408F">
              <w:rPr>
                <w:rFonts w:ascii="Times New Roman" w:hAnsi="Times New Roman" w:cs="Times New Roman"/>
                <w:sz w:val="24"/>
                <w:szCs w:val="24"/>
              </w:rPr>
              <w:t>oteikumu projekta 1</w:t>
            </w:r>
            <w:r w:rsidR="00D80DC4" w:rsidRPr="00AF408F">
              <w:rPr>
                <w:rFonts w:ascii="Times New Roman" w:hAnsi="Times New Roman" w:cs="Times New Roman"/>
                <w:sz w:val="24"/>
                <w:szCs w:val="24"/>
              </w:rPr>
              <w:t>4</w:t>
            </w:r>
            <w:r w:rsidR="0019602C" w:rsidRPr="00AF408F">
              <w:rPr>
                <w:rFonts w:ascii="Times New Roman" w:hAnsi="Times New Roman" w:cs="Times New Roman"/>
                <w:sz w:val="24"/>
                <w:szCs w:val="24"/>
              </w:rPr>
              <w:t>. punkt</w:t>
            </w:r>
            <w:r w:rsidRPr="00AF408F">
              <w:rPr>
                <w:rFonts w:ascii="Times New Roman" w:hAnsi="Times New Roman" w:cs="Times New Roman"/>
                <w:sz w:val="24"/>
                <w:szCs w:val="24"/>
              </w:rPr>
              <w:t>ā</w:t>
            </w:r>
            <w:r w:rsidR="0019602C" w:rsidRPr="00AF408F">
              <w:rPr>
                <w:rFonts w:ascii="Times New Roman" w:hAnsi="Times New Roman" w:cs="Times New Roman"/>
                <w:sz w:val="24"/>
                <w:szCs w:val="24"/>
              </w:rPr>
              <w:t xml:space="preserve"> no</w:t>
            </w:r>
            <w:r w:rsidRPr="00AF408F">
              <w:rPr>
                <w:rFonts w:ascii="Times New Roman" w:hAnsi="Times New Roman" w:cs="Times New Roman"/>
                <w:sz w:val="24"/>
                <w:szCs w:val="24"/>
              </w:rPr>
              <w:t>teikts, ka</w:t>
            </w:r>
            <w:r w:rsidR="0019602C" w:rsidRPr="00AF408F">
              <w:rPr>
                <w:rFonts w:ascii="Times New Roman" w:hAnsi="Times New Roman" w:cs="Times New Roman"/>
                <w:sz w:val="24"/>
                <w:szCs w:val="24"/>
              </w:rPr>
              <w:t xml:space="preserve"> atbalsta pretendents iesniedz informāciju par plānoto vai piešķirto atbalstu par tām pašām attiecināmajām izmaksām vai atbalstu riska pasākum</w:t>
            </w:r>
            <w:r w:rsidRPr="00AF408F">
              <w:rPr>
                <w:rFonts w:ascii="Times New Roman" w:hAnsi="Times New Roman" w:cs="Times New Roman"/>
                <w:sz w:val="24"/>
                <w:szCs w:val="24"/>
              </w:rPr>
              <w:t>ā</w:t>
            </w:r>
            <w:r w:rsidR="0019602C" w:rsidRPr="00AF408F">
              <w:rPr>
                <w:rFonts w:ascii="Times New Roman" w:hAnsi="Times New Roman" w:cs="Times New Roman"/>
                <w:sz w:val="24"/>
                <w:szCs w:val="24"/>
              </w:rPr>
              <w:t>, norādot atbalsta piešķiršanas datumu, atbalsta sniedzēju, atbalsta pasākumu, atbalsta intensitāti un plānoto vai piešķirto atbalsta summu. Sabiedrība "</w:t>
            </w:r>
            <w:proofErr w:type="spellStart"/>
            <w:r w:rsidR="0019602C" w:rsidRPr="00AF408F">
              <w:rPr>
                <w:rFonts w:ascii="Times New Roman" w:hAnsi="Times New Roman" w:cs="Times New Roman"/>
                <w:sz w:val="24"/>
                <w:szCs w:val="24"/>
              </w:rPr>
              <w:t>Altum</w:t>
            </w:r>
            <w:proofErr w:type="spellEnd"/>
            <w:r w:rsidR="0019602C" w:rsidRPr="00AF408F">
              <w:rPr>
                <w:rFonts w:ascii="Times New Roman" w:hAnsi="Times New Roman" w:cs="Times New Roman"/>
                <w:sz w:val="24"/>
                <w:szCs w:val="24"/>
              </w:rPr>
              <w:t>" pirms lēmuma par atbalsta piešķiršanu pieņemšanas izskata atbalsta pretendenta iesniegtos dokumentus un pārliecinās par kumulācijas normu korektu izpildi.</w:t>
            </w:r>
          </w:p>
          <w:p w14:paraId="1DF2BA62" w14:textId="03E51201" w:rsidR="00EE2019" w:rsidRDefault="00EE2019" w:rsidP="007463DE">
            <w:pPr>
              <w:spacing w:after="0" w:line="240" w:lineRule="auto"/>
              <w:jc w:val="both"/>
              <w:rPr>
                <w:rFonts w:ascii="Times New Roman" w:hAnsi="Times New Roman" w:cs="Times New Roman"/>
                <w:sz w:val="24"/>
                <w:szCs w:val="24"/>
              </w:rPr>
            </w:pPr>
          </w:p>
          <w:p w14:paraId="7C9BA2ED" w14:textId="3F3CF426" w:rsidR="00EE2019" w:rsidRDefault="00EE2019" w:rsidP="00EE2019">
            <w:pPr>
              <w:spacing w:after="0" w:line="240" w:lineRule="auto"/>
              <w:jc w:val="both"/>
              <w:rPr>
                <w:rFonts w:ascii="Times New Roman" w:hAnsi="Times New Roman" w:cs="Times New Roman"/>
                <w:b/>
                <w:bCs/>
                <w:i/>
                <w:iCs/>
                <w:sz w:val="24"/>
                <w:szCs w:val="24"/>
              </w:rPr>
            </w:pPr>
            <w:r w:rsidRPr="00535BF9">
              <w:rPr>
                <w:rFonts w:ascii="Times New Roman" w:hAnsi="Times New Roman" w:cs="Times New Roman"/>
                <w:b/>
                <w:bCs/>
                <w:i/>
                <w:iCs/>
                <w:sz w:val="24"/>
                <w:szCs w:val="24"/>
              </w:rPr>
              <w:t>Valsts atbalsta atgūšana</w:t>
            </w:r>
          </w:p>
          <w:p w14:paraId="7DF004F8" w14:textId="0FE8A191" w:rsidR="007F1E68" w:rsidRPr="00601442" w:rsidRDefault="007F1E68" w:rsidP="007F1E68">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rPr>
              <w:t>Lai nodrošinātu nelikumīga valsts atbalsta atgūšanu, noteikumu projekta 15. punktā noteikts, ka tad, ja ir pārkāptas šajos noteikumos noteiktās prasības, atbalsta saņēmējam ir pienākums atmaksāt sabiedrībai "</w:t>
            </w:r>
            <w:proofErr w:type="spellStart"/>
            <w:r w:rsidRPr="00AF408F">
              <w:rPr>
                <w:rFonts w:ascii="Times New Roman" w:hAnsi="Times New Roman" w:cs="Times New Roman"/>
                <w:sz w:val="24"/>
                <w:szCs w:val="24"/>
              </w:rPr>
              <w:t>Altum</w:t>
            </w:r>
            <w:proofErr w:type="spellEnd"/>
            <w:r w:rsidRPr="00AF408F">
              <w:rPr>
                <w:rFonts w:ascii="Times New Roman" w:hAnsi="Times New Roman" w:cs="Times New Roman"/>
                <w:sz w:val="24"/>
                <w:szCs w:val="24"/>
              </w:rPr>
              <w:t xml:space="preserve">"   saņemto valsts atbalstu kopā ar procentiem, kuru likmi publicē Eiropas Komisija saskaņā ar Komisijas 2004. gada 21. aprīļa Regulas (EK) Nr. 794/2004, ar ko īsteno Padomes Regulu (ES) </w:t>
            </w:r>
            <w:hyperlink r:id="rId10" w:tgtFrame="_blank" w:history="1">
              <w:r w:rsidRPr="00AF408F">
                <w:rPr>
                  <w:rFonts w:ascii="Times New Roman" w:hAnsi="Times New Roman" w:cs="Times New Roman"/>
                  <w:sz w:val="24"/>
                  <w:szCs w:val="24"/>
                </w:rPr>
                <w:t>2015/1589</w:t>
              </w:r>
            </w:hyperlink>
            <w:r w:rsidRPr="00AF408F">
              <w:rPr>
                <w:rFonts w:ascii="Times New Roman" w:hAnsi="Times New Roman" w:cs="Times New Roman"/>
                <w:sz w:val="24"/>
                <w:szCs w:val="24"/>
              </w:rPr>
              <w:t xml:space="preserve">, ar ko nosaka sīki izstrādātus noteikumus Līguma par Eiropas Savienības darbību </w:t>
            </w:r>
            <w:hyperlink r:id="rId11" w:anchor="p108" w:history="1">
              <w:r w:rsidRPr="00AF408F">
                <w:rPr>
                  <w:rFonts w:ascii="Times New Roman" w:hAnsi="Times New Roman" w:cs="Times New Roman"/>
                  <w:sz w:val="24"/>
                  <w:szCs w:val="24"/>
                </w:rPr>
                <w:t>108.</w:t>
              </w:r>
            </w:hyperlink>
            <w:r w:rsidRPr="00AF408F">
              <w:rPr>
                <w:rFonts w:ascii="Times New Roman" w:hAnsi="Times New Roman" w:cs="Times New Roman"/>
                <w:sz w:val="24"/>
                <w:szCs w:val="24"/>
              </w:rPr>
              <w:t> panta piemērošanai, (turpmāk – Komisijas regula Nr. 794/2004) 10. pantu, tiem pieskaitot 100 bāzes punktu, no dienas, kad valsts atbalsts tika izmaksāts finansējuma saņēmējam, līdz tā atgūšanas dienai, ievērojot Komisijas regulas Nr. 794/2004 11. pantā noteikto procentu likmes piemērošanas metodi</w:t>
            </w:r>
            <w:r w:rsidR="007F11AC">
              <w:rPr>
                <w:rFonts w:ascii="Times New Roman" w:hAnsi="Times New Roman" w:cs="Times New Roman"/>
                <w:sz w:val="24"/>
                <w:szCs w:val="24"/>
              </w:rPr>
              <w:t>, jo citādi</w:t>
            </w:r>
            <w:r w:rsidR="00F2306E" w:rsidRPr="00F2306E">
              <w:rPr>
                <w:rFonts w:ascii="Times New Roman" w:hAnsi="Times New Roman" w:cs="Times New Roman"/>
                <w:sz w:val="24"/>
                <w:szCs w:val="24"/>
              </w:rPr>
              <w:t xml:space="preserve"> nav nekādas jēgas</w:t>
            </w:r>
            <w:r w:rsidR="00F2306E">
              <w:rPr>
                <w:rFonts w:ascii="Times New Roman" w:hAnsi="Times New Roman" w:cs="Times New Roman"/>
                <w:sz w:val="24"/>
                <w:szCs w:val="24"/>
              </w:rPr>
              <w:t xml:space="preserve"> </w:t>
            </w:r>
            <w:r w:rsidR="00F2306E" w:rsidRPr="00F2306E">
              <w:rPr>
                <w:rFonts w:ascii="Times New Roman" w:hAnsi="Times New Roman" w:cs="Times New Roman"/>
                <w:sz w:val="24"/>
                <w:szCs w:val="24"/>
              </w:rPr>
              <w:t>Attīstības finanšu institūcijas likuma 12. panta ceturtaj</w:t>
            </w:r>
            <w:r w:rsidR="00F2306E">
              <w:rPr>
                <w:rFonts w:ascii="Times New Roman" w:hAnsi="Times New Roman" w:cs="Times New Roman"/>
                <w:sz w:val="24"/>
                <w:szCs w:val="24"/>
              </w:rPr>
              <w:t>ā</w:t>
            </w:r>
            <w:r w:rsidR="00F2306E" w:rsidRPr="00F2306E">
              <w:rPr>
                <w:rFonts w:ascii="Times New Roman" w:hAnsi="Times New Roman" w:cs="Times New Roman"/>
                <w:sz w:val="24"/>
                <w:szCs w:val="24"/>
              </w:rPr>
              <w:t xml:space="preserve"> daļ</w:t>
            </w:r>
            <w:r w:rsidR="00F2306E">
              <w:rPr>
                <w:rFonts w:ascii="Times New Roman" w:hAnsi="Times New Roman" w:cs="Times New Roman"/>
                <w:sz w:val="24"/>
                <w:szCs w:val="24"/>
              </w:rPr>
              <w:t xml:space="preserve">ā noteiktajam deleģējumam </w:t>
            </w:r>
            <w:r w:rsidR="00F2306E" w:rsidRPr="00F2306E">
              <w:rPr>
                <w:rFonts w:ascii="Times New Roman" w:hAnsi="Times New Roman" w:cs="Times New Roman"/>
                <w:sz w:val="24"/>
                <w:szCs w:val="24"/>
              </w:rPr>
              <w:t>Ministru kabinet</w:t>
            </w:r>
            <w:r w:rsidR="00F2306E">
              <w:rPr>
                <w:rFonts w:ascii="Times New Roman" w:hAnsi="Times New Roman" w:cs="Times New Roman"/>
                <w:sz w:val="24"/>
                <w:szCs w:val="24"/>
              </w:rPr>
              <w:t>am</w:t>
            </w:r>
            <w:r w:rsidR="00F2306E" w:rsidRPr="00F2306E">
              <w:rPr>
                <w:rFonts w:ascii="Times New Roman" w:hAnsi="Times New Roman" w:cs="Times New Roman"/>
                <w:sz w:val="24"/>
                <w:szCs w:val="24"/>
              </w:rPr>
              <w:t xml:space="preserve"> </w:t>
            </w:r>
            <w:r w:rsidR="00F2306E">
              <w:rPr>
                <w:rFonts w:ascii="Times New Roman" w:hAnsi="Times New Roman" w:cs="Times New Roman"/>
                <w:sz w:val="24"/>
                <w:szCs w:val="24"/>
              </w:rPr>
              <w:t>paredzēt programmas</w:t>
            </w:r>
            <w:r w:rsidR="00F2306E" w:rsidRPr="00F2306E">
              <w:rPr>
                <w:rFonts w:ascii="Times New Roman" w:hAnsi="Times New Roman" w:cs="Times New Roman"/>
                <w:sz w:val="24"/>
                <w:szCs w:val="24"/>
              </w:rPr>
              <w:t xml:space="preserve"> izmaksu attiecināmības nosacījumus</w:t>
            </w:r>
            <w:r w:rsidR="00694433">
              <w:rPr>
                <w:rFonts w:ascii="Times New Roman" w:hAnsi="Times New Roman" w:cs="Times New Roman"/>
                <w:sz w:val="24"/>
                <w:szCs w:val="24"/>
              </w:rPr>
              <w:t>, ja nav mehānism</w:t>
            </w:r>
            <w:r w:rsidR="007F11AC">
              <w:rPr>
                <w:rFonts w:ascii="Times New Roman" w:hAnsi="Times New Roman" w:cs="Times New Roman"/>
                <w:sz w:val="24"/>
                <w:szCs w:val="24"/>
              </w:rPr>
              <w:t>a</w:t>
            </w:r>
            <w:r w:rsidR="00DE275A">
              <w:rPr>
                <w:rFonts w:ascii="Times New Roman" w:hAnsi="Times New Roman" w:cs="Times New Roman"/>
                <w:sz w:val="24"/>
                <w:szCs w:val="24"/>
              </w:rPr>
              <w:t xml:space="preserve"> neatbilstoši izmaksāto garantij</w:t>
            </w:r>
            <w:r w:rsidR="007F11AC">
              <w:rPr>
                <w:rFonts w:ascii="Times New Roman" w:hAnsi="Times New Roman" w:cs="Times New Roman"/>
                <w:sz w:val="24"/>
                <w:szCs w:val="24"/>
              </w:rPr>
              <w:t>as summu</w:t>
            </w:r>
            <w:r w:rsidR="00DE275A">
              <w:rPr>
                <w:rFonts w:ascii="Times New Roman" w:hAnsi="Times New Roman" w:cs="Times New Roman"/>
                <w:sz w:val="24"/>
                <w:szCs w:val="24"/>
              </w:rPr>
              <w:t xml:space="preserve"> atgūšan</w:t>
            </w:r>
            <w:r w:rsidR="007F11AC">
              <w:rPr>
                <w:rFonts w:ascii="Times New Roman" w:hAnsi="Times New Roman" w:cs="Times New Roman"/>
                <w:sz w:val="24"/>
                <w:szCs w:val="24"/>
              </w:rPr>
              <w:t>ai</w:t>
            </w:r>
            <w:r>
              <w:rPr>
                <w:rFonts w:ascii="Times New Roman" w:hAnsi="Times New Roman" w:cs="Times New Roman"/>
                <w:sz w:val="24"/>
                <w:szCs w:val="24"/>
              </w:rPr>
              <w:t>.</w:t>
            </w:r>
          </w:p>
          <w:p w14:paraId="206F2F1F" w14:textId="77777777" w:rsidR="00EE2019" w:rsidRPr="00535BF9" w:rsidRDefault="00EE2019" w:rsidP="00EE2019">
            <w:pPr>
              <w:spacing w:after="0" w:line="240" w:lineRule="auto"/>
              <w:jc w:val="both"/>
              <w:rPr>
                <w:rFonts w:ascii="Times New Roman" w:hAnsi="Times New Roman" w:cs="Times New Roman"/>
                <w:b/>
                <w:bCs/>
                <w:i/>
                <w:iCs/>
                <w:sz w:val="24"/>
                <w:szCs w:val="24"/>
              </w:rPr>
            </w:pPr>
          </w:p>
          <w:p w14:paraId="48565627" w14:textId="676BBBCD" w:rsidR="00EE2019" w:rsidRPr="00EE2019" w:rsidRDefault="00EE2019" w:rsidP="00EE2019">
            <w:pPr>
              <w:spacing w:after="0" w:line="240" w:lineRule="auto"/>
              <w:jc w:val="both"/>
              <w:rPr>
                <w:rFonts w:ascii="Times New Roman" w:hAnsi="Times New Roman" w:cs="Times New Roman"/>
                <w:sz w:val="24"/>
                <w:szCs w:val="24"/>
              </w:rPr>
            </w:pPr>
            <w:r w:rsidRPr="00EE2019">
              <w:rPr>
                <w:rFonts w:ascii="Times New Roman" w:hAnsi="Times New Roman" w:cs="Times New Roman"/>
                <w:sz w:val="24"/>
                <w:szCs w:val="24"/>
              </w:rPr>
              <w:t>Skaidrojums par nelikumīga atbalsta atgūšanu nacionālā līmenī ir sniegts 2019.</w:t>
            </w:r>
            <w:r w:rsidR="007F11AC">
              <w:rPr>
                <w:rFonts w:ascii="Times New Roman" w:hAnsi="Times New Roman" w:cs="Times New Roman"/>
                <w:sz w:val="24"/>
                <w:szCs w:val="24"/>
              </w:rPr>
              <w:t xml:space="preserve"> </w:t>
            </w:r>
            <w:r w:rsidRPr="00EE2019">
              <w:rPr>
                <w:rFonts w:ascii="Times New Roman" w:hAnsi="Times New Roman" w:cs="Times New Roman"/>
                <w:sz w:val="24"/>
                <w:szCs w:val="24"/>
              </w:rPr>
              <w:t>gada 5.</w:t>
            </w:r>
            <w:r w:rsidR="007F11AC">
              <w:rPr>
                <w:rFonts w:ascii="Times New Roman" w:hAnsi="Times New Roman" w:cs="Times New Roman"/>
                <w:sz w:val="24"/>
                <w:szCs w:val="24"/>
              </w:rPr>
              <w:t> </w:t>
            </w:r>
            <w:r w:rsidRPr="00EE2019">
              <w:rPr>
                <w:rFonts w:ascii="Times New Roman" w:hAnsi="Times New Roman" w:cs="Times New Roman"/>
                <w:sz w:val="24"/>
                <w:szCs w:val="24"/>
              </w:rPr>
              <w:t xml:space="preserve">marta spriedumā lietā </w:t>
            </w:r>
            <w:proofErr w:type="spellStart"/>
            <w:r w:rsidRPr="008F1741">
              <w:rPr>
                <w:rFonts w:ascii="Times New Roman" w:hAnsi="Times New Roman" w:cs="Times New Roman"/>
                <w:i/>
                <w:sz w:val="24"/>
                <w:szCs w:val="24"/>
              </w:rPr>
              <w:t>Estii</w:t>
            </w:r>
            <w:proofErr w:type="spellEnd"/>
            <w:r w:rsidRPr="008F1741">
              <w:rPr>
                <w:rFonts w:ascii="Times New Roman" w:hAnsi="Times New Roman" w:cs="Times New Roman"/>
                <w:i/>
                <w:sz w:val="24"/>
                <w:szCs w:val="24"/>
              </w:rPr>
              <w:t xml:space="preserve"> </w:t>
            </w:r>
            <w:proofErr w:type="spellStart"/>
            <w:r w:rsidRPr="008F1741">
              <w:rPr>
                <w:rFonts w:ascii="Times New Roman" w:hAnsi="Times New Roman" w:cs="Times New Roman"/>
                <w:i/>
                <w:sz w:val="24"/>
                <w:szCs w:val="24"/>
              </w:rPr>
              <w:t>Pagar</w:t>
            </w:r>
            <w:proofErr w:type="spellEnd"/>
            <w:r w:rsidRPr="008F1741">
              <w:rPr>
                <w:rFonts w:ascii="Times New Roman" w:hAnsi="Times New Roman" w:cs="Times New Roman"/>
                <w:i/>
                <w:sz w:val="24"/>
                <w:szCs w:val="24"/>
              </w:rPr>
              <w:t xml:space="preserve"> C-349/17</w:t>
            </w:r>
            <w:r w:rsidRPr="00EE2019">
              <w:rPr>
                <w:rFonts w:ascii="Times New Roman" w:hAnsi="Times New Roman" w:cs="Times New Roman"/>
                <w:sz w:val="24"/>
                <w:szCs w:val="24"/>
              </w:rPr>
              <w:t xml:space="preserve">. </w:t>
            </w:r>
          </w:p>
          <w:p w14:paraId="3333F58E" w14:textId="49185DEA" w:rsidR="00EE2019" w:rsidRPr="00EE2019" w:rsidRDefault="00EE2019" w:rsidP="00EE2019">
            <w:pPr>
              <w:spacing w:after="0" w:line="240" w:lineRule="auto"/>
              <w:jc w:val="both"/>
              <w:rPr>
                <w:rFonts w:ascii="Times New Roman" w:hAnsi="Times New Roman" w:cs="Times New Roman"/>
                <w:sz w:val="24"/>
                <w:szCs w:val="24"/>
              </w:rPr>
            </w:pPr>
            <w:r w:rsidRPr="00EE2019">
              <w:rPr>
                <w:rFonts w:ascii="Times New Roman" w:hAnsi="Times New Roman" w:cs="Times New Roman"/>
                <w:sz w:val="24"/>
                <w:szCs w:val="24"/>
              </w:rPr>
              <w:t xml:space="preserve">Atbilstoši sprieduma lietā </w:t>
            </w:r>
            <w:proofErr w:type="spellStart"/>
            <w:r w:rsidR="007F11AC" w:rsidRPr="002009B6">
              <w:rPr>
                <w:rFonts w:ascii="Times New Roman" w:hAnsi="Times New Roman" w:cs="Times New Roman"/>
                <w:i/>
                <w:sz w:val="24"/>
                <w:szCs w:val="24"/>
              </w:rPr>
              <w:t>Esti</w:t>
            </w:r>
            <w:proofErr w:type="spellEnd"/>
            <w:r w:rsidR="007F11AC" w:rsidRPr="002009B6">
              <w:rPr>
                <w:rFonts w:ascii="Times New Roman" w:hAnsi="Times New Roman" w:cs="Times New Roman"/>
                <w:i/>
                <w:sz w:val="24"/>
                <w:szCs w:val="24"/>
              </w:rPr>
              <w:t xml:space="preserve"> </w:t>
            </w:r>
            <w:proofErr w:type="spellStart"/>
            <w:r w:rsidR="007F11AC" w:rsidRPr="002009B6">
              <w:rPr>
                <w:rFonts w:ascii="Times New Roman" w:hAnsi="Times New Roman" w:cs="Times New Roman"/>
                <w:i/>
                <w:sz w:val="24"/>
                <w:szCs w:val="24"/>
              </w:rPr>
              <w:t>Pagar</w:t>
            </w:r>
            <w:proofErr w:type="spellEnd"/>
            <w:r w:rsidR="007F11AC" w:rsidRPr="00EE2019">
              <w:rPr>
                <w:rFonts w:ascii="Times New Roman" w:hAnsi="Times New Roman" w:cs="Times New Roman"/>
                <w:sz w:val="24"/>
                <w:szCs w:val="24"/>
              </w:rPr>
              <w:t xml:space="preserve"> </w:t>
            </w:r>
            <w:r w:rsidRPr="008F1741">
              <w:rPr>
                <w:rFonts w:ascii="Times New Roman" w:hAnsi="Times New Roman" w:cs="Times New Roman"/>
                <w:i/>
                <w:sz w:val="24"/>
                <w:szCs w:val="24"/>
              </w:rPr>
              <w:t>C-349/17</w:t>
            </w:r>
            <w:r w:rsidRPr="00EE2019">
              <w:rPr>
                <w:rFonts w:ascii="Times New Roman" w:hAnsi="Times New Roman" w:cs="Times New Roman"/>
                <w:sz w:val="24"/>
                <w:szCs w:val="24"/>
              </w:rPr>
              <w:t xml:space="preserve"> 104.–106.</w:t>
            </w:r>
            <w:r w:rsidR="007F11AC">
              <w:rPr>
                <w:rFonts w:ascii="Times New Roman" w:hAnsi="Times New Roman" w:cs="Times New Roman"/>
                <w:sz w:val="24"/>
                <w:szCs w:val="24"/>
              </w:rPr>
              <w:t> </w:t>
            </w:r>
            <w:r w:rsidRPr="00EE2019">
              <w:rPr>
                <w:rFonts w:ascii="Times New Roman" w:hAnsi="Times New Roman" w:cs="Times New Roman"/>
                <w:sz w:val="24"/>
                <w:szCs w:val="24"/>
              </w:rPr>
              <w:t xml:space="preserve">punktam valsts iestāde, ja </w:t>
            </w:r>
            <w:r w:rsidR="007F11AC">
              <w:rPr>
                <w:rFonts w:ascii="Times New Roman" w:hAnsi="Times New Roman" w:cs="Times New Roman"/>
                <w:sz w:val="24"/>
                <w:szCs w:val="24"/>
              </w:rPr>
              <w:t xml:space="preserve">tā </w:t>
            </w:r>
            <w:r w:rsidRPr="00EE2019">
              <w:rPr>
                <w:rFonts w:ascii="Times New Roman" w:hAnsi="Times New Roman" w:cs="Times New Roman"/>
                <w:sz w:val="24"/>
                <w:szCs w:val="24"/>
              </w:rPr>
              <w:t xml:space="preserve">ir kļūdaini piemērojusi attiecīgo komercdarbības atbalsta regulējumu, nevar radīt šī atbalsta saņēmējam tiesisko paļāvību par šī atbalsta likumību. </w:t>
            </w:r>
            <w:r w:rsidR="007F11AC">
              <w:rPr>
                <w:rFonts w:ascii="Times New Roman" w:hAnsi="Times New Roman" w:cs="Times New Roman"/>
                <w:sz w:val="24"/>
                <w:szCs w:val="24"/>
              </w:rPr>
              <w:t>Tas nozīmē, ka</w:t>
            </w:r>
            <w:r w:rsidRPr="00EE2019">
              <w:rPr>
                <w:rFonts w:ascii="Times New Roman" w:hAnsi="Times New Roman" w:cs="Times New Roman"/>
                <w:sz w:val="24"/>
                <w:szCs w:val="24"/>
              </w:rPr>
              <w:t xml:space="preserve"> atbalsts ir uzskatāms par nelikumīgi piešķirtu arī </w:t>
            </w:r>
            <w:r w:rsidR="007F11AC">
              <w:rPr>
                <w:rFonts w:ascii="Times New Roman" w:hAnsi="Times New Roman" w:cs="Times New Roman"/>
                <w:sz w:val="24"/>
                <w:szCs w:val="24"/>
              </w:rPr>
              <w:t>tad</w:t>
            </w:r>
            <w:r w:rsidRPr="00EE2019">
              <w:rPr>
                <w:rFonts w:ascii="Times New Roman" w:hAnsi="Times New Roman" w:cs="Times New Roman"/>
                <w:sz w:val="24"/>
                <w:szCs w:val="24"/>
              </w:rPr>
              <w:t>, ja atbalsta sniedzējs ir kļūdaini piemērojis regulu nosacījumus, piešķirot atbalstu</w:t>
            </w:r>
            <w:r w:rsidR="007F11AC">
              <w:rPr>
                <w:rFonts w:ascii="Times New Roman" w:hAnsi="Times New Roman" w:cs="Times New Roman"/>
                <w:sz w:val="24"/>
                <w:szCs w:val="24"/>
              </w:rPr>
              <w:t>,</w:t>
            </w:r>
            <w:r w:rsidRPr="00EE2019">
              <w:rPr>
                <w:rFonts w:ascii="Times New Roman" w:hAnsi="Times New Roman" w:cs="Times New Roman"/>
                <w:sz w:val="24"/>
                <w:szCs w:val="24"/>
              </w:rPr>
              <w:t xml:space="preserve"> un šādā gadījumā </w:t>
            </w:r>
            <w:r w:rsidRPr="00EE2019">
              <w:rPr>
                <w:rFonts w:ascii="Times New Roman" w:hAnsi="Times New Roman" w:cs="Times New Roman"/>
                <w:sz w:val="24"/>
                <w:szCs w:val="24"/>
              </w:rPr>
              <w:lastRenderedPageBreak/>
              <w:t>atbalsta sniedzējs nevar nodrošināt tiesisko paļāvību atbalsta saņēmējam par šī atbalsta likumību.</w:t>
            </w:r>
          </w:p>
          <w:p w14:paraId="6B6004D3" w14:textId="5DBC2AC0" w:rsidR="00EE2019" w:rsidRPr="00EE2019" w:rsidRDefault="00EE2019" w:rsidP="00EE2019">
            <w:pPr>
              <w:spacing w:after="0" w:line="240" w:lineRule="auto"/>
              <w:jc w:val="both"/>
              <w:rPr>
                <w:rFonts w:ascii="Times New Roman" w:hAnsi="Times New Roman" w:cs="Times New Roman"/>
                <w:sz w:val="24"/>
                <w:szCs w:val="24"/>
              </w:rPr>
            </w:pPr>
            <w:r w:rsidRPr="00EE2019">
              <w:rPr>
                <w:rFonts w:ascii="Times New Roman" w:hAnsi="Times New Roman" w:cs="Times New Roman"/>
                <w:sz w:val="24"/>
                <w:szCs w:val="24"/>
              </w:rPr>
              <w:t>Tāpat Finanšu ministrijas 15.04.2020</w:t>
            </w:r>
            <w:r w:rsidR="007F11AC">
              <w:rPr>
                <w:rFonts w:ascii="Times New Roman" w:hAnsi="Times New Roman" w:cs="Times New Roman"/>
                <w:sz w:val="24"/>
                <w:szCs w:val="24"/>
              </w:rPr>
              <w:t>.</w:t>
            </w:r>
            <w:r w:rsidRPr="00EE2019">
              <w:rPr>
                <w:rFonts w:ascii="Times New Roman" w:hAnsi="Times New Roman" w:cs="Times New Roman"/>
                <w:sz w:val="24"/>
                <w:szCs w:val="24"/>
              </w:rPr>
              <w:t xml:space="preserve"> vēstulē </w:t>
            </w:r>
            <w:r w:rsidR="007F11AC">
              <w:rPr>
                <w:rFonts w:ascii="Times New Roman" w:hAnsi="Times New Roman" w:cs="Times New Roman"/>
                <w:sz w:val="24"/>
                <w:szCs w:val="24"/>
              </w:rPr>
              <w:t>Nr. </w:t>
            </w:r>
            <w:r w:rsidRPr="00EE2019">
              <w:rPr>
                <w:rFonts w:ascii="Times New Roman" w:hAnsi="Times New Roman" w:cs="Times New Roman"/>
                <w:sz w:val="24"/>
                <w:szCs w:val="24"/>
              </w:rPr>
              <w:t>7-4/18/1772 ir sniegts skaidrojums par piemērojamiem pamatprincipiem komercdarbības atbalsta atgūšanā</w:t>
            </w:r>
            <w:r w:rsidR="007F11AC">
              <w:rPr>
                <w:rFonts w:ascii="Times New Roman" w:hAnsi="Times New Roman" w:cs="Times New Roman"/>
                <w:sz w:val="24"/>
                <w:szCs w:val="24"/>
              </w:rPr>
              <w:t>,</w:t>
            </w:r>
            <w:r w:rsidRPr="00EE2019">
              <w:rPr>
                <w:rFonts w:ascii="Times New Roman" w:hAnsi="Times New Roman" w:cs="Times New Roman"/>
                <w:sz w:val="24"/>
                <w:szCs w:val="24"/>
              </w:rPr>
              <w:t xml:space="preserve"> atsaucoties uz tiesvedībā </w:t>
            </w:r>
            <w:proofErr w:type="spellStart"/>
            <w:r w:rsidRPr="008F1741">
              <w:rPr>
                <w:rFonts w:ascii="Times New Roman" w:hAnsi="Times New Roman" w:cs="Times New Roman"/>
                <w:i/>
                <w:sz w:val="24"/>
                <w:szCs w:val="24"/>
              </w:rPr>
              <w:t>Eesti</w:t>
            </w:r>
            <w:proofErr w:type="spellEnd"/>
            <w:r w:rsidRPr="008F1741">
              <w:rPr>
                <w:rFonts w:ascii="Times New Roman" w:hAnsi="Times New Roman" w:cs="Times New Roman"/>
                <w:i/>
                <w:sz w:val="24"/>
                <w:szCs w:val="24"/>
              </w:rPr>
              <w:t xml:space="preserve"> </w:t>
            </w:r>
            <w:proofErr w:type="spellStart"/>
            <w:r w:rsidRPr="008F1741">
              <w:rPr>
                <w:rFonts w:ascii="Times New Roman" w:hAnsi="Times New Roman" w:cs="Times New Roman"/>
                <w:i/>
                <w:sz w:val="24"/>
                <w:szCs w:val="24"/>
              </w:rPr>
              <w:t>Pagar</w:t>
            </w:r>
            <w:proofErr w:type="spellEnd"/>
            <w:r w:rsidRPr="00EE2019">
              <w:rPr>
                <w:rFonts w:ascii="Times New Roman" w:hAnsi="Times New Roman" w:cs="Times New Roman"/>
                <w:sz w:val="24"/>
                <w:szCs w:val="24"/>
              </w:rPr>
              <w:t xml:space="preserve"> AS pret </w:t>
            </w:r>
            <w:proofErr w:type="spellStart"/>
            <w:r w:rsidRPr="008F1741">
              <w:rPr>
                <w:rFonts w:ascii="Times New Roman" w:hAnsi="Times New Roman" w:cs="Times New Roman"/>
                <w:i/>
                <w:sz w:val="24"/>
                <w:szCs w:val="24"/>
              </w:rPr>
              <w:t>Ettevõtluse</w:t>
            </w:r>
            <w:proofErr w:type="spellEnd"/>
            <w:r w:rsidRPr="008F1741">
              <w:rPr>
                <w:rFonts w:ascii="Times New Roman" w:hAnsi="Times New Roman" w:cs="Times New Roman"/>
                <w:i/>
                <w:sz w:val="24"/>
                <w:szCs w:val="24"/>
              </w:rPr>
              <w:t xml:space="preserve"> </w:t>
            </w:r>
            <w:proofErr w:type="spellStart"/>
            <w:r w:rsidRPr="008F1741">
              <w:rPr>
                <w:rFonts w:ascii="Times New Roman" w:hAnsi="Times New Roman" w:cs="Times New Roman"/>
                <w:i/>
                <w:sz w:val="24"/>
                <w:szCs w:val="24"/>
              </w:rPr>
              <w:t>Arendamise</w:t>
            </w:r>
            <w:proofErr w:type="spellEnd"/>
            <w:r w:rsidRPr="008F1741">
              <w:rPr>
                <w:rFonts w:ascii="Times New Roman" w:hAnsi="Times New Roman" w:cs="Times New Roman"/>
                <w:i/>
                <w:sz w:val="24"/>
                <w:szCs w:val="24"/>
              </w:rPr>
              <w:t xml:space="preserve"> </w:t>
            </w:r>
            <w:proofErr w:type="spellStart"/>
            <w:r w:rsidRPr="008F1741">
              <w:rPr>
                <w:rFonts w:ascii="Times New Roman" w:hAnsi="Times New Roman" w:cs="Times New Roman"/>
                <w:i/>
                <w:sz w:val="24"/>
                <w:szCs w:val="24"/>
              </w:rPr>
              <w:t>Sihtasutus</w:t>
            </w:r>
            <w:proofErr w:type="spellEnd"/>
            <w:r w:rsidRPr="008F1741">
              <w:rPr>
                <w:rFonts w:ascii="Times New Roman" w:hAnsi="Times New Roman" w:cs="Times New Roman"/>
                <w:i/>
                <w:sz w:val="24"/>
                <w:szCs w:val="24"/>
              </w:rPr>
              <w:t xml:space="preserve">, </w:t>
            </w:r>
            <w:proofErr w:type="spellStart"/>
            <w:r w:rsidRPr="008F1741">
              <w:rPr>
                <w:rFonts w:ascii="Times New Roman" w:hAnsi="Times New Roman" w:cs="Times New Roman"/>
                <w:i/>
                <w:sz w:val="24"/>
                <w:szCs w:val="24"/>
              </w:rPr>
              <w:t>Majandus</w:t>
            </w:r>
            <w:proofErr w:type="spellEnd"/>
            <w:r w:rsidRPr="008F1741">
              <w:rPr>
                <w:rFonts w:ascii="Times New Roman" w:hAnsi="Times New Roman" w:cs="Times New Roman"/>
                <w:i/>
                <w:sz w:val="24"/>
                <w:szCs w:val="24"/>
              </w:rPr>
              <w:t xml:space="preserve"> ja </w:t>
            </w:r>
            <w:proofErr w:type="spellStart"/>
            <w:r w:rsidRPr="008F1741">
              <w:rPr>
                <w:rFonts w:ascii="Times New Roman" w:hAnsi="Times New Roman" w:cs="Times New Roman"/>
                <w:i/>
                <w:sz w:val="24"/>
                <w:szCs w:val="24"/>
              </w:rPr>
              <w:t>Kommunikatsiooniministeerium</w:t>
            </w:r>
            <w:proofErr w:type="spellEnd"/>
            <w:r w:rsidRPr="00EE2019">
              <w:rPr>
                <w:rFonts w:ascii="Times New Roman" w:hAnsi="Times New Roman" w:cs="Times New Roman"/>
                <w:sz w:val="24"/>
                <w:szCs w:val="24"/>
              </w:rPr>
              <w:t xml:space="preserve"> (turpmāk – EST spriedums) minētajiem apsvērumiem:</w:t>
            </w:r>
          </w:p>
          <w:p w14:paraId="05F06006" w14:textId="16C0F167" w:rsidR="00EE2019" w:rsidRPr="00AF408F" w:rsidRDefault="00EE2019" w:rsidP="00EE2019">
            <w:pPr>
              <w:spacing w:after="0" w:line="240" w:lineRule="auto"/>
              <w:jc w:val="both"/>
              <w:rPr>
                <w:rFonts w:ascii="Times New Roman" w:hAnsi="Times New Roman" w:cs="Times New Roman"/>
                <w:sz w:val="24"/>
                <w:szCs w:val="24"/>
              </w:rPr>
            </w:pPr>
            <w:r w:rsidRPr="00EE2019">
              <w:rPr>
                <w:rFonts w:ascii="Times New Roman" w:hAnsi="Times New Roman" w:cs="Times New Roman"/>
                <w:sz w:val="24"/>
                <w:szCs w:val="24"/>
              </w:rPr>
              <w:t>“</w:t>
            </w:r>
            <w:r w:rsidRPr="00535BF9">
              <w:rPr>
                <w:rFonts w:ascii="Times New Roman" w:hAnsi="Times New Roman" w:cs="Times New Roman"/>
                <w:i/>
                <w:iCs/>
                <w:sz w:val="24"/>
                <w:szCs w:val="24"/>
              </w:rPr>
              <w:t>No minētā EST sprieduma galvenokārt izriet, ka arī gadījumos, kad Eiropas Komisija nav pieņēmusi lēmumu par komercdarbības atbalsta atgūšanu par dalībvalsts iestādes (atbalsta sniedzēja) piešķirto komercdarbības atbalstu, kas tika piešķirts, neievērojot LESD 108. panta 3. punktā noteikto paziņošanas pienākumu, un kuru piešķirot netika izpildīti komercdarbības atbalsta regulējuma (t.sk. Komisijas 2014. gada 17. jūnija regulas (ES) Nr. 651/2014</w:t>
            </w:r>
            <w:r w:rsidR="007F11AC">
              <w:rPr>
                <w:rFonts w:ascii="Times New Roman" w:hAnsi="Times New Roman" w:cs="Times New Roman"/>
                <w:i/>
                <w:iCs/>
                <w:sz w:val="24"/>
                <w:szCs w:val="24"/>
              </w:rPr>
              <w:t>,</w:t>
            </w:r>
            <w:r w:rsidRPr="00535BF9">
              <w:rPr>
                <w:rFonts w:ascii="Times New Roman" w:hAnsi="Times New Roman" w:cs="Times New Roman"/>
                <w:i/>
                <w:iCs/>
                <w:sz w:val="24"/>
                <w:szCs w:val="24"/>
              </w:rPr>
              <w:t xml:space="preserve"> ar ko noteiktas atbalsta kategorijas atzīst par saderīgām ar iekšējo tirgu, piemērojot Līguma 107. un 108. pantu) nosacījumi, dalībvalsts iestādei (atbalsta sniedzējam)</w:t>
            </w:r>
            <w:r w:rsidR="00D51D74">
              <w:rPr>
                <w:rFonts w:ascii="Times New Roman" w:hAnsi="Times New Roman" w:cs="Times New Roman"/>
                <w:i/>
                <w:iCs/>
                <w:sz w:val="24"/>
                <w:szCs w:val="24"/>
              </w:rPr>
              <w:t>,</w:t>
            </w:r>
            <w:r w:rsidRPr="00535BF9">
              <w:rPr>
                <w:rFonts w:ascii="Times New Roman" w:hAnsi="Times New Roman" w:cs="Times New Roman"/>
                <w:i/>
                <w:iCs/>
                <w:sz w:val="24"/>
                <w:szCs w:val="24"/>
              </w:rPr>
              <w:t xml:space="preserve"> ir pienākums pašai pēc savas iniciatīvas atgūt šādu komercdarbības atbalstu. EST spriedumā Eiropas Savienības tiesa ir skaidri nospriedusi, ka no LESD 108. panta 3. punkta izriet arī tas, ka, atgūstot iepriekš minēto komercdarbības atbalstu pēc savas iniciatīvas, dalībvalsts iestādei (atbalsta sniedzējam) ir jāpieprasa no šī atbalsta saņēmēja procenti atbilstoši piemērojamo valsts tiesību normām. EST spriedumā ir noteikts, ka LESD 108. panta 3. punktā ir prasīts, lai ar šīm tiesību normām tiktu nodrošināta visa nelikumīgā atbalsta atgūšana un lai līdz ar to tā saņēmējam tostarp tiktu uzdots samaksāt procentus par visu laikposmu, kurā tas ir guvis labumu no šī atbalsta, pēc likmes, kas vienāda ar likmi, kura būtu tikusi piemērota, ja šim atbalsta saņēmējam minētajā laikposmā attiecīgā atbalsta summa būtu bijusi jāaizņemas tirgū</w:t>
            </w:r>
            <w:r w:rsidRPr="00EE2019">
              <w:rPr>
                <w:rFonts w:ascii="Times New Roman" w:hAnsi="Times New Roman" w:cs="Times New Roman"/>
                <w:sz w:val="24"/>
                <w:szCs w:val="24"/>
              </w:rPr>
              <w:t>.”</w:t>
            </w:r>
          </w:p>
          <w:p w14:paraId="53ABE7DB" w14:textId="2A5C0EED" w:rsidR="00BE279C" w:rsidRDefault="00BE279C" w:rsidP="007463DE">
            <w:pPr>
              <w:spacing w:after="0" w:line="240" w:lineRule="auto"/>
              <w:jc w:val="both"/>
              <w:rPr>
                <w:rFonts w:ascii="Times New Roman" w:eastAsia="Times New Roman" w:hAnsi="Times New Roman" w:cs="Times New Roman"/>
                <w:i/>
                <w:iCs/>
                <w:sz w:val="24"/>
                <w:szCs w:val="24"/>
                <w:lang w:eastAsia="lv-LV"/>
              </w:rPr>
            </w:pPr>
            <w:r w:rsidRPr="003D1933">
              <w:rPr>
                <w:rFonts w:ascii="Times New Roman" w:hAnsi="Times New Roman"/>
                <w:sz w:val="24"/>
                <w:szCs w:val="24"/>
              </w:rPr>
              <w:t>Attīstības finanšu institūcijas likuma</w:t>
            </w:r>
            <w:r>
              <w:rPr>
                <w:rFonts w:ascii="Times New Roman" w:hAnsi="Times New Roman"/>
                <w:sz w:val="24"/>
                <w:szCs w:val="24"/>
              </w:rPr>
              <w:t xml:space="preserve"> </w:t>
            </w:r>
            <w:r w:rsidRPr="003D1933">
              <w:rPr>
                <w:rFonts w:ascii="Times New Roman" w:hAnsi="Times New Roman"/>
                <w:sz w:val="24"/>
                <w:szCs w:val="24"/>
              </w:rPr>
              <w:t>12. panta ceturt</w:t>
            </w:r>
            <w:r w:rsidR="00D51D74">
              <w:rPr>
                <w:rFonts w:ascii="Times New Roman" w:hAnsi="Times New Roman"/>
                <w:sz w:val="24"/>
                <w:szCs w:val="24"/>
              </w:rPr>
              <w:t>aj</w:t>
            </w:r>
            <w:r>
              <w:rPr>
                <w:rFonts w:ascii="Times New Roman" w:hAnsi="Times New Roman"/>
                <w:sz w:val="24"/>
                <w:szCs w:val="24"/>
              </w:rPr>
              <w:t>ā</w:t>
            </w:r>
            <w:r w:rsidRPr="003D1933">
              <w:rPr>
                <w:rFonts w:ascii="Times New Roman" w:hAnsi="Times New Roman"/>
                <w:sz w:val="24"/>
                <w:szCs w:val="24"/>
              </w:rPr>
              <w:t xml:space="preserve"> daļ</w:t>
            </w:r>
            <w:r w:rsidR="00D51D74">
              <w:rPr>
                <w:rFonts w:ascii="Times New Roman" w:hAnsi="Times New Roman"/>
                <w:sz w:val="24"/>
                <w:szCs w:val="24"/>
              </w:rPr>
              <w:t>ā</w:t>
            </w:r>
            <w:r>
              <w:rPr>
                <w:rFonts w:ascii="Times New Roman" w:hAnsi="Times New Roman"/>
                <w:sz w:val="24"/>
                <w:szCs w:val="24"/>
              </w:rPr>
              <w:t xml:space="preserve"> no</w:t>
            </w:r>
            <w:r w:rsidR="00D51D74">
              <w:rPr>
                <w:rFonts w:ascii="Times New Roman" w:hAnsi="Times New Roman"/>
                <w:sz w:val="24"/>
                <w:szCs w:val="24"/>
              </w:rPr>
              <w:t>teikts</w:t>
            </w:r>
            <w:r>
              <w:rPr>
                <w:rFonts w:ascii="Times New Roman" w:hAnsi="Times New Roman"/>
                <w:sz w:val="24"/>
                <w:szCs w:val="24"/>
              </w:rPr>
              <w:t>, ka</w:t>
            </w:r>
            <w:r w:rsidRPr="00BE279C">
              <w:rPr>
                <w:rFonts w:ascii="Times New Roman" w:hAnsi="Times New Roman"/>
                <w:sz w:val="24"/>
                <w:szCs w:val="24"/>
              </w:rPr>
              <w:t xml:space="preserve"> Ministru kabinets apstiprina programmas un </w:t>
            </w:r>
            <w:r w:rsidRPr="00535BF9">
              <w:rPr>
                <w:rFonts w:ascii="Times New Roman" w:hAnsi="Times New Roman"/>
                <w:b/>
                <w:bCs/>
                <w:sz w:val="24"/>
                <w:szCs w:val="24"/>
              </w:rPr>
              <w:t>nosaka to īstenošanas kārtību</w:t>
            </w:r>
            <w:r w:rsidRPr="00BE279C">
              <w:rPr>
                <w:rFonts w:ascii="Times New Roman" w:hAnsi="Times New Roman"/>
                <w:sz w:val="24"/>
                <w:szCs w:val="24"/>
              </w:rPr>
              <w:t>, finansējumu, atbalstāmo darbību un izmaksu attiecināmības nosacījumus, ta</w:t>
            </w:r>
            <w:r w:rsidR="00D51D74">
              <w:rPr>
                <w:rFonts w:ascii="Times New Roman" w:hAnsi="Times New Roman"/>
                <w:sz w:val="24"/>
                <w:szCs w:val="24"/>
              </w:rPr>
              <w:t>jā</w:t>
            </w:r>
            <w:r w:rsidRPr="00BE279C">
              <w:rPr>
                <w:rFonts w:ascii="Times New Roman" w:hAnsi="Times New Roman"/>
                <w:sz w:val="24"/>
                <w:szCs w:val="24"/>
              </w:rPr>
              <w:t xml:space="preserve"> skaitā finansējumu Finanšu institūcijas izdevumu segšanai.</w:t>
            </w:r>
            <w:r>
              <w:rPr>
                <w:rFonts w:ascii="Times New Roman" w:hAnsi="Times New Roman"/>
                <w:sz w:val="24"/>
                <w:szCs w:val="24"/>
              </w:rPr>
              <w:t xml:space="preserve"> Saskaņā ar šī punkta regulējumu noteikumu projekt</w:t>
            </w:r>
            <w:r w:rsidR="00D51D74">
              <w:rPr>
                <w:rFonts w:ascii="Times New Roman" w:hAnsi="Times New Roman"/>
                <w:sz w:val="24"/>
                <w:szCs w:val="24"/>
              </w:rPr>
              <w:t>ā</w:t>
            </w:r>
            <w:r>
              <w:rPr>
                <w:rFonts w:ascii="Times New Roman" w:hAnsi="Times New Roman"/>
                <w:sz w:val="24"/>
                <w:szCs w:val="24"/>
              </w:rPr>
              <w:t xml:space="preserve"> </w:t>
            </w:r>
            <w:r w:rsidR="00D51D74">
              <w:rPr>
                <w:rFonts w:ascii="Times New Roman" w:hAnsi="Times New Roman"/>
                <w:sz w:val="24"/>
                <w:szCs w:val="24"/>
              </w:rPr>
              <w:t>ietverti</w:t>
            </w:r>
            <w:r>
              <w:rPr>
                <w:rFonts w:ascii="Times New Roman" w:hAnsi="Times New Roman"/>
                <w:sz w:val="24"/>
                <w:szCs w:val="24"/>
              </w:rPr>
              <w:t xml:space="preserve"> </w:t>
            </w:r>
            <w:r w:rsidR="00D51D74">
              <w:rPr>
                <w:rFonts w:ascii="Times New Roman" w:hAnsi="Times New Roman"/>
                <w:sz w:val="24"/>
                <w:szCs w:val="24"/>
              </w:rPr>
              <w:t xml:space="preserve">garantiju sniegšanas </w:t>
            </w:r>
            <w:r>
              <w:rPr>
                <w:rFonts w:ascii="Times New Roman" w:hAnsi="Times New Roman"/>
                <w:sz w:val="24"/>
                <w:szCs w:val="24"/>
              </w:rPr>
              <w:t>nosacījum</w:t>
            </w:r>
            <w:r w:rsidR="00D51D74">
              <w:rPr>
                <w:rFonts w:ascii="Times New Roman" w:hAnsi="Times New Roman"/>
                <w:sz w:val="24"/>
                <w:szCs w:val="24"/>
              </w:rPr>
              <w:t>i</w:t>
            </w:r>
            <w:r w:rsidR="007F1E68">
              <w:rPr>
                <w:rFonts w:ascii="Times New Roman" w:hAnsi="Times New Roman"/>
                <w:sz w:val="24"/>
                <w:szCs w:val="24"/>
              </w:rPr>
              <w:t>, prasīb</w:t>
            </w:r>
            <w:r w:rsidR="00D51D74">
              <w:rPr>
                <w:rFonts w:ascii="Times New Roman" w:hAnsi="Times New Roman"/>
                <w:sz w:val="24"/>
                <w:szCs w:val="24"/>
              </w:rPr>
              <w:t>as</w:t>
            </w:r>
            <w:r w:rsidR="007F1E68">
              <w:rPr>
                <w:rFonts w:ascii="Times New Roman" w:hAnsi="Times New Roman"/>
                <w:sz w:val="24"/>
                <w:szCs w:val="24"/>
              </w:rPr>
              <w:t xml:space="preserve"> atbalsta saņēmējam, </w:t>
            </w:r>
            <w:r w:rsidR="00D51D74">
              <w:rPr>
                <w:rFonts w:ascii="Times New Roman" w:hAnsi="Times New Roman"/>
                <w:sz w:val="24"/>
                <w:szCs w:val="24"/>
              </w:rPr>
              <w:t xml:space="preserve">minēts </w:t>
            </w:r>
            <w:r w:rsidR="007F1E68">
              <w:rPr>
                <w:rFonts w:ascii="Times New Roman" w:hAnsi="Times New Roman"/>
                <w:sz w:val="24"/>
                <w:szCs w:val="24"/>
              </w:rPr>
              <w:t>maksimāl</w:t>
            </w:r>
            <w:r w:rsidR="00D51D74">
              <w:rPr>
                <w:rFonts w:ascii="Times New Roman" w:hAnsi="Times New Roman"/>
                <w:sz w:val="24"/>
                <w:szCs w:val="24"/>
              </w:rPr>
              <w:t>ais</w:t>
            </w:r>
            <w:r w:rsidR="007F1E68">
              <w:rPr>
                <w:rFonts w:ascii="Times New Roman" w:hAnsi="Times New Roman"/>
                <w:sz w:val="24"/>
                <w:szCs w:val="24"/>
              </w:rPr>
              <w:t xml:space="preserve"> garantijas apmēr</w:t>
            </w:r>
            <w:r w:rsidR="00D51D74">
              <w:rPr>
                <w:rFonts w:ascii="Times New Roman" w:hAnsi="Times New Roman"/>
                <w:sz w:val="24"/>
                <w:szCs w:val="24"/>
              </w:rPr>
              <w:t>s un</w:t>
            </w:r>
            <w:r w:rsidR="007F1E68">
              <w:rPr>
                <w:rFonts w:ascii="Times New Roman" w:hAnsi="Times New Roman"/>
                <w:sz w:val="24"/>
                <w:szCs w:val="24"/>
              </w:rPr>
              <w:t xml:space="preserve"> atbalstāmās nozares, </w:t>
            </w:r>
            <w:r w:rsidR="00D51D74">
              <w:rPr>
                <w:rFonts w:ascii="Times New Roman" w:hAnsi="Times New Roman"/>
                <w:sz w:val="24"/>
                <w:szCs w:val="24"/>
              </w:rPr>
              <w:t xml:space="preserve">kā arī paredzēti </w:t>
            </w:r>
            <w:r w:rsidR="007F1E68">
              <w:rPr>
                <w:rFonts w:ascii="Times New Roman" w:hAnsi="Times New Roman"/>
                <w:sz w:val="24"/>
                <w:szCs w:val="24"/>
              </w:rPr>
              <w:t>garantijas pagarinājumu prēmijas maksājum</w:t>
            </w:r>
            <w:r w:rsidR="00D51D74">
              <w:rPr>
                <w:rFonts w:ascii="Times New Roman" w:hAnsi="Times New Roman"/>
                <w:sz w:val="24"/>
                <w:szCs w:val="24"/>
              </w:rPr>
              <w:t>a un</w:t>
            </w:r>
            <w:r w:rsidR="007F1E68">
              <w:rPr>
                <w:rFonts w:ascii="Times New Roman" w:hAnsi="Times New Roman"/>
                <w:sz w:val="24"/>
                <w:szCs w:val="24"/>
              </w:rPr>
              <w:t xml:space="preserve"> atbalsta apvienošana</w:t>
            </w:r>
            <w:r w:rsidR="00D51D74">
              <w:rPr>
                <w:rFonts w:ascii="Times New Roman" w:hAnsi="Times New Roman"/>
                <w:sz w:val="24"/>
                <w:szCs w:val="24"/>
              </w:rPr>
              <w:t>s</w:t>
            </w:r>
            <w:r w:rsidR="007F1E68">
              <w:rPr>
                <w:rFonts w:ascii="Times New Roman" w:hAnsi="Times New Roman"/>
                <w:sz w:val="24"/>
                <w:szCs w:val="24"/>
              </w:rPr>
              <w:t xml:space="preserve"> </w:t>
            </w:r>
            <w:r w:rsidR="00D51D74">
              <w:rPr>
                <w:rFonts w:ascii="Times New Roman" w:hAnsi="Times New Roman"/>
                <w:sz w:val="24"/>
                <w:szCs w:val="24"/>
              </w:rPr>
              <w:t xml:space="preserve">nosacījumi </w:t>
            </w:r>
            <w:r w:rsidR="007F1E68">
              <w:rPr>
                <w:rFonts w:ascii="Times New Roman" w:hAnsi="Times New Roman"/>
                <w:sz w:val="24"/>
                <w:szCs w:val="24"/>
              </w:rPr>
              <w:t>un cita starpā arī norm</w:t>
            </w:r>
            <w:r w:rsidR="00D51D74">
              <w:rPr>
                <w:rFonts w:ascii="Times New Roman" w:hAnsi="Times New Roman"/>
                <w:sz w:val="24"/>
                <w:szCs w:val="24"/>
              </w:rPr>
              <w:t>a</w:t>
            </w:r>
            <w:r>
              <w:rPr>
                <w:rFonts w:ascii="Times New Roman" w:hAnsi="Times New Roman"/>
                <w:sz w:val="24"/>
                <w:szCs w:val="24"/>
              </w:rPr>
              <w:t xml:space="preserve"> par </w:t>
            </w:r>
            <w:r w:rsidRPr="00AF408F">
              <w:rPr>
                <w:rFonts w:ascii="Times New Roman" w:eastAsia="Times New Roman" w:hAnsi="Times New Roman" w:cs="Times New Roman"/>
                <w:sz w:val="24"/>
                <w:szCs w:val="24"/>
                <w:lang w:eastAsia="lv-LV"/>
              </w:rPr>
              <w:t>nelikumīga valsts atbalsta atgūšanu</w:t>
            </w:r>
            <w:r w:rsidR="007F1E68">
              <w:rPr>
                <w:rFonts w:ascii="Times New Roman" w:eastAsia="Times New Roman" w:hAnsi="Times New Roman" w:cs="Times New Roman"/>
                <w:sz w:val="24"/>
                <w:szCs w:val="24"/>
                <w:lang w:eastAsia="lv-LV"/>
              </w:rPr>
              <w:t>.</w:t>
            </w:r>
          </w:p>
          <w:p w14:paraId="09FE2CDB" w14:textId="28B56CF8" w:rsidR="0054257F" w:rsidRDefault="00426C48" w:rsidP="007463DE">
            <w:pPr>
              <w:spacing w:after="0" w:line="240" w:lineRule="auto"/>
              <w:jc w:val="both"/>
              <w:rPr>
                <w:rFonts w:ascii="Times New Roman" w:hAnsi="Times New Roman" w:cs="Times New Roman"/>
                <w:sz w:val="24"/>
                <w:szCs w:val="24"/>
              </w:rPr>
            </w:pPr>
            <w:r w:rsidRPr="00AF408F">
              <w:rPr>
                <w:rFonts w:ascii="Times New Roman" w:hAnsi="Times New Roman" w:cs="Times New Roman"/>
                <w:sz w:val="24"/>
                <w:szCs w:val="24"/>
              </w:rPr>
              <w:lastRenderedPageBreak/>
              <w:t>N</w:t>
            </w:r>
            <w:r w:rsidR="0054257F" w:rsidRPr="00AF408F">
              <w:rPr>
                <w:rFonts w:ascii="Times New Roman" w:hAnsi="Times New Roman" w:cs="Times New Roman"/>
                <w:sz w:val="24"/>
                <w:szCs w:val="24"/>
              </w:rPr>
              <w:t>oteikumu projekta 1</w:t>
            </w:r>
            <w:r w:rsidR="00D80DC4" w:rsidRPr="00AF408F">
              <w:rPr>
                <w:rFonts w:ascii="Times New Roman" w:hAnsi="Times New Roman" w:cs="Times New Roman"/>
                <w:sz w:val="24"/>
                <w:szCs w:val="24"/>
              </w:rPr>
              <w:t>6</w:t>
            </w:r>
            <w:r w:rsidR="0054257F" w:rsidRPr="00AF408F">
              <w:rPr>
                <w:rFonts w:ascii="Times New Roman" w:hAnsi="Times New Roman" w:cs="Times New Roman"/>
                <w:sz w:val="24"/>
                <w:szCs w:val="24"/>
              </w:rPr>
              <w:t>.</w:t>
            </w:r>
            <w:r w:rsidR="00DE275A">
              <w:rPr>
                <w:rFonts w:ascii="Times New Roman" w:hAnsi="Times New Roman" w:cs="Times New Roman"/>
                <w:sz w:val="24"/>
                <w:szCs w:val="24"/>
              </w:rPr>
              <w:t> </w:t>
            </w:r>
            <w:r w:rsidR="0054257F" w:rsidRPr="00AF408F">
              <w:rPr>
                <w:rFonts w:ascii="Times New Roman" w:hAnsi="Times New Roman" w:cs="Times New Roman"/>
                <w:sz w:val="24"/>
                <w:szCs w:val="24"/>
              </w:rPr>
              <w:t>punkts paredz garantijas aprēķināšanas metodi apgrozām</w:t>
            </w:r>
            <w:r w:rsidR="00160D62" w:rsidRPr="00AF408F">
              <w:rPr>
                <w:rFonts w:ascii="Times New Roman" w:hAnsi="Times New Roman" w:cs="Times New Roman"/>
                <w:sz w:val="24"/>
                <w:szCs w:val="24"/>
              </w:rPr>
              <w:t>o</w:t>
            </w:r>
            <w:r w:rsidR="0054257F" w:rsidRPr="00AF408F">
              <w:rPr>
                <w:rFonts w:ascii="Times New Roman" w:hAnsi="Times New Roman" w:cs="Times New Roman"/>
                <w:sz w:val="24"/>
                <w:szCs w:val="24"/>
              </w:rPr>
              <w:t xml:space="preserve"> līdzekļ</w:t>
            </w:r>
            <w:r w:rsidR="00160D62" w:rsidRPr="00AF408F">
              <w:rPr>
                <w:rFonts w:ascii="Times New Roman" w:hAnsi="Times New Roman" w:cs="Times New Roman"/>
                <w:sz w:val="24"/>
                <w:szCs w:val="24"/>
              </w:rPr>
              <w:t>u gada maksai</w:t>
            </w:r>
            <w:r w:rsidR="0054257F" w:rsidRPr="00AF408F">
              <w:rPr>
                <w:rFonts w:ascii="Times New Roman" w:hAnsi="Times New Roman" w:cs="Times New Roman"/>
                <w:sz w:val="24"/>
                <w:szCs w:val="24"/>
              </w:rPr>
              <w:t>.</w:t>
            </w:r>
          </w:p>
          <w:p w14:paraId="22C319B7" w14:textId="3E763BE5" w:rsidR="00AF408F" w:rsidRDefault="00AF408F" w:rsidP="00AF408F">
            <w:pPr>
              <w:spacing w:after="0" w:line="240" w:lineRule="auto"/>
              <w:jc w:val="both"/>
              <w:rPr>
                <w:rFonts w:ascii="Arial" w:hAnsi="Arial" w:cs="Arial"/>
                <w:color w:val="000000"/>
                <w:sz w:val="19"/>
                <w:szCs w:val="19"/>
                <w:shd w:val="clear" w:color="auto" w:fill="FFFFFF"/>
              </w:rPr>
            </w:pPr>
            <w:r w:rsidRPr="00AF408F">
              <w:rPr>
                <w:rFonts w:ascii="Times New Roman" w:hAnsi="Times New Roman" w:cs="Times New Roman"/>
                <w:sz w:val="24"/>
                <w:szCs w:val="24"/>
              </w:rPr>
              <w:t>Saistības ir</w:t>
            </w:r>
            <w:r w:rsidR="00D51D74">
              <w:rPr>
                <w:rFonts w:ascii="Times New Roman" w:hAnsi="Times New Roman" w:cs="Times New Roman"/>
                <w:sz w:val="24"/>
                <w:szCs w:val="24"/>
              </w:rPr>
              <w:t xml:space="preserve"> </w:t>
            </w:r>
            <w:hyperlink r:id="rId12" w:tgtFrame="_blank" w:history="1">
              <w:r w:rsidRPr="00AF408F">
                <w:rPr>
                  <w:rFonts w:ascii="Times New Roman" w:hAnsi="Times New Roman" w:cs="Times New Roman"/>
                  <w:sz w:val="24"/>
                  <w:szCs w:val="24"/>
                </w:rPr>
                <w:t>civilkodeksu</w:t>
              </w:r>
            </w:hyperlink>
            <w:r w:rsidR="00D51D74">
              <w:rPr>
                <w:rFonts w:ascii="Times New Roman" w:hAnsi="Times New Roman" w:cs="Times New Roman"/>
                <w:sz w:val="24"/>
                <w:szCs w:val="24"/>
              </w:rPr>
              <w:t xml:space="preserve"> </w:t>
            </w:r>
            <w:r w:rsidRPr="00AF408F">
              <w:rPr>
                <w:rFonts w:ascii="Times New Roman" w:hAnsi="Times New Roman" w:cs="Times New Roman"/>
                <w:sz w:val="24"/>
                <w:szCs w:val="24"/>
              </w:rPr>
              <w:t>princips</w:t>
            </w:r>
            <w:r>
              <w:rPr>
                <w:rFonts w:ascii="Times New Roman" w:hAnsi="Times New Roman" w:cs="Times New Roman"/>
                <w:sz w:val="24"/>
                <w:szCs w:val="24"/>
              </w:rPr>
              <w:t xml:space="preserve">, kas </w:t>
            </w:r>
            <w:r w:rsidRPr="00AF408F">
              <w:rPr>
                <w:rFonts w:ascii="Times New Roman" w:hAnsi="Times New Roman" w:cs="Times New Roman"/>
                <w:sz w:val="24"/>
                <w:szCs w:val="24"/>
              </w:rPr>
              <w:t xml:space="preserve">Latvijā </w:t>
            </w:r>
            <w:r w:rsidR="00D51D74">
              <w:rPr>
                <w:rFonts w:ascii="Times New Roman" w:hAnsi="Times New Roman" w:cs="Times New Roman"/>
                <w:sz w:val="24"/>
                <w:szCs w:val="24"/>
              </w:rPr>
              <w:t>ir</w:t>
            </w:r>
            <w:r w:rsidR="00D51D74" w:rsidRPr="00AF408F">
              <w:rPr>
                <w:rFonts w:ascii="Times New Roman" w:hAnsi="Times New Roman" w:cs="Times New Roman"/>
                <w:sz w:val="24"/>
                <w:szCs w:val="24"/>
              </w:rPr>
              <w:t xml:space="preserve"> ieviests </w:t>
            </w:r>
            <w:r w:rsidRPr="00AF408F">
              <w:rPr>
                <w:rFonts w:ascii="Times New Roman" w:hAnsi="Times New Roman" w:cs="Times New Roman"/>
                <w:sz w:val="24"/>
                <w:szCs w:val="24"/>
              </w:rPr>
              <w:t>ar</w:t>
            </w:r>
            <w:r w:rsidR="00D51D74">
              <w:rPr>
                <w:rFonts w:ascii="Times New Roman" w:hAnsi="Times New Roman" w:cs="Times New Roman"/>
                <w:sz w:val="24"/>
                <w:szCs w:val="24"/>
              </w:rPr>
              <w:t xml:space="preserve"> </w:t>
            </w:r>
            <w:hyperlink r:id="rId13" w:tgtFrame="_blank" w:history="1">
              <w:r w:rsidRPr="00AF408F">
                <w:rPr>
                  <w:rFonts w:ascii="Times New Roman" w:hAnsi="Times New Roman" w:cs="Times New Roman"/>
                  <w:sz w:val="24"/>
                  <w:szCs w:val="24"/>
                </w:rPr>
                <w:t>Civillikumu</w:t>
              </w:r>
            </w:hyperlink>
            <w:r w:rsidRPr="00AF408F">
              <w:rPr>
                <w:rFonts w:ascii="Times New Roman" w:hAnsi="Times New Roman" w:cs="Times New Roman"/>
                <w:sz w:val="24"/>
                <w:szCs w:val="24"/>
              </w:rPr>
              <w:t>, uz kura pamata vienai personai (parādniekam) ir jāizdara par labu otrai (kreditoram) zināma darbība, kam ir mantiska vērtība</w:t>
            </w:r>
            <w:r w:rsidRPr="00AF408F">
              <w:rPr>
                <w:rFonts w:ascii="Arial" w:hAnsi="Arial" w:cs="Arial"/>
                <w:color w:val="000000"/>
                <w:sz w:val="19"/>
                <w:szCs w:val="19"/>
                <w:shd w:val="clear" w:color="auto" w:fill="FFFFFF"/>
              </w:rPr>
              <w:t>.</w:t>
            </w:r>
          </w:p>
          <w:p w14:paraId="58A74F76" w14:textId="208D9FC9" w:rsidR="00BE279C" w:rsidRPr="00AF408F" w:rsidRDefault="00BE279C" w:rsidP="00F97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Nosakot kredītreitingu</w:t>
            </w:r>
            <w:r w:rsidR="00D90607">
              <w:rPr>
                <w:rFonts w:ascii="Times New Roman" w:hAnsi="Times New Roman" w:cs="Times New Roman"/>
                <w:sz w:val="24"/>
                <w:szCs w:val="24"/>
              </w:rPr>
              <w:t xml:space="preserve"> jeb kredīta kvalitātes klasi </w:t>
            </w:r>
            <w:r>
              <w:rPr>
                <w:rFonts w:ascii="Times New Roman" w:hAnsi="Times New Roman" w:cs="Times New Roman"/>
                <w:sz w:val="24"/>
                <w:szCs w:val="24"/>
              </w:rPr>
              <w:t xml:space="preserve"> saskaņā ar </w:t>
            </w:r>
            <w:r w:rsidR="00312B23">
              <w:rPr>
                <w:rFonts w:ascii="Times New Roman" w:hAnsi="Times New Roman" w:cs="Times New Roman"/>
                <w:sz w:val="24"/>
                <w:szCs w:val="24"/>
              </w:rPr>
              <w:t xml:space="preserve">noteikumu projekta </w:t>
            </w:r>
            <w:r w:rsidR="00D90607">
              <w:rPr>
                <w:rFonts w:ascii="Times New Roman" w:hAnsi="Times New Roman" w:cs="Times New Roman"/>
                <w:sz w:val="24"/>
                <w:szCs w:val="24"/>
              </w:rPr>
              <w:t xml:space="preserve">2. </w:t>
            </w:r>
            <w:r>
              <w:rPr>
                <w:rFonts w:ascii="Times New Roman" w:hAnsi="Times New Roman" w:cs="Times New Roman"/>
                <w:sz w:val="24"/>
                <w:szCs w:val="24"/>
              </w:rPr>
              <w:t>pielikumu, tiek vērtētas visas atbalsta saņēmēja līdzšinējās saistības</w:t>
            </w:r>
            <w:r w:rsidR="00D90607">
              <w:rPr>
                <w:rFonts w:ascii="Times New Roman" w:hAnsi="Times New Roman" w:cs="Times New Roman"/>
                <w:sz w:val="24"/>
                <w:szCs w:val="24"/>
              </w:rPr>
              <w:t>, vai atbalsta saņēmējs tās spēj pildīt</w:t>
            </w:r>
            <w:r>
              <w:rPr>
                <w:rFonts w:ascii="Times New Roman" w:hAnsi="Times New Roman" w:cs="Times New Roman"/>
                <w:sz w:val="24"/>
                <w:szCs w:val="24"/>
              </w:rPr>
              <w:t>. Informācija tiek vērtēta saskaņā ar bilances datiem, kur</w:t>
            </w:r>
            <w:r w:rsidR="00D90607">
              <w:rPr>
                <w:rFonts w:ascii="Times New Roman" w:hAnsi="Times New Roman" w:cs="Times New Roman"/>
                <w:sz w:val="24"/>
                <w:szCs w:val="24"/>
              </w:rPr>
              <w:t xml:space="preserve">os parādās līdzšinējie aizņēmumi. </w:t>
            </w:r>
            <w:r w:rsidR="00312B23">
              <w:rPr>
                <w:rFonts w:ascii="Times New Roman" w:hAnsi="Times New Roman" w:cs="Times New Roman"/>
                <w:sz w:val="24"/>
                <w:szCs w:val="24"/>
              </w:rPr>
              <w:t>“</w:t>
            </w:r>
            <w:proofErr w:type="spellStart"/>
            <w:r w:rsidR="00312B23">
              <w:rPr>
                <w:rFonts w:ascii="Times New Roman" w:hAnsi="Times New Roman" w:cs="Times New Roman"/>
                <w:sz w:val="24"/>
                <w:szCs w:val="24"/>
              </w:rPr>
              <w:t>Altum</w:t>
            </w:r>
            <w:proofErr w:type="spellEnd"/>
            <w:r w:rsidR="00312B23">
              <w:rPr>
                <w:rFonts w:ascii="Times New Roman" w:hAnsi="Times New Roman" w:cs="Times New Roman"/>
                <w:sz w:val="24"/>
                <w:szCs w:val="24"/>
              </w:rPr>
              <w:t>”</w:t>
            </w:r>
            <w:r w:rsidR="00D90607">
              <w:rPr>
                <w:rFonts w:ascii="Times New Roman" w:hAnsi="Times New Roman" w:cs="Times New Roman"/>
                <w:sz w:val="24"/>
                <w:szCs w:val="24"/>
              </w:rPr>
              <w:t xml:space="preserve"> </w:t>
            </w:r>
            <w:r w:rsidR="00D51D74">
              <w:rPr>
                <w:rFonts w:ascii="Times New Roman" w:hAnsi="Times New Roman" w:cs="Times New Roman"/>
                <w:sz w:val="24"/>
                <w:szCs w:val="24"/>
              </w:rPr>
              <w:t xml:space="preserve">pēc nepieciešamības </w:t>
            </w:r>
            <w:r w:rsidR="00D90607">
              <w:rPr>
                <w:rFonts w:ascii="Times New Roman" w:hAnsi="Times New Roman" w:cs="Times New Roman"/>
                <w:sz w:val="24"/>
                <w:szCs w:val="24"/>
              </w:rPr>
              <w:t xml:space="preserve">šo informāciju var </w:t>
            </w:r>
            <w:r w:rsidR="00D51D74">
              <w:rPr>
                <w:rFonts w:ascii="Times New Roman" w:hAnsi="Times New Roman" w:cs="Times New Roman"/>
                <w:sz w:val="24"/>
                <w:szCs w:val="24"/>
              </w:rPr>
              <w:t xml:space="preserve">arī </w:t>
            </w:r>
            <w:r w:rsidR="00D90607">
              <w:rPr>
                <w:rFonts w:ascii="Times New Roman" w:hAnsi="Times New Roman" w:cs="Times New Roman"/>
                <w:sz w:val="24"/>
                <w:szCs w:val="24"/>
              </w:rPr>
              <w:t xml:space="preserve">pieprasīt no Latvijas Bankas </w:t>
            </w:r>
            <w:proofErr w:type="spellStart"/>
            <w:r w:rsidR="00D90607">
              <w:rPr>
                <w:rFonts w:ascii="Times New Roman" w:hAnsi="Times New Roman" w:cs="Times New Roman"/>
                <w:sz w:val="24"/>
                <w:szCs w:val="24"/>
              </w:rPr>
              <w:t>Kredītreģistra</w:t>
            </w:r>
            <w:proofErr w:type="spellEnd"/>
            <w:r w:rsidR="00D90607">
              <w:rPr>
                <w:rFonts w:ascii="Times New Roman" w:hAnsi="Times New Roman" w:cs="Times New Roman"/>
                <w:sz w:val="24"/>
                <w:szCs w:val="24"/>
              </w:rPr>
              <w:t xml:space="preserve"> datiem</w:t>
            </w:r>
            <w:r w:rsidR="007F1E68">
              <w:rPr>
                <w:rFonts w:ascii="Times New Roman" w:hAnsi="Times New Roman" w:cs="Times New Roman"/>
                <w:sz w:val="24"/>
                <w:szCs w:val="24"/>
              </w:rPr>
              <w:t xml:space="preserve">. Informācijas apmaiņu ar Latvijas Bankas </w:t>
            </w:r>
            <w:proofErr w:type="spellStart"/>
            <w:r w:rsidR="007F1E68">
              <w:rPr>
                <w:rFonts w:ascii="Times New Roman" w:hAnsi="Times New Roman" w:cs="Times New Roman"/>
                <w:sz w:val="24"/>
                <w:szCs w:val="24"/>
              </w:rPr>
              <w:t>Kredītreģistra</w:t>
            </w:r>
            <w:proofErr w:type="spellEnd"/>
            <w:r w:rsidR="007F1E68">
              <w:rPr>
                <w:rFonts w:ascii="Times New Roman" w:hAnsi="Times New Roman" w:cs="Times New Roman"/>
                <w:sz w:val="24"/>
                <w:szCs w:val="24"/>
              </w:rPr>
              <w:t xml:space="preserve"> datiem regulē </w:t>
            </w:r>
            <w:r w:rsidR="00D51D74">
              <w:rPr>
                <w:rFonts w:ascii="Times New Roman" w:hAnsi="Times New Roman" w:cs="Times New Roman"/>
                <w:sz w:val="24"/>
                <w:szCs w:val="24"/>
              </w:rPr>
              <w:t xml:space="preserve">Ministra kabineta </w:t>
            </w:r>
            <w:r w:rsidR="007F1E68" w:rsidRPr="007F1E68">
              <w:rPr>
                <w:rFonts w:ascii="Times New Roman" w:hAnsi="Times New Roman" w:cs="Times New Roman"/>
                <w:sz w:val="24"/>
                <w:szCs w:val="24"/>
              </w:rPr>
              <w:t>2018.</w:t>
            </w:r>
            <w:r w:rsidR="00D51D74">
              <w:rPr>
                <w:rFonts w:ascii="Times New Roman" w:hAnsi="Times New Roman" w:cs="Times New Roman"/>
                <w:sz w:val="24"/>
                <w:szCs w:val="24"/>
              </w:rPr>
              <w:t xml:space="preserve"> </w:t>
            </w:r>
            <w:r w:rsidR="00312B23">
              <w:rPr>
                <w:rFonts w:ascii="Times New Roman" w:hAnsi="Times New Roman" w:cs="Times New Roman"/>
                <w:sz w:val="24"/>
                <w:szCs w:val="24"/>
              </w:rPr>
              <w:t>gada 18.j</w:t>
            </w:r>
            <w:r w:rsidR="00D51D74">
              <w:rPr>
                <w:rFonts w:ascii="Times New Roman" w:hAnsi="Times New Roman" w:cs="Times New Roman"/>
                <w:sz w:val="24"/>
                <w:szCs w:val="24"/>
              </w:rPr>
              <w:t xml:space="preserve"> </w:t>
            </w:r>
            <w:proofErr w:type="spellStart"/>
            <w:r w:rsidR="00312B23">
              <w:rPr>
                <w:rFonts w:ascii="Times New Roman" w:hAnsi="Times New Roman" w:cs="Times New Roman"/>
                <w:sz w:val="24"/>
                <w:szCs w:val="24"/>
              </w:rPr>
              <w:t>anvāra</w:t>
            </w:r>
            <w:proofErr w:type="spellEnd"/>
            <w:r w:rsidR="007F1E68" w:rsidRPr="007F1E68">
              <w:rPr>
                <w:rFonts w:ascii="Times New Roman" w:hAnsi="Times New Roman" w:cs="Times New Roman"/>
                <w:sz w:val="24"/>
                <w:szCs w:val="24"/>
              </w:rPr>
              <w:t xml:space="preserve"> </w:t>
            </w:r>
            <w:r w:rsidR="007F1E68">
              <w:rPr>
                <w:rFonts w:ascii="Times New Roman" w:hAnsi="Times New Roman" w:cs="Times New Roman"/>
                <w:sz w:val="24"/>
                <w:szCs w:val="24"/>
              </w:rPr>
              <w:t>noteikumi Nr.</w:t>
            </w:r>
            <w:r w:rsidR="007F1E68" w:rsidRPr="007F1E68">
              <w:rPr>
                <w:rFonts w:ascii="Times New Roman" w:hAnsi="Times New Roman" w:cs="Times New Roman"/>
                <w:sz w:val="24"/>
                <w:szCs w:val="24"/>
              </w:rPr>
              <w:t xml:space="preserve"> 160 “Kredītu reģistra noteikumi”</w:t>
            </w:r>
            <w:r w:rsidR="007F1E68">
              <w:rPr>
                <w:rStyle w:val="Vresatsauce"/>
                <w:rFonts w:ascii="Times New Roman" w:hAnsi="Times New Roman" w:cs="Times New Roman"/>
                <w:sz w:val="24"/>
                <w:szCs w:val="24"/>
              </w:rPr>
              <w:footnoteReference w:id="1"/>
            </w:r>
            <w:r w:rsidR="00DE275A">
              <w:rPr>
                <w:rFonts w:ascii="Times New Roman" w:hAnsi="Times New Roman" w:cs="Times New Roman"/>
                <w:sz w:val="24"/>
                <w:szCs w:val="24"/>
              </w:rPr>
              <w:t>.</w:t>
            </w:r>
          </w:p>
        </w:tc>
      </w:tr>
      <w:tr w:rsidR="00175B3E" w:rsidRPr="00AF408F" w14:paraId="79790DD3" w14:textId="77777777" w:rsidTr="00EE0BD2">
        <w:trPr>
          <w:tblCellSpacing w:w="15" w:type="dxa"/>
        </w:trPr>
        <w:tc>
          <w:tcPr>
            <w:tcW w:w="296" w:type="pct"/>
            <w:hideMark/>
          </w:tcPr>
          <w:p w14:paraId="11052A93" w14:textId="77777777" w:rsidR="00175B3E" w:rsidRPr="00AF408F" w:rsidRDefault="00175B3E" w:rsidP="00175B3E">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lastRenderedPageBreak/>
              <w:t>3.</w:t>
            </w:r>
          </w:p>
        </w:tc>
        <w:tc>
          <w:tcPr>
            <w:tcW w:w="1678" w:type="pct"/>
            <w:hideMark/>
          </w:tcPr>
          <w:p w14:paraId="0E3EF683" w14:textId="77777777" w:rsidR="00175B3E" w:rsidRPr="00AF408F" w:rsidRDefault="00175B3E" w:rsidP="00175B3E">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hideMark/>
          </w:tcPr>
          <w:p w14:paraId="2083C068" w14:textId="5CD7FF50" w:rsidR="00175B3E" w:rsidRPr="00AF408F" w:rsidRDefault="00175B3E" w:rsidP="00A055BE">
            <w:pPr>
              <w:spacing w:after="0" w:line="240" w:lineRule="auto"/>
              <w:ind w:right="57"/>
              <w:jc w:val="both"/>
              <w:rPr>
                <w:rFonts w:ascii="Times New Roman" w:hAnsi="Times New Roman"/>
                <w:b/>
                <w:sz w:val="24"/>
                <w:szCs w:val="24"/>
              </w:rPr>
            </w:pPr>
            <w:r w:rsidRPr="00AF408F">
              <w:rPr>
                <w:rFonts w:ascii="Times New Roman" w:hAnsi="Times New Roman"/>
                <w:sz w:val="24"/>
                <w:szCs w:val="24"/>
              </w:rPr>
              <w:t xml:space="preserve">Zemkopības ministrija un </w:t>
            </w:r>
            <w:r w:rsidR="00AF6A3C" w:rsidRPr="00AF408F">
              <w:rPr>
                <w:rFonts w:ascii="Times New Roman" w:hAnsi="Times New Roman"/>
                <w:sz w:val="24"/>
                <w:szCs w:val="24"/>
              </w:rPr>
              <w:t xml:space="preserve">sabiedrība </w:t>
            </w:r>
            <w:r w:rsidR="00160D62" w:rsidRPr="00AF408F">
              <w:rPr>
                <w:rFonts w:ascii="Times New Roman" w:hAnsi="Times New Roman"/>
                <w:sz w:val="24"/>
                <w:szCs w:val="24"/>
              </w:rPr>
              <w:t>“</w:t>
            </w:r>
            <w:proofErr w:type="spellStart"/>
            <w:r w:rsidR="00AF6A3C" w:rsidRPr="00AF408F">
              <w:rPr>
                <w:rFonts w:ascii="Times New Roman" w:hAnsi="Times New Roman"/>
                <w:sz w:val="24"/>
                <w:szCs w:val="24"/>
              </w:rPr>
              <w:t>Altum</w:t>
            </w:r>
            <w:proofErr w:type="spellEnd"/>
            <w:r w:rsidR="00160D62" w:rsidRPr="00AF408F">
              <w:rPr>
                <w:rFonts w:ascii="Times New Roman" w:hAnsi="Times New Roman"/>
                <w:sz w:val="24"/>
                <w:szCs w:val="24"/>
              </w:rPr>
              <w:t>”</w:t>
            </w:r>
          </w:p>
        </w:tc>
      </w:tr>
      <w:tr w:rsidR="00175B3E" w:rsidRPr="00AF408F" w14:paraId="7AB826FA" w14:textId="77777777" w:rsidTr="00EE0BD2">
        <w:trPr>
          <w:tblCellSpacing w:w="15" w:type="dxa"/>
        </w:trPr>
        <w:tc>
          <w:tcPr>
            <w:tcW w:w="296" w:type="pct"/>
            <w:hideMark/>
          </w:tcPr>
          <w:p w14:paraId="341452C3" w14:textId="77777777" w:rsidR="00175B3E" w:rsidRPr="00AF408F" w:rsidRDefault="00175B3E" w:rsidP="00175B3E">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4.</w:t>
            </w:r>
          </w:p>
        </w:tc>
        <w:tc>
          <w:tcPr>
            <w:tcW w:w="1678" w:type="pct"/>
            <w:hideMark/>
          </w:tcPr>
          <w:p w14:paraId="0AB7C71A" w14:textId="77777777" w:rsidR="00175B3E" w:rsidRPr="00AF408F" w:rsidRDefault="00175B3E" w:rsidP="00175B3E">
            <w:pPr>
              <w:spacing w:after="0" w:line="240" w:lineRule="auto"/>
              <w:rPr>
                <w:rFonts w:ascii="Times New Roman" w:hAnsi="Times New Roman"/>
                <w:sz w:val="24"/>
                <w:szCs w:val="24"/>
              </w:rPr>
            </w:pPr>
            <w:r w:rsidRPr="00AF408F">
              <w:rPr>
                <w:rFonts w:ascii="Times New Roman" w:hAnsi="Times New Roman"/>
                <w:sz w:val="24"/>
                <w:szCs w:val="24"/>
              </w:rPr>
              <w:t>Cita informācija</w:t>
            </w:r>
          </w:p>
        </w:tc>
        <w:tc>
          <w:tcPr>
            <w:tcW w:w="2960" w:type="pct"/>
            <w:hideMark/>
          </w:tcPr>
          <w:p w14:paraId="475DF621" w14:textId="77777777" w:rsidR="00175B3E" w:rsidRPr="00AF408F" w:rsidRDefault="00175B3E" w:rsidP="00175B3E">
            <w:pPr>
              <w:spacing w:after="0" w:line="240" w:lineRule="auto"/>
              <w:rPr>
                <w:rFonts w:ascii="Times New Roman" w:hAnsi="Times New Roman"/>
                <w:sz w:val="24"/>
                <w:szCs w:val="24"/>
              </w:rPr>
            </w:pPr>
            <w:r w:rsidRPr="00AF408F">
              <w:rPr>
                <w:rFonts w:ascii="Times New Roman" w:hAnsi="Times New Roman"/>
                <w:sz w:val="24"/>
                <w:szCs w:val="24"/>
              </w:rPr>
              <w:t>Nav</w:t>
            </w:r>
            <w:r w:rsidR="00BC36AC" w:rsidRPr="00AF408F">
              <w:rPr>
                <w:rFonts w:ascii="Times New Roman" w:hAnsi="Times New Roman"/>
                <w:sz w:val="24"/>
                <w:szCs w:val="24"/>
              </w:rPr>
              <w:t>.</w:t>
            </w:r>
          </w:p>
        </w:tc>
      </w:tr>
    </w:tbl>
    <w:p w14:paraId="05BC409B" w14:textId="77777777" w:rsidR="00E5323B" w:rsidRPr="00AF408F" w:rsidRDefault="00E5323B" w:rsidP="00E5323B">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AF408F" w14:paraId="08DBC50A" w14:textId="77777777" w:rsidTr="00EE0BD2">
        <w:trPr>
          <w:tblCellSpacing w:w="15" w:type="dxa"/>
        </w:trPr>
        <w:tc>
          <w:tcPr>
            <w:tcW w:w="0" w:type="auto"/>
            <w:gridSpan w:val="3"/>
            <w:vAlign w:val="center"/>
            <w:hideMark/>
          </w:tcPr>
          <w:p w14:paraId="2207307C" w14:textId="77777777" w:rsidR="00655F2C" w:rsidRPr="00AF408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F408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75B3E" w14:paraId="79A05CB7" w14:textId="77777777" w:rsidTr="00EE0BD2">
        <w:trPr>
          <w:tblCellSpacing w:w="15" w:type="dxa"/>
        </w:trPr>
        <w:tc>
          <w:tcPr>
            <w:tcW w:w="300" w:type="pct"/>
            <w:hideMark/>
          </w:tcPr>
          <w:p w14:paraId="7222C8C0" w14:textId="77777777" w:rsidR="00655F2C" w:rsidRPr="00AF408F" w:rsidRDefault="00E5323B" w:rsidP="00E5323B">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1.</w:t>
            </w:r>
          </w:p>
        </w:tc>
        <w:tc>
          <w:tcPr>
            <w:tcW w:w="1700" w:type="pct"/>
            <w:hideMark/>
          </w:tcPr>
          <w:p w14:paraId="3B7C6FD3" w14:textId="77777777" w:rsidR="00E5323B" w:rsidRPr="00AF408F" w:rsidRDefault="00E5323B" w:rsidP="00E5323B">
            <w:pPr>
              <w:spacing w:after="0" w:line="240" w:lineRule="auto"/>
              <w:rPr>
                <w:rFonts w:ascii="Times New Roman" w:eastAsia="Times New Roman" w:hAnsi="Times New Roman" w:cs="Times New Roman"/>
                <w:iCs/>
                <w:color w:val="414142"/>
                <w:sz w:val="24"/>
                <w:szCs w:val="24"/>
                <w:lang w:eastAsia="lv-LV"/>
              </w:rPr>
            </w:pPr>
            <w:r w:rsidRPr="00AF408F">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hideMark/>
          </w:tcPr>
          <w:p w14:paraId="2FDAD815" w14:textId="5947B7B2" w:rsidR="00E5323B" w:rsidRPr="00A055BE" w:rsidRDefault="00BC36AC">
            <w:pPr>
              <w:spacing w:after="0" w:line="240" w:lineRule="auto"/>
              <w:jc w:val="both"/>
              <w:rPr>
                <w:rFonts w:ascii="Times New Roman" w:hAnsi="Times New Roman"/>
                <w:sz w:val="24"/>
                <w:szCs w:val="24"/>
              </w:rPr>
            </w:pPr>
            <w:r w:rsidRPr="00AF408F">
              <w:rPr>
                <w:rFonts w:ascii="Times New Roman" w:hAnsi="Times New Roman"/>
                <w:sz w:val="24"/>
                <w:szCs w:val="24"/>
              </w:rPr>
              <w:t xml:space="preserve">Fiziskas un juridiskas personas, kas nodarbojas ar lauksaimniecisko ražošanu, </w:t>
            </w:r>
            <w:r w:rsidR="00160D62" w:rsidRPr="00AF408F">
              <w:rPr>
                <w:rFonts w:ascii="Times New Roman" w:hAnsi="Times New Roman"/>
                <w:sz w:val="24"/>
                <w:szCs w:val="24"/>
              </w:rPr>
              <w:t xml:space="preserve">zvejniecību un </w:t>
            </w:r>
            <w:proofErr w:type="spellStart"/>
            <w:r w:rsidR="00160D62" w:rsidRPr="00AF408F">
              <w:rPr>
                <w:rFonts w:ascii="Times New Roman" w:hAnsi="Times New Roman"/>
                <w:sz w:val="24"/>
                <w:szCs w:val="24"/>
              </w:rPr>
              <w:t>un</w:t>
            </w:r>
            <w:proofErr w:type="spellEnd"/>
            <w:r w:rsidR="00160D62" w:rsidRPr="00AF408F">
              <w:rPr>
                <w:rFonts w:ascii="Times New Roman" w:hAnsi="Times New Roman"/>
                <w:sz w:val="24"/>
                <w:szCs w:val="24"/>
              </w:rPr>
              <w:t xml:space="preserve"> zvejas produktu apstrādi, </w:t>
            </w:r>
            <w:r w:rsidRPr="00AF408F">
              <w:rPr>
                <w:rFonts w:ascii="Times New Roman" w:hAnsi="Times New Roman"/>
                <w:sz w:val="24"/>
                <w:szCs w:val="24"/>
              </w:rPr>
              <w:t>lauksaimniecības produktu pārstrādes uzņēmumi un lauksaimniecības pakalpojumu kooperatīv</w:t>
            </w:r>
            <w:r w:rsidR="0056510E" w:rsidRPr="00AF408F">
              <w:rPr>
                <w:rFonts w:ascii="Times New Roman" w:hAnsi="Times New Roman"/>
                <w:sz w:val="24"/>
                <w:szCs w:val="24"/>
              </w:rPr>
              <w:t>ās sabiedrības</w:t>
            </w:r>
          </w:p>
        </w:tc>
      </w:tr>
      <w:tr w:rsidR="00E5323B" w:rsidRPr="00175B3E" w14:paraId="176132D4" w14:textId="77777777" w:rsidTr="00EE0BD2">
        <w:trPr>
          <w:tblCellSpacing w:w="15" w:type="dxa"/>
        </w:trPr>
        <w:tc>
          <w:tcPr>
            <w:tcW w:w="300" w:type="pct"/>
            <w:hideMark/>
          </w:tcPr>
          <w:p w14:paraId="1811D670"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2.</w:t>
            </w:r>
          </w:p>
        </w:tc>
        <w:tc>
          <w:tcPr>
            <w:tcW w:w="1700" w:type="pct"/>
            <w:hideMark/>
          </w:tcPr>
          <w:p w14:paraId="7F5C4732"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hideMark/>
          </w:tcPr>
          <w:p w14:paraId="1224586E" w14:textId="6E083E28" w:rsidR="00E5323B" w:rsidRPr="00840999" w:rsidRDefault="00BC36AC" w:rsidP="00840999">
            <w:pPr>
              <w:spacing w:after="0" w:line="240" w:lineRule="auto"/>
              <w:jc w:val="both"/>
              <w:rPr>
                <w:rFonts w:ascii="Times New Roman" w:hAnsi="Times New Roman"/>
                <w:sz w:val="24"/>
              </w:rPr>
            </w:pPr>
            <w:r>
              <w:rPr>
                <w:rFonts w:ascii="Times New Roman" w:hAnsi="Times New Roman"/>
                <w:sz w:val="24"/>
              </w:rPr>
              <w:t xml:space="preserve">Lai sekmētu Eiropas Savienības struktūrfondu finansēto projektu īstenošanu un lauksaimniecības nozarē, lauksaimniecības produktu pārstrādē un zvejniecības un zvejas produktu apstrādē iesaistītajiem uzņēmumiem nodrošinātu ilgtermiņa investīcijas ar atbilstošām aizdevumu likmēm, papildus ir jāparedz atbalsts </w:t>
            </w:r>
            <w:r w:rsidR="00840999">
              <w:rPr>
                <w:rFonts w:ascii="Times New Roman" w:hAnsi="Times New Roman"/>
                <w:sz w:val="24"/>
              </w:rPr>
              <w:t xml:space="preserve">garantijām </w:t>
            </w:r>
            <w:r w:rsidR="00840999">
              <w:rPr>
                <w:rFonts w:ascii="Times New Roman" w:hAnsi="Times New Roman"/>
                <w:sz w:val="24"/>
                <w:szCs w:val="24"/>
              </w:rPr>
              <w:t>kredītiem, galvojumiem un citiem finanšu pakalpojumiem</w:t>
            </w:r>
            <w:r w:rsidR="00160D62">
              <w:rPr>
                <w:rFonts w:ascii="Times New Roman" w:hAnsi="Times New Roman"/>
                <w:sz w:val="24"/>
                <w:szCs w:val="24"/>
              </w:rPr>
              <w:t>.</w:t>
            </w:r>
            <w:r w:rsidR="00840999">
              <w:rPr>
                <w:rFonts w:ascii="Times New Roman" w:hAnsi="Times New Roman"/>
                <w:sz w:val="24"/>
                <w:szCs w:val="24"/>
              </w:rPr>
              <w:t xml:space="preserve"> </w:t>
            </w:r>
            <w:r w:rsidR="00160D62">
              <w:rPr>
                <w:rFonts w:ascii="Times New Roman" w:hAnsi="Times New Roman"/>
                <w:sz w:val="24"/>
                <w:szCs w:val="24"/>
              </w:rPr>
              <w:t>T</w:t>
            </w:r>
            <w:r w:rsidR="00840999">
              <w:rPr>
                <w:rFonts w:ascii="Times New Roman" w:hAnsi="Times New Roman"/>
                <w:sz w:val="24"/>
                <w:szCs w:val="24"/>
              </w:rPr>
              <w:t xml:space="preserve">ā arī </w:t>
            </w:r>
            <w:r w:rsidRPr="00A055BE">
              <w:rPr>
                <w:rFonts w:ascii="Times New Roman" w:hAnsi="Times New Roman"/>
                <w:sz w:val="24"/>
                <w:szCs w:val="24"/>
              </w:rPr>
              <w:t>tiktu veicināta uzņēm</w:t>
            </w:r>
            <w:r w:rsidR="00840999">
              <w:rPr>
                <w:rFonts w:ascii="Times New Roman" w:hAnsi="Times New Roman"/>
                <w:sz w:val="24"/>
                <w:szCs w:val="24"/>
              </w:rPr>
              <w:t xml:space="preserve">umu efektivitāte un nodrošināta </w:t>
            </w:r>
            <w:r w:rsidRPr="00A055BE">
              <w:rPr>
                <w:rFonts w:ascii="Times New Roman" w:hAnsi="Times New Roman"/>
                <w:sz w:val="24"/>
                <w:szCs w:val="24"/>
              </w:rPr>
              <w:t>investīciju ieplūšana uzņēmumos.</w:t>
            </w:r>
          </w:p>
        </w:tc>
      </w:tr>
      <w:tr w:rsidR="00E5323B" w:rsidRPr="00175B3E" w14:paraId="63037139" w14:textId="77777777" w:rsidTr="00EE0BD2">
        <w:trPr>
          <w:tblCellSpacing w:w="15" w:type="dxa"/>
        </w:trPr>
        <w:tc>
          <w:tcPr>
            <w:tcW w:w="300" w:type="pct"/>
            <w:hideMark/>
          </w:tcPr>
          <w:p w14:paraId="06E7B1B5"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700" w:type="pct"/>
            <w:hideMark/>
          </w:tcPr>
          <w:p w14:paraId="01991332"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Administratīvo izmaksu monetārs novērtējums</w:t>
            </w:r>
          </w:p>
        </w:tc>
        <w:tc>
          <w:tcPr>
            <w:tcW w:w="3000" w:type="pct"/>
            <w:hideMark/>
          </w:tcPr>
          <w:p w14:paraId="68821F9B" w14:textId="77777777" w:rsidR="00E5323B" w:rsidRPr="00175B3E" w:rsidRDefault="00123346"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P</w:t>
            </w:r>
            <w:r w:rsidRPr="00123346">
              <w:rPr>
                <w:rFonts w:ascii="Times New Roman" w:hAnsi="Times New Roman"/>
                <w:sz w:val="24"/>
                <w:szCs w:val="24"/>
              </w:rPr>
              <w:t>rojekts nepalielinās administratīvo slogu.</w:t>
            </w:r>
          </w:p>
        </w:tc>
      </w:tr>
      <w:tr w:rsidR="00E5323B" w:rsidRPr="00175B3E" w14:paraId="511F7227" w14:textId="77777777" w:rsidTr="00EE0BD2">
        <w:trPr>
          <w:tblCellSpacing w:w="15" w:type="dxa"/>
        </w:trPr>
        <w:tc>
          <w:tcPr>
            <w:tcW w:w="300" w:type="pct"/>
            <w:hideMark/>
          </w:tcPr>
          <w:p w14:paraId="161B7CF0"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4.</w:t>
            </w:r>
          </w:p>
        </w:tc>
        <w:tc>
          <w:tcPr>
            <w:tcW w:w="1700" w:type="pct"/>
            <w:hideMark/>
          </w:tcPr>
          <w:p w14:paraId="3794C5E0"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Atbilstības izmaksu monetārs novērtējums</w:t>
            </w:r>
          </w:p>
        </w:tc>
        <w:tc>
          <w:tcPr>
            <w:tcW w:w="3000" w:type="pct"/>
            <w:hideMark/>
          </w:tcPr>
          <w:p w14:paraId="6177EF2D" w14:textId="77777777" w:rsidR="00E5323B" w:rsidRPr="00175B3E" w:rsidRDefault="006E31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A137C">
              <w:rPr>
                <w:rFonts w:ascii="Times New Roman" w:hAnsi="Times New Roman"/>
                <w:color w:val="000000"/>
                <w:sz w:val="24"/>
                <w:szCs w:val="24"/>
              </w:rPr>
              <w:t>Projekts šo jomu neskar.</w:t>
            </w:r>
          </w:p>
        </w:tc>
      </w:tr>
      <w:tr w:rsidR="00E5323B" w:rsidRPr="00175B3E" w14:paraId="65895E33" w14:textId="77777777" w:rsidTr="00EE0BD2">
        <w:trPr>
          <w:tblCellSpacing w:w="15" w:type="dxa"/>
        </w:trPr>
        <w:tc>
          <w:tcPr>
            <w:tcW w:w="300" w:type="pct"/>
            <w:hideMark/>
          </w:tcPr>
          <w:p w14:paraId="3E6B3615"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5.</w:t>
            </w:r>
          </w:p>
        </w:tc>
        <w:tc>
          <w:tcPr>
            <w:tcW w:w="1700" w:type="pct"/>
            <w:hideMark/>
          </w:tcPr>
          <w:p w14:paraId="32069D65"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3000" w:type="pct"/>
            <w:hideMark/>
          </w:tcPr>
          <w:p w14:paraId="42D0F665" w14:textId="77777777" w:rsidR="00E5323B" w:rsidRPr="00175B3E" w:rsidRDefault="00BC36A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C36AC">
              <w:rPr>
                <w:rFonts w:ascii="Times New Roman" w:eastAsia="Times New Roman" w:hAnsi="Times New Roman" w:cs="Times New Roman"/>
                <w:iCs/>
                <w:sz w:val="24"/>
                <w:szCs w:val="24"/>
                <w:lang w:eastAsia="lv-LV"/>
              </w:rPr>
              <w:t>Nav.</w:t>
            </w:r>
          </w:p>
        </w:tc>
      </w:tr>
    </w:tbl>
    <w:p w14:paraId="61EFBEBD" w14:textId="77777777" w:rsidR="00EE0BD2"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EE0BD2" w:rsidRPr="003D398C" w14:paraId="40499A31" w14:textId="77777777" w:rsidTr="00572291">
        <w:trPr>
          <w:tblCellSpacing w:w="15" w:type="dxa"/>
        </w:trPr>
        <w:tc>
          <w:tcPr>
            <w:tcW w:w="9001" w:type="dxa"/>
            <w:vAlign w:val="center"/>
            <w:hideMark/>
          </w:tcPr>
          <w:p w14:paraId="45754E4C" w14:textId="77777777" w:rsidR="00EE0BD2" w:rsidRPr="003D398C" w:rsidRDefault="00EE0BD2" w:rsidP="00F576C7">
            <w:pPr>
              <w:spacing w:after="0" w:line="240" w:lineRule="auto"/>
              <w:jc w:val="center"/>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lastRenderedPageBreak/>
              <w:t>III. Tiesību akta projekta ietekme uz valsts budžetu un pašvaldību budžetiem</w:t>
            </w:r>
          </w:p>
        </w:tc>
      </w:tr>
      <w:tr w:rsidR="00AA406E" w:rsidRPr="003D398C" w14:paraId="28037354" w14:textId="77777777" w:rsidTr="00572291">
        <w:trPr>
          <w:tblCellSpacing w:w="15" w:type="dxa"/>
        </w:trPr>
        <w:tc>
          <w:tcPr>
            <w:tcW w:w="9001" w:type="dxa"/>
            <w:vAlign w:val="center"/>
          </w:tcPr>
          <w:p w14:paraId="62AD28CF" w14:textId="77777777" w:rsidR="00AA406E" w:rsidRPr="00AA406E" w:rsidRDefault="00AA406E" w:rsidP="00F576C7">
            <w:pPr>
              <w:spacing w:after="0" w:line="240" w:lineRule="auto"/>
              <w:jc w:val="center"/>
              <w:rPr>
                <w:rFonts w:ascii="Times New Roman" w:eastAsia="Times New Roman" w:hAnsi="Times New Roman" w:cs="Times New Roman"/>
                <w:bCs/>
                <w:iCs/>
                <w:color w:val="414142"/>
                <w:sz w:val="24"/>
                <w:szCs w:val="24"/>
                <w:lang w:eastAsia="lv-LV"/>
              </w:rPr>
            </w:pPr>
            <w:r w:rsidRPr="00AA406E">
              <w:rPr>
                <w:rFonts w:ascii="Times New Roman" w:eastAsia="Times New Roman" w:hAnsi="Times New Roman" w:cs="Times New Roman"/>
                <w:bCs/>
                <w:iCs/>
                <w:color w:val="414142"/>
                <w:sz w:val="24"/>
                <w:szCs w:val="24"/>
                <w:lang w:eastAsia="lv-LV"/>
              </w:rPr>
              <w:t>Projekts šo jomu neskar.</w:t>
            </w:r>
          </w:p>
        </w:tc>
      </w:tr>
    </w:tbl>
    <w:p w14:paraId="276C2719" w14:textId="77777777" w:rsidR="00EE0BD2" w:rsidRPr="00175B3E"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A1632" w14:paraId="48DF700D" w14:textId="77777777" w:rsidTr="00EE0BD2">
        <w:tc>
          <w:tcPr>
            <w:tcW w:w="0" w:type="auto"/>
            <w:vAlign w:val="center"/>
            <w:hideMark/>
          </w:tcPr>
          <w:p w14:paraId="7B24ABCA" w14:textId="77777777" w:rsidR="003A1632" w:rsidRPr="007F3FDF" w:rsidRDefault="003A1632">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7F3FDF">
              <w:rPr>
                <w:rFonts w:ascii="Times New Roman" w:eastAsia="Times New Roman" w:hAnsi="Times New Roman" w:cs="Times New Roman"/>
                <w:b/>
                <w:bCs/>
                <w:sz w:val="24"/>
                <w:szCs w:val="24"/>
                <w:lang w:eastAsia="lv-LV"/>
              </w:rPr>
              <w:t>IV. Tiesību akta projekta ietekme uz spēkā esošo tiesību normu sistēmu</w:t>
            </w:r>
          </w:p>
        </w:tc>
      </w:tr>
      <w:tr w:rsidR="003A1632" w14:paraId="5C7C8DEB" w14:textId="77777777" w:rsidTr="00EE0BD2">
        <w:tc>
          <w:tcPr>
            <w:tcW w:w="5000" w:type="pct"/>
            <w:hideMark/>
          </w:tcPr>
          <w:p w14:paraId="3EDA6C61" w14:textId="77777777" w:rsidR="003A1632" w:rsidRPr="007F3FDF" w:rsidRDefault="003A1632">
            <w:pPr>
              <w:spacing w:after="0" w:line="240" w:lineRule="auto"/>
              <w:jc w:val="center"/>
              <w:rPr>
                <w:rFonts w:ascii="Times New Roman" w:eastAsia="Times New Roman" w:hAnsi="Times New Roman" w:cs="Times New Roman"/>
                <w:sz w:val="24"/>
                <w:szCs w:val="24"/>
                <w:lang w:eastAsia="lv-LV"/>
              </w:rPr>
            </w:pPr>
            <w:r w:rsidRPr="007F3FDF">
              <w:rPr>
                <w:rFonts w:ascii="Times New Roman" w:eastAsia="Times New Roman" w:hAnsi="Times New Roman" w:cs="Times New Roman"/>
                <w:sz w:val="24"/>
                <w:szCs w:val="24"/>
                <w:lang w:eastAsia="lv-LV"/>
              </w:rPr>
              <w:t>Projekts šo jomu neskar.</w:t>
            </w:r>
          </w:p>
        </w:tc>
      </w:tr>
    </w:tbl>
    <w:p w14:paraId="315D518E" w14:textId="77777777" w:rsidR="0010076A" w:rsidRPr="006956AC" w:rsidRDefault="0010076A" w:rsidP="006956A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3"/>
        <w:gridCol w:w="3082"/>
        <w:gridCol w:w="5436"/>
      </w:tblGrid>
      <w:tr w:rsidR="0010076A" w:rsidRPr="0010076A" w14:paraId="1B1C388F" w14:textId="77777777" w:rsidTr="003F3F5D">
        <w:trPr>
          <w:tblCellSpacing w:w="15" w:type="dxa"/>
        </w:trPr>
        <w:tc>
          <w:tcPr>
            <w:tcW w:w="0" w:type="auto"/>
            <w:gridSpan w:val="3"/>
            <w:vAlign w:val="center"/>
            <w:hideMark/>
          </w:tcPr>
          <w:p w14:paraId="640E7E9D" w14:textId="77777777" w:rsidR="0010076A" w:rsidRPr="0010076A"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D8702F" w:rsidRPr="00D8702F" w14:paraId="46A2C9AE" w14:textId="77777777" w:rsidTr="00D8702F">
        <w:tblPrEx>
          <w:tblCellSpacing w:w="0" w:type="nil"/>
          <w:tblCellMar>
            <w:top w:w="0" w:type="dxa"/>
            <w:left w:w="108" w:type="dxa"/>
            <w:bottom w:w="0" w:type="dxa"/>
            <w:right w:w="108" w:type="dxa"/>
          </w:tblCellMar>
        </w:tblPrEx>
        <w:tc>
          <w:tcPr>
            <w:tcW w:w="275" w:type="pct"/>
            <w:shd w:val="clear" w:color="auto" w:fill="auto"/>
            <w:hideMark/>
          </w:tcPr>
          <w:p w14:paraId="24B29287" w14:textId="77777777" w:rsidR="00D8702F" w:rsidRPr="00D8702F" w:rsidRDefault="00D8702F" w:rsidP="00D8702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r w:rsidRPr="00D8702F">
              <w:rPr>
                <w:rFonts w:ascii="Times New Roman" w:eastAsia="Times New Roman" w:hAnsi="Times New Roman" w:cs="Times New Roman"/>
                <w:iCs/>
                <w:color w:val="414142"/>
                <w:sz w:val="24"/>
                <w:szCs w:val="24"/>
                <w:lang w:eastAsia="lv-LV"/>
              </w:rPr>
              <w:t>.</w:t>
            </w:r>
          </w:p>
        </w:tc>
        <w:tc>
          <w:tcPr>
            <w:tcW w:w="1684" w:type="pct"/>
            <w:shd w:val="clear" w:color="auto" w:fill="auto"/>
            <w:hideMark/>
          </w:tcPr>
          <w:p w14:paraId="71AC10F1" w14:textId="77777777" w:rsidR="00D8702F" w:rsidRPr="00D8702F" w:rsidRDefault="00D8702F" w:rsidP="00D8702F">
            <w:pPr>
              <w:spacing w:after="0" w:line="240" w:lineRule="auto"/>
              <w:rPr>
                <w:rFonts w:ascii="Times New Roman" w:eastAsia="Times New Roman" w:hAnsi="Times New Roman" w:cs="Times New Roman"/>
                <w:iCs/>
                <w:color w:val="414142"/>
                <w:sz w:val="24"/>
                <w:szCs w:val="24"/>
                <w:lang w:eastAsia="lv-LV"/>
              </w:rPr>
            </w:pPr>
            <w:r w:rsidRPr="00D8702F">
              <w:rPr>
                <w:rFonts w:ascii="Times New Roman" w:eastAsia="Times New Roman" w:hAnsi="Times New Roman" w:cs="Times New Roman"/>
                <w:iCs/>
                <w:color w:val="414142"/>
                <w:sz w:val="24"/>
                <w:szCs w:val="24"/>
                <w:lang w:eastAsia="lv-LV"/>
              </w:rPr>
              <w:t>Saistības pret Eiropas Savienību</w:t>
            </w:r>
          </w:p>
        </w:tc>
        <w:tc>
          <w:tcPr>
            <w:tcW w:w="2975" w:type="pct"/>
            <w:shd w:val="clear" w:color="auto" w:fill="auto"/>
            <w:hideMark/>
          </w:tcPr>
          <w:p w14:paraId="7112EDD3" w14:textId="77777777" w:rsidR="00D8702F" w:rsidRPr="008F1741" w:rsidRDefault="00D8702F" w:rsidP="00D8702F">
            <w:pPr>
              <w:spacing w:after="0" w:line="240" w:lineRule="auto"/>
              <w:jc w:val="both"/>
              <w:rPr>
                <w:rFonts w:ascii="Times New Roman" w:eastAsia="Times New Roman" w:hAnsi="Times New Roman" w:cs="Times New Roman"/>
                <w:iCs/>
                <w:sz w:val="24"/>
                <w:szCs w:val="24"/>
                <w:lang w:eastAsia="lv-LV"/>
              </w:rPr>
            </w:pPr>
            <w:r w:rsidRPr="008F1741">
              <w:rPr>
                <w:rFonts w:ascii="Times New Roman" w:eastAsia="Times New Roman" w:hAnsi="Times New Roman" w:cs="Times New Roman"/>
                <w:iCs/>
                <w:sz w:val="24"/>
                <w:szCs w:val="24"/>
                <w:lang w:eastAsia="lv-LV"/>
              </w:rPr>
              <w:t>Komisijas 2013.gada 18.decembra Regula (EK) Nr.</w:t>
            </w:r>
            <w:r w:rsidR="00160D62" w:rsidRPr="008F1741">
              <w:rPr>
                <w:rFonts w:ascii="Times New Roman" w:eastAsia="Times New Roman" w:hAnsi="Times New Roman" w:cs="Times New Roman"/>
                <w:iCs/>
                <w:sz w:val="24"/>
                <w:szCs w:val="24"/>
                <w:lang w:eastAsia="lv-LV"/>
              </w:rPr>
              <w:t> </w:t>
            </w:r>
            <w:hyperlink r:id="rId14" w:tgtFrame="_blank" w:history="1">
              <w:r w:rsidRPr="008F1741">
                <w:rPr>
                  <w:rFonts w:ascii="Times New Roman" w:eastAsia="Times New Roman" w:hAnsi="Times New Roman" w:cs="Times New Roman"/>
                  <w:iCs/>
                  <w:sz w:val="24"/>
                  <w:szCs w:val="24"/>
                  <w:lang w:eastAsia="lv-LV"/>
                </w:rPr>
                <w:t>1407/2013</w:t>
              </w:r>
            </w:hyperlink>
            <w:r w:rsidRPr="008F1741">
              <w:rPr>
                <w:rFonts w:ascii="Times New Roman" w:eastAsia="Times New Roman" w:hAnsi="Times New Roman" w:cs="Times New Roman"/>
                <w:iCs/>
                <w:sz w:val="24"/>
                <w:szCs w:val="24"/>
                <w:lang w:eastAsia="lv-LV"/>
              </w:rPr>
              <w:t xml:space="preserve"> par Līguma par Eiropas Savienības darbību 107. un 108.</w:t>
            </w:r>
            <w:r w:rsidR="00160D62" w:rsidRPr="008F1741">
              <w:rPr>
                <w:rFonts w:ascii="Times New Roman" w:eastAsia="Times New Roman" w:hAnsi="Times New Roman" w:cs="Times New Roman"/>
                <w:iCs/>
                <w:sz w:val="24"/>
                <w:szCs w:val="24"/>
                <w:lang w:eastAsia="lv-LV"/>
              </w:rPr>
              <w:t xml:space="preserve"> </w:t>
            </w:r>
            <w:r w:rsidRPr="008F1741">
              <w:rPr>
                <w:rFonts w:ascii="Times New Roman" w:eastAsia="Times New Roman" w:hAnsi="Times New Roman" w:cs="Times New Roman"/>
                <w:iCs/>
                <w:sz w:val="24"/>
                <w:szCs w:val="24"/>
                <w:lang w:eastAsia="lv-LV"/>
              </w:rPr>
              <w:t xml:space="preserve">panta piemērošanu </w:t>
            </w:r>
            <w:proofErr w:type="spellStart"/>
            <w:r w:rsidRPr="008F1741">
              <w:rPr>
                <w:rFonts w:ascii="Times New Roman" w:eastAsia="Times New Roman" w:hAnsi="Times New Roman" w:cs="Times New Roman"/>
                <w:i/>
                <w:iCs/>
                <w:sz w:val="24"/>
                <w:szCs w:val="24"/>
                <w:lang w:eastAsia="lv-LV"/>
              </w:rPr>
              <w:t>de</w:t>
            </w:r>
            <w:proofErr w:type="spellEnd"/>
            <w:r w:rsidRPr="008F1741">
              <w:rPr>
                <w:rFonts w:ascii="Times New Roman" w:eastAsia="Times New Roman" w:hAnsi="Times New Roman" w:cs="Times New Roman"/>
                <w:i/>
                <w:iCs/>
                <w:sz w:val="24"/>
                <w:szCs w:val="24"/>
                <w:lang w:eastAsia="lv-LV"/>
              </w:rPr>
              <w:t xml:space="preserve"> </w:t>
            </w:r>
            <w:proofErr w:type="spellStart"/>
            <w:r w:rsidRPr="008F1741">
              <w:rPr>
                <w:rFonts w:ascii="Times New Roman" w:eastAsia="Times New Roman" w:hAnsi="Times New Roman" w:cs="Times New Roman"/>
                <w:i/>
                <w:iCs/>
                <w:sz w:val="24"/>
                <w:szCs w:val="24"/>
                <w:lang w:eastAsia="lv-LV"/>
              </w:rPr>
              <w:t>minimis</w:t>
            </w:r>
            <w:proofErr w:type="spellEnd"/>
            <w:r w:rsidRPr="008F1741">
              <w:rPr>
                <w:rFonts w:ascii="Times New Roman" w:eastAsia="Times New Roman" w:hAnsi="Times New Roman" w:cs="Times New Roman"/>
                <w:iCs/>
                <w:sz w:val="24"/>
                <w:szCs w:val="24"/>
                <w:lang w:eastAsia="lv-LV"/>
              </w:rPr>
              <w:t xml:space="preserve"> atbalstam;</w:t>
            </w:r>
          </w:p>
          <w:p w14:paraId="7E3AB6A7" w14:textId="77777777" w:rsidR="00D8702F" w:rsidRPr="008F1741" w:rsidRDefault="00D8702F" w:rsidP="00D8702F">
            <w:pPr>
              <w:spacing w:after="0" w:line="240" w:lineRule="auto"/>
              <w:jc w:val="both"/>
              <w:rPr>
                <w:rFonts w:ascii="Times New Roman" w:eastAsia="Times New Roman" w:hAnsi="Times New Roman" w:cs="Times New Roman"/>
                <w:iCs/>
                <w:sz w:val="24"/>
                <w:szCs w:val="24"/>
                <w:lang w:eastAsia="lv-LV"/>
              </w:rPr>
            </w:pPr>
            <w:r w:rsidRPr="008F1741">
              <w:rPr>
                <w:rFonts w:ascii="Times New Roman" w:eastAsia="Times New Roman" w:hAnsi="Times New Roman" w:cs="Times New Roman"/>
                <w:iCs/>
                <w:sz w:val="24"/>
                <w:szCs w:val="24"/>
                <w:lang w:eastAsia="lv-LV"/>
              </w:rPr>
              <w:t>Komisijas 2013.gada 18.decembra Regula (EK) Nr.</w:t>
            </w:r>
            <w:r w:rsidR="00160D62" w:rsidRPr="008F1741">
              <w:rPr>
                <w:rFonts w:ascii="Times New Roman" w:eastAsia="Times New Roman" w:hAnsi="Times New Roman" w:cs="Times New Roman"/>
                <w:iCs/>
                <w:sz w:val="24"/>
                <w:szCs w:val="24"/>
                <w:lang w:eastAsia="lv-LV"/>
              </w:rPr>
              <w:t> </w:t>
            </w:r>
            <w:hyperlink r:id="rId15" w:tgtFrame="_blank" w:history="1">
              <w:r w:rsidRPr="008F1741">
                <w:rPr>
                  <w:rFonts w:ascii="Times New Roman" w:eastAsia="Times New Roman" w:hAnsi="Times New Roman" w:cs="Times New Roman"/>
                  <w:iCs/>
                  <w:sz w:val="24"/>
                  <w:szCs w:val="24"/>
                  <w:lang w:eastAsia="lv-LV"/>
                </w:rPr>
                <w:t>1408/2013</w:t>
              </w:r>
            </w:hyperlink>
            <w:r w:rsidRPr="008F1741">
              <w:rPr>
                <w:rFonts w:ascii="Times New Roman" w:eastAsia="Times New Roman" w:hAnsi="Times New Roman" w:cs="Times New Roman"/>
                <w:iCs/>
                <w:sz w:val="24"/>
                <w:szCs w:val="24"/>
                <w:lang w:eastAsia="lv-LV"/>
              </w:rPr>
              <w:t xml:space="preserve"> par Līguma par Eiropas Savienības darbību 107. un 108.</w:t>
            </w:r>
            <w:r w:rsidR="00160D62" w:rsidRPr="008F1741">
              <w:rPr>
                <w:rFonts w:ascii="Times New Roman" w:eastAsia="Times New Roman" w:hAnsi="Times New Roman" w:cs="Times New Roman"/>
                <w:iCs/>
                <w:sz w:val="24"/>
                <w:szCs w:val="24"/>
                <w:lang w:eastAsia="lv-LV"/>
              </w:rPr>
              <w:t xml:space="preserve"> </w:t>
            </w:r>
            <w:r w:rsidRPr="008F1741">
              <w:rPr>
                <w:rFonts w:ascii="Times New Roman" w:eastAsia="Times New Roman" w:hAnsi="Times New Roman" w:cs="Times New Roman"/>
                <w:iCs/>
                <w:sz w:val="24"/>
                <w:szCs w:val="24"/>
                <w:lang w:eastAsia="lv-LV"/>
              </w:rPr>
              <w:t xml:space="preserve">panta piemērošanu </w:t>
            </w:r>
            <w:proofErr w:type="spellStart"/>
            <w:r w:rsidRPr="008F1741">
              <w:rPr>
                <w:rFonts w:ascii="Times New Roman" w:eastAsia="Times New Roman" w:hAnsi="Times New Roman" w:cs="Times New Roman"/>
                <w:i/>
                <w:iCs/>
                <w:sz w:val="24"/>
                <w:szCs w:val="24"/>
                <w:lang w:eastAsia="lv-LV"/>
              </w:rPr>
              <w:t>de</w:t>
            </w:r>
            <w:proofErr w:type="spellEnd"/>
            <w:r w:rsidRPr="008F1741">
              <w:rPr>
                <w:rFonts w:ascii="Times New Roman" w:eastAsia="Times New Roman" w:hAnsi="Times New Roman" w:cs="Times New Roman"/>
                <w:i/>
                <w:iCs/>
                <w:sz w:val="24"/>
                <w:szCs w:val="24"/>
                <w:lang w:eastAsia="lv-LV"/>
              </w:rPr>
              <w:t xml:space="preserve"> </w:t>
            </w:r>
            <w:proofErr w:type="spellStart"/>
            <w:r w:rsidRPr="008F1741">
              <w:rPr>
                <w:rFonts w:ascii="Times New Roman" w:eastAsia="Times New Roman" w:hAnsi="Times New Roman" w:cs="Times New Roman"/>
                <w:i/>
                <w:iCs/>
                <w:sz w:val="24"/>
                <w:szCs w:val="24"/>
                <w:lang w:eastAsia="lv-LV"/>
              </w:rPr>
              <w:t>minimis</w:t>
            </w:r>
            <w:proofErr w:type="spellEnd"/>
            <w:r w:rsidRPr="008F1741">
              <w:rPr>
                <w:rFonts w:ascii="Times New Roman" w:eastAsia="Times New Roman" w:hAnsi="Times New Roman" w:cs="Times New Roman"/>
                <w:iCs/>
                <w:sz w:val="24"/>
                <w:szCs w:val="24"/>
                <w:lang w:eastAsia="lv-LV"/>
              </w:rPr>
              <w:t xml:space="preserve"> atbalstam lauksaimniecības nozarē;</w:t>
            </w:r>
          </w:p>
          <w:p w14:paraId="2D7E2060" w14:textId="4D45828F" w:rsidR="00D8702F" w:rsidRPr="008F1741" w:rsidRDefault="00D8702F" w:rsidP="00D8702F">
            <w:pPr>
              <w:spacing w:after="0" w:line="240" w:lineRule="auto"/>
              <w:jc w:val="both"/>
              <w:rPr>
                <w:rFonts w:ascii="Times New Roman" w:eastAsia="Times New Roman" w:hAnsi="Times New Roman" w:cs="Times New Roman"/>
                <w:iCs/>
                <w:sz w:val="24"/>
                <w:szCs w:val="24"/>
                <w:lang w:eastAsia="lv-LV"/>
              </w:rPr>
            </w:pPr>
            <w:r w:rsidRPr="008F1741">
              <w:rPr>
                <w:rFonts w:ascii="Times New Roman" w:eastAsia="Times New Roman" w:hAnsi="Times New Roman" w:cs="Times New Roman"/>
                <w:iCs/>
                <w:sz w:val="24"/>
                <w:szCs w:val="24"/>
                <w:lang w:eastAsia="lv-LV"/>
              </w:rPr>
              <w:t>Komisijas 2014. gada 27. jūnija Regula (EK) Nr.</w:t>
            </w:r>
            <w:r w:rsidR="00160D62" w:rsidRPr="008F1741">
              <w:rPr>
                <w:rFonts w:ascii="Times New Roman" w:eastAsia="Times New Roman" w:hAnsi="Times New Roman" w:cs="Times New Roman"/>
                <w:iCs/>
                <w:sz w:val="24"/>
                <w:szCs w:val="24"/>
                <w:lang w:eastAsia="lv-LV"/>
              </w:rPr>
              <w:t> </w:t>
            </w:r>
            <w:hyperlink r:id="rId16" w:tgtFrame="_blank" w:history="1">
              <w:r w:rsidRPr="008F1741">
                <w:rPr>
                  <w:rFonts w:ascii="Times New Roman" w:eastAsia="Times New Roman" w:hAnsi="Times New Roman" w:cs="Times New Roman"/>
                  <w:iCs/>
                  <w:sz w:val="24"/>
                  <w:szCs w:val="24"/>
                  <w:lang w:eastAsia="lv-LV"/>
                </w:rPr>
                <w:t>717/2014</w:t>
              </w:r>
            </w:hyperlink>
            <w:r w:rsidRPr="008F1741">
              <w:rPr>
                <w:rFonts w:ascii="Times New Roman" w:eastAsia="Times New Roman" w:hAnsi="Times New Roman" w:cs="Times New Roman"/>
                <w:iCs/>
                <w:sz w:val="24"/>
                <w:szCs w:val="24"/>
                <w:lang w:eastAsia="lv-LV"/>
              </w:rPr>
              <w:t xml:space="preserve"> par Līguma par Eiropas Savienības darbību 107. un 108. panta piemērošanu </w:t>
            </w:r>
            <w:proofErr w:type="spellStart"/>
            <w:r w:rsidRPr="008F1741">
              <w:rPr>
                <w:rFonts w:ascii="Times New Roman" w:eastAsia="Times New Roman" w:hAnsi="Times New Roman" w:cs="Times New Roman"/>
                <w:i/>
                <w:iCs/>
                <w:sz w:val="24"/>
                <w:szCs w:val="24"/>
                <w:lang w:eastAsia="lv-LV"/>
              </w:rPr>
              <w:t>de</w:t>
            </w:r>
            <w:proofErr w:type="spellEnd"/>
            <w:r w:rsidRPr="008F1741">
              <w:rPr>
                <w:rFonts w:ascii="Times New Roman" w:eastAsia="Times New Roman" w:hAnsi="Times New Roman" w:cs="Times New Roman"/>
                <w:i/>
                <w:iCs/>
                <w:sz w:val="24"/>
                <w:szCs w:val="24"/>
                <w:lang w:eastAsia="lv-LV"/>
              </w:rPr>
              <w:t xml:space="preserve"> </w:t>
            </w:r>
            <w:proofErr w:type="spellStart"/>
            <w:r w:rsidRPr="008F1741">
              <w:rPr>
                <w:rFonts w:ascii="Times New Roman" w:eastAsia="Times New Roman" w:hAnsi="Times New Roman" w:cs="Times New Roman"/>
                <w:i/>
                <w:iCs/>
                <w:sz w:val="24"/>
                <w:szCs w:val="24"/>
                <w:lang w:eastAsia="lv-LV"/>
              </w:rPr>
              <w:t>minimis</w:t>
            </w:r>
            <w:proofErr w:type="spellEnd"/>
            <w:r w:rsidRPr="008F1741">
              <w:rPr>
                <w:rFonts w:ascii="Times New Roman" w:eastAsia="Times New Roman" w:hAnsi="Times New Roman" w:cs="Times New Roman"/>
                <w:iCs/>
                <w:sz w:val="24"/>
                <w:szCs w:val="24"/>
                <w:lang w:eastAsia="lv-LV"/>
              </w:rPr>
              <w:t xml:space="preserve"> atbalstam zvejniecības un akvakultūras nozarē;</w:t>
            </w:r>
          </w:p>
          <w:p w14:paraId="5AACD884" w14:textId="77777777" w:rsidR="00D8702F" w:rsidRPr="008F1741" w:rsidRDefault="00D8702F" w:rsidP="00D8702F">
            <w:pPr>
              <w:spacing w:after="0" w:line="240" w:lineRule="auto"/>
              <w:jc w:val="both"/>
              <w:rPr>
                <w:rFonts w:ascii="Times New Roman" w:eastAsia="Times New Roman" w:hAnsi="Times New Roman" w:cs="Times New Roman"/>
                <w:iCs/>
                <w:sz w:val="24"/>
                <w:szCs w:val="24"/>
                <w:lang w:eastAsia="lv-LV"/>
              </w:rPr>
            </w:pPr>
            <w:r w:rsidRPr="008F1741">
              <w:rPr>
                <w:rFonts w:ascii="Times New Roman" w:eastAsia="Times New Roman" w:hAnsi="Times New Roman" w:cs="Times New Roman"/>
                <w:iCs/>
                <w:sz w:val="24"/>
                <w:szCs w:val="24"/>
                <w:lang w:eastAsia="lv-LV"/>
              </w:rPr>
              <w:t>Komisijas 2014.</w:t>
            </w:r>
            <w:r w:rsidR="00160D62" w:rsidRPr="008F1741">
              <w:rPr>
                <w:rFonts w:ascii="Times New Roman" w:eastAsia="Times New Roman" w:hAnsi="Times New Roman" w:cs="Times New Roman"/>
                <w:iCs/>
                <w:sz w:val="24"/>
                <w:szCs w:val="24"/>
                <w:lang w:eastAsia="lv-LV"/>
              </w:rPr>
              <w:t xml:space="preserve"> </w:t>
            </w:r>
            <w:r w:rsidRPr="008F1741">
              <w:rPr>
                <w:rFonts w:ascii="Times New Roman" w:eastAsia="Times New Roman" w:hAnsi="Times New Roman" w:cs="Times New Roman"/>
                <w:iCs/>
                <w:sz w:val="24"/>
                <w:szCs w:val="24"/>
                <w:lang w:eastAsia="lv-LV"/>
              </w:rPr>
              <w:t>gada 25.</w:t>
            </w:r>
            <w:r w:rsidR="00160D62" w:rsidRPr="008F1741">
              <w:rPr>
                <w:rFonts w:ascii="Times New Roman" w:eastAsia="Times New Roman" w:hAnsi="Times New Roman" w:cs="Times New Roman"/>
                <w:iCs/>
                <w:sz w:val="24"/>
                <w:szCs w:val="24"/>
                <w:lang w:eastAsia="lv-LV"/>
              </w:rPr>
              <w:t xml:space="preserve"> </w:t>
            </w:r>
            <w:r w:rsidRPr="008F1741">
              <w:rPr>
                <w:rFonts w:ascii="Times New Roman" w:eastAsia="Times New Roman" w:hAnsi="Times New Roman" w:cs="Times New Roman"/>
                <w:iCs/>
                <w:sz w:val="24"/>
                <w:szCs w:val="24"/>
                <w:lang w:eastAsia="lv-LV"/>
              </w:rPr>
              <w:t>jūnija Regula (ES) Nr.</w:t>
            </w:r>
            <w:r w:rsidR="00160D62" w:rsidRPr="008F1741">
              <w:rPr>
                <w:rFonts w:ascii="Times New Roman" w:eastAsia="Times New Roman" w:hAnsi="Times New Roman" w:cs="Times New Roman"/>
                <w:iCs/>
                <w:sz w:val="24"/>
                <w:szCs w:val="24"/>
                <w:lang w:eastAsia="lv-LV"/>
              </w:rPr>
              <w:t> </w:t>
            </w:r>
            <w:r w:rsidRPr="008F1741">
              <w:rPr>
                <w:rFonts w:ascii="Times New Roman" w:eastAsia="Times New Roman" w:hAnsi="Times New Roman" w:cs="Times New Roman"/>
                <w:iCs/>
                <w:sz w:val="24"/>
                <w:szCs w:val="24"/>
                <w:lang w:eastAsia="lv-LV"/>
              </w:rPr>
              <w:t>702/2014, ar kuru konkrētas atbalsta kategorijas lauksaimniecības un mežsaimniecības nozarē un lauku apvidos atzīst par saderīgām ar iekšējo tirgu, piemērojot Līguma par Eiropas Savienības darbību 107. un 108.</w:t>
            </w:r>
            <w:r w:rsidR="00160D62" w:rsidRPr="008F1741">
              <w:rPr>
                <w:rFonts w:ascii="Times New Roman" w:eastAsia="Times New Roman" w:hAnsi="Times New Roman" w:cs="Times New Roman"/>
                <w:iCs/>
                <w:sz w:val="24"/>
                <w:szCs w:val="24"/>
                <w:lang w:eastAsia="lv-LV"/>
              </w:rPr>
              <w:t xml:space="preserve"> </w:t>
            </w:r>
            <w:r w:rsidRPr="008F1741">
              <w:rPr>
                <w:rFonts w:ascii="Times New Roman" w:eastAsia="Times New Roman" w:hAnsi="Times New Roman" w:cs="Times New Roman"/>
                <w:iCs/>
                <w:sz w:val="24"/>
                <w:szCs w:val="24"/>
                <w:lang w:eastAsia="lv-LV"/>
              </w:rPr>
              <w:t>pantu;</w:t>
            </w:r>
          </w:p>
          <w:p w14:paraId="33FB3165" w14:textId="029AB91B" w:rsidR="00D8702F" w:rsidRPr="00D8702F" w:rsidRDefault="00C22FF2" w:rsidP="00C22FF2">
            <w:pPr>
              <w:spacing w:after="0" w:line="240" w:lineRule="auto"/>
              <w:jc w:val="both"/>
              <w:rPr>
                <w:rFonts w:ascii="Times New Roman" w:eastAsia="Times New Roman" w:hAnsi="Times New Roman" w:cs="Times New Roman"/>
                <w:iCs/>
                <w:color w:val="414142"/>
                <w:sz w:val="24"/>
                <w:szCs w:val="24"/>
                <w:lang w:eastAsia="lv-LV"/>
              </w:rPr>
            </w:pPr>
            <w:r w:rsidRPr="008F1741">
              <w:rPr>
                <w:rFonts w:ascii="Times New Roman" w:eastAsia="Times New Roman" w:hAnsi="Times New Roman" w:cs="Times New Roman"/>
                <w:iCs/>
                <w:sz w:val="24"/>
                <w:szCs w:val="24"/>
                <w:lang w:eastAsia="lv-LV"/>
              </w:rPr>
              <w:t>Komisijas 2004. gada 21. aprīļa Regula (EK) Nr. 794/2004, ar ko īsteno Padomes Regulu (ES) 2015/1589, ar ko nosaka sīki izstrādātus noteikumus Līguma par Eiropas Savienības darbību 108. panta piemērošanai</w:t>
            </w:r>
          </w:p>
        </w:tc>
      </w:tr>
      <w:tr w:rsidR="00D8702F" w:rsidRPr="00D8702F" w14:paraId="0C951D57" w14:textId="77777777" w:rsidTr="00D8702F">
        <w:tblPrEx>
          <w:tblCellSpacing w:w="0" w:type="nil"/>
          <w:tblCellMar>
            <w:top w:w="0" w:type="dxa"/>
            <w:left w:w="108" w:type="dxa"/>
            <w:bottom w:w="0" w:type="dxa"/>
            <w:right w:w="108" w:type="dxa"/>
          </w:tblCellMar>
        </w:tblPrEx>
        <w:tc>
          <w:tcPr>
            <w:tcW w:w="275" w:type="pct"/>
            <w:shd w:val="clear" w:color="auto" w:fill="auto"/>
            <w:hideMark/>
          </w:tcPr>
          <w:p w14:paraId="6E1FF7D1"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2.</w:t>
            </w:r>
          </w:p>
        </w:tc>
        <w:tc>
          <w:tcPr>
            <w:tcW w:w="1684" w:type="pct"/>
            <w:shd w:val="clear" w:color="auto" w:fill="auto"/>
            <w:hideMark/>
          </w:tcPr>
          <w:p w14:paraId="5B73046F"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Citas starptautiskās saistības</w:t>
            </w:r>
          </w:p>
        </w:tc>
        <w:tc>
          <w:tcPr>
            <w:tcW w:w="2975" w:type="pct"/>
            <w:shd w:val="clear" w:color="auto" w:fill="auto"/>
            <w:hideMark/>
          </w:tcPr>
          <w:p w14:paraId="667E0BBC"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r>
      <w:tr w:rsidR="00D8702F" w:rsidRPr="00D8702F" w14:paraId="2CE7D530" w14:textId="77777777" w:rsidTr="00D8702F">
        <w:tblPrEx>
          <w:tblCellSpacing w:w="0" w:type="nil"/>
          <w:tblCellMar>
            <w:top w:w="0" w:type="dxa"/>
            <w:left w:w="108" w:type="dxa"/>
            <w:bottom w:w="0" w:type="dxa"/>
            <w:right w:w="108" w:type="dxa"/>
          </w:tblCellMar>
        </w:tblPrEx>
        <w:tc>
          <w:tcPr>
            <w:tcW w:w="275" w:type="pct"/>
            <w:shd w:val="clear" w:color="auto" w:fill="auto"/>
            <w:hideMark/>
          </w:tcPr>
          <w:p w14:paraId="4F93579D"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3.</w:t>
            </w:r>
          </w:p>
        </w:tc>
        <w:tc>
          <w:tcPr>
            <w:tcW w:w="1684" w:type="pct"/>
            <w:shd w:val="clear" w:color="auto" w:fill="auto"/>
            <w:hideMark/>
          </w:tcPr>
          <w:p w14:paraId="62950709"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Cita informācija</w:t>
            </w:r>
          </w:p>
        </w:tc>
        <w:tc>
          <w:tcPr>
            <w:tcW w:w="2975" w:type="pct"/>
            <w:shd w:val="clear" w:color="auto" w:fill="auto"/>
            <w:hideMark/>
          </w:tcPr>
          <w:p w14:paraId="35DE5175" w14:textId="5C177152"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Nav.</w:t>
            </w:r>
          </w:p>
        </w:tc>
      </w:tr>
    </w:tbl>
    <w:p w14:paraId="54EA6A8D" w14:textId="77777777" w:rsidR="00D8702F" w:rsidRPr="00D8702F" w:rsidRDefault="00D8702F" w:rsidP="00D8702F">
      <w:pPr>
        <w:rPr>
          <w:rFonts w:ascii="Calibri" w:eastAsia="Calibri" w:hAnsi="Calibri" w:cs="Times New Roman"/>
        </w:rPr>
      </w:pPr>
      <w:r w:rsidRPr="00D8702F">
        <w:rPr>
          <w:rFonts w:ascii="Calibri" w:eastAsia="Calibri" w:hAnsi="Calibri"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997"/>
        <w:gridCol w:w="1269"/>
        <w:gridCol w:w="2265"/>
      </w:tblGrid>
      <w:tr w:rsidR="00D8702F" w:rsidRPr="00D8702F" w14:paraId="57797822" w14:textId="77777777" w:rsidTr="007B54FD">
        <w:tc>
          <w:tcPr>
            <w:tcW w:w="0" w:type="auto"/>
            <w:gridSpan w:val="5"/>
            <w:shd w:val="clear" w:color="auto" w:fill="auto"/>
            <w:hideMark/>
          </w:tcPr>
          <w:p w14:paraId="40069471" w14:textId="77777777" w:rsidR="00D8702F" w:rsidRPr="00D8702F" w:rsidRDefault="00D8702F" w:rsidP="00D8702F">
            <w:pPr>
              <w:spacing w:after="0" w:line="240" w:lineRule="auto"/>
              <w:rPr>
                <w:rFonts w:ascii="Times New Roman" w:eastAsia="Calibri" w:hAnsi="Times New Roman" w:cs="Times New Roman"/>
                <w:b/>
                <w:bCs/>
                <w:sz w:val="24"/>
                <w:szCs w:val="24"/>
              </w:rPr>
            </w:pPr>
            <w:r w:rsidRPr="00D8702F">
              <w:rPr>
                <w:rFonts w:ascii="Times New Roman" w:eastAsia="Calibri" w:hAnsi="Times New Roman" w:cs="Times New Roman"/>
                <w:b/>
                <w:bCs/>
                <w:sz w:val="24"/>
                <w:szCs w:val="24"/>
              </w:rPr>
              <w:t>1. tabula</w:t>
            </w:r>
            <w:r w:rsidRPr="00D8702F">
              <w:rPr>
                <w:rFonts w:ascii="Times New Roman" w:eastAsia="Calibri" w:hAnsi="Times New Roman" w:cs="Times New Roman"/>
                <w:b/>
                <w:bCs/>
                <w:sz w:val="24"/>
                <w:szCs w:val="24"/>
              </w:rPr>
              <w:br/>
              <w:t>Tiesību akta projekta atbilstība ES tiesību aktiem</w:t>
            </w:r>
          </w:p>
        </w:tc>
      </w:tr>
      <w:tr w:rsidR="00D8702F" w:rsidRPr="00D8702F" w14:paraId="2F8245C2" w14:textId="77777777" w:rsidTr="007B54FD">
        <w:tc>
          <w:tcPr>
            <w:tcW w:w="1250" w:type="pct"/>
            <w:shd w:val="clear" w:color="auto" w:fill="auto"/>
            <w:hideMark/>
          </w:tcPr>
          <w:p w14:paraId="6A029C52"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Attiecīgā ES tiesību akta datums, numurs un nosaukums</w:t>
            </w:r>
          </w:p>
        </w:tc>
        <w:tc>
          <w:tcPr>
            <w:tcW w:w="3750" w:type="pct"/>
            <w:gridSpan w:val="4"/>
            <w:shd w:val="clear" w:color="auto" w:fill="auto"/>
            <w:hideMark/>
          </w:tcPr>
          <w:p w14:paraId="0133EC2E" w14:textId="77777777" w:rsidR="00C22FF2" w:rsidRPr="00C22FF2" w:rsidRDefault="00C22FF2" w:rsidP="00C22FF2">
            <w:pPr>
              <w:spacing w:after="0" w:line="240" w:lineRule="auto"/>
              <w:jc w:val="both"/>
              <w:rPr>
                <w:rFonts w:ascii="Times New Roman" w:eastAsia="Times New Roman" w:hAnsi="Times New Roman" w:cs="Times New Roman"/>
                <w:sz w:val="24"/>
                <w:szCs w:val="24"/>
                <w:lang w:eastAsia="lv-LV"/>
              </w:rPr>
            </w:pPr>
            <w:r w:rsidRPr="00C22FF2">
              <w:rPr>
                <w:rFonts w:ascii="Times New Roman" w:eastAsia="Times New Roman" w:hAnsi="Times New Roman" w:cs="Times New Roman"/>
                <w:sz w:val="24"/>
                <w:szCs w:val="24"/>
                <w:lang w:eastAsia="lv-LV"/>
              </w:rPr>
              <w:t>Komisijas 2013.gada 18.decembra Regula (EK) Nr.1407/2013 par Līguma par Eiropas Savienības darbību 107. un 108.</w:t>
            </w:r>
            <w:r w:rsidR="00160D62">
              <w:rPr>
                <w:rFonts w:ascii="Times New Roman" w:eastAsia="Times New Roman" w:hAnsi="Times New Roman" w:cs="Times New Roman"/>
                <w:sz w:val="24"/>
                <w:szCs w:val="24"/>
                <w:lang w:eastAsia="lv-LV"/>
              </w:rPr>
              <w:t xml:space="preserve"> </w:t>
            </w:r>
            <w:r w:rsidRPr="00C22FF2">
              <w:rPr>
                <w:rFonts w:ascii="Times New Roman" w:eastAsia="Times New Roman" w:hAnsi="Times New Roman" w:cs="Times New Roman"/>
                <w:sz w:val="24"/>
                <w:szCs w:val="24"/>
                <w:lang w:eastAsia="lv-LV"/>
              </w:rPr>
              <w:t xml:space="preserve">panta piemērošanu </w:t>
            </w:r>
            <w:proofErr w:type="spellStart"/>
            <w:r w:rsidRPr="00F14172">
              <w:rPr>
                <w:rFonts w:ascii="Times New Roman" w:eastAsia="Times New Roman" w:hAnsi="Times New Roman" w:cs="Times New Roman"/>
                <w:i/>
                <w:sz w:val="24"/>
                <w:szCs w:val="24"/>
                <w:lang w:eastAsia="lv-LV"/>
              </w:rPr>
              <w:t>de</w:t>
            </w:r>
            <w:proofErr w:type="spellEnd"/>
            <w:r w:rsidRPr="00F14172">
              <w:rPr>
                <w:rFonts w:ascii="Times New Roman" w:eastAsia="Times New Roman" w:hAnsi="Times New Roman" w:cs="Times New Roman"/>
                <w:i/>
                <w:sz w:val="24"/>
                <w:szCs w:val="24"/>
                <w:lang w:eastAsia="lv-LV"/>
              </w:rPr>
              <w:t xml:space="preserve"> </w:t>
            </w:r>
            <w:proofErr w:type="spellStart"/>
            <w:r w:rsidRPr="00F14172">
              <w:rPr>
                <w:rFonts w:ascii="Times New Roman" w:eastAsia="Times New Roman" w:hAnsi="Times New Roman" w:cs="Times New Roman"/>
                <w:i/>
                <w:sz w:val="24"/>
                <w:szCs w:val="24"/>
                <w:lang w:eastAsia="lv-LV"/>
              </w:rPr>
              <w:t>minimis</w:t>
            </w:r>
            <w:proofErr w:type="spellEnd"/>
            <w:r w:rsidRPr="00C22FF2">
              <w:rPr>
                <w:rFonts w:ascii="Times New Roman" w:eastAsia="Times New Roman" w:hAnsi="Times New Roman" w:cs="Times New Roman"/>
                <w:sz w:val="24"/>
                <w:szCs w:val="24"/>
                <w:lang w:eastAsia="lv-LV"/>
              </w:rPr>
              <w:t xml:space="preserve"> atbalstam (turpmāk – Komisijas regula Nr.</w:t>
            </w:r>
            <w:r w:rsidR="00160D62">
              <w:rPr>
                <w:rFonts w:ascii="Times New Roman" w:eastAsia="Times New Roman" w:hAnsi="Times New Roman" w:cs="Times New Roman"/>
                <w:sz w:val="24"/>
                <w:szCs w:val="24"/>
                <w:lang w:eastAsia="lv-LV"/>
              </w:rPr>
              <w:t> </w:t>
            </w:r>
            <w:r w:rsidRPr="00C22FF2">
              <w:rPr>
                <w:rFonts w:ascii="Times New Roman" w:eastAsia="Times New Roman" w:hAnsi="Times New Roman" w:cs="Times New Roman"/>
                <w:sz w:val="24"/>
                <w:szCs w:val="24"/>
                <w:lang w:eastAsia="lv-LV"/>
              </w:rPr>
              <w:t>1407/2013);</w:t>
            </w:r>
          </w:p>
          <w:p w14:paraId="3FF853E3" w14:textId="1E32D549" w:rsidR="00C22FF2" w:rsidRPr="00C22FF2" w:rsidRDefault="00C22FF2" w:rsidP="00C22FF2">
            <w:pPr>
              <w:spacing w:after="0" w:line="240" w:lineRule="auto"/>
              <w:jc w:val="both"/>
              <w:rPr>
                <w:rFonts w:ascii="Times New Roman" w:eastAsia="Times New Roman" w:hAnsi="Times New Roman" w:cs="Times New Roman"/>
                <w:sz w:val="24"/>
                <w:szCs w:val="24"/>
                <w:lang w:eastAsia="lv-LV"/>
              </w:rPr>
            </w:pPr>
            <w:r w:rsidRPr="00C22FF2">
              <w:rPr>
                <w:rFonts w:ascii="Times New Roman" w:eastAsia="Times New Roman" w:hAnsi="Times New Roman" w:cs="Times New Roman"/>
                <w:sz w:val="24"/>
                <w:szCs w:val="24"/>
                <w:lang w:eastAsia="lv-LV"/>
              </w:rPr>
              <w:t xml:space="preserve">Komisijas 2013.gada 18.decembra Regula (EK) Nr.1408/2013 par Līguma par Eiropas Savienības darbību 107. un 108.panta piemērošanu </w:t>
            </w:r>
            <w:proofErr w:type="spellStart"/>
            <w:r w:rsidRPr="00F14172">
              <w:rPr>
                <w:rFonts w:ascii="Times New Roman" w:eastAsia="Times New Roman" w:hAnsi="Times New Roman" w:cs="Times New Roman"/>
                <w:i/>
                <w:sz w:val="24"/>
                <w:szCs w:val="24"/>
                <w:lang w:eastAsia="lv-LV"/>
              </w:rPr>
              <w:t>de</w:t>
            </w:r>
            <w:proofErr w:type="spellEnd"/>
            <w:r w:rsidRPr="00F14172">
              <w:rPr>
                <w:rFonts w:ascii="Times New Roman" w:eastAsia="Times New Roman" w:hAnsi="Times New Roman" w:cs="Times New Roman"/>
                <w:i/>
                <w:sz w:val="24"/>
                <w:szCs w:val="24"/>
                <w:lang w:eastAsia="lv-LV"/>
              </w:rPr>
              <w:t xml:space="preserve"> </w:t>
            </w:r>
            <w:proofErr w:type="spellStart"/>
            <w:r w:rsidRPr="00F14172">
              <w:rPr>
                <w:rFonts w:ascii="Times New Roman" w:eastAsia="Times New Roman" w:hAnsi="Times New Roman" w:cs="Times New Roman"/>
                <w:i/>
                <w:sz w:val="24"/>
                <w:szCs w:val="24"/>
                <w:lang w:eastAsia="lv-LV"/>
              </w:rPr>
              <w:t>minimis</w:t>
            </w:r>
            <w:proofErr w:type="spellEnd"/>
            <w:r w:rsidRPr="00C22FF2">
              <w:rPr>
                <w:rFonts w:ascii="Times New Roman" w:eastAsia="Times New Roman" w:hAnsi="Times New Roman" w:cs="Times New Roman"/>
                <w:sz w:val="24"/>
                <w:szCs w:val="24"/>
                <w:lang w:eastAsia="lv-LV"/>
              </w:rPr>
              <w:t xml:space="preserve"> atbalstam lauksaimniecības nozarē (turpmāk</w:t>
            </w:r>
            <w:r w:rsidR="00160D62">
              <w:rPr>
                <w:rFonts w:ascii="Times New Roman" w:eastAsia="Times New Roman" w:hAnsi="Times New Roman" w:cs="Times New Roman"/>
                <w:sz w:val="24"/>
                <w:szCs w:val="24"/>
                <w:lang w:eastAsia="lv-LV"/>
              </w:rPr>
              <w:t> </w:t>
            </w:r>
            <w:r w:rsidRPr="00C22FF2">
              <w:rPr>
                <w:rFonts w:ascii="Times New Roman" w:eastAsia="Times New Roman" w:hAnsi="Times New Roman" w:cs="Times New Roman"/>
                <w:sz w:val="24"/>
                <w:szCs w:val="24"/>
                <w:lang w:eastAsia="lv-LV"/>
              </w:rPr>
              <w:t>– Komisijas regula Nr.</w:t>
            </w:r>
            <w:r w:rsidR="00160D62">
              <w:rPr>
                <w:rFonts w:ascii="Times New Roman" w:eastAsia="Times New Roman" w:hAnsi="Times New Roman" w:cs="Times New Roman"/>
                <w:sz w:val="24"/>
                <w:szCs w:val="24"/>
                <w:lang w:eastAsia="lv-LV"/>
              </w:rPr>
              <w:t xml:space="preserve"> </w:t>
            </w:r>
            <w:r w:rsidRPr="00C22FF2">
              <w:rPr>
                <w:rFonts w:ascii="Times New Roman" w:eastAsia="Times New Roman" w:hAnsi="Times New Roman" w:cs="Times New Roman"/>
                <w:sz w:val="24"/>
                <w:szCs w:val="24"/>
                <w:lang w:eastAsia="lv-LV"/>
              </w:rPr>
              <w:t>1408/2013);</w:t>
            </w:r>
          </w:p>
          <w:p w14:paraId="34B707A1" w14:textId="1F2D2059" w:rsidR="00C22FF2" w:rsidRPr="00C22FF2" w:rsidRDefault="00C22FF2" w:rsidP="00C22FF2">
            <w:pPr>
              <w:spacing w:after="0" w:line="240" w:lineRule="auto"/>
              <w:jc w:val="both"/>
              <w:rPr>
                <w:rFonts w:ascii="Times New Roman" w:eastAsia="Times New Roman" w:hAnsi="Times New Roman" w:cs="Times New Roman"/>
                <w:sz w:val="24"/>
                <w:szCs w:val="24"/>
                <w:lang w:eastAsia="lv-LV"/>
              </w:rPr>
            </w:pPr>
            <w:r w:rsidRPr="00C22FF2">
              <w:rPr>
                <w:rFonts w:ascii="Times New Roman" w:eastAsia="Times New Roman" w:hAnsi="Times New Roman" w:cs="Times New Roman"/>
                <w:sz w:val="24"/>
                <w:szCs w:val="24"/>
                <w:lang w:eastAsia="lv-LV"/>
              </w:rPr>
              <w:t xml:space="preserve">Komisijas 2014. gada 27. jūnija Regula (EK) Nr. 717/2014 par Līguma par Eiropas Savienības darbību 107. un 108. panta piemērošanu </w:t>
            </w:r>
            <w:proofErr w:type="spellStart"/>
            <w:r w:rsidRPr="00F14172">
              <w:rPr>
                <w:rFonts w:ascii="Times New Roman" w:eastAsia="Times New Roman" w:hAnsi="Times New Roman" w:cs="Times New Roman"/>
                <w:i/>
                <w:sz w:val="24"/>
                <w:szCs w:val="24"/>
                <w:lang w:eastAsia="lv-LV"/>
              </w:rPr>
              <w:t>de</w:t>
            </w:r>
            <w:proofErr w:type="spellEnd"/>
            <w:r w:rsidRPr="00F14172">
              <w:rPr>
                <w:rFonts w:ascii="Times New Roman" w:eastAsia="Times New Roman" w:hAnsi="Times New Roman" w:cs="Times New Roman"/>
                <w:i/>
                <w:sz w:val="24"/>
                <w:szCs w:val="24"/>
                <w:lang w:eastAsia="lv-LV"/>
              </w:rPr>
              <w:t xml:space="preserve"> </w:t>
            </w:r>
            <w:proofErr w:type="spellStart"/>
            <w:r w:rsidRPr="00F14172">
              <w:rPr>
                <w:rFonts w:ascii="Times New Roman" w:eastAsia="Times New Roman" w:hAnsi="Times New Roman" w:cs="Times New Roman"/>
                <w:i/>
                <w:sz w:val="24"/>
                <w:szCs w:val="24"/>
                <w:lang w:eastAsia="lv-LV"/>
              </w:rPr>
              <w:t>minimis</w:t>
            </w:r>
            <w:proofErr w:type="spellEnd"/>
            <w:r w:rsidRPr="00C22FF2">
              <w:rPr>
                <w:rFonts w:ascii="Times New Roman" w:eastAsia="Times New Roman" w:hAnsi="Times New Roman" w:cs="Times New Roman"/>
                <w:sz w:val="24"/>
                <w:szCs w:val="24"/>
                <w:lang w:eastAsia="lv-LV"/>
              </w:rPr>
              <w:t xml:space="preserve"> atbalstam zvejniecības un akvakultūras nozarē (turpmāk – Komisijas regula Nr. 717/2014);</w:t>
            </w:r>
          </w:p>
          <w:p w14:paraId="6CAC7A76" w14:textId="77777777" w:rsidR="00C22FF2" w:rsidRPr="00C22FF2" w:rsidRDefault="00C22FF2" w:rsidP="00C22FF2">
            <w:pPr>
              <w:spacing w:after="0" w:line="240" w:lineRule="auto"/>
              <w:jc w:val="both"/>
              <w:rPr>
                <w:rFonts w:ascii="Times New Roman" w:eastAsia="Times New Roman" w:hAnsi="Times New Roman" w:cs="Times New Roman"/>
                <w:sz w:val="24"/>
                <w:szCs w:val="24"/>
                <w:lang w:eastAsia="lv-LV"/>
              </w:rPr>
            </w:pPr>
            <w:r w:rsidRPr="00C22FF2">
              <w:rPr>
                <w:rFonts w:ascii="Times New Roman" w:eastAsia="Times New Roman" w:hAnsi="Times New Roman" w:cs="Times New Roman"/>
                <w:sz w:val="24"/>
                <w:szCs w:val="24"/>
                <w:lang w:eastAsia="lv-LV"/>
              </w:rPr>
              <w:lastRenderedPageBreak/>
              <w:t>Komisijas 2014.</w:t>
            </w:r>
            <w:r w:rsidR="00160D62">
              <w:rPr>
                <w:rFonts w:ascii="Times New Roman" w:eastAsia="Times New Roman" w:hAnsi="Times New Roman" w:cs="Times New Roman"/>
                <w:sz w:val="24"/>
                <w:szCs w:val="24"/>
                <w:lang w:eastAsia="lv-LV"/>
              </w:rPr>
              <w:t xml:space="preserve"> </w:t>
            </w:r>
            <w:r w:rsidRPr="00C22FF2">
              <w:rPr>
                <w:rFonts w:ascii="Times New Roman" w:eastAsia="Times New Roman" w:hAnsi="Times New Roman" w:cs="Times New Roman"/>
                <w:sz w:val="24"/>
                <w:szCs w:val="24"/>
                <w:lang w:eastAsia="lv-LV"/>
              </w:rPr>
              <w:t>gada 25.</w:t>
            </w:r>
            <w:r w:rsidR="00160D62">
              <w:rPr>
                <w:rFonts w:ascii="Times New Roman" w:eastAsia="Times New Roman" w:hAnsi="Times New Roman" w:cs="Times New Roman"/>
                <w:sz w:val="24"/>
                <w:szCs w:val="24"/>
                <w:lang w:eastAsia="lv-LV"/>
              </w:rPr>
              <w:t xml:space="preserve"> </w:t>
            </w:r>
            <w:r w:rsidRPr="00C22FF2">
              <w:rPr>
                <w:rFonts w:ascii="Times New Roman" w:eastAsia="Times New Roman" w:hAnsi="Times New Roman" w:cs="Times New Roman"/>
                <w:sz w:val="24"/>
                <w:szCs w:val="24"/>
                <w:lang w:eastAsia="lv-LV"/>
              </w:rPr>
              <w:t>jūnija Regula (ES) Nr.702/2014, ar kuru konkrētas atbalsta kategorijas lauksaimniecības un mežsaimniecības nozarē un lauku apvidos atzīst par saderīgām ar iekšējo tirgu, piemērojot Līguma par Eiropas Savienības darbību 107. un 108.pantu (turpmāk – Komisijas regula Nr.702/2014);</w:t>
            </w:r>
          </w:p>
          <w:p w14:paraId="2FE2EBF1" w14:textId="04BBF0B1" w:rsidR="00D8702F" w:rsidRPr="00D8702F" w:rsidRDefault="00C22FF2" w:rsidP="00C22FF2">
            <w:pPr>
              <w:spacing w:after="0" w:line="240" w:lineRule="auto"/>
              <w:jc w:val="both"/>
              <w:rPr>
                <w:rFonts w:ascii="Times New Roman" w:eastAsia="Calibri" w:hAnsi="Times New Roman" w:cs="Times New Roman"/>
                <w:sz w:val="24"/>
                <w:szCs w:val="24"/>
              </w:rPr>
            </w:pPr>
            <w:r w:rsidRPr="00C22FF2">
              <w:rPr>
                <w:rFonts w:ascii="Times New Roman" w:eastAsia="Times New Roman" w:hAnsi="Times New Roman" w:cs="Times New Roman"/>
                <w:sz w:val="24"/>
                <w:szCs w:val="24"/>
                <w:lang w:eastAsia="lv-LV"/>
              </w:rPr>
              <w:t>Komisijas 2004. gada 21. aprīļa Regula</w:t>
            </w:r>
            <w:r w:rsidR="00D51D74">
              <w:rPr>
                <w:rFonts w:ascii="Times New Roman" w:eastAsia="Times New Roman" w:hAnsi="Times New Roman" w:cs="Times New Roman"/>
                <w:sz w:val="24"/>
                <w:szCs w:val="24"/>
                <w:lang w:eastAsia="lv-LV"/>
              </w:rPr>
              <w:t xml:space="preserve"> </w:t>
            </w:r>
            <w:r w:rsidRPr="00C22FF2">
              <w:rPr>
                <w:rFonts w:ascii="Times New Roman" w:eastAsia="Times New Roman" w:hAnsi="Times New Roman" w:cs="Times New Roman"/>
                <w:sz w:val="24"/>
                <w:szCs w:val="24"/>
                <w:lang w:eastAsia="lv-LV"/>
              </w:rPr>
              <w:t>(EK) Nr. 794/2004, ar ko īsteno Padomes Regulu (ES) 2015/1589, ar ko nosaka sīki izstrādātus noteikumus Līguma par Eiropas Savienības darbību 108. panta piemērošanai (turpmāk – Komisijas regula Nr. 794/2004)</w:t>
            </w:r>
          </w:p>
        </w:tc>
      </w:tr>
      <w:tr w:rsidR="00D8702F" w:rsidRPr="00D8702F" w14:paraId="63C15A5A" w14:textId="77777777" w:rsidTr="007B54FD">
        <w:tc>
          <w:tcPr>
            <w:tcW w:w="1250" w:type="pct"/>
            <w:shd w:val="clear" w:color="auto" w:fill="auto"/>
            <w:hideMark/>
          </w:tcPr>
          <w:p w14:paraId="33BAE8B6"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lastRenderedPageBreak/>
              <w:t>A</w:t>
            </w:r>
          </w:p>
        </w:tc>
        <w:tc>
          <w:tcPr>
            <w:tcW w:w="1250" w:type="pct"/>
            <w:shd w:val="clear" w:color="auto" w:fill="auto"/>
            <w:hideMark/>
          </w:tcPr>
          <w:p w14:paraId="247E61AA"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B</w:t>
            </w:r>
          </w:p>
        </w:tc>
        <w:tc>
          <w:tcPr>
            <w:tcW w:w="1250" w:type="pct"/>
            <w:gridSpan w:val="2"/>
            <w:shd w:val="clear" w:color="auto" w:fill="auto"/>
            <w:hideMark/>
          </w:tcPr>
          <w:p w14:paraId="1F757E8B"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w:t>
            </w:r>
          </w:p>
        </w:tc>
        <w:tc>
          <w:tcPr>
            <w:tcW w:w="1250" w:type="pct"/>
            <w:shd w:val="clear" w:color="auto" w:fill="auto"/>
            <w:hideMark/>
          </w:tcPr>
          <w:p w14:paraId="79844E6B"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D</w:t>
            </w:r>
          </w:p>
        </w:tc>
      </w:tr>
      <w:tr w:rsidR="00D8702F" w:rsidRPr="00D8702F" w14:paraId="59F2767D" w14:textId="77777777" w:rsidTr="007B54FD">
        <w:tc>
          <w:tcPr>
            <w:tcW w:w="1250" w:type="pct"/>
            <w:shd w:val="clear" w:color="auto" w:fill="auto"/>
            <w:hideMark/>
          </w:tcPr>
          <w:p w14:paraId="0BB415BA"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Attiecīgā ES tiesību akta panta numurs (uzskaitot katru tiesību akta vienību – pantu, daļu, punktu, apakšpunktu)</w:t>
            </w:r>
          </w:p>
        </w:tc>
        <w:tc>
          <w:tcPr>
            <w:tcW w:w="1250" w:type="pct"/>
            <w:shd w:val="clear" w:color="auto" w:fill="auto"/>
            <w:hideMark/>
          </w:tcPr>
          <w:p w14:paraId="16B22AAF"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gridSpan w:val="2"/>
            <w:shd w:val="clear" w:color="auto" w:fill="auto"/>
            <w:hideMark/>
          </w:tcPr>
          <w:p w14:paraId="4C1C3232"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Informācija par to, vai šīs tabulas A ailē minētās ES tiesību akta vienības tiek pārņemtas vai ieviestas pilnībā vai daļēji.</w:t>
            </w:r>
            <w:r w:rsidRPr="00D8702F">
              <w:rPr>
                <w:rFonts w:ascii="Times New Roman" w:eastAsia="Calibri"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D8702F">
              <w:rPr>
                <w:rFonts w:ascii="Times New Roman" w:eastAsia="Calibri" w:hAnsi="Times New Roman" w:cs="Times New Roman"/>
                <w:sz w:val="24"/>
                <w:szCs w:val="24"/>
              </w:rPr>
              <w:br/>
              <w:t>Norāda institūciju, kas ir atbildīga par šo saistību izpildi pilnībā</w:t>
            </w:r>
          </w:p>
        </w:tc>
        <w:tc>
          <w:tcPr>
            <w:tcW w:w="1250" w:type="pct"/>
            <w:shd w:val="clear" w:color="auto" w:fill="auto"/>
            <w:hideMark/>
          </w:tcPr>
          <w:p w14:paraId="70BE91F6"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Informācija par to, vai šīs tabulas B ailē minētās projekta vienības paredz stingrākas prasības nekā šīs tabulas A ailē minētās ES tiesību akta vienības.</w:t>
            </w:r>
            <w:r w:rsidRPr="00D8702F">
              <w:rPr>
                <w:rFonts w:ascii="Times New Roman" w:eastAsia="Calibri" w:hAnsi="Times New Roman" w:cs="Times New Roman"/>
                <w:sz w:val="24"/>
                <w:szCs w:val="24"/>
              </w:rPr>
              <w:br/>
              <w:t>Ja projekts satur stingrākas prasības nekā attiecīgais ES tiesību akts, norāda pamatojumu un samērīgumu.</w:t>
            </w:r>
            <w:r w:rsidRPr="00D8702F">
              <w:rPr>
                <w:rFonts w:ascii="Times New Roman" w:eastAsia="Calibri"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D8702F" w:rsidRPr="00D8702F" w14:paraId="3D78429D" w14:textId="77777777" w:rsidTr="007B54FD">
        <w:tc>
          <w:tcPr>
            <w:tcW w:w="1250" w:type="pct"/>
            <w:shd w:val="clear" w:color="auto" w:fill="auto"/>
            <w:hideMark/>
          </w:tcPr>
          <w:p w14:paraId="45B87772" w14:textId="77777777" w:rsidR="00D8702F" w:rsidRPr="00D8702F" w:rsidRDefault="00C22FF2" w:rsidP="00C22FF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regula</w:t>
            </w:r>
            <w:r w:rsidR="00D8702F" w:rsidRPr="00D8702F">
              <w:rPr>
                <w:rFonts w:ascii="Times New Roman" w:eastAsia="Times New Roman" w:hAnsi="Times New Roman" w:cs="Times New Roman"/>
                <w:sz w:val="24"/>
                <w:szCs w:val="24"/>
                <w:lang w:eastAsia="lv-LV"/>
              </w:rPr>
              <w:t xml:space="preserve"> Nr. 702/2014 </w:t>
            </w:r>
          </w:p>
        </w:tc>
        <w:tc>
          <w:tcPr>
            <w:tcW w:w="1250" w:type="pct"/>
            <w:shd w:val="clear" w:color="auto" w:fill="auto"/>
          </w:tcPr>
          <w:p w14:paraId="50CB28AE" w14:textId="77777777" w:rsidR="00D8702F" w:rsidRPr="00D8702F" w:rsidRDefault="00D8702F" w:rsidP="00D81A3D">
            <w:pPr>
              <w:spacing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 xml:space="preserve">Noteikumu projekta </w:t>
            </w:r>
            <w:r w:rsidR="00D81A3D">
              <w:rPr>
                <w:rFonts w:ascii="Times New Roman" w:eastAsia="Calibri" w:hAnsi="Times New Roman" w:cs="Times New Roman"/>
                <w:sz w:val="24"/>
                <w:szCs w:val="24"/>
              </w:rPr>
              <w:t>3</w:t>
            </w:r>
            <w:r w:rsidR="00C22FF2">
              <w:rPr>
                <w:rFonts w:ascii="Times New Roman" w:eastAsia="Calibri" w:hAnsi="Times New Roman" w:cs="Times New Roman"/>
                <w:sz w:val="24"/>
                <w:szCs w:val="24"/>
              </w:rPr>
              <w:t>.punkts</w:t>
            </w:r>
          </w:p>
        </w:tc>
        <w:tc>
          <w:tcPr>
            <w:tcW w:w="1250" w:type="pct"/>
            <w:gridSpan w:val="2"/>
            <w:shd w:val="clear" w:color="auto" w:fill="auto"/>
            <w:hideMark/>
          </w:tcPr>
          <w:p w14:paraId="1CE47401" w14:textId="77777777" w:rsidR="00D8702F" w:rsidRPr="00D8702F" w:rsidRDefault="00C22FF2" w:rsidP="00D8702F">
            <w:pPr>
              <w:spacing w:line="240" w:lineRule="auto"/>
              <w:rPr>
                <w:rFonts w:ascii="Times New Roman" w:eastAsia="Calibri" w:hAnsi="Times New Roman" w:cs="Times New Roman"/>
                <w:sz w:val="24"/>
                <w:szCs w:val="24"/>
              </w:rPr>
            </w:pPr>
            <w:r w:rsidRPr="00C22FF2">
              <w:rPr>
                <w:rFonts w:ascii="Times New Roman" w:eastAsia="Times New Roman" w:hAnsi="Times New Roman" w:cs="Times New Roman"/>
                <w:sz w:val="24"/>
                <w:szCs w:val="24"/>
                <w:lang w:eastAsia="lv-LV"/>
              </w:rPr>
              <w:t>Komisijas regulas Nr. 702/2014 prasības tiek ieviestas pilnībā.</w:t>
            </w:r>
          </w:p>
        </w:tc>
        <w:tc>
          <w:tcPr>
            <w:tcW w:w="1250" w:type="pct"/>
            <w:shd w:val="clear" w:color="auto" w:fill="auto"/>
            <w:hideMark/>
          </w:tcPr>
          <w:p w14:paraId="03430736" w14:textId="77777777" w:rsidR="00D8702F" w:rsidRPr="00D8702F" w:rsidRDefault="00C22FF2" w:rsidP="00D8702F">
            <w:pPr>
              <w:spacing w:line="240" w:lineRule="auto"/>
              <w:rPr>
                <w:rFonts w:ascii="Times New Roman" w:eastAsia="Calibri" w:hAnsi="Times New Roman" w:cs="Times New Roman"/>
                <w:sz w:val="24"/>
                <w:szCs w:val="24"/>
              </w:rPr>
            </w:pPr>
            <w:r w:rsidRPr="00C22FF2">
              <w:rPr>
                <w:rFonts w:ascii="Times New Roman" w:eastAsia="Times New Roman" w:hAnsi="Times New Roman" w:cs="Times New Roman"/>
                <w:sz w:val="24"/>
                <w:szCs w:val="24"/>
                <w:lang w:eastAsia="lv-LV"/>
              </w:rPr>
              <w:t>Noteikumu projekta vienības neparedz stingrākas prasības kā šīs tabulas A ailē minētās ES tiesību akta vienības.</w:t>
            </w:r>
          </w:p>
        </w:tc>
      </w:tr>
      <w:tr w:rsidR="00D8702F" w:rsidRPr="00D8702F" w14:paraId="2DF583CD" w14:textId="77777777" w:rsidTr="007B54FD">
        <w:tc>
          <w:tcPr>
            <w:tcW w:w="1250" w:type="pct"/>
            <w:shd w:val="clear" w:color="auto" w:fill="auto"/>
          </w:tcPr>
          <w:p w14:paraId="49A04A04" w14:textId="77777777" w:rsidR="00D8702F" w:rsidRPr="00D8702F" w:rsidRDefault="00C22FF2" w:rsidP="00C22FF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regula</w:t>
            </w:r>
            <w:r w:rsidR="00D8702F" w:rsidRPr="00D8702F">
              <w:rPr>
                <w:rFonts w:ascii="Times New Roman" w:eastAsia="Times New Roman" w:hAnsi="Times New Roman" w:cs="Times New Roman"/>
                <w:sz w:val="24"/>
                <w:szCs w:val="24"/>
                <w:lang w:eastAsia="lv-LV"/>
              </w:rPr>
              <w:t xml:space="preserve"> Nr. </w:t>
            </w:r>
            <w:r>
              <w:rPr>
                <w:rFonts w:ascii="Times New Roman" w:eastAsia="Times New Roman" w:hAnsi="Times New Roman" w:cs="Times New Roman"/>
                <w:sz w:val="24"/>
                <w:szCs w:val="24"/>
                <w:lang w:eastAsia="lv-LV"/>
              </w:rPr>
              <w:t>717</w:t>
            </w:r>
            <w:r w:rsidR="00D8702F" w:rsidRPr="00D8702F">
              <w:rPr>
                <w:rFonts w:ascii="Times New Roman" w:eastAsia="Times New Roman" w:hAnsi="Times New Roman" w:cs="Times New Roman"/>
                <w:sz w:val="24"/>
                <w:szCs w:val="24"/>
                <w:lang w:eastAsia="lv-LV"/>
              </w:rPr>
              <w:t xml:space="preserve">/2014 </w:t>
            </w:r>
          </w:p>
        </w:tc>
        <w:tc>
          <w:tcPr>
            <w:tcW w:w="1250" w:type="pct"/>
            <w:shd w:val="clear" w:color="auto" w:fill="auto"/>
          </w:tcPr>
          <w:p w14:paraId="25446926" w14:textId="77777777" w:rsidR="00D8702F" w:rsidRPr="00D8702F" w:rsidRDefault="00C22FF2" w:rsidP="00D81A3D">
            <w:pPr>
              <w:spacing w:line="240" w:lineRule="auto"/>
              <w:rPr>
                <w:rFonts w:ascii="Times New Roman" w:eastAsia="Calibri" w:hAnsi="Times New Roman" w:cs="Times New Roman"/>
                <w:sz w:val="24"/>
                <w:szCs w:val="24"/>
              </w:rPr>
            </w:pPr>
            <w:r w:rsidRPr="00C22FF2">
              <w:rPr>
                <w:rFonts w:ascii="Times New Roman" w:eastAsia="Calibri" w:hAnsi="Times New Roman" w:cs="Times New Roman"/>
                <w:sz w:val="24"/>
                <w:szCs w:val="24"/>
              </w:rPr>
              <w:t xml:space="preserve">Noteikumu projekta </w:t>
            </w:r>
            <w:r w:rsidR="00D81A3D">
              <w:rPr>
                <w:rFonts w:ascii="Times New Roman" w:eastAsia="Calibri" w:hAnsi="Times New Roman" w:cs="Times New Roman"/>
                <w:sz w:val="24"/>
                <w:szCs w:val="24"/>
              </w:rPr>
              <w:t>3</w:t>
            </w:r>
            <w:r w:rsidRPr="00C22FF2">
              <w:rPr>
                <w:rFonts w:ascii="Times New Roman" w:eastAsia="Calibri" w:hAnsi="Times New Roman" w:cs="Times New Roman"/>
                <w:sz w:val="24"/>
                <w:szCs w:val="24"/>
              </w:rPr>
              <w:t>.punkts</w:t>
            </w:r>
          </w:p>
        </w:tc>
        <w:tc>
          <w:tcPr>
            <w:tcW w:w="1250" w:type="pct"/>
            <w:gridSpan w:val="2"/>
            <w:shd w:val="clear" w:color="auto" w:fill="auto"/>
          </w:tcPr>
          <w:p w14:paraId="4C82ADA5" w14:textId="77777777" w:rsidR="00D8702F" w:rsidRPr="00D8702F" w:rsidRDefault="00C22FF2" w:rsidP="00C22FF2">
            <w:pPr>
              <w:rPr>
                <w:rFonts w:ascii="Calibri" w:eastAsia="Calibri" w:hAnsi="Calibri" w:cs="Times New Roman"/>
              </w:rPr>
            </w:pPr>
            <w:r>
              <w:rPr>
                <w:rFonts w:ascii="Times New Roman" w:eastAsia="Times New Roman" w:hAnsi="Times New Roman" w:cs="Times New Roman"/>
                <w:sz w:val="24"/>
                <w:szCs w:val="24"/>
                <w:lang w:eastAsia="lv-LV"/>
              </w:rPr>
              <w:t>Komisijas regulas</w:t>
            </w:r>
            <w:r w:rsidRPr="00C22FF2">
              <w:rPr>
                <w:rFonts w:ascii="Times New Roman" w:eastAsia="Times New Roman" w:hAnsi="Times New Roman" w:cs="Times New Roman"/>
                <w:sz w:val="24"/>
                <w:szCs w:val="24"/>
                <w:lang w:eastAsia="lv-LV"/>
              </w:rPr>
              <w:t xml:space="preserve"> Nr. 7</w:t>
            </w:r>
            <w:r>
              <w:rPr>
                <w:rFonts w:ascii="Times New Roman" w:eastAsia="Times New Roman" w:hAnsi="Times New Roman" w:cs="Times New Roman"/>
                <w:sz w:val="24"/>
                <w:szCs w:val="24"/>
                <w:lang w:eastAsia="lv-LV"/>
              </w:rPr>
              <w:t>17</w:t>
            </w:r>
            <w:r w:rsidRPr="00C22FF2">
              <w:rPr>
                <w:rFonts w:ascii="Times New Roman" w:eastAsia="Times New Roman" w:hAnsi="Times New Roman" w:cs="Times New Roman"/>
                <w:sz w:val="24"/>
                <w:szCs w:val="24"/>
                <w:lang w:eastAsia="lv-LV"/>
              </w:rPr>
              <w:t>/2014 prasības tiek ieviestas pilnībā.</w:t>
            </w:r>
          </w:p>
        </w:tc>
        <w:tc>
          <w:tcPr>
            <w:tcW w:w="1250" w:type="pct"/>
            <w:shd w:val="clear" w:color="auto" w:fill="auto"/>
          </w:tcPr>
          <w:p w14:paraId="4C4C80C9" w14:textId="77777777" w:rsidR="00D8702F" w:rsidRPr="00D8702F" w:rsidRDefault="00C22FF2" w:rsidP="00D8702F">
            <w:pPr>
              <w:rPr>
                <w:rFonts w:ascii="Calibri" w:eastAsia="Calibri" w:hAnsi="Calibri" w:cs="Times New Roman"/>
              </w:rPr>
            </w:pPr>
            <w:r w:rsidRPr="00C22FF2">
              <w:rPr>
                <w:rFonts w:ascii="Times New Roman" w:eastAsia="Times New Roman" w:hAnsi="Times New Roman" w:cs="Times New Roman"/>
                <w:sz w:val="24"/>
                <w:szCs w:val="24"/>
                <w:lang w:eastAsia="lv-LV"/>
              </w:rPr>
              <w:t>Noteikumu projekta vienības neparedz stingrākas prasības kā šīs tabulas A ailē minētās ES tiesību akta vienības.</w:t>
            </w:r>
          </w:p>
        </w:tc>
      </w:tr>
      <w:tr w:rsidR="00D8702F" w:rsidRPr="00D8702F" w14:paraId="7A38A804" w14:textId="77777777" w:rsidTr="007B54FD">
        <w:tc>
          <w:tcPr>
            <w:tcW w:w="1250" w:type="pct"/>
            <w:shd w:val="clear" w:color="auto" w:fill="auto"/>
          </w:tcPr>
          <w:p w14:paraId="3ECE0EB6" w14:textId="77777777" w:rsidR="00D8702F" w:rsidRPr="00D8702F" w:rsidRDefault="00C22FF2" w:rsidP="00C22FF2">
            <w:pPr>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lastRenderedPageBreak/>
              <w:t>Komisijas</w:t>
            </w:r>
            <w:r w:rsidR="00D8702F" w:rsidRPr="00D8702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regula </w:t>
            </w:r>
            <w:r w:rsidR="00D8702F" w:rsidRPr="00D8702F">
              <w:rPr>
                <w:rFonts w:ascii="Times New Roman" w:eastAsia="Calibri" w:hAnsi="Times New Roman" w:cs="Times New Roman"/>
                <w:sz w:val="24"/>
                <w:szCs w:val="24"/>
                <w:lang w:eastAsia="lv-LV"/>
              </w:rPr>
              <w:t>Nr.</w:t>
            </w:r>
            <w:r w:rsidR="00160D62">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1407</w:t>
            </w:r>
            <w:r w:rsidR="00D8702F" w:rsidRPr="00D8702F">
              <w:rPr>
                <w:rFonts w:ascii="Times New Roman" w:eastAsia="Calibri" w:hAnsi="Times New Roman" w:cs="Times New Roman"/>
                <w:sz w:val="24"/>
                <w:szCs w:val="24"/>
                <w:lang w:eastAsia="lv-LV"/>
              </w:rPr>
              <w:t xml:space="preserve">/2013 </w:t>
            </w:r>
          </w:p>
        </w:tc>
        <w:tc>
          <w:tcPr>
            <w:tcW w:w="1250" w:type="pct"/>
            <w:shd w:val="clear" w:color="auto" w:fill="auto"/>
          </w:tcPr>
          <w:p w14:paraId="021741A6" w14:textId="77777777" w:rsidR="00D8702F" w:rsidRPr="00D8702F" w:rsidRDefault="00C22FF2" w:rsidP="00D81A3D">
            <w:pPr>
              <w:spacing w:line="240" w:lineRule="auto"/>
              <w:rPr>
                <w:rFonts w:ascii="Times New Roman" w:eastAsia="Calibri" w:hAnsi="Times New Roman" w:cs="Times New Roman"/>
                <w:sz w:val="24"/>
                <w:szCs w:val="24"/>
              </w:rPr>
            </w:pPr>
            <w:r w:rsidRPr="00C22FF2">
              <w:rPr>
                <w:rFonts w:ascii="Times New Roman" w:eastAsia="Calibri" w:hAnsi="Times New Roman" w:cs="Times New Roman"/>
                <w:sz w:val="24"/>
                <w:szCs w:val="24"/>
              </w:rPr>
              <w:t xml:space="preserve">Noteikumu projekta </w:t>
            </w:r>
            <w:r w:rsidR="00D81A3D">
              <w:rPr>
                <w:rFonts w:ascii="Times New Roman" w:eastAsia="Calibri" w:hAnsi="Times New Roman" w:cs="Times New Roman"/>
                <w:sz w:val="24"/>
                <w:szCs w:val="24"/>
              </w:rPr>
              <w:t>3</w:t>
            </w:r>
            <w:r w:rsidRPr="00C22FF2">
              <w:rPr>
                <w:rFonts w:ascii="Times New Roman" w:eastAsia="Calibri" w:hAnsi="Times New Roman" w:cs="Times New Roman"/>
                <w:sz w:val="24"/>
                <w:szCs w:val="24"/>
              </w:rPr>
              <w:t>.punkts</w:t>
            </w:r>
          </w:p>
        </w:tc>
        <w:tc>
          <w:tcPr>
            <w:tcW w:w="1250" w:type="pct"/>
            <w:gridSpan w:val="2"/>
            <w:shd w:val="clear" w:color="auto" w:fill="auto"/>
          </w:tcPr>
          <w:p w14:paraId="513E3580" w14:textId="77777777" w:rsidR="00D8702F" w:rsidRPr="00D8702F" w:rsidRDefault="00C22FF2" w:rsidP="00B76403">
            <w:pPr>
              <w:rPr>
                <w:rFonts w:ascii="Calibri" w:eastAsia="Calibri" w:hAnsi="Calibri" w:cs="Times New Roman"/>
              </w:rPr>
            </w:pPr>
            <w:r>
              <w:rPr>
                <w:rFonts w:ascii="Times New Roman" w:eastAsia="Times New Roman" w:hAnsi="Times New Roman" w:cs="Times New Roman"/>
                <w:sz w:val="24"/>
                <w:szCs w:val="24"/>
                <w:lang w:eastAsia="lv-LV"/>
              </w:rPr>
              <w:t xml:space="preserve">Komisijas regulas Nr. </w:t>
            </w:r>
            <w:r w:rsidR="00B76403">
              <w:rPr>
                <w:rFonts w:ascii="Times New Roman" w:eastAsia="Times New Roman" w:hAnsi="Times New Roman" w:cs="Times New Roman"/>
                <w:sz w:val="24"/>
                <w:szCs w:val="24"/>
                <w:lang w:eastAsia="lv-LV"/>
              </w:rPr>
              <w:t>1407</w:t>
            </w:r>
            <w:r>
              <w:rPr>
                <w:rFonts w:ascii="Times New Roman" w:eastAsia="Times New Roman" w:hAnsi="Times New Roman" w:cs="Times New Roman"/>
                <w:sz w:val="24"/>
                <w:szCs w:val="24"/>
                <w:lang w:eastAsia="lv-LV"/>
              </w:rPr>
              <w:t>/2013</w:t>
            </w:r>
            <w:r w:rsidRPr="00C22FF2">
              <w:rPr>
                <w:rFonts w:ascii="Times New Roman" w:eastAsia="Times New Roman" w:hAnsi="Times New Roman" w:cs="Times New Roman"/>
                <w:sz w:val="24"/>
                <w:szCs w:val="24"/>
                <w:lang w:eastAsia="lv-LV"/>
              </w:rPr>
              <w:t xml:space="preserve"> prasības tiek ieviestas pilnībā.</w:t>
            </w:r>
          </w:p>
        </w:tc>
        <w:tc>
          <w:tcPr>
            <w:tcW w:w="1250" w:type="pct"/>
            <w:shd w:val="clear" w:color="auto" w:fill="auto"/>
          </w:tcPr>
          <w:p w14:paraId="5A97522E" w14:textId="77777777" w:rsidR="00D8702F" w:rsidRPr="00D8702F" w:rsidRDefault="00C22FF2" w:rsidP="00D8702F">
            <w:pPr>
              <w:rPr>
                <w:rFonts w:ascii="Calibri" w:eastAsia="Calibri" w:hAnsi="Calibri" w:cs="Times New Roman"/>
              </w:rPr>
            </w:pPr>
            <w:r w:rsidRPr="00C22FF2">
              <w:rPr>
                <w:rFonts w:ascii="Times New Roman" w:eastAsia="Times New Roman" w:hAnsi="Times New Roman" w:cs="Times New Roman"/>
                <w:sz w:val="24"/>
                <w:szCs w:val="24"/>
                <w:lang w:eastAsia="lv-LV"/>
              </w:rPr>
              <w:t>Noteikumu projekta vienības neparedz stingrākas prasības kā šīs tabulas A ailē minētās ES tiesību akta vienības.</w:t>
            </w:r>
          </w:p>
        </w:tc>
      </w:tr>
      <w:tr w:rsidR="00C22FF2" w:rsidRPr="00D8702F" w14:paraId="732E50B9" w14:textId="77777777" w:rsidTr="007B54FD">
        <w:tc>
          <w:tcPr>
            <w:tcW w:w="1250" w:type="pct"/>
            <w:shd w:val="clear" w:color="auto" w:fill="auto"/>
          </w:tcPr>
          <w:p w14:paraId="6A92A493" w14:textId="77777777" w:rsidR="00C22FF2" w:rsidRPr="00D8702F" w:rsidRDefault="00B76403" w:rsidP="00B764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regula</w:t>
            </w:r>
            <w:r w:rsidR="00C22FF2" w:rsidRPr="00D8702F">
              <w:rPr>
                <w:rFonts w:ascii="Times New Roman" w:eastAsia="Times New Roman" w:hAnsi="Times New Roman" w:cs="Times New Roman"/>
                <w:sz w:val="24"/>
                <w:szCs w:val="24"/>
                <w:lang w:eastAsia="lv-LV"/>
              </w:rPr>
              <w:t xml:space="preserve"> Nr. 140</w:t>
            </w:r>
            <w:r>
              <w:rPr>
                <w:rFonts w:ascii="Times New Roman" w:eastAsia="Times New Roman" w:hAnsi="Times New Roman" w:cs="Times New Roman"/>
                <w:sz w:val="24"/>
                <w:szCs w:val="24"/>
                <w:lang w:eastAsia="lv-LV"/>
              </w:rPr>
              <w:t>8/</w:t>
            </w:r>
            <w:r w:rsidR="00C22FF2" w:rsidRPr="00D8702F">
              <w:rPr>
                <w:rFonts w:ascii="Times New Roman" w:eastAsia="Times New Roman" w:hAnsi="Times New Roman" w:cs="Times New Roman"/>
                <w:sz w:val="24"/>
                <w:szCs w:val="24"/>
                <w:lang w:eastAsia="lv-LV"/>
              </w:rPr>
              <w:t xml:space="preserve">2013 </w:t>
            </w:r>
          </w:p>
        </w:tc>
        <w:tc>
          <w:tcPr>
            <w:tcW w:w="1250" w:type="pct"/>
            <w:shd w:val="clear" w:color="auto" w:fill="auto"/>
          </w:tcPr>
          <w:p w14:paraId="16C096D0" w14:textId="77777777" w:rsidR="00C22FF2" w:rsidRPr="00D8702F" w:rsidRDefault="00C22FF2" w:rsidP="00D81A3D">
            <w:pPr>
              <w:spacing w:line="240" w:lineRule="auto"/>
              <w:rPr>
                <w:rFonts w:ascii="Times New Roman" w:eastAsia="Calibri" w:hAnsi="Times New Roman" w:cs="Times New Roman"/>
                <w:sz w:val="24"/>
                <w:szCs w:val="24"/>
              </w:rPr>
            </w:pPr>
            <w:r w:rsidRPr="00C22FF2">
              <w:rPr>
                <w:rFonts w:ascii="Times New Roman" w:eastAsia="Calibri" w:hAnsi="Times New Roman" w:cs="Times New Roman"/>
                <w:sz w:val="24"/>
                <w:szCs w:val="24"/>
              </w:rPr>
              <w:t xml:space="preserve">Noteikumu projekta </w:t>
            </w:r>
            <w:r w:rsidR="00D81A3D">
              <w:rPr>
                <w:rFonts w:ascii="Times New Roman" w:eastAsia="Calibri" w:hAnsi="Times New Roman" w:cs="Times New Roman"/>
                <w:sz w:val="24"/>
                <w:szCs w:val="24"/>
              </w:rPr>
              <w:t>3</w:t>
            </w:r>
            <w:r w:rsidRPr="00C22FF2">
              <w:rPr>
                <w:rFonts w:ascii="Times New Roman" w:eastAsia="Calibri" w:hAnsi="Times New Roman" w:cs="Times New Roman"/>
                <w:sz w:val="24"/>
                <w:szCs w:val="24"/>
              </w:rPr>
              <w:t>.punkts</w:t>
            </w:r>
          </w:p>
        </w:tc>
        <w:tc>
          <w:tcPr>
            <w:tcW w:w="1250" w:type="pct"/>
            <w:gridSpan w:val="2"/>
            <w:shd w:val="clear" w:color="auto" w:fill="auto"/>
          </w:tcPr>
          <w:p w14:paraId="75666341" w14:textId="77777777" w:rsidR="00C22FF2" w:rsidRPr="00C22FF2" w:rsidRDefault="00C22FF2" w:rsidP="00B76403">
            <w:pPr>
              <w:rPr>
                <w:rFonts w:ascii="Times New Roman" w:eastAsia="Times New Roman" w:hAnsi="Times New Roman" w:cs="Times New Roman"/>
                <w:sz w:val="24"/>
                <w:szCs w:val="24"/>
                <w:lang w:eastAsia="lv-LV"/>
              </w:rPr>
            </w:pPr>
            <w:r w:rsidRPr="00C22FF2">
              <w:rPr>
                <w:rFonts w:ascii="Times New Roman" w:eastAsia="Times New Roman" w:hAnsi="Times New Roman" w:cs="Times New Roman"/>
                <w:sz w:val="24"/>
                <w:szCs w:val="24"/>
                <w:lang w:eastAsia="lv-LV"/>
              </w:rPr>
              <w:t xml:space="preserve">Komisijas regulas Nr. </w:t>
            </w:r>
            <w:r w:rsidR="00B76403">
              <w:rPr>
                <w:rFonts w:ascii="Times New Roman" w:eastAsia="Times New Roman" w:hAnsi="Times New Roman" w:cs="Times New Roman"/>
                <w:sz w:val="24"/>
                <w:szCs w:val="24"/>
                <w:lang w:eastAsia="lv-LV"/>
              </w:rPr>
              <w:t>1408/2013</w:t>
            </w:r>
            <w:r w:rsidRPr="00C22FF2">
              <w:rPr>
                <w:rFonts w:ascii="Times New Roman" w:eastAsia="Times New Roman" w:hAnsi="Times New Roman" w:cs="Times New Roman"/>
                <w:sz w:val="24"/>
                <w:szCs w:val="24"/>
                <w:lang w:eastAsia="lv-LV"/>
              </w:rPr>
              <w:t xml:space="preserve"> prasības tiek ieviestas pilnībā.</w:t>
            </w:r>
          </w:p>
        </w:tc>
        <w:tc>
          <w:tcPr>
            <w:tcW w:w="1250" w:type="pct"/>
            <w:shd w:val="clear" w:color="auto" w:fill="auto"/>
          </w:tcPr>
          <w:p w14:paraId="73FAAF91" w14:textId="77777777" w:rsidR="00C22FF2" w:rsidRPr="00D8702F" w:rsidRDefault="00C22FF2" w:rsidP="00C22FF2">
            <w:pPr>
              <w:rPr>
                <w:rFonts w:ascii="Calibri" w:eastAsia="Calibri" w:hAnsi="Calibri" w:cs="Times New Roman"/>
              </w:rPr>
            </w:pPr>
            <w:r w:rsidRPr="00C22FF2">
              <w:rPr>
                <w:rFonts w:ascii="Times New Roman" w:eastAsia="Times New Roman" w:hAnsi="Times New Roman" w:cs="Times New Roman"/>
                <w:sz w:val="24"/>
                <w:szCs w:val="24"/>
                <w:lang w:eastAsia="lv-LV"/>
              </w:rPr>
              <w:t>Noteikumu projekta vienības neparedz stingrākas prasības kā šīs tabulas A ailē minētās ES tiesību akta vienības.</w:t>
            </w:r>
          </w:p>
        </w:tc>
      </w:tr>
      <w:tr w:rsidR="00C22FF2" w:rsidRPr="00D8702F" w14:paraId="59746065" w14:textId="77777777" w:rsidTr="007B54FD">
        <w:tc>
          <w:tcPr>
            <w:tcW w:w="1250" w:type="pct"/>
            <w:shd w:val="clear" w:color="auto" w:fill="auto"/>
          </w:tcPr>
          <w:p w14:paraId="52DBBD92" w14:textId="47F72125" w:rsidR="00C22FF2" w:rsidRPr="00D8702F" w:rsidRDefault="00B76403" w:rsidP="00B76403">
            <w:pPr>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Komisijas r</w:t>
            </w:r>
            <w:r w:rsidR="00C22FF2" w:rsidRPr="00D8702F">
              <w:rPr>
                <w:rFonts w:ascii="Times New Roman" w:eastAsia="Calibri" w:hAnsi="Times New Roman" w:cs="Times New Roman"/>
                <w:sz w:val="24"/>
                <w:szCs w:val="24"/>
              </w:rPr>
              <w:t>egulas Nr.7</w:t>
            </w:r>
            <w:r>
              <w:rPr>
                <w:rFonts w:ascii="Times New Roman" w:eastAsia="Calibri" w:hAnsi="Times New Roman" w:cs="Times New Roman"/>
                <w:sz w:val="24"/>
                <w:szCs w:val="24"/>
              </w:rPr>
              <w:t>94/2004</w:t>
            </w:r>
            <w:r w:rsidR="00C22FF2" w:rsidRPr="00D8702F">
              <w:rPr>
                <w:rFonts w:ascii="Times New Roman" w:eastAsia="Calibri" w:hAnsi="Times New Roman" w:cs="Times New Roman"/>
                <w:sz w:val="24"/>
                <w:szCs w:val="24"/>
              </w:rPr>
              <w:t xml:space="preserve"> 6.panta </w:t>
            </w:r>
            <w:r>
              <w:rPr>
                <w:rFonts w:ascii="Times New Roman" w:eastAsia="Calibri" w:hAnsi="Times New Roman" w:cs="Times New Roman"/>
                <w:sz w:val="24"/>
                <w:szCs w:val="24"/>
              </w:rPr>
              <w:t>10. un 11</w:t>
            </w:r>
            <w:r w:rsidR="00C22FF2" w:rsidRPr="00D8702F">
              <w:rPr>
                <w:rFonts w:ascii="Times New Roman" w:eastAsia="Calibri" w:hAnsi="Times New Roman" w:cs="Times New Roman"/>
                <w:sz w:val="24"/>
                <w:szCs w:val="24"/>
              </w:rPr>
              <w:t>.</w:t>
            </w:r>
            <w:r w:rsidR="00D51D74">
              <w:rPr>
                <w:rFonts w:ascii="Times New Roman" w:eastAsia="Calibri" w:hAnsi="Times New Roman" w:cs="Times New Roman"/>
                <w:sz w:val="24"/>
                <w:szCs w:val="24"/>
              </w:rPr>
              <w:t xml:space="preserve"> </w:t>
            </w:r>
            <w:r w:rsidR="00C22FF2" w:rsidRPr="00D8702F">
              <w:rPr>
                <w:rFonts w:ascii="Times New Roman" w:eastAsia="Calibri" w:hAnsi="Times New Roman" w:cs="Times New Roman"/>
                <w:sz w:val="24"/>
                <w:szCs w:val="24"/>
              </w:rPr>
              <w:t>punkts</w:t>
            </w:r>
          </w:p>
        </w:tc>
        <w:tc>
          <w:tcPr>
            <w:tcW w:w="1250" w:type="pct"/>
            <w:shd w:val="clear" w:color="auto" w:fill="auto"/>
          </w:tcPr>
          <w:p w14:paraId="53046753" w14:textId="77777777" w:rsidR="00C22FF2" w:rsidRPr="00D8702F" w:rsidRDefault="00C22FF2" w:rsidP="00D81A3D">
            <w:pPr>
              <w:spacing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 xml:space="preserve">Noteikumu projekta </w:t>
            </w:r>
            <w:r w:rsidR="00B76403">
              <w:rPr>
                <w:rFonts w:ascii="Times New Roman" w:eastAsia="Calibri" w:hAnsi="Times New Roman" w:cs="Times New Roman"/>
                <w:sz w:val="24"/>
                <w:szCs w:val="24"/>
              </w:rPr>
              <w:t>1</w:t>
            </w:r>
            <w:r w:rsidR="00D81A3D">
              <w:rPr>
                <w:rFonts w:ascii="Times New Roman" w:eastAsia="Calibri" w:hAnsi="Times New Roman" w:cs="Times New Roman"/>
                <w:sz w:val="24"/>
                <w:szCs w:val="24"/>
              </w:rPr>
              <w:t>5</w:t>
            </w:r>
            <w:r w:rsidRPr="00D8702F">
              <w:rPr>
                <w:rFonts w:ascii="Times New Roman" w:eastAsia="Calibri" w:hAnsi="Times New Roman" w:cs="Times New Roman"/>
                <w:sz w:val="24"/>
                <w:szCs w:val="24"/>
              </w:rPr>
              <w:t>.punkts</w:t>
            </w:r>
          </w:p>
        </w:tc>
        <w:tc>
          <w:tcPr>
            <w:tcW w:w="1250" w:type="pct"/>
            <w:gridSpan w:val="2"/>
            <w:shd w:val="clear" w:color="auto" w:fill="auto"/>
          </w:tcPr>
          <w:p w14:paraId="6AFCBA75" w14:textId="77777777" w:rsidR="00C22FF2" w:rsidRPr="00C22FF2" w:rsidRDefault="00C22FF2" w:rsidP="00B76403">
            <w:pPr>
              <w:rPr>
                <w:rFonts w:ascii="Times New Roman" w:eastAsia="Times New Roman" w:hAnsi="Times New Roman" w:cs="Times New Roman"/>
                <w:sz w:val="24"/>
                <w:szCs w:val="24"/>
                <w:lang w:eastAsia="lv-LV"/>
              </w:rPr>
            </w:pPr>
            <w:r w:rsidRPr="00C22FF2">
              <w:rPr>
                <w:rFonts w:ascii="Times New Roman" w:eastAsia="Times New Roman" w:hAnsi="Times New Roman" w:cs="Times New Roman"/>
                <w:sz w:val="24"/>
                <w:szCs w:val="24"/>
                <w:lang w:eastAsia="lv-LV"/>
              </w:rPr>
              <w:t>Komisijas regulas Nr. 7</w:t>
            </w:r>
            <w:r w:rsidR="00B76403">
              <w:rPr>
                <w:rFonts w:ascii="Times New Roman" w:eastAsia="Times New Roman" w:hAnsi="Times New Roman" w:cs="Times New Roman"/>
                <w:sz w:val="24"/>
                <w:szCs w:val="24"/>
                <w:lang w:eastAsia="lv-LV"/>
              </w:rPr>
              <w:t>94</w:t>
            </w:r>
            <w:r w:rsidRPr="00C22FF2">
              <w:rPr>
                <w:rFonts w:ascii="Times New Roman" w:eastAsia="Times New Roman" w:hAnsi="Times New Roman" w:cs="Times New Roman"/>
                <w:sz w:val="24"/>
                <w:szCs w:val="24"/>
                <w:lang w:eastAsia="lv-LV"/>
              </w:rPr>
              <w:t>/20</w:t>
            </w:r>
            <w:r w:rsidR="00B76403">
              <w:rPr>
                <w:rFonts w:ascii="Times New Roman" w:eastAsia="Times New Roman" w:hAnsi="Times New Roman" w:cs="Times New Roman"/>
                <w:sz w:val="24"/>
                <w:szCs w:val="24"/>
                <w:lang w:eastAsia="lv-LV"/>
              </w:rPr>
              <w:t>0</w:t>
            </w:r>
            <w:r w:rsidRPr="00C22FF2">
              <w:rPr>
                <w:rFonts w:ascii="Times New Roman" w:eastAsia="Times New Roman" w:hAnsi="Times New Roman" w:cs="Times New Roman"/>
                <w:sz w:val="24"/>
                <w:szCs w:val="24"/>
                <w:lang w:eastAsia="lv-LV"/>
              </w:rPr>
              <w:t>4 prasības tiek ieviestas pilnībā.</w:t>
            </w:r>
          </w:p>
        </w:tc>
        <w:tc>
          <w:tcPr>
            <w:tcW w:w="1250" w:type="pct"/>
            <w:shd w:val="clear" w:color="auto" w:fill="auto"/>
          </w:tcPr>
          <w:p w14:paraId="7C8A1C80" w14:textId="77777777" w:rsidR="00C22FF2" w:rsidRPr="00D8702F" w:rsidRDefault="00C22FF2" w:rsidP="00C22FF2">
            <w:pPr>
              <w:rPr>
                <w:rFonts w:ascii="Calibri" w:eastAsia="Calibri" w:hAnsi="Calibri" w:cs="Times New Roman"/>
              </w:rPr>
            </w:pPr>
            <w:r w:rsidRPr="00C22FF2">
              <w:rPr>
                <w:rFonts w:ascii="Times New Roman" w:eastAsia="Times New Roman" w:hAnsi="Times New Roman" w:cs="Times New Roman"/>
                <w:sz w:val="24"/>
                <w:szCs w:val="24"/>
                <w:lang w:eastAsia="lv-LV"/>
              </w:rPr>
              <w:t>Noteikumu projekta vienības neparedz stingrākas prasības kā šīs tabulas A ailē minētās ES tiesību akta vienības.</w:t>
            </w:r>
          </w:p>
        </w:tc>
      </w:tr>
      <w:tr w:rsidR="00D8702F" w:rsidRPr="00D8702F" w14:paraId="1799DA6B" w14:textId="77777777" w:rsidTr="007B54FD">
        <w:tc>
          <w:tcPr>
            <w:tcW w:w="1250" w:type="pct"/>
            <w:shd w:val="clear" w:color="auto" w:fill="auto"/>
            <w:hideMark/>
          </w:tcPr>
          <w:p w14:paraId="60A2F34F"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Kā ir izmantota ES tiesību aktā paredzētā rīcības brīvība dalībvalstij pārņemt vai ieviest noteiktas ES tiesību akta normas? Kādēļ?</w:t>
            </w:r>
          </w:p>
        </w:tc>
        <w:tc>
          <w:tcPr>
            <w:tcW w:w="3750" w:type="pct"/>
            <w:gridSpan w:val="4"/>
            <w:shd w:val="clear" w:color="auto" w:fill="auto"/>
            <w:hideMark/>
          </w:tcPr>
          <w:p w14:paraId="665CF7C3"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r>
      <w:tr w:rsidR="00D8702F" w:rsidRPr="00D8702F" w14:paraId="53F57278" w14:textId="77777777" w:rsidTr="007B54FD">
        <w:tc>
          <w:tcPr>
            <w:tcW w:w="1250" w:type="pct"/>
            <w:shd w:val="clear" w:color="auto" w:fill="auto"/>
            <w:hideMark/>
          </w:tcPr>
          <w:p w14:paraId="045D07E7"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shd w:val="clear" w:color="auto" w:fill="auto"/>
            <w:hideMark/>
          </w:tcPr>
          <w:p w14:paraId="0004D1E8"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r>
      <w:tr w:rsidR="00D8702F" w:rsidRPr="00D8702F" w14:paraId="7E521960" w14:textId="77777777" w:rsidTr="007B54FD">
        <w:tc>
          <w:tcPr>
            <w:tcW w:w="1250" w:type="pct"/>
            <w:shd w:val="clear" w:color="auto" w:fill="auto"/>
            <w:hideMark/>
          </w:tcPr>
          <w:p w14:paraId="0A35407D"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Cita informācija</w:t>
            </w:r>
          </w:p>
        </w:tc>
        <w:tc>
          <w:tcPr>
            <w:tcW w:w="3750" w:type="pct"/>
            <w:gridSpan w:val="4"/>
            <w:shd w:val="clear" w:color="auto" w:fill="auto"/>
            <w:hideMark/>
          </w:tcPr>
          <w:p w14:paraId="3236E092" w14:textId="7C83B62D"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Nav.</w:t>
            </w:r>
          </w:p>
        </w:tc>
      </w:tr>
      <w:tr w:rsidR="00D8702F" w:rsidRPr="00D8702F" w14:paraId="77827EDE" w14:textId="77777777" w:rsidTr="007B54FD">
        <w:tc>
          <w:tcPr>
            <w:tcW w:w="0" w:type="auto"/>
            <w:gridSpan w:val="5"/>
            <w:shd w:val="clear" w:color="auto" w:fill="auto"/>
            <w:hideMark/>
          </w:tcPr>
          <w:p w14:paraId="2EA47DFF" w14:textId="77777777" w:rsidR="00D8702F" w:rsidRPr="00D8702F" w:rsidRDefault="00D8702F" w:rsidP="00D8702F">
            <w:pPr>
              <w:spacing w:after="0" w:line="240" w:lineRule="auto"/>
              <w:rPr>
                <w:rFonts w:ascii="Times New Roman" w:eastAsia="Calibri" w:hAnsi="Times New Roman" w:cs="Times New Roman"/>
                <w:b/>
                <w:bCs/>
                <w:sz w:val="24"/>
                <w:szCs w:val="24"/>
              </w:rPr>
            </w:pPr>
            <w:r w:rsidRPr="00D8702F">
              <w:rPr>
                <w:rFonts w:ascii="Times New Roman" w:eastAsia="Calibri" w:hAnsi="Times New Roman" w:cs="Times New Roman"/>
                <w:b/>
                <w:bCs/>
                <w:sz w:val="24"/>
                <w:szCs w:val="24"/>
              </w:rPr>
              <w:t>2. tabula</w:t>
            </w:r>
            <w:r w:rsidRPr="00D8702F">
              <w:rPr>
                <w:rFonts w:ascii="Times New Roman" w:eastAsia="Calibri"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8702F">
              <w:rPr>
                <w:rFonts w:ascii="Times New Roman" w:eastAsia="Calibri" w:hAnsi="Times New Roman" w:cs="Times New Roman"/>
                <w:b/>
                <w:bCs/>
                <w:sz w:val="24"/>
                <w:szCs w:val="24"/>
              </w:rPr>
              <w:br/>
              <w:t>Pasākumi šo saistību izpildei</w:t>
            </w:r>
          </w:p>
        </w:tc>
      </w:tr>
      <w:tr w:rsidR="00D8702F" w:rsidRPr="00D8702F" w14:paraId="5FAB3952" w14:textId="77777777" w:rsidTr="007B54FD">
        <w:tc>
          <w:tcPr>
            <w:tcW w:w="1250" w:type="pct"/>
            <w:shd w:val="clear" w:color="auto" w:fill="auto"/>
            <w:hideMark/>
          </w:tcPr>
          <w:p w14:paraId="644A05AE"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lastRenderedPageBreak/>
              <w:t>Attiecīgā starptautiskā tiesību akta vai starptautiskas institūcijas vai organizācijas dokumenta (turpmāk – starptautiskais dokuments) datums, numurs un nosaukums</w:t>
            </w:r>
          </w:p>
        </w:tc>
        <w:tc>
          <w:tcPr>
            <w:tcW w:w="3750" w:type="pct"/>
            <w:gridSpan w:val="4"/>
            <w:shd w:val="clear" w:color="auto" w:fill="auto"/>
            <w:hideMark/>
          </w:tcPr>
          <w:p w14:paraId="06C8C7F2"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r>
      <w:tr w:rsidR="00D8702F" w:rsidRPr="00D8702F" w14:paraId="5F55F2B0" w14:textId="77777777" w:rsidTr="007B54FD">
        <w:tc>
          <w:tcPr>
            <w:tcW w:w="1250" w:type="pct"/>
            <w:shd w:val="clear" w:color="auto" w:fill="auto"/>
            <w:hideMark/>
          </w:tcPr>
          <w:p w14:paraId="46C2F7A6"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A</w:t>
            </w:r>
          </w:p>
        </w:tc>
        <w:tc>
          <w:tcPr>
            <w:tcW w:w="1800" w:type="pct"/>
            <w:gridSpan w:val="2"/>
            <w:shd w:val="clear" w:color="auto" w:fill="auto"/>
            <w:hideMark/>
          </w:tcPr>
          <w:p w14:paraId="40A3749F"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B</w:t>
            </w:r>
          </w:p>
        </w:tc>
        <w:tc>
          <w:tcPr>
            <w:tcW w:w="1950" w:type="pct"/>
            <w:gridSpan w:val="2"/>
            <w:shd w:val="clear" w:color="auto" w:fill="auto"/>
            <w:hideMark/>
          </w:tcPr>
          <w:p w14:paraId="59BDBF04"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w:t>
            </w:r>
          </w:p>
        </w:tc>
      </w:tr>
      <w:tr w:rsidR="00D8702F" w:rsidRPr="00D8702F" w14:paraId="459F47C7" w14:textId="77777777" w:rsidTr="007B54FD">
        <w:tc>
          <w:tcPr>
            <w:tcW w:w="1250" w:type="pct"/>
            <w:shd w:val="clear" w:color="auto" w:fill="auto"/>
            <w:hideMark/>
          </w:tcPr>
          <w:p w14:paraId="7F4C3BE6"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Starptautiskās saistības (pēc būtības), kas izriet no norādītā starptautiskā dokumenta.</w:t>
            </w:r>
            <w:r w:rsidRPr="00D8702F">
              <w:rPr>
                <w:rFonts w:ascii="Times New Roman" w:eastAsia="Calibri" w:hAnsi="Times New Roman" w:cs="Times New Roman"/>
                <w:sz w:val="24"/>
                <w:szCs w:val="24"/>
              </w:rPr>
              <w:br/>
              <w:t>Konkrēti veicamie pasākumi vai uzdevumi, kas nepieciešami šo starptautisko saistību izpildei</w:t>
            </w:r>
          </w:p>
        </w:tc>
        <w:tc>
          <w:tcPr>
            <w:tcW w:w="1800" w:type="pct"/>
            <w:gridSpan w:val="2"/>
            <w:shd w:val="clear" w:color="auto" w:fill="auto"/>
            <w:hideMark/>
          </w:tcPr>
          <w:p w14:paraId="2AA2F153"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shd w:val="clear" w:color="auto" w:fill="auto"/>
            <w:hideMark/>
          </w:tcPr>
          <w:p w14:paraId="4810BFEA"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Informācija par to, vai starptautiskās saistības, kas minētas šīs tabulas A ailē, tiek izpildītas pilnībā vai daļēji.</w:t>
            </w:r>
            <w:r w:rsidRPr="00D8702F">
              <w:rPr>
                <w:rFonts w:ascii="Times New Roman" w:eastAsia="Calibri"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D8702F">
              <w:rPr>
                <w:rFonts w:ascii="Times New Roman" w:eastAsia="Calibri" w:hAnsi="Times New Roman" w:cs="Times New Roman"/>
                <w:sz w:val="24"/>
                <w:szCs w:val="24"/>
              </w:rPr>
              <w:br/>
              <w:t>Norāda institūciju, kas ir atbildīga par šo saistību izpildi pilnībā</w:t>
            </w:r>
          </w:p>
        </w:tc>
      </w:tr>
      <w:tr w:rsidR="00D8702F" w:rsidRPr="00D8702F" w14:paraId="767106F7" w14:textId="77777777" w:rsidTr="007B54FD">
        <w:tc>
          <w:tcPr>
            <w:tcW w:w="1250" w:type="pct"/>
            <w:shd w:val="clear" w:color="auto" w:fill="auto"/>
            <w:hideMark/>
          </w:tcPr>
          <w:p w14:paraId="0A9179FC"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c>
          <w:tcPr>
            <w:tcW w:w="1800" w:type="pct"/>
            <w:gridSpan w:val="2"/>
            <w:shd w:val="clear" w:color="auto" w:fill="auto"/>
            <w:hideMark/>
          </w:tcPr>
          <w:p w14:paraId="0A01601D"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c>
          <w:tcPr>
            <w:tcW w:w="1950" w:type="pct"/>
            <w:gridSpan w:val="2"/>
            <w:shd w:val="clear" w:color="auto" w:fill="auto"/>
            <w:hideMark/>
          </w:tcPr>
          <w:p w14:paraId="71D0E869"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r>
      <w:tr w:rsidR="00D8702F" w:rsidRPr="00D8702F" w14:paraId="03218417" w14:textId="77777777" w:rsidTr="007B54FD">
        <w:tc>
          <w:tcPr>
            <w:tcW w:w="1250" w:type="pct"/>
            <w:shd w:val="clear" w:color="auto" w:fill="auto"/>
            <w:hideMark/>
          </w:tcPr>
          <w:p w14:paraId="692537A0"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Vai starptautiskajā dokumentā paredzētās saistības nav pretrunā ar jau esošajām Latvijas Republikas starptautiskajām saistībām</w:t>
            </w:r>
          </w:p>
        </w:tc>
        <w:tc>
          <w:tcPr>
            <w:tcW w:w="3750" w:type="pct"/>
            <w:gridSpan w:val="4"/>
            <w:shd w:val="clear" w:color="auto" w:fill="auto"/>
            <w:hideMark/>
          </w:tcPr>
          <w:p w14:paraId="53D3E5BE"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Times New Roman" w:hAnsi="Times New Roman" w:cs="Times New Roman"/>
                <w:sz w:val="24"/>
                <w:szCs w:val="24"/>
                <w:lang w:eastAsia="lv-LV"/>
              </w:rPr>
              <w:t>Projekts šo jomu neskar.</w:t>
            </w:r>
          </w:p>
        </w:tc>
      </w:tr>
      <w:tr w:rsidR="00D8702F" w:rsidRPr="00D8702F" w14:paraId="6433DF87" w14:textId="77777777" w:rsidTr="007B54FD">
        <w:tc>
          <w:tcPr>
            <w:tcW w:w="1250" w:type="pct"/>
            <w:shd w:val="clear" w:color="auto" w:fill="auto"/>
            <w:hideMark/>
          </w:tcPr>
          <w:p w14:paraId="37D52692" w14:textId="7777777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Cita informācija</w:t>
            </w:r>
          </w:p>
        </w:tc>
        <w:tc>
          <w:tcPr>
            <w:tcW w:w="3750" w:type="pct"/>
            <w:gridSpan w:val="4"/>
            <w:shd w:val="clear" w:color="auto" w:fill="auto"/>
            <w:hideMark/>
          </w:tcPr>
          <w:p w14:paraId="29E57E88" w14:textId="63F0E697" w:rsidR="00D8702F" w:rsidRPr="00D8702F" w:rsidRDefault="00D8702F" w:rsidP="00D8702F">
            <w:pPr>
              <w:spacing w:after="0" w:line="240" w:lineRule="auto"/>
              <w:rPr>
                <w:rFonts w:ascii="Times New Roman" w:eastAsia="Calibri" w:hAnsi="Times New Roman" w:cs="Times New Roman"/>
                <w:sz w:val="24"/>
                <w:szCs w:val="24"/>
              </w:rPr>
            </w:pPr>
            <w:r w:rsidRPr="00D8702F">
              <w:rPr>
                <w:rFonts w:ascii="Times New Roman" w:eastAsia="Calibri" w:hAnsi="Times New Roman" w:cs="Times New Roman"/>
                <w:sz w:val="24"/>
                <w:szCs w:val="24"/>
              </w:rPr>
              <w:t>Nav.</w:t>
            </w:r>
          </w:p>
        </w:tc>
      </w:tr>
    </w:tbl>
    <w:p w14:paraId="38CFE78B" w14:textId="77777777"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1F44CB" w:rsidRPr="006956AC" w14:paraId="63EF1815" w14:textId="77777777" w:rsidTr="00E9414E">
        <w:trPr>
          <w:tblCellSpacing w:w="15" w:type="dxa"/>
        </w:trPr>
        <w:tc>
          <w:tcPr>
            <w:tcW w:w="0" w:type="auto"/>
            <w:gridSpan w:val="3"/>
            <w:hideMark/>
          </w:tcPr>
          <w:p w14:paraId="1AF27E97" w14:textId="77777777" w:rsidR="001F44CB" w:rsidRPr="001F44CB" w:rsidRDefault="001F44CB" w:rsidP="001F44CB">
            <w:pPr>
              <w:rPr>
                <w:rFonts w:ascii="Times New Roman" w:eastAsia="Times New Roman" w:hAnsi="Times New Roman" w:cs="Times New Roman"/>
                <w:b/>
                <w:bCs/>
                <w:iCs/>
                <w:color w:val="414142"/>
                <w:sz w:val="24"/>
                <w:szCs w:val="24"/>
                <w:lang w:eastAsia="lv-LV"/>
              </w:rPr>
            </w:pPr>
            <w:r w:rsidRPr="001F44CB">
              <w:rPr>
                <w:rFonts w:ascii="Times New Roman" w:eastAsia="Times New Roman" w:hAnsi="Times New Roman" w:cs="Times New Roman"/>
                <w:b/>
                <w:bCs/>
                <w:iCs/>
                <w:color w:val="414142"/>
                <w:sz w:val="24"/>
                <w:szCs w:val="24"/>
                <w:lang w:eastAsia="lv-LV"/>
              </w:rPr>
              <w:t>VI. Sabiedrības līdzdalība un komunikācijas aktivitātes</w:t>
            </w:r>
          </w:p>
        </w:tc>
      </w:tr>
      <w:tr w:rsidR="001F44CB" w:rsidRPr="006956AC" w14:paraId="1067C407" w14:textId="77777777" w:rsidTr="00EE0BD2">
        <w:trPr>
          <w:tblCellSpacing w:w="15" w:type="dxa"/>
        </w:trPr>
        <w:tc>
          <w:tcPr>
            <w:tcW w:w="296" w:type="pct"/>
            <w:hideMark/>
          </w:tcPr>
          <w:p w14:paraId="667BC46E"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1.</w:t>
            </w:r>
          </w:p>
        </w:tc>
        <w:tc>
          <w:tcPr>
            <w:tcW w:w="1678" w:type="pct"/>
            <w:hideMark/>
          </w:tcPr>
          <w:p w14:paraId="352B91E5"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hideMark/>
          </w:tcPr>
          <w:p w14:paraId="6388C12D" w14:textId="77777777" w:rsidR="001F44CB" w:rsidRPr="001F44CB" w:rsidRDefault="001F44CB" w:rsidP="00CD05F1">
            <w:pPr>
              <w:spacing w:after="0" w:line="240" w:lineRule="auto"/>
              <w:jc w:val="both"/>
              <w:rPr>
                <w:rFonts w:ascii="Times New Roman" w:eastAsia="Times New Roman" w:hAnsi="Times New Roman" w:cs="Times New Roman"/>
                <w:iCs/>
                <w:color w:val="414142"/>
                <w:sz w:val="24"/>
                <w:szCs w:val="24"/>
                <w:lang w:eastAsia="lv-LV"/>
              </w:rPr>
            </w:pPr>
            <w:r w:rsidRPr="00CD05F1">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(turpmāk – noteikumi Nr. 970) 7.4.</w:t>
            </w:r>
            <w:r w:rsidRPr="00CD05F1">
              <w:rPr>
                <w:rFonts w:ascii="Times New Roman" w:eastAsia="Times New Roman" w:hAnsi="Times New Roman" w:cs="Times New Roman"/>
                <w:iCs/>
                <w:sz w:val="24"/>
                <w:szCs w:val="24"/>
                <w:vertAlign w:val="superscript"/>
                <w:lang w:eastAsia="lv-LV"/>
              </w:rPr>
              <w:t>1</w:t>
            </w:r>
            <w:r w:rsidRPr="00CD05F1">
              <w:rPr>
                <w:rFonts w:ascii="Times New Roman" w:eastAsia="Times New Roman" w:hAnsi="Times New Roman" w:cs="Times New Roman"/>
                <w:iCs/>
                <w:sz w:val="24"/>
                <w:szCs w:val="24"/>
                <w:lang w:eastAsia="lv-LV"/>
              </w:rPr>
              <w:t xml:space="preserve"> apakšpunktu sabiedrības pārstāvji ir aicināti līdzdarboties, rakstiski sniedzot viedokli par noteikumu projektu tā izstrādes stadijā. Sabiedrības pārstāvji ir informēti par iespēju līdzdarboties noteikumos Nr. 970 noteiktajā kārtībā, publicējot paziņojumu par līdzdalības procesu Zemkopības ministrijas </w:t>
            </w:r>
            <w:r w:rsidR="00AA4151" w:rsidRPr="00CD05F1">
              <w:rPr>
                <w:rFonts w:ascii="Times New Roman" w:eastAsia="Times New Roman" w:hAnsi="Times New Roman" w:cs="Times New Roman"/>
                <w:iCs/>
                <w:sz w:val="24"/>
                <w:szCs w:val="24"/>
                <w:lang w:eastAsia="lv-LV"/>
              </w:rPr>
              <w:t xml:space="preserve">tīmekļvietnē </w:t>
            </w:r>
            <w:hyperlink r:id="rId17" w:history="1">
              <w:r w:rsidRPr="00CD05F1">
                <w:rPr>
                  <w:rStyle w:val="Hipersaite"/>
                  <w:rFonts w:ascii="Times New Roman" w:eastAsia="Times New Roman" w:hAnsi="Times New Roman" w:cs="Times New Roman"/>
                  <w:iCs/>
                  <w:color w:val="auto"/>
                  <w:sz w:val="24"/>
                  <w:szCs w:val="24"/>
                  <w:lang w:eastAsia="lv-LV"/>
                </w:rPr>
                <w:t>www.zm.gov.lv</w:t>
              </w:r>
            </w:hyperlink>
            <w:r w:rsidRPr="00CD05F1">
              <w:rPr>
                <w:rFonts w:ascii="Times New Roman" w:eastAsia="Times New Roman" w:hAnsi="Times New Roman" w:cs="Times New Roman"/>
                <w:iCs/>
                <w:sz w:val="24"/>
                <w:szCs w:val="24"/>
                <w:lang w:eastAsia="lv-LV"/>
              </w:rPr>
              <w:t xml:space="preserve"> un Ministru kabineta </w:t>
            </w:r>
            <w:r w:rsidR="00AA4151" w:rsidRPr="00CD05F1">
              <w:rPr>
                <w:rFonts w:ascii="Times New Roman" w:eastAsia="Times New Roman" w:hAnsi="Times New Roman" w:cs="Times New Roman"/>
                <w:iCs/>
                <w:sz w:val="24"/>
                <w:szCs w:val="24"/>
                <w:lang w:eastAsia="lv-LV"/>
              </w:rPr>
              <w:t xml:space="preserve">tīmekļvietnes </w:t>
            </w:r>
            <w:r w:rsidRPr="00CD05F1">
              <w:rPr>
                <w:rFonts w:ascii="Times New Roman" w:eastAsia="Times New Roman" w:hAnsi="Times New Roman" w:cs="Times New Roman"/>
                <w:iCs/>
                <w:sz w:val="24"/>
                <w:szCs w:val="24"/>
                <w:lang w:eastAsia="lv-LV"/>
              </w:rPr>
              <w:t>sadaļā "Ministru kabineta diskusiju dokumenti".</w:t>
            </w:r>
          </w:p>
        </w:tc>
      </w:tr>
      <w:tr w:rsidR="001F44CB" w:rsidRPr="006956AC" w14:paraId="1D4EFDD2" w14:textId="77777777" w:rsidTr="00EE0BD2">
        <w:trPr>
          <w:tblCellSpacing w:w="15" w:type="dxa"/>
        </w:trPr>
        <w:tc>
          <w:tcPr>
            <w:tcW w:w="296" w:type="pct"/>
            <w:hideMark/>
          </w:tcPr>
          <w:p w14:paraId="77D7EA80"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lastRenderedPageBreak/>
              <w:t>2.</w:t>
            </w:r>
          </w:p>
        </w:tc>
        <w:tc>
          <w:tcPr>
            <w:tcW w:w="1678" w:type="pct"/>
            <w:hideMark/>
          </w:tcPr>
          <w:p w14:paraId="314C25EA"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Sabiedrības līdzdalība projekta izstrādē</w:t>
            </w:r>
          </w:p>
        </w:tc>
        <w:tc>
          <w:tcPr>
            <w:tcW w:w="2960" w:type="pct"/>
            <w:hideMark/>
          </w:tcPr>
          <w:p w14:paraId="51574DC2" w14:textId="77777777" w:rsidR="001F44CB" w:rsidRPr="001F44CB" w:rsidRDefault="001F44CB" w:rsidP="00112BD0">
            <w:pPr>
              <w:spacing w:after="0" w:line="240" w:lineRule="auto"/>
              <w:jc w:val="both"/>
              <w:rPr>
                <w:rFonts w:ascii="Times New Roman" w:eastAsia="Times New Roman" w:hAnsi="Times New Roman" w:cs="Times New Roman"/>
                <w:iCs/>
                <w:color w:val="414142"/>
                <w:sz w:val="24"/>
                <w:szCs w:val="24"/>
                <w:lang w:eastAsia="lv-LV"/>
              </w:rPr>
            </w:pPr>
            <w:r w:rsidRPr="00CD05F1">
              <w:rPr>
                <w:rFonts w:ascii="Times New Roman" w:eastAsia="Times New Roman" w:hAnsi="Times New Roman" w:cs="Times New Roman"/>
                <w:iCs/>
                <w:sz w:val="24"/>
                <w:szCs w:val="24"/>
                <w:lang w:eastAsia="lv-LV"/>
              </w:rPr>
              <w:t xml:space="preserve">Informācija par noteikumu projektu ievietota tīmekļvietnē </w:t>
            </w:r>
            <w:hyperlink r:id="rId18" w:history="1">
              <w:r w:rsidRPr="00CD05F1">
                <w:rPr>
                  <w:rStyle w:val="Hipersaite"/>
                  <w:rFonts w:ascii="Times New Roman" w:eastAsia="Times New Roman" w:hAnsi="Times New Roman" w:cs="Times New Roman"/>
                  <w:iCs/>
                  <w:color w:val="auto"/>
                  <w:sz w:val="24"/>
                  <w:szCs w:val="24"/>
                  <w:lang w:eastAsia="lv-LV"/>
                </w:rPr>
                <w:t>www.zm.gov.lv</w:t>
              </w:r>
            </w:hyperlink>
            <w:r w:rsidRPr="00CD05F1">
              <w:rPr>
                <w:rFonts w:ascii="Times New Roman" w:eastAsia="Times New Roman" w:hAnsi="Times New Roman" w:cs="Times New Roman"/>
                <w:iCs/>
                <w:sz w:val="24"/>
                <w:szCs w:val="24"/>
                <w:lang w:eastAsia="lv-LV"/>
              </w:rPr>
              <w:t xml:space="preserve"> un Ministru kabineta tīmekļvietn</w:t>
            </w:r>
            <w:r w:rsidR="00AA4151" w:rsidRPr="00CD05F1">
              <w:rPr>
                <w:rFonts w:ascii="Times New Roman" w:eastAsia="Times New Roman" w:hAnsi="Times New Roman" w:cs="Times New Roman"/>
                <w:iCs/>
                <w:sz w:val="24"/>
                <w:szCs w:val="24"/>
                <w:lang w:eastAsia="lv-LV"/>
              </w:rPr>
              <w:t>es</w:t>
            </w:r>
            <w:r w:rsidRPr="00CD05F1">
              <w:rPr>
                <w:rFonts w:ascii="Times New Roman" w:eastAsia="Times New Roman" w:hAnsi="Times New Roman" w:cs="Times New Roman"/>
                <w:iCs/>
                <w:sz w:val="24"/>
                <w:szCs w:val="24"/>
                <w:lang w:eastAsia="lv-LV"/>
              </w:rPr>
              <w:t xml:space="preserve"> </w:t>
            </w:r>
            <w:hyperlink r:id="rId19" w:history="1">
              <w:r w:rsidRPr="00CD05F1">
                <w:rPr>
                  <w:rStyle w:val="Hipersaite"/>
                  <w:rFonts w:ascii="Times New Roman" w:eastAsia="Times New Roman" w:hAnsi="Times New Roman" w:cs="Times New Roman"/>
                  <w:iCs/>
                  <w:color w:val="auto"/>
                  <w:sz w:val="24"/>
                  <w:szCs w:val="24"/>
                  <w:lang w:eastAsia="lv-LV"/>
                </w:rPr>
                <w:t>www.mk.gov.lv</w:t>
              </w:r>
            </w:hyperlink>
            <w:r w:rsidRPr="00CD05F1">
              <w:rPr>
                <w:rFonts w:ascii="Times New Roman" w:eastAsia="Times New Roman" w:hAnsi="Times New Roman" w:cs="Times New Roman"/>
                <w:iCs/>
                <w:sz w:val="24"/>
                <w:szCs w:val="24"/>
                <w:lang w:eastAsia="lv-LV"/>
              </w:rPr>
              <w:t xml:space="preserve"> sadaļā "Ministru kabineta diskusiju dokumenti". </w:t>
            </w:r>
          </w:p>
        </w:tc>
      </w:tr>
      <w:tr w:rsidR="001F44CB" w:rsidRPr="006956AC" w14:paraId="2E14367D" w14:textId="77777777" w:rsidTr="00EE0BD2">
        <w:trPr>
          <w:tblCellSpacing w:w="15" w:type="dxa"/>
        </w:trPr>
        <w:tc>
          <w:tcPr>
            <w:tcW w:w="296" w:type="pct"/>
            <w:hideMark/>
          </w:tcPr>
          <w:p w14:paraId="7A6C1BCE"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3.</w:t>
            </w:r>
          </w:p>
        </w:tc>
        <w:tc>
          <w:tcPr>
            <w:tcW w:w="1678" w:type="pct"/>
            <w:hideMark/>
          </w:tcPr>
          <w:p w14:paraId="2073A8B8"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Sabiedrības līdzdalības rezultāti</w:t>
            </w:r>
          </w:p>
        </w:tc>
        <w:tc>
          <w:tcPr>
            <w:tcW w:w="2960" w:type="pct"/>
            <w:hideMark/>
          </w:tcPr>
          <w:p w14:paraId="101C707D" w14:textId="77777777" w:rsidR="001F44CB" w:rsidRPr="001F44CB" w:rsidRDefault="00AA406E" w:rsidP="008B5208">
            <w:pPr>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w:t>
            </w:r>
          </w:p>
        </w:tc>
      </w:tr>
      <w:tr w:rsidR="001F44CB" w:rsidRPr="006956AC" w14:paraId="14F7DC42" w14:textId="77777777" w:rsidTr="00EE0BD2">
        <w:trPr>
          <w:tblCellSpacing w:w="15" w:type="dxa"/>
        </w:trPr>
        <w:tc>
          <w:tcPr>
            <w:tcW w:w="296" w:type="pct"/>
            <w:hideMark/>
          </w:tcPr>
          <w:p w14:paraId="587B3366"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4.</w:t>
            </w:r>
          </w:p>
        </w:tc>
        <w:tc>
          <w:tcPr>
            <w:tcW w:w="1678" w:type="pct"/>
            <w:hideMark/>
          </w:tcPr>
          <w:p w14:paraId="096FAFAB"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Cita informācija</w:t>
            </w:r>
          </w:p>
        </w:tc>
        <w:tc>
          <w:tcPr>
            <w:tcW w:w="2960" w:type="pct"/>
            <w:hideMark/>
          </w:tcPr>
          <w:p w14:paraId="1CB2DDE8"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Nav.</w:t>
            </w:r>
          </w:p>
        </w:tc>
      </w:tr>
    </w:tbl>
    <w:p w14:paraId="03C994B1" w14:textId="77777777"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14:paraId="7FE889CD" w14:textId="77777777" w:rsidTr="00EE0BD2">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759ED11" w14:textId="77777777"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A54B6" w:rsidRPr="006956AC" w14:paraId="71C495E1"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16FB7B81"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tcBorders>
              <w:top w:val="single" w:sz="4" w:space="0" w:color="auto"/>
              <w:left w:val="single" w:sz="4" w:space="0" w:color="auto"/>
              <w:bottom w:val="single" w:sz="4" w:space="0" w:color="auto"/>
              <w:right w:val="single" w:sz="4" w:space="0" w:color="auto"/>
            </w:tcBorders>
            <w:hideMark/>
          </w:tcPr>
          <w:p w14:paraId="48BDCB6B"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single" w:sz="4" w:space="0" w:color="auto"/>
              <w:left w:val="single" w:sz="4" w:space="0" w:color="auto"/>
              <w:bottom w:val="single" w:sz="4" w:space="0" w:color="auto"/>
              <w:right w:val="single" w:sz="4" w:space="0" w:color="auto"/>
            </w:tcBorders>
            <w:hideMark/>
          </w:tcPr>
          <w:p w14:paraId="3431B39E" w14:textId="77777777" w:rsidR="00DA54B6" w:rsidRPr="006956AC" w:rsidRDefault="00DA54B6" w:rsidP="00DA54B6">
            <w:pPr>
              <w:pStyle w:val="naisnod"/>
              <w:spacing w:before="0" w:after="0"/>
              <w:ind w:left="57" w:right="57" w:hanging="57"/>
            </w:pPr>
            <w:r w:rsidRPr="006956AC">
              <w:rPr>
                <w:iCs/>
              </w:rPr>
              <w:t xml:space="preserve">Noteikumu projekta izpildi nodrošinās Zemkopības ministrija un </w:t>
            </w:r>
            <w:r w:rsidR="00112BD0" w:rsidRPr="00112BD0">
              <w:rPr>
                <w:iCs/>
              </w:rPr>
              <w:t xml:space="preserve">sabiedrība </w:t>
            </w:r>
            <w:r w:rsidR="00160D62">
              <w:rPr>
                <w:iCs/>
              </w:rPr>
              <w:t>“</w:t>
            </w:r>
            <w:proofErr w:type="spellStart"/>
            <w:r w:rsidR="00112BD0" w:rsidRPr="00112BD0">
              <w:rPr>
                <w:iCs/>
              </w:rPr>
              <w:t>Altum</w:t>
            </w:r>
            <w:proofErr w:type="spellEnd"/>
            <w:r w:rsidR="00160D62">
              <w:rPr>
                <w:iCs/>
              </w:rPr>
              <w:t>”</w:t>
            </w:r>
            <w:r w:rsidRPr="006956AC">
              <w:rPr>
                <w:iCs/>
              </w:rPr>
              <w:t>.</w:t>
            </w:r>
          </w:p>
        </w:tc>
      </w:tr>
      <w:tr w:rsidR="00DA54B6" w:rsidRPr="006956AC" w14:paraId="593CC923"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1DB6BEA5"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tcBorders>
              <w:top w:val="single" w:sz="4" w:space="0" w:color="auto"/>
              <w:left w:val="single" w:sz="4" w:space="0" w:color="auto"/>
              <w:bottom w:val="single" w:sz="4" w:space="0" w:color="auto"/>
              <w:right w:val="single" w:sz="4" w:space="0" w:color="auto"/>
            </w:tcBorders>
            <w:hideMark/>
          </w:tcPr>
          <w:p w14:paraId="06BC749F"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izpildes ietekme uz pārvaldes funkcijām un institucionālo struktūru.</w:t>
            </w:r>
            <w:r w:rsidRPr="006956A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single" w:sz="4" w:space="0" w:color="auto"/>
              <w:left w:val="single" w:sz="4" w:space="0" w:color="auto"/>
              <w:bottom w:val="single" w:sz="4" w:space="0" w:color="auto"/>
              <w:right w:val="single" w:sz="4" w:space="0" w:color="auto"/>
            </w:tcBorders>
            <w:hideMark/>
          </w:tcPr>
          <w:p w14:paraId="06D29F7A" w14:textId="77777777" w:rsidR="00DA54B6" w:rsidRPr="006956AC" w:rsidRDefault="00443D48" w:rsidP="00322928">
            <w:pPr>
              <w:pStyle w:val="naisnod"/>
              <w:spacing w:before="0" w:after="0"/>
              <w:ind w:left="57" w:right="57" w:hanging="57"/>
              <w:jc w:val="both"/>
            </w:pPr>
            <w:r w:rsidRPr="001964A0">
              <w:rPr>
                <w:iCs/>
              </w:rPr>
              <w:t>Saistībā ar noteikumu projekta izpildi nav nepieciešams veidot jaunas, ne arī likvidēt vai reorganizēt esošas institūcijas. Noteikumu projekta izpilde neietekmēs institūcijām pieejamos cilvēkresursus.</w:t>
            </w:r>
          </w:p>
        </w:tc>
      </w:tr>
      <w:tr w:rsidR="00DA54B6" w:rsidRPr="00175B3E" w14:paraId="5DE4402A"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0BFD17F0" w14:textId="77777777"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678" w:type="pct"/>
            <w:tcBorders>
              <w:top w:val="single" w:sz="4" w:space="0" w:color="auto"/>
              <w:left w:val="single" w:sz="4" w:space="0" w:color="auto"/>
              <w:bottom w:val="single" w:sz="4" w:space="0" w:color="auto"/>
              <w:right w:val="single" w:sz="4" w:space="0" w:color="auto"/>
            </w:tcBorders>
            <w:hideMark/>
          </w:tcPr>
          <w:p w14:paraId="078C0BF6" w14:textId="77777777"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2960" w:type="pct"/>
            <w:tcBorders>
              <w:top w:val="single" w:sz="4" w:space="0" w:color="auto"/>
              <w:left w:val="single" w:sz="4" w:space="0" w:color="auto"/>
              <w:bottom w:val="single" w:sz="4" w:space="0" w:color="auto"/>
              <w:right w:val="single" w:sz="4" w:space="0" w:color="auto"/>
            </w:tcBorders>
            <w:hideMark/>
          </w:tcPr>
          <w:p w14:paraId="22B39192" w14:textId="77777777" w:rsidR="00DA54B6" w:rsidRPr="00DD49B6" w:rsidRDefault="00DA54B6" w:rsidP="00DA54B6">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14:paraId="187E78F5" w14:textId="77777777" w:rsidR="00C25B49" w:rsidRPr="00175B3E" w:rsidRDefault="00C25B49" w:rsidP="00894C55">
      <w:pPr>
        <w:spacing w:after="0" w:line="240" w:lineRule="auto"/>
        <w:rPr>
          <w:rFonts w:ascii="Times New Roman" w:hAnsi="Times New Roman" w:cs="Times New Roman"/>
          <w:sz w:val="28"/>
          <w:szCs w:val="28"/>
        </w:rPr>
      </w:pPr>
    </w:p>
    <w:p w14:paraId="46F2FF7B" w14:textId="137F996D" w:rsidR="00E5323B" w:rsidRDefault="00E5323B" w:rsidP="00894C55">
      <w:pPr>
        <w:spacing w:after="0" w:line="240" w:lineRule="auto"/>
        <w:rPr>
          <w:rFonts w:ascii="Times New Roman" w:hAnsi="Times New Roman" w:cs="Times New Roman"/>
          <w:sz w:val="28"/>
          <w:szCs w:val="28"/>
        </w:rPr>
      </w:pPr>
    </w:p>
    <w:p w14:paraId="212DA618" w14:textId="77777777" w:rsidR="00A87965" w:rsidRPr="00175B3E" w:rsidRDefault="00A87965" w:rsidP="00894C55">
      <w:pPr>
        <w:spacing w:after="0" w:line="240" w:lineRule="auto"/>
        <w:rPr>
          <w:rFonts w:ascii="Times New Roman" w:hAnsi="Times New Roman" w:cs="Times New Roman"/>
          <w:sz w:val="28"/>
          <w:szCs w:val="28"/>
        </w:rPr>
      </w:pPr>
    </w:p>
    <w:p w14:paraId="733FFF87" w14:textId="402B1A1C" w:rsidR="00DA54B6" w:rsidRPr="00A87965" w:rsidRDefault="00DA54B6" w:rsidP="00A87965">
      <w:pPr>
        <w:spacing w:after="0" w:line="240" w:lineRule="auto"/>
        <w:ind w:firstLine="720"/>
        <w:rPr>
          <w:rFonts w:ascii="Times New Roman" w:hAnsi="Times New Roman"/>
          <w:sz w:val="28"/>
          <w:szCs w:val="28"/>
        </w:rPr>
      </w:pPr>
      <w:r w:rsidRPr="00A87965">
        <w:rPr>
          <w:rFonts w:ascii="Times New Roman" w:hAnsi="Times New Roman"/>
          <w:sz w:val="28"/>
          <w:szCs w:val="28"/>
        </w:rPr>
        <w:t>Zemkopības ministrs</w:t>
      </w:r>
      <w:r w:rsidRPr="00A87965">
        <w:rPr>
          <w:rFonts w:ascii="Times New Roman" w:hAnsi="Times New Roman"/>
          <w:sz w:val="28"/>
          <w:szCs w:val="28"/>
        </w:rPr>
        <w:tab/>
      </w:r>
      <w:r w:rsidRPr="00A87965">
        <w:rPr>
          <w:rFonts w:ascii="Times New Roman" w:hAnsi="Times New Roman"/>
          <w:sz w:val="28"/>
          <w:szCs w:val="28"/>
        </w:rPr>
        <w:tab/>
      </w:r>
      <w:r w:rsidRPr="00A87965">
        <w:rPr>
          <w:rFonts w:ascii="Times New Roman" w:hAnsi="Times New Roman"/>
          <w:sz w:val="28"/>
          <w:szCs w:val="28"/>
        </w:rPr>
        <w:tab/>
      </w:r>
      <w:r w:rsidRPr="00A87965">
        <w:rPr>
          <w:rFonts w:ascii="Times New Roman" w:hAnsi="Times New Roman"/>
          <w:sz w:val="28"/>
          <w:szCs w:val="28"/>
        </w:rPr>
        <w:tab/>
      </w:r>
      <w:r w:rsidRPr="00A87965">
        <w:rPr>
          <w:rFonts w:ascii="Times New Roman" w:hAnsi="Times New Roman"/>
          <w:sz w:val="28"/>
          <w:szCs w:val="28"/>
        </w:rPr>
        <w:tab/>
      </w:r>
      <w:r w:rsidRPr="00A87965">
        <w:rPr>
          <w:rFonts w:ascii="Times New Roman" w:hAnsi="Times New Roman"/>
          <w:sz w:val="28"/>
          <w:szCs w:val="28"/>
        </w:rPr>
        <w:tab/>
      </w:r>
      <w:r w:rsidR="00406A47" w:rsidRPr="00A87965">
        <w:rPr>
          <w:rFonts w:ascii="Times New Roman" w:hAnsi="Times New Roman"/>
          <w:sz w:val="28"/>
          <w:szCs w:val="28"/>
        </w:rPr>
        <w:t>K</w:t>
      </w:r>
      <w:r w:rsidR="000A7492" w:rsidRPr="00A87965">
        <w:rPr>
          <w:rFonts w:ascii="Times New Roman" w:hAnsi="Times New Roman"/>
          <w:sz w:val="28"/>
          <w:szCs w:val="28"/>
        </w:rPr>
        <w:t>.</w:t>
      </w:r>
      <w:r w:rsidR="00CB164B" w:rsidRPr="00A87965">
        <w:rPr>
          <w:rFonts w:ascii="Times New Roman" w:hAnsi="Times New Roman"/>
          <w:sz w:val="28"/>
          <w:szCs w:val="28"/>
        </w:rPr>
        <w:t xml:space="preserve"> </w:t>
      </w:r>
      <w:r w:rsidR="00406A47" w:rsidRPr="00A87965">
        <w:rPr>
          <w:rFonts w:ascii="Times New Roman" w:hAnsi="Times New Roman"/>
          <w:sz w:val="28"/>
          <w:szCs w:val="28"/>
        </w:rPr>
        <w:t>Gerhards</w:t>
      </w:r>
    </w:p>
    <w:p w14:paraId="793AC2D2" w14:textId="509585BA" w:rsidR="00DA54B6" w:rsidRDefault="00DA54B6" w:rsidP="00DA54B6">
      <w:pPr>
        <w:spacing w:after="0"/>
        <w:rPr>
          <w:rFonts w:ascii="Times New Roman" w:hAnsi="Times New Roman"/>
          <w:sz w:val="20"/>
          <w:szCs w:val="20"/>
        </w:rPr>
      </w:pPr>
    </w:p>
    <w:p w14:paraId="13381D72" w14:textId="6ACE4EF7" w:rsidR="00A87965" w:rsidRDefault="00A87965" w:rsidP="00DA54B6">
      <w:pPr>
        <w:spacing w:after="0"/>
        <w:rPr>
          <w:rFonts w:ascii="Times New Roman" w:hAnsi="Times New Roman"/>
          <w:sz w:val="20"/>
          <w:szCs w:val="20"/>
        </w:rPr>
      </w:pPr>
    </w:p>
    <w:p w14:paraId="07B84E8C" w14:textId="44AA0B3B" w:rsidR="00A87965" w:rsidRDefault="00A87965" w:rsidP="00DA54B6">
      <w:pPr>
        <w:spacing w:after="0"/>
        <w:rPr>
          <w:rFonts w:ascii="Times New Roman" w:hAnsi="Times New Roman"/>
          <w:sz w:val="20"/>
          <w:szCs w:val="20"/>
        </w:rPr>
      </w:pPr>
    </w:p>
    <w:p w14:paraId="4A7D9D04" w14:textId="4FFD8056" w:rsidR="00A87965" w:rsidRDefault="00A87965" w:rsidP="00DA54B6">
      <w:pPr>
        <w:spacing w:after="0"/>
        <w:rPr>
          <w:rFonts w:ascii="Times New Roman" w:hAnsi="Times New Roman"/>
          <w:sz w:val="20"/>
          <w:szCs w:val="20"/>
        </w:rPr>
      </w:pPr>
    </w:p>
    <w:p w14:paraId="4B3153EF" w14:textId="3E6DD8DB" w:rsidR="00A87965" w:rsidRDefault="00A87965" w:rsidP="00DA54B6">
      <w:pPr>
        <w:spacing w:after="0"/>
        <w:rPr>
          <w:rFonts w:ascii="Times New Roman" w:hAnsi="Times New Roman"/>
          <w:sz w:val="20"/>
          <w:szCs w:val="20"/>
        </w:rPr>
      </w:pPr>
    </w:p>
    <w:p w14:paraId="17252C04" w14:textId="081662DC" w:rsidR="00A87965" w:rsidRDefault="00A87965" w:rsidP="00DA54B6">
      <w:pPr>
        <w:spacing w:after="0"/>
        <w:rPr>
          <w:rFonts w:ascii="Times New Roman" w:hAnsi="Times New Roman"/>
          <w:sz w:val="20"/>
          <w:szCs w:val="20"/>
        </w:rPr>
      </w:pPr>
    </w:p>
    <w:p w14:paraId="5DDB3762" w14:textId="3DE8A3E9" w:rsidR="00A87965" w:rsidRDefault="00A87965" w:rsidP="00DA54B6">
      <w:pPr>
        <w:spacing w:after="0"/>
        <w:rPr>
          <w:rFonts w:ascii="Times New Roman" w:hAnsi="Times New Roman"/>
          <w:sz w:val="20"/>
          <w:szCs w:val="20"/>
        </w:rPr>
      </w:pPr>
    </w:p>
    <w:p w14:paraId="20E4FE68" w14:textId="0C00B0AE" w:rsidR="00A87965" w:rsidRDefault="00A87965" w:rsidP="00DA54B6">
      <w:pPr>
        <w:spacing w:after="0"/>
        <w:rPr>
          <w:rFonts w:ascii="Times New Roman" w:hAnsi="Times New Roman"/>
          <w:sz w:val="20"/>
          <w:szCs w:val="20"/>
        </w:rPr>
      </w:pPr>
    </w:p>
    <w:p w14:paraId="1186AEF9" w14:textId="76F33CED" w:rsidR="00A87965" w:rsidRDefault="00A87965" w:rsidP="00DA54B6">
      <w:pPr>
        <w:spacing w:after="0"/>
        <w:rPr>
          <w:rFonts w:ascii="Times New Roman" w:hAnsi="Times New Roman"/>
          <w:sz w:val="20"/>
          <w:szCs w:val="20"/>
        </w:rPr>
      </w:pPr>
    </w:p>
    <w:p w14:paraId="6C755252" w14:textId="6BE4084D" w:rsidR="00A87965" w:rsidRDefault="00A87965" w:rsidP="00DA54B6">
      <w:pPr>
        <w:spacing w:after="0"/>
        <w:rPr>
          <w:rFonts w:ascii="Times New Roman" w:hAnsi="Times New Roman"/>
          <w:sz w:val="20"/>
          <w:szCs w:val="20"/>
        </w:rPr>
      </w:pPr>
    </w:p>
    <w:p w14:paraId="261F5D32" w14:textId="1C471E4F" w:rsidR="00A87965" w:rsidRDefault="00A87965" w:rsidP="00DA54B6">
      <w:pPr>
        <w:spacing w:after="0"/>
        <w:rPr>
          <w:rFonts w:ascii="Times New Roman" w:hAnsi="Times New Roman"/>
          <w:sz w:val="20"/>
          <w:szCs w:val="20"/>
        </w:rPr>
      </w:pPr>
    </w:p>
    <w:p w14:paraId="6F6279B0" w14:textId="2FE34F99" w:rsidR="00A87965" w:rsidRDefault="00A87965" w:rsidP="00DA54B6">
      <w:pPr>
        <w:spacing w:after="0"/>
        <w:rPr>
          <w:rFonts w:ascii="Times New Roman" w:hAnsi="Times New Roman"/>
          <w:sz w:val="20"/>
          <w:szCs w:val="20"/>
        </w:rPr>
      </w:pPr>
    </w:p>
    <w:p w14:paraId="3E716165" w14:textId="1EB23E1A" w:rsidR="00A87965" w:rsidRDefault="00A87965" w:rsidP="00DA54B6">
      <w:pPr>
        <w:spacing w:after="0"/>
        <w:rPr>
          <w:rFonts w:ascii="Times New Roman" w:hAnsi="Times New Roman"/>
          <w:sz w:val="20"/>
          <w:szCs w:val="20"/>
        </w:rPr>
      </w:pPr>
    </w:p>
    <w:p w14:paraId="37054031" w14:textId="5F7C5BFC" w:rsidR="00A87965" w:rsidRDefault="00A87965" w:rsidP="00DA54B6">
      <w:pPr>
        <w:spacing w:after="0"/>
        <w:rPr>
          <w:rFonts w:ascii="Times New Roman" w:hAnsi="Times New Roman"/>
          <w:sz w:val="20"/>
          <w:szCs w:val="20"/>
        </w:rPr>
      </w:pPr>
    </w:p>
    <w:p w14:paraId="40E1B7A0" w14:textId="2E4E503D" w:rsidR="00A87965" w:rsidRDefault="00A87965" w:rsidP="00DA54B6">
      <w:pPr>
        <w:spacing w:after="0"/>
        <w:rPr>
          <w:rFonts w:ascii="Times New Roman" w:hAnsi="Times New Roman"/>
          <w:sz w:val="20"/>
          <w:szCs w:val="20"/>
        </w:rPr>
      </w:pPr>
    </w:p>
    <w:p w14:paraId="0D690935" w14:textId="1192EFF4" w:rsidR="00A87965" w:rsidRDefault="00A87965" w:rsidP="00DA54B6">
      <w:pPr>
        <w:spacing w:after="0"/>
        <w:rPr>
          <w:rFonts w:ascii="Times New Roman" w:hAnsi="Times New Roman"/>
          <w:sz w:val="20"/>
          <w:szCs w:val="20"/>
        </w:rPr>
      </w:pPr>
    </w:p>
    <w:p w14:paraId="4D0C11DF" w14:textId="6316749F" w:rsidR="00A87965" w:rsidRDefault="00A87965" w:rsidP="00DA54B6">
      <w:pPr>
        <w:spacing w:after="0"/>
        <w:rPr>
          <w:rFonts w:ascii="Times New Roman" w:hAnsi="Times New Roman"/>
          <w:sz w:val="20"/>
          <w:szCs w:val="20"/>
        </w:rPr>
      </w:pPr>
    </w:p>
    <w:p w14:paraId="6F84E514" w14:textId="585530FE" w:rsidR="00A87965" w:rsidRDefault="00A87965" w:rsidP="00DA54B6">
      <w:pPr>
        <w:spacing w:after="0"/>
        <w:rPr>
          <w:rFonts w:ascii="Times New Roman" w:hAnsi="Times New Roman"/>
          <w:sz w:val="20"/>
          <w:szCs w:val="20"/>
        </w:rPr>
      </w:pPr>
    </w:p>
    <w:p w14:paraId="57455C82" w14:textId="1AFAD812" w:rsidR="00A87965" w:rsidRDefault="00A87965" w:rsidP="00DA54B6">
      <w:pPr>
        <w:spacing w:after="0"/>
        <w:rPr>
          <w:rFonts w:ascii="Times New Roman" w:hAnsi="Times New Roman"/>
          <w:sz w:val="20"/>
          <w:szCs w:val="20"/>
        </w:rPr>
      </w:pPr>
    </w:p>
    <w:p w14:paraId="243FF326" w14:textId="445FACA8" w:rsidR="00A87965" w:rsidRDefault="00A87965" w:rsidP="00DA54B6">
      <w:pPr>
        <w:spacing w:after="0"/>
        <w:rPr>
          <w:rFonts w:ascii="Times New Roman" w:hAnsi="Times New Roman"/>
          <w:sz w:val="20"/>
          <w:szCs w:val="20"/>
        </w:rPr>
      </w:pPr>
    </w:p>
    <w:p w14:paraId="256F772F" w14:textId="403C0ADC" w:rsidR="00A87965" w:rsidRDefault="00A87965" w:rsidP="00DA54B6">
      <w:pPr>
        <w:spacing w:after="0"/>
        <w:rPr>
          <w:rFonts w:ascii="Times New Roman" w:hAnsi="Times New Roman"/>
          <w:sz w:val="20"/>
          <w:szCs w:val="20"/>
        </w:rPr>
      </w:pPr>
    </w:p>
    <w:p w14:paraId="5A796A05" w14:textId="7EE52252" w:rsidR="00A87965" w:rsidRDefault="00A87965" w:rsidP="00DA54B6">
      <w:pPr>
        <w:spacing w:after="0"/>
        <w:rPr>
          <w:rFonts w:ascii="Times New Roman" w:hAnsi="Times New Roman"/>
          <w:sz w:val="20"/>
          <w:szCs w:val="20"/>
        </w:rPr>
      </w:pPr>
    </w:p>
    <w:p w14:paraId="3762A232" w14:textId="77777777" w:rsidR="00A87965" w:rsidRPr="00B32DF9" w:rsidRDefault="00A87965" w:rsidP="00DA54B6">
      <w:pPr>
        <w:spacing w:after="0"/>
        <w:rPr>
          <w:rFonts w:ascii="Times New Roman" w:hAnsi="Times New Roman"/>
          <w:sz w:val="20"/>
          <w:szCs w:val="20"/>
        </w:rPr>
      </w:pPr>
      <w:bookmarkStart w:id="0" w:name="_GoBack"/>
      <w:bookmarkEnd w:id="0"/>
    </w:p>
    <w:p w14:paraId="5E50D7F7" w14:textId="6584C52D" w:rsidR="003A1632" w:rsidRPr="00A87965" w:rsidRDefault="004552AA" w:rsidP="00DA54B6">
      <w:pPr>
        <w:spacing w:after="0"/>
        <w:rPr>
          <w:rFonts w:ascii="Times New Roman" w:hAnsi="Times New Roman"/>
          <w:sz w:val="24"/>
          <w:szCs w:val="24"/>
        </w:rPr>
      </w:pPr>
      <w:r w:rsidRPr="00A87965">
        <w:rPr>
          <w:rFonts w:ascii="Times New Roman" w:hAnsi="Times New Roman"/>
          <w:sz w:val="24"/>
          <w:szCs w:val="24"/>
        </w:rPr>
        <w:t xml:space="preserve">Voiče </w:t>
      </w:r>
      <w:r w:rsidR="00DA54B6" w:rsidRPr="00A87965">
        <w:rPr>
          <w:rFonts w:ascii="Times New Roman" w:hAnsi="Times New Roman"/>
          <w:sz w:val="24"/>
          <w:szCs w:val="24"/>
        </w:rPr>
        <w:t>67027121</w:t>
      </w:r>
    </w:p>
    <w:p w14:paraId="5E7A0B4D" w14:textId="77777777" w:rsidR="000A7492" w:rsidRPr="00A87965" w:rsidRDefault="000A7492" w:rsidP="00DA54B6">
      <w:pPr>
        <w:spacing w:after="0"/>
        <w:rPr>
          <w:rFonts w:ascii="Times New Roman" w:hAnsi="Times New Roman"/>
          <w:sz w:val="24"/>
          <w:szCs w:val="24"/>
        </w:rPr>
      </w:pPr>
      <w:r w:rsidRPr="00A87965">
        <w:rPr>
          <w:rFonts w:ascii="Times New Roman" w:hAnsi="Times New Roman"/>
          <w:sz w:val="24"/>
          <w:szCs w:val="24"/>
        </w:rPr>
        <w:t>linda.voice@zm.gov.lv</w:t>
      </w:r>
    </w:p>
    <w:sectPr w:rsidR="000A7492" w:rsidRPr="00A87965" w:rsidSect="009A2654">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123A" w14:textId="77777777" w:rsidR="0047666F" w:rsidRDefault="0047666F" w:rsidP="00894C55">
      <w:pPr>
        <w:spacing w:after="0" w:line="240" w:lineRule="auto"/>
      </w:pPr>
      <w:r>
        <w:separator/>
      </w:r>
    </w:p>
  </w:endnote>
  <w:endnote w:type="continuationSeparator" w:id="0">
    <w:p w14:paraId="760F8843" w14:textId="77777777" w:rsidR="0047666F" w:rsidRDefault="0047666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F4E1" w14:textId="1283CE0F" w:rsidR="00E9414E" w:rsidRPr="00A87965" w:rsidRDefault="00A87965" w:rsidP="00A87965">
    <w:pPr>
      <w:pStyle w:val="Kjene"/>
    </w:pPr>
    <w:r w:rsidRPr="00A87965">
      <w:rPr>
        <w:rFonts w:ascii="Times New Roman" w:hAnsi="Times New Roman" w:cs="Times New Roman"/>
        <w:sz w:val="20"/>
        <w:szCs w:val="20"/>
      </w:rPr>
      <w:t>ZManot_291220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C949" w14:textId="06B809AC" w:rsidR="00E9414E" w:rsidRPr="00A87965" w:rsidRDefault="00A87965" w:rsidP="00A87965">
    <w:pPr>
      <w:pStyle w:val="Kjene"/>
    </w:pPr>
    <w:r w:rsidRPr="00A87965">
      <w:rPr>
        <w:rFonts w:ascii="Times New Roman" w:hAnsi="Times New Roman" w:cs="Times New Roman"/>
        <w:sz w:val="20"/>
        <w:szCs w:val="20"/>
      </w:rPr>
      <w:t>ZManot_291220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DA680" w14:textId="77777777" w:rsidR="0047666F" w:rsidRDefault="0047666F" w:rsidP="00894C55">
      <w:pPr>
        <w:spacing w:after="0" w:line="240" w:lineRule="auto"/>
      </w:pPr>
      <w:r>
        <w:separator/>
      </w:r>
    </w:p>
  </w:footnote>
  <w:footnote w:type="continuationSeparator" w:id="0">
    <w:p w14:paraId="66BA7892" w14:textId="77777777" w:rsidR="0047666F" w:rsidRDefault="0047666F" w:rsidP="00894C55">
      <w:pPr>
        <w:spacing w:after="0" w:line="240" w:lineRule="auto"/>
      </w:pPr>
      <w:r>
        <w:continuationSeparator/>
      </w:r>
    </w:p>
  </w:footnote>
  <w:footnote w:id="1">
    <w:p w14:paraId="48BB8424" w14:textId="2C729E2B" w:rsidR="007F1E68" w:rsidRDefault="007F1E68">
      <w:pPr>
        <w:pStyle w:val="Vresteksts"/>
      </w:pPr>
      <w:r>
        <w:rPr>
          <w:rStyle w:val="Vresatsauce"/>
        </w:rPr>
        <w:footnoteRef/>
      </w:r>
      <w:r>
        <w:t xml:space="preserve"> </w:t>
      </w:r>
      <w:r w:rsidRPr="00535BF9">
        <w:rPr>
          <w:rFonts w:ascii="Times New Roman" w:hAnsi="Times New Roman" w:cs="Times New Roman"/>
        </w:rPr>
        <w:t>https://likumi.lv/ta/id/296597-kreditu-registra-noteikumi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C87A4BB" w14:textId="32228189" w:rsidR="00E9414E" w:rsidRPr="00C25B49" w:rsidRDefault="00A72C3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E9414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F174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53CB7"/>
    <w:multiLevelType w:val="multilevel"/>
    <w:tmpl w:val="CC880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DE"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723"/>
    <w:rsid w:val="000222A2"/>
    <w:rsid w:val="0002331A"/>
    <w:rsid w:val="0002563D"/>
    <w:rsid w:val="000265BE"/>
    <w:rsid w:val="00027474"/>
    <w:rsid w:val="000358AA"/>
    <w:rsid w:val="00040BBF"/>
    <w:rsid w:val="000757A3"/>
    <w:rsid w:val="00085AC7"/>
    <w:rsid w:val="000A4803"/>
    <w:rsid w:val="000A7492"/>
    <w:rsid w:val="000B0683"/>
    <w:rsid w:val="000B3F2D"/>
    <w:rsid w:val="000B5DF7"/>
    <w:rsid w:val="000C27C1"/>
    <w:rsid w:val="000C5413"/>
    <w:rsid w:val="000D0FC8"/>
    <w:rsid w:val="000D6333"/>
    <w:rsid w:val="000E5794"/>
    <w:rsid w:val="000E642C"/>
    <w:rsid w:val="000E7D2B"/>
    <w:rsid w:val="000F09D2"/>
    <w:rsid w:val="000F481F"/>
    <w:rsid w:val="0010076A"/>
    <w:rsid w:val="001013F1"/>
    <w:rsid w:val="00104AA0"/>
    <w:rsid w:val="0011163E"/>
    <w:rsid w:val="00112BD0"/>
    <w:rsid w:val="001145B4"/>
    <w:rsid w:val="00114615"/>
    <w:rsid w:val="00121859"/>
    <w:rsid w:val="00123346"/>
    <w:rsid w:val="0014209F"/>
    <w:rsid w:val="00154EB4"/>
    <w:rsid w:val="00160D62"/>
    <w:rsid w:val="00164DE1"/>
    <w:rsid w:val="00175B3E"/>
    <w:rsid w:val="0017674A"/>
    <w:rsid w:val="0017771B"/>
    <w:rsid w:val="00180342"/>
    <w:rsid w:val="0018359D"/>
    <w:rsid w:val="0019602C"/>
    <w:rsid w:val="001B2086"/>
    <w:rsid w:val="001B2A95"/>
    <w:rsid w:val="001B3BD1"/>
    <w:rsid w:val="001C52EB"/>
    <w:rsid w:val="001C5AFB"/>
    <w:rsid w:val="001D277A"/>
    <w:rsid w:val="001E71A2"/>
    <w:rsid w:val="001F058E"/>
    <w:rsid w:val="001F0F3F"/>
    <w:rsid w:val="001F44CB"/>
    <w:rsid w:val="00201386"/>
    <w:rsid w:val="0021066D"/>
    <w:rsid w:val="002207A0"/>
    <w:rsid w:val="00237F32"/>
    <w:rsid w:val="00243426"/>
    <w:rsid w:val="00247DE8"/>
    <w:rsid w:val="00267830"/>
    <w:rsid w:val="002679FA"/>
    <w:rsid w:val="00281C34"/>
    <w:rsid w:val="002B1190"/>
    <w:rsid w:val="002B1EDB"/>
    <w:rsid w:val="002B501B"/>
    <w:rsid w:val="002C4D3F"/>
    <w:rsid w:val="002D63CD"/>
    <w:rsid w:val="002E1C05"/>
    <w:rsid w:val="002F091B"/>
    <w:rsid w:val="002F44CF"/>
    <w:rsid w:val="002F5836"/>
    <w:rsid w:val="00303260"/>
    <w:rsid w:val="00312B23"/>
    <w:rsid w:val="00316FBB"/>
    <w:rsid w:val="00322928"/>
    <w:rsid w:val="0032345E"/>
    <w:rsid w:val="003237D4"/>
    <w:rsid w:val="00334AC6"/>
    <w:rsid w:val="00342FEB"/>
    <w:rsid w:val="00364166"/>
    <w:rsid w:val="00364340"/>
    <w:rsid w:val="003814A0"/>
    <w:rsid w:val="00385A58"/>
    <w:rsid w:val="00393C93"/>
    <w:rsid w:val="00395E04"/>
    <w:rsid w:val="003A1632"/>
    <w:rsid w:val="003B0BF9"/>
    <w:rsid w:val="003C71BF"/>
    <w:rsid w:val="003D1933"/>
    <w:rsid w:val="003D35D4"/>
    <w:rsid w:val="003D4239"/>
    <w:rsid w:val="003D4E55"/>
    <w:rsid w:val="003D5A52"/>
    <w:rsid w:val="003D5B09"/>
    <w:rsid w:val="003E0791"/>
    <w:rsid w:val="003E0D14"/>
    <w:rsid w:val="003E53F5"/>
    <w:rsid w:val="003F28AC"/>
    <w:rsid w:val="003F3F5D"/>
    <w:rsid w:val="003F5F38"/>
    <w:rsid w:val="004028AC"/>
    <w:rsid w:val="00405279"/>
    <w:rsid w:val="00405F64"/>
    <w:rsid w:val="00406A47"/>
    <w:rsid w:val="00411E0C"/>
    <w:rsid w:val="00415F40"/>
    <w:rsid w:val="0042013E"/>
    <w:rsid w:val="00426C48"/>
    <w:rsid w:val="0043391E"/>
    <w:rsid w:val="00441BD5"/>
    <w:rsid w:val="00443D48"/>
    <w:rsid w:val="004454FE"/>
    <w:rsid w:val="00447ED2"/>
    <w:rsid w:val="00453CB6"/>
    <w:rsid w:val="0045409C"/>
    <w:rsid w:val="004552AA"/>
    <w:rsid w:val="00456E40"/>
    <w:rsid w:val="00462F49"/>
    <w:rsid w:val="00467DC3"/>
    <w:rsid w:val="00471AB9"/>
    <w:rsid w:val="00471F27"/>
    <w:rsid w:val="0047666F"/>
    <w:rsid w:val="00483FAB"/>
    <w:rsid w:val="0048792E"/>
    <w:rsid w:val="004A0AE1"/>
    <w:rsid w:val="004C087E"/>
    <w:rsid w:val="004D0D24"/>
    <w:rsid w:val="004D3491"/>
    <w:rsid w:val="004D4A61"/>
    <w:rsid w:val="004D7FC1"/>
    <w:rsid w:val="004E7A93"/>
    <w:rsid w:val="004F1E81"/>
    <w:rsid w:val="004F2AFB"/>
    <w:rsid w:val="0050178F"/>
    <w:rsid w:val="005109C8"/>
    <w:rsid w:val="00511297"/>
    <w:rsid w:val="0051234D"/>
    <w:rsid w:val="005124C3"/>
    <w:rsid w:val="00532C4C"/>
    <w:rsid w:val="00535BF9"/>
    <w:rsid w:val="00537408"/>
    <w:rsid w:val="0054257F"/>
    <w:rsid w:val="00552D99"/>
    <w:rsid w:val="005548DE"/>
    <w:rsid w:val="0056510E"/>
    <w:rsid w:val="00566CE5"/>
    <w:rsid w:val="00572291"/>
    <w:rsid w:val="005854EE"/>
    <w:rsid w:val="005B2436"/>
    <w:rsid w:val="005B4124"/>
    <w:rsid w:val="005C3F38"/>
    <w:rsid w:val="005D773B"/>
    <w:rsid w:val="00601442"/>
    <w:rsid w:val="006114CB"/>
    <w:rsid w:val="00620A9A"/>
    <w:rsid w:val="0063464A"/>
    <w:rsid w:val="00634B37"/>
    <w:rsid w:val="006370C6"/>
    <w:rsid w:val="0064691B"/>
    <w:rsid w:val="00651AE0"/>
    <w:rsid w:val="00655F2C"/>
    <w:rsid w:val="006606F3"/>
    <w:rsid w:val="006714D2"/>
    <w:rsid w:val="00676F19"/>
    <w:rsid w:val="00684240"/>
    <w:rsid w:val="006941D3"/>
    <w:rsid w:val="00694433"/>
    <w:rsid w:val="006950B7"/>
    <w:rsid w:val="006956AC"/>
    <w:rsid w:val="006B1CBE"/>
    <w:rsid w:val="006C582A"/>
    <w:rsid w:val="006C6BA7"/>
    <w:rsid w:val="006D5494"/>
    <w:rsid w:val="006E0A87"/>
    <w:rsid w:val="006E1081"/>
    <w:rsid w:val="006E3173"/>
    <w:rsid w:val="006E7FEA"/>
    <w:rsid w:val="00706FFC"/>
    <w:rsid w:val="0071773F"/>
    <w:rsid w:val="00720585"/>
    <w:rsid w:val="0072635E"/>
    <w:rsid w:val="00731381"/>
    <w:rsid w:val="00743FD3"/>
    <w:rsid w:val="00745013"/>
    <w:rsid w:val="00746367"/>
    <w:rsid w:val="007463DE"/>
    <w:rsid w:val="00773AF6"/>
    <w:rsid w:val="00777ECF"/>
    <w:rsid w:val="00791BA3"/>
    <w:rsid w:val="007944A8"/>
    <w:rsid w:val="00795F71"/>
    <w:rsid w:val="007A7617"/>
    <w:rsid w:val="007B1E4E"/>
    <w:rsid w:val="007B54FD"/>
    <w:rsid w:val="007B7508"/>
    <w:rsid w:val="007C2305"/>
    <w:rsid w:val="007E5F7A"/>
    <w:rsid w:val="007E73AB"/>
    <w:rsid w:val="007F11AC"/>
    <w:rsid w:val="007F1E68"/>
    <w:rsid w:val="007F2227"/>
    <w:rsid w:val="007F3FDF"/>
    <w:rsid w:val="00802130"/>
    <w:rsid w:val="008116F4"/>
    <w:rsid w:val="00816C11"/>
    <w:rsid w:val="0082387A"/>
    <w:rsid w:val="00825C93"/>
    <w:rsid w:val="00832FC6"/>
    <w:rsid w:val="00836F9B"/>
    <w:rsid w:val="00837AB3"/>
    <w:rsid w:val="00840999"/>
    <w:rsid w:val="008476EF"/>
    <w:rsid w:val="00855C92"/>
    <w:rsid w:val="00862D51"/>
    <w:rsid w:val="00870C99"/>
    <w:rsid w:val="008759AA"/>
    <w:rsid w:val="00876336"/>
    <w:rsid w:val="00886BC9"/>
    <w:rsid w:val="00894C55"/>
    <w:rsid w:val="008A6DC3"/>
    <w:rsid w:val="008A7EC9"/>
    <w:rsid w:val="008B5208"/>
    <w:rsid w:val="008C5344"/>
    <w:rsid w:val="008F1741"/>
    <w:rsid w:val="008F22D9"/>
    <w:rsid w:val="008F6604"/>
    <w:rsid w:val="008F6CC6"/>
    <w:rsid w:val="0091579B"/>
    <w:rsid w:val="00922262"/>
    <w:rsid w:val="00923C82"/>
    <w:rsid w:val="0093785A"/>
    <w:rsid w:val="009428EE"/>
    <w:rsid w:val="00953EF2"/>
    <w:rsid w:val="0095506B"/>
    <w:rsid w:val="00955BB0"/>
    <w:rsid w:val="009560DC"/>
    <w:rsid w:val="00974364"/>
    <w:rsid w:val="009775E4"/>
    <w:rsid w:val="00982DB0"/>
    <w:rsid w:val="00994817"/>
    <w:rsid w:val="009A2654"/>
    <w:rsid w:val="009A7ACB"/>
    <w:rsid w:val="009B57C1"/>
    <w:rsid w:val="009C01C5"/>
    <w:rsid w:val="009C4336"/>
    <w:rsid w:val="009C4C30"/>
    <w:rsid w:val="009C58FE"/>
    <w:rsid w:val="009F0BD6"/>
    <w:rsid w:val="009F5E29"/>
    <w:rsid w:val="00A01673"/>
    <w:rsid w:val="00A055BE"/>
    <w:rsid w:val="00A06FF8"/>
    <w:rsid w:val="00A10FC3"/>
    <w:rsid w:val="00A14E0E"/>
    <w:rsid w:val="00A22543"/>
    <w:rsid w:val="00A4778A"/>
    <w:rsid w:val="00A521A8"/>
    <w:rsid w:val="00A54D62"/>
    <w:rsid w:val="00A6073E"/>
    <w:rsid w:val="00A60C79"/>
    <w:rsid w:val="00A6766D"/>
    <w:rsid w:val="00A72C3A"/>
    <w:rsid w:val="00A80EB3"/>
    <w:rsid w:val="00A833A7"/>
    <w:rsid w:val="00A87965"/>
    <w:rsid w:val="00A97E40"/>
    <w:rsid w:val="00AA406E"/>
    <w:rsid w:val="00AA4151"/>
    <w:rsid w:val="00AA6BDE"/>
    <w:rsid w:val="00AB1F08"/>
    <w:rsid w:val="00AB6432"/>
    <w:rsid w:val="00AB7516"/>
    <w:rsid w:val="00AC4664"/>
    <w:rsid w:val="00AD066F"/>
    <w:rsid w:val="00AE5567"/>
    <w:rsid w:val="00AE586D"/>
    <w:rsid w:val="00AF1239"/>
    <w:rsid w:val="00AF408F"/>
    <w:rsid w:val="00AF6A3C"/>
    <w:rsid w:val="00B1496A"/>
    <w:rsid w:val="00B14A67"/>
    <w:rsid w:val="00B16480"/>
    <w:rsid w:val="00B17EF5"/>
    <w:rsid w:val="00B2165C"/>
    <w:rsid w:val="00B21D03"/>
    <w:rsid w:val="00B4374D"/>
    <w:rsid w:val="00B50B3C"/>
    <w:rsid w:val="00B61B7D"/>
    <w:rsid w:val="00B63FA0"/>
    <w:rsid w:val="00B67DAD"/>
    <w:rsid w:val="00B76403"/>
    <w:rsid w:val="00B87751"/>
    <w:rsid w:val="00B94764"/>
    <w:rsid w:val="00B972BE"/>
    <w:rsid w:val="00BA20AA"/>
    <w:rsid w:val="00BA5A16"/>
    <w:rsid w:val="00BC299A"/>
    <w:rsid w:val="00BC36AC"/>
    <w:rsid w:val="00BC71BE"/>
    <w:rsid w:val="00BD4425"/>
    <w:rsid w:val="00BD4ED7"/>
    <w:rsid w:val="00BD5BB1"/>
    <w:rsid w:val="00BE1FDD"/>
    <w:rsid w:val="00BE2080"/>
    <w:rsid w:val="00BE279C"/>
    <w:rsid w:val="00C02D57"/>
    <w:rsid w:val="00C05B37"/>
    <w:rsid w:val="00C155D4"/>
    <w:rsid w:val="00C17447"/>
    <w:rsid w:val="00C22FF2"/>
    <w:rsid w:val="00C25913"/>
    <w:rsid w:val="00C25B49"/>
    <w:rsid w:val="00C305B7"/>
    <w:rsid w:val="00C474A8"/>
    <w:rsid w:val="00C63604"/>
    <w:rsid w:val="00C666FB"/>
    <w:rsid w:val="00C75429"/>
    <w:rsid w:val="00C810DF"/>
    <w:rsid w:val="00C90849"/>
    <w:rsid w:val="00CB164B"/>
    <w:rsid w:val="00CC0D2D"/>
    <w:rsid w:val="00CC6AEE"/>
    <w:rsid w:val="00CD05F1"/>
    <w:rsid w:val="00CD22F0"/>
    <w:rsid w:val="00CD45E9"/>
    <w:rsid w:val="00CE5657"/>
    <w:rsid w:val="00D00D66"/>
    <w:rsid w:val="00D01EC0"/>
    <w:rsid w:val="00D03086"/>
    <w:rsid w:val="00D031B3"/>
    <w:rsid w:val="00D0536B"/>
    <w:rsid w:val="00D12E7D"/>
    <w:rsid w:val="00D133F8"/>
    <w:rsid w:val="00D13AE2"/>
    <w:rsid w:val="00D14A3E"/>
    <w:rsid w:val="00D14B59"/>
    <w:rsid w:val="00D2042F"/>
    <w:rsid w:val="00D20B63"/>
    <w:rsid w:val="00D20F53"/>
    <w:rsid w:val="00D344D0"/>
    <w:rsid w:val="00D40082"/>
    <w:rsid w:val="00D40F00"/>
    <w:rsid w:val="00D51D74"/>
    <w:rsid w:val="00D53A53"/>
    <w:rsid w:val="00D80DC4"/>
    <w:rsid w:val="00D81A3D"/>
    <w:rsid w:val="00D84914"/>
    <w:rsid w:val="00D8702F"/>
    <w:rsid w:val="00D90607"/>
    <w:rsid w:val="00D90B22"/>
    <w:rsid w:val="00DA54B6"/>
    <w:rsid w:val="00DB4882"/>
    <w:rsid w:val="00DB5C60"/>
    <w:rsid w:val="00DD00B9"/>
    <w:rsid w:val="00DD4A79"/>
    <w:rsid w:val="00DE20FE"/>
    <w:rsid w:val="00DE275A"/>
    <w:rsid w:val="00DE6CCE"/>
    <w:rsid w:val="00E11705"/>
    <w:rsid w:val="00E21E67"/>
    <w:rsid w:val="00E23730"/>
    <w:rsid w:val="00E2645D"/>
    <w:rsid w:val="00E27BD7"/>
    <w:rsid w:val="00E349F5"/>
    <w:rsid w:val="00E36799"/>
    <w:rsid w:val="00E3716B"/>
    <w:rsid w:val="00E42D87"/>
    <w:rsid w:val="00E445A2"/>
    <w:rsid w:val="00E47540"/>
    <w:rsid w:val="00E5323B"/>
    <w:rsid w:val="00E61919"/>
    <w:rsid w:val="00E775B3"/>
    <w:rsid w:val="00E8749E"/>
    <w:rsid w:val="00E90C01"/>
    <w:rsid w:val="00E92C67"/>
    <w:rsid w:val="00E93F11"/>
    <w:rsid w:val="00E9414E"/>
    <w:rsid w:val="00EA486E"/>
    <w:rsid w:val="00EC0A21"/>
    <w:rsid w:val="00ED01FA"/>
    <w:rsid w:val="00ED0858"/>
    <w:rsid w:val="00ED507F"/>
    <w:rsid w:val="00EE0BD2"/>
    <w:rsid w:val="00EE2019"/>
    <w:rsid w:val="00EE780A"/>
    <w:rsid w:val="00EF2F44"/>
    <w:rsid w:val="00F00645"/>
    <w:rsid w:val="00F012E3"/>
    <w:rsid w:val="00F06FA7"/>
    <w:rsid w:val="00F07EE2"/>
    <w:rsid w:val="00F14172"/>
    <w:rsid w:val="00F2306E"/>
    <w:rsid w:val="00F25C10"/>
    <w:rsid w:val="00F44460"/>
    <w:rsid w:val="00F51DE6"/>
    <w:rsid w:val="00F576C7"/>
    <w:rsid w:val="00F57B0C"/>
    <w:rsid w:val="00F6478D"/>
    <w:rsid w:val="00F66535"/>
    <w:rsid w:val="00F9721E"/>
    <w:rsid w:val="00FB3AD3"/>
    <w:rsid w:val="00FC75A0"/>
    <w:rsid w:val="00FD5CBC"/>
    <w:rsid w:val="00FE5526"/>
    <w:rsid w:val="00FF394F"/>
    <w:rsid w:val="00FF686A"/>
    <w:rsid w:val="00FF7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21327C9"/>
  <w15:docId w15:val="{F854C99C-52DC-4350-865C-0EF37C85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72C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nod">
    <w:name w:val="naisnod"/>
    <w:basedOn w:val="Parasts"/>
    <w:uiPriority w:val="99"/>
    <w:rsid w:val="00DA5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B11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uiPriority w:val="99"/>
    <w:rsid w:val="006E3173"/>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styleId="Komentraatsauce">
    <w:name w:val="annotation reference"/>
    <w:basedOn w:val="Noklusjumarindkopasfonts"/>
    <w:uiPriority w:val="99"/>
    <w:semiHidden/>
    <w:unhideWhenUsed/>
    <w:rsid w:val="004F1E81"/>
    <w:rPr>
      <w:sz w:val="16"/>
      <w:szCs w:val="16"/>
    </w:rPr>
  </w:style>
  <w:style w:type="paragraph" w:styleId="Komentrateksts">
    <w:name w:val="annotation text"/>
    <w:basedOn w:val="Parasts"/>
    <w:link w:val="KomentratekstsRakstz"/>
    <w:uiPriority w:val="99"/>
    <w:semiHidden/>
    <w:unhideWhenUsed/>
    <w:rsid w:val="004F1E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1E81"/>
    <w:rPr>
      <w:sz w:val="20"/>
      <w:szCs w:val="20"/>
    </w:rPr>
  </w:style>
  <w:style w:type="paragraph" w:styleId="Komentratma">
    <w:name w:val="annotation subject"/>
    <w:basedOn w:val="Komentrateksts"/>
    <w:next w:val="Komentrateksts"/>
    <w:link w:val="KomentratmaRakstz"/>
    <w:uiPriority w:val="99"/>
    <w:semiHidden/>
    <w:unhideWhenUsed/>
    <w:rsid w:val="004F1E81"/>
    <w:rPr>
      <w:b/>
      <w:bCs/>
    </w:rPr>
  </w:style>
  <w:style w:type="character" w:customStyle="1" w:styleId="KomentratmaRakstz">
    <w:name w:val="Komentāra tēma Rakstz."/>
    <w:basedOn w:val="KomentratekstsRakstz"/>
    <w:link w:val="Komentratma"/>
    <w:uiPriority w:val="99"/>
    <w:semiHidden/>
    <w:rsid w:val="004F1E81"/>
    <w:rPr>
      <w:b/>
      <w:bCs/>
      <w:sz w:val="20"/>
      <w:szCs w:val="20"/>
    </w:rPr>
  </w:style>
  <w:style w:type="character" w:customStyle="1" w:styleId="Neatrisintapieminana1">
    <w:name w:val="Neatrisināta pieminēšana1"/>
    <w:basedOn w:val="Noklusjumarindkopasfonts"/>
    <w:uiPriority w:val="99"/>
    <w:semiHidden/>
    <w:unhideWhenUsed/>
    <w:rsid w:val="001F44CB"/>
    <w:rPr>
      <w:color w:val="605E5C"/>
      <w:shd w:val="clear" w:color="auto" w:fill="E1DFDD"/>
    </w:rPr>
  </w:style>
  <w:style w:type="paragraph" w:styleId="Vresteksts">
    <w:name w:val="footnote text"/>
    <w:basedOn w:val="Parasts"/>
    <w:link w:val="VrestekstsRakstz"/>
    <w:uiPriority w:val="99"/>
    <w:unhideWhenUsed/>
    <w:rsid w:val="006941D3"/>
    <w:pPr>
      <w:spacing w:after="0" w:line="240" w:lineRule="auto"/>
    </w:pPr>
    <w:rPr>
      <w:sz w:val="20"/>
      <w:szCs w:val="20"/>
    </w:rPr>
  </w:style>
  <w:style w:type="character" w:customStyle="1" w:styleId="VrestekstsRakstz">
    <w:name w:val="Vēres teksts Rakstz."/>
    <w:basedOn w:val="Noklusjumarindkopasfonts"/>
    <w:link w:val="Vresteksts"/>
    <w:uiPriority w:val="99"/>
    <w:rsid w:val="006941D3"/>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uiPriority w:val="99"/>
    <w:unhideWhenUsed/>
    <w:rsid w:val="00694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55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02361868">
      <w:bodyDiv w:val="1"/>
      <w:marLeft w:val="0"/>
      <w:marRight w:val="0"/>
      <w:marTop w:val="0"/>
      <w:marBottom w:val="0"/>
      <w:divBdr>
        <w:top w:val="none" w:sz="0" w:space="0" w:color="auto"/>
        <w:left w:val="none" w:sz="0" w:space="0" w:color="auto"/>
        <w:bottom w:val="none" w:sz="0" w:space="0" w:color="auto"/>
        <w:right w:val="none" w:sz="0" w:space="0" w:color="auto"/>
      </w:divBdr>
      <w:divsChild>
        <w:div w:id="888342950">
          <w:marLeft w:val="0"/>
          <w:marRight w:val="0"/>
          <w:marTop w:val="0"/>
          <w:marBottom w:val="0"/>
          <w:divBdr>
            <w:top w:val="none" w:sz="0" w:space="0" w:color="auto"/>
            <w:left w:val="none" w:sz="0" w:space="0" w:color="auto"/>
            <w:bottom w:val="none" w:sz="0" w:space="0" w:color="auto"/>
            <w:right w:val="none" w:sz="0" w:space="0" w:color="auto"/>
          </w:divBdr>
        </w:div>
        <w:div w:id="758911485">
          <w:marLeft w:val="0"/>
          <w:marRight w:val="0"/>
          <w:marTop w:val="0"/>
          <w:marBottom w:val="0"/>
          <w:divBdr>
            <w:top w:val="none" w:sz="0" w:space="0" w:color="auto"/>
            <w:left w:val="none" w:sz="0" w:space="0" w:color="auto"/>
            <w:bottom w:val="none" w:sz="0" w:space="0" w:color="auto"/>
            <w:right w:val="none" w:sz="0" w:space="0" w:color="auto"/>
          </w:divBdr>
        </w:div>
      </w:divsChild>
    </w:div>
    <w:div w:id="923105887">
      <w:bodyDiv w:val="1"/>
      <w:marLeft w:val="0"/>
      <w:marRight w:val="0"/>
      <w:marTop w:val="0"/>
      <w:marBottom w:val="0"/>
      <w:divBdr>
        <w:top w:val="none" w:sz="0" w:space="0" w:color="auto"/>
        <w:left w:val="none" w:sz="0" w:space="0" w:color="auto"/>
        <w:bottom w:val="none" w:sz="0" w:space="0" w:color="auto"/>
        <w:right w:val="none" w:sz="0" w:space="0" w:color="auto"/>
      </w:divBdr>
      <w:divsChild>
        <w:div w:id="869494518">
          <w:marLeft w:val="0"/>
          <w:marRight w:val="0"/>
          <w:marTop w:val="0"/>
          <w:marBottom w:val="0"/>
          <w:divBdr>
            <w:top w:val="none" w:sz="0" w:space="0" w:color="auto"/>
            <w:left w:val="none" w:sz="0" w:space="0" w:color="auto"/>
            <w:bottom w:val="none" w:sz="0" w:space="0" w:color="auto"/>
            <w:right w:val="none" w:sz="0" w:space="0" w:color="auto"/>
          </w:divBdr>
        </w:div>
        <w:div w:id="1803885918">
          <w:marLeft w:val="0"/>
          <w:marRight w:val="0"/>
          <w:marTop w:val="0"/>
          <w:marBottom w:val="0"/>
          <w:divBdr>
            <w:top w:val="none" w:sz="0" w:space="0" w:color="auto"/>
            <w:left w:val="none" w:sz="0" w:space="0" w:color="auto"/>
            <w:bottom w:val="none" w:sz="0" w:space="0" w:color="auto"/>
            <w:right w:val="none" w:sz="0" w:space="0" w:color="auto"/>
          </w:divBdr>
        </w:div>
      </w:divsChild>
    </w:div>
    <w:div w:id="1047994458">
      <w:bodyDiv w:val="1"/>
      <w:marLeft w:val="0"/>
      <w:marRight w:val="0"/>
      <w:marTop w:val="0"/>
      <w:marBottom w:val="0"/>
      <w:divBdr>
        <w:top w:val="none" w:sz="0" w:space="0" w:color="auto"/>
        <w:left w:val="none" w:sz="0" w:space="0" w:color="auto"/>
        <w:bottom w:val="none" w:sz="0" w:space="0" w:color="auto"/>
        <w:right w:val="none" w:sz="0" w:space="0" w:color="auto"/>
      </w:divBdr>
    </w:div>
    <w:div w:id="13693374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32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s://eu-central-1.protection.sophos.com?d=wikipedia.org&amp;u=aHR0cHM6Ly9sdi53aWtpcGVkaWEub3JnL3dpa2kvQ2l2aWxsaWt1bXM=&amp;i=NWZjZjllOTZmOTIxY2QwZTA1Mzk1OGZl&amp;t=VGJlNjYrbW5YZ3dTSXZLR3ZYck1vRGFsbWlIN3UyK0ViSVU4MDlYQzU4OD0=&amp;h=8d9c669e4075424bbb0f27126a637ae2" TargetMode="External"/><Relationship Id="rId18" Type="http://schemas.openxmlformats.org/officeDocument/2006/relationships/hyperlink" Target="http://www.zm.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central-1.protection.sophos.com?d=wikipedia.org&amp;u=aHR0cHM6Ly9sdi53aWtpcGVkaWEub3JnL3dpa2kvQ2l2aWxrb2Rla3Nz&amp;i=NWZjZjllOTZmOTIxY2QwZTA1Mzk1OGZl&amp;t=Z0ViM1hoZGxjV1BXU0h5cDUzSWFMY3lMYm1NaEhhcWVJRGRNV0QrSHpSMD0=&amp;h=8d9c669e4075424bbb0f27126a637ae2" TargetMode="External"/><Relationship Id="rId17" Type="http://schemas.openxmlformats.org/officeDocument/2006/relationships/hyperlink" Target="http://www.zm.gov.lv" TargetMode="External"/><Relationship Id="rId2" Type="http://schemas.openxmlformats.org/officeDocument/2006/relationships/numbering" Target="numbering.xml"/><Relationship Id="rId16" Type="http://schemas.openxmlformats.org/officeDocument/2006/relationships/hyperlink" Target="http://eur-lex.europa.eu/eli/reg/2014/717?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209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OJ:L:2006:379:0005:01:LV:HTML" TargetMode="External"/><Relationship Id="rId23" Type="http://schemas.openxmlformats.org/officeDocument/2006/relationships/fontTable" Target="fontTable.xml"/><Relationship Id="rId10" Type="http://schemas.openxmlformats.org/officeDocument/2006/relationships/hyperlink" Target="http://eur-lex.europa.eu/eli/reg/2015/1589/oj/?locale=LV" TargetMode="External"/><Relationship Id="rId19"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hyperlink" Target="http://eur-lex.europa.eu/LexUriServ/LexUriServ.do?uri=OJ:L:2006:379:0005:01:LV: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10BDE-C5CF-4B03-9655-64F1BFEA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13950</Words>
  <Characters>7952</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ZM</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Linda Voiče</dc:creator>
  <dc:description>Voiče 67027121 Linda.Voice@zm.gov.lv</dc:description>
  <cp:lastModifiedBy>Sanita Papinova</cp:lastModifiedBy>
  <cp:revision>3</cp:revision>
  <cp:lastPrinted>2019-05-07T11:59:00Z</cp:lastPrinted>
  <dcterms:created xsi:type="dcterms:W3CDTF">2021-01-04T14:09:00Z</dcterms:created>
  <dcterms:modified xsi:type="dcterms:W3CDTF">2021-01-04T14:34:00Z</dcterms:modified>
</cp:coreProperties>
</file>