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9F07" w14:textId="525357CC" w:rsidR="002B15FE" w:rsidRPr="00635090" w:rsidRDefault="002B15FE" w:rsidP="00F2270C">
      <w:pPr>
        <w:spacing w:after="0" w:line="240" w:lineRule="auto"/>
        <w:jc w:val="center"/>
        <w:rPr>
          <w:rFonts w:ascii="Times New Roman" w:eastAsia="Times New Roman" w:hAnsi="Times New Roman" w:cs="Times New Roman"/>
          <w:b/>
          <w:lang w:eastAsia="lv-LV"/>
        </w:rPr>
      </w:pPr>
      <w:r w:rsidRPr="00635090">
        <w:rPr>
          <w:rFonts w:ascii="Times New Roman" w:eastAsia="Times New Roman" w:hAnsi="Times New Roman" w:cs="Times New Roman"/>
          <w:b/>
          <w:lang w:eastAsia="lv-LV"/>
        </w:rPr>
        <w:t>Izziņa par atzinumos sniegtajiem iebildumiem</w:t>
      </w:r>
      <w:r w:rsidR="00820EE5" w:rsidRPr="00635090">
        <w:rPr>
          <w:rFonts w:ascii="Times New Roman" w:eastAsia="Times New Roman" w:hAnsi="Times New Roman" w:cs="Times New Roman"/>
          <w:b/>
          <w:lang w:eastAsia="lv-LV"/>
        </w:rPr>
        <w:t xml:space="preserve"> un priekšlikumiem</w:t>
      </w:r>
    </w:p>
    <w:p w14:paraId="55F154B3" w14:textId="3876A12B" w:rsidR="001557B8" w:rsidRPr="00635090" w:rsidRDefault="00E2552E" w:rsidP="002B15FE">
      <w:pPr>
        <w:spacing w:after="0" w:line="240" w:lineRule="auto"/>
        <w:ind w:left="2410" w:right="2663"/>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likumprojektam  “Grozījumi Valsts robežas likumā” (VSS-579)</w:t>
      </w:r>
    </w:p>
    <w:p w14:paraId="69A7C52A" w14:textId="77777777" w:rsidR="002B15FE" w:rsidRPr="00635090" w:rsidRDefault="002B15FE" w:rsidP="002B15FE">
      <w:pPr>
        <w:spacing w:after="0" w:line="240" w:lineRule="auto"/>
        <w:ind w:left="2410" w:right="2663"/>
        <w:jc w:val="center"/>
        <w:rPr>
          <w:rFonts w:ascii="Times New Roman" w:eastAsia="Times New Roman" w:hAnsi="Times New Roman" w:cs="Times New Roman"/>
          <w:b/>
          <w:lang w:eastAsia="lv-LV"/>
        </w:rPr>
      </w:pPr>
    </w:p>
    <w:p w14:paraId="6443C8D4" w14:textId="77777777" w:rsidR="002B15FE" w:rsidRPr="00635090" w:rsidRDefault="002B15FE" w:rsidP="00A0575B">
      <w:pPr>
        <w:spacing w:after="0" w:line="240" w:lineRule="auto"/>
        <w:jc w:val="center"/>
        <w:rPr>
          <w:rFonts w:ascii="Times New Roman" w:eastAsia="Times New Roman" w:hAnsi="Times New Roman" w:cs="Times New Roman"/>
          <w:b/>
          <w:lang w:eastAsia="lv-LV"/>
        </w:rPr>
      </w:pPr>
      <w:r w:rsidRPr="00635090">
        <w:rPr>
          <w:rFonts w:ascii="Times New Roman" w:eastAsia="Times New Roman" w:hAnsi="Times New Roman" w:cs="Times New Roman"/>
          <w:b/>
          <w:lang w:eastAsia="lv-LV"/>
        </w:rPr>
        <w:t>Informācija par starpministriju (starpinstitūciju) sanāksmi vai elektronisko saskaņošanu</w:t>
      </w:r>
    </w:p>
    <w:p w14:paraId="177C4E6D" w14:textId="77777777" w:rsidR="002B15FE" w:rsidRPr="00635090" w:rsidRDefault="002B15FE" w:rsidP="002B15FE">
      <w:pPr>
        <w:spacing w:after="0" w:line="240" w:lineRule="auto"/>
        <w:jc w:val="both"/>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635090" w:rsidRPr="00635090" w14:paraId="5A925A5B" w14:textId="77777777" w:rsidTr="00BD6C2B">
        <w:tc>
          <w:tcPr>
            <w:tcW w:w="7513" w:type="dxa"/>
            <w:hideMark/>
          </w:tcPr>
          <w:p w14:paraId="16D9642C" w14:textId="77777777" w:rsidR="002B15FE" w:rsidRPr="00635090" w:rsidRDefault="002B15FE" w:rsidP="002B15FE">
            <w:pPr>
              <w:spacing w:after="0" w:line="240" w:lineRule="auto"/>
              <w:jc w:val="both"/>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14:paraId="7C8AF6E6" w14:textId="3F8AE107" w:rsidR="002B15FE" w:rsidRDefault="006A5C3E" w:rsidP="002B15FE">
            <w:pPr>
              <w:spacing w:after="0" w:line="240" w:lineRule="auto"/>
              <w:ind w:firstLine="460"/>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E</w:t>
            </w:r>
            <w:r w:rsidR="00434FA6" w:rsidRPr="00635090">
              <w:rPr>
                <w:rFonts w:ascii="Times New Roman" w:eastAsia="Times New Roman" w:hAnsi="Times New Roman" w:cs="Times New Roman"/>
                <w:lang w:eastAsia="lv-LV"/>
              </w:rPr>
              <w:t>lektroniskā saskaņošana</w:t>
            </w:r>
            <w:r w:rsidRPr="00635090">
              <w:rPr>
                <w:rFonts w:ascii="Times New Roman" w:eastAsia="Times New Roman" w:hAnsi="Times New Roman" w:cs="Times New Roman"/>
                <w:lang w:eastAsia="lv-LV"/>
              </w:rPr>
              <w:t xml:space="preserve"> </w:t>
            </w:r>
            <w:r w:rsidR="00911706">
              <w:rPr>
                <w:rFonts w:ascii="Times New Roman" w:eastAsia="Times New Roman" w:hAnsi="Times New Roman" w:cs="Times New Roman"/>
                <w:lang w:eastAsia="lv-LV"/>
              </w:rPr>
              <w:t>16.07.2020.</w:t>
            </w:r>
          </w:p>
          <w:p w14:paraId="4DE7AD46" w14:textId="769A18B5" w:rsidR="00561173" w:rsidRDefault="00561173"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Saskaņošanas sanāksme 30.09.2020.</w:t>
            </w:r>
          </w:p>
          <w:p w14:paraId="10B2CB26" w14:textId="7F872023" w:rsidR="00D437DF" w:rsidRDefault="00D437DF"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06.10.2020.</w:t>
            </w:r>
          </w:p>
          <w:p w14:paraId="7DE8D609" w14:textId="11BAD7C1" w:rsidR="00401075" w:rsidRDefault="00401075"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Saskaņošanas sanāksme 13.11.2020.</w:t>
            </w:r>
          </w:p>
          <w:p w14:paraId="47F3B3B2" w14:textId="711D88D1" w:rsidR="00142EB1" w:rsidRPr="00635090" w:rsidRDefault="00142EB1"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16.11</w:t>
            </w:r>
            <w:r w:rsidRPr="00142EB1">
              <w:rPr>
                <w:rFonts w:ascii="Times New Roman" w:eastAsia="Times New Roman" w:hAnsi="Times New Roman" w:cs="Times New Roman"/>
                <w:lang w:eastAsia="lv-LV"/>
              </w:rPr>
              <w:t>.2020.</w:t>
            </w:r>
          </w:p>
          <w:p w14:paraId="2CE4A4C8" w14:textId="3CEA5009" w:rsidR="005F0BED" w:rsidRPr="00635090" w:rsidRDefault="005F0BED" w:rsidP="002B15FE">
            <w:pPr>
              <w:spacing w:after="0" w:line="240" w:lineRule="auto"/>
              <w:ind w:firstLine="460"/>
              <w:rPr>
                <w:rFonts w:ascii="Times New Roman" w:eastAsia="Times New Roman" w:hAnsi="Times New Roman" w:cs="Times New Roman"/>
                <w:lang w:eastAsia="lv-LV"/>
              </w:rPr>
            </w:pPr>
          </w:p>
        </w:tc>
      </w:tr>
      <w:tr w:rsidR="00635090" w:rsidRPr="00635090" w14:paraId="537EB33B" w14:textId="77777777" w:rsidTr="00BD6C2B">
        <w:tc>
          <w:tcPr>
            <w:tcW w:w="7513" w:type="dxa"/>
          </w:tcPr>
          <w:p w14:paraId="3BA13CC3" w14:textId="77777777" w:rsidR="002B15FE" w:rsidRPr="00635090" w:rsidRDefault="002B15FE" w:rsidP="002B15FE">
            <w:pPr>
              <w:spacing w:after="0" w:line="240" w:lineRule="auto"/>
              <w:jc w:val="both"/>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14:paraId="33A4C74D" w14:textId="77777777" w:rsidR="002B15FE" w:rsidRPr="00635090" w:rsidRDefault="002B15FE" w:rsidP="002B15FE">
            <w:pPr>
              <w:spacing w:after="0" w:line="240" w:lineRule="auto"/>
              <w:ind w:firstLine="720"/>
              <w:rPr>
                <w:rFonts w:ascii="Times New Roman" w:eastAsia="Times New Roman" w:hAnsi="Times New Roman" w:cs="Times New Roman"/>
                <w:lang w:eastAsia="lv-LV"/>
              </w:rPr>
            </w:pPr>
          </w:p>
        </w:tc>
      </w:tr>
      <w:tr w:rsidR="00635090" w:rsidRPr="00635090" w14:paraId="083FA1A1" w14:textId="77777777" w:rsidTr="00BD6C2B">
        <w:tc>
          <w:tcPr>
            <w:tcW w:w="7513" w:type="dxa"/>
            <w:hideMark/>
          </w:tcPr>
          <w:p w14:paraId="3EAECB9B" w14:textId="77777777" w:rsidR="002B15FE" w:rsidRPr="00635090" w:rsidRDefault="002B15FE" w:rsidP="002B15FE">
            <w:pPr>
              <w:spacing w:after="0" w:line="240" w:lineRule="auto"/>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Saskaņošanas dalībnieki</w:t>
            </w:r>
          </w:p>
        </w:tc>
        <w:tc>
          <w:tcPr>
            <w:tcW w:w="4820" w:type="dxa"/>
            <w:gridSpan w:val="3"/>
          </w:tcPr>
          <w:p w14:paraId="52C5C5BC" w14:textId="00C8A1BF" w:rsidR="002B15FE" w:rsidRPr="00635090" w:rsidRDefault="006A5C3E" w:rsidP="00EF60C4">
            <w:pPr>
              <w:tabs>
                <w:tab w:val="left" w:pos="915"/>
              </w:tabs>
              <w:spacing w:after="120" w:line="240" w:lineRule="auto"/>
              <w:ind w:left="635"/>
              <w:jc w:val="both"/>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Ārlietu ministrija, Finanšu ministrija, Iekšlietu ministrija, Satiksmes mi</w:t>
            </w:r>
            <w:r w:rsidR="00EF60C4">
              <w:rPr>
                <w:rFonts w:ascii="Times New Roman" w:eastAsia="Times New Roman" w:hAnsi="Times New Roman" w:cs="Times New Roman"/>
                <w:lang w:eastAsia="lv-LV"/>
              </w:rPr>
              <w:t xml:space="preserve">nistrija, Tieslietu ministrija, </w:t>
            </w:r>
            <w:r w:rsidRPr="00635090">
              <w:rPr>
                <w:rFonts w:ascii="Times New Roman" w:eastAsia="Times New Roman" w:hAnsi="Times New Roman" w:cs="Times New Roman"/>
                <w:lang w:eastAsia="lv-LV"/>
              </w:rPr>
              <w:t xml:space="preserve">Vides aizsardzības un reģionālās attīstības ministrija, Valsts drošības dienests, Satversmes aizsardzības birojs, Militārās izlūkošanas un drošības dienests, </w:t>
            </w:r>
          </w:p>
        </w:tc>
      </w:tr>
      <w:tr w:rsidR="00635090" w:rsidRPr="00635090" w14:paraId="4FE38EEF" w14:textId="77777777" w:rsidTr="00BD6C2B">
        <w:trPr>
          <w:trHeight w:val="285"/>
        </w:trPr>
        <w:tc>
          <w:tcPr>
            <w:tcW w:w="7513" w:type="dxa"/>
          </w:tcPr>
          <w:p w14:paraId="0C285949" w14:textId="77777777" w:rsidR="002B15FE" w:rsidRPr="00635090" w:rsidRDefault="002B15FE" w:rsidP="002B15FE">
            <w:pPr>
              <w:spacing w:after="0" w:line="240" w:lineRule="auto"/>
              <w:rPr>
                <w:rFonts w:ascii="Times New Roman" w:eastAsia="Times New Roman" w:hAnsi="Times New Roman" w:cs="Times New Roman"/>
                <w:lang w:eastAsia="lv-LV"/>
              </w:rPr>
            </w:pPr>
          </w:p>
        </w:tc>
        <w:tc>
          <w:tcPr>
            <w:tcW w:w="743" w:type="dxa"/>
            <w:gridSpan w:val="2"/>
          </w:tcPr>
          <w:p w14:paraId="02F5F70D" w14:textId="77777777" w:rsidR="002B15FE" w:rsidRPr="00635090"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311363AC" w14:textId="77777777" w:rsidR="002B15FE" w:rsidRPr="00635090" w:rsidRDefault="002B15FE" w:rsidP="002B15FE">
            <w:pPr>
              <w:spacing w:after="0" w:line="240" w:lineRule="auto"/>
              <w:ind w:firstLine="12"/>
              <w:rPr>
                <w:rFonts w:ascii="Times New Roman" w:eastAsia="Times New Roman" w:hAnsi="Times New Roman" w:cs="Times New Roman"/>
                <w:lang w:eastAsia="lv-LV"/>
              </w:rPr>
            </w:pPr>
          </w:p>
        </w:tc>
      </w:tr>
      <w:tr w:rsidR="00635090" w:rsidRPr="00635090" w14:paraId="550B3361" w14:textId="77777777" w:rsidTr="00BD6C2B">
        <w:trPr>
          <w:trHeight w:val="501"/>
        </w:trPr>
        <w:tc>
          <w:tcPr>
            <w:tcW w:w="7876" w:type="dxa"/>
            <w:gridSpan w:val="2"/>
            <w:hideMark/>
          </w:tcPr>
          <w:p w14:paraId="67EF424F" w14:textId="77777777" w:rsidR="002B15FE" w:rsidRPr="00635090" w:rsidRDefault="002B15FE" w:rsidP="002B15FE">
            <w:pPr>
              <w:spacing w:after="0" w:line="240" w:lineRule="auto"/>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Saskaņošanas dalībnieki izskatīja šādu ministriju (citu institūciju) iebildumus</w:t>
            </w:r>
          </w:p>
        </w:tc>
        <w:tc>
          <w:tcPr>
            <w:tcW w:w="380" w:type="dxa"/>
          </w:tcPr>
          <w:p w14:paraId="60CFC895" w14:textId="77777777" w:rsidR="002B15FE" w:rsidRPr="00635090"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1E4EEDF3" w14:textId="7615DFD9" w:rsidR="002B15FE" w:rsidRPr="00635090" w:rsidRDefault="00464213" w:rsidP="00EF60C4">
            <w:pPr>
              <w:tabs>
                <w:tab w:val="left" w:pos="915"/>
              </w:tabs>
              <w:spacing w:after="120" w:line="240" w:lineRule="auto"/>
              <w:ind w:left="-1"/>
              <w:jc w:val="both"/>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Iekšlietu ministrijas, Satiksmes ministrijas</w:t>
            </w:r>
            <w:r w:rsidR="000F352A">
              <w:rPr>
                <w:rFonts w:ascii="Times New Roman" w:eastAsia="Times New Roman" w:hAnsi="Times New Roman" w:cs="Times New Roman"/>
                <w:lang w:eastAsia="lv-LV"/>
              </w:rPr>
              <w:t xml:space="preserve">, </w:t>
            </w:r>
            <w:r w:rsidR="00E93602">
              <w:rPr>
                <w:rFonts w:ascii="Times New Roman" w:eastAsia="Times New Roman" w:hAnsi="Times New Roman" w:cs="Times New Roman"/>
                <w:lang w:eastAsia="lv-LV"/>
              </w:rPr>
              <w:t>Nacionālo bruņoto spēku.</w:t>
            </w:r>
          </w:p>
        </w:tc>
      </w:tr>
      <w:tr w:rsidR="00635090" w:rsidRPr="00635090" w14:paraId="5AD4FC3E" w14:textId="77777777" w:rsidTr="00BD6C2B">
        <w:tc>
          <w:tcPr>
            <w:tcW w:w="7876" w:type="dxa"/>
            <w:gridSpan w:val="2"/>
          </w:tcPr>
          <w:p w14:paraId="29BF019B" w14:textId="77777777" w:rsidR="002B15FE" w:rsidRPr="00635090" w:rsidRDefault="002B15FE" w:rsidP="002B15FE">
            <w:pPr>
              <w:spacing w:after="0" w:line="240" w:lineRule="auto"/>
              <w:rPr>
                <w:rFonts w:ascii="Times New Roman" w:eastAsia="Times New Roman" w:hAnsi="Times New Roman" w:cs="Times New Roman"/>
                <w:lang w:eastAsia="lv-LV"/>
              </w:rPr>
            </w:pPr>
          </w:p>
        </w:tc>
        <w:tc>
          <w:tcPr>
            <w:tcW w:w="4457" w:type="dxa"/>
            <w:gridSpan w:val="2"/>
          </w:tcPr>
          <w:p w14:paraId="1FAD6A55" w14:textId="77777777" w:rsidR="002B15FE" w:rsidRPr="00635090" w:rsidRDefault="002B15FE" w:rsidP="002B15FE">
            <w:pPr>
              <w:spacing w:after="0" w:line="240" w:lineRule="auto"/>
              <w:ind w:firstLine="720"/>
              <w:rPr>
                <w:rFonts w:ascii="Times New Roman" w:eastAsia="Times New Roman" w:hAnsi="Times New Roman" w:cs="Times New Roman"/>
                <w:lang w:eastAsia="lv-LV"/>
              </w:rPr>
            </w:pPr>
          </w:p>
        </w:tc>
      </w:tr>
      <w:tr w:rsidR="002B15FE" w:rsidRPr="00635090" w14:paraId="32076A25" w14:textId="77777777" w:rsidTr="00BD6C2B">
        <w:tc>
          <w:tcPr>
            <w:tcW w:w="7876" w:type="dxa"/>
            <w:gridSpan w:val="2"/>
            <w:hideMark/>
          </w:tcPr>
          <w:p w14:paraId="37DDCDA9" w14:textId="77777777" w:rsidR="002B15FE" w:rsidRPr="00635090" w:rsidRDefault="002B15FE" w:rsidP="002B15FE">
            <w:pPr>
              <w:spacing w:after="0" w:line="240" w:lineRule="auto"/>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457" w:type="dxa"/>
            <w:gridSpan w:val="2"/>
            <w:hideMark/>
          </w:tcPr>
          <w:p w14:paraId="53279EE4" w14:textId="77777777" w:rsidR="002B15FE" w:rsidRPr="00635090" w:rsidRDefault="002B15FE" w:rsidP="002B15FE">
            <w:pPr>
              <w:spacing w:after="0" w:line="240" w:lineRule="auto"/>
              <w:ind w:firstLine="414"/>
              <w:rPr>
                <w:rFonts w:ascii="Times New Roman" w:eastAsia="Times New Roman" w:hAnsi="Times New Roman" w:cs="Times New Roman"/>
                <w:lang w:eastAsia="lv-LV"/>
              </w:rPr>
            </w:pPr>
            <w:bookmarkStart w:id="0" w:name="_GoBack"/>
            <w:bookmarkEnd w:id="0"/>
          </w:p>
        </w:tc>
      </w:tr>
    </w:tbl>
    <w:p w14:paraId="617FD4B2" w14:textId="77777777" w:rsidR="008C37A2" w:rsidRPr="00635090" w:rsidRDefault="008C37A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265"/>
        <w:gridCol w:w="286"/>
        <w:gridCol w:w="4678"/>
        <w:gridCol w:w="1215"/>
        <w:gridCol w:w="2045"/>
        <w:gridCol w:w="3402"/>
      </w:tblGrid>
      <w:tr w:rsidR="00635090" w:rsidRPr="00635090" w14:paraId="2C27F3BA" w14:textId="77777777" w:rsidTr="003F66BD">
        <w:tc>
          <w:tcPr>
            <w:tcW w:w="843" w:type="dxa"/>
            <w:tcBorders>
              <w:top w:val="single" w:sz="6" w:space="0" w:color="000000"/>
              <w:left w:val="single" w:sz="6" w:space="0" w:color="000000"/>
              <w:bottom w:val="single" w:sz="6" w:space="0" w:color="000000"/>
              <w:right w:val="single" w:sz="6" w:space="0" w:color="000000"/>
            </w:tcBorders>
            <w:vAlign w:val="center"/>
          </w:tcPr>
          <w:p w14:paraId="000FA6E8" w14:textId="77777777" w:rsidR="002B15FE" w:rsidRPr="00635090" w:rsidRDefault="002B15FE" w:rsidP="002B15FE">
            <w:pPr>
              <w:spacing w:after="0" w:line="240" w:lineRule="auto"/>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Nr. p.k.</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7382B785" w14:textId="77777777" w:rsidR="002B15FE" w:rsidRPr="00635090" w:rsidRDefault="002B15FE" w:rsidP="002B15FE">
            <w:pPr>
              <w:spacing w:after="0" w:line="240" w:lineRule="auto"/>
              <w:ind w:firstLine="12"/>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8C74DB8" w14:textId="77777777" w:rsidR="002B15FE" w:rsidRPr="00635090" w:rsidRDefault="002B15FE" w:rsidP="002B15FE">
            <w:pPr>
              <w:spacing w:after="0" w:line="240" w:lineRule="auto"/>
              <w:ind w:right="3"/>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10FD82C2" w14:textId="77777777" w:rsidR="002B15FE" w:rsidRPr="00635090" w:rsidRDefault="002B15FE" w:rsidP="002B15FE">
            <w:pPr>
              <w:spacing w:after="0" w:line="240" w:lineRule="auto"/>
              <w:ind w:firstLine="21"/>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88E0A24" w14:textId="77777777" w:rsidR="002B15FE" w:rsidRPr="00635090" w:rsidRDefault="002B15FE" w:rsidP="002B15FE">
            <w:pPr>
              <w:spacing w:after="0" w:line="240" w:lineRule="auto"/>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Projekta attiecīgā punkta (panta) galīgā redakcija</w:t>
            </w:r>
          </w:p>
        </w:tc>
      </w:tr>
      <w:tr w:rsidR="00635090" w:rsidRPr="00635090" w14:paraId="1C2F9FBA" w14:textId="77777777" w:rsidTr="00982C0F">
        <w:tc>
          <w:tcPr>
            <w:tcW w:w="843" w:type="dxa"/>
            <w:tcBorders>
              <w:top w:val="single" w:sz="6" w:space="0" w:color="000000"/>
              <w:left w:val="single" w:sz="6" w:space="0" w:color="000000"/>
              <w:bottom w:val="single" w:sz="6" w:space="0" w:color="000000"/>
              <w:right w:val="single" w:sz="6" w:space="0" w:color="000000"/>
            </w:tcBorders>
            <w:shd w:val="clear" w:color="auto" w:fill="auto"/>
          </w:tcPr>
          <w:p w14:paraId="13BDE896" w14:textId="77777777" w:rsidR="002B15FE" w:rsidRPr="00982C0F" w:rsidRDefault="002B15FE" w:rsidP="002B15FE">
            <w:pPr>
              <w:spacing w:after="0" w:line="240" w:lineRule="auto"/>
              <w:jc w:val="center"/>
              <w:rPr>
                <w:rFonts w:ascii="Times New Roman" w:eastAsia="Times New Roman" w:hAnsi="Times New Roman" w:cs="Times New Roman"/>
                <w:lang w:eastAsia="lv-LV"/>
              </w:rPr>
            </w:pPr>
            <w:r w:rsidRPr="00982C0F">
              <w:rPr>
                <w:rFonts w:ascii="Times New Roman" w:eastAsia="Times New Roman" w:hAnsi="Times New Roman" w:cs="Times New Roman"/>
                <w:lang w:eastAsia="lv-LV"/>
              </w:rPr>
              <w:lastRenderedPageBreak/>
              <w:t>1</w:t>
            </w:r>
          </w:p>
        </w:tc>
        <w:tc>
          <w:tcPr>
            <w:tcW w:w="2551" w:type="dxa"/>
            <w:gridSpan w:val="2"/>
            <w:tcBorders>
              <w:top w:val="single" w:sz="6" w:space="0" w:color="000000"/>
              <w:left w:val="single" w:sz="6" w:space="0" w:color="000000"/>
              <w:bottom w:val="single" w:sz="4" w:space="0" w:color="auto"/>
              <w:right w:val="single" w:sz="6" w:space="0" w:color="000000"/>
            </w:tcBorders>
            <w:shd w:val="clear" w:color="auto" w:fill="auto"/>
          </w:tcPr>
          <w:p w14:paraId="779076F0" w14:textId="77777777" w:rsidR="002B15FE" w:rsidRPr="00982C0F" w:rsidRDefault="002B15FE" w:rsidP="002B15FE">
            <w:pPr>
              <w:spacing w:after="0" w:line="240" w:lineRule="auto"/>
              <w:jc w:val="center"/>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7C2FDB15" w14:textId="77777777" w:rsidR="002B15FE" w:rsidRPr="00982C0F" w:rsidRDefault="002B15FE" w:rsidP="002B15FE">
            <w:pPr>
              <w:spacing w:after="0" w:line="240" w:lineRule="auto"/>
              <w:jc w:val="center"/>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2F4A53F" w14:textId="77777777" w:rsidR="002B15FE" w:rsidRPr="00982C0F" w:rsidRDefault="002B15FE" w:rsidP="002B15FE">
            <w:pPr>
              <w:spacing w:after="0" w:line="240" w:lineRule="auto"/>
              <w:jc w:val="center"/>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shd w:val="clear" w:color="auto" w:fill="auto"/>
          </w:tcPr>
          <w:p w14:paraId="0E743C07" w14:textId="77777777" w:rsidR="002B15FE" w:rsidRPr="00982C0F" w:rsidRDefault="002B15FE" w:rsidP="002B15FE">
            <w:pPr>
              <w:spacing w:after="0" w:line="240" w:lineRule="auto"/>
              <w:jc w:val="center"/>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5</w:t>
            </w:r>
          </w:p>
        </w:tc>
      </w:tr>
      <w:tr w:rsidR="00635090" w:rsidRPr="00635090" w14:paraId="6C49F14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B42B3E5" w14:textId="77777777" w:rsidR="00B440FB" w:rsidRPr="00982C0F"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2FEF78E" w14:textId="77777777" w:rsidR="0077737D" w:rsidRPr="00982C0F" w:rsidRDefault="0077737D" w:rsidP="00EF60C4">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 </w:t>
            </w:r>
            <w:r w:rsidR="00085327" w:rsidRPr="00982C0F">
              <w:rPr>
                <w:rFonts w:ascii="Times New Roman" w:eastAsia="Times New Roman" w:hAnsi="Times New Roman" w:cs="Times New Roman"/>
                <w:lang w:eastAsia="lv-LV"/>
              </w:rPr>
              <w:t>Likumprojekta 1.pants:</w:t>
            </w:r>
          </w:p>
          <w:p w14:paraId="75F77928" w14:textId="18F75F0C" w:rsidR="00085327" w:rsidRPr="00982C0F" w:rsidRDefault="00085327" w:rsidP="00085327">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“12) ārvalsts valsts dienesta kuģis – kuģis, kuru izmanto valsts dienesti vai kuru izmanto nekomerciālu valsts dienesta uzdevumu veikšanai;</w:t>
            </w:r>
          </w:p>
          <w:p w14:paraId="28FC515A" w14:textId="03DAFD1E" w:rsidR="00085327" w:rsidRPr="00982C0F" w:rsidRDefault="00085327" w:rsidP="00085327">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 13) ārvalsts karakuģis – kuģis, kas pieder kādas ārvalsts bruņotajiem spēkiem un atbilst Apvienoto Nāciju Organizācijas 1982.gada Jūras tiesību konvencijā noteiktajām karakuģa pazīmēm.”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2F2DD54" w14:textId="2467A427" w:rsidR="00D23FFE" w:rsidRPr="00982C0F" w:rsidRDefault="00085327" w:rsidP="00EF60C4">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1.</w:t>
            </w:r>
            <w:r w:rsidR="005868C6" w:rsidRPr="00982C0F">
              <w:rPr>
                <w:rFonts w:ascii="Times New Roman" w:eastAsia="Times New Roman" w:hAnsi="Times New Roman" w:cs="Times New Roman"/>
                <w:b/>
                <w:lang w:eastAsia="lv-LV"/>
              </w:rPr>
              <w:t>iebildums</w:t>
            </w:r>
            <w:r w:rsidRPr="00982C0F">
              <w:rPr>
                <w:rFonts w:ascii="Times New Roman" w:eastAsia="Times New Roman" w:hAnsi="Times New Roman" w:cs="Times New Roman"/>
                <w:b/>
                <w:lang w:eastAsia="lv-LV"/>
              </w:rPr>
              <w:t>:</w:t>
            </w:r>
          </w:p>
          <w:p w14:paraId="2324969A" w14:textId="585B661D" w:rsidR="00085327" w:rsidRPr="00982C0F" w:rsidRDefault="00085327" w:rsidP="00085327">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w:t>
            </w:r>
            <w:r w:rsidRPr="00982C0F">
              <w:t>P</w:t>
            </w:r>
            <w:r w:rsidRPr="00982C0F">
              <w:rPr>
                <w:rFonts w:ascii="Times New Roman" w:eastAsia="Times New Roman" w:hAnsi="Times New Roman" w:cs="Times New Roman"/>
                <w:lang w:eastAsia="lv-LV"/>
              </w:rPr>
              <w:t xml:space="preserve">recizēt projekta 1. pantu, ievērojot Ministru kabineta 2009. gada 3.februāra noteikumu Nr. 108 “Normatīvo aktu projektu sagatavošanas noteikumi” (turpmāk – MK noteikumi Nr. 108) 3.1. apakšpunktu, proti, normatīvā akta projektā neietver normas, kas ir deklaratīvas. Apvienoto Nāciju Organizācijas 1982. gada 10. decembra Jūras tiesību konvencija (turpmāk – Jūras tiesību konvencija) ir saistoša Latvijas Republikai. Līdz ar to atkārtota norāde uz normatīvo aktu, kur atrodama karakuģa definīcija, būtībā ir deklaratīva norma. </w:t>
            </w:r>
          </w:p>
          <w:p w14:paraId="65FCE757" w14:textId="4DB259A7" w:rsidR="00085327" w:rsidRPr="00982C0F" w:rsidRDefault="00085327" w:rsidP="00085327">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Līdzīgi arī otrs projekta 1. pantā atrodamais termins ir skaidrots Jūras tiesību konvencijā. Turklāt minētās konvencijas 32. pantā ietverto vārdu “</w:t>
            </w:r>
            <w:proofErr w:type="spellStart"/>
            <w:r w:rsidRPr="00982C0F">
              <w:rPr>
                <w:rFonts w:ascii="Times New Roman" w:eastAsia="Times New Roman" w:hAnsi="Times New Roman" w:cs="Times New Roman"/>
                <w:lang w:eastAsia="lv-LV"/>
              </w:rPr>
              <w:t>other</w:t>
            </w:r>
            <w:proofErr w:type="spellEnd"/>
            <w:r w:rsidRPr="00982C0F">
              <w:rPr>
                <w:rFonts w:ascii="Times New Roman" w:eastAsia="Times New Roman" w:hAnsi="Times New Roman" w:cs="Times New Roman"/>
                <w:lang w:eastAsia="lv-LV"/>
              </w:rPr>
              <w:t xml:space="preserve"> </w:t>
            </w:r>
            <w:proofErr w:type="spellStart"/>
            <w:r w:rsidRPr="00982C0F">
              <w:rPr>
                <w:rFonts w:ascii="Times New Roman" w:eastAsia="Times New Roman" w:hAnsi="Times New Roman" w:cs="Times New Roman"/>
                <w:lang w:eastAsia="lv-LV"/>
              </w:rPr>
              <w:t>government</w:t>
            </w:r>
            <w:proofErr w:type="spellEnd"/>
            <w:r w:rsidRPr="00982C0F">
              <w:rPr>
                <w:rFonts w:ascii="Times New Roman" w:eastAsia="Times New Roman" w:hAnsi="Times New Roman" w:cs="Times New Roman"/>
                <w:lang w:eastAsia="lv-LV"/>
              </w:rPr>
              <w:t xml:space="preserve"> </w:t>
            </w:r>
            <w:proofErr w:type="spellStart"/>
            <w:r w:rsidRPr="00982C0F">
              <w:rPr>
                <w:rFonts w:ascii="Times New Roman" w:eastAsia="Times New Roman" w:hAnsi="Times New Roman" w:cs="Times New Roman"/>
                <w:lang w:eastAsia="lv-LV"/>
              </w:rPr>
              <w:t>ships</w:t>
            </w:r>
            <w:proofErr w:type="spellEnd"/>
            <w:r w:rsidRPr="00982C0F">
              <w:rPr>
                <w:rFonts w:ascii="Times New Roman" w:eastAsia="Times New Roman" w:hAnsi="Times New Roman" w:cs="Times New Roman"/>
                <w:lang w:eastAsia="lv-LV"/>
              </w:rPr>
              <w:t xml:space="preserve"> </w:t>
            </w:r>
            <w:proofErr w:type="spellStart"/>
            <w:r w:rsidRPr="00982C0F">
              <w:rPr>
                <w:rFonts w:ascii="Times New Roman" w:eastAsia="Times New Roman" w:hAnsi="Times New Roman" w:cs="Times New Roman"/>
                <w:lang w:eastAsia="lv-LV"/>
              </w:rPr>
              <w:t>operated</w:t>
            </w:r>
            <w:proofErr w:type="spellEnd"/>
            <w:r w:rsidRPr="00982C0F">
              <w:rPr>
                <w:rFonts w:ascii="Times New Roman" w:eastAsia="Times New Roman" w:hAnsi="Times New Roman" w:cs="Times New Roman"/>
                <w:lang w:eastAsia="lv-LV"/>
              </w:rPr>
              <w:t xml:space="preserve"> </w:t>
            </w:r>
            <w:proofErr w:type="spellStart"/>
            <w:r w:rsidRPr="00982C0F">
              <w:rPr>
                <w:rFonts w:ascii="Times New Roman" w:eastAsia="Times New Roman" w:hAnsi="Times New Roman" w:cs="Times New Roman"/>
                <w:lang w:eastAsia="lv-LV"/>
              </w:rPr>
              <w:t>for</w:t>
            </w:r>
            <w:proofErr w:type="spellEnd"/>
            <w:r w:rsidRPr="00982C0F">
              <w:rPr>
                <w:rFonts w:ascii="Times New Roman" w:eastAsia="Times New Roman" w:hAnsi="Times New Roman" w:cs="Times New Roman"/>
                <w:lang w:eastAsia="lv-LV"/>
              </w:rPr>
              <w:t xml:space="preserve"> non-</w:t>
            </w:r>
            <w:proofErr w:type="spellStart"/>
            <w:r w:rsidRPr="00982C0F">
              <w:rPr>
                <w:rFonts w:ascii="Times New Roman" w:eastAsia="Times New Roman" w:hAnsi="Times New Roman" w:cs="Times New Roman"/>
                <w:lang w:eastAsia="lv-LV"/>
              </w:rPr>
              <w:t>commercial</w:t>
            </w:r>
            <w:proofErr w:type="spellEnd"/>
            <w:r w:rsidRPr="00982C0F">
              <w:rPr>
                <w:rFonts w:ascii="Times New Roman" w:eastAsia="Times New Roman" w:hAnsi="Times New Roman" w:cs="Times New Roman"/>
                <w:lang w:eastAsia="lv-LV"/>
              </w:rPr>
              <w:t xml:space="preserve"> </w:t>
            </w:r>
            <w:proofErr w:type="spellStart"/>
            <w:r w:rsidRPr="00982C0F">
              <w:rPr>
                <w:rFonts w:ascii="Times New Roman" w:eastAsia="Times New Roman" w:hAnsi="Times New Roman" w:cs="Times New Roman"/>
                <w:lang w:eastAsia="lv-LV"/>
              </w:rPr>
              <w:t>purposes</w:t>
            </w:r>
            <w:proofErr w:type="spellEnd"/>
            <w:r w:rsidRPr="00982C0F">
              <w:rPr>
                <w:rFonts w:ascii="Times New Roman" w:eastAsia="Times New Roman" w:hAnsi="Times New Roman" w:cs="Times New Roman"/>
                <w:lang w:eastAsia="lv-LV"/>
              </w:rPr>
              <w:t>” tulkojums latviešu valodā ir “citi nekomerciālos nolūkos izmantoti valsts kuģi”, neietverot vārdus “valsts dienestu kuģi”. Savukārt Ministru kabineta 2012. gada 15. maija noteikumu Nr. 399 “Noteikumi par ostu formalitātēm” 8.1. apakšpunkts satur terminu “nekomerciālā (valsts) dienestā nodarbināti kuģi”. Līdz ar to minētais termins precizējams, ievērojot MK noteikumu Nr. 108 2.2. apakšpunktu.”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1D9533E9" w14:textId="36AF7F20" w:rsidR="00B440FB" w:rsidRPr="00982C0F" w:rsidRDefault="00561173" w:rsidP="003246B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8800C6">
              <w:rPr>
                <w:rFonts w:ascii="Times New Roman" w:eastAsia="Times New Roman" w:hAnsi="Times New Roman" w:cs="Times New Roman"/>
                <w:lang w:eastAsia="lv-LV"/>
              </w:rPr>
              <w:t xml:space="preserve"> starpministriju sanāksmē.</w:t>
            </w:r>
          </w:p>
          <w:p w14:paraId="3243CF32" w14:textId="3D616757" w:rsidR="00E77655" w:rsidRPr="00982C0F" w:rsidRDefault="00E77655" w:rsidP="003246BB">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shd w:val="clear" w:color="auto" w:fill="auto"/>
          </w:tcPr>
          <w:p w14:paraId="6E707BCA" w14:textId="2C7555DF" w:rsidR="00085327" w:rsidRPr="00982C0F" w:rsidRDefault="009C0B18" w:rsidP="00143D7D">
            <w:pPr>
              <w:spacing w:after="0" w:line="240" w:lineRule="auto"/>
              <w:jc w:val="both"/>
              <w:rPr>
                <w:rFonts w:ascii="Times New Roman" w:eastAsia="Times New Roman" w:hAnsi="Times New Roman" w:cs="Times New Roman"/>
                <w:b/>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635090" w:rsidRPr="00635090" w14:paraId="67F4150D"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6BD81D2" w14:textId="77777777" w:rsidR="00B440FB" w:rsidRPr="00982C0F"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CC4EC8A" w14:textId="77777777" w:rsidR="0077737D" w:rsidRPr="00982C0F" w:rsidRDefault="00085327" w:rsidP="00F2270C">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1.pants:</w:t>
            </w:r>
          </w:p>
          <w:p w14:paraId="756AE077" w14:textId="6A009007" w:rsidR="00085327" w:rsidRPr="00982C0F" w:rsidRDefault="00085327" w:rsidP="00085327">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“12) ārvalsts valsts dienesta kuģis – kuģis, kuru izmanto valsts dienesti vai kuru izmanto </w:t>
            </w:r>
            <w:r w:rsidRPr="00982C0F">
              <w:rPr>
                <w:rFonts w:ascii="Times New Roman" w:eastAsia="Times New Roman" w:hAnsi="Times New Roman" w:cs="Times New Roman"/>
                <w:lang w:eastAsia="lv-LV"/>
              </w:rPr>
              <w:lastRenderedPageBreak/>
              <w:t>nekomerciālu valsts dienesta uzdevumu veikšanai;</w:t>
            </w:r>
          </w:p>
          <w:p w14:paraId="1F2A17D4" w14:textId="0F3BF1E8" w:rsidR="00085327" w:rsidRPr="00982C0F" w:rsidRDefault="00085327" w:rsidP="00085327">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 13) ārvalsts karakuģis – kuģis, kas pieder kādas ārvalsts bruņotajiem spēkiem un atbilst Apvienoto Nāciju Organizācijas 1982.gada Jūras tiesību konvencijā noteiktajām karakuģa pazīmēm.”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A368D17" w14:textId="735C331A" w:rsidR="00263D0A" w:rsidRPr="00982C0F" w:rsidRDefault="00085327" w:rsidP="00EF60C4">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lastRenderedPageBreak/>
              <w:t>Iekšlietu ministrijas 30.07.2020. 2.</w:t>
            </w:r>
            <w:r w:rsidR="005868C6" w:rsidRPr="00982C0F">
              <w:rPr>
                <w:rFonts w:ascii="Times New Roman" w:eastAsia="Times New Roman" w:hAnsi="Times New Roman" w:cs="Times New Roman"/>
                <w:b/>
                <w:lang w:eastAsia="lv-LV"/>
              </w:rPr>
              <w:t>iebildums</w:t>
            </w:r>
            <w:r w:rsidRPr="00982C0F">
              <w:rPr>
                <w:rFonts w:ascii="Times New Roman" w:eastAsia="Times New Roman" w:hAnsi="Times New Roman" w:cs="Times New Roman"/>
                <w:b/>
                <w:lang w:eastAsia="lv-LV"/>
              </w:rPr>
              <w:t>:</w:t>
            </w:r>
          </w:p>
          <w:p w14:paraId="09F56BE3" w14:textId="3C27A0AB" w:rsidR="00085327" w:rsidRPr="00982C0F" w:rsidRDefault="00085327" w:rsidP="00EF60C4">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“Precizēt projekta 1. pantā ietvertos vārdus “ārvalsts valsts dienesta kuģis”, “kuģis, kuru izmanto valsts dienesti”, “valsts dienesta uzdevumu”, jo tie nonāk savstarpējā pretrunā, </w:t>
            </w:r>
            <w:r w:rsidRPr="00982C0F">
              <w:rPr>
                <w:rFonts w:ascii="Times New Roman" w:eastAsia="Times New Roman" w:hAnsi="Times New Roman" w:cs="Times New Roman"/>
                <w:lang w:eastAsia="lv-LV"/>
              </w:rPr>
              <w:lastRenderedPageBreak/>
              <w:t>proti, termins aptver viena dienesta kuģi, savukārt termina skaidrojums ietver atsauces uz vairāku dienestu uzdevumu veikšanu.”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6679B1D8" w14:textId="6392FCBD" w:rsidR="00B440FB" w:rsidRPr="00982C0F" w:rsidRDefault="00561173" w:rsidP="00EF60C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8800C6">
              <w:rPr>
                <w:rFonts w:ascii="Times New Roman" w:eastAsia="Times New Roman" w:hAnsi="Times New Roman" w:cs="Times New Roman"/>
                <w:lang w:eastAsia="lv-LV"/>
              </w:rPr>
              <w:t xml:space="preserve"> starpministriju sanāksmē.</w:t>
            </w:r>
          </w:p>
          <w:p w14:paraId="3F2C026F" w14:textId="0739A2BC" w:rsidR="004F5040" w:rsidRPr="00982C0F" w:rsidRDefault="004F5040" w:rsidP="00EF60C4">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shd w:val="clear" w:color="auto" w:fill="auto"/>
          </w:tcPr>
          <w:p w14:paraId="16662708" w14:textId="11DB023F" w:rsidR="00085327" w:rsidRPr="00982C0F" w:rsidRDefault="009C0B18" w:rsidP="00401075">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635090" w:rsidRPr="00635090" w14:paraId="500E5F26"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9D887F0" w14:textId="77777777" w:rsidR="00B440FB" w:rsidRPr="00982C0F"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2E3D177" w14:textId="76463BD8" w:rsidR="00B440FB" w:rsidRPr="00982C0F" w:rsidRDefault="005868C6" w:rsidP="002B15FE">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B22D7C2" w14:textId="13430E5C" w:rsidR="0046544B" w:rsidRPr="00982C0F" w:rsidRDefault="005868C6" w:rsidP="00EF60C4">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3.iebildums:</w:t>
            </w:r>
          </w:p>
          <w:p w14:paraId="688B2D81" w14:textId="77777777" w:rsidR="005868C6" w:rsidRPr="00982C0F" w:rsidRDefault="005868C6" w:rsidP="00EF60C4">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“Precizēt projekta sākotnējās ietekmes novērtējuma ziņojuma (anotācijas)    I. sadaļas 2. punktu vai projekta 2. pantu, ievērojot, ka nosacījumus par personu pārvietošanos pār robežām, tostarp personu pakļautību </w:t>
            </w:r>
            <w:proofErr w:type="spellStart"/>
            <w:r w:rsidRPr="00982C0F">
              <w:rPr>
                <w:rFonts w:ascii="Times New Roman" w:eastAsia="Times New Roman" w:hAnsi="Times New Roman" w:cs="Times New Roman"/>
                <w:lang w:eastAsia="lv-LV"/>
              </w:rPr>
              <w:t>robežpārbaudēm</w:t>
            </w:r>
            <w:proofErr w:type="spellEnd"/>
            <w:r w:rsidRPr="00982C0F">
              <w:rPr>
                <w:rFonts w:ascii="Times New Roman" w:eastAsia="Times New Roman" w:hAnsi="Times New Roman" w:cs="Times New Roman"/>
                <w:lang w:eastAsia="lv-LV"/>
              </w:rPr>
              <w:t xml:space="preserve"> un robežkontroles veikšanas nosacījumus paredz Eiropas Parlamenta un Padomes 2016. gada 9. marta Regula (ES) 2016/399 par Savienības Kodeksu par noteikumiem, kas reglamentē personu pārvietošanos pār robežām (Šengenas Robežu kodekss) (turpmāk – Regula 2016/399), kas atbilstoši Līguma par Eiropas Savienības darbību 288. panta otrajai daļai ir tieši piemērojama. Attiecīgi arī izņēmumus no pakļautības </w:t>
            </w:r>
            <w:proofErr w:type="spellStart"/>
            <w:r w:rsidRPr="00982C0F">
              <w:rPr>
                <w:rFonts w:ascii="Times New Roman" w:eastAsia="Times New Roman" w:hAnsi="Times New Roman" w:cs="Times New Roman"/>
                <w:lang w:eastAsia="lv-LV"/>
              </w:rPr>
              <w:t>robežpārbaudēm</w:t>
            </w:r>
            <w:proofErr w:type="spellEnd"/>
            <w:r w:rsidRPr="00982C0F">
              <w:rPr>
                <w:rFonts w:ascii="Times New Roman" w:eastAsia="Times New Roman" w:hAnsi="Times New Roman" w:cs="Times New Roman"/>
                <w:lang w:eastAsia="lv-LV"/>
              </w:rPr>
              <w:t xml:space="preserve"> un atvieglojumus attiecībā uz robežkontroli nosaka Regula 2016/399.</w:t>
            </w:r>
          </w:p>
          <w:p w14:paraId="45D42C0C" w14:textId="77777777"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Līdz ar to Latvijas Republikas normatīvie akti ir veidojami tā, lai tie nenonāktu pretrunā augstāka </w:t>
            </w:r>
            <w:r w:rsidRPr="00982C0F">
              <w:rPr>
                <w:rFonts w:ascii="Times New Roman" w:eastAsia="Times New Roman" w:hAnsi="Times New Roman" w:cs="Times New Roman"/>
                <w:lang w:eastAsia="lv-LV"/>
              </w:rPr>
              <w:lastRenderedPageBreak/>
              <w:t xml:space="preserve">juridiskā spēka tiesību normām, kā arī nedublētu tās, kā to paredz MK noteikumu Nr. 108 3.2. apakšpunkts. </w:t>
            </w:r>
          </w:p>
          <w:p w14:paraId="77AA92FC" w14:textId="77777777"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Vienlaikus vēršama uzmanība, ka attiecīgajā gadījumā projekta 2. punktā ietvertais deleģējums attiecas uz kārtību, kādā ārvalstu valsts dienestu kuģi ienāk un uzturas teritoriālajā jūrā, iekšējos ūdeņos un ostās, kā arī iziet no teritoriālās jūras, iekšējiem ūdeņiem un ostām, nevis uz kārtību un nosacījumiem par uz minētajiem kuģiem esošo personu pakļautību </w:t>
            </w:r>
            <w:proofErr w:type="spellStart"/>
            <w:r w:rsidRPr="00982C0F">
              <w:rPr>
                <w:rFonts w:ascii="Times New Roman" w:eastAsia="Times New Roman" w:hAnsi="Times New Roman" w:cs="Times New Roman"/>
                <w:lang w:eastAsia="lv-LV"/>
              </w:rPr>
              <w:t>robežpārbaudēm</w:t>
            </w:r>
            <w:proofErr w:type="spellEnd"/>
            <w:r w:rsidRPr="00982C0F">
              <w:rPr>
                <w:rFonts w:ascii="Times New Roman" w:eastAsia="Times New Roman" w:hAnsi="Times New Roman" w:cs="Times New Roman"/>
                <w:lang w:eastAsia="lv-LV"/>
              </w:rPr>
              <w:t>, robežkontroles veikšanas nosacījumiem un attiecīgi arī izņēmumiem.</w:t>
            </w:r>
          </w:p>
          <w:p w14:paraId="65D5CA73" w14:textId="77777777"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Tādējādi precizējams projekta sākotnējās ietekmes novērtējuma ziņojuma (anotācijas) I. sadaļas 2. punkts vai projekta 2. pants, lai nenonāktu pretrunā ar iepriekš minēto Latvijas Republikai saistošo normatīvo aktu, vai nepārsniegtu Ministru kabinetam noteiktā deleģējuma robežas un tādējādi pretrunā arī no Latvijas Republikas Satversmes 1. panta izrietošajam varas dalīšanas principam (sk., piemēram, Latvijas Republikas Satversmes tiesas 2017. gada 29. jūnija sprieduma lietā Nr.2016-23-03 17. un 18. punktu).</w:t>
            </w:r>
          </w:p>
          <w:p w14:paraId="55C49630" w14:textId="77777777"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Vienlaikus precizējams projekta sākotnējās ietekmes novērtējuma ziņojuma I. sadaļas 2. punkts, norādot pamatojumu projekta 2. pantā ietvert deleģējumu Ministru kabinetam, ievērojot Ministru kabineta 2009. gada 15.decembra instrukcijas Nr.19 “Tiesību akta projekta sākotnējās ietekmes izvērtēšanas kārtība” 14.punktu. Proti, atbilstoši 2005. gada 26. janvāra </w:t>
            </w:r>
            <w:r w:rsidRPr="00982C0F">
              <w:rPr>
                <w:rFonts w:ascii="Times New Roman" w:eastAsia="Times New Roman" w:hAnsi="Times New Roman" w:cs="Times New Roman"/>
                <w:lang w:eastAsia="lv-LV"/>
              </w:rPr>
              <w:lastRenderedPageBreak/>
              <w:t>laikrakstā “Latvijas Vēstnesis” Nr. 41/123-685 Ārlietu ministrijas publicētajai informācijai Jūras tiesību konvencija, tostarp tās 32. pants Latvijas Republikai ir saistoša kopš 2005.gada 22. janvāra. Savukārt projekta sākotnējās ietekmes novērtējuma ziņojuma I. sadaļas 2. punkts nesatur norādi par apstākļiem, kuru pamatā ir nepieciešamība pašlaik veikt attiecīgus grozījumus Latvijas Republikas valsts robežas likumā.</w:t>
            </w:r>
          </w:p>
          <w:p w14:paraId="6542D325" w14:textId="71C2854D"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Turklāt, precizējot projekta 2. pantu, vērā ņemams Valsts kancelejas Normatīvo aktu izstrādes rokasgrāmatā ietvertais Ministru kabineta noteikumu projektu izstādes princips - regulējumu par savstarpēji saistītajiem jautājumiem apvieno vienos Ministru kabineta noteikumos, kas atvieglo orientēšanos tiesiskajā regulējumā un mazina tiesiskā regulējuma pretrunu risku, kā arī normatīvo aktu plūdus (</w:t>
            </w:r>
            <w:proofErr w:type="spellStart"/>
            <w:r w:rsidRPr="00982C0F">
              <w:rPr>
                <w:rFonts w:ascii="Times New Roman" w:eastAsia="Times New Roman" w:hAnsi="Times New Roman" w:cs="Times New Roman"/>
                <w:lang w:eastAsia="lv-LV"/>
              </w:rPr>
              <w:t>normatīvismu</w:t>
            </w:r>
            <w:proofErr w:type="spellEnd"/>
            <w:r w:rsidRPr="00982C0F">
              <w:rPr>
                <w:rFonts w:ascii="Times New Roman" w:eastAsia="Times New Roman" w:hAnsi="Times New Roman" w:cs="Times New Roman"/>
                <w:lang w:eastAsia="lv-LV"/>
              </w:rPr>
              <w:t xml:space="preserve">). Tādējādi, ievērojot, ka Valsts sekretāru sanāksmē 2019.gada 12.septembrī ir izsludināts Ministru </w:t>
            </w:r>
            <w:proofErr w:type="spellStart"/>
            <w:r w:rsidRPr="00982C0F">
              <w:rPr>
                <w:rFonts w:ascii="Times New Roman" w:eastAsia="Times New Roman" w:hAnsi="Times New Roman" w:cs="Times New Roman"/>
                <w:lang w:eastAsia="lv-LV"/>
              </w:rPr>
              <w:t>kabienta</w:t>
            </w:r>
            <w:proofErr w:type="spellEnd"/>
            <w:r w:rsidRPr="00982C0F">
              <w:rPr>
                <w:rFonts w:ascii="Times New Roman" w:eastAsia="Times New Roman" w:hAnsi="Times New Roman" w:cs="Times New Roman"/>
                <w:lang w:eastAsia="lv-LV"/>
              </w:rPr>
              <w:t xml:space="preserve"> noteikumu projekts “Grozījumi Ministru kabineta 2016. gada 23. februāra noteikumos Nr. 108 “Kārtība, kādā ārvalstu karakuģi ienāk un uzturas Latvijas Republikas teritoriālajā jūrā, iekšējos ūdeņos un ostās un iziet no tām’” (VSS-897) un, kā izriet no projekta sākotnējās ietekmes novērtējuma ziņojuma (anotācijas) I. sadaļas 2. punkta, ārvalsts valsts dienestu kuģu regulējums ir pielīdzināms karakuģu regulējumam, līdz ar to ārvalsts valsts dienestu kuģu un karakuģu regulējums apvienojams vienā normatīvajā aktā.”</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FAB2262" w14:textId="3BCD10C6" w:rsidR="00B440FB" w:rsidRPr="00982C0F" w:rsidRDefault="00441EB8"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021F56F1" w14:textId="5AE67B3A" w:rsidR="00771A6B" w:rsidRPr="00982C0F" w:rsidRDefault="00441EB8" w:rsidP="00EF60C4">
            <w:pPr>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Ir precizēts likumprojekta anotācijas </w:t>
            </w:r>
            <w:r w:rsidRPr="00982C0F">
              <w:t xml:space="preserve"> </w:t>
            </w:r>
            <w:r w:rsidRPr="00982C0F">
              <w:rPr>
                <w:rFonts w:ascii="Times New Roman" w:eastAsia="Times New Roman" w:hAnsi="Times New Roman" w:cs="Times New Roman"/>
                <w:lang w:eastAsia="lv-LV"/>
              </w:rPr>
              <w:t>I. sadaļas 2. punkts, to papildinot ar sekojošu informāciju:</w:t>
            </w:r>
          </w:p>
          <w:p w14:paraId="47FC4B81" w14:textId="0ED18A82" w:rsidR="00441EB8" w:rsidRPr="00982C0F" w:rsidRDefault="00401075" w:rsidP="00EF60C4">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401075">
              <w:rPr>
                <w:rFonts w:ascii="Times New Roman" w:eastAsia="Times New Roman" w:hAnsi="Times New Roman" w:cs="Times New Roman"/>
                <w:lang w:eastAsia="lv-LV"/>
              </w:rPr>
              <w:t xml:space="preserve">Lai ievērotu Ministru kabineta noteikumu projektu izstrādes principu, kas nosaka, ka regulējumu par savstarpēji saistītajiem jautājumiem ir vēlams apvienot vienos Ministru kabineta noteikumos, tādējādi atvieglojot orientēšanos tiesiskajā regulējumā un mazinot tiesiskā regulējuma pretrunu risku, minētā kārtība tiks noteikta jaunos Ministru kabineta noteikumos par kārtību, kādā ārvalstu karakuģi un citi ārvalstu valsts dienestu kuģi ienāk un uzturas Latvijas Republikas teritoriālajā </w:t>
            </w:r>
            <w:r w:rsidRPr="00401075">
              <w:rPr>
                <w:rFonts w:ascii="Times New Roman" w:eastAsia="Times New Roman" w:hAnsi="Times New Roman" w:cs="Times New Roman"/>
                <w:lang w:eastAsia="lv-LV"/>
              </w:rPr>
              <w:lastRenderedPageBreak/>
              <w:t xml:space="preserve">jūrā, iekšējos ūdeņos un ostās un iziet no tām. Ārvalstu valsts dienestu kuģu regulējums ir pielīdzināms karakuģu regulējumam, līdz ar to ārvalstu valsts dienestu kuģu un karakuģu regulējums apvienojams vienā normatīvajā aktā. Noteikumi attieksies uz kārtību, kādā ārvalstu  karakuģi un valsts dienestu kuģi ienāk un uzturas teritoriālajā jūrā, iekšējos ūdeņos un ostās, kā arī iziet no teritoriālās jūras, iekšējiem ūdeņiem un ostām, savukārt kārtība par uz ārvalstu valsts dienestu kuģiem esošo personu pakļautību </w:t>
            </w:r>
            <w:proofErr w:type="spellStart"/>
            <w:r w:rsidRPr="00401075">
              <w:rPr>
                <w:rFonts w:ascii="Times New Roman" w:eastAsia="Times New Roman" w:hAnsi="Times New Roman" w:cs="Times New Roman"/>
                <w:lang w:eastAsia="lv-LV"/>
              </w:rPr>
              <w:t>robežpārbaudēm</w:t>
            </w:r>
            <w:proofErr w:type="spellEnd"/>
            <w:r w:rsidRPr="00401075">
              <w:rPr>
                <w:rFonts w:ascii="Times New Roman" w:eastAsia="Times New Roman" w:hAnsi="Times New Roman" w:cs="Times New Roman"/>
                <w:lang w:eastAsia="lv-LV"/>
              </w:rPr>
              <w:t>, robežkontroles veikšanas nosacījumiem un attiecīgi arī izņēmumiem tiks pārvaldīta, balstoties uz Eiropas Parlamenta un Padomes 2016. gada 9. marta Regulā (ES) 2016/399 par Savienības Kodeksu par noteikumiem, kas reglamentē personu pārvietošanos pār robežām ietvertajiem nosacījumiem</w:t>
            </w:r>
            <w:r>
              <w:rPr>
                <w:rFonts w:ascii="Times New Roman" w:eastAsia="Times New Roman" w:hAnsi="Times New Roman" w:cs="Times New Roman"/>
                <w:lang w:eastAsia="lv-LV"/>
              </w:rPr>
              <w:t>.</w:t>
            </w:r>
            <w:r w:rsidR="005D246C">
              <w:rPr>
                <w:rFonts w:ascii="Times New Roman" w:eastAsia="Times New Roman" w:hAnsi="Times New Roman" w:cs="Times New Roman"/>
                <w:lang w:eastAsia="lv-LV"/>
              </w:rPr>
              <w:t>”</w:t>
            </w:r>
          </w:p>
          <w:p w14:paraId="7352F1AD" w14:textId="132A4428" w:rsidR="00441EB8" w:rsidRPr="00982C0F" w:rsidRDefault="00106176" w:rsidP="00106176">
            <w:pPr>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Likumprojekta anotācijas I. sadaļas 2. punkts ietver norādi par apstākļiem, kuru pamatā ir nepieciešamība pašlaik veikt </w:t>
            </w:r>
            <w:r w:rsidRPr="00982C0F">
              <w:rPr>
                <w:rFonts w:ascii="Times New Roman" w:eastAsia="Times New Roman" w:hAnsi="Times New Roman" w:cs="Times New Roman"/>
                <w:lang w:eastAsia="lv-LV"/>
              </w:rPr>
              <w:lastRenderedPageBreak/>
              <w:t xml:space="preserve">attiecīgus grozījumus Latvijas Republikas valsts robežas likumā, balstoties uz </w:t>
            </w:r>
            <w:r w:rsidRPr="00982C0F">
              <w:t xml:space="preserve"> </w:t>
            </w:r>
            <w:r w:rsidRPr="00982C0F">
              <w:rPr>
                <w:rFonts w:ascii="Times New Roman" w:eastAsia="Times New Roman" w:hAnsi="Times New Roman" w:cs="Times New Roman"/>
                <w:lang w:eastAsia="lv-LV"/>
              </w:rPr>
              <w:t xml:space="preserve">pastāvošo  nepilnību normatīvajos aktos un </w:t>
            </w:r>
            <w:r w:rsidRPr="00982C0F">
              <w:t xml:space="preserve"> </w:t>
            </w:r>
            <w:r w:rsidRPr="00982C0F">
              <w:rPr>
                <w:rFonts w:ascii="Times New Roman" w:eastAsia="Times New Roman" w:hAnsi="Times New Roman" w:cs="Times New Roman"/>
                <w:lang w:eastAsia="lv-LV"/>
              </w:rPr>
              <w:t>valsts drošības iestāžu izteikto viedokli par to, ka šādu nepilnību var izmantot</w:t>
            </w:r>
            <w:r w:rsidRPr="00982C0F">
              <w:t xml:space="preserve"> </w:t>
            </w:r>
            <w:r w:rsidRPr="00982C0F">
              <w:rPr>
                <w:rFonts w:ascii="Times New Roman" w:eastAsia="Times New Roman" w:hAnsi="Times New Roman" w:cs="Times New Roman"/>
                <w:lang w:eastAsia="lv-LV"/>
              </w:rPr>
              <w:t xml:space="preserve">ārvalstis kas nav ES un NATO sastāvā, jo šāda veida kuģus ir iespējams izmantot izlūkošanas datu vākšanai un citām aktivitātēm, kas vienlaikus var radīt potenciālu risku Latvijas Republikas drošības interesēm. </w:t>
            </w:r>
          </w:p>
        </w:tc>
      </w:tr>
      <w:tr w:rsidR="00635090" w:rsidRPr="00862E2B" w14:paraId="3F70AD32"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631966A" w14:textId="77777777" w:rsidR="00AE72AB" w:rsidRPr="00982C0F" w:rsidRDefault="00AE72AB"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18F760B" w14:textId="541FFB22" w:rsidR="00181D09" w:rsidRPr="00181D09" w:rsidRDefault="00181D09"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181D09">
              <w:rPr>
                <w:rFonts w:ascii="Times New Roman" w:eastAsia="Times New Roman" w:hAnsi="Times New Roman" w:cs="Times New Roman"/>
                <w:lang w:eastAsia="lv-LV"/>
              </w:rPr>
              <w:t xml:space="preserve">ikumprojekta anotācija </w:t>
            </w:r>
            <w:r>
              <w:rPr>
                <w:rFonts w:ascii="Times New Roman" w:eastAsia="Times New Roman" w:hAnsi="Times New Roman" w:cs="Times New Roman"/>
                <w:lang w:eastAsia="lv-LV"/>
              </w:rPr>
              <w:t>un l</w:t>
            </w:r>
            <w:r w:rsidR="00647D37" w:rsidRPr="00181D09">
              <w:rPr>
                <w:rFonts w:ascii="Times New Roman" w:eastAsia="Times New Roman" w:hAnsi="Times New Roman" w:cs="Times New Roman"/>
                <w:lang w:eastAsia="lv-LV"/>
              </w:rPr>
              <w:t>ikumprojekta 2. pants</w:t>
            </w:r>
            <w:r>
              <w:rPr>
                <w:rFonts w:ascii="Times New Roman" w:eastAsia="Times New Roman" w:hAnsi="Times New Roman" w:cs="Times New Roman"/>
                <w:lang w:eastAsia="lv-LV"/>
              </w:rPr>
              <w:t>:</w:t>
            </w:r>
            <w:r w:rsidR="00647D37" w:rsidRPr="00181D09">
              <w:rPr>
                <w:rFonts w:ascii="Times New Roman" w:eastAsia="Times New Roman" w:hAnsi="Times New Roman" w:cs="Times New Roman"/>
                <w:lang w:eastAsia="lv-LV"/>
              </w:rPr>
              <w:t xml:space="preserve"> </w:t>
            </w:r>
          </w:p>
          <w:p w14:paraId="42F438B0" w14:textId="112F74D3" w:rsidR="00181D09" w:rsidRPr="00181D09" w:rsidRDefault="00181D09" w:rsidP="00181D09">
            <w:pPr>
              <w:spacing w:after="0" w:line="240" w:lineRule="auto"/>
              <w:contextualSpacing/>
              <w:jc w:val="both"/>
              <w:rPr>
                <w:rFonts w:ascii="Times New Roman" w:eastAsia="Times New Roman" w:hAnsi="Times New Roman" w:cs="Arial Unicode MS"/>
                <w:color w:val="000000" w:themeColor="text1"/>
                <w:lang w:bidi="lo-LA"/>
              </w:rPr>
            </w:pPr>
            <w:r>
              <w:rPr>
                <w:rFonts w:ascii="Times New Roman" w:eastAsia="Times New Roman" w:hAnsi="Times New Roman" w:cs="Arial Unicode MS"/>
                <w:bCs/>
                <w:lang w:bidi="lo-LA"/>
              </w:rPr>
              <w:t>“</w:t>
            </w:r>
            <w:r w:rsidRPr="00181D09">
              <w:rPr>
                <w:rFonts w:ascii="Times New Roman" w:eastAsia="Times New Roman" w:hAnsi="Times New Roman" w:cs="Arial Unicode MS"/>
                <w:bCs/>
                <w:lang w:bidi="lo-LA"/>
              </w:rPr>
              <w:t xml:space="preserve">2. Papildināt 11. pantu ar trešo </w:t>
            </w:r>
            <w:proofErr w:type="spellStart"/>
            <w:r w:rsidRPr="00181D09">
              <w:rPr>
                <w:rFonts w:ascii="Times New Roman" w:eastAsia="Times New Roman" w:hAnsi="Times New Roman" w:cs="Arial Unicode MS"/>
                <w:bCs/>
                <w:lang w:bidi="lo-LA"/>
              </w:rPr>
              <w:t>prim</w:t>
            </w:r>
            <w:proofErr w:type="spellEnd"/>
            <w:r w:rsidRPr="00181D09">
              <w:rPr>
                <w:rFonts w:ascii="Times New Roman" w:eastAsia="Times New Roman" w:hAnsi="Times New Roman" w:cs="Arial Unicode MS"/>
                <w:bCs/>
                <w:lang w:bidi="lo-LA"/>
              </w:rPr>
              <w:t xml:space="preserve">  daļu šādā redakcijā</w:t>
            </w:r>
            <w:r w:rsidRPr="00181D09">
              <w:rPr>
                <w:rFonts w:ascii="Times New Roman" w:eastAsia="Times New Roman" w:hAnsi="Times New Roman" w:cs="Arial Unicode MS"/>
                <w:color w:val="000000" w:themeColor="text1"/>
                <w:lang w:bidi="lo-LA"/>
              </w:rPr>
              <w:t>:</w:t>
            </w:r>
          </w:p>
          <w:p w14:paraId="2E2F7FA5" w14:textId="394CBE40" w:rsidR="00181D09" w:rsidRPr="00181D09" w:rsidRDefault="00181D09" w:rsidP="00181D09">
            <w:pPr>
              <w:spacing w:before="100" w:beforeAutospacing="1" w:after="100" w:afterAutospacing="1" w:line="240" w:lineRule="auto"/>
              <w:jc w:val="both"/>
              <w:rPr>
                <w:rFonts w:ascii="Times New Roman" w:eastAsia="Times New Roman" w:hAnsi="Times New Roman" w:cs="Times New Roman"/>
                <w:lang w:eastAsia="lv-LV"/>
              </w:rPr>
            </w:pPr>
            <w:r w:rsidRPr="00181D09">
              <w:rPr>
                <w:rFonts w:ascii="Times New Roman" w:eastAsia="Times New Roman" w:hAnsi="Times New Roman" w:cs="Times New Roman"/>
                <w:lang w:eastAsia="lv-LV"/>
              </w:rPr>
              <w:t xml:space="preserve"> “(3</w:t>
            </w:r>
            <w:r w:rsidRPr="00181D09">
              <w:rPr>
                <w:rFonts w:ascii="Times New Roman" w:eastAsia="Times New Roman" w:hAnsi="Times New Roman" w:cs="Times New Roman"/>
                <w:vertAlign w:val="superscript"/>
                <w:lang w:eastAsia="lv-LV"/>
              </w:rPr>
              <w:t>1</w:t>
            </w:r>
            <w:r w:rsidRPr="00181D09">
              <w:rPr>
                <w:rFonts w:ascii="Times New Roman" w:eastAsia="Times New Roman" w:hAnsi="Times New Roman" w:cs="Times New Roman"/>
                <w:lang w:eastAsia="lv-LV"/>
              </w:rPr>
              <w:t>) Kārtību, kādā ārvalstu valsts dienesta kuģi ienāk un uzturas teritoriālajā jūrā, iekšējos ūdeņos un ostās, kā arī iziet no teritoriālās jūras, iekšējiem ūdeņiem un ostām, nosaka Ministru kabinets.”</w:t>
            </w:r>
            <w:r>
              <w:rPr>
                <w:rFonts w:ascii="Times New Roman" w:eastAsia="Times New Roman" w:hAnsi="Times New Roman" w:cs="Times New Roman"/>
                <w:lang w:eastAsia="lv-LV"/>
              </w:rPr>
              <w:t>”</w:t>
            </w:r>
          </w:p>
          <w:p w14:paraId="376402AD" w14:textId="199DC3D0" w:rsidR="00AE72AB" w:rsidRPr="00181D09" w:rsidRDefault="00AE72AB" w:rsidP="00181D09">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2C1462A" w14:textId="6C078E5A" w:rsidR="00AE72AB"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4.iebildums:</w:t>
            </w:r>
          </w:p>
          <w:p w14:paraId="12C77A19" w14:textId="57C2AA2F"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lang w:eastAsia="lv-LV"/>
              </w:rPr>
              <w:t>“Precizēt projekta 2. pantā ietvertos vārdus “ārvalstu valsts dienesta kuģi” vai projekta sākotnējās ietekmes novērtējuma ziņojuma (anotācijas) I. sadaļas 2.punktu, ievērojot, ka projekta sākotnējās ietekmes novērtējuma</w:t>
            </w:r>
            <w:r w:rsidRPr="00982C0F">
              <w:rPr>
                <w:rFonts w:ascii="Times New Roman" w:eastAsia="Times New Roman" w:hAnsi="Times New Roman" w:cs="Times New Roman"/>
                <w:b/>
                <w:lang w:eastAsia="lv-LV"/>
              </w:rPr>
              <w:t xml:space="preserve"> </w:t>
            </w:r>
            <w:r w:rsidRPr="00982C0F">
              <w:rPr>
                <w:rFonts w:ascii="Times New Roman" w:eastAsia="Times New Roman" w:hAnsi="Times New Roman" w:cs="Times New Roman"/>
                <w:lang w:eastAsia="lv-LV"/>
              </w:rPr>
              <w:t>ziņojuma (anotācijas) I. sadaļas 2. punktā nav sniegts skaidrojums, kurām ārvalstīm ir kopīgs valsts dienests, kas veic kuģa pārvadājumus. Turklāt projekta 2. pantā ietvertie vārdi “ārvalstu valsts dienesta kuģi” ir pretrunā projekta 1. pantā ietvertajam skaidrojumam “kuģis, kuru izmanto valsts dienesti”, jo vienā gadījumā atsauce ir uz ārvalstu kopīga valsts dienesta kuģiem, savukārt otrā - uz vairāku dienestu kuģiem. Attiecīgi precizējams projekta sākotnējās ietekmes novērtējuma ziņojuma (anotācijas) IV. sadaļas 1. punkts.”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09A3BCFE" w14:textId="5961B87C" w:rsidR="00AE72AB" w:rsidRPr="00982C0F" w:rsidRDefault="00647D37"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99620AE" w14:textId="05CDC0D7" w:rsidR="00AE72AB" w:rsidRPr="00982C0F" w:rsidRDefault="00647D37" w:rsidP="009C0B18">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Likumprojekta </w:t>
            </w:r>
            <w:r w:rsidR="009C0B18">
              <w:rPr>
                <w:rFonts w:ascii="Times New Roman" w:eastAsia="Times New Roman" w:hAnsi="Times New Roman" w:cs="Times New Roman"/>
                <w:lang w:eastAsia="lv-LV"/>
              </w:rPr>
              <w:t>redakcija</w:t>
            </w:r>
            <w:r w:rsidRPr="00982C0F">
              <w:rPr>
                <w:rFonts w:ascii="Times New Roman" w:eastAsia="Times New Roman" w:hAnsi="Times New Roman" w:cs="Times New Roman"/>
                <w:lang w:eastAsia="lv-LV"/>
              </w:rPr>
              <w:t xml:space="preserve"> un likumprojekta anotācija</w:t>
            </w:r>
            <w:r w:rsidR="008F7C05" w:rsidRPr="00982C0F">
              <w:rPr>
                <w:rFonts w:ascii="Times New Roman" w:eastAsia="Times New Roman" w:hAnsi="Times New Roman" w:cs="Times New Roman"/>
                <w:lang w:eastAsia="lv-LV"/>
              </w:rPr>
              <w:t xml:space="preserve"> ir precizēta. Likumprojektā tiek lietots vārdu salikums “ārvalstu</w:t>
            </w:r>
            <w:r w:rsidR="00006503">
              <w:rPr>
                <w:rFonts w:ascii="Times New Roman" w:eastAsia="Times New Roman" w:hAnsi="Times New Roman" w:cs="Times New Roman"/>
                <w:lang w:eastAsia="lv-LV"/>
              </w:rPr>
              <w:t xml:space="preserve"> valsts dienestu</w:t>
            </w:r>
            <w:r w:rsidR="008F7C05" w:rsidRPr="00982C0F">
              <w:rPr>
                <w:rFonts w:ascii="Times New Roman" w:eastAsia="Times New Roman" w:hAnsi="Times New Roman" w:cs="Times New Roman"/>
                <w:lang w:eastAsia="lv-LV"/>
              </w:rPr>
              <w:t xml:space="preserve"> kuģi”, apzīmējot visu ārvalstu visu valsts dienestu ku</w:t>
            </w:r>
            <w:r w:rsidR="00862E2B" w:rsidRPr="00982C0F">
              <w:rPr>
                <w:rFonts w:ascii="Times New Roman" w:eastAsia="Times New Roman" w:hAnsi="Times New Roman" w:cs="Times New Roman"/>
                <w:lang w:eastAsia="lv-LV"/>
              </w:rPr>
              <w:t xml:space="preserve">ģus, kā arī lai paredzētajos grozījumos ievērotu vienādu lietišķo rakstu valodas stilu, kāds tas ir lietots  </w:t>
            </w:r>
            <w:r w:rsidR="00862E2B" w:rsidRPr="00982C0F">
              <w:t xml:space="preserve"> </w:t>
            </w:r>
            <w:r w:rsidR="00862E2B" w:rsidRPr="00982C0F">
              <w:rPr>
                <w:rFonts w:ascii="Times New Roman" w:eastAsia="Times New Roman" w:hAnsi="Times New Roman" w:cs="Times New Roman"/>
                <w:lang w:eastAsia="lv-LV"/>
              </w:rPr>
              <w:t xml:space="preserve">Ministru kabineta 2016. gada 23. februāra noteikumos Nr. 108 “Kārtība, kādā ārvalstu karakuģi ienāk un uzturas Latvijas Republikas teritoriālajā jūrā, iekšējos ūdeņos un ostās un iziet no tām’”. </w:t>
            </w:r>
          </w:p>
        </w:tc>
      </w:tr>
      <w:tr w:rsidR="005868C6" w:rsidRPr="00635090" w14:paraId="7BD22127"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C988067" w14:textId="77777777" w:rsidR="005868C6" w:rsidRPr="00982C0F" w:rsidRDefault="005868C6"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182DC83" w14:textId="1DBD777F" w:rsidR="005868C6" w:rsidRPr="00982C0F" w:rsidRDefault="000C01B8" w:rsidP="000C01B8">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anotācijas</w:t>
            </w:r>
            <w:r w:rsidRPr="00982C0F">
              <w:t xml:space="preserve"> </w:t>
            </w:r>
            <w:r w:rsidRPr="00982C0F">
              <w:rPr>
                <w:rFonts w:ascii="Times New Roman" w:eastAsia="Times New Roman" w:hAnsi="Times New Roman" w:cs="Times New Roman"/>
                <w:lang w:eastAsia="lv-LV"/>
              </w:rPr>
              <w:t>II. sadaļas 1.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1807C46" w14:textId="1E264A6E"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5.iebildums:</w:t>
            </w:r>
          </w:p>
          <w:p w14:paraId="18372436" w14:textId="4C6A3C08"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“Precizēt projekta sākotnējās ietekmes novērtējuma ziņojuma (anotācijas)  II. sadaļas 1. punktu vai projektu un attiecīgi arī projekta sākotnējās ietekmes novērtējuma ziņojuma (anotācijas) I. sadaļas 2. punktu, ievērojot, ka projekta        1. un 2. pants un attiecīgi arī projekta sākotnējās ietekmes novērtējuma ziņojuma (anotācijas) I. sadaļas 2. punkts nosaka, ka grozījumi Latvijas Republikas valsts robežas likumā ir sagatavoti, lai  regulētu trūkstošos nosacījumus attiecībā uz ārvalstu valsts dienestu kuģiem, savukārt projekta sākotnējās ietekmes novērtējuma ziņojuma (anotācijas) II. sadaļas 1. </w:t>
            </w:r>
            <w:r w:rsidRPr="00982C0F">
              <w:rPr>
                <w:rFonts w:ascii="Times New Roman" w:eastAsia="Times New Roman" w:hAnsi="Times New Roman" w:cs="Times New Roman"/>
                <w:lang w:eastAsia="lv-LV"/>
              </w:rPr>
              <w:lastRenderedPageBreak/>
              <w:t>punkts nosaka, ka sabiedrības mērķgrupas, kuras projektā ietvertais tiesiskais regulējums ietekmē vai varētu ietekmēt, ir Aizsardzības ministrija un Nacionālie bruņotie spēki. Tādējādi projekta sākotnējās ietekmes novērtējuma ziņojuma</w:t>
            </w:r>
            <w:r w:rsidRPr="00982C0F">
              <w:rPr>
                <w:rFonts w:ascii="Times New Roman" w:eastAsia="Times New Roman" w:hAnsi="Times New Roman" w:cs="Times New Roman"/>
                <w:b/>
                <w:lang w:eastAsia="lv-LV"/>
              </w:rPr>
              <w:t xml:space="preserve"> </w:t>
            </w:r>
            <w:r w:rsidRPr="00982C0F">
              <w:rPr>
                <w:rFonts w:ascii="Times New Roman" w:eastAsia="Times New Roman" w:hAnsi="Times New Roman" w:cs="Times New Roman"/>
                <w:lang w:eastAsia="lv-LV"/>
              </w:rPr>
              <w:t>(anotācijas) II. sadaļas 1.punktā minētais ir pretrunā ar projektu un attiecīgi arī projekta sākotnējās ietekmes novērtējuma ziņojuma (anotācijas) I. sadaļas 2. punktu, jo vārdi “ārvalstu valsts dienestu kuģi” ir attiecināti uz jebkuru ārvalsts valsts dienestu, nevis uz Aizsardzības ministriju un Nacionālajiem bruņotajiem spēkiem, kas turklāt nepakļaujas terminam “ārvalsts valsts dienests”. Attiecīgi precizēt projekta sākotnējās ietekmes novērtējuma ziņojuma (anotācijas) VII. sadaļas 1. punktu.</w:t>
            </w:r>
          </w:p>
          <w:p w14:paraId="74527969" w14:textId="344E8D26" w:rsidR="005868C6" w:rsidRPr="00982C0F" w:rsidRDefault="005868C6" w:rsidP="005868C6">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lang w:eastAsia="lv-LV"/>
              </w:rPr>
              <w:t>Vienlaikus precizēt projekta sākotnējās ietekmes novērtējuma ziņojuma (anotācijas) II. sadaļas 1. punktā ietvertos vārdus “noteikumu projekts”, ievērojot, ka saskaņošanai nodotais projekts ir likumprojekts nevis Ministru kabineta noteikumu projekts.”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1B089999" w14:textId="50548CFC" w:rsidR="005868C6" w:rsidRPr="00982C0F" w:rsidRDefault="000C01B8"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415A2CEE" w14:textId="77777777" w:rsidR="005868C6" w:rsidRPr="00982C0F" w:rsidRDefault="000C01B8" w:rsidP="000C01B8">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Likumprojekta anotācijas II. sadaļas 1. punkts precizēts sekojošā redakcijā: </w:t>
            </w:r>
          </w:p>
          <w:p w14:paraId="32FB00B4" w14:textId="77777777" w:rsidR="000C01B8" w:rsidRPr="00982C0F" w:rsidRDefault="000C01B8" w:rsidP="000C01B8">
            <w:pPr>
              <w:spacing w:after="0" w:line="240" w:lineRule="auto"/>
              <w:jc w:val="both"/>
              <w:rPr>
                <w:rFonts w:ascii="Times New Roman" w:eastAsia="Times New Roman" w:hAnsi="Times New Roman" w:cs="Times New Roman"/>
                <w:lang w:eastAsia="lv-LV"/>
              </w:rPr>
            </w:pPr>
          </w:p>
          <w:p w14:paraId="33F93E27" w14:textId="11CF7F23" w:rsidR="000C01B8" w:rsidRPr="00982C0F" w:rsidRDefault="000C01B8" w:rsidP="00006503">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w:t>
            </w:r>
            <w:r w:rsidR="00654CA3" w:rsidRPr="00654CA3">
              <w:rPr>
                <w:rFonts w:ascii="Times New Roman" w:eastAsia="Times New Roman" w:hAnsi="Times New Roman" w:cs="Times New Roman"/>
                <w:lang w:eastAsia="lv-LV"/>
              </w:rPr>
              <w:t xml:space="preserve">Likumprojekta tiesiskais regulējums, kas paredz jaunu Ministru kabineta noteikumu izveidi, attiecināms uz atbildīgo institūciju (Aizsardzības ministriju), savukārt paredzētie noteikumi ietekmēs personas, kurām būs pienākums kārtot nepieciešamās formalitātes saistībā ar ārvalstu karakuģu un valsts dienestu kuģu </w:t>
            </w:r>
            <w:r w:rsidR="00654CA3" w:rsidRPr="00654CA3">
              <w:rPr>
                <w:rFonts w:ascii="Times New Roman" w:eastAsia="Times New Roman" w:hAnsi="Times New Roman" w:cs="Times New Roman"/>
                <w:lang w:eastAsia="lv-LV"/>
              </w:rPr>
              <w:lastRenderedPageBreak/>
              <w:t>ienākšanu un uzturēšanos Latvijas teritoriālajos ūdeņos.</w:t>
            </w:r>
            <w:r w:rsidRPr="00982C0F">
              <w:rPr>
                <w:rFonts w:ascii="Times New Roman" w:eastAsia="Times New Roman" w:hAnsi="Times New Roman" w:cs="Times New Roman"/>
                <w:lang w:eastAsia="lv-LV"/>
              </w:rPr>
              <w:t>”</w:t>
            </w:r>
          </w:p>
        </w:tc>
      </w:tr>
      <w:tr w:rsidR="005868C6" w:rsidRPr="00635090" w14:paraId="6C430195"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E6EE36C" w14:textId="77777777" w:rsidR="005868C6" w:rsidRPr="00982C0F" w:rsidRDefault="005868C6" w:rsidP="003F66BD">
            <w:pPr>
              <w:numPr>
                <w:ilvl w:val="0"/>
                <w:numId w:val="1"/>
              </w:numPr>
              <w:spacing w:after="0" w:line="240" w:lineRule="auto"/>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F1787DF" w14:textId="79B06BE7" w:rsidR="005868C6" w:rsidRPr="00982C0F" w:rsidRDefault="00982C0F" w:rsidP="002B15FE">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sākotnējās ietekmes novērtējuma ziņojuma (anotācijas) kopsavilkums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AD735F4" w14:textId="77777777" w:rsidR="005868C6" w:rsidRPr="00982C0F" w:rsidRDefault="005868C6" w:rsidP="005868C6">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1.priekšlikums:</w:t>
            </w:r>
          </w:p>
          <w:p w14:paraId="14C41D21" w14:textId="785F2B65"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“Precizēt projekta sākotnējās ietekmes novērtējuma ziņojuma (anotācijas) kopsavilkumu atbilstoši Ministru kabineta 2009. gada 15. decembra instrukcijas Nr. 19 “Tiesību akta projekta sākotnējās ietekmes izvērtēšanas kārtība” (turpmāk– Instrukcija) 5.1. apakšpunkta otrā teikuma otrajai daļai, t.i., anotācijas kopsavilkumu neaizpilda projektiem, kuru anotācijas I. sadaļas 2. punkts nepārsniedz divas lapaspuses.”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29E276C" w14:textId="57985B2D" w:rsidR="005868C6" w:rsidRPr="00982C0F" w:rsidRDefault="00982C0F"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Ņemts vērā</w:t>
            </w:r>
            <w:r w:rsidR="00654CA3">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shd w:val="clear" w:color="auto" w:fill="auto"/>
          </w:tcPr>
          <w:p w14:paraId="485B290F" w14:textId="47D7110B" w:rsidR="005868C6" w:rsidRPr="00982C0F" w:rsidRDefault="00654CA3" w:rsidP="002B15FE">
            <w:pPr>
              <w:spacing w:after="0" w:line="240" w:lineRule="auto"/>
              <w:jc w:val="both"/>
              <w:rPr>
                <w:rFonts w:ascii="Times New Roman" w:eastAsia="Times New Roman" w:hAnsi="Times New Roman" w:cs="Times New Roman"/>
                <w:lang w:eastAsia="lv-LV"/>
              </w:rPr>
            </w:pPr>
            <w:r w:rsidRPr="00654CA3">
              <w:rPr>
                <w:rFonts w:ascii="Times New Roman" w:eastAsia="Times New Roman" w:hAnsi="Times New Roman" w:cs="Times New Roman"/>
                <w:lang w:eastAsia="lv-LV"/>
              </w:rPr>
              <w:t xml:space="preserve">Atbilstoši jaunajai projekta redakcijai minētais iebildums vairs nav aktuāls. </w:t>
            </w:r>
          </w:p>
        </w:tc>
      </w:tr>
      <w:tr w:rsidR="005868C6" w:rsidRPr="003F66BD" w14:paraId="36871ED2"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E481EE1" w14:textId="77777777" w:rsidR="005868C6" w:rsidRPr="00982C0F" w:rsidRDefault="005868C6"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FD54B5E" w14:textId="53C604A6" w:rsidR="005868C6" w:rsidRPr="00982C0F" w:rsidRDefault="003F66BD" w:rsidP="003F66B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Likumprojekta anotācijas II. sadaļas 2.punkts  </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4B9AE24" w14:textId="77777777"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2.priekšlikums:</w:t>
            </w:r>
          </w:p>
          <w:p w14:paraId="34B946BE" w14:textId="50145A46"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lang w:eastAsia="lv-LV"/>
              </w:rPr>
              <w:t>“Aizpildīt projekta sākotnējās ietekmes novērtējuma ziņojuma II. sadaļas 2. punktu atbilstoši Instrukcijas 22. punktam, t.i., anotācijas II sadaļas 2. punktā jānorāda kāda būs projekta tiesiskā regulējuma ietekme uz tautsaimniecību</w:t>
            </w:r>
            <w:r w:rsidRPr="00982C0F">
              <w:rPr>
                <w:rFonts w:ascii="Times New Roman" w:eastAsia="Times New Roman" w:hAnsi="Times New Roman" w:cs="Times New Roman"/>
                <w:b/>
                <w:lang w:eastAsia="lv-LV"/>
              </w:rPr>
              <w:t xml:space="preserve"> </w:t>
            </w:r>
            <w:r w:rsidRPr="00982C0F">
              <w:rPr>
                <w:rFonts w:ascii="Times New Roman" w:eastAsia="Times New Roman" w:hAnsi="Times New Roman" w:cs="Times New Roman"/>
                <w:lang w:eastAsia="lv-LV"/>
              </w:rPr>
              <w:t xml:space="preserve">un sabiedrības mērķgrupām (īpaši norādot, kāda būs ietekme uz uzņēmējdarbības vidi un maziem, vidējiem uzņēmumiem, mikrouzņēmumiem un jaunuzņēmumiem, uz Nacionālā attīstības plāna rādītājiem </w:t>
            </w:r>
            <w:proofErr w:type="spellStart"/>
            <w:r w:rsidRPr="00982C0F">
              <w:rPr>
                <w:rFonts w:ascii="Times New Roman" w:eastAsia="Times New Roman" w:hAnsi="Times New Roman" w:cs="Times New Roman"/>
                <w:lang w:eastAsia="lv-LV"/>
              </w:rPr>
              <w:t>mikrolīmenī</w:t>
            </w:r>
            <w:proofErr w:type="spellEnd"/>
            <w:r w:rsidRPr="00982C0F">
              <w:rPr>
                <w:rFonts w:ascii="Times New Roman" w:eastAsia="Times New Roman" w:hAnsi="Times New Roman" w:cs="Times New Roman"/>
                <w:lang w:eastAsia="lv-LV"/>
              </w:rPr>
              <w:t xml:space="preserve"> vai </w:t>
            </w:r>
            <w:proofErr w:type="spellStart"/>
            <w:r w:rsidRPr="00982C0F">
              <w:rPr>
                <w:rFonts w:ascii="Times New Roman" w:eastAsia="Times New Roman" w:hAnsi="Times New Roman" w:cs="Times New Roman"/>
                <w:lang w:eastAsia="lv-LV"/>
              </w:rPr>
              <w:t>makrolīmenī</w:t>
            </w:r>
            <w:proofErr w:type="spellEnd"/>
            <w:r w:rsidRPr="00982C0F">
              <w:rPr>
                <w:rFonts w:ascii="Times New Roman" w:eastAsia="Times New Roman" w:hAnsi="Times New Roman" w:cs="Times New Roman"/>
                <w:lang w:eastAsia="lv-LV"/>
              </w:rPr>
              <w:t>, uz konkurenci, uz vidi, uz veselību un uz nevalstiskajām organizācijām) un projekta tiesiskā regulējuma paredzamo ietekmi uz administratīvo slogu.”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2DBA896" w14:textId="12476BF5" w:rsidR="005868C6" w:rsidRPr="00982C0F" w:rsidRDefault="003F66BD"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28675EDB" w14:textId="77777777" w:rsidR="005868C6" w:rsidRPr="00982C0F" w:rsidRDefault="003F66BD" w:rsidP="002B15FE">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Precizēta </w:t>
            </w:r>
            <w:r w:rsidRPr="00982C0F">
              <w:t xml:space="preserve"> </w:t>
            </w:r>
            <w:r w:rsidRPr="00982C0F">
              <w:rPr>
                <w:rFonts w:ascii="Times New Roman" w:eastAsia="Times New Roman" w:hAnsi="Times New Roman" w:cs="Times New Roman"/>
                <w:lang w:eastAsia="lv-LV"/>
              </w:rPr>
              <w:t>likumprojekta anotācijas II. sadaļas 2.punkts :</w:t>
            </w:r>
          </w:p>
          <w:p w14:paraId="7FDF59DB" w14:textId="0D88ECCC" w:rsidR="003F66BD" w:rsidRPr="00982C0F" w:rsidRDefault="003F66BD" w:rsidP="002B15FE">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w:t>
            </w:r>
            <w:r w:rsidR="00447672">
              <w:t xml:space="preserve"> </w:t>
            </w:r>
            <w:r w:rsidR="00654CA3" w:rsidRPr="00654CA3">
              <w:rPr>
                <w:rFonts w:ascii="Times New Roman" w:eastAsia="Times New Roman" w:hAnsi="Times New Roman" w:cs="Times New Roman"/>
                <w:lang w:eastAsia="lv-LV"/>
              </w:rPr>
              <w:t>Iesaistītajām institūcijām projekta tiesiskais regulējums nemaina tiesības un pienākumus, kā arī veicamās darbības, taču administratīvais slogs var palielināties personām, kurām būs pienākums kārtot nepieciešamās formalitātes saistībā ar ārvalstu karakuģu un valsts dienestu kuģu ienākšanu un uzturēšanos Latvijas teritoriālajos ūdeņos</w:t>
            </w:r>
            <w:r w:rsidR="00447672" w:rsidRPr="00447672">
              <w:rPr>
                <w:rFonts w:ascii="Times New Roman" w:eastAsia="Times New Roman" w:hAnsi="Times New Roman" w:cs="Times New Roman"/>
                <w:lang w:eastAsia="lv-LV"/>
              </w:rPr>
              <w:t>.</w:t>
            </w:r>
            <w:r w:rsidR="00447672">
              <w:rPr>
                <w:rFonts w:ascii="Times New Roman" w:eastAsia="Times New Roman" w:hAnsi="Times New Roman" w:cs="Times New Roman"/>
                <w:lang w:eastAsia="lv-LV"/>
              </w:rPr>
              <w:t>”</w:t>
            </w:r>
          </w:p>
        </w:tc>
      </w:tr>
      <w:tr w:rsidR="005868C6" w:rsidRPr="00635090" w14:paraId="1766094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65A0658" w14:textId="77777777" w:rsidR="005868C6" w:rsidRPr="00982C0F" w:rsidRDefault="005868C6"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6B21291" w14:textId="0C6BC86A" w:rsidR="005868C6" w:rsidRPr="00982C0F" w:rsidRDefault="005A3951" w:rsidP="002B15FE">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anotācijas</w:t>
            </w:r>
            <w:r w:rsidRPr="00982C0F">
              <w:t xml:space="preserve"> </w:t>
            </w:r>
            <w:r w:rsidRPr="00982C0F">
              <w:rPr>
                <w:rFonts w:ascii="Times New Roman" w:eastAsia="Times New Roman" w:hAnsi="Times New Roman" w:cs="Times New Roman"/>
                <w:lang w:eastAsia="lv-LV"/>
              </w:rPr>
              <w:t>VI. sadaļas 2.punkts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7D6FE69" w14:textId="77777777"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Iekšlietu ministrijas 30.07.2020. 3.priekšlikums:</w:t>
            </w:r>
          </w:p>
          <w:p w14:paraId="587F3225" w14:textId="5E3E630A" w:rsidR="005868C6" w:rsidRPr="00982C0F" w:rsidRDefault="005868C6" w:rsidP="00AE72AB">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“Precizēt projekta sākotnējās ietekmes novērtējuma ziņojuma VI. sadaļas 2.punktu atbilstoši instrukcijas 61.3.apakšpunktam, t.i., anotācijas </w:t>
            </w:r>
            <w:proofErr w:type="spellStart"/>
            <w:r w:rsidRPr="00982C0F">
              <w:rPr>
                <w:rFonts w:ascii="Times New Roman" w:eastAsia="Times New Roman" w:hAnsi="Times New Roman" w:cs="Times New Roman"/>
                <w:lang w:eastAsia="lv-LV"/>
              </w:rPr>
              <w:t>VI.sadaļas</w:t>
            </w:r>
            <w:proofErr w:type="spellEnd"/>
            <w:r w:rsidRPr="00982C0F">
              <w:rPr>
                <w:rFonts w:ascii="Times New Roman" w:eastAsia="Times New Roman" w:hAnsi="Times New Roman" w:cs="Times New Roman"/>
                <w:lang w:eastAsia="lv-LV"/>
              </w:rPr>
              <w:t xml:space="preserve"> 2.punktā norāda projekta publicēšanas datumu institūcijas tīmekļvietnē, kā arī tīmekļvietnes adresi.”</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22B39DBE" w14:textId="4A0E2BB9" w:rsidR="005868C6" w:rsidRPr="00982C0F" w:rsidRDefault="005A3951"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1CAA12BE" w14:textId="77777777" w:rsidR="005868C6" w:rsidRPr="00982C0F" w:rsidRDefault="005A3951" w:rsidP="002B15FE">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Papildināts </w:t>
            </w:r>
            <w:r w:rsidRPr="00982C0F">
              <w:t xml:space="preserve"> </w:t>
            </w:r>
            <w:r w:rsidRPr="00982C0F">
              <w:rPr>
                <w:rFonts w:ascii="Times New Roman" w:eastAsia="Times New Roman" w:hAnsi="Times New Roman" w:cs="Times New Roman"/>
                <w:lang w:eastAsia="lv-LV"/>
              </w:rPr>
              <w:t>likumprojekta anotācijas VI. sadaļas 2.punkts ar sekojošu tekstu:</w:t>
            </w:r>
          </w:p>
          <w:p w14:paraId="5FB755DE" w14:textId="1827CBCF" w:rsidR="005A3951" w:rsidRPr="00982C0F" w:rsidRDefault="005A3951" w:rsidP="002B15FE">
            <w:pPr>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“Likumprojekts tika publicēts Aizsardzības ministrijas mājaslapas sadaļā “Sabiedriskās un publiskās apspriešanas” 2020. gada 25. jūnijā https://www.mod.gov.lv/lv/nozares-politika/sabiedribas-lidzdaliba/sabiedriskas-un-publiskas-apspriesanas”</w:t>
            </w:r>
          </w:p>
        </w:tc>
      </w:tr>
      <w:tr w:rsidR="005868C6" w:rsidRPr="00635090" w14:paraId="621C82F3"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043F28C" w14:textId="77777777" w:rsidR="005868C6" w:rsidRPr="00982C0F" w:rsidRDefault="005868C6"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E149EE6" w14:textId="77777777" w:rsidR="005A3951" w:rsidRPr="00982C0F" w:rsidRDefault="005A3951" w:rsidP="005A3951">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1.pants:</w:t>
            </w:r>
          </w:p>
          <w:p w14:paraId="2820C64E" w14:textId="77777777" w:rsidR="005A3951" w:rsidRPr="00982C0F" w:rsidRDefault="005A3951" w:rsidP="005A3951">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“12) ārvalsts valsts dienesta kuģis – kuģis, kuru izmanto valsts dienesti vai kuru izmanto nekomerciālu valsts </w:t>
            </w:r>
            <w:r w:rsidRPr="00982C0F">
              <w:rPr>
                <w:rFonts w:ascii="Times New Roman" w:eastAsia="Times New Roman" w:hAnsi="Times New Roman" w:cs="Times New Roman"/>
                <w:lang w:eastAsia="lv-LV"/>
              </w:rPr>
              <w:lastRenderedPageBreak/>
              <w:t>dienesta uzdevumu veikšanai;</w:t>
            </w:r>
          </w:p>
          <w:p w14:paraId="59BCD4A7" w14:textId="0C6475C8" w:rsidR="005868C6" w:rsidRPr="00982C0F" w:rsidRDefault="005A3951" w:rsidP="005A3951">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 13) ārvalsts karakuģis – kuģis, kas pieder kādas ārvalsts bruņotajiem spēkiem un atbilst Apvienoto Nāciju Organizācijas 1982.gada Jūras tiesību konvencijā noteiktajām karakuģa pazīmēm.”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F2A2A0D" w14:textId="77777777" w:rsidR="005868C6" w:rsidRPr="00982C0F" w:rsidRDefault="005868C6"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lastRenderedPageBreak/>
              <w:t>Satiksmes ministrijas 31.07. 1.iebildums:</w:t>
            </w:r>
          </w:p>
          <w:p w14:paraId="504666BC" w14:textId="06B0305C"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“Projekta 1. pants paredz papildināt Latvijas Republikas valsts robežas likuma (turpmāk – likums) 1. pantu ar 12. punktu šādā redakcijā: “ārvalsts valsts dienesta kuģis – kuģis, kuru izmanto valsts dienesti vai kuru izmanto </w:t>
            </w:r>
            <w:r w:rsidRPr="00982C0F">
              <w:rPr>
                <w:rFonts w:ascii="Times New Roman" w:eastAsia="Times New Roman" w:hAnsi="Times New Roman" w:cs="Times New Roman"/>
                <w:lang w:eastAsia="lv-LV"/>
              </w:rPr>
              <w:lastRenderedPageBreak/>
              <w:t xml:space="preserve">nekomerciālu valsts dienesta uzdevumu veikšanai”. </w:t>
            </w:r>
          </w:p>
          <w:p w14:paraId="37E0170F" w14:textId="77777777" w:rsidR="005868C6" w:rsidRPr="00982C0F" w:rsidRDefault="005868C6" w:rsidP="005868C6">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ab/>
              <w:t>Vēršam uzmanību, ka, pirmkārt, punkts nav saskaņots ar Jūras kodeksa 8. pantu, kā arī projekta anotācijas I sadaļas 2. punktu, no kuriem izriet, ka valsts dienesta kuģis ir kuģis, kurš paredzēts valsts dienestu funkciju (valsts robežas apsardzība, vides aizsardzība, avāriju novēršana u.c.) veikšanai. Otrkārt, punktā ietvertais termins nav saskaņots ar</w:t>
            </w:r>
            <w:r w:rsidRPr="00982C0F">
              <w:rPr>
                <w:rFonts w:ascii="Times New Roman" w:eastAsia="Times New Roman" w:hAnsi="Times New Roman" w:cs="Times New Roman"/>
                <w:b/>
                <w:lang w:eastAsia="lv-LV"/>
              </w:rPr>
              <w:t xml:space="preserve"> </w:t>
            </w:r>
            <w:r w:rsidRPr="00982C0F">
              <w:rPr>
                <w:rFonts w:ascii="Times New Roman" w:eastAsia="Times New Roman" w:hAnsi="Times New Roman" w:cs="Times New Roman"/>
                <w:lang w:eastAsia="lv-LV"/>
              </w:rPr>
              <w:t xml:space="preserve">punktā ietverto šī termina skaidrojumu, proti, termins aptver ārvalstu valsts dienesta kuģus, bet skaidrojums aptver visus valsts dienesta kuģus. </w:t>
            </w:r>
          </w:p>
          <w:p w14:paraId="3C36E4CF" w14:textId="2AE16F58" w:rsidR="005868C6" w:rsidRPr="00982C0F" w:rsidRDefault="005868C6" w:rsidP="005868C6">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lang w:eastAsia="lv-LV"/>
              </w:rPr>
              <w:tab/>
              <w:t>Lūdzam atbilstoši precizēt projekta 1. pantā ietverto likuma 1. panta 12. punktu, piemēram, izteikt to šādā redakcijā: “valsts dienesta kuģis – kuģis, kurš paredzēts valsts dienestu funkciju (valsts robežas apsardzība, vides aizsardzība, avāriju novēršana u.c.) veikšanai”.”</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532D592" w14:textId="23017B79" w:rsidR="005868C6" w:rsidRPr="00982C0F" w:rsidRDefault="00661A47" w:rsidP="00BF34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8800C6">
              <w:rPr>
                <w:rFonts w:ascii="Times New Roman" w:eastAsia="Times New Roman" w:hAnsi="Times New Roman" w:cs="Times New Roman"/>
                <w:lang w:eastAsia="lv-LV"/>
              </w:rPr>
              <w:t xml:space="preserve"> starpministriju sanāksmē.</w:t>
            </w:r>
          </w:p>
          <w:p w14:paraId="20F4A062" w14:textId="0D69E36E" w:rsidR="005A3951" w:rsidRPr="00982C0F" w:rsidRDefault="005A3951" w:rsidP="00BF345D">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shd w:val="clear" w:color="auto" w:fill="auto"/>
          </w:tcPr>
          <w:p w14:paraId="63B99881" w14:textId="4B01E006" w:rsidR="005868C6" w:rsidRPr="00982C0F" w:rsidRDefault="009C0B18" w:rsidP="00654CA3">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5868C6" w:rsidRPr="00635090" w14:paraId="5FC4CE4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21C8665" w14:textId="77777777" w:rsidR="005868C6" w:rsidRPr="00982C0F" w:rsidRDefault="005868C6"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5795677" w14:textId="77777777" w:rsidR="00E77655" w:rsidRPr="00982C0F" w:rsidRDefault="00E77655" w:rsidP="00E77655">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Likumprojekta 1.pants:</w:t>
            </w:r>
          </w:p>
          <w:p w14:paraId="0AF6DA31" w14:textId="77777777" w:rsidR="00E77655" w:rsidRPr="00982C0F" w:rsidRDefault="00E77655" w:rsidP="00E77655">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“12) ārvalsts valsts dienesta kuģis – kuģis, kuru izmanto valsts dienesti vai kuru izmanto nekomerciālu valsts dienesta uzdevumu veikšanai;</w:t>
            </w:r>
          </w:p>
          <w:p w14:paraId="0B5CB15A" w14:textId="3B1D3DCD" w:rsidR="005868C6" w:rsidRPr="00982C0F" w:rsidRDefault="00E77655" w:rsidP="00E77655">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 13) ārvalsts karakuģis – kuģis, kas pieder kādas ārvalsts bruņotajiem spēkiem un atbilst Apvienoto Nāciju </w:t>
            </w:r>
            <w:r w:rsidRPr="00982C0F">
              <w:rPr>
                <w:rFonts w:ascii="Times New Roman" w:eastAsia="Times New Roman" w:hAnsi="Times New Roman" w:cs="Times New Roman"/>
                <w:lang w:eastAsia="lv-LV"/>
              </w:rPr>
              <w:lastRenderedPageBreak/>
              <w:t>Organizācijas 1982.gada Jūras tiesību konvencijā noteiktajām karakuģa pazīmēm.”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E5F0666" w14:textId="77777777" w:rsidR="005868C6" w:rsidRPr="00982C0F" w:rsidRDefault="00E77655" w:rsidP="00AE72AB">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lastRenderedPageBreak/>
              <w:t>Satiksmes ministrijas 31.07. 2.iebildums:</w:t>
            </w:r>
          </w:p>
          <w:p w14:paraId="0F1FAFBD" w14:textId="284145CF" w:rsidR="00E77655" w:rsidRPr="00982C0F" w:rsidRDefault="00E77655" w:rsidP="00E77655">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“Projekta 1. pants paredz papildināt likuma 1. pantu ar 13. punktu šādā redakcijā: “ārvalsts karakuģis – kuģis, kas pieder kādas ārvalsts bruņotajiem spēkiem un atbilst Apvienoto Nāciju Organizācijas 1982.gada Jūras tiesību konvencijā noteiktajām karakuģa pazīmēm”. Vēršam uzmanību, ka pazīme “kuģis, kas pieder kādas ārvalsts bruņotajiem spēkiem” arī ir “Apvienoto Nāciju Organizācijas 1982.gada Jūras tiesību konvencijā noteikta karakuģa pazīme”. </w:t>
            </w:r>
          </w:p>
          <w:p w14:paraId="7E0C894E" w14:textId="4114AFEC" w:rsidR="00E77655" w:rsidRPr="00982C0F" w:rsidRDefault="00E77655" w:rsidP="00E77655">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lang w:eastAsia="lv-LV"/>
              </w:rPr>
              <w:t xml:space="preserve">Ievērojot minēto, lūdzam atbilstoši precizēt projekta 1. pantā ietverto likuma 1. panta 13. </w:t>
            </w:r>
            <w:r w:rsidRPr="00982C0F">
              <w:rPr>
                <w:rFonts w:ascii="Times New Roman" w:eastAsia="Times New Roman" w:hAnsi="Times New Roman" w:cs="Times New Roman"/>
                <w:lang w:eastAsia="lv-LV"/>
              </w:rPr>
              <w:lastRenderedPageBreak/>
              <w:t>punktu, piemēram, izteikt to šādā redakcijā: “karakuģis – karakuģis, kā tas definēts Apvienoto Nāciju Organizācijas 1982. gada Jūras tiesību konvencijas 29. pantā”.”</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1FC7DB5" w14:textId="164B68E1" w:rsidR="005868C6" w:rsidRPr="00982C0F" w:rsidRDefault="00447672" w:rsidP="00BF34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8800C6">
              <w:rPr>
                <w:rFonts w:ascii="Times New Roman" w:eastAsia="Times New Roman" w:hAnsi="Times New Roman" w:cs="Times New Roman"/>
                <w:lang w:eastAsia="lv-LV"/>
              </w:rPr>
              <w:t>starpministriju sanāksmē.</w:t>
            </w:r>
          </w:p>
        </w:tc>
        <w:tc>
          <w:tcPr>
            <w:tcW w:w="3402" w:type="dxa"/>
            <w:tcBorders>
              <w:top w:val="single" w:sz="4" w:space="0" w:color="auto"/>
              <w:left w:val="single" w:sz="4" w:space="0" w:color="auto"/>
              <w:bottom w:val="single" w:sz="4" w:space="0" w:color="auto"/>
            </w:tcBorders>
            <w:shd w:val="clear" w:color="auto" w:fill="auto"/>
          </w:tcPr>
          <w:p w14:paraId="0E6F52B6" w14:textId="403BBBCC" w:rsidR="005868C6" w:rsidRPr="00982C0F" w:rsidRDefault="009C0B18" w:rsidP="00654CA3">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181D09" w:rsidRPr="00635090" w14:paraId="18C64A9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D48804A" w14:textId="77777777" w:rsidR="00181D09" w:rsidRPr="00982C0F" w:rsidRDefault="00181D09"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26552AB" w14:textId="77777777" w:rsidR="00181D09" w:rsidRPr="00181D09" w:rsidRDefault="00181D09"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181D09">
              <w:rPr>
                <w:rFonts w:ascii="Times New Roman" w:eastAsia="Times New Roman" w:hAnsi="Times New Roman" w:cs="Times New Roman"/>
                <w:lang w:eastAsia="lv-LV"/>
              </w:rPr>
              <w:t xml:space="preserve">ikumprojekta anotācija </w:t>
            </w:r>
            <w:r>
              <w:rPr>
                <w:rFonts w:ascii="Times New Roman" w:eastAsia="Times New Roman" w:hAnsi="Times New Roman" w:cs="Times New Roman"/>
                <w:lang w:eastAsia="lv-LV"/>
              </w:rPr>
              <w:t>un l</w:t>
            </w:r>
            <w:r w:rsidRPr="00181D09">
              <w:rPr>
                <w:rFonts w:ascii="Times New Roman" w:eastAsia="Times New Roman" w:hAnsi="Times New Roman" w:cs="Times New Roman"/>
                <w:lang w:eastAsia="lv-LV"/>
              </w:rPr>
              <w:t>ikumprojekta 2. pants</w:t>
            </w:r>
            <w:r>
              <w:rPr>
                <w:rFonts w:ascii="Times New Roman" w:eastAsia="Times New Roman" w:hAnsi="Times New Roman" w:cs="Times New Roman"/>
                <w:lang w:eastAsia="lv-LV"/>
              </w:rPr>
              <w:t>:</w:t>
            </w:r>
            <w:r w:rsidRPr="00181D09">
              <w:rPr>
                <w:rFonts w:ascii="Times New Roman" w:eastAsia="Times New Roman" w:hAnsi="Times New Roman" w:cs="Times New Roman"/>
                <w:lang w:eastAsia="lv-LV"/>
              </w:rPr>
              <w:t xml:space="preserve"> </w:t>
            </w:r>
          </w:p>
          <w:p w14:paraId="542134C0" w14:textId="77777777" w:rsidR="00181D09" w:rsidRPr="00181D09" w:rsidRDefault="00181D09" w:rsidP="00181D09">
            <w:pPr>
              <w:spacing w:after="0" w:line="240" w:lineRule="auto"/>
              <w:contextualSpacing/>
              <w:jc w:val="both"/>
              <w:rPr>
                <w:rFonts w:ascii="Times New Roman" w:eastAsia="Times New Roman" w:hAnsi="Times New Roman" w:cs="Arial Unicode MS"/>
                <w:color w:val="000000" w:themeColor="text1"/>
                <w:lang w:bidi="lo-LA"/>
              </w:rPr>
            </w:pPr>
            <w:r>
              <w:rPr>
                <w:rFonts w:ascii="Times New Roman" w:eastAsia="Times New Roman" w:hAnsi="Times New Roman" w:cs="Arial Unicode MS"/>
                <w:bCs/>
                <w:lang w:bidi="lo-LA"/>
              </w:rPr>
              <w:t>“</w:t>
            </w:r>
            <w:r w:rsidRPr="00181D09">
              <w:rPr>
                <w:rFonts w:ascii="Times New Roman" w:eastAsia="Times New Roman" w:hAnsi="Times New Roman" w:cs="Arial Unicode MS"/>
                <w:bCs/>
                <w:lang w:bidi="lo-LA"/>
              </w:rPr>
              <w:t xml:space="preserve">2. Papildināt 11. pantu ar trešo </w:t>
            </w:r>
            <w:proofErr w:type="spellStart"/>
            <w:r w:rsidRPr="00181D09">
              <w:rPr>
                <w:rFonts w:ascii="Times New Roman" w:eastAsia="Times New Roman" w:hAnsi="Times New Roman" w:cs="Arial Unicode MS"/>
                <w:bCs/>
                <w:lang w:bidi="lo-LA"/>
              </w:rPr>
              <w:t>prim</w:t>
            </w:r>
            <w:proofErr w:type="spellEnd"/>
            <w:r w:rsidRPr="00181D09">
              <w:rPr>
                <w:rFonts w:ascii="Times New Roman" w:eastAsia="Times New Roman" w:hAnsi="Times New Roman" w:cs="Arial Unicode MS"/>
                <w:bCs/>
                <w:lang w:bidi="lo-LA"/>
              </w:rPr>
              <w:t xml:space="preserve">  daļu šādā redakcijā</w:t>
            </w:r>
            <w:r w:rsidRPr="00181D09">
              <w:rPr>
                <w:rFonts w:ascii="Times New Roman" w:eastAsia="Times New Roman" w:hAnsi="Times New Roman" w:cs="Arial Unicode MS"/>
                <w:color w:val="000000" w:themeColor="text1"/>
                <w:lang w:bidi="lo-LA"/>
              </w:rPr>
              <w:t>:</w:t>
            </w:r>
          </w:p>
          <w:p w14:paraId="18F1804B" w14:textId="77777777" w:rsidR="00181D09" w:rsidRPr="00181D09" w:rsidRDefault="00181D09" w:rsidP="00181D09">
            <w:pPr>
              <w:spacing w:before="100" w:beforeAutospacing="1" w:after="100" w:afterAutospacing="1" w:line="240" w:lineRule="auto"/>
              <w:jc w:val="both"/>
              <w:rPr>
                <w:rFonts w:ascii="Times New Roman" w:eastAsia="Times New Roman" w:hAnsi="Times New Roman" w:cs="Times New Roman"/>
                <w:lang w:eastAsia="lv-LV"/>
              </w:rPr>
            </w:pPr>
            <w:r w:rsidRPr="00181D09">
              <w:rPr>
                <w:rFonts w:ascii="Times New Roman" w:eastAsia="Times New Roman" w:hAnsi="Times New Roman" w:cs="Times New Roman"/>
                <w:lang w:eastAsia="lv-LV"/>
              </w:rPr>
              <w:t xml:space="preserve"> “(3</w:t>
            </w:r>
            <w:r w:rsidRPr="00181D09">
              <w:rPr>
                <w:rFonts w:ascii="Times New Roman" w:eastAsia="Times New Roman" w:hAnsi="Times New Roman" w:cs="Times New Roman"/>
                <w:vertAlign w:val="superscript"/>
                <w:lang w:eastAsia="lv-LV"/>
              </w:rPr>
              <w:t>1</w:t>
            </w:r>
            <w:r w:rsidRPr="00181D09">
              <w:rPr>
                <w:rFonts w:ascii="Times New Roman" w:eastAsia="Times New Roman" w:hAnsi="Times New Roman" w:cs="Times New Roman"/>
                <w:lang w:eastAsia="lv-LV"/>
              </w:rPr>
              <w:t>) Kārtību, kādā ārvalstu valsts dienesta kuģi ienāk un uzturas teritoriālajā jūrā, iekšējos ūdeņos un ostās, kā arī iziet no teritoriālās jūras, iekšējiem ūdeņiem un ostām, nosaka Ministru kabinets.”</w:t>
            </w:r>
            <w:r>
              <w:rPr>
                <w:rFonts w:ascii="Times New Roman" w:eastAsia="Times New Roman" w:hAnsi="Times New Roman" w:cs="Times New Roman"/>
                <w:lang w:eastAsia="lv-LV"/>
              </w:rPr>
              <w:t>”</w:t>
            </w:r>
          </w:p>
          <w:p w14:paraId="216E6C3A" w14:textId="1CE82F25" w:rsidR="00181D09" w:rsidRPr="00982C0F" w:rsidRDefault="00181D09" w:rsidP="00181D09">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994C2C6" w14:textId="77777777" w:rsidR="00181D09" w:rsidRPr="00982C0F" w:rsidRDefault="00181D09" w:rsidP="00181D09">
            <w:pPr>
              <w:widowControl w:val="0"/>
              <w:spacing w:after="0" w:line="240" w:lineRule="auto"/>
              <w:jc w:val="both"/>
              <w:rPr>
                <w:rFonts w:ascii="Times New Roman" w:eastAsia="Times New Roman" w:hAnsi="Times New Roman" w:cs="Times New Roman"/>
                <w:b/>
                <w:lang w:eastAsia="lv-LV"/>
              </w:rPr>
            </w:pPr>
            <w:r w:rsidRPr="00982C0F">
              <w:rPr>
                <w:rFonts w:ascii="Times New Roman" w:eastAsia="Times New Roman" w:hAnsi="Times New Roman" w:cs="Times New Roman"/>
                <w:b/>
                <w:lang w:eastAsia="lv-LV"/>
              </w:rPr>
              <w:t>Satiksmes ministrijas 31.07. priekšlikums:</w:t>
            </w:r>
          </w:p>
          <w:p w14:paraId="74BAF801" w14:textId="1F8FB241" w:rsidR="00181D09" w:rsidRPr="00982C0F" w:rsidRDefault="00181D09" w:rsidP="00181D09">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 xml:space="preserve">“Projekta 2. pants paredz papildināt likuma 11. pantu ar trešo </w:t>
            </w:r>
            <w:proofErr w:type="spellStart"/>
            <w:r w:rsidRPr="00982C0F">
              <w:rPr>
                <w:rFonts w:ascii="Times New Roman" w:eastAsia="Times New Roman" w:hAnsi="Times New Roman" w:cs="Times New Roman"/>
                <w:lang w:eastAsia="lv-LV"/>
              </w:rPr>
              <w:t>prim</w:t>
            </w:r>
            <w:proofErr w:type="spellEnd"/>
            <w:r w:rsidRPr="00982C0F">
              <w:rPr>
                <w:rFonts w:ascii="Times New Roman" w:eastAsia="Times New Roman" w:hAnsi="Times New Roman" w:cs="Times New Roman"/>
                <w:lang w:eastAsia="lv-LV"/>
              </w:rPr>
              <w:t xml:space="preserve"> daļu – pilnvarojumu Ministru kabinetam noteikt kārtību, kādā ārvalstu valsts dienesta kuģi ienāk un uzturas teritoriālajā jūrā, iekšējos ūdeņos un ostās, kā</w:t>
            </w:r>
            <w:r w:rsidRPr="00982C0F">
              <w:rPr>
                <w:rFonts w:ascii="Times New Roman" w:eastAsia="Times New Roman" w:hAnsi="Times New Roman" w:cs="Times New Roman"/>
                <w:b/>
                <w:lang w:eastAsia="lv-LV"/>
              </w:rPr>
              <w:t xml:space="preserve"> </w:t>
            </w:r>
            <w:r w:rsidRPr="00982C0F">
              <w:rPr>
                <w:rFonts w:ascii="Times New Roman" w:eastAsia="Times New Roman" w:hAnsi="Times New Roman" w:cs="Times New Roman"/>
                <w:lang w:eastAsia="lv-LV"/>
              </w:rPr>
              <w:t xml:space="preserve">arī iziet no teritoriālās jūras, iekšējiem ūdeņiem un ostām. </w:t>
            </w:r>
          </w:p>
          <w:p w14:paraId="43C93AAB" w14:textId="77777777" w:rsidR="00181D09" w:rsidRPr="00982C0F" w:rsidRDefault="00181D09" w:rsidP="00181D09">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ab/>
              <w:t xml:space="preserve">Vēršam uzmanību, ka likuma 11. panta trešajā daļā jau ir ietverts identisks pilnvarojums attiecībā uz ārvalstu karakuģiem un, pamatojoties uz šo deleģējumu, ir izdoti Ministru kabineta 2016. gada 23. februāra noteikumi Nr. 108 “Kārtība, kādā ārvalstu karakuģi ienāk un uzturas Latvijas Republikas teritoriālajā jūrā, iekšējos ūdeņos un ostās un iziet no tām” (turpmāk – MK noteikumi Nr.108). </w:t>
            </w:r>
          </w:p>
          <w:p w14:paraId="6AE45111" w14:textId="77777777" w:rsidR="00181D09" w:rsidRDefault="00181D09" w:rsidP="00181D09">
            <w:pPr>
              <w:widowControl w:val="0"/>
              <w:spacing w:after="0" w:line="240" w:lineRule="auto"/>
              <w:jc w:val="both"/>
              <w:rPr>
                <w:rFonts w:ascii="Times New Roman" w:eastAsia="Times New Roman" w:hAnsi="Times New Roman" w:cs="Times New Roman"/>
                <w:lang w:eastAsia="lv-LV"/>
              </w:rPr>
            </w:pPr>
            <w:r w:rsidRPr="00982C0F">
              <w:rPr>
                <w:rFonts w:ascii="Times New Roman" w:eastAsia="Times New Roman" w:hAnsi="Times New Roman" w:cs="Times New Roman"/>
                <w:lang w:eastAsia="lv-LV"/>
              </w:rPr>
              <w:tab/>
              <w:t xml:space="preserve">Ievērojot to, ka no Apvienoto Nāciju Organizācijas 1982. gada Jūras tiesību konvencijas II daļas 3. nodaļas C apakšnodaļas, kā arī no Ministru kabineta 2012.gada 15. maija noteikumiem Nr. 339 “Noteikumi par ostu formalitātēm” izriet, ka karakuģi un valsts dienesta kuģi nav divas dažādas lietas, bet karakuģi ir viens no valsts dienesta kuģu paveidiem, lūdzam atkārtoti izvērtēt un nepieciešamības gadījumā precizēt projekta 2.pantu, kā arī projekta anotācijas IV. sadaļu, skaidrojot, vai tiks grozīti MK noteikumi Nr.108 vai izdoti jauni Ministru </w:t>
            </w:r>
            <w:r w:rsidRPr="00982C0F">
              <w:rPr>
                <w:rFonts w:ascii="Times New Roman" w:eastAsia="Times New Roman" w:hAnsi="Times New Roman" w:cs="Times New Roman"/>
                <w:lang w:eastAsia="lv-LV"/>
              </w:rPr>
              <w:lastRenderedPageBreak/>
              <w:t>kabineta noteikumi.”</w:t>
            </w:r>
          </w:p>
          <w:p w14:paraId="243AC2A4" w14:textId="5EB89977" w:rsidR="00C57DDB" w:rsidRPr="00982C0F" w:rsidRDefault="00C57DDB" w:rsidP="00181D09">
            <w:pPr>
              <w:widowControl w:val="0"/>
              <w:spacing w:after="0" w:line="240" w:lineRule="auto"/>
              <w:jc w:val="both"/>
              <w:rPr>
                <w:rFonts w:ascii="Times New Roman" w:eastAsia="Times New Roman" w:hAnsi="Times New Roman" w:cs="Times New Roman"/>
                <w:b/>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7D49D1AF" w14:textId="728087E1" w:rsidR="00181D09" w:rsidRPr="00982C0F" w:rsidRDefault="00181D09" w:rsidP="00181D09">
            <w:pPr>
              <w:spacing w:after="0" w:line="240" w:lineRule="auto"/>
              <w:rPr>
                <w:rFonts w:ascii="Times New Roman" w:eastAsia="Times New Roman" w:hAnsi="Times New Roman" w:cs="Times New Roman"/>
                <w:lang w:eastAsia="lv-LV"/>
              </w:rPr>
            </w:pPr>
            <w:r w:rsidRPr="00982C0F">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13FE2B0D" w14:textId="5E4742D2" w:rsidR="00181D09" w:rsidRPr="00982C0F" w:rsidRDefault="00181D09" w:rsidP="00181D09">
            <w:pPr>
              <w:spacing w:after="0" w:line="240" w:lineRule="auto"/>
              <w:jc w:val="both"/>
            </w:pPr>
            <w:r w:rsidRPr="00982C0F">
              <w:rPr>
                <w:rFonts w:ascii="Times New Roman" w:eastAsia="Times New Roman" w:hAnsi="Times New Roman" w:cs="Times New Roman"/>
                <w:lang w:eastAsia="lv-LV"/>
              </w:rPr>
              <w:t xml:space="preserve">Likumprojekta anotācijas </w:t>
            </w:r>
            <w:r w:rsidRPr="00982C0F">
              <w:rPr>
                <w:rFonts w:ascii="Times New Roman" w:hAnsi="Times New Roman" w:cs="Times New Roman"/>
              </w:rPr>
              <w:t xml:space="preserve"> I. sadaļas 2. </w:t>
            </w:r>
            <w:r w:rsidRPr="00447672">
              <w:rPr>
                <w:rFonts w:ascii="Times New Roman" w:hAnsi="Times New Roman" w:cs="Times New Roman"/>
              </w:rPr>
              <w:t xml:space="preserve">punkts un </w:t>
            </w:r>
            <w:r w:rsidRPr="00447672">
              <w:rPr>
                <w:rFonts w:ascii="Times New Roman" w:eastAsia="Times New Roman" w:hAnsi="Times New Roman" w:cs="Times New Roman"/>
                <w:lang w:eastAsia="lv-LV"/>
              </w:rPr>
              <w:t xml:space="preserve">IV. sadaļas 1. punkts precizēts, uzsverot, ka  </w:t>
            </w:r>
            <w:r w:rsidR="00E44787">
              <w:rPr>
                <w:rFonts w:ascii="Times New Roman" w:eastAsia="Times New Roman" w:hAnsi="Times New Roman" w:cs="Times New Roman"/>
                <w:lang w:eastAsia="lv-LV"/>
              </w:rPr>
              <w:t>ne vēlāk kā</w:t>
            </w:r>
            <w:r w:rsidR="00447672" w:rsidRPr="00447672">
              <w:rPr>
                <w:rFonts w:ascii="Times New Roman" w:hAnsi="Times New Roman" w:cs="Times New Roman"/>
              </w:rPr>
              <w:t xml:space="preserve"> līdz 2022. gada 1. janvārim </w:t>
            </w:r>
            <w:r w:rsidRPr="00447672">
              <w:rPr>
                <w:rFonts w:ascii="Times New Roman" w:hAnsi="Times New Roman" w:cs="Times New Roman"/>
              </w:rPr>
              <w:t xml:space="preserve">Ministru kabinets </w:t>
            </w:r>
            <w:r w:rsidR="00E44787">
              <w:t xml:space="preserve"> </w:t>
            </w:r>
            <w:r w:rsidR="00E44787" w:rsidRPr="00E44787">
              <w:rPr>
                <w:rFonts w:ascii="Times New Roman" w:hAnsi="Times New Roman" w:cs="Times New Roman"/>
              </w:rPr>
              <w:t>izdos Ministru kabineta noteikumus par kārtību, kādā ārvalstu karakuģi un citi ārvalstu valsts dienestu kuģi ienāk un uzturas Latvijas Republikas teritoriālajā jūrā, iekšējos ūdeņos un ostās un iziet no tām (virzītājs – Aizsardzības ministrija).</w:t>
            </w:r>
          </w:p>
        </w:tc>
      </w:tr>
      <w:tr w:rsidR="00D437DF" w:rsidRPr="00635090" w14:paraId="25FCCF7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0965E1F" w14:textId="77777777" w:rsidR="00D437DF" w:rsidRPr="00982C0F" w:rsidRDefault="00D437DF"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74AB340" w14:textId="117D46EE" w:rsidR="00420A33" w:rsidRPr="00420A33" w:rsidRDefault="00420A33" w:rsidP="00420A3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420A33">
              <w:rPr>
                <w:rFonts w:ascii="Times New Roman" w:eastAsia="Times New Roman" w:hAnsi="Times New Roman" w:cs="Times New Roman"/>
                <w:lang w:eastAsia="lv-LV"/>
              </w:rPr>
              <w:t>1.panta redakcija :</w:t>
            </w:r>
          </w:p>
          <w:p w14:paraId="43A59C7C" w14:textId="77CB656E" w:rsidR="00D437DF" w:rsidRDefault="00420A33" w:rsidP="00420A33">
            <w:pPr>
              <w:spacing w:after="0" w:line="240" w:lineRule="auto"/>
              <w:rPr>
                <w:rFonts w:ascii="Times New Roman" w:eastAsia="Times New Roman" w:hAnsi="Times New Roman" w:cs="Times New Roman"/>
                <w:lang w:eastAsia="lv-LV"/>
              </w:rPr>
            </w:pPr>
            <w:r w:rsidRPr="00420A33">
              <w:rPr>
                <w:rFonts w:ascii="Times New Roman" w:eastAsia="Times New Roman" w:hAnsi="Times New Roman" w:cs="Times New Roman"/>
                <w:lang w:eastAsia="lv-LV"/>
              </w:rPr>
              <w:t>“12) valsts dienesta kuģis –   valsts dienesta kuģis –  nekomerciālā (valsts) dienestā nodarbināts kuģis;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16618A5" w14:textId="77777777" w:rsidR="00D437DF" w:rsidRDefault="008322A6"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Ārlietu ministrijas 13.10.2020. priekšlikums:</w:t>
            </w:r>
          </w:p>
          <w:p w14:paraId="437116FD" w14:textId="78F7BB61" w:rsidR="008322A6" w:rsidRPr="008322A6" w:rsidRDefault="008322A6" w:rsidP="00181D09">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 xml:space="preserve">Ievērojot to, ka Likumprojektā plānots iekļaut atsauci uz Apvienoto Nāciju Organizācijas 1982.gada 10.decembra Jūras tiesību konvencijā (turpmāk - UNCLOS) sniegto karakuģa definīciju, aicinām ievērot konsekvenci un arī valsts dienesta kuģus definēt, izmantojot starptautiskajās jūras tiesībās atzīto šī kuģu kategorijas raksturojumu. Lai gan UNCLOS “C” apakšnodaļa, kas paredz noteikumus, kurus piemēro karakuģiem un citiem valsts kuģiem, kurus izmanto nekomerciālos nolūkos, nesatur valsts dienesta kuģa definīciju, tā ir sistēmiski izsecināma no UNCLOS 96. panta, kas nosaka kuģu, kuri veic tikai valsts nekomerciālo dienestu, pilnīgu imunitāti pret jebkuras valsts, izņemot karoga valsti, jurisdikciju atklātajā jūrā. Šī ir tā pati kuģu kategorija, kas saskaņā ar UNCLOS 32. pantu līdzīgi karakuģiem bauda valsts imunitāti arī teritoriālajā jūrā. Ņemot vērā iepriekš minēto, aicinām izvērtēt iespēju Likumprojektā  izmantot šādu valsts dienesta kuģa definīciju: “valsts dienesta kuģis – kuģis, kura īpašnieks ir valsts vai kuru nodarbina valsts un kuru izmanto tikai valsts nekomerciālajā dienestā”. Šī definīcija atbilst arī 2004. gada 2. decembra Apvienoto Nāciju Organizācijas Konvencijas par valstu un to īpašuma imunitāti no jurisdikcijas 16. panta noteikumiem par valstij piederošu vai ekspluatācijā esošu kuģu imunitāti, kur kuģa izmantošana valdības nekomerciāliem mērķiem ir </w:t>
            </w:r>
            <w:r w:rsidRPr="008322A6">
              <w:rPr>
                <w:rFonts w:ascii="Times New Roman" w:eastAsia="Times New Roman" w:hAnsi="Times New Roman" w:cs="Times New Roman"/>
                <w:lang w:eastAsia="lv-LV"/>
              </w:rPr>
              <w:lastRenderedPageBreak/>
              <w:t>uzsvērta kā obligāts valsts imunitātes piemērošanas priekšnoteikums.”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648BCEDC" w14:textId="24FA275D" w:rsidR="00D437DF" w:rsidRPr="00982C0F" w:rsidRDefault="00E44787" w:rsidP="00E4478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420A33">
              <w:rPr>
                <w:rFonts w:ascii="Times New Roman" w:eastAsia="Times New Roman" w:hAnsi="Times New Roman" w:cs="Times New Roman"/>
                <w:lang w:eastAsia="lv-LV"/>
              </w:rPr>
              <w:t xml:space="preserve"> </w:t>
            </w:r>
            <w:proofErr w:type="spellStart"/>
            <w:r w:rsidR="00420A33">
              <w:rPr>
                <w:rFonts w:ascii="Times New Roman" w:eastAsia="Times New Roman" w:hAnsi="Times New Roman" w:cs="Times New Roman"/>
                <w:lang w:eastAsia="lv-LV"/>
              </w:rPr>
              <w:t>starpministriju</w:t>
            </w:r>
            <w:proofErr w:type="spellEnd"/>
            <w:r w:rsidR="00420A33">
              <w:rPr>
                <w:rFonts w:ascii="Times New Roman" w:eastAsia="Times New Roman" w:hAnsi="Times New Roman" w:cs="Times New Roman"/>
                <w:lang w:eastAsia="lv-LV"/>
              </w:rPr>
              <w:t xml:space="preserve"> sanāksmē</w:t>
            </w:r>
            <w:r w:rsidR="00724D8C">
              <w:rPr>
                <w:rFonts w:ascii="Times New Roman" w:eastAsia="Times New Roman" w:hAnsi="Times New Roman" w:cs="Times New Roman"/>
                <w:lang w:eastAsia="lv-LV"/>
              </w:rPr>
              <w:t xml:space="preserve">. </w:t>
            </w:r>
          </w:p>
        </w:tc>
        <w:tc>
          <w:tcPr>
            <w:tcW w:w="3402" w:type="dxa"/>
            <w:tcBorders>
              <w:top w:val="single" w:sz="4" w:space="0" w:color="auto"/>
              <w:left w:val="single" w:sz="4" w:space="0" w:color="auto"/>
              <w:bottom w:val="single" w:sz="4" w:space="0" w:color="auto"/>
            </w:tcBorders>
            <w:shd w:val="clear" w:color="auto" w:fill="auto"/>
          </w:tcPr>
          <w:p w14:paraId="628BBDCA" w14:textId="1263A952" w:rsidR="00D437DF" w:rsidRPr="00982C0F" w:rsidRDefault="009C0B18" w:rsidP="00E44787">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D437DF" w:rsidRPr="00635090" w14:paraId="6273CEB0"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5FA37E8" w14:textId="77777777" w:rsidR="00D437DF" w:rsidRPr="00982C0F" w:rsidRDefault="00D437DF"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B3FA063" w14:textId="4CF4D88F" w:rsidR="00D437DF" w:rsidRDefault="00724D8C" w:rsidP="00420A33">
            <w:pPr>
              <w:spacing w:after="0" w:line="240" w:lineRule="auto"/>
              <w:rPr>
                <w:rFonts w:ascii="Times New Roman" w:eastAsia="Times New Roman" w:hAnsi="Times New Roman" w:cs="Times New Roman"/>
                <w:lang w:eastAsia="lv-LV"/>
              </w:rPr>
            </w:pPr>
            <w:r w:rsidRPr="00724D8C">
              <w:rPr>
                <w:rFonts w:ascii="Times New Roman" w:eastAsia="Times New Roman" w:hAnsi="Times New Roman" w:cs="Times New Roman"/>
                <w:lang w:eastAsia="lv-LV"/>
              </w:rPr>
              <w:t>Likumprojekta anotācijas I sadaļas 2. punktā</w:t>
            </w:r>
            <w:r>
              <w:rPr>
                <w:rFonts w:ascii="Times New Roman" w:eastAsia="Times New Roman" w:hAnsi="Times New Roman" w:cs="Times New Roman"/>
                <w:lang w:eastAsia="lv-LV"/>
              </w:rPr>
              <w:t xml:space="preserve"> ietvertie vārdi: “</w:t>
            </w:r>
            <w:r>
              <w:t xml:space="preserve"> </w:t>
            </w:r>
            <w:r w:rsidRPr="00724D8C">
              <w:rPr>
                <w:rFonts w:ascii="Times New Roman" w:eastAsia="Times New Roman" w:hAnsi="Times New Roman" w:cs="Times New Roman"/>
                <w:lang w:eastAsia="lv-LV"/>
              </w:rPr>
              <w:t>Valsts dienestu kuģi ir valsts īpašumā esoši kuģi vai kuģi, kas ir norīkoti specifisku valsts funkciju veikšanai, taču tie neiekļauj karakuģus.</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C2A3E9D" w14:textId="77777777" w:rsidR="00D437DF" w:rsidRDefault="008322A6"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Satiksmes ministrijas 13.10.2020. iebildums:</w:t>
            </w:r>
          </w:p>
          <w:p w14:paraId="0B42D0F2" w14:textId="7ED503CB"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 xml:space="preserve">Likumprojekta anotācijas I sadaļas 2. punktā ir norādīts, ka valsts dienestu kuģi ir valsts īpašumā esoši kuģi vai kuģi, kas ir norīkoti specifisku valsts funkciju veikšanai, taču tie neiekļauj karakuģus. Satiksmes ministrija vērš uzmanību, ka </w:t>
            </w:r>
          </w:p>
          <w:p w14:paraId="1D568897" w14:textId="77777777"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1.</w:t>
            </w:r>
            <w:r w:rsidRPr="008322A6">
              <w:rPr>
                <w:rFonts w:ascii="Times New Roman" w:eastAsia="Times New Roman" w:hAnsi="Times New Roman" w:cs="Times New Roman"/>
                <w:lang w:eastAsia="lv-LV"/>
              </w:rPr>
              <w:tab/>
              <w:t>tikai fakts, ka kuģis ir valsts īpašumā, nepadara šo kuģi par valsts dienesta kuģi. Valsts īpašumā var būt arī kuģi, kas tiek izmantoti komerciālos nolūkos, piemēram, Ķīnai un Irānai ir liels skaits valstij piederošu tirdzniecības kuģu. Uz šādiem kuģiem nav attiecināms speciālais regulējums par valsts dienestu kuģiem.</w:t>
            </w:r>
          </w:p>
          <w:p w14:paraId="1BC2D6EF" w14:textId="77777777"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2.</w:t>
            </w:r>
            <w:r w:rsidRPr="008322A6">
              <w:rPr>
                <w:rFonts w:ascii="Times New Roman" w:eastAsia="Times New Roman" w:hAnsi="Times New Roman" w:cs="Times New Roman"/>
                <w:lang w:eastAsia="lv-LV"/>
              </w:rPr>
              <w:tab/>
              <w:t xml:space="preserve">no Apvienoto Nāciju Organizācijas 1982. gada Jūras tiesību konvencijas II daļas 3. nodaļas C apakšnodaļas, kā arī no Ministru kabineta 2012.gada 15. maija noteikumiem Nr. 339 “Noteikumi par ostu formalitātēm” izriet, ka karakuģi un valsts dienestu kuģi nav divas dažādas lietas. Karakuģi ir viens no valsts dienestu kuģu paveidiem. </w:t>
            </w:r>
          </w:p>
          <w:p w14:paraId="52F8DF63" w14:textId="6CC6E756" w:rsidR="008322A6" w:rsidRPr="008322A6" w:rsidRDefault="008322A6" w:rsidP="00181D09">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Ņemot vērā minēto, lūdzam atbilstoši precizēt likumprojekta anotācijas I sadaļas 2. punktā minēto teikumu vai to svītrot</w:t>
            </w:r>
            <w:r>
              <w:rPr>
                <w:rFonts w:ascii="Times New Roman" w:eastAsia="Times New Roman" w:hAnsi="Times New Roman" w:cs="Times New Roman"/>
                <w:lang w:eastAsia="lv-LV"/>
              </w:rPr>
              <w:t>.</w:t>
            </w:r>
            <w:r w:rsidRPr="008322A6">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309EC8AF" w14:textId="213A8BCF" w:rsidR="00D437DF" w:rsidRPr="00982C0F" w:rsidRDefault="00724D8C"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shd w:val="clear" w:color="auto" w:fill="auto"/>
          </w:tcPr>
          <w:p w14:paraId="41CE1A57" w14:textId="6BD8AE38" w:rsidR="00D437DF" w:rsidRDefault="00724D8C"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w:t>
            </w:r>
            <w:r>
              <w:t xml:space="preserve"> </w:t>
            </w:r>
            <w:r w:rsidR="00F067AA">
              <w:rPr>
                <w:rFonts w:ascii="Times New Roman" w:eastAsia="Times New Roman" w:hAnsi="Times New Roman" w:cs="Times New Roman"/>
                <w:lang w:eastAsia="lv-LV"/>
              </w:rPr>
              <w:t>anotācijas I sadaļas 2. punkts, svītrojot sekojošo teikumu:</w:t>
            </w:r>
            <w:r>
              <w:rPr>
                <w:rFonts w:ascii="Times New Roman" w:eastAsia="Times New Roman" w:hAnsi="Times New Roman" w:cs="Times New Roman"/>
                <w:lang w:eastAsia="lv-LV"/>
              </w:rPr>
              <w:t xml:space="preserve"> </w:t>
            </w:r>
          </w:p>
          <w:p w14:paraId="5685B4BE" w14:textId="578C2E8B" w:rsidR="00724D8C" w:rsidRPr="00982C0F" w:rsidRDefault="00724D8C"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F067AA" w:rsidRPr="00F067AA">
              <w:rPr>
                <w:rFonts w:ascii="Times New Roman" w:eastAsia="Times New Roman" w:hAnsi="Times New Roman" w:cs="Times New Roman"/>
                <w:lang w:eastAsia="lv-LV"/>
              </w:rPr>
              <w:t>Valsts dienestu kuģi ir valsts īpašumā esoši kuģi vai kuģi, kas ir norīkoti specifisku valsts funkciju veikšanai, taču tie neiekļauj karakuģus</w:t>
            </w:r>
            <w:r>
              <w:rPr>
                <w:rFonts w:ascii="Times New Roman" w:eastAsia="Times New Roman" w:hAnsi="Times New Roman" w:cs="Times New Roman"/>
                <w:lang w:eastAsia="lv-LV"/>
              </w:rPr>
              <w:t>”</w:t>
            </w:r>
          </w:p>
        </w:tc>
      </w:tr>
      <w:tr w:rsidR="00D437DF" w:rsidRPr="00635090" w14:paraId="0479B655"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7F9A825" w14:textId="77777777" w:rsidR="00D437DF" w:rsidRPr="00982C0F" w:rsidRDefault="00D437DF"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8A41EE6" w14:textId="77777777" w:rsidR="00D437DF" w:rsidRDefault="00420A33"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3. punkts:</w:t>
            </w:r>
          </w:p>
          <w:p w14:paraId="5FB45959" w14:textId="6F5BCA8D" w:rsidR="00420A33" w:rsidRDefault="00420A33"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420A33">
              <w:rPr>
                <w:rFonts w:ascii="Times New Roman" w:eastAsia="Times New Roman" w:hAnsi="Times New Roman" w:cs="Times New Roman"/>
                <w:lang w:eastAsia="lv-LV"/>
              </w:rPr>
              <w:t xml:space="preserve">“17. Ministru kabinets līdz 2022. gada 1. janvārim izdod šā likuma 11. panta trešajā </w:t>
            </w:r>
            <w:proofErr w:type="spellStart"/>
            <w:r w:rsidRPr="00420A33">
              <w:rPr>
                <w:rFonts w:ascii="Times New Roman" w:eastAsia="Times New Roman" w:hAnsi="Times New Roman" w:cs="Times New Roman"/>
                <w:lang w:eastAsia="lv-LV"/>
              </w:rPr>
              <w:t>prim</w:t>
            </w:r>
            <w:proofErr w:type="spellEnd"/>
            <w:r w:rsidRPr="00420A33">
              <w:rPr>
                <w:rFonts w:ascii="Times New Roman" w:eastAsia="Times New Roman" w:hAnsi="Times New Roman" w:cs="Times New Roman"/>
                <w:lang w:eastAsia="lv-LV"/>
              </w:rPr>
              <w:t xml:space="preserve">  daļā minētos noteikumus, </w:t>
            </w:r>
            <w:r w:rsidRPr="00420A33">
              <w:rPr>
                <w:rFonts w:ascii="Times New Roman" w:eastAsia="Times New Roman" w:hAnsi="Times New Roman" w:cs="Times New Roman"/>
                <w:lang w:eastAsia="lv-LV"/>
              </w:rPr>
              <w:lastRenderedPageBreak/>
              <w:t>veicot grozījumus Ministru kabineta noteikumos Nr. 108 “Kārtība, kādā ārvalstu karakuģi ienāk un uzturas Latvijas Republikas teritoriālajā jūrā, iekšējos ūdeņos un ostās un iziet no tām””.</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5F5743F" w14:textId="77777777" w:rsidR="00D437DF" w:rsidRDefault="008322A6"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Tieslietu ministrijas 15.10.2020. priekšlikums:</w:t>
            </w:r>
          </w:p>
          <w:p w14:paraId="24D4973B" w14:textId="68C1C13F" w:rsidR="008322A6" w:rsidRPr="008322A6" w:rsidRDefault="008322A6" w:rsidP="00181D09">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 xml:space="preserve">Projekta 3. pantu piedāvājam precizēt un izslēgt tajā vārdus “veicot grozījumus Ministru kabineta noteikumos Nr.108 “Kārtība, kādā ārvalstu karakuģi ienāk un uzturas Latvijas Republikas teritoriālajā jūrā, iekšējos ūdeņos un ostās un iziet </w:t>
            </w:r>
            <w:r w:rsidRPr="008322A6">
              <w:rPr>
                <w:rFonts w:ascii="Times New Roman" w:eastAsia="Times New Roman" w:hAnsi="Times New Roman" w:cs="Times New Roman"/>
                <w:lang w:eastAsia="lv-LV"/>
              </w:rPr>
              <w:lastRenderedPageBreak/>
              <w:t xml:space="preserve">no tām”. Vēršam uzmanību, ka likumdevējam nav jānosaka, kādā veidā Ministru kabinets izpilda likumā noteiktu uzdevumu par tiesiskā regulējuma veidošanu. Izpildvaras institūcijām ir jāizvērtē nepieciešamā tiesiskā regulējuma saistošais raksturs, sistēmiskā atbilstība, un ņemot vērā lietderības apsvērumus, pēc saviem ieskatiem jāveido jauns regulējums. Piemēram, grozījumus normatīvajos aktos neveic, ja grozījumu apjoms ir lielāks kā puse no normatīvā akta. Šādos gadījumos tiek izdots jauns normatīvais akts. Ievērojot minēto, aicinām ievērot nepieciešamo likuma normu vispārinājuma pakāpi un neaprobežot Ministru kabineta kompetenci normatīvo aktu izdošanā, pat ja šobrīd ir konstatēts, ka lietderīgāk ir veikt grozījumus Ministru kabineta noteikumos Nr.108 “Kārtība, kādā ārvalstu karakuģi ienāk un uzturas Latvijas Republikas teritoriālajā jūrā, iekšējos ūdeņos un ostās un iziet no tām”. Tieslietu ministrijas ieskatā būs pietiekami, ja informācija par iespējamiem grozījumiem tiks norādīta </w:t>
            </w:r>
            <w:r>
              <w:rPr>
                <w:rFonts w:ascii="Times New Roman" w:eastAsia="Times New Roman" w:hAnsi="Times New Roman" w:cs="Times New Roman"/>
                <w:lang w:eastAsia="lv-LV"/>
              </w:rPr>
              <w:t xml:space="preserve">projekta anotācijas IV sadaļā. </w:t>
            </w:r>
            <w:r w:rsidRPr="008322A6">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0ABA7B7E" w14:textId="4C6C36D4" w:rsidR="00D437DF" w:rsidRPr="00982C0F" w:rsidRDefault="00420A33"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2BF2ECED" w14:textId="4BD22DB5" w:rsidR="00D437DF" w:rsidRDefault="00420A33"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punkta jaunā redakcija:</w:t>
            </w:r>
          </w:p>
          <w:p w14:paraId="2F204812" w14:textId="60A62E76" w:rsidR="00420A33" w:rsidRPr="00982C0F" w:rsidRDefault="00420A33" w:rsidP="00E44787">
            <w:pPr>
              <w:spacing w:after="0" w:line="240" w:lineRule="auto"/>
              <w:jc w:val="both"/>
              <w:rPr>
                <w:rFonts w:ascii="Times New Roman" w:eastAsia="Times New Roman" w:hAnsi="Times New Roman" w:cs="Times New Roman"/>
                <w:lang w:eastAsia="lv-LV"/>
              </w:rPr>
            </w:pPr>
            <w:r w:rsidRPr="00420A33">
              <w:rPr>
                <w:rFonts w:ascii="Times New Roman" w:eastAsia="Times New Roman" w:hAnsi="Times New Roman" w:cs="Times New Roman"/>
                <w:lang w:eastAsia="lv-LV"/>
              </w:rPr>
              <w:t>“17. Ministru kabinets līdz 2022. gada 1. janvārim izdod šā likuma 11. panta trešaj</w:t>
            </w:r>
            <w:r>
              <w:rPr>
                <w:rFonts w:ascii="Times New Roman" w:eastAsia="Times New Roman" w:hAnsi="Times New Roman" w:cs="Times New Roman"/>
                <w:lang w:eastAsia="lv-LV"/>
              </w:rPr>
              <w:t>ā daļā minētos noteikumus</w:t>
            </w:r>
            <w:r w:rsidRPr="00420A33">
              <w:rPr>
                <w:rFonts w:ascii="Times New Roman" w:eastAsia="Times New Roman" w:hAnsi="Times New Roman" w:cs="Times New Roman"/>
                <w:lang w:eastAsia="lv-LV"/>
              </w:rPr>
              <w:t>”.</w:t>
            </w:r>
          </w:p>
        </w:tc>
      </w:tr>
      <w:tr w:rsidR="00D437DF" w:rsidRPr="00635090" w14:paraId="754D219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068530A" w14:textId="77777777" w:rsidR="00D437DF" w:rsidRPr="00982C0F" w:rsidRDefault="00D437DF"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97D0739" w14:textId="77777777" w:rsidR="00D437DF" w:rsidRDefault="00FD653E"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1. pants:</w:t>
            </w:r>
          </w:p>
          <w:p w14:paraId="5D4673F5" w14:textId="0DBF1EC1" w:rsidR="00FD653E" w:rsidRDefault="00FD653E"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D653E">
              <w:rPr>
                <w:rFonts w:ascii="Times New Roman" w:eastAsia="Times New Roman" w:hAnsi="Times New Roman" w:cs="Times New Roman"/>
                <w:lang w:eastAsia="lv-LV"/>
              </w:rPr>
              <w:t>12) valsts dienesta kuģis – nekomerciālā (val</w:t>
            </w:r>
            <w:r>
              <w:rPr>
                <w:rFonts w:ascii="Times New Roman" w:eastAsia="Times New Roman" w:hAnsi="Times New Roman" w:cs="Times New Roman"/>
                <w:lang w:eastAsia="lv-LV"/>
              </w:rPr>
              <w:t>sts) dienestā nodarbināts kuģis”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8250360" w14:textId="77777777" w:rsidR="00D437DF" w:rsidRDefault="008322A6"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Iekšlietu ministrijas 12.10.2020. 1.iebildums:</w:t>
            </w:r>
          </w:p>
          <w:p w14:paraId="435F92F0" w14:textId="1FDF737B"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1)</w:t>
            </w:r>
            <w:r w:rsidRPr="008322A6">
              <w:rPr>
                <w:rFonts w:ascii="Times New Roman" w:eastAsia="Times New Roman" w:hAnsi="Times New Roman" w:cs="Times New Roman"/>
                <w:lang w:eastAsia="lv-LV"/>
              </w:rPr>
              <w:tab/>
              <w:t xml:space="preserve">Aizstāt projekta 1. pantā vārdus “valsts dienesta kuģis – nekomerciālā (valsts) dienestā nodarbināts kuģis” ar vārdiem “valsts dienesta kuģis – nekomerciālā (valsts) dienestā nodarbināts kuģis, kas nav karakuģis”. Precizējums nepieciešams, jo projekta 2. pantā ir paredzēts deleģējums Ministru kabinetam noteikt kārtību, kādā ārvalstu valsts dienestu kuģi ienāk un uzturas teritoriālajā jūrā, iekšējos ūdeņos un ostās, kā arī </w:t>
            </w:r>
            <w:r w:rsidRPr="008322A6">
              <w:rPr>
                <w:rFonts w:ascii="Times New Roman" w:eastAsia="Times New Roman" w:hAnsi="Times New Roman" w:cs="Times New Roman"/>
                <w:lang w:eastAsia="lv-LV"/>
              </w:rPr>
              <w:lastRenderedPageBreak/>
              <w:t>iziet no teritoriālās jūras, iekšējiem ūdeņiem un ostām. Apvienoto Nāciju Organizācijas 1982. gada 10.decembra Jūras tiesību konvencijas (turpmāk – Jūras tiesību konvencija) 32. pants un Ministru kabineta 2012. gada 15. maija noteikumu Nr. 339 “Noteikumi par ostu formalitātēm” (turpmāk – MK noteikumi Nr. 339) 8.1. apakšpunkts paredz, ka ārvalsts (valsts) nekomerciālā dienestā nodarbināts kuģis ir tostarp karakuģis. Tādējādi būtībā veidojas situācija, ka nosacījumus par karakuģu ienākšanas un uzturēšanās teritoriālajā jūrā, iekšējos ūdeņos un ostās, kā arī iziešanas no teritoriālās jūras, iekšējiem ūdeņiem un ostām kārtību noteiks gan Ministru kabineta 2016. gada 23.februāra noteikumi Nr. 108 “Kārtība, kādā ārvalstu karakuģi ienāk un uzturas teritoriālajā jūrā, iekšējos ūdeņos un ostās, kā arī iziet no tām” (turpmāk – MK noteikumi Nr. 108), gan ar projekta 2. pantā ietverto deleģējumu Ministru kabinetam izstrādājamie Ministru kabineta noteikumi par ārvalstu (valsts) dienestu kuģiem.</w:t>
            </w:r>
          </w:p>
          <w:p w14:paraId="72DB6939" w14:textId="4494E9F0"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 xml:space="preserve">Pašlaik attiecīgs skaidrojums par ārvalstu (valsts) dienestu definīcijas tvērumu ir minēts projekta sākotnējās ietekmes novērtējuma ziņojuma (anotācijas) I. sadaļas 2. punktā. Savukārt, lai nodrošinātu Ministru kabineta 2009.gada 3. februāra noteikumu Nr. 108 “Normatīvo aktu projektu sagatavošanas noteikumi” 2.4. apakšpunkta nosacījumus, kā arī no Latvijas Republikas Satversmes 90. panta izrietošos tiesību normu kvalitātes kritērijus, atbilstoši kuriem ikvienai tiesību normai jābūt pieejamai, kā arī </w:t>
            </w:r>
            <w:r w:rsidRPr="008322A6">
              <w:rPr>
                <w:rFonts w:ascii="Times New Roman" w:eastAsia="Times New Roman" w:hAnsi="Times New Roman" w:cs="Times New Roman"/>
                <w:lang w:eastAsia="lv-LV"/>
              </w:rPr>
              <w:lastRenderedPageBreak/>
              <w:t>pietiekami skaidrai un paredzamai (skat., piemēram, Latvijas Republikas Satversmes tiesas 2019. gada 21. februāra sprieduma lietā Nr. 2018-10-0103 13.1. punktu; Satversmes  tiesas  2006. gada   20.decembra sprieduma lietā Nr.2006-12-01 16.punktu  un  2011.gada  30. marta  sprieduma lietā Nr.2010-60-01  15.2.punktu), precizējams projekts.”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6660AD23" w14:textId="0E97614C" w:rsidR="00D437DF" w:rsidRPr="00982C0F" w:rsidRDefault="00E93602"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proofErr w:type="spellStart"/>
            <w:r>
              <w:rPr>
                <w:rFonts w:ascii="Times New Roman" w:eastAsia="Times New Roman" w:hAnsi="Times New Roman" w:cs="Times New Roman"/>
                <w:lang w:eastAsia="lv-LV"/>
              </w:rPr>
              <w:t>starpministriju</w:t>
            </w:r>
            <w:proofErr w:type="spellEnd"/>
            <w:r>
              <w:rPr>
                <w:rFonts w:ascii="Times New Roman" w:eastAsia="Times New Roman" w:hAnsi="Times New Roman" w:cs="Times New Roman"/>
                <w:lang w:eastAsia="lv-LV"/>
              </w:rPr>
              <w:t xml:space="preserve"> sanāksmē</w:t>
            </w:r>
            <w:r w:rsidR="00FD653E">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shd w:val="clear" w:color="auto" w:fill="auto"/>
          </w:tcPr>
          <w:p w14:paraId="7A0133FC" w14:textId="203DA367" w:rsidR="00E44787" w:rsidRDefault="009C0B18" w:rsidP="00E44787">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p w14:paraId="2B9154C0" w14:textId="53A4D88A" w:rsidR="00E44787" w:rsidRDefault="00E44787" w:rsidP="00E44787">
            <w:pPr>
              <w:spacing w:after="0" w:line="240" w:lineRule="auto"/>
              <w:jc w:val="both"/>
              <w:rPr>
                <w:rFonts w:ascii="Times New Roman" w:eastAsia="Times New Roman" w:hAnsi="Times New Roman" w:cs="Times New Roman"/>
                <w:lang w:eastAsia="lv-LV"/>
              </w:rPr>
            </w:pPr>
          </w:p>
          <w:p w14:paraId="761411F4" w14:textId="15515470" w:rsidR="00E44787" w:rsidRDefault="00E44787" w:rsidP="00E44787">
            <w:pPr>
              <w:spacing w:after="0" w:line="240" w:lineRule="auto"/>
              <w:jc w:val="both"/>
              <w:rPr>
                <w:rFonts w:ascii="Times New Roman" w:eastAsia="Times New Roman" w:hAnsi="Times New Roman" w:cs="Times New Roman"/>
                <w:lang w:eastAsia="lv-LV"/>
              </w:rPr>
            </w:pPr>
          </w:p>
          <w:p w14:paraId="05602618" w14:textId="46C3F0D6" w:rsidR="00E44787" w:rsidRDefault="00E44787" w:rsidP="00E4478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Papildināts un precizēts projekta anotācijas I sadaļas 1. punkts.</w:t>
            </w:r>
          </w:p>
          <w:p w14:paraId="6C20FCA4" w14:textId="77777777" w:rsidR="00E44787" w:rsidRDefault="00E44787" w:rsidP="00E44787">
            <w:pPr>
              <w:spacing w:after="0" w:line="240" w:lineRule="auto"/>
              <w:jc w:val="both"/>
              <w:rPr>
                <w:rFonts w:ascii="Times New Roman" w:eastAsia="Times New Roman" w:hAnsi="Times New Roman" w:cs="Times New Roman"/>
                <w:lang w:eastAsia="lv-LV"/>
              </w:rPr>
            </w:pPr>
          </w:p>
          <w:p w14:paraId="25DEF441" w14:textId="1382278B" w:rsidR="00FD653E" w:rsidRPr="00982C0F" w:rsidRDefault="00FD653E" w:rsidP="00E44787">
            <w:pPr>
              <w:spacing w:after="0" w:line="240" w:lineRule="auto"/>
              <w:jc w:val="both"/>
              <w:rPr>
                <w:rFonts w:ascii="Times New Roman" w:eastAsia="Times New Roman" w:hAnsi="Times New Roman" w:cs="Times New Roman"/>
                <w:lang w:eastAsia="lv-LV"/>
              </w:rPr>
            </w:pPr>
          </w:p>
        </w:tc>
      </w:tr>
      <w:tr w:rsidR="008322A6" w:rsidRPr="00635090" w14:paraId="5EB6FC5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7A41D4C9" w14:textId="77777777" w:rsidR="008322A6" w:rsidRPr="00982C0F" w:rsidRDefault="008322A6"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A8D155C" w14:textId="55BCCAF4" w:rsidR="008322A6" w:rsidRDefault="00075D2A"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075D2A">
              <w:rPr>
                <w:rFonts w:ascii="Times New Roman" w:eastAsia="Times New Roman" w:hAnsi="Times New Roman" w:cs="Times New Roman"/>
                <w:lang w:eastAsia="lv-LV"/>
              </w:rPr>
              <w:t>rojekta sākotnējās ietekmes novērtējuma ziņojuma (anotācijas)</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punktā ietvertie vārdi</w:t>
            </w:r>
            <w:r w:rsidRPr="00075D2A">
              <w:rPr>
                <w:rFonts w:ascii="Times New Roman" w:eastAsia="Times New Roman" w:hAnsi="Times New Roman" w:cs="Times New Roman"/>
                <w:lang w:eastAsia="lv-LV"/>
              </w:rPr>
              <w:t xml:space="preserve"> “8.1. punkts norāda, ka prasības, kas jāievēro saistībā ar kuģa ienākšanu ostā un iziešanu no tās neattiecas uz valsts dienesta kuģiem”.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1794B75" w14:textId="3372AF53" w:rsidR="008322A6" w:rsidRPr="008322A6" w:rsidRDefault="008322A6" w:rsidP="00181D09">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b/>
                <w:lang w:eastAsia="lv-LV"/>
              </w:rPr>
              <w:t>Iekšlietu ministrijas</w:t>
            </w:r>
            <w:r>
              <w:rPr>
                <w:rFonts w:ascii="Times New Roman" w:eastAsia="Times New Roman" w:hAnsi="Times New Roman" w:cs="Times New Roman"/>
                <w:b/>
                <w:lang w:eastAsia="lv-LV"/>
              </w:rPr>
              <w:t xml:space="preserve"> 12.10.2020. 2</w:t>
            </w:r>
            <w:r w:rsidRPr="008322A6">
              <w:rPr>
                <w:rFonts w:ascii="Times New Roman" w:eastAsia="Times New Roman" w:hAnsi="Times New Roman" w:cs="Times New Roman"/>
                <w:b/>
                <w:lang w:eastAsia="lv-LV"/>
              </w:rPr>
              <w:t>.iebildums</w:t>
            </w:r>
            <w:r>
              <w:rPr>
                <w:rFonts w:ascii="Times New Roman" w:eastAsia="Times New Roman" w:hAnsi="Times New Roman" w:cs="Times New Roman"/>
                <w:b/>
                <w:lang w:eastAsia="lv-LV"/>
              </w:rPr>
              <w:t>:</w:t>
            </w:r>
            <w:r w:rsidRPr="008322A6">
              <w:rPr>
                <w:rFonts w:ascii="Times New Roman" w:eastAsia="Times New Roman" w:hAnsi="Times New Roman" w:cs="Times New Roman"/>
                <w:lang w:eastAsia="lv-LV"/>
              </w:rPr>
              <w:t xml:space="preserve"> “Precizēt projekta sākotnējās ietekmes novērtējuma ziņojuma (anotācijas) </w:t>
            </w:r>
            <w:proofErr w:type="spellStart"/>
            <w:r w:rsidRPr="008322A6">
              <w:rPr>
                <w:rFonts w:ascii="Times New Roman" w:eastAsia="Times New Roman" w:hAnsi="Times New Roman" w:cs="Times New Roman"/>
                <w:lang w:eastAsia="lv-LV"/>
              </w:rPr>
              <w:t>I.sadaļas</w:t>
            </w:r>
            <w:proofErr w:type="spellEnd"/>
            <w:r w:rsidRPr="008322A6">
              <w:rPr>
                <w:rFonts w:ascii="Times New Roman" w:eastAsia="Times New Roman" w:hAnsi="Times New Roman" w:cs="Times New Roman"/>
                <w:lang w:eastAsia="lv-LV"/>
              </w:rPr>
              <w:t xml:space="preserve"> 2. punktā ietvertos vārdus “8.1. punkts norāda, ka prasības, kas jāievēro saistībā ar kuģa ienākšanu ostā un iziešanu no tās neattiecas uz valsts dienesta kuģiem”. Proti, MK noteikumu Nr. 339 8. punkts kopsakarā ar 8.1. apakšpunktu nosaka, ka apakšnodaļa (Paziņošana par kuģu ienākšanu ostā un iziešanu no tās (Jūras kuģi ar bruto tilpību 300 un vairāk)) neattiecas uz kara kuģiem, kara flotes palīgkuģiem un citiem nekomerciālā (valsts) dienestā nodarbinātiem kuģiem. Tādējādi no minētajām normām kopsakarā ar MK noteikumu Nr. 339 2.1., 2.2.apakšpunktu, kā arī Jūras kodeksa 1.1 pantu un 1978. gada Starptautiskās konvencijas par jūrnieku sagatavošanu un diplomēšanu, kā arī sardzes pildīšanu 2.g) apakšpunktu izriet, ka uz nekomerciālā (valsts) dienestā nodarbinātiem kuģiem, kas nav karakuģi, nav attiecināma tikai MK noteikumu Nr. 339 2.1.apakšnodaļa, bet citi MK noteikumu Nr.339 nosacījumi, tostarp MK noteikumu Nr.339 8. nodaļā ietvertie nosacījumi par </w:t>
            </w:r>
            <w:proofErr w:type="spellStart"/>
            <w:r w:rsidRPr="008322A6">
              <w:rPr>
                <w:rFonts w:ascii="Times New Roman" w:eastAsia="Times New Roman" w:hAnsi="Times New Roman" w:cs="Times New Roman"/>
                <w:lang w:eastAsia="lv-LV"/>
              </w:rPr>
              <w:t>robežpārbaudi</w:t>
            </w:r>
            <w:proofErr w:type="spellEnd"/>
            <w:r w:rsidRPr="008322A6">
              <w:rPr>
                <w:rFonts w:ascii="Times New Roman" w:eastAsia="Times New Roman" w:hAnsi="Times New Roman" w:cs="Times New Roman"/>
                <w:lang w:eastAsia="lv-LV"/>
              </w:rPr>
              <w:t xml:space="preserve"> ir attiecināmi. Tādējādi attiecīgi </w:t>
            </w:r>
            <w:r w:rsidRPr="008322A6">
              <w:rPr>
                <w:rFonts w:ascii="Times New Roman" w:eastAsia="Times New Roman" w:hAnsi="Times New Roman" w:cs="Times New Roman"/>
                <w:lang w:eastAsia="lv-LV"/>
              </w:rPr>
              <w:lastRenderedPageBreak/>
              <w:t>precizējami projekta sākotnējās ietekmes novērtējuma ziņojuma (anotācijas) I. sadaļas 2. punktā ietvertie vārdi “8.1. punkts norāda, ka prasības, kas jāievēro saistībā ar kuģa ienākšanu ostā un iziešanu no tās neattiecas uz valsts dienesta kuģiem” atbilstoši MK noteikumu Nr. 339 8. punktā kopsakarā ar 8.1.apakšpunktu noteiktajam, proti, ka uz nekomerciālā (valsts) dienestā nodarbinātiem kuģiem, kas nav karakuģi, nav attiecināma tikai MK noteikumu Nr. 339 2.1. apakšnodaļa par paziņošanu par kuģu ienākšanu ostā un iziešanu no tās (Jūras kuģi ar bruto tilpību 300 un vairāk).”</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5508399" w14:textId="580FF030" w:rsidR="008322A6" w:rsidRPr="00982C0F" w:rsidRDefault="00075D2A"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16457DC0" w14:textId="77777777" w:rsidR="008322A6" w:rsidRDefault="00075D2A" w:rsidP="00181D09">
            <w:pPr>
              <w:spacing w:after="0" w:line="240" w:lineRule="auto"/>
              <w:jc w:val="both"/>
              <w:rPr>
                <w:rFonts w:ascii="Times New Roman" w:eastAsia="Times New Roman" w:hAnsi="Times New Roman" w:cs="Times New Roman"/>
                <w:lang w:eastAsia="lv-LV"/>
              </w:rPr>
            </w:pPr>
            <w:r w:rsidRPr="00075D2A">
              <w:rPr>
                <w:rFonts w:ascii="Times New Roman" w:eastAsia="Times New Roman" w:hAnsi="Times New Roman" w:cs="Times New Roman"/>
                <w:lang w:eastAsia="lv-LV"/>
              </w:rPr>
              <w:t xml:space="preserve">Projekta sākotnējās ietekmes novērtējuma ziņojuma </w:t>
            </w:r>
            <w:r>
              <w:rPr>
                <w:rFonts w:ascii="Times New Roman" w:eastAsia="Times New Roman" w:hAnsi="Times New Roman" w:cs="Times New Roman"/>
                <w:lang w:eastAsia="lv-LV"/>
              </w:rPr>
              <w:t xml:space="preserve">(anotācijas)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punkta jaunā redakcija: </w:t>
            </w:r>
          </w:p>
          <w:p w14:paraId="575F4327" w14:textId="77777777" w:rsidR="00075D2A" w:rsidRDefault="00075D2A" w:rsidP="00181D09">
            <w:pPr>
              <w:spacing w:after="0" w:line="240" w:lineRule="auto"/>
              <w:jc w:val="both"/>
              <w:rPr>
                <w:rFonts w:ascii="Times New Roman" w:eastAsia="Times New Roman" w:hAnsi="Times New Roman" w:cs="Times New Roman"/>
                <w:lang w:eastAsia="lv-LV"/>
              </w:rPr>
            </w:pPr>
          </w:p>
          <w:p w14:paraId="3CD551FC" w14:textId="349AAC9B" w:rsidR="0030136C" w:rsidRPr="00982C0F" w:rsidRDefault="0030136C" w:rsidP="00E9360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E93602" w:rsidRPr="00E93602">
              <w:rPr>
                <w:rFonts w:ascii="Times New Roman" w:eastAsia="Times New Roman" w:hAnsi="Times New Roman" w:cs="Times New Roman"/>
                <w:lang w:eastAsia="lv-LV"/>
              </w:rPr>
              <w:t xml:space="preserve">2012. gada 15. maija Ministru kabineta noteikumi Nr.339 “Noteikumi par ostu formalitātēm” nosaka kārtību, kādā notiek ar kuģa ienākšanu ostā un iziešanu no tās saistīto formalitāšu kārtošana, taču minēto  noteikumu 2.1. apakšnodaļā par jūras kuģiem ar bruto ietilpību 300 un vairāk ietvertais 8.1 punkts norāda, ka apakšnodaļā noteiktās prasības, kas jāievēro saistībā ar kuģa ienākšanu ostā un iziešanu no tās, neattiecas uz nekomerciālā (valsts) dienestā nodarbinātiem kuģiem. Arī Latvijas Republikas valsts robežas likuma 11. pantā par ārējās robežas šķērsošanas nosacījumiem kuģošanas līdzekļiem nav ietvertas norādes par ārvalstu </w:t>
            </w:r>
            <w:r w:rsidR="00E93602" w:rsidRPr="00E93602">
              <w:rPr>
                <w:rFonts w:ascii="Times New Roman" w:eastAsia="Times New Roman" w:hAnsi="Times New Roman" w:cs="Times New Roman"/>
                <w:lang w:eastAsia="lv-LV"/>
              </w:rPr>
              <w:lastRenderedPageBreak/>
              <w:t xml:space="preserve">valsts dienestu kuģu ienākšanu. Vienlaikus jāatzīmē, ka  Ministru kabineta noteikumu Nr.339 8. nodaļā ietvertie nosacījumi par </w:t>
            </w:r>
            <w:proofErr w:type="spellStart"/>
            <w:r w:rsidR="00E93602" w:rsidRPr="00E93602">
              <w:rPr>
                <w:rFonts w:ascii="Times New Roman" w:eastAsia="Times New Roman" w:hAnsi="Times New Roman" w:cs="Times New Roman"/>
                <w:lang w:eastAsia="lv-LV"/>
              </w:rPr>
              <w:t>robežpārbaudi</w:t>
            </w:r>
            <w:proofErr w:type="spellEnd"/>
            <w:r w:rsidR="00E93602" w:rsidRPr="00E93602">
              <w:rPr>
                <w:rFonts w:ascii="Times New Roman" w:eastAsia="Times New Roman" w:hAnsi="Times New Roman" w:cs="Times New Roman"/>
                <w:lang w:eastAsia="lv-LV"/>
              </w:rPr>
              <w:t xml:space="preserve"> ir attiecināmi uz nekomerciālā (valsts) dienestā nodarbinātiem kuģiem.</w:t>
            </w:r>
            <w:r>
              <w:rPr>
                <w:rFonts w:ascii="Times New Roman" w:eastAsia="Times New Roman" w:hAnsi="Times New Roman" w:cs="Times New Roman"/>
                <w:lang w:eastAsia="lv-LV"/>
              </w:rPr>
              <w:t>”</w:t>
            </w:r>
          </w:p>
        </w:tc>
      </w:tr>
      <w:tr w:rsidR="008322A6" w:rsidRPr="00635090" w14:paraId="7395CB2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2246F1A" w14:textId="77777777" w:rsidR="008322A6" w:rsidRPr="00982C0F" w:rsidRDefault="008322A6"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AC70134" w14:textId="121DD806" w:rsidR="008322A6" w:rsidRDefault="00704872"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704872">
              <w:rPr>
                <w:rFonts w:ascii="Times New Roman" w:eastAsia="Times New Roman" w:hAnsi="Times New Roman" w:cs="Times New Roman"/>
                <w:lang w:eastAsia="lv-LV"/>
              </w:rPr>
              <w:t>rojekta sākotnējās ietekmes novērtējuma ziņojuma (anotācija</w:t>
            </w:r>
            <w:r>
              <w:rPr>
                <w:rFonts w:ascii="Times New Roman" w:eastAsia="Times New Roman" w:hAnsi="Times New Roman" w:cs="Times New Roman"/>
                <w:lang w:eastAsia="lv-LV"/>
              </w:rPr>
              <w:t xml:space="preserve">s)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punktā ietvertie vārdi</w:t>
            </w:r>
            <w:r w:rsidRPr="00704872">
              <w:rPr>
                <w:rFonts w:ascii="Times New Roman" w:eastAsia="Times New Roman" w:hAnsi="Times New Roman" w:cs="Times New Roman"/>
                <w:lang w:eastAsia="lv-LV"/>
              </w:rPr>
              <w:t xml:space="preserve"> “valsts dienestu kuģi, nākot no ārvalstīm, kas nav ES un NATO sastāvā, jo nav noteiktas konkrētas prasības pret minētajiem kuģiem, kas tiem jāievēro, ienākot un uzturoties Latvijas Republikas teritoriālā jūrā, iekšējos ūdeņos un ostās”.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CEAAA2F" w14:textId="77777777" w:rsidR="008322A6" w:rsidRDefault="008322A6" w:rsidP="00181D09">
            <w:pPr>
              <w:widowControl w:val="0"/>
              <w:spacing w:after="0" w:line="240" w:lineRule="auto"/>
              <w:jc w:val="both"/>
              <w:rPr>
                <w:rFonts w:ascii="Times New Roman" w:eastAsia="Times New Roman" w:hAnsi="Times New Roman" w:cs="Times New Roman"/>
                <w:b/>
                <w:lang w:eastAsia="lv-LV"/>
              </w:rPr>
            </w:pPr>
            <w:r w:rsidRPr="008322A6">
              <w:rPr>
                <w:rFonts w:ascii="Times New Roman" w:eastAsia="Times New Roman" w:hAnsi="Times New Roman" w:cs="Times New Roman"/>
                <w:b/>
                <w:lang w:eastAsia="lv-LV"/>
              </w:rPr>
              <w:t>Iek</w:t>
            </w:r>
            <w:r>
              <w:rPr>
                <w:rFonts w:ascii="Times New Roman" w:eastAsia="Times New Roman" w:hAnsi="Times New Roman" w:cs="Times New Roman"/>
                <w:b/>
                <w:lang w:eastAsia="lv-LV"/>
              </w:rPr>
              <w:t>šlietu ministrijas 12.10.2020. 3</w:t>
            </w:r>
            <w:r w:rsidRPr="008322A6">
              <w:rPr>
                <w:rFonts w:ascii="Times New Roman" w:eastAsia="Times New Roman" w:hAnsi="Times New Roman" w:cs="Times New Roman"/>
                <w:b/>
                <w:lang w:eastAsia="lv-LV"/>
              </w:rPr>
              <w:t>.iebildums:</w:t>
            </w:r>
          </w:p>
          <w:p w14:paraId="53CC73C7" w14:textId="1D8D94B0"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3)</w:t>
            </w:r>
            <w:r w:rsidRPr="008322A6">
              <w:rPr>
                <w:rFonts w:ascii="Times New Roman" w:eastAsia="Times New Roman" w:hAnsi="Times New Roman" w:cs="Times New Roman"/>
                <w:lang w:eastAsia="lv-LV"/>
              </w:rPr>
              <w:tab/>
              <w:t xml:space="preserve">Precizēt projekta sākotnējās ietekmes novērtējuma ziņojuma (anotācijas) </w:t>
            </w:r>
            <w:proofErr w:type="spellStart"/>
            <w:r w:rsidRPr="008322A6">
              <w:rPr>
                <w:rFonts w:ascii="Times New Roman" w:eastAsia="Times New Roman" w:hAnsi="Times New Roman" w:cs="Times New Roman"/>
                <w:lang w:eastAsia="lv-LV"/>
              </w:rPr>
              <w:t>I.sadaļas</w:t>
            </w:r>
            <w:proofErr w:type="spellEnd"/>
            <w:r w:rsidRPr="008322A6">
              <w:rPr>
                <w:rFonts w:ascii="Times New Roman" w:eastAsia="Times New Roman" w:hAnsi="Times New Roman" w:cs="Times New Roman"/>
                <w:lang w:eastAsia="lv-LV"/>
              </w:rPr>
              <w:t xml:space="preserve"> 2. punktā ietvertos vārdus “valsts dienestu kuģi, nākot no ārvalstīm, kas nav ES un NATO sastāvā, jo nav noteiktas konkrētas prasības pret minētajiem kuģiem, kas tiem jāievēro, ienākot un uzturoties Latvijas Republikas teritoriālā jūrā, iekšējos ūdeņos un ostās”. Proti, Latvijas Republikas valsts robežas likuma 1. pants nesatur terminu “ārvalsts”, bet satur terminu “dalībvalsts” un “trešā valsts”. Attiecīgi robežkontroles kontekstā ir nošķirama Eiropas Savienības iekšējo un Eiropas Savienības ārējo robežu šķērsošana. Proti, ceļojot pa ūdeni no vienas Eiropas Savienības dalībvalsts uz citu Eiropas Savienības dalībvalsti, tiek šķērsota ārējā robeža, kas nozīmē, ka iestājas pakļautība robežkontrolei. Līdzīgi arī MK noteikumu Nr. 108 7. punkts paredz, ka Aizsardzības ministrijai </w:t>
            </w:r>
            <w:r w:rsidRPr="008322A6">
              <w:rPr>
                <w:rFonts w:ascii="Times New Roman" w:eastAsia="Times New Roman" w:hAnsi="Times New Roman" w:cs="Times New Roman"/>
                <w:lang w:eastAsia="lv-LV"/>
              </w:rPr>
              <w:lastRenderedPageBreak/>
              <w:t>atļaujas izsniegšanai tiek nosūtīts tikai tādu kuģa karoga valstu pieprasījumi, kas nav Eiropas Savienības vai NATO dalībvalsts. Vienlaikus MK noteikumu Nr. 108 27.punkts nosaka atļauju saņemšanas atvieglojumus noteiktu kategoriju NATO karakuģu ienākšanai. MK noteikumi Nr. 108 nesatur analogus atvieglojumus Eiropas Savienības valstu karakuģu ienākšanai vai karakuģu ienākšanai no valstīm, kas ir gan Eiropas Savienības, gan NATO sastāvā.</w:t>
            </w:r>
          </w:p>
          <w:p w14:paraId="65827CA5" w14:textId="77777777"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 xml:space="preserve">Līdz ar to, ņemot vērā, ka projekta sākotnējās ietekmes novērtējuma ziņojuma (anotācijas) I. sadaļas 2. punktā (1. lpp.) ir noteikts “valsts dienestu kuģi, tāpat kā karakuģi, realizē valsts politiku un tiem atbilstoši Jūras tiesību konvencijai ir līdzvērtīgs statuss, atrodoties citas valsts teritorijā, tādējādi nepieciešams noteikt līdzvērtīgu kārtību” nepieciešams precizēt projekta sākotnējās ietekmes novērtējuma ziņojuma (anotācijas) I. sadaļas 2. punktā (2.lpp.) ietvertos vārdus “nākot no ārvalstīm, kas nav ES un NATO sastāvā”, aizstājot, piemēram, ar vārdiem “kas kuģo ar valsts, kas nav ES vai NATO dalībvalsts, karogu”. Proti, valsts kas nav Eiropas Savienības un NATO sastāvā, var būt, piemēram, Somija, Austrija u.c., jo, lai gan ir Eiropas Savienības dalībvalstis, tās nav NATO sastāvā. Vienlaikus ienākšanas kārtību Latvijas Republikā nosaka nevis valsts, kas ir ceļojuma sākums esamība Eiropas Savienības vai NATO sastāvā, bet gan tās kuģa karoga valsts esamība Eiropas Savienības vai NATO sastāvā, kas attiecīgo ceļojumu sāks, jo, kā jau minēts iepriekš, </w:t>
            </w:r>
            <w:r w:rsidRPr="008322A6">
              <w:rPr>
                <w:rFonts w:ascii="Times New Roman" w:eastAsia="Times New Roman" w:hAnsi="Times New Roman" w:cs="Times New Roman"/>
                <w:lang w:eastAsia="lv-LV"/>
              </w:rPr>
              <w:lastRenderedPageBreak/>
              <w:t>var būt situācija, ka valsts dienesta kuģis, šķērsojot ārējo robežu, ceļos no vienas Eiropas Savienības dalībvalsts uz citu Eiropas Savienības dalībvalsti, pārstāvot karoga valsti, kas nav Eiropas Savienības un NATO dalībvalsts.</w:t>
            </w:r>
          </w:p>
          <w:p w14:paraId="5F85E9AD" w14:textId="59F4C099"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Vienlaikus nepieciešams precizēt projekta sākotnējās ietekmes novērtējuma ziņojuma (anotācijas) I. sadaļas 2. punktā (2. lpp.) vārdus “jo nav noteiktas konkrētas prasības pret minētajiem kuģiem, kas tiem jāievēro, ienākot un uzturoties Latvijas Republikas teritoriālā jūrā, iekšējos ūdeņos un ostās”, aizstājot, piemēram, ar vārdiem “jo atšķirībā no karakuģiem nav noteikta konkrēta kārtība, kādā attiecīgie kuģi ienāk un uzturas Latvijas Republikas teritoriālā jūrā, iekšējos ūdeņos, ostās un iziet no tām”. Proti, kā noteikts iepriekš, lai gan MK noteikumu Nr. 339 8. punkts kopsakarā ar 8.1. apakšpunktu nosaka, ka 2.1. apakšnodaļa uz attiecīgajiem kuģiem nav attiecināma, pārējais noteikumu tvērums, ja vien Latvijas Republikai saistošajos starptautiskajos tiesību aktos nav noteikts citādi, ir saistošs. Tāpat saistošas ir arī ANO Jūras tiesību konvencijas normas, tostarp par attiecīgo kuģu pārvietošanās nosacījumiem, kā arī valstu teritoriālo ūdeņu šķērsošanu.”</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2F627E1F" w14:textId="0D3EC5DD" w:rsidR="008322A6" w:rsidRPr="00982C0F" w:rsidRDefault="00704872"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4A4827B1" w14:textId="77777777" w:rsidR="008322A6" w:rsidRDefault="00704872" w:rsidP="00181D09">
            <w:pPr>
              <w:spacing w:after="0" w:line="240" w:lineRule="auto"/>
              <w:jc w:val="both"/>
              <w:rPr>
                <w:rFonts w:ascii="Times New Roman" w:eastAsia="Times New Roman" w:hAnsi="Times New Roman" w:cs="Times New Roman"/>
                <w:lang w:eastAsia="lv-LV"/>
              </w:rPr>
            </w:pPr>
            <w:r w:rsidRPr="00704872">
              <w:rPr>
                <w:rFonts w:ascii="Times New Roman" w:eastAsia="Times New Roman" w:hAnsi="Times New Roman" w:cs="Times New Roman"/>
                <w:lang w:eastAsia="lv-LV"/>
              </w:rPr>
              <w:t>P</w:t>
            </w:r>
            <w:r>
              <w:rPr>
                <w:rFonts w:ascii="Times New Roman" w:eastAsia="Times New Roman" w:hAnsi="Times New Roman" w:cs="Times New Roman"/>
                <w:lang w:eastAsia="lv-LV"/>
              </w:rPr>
              <w:t>recizēts p</w:t>
            </w:r>
            <w:r w:rsidRPr="00704872">
              <w:rPr>
                <w:rFonts w:ascii="Times New Roman" w:eastAsia="Times New Roman" w:hAnsi="Times New Roman" w:cs="Times New Roman"/>
                <w:lang w:eastAsia="lv-LV"/>
              </w:rPr>
              <w:t xml:space="preserve">rojekta sākotnējās ietekmes novērtējuma ziņojuma </w:t>
            </w:r>
            <w:r>
              <w:rPr>
                <w:rFonts w:ascii="Times New Roman" w:eastAsia="Times New Roman" w:hAnsi="Times New Roman" w:cs="Times New Roman"/>
                <w:lang w:eastAsia="lv-LV"/>
              </w:rPr>
              <w:t xml:space="preserve">(anotācijas)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punkts:</w:t>
            </w:r>
          </w:p>
          <w:p w14:paraId="5D94CF2B" w14:textId="77777777" w:rsidR="00704872" w:rsidRDefault="00704872" w:rsidP="00181D09">
            <w:pPr>
              <w:spacing w:after="0" w:line="240" w:lineRule="auto"/>
              <w:jc w:val="both"/>
              <w:rPr>
                <w:rFonts w:ascii="Times New Roman" w:eastAsia="Times New Roman" w:hAnsi="Times New Roman" w:cs="Times New Roman"/>
                <w:lang w:eastAsia="lv-LV"/>
              </w:rPr>
            </w:pPr>
          </w:p>
          <w:p w14:paraId="708D30CB" w14:textId="4ED2F33D" w:rsidR="00704872" w:rsidRPr="00982C0F" w:rsidRDefault="00704872" w:rsidP="00E9360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E93602" w:rsidRPr="00E93602">
              <w:rPr>
                <w:rFonts w:ascii="Times New Roman" w:eastAsia="Times New Roman" w:hAnsi="Times New Roman" w:cs="Times New Roman"/>
                <w:lang w:eastAsia="lv-LV"/>
              </w:rPr>
              <w:t xml:space="preserve">Ir konstatēta nepilnība normatīvajos aktos ārpus </w:t>
            </w:r>
            <w:proofErr w:type="spellStart"/>
            <w:r w:rsidR="00E93602" w:rsidRPr="00E93602">
              <w:rPr>
                <w:rFonts w:ascii="Times New Roman" w:eastAsia="Times New Roman" w:hAnsi="Times New Roman" w:cs="Times New Roman"/>
                <w:lang w:eastAsia="lv-LV"/>
              </w:rPr>
              <w:t>robežpārbaudes</w:t>
            </w:r>
            <w:proofErr w:type="spellEnd"/>
            <w:r w:rsidR="00E93602" w:rsidRPr="00E93602">
              <w:rPr>
                <w:rFonts w:ascii="Times New Roman" w:eastAsia="Times New Roman" w:hAnsi="Times New Roman" w:cs="Times New Roman"/>
                <w:lang w:eastAsia="lv-LV"/>
              </w:rPr>
              <w:t xml:space="preserve"> un </w:t>
            </w:r>
            <w:proofErr w:type="spellStart"/>
            <w:r w:rsidR="00E93602" w:rsidRPr="00E93602">
              <w:rPr>
                <w:rFonts w:ascii="Times New Roman" w:eastAsia="Times New Roman" w:hAnsi="Times New Roman" w:cs="Times New Roman"/>
                <w:lang w:eastAsia="lv-LV"/>
              </w:rPr>
              <w:t>robežšķērsošanas</w:t>
            </w:r>
            <w:proofErr w:type="spellEnd"/>
            <w:r w:rsidR="00E93602" w:rsidRPr="00E93602">
              <w:rPr>
                <w:rFonts w:ascii="Times New Roman" w:eastAsia="Times New Roman" w:hAnsi="Times New Roman" w:cs="Times New Roman"/>
                <w:lang w:eastAsia="lv-LV"/>
              </w:rPr>
              <w:t xml:space="preserve"> noteikumiem. Nav noteikta kārtība, kādā Latvijas Republikas  teritoriālajā jūrā, iekšējos ūdeņos un ostās ierodas un uzturas ārvalstu valsts dienestu kuģi, kas nav karakuģi. Ņemot vērā ģeopolitisko situāciju, pastāv arī bažas, ka šo regulējuma nepilnību var izmantot kaitnieciskiem mērķim valsts dienestu kuģi, kas kuģo ar valsts, kas nav ES vai NATO dalībvalsts, karogu un ienāk no </w:t>
            </w:r>
            <w:r w:rsidR="00E93602" w:rsidRPr="00E93602">
              <w:rPr>
                <w:rFonts w:ascii="Times New Roman" w:eastAsia="Times New Roman" w:hAnsi="Times New Roman" w:cs="Times New Roman"/>
                <w:lang w:eastAsia="lv-LV"/>
              </w:rPr>
              <w:lastRenderedPageBreak/>
              <w:t xml:space="preserve">trešajām valstīm, kas nav ES vai NATO dalībvalstis, jo atšķirībā no karakuģiem nav noteikta konkrēta kārtība, kādā attiecīgie kuģi ienāk un uzturas Latvijas Republikas teritoriālajā jūrā, iekšējos ūdeņos un ostās, turklāt ārvalstu valsts dienestu kuģiem ir imunitāte, kas liedz to pārbaudi Latvijas Republikas teritoriālajā jūrā, iekšējos ūdeņos un ostās, savukārt uz ārvalstu valsts dienestu kuģiem esošo personu pakļautību </w:t>
            </w:r>
            <w:proofErr w:type="spellStart"/>
            <w:r w:rsidR="00E93602" w:rsidRPr="00E93602">
              <w:rPr>
                <w:rFonts w:ascii="Times New Roman" w:eastAsia="Times New Roman" w:hAnsi="Times New Roman" w:cs="Times New Roman"/>
                <w:lang w:eastAsia="lv-LV"/>
              </w:rPr>
              <w:t>robežpārbaudēm</w:t>
            </w:r>
            <w:proofErr w:type="spellEnd"/>
            <w:r w:rsidR="00E93602" w:rsidRPr="00E93602">
              <w:rPr>
                <w:rFonts w:ascii="Times New Roman" w:eastAsia="Times New Roman" w:hAnsi="Times New Roman" w:cs="Times New Roman"/>
                <w:lang w:eastAsia="lv-LV"/>
              </w:rPr>
              <w:t>, robežkontroles veikšanas nosacījumus un izņēmumus nosaka Eiropas Parlamenta un Padomes 2016. gada 9. marta Regula (ES) 2016/399 par Savienības Kodeksu par noteikumiem, kas reglamentē personu pārvietošanos pār robežām. Arī valsts drošības iestāžu skatījumā ārvalstu valsts dienestu kuģiem, ienākot no  trešajām valstīm, kas nav ES vai NATO dalībvalstis, būtu nepieciešams veikt kuģu pārbaudi, jo arī šāda veida kuģus ir iespējams izmantot izlūkošanas datu vākšanai un citām aktivitātēm, kas var radīt potenciālu risku Latvijas Republikas drošības interesēm</w:t>
            </w:r>
            <w:r>
              <w:rPr>
                <w:rFonts w:ascii="Times New Roman" w:eastAsia="Times New Roman" w:hAnsi="Times New Roman" w:cs="Times New Roman"/>
                <w:lang w:eastAsia="lv-LV"/>
              </w:rPr>
              <w:t>”</w:t>
            </w:r>
          </w:p>
        </w:tc>
      </w:tr>
      <w:tr w:rsidR="008322A6" w:rsidRPr="00635090" w14:paraId="4684D4AB"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94AA06D" w14:textId="77777777" w:rsidR="008322A6" w:rsidRPr="00982C0F" w:rsidRDefault="008322A6"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EF964DE" w14:textId="2EE9E6B5" w:rsidR="008322A6" w:rsidRDefault="00AB5BF4" w:rsidP="00181D09">
            <w:pPr>
              <w:spacing w:after="0" w:line="240" w:lineRule="auto"/>
              <w:rPr>
                <w:rFonts w:ascii="Times New Roman" w:eastAsia="Times New Roman" w:hAnsi="Times New Roman" w:cs="Times New Roman"/>
                <w:lang w:eastAsia="lv-LV"/>
              </w:rPr>
            </w:pPr>
            <w:r w:rsidRPr="00AB5BF4">
              <w:rPr>
                <w:rFonts w:ascii="Times New Roman" w:eastAsia="Times New Roman" w:hAnsi="Times New Roman" w:cs="Times New Roman"/>
                <w:lang w:eastAsia="lv-LV"/>
              </w:rPr>
              <w:t xml:space="preserve">Projekta sākotnējās ietekmes novērtējuma ziņojuma </w:t>
            </w:r>
            <w:r>
              <w:rPr>
                <w:rFonts w:ascii="Times New Roman" w:eastAsia="Times New Roman" w:hAnsi="Times New Roman" w:cs="Times New Roman"/>
                <w:lang w:eastAsia="lv-LV"/>
              </w:rPr>
              <w:t xml:space="preserve">(anotācijas)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B551C10" w14:textId="77777777" w:rsidR="008322A6" w:rsidRDefault="008322A6" w:rsidP="00181D09">
            <w:pPr>
              <w:widowControl w:val="0"/>
              <w:spacing w:after="0" w:line="240" w:lineRule="auto"/>
              <w:jc w:val="both"/>
              <w:rPr>
                <w:rFonts w:ascii="Times New Roman" w:eastAsia="Times New Roman" w:hAnsi="Times New Roman" w:cs="Times New Roman"/>
                <w:b/>
                <w:lang w:eastAsia="lv-LV"/>
              </w:rPr>
            </w:pPr>
            <w:r w:rsidRPr="008322A6">
              <w:rPr>
                <w:rFonts w:ascii="Times New Roman" w:eastAsia="Times New Roman" w:hAnsi="Times New Roman" w:cs="Times New Roman"/>
                <w:b/>
                <w:lang w:eastAsia="lv-LV"/>
              </w:rPr>
              <w:t>Iek</w:t>
            </w:r>
            <w:r>
              <w:rPr>
                <w:rFonts w:ascii="Times New Roman" w:eastAsia="Times New Roman" w:hAnsi="Times New Roman" w:cs="Times New Roman"/>
                <w:b/>
                <w:lang w:eastAsia="lv-LV"/>
              </w:rPr>
              <w:t>šlietu ministrijas 12.10.2020. 4</w:t>
            </w:r>
            <w:r w:rsidRPr="008322A6">
              <w:rPr>
                <w:rFonts w:ascii="Times New Roman" w:eastAsia="Times New Roman" w:hAnsi="Times New Roman" w:cs="Times New Roman"/>
                <w:b/>
                <w:lang w:eastAsia="lv-LV"/>
              </w:rPr>
              <w:t>.iebildums:</w:t>
            </w:r>
          </w:p>
          <w:p w14:paraId="609F685F" w14:textId="310F124D" w:rsidR="008322A6" w:rsidRPr="008322A6" w:rsidRDefault="008322A6" w:rsidP="00181D09">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t xml:space="preserve"> </w:t>
            </w:r>
            <w:r w:rsidRPr="008322A6">
              <w:rPr>
                <w:rFonts w:ascii="Times New Roman" w:eastAsia="Times New Roman" w:hAnsi="Times New Roman" w:cs="Times New Roman"/>
                <w:lang w:eastAsia="lv-LV"/>
              </w:rPr>
              <w:t>4)</w:t>
            </w:r>
            <w:r w:rsidRPr="008322A6">
              <w:rPr>
                <w:rFonts w:ascii="Times New Roman" w:eastAsia="Times New Roman" w:hAnsi="Times New Roman" w:cs="Times New Roman"/>
                <w:lang w:eastAsia="lv-LV"/>
              </w:rPr>
              <w:tab/>
              <w:t xml:space="preserve">Precizēt projekta sākotnējās ietekmes novērtējuma ziņojuma (anotācijas) </w:t>
            </w:r>
            <w:proofErr w:type="spellStart"/>
            <w:r w:rsidRPr="008322A6">
              <w:rPr>
                <w:rFonts w:ascii="Times New Roman" w:eastAsia="Times New Roman" w:hAnsi="Times New Roman" w:cs="Times New Roman"/>
                <w:lang w:eastAsia="lv-LV"/>
              </w:rPr>
              <w:t>I.sadaļas</w:t>
            </w:r>
            <w:proofErr w:type="spellEnd"/>
            <w:r w:rsidRPr="008322A6">
              <w:rPr>
                <w:rFonts w:ascii="Times New Roman" w:eastAsia="Times New Roman" w:hAnsi="Times New Roman" w:cs="Times New Roman"/>
                <w:lang w:eastAsia="lv-LV"/>
              </w:rPr>
              <w:t xml:space="preserve"> 2. punktā (2. lpp.) vārdus “citu valstu”, jo attiecīgs termins netiek lietots Latvijas Republikas valsts robežas likumā, projektā, kā arī citviet projekta </w:t>
            </w:r>
            <w:r w:rsidRPr="008322A6">
              <w:rPr>
                <w:rFonts w:ascii="Times New Roman" w:eastAsia="Times New Roman" w:hAnsi="Times New Roman" w:cs="Times New Roman"/>
                <w:lang w:eastAsia="lv-LV"/>
              </w:rPr>
              <w:lastRenderedPageBreak/>
              <w:t>sākotnējās ietekmes novērtējuma ziņojumā (anotācijā). Turklāt vērā ņemama arī vārdu “cita valsts” konsekvence ar attiecīgā teikuma sākumā lietotajiem vārdiem “nākot no ārvalsts, kas nav ES un NATO sastāvā”. Proti, vai ar vārdiem “cita valsts” ir domāta jebkura valsts, kas nav Latvijas Republika, vai arī tā ir valsts, kas nav ES un NATO sastāvā.”</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E73E88A" w14:textId="51935B04" w:rsidR="008322A6" w:rsidRPr="00982C0F" w:rsidRDefault="00AB5BF4"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732A3D11" w14:textId="77777777" w:rsidR="00BA19E0" w:rsidRPr="00BA19E0" w:rsidRDefault="00BA19E0" w:rsidP="00BA19E0">
            <w:pPr>
              <w:spacing w:after="0" w:line="240" w:lineRule="auto"/>
              <w:jc w:val="both"/>
              <w:rPr>
                <w:rFonts w:ascii="Times New Roman" w:eastAsia="Times New Roman" w:hAnsi="Times New Roman" w:cs="Times New Roman"/>
                <w:lang w:eastAsia="lv-LV"/>
              </w:rPr>
            </w:pPr>
            <w:r w:rsidRPr="00BA19E0">
              <w:rPr>
                <w:rFonts w:ascii="Times New Roman" w:eastAsia="Times New Roman" w:hAnsi="Times New Roman" w:cs="Times New Roman"/>
                <w:lang w:eastAsia="lv-LV"/>
              </w:rPr>
              <w:t xml:space="preserve">Precizēts projekta sākotnējās ietekmes novērtējuma ziņojuma (anotācijas) </w:t>
            </w:r>
            <w:proofErr w:type="spellStart"/>
            <w:r w:rsidRPr="00BA19E0">
              <w:rPr>
                <w:rFonts w:ascii="Times New Roman" w:eastAsia="Times New Roman" w:hAnsi="Times New Roman" w:cs="Times New Roman"/>
                <w:lang w:eastAsia="lv-LV"/>
              </w:rPr>
              <w:t>I.sadaļas</w:t>
            </w:r>
            <w:proofErr w:type="spellEnd"/>
            <w:r w:rsidRPr="00BA19E0">
              <w:rPr>
                <w:rFonts w:ascii="Times New Roman" w:eastAsia="Times New Roman" w:hAnsi="Times New Roman" w:cs="Times New Roman"/>
                <w:lang w:eastAsia="lv-LV"/>
              </w:rPr>
              <w:t xml:space="preserve"> 2. punkts:</w:t>
            </w:r>
          </w:p>
          <w:p w14:paraId="3675BBAC" w14:textId="77777777" w:rsidR="00BA19E0" w:rsidRPr="00BA19E0" w:rsidRDefault="00BA19E0" w:rsidP="00BA19E0">
            <w:pPr>
              <w:spacing w:after="0" w:line="240" w:lineRule="auto"/>
              <w:jc w:val="both"/>
              <w:rPr>
                <w:rFonts w:ascii="Times New Roman" w:eastAsia="Times New Roman" w:hAnsi="Times New Roman" w:cs="Times New Roman"/>
                <w:lang w:eastAsia="lv-LV"/>
              </w:rPr>
            </w:pPr>
          </w:p>
          <w:p w14:paraId="1FACE2C8" w14:textId="2E3CEBDD" w:rsidR="008322A6" w:rsidRPr="00982C0F" w:rsidRDefault="00BA19E0" w:rsidP="00E93602">
            <w:pPr>
              <w:spacing w:after="0" w:line="240" w:lineRule="auto"/>
              <w:jc w:val="both"/>
              <w:rPr>
                <w:rFonts w:ascii="Times New Roman" w:eastAsia="Times New Roman" w:hAnsi="Times New Roman" w:cs="Times New Roman"/>
                <w:lang w:eastAsia="lv-LV"/>
              </w:rPr>
            </w:pPr>
            <w:r w:rsidRPr="00BA19E0">
              <w:rPr>
                <w:rFonts w:ascii="Times New Roman" w:eastAsia="Times New Roman" w:hAnsi="Times New Roman" w:cs="Times New Roman"/>
                <w:lang w:eastAsia="lv-LV"/>
              </w:rPr>
              <w:t>“</w:t>
            </w:r>
            <w:r w:rsidR="00E93602" w:rsidRPr="00E93602">
              <w:rPr>
                <w:rFonts w:ascii="Times New Roman" w:eastAsia="Times New Roman" w:hAnsi="Times New Roman" w:cs="Times New Roman"/>
                <w:lang w:eastAsia="lv-LV"/>
              </w:rPr>
              <w:t xml:space="preserve">Ir konstatēta nepilnība normatīvajos aktos ārpus </w:t>
            </w:r>
            <w:proofErr w:type="spellStart"/>
            <w:r w:rsidR="00E93602" w:rsidRPr="00E93602">
              <w:rPr>
                <w:rFonts w:ascii="Times New Roman" w:eastAsia="Times New Roman" w:hAnsi="Times New Roman" w:cs="Times New Roman"/>
                <w:lang w:eastAsia="lv-LV"/>
              </w:rPr>
              <w:lastRenderedPageBreak/>
              <w:t>robežpārbaudes</w:t>
            </w:r>
            <w:proofErr w:type="spellEnd"/>
            <w:r w:rsidR="00E93602" w:rsidRPr="00E93602">
              <w:rPr>
                <w:rFonts w:ascii="Times New Roman" w:eastAsia="Times New Roman" w:hAnsi="Times New Roman" w:cs="Times New Roman"/>
                <w:lang w:eastAsia="lv-LV"/>
              </w:rPr>
              <w:t xml:space="preserve"> un </w:t>
            </w:r>
            <w:proofErr w:type="spellStart"/>
            <w:r w:rsidR="00E93602" w:rsidRPr="00E93602">
              <w:rPr>
                <w:rFonts w:ascii="Times New Roman" w:eastAsia="Times New Roman" w:hAnsi="Times New Roman" w:cs="Times New Roman"/>
                <w:lang w:eastAsia="lv-LV"/>
              </w:rPr>
              <w:t>robežšķērsošanas</w:t>
            </w:r>
            <w:proofErr w:type="spellEnd"/>
            <w:r w:rsidR="00E93602" w:rsidRPr="00E93602">
              <w:rPr>
                <w:rFonts w:ascii="Times New Roman" w:eastAsia="Times New Roman" w:hAnsi="Times New Roman" w:cs="Times New Roman"/>
                <w:lang w:eastAsia="lv-LV"/>
              </w:rPr>
              <w:t xml:space="preserve"> noteikumiem. Nav noteikta kārtība, kādā Latvijas Republikas  teritoriālajā jūrā, iekšējos ūdeņos un ostās ierodas un uzturas ārvalstu valsts dienestu kuģi, kas nav karakuģi. Ņemot vērā ģeopolitisko situāciju, pastāv arī bažas, ka šo regulējuma nepilnību var izmantot kaitnieciskiem mērķim valsts dienestu kuģi, kas kuģo ar valsts, kas nav ES vai NATO dalībvalsts, karogu un ienāk no trešajām valstīm, kas nav ES vai NATO dalībvalstis, jo atšķirībā no karakuģiem nav noteikta konkrēta kārtība, kādā attiecīgie kuģi ienāk un uzturas Latvijas Republikas teritoriālajā jūrā, iekšējos ūdeņos un ostās, turklāt ārvalstu valsts dienestu kuģiem ir imunitāte, kas liedz to pārbaudi Latvijas Republikas teritoriālajā jūrā, iekšējos ūdeņos un ostās, savukārt uz ārvalstu valsts dienestu kuģiem esošo personu pakļautību </w:t>
            </w:r>
            <w:proofErr w:type="spellStart"/>
            <w:r w:rsidR="00E93602" w:rsidRPr="00E93602">
              <w:rPr>
                <w:rFonts w:ascii="Times New Roman" w:eastAsia="Times New Roman" w:hAnsi="Times New Roman" w:cs="Times New Roman"/>
                <w:lang w:eastAsia="lv-LV"/>
              </w:rPr>
              <w:t>robežpārbaudēm</w:t>
            </w:r>
            <w:proofErr w:type="spellEnd"/>
            <w:r w:rsidR="00E93602" w:rsidRPr="00E93602">
              <w:rPr>
                <w:rFonts w:ascii="Times New Roman" w:eastAsia="Times New Roman" w:hAnsi="Times New Roman" w:cs="Times New Roman"/>
                <w:lang w:eastAsia="lv-LV"/>
              </w:rPr>
              <w:t xml:space="preserve">, robežkontroles veikšanas nosacījumus un izņēmumus nosaka Eiropas Parlamenta un Padomes 2016. gada 9. marta Regula (ES) 2016/399 par Savienības Kodeksu par noteikumiem, kas reglamentē </w:t>
            </w:r>
            <w:r w:rsidR="00E93602" w:rsidRPr="00E93602">
              <w:rPr>
                <w:rFonts w:ascii="Times New Roman" w:eastAsia="Times New Roman" w:hAnsi="Times New Roman" w:cs="Times New Roman"/>
                <w:lang w:eastAsia="lv-LV"/>
              </w:rPr>
              <w:lastRenderedPageBreak/>
              <w:t>personu pārvietošanos pār robežām. Arī valsts drošības iestāžu skatījumā ārvalstu valsts dienestu kuģiem, ienākot no  trešajām valstīm, kas nav ES vai NATO dalībvalstis, būtu nepieciešams veikt kuģu pārbaudi, jo arī šāda veida kuģus ir iespējams izmantot izlūkošanas datu vākšanai un citām aktivitātēm, kas var radīt potenciālu risku Latvijas Republikas drošības interesēm</w:t>
            </w:r>
            <w:r w:rsidR="00E93602">
              <w:rPr>
                <w:rFonts w:ascii="Times New Roman" w:eastAsia="Times New Roman" w:hAnsi="Times New Roman" w:cs="Times New Roman"/>
                <w:lang w:eastAsia="lv-LV"/>
              </w:rPr>
              <w:t>”</w:t>
            </w:r>
            <w:r w:rsidRPr="00BA19E0">
              <w:rPr>
                <w:rFonts w:ascii="Times New Roman" w:eastAsia="Times New Roman" w:hAnsi="Times New Roman" w:cs="Times New Roman"/>
                <w:lang w:eastAsia="lv-LV"/>
              </w:rPr>
              <w:t xml:space="preserve"> </w:t>
            </w:r>
          </w:p>
        </w:tc>
      </w:tr>
      <w:tr w:rsidR="008322A6" w:rsidRPr="00635090" w14:paraId="22A8920C"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C0323F3" w14:textId="77777777" w:rsidR="008322A6" w:rsidRPr="00982C0F" w:rsidRDefault="008322A6"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F871139" w14:textId="63556683" w:rsidR="008322A6" w:rsidRDefault="00AB5BF4" w:rsidP="00181D09">
            <w:pPr>
              <w:spacing w:after="0" w:line="240" w:lineRule="auto"/>
              <w:rPr>
                <w:rFonts w:ascii="Times New Roman" w:eastAsia="Times New Roman" w:hAnsi="Times New Roman" w:cs="Times New Roman"/>
                <w:lang w:eastAsia="lv-LV"/>
              </w:rPr>
            </w:pPr>
            <w:r w:rsidRPr="00AB5BF4">
              <w:rPr>
                <w:rFonts w:ascii="Times New Roman" w:eastAsia="Times New Roman" w:hAnsi="Times New Roman" w:cs="Times New Roman"/>
                <w:lang w:eastAsia="lv-LV"/>
              </w:rPr>
              <w:t xml:space="preserve">Projekta sākotnējās ietekmes novērtējuma ziņojuma </w:t>
            </w:r>
            <w:r>
              <w:rPr>
                <w:rFonts w:ascii="Times New Roman" w:eastAsia="Times New Roman" w:hAnsi="Times New Roman" w:cs="Times New Roman"/>
                <w:lang w:eastAsia="lv-LV"/>
              </w:rPr>
              <w:t xml:space="preserve">(anotācijas) </w:t>
            </w:r>
            <w:proofErr w:type="spellStart"/>
            <w:r>
              <w:rPr>
                <w:rFonts w:ascii="Times New Roman" w:eastAsia="Times New Roman" w:hAnsi="Times New Roman" w:cs="Times New Roman"/>
                <w:lang w:eastAsia="lv-LV"/>
              </w:rPr>
              <w:t>I.sadaļas</w:t>
            </w:r>
            <w:proofErr w:type="spellEnd"/>
            <w:r>
              <w:rPr>
                <w:rFonts w:ascii="Times New Roman" w:eastAsia="Times New Roman" w:hAnsi="Times New Roman" w:cs="Times New Roman"/>
                <w:lang w:eastAsia="lv-LV"/>
              </w:rPr>
              <w:t xml:space="preserve"> 2.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C8E31DD" w14:textId="77777777" w:rsidR="008322A6" w:rsidRDefault="008322A6" w:rsidP="00181D09">
            <w:pPr>
              <w:widowControl w:val="0"/>
              <w:spacing w:after="0" w:line="240" w:lineRule="auto"/>
              <w:jc w:val="both"/>
              <w:rPr>
                <w:rFonts w:ascii="Times New Roman" w:eastAsia="Times New Roman" w:hAnsi="Times New Roman" w:cs="Times New Roman"/>
                <w:b/>
                <w:lang w:eastAsia="lv-LV"/>
              </w:rPr>
            </w:pPr>
            <w:r w:rsidRPr="008322A6">
              <w:rPr>
                <w:rFonts w:ascii="Times New Roman" w:eastAsia="Times New Roman" w:hAnsi="Times New Roman" w:cs="Times New Roman"/>
                <w:b/>
                <w:lang w:eastAsia="lv-LV"/>
              </w:rPr>
              <w:t>Iek</w:t>
            </w:r>
            <w:r>
              <w:rPr>
                <w:rFonts w:ascii="Times New Roman" w:eastAsia="Times New Roman" w:hAnsi="Times New Roman" w:cs="Times New Roman"/>
                <w:b/>
                <w:lang w:eastAsia="lv-LV"/>
              </w:rPr>
              <w:t>šlietu ministrijas 12.10.2020. 5</w:t>
            </w:r>
            <w:r w:rsidRPr="008322A6">
              <w:rPr>
                <w:rFonts w:ascii="Times New Roman" w:eastAsia="Times New Roman" w:hAnsi="Times New Roman" w:cs="Times New Roman"/>
                <w:b/>
                <w:lang w:eastAsia="lv-LV"/>
              </w:rPr>
              <w:t>.iebildums:</w:t>
            </w:r>
          </w:p>
          <w:p w14:paraId="6F767C2F" w14:textId="6CFF2BAD" w:rsidR="008322A6" w:rsidRPr="008322A6" w:rsidRDefault="008322A6" w:rsidP="008322A6">
            <w:pPr>
              <w:widowControl w:val="0"/>
              <w:spacing w:after="0" w:line="240" w:lineRule="auto"/>
              <w:jc w:val="both"/>
              <w:rPr>
                <w:rFonts w:ascii="Times New Roman" w:eastAsia="Times New Roman" w:hAnsi="Times New Roman" w:cs="Times New Roman"/>
                <w:lang w:eastAsia="lv-LV"/>
              </w:rPr>
            </w:pPr>
            <w:r w:rsidRPr="008322A6">
              <w:rPr>
                <w:rFonts w:ascii="Times New Roman" w:eastAsia="Times New Roman" w:hAnsi="Times New Roman" w:cs="Times New Roman"/>
                <w:lang w:eastAsia="lv-LV"/>
              </w:rPr>
              <w:t>“</w:t>
            </w:r>
            <w:r w:rsidRPr="008322A6">
              <w:t xml:space="preserve"> </w:t>
            </w:r>
            <w:r w:rsidRPr="008322A6">
              <w:rPr>
                <w:rFonts w:ascii="Times New Roman" w:eastAsia="Times New Roman" w:hAnsi="Times New Roman" w:cs="Times New Roman"/>
                <w:lang w:eastAsia="lv-LV"/>
              </w:rPr>
              <w:t>5)</w:t>
            </w:r>
            <w:r w:rsidRPr="008322A6">
              <w:rPr>
                <w:rFonts w:ascii="Times New Roman" w:eastAsia="Times New Roman" w:hAnsi="Times New Roman" w:cs="Times New Roman"/>
                <w:lang w:eastAsia="lv-LV"/>
              </w:rPr>
              <w:tab/>
              <w:t xml:space="preserve">Precizēt projekta sākotnējās ietekmes novērtējuma ziņojuma (anotācijas) </w:t>
            </w:r>
            <w:proofErr w:type="spellStart"/>
            <w:r w:rsidRPr="008322A6">
              <w:rPr>
                <w:rFonts w:ascii="Times New Roman" w:eastAsia="Times New Roman" w:hAnsi="Times New Roman" w:cs="Times New Roman"/>
                <w:lang w:eastAsia="lv-LV"/>
              </w:rPr>
              <w:t>I.sadaļas</w:t>
            </w:r>
            <w:proofErr w:type="spellEnd"/>
            <w:r w:rsidRPr="008322A6">
              <w:rPr>
                <w:rFonts w:ascii="Times New Roman" w:eastAsia="Times New Roman" w:hAnsi="Times New Roman" w:cs="Times New Roman"/>
                <w:lang w:eastAsia="lv-LV"/>
              </w:rPr>
              <w:t xml:space="preserve"> 2. punktā (2. lpp.) vārdus “citu valstu valsts dienestu kuģiem ir imunitāte, kas liedz to pārbaudi Latvijas Republikas teritoriālajā jūrā, iekšējos ūdeņos un ostās, taču tas neattiecas uz robežkontroli” kontekstā ar attiecīgajā teikumā iepriekš lietotajiem vārdiem “nākot no ārvalsts, kas nav ES un NATO sastāvā”. Proti, kā minēts iepriekš, robežkontroles kontekstā ir nošķirama Eiropas Savienības iekšējo un Eiropas Savienības ārējo robežu šķērsošana neatkarīgi no tā, vai kuģa karoga valsts ir ES dalībvalsts vai NATO dalībvalsts. </w:t>
            </w:r>
          </w:p>
          <w:p w14:paraId="6BAC796B" w14:textId="2F871A0D" w:rsidR="008322A6" w:rsidRDefault="008322A6" w:rsidP="008322A6">
            <w:pPr>
              <w:widowControl w:val="0"/>
              <w:spacing w:after="0" w:line="240" w:lineRule="auto"/>
              <w:jc w:val="both"/>
              <w:rPr>
                <w:rFonts w:ascii="Times New Roman" w:eastAsia="Times New Roman" w:hAnsi="Times New Roman" w:cs="Times New Roman"/>
                <w:b/>
                <w:lang w:eastAsia="lv-LV"/>
              </w:rPr>
            </w:pPr>
            <w:r w:rsidRPr="008322A6">
              <w:rPr>
                <w:rFonts w:ascii="Times New Roman" w:eastAsia="Times New Roman" w:hAnsi="Times New Roman" w:cs="Times New Roman"/>
                <w:lang w:eastAsia="lv-LV"/>
              </w:rPr>
              <w:t xml:space="preserve">Līdz ar to vārdi “citu valstu valsts dienestu kuģiem ir imunitāte, kas liedz to pārbaudi Latvijas Republikas teritoriālajā jūrā, iekšējos ūdeņos un ostās, taču tas neattiecas uz robežkontroli”, nosakot, ka uz ārvalstu valsts dienesta kuģiem esošo personu pakļautību </w:t>
            </w:r>
            <w:proofErr w:type="spellStart"/>
            <w:r w:rsidRPr="008322A6">
              <w:rPr>
                <w:rFonts w:ascii="Times New Roman" w:eastAsia="Times New Roman" w:hAnsi="Times New Roman" w:cs="Times New Roman"/>
                <w:lang w:eastAsia="lv-LV"/>
              </w:rPr>
              <w:t>robežpārbaudēm</w:t>
            </w:r>
            <w:proofErr w:type="spellEnd"/>
            <w:r w:rsidRPr="008322A6">
              <w:rPr>
                <w:rFonts w:ascii="Times New Roman" w:eastAsia="Times New Roman" w:hAnsi="Times New Roman" w:cs="Times New Roman"/>
                <w:lang w:eastAsia="lv-LV"/>
              </w:rPr>
              <w:t xml:space="preserve">, robežkontroles veikšanas nosacījumus un attiecīgi </w:t>
            </w:r>
            <w:r w:rsidRPr="008322A6">
              <w:rPr>
                <w:rFonts w:ascii="Times New Roman" w:eastAsia="Times New Roman" w:hAnsi="Times New Roman" w:cs="Times New Roman"/>
                <w:lang w:eastAsia="lv-LV"/>
              </w:rPr>
              <w:lastRenderedPageBreak/>
              <w:t>arī izņēmumus nosaka Eiropas Parlamenta un Padomes 2016. gada 9.marta Regula (ES) 2016/399 par Savienības Kodeksu par noteikumiem, kas reglamentē personu pārvietošanos pār robežām.”</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2BAE32C" w14:textId="0F9ED4D3" w:rsidR="008322A6" w:rsidRPr="00982C0F" w:rsidRDefault="00AB5BF4"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255AB8D1" w14:textId="77777777" w:rsidR="008322A6" w:rsidRDefault="00AB5BF4" w:rsidP="00181D09">
            <w:pPr>
              <w:spacing w:after="0" w:line="240" w:lineRule="auto"/>
              <w:jc w:val="both"/>
              <w:rPr>
                <w:rFonts w:ascii="Times New Roman" w:eastAsia="Times New Roman" w:hAnsi="Times New Roman" w:cs="Times New Roman"/>
                <w:lang w:eastAsia="lv-LV"/>
              </w:rPr>
            </w:pPr>
            <w:r w:rsidRPr="00AB5BF4">
              <w:rPr>
                <w:rFonts w:ascii="Times New Roman" w:eastAsia="Times New Roman" w:hAnsi="Times New Roman" w:cs="Times New Roman"/>
                <w:lang w:eastAsia="lv-LV"/>
              </w:rPr>
              <w:t xml:space="preserve">Precizēts projekta sākotnējās ietekmes novērtējuma ziņojuma (anotācijas) </w:t>
            </w:r>
            <w:proofErr w:type="spellStart"/>
            <w:r w:rsidRPr="00AB5BF4">
              <w:rPr>
                <w:rFonts w:ascii="Times New Roman" w:eastAsia="Times New Roman" w:hAnsi="Times New Roman" w:cs="Times New Roman"/>
                <w:lang w:eastAsia="lv-LV"/>
              </w:rPr>
              <w:t>I.sadaļas</w:t>
            </w:r>
            <w:proofErr w:type="spellEnd"/>
            <w:r w:rsidRPr="00AB5BF4">
              <w:rPr>
                <w:rFonts w:ascii="Times New Roman" w:eastAsia="Times New Roman" w:hAnsi="Times New Roman" w:cs="Times New Roman"/>
                <w:lang w:eastAsia="lv-LV"/>
              </w:rPr>
              <w:t xml:space="preserve"> 2. punkts:</w:t>
            </w:r>
          </w:p>
          <w:p w14:paraId="483C588C" w14:textId="77777777" w:rsidR="00AB5BF4" w:rsidRDefault="00AB5BF4" w:rsidP="00181D09">
            <w:pPr>
              <w:spacing w:after="0" w:line="240" w:lineRule="auto"/>
              <w:jc w:val="both"/>
              <w:rPr>
                <w:rFonts w:ascii="Times New Roman" w:eastAsia="Times New Roman" w:hAnsi="Times New Roman" w:cs="Times New Roman"/>
                <w:lang w:eastAsia="lv-LV"/>
              </w:rPr>
            </w:pPr>
          </w:p>
          <w:p w14:paraId="66A9FF00" w14:textId="17B1C173" w:rsidR="00AB5BF4" w:rsidRPr="00982C0F" w:rsidRDefault="00AB5BF4" w:rsidP="00E9360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E93602">
              <w:t xml:space="preserve"> </w:t>
            </w:r>
            <w:r w:rsidR="00E93602" w:rsidRPr="00E93602">
              <w:rPr>
                <w:rFonts w:ascii="Times New Roman" w:eastAsia="Times New Roman" w:hAnsi="Times New Roman" w:cs="Times New Roman"/>
                <w:lang w:eastAsia="lv-LV"/>
              </w:rPr>
              <w:t xml:space="preserve">Ņemot vērā ģeopolitisko situāciju, pastāv arī bažas, ka šo regulējuma nepilnību var izmantot kaitnieciskiem mērķim valsts dienestu kuģi, kas kuģo ar valsts, kas nav ES vai NATO dalībvalsts, karogu un ienāk no trešajām valstīm, kas nav ES vai NATO dalībvalstis, jo atšķirībā no karakuģiem nav noteikta konkrēta kārtība, kādā attiecīgie kuģi ienāk un uzturas Latvijas Republikas teritoriālajā jūrā, iekšējos ūdeņos un ostās, turklāt ārvalstu valsts dienestu kuģiem ir imunitāte, kas liedz to pārbaudi Latvijas Republikas teritoriālajā jūrā, iekšējos ūdeņos un </w:t>
            </w:r>
            <w:r w:rsidR="00E93602" w:rsidRPr="00E93602">
              <w:rPr>
                <w:rFonts w:ascii="Times New Roman" w:eastAsia="Times New Roman" w:hAnsi="Times New Roman" w:cs="Times New Roman"/>
                <w:lang w:eastAsia="lv-LV"/>
              </w:rPr>
              <w:lastRenderedPageBreak/>
              <w:t xml:space="preserve">ostās, savukārt uz ārvalstu valsts dienestu kuģiem esošo personu pakļautību </w:t>
            </w:r>
            <w:proofErr w:type="spellStart"/>
            <w:r w:rsidR="00E93602" w:rsidRPr="00E93602">
              <w:rPr>
                <w:rFonts w:ascii="Times New Roman" w:eastAsia="Times New Roman" w:hAnsi="Times New Roman" w:cs="Times New Roman"/>
                <w:lang w:eastAsia="lv-LV"/>
              </w:rPr>
              <w:t>robežpārbaudēm</w:t>
            </w:r>
            <w:proofErr w:type="spellEnd"/>
            <w:r w:rsidR="00E93602" w:rsidRPr="00E93602">
              <w:rPr>
                <w:rFonts w:ascii="Times New Roman" w:eastAsia="Times New Roman" w:hAnsi="Times New Roman" w:cs="Times New Roman"/>
                <w:lang w:eastAsia="lv-LV"/>
              </w:rPr>
              <w:t>, robežkontroles veikšanas nosacījumus un izņēmumus nosaka Eiropas Parlamenta un Padomes 2016. gada 9. marta Regula (ES) 2016/399 par Savienības Kodeksu par noteikumiem, kas reglamentē personu pārvietošanos pār robežām.</w:t>
            </w:r>
            <w:r>
              <w:rPr>
                <w:rFonts w:ascii="Times New Roman" w:eastAsia="Times New Roman" w:hAnsi="Times New Roman" w:cs="Times New Roman"/>
                <w:lang w:eastAsia="lv-LV"/>
              </w:rPr>
              <w:t>”</w:t>
            </w:r>
          </w:p>
        </w:tc>
      </w:tr>
      <w:tr w:rsidR="001D372B" w:rsidRPr="00635090" w14:paraId="2AE78980"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A86D8A0" w14:textId="77777777" w:rsidR="001D372B" w:rsidRPr="00982C0F" w:rsidRDefault="001D372B"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5CFB098" w14:textId="77777777" w:rsidR="001D372B" w:rsidRDefault="00D15157"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1. pants:</w:t>
            </w:r>
          </w:p>
          <w:p w14:paraId="60ADF943" w14:textId="3E0D381A" w:rsidR="00D15157" w:rsidRPr="00D15157" w:rsidRDefault="00D15157" w:rsidP="00D1515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D15157">
              <w:rPr>
                <w:rFonts w:ascii="Times New Roman" w:eastAsia="Times New Roman" w:hAnsi="Times New Roman" w:cs="Times New Roman"/>
                <w:lang w:eastAsia="lv-LV"/>
              </w:rPr>
              <w:t>1.</w:t>
            </w:r>
            <w:r w:rsidRPr="00D15157">
              <w:rPr>
                <w:rFonts w:ascii="Times New Roman" w:eastAsia="Times New Roman" w:hAnsi="Times New Roman" w:cs="Times New Roman"/>
                <w:lang w:eastAsia="lv-LV"/>
              </w:rPr>
              <w:tab/>
              <w:t>Papildināt 1. pantu ar 12. un 13. punktu šādā redakcijā:</w:t>
            </w:r>
          </w:p>
          <w:p w14:paraId="0D4060AD" w14:textId="77777777" w:rsidR="00D15157" w:rsidRPr="00D15157" w:rsidRDefault="00D15157" w:rsidP="00D15157">
            <w:pPr>
              <w:spacing w:after="0" w:line="240" w:lineRule="auto"/>
              <w:rPr>
                <w:rFonts w:ascii="Times New Roman" w:eastAsia="Times New Roman" w:hAnsi="Times New Roman" w:cs="Times New Roman"/>
                <w:lang w:eastAsia="lv-LV"/>
              </w:rPr>
            </w:pPr>
          </w:p>
          <w:p w14:paraId="79C97E72" w14:textId="77777777" w:rsidR="00D15157" w:rsidRPr="00D15157"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“12) valsts dienesta kuģis – nekomerciālā (valsts) dienestā nodarbināts kuģis;</w:t>
            </w:r>
          </w:p>
          <w:p w14:paraId="7231218D" w14:textId="4204E50F" w:rsidR="00D15157"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 xml:space="preserve"> 13) karakuģis – karakuģis atbilstoši Apvienoto Nāciju Organizācijas 1982. gada Jūras tiesību konvencijas 29. pantam.”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A162BD7" w14:textId="77777777" w:rsidR="001D372B" w:rsidRDefault="001D372B" w:rsidP="001D372B">
            <w:pPr>
              <w:widowControl w:val="0"/>
              <w:spacing w:after="0" w:line="240" w:lineRule="auto"/>
              <w:jc w:val="both"/>
              <w:rPr>
                <w:rFonts w:ascii="Times New Roman" w:eastAsia="Times New Roman" w:hAnsi="Times New Roman" w:cs="Times New Roman"/>
                <w:b/>
                <w:lang w:eastAsia="lv-LV"/>
              </w:rPr>
            </w:pPr>
            <w:r w:rsidRPr="001D372B">
              <w:rPr>
                <w:rFonts w:ascii="Times New Roman" w:eastAsia="Times New Roman" w:hAnsi="Times New Roman" w:cs="Times New Roman"/>
                <w:b/>
                <w:lang w:eastAsia="lv-LV"/>
              </w:rPr>
              <w:t xml:space="preserve">Iekšlietu ministrijas 12.10.2020. </w:t>
            </w:r>
            <w:r>
              <w:rPr>
                <w:rFonts w:ascii="Times New Roman" w:eastAsia="Times New Roman" w:hAnsi="Times New Roman" w:cs="Times New Roman"/>
                <w:b/>
                <w:lang w:eastAsia="lv-LV"/>
              </w:rPr>
              <w:t>1.priekšlikums</w:t>
            </w:r>
            <w:r w:rsidRPr="001D372B">
              <w:rPr>
                <w:rFonts w:ascii="Times New Roman" w:eastAsia="Times New Roman" w:hAnsi="Times New Roman" w:cs="Times New Roman"/>
                <w:b/>
                <w:lang w:eastAsia="lv-LV"/>
              </w:rPr>
              <w:t>:</w:t>
            </w:r>
          </w:p>
          <w:p w14:paraId="61E11D99" w14:textId="7E34B63B" w:rsidR="001D372B" w:rsidRPr="001D372B" w:rsidRDefault="001D372B" w:rsidP="001D372B">
            <w:pPr>
              <w:widowControl w:val="0"/>
              <w:spacing w:after="0" w:line="240" w:lineRule="auto"/>
              <w:jc w:val="both"/>
              <w:rPr>
                <w:rFonts w:ascii="Times New Roman" w:eastAsia="Times New Roman" w:hAnsi="Times New Roman" w:cs="Times New Roman"/>
                <w:lang w:eastAsia="lv-LV"/>
              </w:rPr>
            </w:pPr>
            <w:r w:rsidRPr="001D372B">
              <w:rPr>
                <w:rFonts w:ascii="Times New Roman" w:eastAsia="Times New Roman" w:hAnsi="Times New Roman" w:cs="Times New Roman"/>
                <w:lang w:eastAsia="lv-LV"/>
              </w:rPr>
              <w:t>“</w:t>
            </w:r>
            <w:r>
              <w:t xml:space="preserve"> </w:t>
            </w:r>
            <w:r w:rsidRPr="001D372B">
              <w:rPr>
                <w:rFonts w:ascii="Times New Roman" w:eastAsia="Times New Roman" w:hAnsi="Times New Roman" w:cs="Times New Roman"/>
                <w:lang w:eastAsia="lv-LV"/>
              </w:rPr>
              <w:t>1)</w:t>
            </w:r>
            <w:r w:rsidRPr="001D372B">
              <w:rPr>
                <w:rFonts w:ascii="Times New Roman" w:eastAsia="Times New Roman" w:hAnsi="Times New Roman" w:cs="Times New Roman"/>
                <w:lang w:eastAsia="lv-LV"/>
              </w:rPr>
              <w:tab/>
              <w:t>precizēt projekta 1. pantu, ievērojot Ministru kabineta 2009. gada 3.februāra noteikumu Nr. 108 “Normatīvo aktu projektu sagatavošanas noteikumi” 3.1.apakšpunktu, proti, normatīvā akta projektā neietver normas, kas ir deklaratīvas. Jūras tiesību konvencija ir saistoša Latvijas Republikai. Līdz ar to atkārtota norāde uz normatīvo aktu, kur atrodama karakuģa definīcija, būtībā ir deklaratīva norma.”</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14396EB2" w14:textId="6C824D7E" w:rsidR="001D372B" w:rsidRPr="00982C0F" w:rsidRDefault="00D15157"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shd w:val="clear" w:color="auto" w:fill="auto"/>
          </w:tcPr>
          <w:p w14:paraId="7A585CA8" w14:textId="13F73035" w:rsidR="00D15157" w:rsidRPr="00982C0F" w:rsidRDefault="009C0B18" w:rsidP="00E93602">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1D372B" w:rsidRPr="00635090" w14:paraId="7AFA1C5A"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1D6E40B" w14:textId="77777777" w:rsidR="001D372B" w:rsidRPr="00982C0F" w:rsidRDefault="001D372B"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BF74800" w14:textId="278F249D" w:rsidR="001D372B" w:rsidRDefault="00724D8C"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724D8C">
              <w:rPr>
                <w:rFonts w:ascii="Times New Roman" w:eastAsia="Times New Roman" w:hAnsi="Times New Roman" w:cs="Times New Roman"/>
                <w:lang w:eastAsia="lv-LV"/>
              </w:rPr>
              <w:t>rojekta sākotnējās ietekmes novērtējuma ziņojuma (an</w:t>
            </w:r>
            <w:r>
              <w:rPr>
                <w:rFonts w:ascii="Times New Roman" w:eastAsia="Times New Roman" w:hAnsi="Times New Roman" w:cs="Times New Roman"/>
                <w:lang w:eastAsia="lv-LV"/>
              </w:rPr>
              <w:t xml:space="preserve">otācijas)  </w:t>
            </w:r>
            <w:proofErr w:type="spellStart"/>
            <w:r>
              <w:rPr>
                <w:rFonts w:ascii="Times New Roman" w:eastAsia="Times New Roman" w:hAnsi="Times New Roman" w:cs="Times New Roman"/>
                <w:lang w:eastAsia="lv-LV"/>
              </w:rPr>
              <w:t>VII.sadaļas</w:t>
            </w:r>
            <w:proofErr w:type="spellEnd"/>
            <w:r>
              <w:rPr>
                <w:rFonts w:ascii="Times New Roman" w:eastAsia="Times New Roman" w:hAnsi="Times New Roman" w:cs="Times New Roman"/>
                <w:lang w:eastAsia="lv-LV"/>
              </w:rPr>
              <w:t xml:space="preserve"> 1.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3D2A6CA" w14:textId="77777777" w:rsidR="001D372B" w:rsidRPr="001D372B" w:rsidRDefault="001D372B" w:rsidP="00181D09">
            <w:pPr>
              <w:widowControl w:val="0"/>
              <w:spacing w:after="0" w:line="240" w:lineRule="auto"/>
              <w:jc w:val="both"/>
              <w:rPr>
                <w:rFonts w:ascii="Times New Roman" w:eastAsia="Times New Roman" w:hAnsi="Times New Roman" w:cs="Times New Roman"/>
                <w:b/>
                <w:lang w:eastAsia="lv-LV"/>
              </w:rPr>
            </w:pPr>
            <w:r w:rsidRPr="001D372B">
              <w:rPr>
                <w:rFonts w:ascii="Times New Roman" w:eastAsia="Times New Roman" w:hAnsi="Times New Roman" w:cs="Times New Roman"/>
                <w:b/>
                <w:lang w:eastAsia="lv-LV"/>
              </w:rPr>
              <w:t>Iekšlietu ministrijas 12.10.2020. 2.priekšlikums:</w:t>
            </w:r>
          </w:p>
          <w:p w14:paraId="07D983E1" w14:textId="5941E172" w:rsidR="001D372B" w:rsidRPr="001D372B" w:rsidRDefault="001D372B" w:rsidP="001D372B">
            <w:pPr>
              <w:widowControl w:val="0"/>
              <w:spacing w:after="0" w:line="240" w:lineRule="auto"/>
              <w:jc w:val="both"/>
              <w:rPr>
                <w:rFonts w:ascii="Times New Roman" w:eastAsia="Times New Roman" w:hAnsi="Times New Roman" w:cs="Times New Roman"/>
                <w:lang w:eastAsia="lv-LV"/>
              </w:rPr>
            </w:pPr>
            <w:r w:rsidRPr="001D372B">
              <w:rPr>
                <w:rFonts w:ascii="Times New Roman" w:eastAsia="Times New Roman" w:hAnsi="Times New Roman" w:cs="Times New Roman"/>
                <w:lang w:eastAsia="lv-LV"/>
              </w:rPr>
              <w:t>“</w:t>
            </w:r>
            <w:r w:rsidRPr="001D372B">
              <w:t xml:space="preserve"> </w:t>
            </w:r>
            <w:r w:rsidRPr="001D372B">
              <w:rPr>
                <w:rFonts w:ascii="Times New Roman" w:eastAsia="Times New Roman" w:hAnsi="Times New Roman" w:cs="Times New Roman"/>
                <w:lang w:eastAsia="lv-LV"/>
              </w:rPr>
              <w:t>2)</w:t>
            </w:r>
            <w:r w:rsidRPr="001D372B">
              <w:rPr>
                <w:rFonts w:ascii="Times New Roman" w:eastAsia="Times New Roman" w:hAnsi="Times New Roman" w:cs="Times New Roman"/>
                <w:lang w:eastAsia="lv-LV"/>
              </w:rPr>
              <w:tab/>
              <w:t xml:space="preserve">Precizēt projekta sākotnējās ietekmes novērtējuma ziņojuma (anotācijas)  </w:t>
            </w:r>
            <w:proofErr w:type="spellStart"/>
            <w:r w:rsidRPr="001D372B">
              <w:rPr>
                <w:rFonts w:ascii="Times New Roman" w:eastAsia="Times New Roman" w:hAnsi="Times New Roman" w:cs="Times New Roman"/>
                <w:lang w:eastAsia="lv-LV"/>
              </w:rPr>
              <w:t>VII.sadaļas</w:t>
            </w:r>
            <w:proofErr w:type="spellEnd"/>
            <w:r w:rsidRPr="001D372B">
              <w:rPr>
                <w:rFonts w:ascii="Times New Roman" w:eastAsia="Times New Roman" w:hAnsi="Times New Roman" w:cs="Times New Roman"/>
                <w:lang w:eastAsia="lv-LV"/>
              </w:rPr>
              <w:t xml:space="preserve"> 1. punktu vai projektu, ievērojot, ka projekta 1. un 2. pants un attiecīgi arī projekta sākotnējās ietekmes novērtējuma ziņojuma (anotācijas) I. sadaļas 2.punkts nosaka, ka grozījumi Latvijas Republikas </w:t>
            </w:r>
            <w:r w:rsidRPr="001D372B">
              <w:rPr>
                <w:rFonts w:ascii="Times New Roman" w:eastAsia="Times New Roman" w:hAnsi="Times New Roman" w:cs="Times New Roman"/>
                <w:lang w:eastAsia="lv-LV"/>
              </w:rPr>
              <w:lastRenderedPageBreak/>
              <w:t xml:space="preserve">valsts robežas likumā ir sagatavoti, lai  regulētu trūkstošos nosacījumus attiecībā uz ārvalstu (valsts) dienestu kuģiem, savukārt projekta sākotnējās ietekmes novērtējuma ziņojuma (anotācijas) VII. sadaļas 1. punkts nosaka, ka projekta izpildē iesaistītā institūcija būs Nacionālie bruņotie spēki. Tādējādi projekta sākotnējās ietekmes novērtējuma ziņojuma (anotācijas) VII. sadaļas 1. punktā minētais ir pretrunā ar projektu un attiecīgi arī projekta sākotnējās ietekmes novērtējuma ziņojuma (anotācijas) </w:t>
            </w:r>
            <w:proofErr w:type="spellStart"/>
            <w:r w:rsidRPr="001D372B">
              <w:rPr>
                <w:rFonts w:ascii="Times New Roman" w:eastAsia="Times New Roman" w:hAnsi="Times New Roman" w:cs="Times New Roman"/>
                <w:lang w:eastAsia="lv-LV"/>
              </w:rPr>
              <w:t>I.sadaļas</w:t>
            </w:r>
            <w:proofErr w:type="spellEnd"/>
            <w:r w:rsidRPr="001D372B">
              <w:rPr>
                <w:rFonts w:ascii="Times New Roman" w:eastAsia="Times New Roman" w:hAnsi="Times New Roman" w:cs="Times New Roman"/>
                <w:lang w:eastAsia="lv-LV"/>
              </w:rPr>
              <w:t xml:space="preserve"> 2. punktu, jo vārdi “ārvalstu (valsts) dienestu kuģi” ir attiecināti uz jebkuru ārvalsts (valsts) dienestu, nevis uz Nacionālajiem bruņotajiem spēkiem, kas turklāt nepakļaujas terminam “ārvalsts (valsts) dienests”. </w:t>
            </w:r>
          </w:p>
          <w:p w14:paraId="6891F5D9" w14:textId="3EA4F46D" w:rsidR="001D372B" w:rsidRPr="001D372B" w:rsidRDefault="001D372B" w:rsidP="001D372B">
            <w:pPr>
              <w:widowControl w:val="0"/>
              <w:spacing w:after="0" w:line="240" w:lineRule="auto"/>
              <w:jc w:val="both"/>
              <w:rPr>
                <w:rFonts w:ascii="Times New Roman" w:eastAsia="Times New Roman" w:hAnsi="Times New Roman" w:cs="Times New Roman"/>
                <w:lang w:eastAsia="lv-LV"/>
              </w:rPr>
            </w:pPr>
            <w:r w:rsidRPr="001D372B">
              <w:rPr>
                <w:rFonts w:ascii="Times New Roman" w:eastAsia="Times New Roman" w:hAnsi="Times New Roman" w:cs="Times New Roman"/>
                <w:lang w:eastAsia="lv-LV"/>
              </w:rPr>
              <w:t>Vienlaikus, ja Nacionālo bruņoto spēku kompetence ir paredzēta kā par atļauju izsniegšanu kompetentā iestāde, papildināt projekta sākotnējās ietekmes novērtējuma ziņojuma (anotācijas)  VII. sadaļas 1. punktu ar vārdiem “Valsts robežsardze”, ievērojot tās kompetenci robežkontroles veikšanā.”</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2917B78" w14:textId="3F6E1F03" w:rsidR="001D372B" w:rsidRPr="00982C0F" w:rsidRDefault="00724D8C"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10E09266" w14:textId="77777777" w:rsidR="001D372B" w:rsidRDefault="000F556C" w:rsidP="00724D8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724D8C">
              <w:rPr>
                <w:rFonts w:ascii="Times New Roman" w:eastAsia="Times New Roman" w:hAnsi="Times New Roman" w:cs="Times New Roman"/>
                <w:lang w:eastAsia="lv-LV"/>
              </w:rPr>
              <w:t>recizēts</w:t>
            </w:r>
            <w:r w:rsidRPr="000F556C">
              <w:rPr>
                <w:rFonts w:ascii="Times New Roman" w:eastAsia="Times New Roman" w:hAnsi="Times New Roman" w:cs="Times New Roman"/>
                <w:lang w:eastAsia="lv-LV"/>
              </w:rPr>
              <w:t xml:space="preserve"> projekta sākotnējās ietekmes novērtējuma ziņojuma (anotācijas) </w:t>
            </w:r>
            <w:r>
              <w:rPr>
                <w:rFonts w:ascii="Times New Roman" w:eastAsia="Times New Roman" w:hAnsi="Times New Roman" w:cs="Times New Roman"/>
                <w:lang w:eastAsia="lv-LV"/>
              </w:rPr>
              <w:t xml:space="preserve"> VII. sadaļas 1. punkts</w:t>
            </w:r>
            <w:r w:rsidR="00724D8C">
              <w:rPr>
                <w:rFonts w:ascii="Times New Roman" w:eastAsia="Times New Roman" w:hAnsi="Times New Roman" w:cs="Times New Roman"/>
                <w:lang w:eastAsia="lv-LV"/>
              </w:rPr>
              <w:t>:</w:t>
            </w:r>
          </w:p>
          <w:p w14:paraId="623A8B2D" w14:textId="5C174FC7" w:rsidR="00724D8C" w:rsidRPr="00982C0F" w:rsidRDefault="00724D8C" w:rsidP="00724D8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“Aizsardzības ministrija”, balstoties uz to, ka tā būs projekta izpildē iesaistītā institūcija, kas nodrošinās </w:t>
            </w:r>
            <w:r>
              <w:rPr>
                <w:rFonts w:ascii="Times New Roman" w:eastAsia="Times New Roman" w:hAnsi="Times New Roman" w:cs="Times New Roman"/>
                <w:lang w:eastAsia="lv-LV"/>
              </w:rPr>
              <w:lastRenderedPageBreak/>
              <w:t>p</w:t>
            </w:r>
            <w:r w:rsidR="009C0B18">
              <w:rPr>
                <w:rFonts w:ascii="Times New Roman" w:eastAsia="Times New Roman" w:hAnsi="Times New Roman" w:cs="Times New Roman"/>
                <w:lang w:eastAsia="lv-LV"/>
              </w:rPr>
              <w:t>rojekta izpildi (likumprojekta 1. un 2</w:t>
            </w:r>
            <w:r>
              <w:rPr>
                <w:rFonts w:ascii="Times New Roman" w:eastAsia="Times New Roman" w:hAnsi="Times New Roman" w:cs="Times New Roman"/>
                <w:lang w:eastAsia="lv-LV"/>
              </w:rPr>
              <w:t xml:space="preserve">. punktu). </w:t>
            </w:r>
          </w:p>
        </w:tc>
      </w:tr>
      <w:tr w:rsidR="00393DF4" w:rsidRPr="00635090" w14:paraId="4E6CC817"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7362D64" w14:textId="77777777" w:rsidR="00393DF4" w:rsidRPr="00982C0F" w:rsidRDefault="00393DF4"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47820A2" w14:textId="2835254F" w:rsidR="00393DF4" w:rsidRDefault="00E93602"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1.pants.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100647DF" w14:textId="77777777" w:rsidR="00393DF4" w:rsidRDefault="00393DF4"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07.10.2020. Nacionālo bruņoto spēku 1.iebildums:</w:t>
            </w:r>
          </w:p>
          <w:p w14:paraId="7F88AF61" w14:textId="21BFC267" w:rsidR="00393DF4" w:rsidRPr="00393DF4" w:rsidRDefault="00393DF4" w:rsidP="00393DF4">
            <w:pPr>
              <w:widowControl w:val="0"/>
              <w:spacing w:after="0" w:line="240" w:lineRule="auto"/>
              <w:jc w:val="both"/>
              <w:rPr>
                <w:rFonts w:ascii="Times New Roman" w:eastAsia="Times New Roman" w:hAnsi="Times New Roman" w:cs="Times New Roman"/>
                <w:lang w:eastAsia="lv-LV"/>
              </w:rPr>
            </w:pPr>
            <w:r w:rsidRPr="00393DF4">
              <w:rPr>
                <w:rFonts w:ascii="Times New Roman" w:eastAsia="Times New Roman" w:hAnsi="Times New Roman" w:cs="Times New Roman"/>
                <w:lang w:eastAsia="lv-LV"/>
              </w:rPr>
              <w:t>“</w:t>
            </w:r>
            <w:r w:rsidRPr="00393DF4">
              <w:t xml:space="preserve"> </w:t>
            </w:r>
            <w:r w:rsidRPr="00393DF4">
              <w:rPr>
                <w:rFonts w:ascii="Times New Roman" w:eastAsia="Times New Roman" w:hAnsi="Times New Roman" w:cs="Times New Roman"/>
                <w:lang w:eastAsia="lv-LV"/>
              </w:rPr>
              <w:t>1)</w:t>
            </w:r>
            <w:r w:rsidRPr="00393DF4">
              <w:rPr>
                <w:rFonts w:ascii="Times New Roman" w:eastAsia="Times New Roman" w:hAnsi="Times New Roman" w:cs="Times New Roman"/>
                <w:lang w:eastAsia="lv-LV"/>
              </w:rPr>
              <w:tab/>
              <w:t xml:space="preserve">Likumprojekts paredz papildināt ar terminu “valsts dienesta kuģis”, kurš netiek izmantots tālāk likuma tekstā, savukārt likumprojekta 2.punkts paredz papildināt 11.pantu ar trešo </w:t>
            </w:r>
            <w:proofErr w:type="spellStart"/>
            <w:r w:rsidRPr="00393DF4">
              <w:rPr>
                <w:rFonts w:ascii="Times New Roman" w:eastAsia="Times New Roman" w:hAnsi="Times New Roman" w:cs="Times New Roman"/>
                <w:lang w:eastAsia="lv-LV"/>
              </w:rPr>
              <w:t>prim</w:t>
            </w:r>
            <w:proofErr w:type="spellEnd"/>
            <w:r w:rsidRPr="00393DF4">
              <w:rPr>
                <w:rFonts w:ascii="Times New Roman" w:eastAsia="Times New Roman" w:hAnsi="Times New Roman" w:cs="Times New Roman"/>
                <w:lang w:eastAsia="lv-LV"/>
              </w:rPr>
              <w:t xml:space="preserve"> daļu norādot terminu “ārvalsts valsts dienesta kuģis”, kam netiek dots skaidrojums. Sakarā ar to, lūgšu precizēt projekta 1.punkta 1.panta 12.punktu izsakot to šādā redakcijā “12) </w:t>
            </w:r>
            <w:r w:rsidRPr="00393DF4">
              <w:rPr>
                <w:rFonts w:ascii="Times New Roman" w:eastAsia="Times New Roman" w:hAnsi="Times New Roman" w:cs="Times New Roman"/>
                <w:lang w:eastAsia="lv-LV"/>
              </w:rPr>
              <w:lastRenderedPageBreak/>
              <w:t>ārvalsts valsts dienesta kuģis – ārvalsts nekomerciālā (valsts) dienestā nodarbināts kuģis””</w:t>
            </w:r>
            <w:r>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39BD15D9" w14:textId="3DFEFD06" w:rsidR="00393DF4" w:rsidRPr="00982C0F" w:rsidRDefault="00401075"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F067AA">
              <w:rPr>
                <w:rFonts w:ascii="Times New Roman" w:eastAsia="Times New Roman" w:hAnsi="Times New Roman" w:cs="Times New Roman"/>
                <w:lang w:eastAsia="lv-LV"/>
              </w:rPr>
              <w:t xml:space="preserve"> </w:t>
            </w:r>
            <w:proofErr w:type="spellStart"/>
            <w:r w:rsidR="00F067AA">
              <w:rPr>
                <w:rFonts w:ascii="Times New Roman" w:eastAsia="Times New Roman" w:hAnsi="Times New Roman" w:cs="Times New Roman"/>
                <w:lang w:eastAsia="lv-LV"/>
              </w:rPr>
              <w:t>starpministriju</w:t>
            </w:r>
            <w:proofErr w:type="spellEnd"/>
            <w:r w:rsidR="00F067AA">
              <w:rPr>
                <w:rFonts w:ascii="Times New Roman" w:eastAsia="Times New Roman" w:hAnsi="Times New Roman" w:cs="Times New Roman"/>
                <w:lang w:eastAsia="lv-LV"/>
              </w:rPr>
              <w:t xml:space="preserve"> sanāksmē.</w:t>
            </w:r>
          </w:p>
        </w:tc>
        <w:tc>
          <w:tcPr>
            <w:tcW w:w="3402" w:type="dxa"/>
            <w:tcBorders>
              <w:top w:val="single" w:sz="4" w:space="0" w:color="auto"/>
              <w:left w:val="single" w:sz="4" w:space="0" w:color="auto"/>
              <w:bottom w:val="single" w:sz="4" w:space="0" w:color="auto"/>
            </w:tcBorders>
            <w:shd w:val="clear" w:color="auto" w:fill="auto"/>
          </w:tcPr>
          <w:p w14:paraId="25FBF82E" w14:textId="49ABA54C" w:rsidR="00393DF4" w:rsidRPr="00982C0F" w:rsidRDefault="009C0B18" w:rsidP="00401075">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393DF4" w:rsidRPr="00635090" w14:paraId="085E3C40"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DBBEAE7" w14:textId="77777777" w:rsidR="00393DF4" w:rsidRPr="00982C0F" w:rsidRDefault="00393DF4"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6C2506F" w14:textId="77777777" w:rsidR="00D15157" w:rsidRPr="00D15157"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Likumprojekta 1. pants:</w:t>
            </w:r>
          </w:p>
          <w:p w14:paraId="6794540A" w14:textId="77777777" w:rsidR="00D15157" w:rsidRPr="00D15157"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“1.</w:t>
            </w:r>
            <w:r w:rsidRPr="00D15157">
              <w:rPr>
                <w:rFonts w:ascii="Times New Roman" w:eastAsia="Times New Roman" w:hAnsi="Times New Roman" w:cs="Times New Roman"/>
                <w:lang w:eastAsia="lv-LV"/>
              </w:rPr>
              <w:tab/>
              <w:t>Papildināt 1. pantu ar 12. un 13. punktu šādā redakcijā:</w:t>
            </w:r>
          </w:p>
          <w:p w14:paraId="4068F9CC" w14:textId="77777777" w:rsidR="00D15157" w:rsidRPr="00D15157" w:rsidRDefault="00D15157" w:rsidP="00D15157">
            <w:pPr>
              <w:spacing w:after="0" w:line="240" w:lineRule="auto"/>
              <w:rPr>
                <w:rFonts w:ascii="Times New Roman" w:eastAsia="Times New Roman" w:hAnsi="Times New Roman" w:cs="Times New Roman"/>
                <w:lang w:eastAsia="lv-LV"/>
              </w:rPr>
            </w:pPr>
          </w:p>
          <w:p w14:paraId="1643CBBF" w14:textId="77777777" w:rsidR="00D15157" w:rsidRPr="00D15157"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“12) valsts dienesta kuģis – nekomerciālā (valsts) dienestā nodarbināts kuģis;</w:t>
            </w:r>
          </w:p>
          <w:p w14:paraId="4D2F587D" w14:textId="41EC208C" w:rsidR="00393DF4" w:rsidRDefault="00D15157" w:rsidP="00D15157">
            <w:pPr>
              <w:spacing w:after="0" w:line="240" w:lineRule="auto"/>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 xml:space="preserve"> 13) karakuģis – karakuģis atbilstoši Apvienoto Nāciju Organizācijas 1982. gada Jūras tiesību konvencijas 29. pantam.”</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F049D63" w14:textId="77777777" w:rsidR="00393DF4" w:rsidRDefault="00E9381D" w:rsidP="00181D09">
            <w:pPr>
              <w:widowControl w:val="0"/>
              <w:spacing w:after="0" w:line="240" w:lineRule="auto"/>
              <w:jc w:val="both"/>
              <w:rPr>
                <w:rFonts w:ascii="Times New Roman" w:eastAsia="Times New Roman" w:hAnsi="Times New Roman" w:cs="Times New Roman"/>
                <w:b/>
                <w:lang w:eastAsia="lv-LV"/>
              </w:rPr>
            </w:pPr>
            <w:r w:rsidRPr="00E9381D">
              <w:rPr>
                <w:rFonts w:ascii="Times New Roman" w:eastAsia="Times New Roman" w:hAnsi="Times New Roman" w:cs="Times New Roman"/>
                <w:b/>
                <w:lang w:eastAsia="lv-LV"/>
              </w:rPr>
              <w:t>07.10</w:t>
            </w:r>
            <w:r>
              <w:rPr>
                <w:rFonts w:ascii="Times New Roman" w:eastAsia="Times New Roman" w:hAnsi="Times New Roman" w:cs="Times New Roman"/>
                <w:b/>
                <w:lang w:eastAsia="lv-LV"/>
              </w:rPr>
              <w:t>.2020. Nacionālo bruņoto spēku 2</w:t>
            </w:r>
            <w:r w:rsidRPr="00E9381D">
              <w:rPr>
                <w:rFonts w:ascii="Times New Roman" w:eastAsia="Times New Roman" w:hAnsi="Times New Roman" w:cs="Times New Roman"/>
                <w:b/>
                <w:lang w:eastAsia="lv-LV"/>
              </w:rPr>
              <w:t>.iebildums:</w:t>
            </w:r>
          </w:p>
          <w:p w14:paraId="2C629292" w14:textId="45EF2996" w:rsidR="00E9381D" w:rsidRPr="00E9381D" w:rsidRDefault="00E9381D" w:rsidP="00181D09">
            <w:pPr>
              <w:widowControl w:val="0"/>
              <w:spacing w:after="0" w:line="240" w:lineRule="auto"/>
              <w:jc w:val="both"/>
              <w:rPr>
                <w:rFonts w:ascii="Times New Roman" w:eastAsia="Times New Roman" w:hAnsi="Times New Roman" w:cs="Times New Roman"/>
                <w:lang w:eastAsia="lv-LV"/>
              </w:rPr>
            </w:pPr>
            <w:r w:rsidRPr="00E9381D">
              <w:rPr>
                <w:rFonts w:ascii="Times New Roman" w:eastAsia="Times New Roman" w:hAnsi="Times New Roman" w:cs="Times New Roman"/>
                <w:lang w:eastAsia="lv-LV"/>
              </w:rPr>
              <w:t>“2)</w:t>
            </w:r>
            <w:r w:rsidRPr="00E9381D">
              <w:rPr>
                <w:rFonts w:ascii="Times New Roman" w:eastAsia="Times New Roman" w:hAnsi="Times New Roman" w:cs="Times New Roman"/>
                <w:lang w:eastAsia="lv-LV"/>
              </w:rPr>
              <w:tab/>
              <w:t>Atbilstoši Ministru kabineta 2009.gada 3.februāra noteikumi Nr.108 “Normatīvo aktu projektu sagatavošanas noteikumi” 3.1.apakšpunktam, kas nosaka, ka normatīvajā akta projektā neietver normas, kas ir deklaratīvas un MK noteikumu Nr.108 38.1.apakšpunktam, kas nosaka, ka terminus skaidro, ja izteiktajam jēdzienam ir īpaša nozīme likumprojekta regulējamās nozares ietvaros, svītrot projekta 1.panta 13.punktu, jo šajā gadījumā termins ir deklaratīvs un viņam nav īpaša nozīme nozares ietvaros.”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5C9DB8BD" w14:textId="2B8AC1C2" w:rsidR="00393DF4" w:rsidRPr="00982C0F" w:rsidRDefault="00D15157" w:rsidP="00F067A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r w:rsidR="00F067AA">
              <w:rPr>
                <w:rFonts w:ascii="Times New Roman" w:eastAsia="Times New Roman" w:hAnsi="Times New Roman" w:cs="Times New Roman"/>
                <w:lang w:eastAsia="lv-LV"/>
              </w:rPr>
              <w:t xml:space="preserve"> </w:t>
            </w:r>
          </w:p>
        </w:tc>
        <w:tc>
          <w:tcPr>
            <w:tcW w:w="3402" w:type="dxa"/>
            <w:tcBorders>
              <w:top w:val="single" w:sz="4" w:space="0" w:color="auto"/>
              <w:left w:val="single" w:sz="4" w:space="0" w:color="auto"/>
              <w:bottom w:val="single" w:sz="4" w:space="0" w:color="auto"/>
            </w:tcBorders>
            <w:shd w:val="clear" w:color="auto" w:fill="auto"/>
          </w:tcPr>
          <w:p w14:paraId="29C5125D" w14:textId="1662320A" w:rsidR="00393DF4" w:rsidRPr="00982C0F" w:rsidRDefault="009C0B18" w:rsidP="00401075">
            <w:pPr>
              <w:spacing w:after="0" w:line="240" w:lineRule="auto"/>
              <w:jc w:val="both"/>
              <w:rPr>
                <w:rFonts w:ascii="Times New Roman" w:eastAsia="Times New Roman" w:hAnsi="Times New Roman" w:cs="Times New Roman"/>
                <w:lang w:eastAsia="lv-LV"/>
              </w:rPr>
            </w:pPr>
            <w:r w:rsidRPr="009C0B18">
              <w:rPr>
                <w:rFonts w:ascii="Times New Roman" w:eastAsia="Times New Roman" w:hAnsi="Times New Roman" w:cs="Times New Roman"/>
                <w:lang w:eastAsia="lv-LV"/>
              </w:rPr>
              <w:t>Atbilstoši jaunajai projekta redakcijai minētais iebildums vairs nav aktuāls.</w:t>
            </w:r>
          </w:p>
        </w:tc>
      </w:tr>
      <w:tr w:rsidR="00393DF4" w:rsidRPr="00635090" w14:paraId="446A62A7"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509C867" w14:textId="77777777" w:rsidR="00393DF4" w:rsidRPr="00982C0F" w:rsidRDefault="00393DF4"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35A0185" w14:textId="0D4EE6A9" w:rsidR="00393DF4" w:rsidRDefault="00F067AA"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2.pants. </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8EC64F6" w14:textId="77777777" w:rsidR="00393DF4" w:rsidRDefault="00D15157" w:rsidP="00181D09">
            <w:pPr>
              <w:widowControl w:val="0"/>
              <w:spacing w:after="0" w:line="240" w:lineRule="auto"/>
              <w:jc w:val="both"/>
              <w:rPr>
                <w:rFonts w:ascii="Times New Roman" w:eastAsia="Times New Roman" w:hAnsi="Times New Roman" w:cs="Times New Roman"/>
                <w:b/>
                <w:lang w:eastAsia="lv-LV"/>
              </w:rPr>
            </w:pPr>
            <w:r w:rsidRPr="00D15157">
              <w:rPr>
                <w:rFonts w:ascii="Times New Roman" w:eastAsia="Times New Roman" w:hAnsi="Times New Roman" w:cs="Times New Roman"/>
                <w:b/>
                <w:lang w:eastAsia="lv-LV"/>
              </w:rPr>
              <w:t>07.10</w:t>
            </w:r>
            <w:r>
              <w:rPr>
                <w:rFonts w:ascii="Times New Roman" w:eastAsia="Times New Roman" w:hAnsi="Times New Roman" w:cs="Times New Roman"/>
                <w:b/>
                <w:lang w:eastAsia="lv-LV"/>
              </w:rPr>
              <w:t>.2020. Nacionālo bruņoto spēku 3</w:t>
            </w:r>
            <w:r w:rsidRPr="00D15157">
              <w:rPr>
                <w:rFonts w:ascii="Times New Roman" w:eastAsia="Times New Roman" w:hAnsi="Times New Roman" w:cs="Times New Roman"/>
                <w:b/>
                <w:lang w:eastAsia="lv-LV"/>
              </w:rPr>
              <w:t>.iebildums:</w:t>
            </w:r>
          </w:p>
          <w:p w14:paraId="4EF90696" w14:textId="06EE0261" w:rsidR="00D15157" w:rsidRPr="00D15157" w:rsidRDefault="00D15157" w:rsidP="00181D09">
            <w:pPr>
              <w:widowControl w:val="0"/>
              <w:spacing w:after="0" w:line="240" w:lineRule="auto"/>
              <w:jc w:val="both"/>
              <w:rPr>
                <w:rFonts w:ascii="Times New Roman" w:eastAsia="Times New Roman" w:hAnsi="Times New Roman" w:cs="Times New Roman"/>
                <w:lang w:eastAsia="lv-LV"/>
              </w:rPr>
            </w:pPr>
            <w:r w:rsidRPr="00D15157">
              <w:rPr>
                <w:rFonts w:ascii="Times New Roman" w:eastAsia="Times New Roman" w:hAnsi="Times New Roman" w:cs="Times New Roman"/>
                <w:lang w:eastAsia="lv-LV"/>
              </w:rPr>
              <w:t>“</w:t>
            </w:r>
            <w:r w:rsidRPr="00D15157">
              <w:t xml:space="preserve"> </w:t>
            </w:r>
            <w:r w:rsidRPr="00D15157">
              <w:rPr>
                <w:rFonts w:ascii="Times New Roman" w:eastAsia="Times New Roman" w:hAnsi="Times New Roman" w:cs="Times New Roman"/>
                <w:lang w:eastAsia="lv-LV"/>
              </w:rPr>
              <w:t>3)</w:t>
            </w:r>
            <w:r w:rsidRPr="00D15157">
              <w:rPr>
                <w:rFonts w:ascii="Times New Roman" w:eastAsia="Times New Roman" w:hAnsi="Times New Roman" w:cs="Times New Roman"/>
                <w:lang w:eastAsia="lv-LV"/>
              </w:rPr>
              <w:tab/>
              <w:t>Ierosinām neveidot terminu, bet paskaidrot vārdkopu likuma normu tekstā, piemēram, “(3</w:t>
            </w:r>
            <w:r w:rsidRPr="00F067AA">
              <w:rPr>
                <w:rFonts w:ascii="Times New Roman" w:eastAsia="Times New Roman" w:hAnsi="Times New Roman" w:cs="Times New Roman"/>
                <w:vertAlign w:val="superscript"/>
                <w:lang w:eastAsia="lv-LV"/>
              </w:rPr>
              <w:t>1</w:t>
            </w:r>
            <w:r w:rsidRPr="00D15157">
              <w:rPr>
                <w:rFonts w:ascii="Times New Roman" w:eastAsia="Times New Roman" w:hAnsi="Times New Roman" w:cs="Times New Roman"/>
                <w:lang w:eastAsia="lv-LV"/>
              </w:rPr>
              <w:t>) Kārtību, kādā ārvalstu valsts dienestu kuģi (ārvalsts nekomerciālā valsts dienestā nodarbināts kuģis) ienāk un uzturas teritoriālajā jūrā, iekšējos ūdeņos un ostās, kā arī iziet no teritoriālās jūras, iekšējiem ūdeņiem un ostām, nosaka Ministru kabinets.””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427E75F8" w14:textId="593CB054" w:rsidR="00393DF4" w:rsidRPr="00982C0F" w:rsidRDefault="00401075"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Vienošanās </w:t>
            </w:r>
            <w:proofErr w:type="spellStart"/>
            <w:r w:rsidR="00F067AA">
              <w:rPr>
                <w:rFonts w:ascii="Times New Roman" w:eastAsia="Times New Roman" w:hAnsi="Times New Roman" w:cs="Times New Roman"/>
                <w:lang w:eastAsia="lv-LV"/>
              </w:rPr>
              <w:t>starpministriju</w:t>
            </w:r>
            <w:proofErr w:type="spellEnd"/>
            <w:r w:rsidR="00F067AA">
              <w:rPr>
                <w:rFonts w:ascii="Times New Roman" w:eastAsia="Times New Roman" w:hAnsi="Times New Roman" w:cs="Times New Roman"/>
                <w:lang w:eastAsia="lv-LV"/>
              </w:rPr>
              <w:t xml:space="preserve"> sanāksmē. </w:t>
            </w:r>
          </w:p>
        </w:tc>
        <w:tc>
          <w:tcPr>
            <w:tcW w:w="3402" w:type="dxa"/>
            <w:tcBorders>
              <w:top w:val="single" w:sz="4" w:space="0" w:color="auto"/>
              <w:left w:val="single" w:sz="4" w:space="0" w:color="auto"/>
              <w:bottom w:val="single" w:sz="4" w:space="0" w:color="auto"/>
            </w:tcBorders>
            <w:shd w:val="clear" w:color="auto" w:fill="auto"/>
          </w:tcPr>
          <w:p w14:paraId="6A803F99" w14:textId="148DA31D" w:rsidR="00393DF4" w:rsidRDefault="00401075"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likumprojekta redakcija:</w:t>
            </w:r>
          </w:p>
          <w:p w14:paraId="02F1BC88" w14:textId="77777777" w:rsidR="00401075" w:rsidRDefault="00401075" w:rsidP="00181D09">
            <w:pPr>
              <w:spacing w:after="0" w:line="240" w:lineRule="auto"/>
              <w:jc w:val="both"/>
              <w:rPr>
                <w:rFonts w:ascii="Times New Roman" w:eastAsia="Times New Roman" w:hAnsi="Times New Roman" w:cs="Times New Roman"/>
                <w:lang w:eastAsia="lv-LV"/>
              </w:rPr>
            </w:pPr>
          </w:p>
          <w:p w14:paraId="1E9CD074" w14:textId="74FF02E2" w:rsidR="00401075" w:rsidRPr="00401075" w:rsidRDefault="00401075" w:rsidP="0040107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t xml:space="preserve"> </w:t>
            </w:r>
            <w:r w:rsidR="009C0B18">
              <w:rPr>
                <w:rFonts w:ascii="Times New Roman" w:eastAsia="Times New Roman" w:hAnsi="Times New Roman" w:cs="Times New Roman"/>
                <w:lang w:eastAsia="lv-LV"/>
              </w:rPr>
              <w:t xml:space="preserve">1. </w:t>
            </w:r>
            <w:r w:rsidRPr="00401075">
              <w:rPr>
                <w:rFonts w:ascii="Times New Roman" w:eastAsia="Times New Roman" w:hAnsi="Times New Roman" w:cs="Times New Roman"/>
                <w:lang w:eastAsia="lv-LV"/>
              </w:rPr>
              <w:t>Izteikt 11. panta trešo  daļu šādā redakcijā:</w:t>
            </w:r>
          </w:p>
          <w:p w14:paraId="08807DE5" w14:textId="00F5B475" w:rsidR="00401075" w:rsidRPr="00982C0F" w:rsidRDefault="00401075" w:rsidP="00401075">
            <w:pPr>
              <w:spacing w:after="0" w:line="240" w:lineRule="auto"/>
              <w:jc w:val="both"/>
              <w:rPr>
                <w:rFonts w:ascii="Times New Roman" w:eastAsia="Times New Roman" w:hAnsi="Times New Roman" w:cs="Times New Roman"/>
                <w:lang w:eastAsia="lv-LV"/>
              </w:rPr>
            </w:pPr>
            <w:r w:rsidRPr="00401075">
              <w:rPr>
                <w:rFonts w:ascii="Times New Roman" w:eastAsia="Times New Roman" w:hAnsi="Times New Roman" w:cs="Times New Roman"/>
                <w:lang w:eastAsia="lv-LV"/>
              </w:rPr>
              <w:t xml:space="preserve"> “(3) Kārtību, kādā ārvalstu karakuģi un citi  ārvalstu valsts dienestu kuģi ienāk un uzturas teritoriālajā jūrā, iekšējos ūdeņos un ostās, kā arī iziet no teritoriālās jūras, iekšējiem ūdeņiem un ostām, nosaka Ministru kabinets.”</w:t>
            </w:r>
            <w:r>
              <w:rPr>
                <w:rFonts w:ascii="Times New Roman" w:eastAsia="Times New Roman" w:hAnsi="Times New Roman" w:cs="Times New Roman"/>
                <w:lang w:eastAsia="lv-LV"/>
              </w:rPr>
              <w:t>”</w:t>
            </w:r>
          </w:p>
        </w:tc>
      </w:tr>
      <w:tr w:rsidR="00142EB1" w:rsidRPr="00635090" w14:paraId="0F249BB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0C589E1" w14:textId="77777777" w:rsidR="00142EB1" w:rsidRPr="00982C0F" w:rsidRDefault="00142EB1"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83DC844" w14:textId="77777777" w:rsidR="00142EB1" w:rsidRDefault="00142EB1"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2. pants:</w:t>
            </w:r>
          </w:p>
          <w:p w14:paraId="6EE606C2" w14:textId="2576404D" w:rsidR="00142EB1" w:rsidRPr="00142EB1" w:rsidRDefault="00142EB1" w:rsidP="00142EB1">
            <w:pPr>
              <w:spacing w:after="0" w:line="240" w:lineRule="auto"/>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2. Papildināt pārejas noteikumus ar jaunu 7. punktu šādā redakcijā:</w:t>
            </w:r>
          </w:p>
          <w:p w14:paraId="55472E6A" w14:textId="099E3C69" w:rsidR="00142EB1" w:rsidRDefault="00142EB1" w:rsidP="00142EB1">
            <w:pPr>
              <w:spacing w:after="0" w:line="240" w:lineRule="auto"/>
              <w:rPr>
                <w:rFonts w:ascii="Times New Roman" w:eastAsia="Times New Roman" w:hAnsi="Times New Roman" w:cs="Times New Roman"/>
                <w:lang w:eastAsia="lv-LV"/>
              </w:rPr>
            </w:pPr>
            <w:r w:rsidRPr="00142EB1">
              <w:rPr>
                <w:rFonts w:ascii="Times New Roman" w:eastAsia="Times New Roman" w:hAnsi="Times New Roman" w:cs="Times New Roman"/>
                <w:lang w:eastAsia="lv-LV"/>
              </w:rPr>
              <w:lastRenderedPageBreak/>
              <w:t>“17. Ministru kabinets līdz 2022. gada 1. janvārim izdod šā likuma 11. panta trešajā daļā minētos noteikumus”.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1A141C10" w14:textId="10A4EC1D" w:rsidR="00142EB1" w:rsidRPr="00142EB1" w:rsidRDefault="00142EB1" w:rsidP="00142EB1">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 xml:space="preserve">17.11.2020. Satiksmes ministrijas priekšlikums: </w:t>
            </w:r>
          </w:p>
          <w:p w14:paraId="108540B9" w14:textId="77777777" w:rsidR="00142EB1" w:rsidRPr="00142EB1" w:rsidRDefault="00142EB1" w:rsidP="00142EB1">
            <w:pPr>
              <w:widowControl w:val="0"/>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“2. Papildināt pārejas noteikumus ar 7. punktu šādā redakcijā:</w:t>
            </w:r>
          </w:p>
          <w:p w14:paraId="26CC82C2" w14:textId="6310A171" w:rsidR="00142EB1" w:rsidRPr="00D15157" w:rsidRDefault="00142EB1" w:rsidP="00142EB1">
            <w:pPr>
              <w:widowControl w:val="0"/>
              <w:spacing w:after="0" w:line="240" w:lineRule="auto"/>
              <w:jc w:val="both"/>
              <w:rPr>
                <w:rFonts w:ascii="Times New Roman" w:eastAsia="Times New Roman" w:hAnsi="Times New Roman" w:cs="Times New Roman"/>
                <w:b/>
                <w:lang w:eastAsia="lv-LV"/>
              </w:rPr>
            </w:pPr>
            <w:r w:rsidRPr="00142EB1">
              <w:rPr>
                <w:rFonts w:ascii="Times New Roman" w:eastAsia="Times New Roman" w:hAnsi="Times New Roman" w:cs="Times New Roman"/>
                <w:lang w:eastAsia="lv-LV"/>
              </w:rPr>
              <w:t xml:space="preserve">7. Ministru kabinets līdz 2022. gada 1. janvārim </w:t>
            </w:r>
            <w:r w:rsidRPr="00142EB1">
              <w:rPr>
                <w:rFonts w:ascii="Times New Roman" w:eastAsia="Times New Roman" w:hAnsi="Times New Roman" w:cs="Times New Roman"/>
                <w:lang w:eastAsia="lv-LV"/>
              </w:rPr>
              <w:lastRenderedPageBreak/>
              <w:t>izdod šā likuma 11. panta trešajā daļā minētos noteikumus. Līdz attiecīgo noteikumu spēkā stāšanās dienai piemērojami Ministru kabineta 2016. gada 23. februāra noteikumi Nr. 108 “Kārtība, kādā ārvalstu karakuģi ienāk un uzturas Latvijas Republikas teritoriālajā jūrā, iekšējos ūdeņos un ostās un iziet no tām”.”</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0EC115AF" w14:textId="454EDBCC" w:rsidR="00142EB1" w:rsidRDefault="00142EB1"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tc>
        <w:tc>
          <w:tcPr>
            <w:tcW w:w="3402" w:type="dxa"/>
            <w:tcBorders>
              <w:top w:val="single" w:sz="4" w:space="0" w:color="auto"/>
              <w:left w:val="single" w:sz="4" w:space="0" w:color="auto"/>
              <w:bottom w:val="single" w:sz="4" w:space="0" w:color="auto"/>
            </w:tcBorders>
            <w:shd w:val="clear" w:color="auto" w:fill="auto"/>
          </w:tcPr>
          <w:p w14:paraId="0B99BD0B" w14:textId="4B284DB2" w:rsidR="00142EB1" w:rsidRDefault="00142EB1"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2. panta jaunā redakcija:</w:t>
            </w:r>
          </w:p>
          <w:p w14:paraId="7EE7E51F" w14:textId="77777777" w:rsidR="00142EB1" w:rsidRPr="00142EB1" w:rsidRDefault="00142EB1" w:rsidP="00142EB1">
            <w:pPr>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lastRenderedPageBreak/>
              <w:tab/>
              <w:t>2. Papildināt pārejas noteikumus ar jaunu 7. punktu šādā redakcijā:</w:t>
            </w:r>
          </w:p>
          <w:p w14:paraId="64398485" w14:textId="214DC0F6" w:rsidR="00142EB1" w:rsidRDefault="00142EB1" w:rsidP="00142EB1">
            <w:pPr>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“17. Ministru kabinets līdz 2022. gada 1. janvārim izdod šā likuma 11. panta trešajā daļā minētos noteikumus. Līdz attiecīgo noteikumu spēkā stāšanās dienai piemērojami Ministru kabineta 2016. gada 23. februāra noteikumi Nr. 108 “Kārtība, kādā ārvalstu karakuģi ienāk un uzturas Latvijas Republikas teritoriālajā jūrā, iekšējos ūdeņos un ostās un iziet no tām”.</w:t>
            </w:r>
          </w:p>
          <w:p w14:paraId="2D25EE54" w14:textId="77777777" w:rsidR="00142EB1" w:rsidRDefault="00142EB1" w:rsidP="00181D09">
            <w:pPr>
              <w:spacing w:after="0" w:line="240" w:lineRule="auto"/>
              <w:jc w:val="both"/>
              <w:rPr>
                <w:rFonts w:ascii="Times New Roman" w:eastAsia="Times New Roman" w:hAnsi="Times New Roman" w:cs="Times New Roman"/>
                <w:lang w:eastAsia="lv-LV"/>
              </w:rPr>
            </w:pPr>
          </w:p>
          <w:p w14:paraId="20699FCF" w14:textId="51D32B03" w:rsidR="00142EB1" w:rsidRDefault="00142EB1" w:rsidP="00181D09">
            <w:pPr>
              <w:spacing w:after="0" w:line="240" w:lineRule="auto"/>
              <w:jc w:val="both"/>
              <w:rPr>
                <w:rFonts w:ascii="Times New Roman" w:eastAsia="Times New Roman" w:hAnsi="Times New Roman" w:cs="Times New Roman"/>
                <w:lang w:eastAsia="lv-LV"/>
              </w:rPr>
            </w:pPr>
          </w:p>
        </w:tc>
      </w:tr>
      <w:tr w:rsidR="00142EB1" w:rsidRPr="00635090" w14:paraId="0E508321"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7B388E5F" w14:textId="77777777" w:rsidR="00142EB1" w:rsidRPr="00982C0F" w:rsidRDefault="00142EB1"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3BAC30E" w14:textId="5DE8B2DB" w:rsidR="00142EB1" w:rsidRDefault="00142EB1" w:rsidP="00181D09">
            <w:pPr>
              <w:spacing w:after="0" w:line="240" w:lineRule="auto"/>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484AAE8" w14:textId="77777777" w:rsidR="00142EB1" w:rsidRDefault="00142EB1" w:rsidP="00181D09">
            <w:pPr>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23.11.2020. </w:t>
            </w:r>
            <w:proofErr w:type="spellStart"/>
            <w:r>
              <w:rPr>
                <w:rFonts w:ascii="Times New Roman" w:eastAsia="Times New Roman" w:hAnsi="Times New Roman" w:cs="Times New Roman"/>
                <w:b/>
                <w:lang w:eastAsia="lv-LV"/>
              </w:rPr>
              <w:t>Iekšlietu</w:t>
            </w:r>
            <w:proofErr w:type="spellEnd"/>
            <w:r>
              <w:rPr>
                <w:rFonts w:ascii="Times New Roman" w:eastAsia="Times New Roman" w:hAnsi="Times New Roman" w:cs="Times New Roman"/>
                <w:b/>
                <w:lang w:eastAsia="lv-LV"/>
              </w:rPr>
              <w:t xml:space="preserve"> ministrijas 1.priekšlikums:</w:t>
            </w:r>
          </w:p>
          <w:p w14:paraId="6ED9C354" w14:textId="39A0BF51" w:rsidR="00142EB1" w:rsidRPr="00142EB1" w:rsidRDefault="00142EB1" w:rsidP="00181D09">
            <w:pPr>
              <w:widowControl w:val="0"/>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1)</w:t>
            </w:r>
            <w:r w:rsidRPr="00142EB1">
              <w:rPr>
                <w:rFonts w:ascii="Times New Roman" w:eastAsia="Times New Roman" w:hAnsi="Times New Roman" w:cs="Times New Roman"/>
                <w:lang w:eastAsia="lv-LV"/>
              </w:rPr>
              <w:tab/>
              <w:t>Precizēt projekta sākotnējās ietekmes novērtējuma ziņojuma (anotācijas) sadaļu “Tiesību akta projekta anotācijas kopsavilkums”, ievērojot, ka projektā ir noteikts konkrēts tā spēkā stāšanās datums.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33276627" w14:textId="4746BD59" w:rsidR="00142EB1" w:rsidRDefault="00142EB1" w:rsidP="00181D09">
            <w:pPr>
              <w:spacing w:after="0" w:line="240" w:lineRule="auto"/>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00739CD" w14:textId="77777777" w:rsidR="00142EB1" w:rsidRDefault="00E44722"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Anotācijas kopsavilkuma sadaļas jaunā redakcija:</w:t>
            </w:r>
          </w:p>
          <w:p w14:paraId="0986AABB" w14:textId="59EFC572" w:rsidR="00E44722" w:rsidRDefault="00E44722"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E44722">
              <w:rPr>
                <w:rFonts w:ascii="Times New Roman" w:eastAsia="Times New Roman" w:hAnsi="Times New Roman" w:cs="Times New Roman"/>
                <w:lang w:eastAsia="lv-LV"/>
              </w:rPr>
              <w:t>Grozījumi Latvijas Republikas valsts robežas likumā ir sagatavoti, lai noteiktu trūkstošos nosacījumus attiecībā uz ārvalstu valsts dienestu kuģu ienākšanu, iziešanu un uzturēšanos Latvijas Republikas teritoriālajā jūrā, iekšējos ūdeņos un ostās, paredzot nosacījumu stāšanos spēkā līdz 2022. gada 1. janvārim</w:t>
            </w:r>
            <w:r>
              <w:rPr>
                <w:rFonts w:ascii="Times New Roman" w:eastAsia="Times New Roman" w:hAnsi="Times New Roman" w:cs="Times New Roman"/>
                <w:lang w:eastAsia="lv-LV"/>
              </w:rPr>
              <w:t>”</w:t>
            </w:r>
          </w:p>
        </w:tc>
      </w:tr>
      <w:tr w:rsidR="00142EB1" w:rsidRPr="00635090" w14:paraId="2AA4C3A8"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DC3759D" w14:textId="77777777" w:rsidR="00142EB1" w:rsidRPr="00982C0F" w:rsidRDefault="00142EB1"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E83AEED" w14:textId="72D34663" w:rsidR="00142EB1" w:rsidRDefault="00E44722" w:rsidP="00181D09">
            <w:pPr>
              <w:spacing w:after="0" w:line="240" w:lineRule="auto"/>
              <w:rPr>
                <w:rFonts w:ascii="Times New Roman" w:eastAsia="Times New Roman" w:hAnsi="Times New Roman" w:cs="Times New Roman"/>
                <w:lang w:eastAsia="lv-LV"/>
              </w:rPr>
            </w:pPr>
            <w:r w:rsidRPr="00E44722">
              <w:rPr>
                <w:rFonts w:ascii="Times New Roman" w:eastAsia="Times New Roman" w:hAnsi="Times New Roman" w:cs="Times New Roman"/>
                <w:lang w:eastAsia="lv-LV"/>
              </w:rPr>
              <w:t>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B21D823" w14:textId="77777777" w:rsidR="00142EB1" w:rsidRPr="00E44722" w:rsidRDefault="00142EB1" w:rsidP="00181D09">
            <w:pPr>
              <w:widowControl w:val="0"/>
              <w:spacing w:after="0" w:line="240" w:lineRule="auto"/>
              <w:jc w:val="both"/>
              <w:rPr>
                <w:rFonts w:ascii="Times New Roman" w:eastAsia="Times New Roman" w:hAnsi="Times New Roman" w:cs="Times New Roman"/>
                <w:b/>
                <w:lang w:eastAsia="lv-LV"/>
              </w:rPr>
            </w:pPr>
            <w:r w:rsidRPr="00E44722">
              <w:rPr>
                <w:rFonts w:ascii="Times New Roman" w:eastAsia="Times New Roman" w:hAnsi="Times New Roman" w:cs="Times New Roman"/>
                <w:b/>
                <w:lang w:eastAsia="lv-LV"/>
              </w:rPr>
              <w:t xml:space="preserve">23.11.2020. </w:t>
            </w:r>
            <w:proofErr w:type="spellStart"/>
            <w:r w:rsidRPr="00E44722">
              <w:rPr>
                <w:rFonts w:ascii="Times New Roman" w:eastAsia="Times New Roman" w:hAnsi="Times New Roman" w:cs="Times New Roman"/>
                <w:b/>
                <w:lang w:eastAsia="lv-LV"/>
              </w:rPr>
              <w:t>Iekšlietu</w:t>
            </w:r>
            <w:proofErr w:type="spellEnd"/>
            <w:r w:rsidRPr="00E44722">
              <w:rPr>
                <w:rFonts w:ascii="Times New Roman" w:eastAsia="Times New Roman" w:hAnsi="Times New Roman" w:cs="Times New Roman"/>
                <w:b/>
                <w:lang w:eastAsia="lv-LV"/>
              </w:rPr>
              <w:t xml:space="preserve"> ministrijas 2.priekšlikums:</w:t>
            </w:r>
          </w:p>
          <w:p w14:paraId="3CDA77FD" w14:textId="3E4A45D7" w:rsidR="00E44722" w:rsidRPr="00E44722" w:rsidRDefault="00E44722" w:rsidP="00181D09">
            <w:pPr>
              <w:widowControl w:val="0"/>
              <w:spacing w:after="0" w:line="240" w:lineRule="auto"/>
              <w:jc w:val="both"/>
              <w:rPr>
                <w:rFonts w:ascii="Times New Roman" w:eastAsia="Times New Roman" w:hAnsi="Times New Roman" w:cs="Times New Roman"/>
                <w:lang w:eastAsia="lv-LV"/>
              </w:rPr>
            </w:pPr>
            <w:r w:rsidRPr="00E44722">
              <w:rPr>
                <w:rFonts w:ascii="Times New Roman" w:eastAsia="Times New Roman" w:hAnsi="Times New Roman" w:cs="Times New Roman"/>
                <w:lang w:eastAsia="lv-LV"/>
              </w:rPr>
              <w:t>2)</w:t>
            </w:r>
            <w:r w:rsidRPr="00E44722">
              <w:rPr>
                <w:rFonts w:ascii="Times New Roman" w:eastAsia="Times New Roman" w:hAnsi="Times New Roman" w:cs="Times New Roman"/>
                <w:lang w:eastAsia="lv-LV"/>
              </w:rPr>
              <w:tab/>
              <w:t xml:space="preserve">Precizēt projekta sākotnējās ietekmes novērtējuma ziņojuma (anotācijas) I. sadaļas 2. punktā (2.lpp.) vārdus “Ņemot vērā ģeopolitisko </w:t>
            </w:r>
            <w:r w:rsidRPr="00E44722">
              <w:rPr>
                <w:rFonts w:ascii="Times New Roman" w:eastAsia="Times New Roman" w:hAnsi="Times New Roman" w:cs="Times New Roman"/>
                <w:lang w:eastAsia="lv-LV"/>
              </w:rPr>
              <w:lastRenderedPageBreak/>
              <w:t>situāciju, pastāv arī bažas, ka šo regulējuma nepilnību var izmantot kaitnieciskiem mērķim valsts dienestu kuģi, kas kuģo ar valsts, kas nav ES vai NATO dalībvalsts, karogu un ienāk no trešajām valstīm, kas nav ES vai NATO dalībvalstis, jo atšķirībā no karakuģiem nav noteikta konkrēta kārtība, kādā attiecīgie kuģi ienāk un uzturas Latvijas Republikas teritoriālajā jūrā”, ievērojot, ka Ministru kabineta 2016.gada 23. februāra noteikumi Nr. noteikumi Nr.108 “Kārtība, kādā ārvalstu karakuģi ienāk un uzturas Latvijas Republikas teritoriālajā jūrā, iekšējos ūdeņos un ostās un iziet no tām”, nesatur īpašus nosacījumus par to karakuģu ienākšanu, kas ceļo no Eiropas Savienības dalībvalstīm. Ņemot vērā, kā projekta sākotnējās ietekmes novērtējuma ziņojuma (anotācijas) I. sadaļas 2. punktā ir noteikta nepieciešamība ārvalstu valsts dienestu kuģiem piemērot analogu ienākšanas režīmu kā karakuģiem, līdz ar to attiecīgais projekta sākotnējās ietekmes novērtējuma ziņojuma (anotācijas) I. sadaļas 2. punktā (2.lpp.) ietvertais skaidrojums ir atbilstoši precizējams. Attiecīgi precizējami arī vārdi “ienākot no  trešajām valstīm, kas nav ES vai NATO dalībvalstis, būtu nepieciešams veikt kuģu pārbaudi, jo arī šāda veida kuģus ir iespējams izmantot izlūkošanas datu vākšanai un citām aktivitātēm”.</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243A001A" w14:textId="5D13E277" w:rsidR="00142EB1" w:rsidRDefault="00E44722" w:rsidP="00181D09">
            <w:pPr>
              <w:spacing w:after="0" w:line="240" w:lineRule="auto"/>
              <w:rPr>
                <w:rFonts w:ascii="Times New Roman" w:eastAsia="Times New Roman" w:hAnsi="Times New Roman" w:cs="Times New Roman"/>
                <w:lang w:eastAsia="lv-LV"/>
              </w:rPr>
            </w:pPr>
            <w:r w:rsidRPr="00E44722">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60229B18" w14:textId="4403C8A0" w:rsidR="00142EB1" w:rsidRDefault="00F1100D" w:rsidP="00181D0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anotācijas I. sadaļas 2. punkts precizēts atbilstoši priekšlikumā dotajā norādēm.</w:t>
            </w:r>
          </w:p>
        </w:tc>
      </w:tr>
      <w:tr w:rsidR="00142EB1" w:rsidRPr="00635090" w14:paraId="3D03F344"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CDB1B7D" w14:textId="77777777" w:rsidR="00142EB1" w:rsidRPr="00982C0F" w:rsidRDefault="00142EB1" w:rsidP="00181D09">
            <w:pPr>
              <w:numPr>
                <w:ilvl w:val="0"/>
                <w:numId w:val="1"/>
              </w:numPr>
              <w:spacing w:after="0" w:line="240" w:lineRule="auto"/>
              <w:jc w:val="center"/>
              <w:rPr>
                <w:rFonts w:ascii="Times New Roman" w:eastAsia="Times New Roman" w:hAnsi="Times New Roman" w:cs="Times New Roman"/>
                <w:lang w:eastAsia="lv-LV"/>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CBA5F3A" w14:textId="439F570C" w:rsidR="00142EB1" w:rsidRDefault="00142EB1"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5A1AAA7B" w14:textId="77777777" w:rsidR="00142EB1" w:rsidRDefault="00142EB1" w:rsidP="00181D09">
            <w:pPr>
              <w:widowControl w:val="0"/>
              <w:spacing w:after="0" w:line="240" w:lineRule="auto"/>
              <w:jc w:val="both"/>
              <w:rPr>
                <w:rFonts w:ascii="Times New Roman" w:eastAsia="Times New Roman" w:hAnsi="Times New Roman" w:cs="Times New Roman"/>
                <w:b/>
                <w:lang w:eastAsia="lv-LV"/>
              </w:rPr>
            </w:pPr>
            <w:r w:rsidRPr="00142EB1">
              <w:rPr>
                <w:rFonts w:ascii="Times New Roman" w:eastAsia="Times New Roman" w:hAnsi="Times New Roman" w:cs="Times New Roman"/>
                <w:b/>
                <w:lang w:eastAsia="lv-LV"/>
              </w:rPr>
              <w:t>23.</w:t>
            </w:r>
            <w:r>
              <w:rPr>
                <w:rFonts w:ascii="Times New Roman" w:eastAsia="Times New Roman" w:hAnsi="Times New Roman" w:cs="Times New Roman"/>
                <w:b/>
                <w:lang w:eastAsia="lv-LV"/>
              </w:rPr>
              <w:t xml:space="preserve">11.2020. </w:t>
            </w:r>
            <w:proofErr w:type="spellStart"/>
            <w:r>
              <w:rPr>
                <w:rFonts w:ascii="Times New Roman" w:eastAsia="Times New Roman" w:hAnsi="Times New Roman" w:cs="Times New Roman"/>
                <w:b/>
                <w:lang w:eastAsia="lv-LV"/>
              </w:rPr>
              <w:t>Iekšlietu</w:t>
            </w:r>
            <w:proofErr w:type="spellEnd"/>
            <w:r>
              <w:rPr>
                <w:rFonts w:ascii="Times New Roman" w:eastAsia="Times New Roman" w:hAnsi="Times New Roman" w:cs="Times New Roman"/>
                <w:b/>
                <w:lang w:eastAsia="lv-LV"/>
              </w:rPr>
              <w:t xml:space="preserve"> ministrijas 3</w:t>
            </w:r>
            <w:r w:rsidRPr="00142EB1">
              <w:rPr>
                <w:rFonts w:ascii="Times New Roman" w:eastAsia="Times New Roman" w:hAnsi="Times New Roman" w:cs="Times New Roman"/>
                <w:b/>
                <w:lang w:eastAsia="lv-LV"/>
              </w:rPr>
              <w:t>.priekšlikums:</w:t>
            </w:r>
          </w:p>
          <w:p w14:paraId="44E42596" w14:textId="2193086F" w:rsidR="00142EB1" w:rsidRPr="00142EB1" w:rsidRDefault="00142EB1" w:rsidP="00181D09">
            <w:pPr>
              <w:widowControl w:val="0"/>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3)</w:t>
            </w:r>
            <w:r w:rsidRPr="00142EB1">
              <w:rPr>
                <w:rFonts w:ascii="Times New Roman" w:eastAsia="Times New Roman" w:hAnsi="Times New Roman" w:cs="Times New Roman"/>
                <w:lang w:eastAsia="lv-LV"/>
              </w:rPr>
              <w:tab/>
              <w:t xml:space="preserve">Precizēt projekta sākotnējās ietekmes novērtējuma ziņojuma (anotācijas) II. sadaļas 1. un 2. punktu, papildinot ar vārdu “citi” pirms vārdiem </w:t>
            </w:r>
            <w:r w:rsidRPr="00142EB1">
              <w:rPr>
                <w:rFonts w:ascii="Times New Roman" w:eastAsia="Times New Roman" w:hAnsi="Times New Roman" w:cs="Times New Roman"/>
                <w:lang w:eastAsia="lv-LV"/>
              </w:rPr>
              <w:lastRenderedPageBreak/>
              <w:t>“valsts dienestu”, ievērojot projektā noteikto.</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7F82CC85" w14:textId="600DF2DE" w:rsidR="00142EB1" w:rsidRDefault="00142EB1" w:rsidP="00181D0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57ED1322" w14:textId="0BDA0A1C" w:rsidR="00142EB1" w:rsidRDefault="00142EB1" w:rsidP="00142EB1">
            <w:pPr>
              <w:spacing w:after="0" w:line="240" w:lineRule="auto"/>
              <w:jc w:val="both"/>
              <w:rPr>
                <w:rFonts w:ascii="Times New Roman" w:eastAsia="Times New Roman" w:hAnsi="Times New Roman" w:cs="Times New Roman"/>
                <w:lang w:eastAsia="lv-LV"/>
              </w:rPr>
            </w:pPr>
            <w:r w:rsidRPr="00142EB1">
              <w:rPr>
                <w:rFonts w:ascii="Times New Roman" w:eastAsia="Times New Roman" w:hAnsi="Times New Roman" w:cs="Times New Roman"/>
                <w:lang w:eastAsia="lv-LV"/>
              </w:rPr>
              <w:t>Precizēt</w:t>
            </w:r>
            <w:r>
              <w:rPr>
                <w:rFonts w:ascii="Times New Roman" w:eastAsia="Times New Roman" w:hAnsi="Times New Roman" w:cs="Times New Roman"/>
                <w:lang w:eastAsia="lv-LV"/>
              </w:rPr>
              <w:t>s</w:t>
            </w:r>
            <w:r w:rsidRPr="00142EB1">
              <w:rPr>
                <w:rFonts w:ascii="Times New Roman" w:eastAsia="Times New Roman" w:hAnsi="Times New Roman" w:cs="Times New Roman"/>
                <w:lang w:eastAsia="lv-LV"/>
              </w:rPr>
              <w:t xml:space="preserve"> projekta sākotnējās ietekmes novērtējuma ziņojuma (anotāci</w:t>
            </w:r>
            <w:r>
              <w:rPr>
                <w:rFonts w:ascii="Times New Roman" w:eastAsia="Times New Roman" w:hAnsi="Times New Roman" w:cs="Times New Roman"/>
                <w:lang w:eastAsia="lv-LV"/>
              </w:rPr>
              <w:t xml:space="preserve">jas) II. sadaļas 1. un 2. </w:t>
            </w:r>
            <w:r>
              <w:rPr>
                <w:rFonts w:ascii="Times New Roman" w:eastAsia="Times New Roman" w:hAnsi="Times New Roman" w:cs="Times New Roman"/>
                <w:lang w:eastAsia="lv-LV"/>
              </w:rPr>
              <w:lastRenderedPageBreak/>
              <w:t>punkts</w:t>
            </w:r>
            <w:r w:rsidRPr="00142EB1">
              <w:rPr>
                <w:rFonts w:ascii="Times New Roman" w:eastAsia="Times New Roman" w:hAnsi="Times New Roman" w:cs="Times New Roman"/>
                <w:lang w:eastAsia="lv-LV"/>
              </w:rPr>
              <w:t>, papildinot ar vārdu “citi” p</w:t>
            </w:r>
            <w:r>
              <w:rPr>
                <w:rFonts w:ascii="Times New Roman" w:eastAsia="Times New Roman" w:hAnsi="Times New Roman" w:cs="Times New Roman"/>
                <w:lang w:eastAsia="lv-LV"/>
              </w:rPr>
              <w:t>irms vārdiem “valsts dienestu”.</w:t>
            </w:r>
          </w:p>
        </w:tc>
      </w:tr>
      <w:tr w:rsidR="00181D09" w:rsidRPr="00635090" w14:paraId="5DF4941C" w14:textId="77777777" w:rsidTr="00BD6C2B">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4BFF1DF5" w14:textId="77777777" w:rsidR="00181D09" w:rsidRPr="00635090" w:rsidRDefault="00181D09" w:rsidP="00181D09">
            <w:pPr>
              <w:spacing w:after="0" w:line="240" w:lineRule="auto"/>
              <w:rPr>
                <w:rFonts w:ascii="Times New Roman" w:eastAsia="Times New Roman" w:hAnsi="Times New Roman" w:cs="Times New Roman"/>
                <w:lang w:eastAsia="lv-LV"/>
              </w:rPr>
            </w:pPr>
          </w:p>
          <w:p w14:paraId="468DC898" w14:textId="77777777" w:rsidR="00181D09" w:rsidRPr="00635090" w:rsidRDefault="00181D09" w:rsidP="00181D09">
            <w:pPr>
              <w:spacing w:after="0" w:line="240" w:lineRule="auto"/>
              <w:rPr>
                <w:rFonts w:ascii="Times New Roman" w:eastAsia="Times New Roman" w:hAnsi="Times New Roman" w:cs="Times New Roman"/>
                <w:lang w:eastAsia="lv-LV"/>
              </w:rPr>
            </w:pPr>
          </w:p>
          <w:p w14:paraId="152D1D84" w14:textId="48999249" w:rsidR="00181D09" w:rsidRPr="00635090" w:rsidRDefault="00181D09" w:rsidP="00181D09">
            <w:pPr>
              <w:spacing w:after="0" w:line="240" w:lineRule="auto"/>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Atbildīgā amatpersona</w:t>
            </w:r>
          </w:p>
        </w:tc>
        <w:tc>
          <w:tcPr>
            <w:tcW w:w="6179" w:type="dxa"/>
            <w:gridSpan w:val="3"/>
          </w:tcPr>
          <w:p w14:paraId="7ED21ECD" w14:textId="77777777" w:rsidR="00181D09" w:rsidRPr="00635090" w:rsidRDefault="00181D09" w:rsidP="00181D09">
            <w:pPr>
              <w:spacing w:after="0" w:line="240" w:lineRule="auto"/>
              <w:ind w:firstLine="720"/>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  </w:t>
            </w:r>
          </w:p>
        </w:tc>
      </w:tr>
      <w:tr w:rsidR="00181D09" w:rsidRPr="00635090" w14:paraId="3807242C" w14:textId="77777777" w:rsidTr="00BD6C2B">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0AE2D6E8" w14:textId="77777777" w:rsidR="00181D09" w:rsidRPr="00635090" w:rsidRDefault="00181D09" w:rsidP="00181D09">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14:paraId="3B5B48DD" w14:textId="77777777" w:rsidR="00181D09" w:rsidRPr="00635090" w:rsidRDefault="00181D09" w:rsidP="00181D09">
            <w:pPr>
              <w:spacing w:after="0" w:line="240" w:lineRule="auto"/>
              <w:ind w:firstLine="720"/>
              <w:jc w:val="center"/>
              <w:rPr>
                <w:rFonts w:ascii="Times New Roman" w:eastAsia="Times New Roman" w:hAnsi="Times New Roman" w:cs="Times New Roman"/>
                <w:lang w:eastAsia="lv-LV"/>
              </w:rPr>
            </w:pPr>
            <w:r w:rsidRPr="00635090">
              <w:rPr>
                <w:rFonts w:ascii="Times New Roman" w:eastAsia="Times New Roman" w:hAnsi="Times New Roman" w:cs="Times New Roman"/>
                <w:lang w:eastAsia="lv-LV"/>
              </w:rPr>
              <w:t>(paraksts)*</w:t>
            </w:r>
          </w:p>
        </w:tc>
      </w:tr>
    </w:tbl>
    <w:p w14:paraId="05037651" w14:textId="77777777" w:rsidR="00E5597B" w:rsidRPr="00635090" w:rsidRDefault="00E5597B" w:rsidP="00E5597B">
      <w:pPr>
        <w:spacing w:after="0" w:line="240" w:lineRule="auto"/>
        <w:ind w:left="-426"/>
        <w:jc w:val="both"/>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 xml:space="preserve">Piezīme. </w:t>
      </w:r>
    </w:p>
    <w:p w14:paraId="70DEBC18" w14:textId="77777777" w:rsidR="00E5597B" w:rsidRPr="00635090" w:rsidRDefault="00E5597B" w:rsidP="00E5597B">
      <w:pPr>
        <w:spacing w:after="0" w:line="240" w:lineRule="auto"/>
        <w:ind w:left="-426"/>
        <w:jc w:val="both"/>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2BE2C72D" w14:textId="77777777" w:rsidR="00E5597B" w:rsidRPr="00635090"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35FFD6E6" w14:textId="792024E8" w:rsidR="00E5597B" w:rsidRPr="00635090" w:rsidRDefault="00EF60C4" w:rsidP="002E2EBE">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 Rubļevska</w:t>
      </w:r>
    </w:p>
    <w:tbl>
      <w:tblPr>
        <w:tblpPr w:leftFromText="180" w:rightFromText="180" w:vertAnchor="text" w:tblpY="1"/>
        <w:tblOverlap w:val="never"/>
        <w:tblW w:w="0" w:type="auto"/>
        <w:tblLook w:val="00A0" w:firstRow="1" w:lastRow="0" w:firstColumn="1" w:lastColumn="0" w:noHBand="0" w:noVBand="0"/>
      </w:tblPr>
      <w:tblGrid>
        <w:gridCol w:w="8789"/>
      </w:tblGrid>
      <w:tr w:rsidR="00635090" w:rsidRPr="00635090" w14:paraId="722C877D" w14:textId="77777777" w:rsidTr="00BD6C2B">
        <w:tc>
          <w:tcPr>
            <w:tcW w:w="8789" w:type="dxa"/>
            <w:tcBorders>
              <w:top w:val="single" w:sz="4" w:space="0" w:color="000000"/>
              <w:left w:val="nil"/>
              <w:bottom w:val="nil"/>
              <w:right w:val="nil"/>
            </w:tcBorders>
            <w:hideMark/>
          </w:tcPr>
          <w:p w14:paraId="32E40F52" w14:textId="77777777" w:rsidR="00E5597B" w:rsidRPr="00635090" w:rsidRDefault="00E5597B" w:rsidP="00E5597B">
            <w:pPr>
              <w:spacing w:after="0" w:line="240" w:lineRule="auto"/>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(par projektu atbildīgās amatpersonas vārds un uzvārds)</w:t>
            </w:r>
          </w:p>
        </w:tc>
      </w:tr>
      <w:tr w:rsidR="00635090" w:rsidRPr="00635090" w14:paraId="7F35ABC8" w14:textId="77777777" w:rsidTr="00BD6C2B">
        <w:tc>
          <w:tcPr>
            <w:tcW w:w="8789" w:type="dxa"/>
            <w:tcBorders>
              <w:top w:val="nil"/>
              <w:left w:val="nil"/>
              <w:bottom w:val="single" w:sz="4" w:space="0" w:color="000000"/>
              <w:right w:val="nil"/>
            </w:tcBorders>
            <w:hideMark/>
          </w:tcPr>
          <w:p w14:paraId="3156CA49" w14:textId="77777777" w:rsidR="00E5597B" w:rsidRPr="00635090" w:rsidRDefault="00E5597B" w:rsidP="00E5597B">
            <w:pPr>
              <w:spacing w:after="0" w:line="240" w:lineRule="auto"/>
              <w:rPr>
                <w:rFonts w:ascii="Times New Roman" w:eastAsia="Times New Roman" w:hAnsi="Times New Roman" w:cs="Times New Roman"/>
                <w:sz w:val="20"/>
                <w:szCs w:val="20"/>
                <w:lang w:eastAsia="lv-LV"/>
              </w:rPr>
            </w:pPr>
          </w:p>
          <w:p w14:paraId="699B205E" w14:textId="6BCC16D7" w:rsidR="00E5597B" w:rsidRPr="00635090" w:rsidRDefault="002E2EBE" w:rsidP="00EF60C4">
            <w:pPr>
              <w:spacing w:after="0" w:line="240" w:lineRule="auto"/>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Aizsardzības ministrijas Krīzes vadības departamenta Visaptverošas valsts aizsardzības ieviešanas koordinācijas nodaļas v</w:t>
            </w:r>
            <w:r w:rsidR="00EF60C4">
              <w:rPr>
                <w:rFonts w:ascii="Times New Roman" w:eastAsia="Times New Roman" w:hAnsi="Times New Roman" w:cs="Times New Roman"/>
                <w:sz w:val="20"/>
                <w:szCs w:val="20"/>
                <w:lang w:eastAsia="lv-LV"/>
              </w:rPr>
              <w:t>ecākā referente</w:t>
            </w:r>
          </w:p>
        </w:tc>
      </w:tr>
      <w:tr w:rsidR="00635090" w:rsidRPr="00635090" w14:paraId="7BD8CEA3" w14:textId="77777777" w:rsidTr="00BD6C2B">
        <w:tc>
          <w:tcPr>
            <w:tcW w:w="8789" w:type="dxa"/>
            <w:tcBorders>
              <w:top w:val="single" w:sz="4" w:space="0" w:color="000000"/>
              <w:left w:val="nil"/>
              <w:bottom w:val="nil"/>
              <w:right w:val="nil"/>
            </w:tcBorders>
            <w:hideMark/>
          </w:tcPr>
          <w:p w14:paraId="490C1E9A" w14:textId="77777777" w:rsidR="00E5597B" w:rsidRPr="00635090" w:rsidRDefault="00E5597B" w:rsidP="00E5597B">
            <w:pPr>
              <w:spacing w:after="0" w:line="240" w:lineRule="auto"/>
              <w:jc w:val="center"/>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(amats)</w:t>
            </w:r>
          </w:p>
          <w:p w14:paraId="70FED907" w14:textId="77777777" w:rsidR="002E2EBE" w:rsidRPr="00635090" w:rsidRDefault="002E2EBE" w:rsidP="00E5597B">
            <w:pPr>
              <w:spacing w:after="0" w:line="240" w:lineRule="auto"/>
              <w:jc w:val="center"/>
              <w:rPr>
                <w:rFonts w:ascii="Times New Roman" w:eastAsia="Times New Roman" w:hAnsi="Times New Roman" w:cs="Times New Roman"/>
                <w:sz w:val="20"/>
                <w:szCs w:val="20"/>
                <w:lang w:eastAsia="lv-LV"/>
              </w:rPr>
            </w:pPr>
          </w:p>
        </w:tc>
      </w:tr>
      <w:tr w:rsidR="00635090" w:rsidRPr="00635090" w14:paraId="022554CC" w14:textId="77777777" w:rsidTr="00BD6C2B">
        <w:tc>
          <w:tcPr>
            <w:tcW w:w="8789" w:type="dxa"/>
            <w:tcBorders>
              <w:top w:val="nil"/>
              <w:left w:val="nil"/>
              <w:bottom w:val="single" w:sz="4" w:space="0" w:color="000000"/>
              <w:right w:val="nil"/>
            </w:tcBorders>
            <w:hideMark/>
          </w:tcPr>
          <w:p w14:paraId="477C2F09" w14:textId="488F503E" w:rsidR="00E5597B" w:rsidRPr="00635090" w:rsidRDefault="00E5597B" w:rsidP="00EF60C4">
            <w:pPr>
              <w:spacing w:after="0" w:line="240" w:lineRule="auto"/>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 xml:space="preserve">tālr. </w:t>
            </w:r>
            <w:r w:rsidR="002E2EBE" w:rsidRPr="00635090">
              <w:rPr>
                <w:rFonts w:ascii="Times New Roman" w:eastAsia="Times New Roman" w:hAnsi="Times New Roman" w:cs="Times New Roman"/>
                <w:sz w:val="20"/>
                <w:szCs w:val="20"/>
                <w:lang w:eastAsia="lv-LV"/>
              </w:rPr>
              <w:t xml:space="preserve">                                                                          673350</w:t>
            </w:r>
            <w:r w:rsidR="00EF60C4">
              <w:rPr>
                <w:rFonts w:ascii="Times New Roman" w:eastAsia="Times New Roman" w:hAnsi="Times New Roman" w:cs="Times New Roman"/>
                <w:sz w:val="20"/>
                <w:szCs w:val="20"/>
                <w:lang w:eastAsia="lv-LV"/>
              </w:rPr>
              <w:t>88</w:t>
            </w:r>
          </w:p>
        </w:tc>
      </w:tr>
      <w:tr w:rsidR="00635090" w:rsidRPr="00635090" w14:paraId="680F2C2D" w14:textId="77777777" w:rsidTr="00BD6C2B">
        <w:tc>
          <w:tcPr>
            <w:tcW w:w="8789" w:type="dxa"/>
            <w:tcBorders>
              <w:top w:val="single" w:sz="4" w:space="0" w:color="000000"/>
              <w:left w:val="nil"/>
              <w:bottom w:val="nil"/>
              <w:right w:val="nil"/>
            </w:tcBorders>
            <w:hideMark/>
          </w:tcPr>
          <w:p w14:paraId="6D32D87E" w14:textId="77777777" w:rsidR="00E5597B" w:rsidRPr="00635090" w:rsidRDefault="00E5597B" w:rsidP="00E5597B">
            <w:pPr>
              <w:spacing w:after="0" w:line="240" w:lineRule="auto"/>
              <w:jc w:val="center"/>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(tālruņa un faksa numurs)</w:t>
            </w:r>
          </w:p>
          <w:p w14:paraId="52A8576E" w14:textId="77777777" w:rsidR="002E2EBE" w:rsidRPr="00635090" w:rsidRDefault="002E2EBE" w:rsidP="00E5597B">
            <w:pPr>
              <w:spacing w:after="0" w:line="240" w:lineRule="auto"/>
              <w:jc w:val="center"/>
              <w:rPr>
                <w:rFonts w:ascii="Times New Roman" w:eastAsia="Times New Roman" w:hAnsi="Times New Roman" w:cs="Times New Roman"/>
                <w:sz w:val="20"/>
                <w:szCs w:val="20"/>
                <w:lang w:eastAsia="lv-LV"/>
              </w:rPr>
            </w:pPr>
          </w:p>
          <w:p w14:paraId="1F2EF8E5" w14:textId="635D4D15" w:rsidR="00E5597B" w:rsidRPr="00635090" w:rsidRDefault="00EF60C4"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Ieva.Rublevska</w:t>
            </w:r>
            <w:r w:rsidR="002E2EBE" w:rsidRPr="00635090">
              <w:rPr>
                <w:rFonts w:ascii="Times New Roman" w:eastAsia="Times New Roman" w:hAnsi="Times New Roman" w:cs="Times New Roman"/>
                <w:sz w:val="20"/>
                <w:szCs w:val="20"/>
                <w:lang w:eastAsia="lv-LV"/>
              </w:rPr>
              <w:t>@mod.gov.lv</w:t>
            </w:r>
          </w:p>
        </w:tc>
      </w:tr>
      <w:tr w:rsidR="00635090" w:rsidRPr="00635090" w14:paraId="1760ED81" w14:textId="77777777" w:rsidTr="00BD6C2B">
        <w:tc>
          <w:tcPr>
            <w:tcW w:w="8789" w:type="dxa"/>
            <w:tcBorders>
              <w:top w:val="nil"/>
              <w:left w:val="nil"/>
              <w:bottom w:val="single" w:sz="4" w:space="0" w:color="000000"/>
              <w:right w:val="nil"/>
            </w:tcBorders>
            <w:hideMark/>
          </w:tcPr>
          <w:p w14:paraId="291EA306" w14:textId="77777777" w:rsidR="00E5597B" w:rsidRPr="00635090" w:rsidRDefault="00E5597B" w:rsidP="00E5597B">
            <w:pPr>
              <w:spacing w:after="0" w:line="240" w:lineRule="auto"/>
              <w:rPr>
                <w:rFonts w:ascii="Times New Roman" w:eastAsia="Times New Roman" w:hAnsi="Times New Roman" w:cs="Times New Roman"/>
                <w:sz w:val="20"/>
                <w:szCs w:val="20"/>
                <w:lang w:eastAsia="lv-LV"/>
              </w:rPr>
            </w:pPr>
          </w:p>
        </w:tc>
      </w:tr>
      <w:tr w:rsidR="00635090" w:rsidRPr="00635090" w14:paraId="7821A8AF" w14:textId="77777777" w:rsidTr="00BD6C2B">
        <w:tc>
          <w:tcPr>
            <w:tcW w:w="8789" w:type="dxa"/>
            <w:tcBorders>
              <w:top w:val="single" w:sz="4" w:space="0" w:color="000000"/>
              <w:left w:val="nil"/>
              <w:bottom w:val="nil"/>
              <w:right w:val="nil"/>
            </w:tcBorders>
            <w:hideMark/>
          </w:tcPr>
          <w:p w14:paraId="7C843CE9" w14:textId="77777777" w:rsidR="00E5597B" w:rsidRPr="00635090" w:rsidRDefault="00E5597B" w:rsidP="00E5597B">
            <w:pPr>
              <w:spacing w:after="0" w:line="240" w:lineRule="auto"/>
              <w:jc w:val="center"/>
              <w:rPr>
                <w:rFonts w:ascii="Times New Roman" w:eastAsia="Times New Roman" w:hAnsi="Times New Roman" w:cs="Times New Roman"/>
                <w:sz w:val="20"/>
                <w:szCs w:val="20"/>
                <w:lang w:eastAsia="lv-LV"/>
              </w:rPr>
            </w:pPr>
            <w:r w:rsidRPr="00635090">
              <w:rPr>
                <w:rFonts w:ascii="Times New Roman" w:eastAsia="Times New Roman" w:hAnsi="Times New Roman" w:cs="Times New Roman"/>
                <w:sz w:val="20"/>
                <w:szCs w:val="20"/>
                <w:lang w:eastAsia="lv-LV"/>
              </w:rPr>
              <w:t>(e-pasta adrese)</w:t>
            </w:r>
          </w:p>
        </w:tc>
      </w:tr>
    </w:tbl>
    <w:p w14:paraId="3E512D19"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4B3BE4BC"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53C2D32B"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742BEE69"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54663186"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6F86B36D" w14:textId="77777777" w:rsidR="00E5597B" w:rsidRPr="00635090" w:rsidRDefault="00E5597B" w:rsidP="00E5597B">
      <w:pPr>
        <w:spacing w:after="0" w:line="240" w:lineRule="auto"/>
        <w:jc w:val="both"/>
        <w:rPr>
          <w:rFonts w:ascii="Times New Roman" w:eastAsia="Times New Roman" w:hAnsi="Times New Roman" w:cs="Times New Roman"/>
          <w:sz w:val="20"/>
          <w:szCs w:val="20"/>
          <w:lang w:eastAsia="lv-LV"/>
        </w:rPr>
      </w:pPr>
    </w:p>
    <w:p w14:paraId="1D9E3CF5" w14:textId="77777777" w:rsidR="00E5597B" w:rsidRPr="00635090"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5A954D42" w14:textId="77777777" w:rsidR="00E5597B" w:rsidRPr="00635090"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2CC1B70B" w14:textId="77777777" w:rsidR="002B15FE" w:rsidRPr="00635090" w:rsidRDefault="002B15FE"/>
    <w:sectPr w:rsidR="002B15FE" w:rsidRPr="00635090" w:rsidSect="002B15FE">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0E3B" w14:textId="77777777" w:rsidR="005D3D73" w:rsidRDefault="005D3D73" w:rsidP="009C2496">
      <w:pPr>
        <w:spacing w:after="0" w:line="240" w:lineRule="auto"/>
      </w:pPr>
      <w:r>
        <w:separator/>
      </w:r>
    </w:p>
  </w:endnote>
  <w:endnote w:type="continuationSeparator" w:id="0">
    <w:p w14:paraId="1C82BA2D" w14:textId="77777777" w:rsidR="005D3D73" w:rsidRDefault="005D3D73" w:rsidP="009C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5C73" w14:textId="336CE829" w:rsidR="00FF1695" w:rsidRDefault="0062233C">
    <w:pPr>
      <w:pStyle w:val="Footer"/>
    </w:pPr>
    <w:r>
      <w:t>AiMizz_</w:t>
    </w:r>
    <w:r w:rsidR="00CE309D">
      <w:t>robezas_lik.579</w:t>
    </w:r>
  </w:p>
  <w:p w14:paraId="7B5A625F" w14:textId="77777777" w:rsidR="00FF1695" w:rsidRDefault="00FF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C88B" w14:textId="77777777" w:rsidR="005D3D73" w:rsidRDefault="005D3D73" w:rsidP="009C2496">
      <w:pPr>
        <w:spacing w:after="0" w:line="240" w:lineRule="auto"/>
      </w:pPr>
      <w:r>
        <w:separator/>
      </w:r>
    </w:p>
  </w:footnote>
  <w:footnote w:type="continuationSeparator" w:id="0">
    <w:p w14:paraId="12CFA410" w14:textId="77777777" w:rsidR="005D3D73" w:rsidRDefault="005D3D73" w:rsidP="009C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48980"/>
      <w:docPartObj>
        <w:docPartGallery w:val="Page Numbers (Top of Page)"/>
        <w:docPartUnique/>
      </w:docPartObj>
    </w:sdtPr>
    <w:sdtEndPr>
      <w:rPr>
        <w:noProof/>
      </w:rPr>
    </w:sdtEndPr>
    <w:sdtContent>
      <w:p w14:paraId="03356238" w14:textId="29994115" w:rsidR="00BD6C2B" w:rsidRDefault="00BD6C2B">
        <w:pPr>
          <w:pStyle w:val="Header"/>
          <w:jc w:val="center"/>
        </w:pPr>
        <w:r>
          <w:fldChar w:fldCharType="begin"/>
        </w:r>
        <w:r>
          <w:instrText xml:space="preserve"> PAGE   \* MERGEFORMAT </w:instrText>
        </w:r>
        <w:r>
          <w:fldChar w:fldCharType="separate"/>
        </w:r>
        <w:r w:rsidR="00CE309D">
          <w:rPr>
            <w:noProof/>
          </w:rPr>
          <w:t>25</w:t>
        </w:r>
        <w:r>
          <w:rPr>
            <w:noProof/>
          </w:rPr>
          <w:fldChar w:fldCharType="end"/>
        </w:r>
      </w:p>
    </w:sdtContent>
  </w:sdt>
  <w:p w14:paraId="3205B7AA" w14:textId="1C2DB1BF" w:rsidR="00BD6C2B" w:rsidRDefault="00BD6C2B" w:rsidP="004654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0">
    <w:nsid w:val="229B592E"/>
    <w:multiLevelType w:val="hybridMultilevel"/>
    <w:tmpl w:val="772AEA10"/>
    <w:lvl w:ilvl="0" w:tplc="43AEF284">
      <w:start w:val="1"/>
      <w:numFmt w:val="decimal"/>
      <w:lvlText w:val="%1."/>
      <w:lvlJc w:val="left"/>
      <w:pPr>
        <w:ind w:left="1080" w:hanging="360"/>
      </w:pPr>
      <w:rPr>
        <w:rFonts w:hint="default"/>
      </w:rPr>
    </w:lvl>
    <w:lvl w:ilvl="1" w:tplc="04260019">
      <w:start w:val="1"/>
      <w:numFmt w:val="lowerLetter"/>
      <w:lvlText w:val="%2."/>
      <w:lvlJc w:val="left"/>
      <w:pPr>
        <w:ind w:left="36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CE1955"/>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A2521B"/>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1E07214"/>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E7B198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F1359C6"/>
    <w:multiLevelType w:val="hybridMultilevel"/>
    <w:tmpl w:val="106687D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1">
    <w:nsid w:val="58B1562E"/>
    <w:multiLevelType w:val="hybridMultilevel"/>
    <w:tmpl w:val="63506798"/>
    <w:lvl w:ilvl="0" w:tplc="4C46A9B0">
      <w:start w:val="1"/>
      <w:numFmt w:val="decimal"/>
      <w:lvlText w:val="%1."/>
      <w:lvlJc w:val="left"/>
      <w:pPr>
        <w:ind w:left="644" w:hanging="360"/>
      </w:pPr>
      <w:rPr>
        <w:rFonts w:ascii="Times New Roman" w:eastAsia="Times New Roman" w:hAnsi="Times New Roman" w:cs="Times New Roman"/>
        <w:color w:val="auto"/>
        <w:sz w:val="24"/>
        <w:szCs w:val="24"/>
      </w:rPr>
    </w:lvl>
    <w:lvl w:ilvl="1" w:tplc="69601F64" w:tentative="1">
      <w:start w:val="1"/>
      <w:numFmt w:val="lowerLetter"/>
      <w:lvlText w:val="%2."/>
      <w:lvlJc w:val="left"/>
      <w:pPr>
        <w:ind w:left="1364" w:hanging="360"/>
      </w:pPr>
    </w:lvl>
    <w:lvl w:ilvl="2" w:tplc="97262626" w:tentative="1">
      <w:start w:val="1"/>
      <w:numFmt w:val="lowerRoman"/>
      <w:lvlText w:val="%3."/>
      <w:lvlJc w:val="right"/>
      <w:pPr>
        <w:ind w:left="2084" w:hanging="180"/>
      </w:pPr>
    </w:lvl>
    <w:lvl w:ilvl="3" w:tplc="01706CAE" w:tentative="1">
      <w:start w:val="1"/>
      <w:numFmt w:val="decimal"/>
      <w:lvlText w:val="%4."/>
      <w:lvlJc w:val="left"/>
      <w:pPr>
        <w:ind w:left="2804" w:hanging="360"/>
      </w:pPr>
    </w:lvl>
    <w:lvl w:ilvl="4" w:tplc="D6A2B25C" w:tentative="1">
      <w:start w:val="1"/>
      <w:numFmt w:val="lowerLetter"/>
      <w:lvlText w:val="%5."/>
      <w:lvlJc w:val="left"/>
      <w:pPr>
        <w:ind w:left="3524" w:hanging="360"/>
      </w:pPr>
    </w:lvl>
    <w:lvl w:ilvl="5" w:tplc="23363F46" w:tentative="1">
      <w:start w:val="1"/>
      <w:numFmt w:val="lowerRoman"/>
      <w:lvlText w:val="%6."/>
      <w:lvlJc w:val="right"/>
      <w:pPr>
        <w:ind w:left="4244" w:hanging="180"/>
      </w:pPr>
    </w:lvl>
    <w:lvl w:ilvl="6" w:tplc="CBA87ECA" w:tentative="1">
      <w:start w:val="1"/>
      <w:numFmt w:val="decimal"/>
      <w:lvlText w:val="%7."/>
      <w:lvlJc w:val="left"/>
      <w:pPr>
        <w:ind w:left="4964" w:hanging="360"/>
      </w:pPr>
    </w:lvl>
    <w:lvl w:ilvl="7" w:tplc="8EFCFE1C" w:tentative="1">
      <w:start w:val="1"/>
      <w:numFmt w:val="lowerLetter"/>
      <w:lvlText w:val="%8."/>
      <w:lvlJc w:val="left"/>
      <w:pPr>
        <w:ind w:left="5684" w:hanging="360"/>
      </w:pPr>
    </w:lvl>
    <w:lvl w:ilvl="8" w:tplc="0E82D89A" w:tentative="1">
      <w:start w:val="1"/>
      <w:numFmt w:val="lowerRoman"/>
      <w:lvlText w:val="%9."/>
      <w:lvlJc w:val="right"/>
      <w:pPr>
        <w:ind w:left="6404" w:hanging="180"/>
      </w:pPr>
    </w:lvl>
  </w:abstractNum>
  <w:abstractNum w:abstractNumId="10" w15:restartNumberingAfterBreak="0">
    <w:nsid w:val="5B8674A1"/>
    <w:multiLevelType w:val="hybridMultilevel"/>
    <w:tmpl w:val="A2A07CE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0E632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9283959"/>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num>
  <w:num w:numId="7">
    <w:abstractNumId w:val="3"/>
  </w:num>
  <w:num w:numId="8">
    <w:abstractNumId w:val="7"/>
  </w:num>
  <w:num w:numId="9">
    <w:abstractNumId w:val="4"/>
  </w:num>
  <w:num w:numId="10">
    <w:abstractNumId w:val="11"/>
  </w:num>
  <w:num w:numId="11">
    <w:abstractNumId w:val="9"/>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6503"/>
    <w:rsid w:val="0002501D"/>
    <w:rsid w:val="00074C6C"/>
    <w:rsid w:val="00075D2A"/>
    <w:rsid w:val="00085327"/>
    <w:rsid w:val="000A4DC4"/>
    <w:rsid w:val="000C01B8"/>
    <w:rsid w:val="000D26CA"/>
    <w:rsid w:val="000F352A"/>
    <w:rsid w:val="000F556C"/>
    <w:rsid w:val="00106176"/>
    <w:rsid w:val="00142EB1"/>
    <w:rsid w:val="00143D7D"/>
    <w:rsid w:val="001557B8"/>
    <w:rsid w:val="001665A8"/>
    <w:rsid w:val="00181D09"/>
    <w:rsid w:val="001870F0"/>
    <w:rsid w:val="001D3379"/>
    <w:rsid w:val="001D372B"/>
    <w:rsid w:val="0024550B"/>
    <w:rsid w:val="00263D0A"/>
    <w:rsid w:val="00271EBB"/>
    <w:rsid w:val="00272B12"/>
    <w:rsid w:val="002B15FE"/>
    <w:rsid w:val="002C1FE7"/>
    <w:rsid w:val="002E2EBE"/>
    <w:rsid w:val="0030136C"/>
    <w:rsid w:val="00303A8C"/>
    <w:rsid w:val="00320789"/>
    <w:rsid w:val="003246BB"/>
    <w:rsid w:val="00326BA8"/>
    <w:rsid w:val="00361DA8"/>
    <w:rsid w:val="00376463"/>
    <w:rsid w:val="0038187A"/>
    <w:rsid w:val="00393DF4"/>
    <w:rsid w:val="0039428C"/>
    <w:rsid w:val="003A6C95"/>
    <w:rsid w:val="003C421F"/>
    <w:rsid w:val="003F66BD"/>
    <w:rsid w:val="00401075"/>
    <w:rsid w:val="00402224"/>
    <w:rsid w:val="00420A33"/>
    <w:rsid w:val="0042219F"/>
    <w:rsid w:val="00434FA6"/>
    <w:rsid w:val="00441EB8"/>
    <w:rsid w:val="00446C34"/>
    <w:rsid w:val="00447672"/>
    <w:rsid w:val="00464213"/>
    <w:rsid w:val="0046544B"/>
    <w:rsid w:val="004975E3"/>
    <w:rsid w:val="004B5839"/>
    <w:rsid w:val="004D6B41"/>
    <w:rsid w:val="004F5040"/>
    <w:rsid w:val="005503B8"/>
    <w:rsid w:val="00551B9C"/>
    <w:rsid w:val="00561173"/>
    <w:rsid w:val="005868C6"/>
    <w:rsid w:val="005A3951"/>
    <w:rsid w:val="005B3AF2"/>
    <w:rsid w:val="005D246C"/>
    <w:rsid w:val="005D3D73"/>
    <w:rsid w:val="005F0BED"/>
    <w:rsid w:val="00607945"/>
    <w:rsid w:val="0062233C"/>
    <w:rsid w:val="00635090"/>
    <w:rsid w:val="00635333"/>
    <w:rsid w:val="00647D37"/>
    <w:rsid w:val="00654CA3"/>
    <w:rsid w:val="00661A47"/>
    <w:rsid w:val="00686587"/>
    <w:rsid w:val="006A5C3E"/>
    <w:rsid w:val="006B779C"/>
    <w:rsid w:val="00704872"/>
    <w:rsid w:val="00724D8C"/>
    <w:rsid w:val="00743D16"/>
    <w:rsid w:val="00756B70"/>
    <w:rsid w:val="00771A6B"/>
    <w:rsid w:val="0077737D"/>
    <w:rsid w:val="007807EE"/>
    <w:rsid w:val="007B4A29"/>
    <w:rsid w:val="007E5A56"/>
    <w:rsid w:val="00820EE5"/>
    <w:rsid w:val="008322A6"/>
    <w:rsid w:val="00862E2B"/>
    <w:rsid w:val="00864151"/>
    <w:rsid w:val="008800C6"/>
    <w:rsid w:val="008A2FA7"/>
    <w:rsid w:val="008B6E0E"/>
    <w:rsid w:val="008C37A2"/>
    <w:rsid w:val="008E3C58"/>
    <w:rsid w:val="008F7C05"/>
    <w:rsid w:val="00911706"/>
    <w:rsid w:val="00921D32"/>
    <w:rsid w:val="00924764"/>
    <w:rsid w:val="00947F16"/>
    <w:rsid w:val="00982C0F"/>
    <w:rsid w:val="009B5A88"/>
    <w:rsid w:val="009C0B18"/>
    <w:rsid w:val="009C2496"/>
    <w:rsid w:val="009D3351"/>
    <w:rsid w:val="009E7E95"/>
    <w:rsid w:val="00A0575B"/>
    <w:rsid w:val="00A43679"/>
    <w:rsid w:val="00A47751"/>
    <w:rsid w:val="00AA77B0"/>
    <w:rsid w:val="00AB5BF4"/>
    <w:rsid w:val="00AE72AB"/>
    <w:rsid w:val="00AE766E"/>
    <w:rsid w:val="00AF77DA"/>
    <w:rsid w:val="00B440FB"/>
    <w:rsid w:val="00B6311E"/>
    <w:rsid w:val="00BA19E0"/>
    <w:rsid w:val="00BB282D"/>
    <w:rsid w:val="00BD6C2B"/>
    <w:rsid w:val="00BF345D"/>
    <w:rsid w:val="00C119B4"/>
    <w:rsid w:val="00C41CC2"/>
    <w:rsid w:val="00C4480D"/>
    <w:rsid w:val="00C47EA2"/>
    <w:rsid w:val="00C57DDB"/>
    <w:rsid w:val="00C627E1"/>
    <w:rsid w:val="00CA27FD"/>
    <w:rsid w:val="00CA77CF"/>
    <w:rsid w:val="00CD7364"/>
    <w:rsid w:val="00CE309D"/>
    <w:rsid w:val="00CF30CB"/>
    <w:rsid w:val="00D15157"/>
    <w:rsid w:val="00D23FFE"/>
    <w:rsid w:val="00D3284D"/>
    <w:rsid w:val="00D378CA"/>
    <w:rsid w:val="00D405E3"/>
    <w:rsid w:val="00D437DF"/>
    <w:rsid w:val="00D83B5E"/>
    <w:rsid w:val="00DE6D39"/>
    <w:rsid w:val="00DF20ED"/>
    <w:rsid w:val="00DF2520"/>
    <w:rsid w:val="00E100AC"/>
    <w:rsid w:val="00E21A4E"/>
    <w:rsid w:val="00E237F8"/>
    <w:rsid w:val="00E2552E"/>
    <w:rsid w:val="00E42B3D"/>
    <w:rsid w:val="00E43CBC"/>
    <w:rsid w:val="00E44722"/>
    <w:rsid w:val="00E44787"/>
    <w:rsid w:val="00E44854"/>
    <w:rsid w:val="00E5597B"/>
    <w:rsid w:val="00E77655"/>
    <w:rsid w:val="00E77DF3"/>
    <w:rsid w:val="00E93602"/>
    <w:rsid w:val="00E9381D"/>
    <w:rsid w:val="00EE231C"/>
    <w:rsid w:val="00EF60C4"/>
    <w:rsid w:val="00F067AA"/>
    <w:rsid w:val="00F1100D"/>
    <w:rsid w:val="00F15B93"/>
    <w:rsid w:val="00F2270C"/>
    <w:rsid w:val="00F47399"/>
    <w:rsid w:val="00F650F5"/>
    <w:rsid w:val="00FD653E"/>
    <w:rsid w:val="00FF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945B"/>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C2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96"/>
  </w:style>
  <w:style w:type="paragraph" w:styleId="Footer">
    <w:name w:val="footer"/>
    <w:basedOn w:val="Normal"/>
    <w:link w:val="FooterChar"/>
    <w:uiPriority w:val="99"/>
    <w:unhideWhenUsed/>
    <w:rsid w:val="009C2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96"/>
  </w:style>
  <w:style w:type="character" w:customStyle="1" w:styleId="st1">
    <w:name w:val="st1"/>
    <w:basedOn w:val="DefaultParagraphFont"/>
    <w:rsid w:val="00C119B4"/>
  </w:style>
  <w:style w:type="paragraph" w:styleId="BalloonText">
    <w:name w:val="Balloon Text"/>
    <w:basedOn w:val="Normal"/>
    <w:link w:val="BalloonTextChar"/>
    <w:uiPriority w:val="99"/>
    <w:semiHidden/>
    <w:unhideWhenUsed/>
    <w:rsid w:val="000A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C4"/>
    <w:rPr>
      <w:rFonts w:ascii="Segoe UI" w:hAnsi="Segoe UI" w:cs="Segoe UI"/>
      <w:sz w:val="18"/>
      <w:szCs w:val="18"/>
    </w:rPr>
  </w:style>
  <w:style w:type="character" w:styleId="CommentReference">
    <w:name w:val="annotation reference"/>
    <w:basedOn w:val="DefaultParagraphFont"/>
    <w:uiPriority w:val="99"/>
    <w:semiHidden/>
    <w:unhideWhenUsed/>
    <w:rsid w:val="00AA77B0"/>
    <w:rPr>
      <w:sz w:val="16"/>
      <w:szCs w:val="16"/>
    </w:rPr>
  </w:style>
  <w:style w:type="paragraph" w:styleId="CommentText">
    <w:name w:val="annotation text"/>
    <w:basedOn w:val="Normal"/>
    <w:link w:val="CommentTextChar"/>
    <w:uiPriority w:val="99"/>
    <w:semiHidden/>
    <w:unhideWhenUsed/>
    <w:rsid w:val="00AA77B0"/>
    <w:pPr>
      <w:spacing w:line="240" w:lineRule="auto"/>
    </w:pPr>
    <w:rPr>
      <w:sz w:val="20"/>
      <w:szCs w:val="20"/>
    </w:rPr>
  </w:style>
  <w:style w:type="character" w:customStyle="1" w:styleId="CommentTextChar">
    <w:name w:val="Comment Text Char"/>
    <w:basedOn w:val="DefaultParagraphFont"/>
    <w:link w:val="CommentText"/>
    <w:uiPriority w:val="99"/>
    <w:semiHidden/>
    <w:rsid w:val="00AA77B0"/>
    <w:rPr>
      <w:sz w:val="20"/>
      <w:szCs w:val="20"/>
    </w:rPr>
  </w:style>
  <w:style w:type="paragraph" w:styleId="CommentSubject">
    <w:name w:val="annotation subject"/>
    <w:basedOn w:val="CommentText"/>
    <w:next w:val="CommentText"/>
    <w:link w:val="CommentSubjectChar"/>
    <w:uiPriority w:val="99"/>
    <w:semiHidden/>
    <w:unhideWhenUsed/>
    <w:rsid w:val="00AA77B0"/>
    <w:rPr>
      <w:b/>
      <w:bCs/>
    </w:rPr>
  </w:style>
  <w:style w:type="character" w:customStyle="1" w:styleId="CommentSubjectChar">
    <w:name w:val="Comment Subject Char"/>
    <w:basedOn w:val="CommentTextChar"/>
    <w:link w:val="CommentSubject"/>
    <w:uiPriority w:val="99"/>
    <w:semiHidden/>
    <w:rsid w:val="00AA77B0"/>
    <w:rPr>
      <w:b/>
      <w:bCs/>
      <w:sz w:val="20"/>
      <w:szCs w:val="20"/>
    </w:rPr>
  </w:style>
  <w:style w:type="character" w:customStyle="1" w:styleId="spelle">
    <w:name w:val="spelle"/>
    <w:basedOn w:val="DefaultParagraphFont"/>
    <w:rsid w:val="00BF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A3F5-BC52-42CD-9AB3-C86BE33C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26</Pages>
  <Words>32310</Words>
  <Characters>18417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35</cp:revision>
  <cp:lastPrinted>2020-09-04T11:40:00Z</cp:lastPrinted>
  <dcterms:created xsi:type="dcterms:W3CDTF">2020-08-13T08:01:00Z</dcterms:created>
  <dcterms:modified xsi:type="dcterms:W3CDTF">2020-12-18T07:48:00Z</dcterms:modified>
</cp:coreProperties>
</file>