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AE06" w14:textId="6E6F4152" w:rsidR="007C5781" w:rsidRPr="000B4902" w:rsidRDefault="00363BB6" w:rsidP="00606FEC">
      <w:pPr>
        <w:pStyle w:val="NoSpacing"/>
        <w:jc w:val="center"/>
        <w:rPr>
          <w:rFonts w:ascii="Times New Roman" w:hAnsi="Times New Roman"/>
          <w:b/>
          <w:bCs/>
          <w:sz w:val="28"/>
          <w:szCs w:val="28"/>
          <w:lang w:eastAsia="lv-LV"/>
        </w:rPr>
      </w:pPr>
      <w:bookmarkStart w:id="0" w:name="OLE_LINK1"/>
      <w:bookmarkStart w:id="1" w:name="OLE_LINK2"/>
      <w:bookmarkStart w:id="2" w:name="OLE_LINK4"/>
      <w:bookmarkStart w:id="3" w:name="OLE_LINK5"/>
      <w:r w:rsidRPr="00606FEC">
        <w:rPr>
          <w:rFonts w:ascii="Times New Roman" w:hAnsi="Times New Roman"/>
          <w:b/>
          <w:bCs/>
          <w:sz w:val="28"/>
          <w:szCs w:val="28"/>
          <w:lang w:eastAsia="lv-LV"/>
        </w:rPr>
        <w:t>Mini</w:t>
      </w:r>
      <w:r w:rsidR="00144F4C" w:rsidRPr="00606FEC">
        <w:rPr>
          <w:rFonts w:ascii="Times New Roman" w:hAnsi="Times New Roman"/>
          <w:b/>
          <w:bCs/>
          <w:sz w:val="28"/>
          <w:szCs w:val="28"/>
          <w:lang w:eastAsia="lv-LV"/>
        </w:rPr>
        <w:t xml:space="preserve">stru kabineta noteikumu </w:t>
      </w:r>
      <w:r w:rsidR="00144F4C" w:rsidRPr="000B4902">
        <w:rPr>
          <w:rFonts w:ascii="Times New Roman" w:hAnsi="Times New Roman"/>
          <w:b/>
          <w:bCs/>
          <w:sz w:val="28"/>
          <w:szCs w:val="28"/>
          <w:lang w:eastAsia="lv-LV"/>
        </w:rPr>
        <w:t>projekt</w:t>
      </w:r>
      <w:bookmarkEnd w:id="0"/>
      <w:bookmarkEnd w:id="1"/>
      <w:r w:rsidR="00F37362" w:rsidRPr="000B4902">
        <w:rPr>
          <w:rFonts w:ascii="Times New Roman" w:hAnsi="Times New Roman"/>
          <w:b/>
          <w:bCs/>
          <w:sz w:val="28"/>
          <w:szCs w:val="28"/>
          <w:lang w:eastAsia="lv-LV"/>
        </w:rPr>
        <w:t>a</w:t>
      </w:r>
      <w:r w:rsidR="0044261E" w:rsidRPr="000B4902">
        <w:rPr>
          <w:rFonts w:ascii="Times New Roman" w:hAnsi="Times New Roman"/>
          <w:b/>
          <w:bCs/>
          <w:sz w:val="28"/>
          <w:szCs w:val="28"/>
          <w:lang w:eastAsia="lv-LV"/>
        </w:rPr>
        <w:t xml:space="preserve"> </w:t>
      </w:r>
      <w:r w:rsidR="00F37362" w:rsidRPr="000B4902">
        <w:rPr>
          <w:rFonts w:ascii="Times New Roman" w:hAnsi="Times New Roman"/>
          <w:b/>
          <w:bCs/>
          <w:sz w:val="28"/>
          <w:szCs w:val="28"/>
          <w:lang w:eastAsia="lv-LV"/>
        </w:rPr>
        <w:t>“</w:t>
      </w:r>
      <w:r w:rsidR="004C20F1" w:rsidRPr="004C20F1">
        <w:rPr>
          <w:rFonts w:ascii="Times New Roman" w:hAnsi="Times New Roman"/>
          <w:b/>
          <w:bCs/>
          <w:sz w:val="28"/>
          <w:szCs w:val="28"/>
          <w:lang w:eastAsia="lv-LV"/>
        </w:rPr>
        <w:t xml:space="preserve">Noteikumi par atbalsta programmu </w:t>
      </w:r>
      <w:r w:rsidR="001B5BF0">
        <w:rPr>
          <w:rFonts w:ascii="Times New Roman" w:hAnsi="Times New Roman"/>
          <w:b/>
          <w:bCs/>
          <w:sz w:val="28"/>
          <w:szCs w:val="28"/>
          <w:lang w:eastAsia="lv-LV"/>
        </w:rPr>
        <w:t>viena dzīvokļa d</w:t>
      </w:r>
      <w:r w:rsidR="004C20F1" w:rsidRPr="004C20F1">
        <w:rPr>
          <w:rFonts w:ascii="Times New Roman" w:hAnsi="Times New Roman"/>
          <w:b/>
          <w:bCs/>
          <w:sz w:val="28"/>
          <w:szCs w:val="28"/>
          <w:lang w:eastAsia="lv-LV"/>
        </w:rPr>
        <w:t>zīvojamo māju</w:t>
      </w:r>
      <w:r w:rsidR="001B5BF0">
        <w:rPr>
          <w:rFonts w:ascii="Times New Roman" w:hAnsi="Times New Roman"/>
          <w:b/>
          <w:bCs/>
          <w:sz w:val="28"/>
          <w:szCs w:val="28"/>
          <w:lang w:eastAsia="lv-LV"/>
        </w:rPr>
        <w:t xml:space="preserve"> atjaunošanas un</w:t>
      </w:r>
      <w:r w:rsidR="004C20F1" w:rsidRPr="004C20F1">
        <w:rPr>
          <w:rFonts w:ascii="Times New Roman" w:hAnsi="Times New Roman"/>
          <w:b/>
          <w:bCs/>
          <w:sz w:val="28"/>
          <w:szCs w:val="28"/>
          <w:lang w:eastAsia="lv-LV"/>
        </w:rPr>
        <w:t xml:space="preserve"> energoefektivitātes paaugstināšanai</w:t>
      </w:r>
      <w:r w:rsidR="00F37362" w:rsidRPr="000B4902">
        <w:rPr>
          <w:rFonts w:ascii="Times New Roman" w:hAnsi="Times New Roman"/>
          <w:b/>
          <w:bCs/>
          <w:sz w:val="28"/>
          <w:szCs w:val="28"/>
          <w:lang w:eastAsia="lv-LV"/>
        </w:rPr>
        <w:t>”</w:t>
      </w:r>
      <w:r w:rsidR="0044261E" w:rsidRPr="000B4902">
        <w:rPr>
          <w:rFonts w:ascii="Times New Roman" w:hAnsi="Times New Roman"/>
          <w:b/>
          <w:bCs/>
          <w:sz w:val="28"/>
          <w:szCs w:val="28"/>
          <w:lang w:eastAsia="lv-LV"/>
        </w:rPr>
        <w:t xml:space="preserve"> </w:t>
      </w:r>
      <w:r w:rsidRPr="000B4902">
        <w:rPr>
          <w:rFonts w:ascii="Times New Roman" w:hAnsi="Times New Roman"/>
          <w:b/>
          <w:bCs/>
          <w:sz w:val="28"/>
          <w:szCs w:val="28"/>
        </w:rPr>
        <w:t>sākotnējās ietekmes novērtējuma ziņojums (anotācija)</w:t>
      </w:r>
      <w:bookmarkEnd w:id="2"/>
      <w:bookmarkEnd w:id="3"/>
    </w:p>
    <w:p w14:paraId="53E0DC87" w14:textId="77777777" w:rsidR="000937E4" w:rsidRPr="000B4902" w:rsidRDefault="000937E4" w:rsidP="003D4081">
      <w:pPr>
        <w:spacing w:after="0" w:line="240" w:lineRule="auto"/>
        <w:jc w:val="center"/>
        <w:rPr>
          <w:rFonts w:ascii="Times New Roman" w:hAnsi="Times New Roman"/>
          <w:b/>
          <w:bCs/>
          <w:sz w:val="28"/>
          <w:szCs w:val="28"/>
        </w:rPr>
      </w:pPr>
    </w:p>
    <w:tbl>
      <w:tblPr>
        <w:tblW w:w="554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2"/>
        <w:gridCol w:w="7097"/>
      </w:tblGrid>
      <w:tr w:rsidR="000937E4" w:rsidRPr="000B4902" w14:paraId="7B0FA8A8" w14:textId="77777777" w:rsidTr="00671A68">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0B4902" w:rsidRDefault="000937E4" w:rsidP="00605078">
            <w:pPr>
              <w:spacing w:after="0" w:line="240" w:lineRule="auto"/>
              <w:jc w:val="center"/>
              <w:rPr>
                <w:rFonts w:ascii="Times New Roman" w:eastAsia="Times New Roman" w:hAnsi="Times New Roman"/>
                <w:b/>
                <w:bCs/>
                <w:iCs/>
                <w:sz w:val="24"/>
                <w:szCs w:val="24"/>
                <w:lang w:eastAsia="lv-LV"/>
              </w:rPr>
            </w:pPr>
            <w:r w:rsidRPr="000B4902">
              <w:rPr>
                <w:rFonts w:ascii="Times New Roman" w:eastAsia="Times New Roman" w:hAnsi="Times New Roman"/>
                <w:b/>
                <w:bCs/>
                <w:iCs/>
                <w:sz w:val="24"/>
                <w:szCs w:val="24"/>
                <w:lang w:eastAsia="lv-LV"/>
              </w:rPr>
              <w:t>Tiesību akta projekta anotācijas kopsavilkums</w:t>
            </w:r>
          </w:p>
        </w:tc>
      </w:tr>
      <w:tr w:rsidR="000937E4" w:rsidRPr="000B4902" w14:paraId="066B0BE9" w14:textId="77777777" w:rsidTr="003550D8">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14:paraId="22C61FF5" w14:textId="77777777" w:rsidR="000937E4" w:rsidRPr="000B4902" w:rsidRDefault="000937E4" w:rsidP="00605078">
            <w:pPr>
              <w:spacing w:after="0" w:line="240" w:lineRule="auto"/>
              <w:rPr>
                <w:rFonts w:ascii="Times New Roman" w:eastAsia="Times New Roman" w:hAnsi="Times New Roman"/>
                <w:iCs/>
                <w:sz w:val="24"/>
                <w:szCs w:val="24"/>
                <w:lang w:eastAsia="lv-LV"/>
              </w:rPr>
            </w:pPr>
            <w:r w:rsidRPr="000B4902">
              <w:rPr>
                <w:rFonts w:ascii="Times New Roman" w:eastAsia="Times New Roman" w:hAnsi="Times New Roman"/>
                <w:iCs/>
                <w:sz w:val="24"/>
                <w:szCs w:val="24"/>
                <w:lang w:eastAsia="lv-LV"/>
              </w:rPr>
              <w:t>Mērķis, risinājums un projekta spēkā stāšanās laiks (500 zīmes bez atstarpēm)</w:t>
            </w:r>
          </w:p>
        </w:tc>
        <w:tc>
          <w:tcPr>
            <w:tcW w:w="3403" w:type="pct"/>
            <w:tcBorders>
              <w:top w:val="outset" w:sz="6" w:space="0" w:color="auto"/>
              <w:left w:val="outset" w:sz="6" w:space="0" w:color="auto"/>
              <w:bottom w:val="outset" w:sz="6" w:space="0" w:color="auto"/>
              <w:right w:val="outset" w:sz="6" w:space="0" w:color="auto"/>
            </w:tcBorders>
            <w:hideMark/>
          </w:tcPr>
          <w:p w14:paraId="0679C00B" w14:textId="18F2859C" w:rsidR="00BB12A3" w:rsidRPr="00BB12A3" w:rsidRDefault="00BB12A3" w:rsidP="00BB12A3">
            <w:pPr>
              <w:spacing w:after="0" w:line="240" w:lineRule="auto"/>
              <w:ind w:firstLine="516"/>
              <w:jc w:val="both"/>
              <w:rPr>
                <w:rFonts w:ascii="Times New Roman" w:eastAsia="Times New Roman" w:hAnsi="Times New Roman"/>
                <w:iCs/>
                <w:sz w:val="24"/>
                <w:szCs w:val="24"/>
                <w:lang w:eastAsia="lv-LV"/>
              </w:rPr>
            </w:pPr>
            <w:r w:rsidRPr="00BB12A3">
              <w:rPr>
                <w:rFonts w:ascii="Times New Roman" w:eastAsia="Times New Roman" w:hAnsi="Times New Roman"/>
                <w:iCs/>
                <w:sz w:val="24"/>
                <w:szCs w:val="24"/>
                <w:lang w:eastAsia="lv-LV"/>
              </w:rPr>
              <w:t>Ministru kabineta noteikumu projekta “</w:t>
            </w:r>
            <w:r w:rsidR="001B5BF0" w:rsidRPr="001B5BF0">
              <w:rPr>
                <w:rFonts w:ascii="Times New Roman" w:eastAsia="Times New Roman" w:hAnsi="Times New Roman"/>
                <w:iCs/>
                <w:sz w:val="24"/>
                <w:szCs w:val="24"/>
                <w:lang w:eastAsia="lv-LV"/>
              </w:rPr>
              <w:t>Noteikumi par atbalsta programmu viena dzīvokļa dzīvojamo māju atjaunošanas un energoefektivitātes paaugstināšanai</w:t>
            </w:r>
            <w:r w:rsidRPr="00BB12A3">
              <w:rPr>
                <w:rFonts w:ascii="Times New Roman" w:eastAsia="Times New Roman" w:hAnsi="Times New Roman"/>
                <w:iCs/>
                <w:sz w:val="24"/>
                <w:szCs w:val="24"/>
                <w:lang w:eastAsia="lv-LV"/>
              </w:rPr>
              <w:t>” (turpmāk - projekts) mērķis ir</w:t>
            </w:r>
            <w:r w:rsidR="001B70FF">
              <w:rPr>
                <w:rFonts w:ascii="Times New Roman" w:eastAsia="Times New Roman" w:hAnsi="Times New Roman"/>
                <w:iCs/>
                <w:sz w:val="24"/>
                <w:szCs w:val="24"/>
                <w:lang w:eastAsia="lv-LV"/>
              </w:rPr>
              <w:t xml:space="preserve"> apstiprināt atbalsta programmu viena dzīvokļa </w:t>
            </w:r>
            <w:r w:rsidR="001B70FF" w:rsidRPr="00BB12A3">
              <w:rPr>
                <w:rFonts w:ascii="Times New Roman" w:eastAsia="Times New Roman" w:hAnsi="Times New Roman"/>
                <w:iCs/>
                <w:sz w:val="24"/>
                <w:szCs w:val="24"/>
                <w:lang w:eastAsia="lv-LV"/>
              </w:rPr>
              <w:t>dzīvojam</w:t>
            </w:r>
            <w:r w:rsidR="001B70FF">
              <w:rPr>
                <w:rFonts w:ascii="Times New Roman" w:eastAsia="Times New Roman" w:hAnsi="Times New Roman"/>
                <w:iCs/>
                <w:sz w:val="24"/>
                <w:szCs w:val="24"/>
                <w:lang w:eastAsia="lv-LV"/>
              </w:rPr>
              <w:t>o</w:t>
            </w:r>
            <w:r w:rsidR="001B70FF" w:rsidRPr="00BB12A3">
              <w:rPr>
                <w:rFonts w:ascii="Times New Roman" w:eastAsia="Times New Roman" w:hAnsi="Times New Roman"/>
                <w:iCs/>
                <w:sz w:val="24"/>
                <w:szCs w:val="24"/>
                <w:lang w:eastAsia="lv-LV"/>
              </w:rPr>
              <w:t xml:space="preserve"> </w:t>
            </w:r>
            <w:r w:rsidR="001B70FF">
              <w:rPr>
                <w:rFonts w:ascii="Times New Roman" w:eastAsia="Times New Roman" w:hAnsi="Times New Roman"/>
                <w:iCs/>
                <w:sz w:val="24"/>
                <w:szCs w:val="24"/>
                <w:lang w:eastAsia="lv-LV"/>
              </w:rPr>
              <w:t>māju atjaunošanai un</w:t>
            </w:r>
            <w:r w:rsidR="001B70FF" w:rsidRPr="00BB12A3">
              <w:rPr>
                <w:rFonts w:ascii="Times New Roman" w:eastAsia="Times New Roman" w:hAnsi="Times New Roman"/>
                <w:iCs/>
                <w:sz w:val="24"/>
                <w:szCs w:val="24"/>
                <w:lang w:eastAsia="lv-LV"/>
              </w:rPr>
              <w:t xml:space="preserve"> energoefektivitātes paaugstināšanai</w:t>
            </w:r>
            <w:r w:rsidR="001B70FF">
              <w:rPr>
                <w:rFonts w:ascii="Times New Roman" w:eastAsia="Times New Roman" w:hAnsi="Times New Roman"/>
                <w:iCs/>
                <w:sz w:val="24"/>
                <w:szCs w:val="24"/>
                <w:lang w:eastAsia="lv-LV"/>
              </w:rPr>
              <w:t>,</w:t>
            </w:r>
            <w:r w:rsidR="001B70FF" w:rsidRPr="00BB12A3">
              <w:rPr>
                <w:rFonts w:ascii="Times New Roman" w:eastAsia="Times New Roman" w:hAnsi="Times New Roman"/>
                <w:iCs/>
                <w:sz w:val="24"/>
                <w:szCs w:val="24"/>
                <w:lang w:eastAsia="lv-LV"/>
              </w:rPr>
              <w:t xml:space="preserve"> </w:t>
            </w:r>
            <w:r w:rsidRPr="00BB12A3">
              <w:rPr>
                <w:rFonts w:ascii="Times New Roman" w:eastAsia="Times New Roman" w:hAnsi="Times New Roman"/>
                <w:iCs/>
                <w:sz w:val="24"/>
                <w:szCs w:val="24"/>
                <w:lang w:eastAsia="lv-LV"/>
              </w:rPr>
              <w:t xml:space="preserve">noteikt kārtību, kādā  tiek </w:t>
            </w:r>
            <w:r w:rsidR="001B70FF">
              <w:rPr>
                <w:rFonts w:ascii="Times New Roman" w:eastAsia="Times New Roman" w:hAnsi="Times New Roman"/>
                <w:iCs/>
                <w:sz w:val="24"/>
                <w:szCs w:val="24"/>
                <w:lang w:eastAsia="lv-LV"/>
              </w:rPr>
              <w:t>īstenota</w:t>
            </w:r>
            <w:r w:rsidRPr="00BB12A3">
              <w:rPr>
                <w:rFonts w:ascii="Times New Roman" w:eastAsia="Times New Roman" w:hAnsi="Times New Roman"/>
                <w:iCs/>
                <w:sz w:val="24"/>
                <w:szCs w:val="24"/>
                <w:lang w:eastAsia="lv-LV"/>
              </w:rPr>
              <w:t xml:space="preserve"> atbalst</w:t>
            </w:r>
            <w:r w:rsidR="001B70FF">
              <w:rPr>
                <w:rFonts w:ascii="Times New Roman" w:eastAsia="Times New Roman" w:hAnsi="Times New Roman"/>
                <w:iCs/>
                <w:sz w:val="24"/>
                <w:szCs w:val="24"/>
                <w:lang w:eastAsia="lv-LV"/>
              </w:rPr>
              <w:t>a programma</w:t>
            </w:r>
            <w:r w:rsidR="00C7081A">
              <w:rPr>
                <w:rFonts w:ascii="Times New Roman" w:eastAsia="Times New Roman" w:hAnsi="Times New Roman"/>
                <w:iCs/>
                <w:sz w:val="24"/>
                <w:szCs w:val="24"/>
                <w:lang w:eastAsia="lv-LV"/>
              </w:rPr>
              <w:t xml:space="preserve">, tostarp atbalsta piešķiršanas nosacījumus, kā arī </w:t>
            </w:r>
            <w:r w:rsidR="00C7081A" w:rsidRPr="00C7081A">
              <w:rPr>
                <w:rFonts w:ascii="Times New Roman" w:eastAsia="Times New Roman" w:hAnsi="Times New Roman"/>
                <w:iCs/>
                <w:sz w:val="24"/>
                <w:szCs w:val="24"/>
                <w:lang w:eastAsia="lv-LV"/>
              </w:rPr>
              <w:t>finansējumu, atbalstāmo darbību un izmaksu attiecināmības nosacījumus</w:t>
            </w:r>
            <w:r w:rsidRPr="00BB12A3">
              <w:rPr>
                <w:rFonts w:ascii="Times New Roman" w:eastAsia="Times New Roman" w:hAnsi="Times New Roman"/>
                <w:iCs/>
                <w:sz w:val="24"/>
                <w:szCs w:val="24"/>
                <w:lang w:eastAsia="lv-LV"/>
              </w:rPr>
              <w:t>.</w:t>
            </w:r>
          </w:p>
          <w:p w14:paraId="25C4B546" w14:textId="2CE35078" w:rsidR="001806BF" w:rsidRPr="000B4902" w:rsidRDefault="00BB12A3" w:rsidP="006D786B">
            <w:pPr>
              <w:spacing w:after="0" w:line="240" w:lineRule="auto"/>
              <w:ind w:firstLine="516"/>
              <w:jc w:val="both"/>
              <w:rPr>
                <w:rFonts w:ascii="Times New Roman" w:eastAsia="Times New Roman" w:hAnsi="Times New Roman"/>
                <w:iCs/>
                <w:sz w:val="24"/>
                <w:szCs w:val="24"/>
                <w:lang w:eastAsia="lv-LV"/>
              </w:rPr>
            </w:pPr>
            <w:r w:rsidRPr="00BB12A3">
              <w:rPr>
                <w:rFonts w:ascii="Times New Roman" w:eastAsia="Times New Roman" w:hAnsi="Times New Roman"/>
                <w:iCs/>
                <w:sz w:val="24"/>
                <w:szCs w:val="24"/>
                <w:lang w:eastAsia="lv-LV"/>
              </w:rPr>
              <w:t>Noteikumu projekts stāsies spēkā</w:t>
            </w:r>
            <w:r w:rsidR="006D786B">
              <w:rPr>
                <w:rFonts w:ascii="Times New Roman" w:eastAsia="Times New Roman" w:hAnsi="Times New Roman"/>
                <w:iCs/>
                <w:sz w:val="24"/>
                <w:szCs w:val="24"/>
                <w:lang w:eastAsia="lv-LV"/>
              </w:rPr>
              <w:t xml:space="preserve"> </w:t>
            </w:r>
            <w:r w:rsidR="006D786B" w:rsidRPr="006D786B">
              <w:rPr>
                <w:rFonts w:ascii="Times New Roman" w:eastAsia="Times New Roman" w:hAnsi="Times New Roman"/>
                <w:iCs/>
                <w:sz w:val="24"/>
                <w:szCs w:val="24"/>
                <w:lang w:eastAsia="lv-LV"/>
              </w:rPr>
              <w:t>nākamajā dienā pēc</w:t>
            </w:r>
            <w:r w:rsidR="00207ECC">
              <w:rPr>
                <w:rFonts w:ascii="Times New Roman" w:eastAsia="Times New Roman" w:hAnsi="Times New Roman"/>
                <w:iCs/>
                <w:sz w:val="24"/>
                <w:szCs w:val="24"/>
                <w:lang w:eastAsia="lv-LV"/>
              </w:rPr>
              <w:t xml:space="preserve"> tā</w:t>
            </w:r>
            <w:r w:rsidR="006D786B" w:rsidRPr="006D786B">
              <w:rPr>
                <w:rFonts w:ascii="Times New Roman" w:eastAsia="Times New Roman" w:hAnsi="Times New Roman"/>
                <w:iCs/>
                <w:sz w:val="24"/>
                <w:szCs w:val="24"/>
                <w:lang w:eastAsia="lv-LV"/>
              </w:rPr>
              <w:t xml:space="preserve"> publicēšanas oficiālajā izdevumā Latvijas vēstnesis</w:t>
            </w:r>
            <w:r w:rsidRPr="00BB12A3">
              <w:rPr>
                <w:rFonts w:ascii="Times New Roman" w:eastAsia="Times New Roman" w:hAnsi="Times New Roman"/>
                <w:iCs/>
                <w:sz w:val="24"/>
                <w:szCs w:val="24"/>
                <w:lang w:eastAsia="lv-LV"/>
              </w:rPr>
              <w:t>.</w:t>
            </w:r>
          </w:p>
        </w:tc>
      </w:tr>
    </w:tbl>
    <w:p w14:paraId="4D039481" w14:textId="77777777" w:rsidR="00247BA4" w:rsidRPr="000B4902"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X="-572" w:tblpY="1"/>
        <w:tblOverlap w:val="never"/>
        <w:tblW w:w="5533" w:type="pct"/>
        <w:tblLook w:val="04A0" w:firstRow="1" w:lastRow="0" w:firstColumn="1" w:lastColumn="0" w:noHBand="0" w:noVBand="1"/>
      </w:tblPr>
      <w:tblGrid>
        <w:gridCol w:w="396"/>
        <w:gridCol w:w="3143"/>
        <w:gridCol w:w="6803"/>
      </w:tblGrid>
      <w:tr w:rsidR="00925F9E" w:rsidRPr="000B4902" w14:paraId="2E5C4833" w14:textId="77777777" w:rsidTr="00671A68">
        <w:tc>
          <w:tcPr>
            <w:tcW w:w="5000" w:type="pct"/>
            <w:gridSpan w:val="3"/>
            <w:hideMark/>
          </w:tcPr>
          <w:p w14:paraId="79A4479D" w14:textId="77777777" w:rsidR="00392D00" w:rsidRPr="000B4902" w:rsidRDefault="00363BB6" w:rsidP="005B2BF1">
            <w:pPr>
              <w:spacing w:after="0" w:line="240" w:lineRule="auto"/>
              <w:jc w:val="center"/>
              <w:rPr>
                <w:rFonts w:ascii="Times New Roman" w:eastAsia="Times New Roman" w:hAnsi="Times New Roman"/>
                <w:b/>
                <w:bCs/>
                <w:sz w:val="24"/>
                <w:szCs w:val="24"/>
                <w:lang w:eastAsia="lv-LV"/>
              </w:rPr>
            </w:pPr>
            <w:r w:rsidRPr="000B4902">
              <w:rPr>
                <w:rFonts w:ascii="Times New Roman" w:eastAsia="Times New Roman" w:hAnsi="Times New Roman"/>
                <w:b/>
                <w:bCs/>
                <w:sz w:val="24"/>
                <w:szCs w:val="24"/>
                <w:lang w:eastAsia="lv-LV"/>
              </w:rPr>
              <w:t>I. Tiesību akta projekta izstrādes nepieciešamība</w:t>
            </w:r>
          </w:p>
        </w:tc>
      </w:tr>
      <w:tr w:rsidR="00925F9E" w:rsidRPr="000B4902" w14:paraId="48059241" w14:textId="77777777" w:rsidTr="003550D8">
        <w:trPr>
          <w:trHeight w:val="843"/>
        </w:trPr>
        <w:tc>
          <w:tcPr>
            <w:tcW w:w="191" w:type="pct"/>
            <w:hideMark/>
          </w:tcPr>
          <w:p w14:paraId="254A913D" w14:textId="77777777"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1.</w:t>
            </w:r>
          </w:p>
        </w:tc>
        <w:tc>
          <w:tcPr>
            <w:tcW w:w="1520" w:type="pct"/>
            <w:hideMark/>
          </w:tcPr>
          <w:p w14:paraId="38B29A4A" w14:textId="77777777"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Pamatojums</w:t>
            </w:r>
          </w:p>
        </w:tc>
        <w:tc>
          <w:tcPr>
            <w:tcW w:w="3289" w:type="pct"/>
            <w:hideMark/>
          </w:tcPr>
          <w:p w14:paraId="56808BBC" w14:textId="1D9B0A07" w:rsidR="00A25978" w:rsidRPr="000B4902" w:rsidRDefault="00EF4058" w:rsidP="003550D8">
            <w:pPr>
              <w:spacing w:after="0" w:line="240" w:lineRule="auto"/>
              <w:ind w:firstLine="364"/>
              <w:jc w:val="both"/>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P</w:t>
            </w:r>
            <w:r w:rsidR="00F37362" w:rsidRPr="000B4902">
              <w:rPr>
                <w:rFonts w:ascii="Times New Roman" w:eastAsia="Times New Roman" w:hAnsi="Times New Roman"/>
                <w:sz w:val="24"/>
                <w:szCs w:val="24"/>
                <w:lang w:eastAsia="lv-LV"/>
              </w:rPr>
              <w:t>rojekts</w:t>
            </w:r>
            <w:r w:rsidR="00363BB6" w:rsidRPr="000B4902">
              <w:rPr>
                <w:rFonts w:ascii="Times New Roman" w:eastAsia="Times New Roman" w:hAnsi="Times New Roman"/>
                <w:sz w:val="24"/>
                <w:szCs w:val="24"/>
                <w:lang w:eastAsia="lv-LV"/>
              </w:rPr>
              <w:t xml:space="preserve"> </w:t>
            </w:r>
            <w:r w:rsidR="00B720F6" w:rsidRPr="000B4902">
              <w:rPr>
                <w:rFonts w:ascii="Times New Roman" w:eastAsia="Times New Roman" w:hAnsi="Times New Roman"/>
                <w:sz w:val="24"/>
                <w:szCs w:val="24"/>
                <w:lang w:eastAsia="lv-LV"/>
              </w:rPr>
              <w:t>ir izstrādāt</w:t>
            </w:r>
            <w:r w:rsidR="0033013A" w:rsidRPr="000B4902">
              <w:rPr>
                <w:rFonts w:ascii="Times New Roman" w:eastAsia="Times New Roman" w:hAnsi="Times New Roman"/>
                <w:sz w:val="24"/>
                <w:szCs w:val="24"/>
                <w:lang w:eastAsia="lv-LV"/>
              </w:rPr>
              <w:t>s</w:t>
            </w:r>
            <w:r w:rsidR="00AE54F1" w:rsidRPr="000B4902">
              <w:rPr>
                <w:rFonts w:ascii="Times New Roman" w:eastAsia="Times New Roman" w:hAnsi="Times New Roman"/>
                <w:sz w:val="24"/>
                <w:szCs w:val="24"/>
                <w:lang w:eastAsia="lv-LV"/>
              </w:rPr>
              <w:t xml:space="preserve"> pamatojoties uz</w:t>
            </w:r>
            <w:r w:rsidR="00A25978" w:rsidRPr="000B4902">
              <w:rPr>
                <w:rFonts w:ascii="Times New Roman" w:eastAsia="Times New Roman" w:hAnsi="Times New Roman"/>
                <w:sz w:val="24"/>
                <w:szCs w:val="24"/>
                <w:lang w:eastAsia="lv-LV"/>
              </w:rPr>
              <w:t>:</w:t>
            </w:r>
          </w:p>
          <w:p w14:paraId="74C57B9E" w14:textId="20FAC21F" w:rsidR="00934DB7" w:rsidRPr="00CA056C" w:rsidRDefault="00934DB7" w:rsidP="00D454FB">
            <w:pPr>
              <w:pStyle w:val="ListParagraph"/>
              <w:numPr>
                <w:ilvl w:val="0"/>
                <w:numId w:val="9"/>
              </w:numPr>
              <w:spacing w:after="0" w:line="240" w:lineRule="auto"/>
              <w:ind w:left="38" w:firstLine="283"/>
              <w:jc w:val="both"/>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Attīstības finanšu institūcijas likuma 12. panta ceturt</w:t>
            </w:r>
            <w:r w:rsidR="00624DC0" w:rsidRPr="000B4902">
              <w:rPr>
                <w:rFonts w:ascii="Times New Roman" w:eastAsia="Times New Roman" w:hAnsi="Times New Roman"/>
                <w:sz w:val="24"/>
                <w:szCs w:val="24"/>
                <w:lang w:eastAsia="lv-LV"/>
              </w:rPr>
              <w:t>o</w:t>
            </w:r>
            <w:r w:rsidRPr="000B4902">
              <w:rPr>
                <w:rFonts w:ascii="Times New Roman" w:eastAsia="Times New Roman" w:hAnsi="Times New Roman"/>
                <w:sz w:val="24"/>
                <w:szCs w:val="24"/>
                <w:lang w:eastAsia="lv-LV"/>
              </w:rPr>
              <w:t xml:space="preserve"> daļ</w:t>
            </w:r>
            <w:r w:rsidR="00243355" w:rsidRPr="000B4902">
              <w:rPr>
                <w:rFonts w:ascii="Times New Roman" w:eastAsia="Times New Roman" w:hAnsi="Times New Roman"/>
                <w:sz w:val="24"/>
                <w:szCs w:val="24"/>
                <w:lang w:eastAsia="lv-LV"/>
              </w:rPr>
              <w:t xml:space="preserve">u, kas </w:t>
            </w:r>
            <w:r w:rsidR="00293724" w:rsidRPr="000B4902">
              <w:t xml:space="preserve"> </w:t>
            </w:r>
            <w:r w:rsidR="00293724" w:rsidRPr="000B4902">
              <w:rPr>
                <w:rFonts w:ascii="Times New Roman" w:hAnsi="Times New Roman"/>
                <w:sz w:val="24"/>
                <w:szCs w:val="24"/>
              </w:rPr>
              <w:t>paredz, ka</w:t>
            </w:r>
            <w:r w:rsidR="00293724" w:rsidRPr="000B4902">
              <w:t xml:space="preserve"> </w:t>
            </w:r>
            <w:r w:rsidR="00293724" w:rsidRPr="000B4902">
              <w:rPr>
                <w:rFonts w:ascii="Times New Roman" w:eastAsia="Times New Roman" w:hAnsi="Times New Roman"/>
                <w:sz w:val="24"/>
                <w:szCs w:val="24"/>
                <w:lang w:eastAsia="lv-LV"/>
              </w:rPr>
              <w:t xml:space="preserve">Ministru kabinets apstiprina programmas un nosaka to īstenošanas kārtību, finansējumu, atbalstāmo darbību un izmaksu attiecināmības nosacījumus, tai skaitā finansējumu Finanšu </w:t>
            </w:r>
            <w:r w:rsidR="00293724" w:rsidRPr="00CA056C">
              <w:rPr>
                <w:rFonts w:ascii="Times New Roman" w:eastAsia="Times New Roman" w:hAnsi="Times New Roman"/>
                <w:sz w:val="24"/>
                <w:szCs w:val="24"/>
                <w:lang w:eastAsia="lv-LV"/>
              </w:rPr>
              <w:t>institūcijas izdevumu segšanai</w:t>
            </w:r>
            <w:r w:rsidR="002C1EC2" w:rsidRPr="00CA056C">
              <w:rPr>
                <w:rFonts w:ascii="Times New Roman" w:eastAsia="Times New Roman" w:hAnsi="Times New Roman"/>
                <w:sz w:val="24"/>
                <w:szCs w:val="24"/>
                <w:lang w:eastAsia="lv-LV"/>
              </w:rPr>
              <w:t>;</w:t>
            </w:r>
          </w:p>
          <w:p w14:paraId="36D5ED83" w14:textId="5F705412" w:rsidR="002C1EC2" w:rsidRPr="00D454FB" w:rsidRDefault="007918C1" w:rsidP="002C1EC2">
            <w:pPr>
              <w:pStyle w:val="ListParagraph"/>
              <w:numPr>
                <w:ilvl w:val="0"/>
                <w:numId w:val="9"/>
              </w:numPr>
              <w:spacing w:after="0" w:line="240" w:lineRule="auto"/>
              <w:ind w:left="38" w:firstLine="2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2020.gada 11.augusta sēdes protokola Nr. 47 </w:t>
            </w:r>
            <w:r w:rsidRPr="00D300ED">
              <w:rPr>
                <w:rFonts w:ascii="Times New Roman" w:eastAsia="Times New Roman" w:hAnsi="Times New Roman"/>
                <w:sz w:val="24"/>
                <w:szCs w:val="24"/>
                <w:lang w:eastAsia="lv-LV"/>
              </w:rPr>
              <w:t>82.§</w:t>
            </w:r>
            <w:r>
              <w:rPr>
                <w:rFonts w:ascii="Times New Roman" w:eastAsia="Times New Roman" w:hAnsi="Times New Roman"/>
                <w:sz w:val="24"/>
                <w:szCs w:val="24"/>
                <w:lang w:eastAsia="lv-LV"/>
              </w:rPr>
              <w:t xml:space="preserve"> 2.punktu, kas paredz Ekonomikas ministrijai </w:t>
            </w:r>
            <w:r>
              <w:t xml:space="preserve"> </w:t>
            </w:r>
            <w:r w:rsidRPr="00D300ED">
              <w:rPr>
                <w:rFonts w:ascii="Times New Roman" w:eastAsia="Times New Roman" w:hAnsi="Times New Roman"/>
                <w:sz w:val="24"/>
                <w:szCs w:val="24"/>
                <w:lang w:eastAsia="lv-LV"/>
              </w:rPr>
              <w:t xml:space="preserve">pēc 2024.gada sagatavot un noteiktā kārtībā iesniegt apstiprināšanai Ministru kabinetā priekšlikumu par atlikušā </w:t>
            </w:r>
            <w:r>
              <w:rPr>
                <w:rFonts w:ascii="Times New Roman" w:eastAsia="Times New Roman" w:hAnsi="Times New Roman"/>
                <w:sz w:val="24"/>
                <w:szCs w:val="24"/>
                <w:lang w:eastAsia="lv-LV"/>
              </w:rPr>
              <w:t xml:space="preserve">slēgtās Latvijas un Šveices sadarbības programmas projektā </w:t>
            </w:r>
            <w:r w:rsidRPr="00D300ED">
              <w:rPr>
                <w:rFonts w:ascii="Times New Roman" w:eastAsia="Times New Roman" w:hAnsi="Times New Roman"/>
                <w:sz w:val="24"/>
                <w:szCs w:val="24"/>
                <w:lang w:eastAsia="lv-LV"/>
              </w:rPr>
              <w:t>atmaksātā finansējuma</w:t>
            </w:r>
            <w:r>
              <w:rPr>
                <w:rStyle w:val="FootnoteReference"/>
                <w:rFonts w:ascii="Times New Roman" w:eastAsia="Times New Roman" w:hAnsi="Times New Roman"/>
                <w:sz w:val="24"/>
                <w:szCs w:val="24"/>
                <w:lang w:eastAsia="lv-LV"/>
              </w:rPr>
              <w:footnoteReference w:id="1"/>
            </w:r>
            <w:r w:rsidRPr="00D300ED">
              <w:rPr>
                <w:rFonts w:ascii="Times New Roman" w:eastAsia="Times New Roman" w:hAnsi="Times New Roman"/>
                <w:sz w:val="24"/>
                <w:szCs w:val="24"/>
                <w:lang w:eastAsia="lv-LV"/>
              </w:rPr>
              <w:t xml:space="preserve"> turpmāko izmantošanu</w:t>
            </w:r>
            <w:r>
              <w:rPr>
                <w:rFonts w:ascii="Times New Roman" w:eastAsia="Times New Roman" w:hAnsi="Times New Roman"/>
                <w:sz w:val="24"/>
                <w:szCs w:val="24"/>
                <w:lang w:eastAsia="lv-LV"/>
              </w:rPr>
              <w:t>.</w:t>
            </w:r>
          </w:p>
        </w:tc>
      </w:tr>
      <w:tr w:rsidR="00925F9E" w14:paraId="47891B61" w14:textId="77777777" w:rsidTr="003550D8">
        <w:tc>
          <w:tcPr>
            <w:tcW w:w="191" w:type="pct"/>
            <w:hideMark/>
          </w:tcPr>
          <w:p w14:paraId="18C8B563" w14:textId="4ADC08F4"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2.</w:t>
            </w:r>
          </w:p>
        </w:tc>
        <w:tc>
          <w:tcPr>
            <w:tcW w:w="1520" w:type="pct"/>
            <w:hideMark/>
          </w:tcPr>
          <w:p w14:paraId="7F1C5F9B" w14:textId="51DEFA86" w:rsidR="00392D00" w:rsidRPr="000B4902" w:rsidRDefault="00363BB6" w:rsidP="005B2BF1">
            <w:pPr>
              <w:spacing w:after="0" w:line="240" w:lineRule="auto"/>
              <w:jc w:val="both"/>
              <w:rPr>
                <w:rFonts w:ascii="Times New Roman" w:eastAsia="Times New Roman" w:hAnsi="Times New Roman"/>
                <w:sz w:val="24"/>
                <w:szCs w:val="24"/>
                <w:lang w:eastAsia="lv-LV"/>
              </w:rPr>
            </w:pPr>
            <w:r w:rsidRPr="000B4902">
              <w:rPr>
                <w:rFonts w:ascii="Times New Roman" w:hAnsi="Times New Roman"/>
                <w:sz w:val="24"/>
                <w:szCs w:val="24"/>
              </w:rPr>
              <w:t>Pašreizējā situācija un problēmas, kuru risināšanai tiesību akta projekts izstrādāts, tiesiskā regulējuma mērķis un būtība</w:t>
            </w:r>
          </w:p>
        </w:tc>
        <w:tc>
          <w:tcPr>
            <w:tcW w:w="3289" w:type="pct"/>
            <w:hideMark/>
          </w:tcPr>
          <w:p w14:paraId="56B342FD" w14:textId="1BB0B828"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Šobrīd mājsaimniecību sektoram pieejams Eiropas Savienības fondu atbalsts energoefektivitātes paaugstināšanai 2014.-2020.gada plānošanas perioda ietvaros. Taču uz šo atbalstu var pretendēt tikai ēkas, kurās ir trīs vai vairāk dzīvokļu. Dzīvojamās </w:t>
            </w:r>
            <w:r w:rsidR="004C20F1">
              <w:rPr>
                <w:rFonts w:ascii="Times New Roman" w:hAnsi="Times New Roman"/>
                <w:sz w:val="24"/>
                <w:szCs w:val="24"/>
              </w:rPr>
              <w:t>mājās</w:t>
            </w:r>
            <w:r w:rsidR="004C20F1" w:rsidRPr="000B4902">
              <w:rPr>
                <w:rFonts w:ascii="Times New Roman" w:hAnsi="Times New Roman"/>
                <w:sz w:val="24"/>
                <w:szCs w:val="24"/>
              </w:rPr>
              <w:t xml:space="preserve"> </w:t>
            </w:r>
            <w:r w:rsidRPr="000B4902">
              <w:rPr>
                <w:rFonts w:ascii="Times New Roman" w:hAnsi="Times New Roman"/>
                <w:sz w:val="24"/>
                <w:szCs w:val="24"/>
              </w:rPr>
              <w:t xml:space="preserve">ar mazāku dzīvokļu skaitu vai individuālās dzīvojamās </w:t>
            </w:r>
            <w:r w:rsidR="004C20F1">
              <w:rPr>
                <w:rFonts w:ascii="Times New Roman" w:hAnsi="Times New Roman"/>
                <w:sz w:val="24"/>
                <w:szCs w:val="24"/>
              </w:rPr>
              <w:t>mājas</w:t>
            </w:r>
            <w:r w:rsidR="004C20F1" w:rsidRPr="000B4902">
              <w:rPr>
                <w:rFonts w:ascii="Times New Roman" w:hAnsi="Times New Roman"/>
                <w:sz w:val="24"/>
                <w:szCs w:val="24"/>
              </w:rPr>
              <w:t xml:space="preserve"> </w:t>
            </w:r>
            <w:r w:rsidRPr="000B4902">
              <w:rPr>
                <w:rFonts w:ascii="Times New Roman" w:hAnsi="Times New Roman"/>
                <w:sz w:val="24"/>
                <w:szCs w:val="24"/>
              </w:rPr>
              <w:t xml:space="preserve">ir bez atbalsta saņemšanas iespējām. Nacionālajā enerģētikas un klimata plānā 2021. – 2030. gadam ir norādīts, ka: “Līdz šim no valsts puses privātmājas un individuālie kompleksi ir atbalstīti minimālā apjomā. Tomēr, tā kā Latvijā vidēji privātmājas ir būtiski mazāk efektīvas kā daudzdzīvokļu dzīvojamās </w:t>
            </w:r>
            <w:r w:rsidR="004C20F1">
              <w:rPr>
                <w:rFonts w:ascii="Times New Roman" w:hAnsi="Times New Roman"/>
                <w:sz w:val="24"/>
                <w:szCs w:val="24"/>
              </w:rPr>
              <w:t>mājas</w:t>
            </w:r>
            <w:r w:rsidRPr="000B4902">
              <w:rPr>
                <w:rFonts w:ascii="Times New Roman" w:hAnsi="Times New Roman"/>
                <w:sz w:val="24"/>
                <w:szCs w:val="24"/>
              </w:rPr>
              <w:t>, tad ir nepieciešams periodā pēc 2021. gada sniegt arī atbalstu privātmājās veicamajiem energoefektivitātes paaugstināšanas  pasākumiem, vienlaikus tiek piedāvāts noteikts obligātu nosacījumu ne-emisiju AER tehnoloģiju uzstādīšanai šajās ēkās energoefektivitātes paaugstināšanas  pasākumu īstenošanas laikā.”.</w:t>
            </w:r>
            <w:r w:rsidRPr="000B4902">
              <w:rPr>
                <w:rStyle w:val="FootnoteReference"/>
                <w:rFonts w:ascii="Times New Roman" w:hAnsi="Times New Roman"/>
                <w:sz w:val="24"/>
                <w:szCs w:val="24"/>
              </w:rPr>
              <w:footnoteReference w:id="2"/>
            </w:r>
            <w:r w:rsidRPr="000B4902">
              <w:rPr>
                <w:rFonts w:ascii="Times New Roman" w:hAnsi="Times New Roman"/>
                <w:sz w:val="24"/>
                <w:szCs w:val="24"/>
              </w:rPr>
              <w:t xml:space="preserve"> Papildus šajā plānā arī ir noteikts, ka </w:t>
            </w:r>
            <w:r w:rsidRPr="000B4902">
              <w:rPr>
                <w:rFonts w:ascii="Times New Roman" w:hAnsi="Times New Roman"/>
                <w:sz w:val="24"/>
                <w:szCs w:val="24"/>
              </w:rPr>
              <w:lastRenderedPageBreak/>
              <w:t>viens no galvenajiem pasākumiem ēku energoefektivitātes uzlabošanas jomā būs nodrošināt privātmāju energoefektivitātes paaugstināšanu, līdz 2030. gadam  nodrošinot energoefektivitātes paaugstināšanas  pasākumu īstenošanu  vismaz 5 000 privātmājās vai neliela skaita ēku kompleksos.</w:t>
            </w:r>
            <w:r w:rsidRPr="000B4902">
              <w:rPr>
                <w:rStyle w:val="FootnoteReference"/>
                <w:rFonts w:ascii="Times New Roman" w:hAnsi="Times New Roman"/>
                <w:sz w:val="24"/>
                <w:szCs w:val="24"/>
              </w:rPr>
              <w:footnoteReference w:id="3"/>
            </w:r>
            <w:r w:rsidRPr="000B4902">
              <w:rPr>
                <w:rFonts w:ascii="Times New Roman" w:hAnsi="Times New Roman"/>
                <w:sz w:val="24"/>
                <w:szCs w:val="24"/>
              </w:rPr>
              <w:t xml:space="preserve"> </w:t>
            </w:r>
          </w:p>
          <w:p w14:paraId="361DD2A8" w14:textId="1FE6CDDC"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Lai nodrošinātu energoefektivitātes uzlabošanas pasākumu īstenošu privātmāju sektorā plānotajos apjomos sniedzot atbalstu vidēji 500 privātmājām gadā, Ekonomikas ministrija sadarbībā ar akciju sabiedrību “Attīstības finanšu institūcija Altum” (turpmāk – Altum) un Finanšu nozaru asociāciju ir izstrādājusi atbalsta programmu šim ēku sektoram, ņemot vērā, ka privātmāju īpašniekiem </w:t>
            </w:r>
            <w:r w:rsidR="001760F6">
              <w:rPr>
                <w:rFonts w:ascii="Times New Roman" w:hAnsi="Times New Roman"/>
                <w:sz w:val="24"/>
                <w:szCs w:val="24"/>
              </w:rPr>
              <w:t>nereti trūkst izpratnes</w:t>
            </w:r>
            <w:r w:rsidRPr="000B4902">
              <w:rPr>
                <w:rFonts w:ascii="Times New Roman" w:hAnsi="Times New Roman"/>
                <w:sz w:val="24"/>
                <w:szCs w:val="24"/>
              </w:rPr>
              <w:t xml:space="preserve"> un informācijas par ekonomiski pamatotiem energoefektivitātes pasākumiem un tie netiek veikti, īpašnieki nav pietiekami informēti par papildu investīciju finansēšanas iespējām un no banku puses nav īpašniekus interesējošs piedāvājums, tiem nav pietiekama līdzfinansējuma jaunu aizdevumu saņemšanai, kā arī  atsevišķās Latvijas teritorijās privātmājām nav pietiekamas nodrošinājuma vērtības.</w:t>
            </w:r>
          </w:p>
          <w:p w14:paraId="31273C57" w14:textId="77777777"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Projekts ir izstrādāts, lai:</w:t>
            </w:r>
          </w:p>
          <w:p w14:paraId="4942B01E" w14:textId="453FCA35" w:rsidR="00BB12A3" w:rsidRPr="000B4902" w:rsidRDefault="00BB12A3" w:rsidP="00BB12A3">
            <w:pPr>
              <w:pStyle w:val="ListParagraph"/>
              <w:numPr>
                <w:ilvl w:val="0"/>
                <w:numId w:val="14"/>
              </w:numPr>
              <w:spacing w:after="0" w:line="240" w:lineRule="auto"/>
              <w:jc w:val="both"/>
              <w:rPr>
                <w:rFonts w:ascii="Times New Roman" w:hAnsi="Times New Roman"/>
                <w:sz w:val="24"/>
                <w:szCs w:val="24"/>
              </w:rPr>
            </w:pPr>
            <w:r w:rsidRPr="000B4902">
              <w:rPr>
                <w:rFonts w:ascii="Times New Roman" w:hAnsi="Times New Roman"/>
                <w:sz w:val="24"/>
                <w:szCs w:val="24"/>
              </w:rPr>
              <w:t xml:space="preserve">novērstu nepilnības finansējuma pieejamībā privātmāju </w:t>
            </w:r>
            <w:r w:rsidR="00617AF2">
              <w:rPr>
                <w:rFonts w:ascii="Times New Roman" w:hAnsi="Times New Roman"/>
                <w:sz w:val="24"/>
                <w:szCs w:val="24"/>
              </w:rPr>
              <w:t xml:space="preserve">atjaunošanas un </w:t>
            </w:r>
            <w:r w:rsidRPr="000B4902">
              <w:rPr>
                <w:rFonts w:ascii="Times New Roman" w:hAnsi="Times New Roman"/>
                <w:sz w:val="24"/>
                <w:szCs w:val="24"/>
              </w:rPr>
              <w:t>energoefektivitātes uzlabošanai;</w:t>
            </w:r>
          </w:p>
          <w:p w14:paraId="01765235" w14:textId="50E45249" w:rsidR="001760F6" w:rsidRDefault="00BB12A3" w:rsidP="00BB12A3">
            <w:pPr>
              <w:pStyle w:val="ListParagraph"/>
              <w:numPr>
                <w:ilvl w:val="0"/>
                <w:numId w:val="14"/>
              </w:numPr>
              <w:spacing w:after="0" w:line="240" w:lineRule="auto"/>
              <w:jc w:val="both"/>
              <w:rPr>
                <w:rFonts w:ascii="Times New Roman" w:hAnsi="Times New Roman"/>
                <w:sz w:val="24"/>
                <w:szCs w:val="24"/>
              </w:rPr>
            </w:pPr>
            <w:r w:rsidRPr="000B4902">
              <w:rPr>
                <w:rFonts w:ascii="Times New Roman" w:hAnsi="Times New Roman"/>
                <w:sz w:val="24"/>
                <w:szCs w:val="24"/>
              </w:rPr>
              <w:t xml:space="preserve">ieviestu jaunu atbalsta programmu privātmāju </w:t>
            </w:r>
            <w:r w:rsidR="00617AF2">
              <w:rPr>
                <w:rFonts w:ascii="Times New Roman" w:hAnsi="Times New Roman"/>
                <w:sz w:val="24"/>
                <w:szCs w:val="24"/>
              </w:rPr>
              <w:t xml:space="preserve">atjaunošanas un </w:t>
            </w:r>
            <w:r w:rsidRPr="000B4902">
              <w:rPr>
                <w:rFonts w:ascii="Times New Roman" w:hAnsi="Times New Roman"/>
                <w:sz w:val="24"/>
                <w:szCs w:val="24"/>
              </w:rPr>
              <w:t>energoefektivitātes uzlabošanai.</w:t>
            </w:r>
          </w:p>
          <w:p w14:paraId="1E6B58ED" w14:textId="2375E53F" w:rsidR="00BB12A3" w:rsidRDefault="00BB12A3" w:rsidP="001760F6">
            <w:pPr>
              <w:spacing w:after="0" w:line="240" w:lineRule="auto"/>
              <w:jc w:val="both"/>
              <w:rPr>
                <w:rFonts w:ascii="Times New Roman" w:hAnsi="Times New Roman"/>
                <w:sz w:val="24"/>
                <w:szCs w:val="24"/>
              </w:rPr>
            </w:pPr>
            <w:r w:rsidRPr="0022458C">
              <w:rPr>
                <w:rFonts w:ascii="Times New Roman" w:hAnsi="Times New Roman"/>
                <w:sz w:val="24"/>
                <w:szCs w:val="24"/>
              </w:rPr>
              <w:t xml:space="preserve"> </w:t>
            </w:r>
            <w:r w:rsidR="001760F6">
              <w:rPr>
                <w:rFonts w:ascii="Times New Roman" w:hAnsi="Times New Roman"/>
                <w:sz w:val="24"/>
                <w:szCs w:val="24"/>
              </w:rPr>
              <w:t xml:space="preserve">Programmas ietvaros paredzēti </w:t>
            </w:r>
            <w:r w:rsidR="0022458C">
              <w:rPr>
                <w:rFonts w:ascii="Times New Roman" w:hAnsi="Times New Roman"/>
                <w:sz w:val="24"/>
                <w:szCs w:val="24"/>
              </w:rPr>
              <w:t>šādi</w:t>
            </w:r>
            <w:r w:rsidR="001760F6">
              <w:rPr>
                <w:rFonts w:ascii="Times New Roman" w:hAnsi="Times New Roman"/>
                <w:sz w:val="24"/>
                <w:szCs w:val="24"/>
              </w:rPr>
              <w:t xml:space="preserve"> atbalsta veidi:</w:t>
            </w:r>
          </w:p>
          <w:p w14:paraId="140A3DEF" w14:textId="7CE87055" w:rsidR="001760F6" w:rsidRDefault="0022458C" w:rsidP="001760F6">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p</w:t>
            </w:r>
            <w:r w:rsidR="001760F6">
              <w:rPr>
                <w:rFonts w:ascii="Times New Roman" w:hAnsi="Times New Roman"/>
                <w:sz w:val="24"/>
                <w:szCs w:val="24"/>
              </w:rPr>
              <w:t>ortfeļgarantija;</w:t>
            </w:r>
          </w:p>
          <w:p w14:paraId="37B814F8" w14:textId="2465173B" w:rsidR="001760F6" w:rsidRPr="0022458C" w:rsidRDefault="0022458C" w:rsidP="00742AB3">
            <w:pPr>
              <w:pStyle w:val="ListParagraph"/>
              <w:numPr>
                <w:ilvl w:val="0"/>
                <w:numId w:val="24"/>
              </w:numPr>
              <w:spacing w:after="0" w:line="240" w:lineRule="auto"/>
              <w:ind w:left="751" w:hanging="31"/>
              <w:jc w:val="both"/>
              <w:rPr>
                <w:rFonts w:ascii="Times New Roman" w:hAnsi="Times New Roman"/>
                <w:sz w:val="24"/>
                <w:szCs w:val="24"/>
              </w:rPr>
            </w:pPr>
            <w:r>
              <w:rPr>
                <w:rFonts w:ascii="Times New Roman" w:hAnsi="Times New Roman"/>
                <w:sz w:val="24"/>
                <w:szCs w:val="24"/>
              </w:rPr>
              <w:t>tehniskā palīdzība un g</w:t>
            </w:r>
            <w:r w:rsidR="001760F6">
              <w:rPr>
                <w:rFonts w:ascii="Times New Roman" w:hAnsi="Times New Roman"/>
                <w:sz w:val="24"/>
                <w:szCs w:val="24"/>
              </w:rPr>
              <w:t xml:space="preserve">rants </w:t>
            </w:r>
            <w:r w:rsidR="001760F6" w:rsidRPr="001760F6">
              <w:rPr>
                <w:rFonts w:ascii="Times New Roman" w:hAnsi="Times New Roman"/>
                <w:sz w:val="24"/>
                <w:szCs w:val="24"/>
              </w:rPr>
              <w:t>par dzīvojamās mājas energoefektivitātes klases paaugstināšanu, ja tiek paaugstināta dzīvojamās mājas energoefektivitātes klase un tā pēc pasākumu īstenošanas nav zemāka par C klasi, kā arī tiek samazināts dzīvojamās mājas siltumenerģijas patēriņš apkurei vismaz 20 % apmērā</w:t>
            </w:r>
            <w:r w:rsidR="001760F6">
              <w:rPr>
                <w:rFonts w:ascii="Times New Roman" w:hAnsi="Times New Roman"/>
                <w:sz w:val="24"/>
                <w:szCs w:val="24"/>
              </w:rPr>
              <w:t>.</w:t>
            </w:r>
          </w:p>
          <w:p w14:paraId="7963FED2" w14:textId="75AD78AC" w:rsidR="00BB12A3" w:rsidRDefault="00BB12A3" w:rsidP="00BB12A3">
            <w:pPr>
              <w:pStyle w:val="ListParagraph"/>
              <w:spacing w:after="0" w:line="240" w:lineRule="auto"/>
              <w:jc w:val="both"/>
              <w:rPr>
                <w:rFonts w:ascii="Times New Roman" w:hAnsi="Times New Roman"/>
                <w:sz w:val="24"/>
                <w:szCs w:val="24"/>
              </w:rPr>
            </w:pPr>
          </w:p>
          <w:p w14:paraId="3AB62F8F" w14:textId="0F481B3C" w:rsidR="00A7768E" w:rsidRDefault="00A7768E" w:rsidP="00A7768E">
            <w:pPr>
              <w:pStyle w:val="ListParagraph"/>
              <w:numPr>
                <w:ilvl w:val="0"/>
                <w:numId w:val="27"/>
              </w:numPr>
              <w:spacing w:after="0" w:line="240" w:lineRule="auto"/>
              <w:rPr>
                <w:rFonts w:ascii="Times New Roman" w:hAnsi="Times New Roman"/>
                <w:b/>
                <w:bCs/>
                <w:i/>
                <w:iCs/>
                <w:sz w:val="24"/>
                <w:szCs w:val="24"/>
                <w:u w:val="single"/>
              </w:rPr>
            </w:pPr>
            <w:r>
              <w:rPr>
                <w:rFonts w:ascii="Times New Roman" w:hAnsi="Times New Roman"/>
                <w:b/>
                <w:bCs/>
                <w:i/>
                <w:iCs/>
                <w:sz w:val="24"/>
                <w:szCs w:val="24"/>
                <w:u w:val="single"/>
              </w:rPr>
              <w:t>Vispārīgie nosacījumi</w:t>
            </w:r>
          </w:p>
          <w:p w14:paraId="5C4980B9" w14:textId="5A7476EE" w:rsidR="00A7768E" w:rsidRPr="004F71A7" w:rsidRDefault="00A7768E" w:rsidP="00154B9F">
            <w:pPr>
              <w:spacing w:after="0" w:line="240" w:lineRule="auto"/>
              <w:ind w:firstLine="325"/>
              <w:rPr>
                <w:rFonts w:ascii="Times New Roman" w:hAnsi="Times New Roman"/>
                <w:sz w:val="24"/>
                <w:szCs w:val="24"/>
              </w:rPr>
            </w:pPr>
            <w:r w:rsidRPr="004F71A7">
              <w:rPr>
                <w:rFonts w:ascii="Times New Roman" w:hAnsi="Times New Roman"/>
                <w:sz w:val="24"/>
                <w:szCs w:val="24"/>
              </w:rPr>
              <w:t>Atbalstu programmas ietvaros varēs saņemt</w:t>
            </w:r>
            <w:r w:rsidR="00154B9F" w:rsidRPr="004F71A7">
              <w:rPr>
                <w:rFonts w:ascii="Times New Roman" w:hAnsi="Times New Roman"/>
                <w:sz w:val="24"/>
                <w:szCs w:val="24"/>
              </w:rPr>
              <w:t>, ja</w:t>
            </w:r>
            <w:r w:rsidRPr="004F71A7">
              <w:rPr>
                <w:rFonts w:ascii="Times New Roman" w:hAnsi="Times New Roman"/>
                <w:sz w:val="24"/>
                <w:szCs w:val="24"/>
              </w:rPr>
              <w:t>:</w:t>
            </w:r>
          </w:p>
          <w:p w14:paraId="2D73C3CC" w14:textId="414F0658" w:rsidR="00154B9F" w:rsidRPr="004F71A7" w:rsidRDefault="001062C2" w:rsidP="00154B9F">
            <w:pPr>
              <w:spacing w:after="0" w:line="240" w:lineRule="auto"/>
              <w:jc w:val="both"/>
              <w:rPr>
                <w:rFonts w:ascii="Times New Roman" w:hAnsi="Times New Roman"/>
                <w:sz w:val="24"/>
                <w:szCs w:val="24"/>
              </w:rPr>
            </w:pPr>
            <w:r>
              <w:rPr>
                <w:rFonts w:ascii="Times New Roman" w:hAnsi="Times New Roman"/>
                <w:sz w:val="24"/>
                <w:szCs w:val="24"/>
              </w:rPr>
              <w:t>5</w:t>
            </w:r>
            <w:r w:rsidR="00154B9F" w:rsidRPr="004F71A7">
              <w:rPr>
                <w:rFonts w:ascii="Times New Roman" w:hAnsi="Times New Roman"/>
                <w:sz w:val="24"/>
                <w:szCs w:val="24"/>
              </w:rPr>
              <w:t>.1.</w:t>
            </w:r>
            <w:r w:rsidR="00154B9F" w:rsidRPr="004F71A7">
              <w:rPr>
                <w:rFonts w:ascii="Times New Roman" w:hAnsi="Times New Roman"/>
                <w:sz w:val="24"/>
                <w:szCs w:val="24"/>
              </w:rPr>
              <w:tab/>
              <w:t>atbalsta saņēmējs ir fiziska persona, kam zemesgrāmatā nostiprinātas īpašuma tiesības uz nekustamo īpašumu;</w:t>
            </w:r>
          </w:p>
          <w:p w14:paraId="0E894367" w14:textId="6973B1BD" w:rsidR="00154B9F" w:rsidRPr="004F71A7" w:rsidRDefault="001062C2" w:rsidP="00154B9F">
            <w:pPr>
              <w:spacing w:after="0" w:line="240" w:lineRule="auto"/>
              <w:jc w:val="both"/>
              <w:rPr>
                <w:rFonts w:ascii="Times New Roman" w:hAnsi="Times New Roman"/>
                <w:sz w:val="24"/>
                <w:szCs w:val="24"/>
              </w:rPr>
            </w:pPr>
            <w:r>
              <w:rPr>
                <w:rFonts w:ascii="Times New Roman" w:hAnsi="Times New Roman"/>
                <w:sz w:val="24"/>
                <w:szCs w:val="24"/>
              </w:rPr>
              <w:t>5</w:t>
            </w:r>
            <w:r w:rsidR="00154B9F" w:rsidRPr="004F71A7">
              <w:rPr>
                <w:rFonts w:ascii="Times New Roman" w:hAnsi="Times New Roman"/>
                <w:sz w:val="24"/>
                <w:szCs w:val="24"/>
              </w:rPr>
              <w:t>.2.</w:t>
            </w:r>
            <w:r w:rsidR="00154B9F" w:rsidRPr="004F71A7">
              <w:rPr>
                <w:rFonts w:ascii="Times New Roman" w:hAnsi="Times New Roman"/>
                <w:sz w:val="24"/>
                <w:szCs w:val="24"/>
              </w:rPr>
              <w:tab/>
              <w:t>dzīvojamā māja saskaņā ar būvju klasifikāciju atbilst vienas dzīvokļa mājas klasei;</w:t>
            </w:r>
          </w:p>
          <w:p w14:paraId="5F9BCD42" w14:textId="65959DDC" w:rsidR="00154B9F" w:rsidRPr="004F71A7" w:rsidRDefault="001062C2" w:rsidP="00154B9F">
            <w:pPr>
              <w:spacing w:after="0" w:line="240" w:lineRule="auto"/>
              <w:jc w:val="both"/>
              <w:rPr>
                <w:rFonts w:ascii="Times New Roman" w:hAnsi="Times New Roman"/>
                <w:sz w:val="24"/>
                <w:szCs w:val="24"/>
              </w:rPr>
            </w:pPr>
            <w:r>
              <w:rPr>
                <w:rFonts w:ascii="Times New Roman" w:hAnsi="Times New Roman"/>
                <w:sz w:val="24"/>
                <w:szCs w:val="24"/>
              </w:rPr>
              <w:t>5</w:t>
            </w:r>
            <w:r w:rsidR="00154B9F" w:rsidRPr="004F71A7">
              <w:rPr>
                <w:rFonts w:ascii="Times New Roman" w:hAnsi="Times New Roman"/>
                <w:sz w:val="24"/>
                <w:szCs w:val="24"/>
              </w:rPr>
              <w:t>.3.</w:t>
            </w:r>
            <w:r w:rsidR="00154B9F" w:rsidRPr="004F71A7">
              <w:rPr>
                <w:rFonts w:ascii="Times New Roman" w:hAnsi="Times New Roman"/>
                <w:sz w:val="24"/>
                <w:szCs w:val="24"/>
              </w:rPr>
              <w:tab/>
              <w:t>dzīvojamā māja ir nodota ekspluatācijā;</w:t>
            </w:r>
          </w:p>
          <w:p w14:paraId="4742F210" w14:textId="2782FF79" w:rsidR="00154B9F" w:rsidRPr="004F71A7" w:rsidRDefault="00CC2C61" w:rsidP="00154B9F">
            <w:pPr>
              <w:spacing w:after="0" w:line="240" w:lineRule="auto"/>
              <w:jc w:val="both"/>
              <w:rPr>
                <w:rFonts w:ascii="Times New Roman" w:hAnsi="Times New Roman"/>
                <w:sz w:val="24"/>
                <w:szCs w:val="24"/>
              </w:rPr>
            </w:pPr>
            <w:r>
              <w:rPr>
                <w:rFonts w:ascii="Times New Roman" w:hAnsi="Times New Roman"/>
                <w:sz w:val="24"/>
                <w:szCs w:val="24"/>
              </w:rPr>
              <w:t>5</w:t>
            </w:r>
            <w:r w:rsidR="00154B9F" w:rsidRPr="004F71A7">
              <w:rPr>
                <w:rFonts w:ascii="Times New Roman" w:hAnsi="Times New Roman"/>
                <w:sz w:val="24"/>
                <w:szCs w:val="24"/>
              </w:rPr>
              <w:t>.4.</w:t>
            </w:r>
            <w:r w:rsidR="00154B9F" w:rsidRPr="004F71A7">
              <w:rPr>
                <w:rFonts w:ascii="Times New Roman" w:hAnsi="Times New Roman"/>
                <w:sz w:val="24"/>
                <w:szCs w:val="24"/>
              </w:rPr>
              <w:tab/>
            </w:r>
            <w:r w:rsidR="00862158" w:rsidRPr="004F71A7">
              <w:rPr>
                <w:rFonts w:ascii="Times New Roman" w:hAnsi="Times New Roman"/>
                <w:sz w:val="24"/>
                <w:szCs w:val="24"/>
              </w:rPr>
              <w:t>dzīvojamā mājā netiek veikta saimnieciskā darbība</w:t>
            </w:r>
            <w:r w:rsidR="00862158" w:rsidRPr="004F71A7" w:rsidDel="00862158">
              <w:rPr>
                <w:rFonts w:ascii="Times New Roman" w:hAnsi="Times New Roman"/>
                <w:sz w:val="24"/>
                <w:szCs w:val="24"/>
              </w:rPr>
              <w:t xml:space="preserve"> </w:t>
            </w:r>
            <w:r w:rsidR="00154B9F" w:rsidRPr="004F71A7">
              <w:rPr>
                <w:rFonts w:ascii="Times New Roman" w:hAnsi="Times New Roman"/>
                <w:sz w:val="24"/>
                <w:szCs w:val="24"/>
              </w:rPr>
              <w:t>.</w:t>
            </w:r>
          </w:p>
          <w:p w14:paraId="4CA593D1" w14:textId="77777777" w:rsidR="002A4DB3" w:rsidRPr="002A4DB3" w:rsidRDefault="002A4DB3" w:rsidP="002A4DB3">
            <w:pPr>
              <w:spacing w:after="0" w:line="240" w:lineRule="auto"/>
              <w:ind w:firstLine="325"/>
              <w:jc w:val="both"/>
              <w:rPr>
                <w:rFonts w:ascii="Times New Roman" w:hAnsi="Times New Roman"/>
                <w:sz w:val="24"/>
                <w:szCs w:val="24"/>
              </w:rPr>
            </w:pPr>
            <w:r w:rsidRPr="002A4DB3">
              <w:rPr>
                <w:rFonts w:ascii="Times New Roman" w:hAnsi="Times New Roman"/>
                <w:sz w:val="24"/>
                <w:szCs w:val="24"/>
              </w:rPr>
              <w:t>Atbalsta saņēmēja atbilstību 5.1. un 5.3. apakšpunktiem pārbauda Valsts vienotās datorizētās zemesgrāmatas datu izplatīšanas sistēmā (</w:t>
            </w:r>
            <w:hyperlink r:id="rId8" w:history="1">
              <w:r w:rsidRPr="002A4DB3">
                <w:rPr>
                  <w:rStyle w:val="Hyperlink"/>
                  <w:rFonts w:ascii="Times New Roman" w:hAnsi="Times New Roman"/>
                  <w:sz w:val="24"/>
                  <w:szCs w:val="24"/>
                  <w:u w:val="none"/>
                </w:rPr>
                <w:t>https://www.zemesgramata.lv/</w:t>
              </w:r>
            </w:hyperlink>
            <w:r w:rsidRPr="002A4DB3">
              <w:rPr>
                <w:rFonts w:ascii="Times New Roman" w:hAnsi="Times New Roman"/>
                <w:sz w:val="24"/>
                <w:szCs w:val="24"/>
              </w:rPr>
              <w:t xml:space="preserve">) </w:t>
            </w:r>
            <w:r w:rsidRPr="002A4DB3">
              <w:t xml:space="preserve"> </w:t>
            </w:r>
            <w:r w:rsidRPr="002A4DB3">
              <w:rPr>
                <w:rFonts w:ascii="Times New Roman" w:hAnsi="Times New Roman"/>
                <w:sz w:val="24"/>
                <w:szCs w:val="24"/>
              </w:rPr>
              <w:t xml:space="preserve">un ieraksta Valsts vienotajā datorizētajā zemesgrāmatā esamība ir pietiekams apstiprinājums 5.3. apakšpunktā minētā nosacījuma izpildei, ja vien nav skaidra norāde par jaunbūvi vai nepabeigtu celtniecību. Ja ēka nav ierakstīta zemesgrāmatā, atbilstību 5.3. apakšpunktam noskaidro portālā </w:t>
            </w:r>
            <w:r w:rsidRPr="002A4DB3">
              <w:rPr>
                <w:rFonts w:ascii="Times New Roman" w:hAnsi="Times New Roman"/>
                <w:sz w:val="24"/>
                <w:szCs w:val="24"/>
              </w:rPr>
              <w:lastRenderedPageBreak/>
              <w:t>kadastrs.lv. Par atbilstību pārliecinās Altum vai kredītiestāde, atkarībā no atbalsta veida.</w:t>
            </w:r>
          </w:p>
          <w:p w14:paraId="0724953E" w14:textId="77777777" w:rsidR="002A4DB3" w:rsidRPr="002A4DB3" w:rsidRDefault="002A4DB3" w:rsidP="002A4DB3">
            <w:pPr>
              <w:spacing w:after="0" w:line="240" w:lineRule="auto"/>
              <w:ind w:firstLine="325"/>
              <w:jc w:val="both"/>
              <w:rPr>
                <w:rFonts w:ascii="Times New Roman" w:hAnsi="Times New Roman"/>
                <w:sz w:val="24"/>
                <w:szCs w:val="24"/>
              </w:rPr>
            </w:pPr>
            <w:r w:rsidRPr="002A4DB3">
              <w:rPr>
                <w:rFonts w:ascii="Times New Roman" w:hAnsi="Times New Roman"/>
                <w:sz w:val="24"/>
                <w:szCs w:val="24"/>
              </w:rPr>
              <w:t>Atbalsta saņēmēja atbilstību 5.2. punktam pārbauda</w:t>
            </w:r>
            <w:r w:rsidRPr="002A4DB3">
              <w:t xml:space="preserve"> </w:t>
            </w:r>
            <w:r w:rsidRPr="002A4DB3">
              <w:rPr>
                <w:rFonts w:ascii="Times New Roman" w:hAnsi="Times New Roman"/>
                <w:sz w:val="24"/>
                <w:szCs w:val="24"/>
              </w:rPr>
              <w:t xml:space="preserve">Valsts zemes dienesta datu publicēšanas portālā </w:t>
            </w:r>
            <w:r w:rsidRPr="002A4DB3">
              <w:t xml:space="preserve"> </w:t>
            </w:r>
            <w:hyperlink r:id="rId9" w:history="1">
              <w:r w:rsidRPr="002A4DB3">
                <w:rPr>
                  <w:rStyle w:val="Hyperlink"/>
                  <w:rFonts w:ascii="Times New Roman" w:hAnsi="Times New Roman"/>
                  <w:sz w:val="24"/>
                  <w:szCs w:val="24"/>
                  <w:u w:val="none"/>
                </w:rPr>
                <w:t>https://www.kadastrs.lv/</w:t>
              </w:r>
            </w:hyperlink>
            <w:r w:rsidRPr="002A4DB3">
              <w:rPr>
                <w:rFonts w:ascii="Times New Roman" w:hAnsi="Times New Roman"/>
                <w:sz w:val="24"/>
                <w:szCs w:val="24"/>
              </w:rPr>
              <w:t>. Par atbilstību pārliecinās Altum vai kredītiestāde, atkarībā no atbalsta veida.</w:t>
            </w:r>
          </w:p>
          <w:p w14:paraId="217E169C" w14:textId="77777777" w:rsidR="002A4DB3" w:rsidRPr="002A4DB3" w:rsidRDefault="002A4DB3" w:rsidP="002A4DB3">
            <w:pPr>
              <w:spacing w:after="0" w:line="240" w:lineRule="auto"/>
              <w:ind w:firstLine="325"/>
              <w:jc w:val="both"/>
              <w:rPr>
                <w:rFonts w:ascii="Times New Roman" w:hAnsi="Times New Roman"/>
                <w:sz w:val="24"/>
                <w:szCs w:val="24"/>
              </w:rPr>
            </w:pPr>
            <w:r w:rsidRPr="002A4DB3">
              <w:rPr>
                <w:rFonts w:ascii="Times New Roman" w:hAnsi="Times New Roman"/>
                <w:sz w:val="24"/>
                <w:szCs w:val="24"/>
              </w:rPr>
              <w:t>Atbalsta saņēmēja atbilstību 5.4.punktam pārbauda Altum vai kredītiestāde, atkarībā no atbalsta veida.</w:t>
            </w:r>
            <w:r w:rsidRPr="002A4DB3">
              <w:t xml:space="preserve"> </w:t>
            </w:r>
            <w:r w:rsidRPr="002A4DB3">
              <w:rPr>
                <w:rFonts w:ascii="Times New Roman" w:hAnsi="Times New Roman"/>
                <w:sz w:val="24"/>
                <w:szCs w:val="24"/>
              </w:rPr>
              <w:t>Atbilstību pārbauda</w:t>
            </w:r>
            <w:r w:rsidRPr="002A4DB3" w:rsidDel="006840FA">
              <w:rPr>
                <w:rFonts w:ascii="Times New Roman" w:hAnsi="Times New Roman"/>
                <w:sz w:val="24"/>
                <w:szCs w:val="24"/>
              </w:rPr>
              <w:t xml:space="preserve"> </w:t>
            </w:r>
            <w:r w:rsidRPr="002A4DB3">
              <w:rPr>
                <w:rFonts w:ascii="Times New Roman" w:hAnsi="Times New Roman"/>
                <w:sz w:val="24"/>
                <w:szCs w:val="24"/>
              </w:rPr>
              <w:t xml:space="preserve">Valsts ieņēmumu dienesta mājas lapā pārliecinoties, vai adresē, kurā atrodas atjaunojamā māja, nav reģistrēta saimnieciskās darbības veikšanas vieta. Atbalsta saņēmēji arī iesniegs apliecinājumu </w:t>
            </w:r>
            <w:r w:rsidRPr="002A4DB3">
              <w:t xml:space="preserve"> </w:t>
            </w:r>
            <w:r w:rsidRPr="002A4DB3">
              <w:rPr>
                <w:rFonts w:ascii="Times New Roman" w:hAnsi="Times New Roman"/>
                <w:sz w:val="24"/>
                <w:szCs w:val="24"/>
              </w:rPr>
              <w:t xml:space="preserve">brīvā formā par to, ka mājā netiek veikta saimnieciskā darbība. Ja dzīvojamās mājas īpašumā atrodas vairākas būves, atbilstība šim nosacījumam tiek vērtēta konkrētai būvei. </w:t>
            </w:r>
          </w:p>
          <w:p w14:paraId="7D362327" w14:textId="77777777" w:rsidR="002A4DB3" w:rsidRPr="002A4DB3" w:rsidRDefault="002A4DB3" w:rsidP="002A4DB3">
            <w:pPr>
              <w:spacing w:after="0" w:line="240" w:lineRule="auto"/>
              <w:ind w:firstLine="325"/>
              <w:jc w:val="both"/>
              <w:rPr>
                <w:rFonts w:ascii="Times New Roman" w:hAnsi="Times New Roman"/>
                <w:sz w:val="24"/>
                <w:szCs w:val="24"/>
              </w:rPr>
            </w:pPr>
            <w:r w:rsidRPr="002A4DB3">
              <w:rPr>
                <w:rFonts w:ascii="Times New Roman" w:hAnsi="Times New Roman"/>
                <w:sz w:val="24"/>
                <w:szCs w:val="24"/>
              </w:rPr>
              <w:t xml:space="preserve">Par atbilstību pārliecinās Altum vai kredītiestāde, atkarībā no atbalsta veida. Ja tiek piešķirta tikai garantija, tad atbilstību nosacījumiem pārbauda komercbankas. Ja tiek piešķirts grants, garantija un atbalsts tehniskās dokumentācijas izstrādei, tad atbilstību nosacījumiem pārbauda Altum, sniedzot informāciju komercbankām to sadarbības līgumos noteiktajā kārtībā. Garantijas gadījumā, kredītiestāde izsniedz aizdevumu ar Altum garantiju šiem noteikumiem atbilstošam aizdevumam neveicot katras garantijas individuālu saskaņošanu ar Altum, bet saskaņā ar savstarpējo līgumu informējot Altum par piešķirtajām garantijām. Pirms garantijas kompensācijas izmaksas, Altum veic izlases pārbaudi, funkcionalitātes ietvaros izmantojot Kredītu reģistrā un citās publiskās informācijas sistēmās pieejamo informāciju, kā arī pārbauda visus atbilstības nosacījumus. </w:t>
            </w:r>
          </w:p>
          <w:p w14:paraId="20EF901F" w14:textId="77777777" w:rsidR="002A4DB3" w:rsidRPr="002A4DB3" w:rsidRDefault="002A4DB3" w:rsidP="002A4DB3">
            <w:pPr>
              <w:spacing w:after="0" w:line="240" w:lineRule="auto"/>
              <w:ind w:firstLine="325"/>
              <w:jc w:val="both"/>
              <w:rPr>
                <w:rFonts w:ascii="Times New Roman" w:hAnsi="Times New Roman"/>
                <w:sz w:val="24"/>
                <w:szCs w:val="24"/>
              </w:rPr>
            </w:pPr>
            <w:r w:rsidRPr="002A4DB3">
              <w:rPr>
                <w:rFonts w:ascii="Times New Roman" w:hAnsi="Times New Roman"/>
                <w:sz w:val="24"/>
                <w:szCs w:val="24"/>
              </w:rPr>
              <w:t>Dzīvojamās mājas īpašnieka atbilstība noteikumu prasībām tiek pārbaudīta uz atbalsta piešķiršanas brīdi.</w:t>
            </w:r>
          </w:p>
          <w:p w14:paraId="2178BFF8" w14:textId="2F8C4E27" w:rsidR="002A4DB3" w:rsidRDefault="002A4DB3" w:rsidP="002A4DB3">
            <w:pPr>
              <w:spacing w:after="0" w:line="240" w:lineRule="auto"/>
              <w:rPr>
                <w:rFonts w:ascii="Times New Roman" w:hAnsi="Times New Roman"/>
                <w:sz w:val="24"/>
                <w:szCs w:val="24"/>
              </w:rPr>
            </w:pPr>
            <w:r w:rsidRPr="002A4DB3">
              <w:rPr>
                <w:rFonts w:ascii="Times New Roman" w:hAnsi="Times New Roman"/>
                <w:sz w:val="24"/>
                <w:szCs w:val="24"/>
              </w:rPr>
              <w:t>Atbalsta saņemšanai tehniskās palīdzības un granta veidā ir izvirzīti papildu nosacījumi, kas aprakstīti anotācijas atbilstošajās sadaļās.</w:t>
            </w:r>
          </w:p>
          <w:p w14:paraId="349EE863" w14:textId="77777777" w:rsidR="002A4DB3" w:rsidRDefault="002A4DB3" w:rsidP="002A4DB3">
            <w:pPr>
              <w:spacing w:after="0" w:line="240" w:lineRule="auto"/>
              <w:rPr>
                <w:rFonts w:ascii="Times New Roman" w:hAnsi="Times New Roman"/>
                <w:sz w:val="24"/>
                <w:szCs w:val="24"/>
              </w:rPr>
            </w:pPr>
          </w:p>
          <w:p w14:paraId="1AFB44C4" w14:textId="5538FB1D" w:rsidR="00BE56F2" w:rsidRPr="00154B9F" w:rsidRDefault="00BE56F2" w:rsidP="00154B9F">
            <w:pPr>
              <w:pStyle w:val="ListParagraph"/>
              <w:numPr>
                <w:ilvl w:val="0"/>
                <w:numId w:val="27"/>
              </w:numPr>
              <w:spacing w:after="0" w:line="240" w:lineRule="auto"/>
              <w:rPr>
                <w:rFonts w:ascii="Times New Roman" w:hAnsi="Times New Roman"/>
                <w:b/>
                <w:bCs/>
                <w:i/>
                <w:iCs/>
                <w:sz w:val="24"/>
                <w:szCs w:val="24"/>
                <w:u w:val="single"/>
              </w:rPr>
            </w:pPr>
            <w:r w:rsidRPr="00154B9F">
              <w:rPr>
                <w:rFonts w:ascii="Times New Roman" w:hAnsi="Times New Roman"/>
                <w:b/>
                <w:bCs/>
                <w:i/>
                <w:iCs/>
                <w:sz w:val="24"/>
                <w:szCs w:val="24"/>
                <w:u w:val="single"/>
              </w:rPr>
              <w:t>Portfeļgarantijas</w:t>
            </w:r>
          </w:p>
          <w:p w14:paraId="66BECB7C" w14:textId="044F6A8A"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Ieviešot privātmāju </w:t>
            </w:r>
            <w:r w:rsidR="0022458C">
              <w:rPr>
                <w:rFonts w:ascii="Times New Roman" w:hAnsi="Times New Roman"/>
                <w:sz w:val="24"/>
                <w:szCs w:val="24"/>
              </w:rPr>
              <w:t xml:space="preserve">atjaunošanas un </w:t>
            </w:r>
            <w:r w:rsidRPr="000B4902">
              <w:rPr>
                <w:rFonts w:ascii="Times New Roman" w:hAnsi="Times New Roman"/>
                <w:sz w:val="24"/>
                <w:szCs w:val="24"/>
              </w:rPr>
              <w:t xml:space="preserve">energoefektivitātes uzlabošanas atbalsta programmu, aizdevumi tiks </w:t>
            </w:r>
            <w:r w:rsidR="0022458C">
              <w:rPr>
                <w:rFonts w:ascii="Times New Roman" w:hAnsi="Times New Roman"/>
                <w:sz w:val="24"/>
                <w:szCs w:val="24"/>
              </w:rPr>
              <w:t>sniegti</w:t>
            </w:r>
            <w:r w:rsidRPr="000B4902">
              <w:rPr>
                <w:rFonts w:ascii="Times New Roman" w:hAnsi="Times New Roman"/>
                <w:sz w:val="24"/>
                <w:szCs w:val="24"/>
              </w:rPr>
              <w:t xml:space="preserve"> no kredītiestāžu finanšu līdzekļiem, garantējot tos ar finanšu instrumenta – portfeļgarantijas – palīdzību. Privātmāju īpašniekiem tiks piešķirti aizdevumi, lai segtu ēkas </w:t>
            </w:r>
            <w:r w:rsidR="0022458C">
              <w:rPr>
                <w:rFonts w:ascii="Times New Roman" w:hAnsi="Times New Roman"/>
                <w:sz w:val="24"/>
                <w:szCs w:val="24"/>
              </w:rPr>
              <w:t xml:space="preserve">atjaunošanas </w:t>
            </w:r>
            <w:r w:rsidRPr="000B4902">
              <w:rPr>
                <w:rFonts w:ascii="Times New Roman" w:hAnsi="Times New Roman"/>
                <w:sz w:val="24"/>
                <w:szCs w:val="24"/>
              </w:rPr>
              <w:t xml:space="preserve">izmaksas. Portfeļgarantijas nodrošinās aizdevumus privātmāju </w:t>
            </w:r>
            <w:r w:rsidR="0022458C">
              <w:rPr>
                <w:rFonts w:ascii="Times New Roman" w:hAnsi="Times New Roman"/>
                <w:sz w:val="24"/>
                <w:szCs w:val="24"/>
              </w:rPr>
              <w:t>atjaunošanai</w:t>
            </w:r>
            <w:r w:rsidRPr="000B4902">
              <w:rPr>
                <w:rFonts w:ascii="Times New Roman" w:hAnsi="Times New Roman"/>
                <w:sz w:val="24"/>
                <w:szCs w:val="24"/>
              </w:rPr>
              <w:t xml:space="preserve"> visā Latvijas teritorijā. Portfeļgarantijas instruments ļaus programmu ieviest efektīvi, samazinot nepieciešamā finansējuma apmēru, ātrāk izskatot aizdevumu pieteikumus, un mazinot riskus Altum. </w:t>
            </w:r>
          </w:p>
          <w:p w14:paraId="40912FE9" w14:textId="75B6D658"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Portfeļgarantijas finanšu instrumentā tiks izsniegta Altum garantija </w:t>
            </w:r>
            <w:r w:rsidR="0022458C">
              <w:rPr>
                <w:rFonts w:ascii="Times New Roman" w:hAnsi="Times New Roman"/>
                <w:sz w:val="24"/>
                <w:szCs w:val="24"/>
              </w:rPr>
              <w:t>(</w:t>
            </w:r>
            <w:r w:rsidR="00617AF2" w:rsidRPr="00617AF2">
              <w:rPr>
                <w:rFonts w:ascii="Times New Roman" w:hAnsi="Times New Roman"/>
                <w:sz w:val="24"/>
                <w:szCs w:val="24"/>
              </w:rPr>
              <w:t xml:space="preserve">līdz 30 % no aizdevuma summas, nepārsniedzot 20 000 </w:t>
            </w:r>
            <w:r w:rsidR="00617AF2" w:rsidRPr="00617AF2">
              <w:rPr>
                <w:rFonts w:ascii="Times New Roman" w:hAnsi="Times New Roman"/>
                <w:i/>
                <w:iCs/>
                <w:sz w:val="24"/>
                <w:szCs w:val="24"/>
              </w:rPr>
              <w:t>euro</w:t>
            </w:r>
            <w:r w:rsidR="00617AF2">
              <w:rPr>
                <w:rFonts w:ascii="Times New Roman" w:hAnsi="Times New Roman"/>
                <w:sz w:val="24"/>
                <w:szCs w:val="24"/>
              </w:rPr>
              <w:t xml:space="preserve">) </w:t>
            </w:r>
            <w:r w:rsidRPr="000B4902">
              <w:rPr>
                <w:rFonts w:ascii="Times New Roman" w:hAnsi="Times New Roman"/>
                <w:sz w:val="24"/>
                <w:szCs w:val="24"/>
              </w:rPr>
              <w:t>par kredītiestādes sniegt</w:t>
            </w:r>
            <w:r w:rsidR="00617AF2">
              <w:rPr>
                <w:rFonts w:ascii="Times New Roman" w:hAnsi="Times New Roman"/>
                <w:sz w:val="24"/>
                <w:szCs w:val="24"/>
              </w:rPr>
              <w:t>ā</w:t>
            </w:r>
            <w:r w:rsidRPr="000B4902">
              <w:rPr>
                <w:rFonts w:ascii="Times New Roman" w:hAnsi="Times New Roman"/>
                <w:sz w:val="24"/>
                <w:szCs w:val="24"/>
              </w:rPr>
              <w:t xml:space="preserve"> aizdevuma daļu. Saistību nepildīšanas gadījumā garantija sedz noteiktu daļu (garantijas apmērā) no kredītiestādes zaudējumiem par neatmaksāto aizdevuma daļu.  Portfeļgarantijas finanšu instrumentā aizdevumus piešķirs kredītiestādes, kuras izvēlētas ievērojot projektā ietvertos nosacījumus. Kad kredītiestāde ir noslēgusi sadarbības līgumu  ar </w:t>
            </w:r>
            <w:r w:rsidRPr="000B4902">
              <w:rPr>
                <w:rFonts w:ascii="Times New Roman" w:hAnsi="Times New Roman"/>
                <w:sz w:val="24"/>
                <w:szCs w:val="24"/>
              </w:rPr>
              <w:lastRenderedPageBreak/>
              <w:t xml:space="preserve">Altum, tā veido jaunu aizdevumu portfeli (turpmāk – aizdevumu portfelis), kurā iekļauj atbilstoši noteikumiem izsniegtus aizdevumus. </w:t>
            </w:r>
          </w:p>
          <w:p w14:paraId="6EAB9834" w14:textId="72E88EC3" w:rsidR="006C0162" w:rsidRDefault="006C0162" w:rsidP="00BB12A3">
            <w:pPr>
              <w:spacing w:after="0" w:line="240" w:lineRule="auto"/>
              <w:ind w:firstLine="364"/>
              <w:jc w:val="both"/>
              <w:rPr>
                <w:rFonts w:ascii="Times New Roman" w:hAnsi="Times New Roman"/>
                <w:sz w:val="24"/>
                <w:szCs w:val="24"/>
              </w:rPr>
            </w:pPr>
            <w:r w:rsidRPr="006C0162">
              <w:rPr>
                <w:rFonts w:ascii="Times New Roman" w:hAnsi="Times New Roman"/>
                <w:sz w:val="24"/>
                <w:szCs w:val="24"/>
              </w:rPr>
              <w:t>Portfeļgarantijas finanšu instrumentā kredītiestāde</w:t>
            </w:r>
            <w:r w:rsidR="001B5BF0">
              <w:rPr>
                <w:rFonts w:ascii="Times New Roman" w:hAnsi="Times New Roman"/>
                <w:sz w:val="24"/>
                <w:szCs w:val="24"/>
              </w:rPr>
              <w:t xml:space="preserve"> pārliecinās par atbalsta saņēmēja atbilstību noteikumos noteiktajām prasībām.</w:t>
            </w:r>
            <w:r w:rsidRPr="006C0162" w:rsidDel="006C0162">
              <w:rPr>
                <w:rFonts w:ascii="Times New Roman" w:hAnsi="Times New Roman"/>
                <w:sz w:val="24"/>
                <w:szCs w:val="24"/>
              </w:rPr>
              <w:t xml:space="preserve"> </w:t>
            </w:r>
          </w:p>
          <w:p w14:paraId="1CE7CBA6" w14:textId="4F45FCF9" w:rsidR="00BB12A3"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Portfeļgarantiju finanšu instrumentā ir noteikta kredītiestādes aizdevumu portfeļa maksimālā zaudējumu summa, kuru sedz portfeļgarantija (</w:t>
            </w:r>
            <w:r w:rsidR="000F52A9" w:rsidRPr="000F52A9">
              <w:rPr>
                <w:rFonts w:ascii="Times New Roman" w:hAnsi="Times New Roman"/>
                <w:sz w:val="24"/>
                <w:szCs w:val="24"/>
              </w:rPr>
              <w:t>Latvijas un Šveices sadarbības programmas individuālā projekta "Mikrokreditēšanas programma"</w:t>
            </w:r>
            <w:r w:rsidRPr="000B4902">
              <w:rPr>
                <w:rFonts w:ascii="Times New Roman" w:hAnsi="Times New Roman"/>
                <w:sz w:val="24"/>
                <w:szCs w:val="24"/>
              </w:rPr>
              <w:t xml:space="preserve"> finansējums) – ierobežotā garantijas summa (</w:t>
            </w:r>
            <w:r w:rsidRPr="000B4902">
              <w:rPr>
                <w:rFonts w:ascii="Times New Roman" w:hAnsi="Times New Roman"/>
                <w:i/>
                <w:iCs/>
                <w:sz w:val="24"/>
                <w:szCs w:val="24"/>
              </w:rPr>
              <w:t>guarantee cap amount</w:t>
            </w:r>
            <w:r w:rsidRPr="000B4902">
              <w:rPr>
                <w:rFonts w:ascii="Times New Roman" w:hAnsi="Times New Roman"/>
                <w:sz w:val="24"/>
                <w:szCs w:val="24"/>
              </w:rPr>
              <w:t xml:space="preserve">). Garantiju portfeļa daļu, kuru sedz portfeļgarantija, izsaka procentos kā ierobežoto garantijas likmi (guarantee cap rate).  Attiecīgi ierobežoto garantijas summu aprēķina kā kredītiestādes aizdevumu portfeļa (maksimāli izmaksātās summas), garantijas likmes un ierobežotās garantijas likmes reizinājumu. </w:t>
            </w:r>
          </w:p>
          <w:p w14:paraId="4B06C295" w14:textId="77777777" w:rsidR="002A4DB3" w:rsidRPr="000B4902" w:rsidRDefault="002A4DB3" w:rsidP="00BB12A3">
            <w:pPr>
              <w:spacing w:after="0" w:line="240" w:lineRule="auto"/>
              <w:ind w:firstLine="364"/>
              <w:jc w:val="both"/>
              <w:rPr>
                <w:rFonts w:ascii="Times New Roman" w:hAnsi="Times New Roman"/>
                <w:sz w:val="24"/>
                <w:szCs w:val="24"/>
              </w:rPr>
            </w:pPr>
          </w:p>
          <w:p w14:paraId="6927D0FC" w14:textId="77777777" w:rsidR="00BB12A3" w:rsidRPr="000B4902" w:rsidRDefault="00BB12A3" w:rsidP="00BB12A3">
            <w:pPr>
              <w:spacing w:after="0" w:line="240" w:lineRule="auto"/>
              <w:jc w:val="both"/>
              <w:rPr>
                <w:rFonts w:ascii="Times New Roman" w:hAnsi="Times New Roman"/>
                <w:b/>
                <w:bCs/>
                <w:sz w:val="24"/>
                <w:szCs w:val="24"/>
                <w:u w:val="single"/>
              </w:rPr>
            </w:pPr>
            <w:r w:rsidRPr="000B4902">
              <w:rPr>
                <w:rFonts w:ascii="Times New Roman" w:hAnsi="Times New Roman"/>
                <w:b/>
                <w:bCs/>
                <w:sz w:val="24"/>
                <w:szCs w:val="24"/>
                <w:u w:val="single"/>
              </w:rPr>
              <w:t>Ierobežotā garantijas likme</w:t>
            </w:r>
          </w:p>
          <w:p w14:paraId="378932A2" w14:textId="7F62FAF1"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Ierobežotā garantijas likme jeb maksimālais procentuālais zaudējumu slieksnis, noteikts līdz </w:t>
            </w:r>
            <w:r w:rsidR="0022458C">
              <w:rPr>
                <w:rFonts w:ascii="Times New Roman" w:hAnsi="Times New Roman"/>
                <w:sz w:val="24"/>
                <w:szCs w:val="24"/>
              </w:rPr>
              <w:t>2</w:t>
            </w:r>
            <w:r w:rsidRPr="000B4902">
              <w:rPr>
                <w:rFonts w:ascii="Times New Roman" w:hAnsi="Times New Roman"/>
                <w:sz w:val="24"/>
                <w:szCs w:val="24"/>
              </w:rPr>
              <w:t xml:space="preserve">0% no </w:t>
            </w:r>
            <w:r w:rsidR="00617AF2">
              <w:rPr>
                <w:rFonts w:ascii="Times New Roman" w:hAnsi="Times New Roman"/>
                <w:sz w:val="24"/>
                <w:szCs w:val="24"/>
              </w:rPr>
              <w:t>aizdevuma</w:t>
            </w:r>
            <w:r w:rsidRPr="000B4902">
              <w:rPr>
                <w:rFonts w:ascii="Times New Roman" w:hAnsi="Times New Roman"/>
                <w:sz w:val="24"/>
                <w:szCs w:val="24"/>
              </w:rPr>
              <w:t xml:space="preserve"> portfeļa. Ja zaudējumi pārsniedz ierobežotās garantijas likmi, tad šie ir kredītiestāžu zaudējumi. Likme noteikta, veicot kredītiestāžu aptauju, izvērtējot līdzšinējās programmas iespējamos zaudējumus. Katrai  kredītiestādei piemērojamo likmi Altum noteiks, izvērtējot kredītiestādes pieteikumā norādīto pamatojumu un informāciju par kredītiestādes plānotā aizdevumu portfeļa risku novērtējumam, ņemot vērā vēsturiskos zaudējumus pielīdzināmiem portfeļiem un plānoto neatmaksāto zaudējumu atgūšanas likmi (</w:t>
            </w:r>
            <w:r w:rsidRPr="000B4902">
              <w:rPr>
                <w:rFonts w:ascii="Times New Roman" w:hAnsi="Times New Roman"/>
                <w:i/>
                <w:iCs/>
                <w:sz w:val="24"/>
                <w:szCs w:val="24"/>
              </w:rPr>
              <w:t>recovery rate</w:t>
            </w:r>
            <w:r w:rsidRPr="000B4902">
              <w:rPr>
                <w:rFonts w:ascii="Times New Roman" w:hAnsi="Times New Roman"/>
                <w:sz w:val="24"/>
                <w:szCs w:val="24"/>
              </w:rPr>
              <w:t xml:space="preserve">), kuru nosaka, pieņemot, ka atgūtās summas netiek atgrieztas Altum, bet jau sākotnēji līgumā tiek koriģēta garantijas/ierobežotā garantijas likme. Šādi iespējams nodrošināt, ka ierobežotā garantijas likme ir atbilstoša kredītiestādes faktiskajai/plānotajai kredītu politikai un publiskais finansējums tiek ieguldīts efektīvāk, proti, ja kredītiestādes izvēlas konservatīvāku kreditēšanas politiku, arī mazāka būs ierobežotās garantijas likme. </w:t>
            </w:r>
          </w:p>
          <w:p w14:paraId="25683796" w14:textId="77777777" w:rsidR="00BB12A3" w:rsidRPr="000B4902" w:rsidRDefault="00BB12A3" w:rsidP="00BB12A3">
            <w:pPr>
              <w:spacing w:after="0" w:line="240" w:lineRule="auto"/>
              <w:ind w:firstLine="364"/>
              <w:jc w:val="both"/>
              <w:rPr>
                <w:rFonts w:ascii="Times New Roman" w:hAnsi="Times New Roman"/>
                <w:sz w:val="24"/>
                <w:szCs w:val="24"/>
              </w:rPr>
            </w:pPr>
          </w:p>
          <w:p w14:paraId="2A293AF4" w14:textId="77777777" w:rsidR="00BB12A3" w:rsidRPr="000B4902" w:rsidRDefault="00BB12A3" w:rsidP="00BB12A3">
            <w:pPr>
              <w:spacing w:after="0" w:line="240" w:lineRule="auto"/>
              <w:jc w:val="both"/>
              <w:rPr>
                <w:rFonts w:ascii="Times New Roman" w:hAnsi="Times New Roman"/>
                <w:b/>
                <w:bCs/>
                <w:sz w:val="24"/>
                <w:szCs w:val="24"/>
                <w:u w:val="single"/>
              </w:rPr>
            </w:pPr>
            <w:r w:rsidRPr="000B4902">
              <w:rPr>
                <w:rFonts w:ascii="Times New Roman" w:hAnsi="Times New Roman"/>
                <w:b/>
                <w:bCs/>
                <w:sz w:val="24"/>
                <w:szCs w:val="24"/>
                <w:u w:val="single"/>
              </w:rPr>
              <w:t>Kredītiestāžu pieteikšanās</w:t>
            </w:r>
          </w:p>
          <w:p w14:paraId="0AC764BB" w14:textId="77777777"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Altum noteiks programmas īstenošanā iesaistītās kredītiestādes atklātas pieteikšanās ietvaros. Pieteikties programmas īstenošanai būs jebkurai kredītiestāde, kas ir tiesīga sniegt kreditēšanas pakalpojumus Latvijā. </w:t>
            </w:r>
          </w:p>
          <w:p w14:paraId="1E70155B" w14:textId="77777777"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Lai nodrošinātu, ka pieteikšanās ir atklāta, Altum pirms pieteikšanās izsludināšanas par nosacījumiem informēs Finanšu nozaru asociāciju, lai par nosacījumiem laicīgi būtu informēti visi tirgus dalībnieki un pirms pietikšanās izsludināšanas nosacījumi būtu skaidri un saprotami.</w:t>
            </w:r>
          </w:p>
          <w:p w14:paraId="4CEFF91B" w14:textId="77777777"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Pārredzamības nosacījumu Altum izpildīs, informējot Finanšu nozaru asociāciju un pieteikšanās dalībniekus par pieteikšanās nosacījumiem un pamatojumu Altum vērtējumam, lai dalībniekiem būtu skaidrs un saprotams pieteikšanās rezultāts. Savukārt nediskriminācijas nosacījumu Altum nodrošinās ar pieteikšanās nosacījumiem. </w:t>
            </w:r>
          </w:p>
          <w:p w14:paraId="2D3471BA" w14:textId="77777777"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lastRenderedPageBreak/>
              <w:t xml:space="preserve">Pieteikšanās ietvaros plānots atlasīt vismaz 2 kredītiestādes (vai arī vairāk, ja būs pieteikušās). Līgumā ar kredītiestādēm Altum noteiks minimālo izsniedzamo aizdevumu kopsummu, kuru kredītiestādei būs jāsasniedz noteiktā termiņā. </w:t>
            </w:r>
          </w:p>
          <w:p w14:paraId="4FFBBC25" w14:textId="77777777"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Altum un kredītiestādes varēs vienoties par pieejamā finansējuma pārdali starp kredītiestādēm līguma īstenošanas laikā, ja kāda kredītiestāde izsniedz aizdevumus lielākā apjomā, bet citas mazākā. Šī nosacījuma mērķis ir izvairīties no situācijas, kad kredītiestādei ir pieejams finansējums, taču tā neizmanto programmas finansējumu un neveido jaunu aizdevumu portfeli. Altum un kredītiestāžu līgumā tiks noteikts, ka Altum un kredītiestādes var vienoties par aizdevuma portfeļa izveides termiņa pagarināšanu uz ilgāku termiņu vai vienoties par jaunu portfeļu veidošanu, ja mainās programmas ieviešanas nosacījumi. Šāda prakse ir arī citos portfeļgarantiju līgumos. </w:t>
            </w:r>
          </w:p>
          <w:p w14:paraId="076DAD8A" w14:textId="77777777"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Pieejamā finansējuma ietvaros Altum var rīkot vairākas pieteikšanās, piemēram, ja piesakās mazāk kredītiestādes kā pieejams finansējums vai kredītiestādes veido aizdevumu portfeļus mazākos apjomos kā pieejams finansējums vai laika gaitā citas kredītiestādes izrāda vēlmi sadarboties.</w:t>
            </w:r>
          </w:p>
          <w:p w14:paraId="15A72F4C" w14:textId="77777777" w:rsidR="00BB12A3"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Līgumā ar kredītiestādēm tiks arī noteikts kredītiestāžu pienākums aizdevumu portfeli veidot atbilstoši līdzšinējai kredītpolitikai, visas finansiālās priekšrocības nodot kredītu ņēmējiem, nodrošināt iespēju Altum veikt pārbaudes, kā arī kredītiestādes pienākumu sniegt atskaites par programmas īstenošanu.</w:t>
            </w:r>
          </w:p>
          <w:p w14:paraId="49CE37DF" w14:textId="77777777" w:rsidR="00BB12A3" w:rsidRPr="000B4902" w:rsidRDefault="00BB12A3" w:rsidP="00BB12A3">
            <w:pPr>
              <w:spacing w:after="0" w:line="240" w:lineRule="auto"/>
              <w:ind w:firstLine="364"/>
              <w:jc w:val="both"/>
              <w:rPr>
                <w:rFonts w:ascii="Times New Roman" w:hAnsi="Times New Roman"/>
                <w:sz w:val="24"/>
                <w:szCs w:val="24"/>
              </w:rPr>
            </w:pPr>
          </w:p>
          <w:p w14:paraId="074247DF" w14:textId="4CB8E5FB" w:rsidR="00BB12A3" w:rsidRPr="002A4DB3" w:rsidRDefault="00624933" w:rsidP="00BB12A3">
            <w:pPr>
              <w:spacing w:after="0" w:line="240" w:lineRule="auto"/>
              <w:jc w:val="both"/>
              <w:rPr>
                <w:rFonts w:ascii="Times New Roman" w:hAnsi="Times New Roman"/>
                <w:b/>
                <w:bCs/>
                <w:sz w:val="24"/>
                <w:szCs w:val="24"/>
                <w:u w:val="single"/>
              </w:rPr>
            </w:pPr>
            <w:r w:rsidRPr="002A4DB3">
              <w:rPr>
                <w:rFonts w:ascii="Times New Roman" w:hAnsi="Times New Roman"/>
                <w:b/>
                <w:bCs/>
                <w:sz w:val="24"/>
                <w:szCs w:val="24"/>
                <w:u w:val="single"/>
              </w:rPr>
              <w:t xml:space="preserve">Zaudējuma seguma </w:t>
            </w:r>
            <w:r w:rsidR="00BB12A3" w:rsidRPr="002A4DB3">
              <w:rPr>
                <w:rFonts w:ascii="Times New Roman" w:hAnsi="Times New Roman"/>
                <w:b/>
                <w:bCs/>
                <w:sz w:val="24"/>
                <w:szCs w:val="24"/>
                <w:u w:val="single"/>
              </w:rPr>
              <w:t>izmaksas kārtība</w:t>
            </w:r>
          </w:p>
          <w:p w14:paraId="14CBF208" w14:textId="7EE0E6F6" w:rsidR="00BB12A3" w:rsidRPr="000B4902" w:rsidRDefault="00624933" w:rsidP="00BB12A3">
            <w:pPr>
              <w:spacing w:after="0" w:line="240" w:lineRule="auto"/>
              <w:ind w:firstLine="364"/>
              <w:jc w:val="both"/>
              <w:rPr>
                <w:rFonts w:ascii="Times New Roman" w:hAnsi="Times New Roman"/>
                <w:sz w:val="24"/>
                <w:szCs w:val="24"/>
              </w:rPr>
            </w:pPr>
            <w:r w:rsidRPr="002A4DB3">
              <w:rPr>
                <w:rFonts w:ascii="Times New Roman" w:hAnsi="Times New Roman"/>
                <w:sz w:val="24"/>
                <w:szCs w:val="24"/>
              </w:rPr>
              <w:t xml:space="preserve">Zaudējuma seguma </w:t>
            </w:r>
            <w:r w:rsidR="00BB12A3" w:rsidRPr="002A4DB3">
              <w:rPr>
                <w:rFonts w:ascii="Times New Roman" w:hAnsi="Times New Roman"/>
                <w:sz w:val="24"/>
                <w:szCs w:val="24"/>
              </w:rPr>
              <w:t>izmaksas kārtību</w:t>
            </w:r>
            <w:r w:rsidR="00BB12A3" w:rsidRPr="000B4902">
              <w:rPr>
                <w:rFonts w:ascii="Times New Roman" w:hAnsi="Times New Roman"/>
                <w:sz w:val="24"/>
                <w:szCs w:val="24"/>
              </w:rPr>
              <w:t xml:space="preserve"> nosaka saskaņā ar civiltiesiskajiem līgumiem, kas noslēgti starp Altum un kredītiestādi. Altum garantijas </w:t>
            </w:r>
            <w:r>
              <w:rPr>
                <w:rFonts w:ascii="Times New Roman" w:hAnsi="Times New Roman"/>
                <w:sz w:val="24"/>
                <w:szCs w:val="24"/>
              </w:rPr>
              <w:t>zaudējuma segumu</w:t>
            </w:r>
            <w:r w:rsidRPr="000B4902">
              <w:rPr>
                <w:rFonts w:ascii="Times New Roman" w:hAnsi="Times New Roman"/>
                <w:sz w:val="24"/>
                <w:szCs w:val="24"/>
              </w:rPr>
              <w:t xml:space="preserve"> </w:t>
            </w:r>
            <w:r w:rsidR="00BB12A3" w:rsidRPr="000B4902">
              <w:rPr>
                <w:rFonts w:ascii="Times New Roman" w:hAnsi="Times New Roman"/>
                <w:sz w:val="24"/>
                <w:szCs w:val="24"/>
              </w:rPr>
              <w:t xml:space="preserve">izmaksās kredītiestādei brīdī, kad kredītiestāde konstatē gadījumu - 90 dienas kavēti maksājumi. </w:t>
            </w:r>
            <w:r w:rsidR="00904C92">
              <w:rPr>
                <w:rFonts w:ascii="Times New Roman" w:hAnsi="Times New Roman"/>
                <w:sz w:val="24"/>
                <w:szCs w:val="24"/>
              </w:rPr>
              <w:t xml:space="preserve">Minētais gadījums- </w:t>
            </w:r>
            <w:r w:rsidR="00904C92" w:rsidRPr="00904C92">
              <w:rPr>
                <w:rFonts w:ascii="Times New Roman" w:hAnsi="Times New Roman"/>
                <w:sz w:val="24"/>
                <w:szCs w:val="24"/>
              </w:rPr>
              <w:t>90 dienas kavēti maksājumi</w:t>
            </w:r>
            <w:r w:rsidR="00904C92">
              <w:rPr>
                <w:rFonts w:ascii="Times New Roman" w:hAnsi="Times New Roman"/>
                <w:sz w:val="24"/>
                <w:szCs w:val="24"/>
              </w:rPr>
              <w:t>, paredzēti saskaņā</w:t>
            </w:r>
            <w:r w:rsidR="00904C92">
              <w:t xml:space="preserve"> </w:t>
            </w:r>
            <w:r w:rsidR="00904C92" w:rsidRPr="00904C92">
              <w:rPr>
                <w:rFonts w:ascii="Times New Roman" w:hAnsi="Times New Roman"/>
                <w:sz w:val="24"/>
                <w:szCs w:val="24"/>
              </w:rPr>
              <w:t>ar civiltiesiskajiem līgumiem, kas noslēgti starp Altum un kredītiestādi</w:t>
            </w:r>
            <w:r w:rsidR="00904C92">
              <w:rPr>
                <w:rFonts w:ascii="Times New Roman" w:hAnsi="Times New Roman"/>
                <w:sz w:val="24"/>
                <w:szCs w:val="24"/>
              </w:rPr>
              <w:t>.</w:t>
            </w:r>
            <w:bookmarkStart w:id="4" w:name="_GoBack"/>
            <w:bookmarkEnd w:id="4"/>
            <w:r w:rsidR="00904C92">
              <w:rPr>
                <w:rFonts w:ascii="Times New Roman" w:hAnsi="Times New Roman"/>
                <w:sz w:val="24"/>
                <w:szCs w:val="24"/>
              </w:rPr>
              <w:t xml:space="preserve">  </w:t>
            </w:r>
            <w:r w:rsidR="00BB12A3" w:rsidRPr="000B4902">
              <w:rPr>
                <w:rFonts w:ascii="Times New Roman" w:hAnsi="Times New Roman"/>
                <w:sz w:val="24"/>
                <w:szCs w:val="24"/>
              </w:rPr>
              <w:t xml:space="preserve">Šādos gadījumos kredītiestāde varēs iesniegt Altum garantijas pieteikumu, Altum izvērtēs, vai darījums atbilst šī normatīvā regulējuma un līguma nosacījumiem un par atbilstošiem darījumiem, ievērojot ierobežoto garantijas summas limitu, izmaksās </w:t>
            </w:r>
            <w:r>
              <w:rPr>
                <w:rFonts w:ascii="Times New Roman" w:hAnsi="Times New Roman"/>
                <w:sz w:val="24"/>
                <w:szCs w:val="24"/>
              </w:rPr>
              <w:t>zaudējuma segumu</w:t>
            </w:r>
            <w:r w:rsidR="00BB12A3" w:rsidRPr="000B4902">
              <w:rPr>
                <w:rFonts w:ascii="Times New Roman" w:hAnsi="Times New Roman"/>
                <w:sz w:val="24"/>
                <w:szCs w:val="24"/>
              </w:rPr>
              <w:t xml:space="preserve">. Pēc garantijas izmaksas kredītiestāde veiks piedziņu atbilstoši kredītiestādes praksei līdzīgos darījumos (prasību cedēšana vai piedziņa vai cita kredītiestādes standarta prakse darbam ar parādniekiem) un noslēgtajam līgumam ar kredīta ņēmēju. </w:t>
            </w:r>
          </w:p>
          <w:p w14:paraId="6F10E356" w14:textId="77777777" w:rsidR="00BB12A3" w:rsidRPr="000B4902" w:rsidRDefault="00BB12A3" w:rsidP="00BB12A3">
            <w:pPr>
              <w:spacing w:after="0" w:line="240" w:lineRule="auto"/>
              <w:ind w:firstLine="364"/>
              <w:jc w:val="both"/>
              <w:rPr>
                <w:rFonts w:ascii="Times New Roman" w:hAnsi="Times New Roman"/>
                <w:sz w:val="24"/>
                <w:szCs w:val="24"/>
              </w:rPr>
            </w:pPr>
            <w:r w:rsidRPr="000B4902">
              <w:rPr>
                <w:rFonts w:ascii="Times New Roman" w:hAnsi="Times New Roman"/>
                <w:sz w:val="24"/>
                <w:szCs w:val="24"/>
              </w:rPr>
              <w:t>Kredītiestāžu pieteikšanās procesā Altum izvērtēs katras kredītiestādes vēsturiski atgūtās summas no neatmaksātajiem kredītiem, atbilstoši kurai noteiks arī plānoto no neatmaksātajiem kredītiem atgūto summu (</w:t>
            </w:r>
            <w:r w:rsidRPr="000B4902">
              <w:rPr>
                <w:rFonts w:ascii="Times New Roman" w:hAnsi="Times New Roman"/>
                <w:i/>
                <w:iCs/>
                <w:sz w:val="24"/>
                <w:szCs w:val="24"/>
              </w:rPr>
              <w:t>ex-ante recovery rate</w:t>
            </w:r>
            <w:r w:rsidRPr="000B4902">
              <w:rPr>
                <w:rFonts w:ascii="Times New Roman" w:hAnsi="Times New Roman"/>
                <w:sz w:val="24"/>
                <w:szCs w:val="24"/>
              </w:rPr>
              <w:t xml:space="preserve">). Atbilstoši šim rādītājam Altum un kredītiestādes līgumā tiks koriģēta garantijas likme/ierobežotā garantijas likme, tādēļ nebūs nepieciešama Altum un kredītiestāžu sadarbība piedziņas jautājumos t.i., turpmāka programmas finansējuma korekcija netiks veikta, pamatojoties uz kredītiestāžu faktisko atgūšanu no neatmaksātajiem kredītiem. Šāda </w:t>
            </w:r>
            <w:r w:rsidRPr="000B4902">
              <w:rPr>
                <w:rFonts w:ascii="Times New Roman" w:hAnsi="Times New Roman"/>
                <w:sz w:val="24"/>
                <w:szCs w:val="24"/>
              </w:rPr>
              <w:lastRenderedPageBreak/>
              <w:t xml:space="preserve">prakse ir arī citos portfeļgarantiju līgumos, kuros ir liels skaits darījumu, piemēram, Eiropas Investīciju fonda Eiropas Savienības Nodarbinātības un sociālās inovācijas programmas jeb EIF EaSI garantijas, un ļauj efektīvāk kredītiestādēm veikt piedziņu, bet Altum izvairīties no administratīvajām darbībām, kuru rezultātā procesa izmaksas pārsniedz ieguvumus. Vienlaicīgi jānorāda, ka ierobežotā garantijas likme motivē kredītiestādes vērsties pret kredītu nemaksātājiem, taču piedāvātais modelis to ļauj nodrošināt izmaksu ziņā efektīvākā veidā. </w:t>
            </w:r>
          </w:p>
          <w:p w14:paraId="44AAAFD1" w14:textId="56C517F2" w:rsidR="00D454FB" w:rsidRDefault="00D454FB" w:rsidP="00D454FB">
            <w:pPr>
              <w:spacing w:after="0" w:line="240" w:lineRule="auto"/>
              <w:jc w:val="both"/>
              <w:rPr>
                <w:rFonts w:ascii="Times New Roman" w:eastAsia="Times New Roman" w:hAnsi="Times New Roman"/>
                <w:iCs/>
                <w:sz w:val="24"/>
                <w:szCs w:val="24"/>
                <w:lang w:eastAsia="lv-LV"/>
              </w:rPr>
            </w:pPr>
          </w:p>
          <w:p w14:paraId="62349586" w14:textId="77777777" w:rsidR="00856948" w:rsidRDefault="00856948" w:rsidP="00D454FB">
            <w:pPr>
              <w:spacing w:after="0" w:line="240" w:lineRule="auto"/>
              <w:jc w:val="both"/>
              <w:rPr>
                <w:rFonts w:ascii="Times New Roman" w:eastAsia="Times New Roman" w:hAnsi="Times New Roman"/>
                <w:iCs/>
                <w:sz w:val="24"/>
                <w:szCs w:val="24"/>
                <w:lang w:eastAsia="lv-LV"/>
              </w:rPr>
            </w:pPr>
          </w:p>
          <w:p w14:paraId="19343A61" w14:textId="6113ADD4" w:rsidR="004D6525" w:rsidRPr="009C539E" w:rsidRDefault="004D6525" w:rsidP="009C539E">
            <w:pPr>
              <w:pStyle w:val="ListParagraph"/>
              <w:numPr>
                <w:ilvl w:val="0"/>
                <w:numId w:val="27"/>
              </w:numPr>
              <w:spacing w:after="0" w:line="240" w:lineRule="auto"/>
              <w:ind w:left="42" w:firstLine="0"/>
              <w:jc w:val="both"/>
              <w:rPr>
                <w:rFonts w:ascii="Times New Roman" w:eastAsia="Times New Roman" w:hAnsi="Times New Roman"/>
                <w:b/>
                <w:bCs/>
                <w:i/>
                <w:sz w:val="24"/>
                <w:szCs w:val="24"/>
                <w:u w:val="single"/>
                <w:lang w:eastAsia="lv-LV"/>
              </w:rPr>
            </w:pPr>
            <w:r w:rsidRPr="009C539E">
              <w:rPr>
                <w:rFonts w:ascii="Times New Roman" w:eastAsia="Times New Roman" w:hAnsi="Times New Roman"/>
                <w:b/>
                <w:bCs/>
                <w:i/>
                <w:sz w:val="24"/>
                <w:szCs w:val="24"/>
                <w:u w:val="single"/>
                <w:lang w:eastAsia="lv-LV"/>
              </w:rPr>
              <w:t xml:space="preserve">Priekšnosacījumi tehniskās palīdzības un </w:t>
            </w:r>
            <w:r w:rsidR="00F2401B" w:rsidRPr="009C539E">
              <w:rPr>
                <w:rFonts w:ascii="Times New Roman" w:eastAsia="Times New Roman" w:hAnsi="Times New Roman"/>
                <w:b/>
                <w:bCs/>
                <w:i/>
                <w:sz w:val="24"/>
                <w:szCs w:val="24"/>
                <w:u w:val="single"/>
                <w:lang w:eastAsia="lv-LV"/>
              </w:rPr>
              <w:t>granta</w:t>
            </w:r>
            <w:r w:rsidRPr="009C539E">
              <w:rPr>
                <w:rFonts w:ascii="Times New Roman" w:eastAsia="Times New Roman" w:hAnsi="Times New Roman"/>
                <w:b/>
                <w:bCs/>
                <w:i/>
                <w:sz w:val="24"/>
                <w:szCs w:val="24"/>
                <w:u w:val="single"/>
                <w:lang w:eastAsia="lv-LV"/>
              </w:rPr>
              <w:t xml:space="preserve"> </w:t>
            </w:r>
            <w:r w:rsidRPr="009C539E">
              <w:rPr>
                <w:rFonts w:ascii="Times New Roman" w:hAnsi="Times New Roman"/>
                <w:b/>
                <w:bCs/>
                <w:i/>
                <w:iCs/>
                <w:sz w:val="24"/>
                <w:szCs w:val="24"/>
                <w:u w:val="single"/>
              </w:rPr>
              <w:t>dzīvojamās mājas energoefektivitātes klases paaugstināšanai saņemšanai (vienojošie nosacījumi)</w:t>
            </w:r>
          </w:p>
          <w:p w14:paraId="55E12B3E" w14:textId="77777777" w:rsidR="003623BB" w:rsidRPr="003623BB" w:rsidRDefault="003623BB" w:rsidP="004D6525">
            <w:pPr>
              <w:spacing w:after="0" w:line="240" w:lineRule="auto"/>
              <w:jc w:val="both"/>
              <w:rPr>
                <w:rFonts w:ascii="Times New Roman" w:eastAsia="Times New Roman" w:hAnsi="Times New Roman"/>
                <w:iCs/>
                <w:sz w:val="24"/>
                <w:szCs w:val="24"/>
                <w:lang w:eastAsia="lv-LV"/>
              </w:rPr>
            </w:pPr>
          </w:p>
          <w:p w14:paraId="73F5DE5D" w14:textId="3F57A004" w:rsidR="00101FFE" w:rsidRDefault="00B559B0" w:rsidP="004D6525">
            <w:pPr>
              <w:spacing w:after="0" w:line="240" w:lineRule="auto"/>
              <w:jc w:val="both"/>
              <w:rPr>
                <w:rFonts w:ascii="Times New Roman" w:eastAsia="Times New Roman" w:hAnsi="Times New Roman"/>
                <w:iCs/>
                <w:sz w:val="24"/>
                <w:szCs w:val="24"/>
                <w:lang w:eastAsia="lv-LV"/>
              </w:rPr>
            </w:pPr>
            <w:r w:rsidRPr="00B559B0">
              <w:rPr>
                <w:rFonts w:ascii="Times New Roman" w:eastAsia="Times New Roman" w:hAnsi="Times New Roman"/>
                <w:iCs/>
                <w:sz w:val="24"/>
                <w:szCs w:val="24"/>
                <w:lang w:eastAsia="lv-LV"/>
              </w:rPr>
              <w:t>Projektā cita starpā ir paredzēti atbalsta sniegšanas nosacījumi, kas izriet no Attīstības finanšu institūcijas likuma 12. panta ceturtajā daļā noteiktā pilnvarojuma noteikt atbalsta programmas īstenošanas kārtību. Likumdevējs ir pilnvarojis Ministru kabinetu noteikt ne tikai kārtību, bet šajā gadījumā arī materiāla rakstura normas, jo likuma anotācijas IV sadaļas 1. punktā minēts likumdevēja mērķis paredzēt likuma 12. panta ceturtajā daļā ne tikai programmu īstenošanas kārtību, bet arī īstenošanas nosacījumus : “Likumprojekts “Attīstības finanšu institūcijas likums” paredz uz likumprojekta pamata izdotu Ministru kabineta noteikumu izdošanu:  Likumprojekta 12.panta ceturtā daļa paredz Ministru kabineta noteikumu izdošanu, kas nosaka programmu īstenošanas nosacījumus</w:t>
            </w:r>
            <w:r w:rsidR="00101FFE">
              <w:rPr>
                <w:rFonts w:ascii="Times New Roman" w:eastAsia="Times New Roman" w:hAnsi="Times New Roman"/>
                <w:iCs/>
                <w:sz w:val="24"/>
                <w:szCs w:val="24"/>
                <w:lang w:eastAsia="lv-LV"/>
              </w:rPr>
              <w:t xml:space="preserve">. </w:t>
            </w:r>
            <w:r w:rsidR="00101FFE">
              <w:rPr>
                <w:rStyle w:val="FootnoteReference"/>
                <w:rFonts w:ascii="Times New Roman" w:eastAsia="Times New Roman" w:hAnsi="Times New Roman"/>
                <w:iCs/>
                <w:sz w:val="24"/>
                <w:szCs w:val="24"/>
                <w:lang w:eastAsia="lv-LV"/>
              </w:rPr>
              <w:footnoteReference w:id="4"/>
            </w:r>
          </w:p>
          <w:p w14:paraId="1CC5DFCB" w14:textId="77D6DACF" w:rsidR="004D6525" w:rsidRDefault="00E2719B" w:rsidP="004D652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Projektā </w:t>
            </w:r>
            <w:r w:rsidR="00F2401B">
              <w:rPr>
                <w:rFonts w:ascii="Times New Roman" w:eastAsia="Times New Roman" w:hAnsi="Times New Roman"/>
                <w:iCs/>
                <w:sz w:val="24"/>
                <w:szCs w:val="24"/>
                <w:lang w:eastAsia="lv-LV"/>
              </w:rPr>
              <w:t xml:space="preserve">ir </w:t>
            </w:r>
            <w:r w:rsidR="004D6525">
              <w:rPr>
                <w:rFonts w:ascii="Times New Roman" w:eastAsia="Times New Roman" w:hAnsi="Times New Roman"/>
                <w:iCs/>
                <w:sz w:val="24"/>
                <w:szCs w:val="24"/>
                <w:lang w:eastAsia="lv-LV"/>
              </w:rPr>
              <w:t>noteikt</w:t>
            </w:r>
            <w:r w:rsidR="00F2401B">
              <w:rPr>
                <w:rFonts w:ascii="Times New Roman" w:eastAsia="Times New Roman" w:hAnsi="Times New Roman"/>
                <w:iCs/>
                <w:sz w:val="24"/>
                <w:szCs w:val="24"/>
                <w:lang w:eastAsia="lv-LV"/>
              </w:rPr>
              <w:t>i</w:t>
            </w:r>
            <w:r w:rsidR="004D6525">
              <w:rPr>
                <w:rFonts w:ascii="Times New Roman" w:eastAsia="Times New Roman" w:hAnsi="Times New Roman"/>
                <w:iCs/>
                <w:sz w:val="24"/>
                <w:szCs w:val="24"/>
                <w:lang w:eastAsia="lv-LV"/>
              </w:rPr>
              <w:t xml:space="preserve"> priekšnosacījum</w:t>
            </w:r>
            <w:r w:rsidR="00F2401B">
              <w:rPr>
                <w:rFonts w:ascii="Times New Roman" w:eastAsia="Times New Roman" w:hAnsi="Times New Roman"/>
                <w:iCs/>
                <w:sz w:val="24"/>
                <w:szCs w:val="24"/>
                <w:lang w:eastAsia="lv-LV"/>
              </w:rPr>
              <w:t>i</w:t>
            </w:r>
            <w:r w:rsidR="004D6525">
              <w:rPr>
                <w:rFonts w:ascii="Times New Roman" w:eastAsia="Times New Roman" w:hAnsi="Times New Roman"/>
                <w:iCs/>
                <w:sz w:val="24"/>
                <w:szCs w:val="24"/>
                <w:lang w:eastAsia="lv-LV"/>
              </w:rPr>
              <w:t xml:space="preserve"> tehniskās palīdzības saņemšanai un atbalsta saņemšanai dzīvojamās mājas energoefektivitātes klases paaugstināšanai. Priekšnosacījumi izvirzīti, lai atvieglotu un padarītu pieejamāku energoefektivitāti uzlabojošu pasākumu veikšanu savos īpašumos daudzbērnu ģimenēm un nekustamo īpašumu īpašniekiem attālākos Latvijas reģionos.</w:t>
            </w:r>
            <w:r w:rsidR="00D36C29">
              <w:rPr>
                <w:rFonts w:ascii="Times New Roman" w:eastAsia="Times New Roman" w:hAnsi="Times New Roman"/>
                <w:iCs/>
                <w:sz w:val="24"/>
                <w:szCs w:val="24"/>
                <w:lang w:eastAsia="lv-LV"/>
              </w:rPr>
              <w:t xml:space="preserve"> Daudzbērnu ģimenes izvēlētas pamatojoties ar to, ka tām</w:t>
            </w:r>
            <w:r w:rsidR="00D36C29" w:rsidRPr="00D36C29">
              <w:rPr>
                <w:rFonts w:ascii="Times New Roman" w:eastAsia="Times New Roman" w:hAnsi="Times New Roman"/>
                <w:iCs/>
                <w:sz w:val="24"/>
                <w:szCs w:val="24"/>
                <w:lang w:eastAsia="lv-LV"/>
              </w:rPr>
              <w:t xml:space="preserve"> ir nepieciešama lielāka dzīvojamā platība, jo ģimenē ir vairāk locekļu, taču vidēji ieņēmumi uz vienu ģimenes locekli ir mazāki lielāka apgādājamo skaita dēļ. Līdz ar to ar vienādiem ienākumiem, daudzbērnu ģimene var atļauties mazāku aizdevumu un attiecīgi </w:t>
            </w:r>
            <w:r w:rsidR="00C1052C">
              <w:rPr>
                <w:rFonts w:ascii="Times New Roman" w:eastAsia="Times New Roman" w:hAnsi="Times New Roman"/>
                <w:iCs/>
                <w:sz w:val="24"/>
                <w:szCs w:val="24"/>
                <w:lang w:eastAsia="lv-LV"/>
              </w:rPr>
              <w:t>veikt mazākas investīcijas energoefektivitāti veicinošo pasākumu veikšanā savos īpašumos</w:t>
            </w:r>
            <w:r w:rsidR="00D36C29" w:rsidRPr="00D36C29">
              <w:rPr>
                <w:rFonts w:ascii="Times New Roman" w:eastAsia="Times New Roman" w:hAnsi="Times New Roman"/>
                <w:iCs/>
                <w:sz w:val="24"/>
                <w:szCs w:val="24"/>
                <w:lang w:eastAsia="lv-LV"/>
              </w:rPr>
              <w:t xml:space="preserve"> nekā ģimene ar vienu bērnu, jo daudzbērnu ģimene var atļauties mazākus ikmēneša maksājumus par kredītu. </w:t>
            </w:r>
          </w:p>
          <w:p w14:paraId="6E46C4A8" w14:textId="5E32D89E" w:rsidR="00617AF2" w:rsidRDefault="004D6525" w:rsidP="004D652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Atbalst</w:t>
            </w:r>
            <w:r w:rsidR="00F2401B">
              <w:rPr>
                <w:rFonts w:ascii="Times New Roman" w:eastAsia="Times New Roman" w:hAnsi="Times New Roman"/>
                <w:iCs/>
                <w:sz w:val="24"/>
                <w:szCs w:val="24"/>
                <w:lang w:eastAsia="lv-LV"/>
              </w:rPr>
              <w:t>s</w:t>
            </w:r>
            <w:r>
              <w:rPr>
                <w:rFonts w:ascii="Times New Roman" w:eastAsia="Times New Roman" w:hAnsi="Times New Roman"/>
                <w:iCs/>
                <w:sz w:val="24"/>
                <w:szCs w:val="24"/>
                <w:lang w:eastAsia="lv-LV"/>
              </w:rPr>
              <w:t xml:space="preserve"> </w:t>
            </w:r>
            <w:r w:rsidR="00F2401B">
              <w:rPr>
                <w:rFonts w:ascii="Times New Roman" w:eastAsia="Times New Roman" w:hAnsi="Times New Roman"/>
                <w:iCs/>
                <w:sz w:val="24"/>
                <w:szCs w:val="24"/>
                <w:lang w:eastAsia="lv-LV"/>
              </w:rPr>
              <w:t>tiks</w:t>
            </w:r>
            <w:r>
              <w:rPr>
                <w:rFonts w:ascii="Times New Roman" w:eastAsia="Times New Roman" w:hAnsi="Times New Roman"/>
                <w:iCs/>
                <w:sz w:val="24"/>
                <w:szCs w:val="24"/>
                <w:lang w:eastAsia="lv-LV"/>
              </w:rPr>
              <w:t xml:space="preserve"> piešķirt</w:t>
            </w:r>
            <w:r w:rsidR="00F2401B">
              <w:rPr>
                <w:rFonts w:ascii="Times New Roman" w:eastAsia="Times New Roman" w:hAnsi="Times New Roman"/>
                <w:iCs/>
                <w:sz w:val="24"/>
                <w:szCs w:val="24"/>
                <w:lang w:eastAsia="lv-LV"/>
              </w:rPr>
              <w:t>s</w:t>
            </w:r>
            <w:r w:rsidR="00617AF2">
              <w:rPr>
                <w:rFonts w:ascii="Times New Roman" w:eastAsia="Times New Roman" w:hAnsi="Times New Roman"/>
                <w:iCs/>
                <w:sz w:val="24"/>
                <w:szCs w:val="24"/>
                <w:lang w:eastAsia="lv-LV"/>
              </w:rPr>
              <w:t>:</w:t>
            </w:r>
          </w:p>
          <w:p w14:paraId="3EDAB0D7" w14:textId="02B998B2" w:rsidR="00617AF2" w:rsidRPr="00856948" w:rsidRDefault="004D6525" w:rsidP="00617AF2">
            <w:pPr>
              <w:pStyle w:val="ListParagraph"/>
              <w:numPr>
                <w:ilvl w:val="0"/>
                <w:numId w:val="26"/>
              </w:numPr>
              <w:spacing w:after="0" w:line="240" w:lineRule="auto"/>
              <w:jc w:val="both"/>
              <w:rPr>
                <w:rFonts w:ascii="Times New Roman" w:eastAsia="Times New Roman" w:hAnsi="Times New Roman"/>
                <w:iCs/>
                <w:sz w:val="24"/>
                <w:szCs w:val="24"/>
                <w:lang w:eastAsia="lv-LV"/>
              </w:rPr>
            </w:pPr>
            <w:r w:rsidRPr="00856948">
              <w:rPr>
                <w:rFonts w:ascii="Times New Roman" w:eastAsia="Times New Roman" w:hAnsi="Times New Roman"/>
                <w:iCs/>
                <w:sz w:val="24"/>
                <w:szCs w:val="24"/>
                <w:lang w:eastAsia="lv-LV"/>
              </w:rPr>
              <w:t>personām, ar kurām kopā dzīvo un kuru apgādībā ir</w:t>
            </w:r>
            <w:r w:rsidR="00401913" w:rsidRPr="00856948">
              <w:rPr>
                <w:rFonts w:ascii="Times New Roman" w:eastAsia="Times New Roman" w:hAnsi="Times New Roman"/>
                <w:iCs/>
                <w:sz w:val="24"/>
                <w:szCs w:val="24"/>
                <w:lang w:eastAsia="lv-LV"/>
              </w:rPr>
              <w:t xml:space="preserve"> vismaz</w:t>
            </w:r>
            <w:r w:rsidRPr="00856948">
              <w:rPr>
                <w:rFonts w:ascii="Times New Roman" w:eastAsia="Times New Roman" w:hAnsi="Times New Roman"/>
                <w:iCs/>
                <w:sz w:val="24"/>
                <w:szCs w:val="24"/>
                <w:lang w:eastAsia="lv-LV"/>
              </w:rPr>
              <w:t xml:space="preserve"> trīs bērni, vai personām, ar kurām kopā dzīvo un kuru apgādībā ir divi bērni un kurām ir iestājusies grūtniecība, vai gaidāmo bērna tēviem</w:t>
            </w:r>
            <w:r w:rsidR="00617AF2" w:rsidRPr="00856948">
              <w:rPr>
                <w:rFonts w:ascii="Times New Roman" w:eastAsia="Times New Roman" w:hAnsi="Times New Roman"/>
                <w:iCs/>
                <w:sz w:val="24"/>
                <w:szCs w:val="24"/>
                <w:lang w:eastAsia="lv-LV"/>
              </w:rPr>
              <w:t>;</w:t>
            </w:r>
          </w:p>
          <w:p w14:paraId="721E8AEC" w14:textId="0D57EF30" w:rsidR="004D6525" w:rsidRDefault="004D6525" w:rsidP="00617AF2">
            <w:pPr>
              <w:pStyle w:val="ListParagraph"/>
              <w:numPr>
                <w:ilvl w:val="0"/>
                <w:numId w:val="26"/>
              </w:numPr>
              <w:spacing w:after="0" w:line="240" w:lineRule="auto"/>
              <w:jc w:val="both"/>
              <w:rPr>
                <w:rFonts w:ascii="Times New Roman" w:hAnsi="Times New Roman"/>
                <w:i/>
                <w:iCs/>
                <w:sz w:val="24"/>
                <w:szCs w:val="24"/>
              </w:rPr>
            </w:pPr>
            <w:r w:rsidRPr="00617AF2">
              <w:rPr>
                <w:rFonts w:ascii="Times New Roman" w:hAnsi="Times New Roman"/>
                <w:sz w:val="24"/>
                <w:szCs w:val="24"/>
              </w:rPr>
              <w:t>dzīvojamā</w:t>
            </w:r>
            <w:r w:rsidR="00617AF2">
              <w:rPr>
                <w:rFonts w:ascii="Times New Roman" w:hAnsi="Times New Roman"/>
                <w:sz w:val="24"/>
                <w:szCs w:val="24"/>
              </w:rPr>
              <w:t>m</w:t>
            </w:r>
            <w:r w:rsidRPr="00617AF2">
              <w:rPr>
                <w:rFonts w:ascii="Times New Roman" w:hAnsi="Times New Roman"/>
                <w:sz w:val="24"/>
                <w:szCs w:val="24"/>
              </w:rPr>
              <w:t xml:space="preserve"> māj</w:t>
            </w:r>
            <w:r w:rsidR="00617AF2">
              <w:rPr>
                <w:rFonts w:ascii="Times New Roman" w:hAnsi="Times New Roman"/>
                <w:sz w:val="24"/>
                <w:szCs w:val="24"/>
              </w:rPr>
              <w:t>ām</w:t>
            </w:r>
            <w:r w:rsidRPr="00617AF2">
              <w:rPr>
                <w:rFonts w:ascii="Times New Roman" w:hAnsi="Times New Roman"/>
                <w:sz w:val="24"/>
                <w:szCs w:val="24"/>
              </w:rPr>
              <w:t>, ku</w:t>
            </w:r>
            <w:r w:rsidR="00617AF2">
              <w:rPr>
                <w:rFonts w:ascii="Times New Roman" w:hAnsi="Times New Roman"/>
                <w:sz w:val="24"/>
                <w:szCs w:val="24"/>
              </w:rPr>
              <w:t>ras</w:t>
            </w:r>
            <w:r w:rsidRPr="00617AF2">
              <w:rPr>
                <w:rFonts w:ascii="Times New Roman" w:hAnsi="Times New Roman"/>
                <w:sz w:val="24"/>
                <w:szCs w:val="24"/>
              </w:rPr>
              <w:t xml:space="preserve"> atrodas ārpus </w:t>
            </w:r>
            <w:r w:rsidR="00E2719B" w:rsidRPr="00617AF2">
              <w:rPr>
                <w:rFonts w:ascii="Times New Roman" w:hAnsi="Times New Roman"/>
                <w:sz w:val="24"/>
                <w:szCs w:val="24"/>
              </w:rPr>
              <w:t xml:space="preserve">Rīgas, Jūrmalas un Rīgai piegulošajiem novadiem (Babītes novads, Mārupes </w:t>
            </w:r>
            <w:r w:rsidR="00E2719B" w:rsidRPr="00617AF2">
              <w:rPr>
                <w:rFonts w:ascii="Times New Roman" w:hAnsi="Times New Roman"/>
                <w:sz w:val="24"/>
                <w:szCs w:val="24"/>
              </w:rPr>
              <w:lastRenderedPageBreak/>
              <w:t>novads, Olaines novads, Ķekavas novads, Salaspils novads, Stopiņu novads, Garkalnes novads, Carnikavas novads)</w:t>
            </w:r>
            <w:r w:rsidR="00F2401B" w:rsidRPr="00F2401B">
              <w:rPr>
                <w:rFonts w:ascii="Times New Roman" w:hAnsi="Times New Roman"/>
                <w:sz w:val="24"/>
                <w:szCs w:val="24"/>
              </w:rPr>
              <w:t>;</w:t>
            </w:r>
          </w:p>
          <w:p w14:paraId="05368662" w14:textId="7020DB64" w:rsidR="00F2401B" w:rsidRDefault="00F2401B" w:rsidP="00617AF2">
            <w:pPr>
              <w:pStyle w:val="ListParagraph"/>
              <w:numPr>
                <w:ilvl w:val="0"/>
                <w:numId w:val="26"/>
              </w:numPr>
              <w:spacing w:after="0" w:line="240" w:lineRule="auto"/>
              <w:jc w:val="both"/>
              <w:rPr>
                <w:rFonts w:ascii="Times New Roman" w:hAnsi="Times New Roman"/>
                <w:i/>
                <w:iCs/>
                <w:sz w:val="24"/>
                <w:szCs w:val="24"/>
              </w:rPr>
            </w:pPr>
            <w:r>
              <w:rPr>
                <w:rFonts w:ascii="Times New Roman" w:eastAsia="Times New Roman" w:hAnsi="Times New Roman"/>
                <w:iCs/>
                <w:sz w:val="24"/>
                <w:szCs w:val="24"/>
                <w:lang w:eastAsia="lv-LV"/>
              </w:rPr>
              <w:t>ja dzīvojamās mājas atjaunošanai būs piešķirts kredītiestādes aizdevums</w:t>
            </w:r>
            <w:r w:rsidRPr="005728B5">
              <w:rPr>
                <w:rFonts w:ascii="Times New Roman" w:hAnsi="Times New Roman"/>
                <w:sz w:val="24"/>
                <w:szCs w:val="24"/>
              </w:rPr>
              <w:t>;</w:t>
            </w:r>
          </w:p>
          <w:p w14:paraId="378D70EF" w14:textId="066A443F" w:rsidR="00F2401B" w:rsidRPr="00617AF2" w:rsidRDefault="00F2401B" w:rsidP="00617AF2">
            <w:pPr>
              <w:pStyle w:val="ListParagraph"/>
              <w:numPr>
                <w:ilvl w:val="0"/>
                <w:numId w:val="26"/>
              </w:numPr>
              <w:spacing w:after="0" w:line="240" w:lineRule="auto"/>
              <w:jc w:val="both"/>
              <w:rPr>
                <w:rFonts w:ascii="Times New Roman" w:hAnsi="Times New Roman"/>
                <w:i/>
                <w:iCs/>
                <w:sz w:val="24"/>
                <w:szCs w:val="24"/>
              </w:rPr>
            </w:pPr>
            <w:r>
              <w:rPr>
                <w:rFonts w:ascii="Times New Roman" w:eastAsia="Times New Roman" w:hAnsi="Times New Roman"/>
                <w:iCs/>
                <w:sz w:val="24"/>
                <w:szCs w:val="24"/>
                <w:lang w:eastAsia="lv-LV"/>
              </w:rPr>
              <w:t xml:space="preserve">ja </w:t>
            </w:r>
            <w:r>
              <w:t xml:space="preserve"> </w:t>
            </w:r>
            <w:r w:rsidRPr="00F2401B">
              <w:rPr>
                <w:rFonts w:ascii="Times New Roman" w:eastAsia="Times New Roman" w:hAnsi="Times New Roman"/>
                <w:iCs/>
                <w:sz w:val="24"/>
                <w:szCs w:val="24"/>
                <w:lang w:eastAsia="lv-LV"/>
              </w:rPr>
              <w:t xml:space="preserve">pēc energoefektivitāti uzlabojošo pasākumu veikšanas dzīvojamās </w:t>
            </w:r>
            <w:r w:rsidR="004C20F1">
              <w:rPr>
                <w:rFonts w:ascii="Times New Roman" w:eastAsia="Times New Roman" w:hAnsi="Times New Roman"/>
                <w:iCs/>
                <w:sz w:val="24"/>
                <w:szCs w:val="24"/>
                <w:lang w:eastAsia="lv-LV"/>
              </w:rPr>
              <w:t>mājās</w:t>
            </w:r>
            <w:r w:rsidR="004C20F1" w:rsidRPr="00F2401B">
              <w:rPr>
                <w:rFonts w:ascii="Times New Roman" w:eastAsia="Times New Roman" w:hAnsi="Times New Roman"/>
                <w:iCs/>
                <w:sz w:val="24"/>
                <w:szCs w:val="24"/>
                <w:lang w:eastAsia="lv-LV"/>
              </w:rPr>
              <w:t xml:space="preserve"> </w:t>
            </w:r>
            <w:r w:rsidRPr="00F2401B">
              <w:rPr>
                <w:rFonts w:ascii="Times New Roman" w:eastAsia="Times New Roman" w:hAnsi="Times New Roman"/>
                <w:iCs/>
                <w:sz w:val="24"/>
                <w:szCs w:val="24"/>
                <w:lang w:eastAsia="lv-LV"/>
              </w:rPr>
              <w:t>energoefektivitātes klase nav zemāka par C, kā arī tiek samazināts dzīvojamās mājas siltumenerģijas patēriņš apkurei vismaz 20 % apmērā.</w:t>
            </w:r>
          </w:p>
          <w:p w14:paraId="2706BA7A" w14:textId="5064C90A" w:rsidR="008D462E" w:rsidRDefault="008D462E" w:rsidP="005728B5">
            <w:pPr>
              <w:ind w:firstLine="467"/>
              <w:jc w:val="both"/>
              <w:rPr>
                <w:rFonts w:ascii="Times New Roman" w:hAnsi="Times New Roman"/>
                <w:sz w:val="24"/>
                <w:szCs w:val="24"/>
              </w:rPr>
            </w:pPr>
            <w:r>
              <w:rPr>
                <w:rFonts w:ascii="Times New Roman" w:hAnsi="Times New Roman"/>
                <w:sz w:val="24"/>
                <w:szCs w:val="24"/>
              </w:rPr>
              <w:t xml:space="preserve">Lai saņemtu tehnisko atbalstu un grantu, atbalsta saņēmējs iesniedz </w:t>
            </w:r>
            <w:r w:rsidR="001B5BF0">
              <w:rPr>
                <w:rFonts w:ascii="Times New Roman" w:hAnsi="Times New Roman"/>
                <w:sz w:val="24"/>
                <w:szCs w:val="24"/>
              </w:rPr>
              <w:t>noteikumos noteiktos</w:t>
            </w:r>
            <w:r w:rsidR="00CC2C61">
              <w:rPr>
                <w:rFonts w:ascii="Times New Roman" w:hAnsi="Times New Roman"/>
                <w:sz w:val="24"/>
                <w:szCs w:val="24"/>
              </w:rPr>
              <w:t xml:space="preserve"> dokumentus</w:t>
            </w:r>
            <w:r>
              <w:rPr>
                <w:rFonts w:ascii="Times New Roman" w:hAnsi="Times New Roman"/>
                <w:sz w:val="24"/>
                <w:szCs w:val="24"/>
              </w:rPr>
              <w:t>, kuru pārbaudi veic Altum.</w:t>
            </w:r>
          </w:p>
          <w:p w14:paraId="766198EA" w14:textId="5D768630" w:rsidR="004D6525" w:rsidRPr="008D462E" w:rsidRDefault="005728B5" w:rsidP="005728B5">
            <w:pPr>
              <w:ind w:firstLine="467"/>
              <w:jc w:val="both"/>
              <w:rPr>
                <w:rFonts w:ascii="Times New Roman" w:eastAsia="Times New Roman" w:hAnsi="Times New Roman"/>
                <w:iCs/>
                <w:sz w:val="24"/>
                <w:szCs w:val="24"/>
                <w:lang w:eastAsia="lv-LV"/>
              </w:rPr>
            </w:pPr>
            <w:r w:rsidRPr="008D462E">
              <w:rPr>
                <w:rFonts w:ascii="Times New Roman" w:eastAsia="Times New Roman" w:hAnsi="Times New Roman"/>
                <w:iCs/>
                <w:sz w:val="24"/>
                <w:szCs w:val="24"/>
                <w:lang w:eastAsia="lv-LV"/>
              </w:rPr>
              <w:t>Tehnisko atbalstu un grantu</w:t>
            </w:r>
            <w:r w:rsidR="00F2401B" w:rsidRPr="008D462E">
              <w:rPr>
                <w:rFonts w:ascii="Times New Roman" w:eastAsia="Times New Roman" w:hAnsi="Times New Roman"/>
                <w:iCs/>
                <w:sz w:val="24"/>
                <w:szCs w:val="24"/>
                <w:lang w:eastAsia="lv-LV"/>
              </w:rPr>
              <w:t xml:space="preserve"> Altum izmaksās pēc energoefektivitātes paaugstināšanas pasākumu īstenošanas un </w:t>
            </w:r>
            <w:r w:rsidRPr="008D462E">
              <w:rPr>
                <w:rFonts w:ascii="Times New Roman" w:eastAsia="Times New Roman" w:hAnsi="Times New Roman"/>
                <w:iCs/>
                <w:sz w:val="24"/>
                <w:szCs w:val="24"/>
                <w:lang w:eastAsia="lv-LV"/>
              </w:rPr>
              <w:t xml:space="preserve">pārliecinoties par sasniegtajiem rezultātiem </w:t>
            </w:r>
            <w:r w:rsidR="00F2401B" w:rsidRPr="008D462E">
              <w:rPr>
                <w:rFonts w:ascii="Times New Roman" w:eastAsia="Times New Roman" w:hAnsi="Times New Roman"/>
                <w:iCs/>
                <w:sz w:val="24"/>
                <w:szCs w:val="24"/>
                <w:lang w:eastAsia="lv-LV"/>
              </w:rPr>
              <w:t>ēkas pagaidu energosertifikāt</w:t>
            </w:r>
            <w:r w:rsidRPr="008D462E">
              <w:rPr>
                <w:rFonts w:ascii="Times New Roman" w:eastAsia="Times New Roman" w:hAnsi="Times New Roman"/>
                <w:iCs/>
                <w:sz w:val="24"/>
                <w:szCs w:val="24"/>
                <w:lang w:eastAsia="lv-LV"/>
              </w:rPr>
              <w:t>ā.</w:t>
            </w:r>
          </w:p>
          <w:p w14:paraId="0C5318A8" w14:textId="612F0B06" w:rsidR="00D454FB" w:rsidRDefault="00D454FB" w:rsidP="00F2401B">
            <w:pPr>
              <w:spacing w:after="0" w:line="240" w:lineRule="auto"/>
              <w:rPr>
                <w:rFonts w:ascii="Times New Roman" w:eastAsia="Times New Roman" w:hAnsi="Times New Roman"/>
                <w:b/>
                <w:bCs/>
                <w:i/>
                <w:sz w:val="24"/>
                <w:szCs w:val="24"/>
                <w:u w:val="single"/>
                <w:lang w:eastAsia="lv-LV"/>
              </w:rPr>
            </w:pPr>
            <w:r w:rsidRPr="0022458C">
              <w:rPr>
                <w:rFonts w:ascii="Times New Roman" w:eastAsia="Times New Roman" w:hAnsi="Times New Roman"/>
                <w:b/>
                <w:bCs/>
                <w:iCs/>
                <w:sz w:val="24"/>
                <w:szCs w:val="24"/>
                <w:u w:val="single"/>
                <w:lang w:eastAsia="lv-LV"/>
              </w:rPr>
              <w:t>Atbalsts tehnisk</w:t>
            </w:r>
            <w:r w:rsidR="009E7CA9" w:rsidRPr="0022458C">
              <w:rPr>
                <w:rFonts w:ascii="Times New Roman" w:eastAsia="Times New Roman" w:hAnsi="Times New Roman"/>
                <w:b/>
                <w:bCs/>
                <w:iCs/>
                <w:sz w:val="24"/>
                <w:szCs w:val="24"/>
                <w:u w:val="single"/>
                <w:lang w:eastAsia="lv-LV"/>
              </w:rPr>
              <w:t>ās</w:t>
            </w:r>
            <w:r w:rsidRPr="0022458C">
              <w:rPr>
                <w:rFonts w:ascii="Times New Roman" w:eastAsia="Times New Roman" w:hAnsi="Times New Roman"/>
                <w:b/>
                <w:bCs/>
                <w:iCs/>
                <w:sz w:val="24"/>
                <w:szCs w:val="24"/>
                <w:u w:val="single"/>
                <w:lang w:eastAsia="lv-LV"/>
              </w:rPr>
              <w:t xml:space="preserve"> palīdzība</w:t>
            </w:r>
            <w:r w:rsidR="009E7CA9" w:rsidRPr="0022458C">
              <w:rPr>
                <w:rFonts w:ascii="Times New Roman" w:eastAsia="Times New Roman" w:hAnsi="Times New Roman"/>
                <w:b/>
                <w:bCs/>
                <w:iCs/>
                <w:sz w:val="24"/>
                <w:szCs w:val="24"/>
                <w:u w:val="single"/>
                <w:lang w:eastAsia="lv-LV"/>
              </w:rPr>
              <w:t>s saņemšanai</w:t>
            </w:r>
          </w:p>
          <w:p w14:paraId="688319C1" w14:textId="7A0731C7" w:rsidR="00CF099F" w:rsidRDefault="00EE3055" w:rsidP="005728B5">
            <w:pPr>
              <w:spacing w:after="0" w:line="240" w:lineRule="auto"/>
              <w:ind w:firstLine="325"/>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Ar tehnisko palīdzība </w:t>
            </w:r>
            <w:r w:rsidR="00F2401B">
              <w:rPr>
                <w:rFonts w:ascii="Times New Roman" w:eastAsia="Times New Roman" w:hAnsi="Times New Roman"/>
                <w:iCs/>
                <w:sz w:val="24"/>
                <w:szCs w:val="24"/>
                <w:lang w:eastAsia="lv-LV"/>
              </w:rPr>
              <w:t>p</w:t>
            </w:r>
            <w:r>
              <w:rPr>
                <w:rFonts w:ascii="Times New Roman" w:eastAsia="Times New Roman" w:hAnsi="Times New Roman"/>
                <w:iCs/>
                <w:sz w:val="24"/>
                <w:szCs w:val="24"/>
                <w:lang w:eastAsia="lv-LV"/>
              </w:rPr>
              <w:t xml:space="preserve">rojektā saprotams </w:t>
            </w:r>
            <w:r w:rsidRPr="00EE3055">
              <w:rPr>
                <w:rFonts w:ascii="Times New Roman" w:eastAsia="Times New Roman" w:hAnsi="Times New Roman"/>
                <w:iCs/>
                <w:sz w:val="24"/>
                <w:szCs w:val="24"/>
                <w:lang w:eastAsia="lv-LV"/>
              </w:rPr>
              <w:t>pakalpojumu kopums, kura ietvaros tiek izstrādāts dzīvojamās mājas energoefektivitātes novērtējums, kā arī cita dzīvojamās mājas atjaunošanai nepieciešamā dokumentācija un nodrošināta energoefektivitātes uzlabošanas pasākumu īstenošanas konsultācijas</w:t>
            </w:r>
            <w:r w:rsidR="00154B9F">
              <w:rPr>
                <w:rFonts w:ascii="Times New Roman" w:eastAsia="Times New Roman" w:hAnsi="Times New Roman"/>
                <w:iCs/>
                <w:sz w:val="24"/>
                <w:szCs w:val="24"/>
                <w:lang w:eastAsia="lv-LV"/>
              </w:rPr>
              <w:t xml:space="preserve"> un</w:t>
            </w:r>
            <w:r w:rsidRPr="00EE3055">
              <w:rPr>
                <w:rFonts w:ascii="Times New Roman" w:eastAsia="Times New Roman" w:hAnsi="Times New Roman"/>
                <w:iCs/>
                <w:sz w:val="24"/>
                <w:szCs w:val="24"/>
                <w:lang w:eastAsia="lv-LV"/>
              </w:rPr>
              <w:t xml:space="preserve"> uzraudzība</w:t>
            </w:r>
            <w:r>
              <w:rPr>
                <w:rFonts w:ascii="Times New Roman" w:eastAsia="Times New Roman" w:hAnsi="Times New Roman"/>
                <w:iCs/>
                <w:sz w:val="24"/>
                <w:szCs w:val="24"/>
                <w:lang w:eastAsia="lv-LV"/>
              </w:rPr>
              <w:t>.</w:t>
            </w:r>
          </w:p>
          <w:p w14:paraId="4E6C1A13" w14:textId="5405C2E0" w:rsidR="00CF099F" w:rsidRDefault="00CF099F" w:rsidP="00BF5A5E">
            <w:pPr>
              <w:spacing w:after="0" w:line="240" w:lineRule="auto"/>
              <w:ind w:firstLine="325"/>
              <w:jc w:val="both"/>
              <w:rPr>
                <w:rFonts w:ascii="Times New Roman" w:hAnsi="Times New Roman"/>
                <w:sz w:val="24"/>
                <w:szCs w:val="24"/>
              </w:rPr>
            </w:pPr>
            <w:r w:rsidRPr="00B07F10">
              <w:rPr>
                <w:rFonts w:ascii="Times New Roman" w:hAnsi="Times New Roman"/>
                <w:sz w:val="24"/>
                <w:szCs w:val="24"/>
              </w:rPr>
              <w:t xml:space="preserve">Tehniskās palīdzības maksimālais apjoms vienam atbalsta saņēmējam </w:t>
            </w:r>
            <w:r w:rsidR="00F2401B">
              <w:rPr>
                <w:rFonts w:ascii="Times New Roman" w:hAnsi="Times New Roman"/>
                <w:sz w:val="24"/>
                <w:szCs w:val="24"/>
              </w:rPr>
              <w:t>par vienu īpašumu ir noteikts</w:t>
            </w:r>
            <w:r w:rsidRPr="00B07F10">
              <w:rPr>
                <w:rFonts w:ascii="Times New Roman" w:hAnsi="Times New Roman"/>
                <w:sz w:val="24"/>
                <w:szCs w:val="24"/>
              </w:rPr>
              <w:t xml:space="preserve"> 1000 </w:t>
            </w:r>
            <w:r w:rsidR="00F2401B" w:rsidRPr="00F2401B">
              <w:rPr>
                <w:rFonts w:ascii="Times New Roman" w:hAnsi="Times New Roman"/>
                <w:i/>
                <w:iCs/>
                <w:sz w:val="24"/>
                <w:szCs w:val="24"/>
              </w:rPr>
              <w:t>euro</w:t>
            </w:r>
            <w:r w:rsidR="00F2401B">
              <w:rPr>
                <w:rFonts w:ascii="Times New Roman" w:hAnsi="Times New Roman"/>
                <w:sz w:val="24"/>
                <w:szCs w:val="24"/>
              </w:rPr>
              <w:t xml:space="preserve"> apmērā</w:t>
            </w:r>
            <w:r w:rsidRPr="00B07F10">
              <w:rPr>
                <w:rFonts w:ascii="Times New Roman" w:hAnsi="Times New Roman"/>
                <w:sz w:val="24"/>
                <w:szCs w:val="24"/>
              </w:rPr>
              <w:t>.</w:t>
            </w:r>
            <w:r>
              <w:rPr>
                <w:rFonts w:ascii="Times New Roman" w:hAnsi="Times New Roman"/>
                <w:sz w:val="24"/>
                <w:szCs w:val="24"/>
              </w:rPr>
              <w:t xml:space="preserve"> </w:t>
            </w:r>
          </w:p>
          <w:p w14:paraId="5BC618E7" w14:textId="12D8CC67" w:rsidR="005728B5" w:rsidRDefault="00CF099F" w:rsidP="00BF5A5E">
            <w:pPr>
              <w:spacing w:after="0" w:line="240" w:lineRule="auto"/>
              <w:ind w:firstLine="325"/>
              <w:jc w:val="both"/>
            </w:pPr>
            <w:r w:rsidRPr="00B07F10">
              <w:rPr>
                <w:rFonts w:ascii="Times New Roman" w:hAnsi="Times New Roman"/>
                <w:sz w:val="24"/>
                <w:szCs w:val="24"/>
              </w:rPr>
              <w:t xml:space="preserve">Tehnisko </w:t>
            </w:r>
            <w:r w:rsidRPr="00964B7F">
              <w:rPr>
                <w:rFonts w:ascii="Times New Roman" w:hAnsi="Times New Roman"/>
                <w:sz w:val="24"/>
                <w:szCs w:val="24"/>
              </w:rPr>
              <w:t>palīdzību nodrošinās Altum atlasīti pakalpojumu sniedzēji</w:t>
            </w:r>
            <w:r w:rsidR="00E2719B">
              <w:rPr>
                <w:rFonts w:ascii="Times New Roman" w:hAnsi="Times New Roman"/>
                <w:sz w:val="24"/>
                <w:szCs w:val="24"/>
              </w:rPr>
              <w:t xml:space="preserve"> - energokonsultanti</w:t>
            </w:r>
            <w:r w:rsidRPr="00964B7F">
              <w:rPr>
                <w:rFonts w:ascii="Times New Roman" w:hAnsi="Times New Roman"/>
                <w:sz w:val="24"/>
                <w:szCs w:val="24"/>
              </w:rPr>
              <w:t>.</w:t>
            </w:r>
            <w:r w:rsidR="008B025F" w:rsidRPr="00964B7F">
              <w:rPr>
                <w:rFonts w:ascii="Times New Roman" w:hAnsi="Times New Roman"/>
                <w:sz w:val="24"/>
                <w:szCs w:val="24"/>
              </w:rPr>
              <w:t xml:space="preserve"> Tehniskās palīdzības nodrošināšana</w:t>
            </w:r>
            <w:r w:rsidR="002C1EC2" w:rsidRPr="00964B7F">
              <w:rPr>
                <w:rFonts w:ascii="Times New Roman" w:hAnsi="Times New Roman"/>
                <w:sz w:val="24"/>
                <w:szCs w:val="24"/>
              </w:rPr>
              <w:t>i Altum atlasīs vairākus pakalpojumu sniedzējus Latvijā</w:t>
            </w:r>
            <w:r w:rsidR="00C17F7C" w:rsidRPr="00964B7F">
              <w:rPr>
                <w:rFonts w:ascii="Times New Roman" w:hAnsi="Times New Roman"/>
                <w:sz w:val="24"/>
                <w:szCs w:val="24"/>
              </w:rPr>
              <w:t>.</w:t>
            </w:r>
            <w:r w:rsidR="00CB68D6" w:rsidRPr="00964B7F">
              <w:rPr>
                <w:rFonts w:ascii="Times New Roman" w:hAnsi="Times New Roman"/>
                <w:sz w:val="24"/>
                <w:szCs w:val="24"/>
              </w:rPr>
              <w:t xml:space="preserve"> Altum slēgs pakalpojumu līgumu, kura ietvaros pakalpojuma sniedzējs nodrošinās tehnisko palīdzību atbalsta saņēmējam.</w:t>
            </w:r>
          </w:p>
          <w:p w14:paraId="02EB350A" w14:textId="0532FC1F" w:rsidR="00CF099F" w:rsidRPr="00964B7F" w:rsidRDefault="00CB68D6" w:rsidP="00BF5A5E">
            <w:pPr>
              <w:spacing w:after="0" w:line="240" w:lineRule="auto"/>
              <w:ind w:firstLine="325"/>
              <w:jc w:val="both"/>
              <w:rPr>
                <w:rFonts w:ascii="Times New Roman" w:hAnsi="Times New Roman"/>
                <w:sz w:val="24"/>
                <w:szCs w:val="24"/>
              </w:rPr>
            </w:pPr>
            <w:r w:rsidRPr="00964B7F">
              <w:rPr>
                <w:rFonts w:ascii="Times New Roman" w:hAnsi="Times New Roman"/>
                <w:sz w:val="24"/>
                <w:szCs w:val="24"/>
              </w:rPr>
              <w:t>Tehniskās palīdzības izmaksas</w:t>
            </w:r>
            <w:r w:rsidR="008E1910">
              <w:rPr>
                <w:rFonts w:ascii="Times New Roman" w:hAnsi="Times New Roman"/>
                <w:sz w:val="24"/>
                <w:szCs w:val="24"/>
              </w:rPr>
              <w:t xml:space="preserve"> sākotnēji</w:t>
            </w:r>
            <w:r w:rsidRPr="00964B7F">
              <w:rPr>
                <w:rFonts w:ascii="Times New Roman" w:hAnsi="Times New Roman"/>
                <w:sz w:val="24"/>
                <w:szCs w:val="24"/>
              </w:rPr>
              <w:t xml:space="preserve"> nodrošin</w:t>
            </w:r>
            <w:r w:rsidR="005728B5">
              <w:rPr>
                <w:rFonts w:ascii="Times New Roman" w:hAnsi="Times New Roman"/>
                <w:sz w:val="24"/>
                <w:szCs w:val="24"/>
              </w:rPr>
              <w:t>ās</w:t>
            </w:r>
            <w:r w:rsidRPr="00964B7F">
              <w:rPr>
                <w:rFonts w:ascii="Times New Roman" w:hAnsi="Times New Roman"/>
                <w:sz w:val="24"/>
                <w:szCs w:val="24"/>
              </w:rPr>
              <w:t xml:space="preserve"> dzīvojamās mājas īpašnieki</w:t>
            </w:r>
            <w:r w:rsidR="008E1910">
              <w:rPr>
                <w:rFonts w:ascii="Times New Roman" w:hAnsi="Times New Roman"/>
                <w:sz w:val="24"/>
                <w:szCs w:val="24"/>
              </w:rPr>
              <w:t xml:space="preserve">. </w:t>
            </w:r>
          </w:p>
          <w:p w14:paraId="6F2AA361" w14:textId="66DE87E8" w:rsidR="008B025F" w:rsidRDefault="008B025F" w:rsidP="00EE3055">
            <w:pPr>
              <w:spacing w:after="0" w:line="240" w:lineRule="auto"/>
              <w:jc w:val="both"/>
              <w:rPr>
                <w:rFonts w:ascii="Times New Roman" w:hAnsi="Times New Roman"/>
                <w:sz w:val="24"/>
                <w:szCs w:val="24"/>
              </w:rPr>
            </w:pPr>
          </w:p>
          <w:p w14:paraId="09A4030B" w14:textId="288DA818" w:rsidR="008B025F" w:rsidRDefault="008B025F" w:rsidP="005728B5">
            <w:pPr>
              <w:spacing w:after="0" w:line="240" w:lineRule="auto"/>
              <w:jc w:val="both"/>
              <w:rPr>
                <w:rFonts w:ascii="Times New Roman" w:hAnsi="Times New Roman"/>
                <w:sz w:val="24"/>
                <w:szCs w:val="24"/>
              </w:rPr>
            </w:pPr>
            <w:r w:rsidRPr="0022458C">
              <w:rPr>
                <w:rFonts w:ascii="Times New Roman" w:hAnsi="Times New Roman"/>
                <w:b/>
                <w:bCs/>
                <w:sz w:val="24"/>
                <w:szCs w:val="24"/>
                <w:u w:val="single"/>
              </w:rPr>
              <w:t>Atbalsts dzīvojamās mājas energoefektivitātes klases paaugstināšanai</w:t>
            </w:r>
          </w:p>
          <w:p w14:paraId="4EDC50A2" w14:textId="4E314430" w:rsidR="00387075" w:rsidRDefault="00387075" w:rsidP="005728B5">
            <w:pPr>
              <w:spacing w:after="0" w:line="240" w:lineRule="auto"/>
              <w:ind w:firstLine="325"/>
              <w:jc w:val="both"/>
              <w:rPr>
                <w:rFonts w:ascii="Times New Roman" w:hAnsi="Times New Roman"/>
                <w:sz w:val="24"/>
                <w:szCs w:val="24"/>
              </w:rPr>
            </w:pPr>
            <w:r w:rsidRPr="00B07F10">
              <w:rPr>
                <w:rFonts w:ascii="Times New Roman" w:hAnsi="Times New Roman"/>
                <w:sz w:val="24"/>
                <w:szCs w:val="24"/>
              </w:rPr>
              <w:t xml:space="preserve">Granta par dzīvojamās mājas energoefektivitātes klases paaugstināšanu apjoms vienam atbalsta saņēmējam </w:t>
            </w:r>
            <w:r w:rsidR="00F26BB4">
              <w:rPr>
                <w:rFonts w:ascii="Times New Roman" w:hAnsi="Times New Roman"/>
                <w:sz w:val="24"/>
                <w:szCs w:val="24"/>
              </w:rPr>
              <w:t>paredzēts</w:t>
            </w:r>
            <w:r w:rsidRPr="00B07F10">
              <w:rPr>
                <w:rFonts w:ascii="Times New Roman" w:hAnsi="Times New Roman"/>
                <w:sz w:val="24"/>
                <w:szCs w:val="24"/>
              </w:rPr>
              <w:t xml:space="preserve"> 5000</w:t>
            </w:r>
            <w:r w:rsidR="00F26BB4">
              <w:rPr>
                <w:rFonts w:ascii="Times New Roman" w:hAnsi="Times New Roman"/>
                <w:sz w:val="24"/>
                <w:szCs w:val="24"/>
              </w:rPr>
              <w:t> </w:t>
            </w:r>
            <w:r w:rsidR="00F26BB4" w:rsidRPr="00F26BB4">
              <w:rPr>
                <w:rFonts w:ascii="Times New Roman" w:hAnsi="Times New Roman"/>
                <w:i/>
                <w:iCs/>
                <w:sz w:val="24"/>
                <w:szCs w:val="24"/>
              </w:rPr>
              <w:t>euro</w:t>
            </w:r>
            <w:r w:rsidRPr="00B07F10">
              <w:rPr>
                <w:rFonts w:ascii="Times New Roman" w:hAnsi="Times New Roman"/>
                <w:sz w:val="24"/>
                <w:szCs w:val="24"/>
              </w:rPr>
              <w:t xml:space="preserve">. </w:t>
            </w:r>
            <w:r>
              <w:rPr>
                <w:rFonts w:ascii="Times New Roman" w:hAnsi="Times New Roman"/>
                <w:sz w:val="24"/>
                <w:szCs w:val="24"/>
              </w:rPr>
              <w:t xml:space="preserve">Grants tiek </w:t>
            </w:r>
            <w:r w:rsidRPr="00964B7F">
              <w:rPr>
                <w:rFonts w:ascii="Times New Roman" w:hAnsi="Times New Roman"/>
                <w:sz w:val="24"/>
                <w:szCs w:val="24"/>
              </w:rPr>
              <w:t>izmaksāts vienu</w:t>
            </w:r>
            <w:r w:rsidR="00AA5B2C" w:rsidRPr="00964B7F">
              <w:rPr>
                <w:rFonts w:ascii="Times New Roman" w:hAnsi="Times New Roman"/>
                <w:sz w:val="24"/>
                <w:szCs w:val="24"/>
              </w:rPr>
              <w:t xml:space="preserve"> vai vairākas reizes</w:t>
            </w:r>
            <w:r w:rsidRPr="00964B7F">
              <w:rPr>
                <w:rFonts w:ascii="Times New Roman" w:hAnsi="Times New Roman"/>
                <w:sz w:val="24"/>
                <w:szCs w:val="24"/>
              </w:rPr>
              <w:t xml:space="preserve"> </w:t>
            </w:r>
            <w:r w:rsidR="00AA5B2C" w:rsidRPr="00964B7F">
              <w:rPr>
                <w:rFonts w:ascii="Times New Roman" w:hAnsi="Times New Roman"/>
                <w:sz w:val="24"/>
                <w:szCs w:val="24"/>
              </w:rPr>
              <w:t>vienam atbalsta saņēmējam</w:t>
            </w:r>
            <w:r w:rsidR="00964B7F" w:rsidRPr="00964B7F">
              <w:rPr>
                <w:rFonts w:ascii="Times New Roman" w:hAnsi="Times New Roman"/>
                <w:sz w:val="24"/>
                <w:szCs w:val="24"/>
              </w:rPr>
              <w:t xml:space="preserve"> par vienu īpašumu</w:t>
            </w:r>
            <w:r w:rsidRPr="00964B7F">
              <w:rPr>
                <w:rFonts w:ascii="Times New Roman" w:hAnsi="Times New Roman"/>
                <w:sz w:val="24"/>
                <w:szCs w:val="24"/>
              </w:rPr>
              <w:t xml:space="preserve">. </w:t>
            </w:r>
          </w:p>
          <w:p w14:paraId="2384444E" w14:textId="243D1CC2" w:rsidR="00F943E7" w:rsidRPr="00F943E7" w:rsidRDefault="00F943E7" w:rsidP="00F943E7">
            <w:pPr>
              <w:spacing w:after="0" w:line="240" w:lineRule="auto"/>
              <w:jc w:val="both"/>
              <w:rPr>
                <w:rFonts w:ascii="Times New Roman" w:eastAsia="Times New Roman" w:hAnsi="Times New Roman"/>
                <w:i/>
                <w:sz w:val="24"/>
                <w:szCs w:val="24"/>
                <w:lang w:eastAsia="lv-LV"/>
              </w:rPr>
            </w:pPr>
          </w:p>
          <w:p w14:paraId="7EB9B349" w14:textId="4D94626B" w:rsidR="00BE56F2" w:rsidRPr="00A7768E" w:rsidRDefault="00BE56F2" w:rsidP="00742AB3">
            <w:pPr>
              <w:pStyle w:val="ListParagraph"/>
              <w:numPr>
                <w:ilvl w:val="0"/>
                <w:numId w:val="27"/>
              </w:numPr>
              <w:spacing w:after="0" w:line="240" w:lineRule="auto"/>
              <w:ind w:left="42" w:firstLine="0"/>
            </w:pPr>
            <w:r w:rsidRPr="00BE56F2">
              <w:rPr>
                <w:rFonts w:ascii="Times New Roman" w:hAnsi="Times New Roman"/>
                <w:b/>
                <w:bCs/>
                <w:i/>
                <w:iCs/>
                <w:sz w:val="24"/>
                <w:szCs w:val="24"/>
                <w:u w:val="single"/>
              </w:rPr>
              <w:t>Valsts atbalsta nosacījumi</w:t>
            </w:r>
          </w:p>
          <w:p w14:paraId="17DC4CE9" w14:textId="5168684E" w:rsidR="00BE56F2" w:rsidRPr="000B4902" w:rsidRDefault="00BE56F2" w:rsidP="00C712C4">
            <w:pPr>
              <w:spacing w:after="0" w:line="240" w:lineRule="auto"/>
              <w:ind w:firstLine="467"/>
              <w:jc w:val="both"/>
              <w:rPr>
                <w:rFonts w:ascii="Times New Roman" w:hAnsi="Times New Roman"/>
                <w:sz w:val="24"/>
                <w:szCs w:val="24"/>
              </w:rPr>
            </w:pPr>
            <w:r w:rsidRPr="000B4902">
              <w:rPr>
                <w:rFonts w:ascii="Times New Roman" w:hAnsi="Times New Roman"/>
                <w:sz w:val="24"/>
                <w:szCs w:val="24"/>
              </w:rPr>
              <w:t>Programma</w:t>
            </w:r>
            <w:r w:rsidR="00562B97">
              <w:rPr>
                <w:rFonts w:ascii="Times New Roman" w:hAnsi="Times New Roman"/>
                <w:sz w:val="24"/>
                <w:szCs w:val="24"/>
              </w:rPr>
              <w:t xml:space="preserve">s ietvaros atbalsta saņēmējiem netiks piešķirts </w:t>
            </w:r>
            <w:r w:rsidR="00D0050A">
              <w:rPr>
                <w:rFonts w:ascii="Times New Roman" w:hAnsi="Times New Roman"/>
                <w:sz w:val="24"/>
                <w:szCs w:val="24"/>
              </w:rPr>
              <w:t>komercdarbības</w:t>
            </w:r>
            <w:r w:rsidR="00562B97">
              <w:rPr>
                <w:rFonts w:ascii="Times New Roman" w:hAnsi="Times New Roman"/>
                <w:sz w:val="24"/>
                <w:szCs w:val="24"/>
              </w:rPr>
              <w:t xml:space="preserve"> atbalsts, jo </w:t>
            </w:r>
            <w:r w:rsidR="00C712C4">
              <w:rPr>
                <w:rFonts w:ascii="Times New Roman" w:hAnsi="Times New Roman"/>
                <w:sz w:val="24"/>
                <w:szCs w:val="24"/>
              </w:rPr>
              <w:t xml:space="preserve">atbalstu nevarēs saņemt, ja dzīvojamā mājā, kura tiek atjaunota, tiek veikta saimnieciskā darbība. Dzīvojamās mājas īpašnieks iesniegs kredītiestādei vai Altum apliecinājumu, ka mājā netiek veikta saimnieciskā darbība. </w:t>
            </w:r>
          </w:p>
          <w:p w14:paraId="50E37340" w14:textId="797F352C" w:rsidR="00BE56F2" w:rsidRPr="00BE56F2" w:rsidRDefault="00BE56F2" w:rsidP="005728B5">
            <w:pPr>
              <w:spacing w:after="0" w:line="240" w:lineRule="auto"/>
              <w:ind w:firstLine="467"/>
              <w:jc w:val="both"/>
              <w:rPr>
                <w:rFonts w:ascii="Times New Roman" w:eastAsia="Times New Roman" w:hAnsi="Times New Roman"/>
                <w:iCs/>
                <w:sz w:val="24"/>
                <w:szCs w:val="24"/>
                <w:lang w:eastAsia="lv-LV"/>
              </w:rPr>
            </w:pPr>
            <w:r w:rsidRPr="00BE56F2">
              <w:rPr>
                <w:rFonts w:ascii="Times New Roman" w:hAnsi="Times New Roman"/>
                <w:sz w:val="24"/>
                <w:szCs w:val="24"/>
              </w:rPr>
              <w:t>Valsts atbalsts nebūs arī kredītiestāžu līmenī, līdzīgi kā citos portfeļgarantiju instrumentos, jo finansiālās priekšrocības tiks nodotas aizdevumu saņēmējiem</w:t>
            </w:r>
          </w:p>
          <w:p w14:paraId="513C214D" w14:textId="77777777" w:rsidR="00F943E7" w:rsidRDefault="00F943E7" w:rsidP="005B2BF1">
            <w:pPr>
              <w:spacing w:after="0" w:line="240" w:lineRule="auto"/>
              <w:jc w:val="both"/>
              <w:rPr>
                <w:rFonts w:ascii="Times New Roman" w:hAnsi="Times New Roman"/>
                <w:b/>
                <w:bCs/>
                <w:sz w:val="24"/>
                <w:szCs w:val="24"/>
              </w:rPr>
            </w:pPr>
          </w:p>
          <w:p w14:paraId="0C972ED1" w14:textId="5F4F99DE" w:rsidR="001760F6" w:rsidRPr="005728B5" w:rsidRDefault="00327BD9" w:rsidP="009C539E">
            <w:pPr>
              <w:pStyle w:val="ListParagraph"/>
              <w:numPr>
                <w:ilvl w:val="0"/>
                <w:numId w:val="27"/>
              </w:numPr>
              <w:spacing w:after="0" w:line="240" w:lineRule="auto"/>
              <w:ind w:left="42" w:firstLine="0"/>
            </w:pPr>
            <w:r w:rsidRPr="00F943E7">
              <w:rPr>
                <w:rFonts w:ascii="Times New Roman" w:hAnsi="Times New Roman"/>
                <w:b/>
                <w:bCs/>
                <w:i/>
                <w:iCs/>
                <w:sz w:val="24"/>
                <w:szCs w:val="24"/>
                <w:u w:val="single"/>
              </w:rPr>
              <w:lastRenderedPageBreak/>
              <w:t>Ekonomikas ministrijas</w:t>
            </w:r>
            <w:r w:rsidR="006A3A88" w:rsidRPr="00F943E7">
              <w:rPr>
                <w:rFonts w:ascii="Times New Roman" w:hAnsi="Times New Roman"/>
                <w:b/>
                <w:bCs/>
                <w:i/>
                <w:iCs/>
                <w:sz w:val="24"/>
                <w:szCs w:val="24"/>
                <w:u w:val="single"/>
              </w:rPr>
              <w:t xml:space="preserve"> </w:t>
            </w:r>
            <w:r w:rsidR="00A86B23" w:rsidRPr="00F943E7">
              <w:rPr>
                <w:rFonts w:ascii="Times New Roman" w:hAnsi="Times New Roman"/>
                <w:b/>
                <w:bCs/>
                <w:i/>
                <w:iCs/>
                <w:sz w:val="24"/>
                <w:szCs w:val="24"/>
                <w:u w:val="single"/>
              </w:rPr>
              <w:t>un</w:t>
            </w:r>
            <w:r w:rsidR="006A3A88" w:rsidRPr="00F943E7">
              <w:rPr>
                <w:rFonts w:ascii="Times New Roman" w:hAnsi="Times New Roman"/>
                <w:b/>
                <w:bCs/>
                <w:i/>
                <w:iCs/>
                <w:sz w:val="24"/>
                <w:szCs w:val="24"/>
                <w:u w:val="single"/>
              </w:rPr>
              <w:t xml:space="preserve"> Altum sadarbība</w:t>
            </w:r>
          </w:p>
          <w:p w14:paraId="5914AE0D" w14:textId="20889E05" w:rsidR="006A3A88" w:rsidRDefault="00F0692E" w:rsidP="00B9361B">
            <w:pPr>
              <w:spacing w:after="0" w:line="240" w:lineRule="auto"/>
              <w:ind w:firstLine="467"/>
              <w:jc w:val="both"/>
              <w:rPr>
                <w:rFonts w:ascii="Times New Roman" w:hAnsi="Times New Roman"/>
                <w:sz w:val="24"/>
                <w:szCs w:val="24"/>
              </w:rPr>
            </w:pPr>
            <w:r w:rsidRPr="00CA056C">
              <w:rPr>
                <w:rFonts w:ascii="Times New Roman" w:hAnsi="Times New Roman"/>
                <w:sz w:val="24"/>
                <w:szCs w:val="24"/>
              </w:rPr>
              <w:t>Ekonomikas ministrija</w:t>
            </w:r>
            <w:r w:rsidR="006A3A88" w:rsidRPr="00CA056C">
              <w:rPr>
                <w:rFonts w:ascii="Times New Roman" w:hAnsi="Times New Roman"/>
                <w:sz w:val="24"/>
                <w:szCs w:val="24"/>
              </w:rPr>
              <w:t xml:space="preserve"> ar Altum</w:t>
            </w:r>
            <w:r w:rsidRPr="00CA056C">
              <w:rPr>
                <w:rFonts w:ascii="Times New Roman" w:hAnsi="Times New Roman"/>
                <w:sz w:val="24"/>
                <w:szCs w:val="24"/>
              </w:rPr>
              <w:t xml:space="preserve"> slēgs</w:t>
            </w:r>
            <w:r w:rsidR="006A3A88" w:rsidRPr="00CA056C">
              <w:rPr>
                <w:rFonts w:ascii="Times New Roman" w:hAnsi="Times New Roman"/>
                <w:sz w:val="24"/>
                <w:szCs w:val="24"/>
              </w:rPr>
              <w:t xml:space="preserve"> </w:t>
            </w:r>
            <w:r w:rsidR="005F7D14" w:rsidRPr="00CA056C">
              <w:rPr>
                <w:rFonts w:ascii="Times New Roman" w:hAnsi="Times New Roman"/>
                <w:sz w:val="24"/>
                <w:szCs w:val="24"/>
              </w:rPr>
              <w:t xml:space="preserve">savstarpēju </w:t>
            </w:r>
            <w:r w:rsidR="006A3A88" w:rsidRPr="00CA056C">
              <w:rPr>
                <w:rFonts w:ascii="Times New Roman" w:hAnsi="Times New Roman"/>
                <w:sz w:val="24"/>
                <w:szCs w:val="24"/>
              </w:rPr>
              <w:t xml:space="preserve">līgumu par </w:t>
            </w:r>
            <w:r w:rsidR="00A86B23" w:rsidRPr="00CA056C">
              <w:rPr>
                <w:rFonts w:ascii="Times New Roman" w:hAnsi="Times New Roman"/>
                <w:sz w:val="24"/>
                <w:szCs w:val="24"/>
              </w:rPr>
              <w:t xml:space="preserve">sadarbību un </w:t>
            </w:r>
            <w:r w:rsidR="00DF045A" w:rsidRPr="00CA056C">
              <w:rPr>
                <w:rFonts w:ascii="Times New Roman" w:hAnsi="Times New Roman"/>
                <w:sz w:val="24"/>
                <w:szCs w:val="24"/>
              </w:rPr>
              <w:t>programmas ieviešanas</w:t>
            </w:r>
            <w:r w:rsidR="006A3A88" w:rsidRPr="00CA056C">
              <w:rPr>
                <w:rFonts w:ascii="Times New Roman" w:hAnsi="Times New Roman"/>
                <w:sz w:val="24"/>
                <w:szCs w:val="24"/>
              </w:rPr>
              <w:t xml:space="preserve"> koordinēšanu - par portfeļgarantijas finansēšanu, ieviešanu, uzraudzību un savstarpēju informācijas apmaiņu</w:t>
            </w:r>
            <w:r w:rsidR="004162DA" w:rsidRPr="00CA056C">
              <w:rPr>
                <w:rFonts w:ascii="Times New Roman" w:hAnsi="Times New Roman"/>
                <w:sz w:val="24"/>
                <w:szCs w:val="24"/>
              </w:rPr>
              <w:t>, kā arī grantu un tehniskās palīdzības finansēšanu</w:t>
            </w:r>
            <w:r w:rsidR="006A3A88" w:rsidRPr="00CA056C">
              <w:rPr>
                <w:rFonts w:ascii="Times New Roman" w:hAnsi="Times New Roman"/>
                <w:sz w:val="24"/>
                <w:szCs w:val="24"/>
              </w:rPr>
              <w:t>.</w:t>
            </w:r>
          </w:p>
          <w:p w14:paraId="3422E92E" w14:textId="225A0903" w:rsidR="009C539E" w:rsidRDefault="009C539E" w:rsidP="00B9361B">
            <w:pPr>
              <w:spacing w:after="0" w:line="240" w:lineRule="auto"/>
              <w:ind w:firstLine="467"/>
              <w:jc w:val="both"/>
              <w:rPr>
                <w:rFonts w:ascii="Times New Roman" w:hAnsi="Times New Roman"/>
                <w:sz w:val="24"/>
                <w:szCs w:val="24"/>
              </w:rPr>
            </w:pPr>
          </w:p>
          <w:p w14:paraId="73187BD2" w14:textId="2B64069B" w:rsidR="009C539E" w:rsidRPr="009C539E" w:rsidRDefault="009C539E" w:rsidP="00742AB3">
            <w:pPr>
              <w:pStyle w:val="ListParagraph"/>
              <w:numPr>
                <w:ilvl w:val="0"/>
                <w:numId w:val="27"/>
              </w:numPr>
              <w:spacing w:after="0" w:line="240" w:lineRule="auto"/>
              <w:ind w:left="42" w:firstLine="0"/>
              <w:jc w:val="both"/>
              <w:rPr>
                <w:rFonts w:ascii="Times New Roman" w:hAnsi="Times New Roman"/>
                <w:b/>
                <w:bCs/>
                <w:i/>
                <w:iCs/>
                <w:sz w:val="24"/>
                <w:szCs w:val="24"/>
              </w:rPr>
            </w:pPr>
            <w:r w:rsidRPr="009C539E">
              <w:rPr>
                <w:rFonts w:ascii="Times New Roman" w:hAnsi="Times New Roman"/>
                <w:b/>
                <w:bCs/>
                <w:i/>
                <w:iCs/>
                <w:sz w:val="24"/>
                <w:szCs w:val="24"/>
              </w:rPr>
              <w:t>Programmas finansējums</w:t>
            </w:r>
          </w:p>
          <w:p w14:paraId="6355C5BD" w14:textId="067EBD9B" w:rsidR="001760F6" w:rsidRDefault="005F7D14" w:rsidP="009C539E">
            <w:pPr>
              <w:spacing w:after="0" w:line="240" w:lineRule="auto"/>
              <w:ind w:firstLine="467"/>
              <w:jc w:val="both"/>
              <w:rPr>
                <w:rFonts w:ascii="Times New Roman" w:hAnsi="Times New Roman"/>
                <w:sz w:val="24"/>
                <w:szCs w:val="24"/>
              </w:rPr>
            </w:pPr>
            <w:r w:rsidRPr="00CA056C">
              <w:rPr>
                <w:rFonts w:ascii="Times New Roman" w:hAnsi="Times New Roman"/>
                <w:sz w:val="24"/>
                <w:szCs w:val="24"/>
              </w:rPr>
              <w:t>Garantiju izsniegšanai</w:t>
            </w:r>
            <w:r w:rsidR="004162DA" w:rsidRPr="00CA056C">
              <w:rPr>
                <w:rFonts w:ascii="Times New Roman" w:hAnsi="Times New Roman"/>
                <w:sz w:val="24"/>
                <w:szCs w:val="24"/>
              </w:rPr>
              <w:t xml:space="preserve">, grantu un tehniskās palīdzības finansēšanai, kā arī </w:t>
            </w:r>
            <w:r w:rsidRPr="00CA056C">
              <w:rPr>
                <w:rFonts w:ascii="Times New Roman" w:hAnsi="Times New Roman"/>
                <w:sz w:val="24"/>
                <w:szCs w:val="24"/>
              </w:rPr>
              <w:t xml:space="preserve">Altum pārvaldības maksas segšanai izmantos </w:t>
            </w:r>
            <w:r w:rsidR="004162DA" w:rsidRPr="00CA056C">
              <w:rPr>
                <w:rFonts w:ascii="Times New Roman" w:hAnsi="Times New Roman"/>
                <w:sz w:val="24"/>
                <w:szCs w:val="24"/>
              </w:rPr>
              <w:t xml:space="preserve"> </w:t>
            </w:r>
            <w:r w:rsidR="007918C1">
              <w:rPr>
                <w:rFonts w:ascii="Times New Roman" w:hAnsi="Times New Roman"/>
                <w:sz w:val="24"/>
                <w:szCs w:val="24"/>
              </w:rPr>
              <w:t xml:space="preserve">slēgtās </w:t>
            </w:r>
            <w:r w:rsidR="004162DA" w:rsidRPr="00CA056C">
              <w:rPr>
                <w:rFonts w:ascii="Times New Roman" w:hAnsi="Times New Roman"/>
                <w:sz w:val="24"/>
                <w:szCs w:val="24"/>
              </w:rPr>
              <w:t>Latvijas un Šveices sadarbības programmas individuālā projekta “Mikrokreditēšanas programma” atmaksu publiskā finansējuma daļu</w:t>
            </w:r>
            <w:r w:rsidR="007918C1">
              <w:rPr>
                <w:rStyle w:val="FootnoteReference"/>
                <w:rFonts w:ascii="Times New Roman" w:hAnsi="Times New Roman"/>
                <w:sz w:val="24"/>
                <w:szCs w:val="24"/>
              </w:rPr>
              <w:footnoteReference w:id="5"/>
            </w:r>
            <w:r w:rsidRPr="00CA056C">
              <w:rPr>
                <w:rFonts w:ascii="Times New Roman" w:hAnsi="Times New Roman"/>
                <w:sz w:val="24"/>
                <w:szCs w:val="24"/>
              </w:rPr>
              <w:t xml:space="preserve"> atbilstoši starp Ekonomikas ministriju un Altum noslēgtajam līgumam, kas ir Altum ilgtermiņa saistības pret Ekonomikas ministriju.</w:t>
            </w:r>
          </w:p>
          <w:p w14:paraId="1772ACAB" w14:textId="2D765FF7" w:rsidR="009C539E" w:rsidRDefault="009C539E" w:rsidP="009C539E">
            <w:pPr>
              <w:spacing w:after="0" w:line="240" w:lineRule="auto"/>
              <w:ind w:firstLine="467"/>
              <w:jc w:val="both"/>
              <w:rPr>
                <w:rFonts w:ascii="Times New Roman" w:hAnsi="Times New Roman"/>
                <w:sz w:val="24"/>
                <w:szCs w:val="24"/>
              </w:rPr>
            </w:pPr>
            <w:r>
              <w:rPr>
                <w:rFonts w:ascii="Times New Roman" w:hAnsi="Times New Roman"/>
                <w:sz w:val="24"/>
                <w:szCs w:val="24"/>
              </w:rPr>
              <w:t xml:space="preserve">Programmas apmērs noteikts </w:t>
            </w:r>
            <w:r w:rsidR="007918C1" w:rsidRPr="007918C1">
              <w:rPr>
                <w:rFonts w:ascii="Times New Roman" w:hAnsi="Times New Roman"/>
                <w:sz w:val="24"/>
                <w:szCs w:val="24"/>
              </w:rPr>
              <w:t xml:space="preserve">2 373 521 euro </w:t>
            </w:r>
            <w:r>
              <w:rPr>
                <w:rFonts w:ascii="Times New Roman" w:hAnsi="Times New Roman"/>
                <w:sz w:val="24"/>
                <w:szCs w:val="24"/>
              </w:rPr>
              <w:t xml:space="preserve"> apmērā:</w:t>
            </w:r>
          </w:p>
          <w:p w14:paraId="24E822F4" w14:textId="48E8D466" w:rsidR="009C539E" w:rsidRPr="00421C1A" w:rsidRDefault="009C539E" w:rsidP="00421C1A">
            <w:pPr>
              <w:pStyle w:val="ListParagraph"/>
              <w:numPr>
                <w:ilvl w:val="0"/>
                <w:numId w:val="28"/>
              </w:numPr>
              <w:spacing w:after="0" w:line="240" w:lineRule="auto"/>
              <w:ind w:left="892"/>
              <w:jc w:val="both"/>
              <w:rPr>
                <w:rFonts w:ascii="Times New Roman" w:hAnsi="Times New Roman"/>
                <w:sz w:val="24"/>
                <w:szCs w:val="24"/>
              </w:rPr>
            </w:pPr>
            <w:r w:rsidRPr="00421C1A">
              <w:rPr>
                <w:rFonts w:ascii="Times New Roman" w:hAnsi="Times New Roman"/>
                <w:sz w:val="24"/>
                <w:szCs w:val="24"/>
              </w:rPr>
              <w:t xml:space="preserve">501 521 </w:t>
            </w:r>
            <w:r w:rsidRPr="00421C1A">
              <w:rPr>
                <w:rFonts w:ascii="Times New Roman" w:hAnsi="Times New Roman"/>
                <w:i/>
                <w:iCs/>
                <w:sz w:val="24"/>
                <w:szCs w:val="24"/>
              </w:rPr>
              <w:t>euro</w:t>
            </w:r>
            <w:r w:rsidRPr="00421C1A">
              <w:rPr>
                <w:rFonts w:ascii="Times New Roman" w:hAnsi="Times New Roman"/>
                <w:sz w:val="24"/>
                <w:szCs w:val="24"/>
              </w:rPr>
              <w:t xml:space="preserve"> garantiju risku segumam</w:t>
            </w:r>
            <w:r w:rsidR="00421C1A">
              <w:rPr>
                <w:rFonts w:ascii="Times New Roman" w:hAnsi="Times New Roman"/>
                <w:sz w:val="24"/>
                <w:szCs w:val="24"/>
              </w:rPr>
              <w:t xml:space="preserve"> (aptuveni 300 dzīvojamām mājām)</w:t>
            </w:r>
            <w:r w:rsidRPr="00421C1A">
              <w:rPr>
                <w:rFonts w:ascii="Times New Roman" w:hAnsi="Times New Roman"/>
                <w:sz w:val="24"/>
                <w:szCs w:val="24"/>
              </w:rPr>
              <w:t>;</w:t>
            </w:r>
          </w:p>
          <w:p w14:paraId="06E445A2" w14:textId="2F55CD8E" w:rsidR="009C539E" w:rsidRPr="00421C1A" w:rsidRDefault="009C539E" w:rsidP="00421C1A">
            <w:pPr>
              <w:pStyle w:val="ListParagraph"/>
              <w:numPr>
                <w:ilvl w:val="0"/>
                <w:numId w:val="28"/>
              </w:numPr>
              <w:spacing w:after="0" w:line="240" w:lineRule="auto"/>
              <w:ind w:left="892"/>
              <w:jc w:val="both"/>
              <w:rPr>
                <w:rFonts w:ascii="Times New Roman" w:hAnsi="Times New Roman"/>
                <w:sz w:val="24"/>
                <w:szCs w:val="24"/>
              </w:rPr>
            </w:pPr>
            <w:r w:rsidRPr="00421C1A">
              <w:rPr>
                <w:rFonts w:ascii="Times New Roman" w:hAnsi="Times New Roman"/>
                <w:sz w:val="24"/>
                <w:szCs w:val="24"/>
              </w:rPr>
              <w:t>260 000 e</w:t>
            </w:r>
            <w:r w:rsidRPr="00421C1A">
              <w:rPr>
                <w:rFonts w:ascii="Times New Roman" w:hAnsi="Times New Roman"/>
                <w:i/>
                <w:iCs/>
                <w:sz w:val="24"/>
                <w:szCs w:val="24"/>
              </w:rPr>
              <w:t>uro</w:t>
            </w:r>
            <w:r w:rsidRPr="00421C1A">
              <w:rPr>
                <w:rFonts w:ascii="Times New Roman" w:hAnsi="Times New Roman"/>
                <w:sz w:val="24"/>
                <w:szCs w:val="24"/>
              </w:rPr>
              <w:t xml:space="preserve"> tehniskās palīdzības sniegšanai</w:t>
            </w:r>
            <w:r w:rsidR="00421C1A">
              <w:rPr>
                <w:rFonts w:ascii="Times New Roman" w:hAnsi="Times New Roman"/>
                <w:sz w:val="24"/>
                <w:szCs w:val="24"/>
              </w:rPr>
              <w:t xml:space="preserve"> (aptuveni 260 dzīvojamām mājām)</w:t>
            </w:r>
            <w:r w:rsidRPr="00421C1A">
              <w:rPr>
                <w:rFonts w:ascii="Times New Roman" w:hAnsi="Times New Roman"/>
                <w:sz w:val="24"/>
                <w:szCs w:val="24"/>
              </w:rPr>
              <w:t>;</w:t>
            </w:r>
          </w:p>
          <w:p w14:paraId="5F56AC9E" w14:textId="44DBDDE9" w:rsidR="009C539E" w:rsidRPr="00421C1A" w:rsidRDefault="009C539E" w:rsidP="00421C1A">
            <w:pPr>
              <w:pStyle w:val="ListParagraph"/>
              <w:numPr>
                <w:ilvl w:val="0"/>
                <w:numId w:val="28"/>
              </w:numPr>
              <w:spacing w:after="0" w:line="240" w:lineRule="auto"/>
              <w:ind w:left="892"/>
              <w:jc w:val="both"/>
              <w:rPr>
                <w:rFonts w:ascii="Times New Roman" w:hAnsi="Times New Roman"/>
                <w:sz w:val="24"/>
                <w:szCs w:val="24"/>
              </w:rPr>
            </w:pPr>
            <w:r w:rsidRPr="00421C1A">
              <w:rPr>
                <w:rFonts w:ascii="Times New Roman" w:hAnsi="Times New Roman"/>
                <w:sz w:val="24"/>
                <w:szCs w:val="24"/>
              </w:rPr>
              <w:t xml:space="preserve">1 200 000 </w:t>
            </w:r>
            <w:r w:rsidRPr="00421C1A">
              <w:rPr>
                <w:rFonts w:ascii="Times New Roman" w:hAnsi="Times New Roman"/>
                <w:i/>
                <w:iCs/>
                <w:sz w:val="24"/>
                <w:szCs w:val="24"/>
              </w:rPr>
              <w:t>euro</w:t>
            </w:r>
            <w:r w:rsidRPr="00421C1A">
              <w:rPr>
                <w:rFonts w:ascii="Times New Roman" w:hAnsi="Times New Roman"/>
                <w:sz w:val="24"/>
                <w:szCs w:val="24"/>
              </w:rPr>
              <w:t xml:space="preserve"> grantu par dzīvojamās mājas energoefektivitātes klases paaugstināšanu</w:t>
            </w:r>
            <w:r w:rsidR="00421C1A">
              <w:rPr>
                <w:rFonts w:ascii="Times New Roman" w:hAnsi="Times New Roman"/>
                <w:sz w:val="24"/>
                <w:szCs w:val="24"/>
              </w:rPr>
              <w:t xml:space="preserve"> (aptuveni 240 dzīvojamām mājām)</w:t>
            </w:r>
            <w:r w:rsidRPr="00421C1A">
              <w:rPr>
                <w:rFonts w:ascii="Times New Roman" w:hAnsi="Times New Roman"/>
                <w:sz w:val="24"/>
                <w:szCs w:val="24"/>
              </w:rPr>
              <w:t>;</w:t>
            </w:r>
          </w:p>
          <w:p w14:paraId="57ED9241" w14:textId="3CFC696F" w:rsidR="009C539E" w:rsidRDefault="009C539E" w:rsidP="00421C1A">
            <w:pPr>
              <w:pStyle w:val="ListParagraph"/>
              <w:numPr>
                <w:ilvl w:val="0"/>
                <w:numId w:val="28"/>
              </w:numPr>
              <w:spacing w:after="0" w:line="240" w:lineRule="auto"/>
              <w:ind w:left="892"/>
              <w:jc w:val="both"/>
              <w:rPr>
                <w:rFonts w:ascii="Times New Roman" w:hAnsi="Times New Roman"/>
                <w:sz w:val="24"/>
                <w:szCs w:val="24"/>
              </w:rPr>
            </w:pPr>
            <w:r w:rsidRPr="00421C1A">
              <w:rPr>
                <w:rFonts w:ascii="Times New Roman" w:hAnsi="Times New Roman"/>
                <w:sz w:val="24"/>
                <w:szCs w:val="24"/>
              </w:rPr>
              <w:t xml:space="preserve">412 000 </w:t>
            </w:r>
            <w:r w:rsidRPr="00421C1A">
              <w:rPr>
                <w:rFonts w:ascii="Times New Roman" w:hAnsi="Times New Roman"/>
                <w:i/>
                <w:iCs/>
                <w:sz w:val="24"/>
                <w:szCs w:val="24"/>
              </w:rPr>
              <w:t>euro</w:t>
            </w:r>
            <w:r w:rsidRPr="00421C1A">
              <w:rPr>
                <w:rFonts w:ascii="Times New Roman" w:hAnsi="Times New Roman"/>
                <w:sz w:val="24"/>
                <w:szCs w:val="24"/>
              </w:rPr>
              <w:t xml:space="preserve"> Altum pārvaldības maksas segšanai.</w:t>
            </w:r>
          </w:p>
          <w:p w14:paraId="3A65ACED" w14:textId="184C5042" w:rsidR="00421C1A" w:rsidRPr="00421C1A" w:rsidRDefault="00421C1A" w:rsidP="00421C1A">
            <w:pPr>
              <w:spacing w:after="0" w:line="240" w:lineRule="auto"/>
              <w:jc w:val="both"/>
              <w:rPr>
                <w:rFonts w:ascii="Times New Roman" w:hAnsi="Times New Roman"/>
                <w:sz w:val="24"/>
                <w:szCs w:val="24"/>
              </w:rPr>
            </w:pPr>
            <w:r>
              <w:rPr>
                <w:rFonts w:ascii="Times New Roman" w:hAnsi="Times New Roman"/>
                <w:sz w:val="24"/>
                <w:szCs w:val="24"/>
              </w:rPr>
              <w:t>Saskaņā ar šā brīža aprēķiniem, noteiktais finansējums būs pietiekams atbalsta sniegšanai līdz 2022. gada beigām.</w:t>
            </w:r>
          </w:p>
          <w:p w14:paraId="137D433C" w14:textId="433A01A9" w:rsidR="008177B3" w:rsidRPr="001B5181" w:rsidRDefault="009C539E" w:rsidP="00B9361B">
            <w:pPr>
              <w:spacing w:after="0" w:line="240" w:lineRule="auto"/>
              <w:ind w:firstLine="467"/>
              <w:jc w:val="both"/>
              <w:rPr>
                <w:rFonts w:ascii="Times New Roman" w:hAnsi="Times New Roman"/>
                <w:sz w:val="24"/>
                <w:szCs w:val="24"/>
              </w:rPr>
            </w:pPr>
            <w:r w:rsidRPr="009C539E">
              <w:rPr>
                <w:rFonts w:ascii="Times New Roman" w:hAnsi="Times New Roman"/>
                <w:sz w:val="24"/>
                <w:szCs w:val="24"/>
              </w:rPr>
              <w:t>Ekonomikas ministrija sadarbībā ar Altum ir sagatavojusi izvērtējumu (pievienots anotācijas pielikumā), kurā ietverta aizdevumu programmas ietekme, riski un sagaidāmie zaudējumi, finansiālie rezultāti un krīzes aizdevumu programmas īstenošanas izmaksas, lai ievērotu Attīstības finanšu institūcijas likuma 12.panta trešajā un ceturtajā daļā noteikto. Minētais izvērtējums līdz ar projektu iesniegts Ministru kabinetā.</w:t>
            </w:r>
            <w:r w:rsidRPr="009C539E" w:rsidDel="009C539E">
              <w:rPr>
                <w:rFonts w:ascii="Times New Roman" w:hAnsi="Times New Roman"/>
                <w:sz w:val="24"/>
                <w:szCs w:val="24"/>
              </w:rPr>
              <w:t xml:space="preserve"> </w:t>
            </w:r>
          </w:p>
        </w:tc>
      </w:tr>
      <w:tr w:rsidR="00925F9E" w14:paraId="7F7EC0F0" w14:textId="77777777" w:rsidTr="003550D8">
        <w:tc>
          <w:tcPr>
            <w:tcW w:w="191" w:type="pct"/>
          </w:tcPr>
          <w:p w14:paraId="71EC361F" w14:textId="00BE42D0"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20" w:type="pct"/>
          </w:tcPr>
          <w:p w14:paraId="0DE533F5" w14:textId="31E4F016" w:rsidR="004B33BE"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289" w:type="pct"/>
          </w:tcPr>
          <w:p w14:paraId="2D06F8AD" w14:textId="45430F39" w:rsidR="00392D00" w:rsidRPr="007A2871" w:rsidRDefault="00480B38" w:rsidP="005B2B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 xml:space="preserve">Ekonomikas ministrija, </w:t>
            </w:r>
            <w:r w:rsidR="00820B25" w:rsidRPr="001B0078">
              <w:rPr>
                <w:rFonts w:ascii="Times New Roman" w:eastAsia="Times New Roman" w:hAnsi="Times New Roman"/>
                <w:bCs/>
                <w:sz w:val="24"/>
                <w:szCs w:val="24"/>
                <w:lang w:eastAsia="lv-LV"/>
              </w:rPr>
              <w:t>Altum</w:t>
            </w:r>
            <w:r w:rsidR="00A7768E">
              <w:rPr>
                <w:rFonts w:ascii="Times New Roman" w:eastAsia="Times New Roman" w:hAnsi="Times New Roman"/>
                <w:bCs/>
                <w:sz w:val="24"/>
                <w:szCs w:val="24"/>
                <w:lang w:eastAsia="lv-LV"/>
              </w:rPr>
              <w:t>.</w:t>
            </w:r>
          </w:p>
        </w:tc>
      </w:tr>
      <w:tr w:rsidR="00925F9E" w14:paraId="175958CA" w14:textId="77777777" w:rsidTr="003550D8">
        <w:tc>
          <w:tcPr>
            <w:tcW w:w="191" w:type="pct"/>
          </w:tcPr>
          <w:p w14:paraId="3CBCAAF4" w14:textId="7FD7A2D5"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20" w:type="pct"/>
          </w:tcPr>
          <w:p w14:paraId="2CF71E8B" w14:textId="77777777"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89" w:type="pct"/>
          </w:tcPr>
          <w:p w14:paraId="1F5B946A" w14:textId="032430F6" w:rsidR="00577216" w:rsidRPr="007A2871" w:rsidRDefault="00363BB6" w:rsidP="005B2B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616"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3235"/>
        <w:gridCol w:w="6804"/>
      </w:tblGrid>
      <w:tr w:rsidR="00925F9E" w14:paraId="74EC6D5A" w14:textId="77777777" w:rsidTr="00742AB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925F9E" w14:paraId="2F8AE82F" w14:textId="77777777" w:rsidTr="00742AB3">
        <w:trPr>
          <w:trHeight w:val="465"/>
        </w:trPr>
        <w:tc>
          <w:tcPr>
            <w:tcW w:w="215"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1542"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Sabiedrības mērķgrupas, kuras tiesiskais regulējums ietekmē vai varētu ietekmēt</w:t>
            </w:r>
          </w:p>
        </w:tc>
        <w:tc>
          <w:tcPr>
            <w:tcW w:w="3243" w:type="pct"/>
            <w:tcBorders>
              <w:top w:val="outset" w:sz="6" w:space="0" w:color="414142"/>
              <w:left w:val="outset" w:sz="6" w:space="0" w:color="414142"/>
              <w:bottom w:val="outset" w:sz="6" w:space="0" w:color="414142"/>
              <w:right w:val="outset" w:sz="6" w:space="0" w:color="414142"/>
            </w:tcBorders>
          </w:tcPr>
          <w:p w14:paraId="4275780A" w14:textId="314C423A" w:rsidR="001B53A6" w:rsidRPr="007A2871" w:rsidRDefault="001B374C" w:rsidP="001B374C">
            <w:pPr>
              <w:spacing w:after="0" w:line="240" w:lineRule="auto"/>
              <w:ind w:right="106"/>
              <w:jc w:val="both"/>
              <w:rPr>
                <w:rFonts w:ascii="Times New Roman" w:hAnsi="Times New Roman"/>
                <w:sz w:val="24"/>
                <w:szCs w:val="24"/>
              </w:rPr>
            </w:pPr>
            <w:r>
              <w:rPr>
                <w:rFonts w:ascii="Times New Roman" w:hAnsi="Times New Roman"/>
                <w:sz w:val="24"/>
                <w:szCs w:val="24"/>
              </w:rPr>
              <w:t xml:space="preserve">Kredītiestādes, dzīvojamo </w:t>
            </w:r>
            <w:r w:rsidR="004C20F1">
              <w:rPr>
                <w:rFonts w:ascii="Times New Roman" w:hAnsi="Times New Roman"/>
                <w:sz w:val="24"/>
                <w:szCs w:val="24"/>
              </w:rPr>
              <w:t xml:space="preserve">māju </w:t>
            </w:r>
            <w:r>
              <w:rPr>
                <w:rFonts w:ascii="Times New Roman" w:hAnsi="Times New Roman"/>
                <w:sz w:val="24"/>
                <w:szCs w:val="24"/>
              </w:rPr>
              <w:t>īpašnieki, būvkomersanti</w:t>
            </w:r>
            <w:r w:rsidR="00826020">
              <w:rPr>
                <w:rFonts w:ascii="Times New Roman" w:hAnsi="Times New Roman"/>
                <w:sz w:val="24"/>
                <w:szCs w:val="24"/>
              </w:rPr>
              <w:t xml:space="preserve"> un Altum</w:t>
            </w:r>
            <w:r>
              <w:rPr>
                <w:rFonts w:ascii="Times New Roman" w:hAnsi="Times New Roman"/>
                <w:sz w:val="24"/>
                <w:szCs w:val="24"/>
              </w:rPr>
              <w:t>.</w:t>
            </w:r>
          </w:p>
        </w:tc>
      </w:tr>
      <w:tr w:rsidR="00925F9E" w14:paraId="65A5AF99" w14:textId="77777777" w:rsidTr="00742AB3">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1542"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43" w:type="pct"/>
            <w:tcBorders>
              <w:top w:val="outset" w:sz="6" w:space="0" w:color="414142"/>
              <w:left w:val="outset" w:sz="6" w:space="0" w:color="414142"/>
              <w:bottom w:val="outset" w:sz="6" w:space="0" w:color="414142"/>
              <w:right w:val="outset" w:sz="6" w:space="0" w:color="414142"/>
            </w:tcBorders>
          </w:tcPr>
          <w:p w14:paraId="6A4EA1E5" w14:textId="14B2CBCC" w:rsidR="005B38A0" w:rsidRPr="007A2871" w:rsidRDefault="000A762C" w:rsidP="001B374C">
            <w:pPr>
              <w:spacing w:after="0" w:line="240" w:lineRule="auto"/>
              <w:ind w:right="106"/>
              <w:jc w:val="both"/>
              <w:rPr>
                <w:rFonts w:ascii="Times New Roman" w:hAnsi="Times New Roman"/>
                <w:sz w:val="24"/>
                <w:szCs w:val="24"/>
              </w:rPr>
            </w:pPr>
            <w:r w:rsidRPr="000A762C">
              <w:rPr>
                <w:rFonts w:ascii="Times New Roman" w:eastAsia="Times New Roman" w:hAnsi="Times New Roman"/>
                <w:iCs/>
                <w:color w:val="000000" w:themeColor="text1"/>
                <w:sz w:val="24"/>
                <w:szCs w:val="24"/>
                <w:lang w:eastAsia="lv-LV"/>
              </w:rPr>
              <w:t>Projekts šo jomu neskar</w:t>
            </w:r>
            <w:r w:rsidR="00A7768E">
              <w:rPr>
                <w:rFonts w:ascii="Times New Roman" w:eastAsia="Times New Roman" w:hAnsi="Times New Roman"/>
                <w:iCs/>
                <w:color w:val="000000" w:themeColor="text1"/>
                <w:sz w:val="24"/>
                <w:szCs w:val="24"/>
                <w:lang w:eastAsia="lv-LV"/>
              </w:rPr>
              <w:t>.</w:t>
            </w:r>
            <w:r>
              <w:rPr>
                <w:rFonts w:ascii="Times New Roman" w:eastAsia="Times New Roman" w:hAnsi="Times New Roman"/>
                <w:iCs/>
                <w:color w:val="000000" w:themeColor="text1"/>
                <w:sz w:val="24"/>
                <w:szCs w:val="24"/>
                <w:lang w:eastAsia="lv-LV"/>
              </w:rPr>
              <w:t xml:space="preserve"> </w:t>
            </w:r>
            <w:r w:rsidR="001B374C" w:rsidRPr="00C93D5E">
              <w:rPr>
                <w:rFonts w:ascii="Times New Roman" w:eastAsia="Times New Roman" w:hAnsi="Times New Roman"/>
                <w:iCs/>
                <w:color w:val="000000" w:themeColor="text1"/>
                <w:sz w:val="24"/>
                <w:szCs w:val="24"/>
                <w:lang w:eastAsia="lv-LV"/>
              </w:rPr>
              <w:t>Noteikumu projekts</w:t>
            </w:r>
            <w:r w:rsidR="001B374C">
              <w:rPr>
                <w:rFonts w:ascii="Times New Roman" w:eastAsia="Times New Roman" w:hAnsi="Times New Roman"/>
                <w:iCs/>
                <w:color w:val="000000" w:themeColor="text1"/>
                <w:sz w:val="24"/>
                <w:szCs w:val="24"/>
                <w:lang w:eastAsia="lv-LV"/>
              </w:rPr>
              <w:t xml:space="preserve"> pozitīvi ietekmēs tautsaimniecību.</w:t>
            </w:r>
          </w:p>
        </w:tc>
      </w:tr>
      <w:tr w:rsidR="00925F9E" w14:paraId="25A2AD93" w14:textId="77777777" w:rsidTr="00742AB3">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3.</w:t>
            </w:r>
          </w:p>
        </w:tc>
        <w:tc>
          <w:tcPr>
            <w:tcW w:w="1542"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363BB6" w:rsidP="005B26B7">
            <w:pPr>
              <w:spacing w:after="0" w:line="240" w:lineRule="auto"/>
              <w:rPr>
                <w:rFonts w:ascii="Times New Roman" w:hAnsi="Times New Roman"/>
                <w:sz w:val="24"/>
                <w:szCs w:val="24"/>
              </w:rPr>
            </w:pPr>
            <w:r w:rsidRPr="00882564">
              <w:rPr>
                <w:rFonts w:ascii="Times New Roman" w:hAnsi="Times New Roman"/>
                <w:sz w:val="24"/>
                <w:szCs w:val="24"/>
              </w:rPr>
              <w:t>Administratīvo izmaksu monetārs novērtējums</w:t>
            </w:r>
          </w:p>
        </w:tc>
        <w:tc>
          <w:tcPr>
            <w:tcW w:w="3243" w:type="pct"/>
            <w:tcBorders>
              <w:top w:val="outset" w:sz="6" w:space="0" w:color="414142"/>
              <w:left w:val="outset" w:sz="6" w:space="0" w:color="414142"/>
              <w:bottom w:val="outset" w:sz="6" w:space="0" w:color="414142"/>
              <w:right w:val="outset" w:sz="6" w:space="0" w:color="414142"/>
            </w:tcBorders>
            <w:hideMark/>
          </w:tcPr>
          <w:p w14:paraId="6963683C" w14:textId="69758FC5" w:rsidR="00DF450B" w:rsidRPr="00BC24DD" w:rsidRDefault="00826020" w:rsidP="001B374C">
            <w:pPr>
              <w:spacing w:after="0"/>
              <w:ind w:right="106"/>
              <w:jc w:val="both"/>
              <w:rPr>
                <w:rFonts w:ascii="Times New Roman" w:hAnsi="Times New Roman"/>
                <w:sz w:val="24"/>
                <w:szCs w:val="24"/>
              </w:rPr>
            </w:pPr>
            <w:r w:rsidRPr="00826020">
              <w:rPr>
                <w:rFonts w:ascii="Times New Roman" w:hAnsi="Times New Roman"/>
                <w:iCs/>
                <w:sz w:val="24"/>
                <w:szCs w:val="24"/>
              </w:rPr>
              <w:t>Projekts šo jomu neskar.</w:t>
            </w:r>
          </w:p>
        </w:tc>
      </w:tr>
      <w:tr w:rsidR="001B374C" w14:paraId="1074DD46" w14:textId="77777777" w:rsidTr="00742AB3">
        <w:trPr>
          <w:trHeight w:val="510"/>
        </w:trPr>
        <w:tc>
          <w:tcPr>
            <w:tcW w:w="215" w:type="pct"/>
            <w:tcBorders>
              <w:top w:val="outset" w:sz="6" w:space="0" w:color="414142"/>
              <w:left w:val="outset" w:sz="6" w:space="0" w:color="414142"/>
              <w:bottom w:val="outset" w:sz="6" w:space="0" w:color="414142"/>
              <w:right w:val="outset" w:sz="6" w:space="0" w:color="414142"/>
            </w:tcBorders>
          </w:tcPr>
          <w:p w14:paraId="33EB2809" w14:textId="3622E440" w:rsidR="001B374C" w:rsidRPr="007A2871" w:rsidRDefault="001B374C" w:rsidP="005B26B7">
            <w:pPr>
              <w:spacing w:after="0" w:line="240" w:lineRule="auto"/>
              <w:rPr>
                <w:rFonts w:ascii="Times New Roman" w:hAnsi="Times New Roman"/>
                <w:sz w:val="24"/>
                <w:szCs w:val="24"/>
              </w:rPr>
            </w:pPr>
            <w:r>
              <w:rPr>
                <w:rFonts w:ascii="Times New Roman" w:hAnsi="Times New Roman"/>
                <w:sz w:val="24"/>
                <w:szCs w:val="24"/>
              </w:rPr>
              <w:t>4.</w:t>
            </w:r>
          </w:p>
        </w:tc>
        <w:tc>
          <w:tcPr>
            <w:tcW w:w="1542" w:type="pct"/>
            <w:tcBorders>
              <w:top w:val="outset" w:sz="6" w:space="0" w:color="414142"/>
              <w:left w:val="outset" w:sz="6" w:space="0" w:color="414142"/>
              <w:bottom w:val="outset" w:sz="6" w:space="0" w:color="414142"/>
              <w:right w:val="outset" w:sz="6" w:space="0" w:color="414142"/>
            </w:tcBorders>
          </w:tcPr>
          <w:p w14:paraId="5F6BA6F4" w14:textId="3A9D747B" w:rsidR="001B374C" w:rsidRPr="00882564" w:rsidRDefault="001B374C" w:rsidP="005B26B7">
            <w:pPr>
              <w:spacing w:after="0" w:line="240" w:lineRule="auto"/>
              <w:rPr>
                <w:rFonts w:ascii="Times New Roman" w:hAnsi="Times New Roman"/>
                <w:sz w:val="24"/>
                <w:szCs w:val="24"/>
              </w:rPr>
            </w:pPr>
            <w:r w:rsidRPr="00C93D5E">
              <w:rPr>
                <w:rFonts w:ascii="Times New Roman" w:eastAsia="Times New Roman" w:hAnsi="Times New Roman"/>
                <w:iCs/>
                <w:color w:val="000000" w:themeColor="text1"/>
                <w:sz w:val="24"/>
                <w:szCs w:val="24"/>
                <w:lang w:eastAsia="lv-LV"/>
              </w:rPr>
              <w:t>Atbilstības izmaksu monetārs novērtējums</w:t>
            </w:r>
          </w:p>
        </w:tc>
        <w:tc>
          <w:tcPr>
            <w:tcW w:w="3243" w:type="pct"/>
            <w:tcBorders>
              <w:top w:val="outset" w:sz="6" w:space="0" w:color="414142"/>
              <w:left w:val="outset" w:sz="6" w:space="0" w:color="414142"/>
              <w:bottom w:val="outset" w:sz="6" w:space="0" w:color="414142"/>
              <w:right w:val="outset" w:sz="6" w:space="0" w:color="414142"/>
            </w:tcBorders>
          </w:tcPr>
          <w:p w14:paraId="3FF0B5A2" w14:textId="5E196CA1" w:rsidR="001B374C" w:rsidRPr="001B374C" w:rsidRDefault="00826020" w:rsidP="001B374C">
            <w:pPr>
              <w:spacing w:after="0"/>
              <w:ind w:right="106"/>
              <w:jc w:val="both"/>
              <w:rPr>
                <w:rFonts w:ascii="Times New Roman" w:hAnsi="Times New Roman"/>
                <w:sz w:val="24"/>
                <w:szCs w:val="24"/>
              </w:rPr>
            </w:pPr>
            <w:r w:rsidRPr="00826020">
              <w:rPr>
                <w:rFonts w:ascii="Times New Roman" w:eastAsia="Times New Roman" w:hAnsi="Times New Roman"/>
                <w:iCs/>
                <w:color w:val="000000" w:themeColor="text1"/>
                <w:sz w:val="24"/>
                <w:szCs w:val="24"/>
                <w:lang w:eastAsia="lv-LV"/>
              </w:rPr>
              <w:t>Projekts šo jomu neskar.</w:t>
            </w:r>
          </w:p>
        </w:tc>
      </w:tr>
      <w:tr w:rsidR="00925F9E" w14:paraId="27129247" w14:textId="77777777" w:rsidTr="00742AB3">
        <w:trPr>
          <w:trHeight w:val="345"/>
        </w:trPr>
        <w:tc>
          <w:tcPr>
            <w:tcW w:w="215" w:type="pct"/>
            <w:tcBorders>
              <w:top w:val="outset" w:sz="6" w:space="0" w:color="414142"/>
              <w:left w:val="outset" w:sz="6" w:space="0" w:color="414142"/>
              <w:bottom w:val="single" w:sz="4" w:space="0" w:color="auto"/>
              <w:right w:val="outset" w:sz="6" w:space="0" w:color="414142"/>
            </w:tcBorders>
            <w:hideMark/>
          </w:tcPr>
          <w:p w14:paraId="6CE9A9D4" w14:textId="10694431" w:rsidR="001B53A6" w:rsidRPr="007A2871" w:rsidRDefault="00F70AE9" w:rsidP="005B26B7">
            <w:pPr>
              <w:spacing w:after="0" w:line="240" w:lineRule="auto"/>
              <w:rPr>
                <w:rFonts w:ascii="Times New Roman" w:hAnsi="Times New Roman"/>
                <w:sz w:val="24"/>
                <w:szCs w:val="24"/>
              </w:rPr>
            </w:pPr>
            <w:r>
              <w:rPr>
                <w:rFonts w:ascii="Times New Roman" w:hAnsi="Times New Roman"/>
                <w:sz w:val="24"/>
                <w:szCs w:val="24"/>
              </w:rPr>
              <w:t>5</w:t>
            </w:r>
            <w:r w:rsidR="00363BB6" w:rsidRPr="007A2871">
              <w:rPr>
                <w:rFonts w:ascii="Times New Roman" w:hAnsi="Times New Roman"/>
                <w:sz w:val="24"/>
                <w:szCs w:val="24"/>
              </w:rPr>
              <w:t>.</w:t>
            </w:r>
          </w:p>
        </w:tc>
        <w:tc>
          <w:tcPr>
            <w:tcW w:w="1542" w:type="pct"/>
            <w:tcBorders>
              <w:top w:val="outset" w:sz="6" w:space="0" w:color="414142"/>
              <w:left w:val="outset" w:sz="6" w:space="0" w:color="414142"/>
              <w:bottom w:val="single" w:sz="4" w:space="0" w:color="auto"/>
              <w:right w:val="outset" w:sz="6" w:space="0" w:color="414142"/>
            </w:tcBorders>
            <w:hideMark/>
          </w:tcPr>
          <w:p w14:paraId="5B252A84"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43" w:type="pct"/>
            <w:tcBorders>
              <w:top w:val="outset" w:sz="6" w:space="0" w:color="414142"/>
              <w:left w:val="outset" w:sz="6" w:space="0" w:color="414142"/>
              <w:bottom w:val="single" w:sz="4" w:space="0" w:color="auto"/>
              <w:right w:val="outset" w:sz="6" w:space="0" w:color="414142"/>
            </w:tcBorders>
            <w:hideMark/>
          </w:tcPr>
          <w:p w14:paraId="3BDCF793" w14:textId="77777777"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r w:rsidR="00086514" w:rsidRPr="00700B5A" w14:paraId="604B445B" w14:textId="77777777" w:rsidTr="00742AB3">
        <w:trPr>
          <w:trHeight w:val="345"/>
        </w:trPr>
        <w:tc>
          <w:tcPr>
            <w:tcW w:w="215" w:type="pct"/>
            <w:tcBorders>
              <w:top w:val="single" w:sz="4" w:space="0" w:color="auto"/>
              <w:left w:val="nil"/>
              <w:bottom w:val="nil"/>
              <w:right w:val="nil"/>
            </w:tcBorders>
          </w:tcPr>
          <w:p w14:paraId="0A579486" w14:textId="5004B396" w:rsidR="00086514" w:rsidRPr="00700B5A" w:rsidRDefault="00086514" w:rsidP="005B26B7">
            <w:pPr>
              <w:spacing w:after="0" w:line="240" w:lineRule="auto"/>
              <w:rPr>
                <w:rFonts w:ascii="Times New Roman" w:hAnsi="Times New Roman"/>
                <w:sz w:val="24"/>
                <w:szCs w:val="24"/>
              </w:rPr>
            </w:pPr>
          </w:p>
        </w:tc>
        <w:tc>
          <w:tcPr>
            <w:tcW w:w="1542" w:type="pct"/>
            <w:tcBorders>
              <w:top w:val="single" w:sz="4" w:space="0" w:color="auto"/>
              <w:left w:val="nil"/>
              <w:bottom w:val="nil"/>
              <w:right w:val="nil"/>
            </w:tcBorders>
          </w:tcPr>
          <w:p w14:paraId="5CE98ABB" w14:textId="77777777" w:rsidR="00086514" w:rsidRPr="00700B5A" w:rsidRDefault="00086514" w:rsidP="005B26B7">
            <w:pPr>
              <w:spacing w:after="0" w:line="240" w:lineRule="auto"/>
              <w:rPr>
                <w:rFonts w:ascii="Times New Roman" w:hAnsi="Times New Roman"/>
                <w:sz w:val="24"/>
                <w:szCs w:val="24"/>
              </w:rPr>
            </w:pPr>
          </w:p>
        </w:tc>
        <w:tc>
          <w:tcPr>
            <w:tcW w:w="3243" w:type="pct"/>
            <w:tcBorders>
              <w:top w:val="single" w:sz="4" w:space="0" w:color="auto"/>
              <w:left w:val="nil"/>
              <w:bottom w:val="nil"/>
              <w:right w:val="nil"/>
            </w:tcBorders>
          </w:tcPr>
          <w:p w14:paraId="067C0EAA" w14:textId="77777777" w:rsidR="00086514" w:rsidRPr="00700B5A" w:rsidRDefault="00086514" w:rsidP="005B26B7">
            <w:pPr>
              <w:spacing w:before="100" w:beforeAutospacing="1" w:after="100" w:afterAutospacing="1" w:line="293" w:lineRule="atLeast"/>
              <w:rPr>
                <w:rFonts w:ascii="Times New Roman" w:hAnsi="Times New Roman"/>
                <w:sz w:val="24"/>
                <w:szCs w:val="24"/>
              </w:rPr>
            </w:pPr>
          </w:p>
        </w:tc>
      </w:tr>
    </w:tbl>
    <w:tbl>
      <w:tblPr>
        <w:tblpPr w:leftFromText="180" w:rightFromText="180" w:vertAnchor="text" w:tblpX="-748"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700B5A" w:rsidRPr="00700B5A" w14:paraId="4A0FAE86" w14:textId="77777777" w:rsidTr="000A0024">
        <w:tc>
          <w:tcPr>
            <w:tcW w:w="10490" w:type="dxa"/>
            <w:tcBorders>
              <w:top w:val="single" w:sz="4" w:space="0" w:color="auto"/>
              <w:left w:val="single" w:sz="4" w:space="0" w:color="auto"/>
              <w:bottom w:val="single" w:sz="4" w:space="0" w:color="auto"/>
              <w:right w:val="single" w:sz="4" w:space="0" w:color="auto"/>
            </w:tcBorders>
          </w:tcPr>
          <w:p w14:paraId="6797EA98" w14:textId="77777777" w:rsidR="00700B5A" w:rsidRPr="00700B5A" w:rsidRDefault="00700B5A" w:rsidP="00742AB3">
            <w:pPr>
              <w:pStyle w:val="ListParagraph"/>
              <w:tabs>
                <w:tab w:val="left" w:pos="317"/>
              </w:tabs>
              <w:spacing w:after="0"/>
              <w:ind w:left="0"/>
              <w:jc w:val="center"/>
              <w:rPr>
                <w:rFonts w:ascii="Times New Roman" w:hAnsi="Times New Roman"/>
                <w:b/>
                <w:bCs/>
                <w:sz w:val="26"/>
                <w:szCs w:val="26"/>
                <w:lang w:eastAsia="ja-JP"/>
              </w:rPr>
            </w:pPr>
            <w:bookmarkStart w:id="5" w:name="_Hlk40709034"/>
            <w:r w:rsidRPr="00700B5A">
              <w:rPr>
                <w:rFonts w:ascii="Times New Roman" w:hAnsi="Times New Roman"/>
                <w:b/>
                <w:bCs/>
                <w:sz w:val="26"/>
                <w:szCs w:val="26"/>
                <w:lang w:eastAsia="ja-JP"/>
              </w:rPr>
              <w:t>III. Tiesību akta projekta ietekme uz valsts budžetu un pašvaldību budžetiem</w:t>
            </w:r>
          </w:p>
        </w:tc>
      </w:tr>
      <w:tr w:rsidR="001B0556" w:rsidRPr="00700B5A" w14:paraId="63105241" w14:textId="77777777" w:rsidTr="000A0024">
        <w:tc>
          <w:tcPr>
            <w:tcW w:w="10490" w:type="dxa"/>
            <w:tcBorders>
              <w:top w:val="single" w:sz="4" w:space="0" w:color="auto"/>
              <w:left w:val="single" w:sz="4" w:space="0" w:color="auto"/>
              <w:bottom w:val="single" w:sz="4" w:space="0" w:color="auto"/>
              <w:right w:val="single" w:sz="4" w:space="0" w:color="auto"/>
            </w:tcBorders>
          </w:tcPr>
          <w:p w14:paraId="1081EA90" w14:textId="2F301CC8" w:rsidR="001B0556" w:rsidRPr="00742AB3" w:rsidRDefault="001B0556" w:rsidP="00742AB3">
            <w:pPr>
              <w:pStyle w:val="ListParagraph"/>
              <w:tabs>
                <w:tab w:val="left" w:pos="317"/>
              </w:tabs>
              <w:spacing w:after="0"/>
              <w:ind w:left="0"/>
              <w:jc w:val="center"/>
              <w:rPr>
                <w:rFonts w:ascii="Times New Roman" w:hAnsi="Times New Roman"/>
                <w:sz w:val="24"/>
                <w:szCs w:val="24"/>
                <w:lang w:eastAsia="ja-JP"/>
              </w:rPr>
            </w:pPr>
            <w:r>
              <w:rPr>
                <w:rFonts w:ascii="Times New Roman" w:hAnsi="Times New Roman"/>
                <w:sz w:val="24"/>
                <w:szCs w:val="24"/>
                <w:lang w:eastAsia="ja-JP"/>
              </w:rPr>
              <w:t>Projekts šo jomu neskar</w:t>
            </w:r>
          </w:p>
        </w:tc>
      </w:tr>
      <w:bookmarkEnd w:id="5"/>
    </w:tbl>
    <w:tbl>
      <w:tblPr>
        <w:tblW w:w="5616"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3"/>
        <w:gridCol w:w="446"/>
        <w:gridCol w:w="3102"/>
        <w:gridCol w:w="6818"/>
      </w:tblGrid>
      <w:tr w:rsidR="00700B5A" w14:paraId="1EAEA8BA" w14:textId="77777777" w:rsidTr="00086514">
        <w:trPr>
          <w:gridBefore w:val="1"/>
          <w:wBefore w:w="68" w:type="pct"/>
          <w:trHeight w:val="345"/>
        </w:trPr>
        <w:tc>
          <w:tcPr>
            <w:tcW w:w="212" w:type="pct"/>
            <w:tcBorders>
              <w:top w:val="single" w:sz="4" w:space="0" w:color="auto"/>
              <w:left w:val="nil"/>
              <w:bottom w:val="nil"/>
              <w:right w:val="nil"/>
            </w:tcBorders>
          </w:tcPr>
          <w:p w14:paraId="1D7702B8" w14:textId="77777777" w:rsidR="00700B5A" w:rsidRPr="007A2871" w:rsidRDefault="00700B5A" w:rsidP="005B26B7">
            <w:pPr>
              <w:spacing w:after="0" w:line="240" w:lineRule="auto"/>
              <w:rPr>
                <w:rFonts w:ascii="Times New Roman" w:hAnsi="Times New Roman"/>
                <w:sz w:val="24"/>
                <w:szCs w:val="24"/>
              </w:rPr>
            </w:pPr>
          </w:p>
        </w:tc>
        <w:tc>
          <w:tcPr>
            <w:tcW w:w="1476" w:type="pct"/>
            <w:tcBorders>
              <w:top w:val="single" w:sz="4" w:space="0" w:color="auto"/>
              <w:left w:val="nil"/>
              <w:bottom w:val="nil"/>
              <w:right w:val="nil"/>
            </w:tcBorders>
          </w:tcPr>
          <w:p w14:paraId="79AFFC92" w14:textId="77777777" w:rsidR="00700B5A" w:rsidRPr="007A2871" w:rsidRDefault="00700B5A" w:rsidP="005B26B7">
            <w:pPr>
              <w:spacing w:after="0" w:line="240" w:lineRule="auto"/>
              <w:rPr>
                <w:rFonts w:ascii="Times New Roman" w:hAnsi="Times New Roman"/>
                <w:sz w:val="24"/>
                <w:szCs w:val="24"/>
              </w:rPr>
            </w:pPr>
          </w:p>
        </w:tc>
        <w:tc>
          <w:tcPr>
            <w:tcW w:w="3244" w:type="pct"/>
            <w:tcBorders>
              <w:top w:val="single" w:sz="4" w:space="0" w:color="auto"/>
              <w:left w:val="nil"/>
              <w:bottom w:val="nil"/>
              <w:right w:val="nil"/>
            </w:tcBorders>
          </w:tcPr>
          <w:p w14:paraId="6F7961ED" w14:textId="77777777" w:rsidR="00700B5A" w:rsidRPr="007A2871" w:rsidRDefault="00700B5A" w:rsidP="005B26B7">
            <w:pPr>
              <w:spacing w:before="100" w:beforeAutospacing="1" w:after="100" w:afterAutospacing="1" w:line="293" w:lineRule="atLeast"/>
              <w:rPr>
                <w:rFonts w:ascii="Times New Roman" w:hAnsi="Times New Roman"/>
                <w:sz w:val="24"/>
                <w:szCs w:val="24"/>
              </w:rPr>
            </w:pPr>
          </w:p>
        </w:tc>
      </w:tr>
      <w:tr w:rsidR="00AE0F01" w:rsidRPr="00AE0F01" w14:paraId="74CD3A19" w14:textId="77777777" w:rsidTr="00086514">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74C6418A" w14:textId="7C188ADA"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AE0F01">
              <w:rPr>
                <w:rFonts w:ascii="Times New Roman" w:eastAsia="Times New Roman" w:hAnsi="Times New Roman"/>
                <w:b/>
                <w:bCs/>
                <w:iCs/>
                <w:sz w:val="24"/>
                <w:szCs w:val="24"/>
                <w:lang w:eastAsia="lv-LV"/>
              </w:rPr>
              <w:t>IV. Tiesību akta projekta ietekme uz spēkā esošo tiesību normu sistēmu</w:t>
            </w:r>
          </w:p>
        </w:tc>
      </w:tr>
      <w:tr w:rsidR="00B910D6" w:rsidRPr="00AE0F01" w14:paraId="380FB385" w14:textId="77777777" w:rsidTr="00086514">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8A61F69" w14:textId="207DFB54" w:rsidR="00B910D6" w:rsidRPr="00AE0F01" w:rsidRDefault="006D786B" w:rsidP="00B910D6">
            <w:pPr>
              <w:tabs>
                <w:tab w:val="left" w:pos="3615"/>
              </w:tabs>
              <w:spacing w:after="0" w:line="240" w:lineRule="auto"/>
              <w:jc w:val="both"/>
              <w:rPr>
                <w:rFonts w:ascii="Times New Roman" w:eastAsia="Times New Roman" w:hAnsi="Times New Roman"/>
                <w:iCs/>
                <w:sz w:val="24"/>
                <w:szCs w:val="24"/>
                <w:lang w:eastAsia="lv-LV"/>
              </w:rPr>
            </w:pPr>
            <w:r w:rsidRPr="006D786B">
              <w:rPr>
                <w:rFonts w:ascii="Times New Roman" w:eastAsia="Times New Roman" w:hAnsi="Times New Roman"/>
                <w:iCs/>
                <w:color w:val="000000" w:themeColor="text1"/>
                <w:sz w:val="24"/>
                <w:szCs w:val="24"/>
                <w:lang w:eastAsia="lv-LV"/>
              </w:rPr>
              <w:t>Ar noteikumu spēkā stāšanās brīdi spēku zaudē Ministru kabineta 2020. gada 28. jūlija noteikumi Nr. 473 “Noteikumi par atbalsta programmu dzīvojamo māju energoefektivitātes paaugstināšanai”.</w:t>
            </w:r>
          </w:p>
        </w:tc>
      </w:tr>
    </w:tbl>
    <w:p w14:paraId="23C4FA13" w14:textId="77777777" w:rsidR="007B3152" w:rsidRPr="00AE0F01" w:rsidRDefault="007B3152"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91"/>
      </w:tblGrid>
      <w:tr w:rsidR="00925F9E" w14:paraId="11B2E739" w14:textId="77777777" w:rsidTr="00742AB3">
        <w:trPr>
          <w:trHeight w:val="39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Default="00363BB6" w:rsidP="00742AB3">
            <w:pPr>
              <w:spacing w:after="0"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925F9E" w14:paraId="6E46679F" w14:textId="77777777" w:rsidTr="00742AB3">
        <w:trPr>
          <w:trHeight w:val="341"/>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431ABE9A" w:rsidR="000E1A83" w:rsidRDefault="00F70AE9" w:rsidP="003F580D">
            <w:pPr>
              <w:spacing w:after="0" w:line="240" w:lineRule="auto"/>
              <w:jc w:val="center"/>
              <w:rPr>
                <w:rFonts w:ascii="Times New Roman" w:hAnsi="Times New Roman"/>
                <w:sz w:val="24"/>
                <w:szCs w:val="24"/>
              </w:rPr>
            </w:pPr>
            <w:r w:rsidRPr="00F70AE9">
              <w:rPr>
                <w:rFonts w:ascii="Times New Roman" w:hAnsi="Times New Roman"/>
                <w:iCs/>
                <w:sz w:val="24"/>
                <w:szCs w:val="24"/>
              </w:rPr>
              <w:t>Projekts šo jomu neskar</w:t>
            </w:r>
            <w:r w:rsidR="00363BB6">
              <w:rPr>
                <w:rFonts w:ascii="Times New Roman" w:hAnsi="Times New Roman"/>
                <w:sz w:val="24"/>
                <w:szCs w:val="24"/>
              </w:rPr>
              <w:t>.</w:t>
            </w:r>
          </w:p>
        </w:tc>
      </w:tr>
    </w:tbl>
    <w:p w14:paraId="1E0223B1"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396"/>
        <w:gridCol w:w="2625"/>
        <w:gridCol w:w="7469"/>
      </w:tblGrid>
      <w:tr w:rsidR="00972CE8" w:rsidRPr="004D52B7" w14:paraId="712BAB6D" w14:textId="77777777" w:rsidTr="00097E94">
        <w:trPr>
          <w:trHeight w:val="420"/>
        </w:trPr>
        <w:tc>
          <w:tcPr>
            <w:tcW w:w="5000" w:type="pct"/>
            <w:gridSpan w:val="3"/>
            <w:hideMark/>
          </w:tcPr>
          <w:p w14:paraId="467AD434" w14:textId="77777777" w:rsidR="00972CE8" w:rsidRPr="004D52B7" w:rsidRDefault="00972CE8" w:rsidP="00605078">
            <w:pPr>
              <w:spacing w:after="0" w:line="240" w:lineRule="auto"/>
              <w:jc w:val="center"/>
              <w:rPr>
                <w:rFonts w:ascii="Times New Roman" w:hAnsi="Times New Roman"/>
                <w:b/>
                <w:bCs/>
                <w:sz w:val="24"/>
                <w:szCs w:val="24"/>
              </w:rPr>
            </w:pPr>
            <w:r w:rsidRPr="008277CC">
              <w:rPr>
                <w:rFonts w:ascii="Times New Roman" w:hAnsi="Times New Roman"/>
                <w:b/>
                <w:bCs/>
                <w:sz w:val="24"/>
                <w:szCs w:val="24"/>
              </w:rPr>
              <w:t>VI. Sabiedrības līdzdalība un komunikācijas aktivitātes</w:t>
            </w:r>
          </w:p>
        </w:tc>
      </w:tr>
      <w:tr w:rsidR="003C51F5" w:rsidRPr="000800D7" w14:paraId="74BBA64A" w14:textId="77777777" w:rsidTr="00A44FF9">
        <w:trPr>
          <w:trHeight w:val="540"/>
        </w:trPr>
        <w:tc>
          <w:tcPr>
            <w:tcW w:w="189" w:type="pct"/>
            <w:hideMark/>
          </w:tcPr>
          <w:p w14:paraId="335C5AF3" w14:textId="5F992E3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1.</w:t>
            </w:r>
          </w:p>
        </w:tc>
        <w:tc>
          <w:tcPr>
            <w:tcW w:w="1251" w:type="pct"/>
          </w:tcPr>
          <w:p w14:paraId="4FC8755A" w14:textId="254FB53A" w:rsidR="003E0F3E" w:rsidRPr="004D52B7" w:rsidRDefault="00AC4B25" w:rsidP="00605078">
            <w:pPr>
              <w:spacing w:after="0" w:line="240" w:lineRule="auto"/>
              <w:rPr>
                <w:rFonts w:ascii="Times New Roman" w:hAnsi="Times New Roman"/>
                <w:sz w:val="24"/>
                <w:szCs w:val="24"/>
              </w:rPr>
            </w:pPr>
            <w:r w:rsidRPr="007E6C04">
              <w:rPr>
                <w:rFonts w:ascii="Times New Roman" w:hAnsi="Times New Roman"/>
                <w:sz w:val="24"/>
                <w:szCs w:val="24"/>
              </w:rPr>
              <w:t>Plānotās sabiedrības līdzdalības un komunikācijas aktivitātes saistībā ar projektu</w:t>
            </w:r>
          </w:p>
        </w:tc>
        <w:tc>
          <w:tcPr>
            <w:tcW w:w="3560" w:type="pct"/>
          </w:tcPr>
          <w:p w14:paraId="7919FAE9" w14:textId="79D11889" w:rsidR="003E0F3E" w:rsidRPr="009F29CD" w:rsidRDefault="000C07A2" w:rsidP="00D50434">
            <w:pPr>
              <w:spacing w:after="0" w:line="240" w:lineRule="auto"/>
              <w:jc w:val="both"/>
              <w:rPr>
                <w:rFonts w:ascii="Times New Roman" w:hAnsi="Times New Roman"/>
                <w:bCs/>
                <w:sz w:val="24"/>
                <w:szCs w:val="24"/>
              </w:rPr>
            </w:pPr>
            <w:r w:rsidRPr="000C07A2">
              <w:rPr>
                <w:rFonts w:ascii="Times New Roman" w:hAnsi="Times New Roman"/>
                <w:bCs/>
                <w:iCs/>
                <w:sz w:val="24"/>
                <w:szCs w:val="24"/>
              </w:rPr>
              <w:t xml:space="preserve">Atbilstoši normatīvo aktu prasībām sabiedrības līdzdalība tiek nodrošināta, ievietojot noteikumu projektu </w:t>
            </w:r>
            <w:r>
              <w:rPr>
                <w:rFonts w:ascii="Times New Roman" w:hAnsi="Times New Roman"/>
                <w:bCs/>
                <w:iCs/>
                <w:sz w:val="24"/>
                <w:szCs w:val="24"/>
              </w:rPr>
              <w:t>Ekonomikas ministrijas</w:t>
            </w:r>
            <w:r w:rsidRPr="000C07A2">
              <w:rPr>
                <w:rFonts w:ascii="Times New Roman" w:hAnsi="Times New Roman"/>
                <w:bCs/>
                <w:iCs/>
                <w:sz w:val="24"/>
                <w:szCs w:val="24"/>
              </w:rPr>
              <w:t xml:space="preserve"> tīmekļa vietnē sabiedriskajai apspriešanai.</w:t>
            </w:r>
          </w:p>
        </w:tc>
      </w:tr>
      <w:tr w:rsidR="00790B85" w:rsidRPr="000800D7" w14:paraId="1811DA76" w14:textId="77777777" w:rsidTr="00A44FF9">
        <w:trPr>
          <w:trHeight w:val="330"/>
        </w:trPr>
        <w:tc>
          <w:tcPr>
            <w:tcW w:w="189" w:type="pct"/>
            <w:hideMark/>
          </w:tcPr>
          <w:p w14:paraId="5DE76994" w14:textId="129008B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2.</w:t>
            </w:r>
          </w:p>
        </w:tc>
        <w:tc>
          <w:tcPr>
            <w:tcW w:w="1251" w:type="pct"/>
          </w:tcPr>
          <w:p w14:paraId="304193EE" w14:textId="6594F83E"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560" w:type="pct"/>
          </w:tcPr>
          <w:p w14:paraId="709282CC" w14:textId="15BB7F15"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 xml:space="preserve">Noteikumu projekts </w:t>
            </w:r>
            <w:r w:rsidR="004479FA">
              <w:rPr>
                <w:rFonts w:ascii="Times New Roman" w:hAnsi="Times New Roman"/>
                <w:iCs/>
                <w:sz w:val="24"/>
                <w:szCs w:val="24"/>
              </w:rPr>
              <w:t xml:space="preserve">2020.gada </w:t>
            </w:r>
            <w:r w:rsidR="00CA056C">
              <w:rPr>
                <w:rFonts w:ascii="Times New Roman" w:hAnsi="Times New Roman"/>
                <w:iCs/>
                <w:sz w:val="24"/>
                <w:szCs w:val="24"/>
              </w:rPr>
              <w:t>9</w:t>
            </w:r>
            <w:r w:rsidR="004479FA">
              <w:rPr>
                <w:rFonts w:ascii="Times New Roman" w:hAnsi="Times New Roman"/>
                <w:iCs/>
                <w:sz w:val="24"/>
                <w:szCs w:val="24"/>
              </w:rPr>
              <w:t>.</w:t>
            </w:r>
            <w:r w:rsidR="00CA056C">
              <w:rPr>
                <w:rFonts w:ascii="Times New Roman" w:hAnsi="Times New Roman"/>
                <w:iCs/>
                <w:sz w:val="24"/>
                <w:szCs w:val="24"/>
              </w:rPr>
              <w:t>decembrī</w:t>
            </w:r>
            <w:r w:rsidR="004479FA">
              <w:rPr>
                <w:rFonts w:ascii="Times New Roman" w:hAnsi="Times New Roman"/>
                <w:iCs/>
                <w:sz w:val="24"/>
                <w:szCs w:val="24"/>
              </w:rPr>
              <w:t xml:space="preserve"> tika </w:t>
            </w:r>
            <w:r w:rsidRPr="00A041A1">
              <w:rPr>
                <w:rFonts w:ascii="Times New Roman" w:hAnsi="Times New Roman"/>
                <w:iCs/>
                <w:sz w:val="24"/>
                <w:szCs w:val="24"/>
              </w:rPr>
              <w:t>ievietots sabiedrības apspriešanai:</w:t>
            </w:r>
          </w:p>
          <w:p w14:paraId="3FB0CEDC" w14:textId="77777777"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1) Ekonomikas ministrijas tīmekļvietnē:</w:t>
            </w:r>
          </w:p>
          <w:p w14:paraId="7CFCA669" w14:textId="7852F11B" w:rsidR="00A041A1" w:rsidRPr="00A041A1" w:rsidRDefault="00904C92" w:rsidP="00A041A1">
            <w:pPr>
              <w:spacing w:after="0" w:line="240" w:lineRule="auto"/>
              <w:jc w:val="both"/>
              <w:rPr>
                <w:rFonts w:ascii="Times New Roman" w:hAnsi="Times New Roman"/>
                <w:iCs/>
                <w:sz w:val="24"/>
                <w:szCs w:val="24"/>
              </w:rPr>
            </w:pPr>
            <w:hyperlink r:id="rId10" w:history="1">
              <w:r w:rsidR="00A041A1" w:rsidRPr="00A810CF">
                <w:rPr>
                  <w:rStyle w:val="Hyperlink"/>
                  <w:rFonts w:ascii="Times New Roman" w:hAnsi="Times New Roman"/>
                  <w:iCs/>
                  <w:sz w:val="24"/>
                  <w:szCs w:val="24"/>
                </w:rPr>
                <w:t>https://em.gov.lv/lv/Ministrija/sabiedribas_lidzdaliba/diskusiju_dokumenti/</w:t>
              </w:r>
            </w:hyperlink>
            <w:r w:rsidR="00A041A1">
              <w:rPr>
                <w:rFonts w:ascii="Times New Roman" w:hAnsi="Times New Roman"/>
                <w:iCs/>
                <w:sz w:val="24"/>
                <w:szCs w:val="24"/>
              </w:rPr>
              <w:t xml:space="preserve"> </w:t>
            </w:r>
          </w:p>
          <w:p w14:paraId="0388F7D8" w14:textId="77777777"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2) Ministru kabineta tīmekļvietnē:</w:t>
            </w:r>
          </w:p>
          <w:p w14:paraId="11CA46FC" w14:textId="6994CC32" w:rsidR="003E0F3E" w:rsidRPr="00E73730" w:rsidRDefault="00904C92" w:rsidP="00A041A1">
            <w:pPr>
              <w:spacing w:after="0" w:line="240" w:lineRule="auto"/>
              <w:jc w:val="both"/>
              <w:rPr>
                <w:rFonts w:ascii="Times New Roman" w:hAnsi="Times New Roman"/>
                <w:i/>
                <w:sz w:val="24"/>
                <w:szCs w:val="24"/>
              </w:rPr>
            </w:pPr>
            <w:hyperlink r:id="rId11" w:history="1">
              <w:r w:rsidR="00A041A1" w:rsidRPr="00A810CF">
                <w:rPr>
                  <w:rStyle w:val="Hyperlink"/>
                  <w:rFonts w:ascii="Times New Roman" w:hAnsi="Times New Roman"/>
                  <w:iCs/>
                  <w:sz w:val="24"/>
                  <w:szCs w:val="24"/>
                </w:rPr>
                <w:t>https://www.mk.gov.lv/content/ministru-kabineta-diskusiju-dokumenti</w:t>
              </w:r>
            </w:hyperlink>
            <w:r w:rsidR="00A041A1">
              <w:rPr>
                <w:rFonts w:ascii="Times New Roman" w:hAnsi="Times New Roman"/>
                <w:iCs/>
                <w:sz w:val="24"/>
                <w:szCs w:val="24"/>
              </w:rPr>
              <w:t xml:space="preserve"> </w:t>
            </w:r>
          </w:p>
        </w:tc>
      </w:tr>
      <w:tr w:rsidR="00790B85" w:rsidRPr="000800D7" w14:paraId="045D3822" w14:textId="77777777" w:rsidTr="002A4DB3">
        <w:trPr>
          <w:trHeight w:val="2535"/>
        </w:trPr>
        <w:tc>
          <w:tcPr>
            <w:tcW w:w="189" w:type="pct"/>
            <w:hideMark/>
          </w:tcPr>
          <w:p w14:paraId="7FF69B15" w14:textId="7EFB4231"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3.</w:t>
            </w:r>
          </w:p>
        </w:tc>
        <w:tc>
          <w:tcPr>
            <w:tcW w:w="1251" w:type="pct"/>
          </w:tcPr>
          <w:p w14:paraId="072CE3BC" w14:textId="678DB540"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560" w:type="pct"/>
            <w:hideMark/>
          </w:tcPr>
          <w:p w14:paraId="7E598E9D" w14:textId="1D167455" w:rsidR="00D869C0" w:rsidRDefault="001706C2" w:rsidP="00D34D2E">
            <w:pPr>
              <w:suppressAutoHyphens/>
              <w:spacing w:after="0" w:line="240" w:lineRule="auto"/>
              <w:jc w:val="both"/>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Sabiedrības līdzdalības rezultātā ie</w:t>
            </w:r>
            <w:r w:rsidR="00CF68D0">
              <w:rPr>
                <w:rFonts w:ascii="Liberation Serif" w:eastAsia="SimSun" w:hAnsi="Liberation Serif" w:cs="Arial"/>
                <w:kern w:val="1"/>
                <w:sz w:val="24"/>
                <w:szCs w:val="24"/>
                <w:lang w:eastAsia="zh-CN" w:bidi="hi-IN"/>
              </w:rPr>
              <w:t>b</w:t>
            </w:r>
            <w:r>
              <w:rPr>
                <w:rFonts w:ascii="Liberation Serif" w:eastAsia="SimSun" w:hAnsi="Liberation Serif" w:cs="Arial"/>
                <w:kern w:val="1"/>
                <w:sz w:val="24"/>
                <w:szCs w:val="24"/>
                <w:lang w:eastAsia="zh-CN" w:bidi="hi-IN"/>
              </w:rPr>
              <w:t>ildumi un priekšlikumi saņemti tikai no F</w:t>
            </w:r>
            <w:r w:rsidR="00CF68D0">
              <w:rPr>
                <w:rFonts w:ascii="Liberation Serif" w:eastAsia="SimSun" w:hAnsi="Liberation Serif" w:cs="Arial"/>
                <w:kern w:val="1"/>
                <w:sz w:val="24"/>
                <w:szCs w:val="24"/>
                <w:lang w:eastAsia="zh-CN" w:bidi="hi-IN"/>
              </w:rPr>
              <w:t>inanšu nozares asociācijas</w:t>
            </w:r>
            <w:r>
              <w:rPr>
                <w:rFonts w:ascii="Liberation Serif" w:eastAsia="SimSun" w:hAnsi="Liberation Serif" w:cs="Arial"/>
                <w:kern w:val="1"/>
                <w:sz w:val="24"/>
                <w:szCs w:val="24"/>
                <w:lang w:eastAsia="zh-CN" w:bidi="hi-IN"/>
              </w:rPr>
              <w:t xml:space="preserve">. </w:t>
            </w:r>
            <w:r w:rsidR="00D34D2E">
              <w:rPr>
                <w:rFonts w:ascii="Liberation Serif" w:eastAsia="SimSun" w:hAnsi="Liberation Serif" w:cs="Arial"/>
                <w:kern w:val="1"/>
                <w:sz w:val="24"/>
                <w:szCs w:val="24"/>
                <w:lang w:eastAsia="zh-CN" w:bidi="hi-IN"/>
              </w:rPr>
              <w:t xml:space="preserve">Virkne ar iebildumiem ņemti vērā, savukārt, daži no tiem </w:t>
            </w:r>
            <w:r w:rsidR="00B559B0">
              <w:rPr>
                <w:rFonts w:ascii="Liberation Serif" w:eastAsia="SimSun" w:hAnsi="Liberation Serif" w:cs="Arial"/>
                <w:kern w:val="1"/>
                <w:sz w:val="24"/>
                <w:szCs w:val="24"/>
                <w:lang w:eastAsia="zh-CN" w:bidi="hi-IN"/>
              </w:rPr>
              <w:t>daļēji ņemti</w:t>
            </w:r>
            <w:r w:rsidR="00D34D2E">
              <w:rPr>
                <w:rFonts w:ascii="Liberation Serif" w:eastAsia="SimSun" w:hAnsi="Liberation Serif" w:cs="Arial"/>
                <w:kern w:val="1"/>
                <w:sz w:val="24"/>
                <w:szCs w:val="24"/>
                <w:lang w:eastAsia="zh-CN" w:bidi="hi-IN"/>
              </w:rPr>
              <w:t xml:space="preserve"> vērā. </w:t>
            </w:r>
            <w:r w:rsidR="00A44FF9" w:rsidRPr="002A4DB3">
              <w:rPr>
                <w:rFonts w:ascii="Liberation Serif" w:eastAsia="SimSun" w:hAnsi="Liberation Serif" w:cs="Arial"/>
                <w:kern w:val="1"/>
                <w:sz w:val="24"/>
                <w:szCs w:val="24"/>
                <w:lang w:eastAsia="zh-CN" w:bidi="hi-IN"/>
              </w:rPr>
              <w:t>Informācija par iebildumiem, kas ņemti vērā un kas nav ņemti vērā, atrodama Izziņā par atzinumos sniegtajiem iebildumiem par Ministru kabineta noteikumu projektu “Noteikumi par atbalsta programmu dzīvojamo māju energoefektivitātes paaugstināšanai”.</w:t>
            </w:r>
          </w:p>
          <w:p w14:paraId="32A87A01" w14:textId="6DF51FA4" w:rsidR="007E66F2" w:rsidRPr="00A041A1" w:rsidRDefault="007E66F2" w:rsidP="00D34D2E">
            <w:pPr>
              <w:suppressAutoHyphens/>
              <w:spacing w:after="0" w:line="240" w:lineRule="auto"/>
              <w:jc w:val="both"/>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Būtiskākie iebildumi ir par atbilstības pārbaudēm publisko pieejamajos reģistros</w:t>
            </w:r>
            <w:r w:rsidR="008F2B1D">
              <w:rPr>
                <w:rFonts w:ascii="Liberation Serif" w:eastAsia="SimSun" w:hAnsi="Liberation Serif" w:cs="Arial"/>
                <w:kern w:val="1"/>
                <w:sz w:val="24"/>
                <w:szCs w:val="24"/>
                <w:lang w:eastAsia="zh-CN" w:bidi="hi-IN"/>
              </w:rPr>
              <w:t xml:space="preserve">, par apliecinājumu sniegšanu atbalsta saņēmējam un ar to saistītajiem jautājumiem,  kā arī par atbalsta saņēmēju tvērumu t.i. kādos novados dzīvojošie iedzīvotāji var saņemt atbalstu. </w:t>
            </w:r>
            <w:r w:rsidR="00101FFE">
              <w:rPr>
                <w:rFonts w:ascii="Liberation Serif" w:eastAsia="SimSun" w:hAnsi="Liberation Serif" w:cs="Arial"/>
                <w:kern w:val="1"/>
                <w:sz w:val="24"/>
                <w:szCs w:val="24"/>
                <w:lang w:eastAsia="zh-CN" w:bidi="hi-IN"/>
              </w:rPr>
              <w:t>Noteikumu projekts precizēts, nosakot skaidru tvērumu attiecībā uz atbalsta saņēmējiem, kā arī precizējot iesniedzamos dokumentus un nosakot skaidr</w:t>
            </w:r>
            <w:r w:rsidR="00FB52BD">
              <w:rPr>
                <w:rFonts w:ascii="Liberation Serif" w:eastAsia="SimSun" w:hAnsi="Liberation Serif" w:cs="Arial"/>
                <w:kern w:val="1"/>
                <w:sz w:val="24"/>
                <w:szCs w:val="24"/>
                <w:lang w:eastAsia="zh-CN" w:bidi="hi-IN"/>
              </w:rPr>
              <w:t>as vadlīnijas informācijai, kas jāpārbauda publiskajos reģistros.</w:t>
            </w:r>
          </w:p>
        </w:tc>
      </w:tr>
      <w:tr w:rsidR="003E0F3E" w:rsidRPr="004D52B7" w14:paraId="0957700F" w14:textId="77777777" w:rsidTr="00A44FF9">
        <w:trPr>
          <w:trHeight w:val="301"/>
        </w:trPr>
        <w:tc>
          <w:tcPr>
            <w:tcW w:w="189" w:type="pct"/>
            <w:hideMark/>
          </w:tcPr>
          <w:p w14:paraId="073F1392" w14:textId="0827511C" w:rsidR="003E0F3E" w:rsidRPr="004D52B7" w:rsidRDefault="003C51F5" w:rsidP="003E0F3E">
            <w:pPr>
              <w:spacing w:after="0" w:line="240" w:lineRule="auto"/>
              <w:rPr>
                <w:rFonts w:ascii="Times New Roman" w:hAnsi="Times New Roman"/>
                <w:sz w:val="24"/>
                <w:szCs w:val="24"/>
              </w:rPr>
            </w:pPr>
            <w:r>
              <w:rPr>
                <w:rFonts w:ascii="Times New Roman" w:hAnsi="Times New Roman"/>
                <w:sz w:val="24"/>
                <w:szCs w:val="24"/>
              </w:rPr>
              <w:t>4.</w:t>
            </w:r>
          </w:p>
        </w:tc>
        <w:tc>
          <w:tcPr>
            <w:tcW w:w="1251" w:type="pct"/>
          </w:tcPr>
          <w:p w14:paraId="3575EBC6" w14:textId="235B8EAD" w:rsidR="003E0F3E" w:rsidRPr="004D52B7" w:rsidRDefault="003E0F3E" w:rsidP="00605078">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560" w:type="pct"/>
            <w:hideMark/>
          </w:tcPr>
          <w:p w14:paraId="55B955C9" w14:textId="72926147" w:rsidR="00D869C0" w:rsidRPr="00D869C0" w:rsidRDefault="00A041A1" w:rsidP="00D869C0">
            <w:pPr>
              <w:pStyle w:val="naisnod"/>
              <w:spacing w:before="0" w:after="0"/>
              <w:jc w:val="both"/>
            </w:pPr>
            <w:r>
              <w:rPr>
                <w:b w:val="0"/>
              </w:rPr>
              <w:t>Nav</w:t>
            </w:r>
          </w:p>
          <w:p w14:paraId="19DE89C1" w14:textId="4A6455AD" w:rsidR="003E0F3E" w:rsidRPr="004D52B7" w:rsidRDefault="003E0F3E" w:rsidP="00605078">
            <w:pPr>
              <w:spacing w:after="0" w:line="240" w:lineRule="auto"/>
              <w:rPr>
                <w:rFonts w:ascii="Times New Roman" w:hAnsi="Times New Roman"/>
                <w:sz w:val="24"/>
                <w:szCs w:val="24"/>
              </w:rPr>
            </w:pPr>
          </w:p>
        </w:tc>
      </w:tr>
    </w:tbl>
    <w:p w14:paraId="6DC0157A" w14:textId="6A7A05D3" w:rsidR="00E47B7E" w:rsidRDefault="00E47B7E"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466"/>
        <w:gridCol w:w="4070"/>
        <w:gridCol w:w="5954"/>
      </w:tblGrid>
      <w:tr w:rsidR="00925F9E" w14:paraId="65402A31" w14:textId="77777777" w:rsidTr="009B2273">
        <w:trPr>
          <w:trHeight w:val="375"/>
        </w:trPr>
        <w:tc>
          <w:tcPr>
            <w:tcW w:w="5000" w:type="pct"/>
            <w:gridSpan w:val="3"/>
            <w:hideMark/>
          </w:tcPr>
          <w:p w14:paraId="62B8C3E6"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4941DF">
              <w:rPr>
                <w:rFonts w:ascii="Times New Roman" w:eastAsia="Times New Roman" w:hAnsi="Times New Roman"/>
                <w:b/>
                <w:bCs/>
                <w:sz w:val="24"/>
                <w:szCs w:val="24"/>
                <w:lang w:eastAsia="lv-LV"/>
              </w:rPr>
              <w:t>VII. Tiesību akta projekta izpildes nodrošināšana un tās ietekme uz institūcijām</w:t>
            </w:r>
          </w:p>
        </w:tc>
      </w:tr>
      <w:tr w:rsidR="00925F9E" w14:paraId="702A1D02" w14:textId="77777777" w:rsidTr="00742AB3">
        <w:trPr>
          <w:trHeight w:val="420"/>
        </w:trPr>
        <w:tc>
          <w:tcPr>
            <w:tcW w:w="222" w:type="pct"/>
            <w:hideMark/>
          </w:tcPr>
          <w:p w14:paraId="699F7942"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1.</w:t>
            </w:r>
          </w:p>
        </w:tc>
        <w:tc>
          <w:tcPr>
            <w:tcW w:w="1940" w:type="pct"/>
            <w:hideMark/>
          </w:tcPr>
          <w:p w14:paraId="25FBC28D" w14:textId="77777777" w:rsidR="00C96AD3" w:rsidRPr="009D22A8" w:rsidRDefault="00363BB6" w:rsidP="00C96AD3">
            <w:pPr>
              <w:spacing w:after="0" w:line="240" w:lineRule="auto"/>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Projekta izpildē iesaistītās institūcijas</w:t>
            </w:r>
          </w:p>
        </w:tc>
        <w:tc>
          <w:tcPr>
            <w:tcW w:w="2837" w:type="pct"/>
            <w:hideMark/>
          </w:tcPr>
          <w:p w14:paraId="46637270" w14:textId="5A45B8F7" w:rsidR="00C96AD3" w:rsidRPr="009D22A8" w:rsidRDefault="008A7215" w:rsidP="002A75D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 ministrija</w:t>
            </w:r>
            <w:r w:rsidR="000F4C12" w:rsidRPr="007D65A0">
              <w:rPr>
                <w:rFonts w:ascii="Times New Roman" w:eastAsia="Times New Roman" w:hAnsi="Times New Roman"/>
                <w:sz w:val="24"/>
                <w:szCs w:val="24"/>
                <w:lang w:eastAsia="lv-LV"/>
              </w:rPr>
              <w:t>, sabiedrība “Altum”</w:t>
            </w:r>
          </w:p>
        </w:tc>
      </w:tr>
      <w:tr w:rsidR="00925F9E" w14:paraId="28D8C2E0" w14:textId="77777777" w:rsidTr="00742AB3">
        <w:trPr>
          <w:trHeight w:val="450"/>
        </w:trPr>
        <w:tc>
          <w:tcPr>
            <w:tcW w:w="222" w:type="pct"/>
            <w:hideMark/>
          </w:tcPr>
          <w:p w14:paraId="1AA7CC4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940" w:type="pct"/>
            <w:hideMark/>
          </w:tcPr>
          <w:p w14:paraId="32540DF8"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37" w:type="pct"/>
            <w:hideMark/>
          </w:tcPr>
          <w:p w14:paraId="51AF1960" w14:textId="75E67EC2" w:rsidR="00A041A1" w:rsidRPr="00A041A1" w:rsidRDefault="00A041A1" w:rsidP="00A041A1">
            <w:pPr>
              <w:spacing w:after="0" w:line="240" w:lineRule="auto"/>
              <w:jc w:val="both"/>
              <w:rPr>
                <w:rFonts w:ascii="Times New Roman" w:eastAsia="Times New Roman" w:hAnsi="Times New Roman"/>
                <w:sz w:val="24"/>
                <w:szCs w:val="24"/>
              </w:rPr>
            </w:pPr>
            <w:r w:rsidRPr="00A041A1">
              <w:rPr>
                <w:rFonts w:ascii="Times New Roman" w:eastAsia="Times New Roman" w:hAnsi="Times New Roman"/>
                <w:sz w:val="24"/>
                <w:szCs w:val="24"/>
              </w:rPr>
              <w:t>Noteikumu projekta izpilde tiks nodrošināta Altum esošo funkciju ietvaros, nav nepieciešams izveidot jaunas institūcijas, likvidēt esošas institūcijas vai veikt reorganizāciju.</w:t>
            </w:r>
          </w:p>
          <w:p w14:paraId="5DA89E96" w14:textId="456D6AAA" w:rsidR="007704D8" w:rsidRPr="00802C21" w:rsidRDefault="00A041A1" w:rsidP="00A041A1">
            <w:pPr>
              <w:spacing w:after="0" w:line="240" w:lineRule="auto"/>
              <w:jc w:val="both"/>
              <w:rPr>
                <w:rFonts w:ascii="Times New Roman" w:eastAsia="Times New Roman" w:hAnsi="Times New Roman"/>
                <w:sz w:val="24"/>
                <w:szCs w:val="24"/>
              </w:rPr>
            </w:pPr>
            <w:r w:rsidRPr="00A041A1">
              <w:rPr>
                <w:rFonts w:ascii="Times New Roman" w:eastAsia="Times New Roman" w:hAnsi="Times New Roman"/>
                <w:sz w:val="24"/>
                <w:szCs w:val="24"/>
              </w:rPr>
              <w:t>Noteikumu projekta izpilde tiks organizēta esošo cilvēkresursu ietvaros.</w:t>
            </w:r>
          </w:p>
        </w:tc>
      </w:tr>
      <w:tr w:rsidR="00925F9E" w14:paraId="0CFC8929" w14:textId="77777777" w:rsidTr="00742AB3">
        <w:trPr>
          <w:trHeight w:val="390"/>
        </w:trPr>
        <w:tc>
          <w:tcPr>
            <w:tcW w:w="222" w:type="pct"/>
            <w:hideMark/>
          </w:tcPr>
          <w:p w14:paraId="1EB8D1CF"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940" w:type="pct"/>
            <w:hideMark/>
          </w:tcPr>
          <w:p w14:paraId="3355C226"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837" w:type="pct"/>
            <w:hideMark/>
          </w:tcPr>
          <w:p w14:paraId="7C05FE5F"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3E01121D" w14:textId="41D863B7" w:rsidR="000A762C" w:rsidRPr="000A762C" w:rsidRDefault="000A762C" w:rsidP="000A762C">
      <w:pPr>
        <w:spacing w:after="0" w:line="240" w:lineRule="auto"/>
        <w:rPr>
          <w:rFonts w:ascii="Times New Roman" w:hAnsi="Times New Roman"/>
          <w:sz w:val="24"/>
        </w:rPr>
      </w:pPr>
      <w:r w:rsidRPr="000A762C">
        <w:rPr>
          <w:rFonts w:ascii="Times New Roman" w:hAnsi="Times New Roman"/>
          <w:sz w:val="24"/>
        </w:rPr>
        <w:t>Ekonomikas ministr</w:t>
      </w:r>
      <w:r>
        <w:rPr>
          <w:rFonts w:ascii="Times New Roman" w:hAnsi="Times New Roman"/>
          <w:sz w:val="24"/>
        </w:rPr>
        <w:t xml:space="preserve">s                                                                                                    </w:t>
      </w:r>
      <w:r w:rsidRPr="000A762C">
        <w:rPr>
          <w:rFonts w:ascii="Times New Roman" w:hAnsi="Times New Roman"/>
          <w:sz w:val="24"/>
        </w:rPr>
        <w:t xml:space="preserve"> J.Vitenbergs</w:t>
      </w:r>
    </w:p>
    <w:p w14:paraId="1FBA4C5A" w14:textId="77777777" w:rsidR="000A762C" w:rsidRDefault="000A762C" w:rsidP="000A762C">
      <w:pPr>
        <w:spacing w:after="0" w:line="240" w:lineRule="auto"/>
        <w:rPr>
          <w:rFonts w:ascii="Times New Roman" w:hAnsi="Times New Roman"/>
          <w:sz w:val="24"/>
        </w:rPr>
      </w:pPr>
    </w:p>
    <w:p w14:paraId="032BCB34" w14:textId="77777777" w:rsidR="000A762C" w:rsidRDefault="000A762C" w:rsidP="000A762C">
      <w:pPr>
        <w:spacing w:after="0" w:line="240" w:lineRule="auto"/>
        <w:rPr>
          <w:rFonts w:ascii="Times New Roman" w:hAnsi="Times New Roman"/>
          <w:sz w:val="24"/>
        </w:rPr>
      </w:pPr>
    </w:p>
    <w:p w14:paraId="1E355315" w14:textId="490FEE0A" w:rsidR="000A762C" w:rsidRPr="000A762C" w:rsidRDefault="000A762C" w:rsidP="000A762C">
      <w:pPr>
        <w:spacing w:after="0" w:line="240" w:lineRule="auto"/>
        <w:rPr>
          <w:rFonts w:ascii="Times New Roman" w:hAnsi="Times New Roman"/>
          <w:sz w:val="24"/>
        </w:rPr>
      </w:pPr>
      <w:r w:rsidRPr="000A762C">
        <w:rPr>
          <w:rFonts w:ascii="Times New Roman" w:hAnsi="Times New Roman"/>
          <w:sz w:val="24"/>
        </w:rPr>
        <w:t>Vīza:</w:t>
      </w:r>
    </w:p>
    <w:p w14:paraId="108B7819" w14:textId="74FB1579" w:rsidR="00DF6EDF" w:rsidRPr="00C65F12" w:rsidRDefault="001B0556" w:rsidP="00A76C0A">
      <w:pPr>
        <w:spacing w:after="0" w:line="240" w:lineRule="auto"/>
        <w:jc w:val="both"/>
        <w:rPr>
          <w:rFonts w:ascii="Times New Roman" w:eastAsia="Times New Roman" w:hAnsi="Times New Roman"/>
          <w:sz w:val="18"/>
          <w:szCs w:val="18"/>
          <w:lang w:eastAsia="lv-LV"/>
        </w:rPr>
      </w:pPr>
      <w:r>
        <w:rPr>
          <w:rFonts w:ascii="Times New Roman" w:hAnsi="Times New Roman"/>
          <w:sz w:val="24"/>
        </w:rPr>
        <w:t>Valsts sekretārs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E. Valantis</w:t>
      </w:r>
    </w:p>
    <w:sectPr w:rsidR="00DF6EDF" w:rsidRPr="00C65F12" w:rsidSect="00DF12C5">
      <w:headerReference w:type="default" r:id="rId12"/>
      <w:footerReference w:type="default" r:id="rId13"/>
      <w:footerReference w:type="first" r:id="rId14"/>
      <w:pgSz w:w="11906" w:h="16838"/>
      <w:pgMar w:top="567" w:right="1274" w:bottom="1560" w:left="1276" w:header="51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19E" w16cex:dateUtc="2021-02-01T13:49:00Z"/>
  <w16cex:commentExtensible w16cex:durableId="23C2A0BC" w16cex:dateUtc="2021-02-01T13:46:00Z"/>
  <w16cex:commentExtensible w16cex:durableId="23C3BB82" w16cex:dateUtc="2021-02-02T09:52:00Z"/>
  <w16cex:commentExtensible w16cex:durableId="23C29F10" w16cex:dateUtc="2021-02-01T13:38:00Z"/>
  <w16cex:commentExtensible w16cex:durableId="23C3BD1F" w16cex:dateUtc="2021-02-02T0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D987" w14:textId="77777777" w:rsidR="006E4CA2" w:rsidRDefault="006E4CA2">
      <w:pPr>
        <w:spacing w:after="0" w:line="240" w:lineRule="auto"/>
      </w:pPr>
      <w:r>
        <w:separator/>
      </w:r>
    </w:p>
  </w:endnote>
  <w:endnote w:type="continuationSeparator" w:id="0">
    <w:p w14:paraId="7A5886BB" w14:textId="77777777" w:rsidR="006E4CA2" w:rsidRDefault="006E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836B" w14:textId="2868AD9F" w:rsidR="00F26BB4" w:rsidRPr="00C15065" w:rsidRDefault="00C15065" w:rsidP="00C15065">
    <w:pPr>
      <w:pStyle w:val="Footer"/>
    </w:pPr>
    <w:r w:rsidRPr="00C15065">
      <w:rPr>
        <w:rFonts w:ascii="Times New Roman" w:hAnsi="Times New Roman"/>
      </w:rPr>
      <w:t>EMAnot_</w:t>
    </w:r>
    <w:r w:rsidR="00991138">
      <w:rPr>
        <w:rFonts w:ascii="Times New Roman" w:hAnsi="Times New Roman"/>
      </w:rPr>
      <w:t>0202</w:t>
    </w:r>
    <w:r w:rsidRPr="00C15065">
      <w:rPr>
        <w:rFonts w:ascii="Times New Roman" w:hAnsi="Times New Roman"/>
      </w:rPr>
      <w:t>2021_privatmaju_portfelgarantijas.docx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B6BF" w14:textId="2ECF3E09" w:rsidR="00F26BB4" w:rsidRPr="006E2BC5" w:rsidRDefault="00C15065" w:rsidP="006E2BC5">
    <w:pPr>
      <w:pStyle w:val="Footer"/>
      <w:rPr>
        <w:rFonts w:ascii="Times New Roman" w:hAnsi="Times New Roman"/>
      </w:rPr>
    </w:pPr>
    <w:r w:rsidRPr="00C15065">
      <w:rPr>
        <w:rFonts w:ascii="Times New Roman" w:hAnsi="Times New Roman"/>
      </w:rPr>
      <w:t>EMAnot_</w:t>
    </w:r>
    <w:r w:rsidR="00B0559C">
      <w:rPr>
        <w:rFonts w:ascii="Times New Roman" w:hAnsi="Times New Roman"/>
      </w:rPr>
      <w:t>0202</w:t>
    </w:r>
    <w:r w:rsidRPr="00C15065">
      <w:rPr>
        <w:rFonts w:ascii="Times New Roman" w:hAnsi="Times New Roman"/>
      </w:rPr>
      <w:t>2021_privatmaju_portfelgarantijas.docx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4C18A" w14:textId="77777777" w:rsidR="006E4CA2" w:rsidRDefault="006E4CA2">
      <w:pPr>
        <w:spacing w:after="0" w:line="240" w:lineRule="auto"/>
      </w:pPr>
      <w:r>
        <w:separator/>
      </w:r>
    </w:p>
  </w:footnote>
  <w:footnote w:type="continuationSeparator" w:id="0">
    <w:p w14:paraId="61FB0B05" w14:textId="77777777" w:rsidR="006E4CA2" w:rsidRDefault="006E4CA2">
      <w:pPr>
        <w:spacing w:after="0" w:line="240" w:lineRule="auto"/>
      </w:pPr>
      <w:r>
        <w:continuationSeparator/>
      </w:r>
    </w:p>
  </w:footnote>
  <w:footnote w:id="1">
    <w:p w14:paraId="331A64E3" w14:textId="77777777" w:rsidR="007918C1" w:rsidRPr="00007365" w:rsidRDefault="007918C1" w:rsidP="007918C1">
      <w:pPr>
        <w:pStyle w:val="FootnoteText"/>
        <w:jc w:val="both"/>
        <w:rPr>
          <w:rFonts w:ascii="Times New Roman" w:hAnsi="Times New Roman"/>
        </w:rPr>
      </w:pPr>
      <w:r w:rsidRPr="00007365">
        <w:rPr>
          <w:rStyle w:val="FootnoteReference"/>
          <w:rFonts w:ascii="Times New Roman" w:hAnsi="Times New Roman"/>
        </w:rPr>
        <w:footnoteRef/>
      </w:r>
      <w:r w:rsidRPr="00007365">
        <w:rPr>
          <w:rFonts w:ascii="Times New Roman" w:hAnsi="Times New Roman"/>
        </w:rPr>
        <w:t xml:space="preserve"> </w:t>
      </w:r>
      <w:r>
        <w:rPr>
          <w:rFonts w:ascii="Times New Roman" w:hAnsi="Times New Roman"/>
        </w:rPr>
        <w:t xml:space="preserve">Atbilstoši </w:t>
      </w:r>
      <w:r w:rsidRPr="00007365">
        <w:rPr>
          <w:rFonts w:ascii="Times New Roman" w:hAnsi="Times New Roman"/>
        </w:rPr>
        <w:t xml:space="preserve">07.05.2020. </w:t>
      </w:r>
      <w:r>
        <w:rPr>
          <w:rFonts w:ascii="Times New Roman" w:hAnsi="Times New Roman"/>
        </w:rPr>
        <w:t>grozījumiem</w:t>
      </w:r>
      <w:r w:rsidRPr="00007365">
        <w:rPr>
          <w:rFonts w:ascii="Times New Roman" w:hAnsi="Times New Roman"/>
        </w:rPr>
        <w:t xml:space="preserve"> Latvijas un Šveices sadarbības programmas individuālā projekta Nr. CH08 “Mikrokreditēšanas programma” (Projekts) līgumā, kas paredz (1) Projekta ietvaros izveidotais Aizdevumu fonds izbeidz darbību 31.03.2020. un (2) svītrots nosacījums finansējuma turpmākai izmantošanai pēc Aizdevumu fonda slēgšanas. Attiecīgi līdz ar Projekta līguma grozījumiem līgumsaistības ar Šveices pusi ir izbeigtas un Aizdevumu fonda turpmāka izmantošana ir nacionālā pārziņā.</w:t>
      </w:r>
    </w:p>
  </w:footnote>
  <w:footnote w:id="2">
    <w:p w14:paraId="173F3067" w14:textId="77777777" w:rsidR="00BB12A3" w:rsidRDefault="00BB12A3" w:rsidP="00BB12A3">
      <w:pPr>
        <w:pStyle w:val="FootnoteText"/>
        <w:jc w:val="both"/>
      </w:pPr>
      <w:r>
        <w:rPr>
          <w:rStyle w:val="FootnoteReference"/>
        </w:rPr>
        <w:footnoteRef/>
      </w:r>
      <w:r>
        <w:t xml:space="preserve"> </w:t>
      </w:r>
      <w:r w:rsidRPr="00685F6D">
        <w:rPr>
          <w:rFonts w:ascii="Times New Roman" w:hAnsi="Times New Roman"/>
        </w:rPr>
        <w:t>Ekonomikas ministrija</w:t>
      </w:r>
      <w:r>
        <w:rPr>
          <w:rFonts w:ascii="Times New Roman" w:hAnsi="Times New Roman"/>
        </w:rPr>
        <w:t>, Nacionālais enerģētikas un klimata plāns 2021.-2030. gadam, 98.lpp.</w:t>
      </w:r>
      <w:r w:rsidRPr="00685F6D">
        <w:rPr>
          <w:rFonts w:ascii="Times New Roman" w:hAnsi="Times New Roman"/>
        </w:rPr>
        <w:t xml:space="preserve"> </w:t>
      </w:r>
      <w:r>
        <w:rPr>
          <w:rFonts w:ascii="Times New Roman" w:hAnsi="Times New Roman"/>
        </w:rPr>
        <w:t xml:space="preserve">Iegūts no: </w:t>
      </w:r>
      <w:hyperlink r:id="rId1" w:history="1">
        <w:r w:rsidRPr="008D65A6">
          <w:rPr>
            <w:rStyle w:val="Hyperlink"/>
            <w:rFonts w:ascii="Times New Roman" w:hAnsi="Times New Roman"/>
          </w:rPr>
          <w:t>https://www.em.gov.lv/lv/nozares_politika/nacionalais_energetikas_un_klimata_plans/</w:t>
        </w:r>
      </w:hyperlink>
      <w:r>
        <w:rPr>
          <w:rFonts w:ascii="Times New Roman" w:hAnsi="Times New Roman"/>
        </w:rPr>
        <w:t>.</w:t>
      </w:r>
    </w:p>
  </w:footnote>
  <w:footnote w:id="3">
    <w:p w14:paraId="6E308AA6" w14:textId="77777777" w:rsidR="00BB12A3" w:rsidRPr="00685F6D" w:rsidRDefault="00BB12A3" w:rsidP="00BB12A3">
      <w:pPr>
        <w:pStyle w:val="FootnoteText"/>
        <w:jc w:val="both"/>
        <w:rPr>
          <w:rFonts w:ascii="Times New Roman" w:hAnsi="Times New Roman"/>
        </w:rPr>
      </w:pPr>
      <w:r w:rsidRPr="00685F6D">
        <w:rPr>
          <w:rStyle w:val="FootnoteReference"/>
          <w:rFonts w:ascii="Times New Roman" w:hAnsi="Times New Roman"/>
        </w:rPr>
        <w:footnoteRef/>
      </w:r>
      <w:r w:rsidRPr="00685F6D">
        <w:rPr>
          <w:rFonts w:ascii="Times New Roman" w:hAnsi="Times New Roman"/>
        </w:rPr>
        <w:t xml:space="preserve"> Ekonomikas ministrija</w:t>
      </w:r>
      <w:r>
        <w:rPr>
          <w:rFonts w:ascii="Times New Roman" w:hAnsi="Times New Roman"/>
        </w:rPr>
        <w:t>, Nacionālais enerģētikas un klimata plāns 2021.-2030. gadam, 96.lpp.</w:t>
      </w:r>
      <w:r w:rsidRPr="00685F6D">
        <w:rPr>
          <w:rFonts w:ascii="Times New Roman" w:hAnsi="Times New Roman"/>
        </w:rPr>
        <w:t xml:space="preserve"> </w:t>
      </w:r>
      <w:r>
        <w:rPr>
          <w:rFonts w:ascii="Times New Roman" w:hAnsi="Times New Roman"/>
        </w:rPr>
        <w:t xml:space="preserve">Iegūts no: </w:t>
      </w:r>
      <w:hyperlink r:id="rId2" w:history="1">
        <w:r w:rsidRPr="008D65A6">
          <w:rPr>
            <w:rStyle w:val="Hyperlink"/>
            <w:rFonts w:ascii="Times New Roman" w:hAnsi="Times New Roman"/>
          </w:rPr>
          <w:t>https://www.em.gov.lv/lv/nozares_politika/nacionalais_energetikas_un_klimata_plans/</w:t>
        </w:r>
      </w:hyperlink>
      <w:r>
        <w:rPr>
          <w:rFonts w:ascii="Times New Roman" w:hAnsi="Times New Roman"/>
        </w:rPr>
        <w:t>.</w:t>
      </w:r>
    </w:p>
  </w:footnote>
  <w:footnote w:id="4">
    <w:p w14:paraId="186969F5" w14:textId="6728710E" w:rsidR="00101FFE" w:rsidRDefault="00101FFE">
      <w:pPr>
        <w:pStyle w:val="FootnoteText"/>
      </w:pPr>
      <w:r>
        <w:rPr>
          <w:rStyle w:val="FootnoteReference"/>
        </w:rPr>
        <w:footnoteRef/>
      </w:r>
      <w:r>
        <w:t xml:space="preserve"> </w:t>
      </w:r>
      <w:r w:rsidRPr="00101FFE">
        <w:t>Likumprojekts “Attīstības finanšu institūcijas likums</w:t>
      </w:r>
      <w:r>
        <w:t xml:space="preserve">”: </w:t>
      </w:r>
      <w:r w:rsidRPr="00101FFE">
        <w:t>http://titania.saeima.lv/LIVS11/SaeimaLIVS11.nsf/0/8702669DB6D8C27CC2257D6A001FFBD8?OpenDocument</w:t>
      </w:r>
    </w:p>
  </w:footnote>
  <w:footnote w:id="5">
    <w:p w14:paraId="473C9642" w14:textId="77777777" w:rsidR="007918C1" w:rsidRPr="00036B12" w:rsidRDefault="007918C1" w:rsidP="007918C1">
      <w:pPr>
        <w:pStyle w:val="FootnoteText"/>
        <w:jc w:val="both"/>
        <w:rPr>
          <w:rFonts w:ascii="Times New Roman" w:hAnsi="Times New Roman"/>
        </w:rPr>
      </w:pPr>
      <w:r w:rsidRPr="00036B12">
        <w:rPr>
          <w:rStyle w:val="FootnoteReference"/>
          <w:rFonts w:ascii="Times New Roman" w:hAnsi="Times New Roman"/>
        </w:rPr>
        <w:footnoteRef/>
      </w:r>
      <w:r w:rsidRPr="00036B12">
        <w:rPr>
          <w:rFonts w:ascii="Times New Roman" w:hAnsi="Times New Roman"/>
        </w:rPr>
        <w:t xml:space="preserve"> Saskaņā ar Ministru kabineta 2020.gada 11.augusta sēdes protokola Nr. 47 82.§ 2.punktu, pieejams: https://likumi.lv/ta/id/316704-ministru-kabineta-sedes-attalinata-veida-protokols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92D7" w14:textId="7C40B212" w:rsidR="00F26BB4" w:rsidRDefault="00F26BB4"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Pr>
        <w:rFonts w:ascii="Times New Roman" w:hAnsi="Times New Roman"/>
        <w:noProof/>
        <w:sz w:val="24"/>
        <w:szCs w:val="24"/>
      </w:rPr>
      <w:t>9</w:t>
    </w:r>
    <w:r w:rsidRPr="00F4546D">
      <w:rPr>
        <w:rFonts w:ascii="Times New Roman" w:hAnsi="Times New Roman"/>
        <w:sz w:val="24"/>
        <w:szCs w:val="24"/>
      </w:rPr>
      <w:fldChar w:fldCharType="end"/>
    </w:r>
  </w:p>
  <w:p w14:paraId="030B23BE" w14:textId="77777777" w:rsidR="00F26BB4" w:rsidRPr="00F4546D" w:rsidRDefault="00F26BB4"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44A4082"/>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72AD2"/>
    <w:multiLevelType w:val="hybridMultilevel"/>
    <w:tmpl w:val="033E98A6"/>
    <w:lvl w:ilvl="0" w:tplc="97A2B7D4">
      <w:start w:val="1"/>
      <w:numFmt w:val="bullet"/>
      <w:lvlText w:val="-"/>
      <w:lvlJc w:val="left"/>
      <w:pPr>
        <w:ind w:left="1187" w:hanging="360"/>
      </w:pPr>
      <w:rPr>
        <w:rFonts w:ascii="Times New Roman" w:eastAsia="Times New Roman"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3" w15:restartNumberingAfterBreak="0">
    <w:nsid w:val="0A800D0E"/>
    <w:multiLevelType w:val="multilevel"/>
    <w:tmpl w:val="7A300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B55809"/>
    <w:multiLevelType w:val="hybridMultilevel"/>
    <w:tmpl w:val="69124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917B5"/>
    <w:multiLevelType w:val="hybridMultilevel"/>
    <w:tmpl w:val="3740FC2E"/>
    <w:lvl w:ilvl="0" w:tplc="D816828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850D7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E705E8"/>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9" w15:restartNumberingAfterBreak="0">
    <w:nsid w:val="19633132"/>
    <w:multiLevelType w:val="hybridMultilevel"/>
    <w:tmpl w:val="FD6E0344"/>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037355"/>
    <w:multiLevelType w:val="hybridMultilevel"/>
    <w:tmpl w:val="AAFC3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4D00AF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B917CB"/>
    <w:multiLevelType w:val="hybridMultilevel"/>
    <w:tmpl w:val="D5CA4976"/>
    <w:lvl w:ilvl="0" w:tplc="8D964210">
      <w:start w:val="1"/>
      <w:numFmt w:val="decimal"/>
      <w:lvlText w:val="%1."/>
      <w:lvlJc w:val="left"/>
      <w:pPr>
        <w:ind w:left="720" w:hanging="360"/>
      </w:pPr>
      <w:rPr>
        <w:rFonts w:hint="default"/>
        <w:b/>
        <w:bCs/>
        <w:i/>
        <w:iCs/>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F86F24"/>
    <w:multiLevelType w:val="hybridMultilevel"/>
    <w:tmpl w:val="C1E2870A"/>
    <w:lvl w:ilvl="0" w:tplc="97A2B7D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685C32"/>
    <w:multiLevelType w:val="hybridMultilevel"/>
    <w:tmpl w:val="56485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540556"/>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18" w15:restartNumberingAfterBreak="0">
    <w:nsid w:val="3D813B2F"/>
    <w:multiLevelType w:val="hybridMultilevel"/>
    <w:tmpl w:val="BEBA9580"/>
    <w:lvl w:ilvl="0" w:tplc="FC0C03A2">
      <w:start w:val="1"/>
      <w:numFmt w:val="decimal"/>
      <w:lvlText w:val="%1)"/>
      <w:lvlJc w:val="left"/>
      <w:pPr>
        <w:ind w:left="720" w:hanging="360"/>
      </w:pPr>
      <w:rPr>
        <w:rFonts w:ascii="Times New Roman" w:hAnsi="Times New Roman" w:cs="Times New Roman" w:hint="default"/>
        <w:b/>
        <w:bCs/>
        <w:i/>
        <w:i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1F713F"/>
    <w:multiLevelType w:val="hybridMultilevel"/>
    <w:tmpl w:val="E40053DA"/>
    <w:lvl w:ilvl="0" w:tplc="EAD466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8077AF8"/>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E3B87"/>
    <w:multiLevelType w:val="hybridMultilevel"/>
    <w:tmpl w:val="4484EA60"/>
    <w:lvl w:ilvl="0" w:tplc="98162800">
      <w:start w:val="1"/>
      <w:numFmt w:val="decimal"/>
      <w:lvlText w:val="%1."/>
      <w:lvlJc w:val="left"/>
      <w:pPr>
        <w:ind w:left="0" w:firstLine="1069"/>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0C11587"/>
    <w:multiLevelType w:val="hybridMultilevel"/>
    <w:tmpl w:val="1D3CF8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45292B"/>
    <w:multiLevelType w:val="hybridMultilevel"/>
    <w:tmpl w:val="3B6ACB86"/>
    <w:lvl w:ilvl="0" w:tplc="9F82E1C0">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75C266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5"/>
  </w:num>
  <w:num w:numId="4">
    <w:abstractNumId w:val="22"/>
  </w:num>
  <w:num w:numId="5">
    <w:abstractNumId w:val="0"/>
  </w:num>
  <w:num w:numId="6">
    <w:abstractNumId w:val="27"/>
  </w:num>
  <w:num w:numId="7">
    <w:abstractNumId w:val="15"/>
  </w:num>
  <w:num w:numId="8">
    <w:abstractNumId w:val="21"/>
  </w:num>
  <w:num w:numId="9">
    <w:abstractNumId w:val="20"/>
  </w:num>
  <w:num w:numId="10">
    <w:abstractNumId w:val="16"/>
  </w:num>
  <w:num w:numId="11">
    <w:abstractNumId w:val="10"/>
  </w:num>
  <w:num w:numId="12">
    <w:abstractNumId w:val="3"/>
  </w:num>
  <w:num w:numId="13">
    <w:abstractNumId w:val="26"/>
  </w:num>
  <w:num w:numId="14">
    <w:abstractNumId w:val="4"/>
  </w:num>
  <w:num w:numId="15">
    <w:abstractNumId w:val="8"/>
  </w:num>
  <w:num w:numId="16">
    <w:abstractNumId w:val="17"/>
  </w:num>
  <w:num w:numId="17">
    <w:abstractNumId w:val="13"/>
  </w:num>
  <w:num w:numId="18">
    <w:abstractNumId w:val="23"/>
  </w:num>
  <w:num w:numId="19">
    <w:abstractNumId w:val="9"/>
  </w:num>
  <w:num w:numId="20">
    <w:abstractNumId w:val="12"/>
  </w:num>
  <w:num w:numId="21">
    <w:abstractNumId w:val="1"/>
  </w:num>
  <w:num w:numId="22">
    <w:abstractNumId w:val="6"/>
  </w:num>
  <w:num w:numId="23">
    <w:abstractNumId w:val="7"/>
  </w:num>
  <w:num w:numId="24">
    <w:abstractNumId w:val="19"/>
  </w:num>
  <w:num w:numId="25">
    <w:abstractNumId w:val="24"/>
  </w:num>
  <w:num w:numId="26">
    <w:abstractNumId w:val="14"/>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00"/>
    <w:rsid w:val="00001EC4"/>
    <w:rsid w:val="00010D7A"/>
    <w:rsid w:val="00012B57"/>
    <w:rsid w:val="0001406B"/>
    <w:rsid w:val="000140A6"/>
    <w:rsid w:val="00014EE9"/>
    <w:rsid w:val="00022163"/>
    <w:rsid w:val="000228DE"/>
    <w:rsid w:val="0002518F"/>
    <w:rsid w:val="00025F25"/>
    <w:rsid w:val="00031B45"/>
    <w:rsid w:val="00031F08"/>
    <w:rsid w:val="000324CB"/>
    <w:rsid w:val="00034458"/>
    <w:rsid w:val="00036F91"/>
    <w:rsid w:val="0003727D"/>
    <w:rsid w:val="000400F3"/>
    <w:rsid w:val="00040906"/>
    <w:rsid w:val="00041AD8"/>
    <w:rsid w:val="00041C86"/>
    <w:rsid w:val="000425D0"/>
    <w:rsid w:val="00043419"/>
    <w:rsid w:val="000434BB"/>
    <w:rsid w:val="00045D0E"/>
    <w:rsid w:val="00046682"/>
    <w:rsid w:val="00052976"/>
    <w:rsid w:val="00052CDF"/>
    <w:rsid w:val="00053D07"/>
    <w:rsid w:val="00057212"/>
    <w:rsid w:val="00057E77"/>
    <w:rsid w:val="00061B85"/>
    <w:rsid w:val="00062A56"/>
    <w:rsid w:val="00063D99"/>
    <w:rsid w:val="00064A14"/>
    <w:rsid w:val="000667DA"/>
    <w:rsid w:val="0006697F"/>
    <w:rsid w:val="000752B3"/>
    <w:rsid w:val="00075B4F"/>
    <w:rsid w:val="000776E7"/>
    <w:rsid w:val="00086514"/>
    <w:rsid w:val="00086671"/>
    <w:rsid w:val="00091E19"/>
    <w:rsid w:val="000937E4"/>
    <w:rsid w:val="0009669B"/>
    <w:rsid w:val="00096C97"/>
    <w:rsid w:val="00097918"/>
    <w:rsid w:val="00097E94"/>
    <w:rsid w:val="000A0024"/>
    <w:rsid w:val="000A0618"/>
    <w:rsid w:val="000A0BA8"/>
    <w:rsid w:val="000A590A"/>
    <w:rsid w:val="000A762C"/>
    <w:rsid w:val="000B1130"/>
    <w:rsid w:val="000B1516"/>
    <w:rsid w:val="000B2F2E"/>
    <w:rsid w:val="000B471D"/>
    <w:rsid w:val="000B4902"/>
    <w:rsid w:val="000C07A2"/>
    <w:rsid w:val="000C0CAE"/>
    <w:rsid w:val="000C11E2"/>
    <w:rsid w:val="000C4154"/>
    <w:rsid w:val="000C48B1"/>
    <w:rsid w:val="000C5B35"/>
    <w:rsid w:val="000D3684"/>
    <w:rsid w:val="000E1A83"/>
    <w:rsid w:val="000F1BAA"/>
    <w:rsid w:val="000F2F18"/>
    <w:rsid w:val="000F47DB"/>
    <w:rsid w:val="000F4C12"/>
    <w:rsid w:val="000F52A9"/>
    <w:rsid w:val="000F597B"/>
    <w:rsid w:val="000F7531"/>
    <w:rsid w:val="00101C84"/>
    <w:rsid w:val="00101FFE"/>
    <w:rsid w:val="00106126"/>
    <w:rsid w:val="001062C2"/>
    <w:rsid w:val="00110701"/>
    <w:rsid w:val="0011145F"/>
    <w:rsid w:val="00112AC7"/>
    <w:rsid w:val="00114450"/>
    <w:rsid w:val="00117102"/>
    <w:rsid w:val="00121135"/>
    <w:rsid w:val="00121E78"/>
    <w:rsid w:val="001229B1"/>
    <w:rsid w:val="00122C93"/>
    <w:rsid w:val="0012306A"/>
    <w:rsid w:val="00125133"/>
    <w:rsid w:val="0012708C"/>
    <w:rsid w:val="001340E9"/>
    <w:rsid w:val="001364B6"/>
    <w:rsid w:val="001411EF"/>
    <w:rsid w:val="00143550"/>
    <w:rsid w:val="00144F4C"/>
    <w:rsid w:val="00145BE3"/>
    <w:rsid w:val="001462DA"/>
    <w:rsid w:val="001468E4"/>
    <w:rsid w:val="00146F58"/>
    <w:rsid w:val="00147B35"/>
    <w:rsid w:val="00147DD3"/>
    <w:rsid w:val="00150F5E"/>
    <w:rsid w:val="001515ED"/>
    <w:rsid w:val="00154B9F"/>
    <w:rsid w:val="00161344"/>
    <w:rsid w:val="0016239D"/>
    <w:rsid w:val="00163B4F"/>
    <w:rsid w:val="001706C2"/>
    <w:rsid w:val="00175C73"/>
    <w:rsid w:val="001760F6"/>
    <w:rsid w:val="001806BF"/>
    <w:rsid w:val="0019241B"/>
    <w:rsid w:val="00196D09"/>
    <w:rsid w:val="00197762"/>
    <w:rsid w:val="001A08CA"/>
    <w:rsid w:val="001A14E5"/>
    <w:rsid w:val="001A4A2F"/>
    <w:rsid w:val="001A619A"/>
    <w:rsid w:val="001B0078"/>
    <w:rsid w:val="001B02DE"/>
    <w:rsid w:val="001B0556"/>
    <w:rsid w:val="001B1030"/>
    <w:rsid w:val="001B11B5"/>
    <w:rsid w:val="001B2B20"/>
    <w:rsid w:val="001B374C"/>
    <w:rsid w:val="001B43F3"/>
    <w:rsid w:val="001B5181"/>
    <w:rsid w:val="001B53A6"/>
    <w:rsid w:val="001B59A4"/>
    <w:rsid w:val="001B5BF0"/>
    <w:rsid w:val="001B70FF"/>
    <w:rsid w:val="001B7404"/>
    <w:rsid w:val="001B7AE6"/>
    <w:rsid w:val="001C45A5"/>
    <w:rsid w:val="001C46AD"/>
    <w:rsid w:val="001C6406"/>
    <w:rsid w:val="001D051E"/>
    <w:rsid w:val="001D102C"/>
    <w:rsid w:val="001D1359"/>
    <w:rsid w:val="001D1424"/>
    <w:rsid w:val="001D17BA"/>
    <w:rsid w:val="001D3002"/>
    <w:rsid w:val="001D4CA7"/>
    <w:rsid w:val="001D53D0"/>
    <w:rsid w:val="001D5CBF"/>
    <w:rsid w:val="001D5D6F"/>
    <w:rsid w:val="001D6747"/>
    <w:rsid w:val="001D72A3"/>
    <w:rsid w:val="001E1B5B"/>
    <w:rsid w:val="001E63DC"/>
    <w:rsid w:val="001F12DA"/>
    <w:rsid w:val="001F3DFC"/>
    <w:rsid w:val="001F5A13"/>
    <w:rsid w:val="001F5DCD"/>
    <w:rsid w:val="0020234C"/>
    <w:rsid w:val="00204189"/>
    <w:rsid w:val="002043C8"/>
    <w:rsid w:val="002066BA"/>
    <w:rsid w:val="00206BC9"/>
    <w:rsid w:val="00207ECC"/>
    <w:rsid w:val="00210CE9"/>
    <w:rsid w:val="00214AB2"/>
    <w:rsid w:val="0021615F"/>
    <w:rsid w:val="00216417"/>
    <w:rsid w:val="002165CD"/>
    <w:rsid w:val="002172EA"/>
    <w:rsid w:val="00220C93"/>
    <w:rsid w:val="0022458C"/>
    <w:rsid w:val="00225CF8"/>
    <w:rsid w:val="00230F69"/>
    <w:rsid w:val="00231770"/>
    <w:rsid w:val="002414AB"/>
    <w:rsid w:val="00243355"/>
    <w:rsid w:val="0024547D"/>
    <w:rsid w:val="00246574"/>
    <w:rsid w:val="00247BA4"/>
    <w:rsid w:val="00250073"/>
    <w:rsid w:val="002532CB"/>
    <w:rsid w:val="0025391D"/>
    <w:rsid w:val="0025601D"/>
    <w:rsid w:val="0026002D"/>
    <w:rsid w:val="00260CAD"/>
    <w:rsid w:val="00260E26"/>
    <w:rsid w:val="00261F4D"/>
    <w:rsid w:val="002643D1"/>
    <w:rsid w:val="00265A5B"/>
    <w:rsid w:val="002675E2"/>
    <w:rsid w:val="00270A48"/>
    <w:rsid w:val="00272181"/>
    <w:rsid w:val="00272847"/>
    <w:rsid w:val="00273770"/>
    <w:rsid w:val="002752D6"/>
    <w:rsid w:val="00275B29"/>
    <w:rsid w:val="00275B3C"/>
    <w:rsid w:val="00280863"/>
    <w:rsid w:val="00282737"/>
    <w:rsid w:val="002832F7"/>
    <w:rsid w:val="002865DB"/>
    <w:rsid w:val="002901D5"/>
    <w:rsid w:val="002928EE"/>
    <w:rsid w:val="00293724"/>
    <w:rsid w:val="002963E2"/>
    <w:rsid w:val="00297A2E"/>
    <w:rsid w:val="002A3597"/>
    <w:rsid w:val="002A4DB3"/>
    <w:rsid w:val="002A75D5"/>
    <w:rsid w:val="002A75F9"/>
    <w:rsid w:val="002B1A24"/>
    <w:rsid w:val="002B2FD9"/>
    <w:rsid w:val="002B36BC"/>
    <w:rsid w:val="002B3D38"/>
    <w:rsid w:val="002B5C88"/>
    <w:rsid w:val="002B6705"/>
    <w:rsid w:val="002B7FEF"/>
    <w:rsid w:val="002C1025"/>
    <w:rsid w:val="002C1E84"/>
    <w:rsid w:val="002C1EC2"/>
    <w:rsid w:val="002C41E7"/>
    <w:rsid w:val="002C451D"/>
    <w:rsid w:val="002C674B"/>
    <w:rsid w:val="002C69DA"/>
    <w:rsid w:val="002C70AB"/>
    <w:rsid w:val="002D0EB1"/>
    <w:rsid w:val="002D2E0E"/>
    <w:rsid w:val="002D60FF"/>
    <w:rsid w:val="002E029A"/>
    <w:rsid w:val="002E1202"/>
    <w:rsid w:val="002E1BEC"/>
    <w:rsid w:val="002E41D4"/>
    <w:rsid w:val="002E4F4C"/>
    <w:rsid w:val="002E617B"/>
    <w:rsid w:val="002F02D6"/>
    <w:rsid w:val="002F0578"/>
    <w:rsid w:val="002F075C"/>
    <w:rsid w:val="002F5890"/>
    <w:rsid w:val="00300B7C"/>
    <w:rsid w:val="00304E39"/>
    <w:rsid w:val="0030555B"/>
    <w:rsid w:val="0030592D"/>
    <w:rsid w:val="003067B8"/>
    <w:rsid w:val="00307BD4"/>
    <w:rsid w:val="00312692"/>
    <w:rsid w:val="003138F6"/>
    <w:rsid w:val="00313C26"/>
    <w:rsid w:val="00314589"/>
    <w:rsid w:val="00316D74"/>
    <w:rsid w:val="00322FF1"/>
    <w:rsid w:val="003240EF"/>
    <w:rsid w:val="003249DE"/>
    <w:rsid w:val="00325580"/>
    <w:rsid w:val="00325E4D"/>
    <w:rsid w:val="00325EAC"/>
    <w:rsid w:val="00327BD9"/>
    <w:rsid w:val="0033013A"/>
    <w:rsid w:val="0033149E"/>
    <w:rsid w:val="00335650"/>
    <w:rsid w:val="00335AE4"/>
    <w:rsid w:val="003418E6"/>
    <w:rsid w:val="003420D2"/>
    <w:rsid w:val="0034371D"/>
    <w:rsid w:val="00343DA6"/>
    <w:rsid w:val="00343E45"/>
    <w:rsid w:val="00344BB6"/>
    <w:rsid w:val="003526D4"/>
    <w:rsid w:val="00354158"/>
    <w:rsid w:val="00354702"/>
    <w:rsid w:val="003550D8"/>
    <w:rsid w:val="003556FB"/>
    <w:rsid w:val="00355927"/>
    <w:rsid w:val="00357671"/>
    <w:rsid w:val="003623BB"/>
    <w:rsid w:val="00363BB6"/>
    <w:rsid w:val="00371A9B"/>
    <w:rsid w:val="00371DD1"/>
    <w:rsid w:val="003723FA"/>
    <w:rsid w:val="00372BB0"/>
    <w:rsid w:val="00374FC5"/>
    <w:rsid w:val="0037596D"/>
    <w:rsid w:val="003800A6"/>
    <w:rsid w:val="00381F0B"/>
    <w:rsid w:val="003828C1"/>
    <w:rsid w:val="0038608C"/>
    <w:rsid w:val="00387075"/>
    <w:rsid w:val="00390E51"/>
    <w:rsid w:val="00392844"/>
    <w:rsid w:val="00392D00"/>
    <w:rsid w:val="00395BC7"/>
    <w:rsid w:val="00396EBE"/>
    <w:rsid w:val="003A092E"/>
    <w:rsid w:val="003A5C1F"/>
    <w:rsid w:val="003A5E2F"/>
    <w:rsid w:val="003A6363"/>
    <w:rsid w:val="003A6BFF"/>
    <w:rsid w:val="003B0459"/>
    <w:rsid w:val="003B1BC5"/>
    <w:rsid w:val="003B1CCE"/>
    <w:rsid w:val="003B4603"/>
    <w:rsid w:val="003B6A70"/>
    <w:rsid w:val="003C01C5"/>
    <w:rsid w:val="003C3AB5"/>
    <w:rsid w:val="003C51F5"/>
    <w:rsid w:val="003C7046"/>
    <w:rsid w:val="003C7D91"/>
    <w:rsid w:val="003D2073"/>
    <w:rsid w:val="003D3D77"/>
    <w:rsid w:val="003D4081"/>
    <w:rsid w:val="003D5881"/>
    <w:rsid w:val="003D6A76"/>
    <w:rsid w:val="003D7BC3"/>
    <w:rsid w:val="003D7FAC"/>
    <w:rsid w:val="003E0043"/>
    <w:rsid w:val="003E049C"/>
    <w:rsid w:val="003E04A6"/>
    <w:rsid w:val="003E0F3E"/>
    <w:rsid w:val="003E12C5"/>
    <w:rsid w:val="003E49E2"/>
    <w:rsid w:val="003E6C72"/>
    <w:rsid w:val="003F33A6"/>
    <w:rsid w:val="003F580D"/>
    <w:rsid w:val="003F6A1B"/>
    <w:rsid w:val="0040046A"/>
    <w:rsid w:val="00400644"/>
    <w:rsid w:val="00401913"/>
    <w:rsid w:val="0040422A"/>
    <w:rsid w:val="004051AC"/>
    <w:rsid w:val="00405856"/>
    <w:rsid w:val="00407296"/>
    <w:rsid w:val="004130CB"/>
    <w:rsid w:val="00415715"/>
    <w:rsid w:val="004162DA"/>
    <w:rsid w:val="00417578"/>
    <w:rsid w:val="004202BA"/>
    <w:rsid w:val="00420D11"/>
    <w:rsid w:val="00421C1A"/>
    <w:rsid w:val="00422E5D"/>
    <w:rsid w:val="00424F79"/>
    <w:rsid w:val="00430DB4"/>
    <w:rsid w:val="004312E7"/>
    <w:rsid w:val="004358D3"/>
    <w:rsid w:val="004378C3"/>
    <w:rsid w:val="0044261E"/>
    <w:rsid w:val="00443A6E"/>
    <w:rsid w:val="00443A86"/>
    <w:rsid w:val="004460C6"/>
    <w:rsid w:val="004479BF"/>
    <w:rsid w:val="004479FA"/>
    <w:rsid w:val="00450040"/>
    <w:rsid w:val="004513A0"/>
    <w:rsid w:val="004528A4"/>
    <w:rsid w:val="00452DE6"/>
    <w:rsid w:val="00453C46"/>
    <w:rsid w:val="00454A2A"/>
    <w:rsid w:val="0045553F"/>
    <w:rsid w:val="00462FEA"/>
    <w:rsid w:val="00470A88"/>
    <w:rsid w:val="004713E7"/>
    <w:rsid w:val="00471BE1"/>
    <w:rsid w:val="0047365F"/>
    <w:rsid w:val="00477A0E"/>
    <w:rsid w:val="00477E37"/>
    <w:rsid w:val="00480B38"/>
    <w:rsid w:val="00481CB4"/>
    <w:rsid w:val="00482C68"/>
    <w:rsid w:val="00484DB9"/>
    <w:rsid w:val="0048517A"/>
    <w:rsid w:val="0049375E"/>
    <w:rsid w:val="004941DF"/>
    <w:rsid w:val="004953B2"/>
    <w:rsid w:val="004A16FD"/>
    <w:rsid w:val="004A2CE7"/>
    <w:rsid w:val="004A505F"/>
    <w:rsid w:val="004A5296"/>
    <w:rsid w:val="004A53C8"/>
    <w:rsid w:val="004A549F"/>
    <w:rsid w:val="004A604C"/>
    <w:rsid w:val="004A6548"/>
    <w:rsid w:val="004A74BB"/>
    <w:rsid w:val="004A7FA9"/>
    <w:rsid w:val="004B0B28"/>
    <w:rsid w:val="004B1F18"/>
    <w:rsid w:val="004B33BE"/>
    <w:rsid w:val="004B33EF"/>
    <w:rsid w:val="004C1815"/>
    <w:rsid w:val="004C20DA"/>
    <w:rsid w:val="004C20F1"/>
    <w:rsid w:val="004C4E93"/>
    <w:rsid w:val="004C55A9"/>
    <w:rsid w:val="004C67A8"/>
    <w:rsid w:val="004C7907"/>
    <w:rsid w:val="004D06B7"/>
    <w:rsid w:val="004D0DF6"/>
    <w:rsid w:val="004D2904"/>
    <w:rsid w:val="004D3028"/>
    <w:rsid w:val="004D3CA0"/>
    <w:rsid w:val="004D4A74"/>
    <w:rsid w:val="004D5649"/>
    <w:rsid w:val="004D6490"/>
    <w:rsid w:val="004D6525"/>
    <w:rsid w:val="004E1561"/>
    <w:rsid w:val="004E18CE"/>
    <w:rsid w:val="004E2A86"/>
    <w:rsid w:val="004E436D"/>
    <w:rsid w:val="004E520A"/>
    <w:rsid w:val="004F0082"/>
    <w:rsid w:val="004F034E"/>
    <w:rsid w:val="004F13D5"/>
    <w:rsid w:val="004F24A7"/>
    <w:rsid w:val="004F3F5A"/>
    <w:rsid w:val="004F43E9"/>
    <w:rsid w:val="004F71A7"/>
    <w:rsid w:val="004F793E"/>
    <w:rsid w:val="00500B4C"/>
    <w:rsid w:val="00500DAA"/>
    <w:rsid w:val="00501379"/>
    <w:rsid w:val="00501C03"/>
    <w:rsid w:val="00507284"/>
    <w:rsid w:val="00513AC8"/>
    <w:rsid w:val="00513D22"/>
    <w:rsid w:val="005165A5"/>
    <w:rsid w:val="00516B7D"/>
    <w:rsid w:val="00517034"/>
    <w:rsid w:val="00517E63"/>
    <w:rsid w:val="00524779"/>
    <w:rsid w:val="00530D42"/>
    <w:rsid w:val="00531930"/>
    <w:rsid w:val="00533472"/>
    <w:rsid w:val="00533C1F"/>
    <w:rsid w:val="00534188"/>
    <w:rsid w:val="005351DC"/>
    <w:rsid w:val="005376BE"/>
    <w:rsid w:val="005446B8"/>
    <w:rsid w:val="00544D11"/>
    <w:rsid w:val="005462A0"/>
    <w:rsid w:val="00551500"/>
    <w:rsid w:val="00551903"/>
    <w:rsid w:val="00551B92"/>
    <w:rsid w:val="00557997"/>
    <w:rsid w:val="005613C0"/>
    <w:rsid w:val="00561B38"/>
    <w:rsid w:val="0056241B"/>
    <w:rsid w:val="00562B97"/>
    <w:rsid w:val="0056429A"/>
    <w:rsid w:val="005728B5"/>
    <w:rsid w:val="005745C7"/>
    <w:rsid w:val="005749B4"/>
    <w:rsid w:val="00575D8C"/>
    <w:rsid w:val="00577216"/>
    <w:rsid w:val="00580321"/>
    <w:rsid w:val="00584EAE"/>
    <w:rsid w:val="00586B24"/>
    <w:rsid w:val="005925F2"/>
    <w:rsid w:val="00593BF9"/>
    <w:rsid w:val="00594929"/>
    <w:rsid w:val="005954EB"/>
    <w:rsid w:val="005958A3"/>
    <w:rsid w:val="005960FC"/>
    <w:rsid w:val="00596BC0"/>
    <w:rsid w:val="00597E6F"/>
    <w:rsid w:val="005A4F25"/>
    <w:rsid w:val="005A5194"/>
    <w:rsid w:val="005A70B1"/>
    <w:rsid w:val="005A70E5"/>
    <w:rsid w:val="005B26B7"/>
    <w:rsid w:val="005B2BF1"/>
    <w:rsid w:val="005B308E"/>
    <w:rsid w:val="005B38A0"/>
    <w:rsid w:val="005B42B6"/>
    <w:rsid w:val="005B60C8"/>
    <w:rsid w:val="005B6DE7"/>
    <w:rsid w:val="005C2A81"/>
    <w:rsid w:val="005C3F18"/>
    <w:rsid w:val="005C42B1"/>
    <w:rsid w:val="005C766C"/>
    <w:rsid w:val="005C7C32"/>
    <w:rsid w:val="005D50C1"/>
    <w:rsid w:val="005D524D"/>
    <w:rsid w:val="005D56D4"/>
    <w:rsid w:val="005D734C"/>
    <w:rsid w:val="005E0B59"/>
    <w:rsid w:val="005E1F7D"/>
    <w:rsid w:val="005E1FEC"/>
    <w:rsid w:val="005E2218"/>
    <w:rsid w:val="005E221A"/>
    <w:rsid w:val="005E4A68"/>
    <w:rsid w:val="005E51CF"/>
    <w:rsid w:val="005E5661"/>
    <w:rsid w:val="005E632D"/>
    <w:rsid w:val="005E751A"/>
    <w:rsid w:val="005F0EF7"/>
    <w:rsid w:val="005F28BB"/>
    <w:rsid w:val="005F2A54"/>
    <w:rsid w:val="005F349E"/>
    <w:rsid w:val="005F35CC"/>
    <w:rsid w:val="005F398E"/>
    <w:rsid w:val="005F5ADA"/>
    <w:rsid w:val="005F7D14"/>
    <w:rsid w:val="0060152F"/>
    <w:rsid w:val="00604AA9"/>
    <w:rsid w:val="00604B5B"/>
    <w:rsid w:val="00605078"/>
    <w:rsid w:val="00605927"/>
    <w:rsid w:val="00605A19"/>
    <w:rsid w:val="00606FEC"/>
    <w:rsid w:val="00607292"/>
    <w:rsid w:val="00610A97"/>
    <w:rsid w:val="00611C7C"/>
    <w:rsid w:val="00613B84"/>
    <w:rsid w:val="00613DAC"/>
    <w:rsid w:val="00617AF2"/>
    <w:rsid w:val="00617C14"/>
    <w:rsid w:val="0062333C"/>
    <w:rsid w:val="00624933"/>
    <w:rsid w:val="00624DC0"/>
    <w:rsid w:val="00627A99"/>
    <w:rsid w:val="00631529"/>
    <w:rsid w:val="00631930"/>
    <w:rsid w:val="0063287A"/>
    <w:rsid w:val="00634BA3"/>
    <w:rsid w:val="00637671"/>
    <w:rsid w:val="0064042F"/>
    <w:rsid w:val="00640A09"/>
    <w:rsid w:val="006464A8"/>
    <w:rsid w:val="006464EB"/>
    <w:rsid w:val="00646DB9"/>
    <w:rsid w:val="00647130"/>
    <w:rsid w:val="00647270"/>
    <w:rsid w:val="00650CA5"/>
    <w:rsid w:val="0065161F"/>
    <w:rsid w:val="00656907"/>
    <w:rsid w:val="006572A3"/>
    <w:rsid w:val="0065754E"/>
    <w:rsid w:val="0066187E"/>
    <w:rsid w:val="00661993"/>
    <w:rsid w:val="00664145"/>
    <w:rsid w:val="0066747D"/>
    <w:rsid w:val="00670836"/>
    <w:rsid w:val="006713AD"/>
    <w:rsid w:val="00671A68"/>
    <w:rsid w:val="0067261B"/>
    <w:rsid w:val="00672B41"/>
    <w:rsid w:val="00675EB6"/>
    <w:rsid w:val="00677AEC"/>
    <w:rsid w:val="0068092C"/>
    <w:rsid w:val="006818CF"/>
    <w:rsid w:val="006825C0"/>
    <w:rsid w:val="00683B43"/>
    <w:rsid w:val="00685103"/>
    <w:rsid w:val="00685F6D"/>
    <w:rsid w:val="00687467"/>
    <w:rsid w:val="0069031B"/>
    <w:rsid w:val="00691B96"/>
    <w:rsid w:val="006934DF"/>
    <w:rsid w:val="00693B67"/>
    <w:rsid w:val="00694633"/>
    <w:rsid w:val="00694EA5"/>
    <w:rsid w:val="006977DE"/>
    <w:rsid w:val="006A1DD7"/>
    <w:rsid w:val="006A33BF"/>
    <w:rsid w:val="006A3A88"/>
    <w:rsid w:val="006A3B0A"/>
    <w:rsid w:val="006A4C3F"/>
    <w:rsid w:val="006A4D39"/>
    <w:rsid w:val="006B1E80"/>
    <w:rsid w:val="006B3630"/>
    <w:rsid w:val="006B3D64"/>
    <w:rsid w:val="006B558D"/>
    <w:rsid w:val="006C0162"/>
    <w:rsid w:val="006C0212"/>
    <w:rsid w:val="006C22A7"/>
    <w:rsid w:val="006C5D0A"/>
    <w:rsid w:val="006C5F23"/>
    <w:rsid w:val="006C6227"/>
    <w:rsid w:val="006C78A2"/>
    <w:rsid w:val="006D24C9"/>
    <w:rsid w:val="006D2C85"/>
    <w:rsid w:val="006D3999"/>
    <w:rsid w:val="006D45B8"/>
    <w:rsid w:val="006D5A22"/>
    <w:rsid w:val="006D6399"/>
    <w:rsid w:val="006D6988"/>
    <w:rsid w:val="006D6B44"/>
    <w:rsid w:val="006D786B"/>
    <w:rsid w:val="006E0FC5"/>
    <w:rsid w:val="006E23A5"/>
    <w:rsid w:val="006E2BC5"/>
    <w:rsid w:val="006E300F"/>
    <w:rsid w:val="006E333C"/>
    <w:rsid w:val="006E364A"/>
    <w:rsid w:val="006E4CA2"/>
    <w:rsid w:val="006E5456"/>
    <w:rsid w:val="006E71E9"/>
    <w:rsid w:val="006F0D16"/>
    <w:rsid w:val="006F11ED"/>
    <w:rsid w:val="006F1CFF"/>
    <w:rsid w:val="006F2619"/>
    <w:rsid w:val="006F3CAE"/>
    <w:rsid w:val="006F7ED9"/>
    <w:rsid w:val="00700B5A"/>
    <w:rsid w:val="00702234"/>
    <w:rsid w:val="00705329"/>
    <w:rsid w:val="007053AB"/>
    <w:rsid w:val="007058CE"/>
    <w:rsid w:val="00707799"/>
    <w:rsid w:val="0071082B"/>
    <w:rsid w:val="00711320"/>
    <w:rsid w:val="0071133A"/>
    <w:rsid w:val="00713259"/>
    <w:rsid w:val="007147BE"/>
    <w:rsid w:val="00717F7C"/>
    <w:rsid w:val="007228E9"/>
    <w:rsid w:val="00722B97"/>
    <w:rsid w:val="00723005"/>
    <w:rsid w:val="007248FB"/>
    <w:rsid w:val="00724B8A"/>
    <w:rsid w:val="007275D3"/>
    <w:rsid w:val="00731F28"/>
    <w:rsid w:val="00733C8C"/>
    <w:rsid w:val="00735549"/>
    <w:rsid w:val="007375E8"/>
    <w:rsid w:val="00741792"/>
    <w:rsid w:val="00742AB3"/>
    <w:rsid w:val="00744368"/>
    <w:rsid w:val="0074570B"/>
    <w:rsid w:val="0074653E"/>
    <w:rsid w:val="00755417"/>
    <w:rsid w:val="00763606"/>
    <w:rsid w:val="00763C0F"/>
    <w:rsid w:val="00763F68"/>
    <w:rsid w:val="00764FFF"/>
    <w:rsid w:val="00767FD6"/>
    <w:rsid w:val="00770297"/>
    <w:rsid w:val="007704D8"/>
    <w:rsid w:val="007719FA"/>
    <w:rsid w:val="00771AE0"/>
    <w:rsid w:val="00772C43"/>
    <w:rsid w:val="00773158"/>
    <w:rsid w:val="00773968"/>
    <w:rsid w:val="00773C29"/>
    <w:rsid w:val="00773C6A"/>
    <w:rsid w:val="0077629E"/>
    <w:rsid w:val="00783C6B"/>
    <w:rsid w:val="00784229"/>
    <w:rsid w:val="00784F9B"/>
    <w:rsid w:val="00787327"/>
    <w:rsid w:val="00787C61"/>
    <w:rsid w:val="00790B85"/>
    <w:rsid w:val="007918C1"/>
    <w:rsid w:val="0079441B"/>
    <w:rsid w:val="007962EB"/>
    <w:rsid w:val="00796FFE"/>
    <w:rsid w:val="007973E0"/>
    <w:rsid w:val="007A0535"/>
    <w:rsid w:val="007A18AB"/>
    <w:rsid w:val="007A2871"/>
    <w:rsid w:val="007A2FE6"/>
    <w:rsid w:val="007A5D0E"/>
    <w:rsid w:val="007B02FA"/>
    <w:rsid w:val="007B07F6"/>
    <w:rsid w:val="007B0BA2"/>
    <w:rsid w:val="007B3152"/>
    <w:rsid w:val="007B4733"/>
    <w:rsid w:val="007C07CE"/>
    <w:rsid w:val="007C0BC0"/>
    <w:rsid w:val="007C1F6E"/>
    <w:rsid w:val="007C231D"/>
    <w:rsid w:val="007C3975"/>
    <w:rsid w:val="007C4012"/>
    <w:rsid w:val="007C47AB"/>
    <w:rsid w:val="007C4E78"/>
    <w:rsid w:val="007C5781"/>
    <w:rsid w:val="007C70E5"/>
    <w:rsid w:val="007D0BDC"/>
    <w:rsid w:val="007D1336"/>
    <w:rsid w:val="007D1343"/>
    <w:rsid w:val="007D1379"/>
    <w:rsid w:val="007D4D07"/>
    <w:rsid w:val="007D564F"/>
    <w:rsid w:val="007D5E28"/>
    <w:rsid w:val="007D5F8D"/>
    <w:rsid w:val="007D62B7"/>
    <w:rsid w:val="007D64A7"/>
    <w:rsid w:val="007D65A0"/>
    <w:rsid w:val="007E0228"/>
    <w:rsid w:val="007E1341"/>
    <w:rsid w:val="007E2278"/>
    <w:rsid w:val="007E5DBD"/>
    <w:rsid w:val="007E66F2"/>
    <w:rsid w:val="007E6C04"/>
    <w:rsid w:val="007E79BA"/>
    <w:rsid w:val="007E7C9E"/>
    <w:rsid w:val="007E7F04"/>
    <w:rsid w:val="007F0022"/>
    <w:rsid w:val="007F2B8D"/>
    <w:rsid w:val="007F63C8"/>
    <w:rsid w:val="007F662D"/>
    <w:rsid w:val="00800369"/>
    <w:rsid w:val="00801BEA"/>
    <w:rsid w:val="00802271"/>
    <w:rsid w:val="008022B0"/>
    <w:rsid w:val="00802C21"/>
    <w:rsid w:val="00806E8A"/>
    <w:rsid w:val="008075BF"/>
    <w:rsid w:val="00810A06"/>
    <w:rsid w:val="00812271"/>
    <w:rsid w:val="00812315"/>
    <w:rsid w:val="0081524E"/>
    <w:rsid w:val="008152DA"/>
    <w:rsid w:val="00816702"/>
    <w:rsid w:val="00816BD1"/>
    <w:rsid w:val="008177B3"/>
    <w:rsid w:val="0082002F"/>
    <w:rsid w:val="008208D3"/>
    <w:rsid w:val="00820B25"/>
    <w:rsid w:val="008233E5"/>
    <w:rsid w:val="00826020"/>
    <w:rsid w:val="00827607"/>
    <w:rsid w:val="008277CC"/>
    <w:rsid w:val="00831066"/>
    <w:rsid w:val="00833E9A"/>
    <w:rsid w:val="00835064"/>
    <w:rsid w:val="0083509F"/>
    <w:rsid w:val="00840CFA"/>
    <w:rsid w:val="00845656"/>
    <w:rsid w:val="00845949"/>
    <w:rsid w:val="00851C5F"/>
    <w:rsid w:val="008549E3"/>
    <w:rsid w:val="00854F3B"/>
    <w:rsid w:val="00855634"/>
    <w:rsid w:val="00856948"/>
    <w:rsid w:val="00857EFA"/>
    <w:rsid w:val="00862158"/>
    <w:rsid w:val="00862A3D"/>
    <w:rsid w:val="00863303"/>
    <w:rsid w:val="008645A9"/>
    <w:rsid w:val="00866508"/>
    <w:rsid w:val="0086717B"/>
    <w:rsid w:val="00867DA7"/>
    <w:rsid w:val="0087335D"/>
    <w:rsid w:val="00874FE3"/>
    <w:rsid w:val="00876036"/>
    <w:rsid w:val="0087656E"/>
    <w:rsid w:val="00882564"/>
    <w:rsid w:val="00882ADA"/>
    <w:rsid w:val="00884237"/>
    <w:rsid w:val="00885133"/>
    <w:rsid w:val="008874D8"/>
    <w:rsid w:val="008907EB"/>
    <w:rsid w:val="00890D95"/>
    <w:rsid w:val="008914B3"/>
    <w:rsid w:val="00893B64"/>
    <w:rsid w:val="0089411B"/>
    <w:rsid w:val="00895EF4"/>
    <w:rsid w:val="008968E5"/>
    <w:rsid w:val="00896C91"/>
    <w:rsid w:val="008A020E"/>
    <w:rsid w:val="008A125E"/>
    <w:rsid w:val="008A4C95"/>
    <w:rsid w:val="008A569D"/>
    <w:rsid w:val="008A579A"/>
    <w:rsid w:val="008A7215"/>
    <w:rsid w:val="008B025F"/>
    <w:rsid w:val="008B4FFB"/>
    <w:rsid w:val="008B5A68"/>
    <w:rsid w:val="008B68AD"/>
    <w:rsid w:val="008C0B91"/>
    <w:rsid w:val="008C0D08"/>
    <w:rsid w:val="008C2F6A"/>
    <w:rsid w:val="008C5D67"/>
    <w:rsid w:val="008C6C25"/>
    <w:rsid w:val="008D06B5"/>
    <w:rsid w:val="008D2D57"/>
    <w:rsid w:val="008D37A4"/>
    <w:rsid w:val="008D3E73"/>
    <w:rsid w:val="008D3FB2"/>
    <w:rsid w:val="008D462E"/>
    <w:rsid w:val="008D56ED"/>
    <w:rsid w:val="008D676F"/>
    <w:rsid w:val="008E1910"/>
    <w:rsid w:val="008E5D8B"/>
    <w:rsid w:val="008F2B1D"/>
    <w:rsid w:val="008F3890"/>
    <w:rsid w:val="008F64CE"/>
    <w:rsid w:val="008F72FD"/>
    <w:rsid w:val="009009EA"/>
    <w:rsid w:val="00900D9C"/>
    <w:rsid w:val="009013F1"/>
    <w:rsid w:val="0090266E"/>
    <w:rsid w:val="00904C92"/>
    <w:rsid w:val="00906120"/>
    <w:rsid w:val="0090693D"/>
    <w:rsid w:val="00907A8B"/>
    <w:rsid w:val="009101D5"/>
    <w:rsid w:val="00914E12"/>
    <w:rsid w:val="009154E6"/>
    <w:rsid w:val="00925F9E"/>
    <w:rsid w:val="00930A74"/>
    <w:rsid w:val="00930BC1"/>
    <w:rsid w:val="00934483"/>
    <w:rsid w:val="00934DB7"/>
    <w:rsid w:val="00935243"/>
    <w:rsid w:val="0093566F"/>
    <w:rsid w:val="009360DE"/>
    <w:rsid w:val="00937408"/>
    <w:rsid w:val="00937E6B"/>
    <w:rsid w:val="00940920"/>
    <w:rsid w:val="00940A94"/>
    <w:rsid w:val="009429F0"/>
    <w:rsid w:val="00944E05"/>
    <w:rsid w:val="009454A2"/>
    <w:rsid w:val="0094577B"/>
    <w:rsid w:val="0094600C"/>
    <w:rsid w:val="00946764"/>
    <w:rsid w:val="009502F8"/>
    <w:rsid w:val="00951E78"/>
    <w:rsid w:val="009549F3"/>
    <w:rsid w:val="00954DE7"/>
    <w:rsid w:val="0095700B"/>
    <w:rsid w:val="00957DE4"/>
    <w:rsid w:val="009625C1"/>
    <w:rsid w:val="009628F0"/>
    <w:rsid w:val="00963314"/>
    <w:rsid w:val="009636D0"/>
    <w:rsid w:val="00964B7F"/>
    <w:rsid w:val="00965C6F"/>
    <w:rsid w:val="009675F2"/>
    <w:rsid w:val="00970000"/>
    <w:rsid w:val="009705CA"/>
    <w:rsid w:val="00971BD6"/>
    <w:rsid w:val="00971FE2"/>
    <w:rsid w:val="009729DC"/>
    <w:rsid w:val="00972CE8"/>
    <w:rsid w:val="00973AB7"/>
    <w:rsid w:val="00974AA1"/>
    <w:rsid w:val="00975797"/>
    <w:rsid w:val="00975A96"/>
    <w:rsid w:val="009809C2"/>
    <w:rsid w:val="0098126F"/>
    <w:rsid w:val="00981DDF"/>
    <w:rsid w:val="00985459"/>
    <w:rsid w:val="00991138"/>
    <w:rsid w:val="00992869"/>
    <w:rsid w:val="00995EF5"/>
    <w:rsid w:val="00996DEC"/>
    <w:rsid w:val="00997864"/>
    <w:rsid w:val="00997DA9"/>
    <w:rsid w:val="009A11D0"/>
    <w:rsid w:val="009A18ED"/>
    <w:rsid w:val="009A1BAC"/>
    <w:rsid w:val="009A1E24"/>
    <w:rsid w:val="009A568F"/>
    <w:rsid w:val="009A76ED"/>
    <w:rsid w:val="009B061A"/>
    <w:rsid w:val="009B0744"/>
    <w:rsid w:val="009B1774"/>
    <w:rsid w:val="009B21EC"/>
    <w:rsid w:val="009B2273"/>
    <w:rsid w:val="009B2A08"/>
    <w:rsid w:val="009B36A9"/>
    <w:rsid w:val="009B3D7E"/>
    <w:rsid w:val="009C05DA"/>
    <w:rsid w:val="009C2DBD"/>
    <w:rsid w:val="009C539E"/>
    <w:rsid w:val="009C6525"/>
    <w:rsid w:val="009C7743"/>
    <w:rsid w:val="009D1271"/>
    <w:rsid w:val="009D22A8"/>
    <w:rsid w:val="009D45B3"/>
    <w:rsid w:val="009D6341"/>
    <w:rsid w:val="009D6E92"/>
    <w:rsid w:val="009E0243"/>
    <w:rsid w:val="009E2D25"/>
    <w:rsid w:val="009E3113"/>
    <w:rsid w:val="009E35C0"/>
    <w:rsid w:val="009E4133"/>
    <w:rsid w:val="009E7058"/>
    <w:rsid w:val="009E72CA"/>
    <w:rsid w:val="009E7CA9"/>
    <w:rsid w:val="009E7DA9"/>
    <w:rsid w:val="009F13F3"/>
    <w:rsid w:val="009F29CD"/>
    <w:rsid w:val="009F4DB5"/>
    <w:rsid w:val="009F5175"/>
    <w:rsid w:val="009F6089"/>
    <w:rsid w:val="009F66B7"/>
    <w:rsid w:val="009F6813"/>
    <w:rsid w:val="009F7913"/>
    <w:rsid w:val="00A016D6"/>
    <w:rsid w:val="00A01E02"/>
    <w:rsid w:val="00A041A1"/>
    <w:rsid w:val="00A04961"/>
    <w:rsid w:val="00A109A0"/>
    <w:rsid w:val="00A12327"/>
    <w:rsid w:val="00A1316C"/>
    <w:rsid w:val="00A13AAD"/>
    <w:rsid w:val="00A176B0"/>
    <w:rsid w:val="00A17859"/>
    <w:rsid w:val="00A17AF4"/>
    <w:rsid w:val="00A23800"/>
    <w:rsid w:val="00A24FBD"/>
    <w:rsid w:val="00A25978"/>
    <w:rsid w:val="00A26DC3"/>
    <w:rsid w:val="00A272D5"/>
    <w:rsid w:val="00A273EE"/>
    <w:rsid w:val="00A30163"/>
    <w:rsid w:val="00A31473"/>
    <w:rsid w:val="00A325FA"/>
    <w:rsid w:val="00A359ED"/>
    <w:rsid w:val="00A403C1"/>
    <w:rsid w:val="00A415D2"/>
    <w:rsid w:val="00A42C34"/>
    <w:rsid w:val="00A44FF9"/>
    <w:rsid w:val="00A4504C"/>
    <w:rsid w:val="00A451CA"/>
    <w:rsid w:val="00A46FF0"/>
    <w:rsid w:val="00A513D8"/>
    <w:rsid w:val="00A51DB5"/>
    <w:rsid w:val="00A54BE6"/>
    <w:rsid w:val="00A55143"/>
    <w:rsid w:val="00A5767A"/>
    <w:rsid w:val="00A60BC1"/>
    <w:rsid w:val="00A61D9E"/>
    <w:rsid w:val="00A62082"/>
    <w:rsid w:val="00A62538"/>
    <w:rsid w:val="00A62742"/>
    <w:rsid w:val="00A6532E"/>
    <w:rsid w:val="00A6558A"/>
    <w:rsid w:val="00A65786"/>
    <w:rsid w:val="00A704E5"/>
    <w:rsid w:val="00A71AB3"/>
    <w:rsid w:val="00A721D5"/>
    <w:rsid w:val="00A76C0A"/>
    <w:rsid w:val="00A76F55"/>
    <w:rsid w:val="00A772B7"/>
    <w:rsid w:val="00A7768E"/>
    <w:rsid w:val="00A8231F"/>
    <w:rsid w:val="00A82FC0"/>
    <w:rsid w:val="00A86B23"/>
    <w:rsid w:val="00A86D56"/>
    <w:rsid w:val="00A87395"/>
    <w:rsid w:val="00A917AF"/>
    <w:rsid w:val="00A92601"/>
    <w:rsid w:val="00A926E0"/>
    <w:rsid w:val="00A93528"/>
    <w:rsid w:val="00A9393B"/>
    <w:rsid w:val="00A93993"/>
    <w:rsid w:val="00A9444A"/>
    <w:rsid w:val="00AA3E1C"/>
    <w:rsid w:val="00AA4BE4"/>
    <w:rsid w:val="00AA5B2C"/>
    <w:rsid w:val="00AA66E2"/>
    <w:rsid w:val="00AA756D"/>
    <w:rsid w:val="00AB136D"/>
    <w:rsid w:val="00AB4CB0"/>
    <w:rsid w:val="00AC20F9"/>
    <w:rsid w:val="00AC2235"/>
    <w:rsid w:val="00AC4B25"/>
    <w:rsid w:val="00AC5E3E"/>
    <w:rsid w:val="00AC62B2"/>
    <w:rsid w:val="00AD32A3"/>
    <w:rsid w:val="00AE0F01"/>
    <w:rsid w:val="00AE1C5F"/>
    <w:rsid w:val="00AE447A"/>
    <w:rsid w:val="00AE53A1"/>
    <w:rsid w:val="00AE54F1"/>
    <w:rsid w:val="00AF07E9"/>
    <w:rsid w:val="00AF1DED"/>
    <w:rsid w:val="00AF23CB"/>
    <w:rsid w:val="00AF6AED"/>
    <w:rsid w:val="00AF728B"/>
    <w:rsid w:val="00AF7504"/>
    <w:rsid w:val="00B01379"/>
    <w:rsid w:val="00B049AC"/>
    <w:rsid w:val="00B04F56"/>
    <w:rsid w:val="00B04FE3"/>
    <w:rsid w:val="00B0559C"/>
    <w:rsid w:val="00B07928"/>
    <w:rsid w:val="00B10218"/>
    <w:rsid w:val="00B10D37"/>
    <w:rsid w:val="00B111D7"/>
    <w:rsid w:val="00B12993"/>
    <w:rsid w:val="00B15362"/>
    <w:rsid w:val="00B15599"/>
    <w:rsid w:val="00B15824"/>
    <w:rsid w:val="00B15C32"/>
    <w:rsid w:val="00B15F25"/>
    <w:rsid w:val="00B21F14"/>
    <w:rsid w:val="00B232E9"/>
    <w:rsid w:val="00B2641B"/>
    <w:rsid w:val="00B26E0D"/>
    <w:rsid w:val="00B27011"/>
    <w:rsid w:val="00B311BF"/>
    <w:rsid w:val="00B31D70"/>
    <w:rsid w:val="00B409BF"/>
    <w:rsid w:val="00B4276B"/>
    <w:rsid w:val="00B4613D"/>
    <w:rsid w:val="00B47243"/>
    <w:rsid w:val="00B47F3F"/>
    <w:rsid w:val="00B50F78"/>
    <w:rsid w:val="00B51B02"/>
    <w:rsid w:val="00B51B23"/>
    <w:rsid w:val="00B51B49"/>
    <w:rsid w:val="00B52298"/>
    <w:rsid w:val="00B53342"/>
    <w:rsid w:val="00B54459"/>
    <w:rsid w:val="00B5479F"/>
    <w:rsid w:val="00B54E5E"/>
    <w:rsid w:val="00B559B0"/>
    <w:rsid w:val="00B60933"/>
    <w:rsid w:val="00B61941"/>
    <w:rsid w:val="00B619F9"/>
    <w:rsid w:val="00B65C59"/>
    <w:rsid w:val="00B67C60"/>
    <w:rsid w:val="00B7158C"/>
    <w:rsid w:val="00B720F6"/>
    <w:rsid w:val="00B72734"/>
    <w:rsid w:val="00B73480"/>
    <w:rsid w:val="00B7412D"/>
    <w:rsid w:val="00B76080"/>
    <w:rsid w:val="00B773D1"/>
    <w:rsid w:val="00B80336"/>
    <w:rsid w:val="00B80FA0"/>
    <w:rsid w:val="00B82988"/>
    <w:rsid w:val="00B8379D"/>
    <w:rsid w:val="00B84E3F"/>
    <w:rsid w:val="00B86330"/>
    <w:rsid w:val="00B9035E"/>
    <w:rsid w:val="00B910D6"/>
    <w:rsid w:val="00B9116A"/>
    <w:rsid w:val="00B91E30"/>
    <w:rsid w:val="00B93008"/>
    <w:rsid w:val="00B9361B"/>
    <w:rsid w:val="00B94FD4"/>
    <w:rsid w:val="00B958DF"/>
    <w:rsid w:val="00B97A70"/>
    <w:rsid w:val="00BA386C"/>
    <w:rsid w:val="00BA4B37"/>
    <w:rsid w:val="00BA690F"/>
    <w:rsid w:val="00BA78DA"/>
    <w:rsid w:val="00BB10ED"/>
    <w:rsid w:val="00BB12A3"/>
    <w:rsid w:val="00BB24B4"/>
    <w:rsid w:val="00BB2A05"/>
    <w:rsid w:val="00BB4135"/>
    <w:rsid w:val="00BB4E3B"/>
    <w:rsid w:val="00BB52E2"/>
    <w:rsid w:val="00BB7DE0"/>
    <w:rsid w:val="00BC24DD"/>
    <w:rsid w:val="00BC6E9E"/>
    <w:rsid w:val="00BD1145"/>
    <w:rsid w:val="00BD1C23"/>
    <w:rsid w:val="00BD2E39"/>
    <w:rsid w:val="00BE0F36"/>
    <w:rsid w:val="00BE1AEA"/>
    <w:rsid w:val="00BE2F99"/>
    <w:rsid w:val="00BE3E44"/>
    <w:rsid w:val="00BE4BFC"/>
    <w:rsid w:val="00BE4EF9"/>
    <w:rsid w:val="00BE56F2"/>
    <w:rsid w:val="00BF08C0"/>
    <w:rsid w:val="00BF15DA"/>
    <w:rsid w:val="00BF23CC"/>
    <w:rsid w:val="00BF3BD5"/>
    <w:rsid w:val="00BF416A"/>
    <w:rsid w:val="00BF5A5E"/>
    <w:rsid w:val="00BF641D"/>
    <w:rsid w:val="00C004EA"/>
    <w:rsid w:val="00C02810"/>
    <w:rsid w:val="00C02C2B"/>
    <w:rsid w:val="00C02CA6"/>
    <w:rsid w:val="00C03BD5"/>
    <w:rsid w:val="00C04D0C"/>
    <w:rsid w:val="00C05444"/>
    <w:rsid w:val="00C05A92"/>
    <w:rsid w:val="00C05BBF"/>
    <w:rsid w:val="00C10454"/>
    <w:rsid w:val="00C1052C"/>
    <w:rsid w:val="00C110A3"/>
    <w:rsid w:val="00C1270E"/>
    <w:rsid w:val="00C12F88"/>
    <w:rsid w:val="00C13C65"/>
    <w:rsid w:val="00C15063"/>
    <w:rsid w:val="00C15065"/>
    <w:rsid w:val="00C16540"/>
    <w:rsid w:val="00C17AE9"/>
    <w:rsid w:val="00C17F7C"/>
    <w:rsid w:val="00C209A8"/>
    <w:rsid w:val="00C21978"/>
    <w:rsid w:val="00C24E5B"/>
    <w:rsid w:val="00C301A9"/>
    <w:rsid w:val="00C30A7E"/>
    <w:rsid w:val="00C318A6"/>
    <w:rsid w:val="00C335D4"/>
    <w:rsid w:val="00C3373E"/>
    <w:rsid w:val="00C363EE"/>
    <w:rsid w:val="00C36A69"/>
    <w:rsid w:val="00C37291"/>
    <w:rsid w:val="00C3767A"/>
    <w:rsid w:val="00C41CAB"/>
    <w:rsid w:val="00C41EC8"/>
    <w:rsid w:val="00C426C7"/>
    <w:rsid w:val="00C4777D"/>
    <w:rsid w:val="00C51360"/>
    <w:rsid w:val="00C51A56"/>
    <w:rsid w:val="00C623B9"/>
    <w:rsid w:val="00C62BC7"/>
    <w:rsid w:val="00C64748"/>
    <w:rsid w:val="00C65F12"/>
    <w:rsid w:val="00C67DA2"/>
    <w:rsid w:val="00C7081A"/>
    <w:rsid w:val="00C70AEB"/>
    <w:rsid w:val="00C712C4"/>
    <w:rsid w:val="00C71BD0"/>
    <w:rsid w:val="00C76A5D"/>
    <w:rsid w:val="00C77113"/>
    <w:rsid w:val="00C775D7"/>
    <w:rsid w:val="00C77A99"/>
    <w:rsid w:val="00C77C03"/>
    <w:rsid w:val="00C77FFB"/>
    <w:rsid w:val="00C85965"/>
    <w:rsid w:val="00C86876"/>
    <w:rsid w:val="00C86F15"/>
    <w:rsid w:val="00C87C1C"/>
    <w:rsid w:val="00C926FF"/>
    <w:rsid w:val="00C95874"/>
    <w:rsid w:val="00C96AD3"/>
    <w:rsid w:val="00C96CBD"/>
    <w:rsid w:val="00CA056C"/>
    <w:rsid w:val="00CA0E56"/>
    <w:rsid w:val="00CA15FB"/>
    <w:rsid w:val="00CA44A3"/>
    <w:rsid w:val="00CA45AE"/>
    <w:rsid w:val="00CA4CB1"/>
    <w:rsid w:val="00CA66F5"/>
    <w:rsid w:val="00CA747A"/>
    <w:rsid w:val="00CA7F64"/>
    <w:rsid w:val="00CB018F"/>
    <w:rsid w:val="00CB3338"/>
    <w:rsid w:val="00CB3FB5"/>
    <w:rsid w:val="00CB458F"/>
    <w:rsid w:val="00CB68D6"/>
    <w:rsid w:val="00CB6F13"/>
    <w:rsid w:val="00CC2C61"/>
    <w:rsid w:val="00CC3DF7"/>
    <w:rsid w:val="00CC44D3"/>
    <w:rsid w:val="00CD1187"/>
    <w:rsid w:val="00CD4A32"/>
    <w:rsid w:val="00CE079E"/>
    <w:rsid w:val="00CE16AB"/>
    <w:rsid w:val="00CE2B17"/>
    <w:rsid w:val="00CE493E"/>
    <w:rsid w:val="00CE7C3B"/>
    <w:rsid w:val="00CE7CC6"/>
    <w:rsid w:val="00CE7CEC"/>
    <w:rsid w:val="00CE7FCB"/>
    <w:rsid w:val="00CF07D1"/>
    <w:rsid w:val="00CF099F"/>
    <w:rsid w:val="00CF1208"/>
    <w:rsid w:val="00CF4149"/>
    <w:rsid w:val="00CF53DB"/>
    <w:rsid w:val="00CF550B"/>
    <w:rsid w:val="00CF68D0"/>
    <w:rsid w:val="00CF7994"/>
    <w:rsid w:val="00D0050A"/>
    <w:rsid w:val="00D03137"/>
    <w:rsid w:val="00D045C1"/>
    <w:rsid w:val="00D052D6"/>
    <w:rsid w:val="00D118DD"/>
    <w:rsid w:val="00D13A06"/>
    <w:rsid w:val="00D14294"/>
    <w:rsid w:val="00D169F6"/>
    <w:rsid w:val="00D17C6B"/>
    <w:rsid w:val="00D23701"/>
    <w:rsid w:val="00D23B0E"/>
    <w:rsid w:val="00D24B1E"/>
    <w:rsid w:val="00D24C48"/>
    <w:rsid w:val="00D26CE6"/>
    <w:rsid w:val="00D272DD"/>
    <w:rsid w:val="00D27F29"/>
    <w:rsid w:val="00D3055B"/>
    <w:rsid w:val="00D3103A"/>
    <w:rsid w:val="00D3168A"/>
    <w:rsid w:val="00D3220B"/>
    <w:rsid w:val="00D32E3B"/>
    <w:rsid w:val="00D32FA5"/>
    <w:rsid w:val="00D34D0C"/>
    <w:rsid w:val="00D34D2E"/>
    <w:rsid w:val="00D35BD0"/>
    <w:rsid w:val="00D36C29"/>
    <w:rsid w:val="00D4184A"/>
    <w:rsid w:val="00D4391E"/>
    <w:rsid w:val="00D43BDD"/>
    <w:rsid w:val="00D454FB"/>
    <w:rsid w:val="00D46D5E"/>
    <w:rsid w:val="00D50434"/>
    <w:rsid w:val="00D50523"/>
    <w:rsid w:val="00D506D9"/>
    <w:rsid w:val="00D52C05"/>
    <w:rsid w:val="00D5331F"/>
    <w:rsid w:val="00D56937"/>
    <w:rsid w:val="00D64F6D"/>
    <w:rsid w:val="00D658E5"/>
    <w:rsid w:val="00D664F2"/>
    <w:rsid w:val="00D67DCD"/>
    <w:rsid w:val="00D67F35"/>
    <w:rsid w:val="00D7234C"/>
    <w:rsid w:val="00D738CA"/>
    <w:rsid w:val="00D74BF1"/>
    <w:rsid w:val="00D759AB"/>
    <w:rsid w:val="00D763DD"/>
    <w:rsid w:val="00D80D82"/>
    <w:rsid w:val="00D83376"/>
    <w:rsid w:val="00D8623A"/>
    <w:rsid w:val="00D869C0"/>
    <w:rsid w:val="00D86E70"/>
    <w:rsid w:val="00D8781A"/>
    <w:rsid w:val="00D91610"/>
    <w:rsid w:val="00D947A5"/>
    <w:rsid w:val="00D95F93"/>
    <w:rsid w:val="00D964C7"/>
    <w:rsid w:val="00D96AA6"/>
    <w:rsid w:val="00DA3F84"/>
    <w:rsid w:val="00DA4DF2"/>
    <w:rsid w:val="00DA5E2B"/>
    <w:rsid w:val="00DA6E48"/>
    <w:rsid w:val="00DB0E15"/>
    <w:rsid w:val="00DB0E65"/>
    <w:rsid w:val="00DB1A7D"/>
    <w:rsid w:val="00DB252B"/>
    <w:rsid w:val="00DB2F47"/>
    <w:rsid w:val="00DB30BA"/>
    <w:rsid w:val="00DB3160"/>
    <w:rsid w:val="00DB475F"/>
    <w:rsid w:val="00DC064B"/>
    <w:rsid w:val="00DC11D5"/>
    <w:rsid w:val="00DC40CC"/>
    <w:rsid w:val="00DC463B"/>
    <w:rsid w:val="00DC51FB"/>
    <w:rsid w:val="00DC6380"/>
    <w:rsid w:val="00DC6A3F"/>
    <w:rsid w:val="00DC6BAF"/>
    <w:rsid w:val="00DD22D2"/>
    <w:rsid w:val="00DD5266"/>
    <w:rsid w:val="00DD60F6"/>
    <w:rsid w:val="00DD666B"/>
    <w:rsid w:val="00DD737E"/>
    <w:rsid w:val="00DD772E"/>
    <w:rsid w:val="00DD78E1"/>
    <w:rsid w:val="00DD7F38"/>
    <w:rsid w:val="00DE7239"/>
    <w:rsid w:val="00DF045A"/>
    <w:rsid w:val="00DF12C5"/>
    <w:rsid w:val="00DF2CE1"/>
    <w:rsid w:val="00DF450B"/>
    <w:rsid w:val="00DF53C3"/>
    <w:rsid w:val="00DF5DF5"/>
    <w:rsid w:val="00DF6E10"/>
    <w:rsid w:val="00DF6EDF"/>
    <w:rsid w:val="00E0126E"/>
    <w:rsid w:val="00E01393"/>
    <w:rsid w:val="00E01CA1"/>
    <w:rsid w:val="00E01DB2"/>
    <w:rsid w:val="00E03A3D"/>
    <w:rsid w:val="00E05857"/>
    <w:rsid w:val="00E16634"/>
    <w:rsid w:val="00E223F6"/>
    <w:rsid w:val="00E22B04"/>
    <w:rsid w:val="00E24AE4"/>
    <w:rsid w:val="00E25A66"/>
    <w:rsid w:val="00E2719B"/>
    <w:rsid w:val="00E27CCE"/>
    <w:rsid w:val="00E27D09"/>
    <w:rsid w:val="00E30404"/>
    <w:rsid w:val="00E31F73"/>
    <w:rsid w:val="00E32858"/>
    <w:rsid w:val="00E36884"/>
    <w:rsid w:val="00E43C13"/>
    <w:rsid w:val="00E44DD5"/>
    <w:rsid w:val="00E4532B"/>
    <w:rsid w:val="00E45461"/>
    <w:rsid w:val="00E465B2"/>
    <w:rsid w:val="00E47B7E"/>
    <w:rsid w:val="00E51FC0"/>
    <w:rsid w:val="00E521AB"/>
    <w:rsid w:val="00E53819"/>
    <w:rsid w:val="00E55138"/>
    <w:rsid w:val="00E55E96"/>
    <w:rsid w:val="00E60469"/>
    <w:rsid w:val="00E60B73"/>
    <w:rsid w:val="00E652EA"/>
    <w:rsid w:val="00E66641"/>
    <w:rsid w:val="00E6676A"/>
    <w:rsid w:val="00E67DE9"/>
    <w:rsid w:val="00E72A70"/>
    <w:rsid w:val="00E73730"/>
    <w:rsid w:val="00E7508C"/>
    <w:rsid w:val="00E762E9"/>
    <w:rsid w:val="00E77739"/>
    <w:rsid w:val="00E80B30"/>
    <w:rsid w:val="00E854E0"/>
    <w:rsid w:val="00E8589E"/>
    <w:rsid w:val="00E8735C"/>
    <w:rsid w:val="00E90688"/>
    <w:rsid w:val="00E90A33"/>
    <w:rsid w:val="00E938F4"/>
    <w:rsid w:val="00E944CE"/>
    <w:rsid w:val="00E9693A"/>
    <w:rsid w:val="00EA1E75"/>
    <w:rsid w:val="00EA2144"/>
    <w:rsid w:val="00EA219F"/>
    <w:rsid w:val="00EA5F21"/>
    <w:rsid w:val="00EA6CD0"/>
    <w:rsid w:val="00EB107C"/>
    <w:rsid w:val="00EB38B0"/>
    <w:rsid w:val="00EB4EB5"/>
    <w:rsid w:val="00EB7AD3"/>
    <w:rsid w:val="00EC08CE"/>
    <w:rsid w:val="00EC09E6"/>
    <w:rsid w:val="00EC1F0E"/>
    <w:rsid w:val="00EC27B8"/>
    <w:rsid w:val="00EC2AEA"/>
    <w:rsid w:val="00EC3A4A"/>
    <w:rsid w:val="00EC418C"/>
    <w:rsid w:val="00EC5357"/>
    <w:rsid w:val="00EC68E8"/>
    <w:rsid w:val="00EC6DDA"/>
    <w:rsid w:val="00EC6E4B"/>
    <w:rsid w:val="00EC6F3D"/>
    <w:rsid w:val="00EC7F74"/>
    <w:rsid w:val="00ED18F3"/>
    <w:rsid w:val="00ED48C2"/>
    <w:rsid w:val="00ED5C6A"/>
    <w:rsid w:val="00ED621F"/>
    <w:rsid w:val="00ED7161"/>
    <w:rsid w:val="00ED7783"/>
    <w:rsid w:val="00EE2107"/>
    <w:rsid w:val="00EE3055"/>
    <w:rsid w:val="00EE38D0"/>
    <w:rsid w:val="00EE6F45"/>
    <w:rsid w:val="00EE7FD3"/>
    <w:rsid w:val="00EF030E"/>
    <w:rsid w:val="00EF16F5"/>
    <w:rsid w:val="00EF2506"/>
    <w:rsid w:val="00EF2E50"/>
    <w:rsid w:val="00EF36A1"/>
    <w:rsid w:val="00EF4058"/>
    <w:rsid w:val="00EF5512"/>
    <w:rsid w:val="00EF57F4"/>
    <w:rsid w:val="00EF5F5A"/>
    <w:rsid w:val="00EF6B62"/>
    <w:rsid w:val="00EF6D74"/>
    <w:rsid w:val="00F0692E"/>
    <w:rsid w:val="00F10714"/>
    <w:rsid w:val="00F12E00"/>
    <w:rsid w:val="00F13630"/>
    <w:rsid w:val="00F17C81"/>
    <w:rsid w:val="00F2116C"/>
    <w:rsid w:val="00F2185A"/>
    <w:rsid w:val="00F21C5D"/>
    <w:rsid w:val="00F22CFB"/>
    <w:rsid w:val="00F23519"/>
    <w:rsid w:val="00F23F5A"/>
    <w:rsid w:val="00F2401B"/>
    <w:rsid w:val="00F25932"/>
    <w:rsid w:val="00F259FB"/>
    <w:rsid w:val="00F26BB4"/>
    <w:rsid w:val="00F31126"/>
    <w:rsid w:val="00F318B8"/>
    <w:rsid w:val="00F32923"/>
    <w:rsid w:val="00F33D7B"/>
    <w:rsid w:val="00F34279"/>
    <w:rsid w:val="00F366C2"/>
    <w:rsid w:val="00F37362"/>
    <w:rsid w:val="00F40002"/>
    <w:rsid w:val="00F41E94"/>
    <w:rsid w:val="00F44C04"/>
    <w:rsid w:val="00F4546D"/>
    <w:rsid w:val="00F46E91"/>
    <w:rsid w:val="00F476E5"/>
    <w:rsid w:val="00F47AE9"/>
    <w:rsid w:val="00F54284"/>
    <w:rsid w:val="00F57AD5"/>
    <w:rsid w:val="00F57D68"/>
    <w:rsid w:val="00F61D46"/>
    <w:rsid w:val="00F62DF5"/>
    <w:rsid w:val="00F63307"/>
    <w:rsid w:val="00F63593"/>
    <w:rsid w:val="00F63772"/>
    <w:rsid w:val="00F640E8"/>
    <w:rsid w:val="00F64161"/>
    <w:rsid w:val="00F65ED7"/>
    <w:rsid w:val="00F67302"/>
    <w:rsid w:val="00F678A7"/>
    <w:rsid w:val="00F70AE9"/>
    <w:rsid w:val="00F7235A"/>
    <w:rsid w:val="00F73FAE"/>
    <w:rsid w:val="00F759F0"/>
    <w:rsid w:val="00F75BFD"/>
    <w:rsid w:val="00F762B2"/>
    <w:rsid w:val="00F8010D"/>
    <w:rsid w:val="00F8050D"/>
    <w:rsid w:val="00F834B3"/>
    <w:rsid w:val="00F842FF"/>
    <w:rsid w:val="00F84762"/>
    <w:rsid w:val="00F84EF8"/>
    <w:rsid w:val="00F869E9"/>
    <w:rsid w:val="00F86EB7"/>
    <w:rsid w:val="00F910AA"/>
    <w:rsid w:val="00F92476"/>
    <w:rsid w:val="00F92AF7"/>
    <w:rsid w:val="00F93702"/>
    <w:rsid w:val="00F943E7"/>
    <w:rsid w:val="00F9465B"/>
    <w:rsid w:val="00F96817"/>
    <w:rsid w:val="00F97F73"/>
    <w:rsid w:val="00FA3593"/>
    <w:rsid w:val="00FA495F"/>
    <w:rsid w:val="00FB3ACD"/>
    <w:rsid w:val="00FB52BD"/>
    <w:rsid w:val="00FB56B8"/>
    <w:rsid w:val="00FB5985"/>
    <w:rsid w:val="00FB6811"/>
    <w:rsid w:val="00FB7462"/>
    <w:rsid w:val="00FC0821"/>
    <w:rsid w:val="00FC0BD9"/>
    <w:rsid w:val="00FC4FD8"/>
    <w:rsid w:val="00FC50BA"/>
    <w:rsid w:val="00FC5B1A"/>
    <w:rsid w:val="00FC5C76"/>
    <w:rsid w:val="00FC68B2"/>
    <w:rsid w:val="00FC7EFA"/>
    <w:rsid w:val="00FD13F6"/>
    <w:rsid w:val="00FD24DE"/>
    <w:rsid w:val="00FD4E0D"/>
    <w:rsid w:val="00FD5D18"/>
    <w:rsid w:val="00FE08D2"/>
    <w:rsid w:val="00FE1059"/>
    <w:rsid w:val="00FE1457"/>
    <w:rsid w:val="00FE2734"/>
    <w:rsid w:val="00FE5E9F"/>
    <w:rsid w:val="00FE6554"/>
    <w:rsid w:val="00FF54C9"/>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BD749"/>
  <w15:docId w15:val="{FE2ADE23-2098-4133-8E4D-38063F79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25"/>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D869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D869C0"/>
    <w:pPr>
      <w:spacing w:before="150" w:after="150" w:line="240" w:lineRule="auto"/>
      <w:jc w:val="center"/>
    </w:pPr>
    <w:rPr>
      <w:rFonts w:ascii="Times New Roman" w:eastAsia="Times New Roman" w:hAnsi="Times New Roman"/>
      <w:b/>
      <w:bCs/>
      <w:sz w:val="24"/>
      <w:szCs w:val="24"/>
      <w:lang w:eastAsia="lv-LV"/>
    </w:rPr>
  </w:style>
  <w:style w:type="character" w:customStyle="1" w:styleId="UnresolvedMention1">
    <w:name w:val="Unresolved Mention1"/>
    <w:basedOn w:val="DefaultParagraphFont"/>
    <w:uiPriority w:val="99"/>
    <w:semiHidden/>
    <w:unhideWhenUsed/>
    <w:rsid w:val="00A041A1"/>
    <w:rPr>
      <w:color w:val="605E5C"/>
      <w:shd w:val="clear" w:color="auto" w:fill="E1DFDD"/>
    </w:rPr>
  </w:style>
  <w:style w:type="paragraph" w:styleId="FootnoteText">
    <w:name w:val="footnote text"/>
    <w:basedOn w:val="Normal"/>
    <w:link w:val="FootnoteTextChar"/>
    <w:uiPriority w:val="99"/>
    <w:semiHidden/>
    <w:unhideWhenUsed/>
    <w:rsid w:val="00685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F6D"/>
    <w:rPr>
      <w:lang w:val="lv-LV"/>
    </w:rPr>
  </w:style>
  <w:style w:type="character" w:styleId="FootnoteReference">
    <w:name w:val="footnote reference"/>
    <w:basedOn w:val="DefaultParagraphFont"/>
    <w:uiPriority w:val="99"/>
    <w:semiHidden/>
    <w:unhideWhenUsed/>
    <w:rsid w:val="00685F6D"/>
    <w:rPr>
      <w:vertAlign w:val="superscript"/>
    </w:rPr>
  </w:style>
  <w:style w:type="paragraph" w:styleId="Revision">
    <w:name w:val="Revision"/>
    <w:hidden/>
    <w:uiPriority w:val="99"/>
    <w:semiHidden/>
    <w:rsid w:val="00F70AE9"/>
    <w:rPr>
      <w:sz w:val="22"/>
      <w:szCs w:val="22"/>
      <w:lang w:val="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700B5A"/>
    <w:rPr>
      <w:sz w:val="22"/>
      <w:szCs w:val="22"/>
      <w:lang w:val="lv-LV"/>
    </w:rPr>
  </w:style>
  <w:style w:type="character" w:styleId="UnresolvedMention">
    <w:name w:val="Unresolved Mention"/>
    <w:basedOn w:val="DefaultParagraphFont"/>
    <w:uiPriority w:val="99"/>
    <w:semiHidden/>
    <w:unhideWhenUsed/>
    <w:rsid w:val="00B84E3F"/>
    <w:rPr>
      <w:color w:val="605E5C"/>
      <w:shd w:val="clear" w:color="auto" w:fill="E1DFDD"/>
    </w:rPr>
  </w:style>
  <w:style w:type="paragraph" w:customStyle="1" w:styleId="tv213">
    <w:name w:val="tv213"/>
    <w:basedOn w:val="Normal"/>
    <w:rsid w:val="0019241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9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127364063">
      <w:bodyDiv w:val="1"/>
      <w:marLeft w:val="0"/>
      <w:marRight w:val="0"/>
      <w:marTop w:val="0"/>
      <w:marBottom w:val="0"/>
      <w:divBdr>
        <w:top w:val="none" w:sz="0" w:space="0" w:color="auto"/>
        <w:left w:val="none" w:sz="0" w:space="0" w:color="auto"/>
        <w:bottom w:val="none" w:sz="0" w:space="0" w:color="auto"/>
        <w:right w:val="none" w:sz="0" w:space="0" w:color="auto"/>
      </w:divBdr>
    </w:div>
    <w:div w:id="243220054">
      <w:bodyDiv w:val="1"/>
      <w:marLeft w:val="0"/>
      <w:marRight w:val="0"/>
      <w:marTop w:val="0"/>
      <w:marBottom w:val="0"/>
      <w:divBdr>
        <w:top w:val="none" w:sz="0" w:space="0" w:color="auto"/>
        <w:left w:val="none" w:sz="0" w:space="0" w:color="auto"/>
        <w:bottom w:val="none" w:sz="0" w:space="0" w:color="auto"/>
        <w:right w:val="none" w:sz="0" w:space="0" w:color="auto"/>
      </w:divBdr>
    </w:div>
    <w:div w:id="498811776">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04818684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1501">
      <w:bodyDiv w:val="1"/>
      <w:marLeft w:val="0"/>
      <w:marRight w:val="0"/>
      <w:marTop w:val="0"/>
      <w:marBottom w:val="0"/>
      <w:divBdr>
        <w:top w:val="none" w:sz="0" w:space="0" w:color="auto"/>
        <w:left w:val="none" w:sz="0" w:space="0" w:color="auto"/>
        <w:bottom w:val="none" w:sz="0" w:space="0" w:color="auto"/>
        <w:right w:val="none" w:sz="0" w:space="0" w:color="auto"/>
      </w:divBdr>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772168790">
      <w:bodyDiv w:val="1"/>
      <w:marLeft w:val="0"/>
      <w:marRight w:val="0"/>
      <w:marTop w:val="0"/>
      <w:marBottom w:val="0"/>
      <w:divBdr>
        <w:top w:val="none" w:sz="0" w:space="0" w:color="auto"/>
        <w:left w:val="none" w:sz="0" w:space="0" w:color="auto"/>
        <w:bottom w:val="none" w:sz="0" w:space="0" w:color="auto"/>
        <w:right w:val="none" w:sz="0" w:space="0" w:color="auto"/>
      </w:divBdr>
    </w:div>
    <w:div w:id="1792168318">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mesgramata.lv/"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s://www.kadastrs.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nozares_politika/nacionalais_energetikas_un_klimata_plans/" TargetMode="External"/><Relationship Id="rId1" Type="http://schemas.openxmlformats.org/officeDocument/2006/relationships/hyperlink" Target="https://www.em.gov.lv/lv/nozares_politika/nacionalais_energetikas_un_klimata_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41A7-298E-4E5E-81C2-09BFA82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15667</Words>
  <Characters>8931</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dc:title>
  <dc:subject>Noteikumu projekta anotācija</dc:subject>
  <dc:creator>Kaspars Kalsnavs</dc:creator>
  <cp:keywords/>
  <dc:description/>
  <cp:lastModifiedBy>Indra Stepanova</cp:lastModifiedBy>
  <cp:revision>8</cp:revision>
  <cp:lastPrinted>2020-01-08T13:16:00Z</cp:lastPrinted>
  <dcterms:created xsi:type="dcterms:W3CDTF">2021-02-02T10:15:00Z</dcterms:created>
  <dcterms:modified xsi:type="dcterms:W3CDTF">2021-02-03T11:44:00Z</dcterms:modified>
</cp:coreProperties>
</file>