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9A03" w14:textId="77777777" w:rsidR="007116C7" w:rsidRPr="00FD51F3" w:rsidRDefault="007116C7" w:rsidP="00FD51F3">
      <w:pPr>
        <w:pStyle w:val="naisnod"/>
        <w:spacing w:before="0" w:after="0"/>
        <w:ind w:firstLine="720"/>
        <w:rPr>
          <w:sz w:val="28"/>
          <w:szCs w:val="28"/>
        </w:rPr>
      </w:pPr>
      <w:r w:rsidRPr="00FD51F3">
        <w:rPr>
          <w:sz w:val="28"/>
          <w:szCs w:val="28"/>
        </w:rPr>
        <w:t>Izziņa par atzinumos sniegtajiem iebildumiem</w:t>
      </w:r>
    </w:p>
    <w:p w14:paraId="629A3EED" w14:textId="77777777" w:rsidR="007116C7" w:rsidRPr="00FD51F3" w:rsidRDefault="007116C7" w:rsidP="00FD51F3">
      <w:pPr>
        <w:pStyle w:val="naisf"/>
        <w:spacing w:before="0" w:after="0"/>
        <w:ind w:firstLine="720"/>
      </w:pPr>
    </w:p>
    <w:p w14:paraId="526D0222" w14:textId="67F16DC6" w:rsidR="007B4C0F" w:rsidRPr="00FD51F3" w:rsidRDefault="006B6791" w:rsidP="00FD51F3">
      <w:pPr>
        <w:pStyle w:val="naisf"/>
        <w:spacing w:before="0" w:after="0"/>
        <w:ind w:firstLine="0"/>
        <w:jc w:val="center"/>
        <w:rPr>
          <w:b/>
          <w:bCs/>
        </w:rPr>
      </w:pPr>
      <w:r w:rsidRPr="00FD51F3">
        <w:rPr>
          <w:b/>
          <w:bCs/>
        </w:rPr>
        <w:t>Ministru kabineta noteikumu projektam “</w:t>
      </w:r>
      <w:r w:rsidR="00CC7F68" w:rsidRPr="00FD51F3">
        <w:rPr>
          <w:b/>
          <w:bCs/>
        </w:rPr>
        <w:t>Noteikumi par prioritāro projektu apkalpošanas kārtību</w:t>
      </w:r>
      <w:r w:rsidRPr="00FD51F3">
        <w:rPr>
          <w:b/>
          <w:bCs/>
        </w:rPr>
        <w:t>”</w:t>
      </w:r>
    </w:p>
    <w:p w14:paraId="3AF7ABBE" w14:textId="77777777" w:rsidR="006B6791" w:rsidRPr="00FD51F3" w:rsidRDefault="006B6791" w:rsidP="00FD51F3">
      <w:pPr>
        <w:pStyle w:val="naisf"/>
        <w:spacing w:before="0" w:after="0"/>
        <w:ind w:firstLine="720"/>
      </w:pPr>
    </w:p>
    <w:p w14:paraId="4A846640" w14:textId="77777777" w:rsidR="007B4C0F" w:rsidRPr="00FD51F3" w:rsidRDefault="007B4C0F" w:rsidP="00FD51F3">
      <w:pPr>
        <w:pStyle w:val="naisf"/>
        <w:spacing w:before="0" w:after="0"/>
        <w:ind w:firstLine="0"/>
        <w:jc w:val="center"/>
        <w:rPr>
          <w:b/>
        </w:rPr>
      </w:pPr>
      <w:r w:rsidRPr="00FD51F3">
        <w:rPr>
          <w:b/>
        </w:rPr>
        <w:t xml:space="preserve">I. Jautājumi, par kuriem saskaņošanā </w:t>
      </w:r>
      <w:r w:rsidR="00134188" w:rsidRPr="00FD51F3">
        <w:rPr>
          <w:b/>
        </w:rPr>
        <w:t xml:space="preserve">vienošanās </w:t>
      </w:r>
      <w:r w:rsidRPr="00FD51F3">
        <w:rPr>
          <w:b/>
        </w:rPr>
        <w:t>nav panākta</w:t>
      </w:r>
    </w:p>
    <w:p w14:paraId="54537100" w14:textId="77777777" w:rsidR="007B4C0F" w:rsidRPr="00FD51F3" w:rsidRDefault="007B4C0F" w:rsidP="00FD51F3">
      <w:pPr>
        <w:pStyle w:val="naisf"/>
        <w:spacing w:before="0" w:after="0"/>
        <w:ind w:firstLine="720"/>
      </w:pPr>
    </w:p>
    <w:tbl>
      <w:tblPr>
        <w:tblW w:w="152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511"/>
        <w:gridCol w:w="2693"/>
        <w:gridCol w:w="2977"/>
        <w:gridCol w:w="2459"/>
        <w:gridCol w:w="2928"/>
      </w:tblGrid>
      <w:tr w:rsidR="005F4BFD" w:rsidRPr="00FD51F3" w14:paraId="23FEB5C0" w14:textId="77777777" w:rsidTr="00B10481">
        <w:tc>
          <w:tcPr>
            <w:tcW w:w="708" w:type="dxa"/>
            <w:tcBorders>
              <w:top w:val="single" w:sz="6" w:space="0" w:color="000000"/>
              <w:left w:val="single" w:sz="6" w:space="0" w:color="000000"/>
              <w:bottom w:val="single" w:sz="6" w:space="0" w:color="000000"/>
              <w:right w:val="single" w:sz="6" w:space="0" w:color="000000"/>
            </w:tcBorders>
            <w:vAlign w:val="center"/>
          </w:tcPr>
          <w:p w14:paraId="2022FF58" w14:textId="77777777" w:rsidR="005F4BFD" w:rsidRPr="00FD51F3" w:rsidRDefault="005F4BFD" w:rsidP="00FD51F3">
            <w:pPr>
              <w:pStyle w:val="naisc"/>
              <w:spacing w:before="0" w:after="0"/>
            </w:pPr>
            <w:r w:rsidRPr="00FD51F3">
              <w:t>Nr. p.</w:t>
            </w:r>
            <w:r w:rsidR="00D64FB0" w:rsidRPr="00FD51F3">
              <w:t> </w:t>
            </w:r>
            <w:r w:rsidRPr="00FD51F3">
              <w:t>k.</w:t>
            </w:r>
          </w:p>
        </w:tc>
        <w:tc>
          <w:tcPr>
            <w:tcW w:w="3511" w:type="dxa"/>
            <w:tcBorders>
              <w:top w:val="single" w:sz="6" w:space="0" w:color="000000"/>
              <w:left w:val="single" w:sz="6" w:space="0" w:color="000000"/>
              <w:bottom w:val="single" w:sz="6" w:space="0" w:color="000000"/>
              <w:right w:val="single" w:sz="6" w:space="0" w:color="000000"/>
            </w:tcBorders>
            <w:vAlign w:val="center"/>
          </w:tcPr>
          <w:p w14:paraId="79AA8D7C" w14:textId="77777777" w:rsidR="005F4BFD" w:rsidRPr="00FD51F3" w:rsidRDefault="005F4BFD" w:rsidP="00FD51F3">
            <w:pPr>
              <w:pStyle w:val="naisc"/>
              <w:spacing w:before="0" w:after="0"/>
              <w:ind w:firstLine="12"/>
            </w:pPr>
            <w:r w:rsidRPr="00FD51F3">
              <w:t>Saskaņošanai nosūtītā projekta redakcija (konkrēta punkta (panta) redakcija)</w:t>
            </w:r>
          </w:p>
        </w:tc>
        <w:tc>
          <w:tcPr>
            <w:tcW w:w="2693" w:type="dxa"/>
            <w:tcBorders>
              <w:top w:val="single" w:sz="6" w:space="0" w:color="000000"/>
              <w:left w:val="single" w:sz="6" w:space="0" w:color="000000"/>
              <w:bottom w:val="single" w:sz="6" w:space="0" w:color="000000"/>
              <w:right w:val="single" w:sz="6" w:space="0" w:color="000000"/>
            </w:tcBorders>
            <w:vAlign w:val="center"/>
          </w:tcPr>
          <w:p w14:paraId="1F02C8EE" w14:textId="77777777" w:rsidR="005F4BFD" w:rsidRPr="00FD51F3" w:rsidRDefault="005F4BFD" w:rsidP="00FD51F3">
            <w:pPr>
              <w:pStyle w:val="naisc"/>
              <w:spacing w:before="0" w:after="0"/>
              <w:ind w:right="3"/>
            </w:pPr>
            <w:r w:rsidRPr="00FD51F3">
              <w:t>Atzinumā norādītais ministrijas (citas institūcijas) iebildums</w:t>
            </w:r>
            <w:r w:rsidR="00184479" w:rsidRPr="00FD51F3">
              <w:t>,</w:t>
            </w:r>
            <w:r w:rsidR="000E5509" w:rsidRPr="00FD51F3">
              <w:t xml:space="preserve"> kā arī saskaņošanā papildus izteiktais iebildums</w:t>
            </w:r>
            <w:r w:rsidRPr="00FD51F3">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8E3281B" w14:textId="77777777" w:rsidR="005F4BFD" w:rsidRPr="00FD51F3" w:rsidRDefault="005F4BFD" w:rsidP="00FD51F3">
            <w:pPr>
              <w:pStyle w:val="naisc"/>
              <w:spacing w:before="0" w:after="0"/>
              <w:ind w:firstLine="21"/>
            </w:pPr>
            <w:r w:rsidRPr="00FD51F3">
              <w:t>Atbildīgās ministrijas pamatojums</w:t>
            </w:r>
            <w:r w:rsidR="009307F2" w:rsidRPr="00FD51F3">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D865EE3" w14:textId="77777777" w:rsidR="005F4BFD" w:rsidRPr="00FD51F3" w:rsidRDefault="005F4BFD" w:rsidP="00FD51F3">
            <w:pPr>
              <w:jc w:val="center"/>
            </w:pPr>
            <w:r w:rsidRPr="00FD51F3">
              <w:t>Atzinuma sniedzēja uzturētais iebildums, ja tas atšķiras no atzinumā norādītā iebilduma pamatojuma</w:t>
            </w:r>
          </w:p>
        </w:tc>
        <w:tc>
          <w:tcPr>
            <w:tcW w:w="2928" w:type="dxa"/>
            <w:tcBorders>
              <w:top w:val="single" w:sz="4" w:space="0" w:color="auto"/>
              <w:left w:val="single" w:sz="4" w:space="0" w:color="auto"/>
              <w:bottom w:val="single" w:sz="4" w:space="0" w:color="auto"/>
            </w:tcBorders>
            <w:vAlign w:val="center"/>
          </w:tcPr>
          <w:p w14:paraId="36F30474" w14:textId="77777777" w:rsidR="005F4BFD" w:rsidRPr="00FD51F3" w:rsidRDefault="005F4BFD" w:rsidP="00FD51F3">
            <w:pPr>
              <w:jc w:val="center"/>
            </w:pPr>
            <w:r w:rsidRPr="00FD51F3">
              <w:t>Projekta attiecīgā punkta (panta) galīgā redakcija</w:t>
            </w:r>
          </w:p>
        </w:tc>
      </w:tr>
      <w:tr w:rsidR="7EE60116" w:rsidRPr="00FD51F3" w14:paraId="09F0B624" w14:textId="77777777" w:rsidTr="00B10481">
        <w:tc>
          <w:tcPr>
            <w:tcW w:w="708" w:type="dxa"/>
            <w:tcBorders>
              <w:top w:val="single" w:sz="6" w:space="0" w:color="000000"/>
              <w:left w:val="single" w:sz="6" w:space="0" w:color="000000"/>
              <w:bottom w:val="single" w:sz="6" w:space="0" w:color="000000"/>
              <w:right w:val="single" w:sz="6" w:space="0" w:color="000000"/>
            </w:tcBorders>
            <w:vAlign w:val="center"/>
          </w:tcPr>
          <w:p w14:paraId="071A281D" w14:textId="77777777" w:rsidR="7EE60116" w:rsidRPr="00FD51F3" w:rsidRDefault="7EE60116" w:rsidP="00FD51F3">
            <w:pPr>
              <w:pStyle w:val="naisc"/>
              <w:spacing w:before="0" w:after="0"/>
              <w:rPr>
                <w:sz w:val="20"/>
                <w:szCs w:val="20"/>
              </w:rPr>
            </w:pPr>
            <w:r w:rsidRPr="00FD51F3">
              <w:rPr>
                <w:sz w:val="20"/>
                <w:szCs w:val="20"/>
              </w:rPr>
              <w:t>1</w:t>
            </w:r>
          </w:p>
        </w:tc>
        <w:tc>
          <w:tcPr>
            <w:tcW w:w="3511" w:type="dxa"/>
            <w:tcBorders>
              <w:top w:val="single" w:sz="6" w:space="0" w:color="000000"/>
              <w:left w:val="single" w:sz="6" w:space="0" w:color="000000"/>
              <w:bottom w:val="single" w:sz="6" w:space="0" w:color="000000"/>
              <w:right w:val="single" w:sz="6" w:space="0" w:color="000000"/>
            </w:tcBorders>
            <w:vAlign w:val="center"/>
          </w:tcPr>
          <w:p w14:paraId="6BFD83C1" w14:textId="77777777" w:rsidR="7EE60116" w:rsidRPr="00FD51F3" w:rsidRDefault="7EE60116" w:rsidP="00FD51F3">
            <w:pPr>
              <w:pStyle w:val="naisc"/>
              <w:spacing w:before="0" w:after="0"/>
              <w:ind w:firstLine="720"/>
              <w:rPr>
                <w:sz w:val="20"/>
                <w:szCs w:val="20"/>
              </w:rPr>
            </w:pPr>
            <w:r w:rsidRPr="00FD51F3">
              <w:rPr>
                <w:sz w:val="20"/>
                <w:szCs w:val="20"/>
              </w:rPr>
              <w:t>2</w:t>
            </w:r>
          </w:p>
        </w:tc>
        <w:tc>
          <w:tcPr>
            <w:tcW w:w="2693" w:type="dxa"/>
            <w:tcBorders>
              <w:top w:val="single" w:sz="6" w:space="0" w:color="000000"/>
              <w:left w:val="single" w:sz="6" w:space="0" w:color="000000"/>
              <w:bottom w:val="single" w:sz="6" w:space="0" w:color="000000"/>
              <w:right w:val="single" w:sz="6" w:space="0" w:color="000000"/>
            </w:tcBorders>
            <w:vAlign w:val="center"/>
          </w:tcPr>
          <w:p w14:paraId="528AC53E" w14:textId="77777777" w:rsidR="7EE60116" w:rsidRPr="00FD51F3" w:rsidRDefault="7EE60116" w:rsidP="00FD51F3">
            <w:pPr>
              <w:pStyle w:val="naisc"/>
              <w:spacing w:before="0" w:after="0"/>
              <w:ind w:firstLine="720"/>
              <w:rPr>
                <w:sz w:val="20"/>
                <w:szCs w:val="20"/>
              </w:rPr>
            </w:pPr>
            <w:r w:rsidRPr="00FD51F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2AB53B5B" w14:textId="77777777" w:rsidR="7EE60116" w:rsidRPr="00FD51F3" w:rsidRDefault="7EE60116" w:rsidP="00FD51F3">
            <w:pPr>
              <w:pStyle w:val="naisc"/>
              <w:spacing w:before="0" w:after="0"/>
              <w:ind w:firstLine="720"/>
              <w:rPr>
                <w:sz w:val="20"/>
                <w:szCs w:val="20"/>
              </w:rPr>
            </w:pPr>
            <w:r w:rsidRPr="00FD51F3">
              <w:rPr>
                <w:sz w:val="20"/>
                <w:szCs w:val="20"/>
              </w:rPr>
              <w:t>4</w:t>
            </w:r>
          </w:p>
        </w:tc>
        <w:tc>
          <w:tcPr>
            <w:tcW w:w="2459" w:type="dxa"/>
            <w:tcBorders>
              <w:top w:val="single" w:sz="4" w:space="0" w:color="auto"/>
              <w:left w:val="single" w:sz="4" w:space="0" w:color="auto"/>
              <w:bottom w:val="single" w:sz="4" w:space="0" w:color="auto"/>
              <w:right w:val="single" w:sz="4" w:space="0" w:color="auto"/>
            </w:tcBorders>
            <w:vAlign w:val="center"/>
          </w:tcPr>
          <w:p w14:paraId="50671EE2" w14:textId="77777777" w:rsidR="7EE60116" w:rsidRPr="00FD51F3" w:rsidRDefault="7EE60116" w:rsidP="00FD51F3">
            <w:pPr>
              <w:jc w:val="center"/>
              <w:rPr>
                <w:sz w:val="20"/>
                <w:szCs w:val="20"/>
              </w:rPr>
            </w:pPr>
            <w:r w:rsidRPr="00FD51F3">
              <w:rPr>
                <w:sz w:val="20"/>
                <w:szCs w:val="20"/>
              </w:rPr>
              <w:t>5</w:t>
            </w:r>
          </w:p>
        </w:tc>
        <w:tc>
          <w:tcPr>
            <w:tcW w:w="2928" w:type="dxa"/>
            <w:tcBorders>
              <w:top w:val="single" w:sz="4" w:space="0" w:color="auto"/>
              <w:left w:val="single" w:sz="4" w:space="0" w:color="auto"/>
              <w:bottom w:val="single" w:sz="4" w:space="0" w:color="auto"/>
            </w:tcBorders>
            <w:vAlign w:val="center"/>
          </w:tcPr>
          <w:p w14:paraId="7A68665A" w14:textId="5F89EEF0" w:rsidR="10C85372" w:rsidRPr="00FD51F3" w:rsidRDefault="10C85372" w:rsidP="00FD51F3">
            <w:pPr>
              <w:jc w:val="center"/>
            </w:pPr>
            <w:r w:rsidRPr="00FD51F3">
              <w:t>6</w:t>
            </w:r>
          </w:p>
        </w:tc>
      </w:tr>
      <w:tr w:rsidR="005F4BFD" w:rsidRPr="00FD51F3" w14:paraId="3AEDD3C2" w14:textId="77777777" w:rsidTr="00B10481">
        <w:tc>
          <w:tcPr>
            <w:tcW w:w="708" w:type="dxa"/>
            <w:tcBorders>
              <w:top w:val="single" w:sz="6" w:space="0" w:color="000000"/>
              <w:left w:val="single" w:sz="6" w:space="0" w:color="000000"/>
              <w:bottom w:val="single" w:sz="6" w:space="0" w:color="000000"/>
              <w:right w:val="single" w:sz="6" w:space="0" w:color="000000"/>
            </w:tcBorders>
          </w:tcPr>
          <w:p w14:paraId="7D8F57E5" w14:textId="52DF44FB" w:rsidR="005F4BFD" w:rsidRPr="00FD51F3" w:rsidRDefault="498E58BF" w:rsidP="00FD51F3">
            <w:pPr>
              <w:pStyle w:val="naisc"/>
              <w:spacing w:before="0" w:after="0"/>
              <w:rPr>
                <w:sz w:val="20"/>
                <w:szCs w:val="20"/>
              </w:rPr>
            </w:pPr>
            <w:r w:rsidRPr="00FD51F3">
              <w:rPr>
                <w:sz w:val="20"/>
                <w:szCs w:val="20"/>
              </w:rPr>
              <w:t>1</w:t>
            </w:r>
            <w:r w:rsidR="7ED61B0D" w:rsidRPr="00FD51F3">
              <w:rPr>
                <w:sz w:val="20"/>
                <w:szCs w:val="20"/>
              </w:rPr>
              <w:t>.</w:t>
            </w:r>
          </w:p>
        </w:tc>
        <w:tc>
          <w:tcPr>
            <w:tcW w:w="3511" w:type="dxa"/>
            <w:tcBorders>
              <w:top w:val="single" w:sz="6" w:space="0" w:color="000000"/>
              <w:left w:val="single" w:sz="6" w:space="0" w:color="000000"/>
              <w:bottom w:val="single" w:sz="6" w:space="0" w:color="000000"/>
              <w:right w:val="single" w:sz="6" w:space="0" w:color="000000"/>
            </w:tcBorders>
          </w:tcPr>
          <w:p w14:paraId="54E2A2A1" w14:textId="0ED5DC62" w:rsidR="005A406F" w:rsidRPr="00FD51F3" w:rsidRDefault="005A406F" w:rsidP="00FD51F3">
            <w:pPr>
              <w:pStyle w:val="naisc"/>
              <w:jc w:val="left"/>
            </w:pPr>
            <w:r w:rsidRPr="00FD51F3">
              <w:t>“4.1.  ieguldījumu apjoms trīs gadu periodā ir vismaz 5 000 000 euro (Rīgas pilsētas administratīvajā teritorijā - vismaz 10 000 000 euro), un tas tiek veikts, lai nodrošinātu komercdarbību vismaz vienā no 2. punktā  minētajiem sektoriem (darbības jomām), tai skaitā pakalpojumu nodrošināšanā šo sektoru uzņēmumiem;</w:t>
            </w:r>
          </w:p>
          <w:p w14:paraId="1585DA40" w14:textId="77777777" w:rsidR="005A406F" w:rsidRPr="00FD51F3" w:rsidRDefault="005A406F" w:rsidP="00FD51F3">
            <w:pPr>
              <w:pStyle w:val="naisc"/>
              <w:jc w:val="left"/>
            </w:pPr>
            <w:r w:rsidRPr="00FD51F3">
              <w:t>4.2. attiecībā uz no jauna radītajām darba vietām, projekts izpilda vienu no šiem kritērijiem:</w:t>
            </w:r>
          </w:p>
          <w:p w14:paraId="7F2BE187" w14:textId="2A4E120F" w:rsidR="005F4BFD" w:rsidRPr="00FD51F3" w:rsidRDefault="005A406F" w:rsidP="00FD51F3">
            <w:pPr>
              <w:pStyle w:val="naisc"/>
              <w:jc w:val="left"/>
            </w:pPr>
            <w:r w:rsidRPr="00FD51F3">
              <w:t xml:space="preserve">4.2.1. plānotais investīciju projekta īstenošanas rezultātā no jauna radīto darba vietu skaits trīs gadu periodā ir vismaz 75 jaunas </w:t>
            </w:r>
            <w:r w:rsidRPr="00FD51F3">
              <w:lastRenderedPageBreak/>
              <w:t>darba vietas (Rīgas pilsētas administratīvajā teritorijā plānotas vismaz 100 jaunas darba vietas);</w:t>
            </w:r>
            <w:r w:rsidR="00856379" w:rsidRPr="00FD51F3">
              <w:t>”</w:t>
            </w:r>
          </w:p>
        </w:tc>
        <w:tc>
          <w:tcPr>
            <w:tcW w:w="2693" w:type="dxa"/>
            <w:tcBorders>
              <w:top w:val="single" w:sz="6" w:space="0" w:color="000000"/>
              <w:left w:val="single" w:sz="6" w:space="0" w:color="000000"/>
              <w:bottom w:val="single" w:sz="6" w:space="0" w:color="000000"/>
              <w:right w:val="single" w:sz="6" w:space="0" w:color="000000"/>
            </w:tcBorders>
          </w:tcPr>
          <w:p w14:paraId="5177E344" w14:textId="32ED84B6" w:rsidR="005F4BFD" w:rsidRPr="00FD51F3" w:rsidRDefault="43D2C42D" w:rsidP="00FD51F3">
            <w:pPr>
              <w:pStyle w:val="naisc"/>
              <w:spacing w:before="0" w:after="0"/>
              <w:jc w:val="left"/>
            </w:pPr>
            <w:r w:rsidRPr="00FD51F3">
              <w:rPr>
                <w:b/>
                <w:bCs/>
              </w:rPr>
              <w:lastRenderedPageBreak/>
              <w:t xml:space="preserve">Latvijas Pašvaldību savienības </w:t>
            </w:r>
            <w:r w:rsidR="12E6057F" w:rsidRPr="00FD51F3">
              <w:rPr>
                <w:b/>
                <w:bCs/>
              </w:rPr>
              <w:t xml:space="preserve">25.01.2021 </w:t>
            </w:r>
            <w:r w:rsidRPr="00FD51F3">
              <w:rPr>
                <w:b/>
                <w:bCs/>
              </w:rPr>
              <w:t xml:space="preserve">iebildums: </w:t>
            </w:r>
            <w:r w:rsidR="4EF9279B" w:rsidRPr="00FD51F3">
              <w:rPr>
                <w:b/>
                <w:bCs/>
              </w:rPr>
              <w:t>“</w:t>
            </w:r>
            <w:r w:rsidR="0BBC06A3" w:rsidRPr="00FD51F3">
              <w:t>LPS aicina EM izvērtēt iespēju samazināt prasības vai nu punktā 4.1,  vai punktā 4.2.1. un tādā veidā nodrošināt, ka projekti reģionos kvalificēsies vismaz trijiem no četriem kvalifikācijas kritērijiem.</w:t>
            </w:r>
            <w:r w:rsidR="024B2955" w:rsidRPr="00FD51F3">
              <w:t>”</w:t>
            </w:r>
          </w:p>
        </w:tc>
        <w:tc>
          <w:tcPr>
            <w:tcW w:w="2977" w:type="dxa"/>
            <w:tcBorders>
              <w:top w:val="single" w:sz="6" w:space="0" w:color="000000"/>
              <w:left w:val="single" w:sz="6" w:space="0" w:color="000000"/>
              <w:bottom w:val="single" w:sz="6" w:space="0" w:color="000000"/>
              <w:right w:val="single" w:sz="6" w:space="0" w:color="000000"/>
            </w:tcBorders>
          </w:tcPr>
          <w:p w14:paraId="0FBA9910" w14:textId="7C6EB94C" w:rsidR="002C73B8" w:rsidRDefault="23CF0EE9" w:rsidP="05BD0DA7">
            <w:pPr>
              <w:pStyle w:val="naisc"/>
              <w:spacing w:before="0" w:after="0"/>
              <w:jc w:val="left"/>
            </w:pPr>
            <w:r w:rsidRPr="05BD0DA7">
              <w:t>MK noteikumu projekts</w:t>
            </w:r>
            <w:r w:rsidR="2EA29407" w:rsidRPr="05BD0DA7">
              <w:t xml:space="preserve"> “Noteikumi par prioritāro </w:t>
            </w:r>
            <w:r w:rsidR="53B0A3ED" w:rsidRPr="05BD0DA7">
              <w:t>projektu apkalpošanas kārtību”</w:t>
            </w:r>
            <w:r w:rsidRPr="05BD0DA7">
              <w:t xml:space="preserve"> ir</w:t>
            </w:r>
            <w:r w:rsidR="53B0A3ED" w:rsidRPr="05BD0DA7">
              <w:t xml:space="preserve"> izstrādāts</w:t>
            </w:r>
            <w:r w:rsidR="4714D3FC" w:rsidRPr="05BD0DA7">
              <w:t xml:space="preserve"> ar mērķi</w:t>
            </w:r>
            <w:r w:rsidRPr="05BD0DA7">
              <w:t xml:space="preserve"> </w:t>
            </w:r>
            <w:r w:rsidR="53B0A3ED" w:rsidRPr="05BD0DA7">
              <w:t xml:space="preserve">paātrināt un atvieglot </w:t>
            </w:r>
            <w:r w:rsidRPr="05BD0DA7">
              <w:t>administratīvo</w:t>
            </w:r>
            <w:r w:rsidR="53B0A3ED" w:rsidRPr="05BD0DA7">
              <w:t>s</w:t>
            </w:r>
            <w:r w:rsidRPr="05BD0DA7">
              <w:t xml:space="preserve"> procesu</w:t>
            </w:r>
            <w:r w:rsidR="53B0A3ED" w:rsidRPr="05BD0DA7">
              <w:t xml:space="preserve">s </w:t>
            </w:r>
            <w:r w:rsidRPr="05BD0DA7">
              <w:t xml:space="preserve"> </w:t>
            </w:r>
            <w:r w:rsidRPr="05BD0DA7">
              <w:rPr>
                <w:u w:val="single"/>
              </w:rPr>
              <w:t>lielajiem investīciju projektiem prioritārajās jomās</w:t>
            </w:r>
            <w:r w:rsidRPr="05BD0DA7">
              <w:t>,</w:t>
            </w:r>
            <w:r w:rsidR="755365F3" w:rsidRPr="05BD0DA7">
              <w:t xml:space="preserve"> kuri potenciāli sniedz lielāko pienesumu gan </w:t>
            </w:r>
            <w:r w:rsidR="678C8F5F" w:rsidRPr="05BD0DA7">
              <w:t xml:space="preserve">no </w:t>
            </w:r>
            <w:r w:rsidR="755365F3" w:rsidRPr="05BD0DA7">
              <w:t>ieguldījumu, gan sektora</w:t>
            </w:r>
            <w:r w:rsidR="7ED2063E" w:rsidRPr="05BD0DA7">
              <w:t xml:space="preserve"> skatu punkta</w:t>
            </w:r>
            <w:r w:rsidR="755365F3" w:rsidRPr="05BD0DA7">
              <w:t>.</w:t>
            </w:r>
            <w:r w:rsidRPr="05BD0DA7">
              <w:t xml:space="preserve"> </w:t>
            </w:r>
            <w:r w:rsidR="6CAD8D19" w:rsidRPr="05BD0DA7">
              <w:t>Šo noteikumu m</w:t>
            </w:r>
            <w:r w:rsidRPr="05BD0DA7">
              <w:t>ērķis nav piemērot šādu statusu vairumam investīciju projektu</w:t>
            </w:r>
            <w:r w:rsidR="63CCABC6" w:rsidRPr="05BD0DA7">
              <w:t>, jo t</w:t>
            </w:r>
            <w:r w:rsidR="3C8A7878" w:rsidRPr="05BD0DA7">
              <w:t xml:space="preserve">as </w:t>
            </w:r>
            <w:r w:rsidR="78890440" w:rsidRPr="05BD0DA7">
              <w:t xml:space="preserve">radītu risku nonākt </w:t>
            </w:r>
            <w:r w:rsidR="3C8A7878" w:rsidRPr="05BD0DA7">
              <w:t>situācij</w:t>
            </w:r>
            <w:r w:rsidR="78890440" w:rsidRPr="05BD0DA7">
              <w:t>ā</w:t>
            </w:r>
            <w:r w:rsidRPr="05BD0DA7">
              <w:t xml:space="preserve">, kad prioritāri izskatāmo administratīvo lietu skaits ir tik liels, ka būtiski kavē </w:t>
            </w:r>
            <w:r w:rsidRPr="05BD0DA7">
              <w:lastRenderedPageBreak/>
              <w:t>pārējo lietu izskatīšanu.</w:t>
            </w:r>
          </w:p>
          <w:p w14:paraId="03F8668F" w14:textId="55DB0FE1" w:rsidR="002C73B8" w:rsidRDefault="23CF0EE9" w:rsidP="05BD0DA7">
            <w:pPr>
              <w:pStyle w:val="naisc"/>
              <w:spacing w:before="0" w:after="0"/>
              <w:jc w:val="left"/>
            </w:pPr>
            <w:r w:rsidRPr="05BD0DA7">
              <w:t xml:space="preserve"> </w:t>
            </w:r>
          </w:p>
          <w:p w14:paraId="7F567ED7" w14:textId="19137F49" w:rsidR="005F4BFD" w:rsidRPr="00B10481" w:rsidRDefault="23CF0EE9" w:rsidP="05BD0DA7">
            <w:pPr>
              <w:pStyle w:val="naisc"/>
              <w:spacing w:before="0" w:after="0"/>
              <w:jc w:val="left"/>
              <w:rPr>
                <w:color w:val="000000"/>
              </w:rPr>
            </w:pPr>
            <w:r w:rsidRPr="05BD0DA7">
              <w:t xml:space="preserve">Tāpat jāņem vērā, ka no jauna radīto darba vietu skaits tiek skatīts </w:t>
            </w:r>
            <w:r w:rsidRPr="05BD0DA7">
              <w:rPr>
                <w:u w:val="single"/>
              </w:rPr>
              <w:t>3 gadu periodā</w:t>
            </w:r>
            <w:r w:rsidR="3C8A7878" w:rsidRPr="05BD0DA7">
              <w:t xml:space="preserve"> un</w:t>
            </w:r>
            <w:r w:rsidR="63CCABC6" w:rsidRPr="05BD0DA7">
              <w:t xml:space="preserve"> </w:t>
            </w:r>
            <w:r w:rsidR="0AF05264" w:rsidRPr="05BD0DA7">
              <w:t>ir balstīts LIAA klientu attīstības tendencēs.</w:t>
            </w:r>
            <w:r w:rsidR="70658020" w:rsidRPr="05BD0DA7">
              <w:t xml:space="preserve"> </w:t>
            </w:r>
            <w:r w:rsidR="5EB39E9E" w:rsidRPr="05BD0DA7">
              <w:t xml:space="preserve">Kritērijs izvēlēts, </w:t>
            </w:r>
            <w:r w:rsidR="70A5D702" w:rsidRPr="05BD0DA7">
              <w:t xml:space="preserve">strikti </w:t>
            </w:r>
            <w:r w:rsidR="5EB39E9E" w:rsidRPr="05BD0DA7">
              <w:t xml:space="preserve">balstoties uz </w:t>
            </w:r>
            <w:r w:rsidR="70658020" w:rsidRPr="05BD0DA7">
              <w:t xml:space="preserve"> mērķi</w:t>
            </w:r>
            <w:r w:rsidR="77FC9CF7" w:rsidRPr="05BD0DA7">
              <w:t xml:space="preserve"> -</w:t>
            </w:r>
            <w:r w:rsidR="70658020" w:rsidRPr="05BD0DA7">
              <w:t xml:space="preserve"> </w:t>
            </w:r>
            <w:r w:rsidR="70658020" w:rsidRPr="00B10481">
              <w:rPr>
                <w:color w:val="000000"/>
              </w:rPr>
              <w:t>nodrošināt tādu investīciju projektu prioritāru apkalpošanu,</w:t>
            </w:r>
            <w:r w:rsidR="0AF05264" w:rsidRPr="05BD0DA7">
              <w:t xml:space="preserve"> </w:t>
            </w:r>
            <w:r w:rsidR="0AF05264" w:rsidRPr="00B10481">
              <w:rPr>
                <w:color w:val="000000"/>
              </w:rPr>
              <w:t>kas var radīt lielāko efektu uz COVID-19 radītās krīzes seku mazināšanu, nodrošinot jaunu darba vietu izveidi un Latvijas ekonomikas transformāciju</w:t>
            </w:r>
            <w:r w:rsidR="7AB75ADF" w:rsidRPr="00B10481">
              <w:rPr>
                <w:color w:val="000000"/>
              </w:rPr>
              <w:t>.</w:t>
            </w:r>
          </w:p>
        </w:tc>
        <w:tc>
          <w:tcPr>
            <w:tcW w:w="2459" w:type="dxa"/>
            <w:tcBorders>
              <w:top w:val="single" w:sz="4" w:space="0" w:color="auto"/>
              <w:left w:val="single" w:sz="4" w:space="0" w:color="auto"/>
              <w:bottom w:val="single" w:sz="4" w:space="0" w:color="auto"/>
              <w:right w:val="single" w:sz="4" w:space="0" w:color="auto"/>
            </w:tcBorders>
          </w:tcPr>
          <w:p w14:paraId="344D07D3" w14:textId="7542A8E4" w:rsidR="005F4BFD" w:rsidRPr="00FD51F3" w:rsidRDefault="0096644E" w:rsidP="00FD51F3">
            <w:pPr>
              <w:jc w:val="center"/>
              <w:rPr>
                <w:sz w:val="20"/>
                <w:szCs w:val="20"/>
              </w:rPr>
            </w:pPr>
            <w:r w:rsidRPr="00FD51F3">
              <w:rPr>
                <w:sz w:val="20"/>
                <w:szCs w:val="20"/>
              </w:rPr>
              <w:lastRenderedPageBreak/>
              <w:t>N/A</w:t>
            </w:r>
          </w:p>
        </w:tc>
        <w:tc>
          <w:tcPr>
            <w:tcW w:w="2928" w:type="dxa"/>
            <w:tcBorders>
              <w:top w:val="single" w:sz="4" w:space="0" w:color="auto"/>
              <w:left w:val="single" w:sz="4" w:space="0" w:color="auto"/>
              <w:bottom w:val="single" w:sz="4" w:space="0" w:color="auto"/>
            </w:tcBorders>
          </w:tcPr>
          <w:p w14:paraId="3A1B9501" w14:textId="451E0A35" w:rsidR="00856379" w:rsidRPr="00FD51F3" w:rsidRDefault="00856379" w:rsidP="00FD51F3">
            <w:r w:rsidRPr="00FD51F3">
              <w:t xml:space="preserve">“4.4.1. kopējais ieguldījumu apjoms trīs gadu periodā no investīciju projekta uzsākšanas dienas ir vismaz 5 000 000 euro (Rīgas pilsētas administratīvajā teritorijā - vismaz 10 000 000 euro), un tas tiek veikts, lai nodrošinātu komercdarbību vismaz vienā no 2. punktā  minētajiem sektoriem (darbības jomām); </w:t>
            </w:r>
          </w:p>
          <w:p w14:paraId="4B22FE7B" w14:textId="77777777" w:rsidR="00856379" w:rsidRPr="00FD51F3" w:rsidRDefault="00856379" w:rsidP="00FD51F3">
            <w:pPr>
              <w:rPr>
                <w:sz w:val="20"/>
                <w:szCs w:val="20"/>
              </w:rPr>
            </w:pPr>
          </w:p>
          <w:p w14:paraId="05B2CB57" w14:textId="262095E3" w:rsidR="00856379" w:rsidRPr="00FD51F3" w:rsidRDefault="00856379" w:rsidP="00FD51F3">
            <w:r w:rsidRPr="00FD51F3">
              <w:t xml:space="preserve">4.4.2. attiecībā uz no jauna radītajām darba vietām, projekts izpilda vienu no šiem kritērijiem: </w:t>
            </w:r>
          </w:p>
          <w:p w14:paraId="372F82AD" w14:textId="77777777" w:rsidR="00856379" w:rsidRPr="00FD51F3" w:rsidRDefault="00856379" w:rsidP="00FD51F3"/>
          <w:p w14:paraId="0A31FE1A" w14:textId="48D4806B" w:rsidR="005F4BFD" w:rsidRPr="00FD51F3" w:rsidRDefault="00856379" w:rsidP="00FD51F3">
            <w:r w:rsidRPr="00FD51F3">
              <w:lastRenderedPageBreak/>
              <w:t>4.4.2.1. plānotais investīciju projekta īstenošanas rezultātā no jauna radīto darba vietu skaits trīs gadu periodā ir vismaz 75 jaunas darba vietas (Rīgas pilsētas administratīvajā teritorijā plānotas vismaz 100 jaunas darba vietas);</w:t>
            </w:r>
            <w:r w:rsidR="005B4486" w:rsidRPr="00FD51F3">
              <w:t>”</w:t>
            </w:r>
          </w:p>
        </w:tc>
      </w:tr>
    </w:tbl>
    <w:p w14:paraId="1E562E57" w14:textId="77777777" w:rsidR="007B4C0F" w:rsidRPr="00FD51F3" w:rsidRDefault="007B4C0F" w:rsidP="00FD51F3">
      <w:pPr>
        <w:pStyle w:val="naisf"/>
        <w:spacing w:before="0" w:after="0"/>
        <w:ind w:firstLine="0"/>
      </w:pPr>
    </w:p>
    <w:p w14:paraId="6B3C8DFA" w14:textId="77777777" w:rsidR="005D67F7" w:rsidRPr="00FD51F3" w:rsidRDefault="005D67F7" w:rsidP="00FD51F3">
      <w:pPr>
        <w:pStyle w:val="naisf"/>
        <w:spacing w:before="0" w:after="0"/>
        <w:ind w:firstLine="0"/>
        <w:rPr>
          <w:b/>
        </w:rPr>
      </w:pPr>
      <w:r w:rsidRPr="00FD51F3">
        <w:rPr>
          <w:b/>
        </w:rPr>
        <w:t>Informācija par starpministriju (starpinstitūciju) sanāksmi vai elektronisko saskaņošanu</w:t>
      </w:r>
    </w:p>
    <w:p w14:paraId="0D1FAFE0" w14:textId="77777777" w:rsidR="005D67F7" w:rsidRPr="00FD51F3" w:rsidRDefault="005D67F7" w:rsidP="00FD51F3">
      <w:pPr>
        <w:pStyle w:val="naisf"/>
        <w:spacing w:before="0" w:after="0"/>
        <w:ind w:firstLine="0"/>
        <w:rPr>
          <w:b/>
        </w:rPr>
      </w:pPr>
    </w:p>
    <w:tbl>
      <w:tblPr>
        <w:tblW w:w="13433" w:type="dxa"/>
        <w:tblLook w:val="00A0" w:firstRow="1" w:lastRow="0" w:firstColumn="1" w:lastColumn="0" w:noHBand="0" w:noVBand="0"/>
      </w:tblPr>
      <w:tblGrid>
        <w:gridCol w:w="6204"/>
        <w:gridCol w:w="141"/>
        <w:gridCol w:w="6237"/>
        <w:gridCol w:w="851"/>
      </w:tblGrid>
      <w:tr w:rsidR="007B4C0F" w:rsidRPr="00FD51F3" w14:paraId="1DF02534" w14:textId="77777777" w:rsidTr="05BD0DA7">
        <w:trPr>
          <w:gridAfter w:val="1"/>
          <w:wAfter w:w="851" w:type="dxa"/>
        </w:trPr>
        <w:tc>
          <w:tcPr>
            <w:tcW w:w="6345" w:type="dxa"/>
            <w:gridSpan w:val="2"/>
          </w:tcPr>
          <w:p w14:paraId="13AAE830" w14:textId="77777777" w:rsidR="007B4C0F" w:rsidRPr="00FD51F3" w:rsidRDefault="005D67F7" w:rsidP="00FD51F3">
            <w:pPr>
              <w:pStyle w:val="naisf"/>
              <w:spacing w:before="0" w:after="0"/>
              <w:ind w:firstLine="0"/>
            </w:pPr>
            <w:r w:rsidRPr="00FD51F3">
              <w:t>D</w:t>
            </w:r>
            <w:r w:rsidR="007B4C0F" w:rsidRPr="00FD51F3">
              <w:t>atums</w:t>
            </w:r>
          </w:p>
        </w:tc>
        <w:tc>
          <w:tcPr>
            <w:tcW w:w="6237" w:type="dxa"/>
            <w:tcBorders>
              <w:bottom w:val="single" w:sz="4" w:space="0" w:color="auto"/>
            </w:tcBorders>
          </w:tcPr>
          <w:p w14:paraId="1E9A3BAD" w14:textId="3230BA95" w:rsidR="007B4C0F" w:rsidRPr="00FD51F3" w:rsidRDefault="146FCED3" w:rsidP="05BD0DA7">
            <w:pPr>
              <w:pStyle w:val="NormalWeb"/>
              <w:spacing w:before="0" w:beforeAutospacing="0" w:after="0" w:afterAutospacing="0"/>
            </w:pPr>
            <w:r>
              <w:t>20.01.2021, 21.01.2021, 22.01.2021</w:t>
            </w:r>
            <w:r w:rsidR="50698E09">
              <w:t>, 25.01.2021.</w:t>
            </w:r>
          </w:p>
        </w:tc>
      </w:tr>
      <w:tr w:rsidR="003C27A2" w:rsidRPr="00FD51F3" w14:paraId="404ADB6E" w14:textId="77777777" w:rsidTr="05BD0DA7">
        <w:trPr>
          <w:gridAfter w:val="1"/>
          <w:wAfter w:w="851" w:type="dxa"/>
        </w:trPr>
        <w:tc>
          <w:tcPr>
            <w:tcW w:w="6345" w:type="dxa"/>
            <w:gridSpan w:val="2"/>
          </w:tcPr>
          <w:p w14:paraId="20D00F10" w14:textId="77777777" w:rsidR="003C27A2" w:rsidRPr="00FD51F3" w:rsidRDefault="003C27A2" w:rsidP="00FD51F3">
            <w:pPr>
              <w:pStyle w:val="naisf"/>
              <w:spacing w:before="0" w:after="0"/>
              <w:ind w:firstLine="0"/>
            </w:pPr>
          </w:p>
        </w:tc>
        <w:tc>
          <w:tcPr>
            <w:tcW w:w="6237" w:type="dxa"/>
            <w:tcBorders>
              <w:top w:val="single" w:sz="4" w:space="0" w:color="auto"/>
            </w:tcBorders>
          </w:tcPr>
          <w:p w14:paraId="68DEA41D" w14:textId="77777777" w:rsidR="003C27A2" w:rsidRPr="00FD51F3" w:rsidRDefault="003C27A2" w:rsidP="00FD51F3">
            <w:pPr>
              <w:pStyle w:val="NormalWeb"/>
              <w:spacing w:before="0" w:beforeAutospacing="0" w:after="0" w:afterAutospacing="0"/>
              <w:ind w:firstLine="720"/>
            </w:pPr>
          </w:p>
        </w:tc>
      </w:tr>
      <w:tr w:rsidR="007B4C0F" w:rsidRPr="00FD51F3" w14:paraId="22822474" w14:textId="77777777" w:rsidTr="05BD0DA7">
        <w:tc>
          <w:tcPr>
            <w:tcW w:w="6204" w:type="dxa"/>
          </w:tcPr>
          <w:p w14:paraId="12D0DE36" w14:textId="77777777" w:rsidR="007B4C0F" w:rsidRPr="00FD51F3" w:rsidRDefault="00365CC0" w:rsidP="00FD51F3">
            <w:pPr>
              <w:pStyle w:val="naiskr"/>
              <w:spacing w:before="0" w:after="0"/>
            </w:pPr>
            <w:r w:rsidRPr="00FD51F3">
              <w:t>Saskaņošanas dalībnieki</w:t>
            </w:r>
          </w:p>
        </w:tc>
        <w:tc>
          <w:tcPr>
            <w:tcW w:w="7229" w:type="dxa"/>
            <w:gridSpan w:val="3"/>
          </w:tcPr>
          <w:p w14:paraId="71E96986" w14:textId="4DDEE533" w:rsidR="007B4C0F" w:rsidRPr="00FD51F3" w:rsidRDefault="003478B2" w:rsidP="05BD0DA7">
            <w:pPr>
              <w:pStyle w:val="NormalWeb"/>
              <w:spacing w:before="0" w:beforeAutospacing="0" w:after="0" w:afterAutospacing="0"/>
              <w:rPr>
                <w:u w:val="single"/>
              </w:rPr>
            </w:pPr>
            <w:r w:rsidRPr="05BD0DA7">
              <w:rPr>
                <w:u w:val="single"/>
              </w:rPr>
              <w:t>Tieslietu ministrija, Finanšu ministrija, Valsts kanceleja,</w:t>
            </w:r>
            <w:r w:rsidR="00B753B6" w:rsidRPr="05BD0DA7">
              <w:rPr>
                <w:u w:val="single"/>
              </w:rPr>
              <w:t xml:space="preserve"> </w:t>
            </w:r>
            <w:r w:rsidR="00CC7F68" w:rsidRPr="05BD0DA7">
              <w:rPr>
                <w:u w:val="single"/>
              </w:rPr>
              <w:t>Vides aizsardzības un reģionālās attīstības ministrija</w:t>
            </w:r>
            <w:r w:rsidR="00B753B6" w:rsidRPr="05BD0DA7">
              <w:rPr>
                <w:u w:val="single"/>
              </w:rPr>
              <w:t xml:space="preserve">, </w:t>
            </w:r>
            <w:r w:rsidR="00CC7F68" w:rsidRPr="05BD0DA7">
              <w:rPr>
                <w:u w:val="single"/>
              </w:rPr>
              <w:t>Satiksmes</w:t>
            </w:r>
            <w:r w:rsidR="00B753B6" w:rsidRPr="05BD0DA7">
              <w:rPr>
                <w:u w:val="single"/>
              </w:rPr>
              <w:t xml:space="preserve"> ministrija</w:t>
            </w:r>
            <w:r w:rsidR="00CC7F68" w:rsidRPr="05BD0DA7">
              <w:rPr>
                <w:u w:val="single"/>
              </w:rPr>
              <w:t xml:space="preserve">, </w:t>
            </w:r>
            <w:r w:rsidR="3E7755A5" w:rsidRPr="05BD0DA7">
              <w:rPr>
                <w:u w:val="single"/>
              </w:rPr>
              <w:t>Iekšlietu</w:t>
            </w:r>
            <w:r w:rsidR="2E19011A" w:rsidRPr="05BD0DA7">
              <w:rPr>
                <w:u w:val="single"/>
              </w:rPr>
              <w:t xml:space="preserve"> ministrija, </w:t>
            </w:r>
            <w:r w:rsidR="00CC7F68" w:rsidRPr="05BD0DA7">
              <w:rPr>
                <w:u w:val="single"/>
              </w:rPr>
              <w:t>Pārresoru koordinācijas centrs, Latvijas pašvaldību savienība, Rīgas plānošanas reģions, Vidzemes plānošanas reģions, Latgales plānošanas reģions, Zemgales plānošanas reģions, Kurzemes plānošanas reģions, VAS “Elektroniskie sakari”, Valsts vides dienests, Vides pārraudzības valsts birojs, Sabiedrisko pakalpojumu regulēšanas komisija, VSIA “Latvijas Valsts ceļi</w:t>
            </w:r>
            <w:r w:rsidR="146FCED3" w:rsidRPr="05BD0DA7">
              <w:rPr>
                <w:u w:val="single"/>
              </w:rPr>
              <w:t>”</w:t>
            </w:r>
            <w:r w:rsidR="00CC7F68" w:rsidRPr="05BD0DA7">
              <w:rPr>
                <w:u w:val="single"/>
              </w:rPr>
              <w:t>, Būvniecības kontroles birojs,  Pilsonības un migrācijas lietu pārvalde, Valsts robežsardze</w:t>
            </w:r>
            <w:r w:rsidR="666A0F7B" w:rsidRPr="05BD0DA7">
              <w:rPr>
                <w:u w:val="single"/>
              </w:rPr>
              <w:t>, Latvijas tūrisma un rūpniecības kamera.</w:t>
            </w:r>
          </w:p>
        </w:tc>
      </w:tr>
    </w:tbl>
    <w:p w14:paraId="75BD49D5" w14:textId="7B7E0A55" w:rsidR="008A36C9" w:rsidRPr="00FD51F3" w:rsidRDefault="008A36C9" w:rsidP="00FD51F3"/>
    <w:tbl>
      <w:tblPr>
        <w:tblW w:w="18456" w:type="dxa"/>
        <w:tblLook w:val="00A0" w:firstRow="1" w:lastRow="0" w:firstColumn="1" w:lastColumn="0" w:noHBand="0" w:noVBand="0"/>
      </w:tblPr>
      <w:tblGrid>
        <w:gridCol w:w="6708"/>
        <w:gridCol w:w="363"/>
        <w:gridCol w:w="6078"/>
        <w:gridCol w:w="5307"/>
      </w:tblGrid>
      <w:tr w:rsidR="007B4C0F" w:rsidRPr="00FD51F3" w14:paraId="506E7B3A" w14:textId="77777777" w:rsidTr="05BD0DA7">
        <w:trPr>
          <w:gridAfter w:val="1"/>
          <w:wAfter w:w="5307" w:type="dxa"/>
          <w:trHeight w:val="285"/>
        </w:trPr>
        <w:tc>
          <w:tcPr>
            <w:tcW w:w="6708" w:type="dxa"/>
          </w:tcPr>
          <w:p w14:paraId="79C66C75" w14:textId="77777777" w:rsidR="007B4C0F" w:rsidRPr="00FD51F3" w:rsidRDefault="00365CC0" w:rsidP="00FD51F3">
            <w:pPr>
              <w:pStyle w:val="naiskr"/>
              <w:spacing w:before="0" w:after="0"/>
            </w:pPr>
            <w:r w:rsidRPr="00FD51F3">
              <w:t xml:space="preserve">Saskaņošanas dalībnieki </w:t>
            </w:r>
            <w:r w:rsidR="007B4C0F" w:rsidRPr="00FD51F3">
              <w:t>izskatīja</w:t>
            </w:r>
            <w:r w:rsidR="005D67F7" w:rsidRPr="00FD51F3">
              <w:t xml:space="preserve"> šādu ministriju </w:t>
            </w:r>
            <w:r w:rsidR="003E4C3F" w:rsidRPr="00FD51F3">
              <w:t>(c</w:t>
            </w:r>
            <w:r w:rsidR="005D67F7" w:rsidRPr="00FD51F3">
              <w:t>itu institūciju</w:t>
            </w:r>
            <w:r w:rsidR="003E4C3F" w:rsidRPr="00FD51F3">
              <w:t>)</w:t>
            </w:r>
            <w:r w:rsidR="005D67F7" w:rsidRPr="00FD51F3">
              <w:t xml:space="preserve"> iebildumus</w:t>
            </w:r>
          </w:p>
        </w:tc>
        <w:tc>
          <w:tcPr>
            <w:tcW w:w="363" w:type="dxa"/>
          </w:tcPr>
          <w:p w14:paraId="4C3BBCEA" w14:textId="77777777" w:rsidR="007B4C0F" w:rsidRPr="00FD51F3" w:rsidRDefault="001307DD" w:rsidP="00FD51F3">
            <w:pPr>
              <w:pStyle w:val="naiskr"/>
              <w:spacing w:before="0" w:after="0"/>
              <w:ind w:firstLine="720"/>
            </w:pPr>
            <w:r w:rsidRPr="00FD51F3">
              <w:t>T</w:t>
            </w:r>
          </w:p>
        </w:tc>
        <w:tc>
          <w:tcPr>
            <w:tcW w:w="6078" w:type="dxa"/>
          </w:tcPr>
          <w:p w14:paraId="2ACB32F4" w14:textId="0375E525" w:rsidR="007B4C0F" w:rsidRPr="00FD51F3" w:rsidRDefault="146FCED3" w:rsidP="00FD51F3">
            <w:pPr>
              <w:pStyle w:val="naiskr"/>
              <w:spacing w:before="0" w:after="0"/>
              <w:ind w:firstLine="12"/>
              <w:rPr>
                <w:u w:val="single"/>
              </w:rPr>
            </w:pPr>
            <w:r w:rsidRPr="05BD0DA7">
              <w:rPr>
                <w:u w:val="single"/>
              </w:rPr>
              <w:t>Satiksmes</w:t>
            </w:r>
            <w:r w:rsidR="00F77635" w:rsidRPr="05BD0DA7">
              <w:rPr>
                <w:u w:val="single"/>
              </w:rPr>
              <w:t xml:space="preserve"> ministrija, </w:t>
            </w:r>
            <w:r w:rsidR="741FFE9D" w:rsidRPr="05BD0DA7">
              <w:rPr>
                <w:u w:val="single"/>
              </w:rPr>
              <w:t xml:space="preserve">Iekšlietu ministrija, Tieslietu ministrija, </w:t>
            </w:r>
            <w:r w:rsidRPr="05BD0DA7">
              <w:rPr>
                <w:u w:val="single"/>
              </w:rPr>
              <w:t>Kurzemes plānošanas reģions</w:t>
            </w:r>
            <w:r w:rsidR="00F77635" w:rsidRPr="05BD0DA7">
              <w:rPr>
                <w:u w:val="single"/>
              </w:rPr>
              <w:t xml:space="preserve">, </w:t>
            </w:r>
            <w:r w:rsidRPr="05BD0DA7">
              <w:rPr>
                <w:u w:val="single"/>
              </w:rPr>
              <w:t>Vidzemes plānošanas reģions</w:t>
            </w:r>
            <w:r w:rsidR="7CD85F96" w:rsidRPr="05BD0DA7">
              <w:rPr>
                <w:u w:val="single"/>
              </w:rPr>
              <w:t>, Latvijas pašvaldību savienība.</w:t>
            </w:r>
          </w:p>
        </w:tc>
      </w:tr>
      <w:tr w:rsidR="00C2605E" w:rsidRPr="00FD51F3" w14:paraId="1A41A5AC" w14:textId="77777777" w:rsidTr="05BD0DA7">
        <w:trPr>
          <w:trHeight w:val="465"/>
        </w:trPr>
        <w:tc>
          <w:tcPr>
            <w:tcW w:w="13149" w:type="dxa"/>
            <w:gridSpan w:val="3"/>
          </w:tcPr>
          <w:p w14:paraId="397A4FF0" w14:textId="77777777" w:rsidR="00C2605E" w:rsidRPr="00FD51F3" w:rsidRDefault="00C2605E" w:rsidP="00FD51F3">
            <w:pPr>
              <w:pStyle w:val="naisc"/>
              <w:spacing w:before="0" w:after="0"/>
              <w:jc w:val="left"/>
            </w:pPr>
          </w:p>
        </w:tc>
        <w:tc>
          <w:tcPr>
            <w:tcW w:w="5307" w:type="dxa"/>
          </w:tcPr>
          <w:p w14:paraId="24598B4C" w14:textId="77777777" w:rsidR="00C2605E" w:rsidRPr="00FD51F3" w:rsidRDefault="00C2605E" w:rsidP="00FD51F3"/>
        </w:tc>
      </w:tr>
      <w:tr w:rsidR="00C2605E" w:rsidRPr="00FD51F3" w14:paraId="00D98436" w14:textId="77777777" w:rsidTr="00B10481">
        <w:trPr>
          <w:gridAfter w:val="1"/>
          <w:wAfter w:w="5307" w:type="dxa"/>
        </w:trPr>
        <w:tc>
          <w:tcPr>
            <w:tcW w:w="6708" w:type="dxa"/>
          </w:tcPr>
          <w:p w14:paraId="637D80C3" w14:textId="77777777" w:rsidR="00C2605E" w:rsidRPr="00FD51F3" w:rsidRDefault="00C2605E" w:rsidP="00FD51F3">
            <w:pPr>
              <w:pStyle w:val="naiskr"/>
              <w:spacing w:before="0" w:after="0"/>
            </w:pPr>
            <w:r w:rsidRPr="00FD51F3">
              <w:t>Ministrijas (citas institūcijas), kuras nav ieradušās uz sanāksmi vai kuras nav atbildējušas uz uzaicinājumu piedalīties elektroniskajā saskaņošanā</w:t>
            </w:r>
          </w:p>
        </w:tc>
        <w:tc>
          <w:tcPr>
            <w:tcW w:w="6441" w:type="dxa"/>
            <w:gridSpan w:val="2"/>
            <w:tcBorders>
              <w:bottom w:val="single" w:sz="6" w:space="0" w:color="000000"/>
            </w:tcBorders>
          </w:tcPr>
          <w:p w14:paraId="60C1AB67" w14:textId="2D80B55F" w:rsidR="00C2605E" w:rsidRPr="00FD51F3" w:rsidRDefault="51AE001C" w:rsidP="00FD51F3">
            <w:pPr>
              <w:pStyle w:val="naiskr"/>
              <w:spacing w:before="0" w:after="0"/>
            </w:pPr>
            <w:r w:rsidRPr="05BD0DA7">
              <w:rPr>
                <w:u w:val="single"/>
              </w:rPr>
              <w:t>Energoregulatoru sadarbības aģentūra</w:t>
            </w:r>
            <w:r w:rsidR="66EF1C38" w:rsidRPr="05BD0DA7">
              <w:rPr>
                <w:u w:val="single"/>
              </w:rPr>
              <w:t>.</w:t>
            </w:r>
          </w:p>
        </w:tc>
      </w:tr>
    </w:tbl>
    <w:p w14:paraId="33B1AD69" w14:textId="2D5F6813" w:rsidR="00683081" w:rsidRPr="00FD51F3" w:rsidRDefault="00683081" w:rsidP="00FD51F3">
      <w:pPr>
        <w:pStyle w:val="naisf"/>
        <w:spacing w:before="0" w:after="0"/>
        <w:ind w:firstLine="0"/>
      </w:pPr>
    </w:p>
    <w:p w14:paraId="40286ADB" w14:textId="77777777" w:rsidR="00D218D2" w:rsidRPr="00FD51F3" w:rsidRDefault="00D218D2" w:rsidP="00FD51F3">
      <w:pPr>
        <w:pStyle w:val="naisf"/>
        <w:spacing w:before="0" w:after="0"/>
        <w:ind w:firstLine="720"/>
      </w:pPr>
    </w:p>
    <w:p w14:paraId="42566BEA" w14:textId="77777777" w:rsidR="00C2605E" w:rsidRPr="00FD51F3" w:rsidRDefault="00C2605E" w:rsidP="00FD51F3">
      <w:pPr>
        <w:pStyle w:val="naisf"/>
        <w:spacing w:before="0" w:after="0"/>
        <w:ind w:firstLine="720"/>
      </w:pPr>
    </w:p>
    <w:p w14:paraId="0876BC07" w14:textId="77777777" w:rsidR="007B4C0F" w:rsidRPr="00FD51F3" w:rsidRDefault="007B4C0F" w:rsidP="00FD51F3">
      <w:pPr>
        <w:pStyle w:val="naisf"/>
        <w:spacing w:before="0" w:after="0"/>
        <w:ind w:firstLine="0"/>
        <w:jc w:val="center"/>
        <w:rPr>
          <w:b/>
        </w:rPr>
      </w:pPr>
      <w:r w:rsidRPr="00FD51F3">
        <w:rPr>
          <w:b/>
        </w:rPr>
        <w:t>II. </w:t>
      </w:r>
      <w:r w:rsidR="00134188" w:rsidRPr="00FD51F3">
        <w:rPr>
          <w:b/>
        </w:rPr>
        <w:t>Jautājumi, par kuriem saskaņošanā vienošan</w:t>
      </w:r>
      <w:r w:rsidR="00144622" w:rsidRPr="00FD51F3">
        <w:rPr>
          <w:b/>
        </w:rPr>
        <w:t>ā</w:t>
      </w:r>
      <w:r w:rsidR="00134188" w:rsidRPr="00FD51F3">
        <w:rPr>
          <w:b/>
        </w:rPr>
        <w:t>s ir panākta</w:t>
      </w:r>
    </w:p>
    <w:p w14:paraId="4E180367" w14:textId="77777777" w:rsidR="007B4C0F" w:rsidRPr="00FD51F3" w:rsidRDefault="007B4C0F" w:rsidP="00FD51F3">
      <w:pPr>
        <w:pStyle w:val="naisf"/>
        <w:spacing w:before="0" w:after="0"/>
        <w:ind w:firstLine="720"/>
      </w:pPr>
    </w:p>
    <w:tbl>
      <w:tblPr>
        <w:tblW w:w="1500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11"/>
        <w:gridCol w:w="3969"/>
        <w:gridCol w:w="1099"/>
        <w:gridCol w:w="2730"/>
        <w:gridCol w:w="2985"/>
      </w:tblGrid>
      <w:tr w:rsidR="009E67F2" w:rsidRPr="00FD51F3" w14:paraId="347D5CDD" w14:textId="77777777" w:rsidTr="00C433A0">
        <w:tc>
          <w:tcPr>
            <w:tcW w:w="708" w:type="dxa"/>
            <w:tcBorders>
              <w:top w:val="single" w:sz="6" w:space="0" w:color="000000"/>
              <w:left w:val="single" w:sz="6" w:space="0" w:color="000000"/>
              <w:bottom w:val="single" w:sz="6" w:space="0" w:color="000000"/>
              <w:right w:val="single" w:sz="6" w:space="0" w:color="000000"/>
            </w:tcBorders>
            <w:vAlign w:val="center"/>
          </w:tcPr>
          <w:p w14:paraId="0A475C5D" w14:textId="77777777" w:rsidR="00134188" w:rsidRPr="00FD51F3" w:rsidRDefault="00134188" w:rsidP="00FD51F3">
            <w:pPr>
              <w:pStyle w:val="naisc"/>
              <w:spacing w:before="0" w:after="0"/>
            </w:pPr>
            <w:r w:rsidRPr="00FD51F3">
              <w:t>Nr. p.</w:t>
            </w:r>
            <w:r w:rsidR="00D64FB0" w:rsidRPr="00FD51F3">
              <w:t> </w:t>
            </w:r>
            <w:r w:rsidRPr="00FD51F3">
              <w:t>k.</w:t>
            </w:r>
          </w:p>
        </w:tc>
        <w:tc>
          <w:tcPr>
            <w:tcW w:w="3511" w:type="dxa"/>
            <w:gridSpan w:val="2"/>
            <w:tcBorders>
              <w:top w:val="single" w:sz="6" w:space="0" w:color="000000"/>
              <w:left w:val="single" w:sz="6" w:space="0" w:color="000000"/>
              <w:bottom w:val="single" w:sz="6" w:space="0" w:color="000000"/>
              <w:right w:val="single" w:sz="6" w:space="0" w:color="000000"/>
            </w:tcBorders>
            <w:vAlign w:val="center"/>
          </w:tcPr>
          <w:p w14:paraId="6EAF1C5F" w14:textId="77777777" w:rsidR="00134188" w:rsidRPr="00FD51F3" w:rsidRDefault="00134188" w:rsidP="00FD51F3">
            <w:pPr>
              <w:pStyle w:val="naisc"/>
              <w:spacing w:before="0" w:after="0"/>
              <w:ind w:firstLine="12"/>
            </w:pPr>
            <w:r w:rsidRPr="00FD51F3">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4EE05861" w14:textId="77777777" w:rsidR="00134188" w:rsidRPr="00FD51F3" w:rsidRDefault="00134188" w:rsidP="00FD51F3">
            <w:pPr>
              <w:pStyle w:val="naisc"/>
              <w:spacing w:before="0" w:after="0"/>
              <w:ind w:right="3"/>
            </w:pPr>
            <w:r w:rsidRPr="00FD51F3">
              <w:t>Atzinumā norādītais ministrijas (citas institūcijas) iebildums, kā arī saskaņošanā papildus izteiktais iebildums par projekta konkrēto punktu (pantu)</w:t>
            </w:r>
          </w:p>
        </w:tc>
        <w:tc>
          <w:tcPr>
            <w:tcW w:w="3829" w:type="dxa"/>
            <w:gridSpan w:val="2"/>
            <w:tcBorders>
              <w:top w:val="single" w:sz="6" w:space="0" w:color="000000"/>
              <w:left w:val="single" w:sz="6" w:space="0" w:color="000000"/>
              <w:bottom w:val="single" w:sz="6" w:space="0" w:color="000000"/>
              <w:right w:val="single" w:sz="6" w:space="0" w:color="000000"/>
            </w:tcBorders>
            <w:vAlign w:val="center"/>
          </w:tcPr>
          <w:p w14:paraId="0FAB626C" w14:textId="77777777" w:rsidR="00134188" w:rsidRPr="00FD51F3" w:rsidRDefault="00134188" w:rsidP="00FD51F3">
            <w:pPr>
              <w:pStyle w:val="naisc"/>
              <w:spacing w:before="0" w:after="0"/>
              <w:ind w:firstLine="21"/>
            </w:pPr>
            <w:r w:rsidRPr="00FD51F3">
              <w:t>Atbildīgās ministrijas norāde</w:t>
            </w:r>
            <w:r w:rsidR="006C1C48" w:rsidRPr="00FD51F3">
              <w:t xml:space="preserve"> par to, ka </w:t>
            </w:r>
            <w:r w:rsidRPr="00FD51F3">
              <w:t>iebildums ir ņemts vērā</w:t>
            </w:r>
            <w:r w:rsidR="006455E7" w:rsidRPr="00FD51F3">
              <w:t>,</w:t>
            </w:r>
            <w:r w:rsidRPr="00FD51F3">
              <w:t xml:space="preserve"> vai </w:t>
            </w:r>
            <w:r w:rsidR="006C1C48" w:rsidRPr="00FD51F3">
              <w:t xml:space="preserve">informācija par saskaņošanā </w:t>
            </w:r>
            <w:r w:rsidR="00022B0F" w:rsidRPr="00FD51F3">
              <w:t>panākto alternatīvo risinājumu</w:t>
            </w:r>
          </w:p>
        </w:tc>
        <w:tc>
          <w:tcPr>
            <w:tcW w:w="2985" w:type="dxa"/>
            <w:tcBorders>
              <w:top w:val="single" w:sz="4" w:space="0" w:color="auto"/>
              <w:left w:val="single" w:sz="4" w:space="0" w:color="auto"/>
              <w:bottom w:val="single" w:sz="4" w:space="0" w:color="auto"/>
            </w:tcBorders>
            <w:vAlign w:val="center"/>
          </w:tcPr>
          <w:p w14:paraId="3CEB9344" w14:textId="77777777" w:rsidR="00134188" w:rsidRPr="00FD51F3" w:rsidRDefault="00134188" w:rsidP="00FD51F3">
            <w:pPr>
              <w:jc w:val="center"/>
            </w:pPr>
            <w:r w:rsidRPr="00FD51F3">
              <w:t>Projekta attiecīgā punkta (panta) galīgā redakcija</w:t>
            </w:r>
          </w:p>
        </w:tc>
      </w:tr>
      <w:tr w:rsidR="00FD51F3" w:rsidRPr="00FD51F3" w14:paraId="472BE431" w14:textId="77777777" w:rsidTr="00C433A0">
        <w:tc>
          <w:tcPr>
            <w:tcW w:w="708" w:type="dxa"/>
            <w:tcBorders>
              <w:top w:val="single" w:sz="6" w:space="0" w:color="000000"/>
              <w:left w:val="single" w:sz="6" w:space="0" w:color="000000"/>
              <w:bottom w:val="single" w:sz="6" w:space="0" w:color="000000"/>
              <w:right w:val="single" w:sz="6" w:space="0" w:color="000000"/>
            </w:tcBorders>
          </w:tcPr>
          <w:p w14:paraId="486056DD" w14:textId="77777777" w:rsidR="00134188" w:rsidRPr="00FD51F3" w:rsidRDefault="003B71E0" w:rsidP="00FD51F3">
            <w:pPr>
              <w:pStyle w:val="naisc"/>
              <w:spacing w:before="0" w:after="0"/>
              <w:rPr>
                <w:sz w:val="20"/>
                <w:szCs w:val="20"/>
              </w:rPr>
            </w:pPr>
            <w:r w:rsidRPr="00FD51F3">
              <w:rPr>
                <w:sz w:val="20"/>
                <w:szCs w:val="20"/>
              </w:rPr>
              <w:t>1</w:t>
            </w:r>
          </w:p>
        </w:tc>
        <w:tc>
          <w:tcPr>
            <w:tcW w:w="3511" w:type="dxa"/>
            <w:gridSpan w:val="2"/>
            <w:tcBorders>
              <w:top w:val="single" w:sz="6" w:space="0" w:color="000000"/>
              <w:left w:val="single" w:sz="6" w:space="0" w:color="000000"/>
              <w:bottom w:val="single" w:sz="6" w:space="0" w:color="000000"/>
              <w:right w:val="single" w:sz="6" w:space="0" w:color="000000"/>
            </w:tcBorders>
          </w:tcPr>
          <w:p w14:paraId="32F12830" w14:textId="77777777" w:rsidR="00134188" w:rsidRPr="00FD51F3" w:rsidRDefault="00F34AAB" w:rsidP="00FD51F3">
            <w:pPr>
              <w:pStyle w:val="naisc"/>
              <w:spacing w:before="0" w:after="0"/>
              <w:ind w:firstLine="720"/>
              <w:rPr>
                <w:sz w:val="20"/>
                <w:szCs w:val="20"/>
              </w:rPr>
            </w:pPr>
            <w:r w:rsidRPr="00FD51F3">
              <w:rPr>
                <w:sz w:val="20"/>
                <w:szCs w:val="20"/>
              </w:rPr>
              <w:t>2</w:t>
            </w:r>
          </w:p>
        </w:tc>
        <w:tc>
          <w:tcPr>
            <w:tcW w:w="3969" w:type="dxa"/>
            <w:tcBorders>
              <w:top w:val="single" w:sz="6" w:space="0" w:color="000000"/>
              <w:left w:val="single" w:sz="6" w:space="0" w:color="000000"/>
              <w:bottom w:val="single" w:sz="6" w:space="0" w:color="000000"/>
              <w:right w:val="single" w:sz="6" w:space="0" w:color="000000"/>
            </w:tcBorders>
          </w:tcPr>
          <w:p w14:paraId="689F9359" w14:textId="77777777" w:rsidR="00134188" w:rsidRPr="00FD51F3" w:rsidRDefault="003B71E0" w:rsidP="00FD51F3">
            <w:pPr>
              <w:pStyle w:val="naisc"/>
              <w:spacing w:before="0" w:after="0"/>
              <w:ind w:firstLine="720"/>
              <w:rPr>
                <w:sz w:val="20"/>
                <w:szCs w:val="20"/>
              </w:rPr>
            </w:pPr>
            <w:r w:rsidRPr="00FD51F3">
              <w:rPr>
                <w:sz w:val="20"/>
                <w:szCs w:val="20"/>
              </w:rPr>
              <w:t>3</w:t>
            </w:r>
          </w:p>
        </w:tc>
        <w:tc>
          <w:tcPr>
            <w:tcW w:w="3829" w:type="dxa"/>
            <w:gridSpan w:val="2"/>
            <w:tcBorders>
              <w:top w:val="single" w:sz="6" w:space="0" w:color="000000"/>
              <w:left w:val="single" w:sz="6" w:space="0" w:color="000000"/>
              <w:bottom w:val="single" w:sz="6" w:space="0" w:color="000000"/>
              <w:right w:val="single" w:sz="6" w:space="0" w:color="000000"/>
            </w:tcBorders>
          </w:tcPr>
          <w:p w14:paraId="4CE4BC56" w14:textId="77777777" w:rsidR="00134188" w:rsidRPr="00FD51F3" w:rsidRDefault="003B71E0" w:rsidP="00FD51F3">
            <w:pPr>
              <w:pStyle w:val="naisc"/>
              <w:spacing w:before="0" w:after="0"/>
              <w:ind w:firstLine="720"/>
              <w:rPr>
                <w:sz w:val="20"/>
                <w:szCs w:val="20"/>
              </w:rPr>
            </w:pPr>
            <w:r w:rsidRPr="00FD51F3">
              <w:rPr>
                <w:sz w:val="20"/>
                <w:szCs w:val="20"/>
              </w:rPr>
              <w:t>4</w:t>
            </w:r>
          </w:p>
        </w:tc>
        <w:tc>
          <w:tcPr>
            <w:tcW w:w="2985" w:type="dxa"/>
            <w:tcBorders>
              <w:top w:val="single" w:sz="4" w:space="0" w:color="auto"/>
              <w:left w:val="single" w:sz="4" w:space="0" w:color="auto"/>
              <w:bottom w:val="single" w:sz="4" w:space="0" w:color="auto"/>
            </w:tcBorders>
          </w:tcPr>
          <w:p w14:paraId="7E1A0482" w14:textId="77777777" w:rsidR="00134188" w:rsidRPr="00FD51F3" w:rsidRDefault="003B71E0" w:rsidP="00FD51F3">
            <w:pPr>
              <w:jc w:val="center"/>
              <w:rPr>
                <w:sz w:val="20"/>
                <w:szCs w:val="20"/>
              </w:rPr>
            </w:pPr>
            <w:r w:rsidRPr="00FD51F3">
              <w:rPr>
                <w:sz w:val="20"/>
                <w:szCs w:val="20"/>
              </w:rPr>
              <w:t>5</w:t>
            </w:r>
          </w:p>
        </w:tc>
      </w:tr>
      <w:tr w:rsidR="009E67F2" w:rsidRPr="00FD51F3" w14:paraId="080A75CE" w14:textId="77777777" w:rsidTr="00C433A0">
        <w:tc>
          <w:tcPr>
            <w:tcW w:w="708" w:type="dxa"/>
            <w:tcBorders>
              <w:left w:val="single" w:sz="6" w:space="0" w:color="000000"/>
              <w:bottom w:val="single" w:sz="4" w:space="0" w:color="auto"/>
              <w:right w:val="single" w:sz="6" w:space="0" w:color="000000"/>
            </w:tcBorders>
          </w:tcPr>
          <w:p w14:paraId="79DDF41A" w14:textId="77777777" w:rsidR="00134188" w:rsidRPr="00FD51F3" w:rsidRDefault="001D1637" w:rsidP="00FD51F3">
            <w:pPr>
              <w:pStyle w:val="naisc"/>
              <w:spacing w:before="0" w:after="0"/>
              <w:jc w:val="left"/>
            </w:pPr>
            <w:r w:rsidRPr="00FD51F3">
              <w:t>1.</w:t>
            </w:r>
          </w:p>
        </w:tc>
        <w:tc>
          <w:tcPr>
            <w:tcW w:w="3511" w:type="dxa"/>
            <w:gridSpan w:val="2"/>
            <w:tcBorders>
              <w:left w:val="single" w:sz="6" w:space="0" w:color="000000"/>
              <w:bottom w:val="single" w:sz="4" w:space="0" w:color="auto"/>
              <w:right w:val="single" w:sz="6" w:space="0" w:color="000000"/>
            </w:tcBorders>
          </w:tcPr>
          <w:p w14:paraId="357F90C6" w14:textId="0DC16A7B" w:rsidR="001065A5" w:rsidRPr="00FD51F3" w:rsidRDefault="001065A5" w:rsidP="00FD51F3">
            <w:r w:rsidRPr="00FD51F3">
              <w:t>“2. Prioritāro investīciju projektu sektori:</w:t>
            </w:r>
          </w:p>
          <w:p w14:paraId="79E1BF8F" w14:textId="77777777" w:rsidR="001065A5" w:rsidRPr="00FD51F3" w:rsidRDefault="001065A5" w:rsidP="00FD51F3">
            <w:r w:rsidRPr="00FD51F3">
              <w:t>2.1. zināšanu ietilpīga bioekonomika;</w:t>
            </w:r>
          </w:p>
          <w:p w14:paraId="647ECA8E" w14:textId="77777777" w:rsidR="001065A5" w:rsidRPr="00FD51F3" w:rsidRDefault="001065A5" w:rsidP="00FD51F3">
            <w:r w:rsidRPr="00FD51F3">
              <w:t>2.2. biomedicīna, medicīnas tehnoloģijas, farmācija;</w:t>
            </w:r>
          </w:p>
          <w:p w14:paraId="6F2DA24B" w14:textId="77777777" w:rsidR="001065A5" w:rsidRPr="00FD51F3" w:rsidRDefault="001065A5" w:rsidP="00FD51F3">
            <w:r w:rsidRPr="00FD51F3">
              <w:t xml:space="preserve">2.3. fotonika un viedie materiāli, tehnoloģijas un inženiersistēmas; </w:t>
            </w:r>
          </w:p>
          <w:p w14:paraId="44B808FD" w14:textId="77777777" w:rsidR="001065A5" w:rsidRPr="00FD51F3" w:rsidRDefault="001065A5" w:rsidP="00FD51F3">
            <w:r w:rsidRPr="00FD51F3">
              <w:t>2.4. viedā enerģētika un mobilitāte;</w:t>
            </w:r>
          </w:p>
          <w:p w14:paraId="633DA18F" w14:textId="77777777" w:rsidR="001065A5" w:rsidRPr="00FD51F3" w:rsidRDefault="001065A5" w:rsidP="00FD51F3">
            <w:r w:rsidRPr="00FD51F3">
              <w:t>2.5. informācijas un komunikācijas tehnoloģijas;</w:t>
            </w:r>
          </w:p>
          <w:p w14:paraId="4E6BC802" w14:textId="77777777" w:rsidR="001065A5" w:rsidRPr="00FD51F3" w:rsidRDefault="001065A5" w:rsidP="00FD51F3">
            <w:r w:rsidRPr="00FD51F3">
              <w:t xml:space="preserve">2.6. starptautisko biznesa pakalpojumu centru darbības </w:t>
            </w:r>
            <w:r w:rsidRPr="00FD51F3">
              <w:lastRenderedPageBreak/>
              <w:t>nodrošināšana un pakalpojumu sniegšana.</w:t>
            </w:r>
          </w:p>
          <w:p w14:paraId="52EA9483" w14:textId="6523B3AB" w:rsidR="000366F2" w:rsidRPr="00FD51F3" w:rsidRDefault="001065A5" w:rsidP="00FD51F3">
            <w:r w:rsidRPr="00FD51F3">
              <w:t>2.7. būvniecība, ja tā ir saistīta ar pakalpojumu un infrastruktūras nodrošināšanu 2.1 – 2.6. apakšpunktā minēto sektoru uzņēmumiem.”</w:t>
            </w:r>
          </w:p>
        </w:tc>
        <w:tc>
          <w:tcPr>
            <w:tcW w:w="3969" w:type="dxa"/>
            <w:tcBorders>
              <w:left w:val="single" w:sz="6" w:space="0" w:color="000000"/>
              <w:bottom w:val="single" w:sz="4" w:space="0" w:color="auto"/>
              <w:right w:val="single" w:sz="6" w:space="0" w:color="000000"/>
            </w:tcBorders>
          </w:tcPr>
          <w:p w14:paraId="0C50443A" w14:textId="73086713" w:rsidR="00134188" w:rsidRPr="00FD51F3" w:rsidRDefault="00EC221F" w:rsidP="00FD51F3">
            <w:pPr>
              <w:rPr>
                <w:b/>
                <w:bCs/>
              </w:rPr>
            </w:pPr>
            <w:r w:rsidRPr="00FD51F3">
              <w:rPr>
                <w:b/>
                <w:bCs/>
              </w:rPr>
              <w:lastRenderedPageBreak/>
              <w:t>Satiksmes ministrijas</w:t>
            </w:r>
            <w:r w:rsidR="001307DD" w:rsidRPr="00FD51F3">
              <w:rPr>
                <w:b/>
                <w:bCs/>
              </w:rPr>
              <w:t xml:space="preserve"> </w:t>
            </w:r>
            <w:r w:rsidRPr="00FD51F3">
              <w:rPr>
                <w:b/>
                <w:bCs/>
              </w:rPr>
              <w:t>21</w:t>
            </w:r>
            <w:r w:rsidR="00E65B4C" w:rsidRPr="00FD51F3">
              <w:rPr>
                <w:b/>
                <w:bCs/>
              </w:rPr>
              <w:t>.</w:t>
            </w:r>
            <w:r w:rsidRPr="00FD51F3">
              <w:rPr>
                <w:b/>
                <w:bCs/>
              </w:rPr>
              <w:t>0</w:t>
            </w:r>
            <w:r w:rsidR="00E65B4C" w:rsidRPr="00FD51F3">
              <w:rPr>
                <w:b/>
                <w:bCs/>
              </w:rPr>
              <w:t>1.202</w:t>
            </w:r>
            <w:r w:rsidRPr="00FD51F3">
              <w:rPr>
                <w:b/>
                <w:bCs/>
              </w:rPr>
              <w:t>1</w:t>
            </w:r>
            <w:r w:rsidR="00E65B4C" w:rsidRPr="00FD51F3">
              <w:rPr>
                <w:b/>
                <w:bCs/>
              </w:rPr>
              <w:t xml:space="preserve"> iebildums</w:t>
            </w:r>
            <w:r w:rsidR="002D07E0" w:rsidRPr="00FD51F3">
              <w:rPr>
                <w:b/>
                <w:bCs/>
              </w:rPr>
              <w:t xml:space="preserve"> Nr.1</w:t>
            </w:r>
            <w:r w:rsidR="00E65B4C" w:rsidRPr="00FD51F3">
              <w:rPr>
                <w:b/>
                <w:bCs/>
              </w:rPr>
              <w:t>:</w:t>
            </w:r>
            <w:r w:rsidR="00B753B6" w:rsidRPr="00FD51F3">
              <w:rPr>
                <w:b/>
                <w:bCs/>
              </w:rPr>
              <w:t xml:space="preserve"> </w:t>
            </w:r>
            <w:r w:rsidR="00B753B6" w:rsidRPr="00FD51F3">
              <w:t>“</w:t>
            </w:r>
            <w:r w:rsidRPr="00FD51F3">
              <w:t xml:space="preserve">Lai pārvarētu </w:t>
            </w:r>
            <w:r w:rsidRPr="00FD51F3">
              <w:rPr>
                <w:rStyle w:val="normaltextrun"/>
              </w:rPr>
              <w:t xml:space="preserve">Covid-19 infekcijas izplatības sekas, nodrošinātu sabiedrības ekonomiskās situācijas uzlabošanos un veicinātu tautsaimniecības stabilitāti, ir nepieciešams visaptverošs atbalsts vairākām tradicionālām Latvijas tautsaimniecības nozarēm, tostarp transportam un loģistikai. </w:t>
            </w:r>
            <w:r w:rsidRPr="00FD51F3">
              <w:t>Ņemot vērā minēto, lūdzam papildināt noteikuma projekta 2.punktu ar transporta un loģistikas sektoru</w:t>
            </w:r>
            <w:r w:rsidR="00B753B6" w:rsidRPr="00FD51F3">
              <w:t>.”</w:t>
            </w:r>
          </w:p>
        </w:tc>
        <w:tc>
          <w:tcPr>
            <w:tcW w:w="3829" w:type="dxa"/>
            <w:gridSpan w:val="2"/>
            <w:tcBorders>
              <w:left w:val="single" w:sz="6" w:space="0" w:color="000000"/>
              <w:bottom w:val="single" w:sz="4" w:space="0" w:color="auto"/>
              <w:right w:val="single" w:sz="6" w:space="0" w:color="000000"/>
            </w:tcBorders>
          </w:tcPr>
          <w:p w14:paraId="7E56285A" w14:textId="6DF27A0C" w:rsidR="00134188" w:rsidRPr="00FD51F3" w:rsidRDefault="00A90807" w:rsidP="00FD51F3">
            <w:pPr>
              <w:pStyle w:val="naisc"/>
              <w:spacing w:before="0" w:after="0"/>
              <w:jc w:val="left"/>
            </w:pPr>
            <w:r w:rsidRPr="00FD51F3">
              <w:rPr>
                <w:b/>
                <w:bCs/>
              </w:rPr>
              <w:t>Iebildums ir</w:t>
            </w:r>
            <w:r w:rsidRPr="00FD51F3">
              <w:t xml:space="preserve"> </w:t>
            </w:r>
            <w:r w:rsidRPr="00FD51F3">
              <w:rPr>
                <w:b/>
                <w:bCs/>
              </w:rPr>
              <w:t>ņemts vērā</w:t>
            </w:r>
            <w:r w:rsidR="00EC221F" w:rsidRPr="00FD51F3">
              <w:t>, un Noteikumu 2.7.apakšpunkts ir papildināts ar transporta un loģistikas pakalpojumiem</w:t>
            </w:r>
            <w:r w:rsidR="001065A5" w:rsidRPr="00FD51F3">
              <w:t>,</w:t>
            </w:r>
            <w:r w:rsidR="00EC221F" w:rsidRPr="00FD51F3">
              <w:t xml:space="preserve"> </w:t>
            </w:r>
            <w:r w:rsidR="001065A5" w:rsidRPr="00FD51F3">
              <w:t>ja tie ir saistīti ar pakalpojumu un infrastruktūras nodrošināšanu 2.1 – 2.6.apakšpunktā minēto sektoru uzņēmumiem.</w:t>
            </w:r>
          </w:p>
        </w:tc>
        <w:tc>
          <w:tcPr>
            <w:tcW w:w="2985" w:type="dxa"/>
            <w:tcBorders>
              <w:top w:val="single" w:sz="4" w:space="0" w:color="auto"/>
              <w:left w:val="single" w:sz="4" w:space="0" w:color="auto"/>
              <w:bottom w:val="single" w:sz="4" w:space="0" w:color="auto"/>
            </w:tcBorders>
          </w:tcPr>
          <w:p w14:paraId="4A57093E" w14:textId="229843C0" w:rsidR="00F77635" w:rsidRPr="00FD51F3" w:rsidRDefault="001065A5" w:rsidP="00FD51F3">
            <w:r w:rsidRPr="00FD51F3">
              <w:t>“</w:t>
            </w:r>
            <w:r w:rsidR="00EC221F" w:rsidRPr="00FD51F3">
              <w:t>2.7. Būvniecības, transporta un loģistikas sektors, ja tie ir saistīti ar pakalpojumu un infrastruktūras nodrošināšanu 2.1 – 2.6.apakšpunktā minēto sektoru uzņēmumiem, ievērojot šo noteikumu 8.punktā minētos nosacījumus.</w:t>
            </w:r>
            <w:r w:rsidRPr="00FD51F3">
              <w:t>”</w:t>
            </w:r>
          </w:p>
        </w:tc>
      </w:tr>
      <w:tr w:rsidR="009E67F2" w:rsidRPr="00FD51F3" w14:paraId="795BD28D" w14:textId="77777777" w:rsidTr="00C433A0">
        <w:tc>
          <w:tcPr>
            <w:tcW w:w="708" w:type="dxa"/>
            <w:tcBorders>
              <w:left w:val="single" w:sz="6" w:space="0" w:color="000000"/>
              <w:bottom w:val="single" w:sz="4" w:space="0" w:color="auto"/>
              <w:right w:val="single" w:sz="6" w:space="0" w:color="000000"/>
            </w:tcBorders>
          </w:tcPr>
          <w:p w14:paraId="145610FE" w14:textId="77777777" w:rsidR="003B71E0" w:rsidRPr="00FD51F3" w:rsidRDefault="001D1637" w:rsidP="00FD51F3">
            <w:pPr>
              <w:pStyle w:val="naisc"/>
              <w:spacing w:before="0" w:after="0"/>
              <w:jc w:val="left"/>
            </w:pPr>
            <w:r w:rsidRPr="00FD51F3">
              <w:t xml:space="preserve">2. </w:t>
            </w:r>
          </w:p>
        </w:tc>
        <w:tc>
          <w:tcPr>
            <w:tcW w:w="3511" w:type="dxa"/>
            <w:gridSpan w:val="2"/>
            <w:tcBorders>
              <w:left w:val="single" w:sz="6" w:space="0" w:color="000000"/>
              <w:bottom w:val="single" w:sz="4" w:space="0" w:color="auto"/>
              <w:right w:val="single" w:sz="6" w:space="0" w:color="000000"/>
            </w:tcBorders>
          </w:tcPr>
          <w:p w14:paraId="44D699BE" w14:textId="2D6244F7" w:rsidR="003B71E0" w:rsidRPr="00FD51F3" w:rsidRDefault="001065A5" w:rsidP="00FD51F3">
            <w:pPr>
              <w:pStyle w:val="naisc"/>
              <w:spacing w:before="0" w:after="0"/>
              <w:jc w:val="left"/>
            </w:pPr>
            <w:r w:rsidRPr="00FD51F3">
              <w:t>“4.3. komersanta plānotā mēneša vidējā bruto darba samaksa darbiniekiem ir ne mazāka kā 2500 euro, un investīciju projekta īstenošanas rezultātā plānoto no jauna radīto darba vietu skaits ir vismaz 50 jaunas darba vietas.”</w:t>
            </w:r>
          </w:p>
        </w:tc>
        <w:tc>
          <w:tcPr>
            <w:tcW w:w="3969" w:type="dxa"/>
            <w:tcBorders>
              <w:left w:val="single" w:sz="6" w:space="0" w:color="000000"/>
              <w:bottom w:val="single" w:sz="4" w:space="0" w:color="auto"/>
              <w:right w:val="single" w:sz="6" w:space="0" w:color="000000"/>
            </w:tcBorders>
          </w:tcPr>
          <w:p w14:paraId="3FA465E1" w14:textId="06219EBD" w:rsidR="003B71E0" w:rsidRPr="00FD51F3" w:rsidRDefault="001065A5" w:rsidP="00FD51F3">
            <w:pPr>
              <w:tabs>
                <w:tab w:val="left" w:pos="0"/>
                <w:tab w:val="left" w:pos="851"/>
                <w:tab w:val="left" w:pos="993"/>
              </w:tabs>
              <w:suppressAutoHyphens/>
              <w:contextualSpacing/>
              <w:outlineLvl w:val="0"/>
              <w:rPr>
                <w:b/>
                <w:bCs/>
                <w:lang w:eastAsia="zh-CN"/>
              </w:rPr>
            </w:pPr>
            <w:r w:rsidRPr="00FD51F3">
              <w:rPr>
                <w:b/>
                <w:bCs/>
                <w:lang w:eastAsia="zh-CN"/>
              </w:rPr>
              <w:t>Satiksmes ministrijas 21.01.2021 iebildums</w:t>
            </w:r>
            <w:r w:rsidR="002D07E0" w:rsidRPr="00FD51F3">
              <w:rPr>
                <w:b/>
                <w:bCs/>
                <w:lang w:eastAsia="zh-CN"/>
              </w:rPr>
              <w:t xml:space="preserve"> Nr.2</w:t>
            </w:r>
            <w:r w:rsidRPr="00FD51F3">
              <w:rPr>
                <w:b/>
                <w:bCs/>
                <w:lang w:eastAsia="zh-CN"/>
              </w:rPr>
              <w:t xml:space="preserve">:  </w:t>
            </w:r>
            <w:r w:rsidR="00E81C6D" w:rsidRPr="00FD51F3">
              <w:rPr>
                <w:lang w:eastAsia="zh-CN"/>
              </w:rPr>
              <w:t>“</w:t>
            </w:r>
            <w:r w:rsidRPr="00FD51F3">
              <w:rPr>
                <w:lang w:eastAsia="zh-CN"/>
              </w:rPr>
              <w:t>Noteikumu projekta 4.3.apakšpunktā izvirzītais kvalifikācijas kritērijs komersantiem attiecībā uz vidējo bruto darba samaksu darbiniekiem ir pārāk augts un nav samērīgs ar šobrīd esošo vidējo bruto darba samaksu Latvijā. Ņemot vērā minēto, lūdzam aizstāt noteikuma projekta 4.3.apakšpunktā skaitli “2500” ar skaitli “1500”.</w:t>
            </w:r>
            <w:r w:rsidR="00E81C6D" w:rsidRPr="00FD51F3">
              <w:rPr>
                <w:lang w:eastAsia="zh-CN"/>
              </w:rPr>
              <w:t>”</w:t>
            </w:r>
          </w:p>
        </w:tc>
        <w:tc>
          <w:tcPr>
            <w:tcW w:w="3829" w:type="dxa"/>
            <w:gridSpan w:val="2"/>
            <w:tcBorders>
              <w:left w:val="single" w:sz="6" w:space="0" w:color="000000"/>
              <w:bottom w:val="single" w:sz="4" w:space="0" w:color="auto"/>
              <w:right w:val="single" w:sz="6" w:space="0" w:color="000000"/>
            </w:tcBorders>
          </w:tcPr>
          <w:p w14:paraId="7815A945" w14:textId="1F3E6919" w:rsidR="003B71E0" w:rsidRPr="00FD51F3" w:rsidRDefault="005066B2" w:rsidP="00FD51F3">
            <w:pPr>
              <w:pStyle w:val="naisc"/>
              <w:spacing w:before="0" w:after="0"/>
              <w:jc w:val="left"/>
            </w:pPr>
            <w:r w:rsidRPr="00FD51F3">
              <w:rPr>
                <w:b/>
                <w:bCs/>
              </w:rPr>
              <w:t>Iebildums</w:t>
            </w:r>
            <w:r w:rsidR="001D1637" w:rsidRPr="00FD51F3">
              <w:rPr>
                <w:b/>
                <w:bCs/>
              </w:rPr>
              <w:t xml:space="preserve"> ir</w:t>
            </w:r>
            <w:r w:rsidR="001D1637" w:rsidRPr="00FD51F3">
              <w:t xml:space="preserve"> </w:t>
            </w:r>
            <w:r w:rsidR="001D1637" w:rsidRPr="00FD51F3">
              <w:rPr>
                <w:b/>
                <w:bCs/>
              </w:rPr>
              <w:t>ņemts vērā</w:t>
            </w:r>
            <w:r w:rsidR="001065A5" w:rsidRPr="00FD51F3">
              <w:t>, un Noteikumu 4.3.apakšpunktā minētā vidējā bruto darba samaksa ir piesaistīta vidējai bruto darba samaksai valstī, piemērojot koeficientu 1.5 reģionos, un</w:t>
            </w:r>
            <w:r w:rsidR="00303B9C" w:rsidRPr="00FD51F3">
              <w:t xml:space="preserve"> koeficientu</w:t>
            </w:r>
            <w:r w:rsidR="001065A5" w:rsidRPr="00FD51F3">
              <w:t xml:space="preserve"> 2 Rīgā. Turklāt komersantiem ir dota iespēja izvēlēties, vai tie izpilda augstāku no jauna radīto darba vietu kritēriju, vai arī vidējās bruto darba algas kritēriju. </w:t>
            </w:r>
          </w:p>
          <w:p w14:paraId="57EA42D8" w14:textId="7425FF1A" w:rsidR="003B71E0" w:rsidRPr="00FD51F3" w:rsidRDefault="003B71E0" w:rsidP="00FD51F3">
            <w:pPr>
              <w:pStyle w:val="naisc"/>
              <w:spacing w:before="0" w:after="0"/>
              <w:jc w:val="left"/>
            </w:pPr>
          </w:p>
          <w:p w14:paraId="5F6ED7C0" w14:textId="013DB2F4" w:rsidR="003B71E0" w:rsidRPr="00FD51F3" w:rsidRDefault="13D63875" w:rsidP="61D35F7B">
            <w:pPr>
              <w:pStyle w:val="naisc"/>
              <w:spacing w:before="0" w:after="0"/>
              <w:jc w:val="left"/>
            </w:pPr>
            <w:r w:rsidRPr="61D35F7B">
              <w:t>Sektoros, kuri ir izvirzīti kā prioritāri, vidējā darba samaksa ir virs</w:t>
            </w:r>
            <w:r w:rsidR="1A3CCED9" w:rsidRPr="61D35F7B">
              <w:t xml:space="preserve"> vidējā valstī</w:t>
            </w:r>
            <w:r w:rsidR="609CE437" w:rsidRPr="61D35F7B">
              <w:t xml:space="preserve"> (2020.gada III cet, </w:t>
            </w:r>
            <w:r w:rsidR="609CE437" w:rsidRPr="00B10481">
              <w:rPr>
                <w:color w:val="000000"/>
              </w:rPr>
              <w:t>1 147 euro)</w:t>
            </w:r>
            <w:r w:rsidR="609CE437" w:rsidRPr="00B10481">
              <w:rPr>
                <w:rFonts w:ascii="Verdana" w:eastAsia="Verdana" w:hAnsi="Verdana" w:cs="Verdana"/>
                <w:color w:val="000000"/>
                <w:sz w:val="17"/>
                <w:szCs w:val="17"/>
              </w:rPr>
              <w:t xml:space="preserve"> </w:t>
            </w:r>
            <w:r w:rsidR="1A3CCED9" w:rsidRPr="61D35F7B">
              <w:t>, piemēram</w:t>
            </w:r>
            <w:r w:rsidR="2906DAAF" w:rsidRPr="61D35F7B">
              <w:t>:</w:t>
            </w:r>
          </w:p>
          <w:p w14:paraId="09B733EE" w14:textId="0A9E0EF0" w:rsidR="003B71E0" w:rsidRPr="00FD51F3" w:rsidRDefault="2906DAAF" w:rsidP="61D35F7B">
            <w:pPr>
              <w:pStyle w:val="naisc"/>
              <w:spacing w:before="0" w:after="0"/>
              <w:jc w:val="left"/>
              <w:rPr>
                <w:color w:val="222222"/>
              </w:rPr>
            </w:pPr>
            <w:r w:rsidRPr="61D35F7B">
              <w:t xml:space="preserve">1)  </w:t>
            </w:r>
            <w:r w:rsidRPr="61D35F7B">
              <w:rPr>
                <w:color w:val="222222"/>
              </w:rPr>
              <w:t xml:space="preserve">Datorprogrammēšana, konsultēšana un saistītas darbības - 2169 euro; </w:t>
            </w:r>
          </w:p>
          <w:p w14:paraId="0F186A36" w14:textId="6D09F81D" w:rsidR="003B71E0" w:rsidRPr="00FD51F3" w:rsidRDefault="5B62C53A" w:rsidP="61D35F7B">
            <w:pPr>
              <w:pStyle w:val="naisc"/>
              <w:spacing w:before="0" w:after="0"/>
              <w:jc w:val="left"/>
              <w:rPr>
                <w:color w:val="222222"/>
              </w:rPr>
            </w:pPr>
            <w:r w:rsidRPr="61D35F7B">
              <w:rPr>
                <w:color w:val="222222"/>
              </w:rPr>
              <w:t>2) Zinātniskās pētniecības darbs – 1814 euro</w:t>
            </w:r>
            <w:r w:rsidR="6F58393A" w:rsidRPr="61D35F7B">
              <w:rPr>
                <w:color w:val="222222"/>
              </w:rPr>
              <w:t>;</w:t>
            </w:r>
          </w:p>
          <w:p w14:paraId="59567A14" w14:textId="0D8AC70F" w:rsidR="003B71E0" w:rsidRPr="00FD51F3" w:rsidRDefault="6F58393A" w:rsidP="61D35F7B">
            <w:pPr>
              <w:pStyle w:val="naisc"/>
              <w:spacing w:before="0" w:after="0"/>
              <w:jc w:val="left"/>
              <w:rPr>
                <w:color w:val="222222"/>
              </w:rPr>
            </w:pPr>
            <w:r w:rsidRPr="61D35F7B">
              <w:rPr>
                <w:color w:val="222222"/>
              </w:rPr>
              <w:t>3) Farmaceitisko pamatvielu un farmaceitisko preparātu ražošana - 1742 euro.</w:t>
            </w:r>
          </w:p>
          <w:p w14:paraId="20E52EA6" w14:textId="1EFB62CB" w:rsidR="003B71E0" w:rsidRPr="00FD51F3" w:rsidRDefault="003B71E0" w:rsidP="00FD51F3">
            <w:pPr>
              <w:pStyle w:val="naisc"/>
              <w:spacing w:before="0" w:after="0"/>
              <w:jc w:val="left"/>
              <w:rPr>
                <w:rFonts w:ascii="Verdana" w:eastAsia="Verdana" w:hAnsi="Verdana" w:cs="Verdana"/>
                <w:color w:val="222222"/>
                <w:sz w:val="16"/>
                <w:szCs w:val="16"/>
              </w:rPr>
            </w:pPr>
          </w:p>
        </w:tc>
        <w:tc>
          <w:tcPr>
            <w:tcW w:w="2985" w:type="dxa"/>
            <w:tcBorders>
              <w:top w:val="single" w:sz="4" w:space="0" w:color="auto"/>
              <w:left w:val="single" w:sz="4" w:space="0" w:color="auto"/>
              <w:bottom w:val="single" w:sz="4" w:space="0" w:color="auto"/>
            </w:tcBorders>
          </w:tcPr>
          <w:p w14:paraId="6B06EE71" w14:textId="1F8BA413" w:rsidR="001065A5" w:rsidRPr="00FD51F3" w:rsidRDefault="001065A5" w:rsidP="00FD51F3">
            <w:r w:rsidRPr="00FD51F3">
              <w:t>“4.2. attiecībā uz no jauna radītajām darba vietām, projekts izpilda vienu no šiem kritērijiem:</w:t>
            </w:r>
          </w:p>
          <w:p w14:paraId="03F65778" w14:textId="77777777" w:rsidR="001065A5" w:rsidRPr="00FD51F3" w:rsidRDefault="001065A5" w:rsidP="00FD51F3">
            <w:r w:rsidRPr="00FD51F3">
              <w:t>4.2.1. plānotais investīciju projekta īstenošanas rezultātā no jauna radīto darba vietu skaits trīs gadu periodā ir vismaz 75 jaunas darba vietas (Rīgas pilsētas administratīvajā teritorijā plānotas vismaz 100 jaunas darba vietas);</w:t>
            </w:r>
          </w:p>
          <w:p w14:paraId="673F1029" w14:textId="47B6010B" w:rsidR="00B753B6" w:rsidRPr="00FD51F3" w:rsidRDefault="001065A5" w:rsidP="00FD51F3">
            <w:r w:rsidRPr="00FD51F3">
              <w:t xml:space="preserve">4.2.2. komersanta plānotā mēneša vidējā bruto darba samaksa darbiniekiem ir ne mazāka kā Centrālās statistikas pārvaldes oficiālajā statistikas paziņojumā publicētais valstī strādājošo mēneša vidējās darba samaksas apmērs iepriekšējā gadā, kam piemērots koeficients 1,5 (Rīgas pilsētas administratīvajā teritorijā </w:t>
            </w:r>
            <w:r w:rsidRPr="00FD51F3">
              <w:lastRenderedPageBreak/>
              <w:t>tiek piemērots koeficients 2), un investīciju projekta īstenošanas rezultātā plānoto no jauna radīto darba vietu skaits trīs gadu periodā ir vismaz 50 jaunas darba vietas (Rīgas pilsētas administratīvajā teritorijā plānotas vismaz 75 jaunas darba vietas);”</w:t>
            </w:r>
          </w:p>
        </w:tc>
      </w:tr>
      <w:tr w:rsidR="009E67F2" w:rsidRPr="00FD51F3" w14:paraId="613217D9" w14:textId="77777777" w:rsidTr="00C433A0">
        <w:trPr>
          <w:trHeight w:val="1465"/>
        </w:trPr>
        <w:tc>
          <w:tcPr>
            <w:tcW w:w="708" w:type="dxa"/>
            <w:tcBorders>
              <w:left w:val="single" w:sz="6" w:space="0" w:color="000000"/>
              <w:bottom w:val="single" w:sz="4" w:space="0" w:color="auto"/>
              <w:right w:val="single" w:sz="6" w:space="0" w:color="000000"/>
            </w:tcBorders>
          </w:tcPr>
          <w:p w14:paraId="52A96D5F" w14:textId="77777777" w:rsidR="00165D88" w:rsidRPr="00FD51F3" w:rsidRDefault="00165D88" w:rsidP="00FD51F3">
            <w:pPr>
              <w:pStyle w:val="naisc"/>
              <w:spacing w:before="0" w:after="0"/>
              <w:jc w:val="left"/>
            </w:pPr>
            <w:r w:rsidRPr="00FD51F3">
              <w:lastRenderedPageBreak/>
              <w:t>3</w:t>
            </w:r>
            <w:r w:rsidR="00E81C6D" w:rsidRPr="00FD51F3">
              <w:t>.</w:t>
            </w:r>
          </w:p>
        </w:tc>
        <w:tc>
          <w:tcPr>
            <w:tcW w:w="3511" w:type="dxa"/>
            <w:gridSpan w:val="2"/>
            <w:tcBorders>
              <w:left w:val="single" w:sz="6" w:space="0" w:color="000000"/>
              <w:bottom w:val="single" w:sz="4" w:space="0" w:color="auto"/>
              <w:right w:val="single" w:sz="6" w:space="0" w:color="000000"/>
            </w:tcBorders>
          </w:tcPr>
          <w:p w14:paraId="48D5C2FB" w14:textId="6D331DEC" w:rsidR="00165D88" w:rsidRPr="00FD51F3" w:rsidRDefault="00303B9C" w:rsidP="00FD51F3">
            <w:pPr>
              <w:pStyle w:val="naisc"/>
              <w:spacing w:before="0" w:after="0"/>
              <w:jc w:val="left"/>
            </w:pPr>
            <w:r w:rsidRPr="00FD51F3">
              <w:t>Anotācijas I. sadaļas 2.punkts</w:t>
            </w:r>
            <w:r w:rsidR="00DA50B6" w:rsidRPr="00FD51F3">
              <w:t>.</w:t>
            </w:r>
          </w:p>
        </w:tc>
        <w:tc>
          <w:tcPr>
            <w:tcW w:w="3969" w:type="dxa"/>
            <w:tcBorders>
              <w:left w:val="single" w:sz="6" w:space="0" w:color="000000"/>
              <w:bottom w:val="single" w:sz="4" w:space="0" w:color="auto"/>
              <w:right w:val="single" w:sz="6" w:space="0" w:color="000000"/>
            </w:tcBorders>
          </w:tcPr>
          <w:p w14:paraId="4BA5FF7C" w14:textId="3100E8DA" w:rsidR="00165D88" w:rsidRPr="00FD51F3" w:rsidRDefault="00303B9C" w:rsidP="00FD51F3">
            <w:pPr>
              <w:tabs>
                <w:tab w:val="left" w:pos="0"/>
                <w:tab w:val="left" w:pos="851"/>
                <w:tab w:val="left" w:pos="993"/>
              </w:tabs>
              <w:suppressAutoHyphens/>
              <w:contextualSpacing/>
              <w:outlineLvl w:val="0"/>
              <w:rPr>
                <w:b/>
                <w:bCs/>
                <w:lang w:eastAsia="zh-CN"/>
              </w:rPr>
            </w:pPr>
            <w:r w:rsidRPr="00FD51F3">
              <w:rPr>
                <w:b/>
                <w:bCs/>
                <w:lang w:eastAsia="zh-CN"/>
              </w:rPr>
              <w:t>Satiksmes ministrijas 21.01.2021 iebildums</w:t>
            </w:r>
            <w:r w:rsidR="002D07E0" w:rsidRPr="00FD51F3">
              <w:rPr>
                <w:b/>
                <w:bCs/>
                <w:lang w:eastAsia="zh-CN"/>
              </w:rPr>
              <w:t xml:space="preserve"> Nr.3</w:t>
            </w:r>
            <w:r w:rsidRPr="00FD51F3">
              <w:rPr>
                <w:b/>
                <w:bCs/>
                <w:lang w:eastAsia="zh-CN"/>
              </w:rPr>
              <w:t xml:space="preserve">:  </w:t>
            </w:r>
            <w:r w:rsidR="00E81C6D" w:rsidRPr="00FD51F3">
              <w:rPr>
                <w:color w:val="000000"/>
                <w:lang w:eastAsia="zh-CN"/>
              </w:rPr>
              <w:t>“</w:t>
            </w:r>
            <w:r w:rsidRPr="00FD51F3">
              <w:rPr>
                <w:color w:val="000000"/>
                <w:lang w:eastAsia="zh-CN"/>
              </w:rPr>
              <w:t>Ņemot vērā, ka noteikumu projekta anotācijā trūkst pamatojuma attiecībā uz komersantam izvirzītiem kritērijiem, lūdzam papildināt to, pamatojot katra kritērija izvirzīšanas nepieciešamību komersantam.</w:t>
            </w:r>
            <w:r w:rsidR="00E81C6D" w:rsidRPr="00FD51F3">
              <w:rPr>
                <w:color w:val="000000"/>
              </w:rPr>
              <w:t>”</w:t>
            </w:r>
          </w:p>
        </w:tc>
        <w:tc>
          <w:tcPr>
            <w:tcW w:w="3829" w:type="dxa"/>
            <w:gridSpan w:val="2"/>
            <w:tcBorders>
              <w:left w:val="single" w:sz="6" w:space="0" w:color="000000"/>
              <w:bottom w:val="single" w:sz="4" w:space="0" w:color="auto"/>
              <w:right w:val="single" w:sz="6" w:space="0" w:color="000000"/>
            </w:tcBorders>
          </w:tcPr>
          <w:p w14:paraId="3A470BE4" w14:textId="5B46A732" w:rsidR="00165D88" w:rsidRPr="00FD51F3" w:rsidRDefault="005066B2" w:rsidP="00FD51F3">
            <w:pPr>
              <w:pStyle w:val="naisc"/>
              <w:spacing w:before="0" w:after="0"/>
              <w:jc w:val="left"/>
            </w:pPr>
            <w:r w:rsidRPr="00FD51F3">
              <w:rPr>
                <w:b/>
                <w:bCs/>
              </w:rPr>
              <w:t>Iebildum</w:t>
            </w:r>
            <w:r w:rsidR="00E81C6D" w:rsidRPr="00FD51F3">
              <w:rPr>
                <w:b/>
                <w:bCs/>
              </w:rPr>
              <w:t>s ir ņemts vērā</w:t>
            </w:r>
            <w:r w:rsidR="002D07E0" w:rsidRPr="00FD51F3">
              <w:t xml:space="preserve"> </w:t>
            </w:r>
            <w:r w:rsidRPr="00FD51F3">
              <w:t xml:space="preserve">un anotācija ir papildināta ar skaidrojumu pie katra kritērija. </w:t>
            </w:r>
          </w:p>
        </w:tc>
        <w:tc>
          <w:tcPr>
            <w:tcW w:w="2985" w:type="dxa"/>
            <w:tcBorders>
              <w:top w:val="single" w:sz="4" w:space="0" w:color="auto"/>
              <w:left w:val="single" w:sz="4" w:space="0" w:color="auto"/>
              <w:bottom w:val="single" w:sz="4" w:space="0" w:color="auto"/>
            </w:tcBorders>
          </w:tcPr>
          <w:p w14:paraId="52A00D7B" w14:textId="6488BFCE" w:rsidR="00165D88" w:rsidRPr="00FD51F3" w:rsidRDefault="005066B2" w:rsidP="00FD51F3">
            <w:pPr>
              <w:pStyle w:val="naisc"/>
              <w:spacing w:before="0" w:after="0"/>
              <w:jc w:val="left"/>
            </w:pPr>
            <w:r w:rsidRPr="00FD51F3">
              <w:t>Papildināts Anotācijas I. sadaļas 1.punkts</w:t>
            </w:r>
            <w:r w:rsidR="00DA50B6" w:rsidRPr="00FD51F3">
              <w:t>.</w:t>
            </w:r>
          </w:p>
        </w:tc>
      </w:tr>
      <w:tr w:rsidR="009E67F2" w:rsidRPr="00FD51F3" w14:paraId="5AC1F27B" w14:textId="77777777" w:rsidTr="00C433A0">
        <w:tc>
          <w:tcPr>
            <w:tcW w:w="708" w:type="dxa"/>
            <w:tcBorders>
              <w:left w:val="single" w:sz="6" w:space="0" w:color="000000"/>
              <w:bottom w:val="single" w:sz="4" w:space="0" w:color="auto"/>
              <w:right w:val="single" w:sz="6" w:space="0" w:color="000000"/>
            </w:tcBorders>
          </w:tcPr>
          <w:p w14:paraId="59C9DCD0" w14:textId="77777777" w:rsidR="001D1637" w:rsidRPr="00FD51F3" w:rsidRDefault="00E81C6D" w:rsidP="00FD51F3">
            <w:pPr>
              <w:pStyle w:val="naisc"/>
              <w:spacing w:before="0" w:after="0"/>
              <w:jc w:val="left"/>
            </w:pPr>
            <w:r w:rsidRPr="00FD51F3">
              <w:t>4</w:t>
            </w:r>
            <w:r w:rsidR="001D1637" w:rsidRPr="00FD51F3">
              <w:t xml:space="preserve">. </w:t>
            </w:r>
          </w:p>
        </w:tc>
        <w:tc>
          <w:tcPr>
            <w:tcW w:w="3511" w:type="dxa"/>
            <w:gridSpan w:val="2"/>
            <w:tcBorders>
              <w:left w:val="single" w:sz="6" w:space="0" w:color="000000"/>
              <w:bottom w:val="single" w:sz="4" w:space="0" w:color="auto"/>
              <w:right w:val="single" w:sz="6" w:space="0" w:color="000000"/>
            </w:tcBorders>
          </w:tcPr>
          <w:p w14:paraId="3028F081" w14:textId="0A0D9EC5" w:rsidR="008E650E" w:rsidRPr="00FD51F3" w:rsidRDefault="00F77635" w:rsidP="00FD51F3">
            <w:pPr>
              <w:pStyle w:val="naisc"/>
              <w:spacing w:before="0" w:after="0"/>
              <w:jc w:val="left"/>
            </w:pPr>
            <w:r w:rsidRPr="00FD51F3">
              <w:t xml:space="preserve">Anotācijas </w:t>
            </w:r>
            <w:r w:rsidR="00DA50B6" w:rsidRPr="00FD51F3">
              <w:t>I</w:t>
            </w:r>
            <w:r w:rsidRPr="00FD51F3">
              <w:t>I</w:t>
            </w:r>
            <w:r w:rsidR="00DA50B6" w:rsidRPr="00FD51F3">
              <w:t>.</w:t>
            </w:r>
            <w:r w:rsidRPr="00FD51F3">
              <w:t xml:space="preserve"> sadaļas 2.punkts</w:t>
            </w:r>
          </w:p>
        </w:tc>
        <w:tc>
          <w:tcPr>
            <w:tcW w:w="3969" w:type="dxa"/>
            <w:tcBorders>
              <w:left w:val="single" w:sz="6" w:space="0" w:color="000000"/>
              <w:bottom w:val="single" w:sz="4" w:space="0" w:color="auto"/>
              <w:right w:val="single" w:sz="6" w:space="0" w:color="000000"/>
            </w:tcBorders>
          </w:tcPr>
          <w:p w14:paraId="2D9F4FA5" w14:textId="3FE33C20" w:rsidR="001D1637" w:rsidRPr="00FD51F3" w:rsidRDefault="00DA50B6" w:rsidP="00FD51F3">
            <w:pPr>
              <w:tabs>
                <w:tab w:val="left" w:pos="0"/>
                <w:tab w:val="left" w:pos="851"/>
                <w:tab w:val="left" w:pos="993"/>
              </w:tabs>
              <w:suppressAutoHyphens/>
              <w:contextualSpacing/>
              <w:outlineLvl w:val="0"/>
              <w:rPr>
                <w:b/>
                <w:bCs/>
                <w:lang w:eastAsia="zh-CN"/>
              </w:rPr>
            </w:pPr>
            <w:r w:rsidRPr="00FD51F3">
              <w:rPr>
                <w:b/>
                <w:bCs/>
                <w:lang w:eastAsia="zh-CN"/>
              </w:rPr>
              <w:t>Satiksmes ministrijas 21.01.2021 iebildums</w:t>
            </w:r>
            <w:r w:rsidR="002D07E0" w:rsidRPr="00FD51F3">
              <w:rPr>
                <w:b/>
                <w:bCs/>
                <w:lang w:eastAsia="zh-CN"/>
              </w:rPr>
              <w:t xml:space="preserve"> Nr.4</w:t>
            </w:r>
            <w:r w:rsidRPr="00FD51F3">
              <w:rPr>
                <w:b/>
                <w:bCs/>
                <w:lang w:eastAsia="zh-CN"/>
              </w:rPr>
              <w:t xml:space="preserve">: </w:t>
            </w:r>
            <w:r w:rsidR="00E81C6D" w:rsidRPr="00FD51F3">
              <w:rPr>
                <w:lang w:eastAsia="zh-CN"/>
              </w:rPr>
              <w:t>“</w:t>
            </w:r>
            <w:r w:rsidRPr="00FD51F3">
              <w:rPr>
                <w:lang w:eastAsia="zh-CN"/>
              </w:rPr>
              <w:t xml:space="preserve">Noteikumu projekta anotācijas II. sadaļas “Tiesību akta projekta ietekme uz sabiedrību, tautsaimniecības attīstību un administratīvo slogu” 2.punktā ir iekļauta informācija par plānoto ietekmi uz tautsaimniecību, balstoties uz 2019.gada datiem, kad nebija COVID-19 infekcijas izplatības ietekmes uz tautsaimniecību. Ņemot vērā minēto, lūdzam noteikumu projekta anotācijas II sadaļas 2.punktā iekļaut informāciju par plānoto noteikumu projekta ietekmi uz </w:t>
            </w:r>
            <w:r w:rsidRPr="00FD51F3">
              <w:rPr>
                <w:lang w:eastAsia="zh-CN"/>
              </w:rPr>
              <w:lastRenderedPageBreak/>
              <w:t>tautsaimniecību, balstoties uz 2020.gada datiem.</w:t>
            </w:r>
            <w:r w:rsidR="00E81C6D" w:rsidRPr="00FD51F3">
              <w:t>”</w:t>
            </w:r>
          </w:p>
        </w:tc>
        <w:tc>
          <w:tcPr>
            <w:tcW w:w="3829" w:type="dxa"/>
            <w:gridSpan w:val="2"/>
            <w:tcBorders>
              <w:left w:val="single" w:sz="6" w:space="0" w:color="000000"/>
              <w:bottom w:val="single" w:sz="4" w:space="0" w:color="auto"/>
              <w:right w:val="single" w:sz="6" w:space="0" w:color="000000"/>
            </w:tcBorders>
          </w:tcPr>
          <w:p w14:paraId="53BF2B0E" w14:textId="354FB8F2" w:rsidR="001D1637" w:rsidRPr="00FD51F3" w:rsidRDefault="00DA50B6" w:rsidP="00FD51F3">
            <w:pPr>
              <w:pStyle w:val="naisc"/>
              <w:spacing w:before="0" w:after="0"/>
              <w:jc w:val="left"/>
            </w:pPr>
            <w:r w:rsidRPr="00FD51F3">
              <w:rPr>
                <w:b/>
                <w:bCs/>
              </w:rPr>
              <w:lastRenderedPageBreak/>
              <w:t xml:space="preserve">Iebildums ir ņemts vērā </w:t>
            </w:r>
            <w:r w:rsidRPr="00FD51F3">
              <w:t>un anotācija ir p</w:t>
            </w:r>
            <w:r w:rsidR="009A7E57" w:rsidRPr="00FD51F3">
              <w:t>recizēta, ņemot vērā aprēķinus par 2020.g. ekonomisko situāciju un COVID-19 krīzes ietekmi.</w:t>
            </w:r>
          </w:p>
        </w:tc>
        <w:tc>
          <w:tcPr>
            <w:tcW w:w="2985" w:type="dxa"/>
            <w:tcBorders>
              <w:top w:val="single" w:sz="4" w:space="0" w:color="auto"/>
              <w:left w:val="single" w:sz="4" w:space="0" w:color="auto"/>
              <w:bottom w:val="single" w:sz="4" w:space="0" w:color="auto"/>
            </w:tcBorders>
          </w:tcPr>
          <w:p w14:paraId="23B7BC5D" w14:textId="0C8C2BF9" w:rsidR="001D1637" w:rsidRPr="00FD51F3" w:rsidRDefault="00B753B6" w:rsidP="00FD51F3">
            <w:pPr>
              <w:pStyle w:val="naisc"/>
              <w:spacing w:before="0" w:after="0"/>
              <w:jc w:val="left"/>
            </w:pPr>
            <w:r w:rsidRPr="00FD51F3">
              <w:t>Precizēt</w:t>
            </w:r>
            <w:r w:rsidR="00C2605E" w:rsidRPr="00FD51F3">
              <w:t xml:space="preserve">s </w:t>
            </w:r>
            <w:r w:rsidR="00F77635" w:rsidRPr="00FD51F3">
              <w:t xml:space="preserve">Anotācijas </w:t>
            </w:r>
            <w:r w:rsidR="00DA50B6" w:rsidRPr="00FD51F3">
              <w:t>I</w:t>
            </w:r>
            <w:r w:rsidR="00F77635" w:rsidRPr="00FD51F3">
              <w:t>I</w:t>
            </w:r>
            <w:r w:rsidR="00547F89" w:rsidRPr="00FD51F3">
              <w:t>.</w:t>
            </w:r>
            <w:r w:rsidR="00F77635" w:rsidRPr="00FD51F3">
              <w:t xml:space="preserve"> sadaļas 2. punkts</w:t>
            </w:r>
            <w:r w:rsidR="009A7E57" w:rsidRPr="00FD51F3">
              <w:t>: “Plānotā ietekme uz tautsaimniecību, balstoties uz 2019.un 2020.gada datiem: vismaz 50 – 70  investīciju projektiem tiks nodrošināts ātrāks īstenošanas process, tādējādi sekmējot finanšu resursu pieaugumu Latvijas ekonomikā vismaz 100M euro apmērā, kā arī nodrošinot vismaz 1000 jaunu darba vietu ātrāku izveidi.”</w:t>
            </w:r>
          </w:p>
        </w:tc>
      </w:tr>
      <w:tr w:rsidR="009E67F2" w:rsidRPr="00FD51F3" w14:paraId="588BD746" w14:textId="77777777" w:rsidTr="00C433A0">
        <w:trPr>
          <w:trHeight w:val="1652"/>
        </w:trPr>
        <w:tc>
          <w:tcPr>
            <w:tcW w:w="708" w:type="dxa"/>
            <w:tcBorders>
              <w:left w:val="single" w:sz="6" w:space="0" w:color="000000"/>
              <w:bottom w:val="single" w:sz="4" w:space="0" w:color="auto"/>
              <w:right w:val="single" w:sz="6" w:space="0" w:color="000000"/>
            </w:tcBorders>
          </w:tcPr>
          <w:p w14:paraId="575158E1" w14:textId="6998381C" w:rsidR="008E2564" w:rsidRPr="00FD51F3" w:rsidRDefault="008E2564" w:rsidP="00FD51F3">
            <w:pPr>
              <w:pStyle w:val="naisc"/>
              <w:spacing w:before="0" w:after="0"/>
              <w:jc w:val="left"/>
            </w:pPr>
            <w:r w:rsidRPr="00FD51F3">
              <w:t>5.</w:t>
            </w:r>
          </w:p>
        </w:tc>
        <w:tc>
          <w:tcPr>
            <w:tcW w:w="3511" w:type="dxa"/>
            <w:gridSpan w:val="2"/>
            <w:tcBorders>
              <w:left w:val="single" w:sz="6" w:space="0" w:color="000000"/>
              <w:bottom w:val="single" w:sz="4" w:space="0" w:color="auto"/>
              <w:right w:val="single" w:sz="6" w:space="0" w:color="000000"/>
            </w:tcBorders>
          </w:tcPr>
          <w:p w14:paraId="66CB8B26" w14:textId="1DF4A9C7" w:rsidR="008E2564" w:rsidRPr="00FD51F3" w:rsidRDefault="00D01269" w:rsidP="00FD51F3">
            <w:pPr>
              <w:pStyle w:val="naisc"/>
              <w:spacing w:before="0" w:after="0"/>
              <w:jc w:val="left"/>
            </w:pPr>
            <w:r w:rsidRPr="00FD51F3">
              <w:t>“11. Šo noteikumu 8.punktā minēto lēmumu Latvijas Investīciju un attīstības aģentūra triju darbdienu laikā no projekta apstiprināšanas brīža publicē oficiālajā izdevumā "Latvijas Vēstnesis" (..).”</w:t>
            </w:r>
          </w:p>
        </w:tc>
        <w:tc>
          <w:tcPr>
            <w:tcW w:w="3969" w:type="dxa"/>
            <w:tcBorders>
              <w:left w:val="single" w:sz="6" w:space="0" w:color="000000"/>
              <w:bottom w:val="single" w:sz="4" w:space="0" w:color="auto"/>
              <w:right w:val="single" w:sz="6" w:space="0" w:color="000000"/>
            </w:tcBorders>
          </w:tcPr>
          <w:p w14:paraId="29A621B9" w14:textId="5678B5DE" w:rsidR="008E2564" w:rsidRPr="00FD51F3" w:rsidRDefault="001C5C81" w:rsidP="00FD51F3">
            <w:pPr>
              <w:tabs>
                <w:tab w:val="left" w:pos="0"/>
                <w:tab w:val="left" w:pos="851"/>
                <w:tab w:val="left" w:pos="993"/>
              </w:tabs>
              <w:suppressAutoHyphens/>
              <w:contextualSpacing/>
              <w:outlineLvl w:val="0"/>
              <w:rPr>
                <w:rFonts w:eastAsia="Calibri"/>
                <w:lang w:eastAsia="en-US"/>
              </w:rPr>
            </w:pPr>
            <w:r w:rsidRPr="00FD51F3">
              <w:rPr>
                <w:rFonts w:eastAsia="Calibri"/>
                <w:b/>
                <w:bCs/>
                <w:lang w:eastAsia="en-US"/>
              </w:rPr>
              <w:t>Finanšu ministrijas 21.01.2021 priekšlikums</w:t>
            </w:r>
            <w:r w:rsidR="002D07E0" w:rsidRPr="00FD51F3">
              <w:rPr>
                <w:rFonts w:eastAsia="Calibri"/>
                <w:b/>
                <w:bCs/>
                <w:lang w:eastAsia="en-US"/>
              </w:rPr>
              <w:t xml:space="preserve"> Nr.1</w:t>
            </w:r>
            <w:r w:rsidRPr="00FD51F3">
              <w:rPr>
                <w:rFonts w:eastAsia="Calibri"/>
                <w:lang w:eastAsia="en-US"/>
              </w:rPr>
              <w:t>:</w:t>
            </w:r>
            <w:r w:rsidRPr="00FD51F3">
              <w:t xml:space="preserve"> “</w:t>
            </w:r>
            <w:r w:rsidRPr="00FD51F3">
              <w:rPr>
                <w:rFonts w:eastAsia="Calibri"/>
                <w:lang w:eastAsia="en-US"/>
              </w:rPr>
              <w:t>Lūdzam precizēt noteikumu projekta 11.punktā iekļauto atsauci uz atbilstošu noteikumu projekta punktu.”</w:t>
            </w:r>
          </w:p>
        </w:tc>
        <w:tc>
          <w:tcPr>
            <w:tcW w:w="3829" w:type="dxa"/>
            <w:gridSpan w:val="2"/>
            <w:tcBorders>
              <w:left w:val="single" w:sz="6" w:space="0" w:color="000000"/>
              <w:bottom w:val="single" w:sz="4" w:space="0" w:color="auto"/>
              <w:right w:val="single" w:sz="6" w:space="0" w:color="000000"/>
            </w:tcBorders>
          </w:tcPr>
          <w:p w14:paraId="656885C7" w14:textId="6F82C001" w:rsidR="008E2564" w:rsidRPr="00FD51F3" w:rsidRDefault="001C5C81" w:rsidP="00FD51F3">
            <w:pPr>
              <w:pStyle w:val="naisc"/>
              <w:spacing w:before="0" w:after="0"/>
              <w:jc w:val="left"/>
            </w:pPr>
            <w:r w:rsidRPr="00FD51F3">
              <w:rPr>
                <w:b/>
                <w:bCs/>
              </w:rPr>
              <w:t>Priekšlikums ir ņemts vērā</w:t>
            </w:r>
            <w:r w:rsidR="002D07E0" w:rsidRPr="00FD51F3">
              <w:t xml:space="preserve"> un</w:t>
            </w:r>
            <w:r w:rsidRPr="00FD51F3">
              <w:t xml:space="preserve"> Noteikumu 11.punkts ir precizēts.</w:t>
            </w:r>
            <w:r w:rsidRPr="00FD51F3">
              <w:rPr>
                <w:b/>
                <w:bCs/>
              </w:rPr>
              <w:t xml:space="preserve"> </w:t>
            </w:r>
          </w:p>
        </w:tc>
        <w:tc>
          <w:tcPr>
            <w:tcW w:w="2985" w:type="dxa"/>
            <w:tcBorders>
              <w:top w:val="single" w:sz="4" w:space="0" w:color="auto"/>
              <w:left w:val="single" w:sz="4" w:space="0" w:color="auto"/>
              <w:bottom w:val="single" w:sz="4" w:space="0" w:color="auto"/>
            </w:tcBorders>
          </w:tcPr>
          <w:p w14:paraId="75E11FBF" w14:textId="53AFE518" w:rsidR="008E2564" w:rsidRPr="00FD51F3" w:rsidRDefault="001C5C81" w:rsidP="00FD51F3">
            <w:r w:rsidRPr="00FD51F3">
              <w:t>“11. Šo noteikumu 9.punktā minēto lēmumu Latvijas Investīciju un attīstības aģentūra triju darbdienu laikā no projekta apstiprināšanas brīža publicē oficiālajā izdevumā "Latvijas Vēstnesis"</w:t>
            </w:r>
            <w:r w:rsidR="00D01269" w:rsidRPr="00FD51F3">
              <w:t xml:space="preserve"> (..).”</w:t>
            </w:r>
          </w:p>
        </w:tc>
      </w:tr>
      <w:tr w:rsidR="009E67F2" w:rsidRPr="00FD51F3" w14:paraId="1CD08699" w14:textId="77777777" w:rsidTr="00C433A0">
        <w:trPr>
          <w:trHeight w:val="1652"/>
        </w:trPr>
        <w:tc>
          <w:tcPr>
            <w:tcW w:w="708" w:type="dxa"/>
            <w:tcBorders>
              <w:left w:val="single" w:sz="6" w:space="0" w:color="000000"/>
              <w:bottom w:val="single" w:sz="4" w:space="0" w:color="auto"/>
              <w:right w:val="single" w:sz="6" w:space="0" w:color="000000"/>
            </w:tcBorders>
          </w:tcPr>
          <w:p w14:paraId="5D804973" w14:textId="0FAD813C" w:rsidR="003478B2" w:rsidRPr="00FD51F3" w:rsidRDefault="008E2564" w:rsidP="00FD51F3">
            <w:pPr>
              <w:pStyle w:val="naisc"/>
              <w:spacing w:before="0" w:after="0"/>
              <w:jc w:val="left"/>
            </w:pPr>
            <w:r w:rsidRPr="00FD51F3">
              <w:t>6</w:t>
            </w:r>
            <w:r w:rsidR="003478B2" w:rsidRPr="00FD51F3">
              <w:t>.</w:t>
            </w:r>
          </w:p>
        </w:tc>
        <w:tc>
          <w:tcPr>
            <w:tcW w:w="3511" w:type="dxa"/>
            <w:gridSpan w:val="2"/>
            <w:tcBorders>
              <w:left w:val="single" w:sz="6" w:space="0" w:color="000000"/>
              <w:bottom w:val="single" w:sz="4" w:space="0" w:color="auto"/>
              <w:right w:val="single" w:sz="6" w:space="0" w:color="000000"/>
            </w:tcBorders>
          </w:tcPr>
          <w:p w14:paraId="1D8EA8C8" w14:textId="63DBC71F" w:rsidR="003478B2" w:rsidRPr="00FD51F3" w:rsidRDefault="00EA55B2" w:rsidP="00FD51F3">
            <w:pPr>
              <w:pStyle w:val="naisc"/>
              <w:spacing w:before="0" w:after="0"/>
              <w:jc w:val="left"/>
            </w:pPr>
            <w:r w:rsidRPr="00FD51F3">
              <w:t>Anotācijas I. sadaļas 2.punkts.</w:t>
            </w:r>
          </w:p>
        </w:tc>
        <w:tc>
          <w:tcPr>
            <w:tcW w:w="3969" w:type="dxa"/>
            <w:tcBorders>
              <w:left w:val="single" w:sz="6" w:space="0" w:color="000000"/>
              <w:bottom w:val="single" w:sz="4" w:space="0" w:color="auto"/>
              <w:right w:val="single" w:sz="6" w:space="0" w:color="000000"/>
            </w:tcBorders>
          </w:tcPr>
          <w:p w14:paraId="2ED0C644" w14:textId="6F9369DD" w:rsidR="00807DE6" w:rsidRPr="00FD51F3" w:rsidRDefault="00EA55B2" w:rsidP="00FD51F3">
            <w:pPr>
              <w:tabs>
                <w:tab w:val="left" w:pos="0"/>
                <w:tab w:val="left" w:pos="851"/>
                <w:tab w:val="left" w:pos="993"/>
              </w:tabs>
              <w:suppressAutoHyphens/>
              <w:contextualSpacing/>
              <w:outlineLvl w:val="0"/>
              <w:rPr>
                <w:lang w:eastAsia="zh-CN"/>
              </w:rPr>
            </w:pPr>
            <w:r w:rsidRPr="00FD51F3">
              <w:rPr>
                <w:rFonts w:eastAsia="Calibri"/>
                <w:b/>
                <w:bCs/>
                <w:lang w:eastAsia="en-US"/>
              </w:rPr>
              <w:t>Finanšu ministrijas 21.01.2021 priekšlikums</w:t>
            </w:r>
            <w:r w:rsidR="002D07E0" w:rsidRPr="00FD51F3">
              <w:rPr>
                <w:rFonts w:eastAsia="Calibri"/>
                <w:b/>
                <w:bCs/>
                <w:lang w:eastAsia="en-US"/>
              </w:rPr>
              <w:t xml:space="preserve"> Nr.2</w:t>
            </w:r>
            <w:r w:rsidRPr="00FD51F3">
              <w:rPr>
                <w:rFonts w:eastAsia="Calibri"/>
                <w:lang w:eastAsia="en-US"/>
              </w:rPr>
              <w:t>:</w:t>
            </w:r>
            <w:r w:rsidRPr="00FD51F3">
              <w:t xml:space="preserve"> “</w:t>
            </w:r>
            <w:r w:rsidRPr="00FD51F3">
              <w:rPr>
                <w:lang w:eastAsia="zh-CN"/>
              </w:rPr>
              <w:t>Anotācijas I sadaļas 2.punktā (2.lpp.) norādīts, (..) ka iesniegumā jānorāda noteikumu projekta 6.punktā prasītā informācija, kā arī kopā ar iesniegumu jāiesniedz arī informācija, kas apliecina, ka uzņēmumam nav nodokļu parāds, kas kopsummā pārsniedz 1000 euro. Vēršam uzmanību, ka noteikumu projekta 7.punktā ir uzskaitīta informācija, kas jānorāda iesniegumā. Lūdzam precizēt anotācijas I sadaļas 2.punktā iekļauto atsauci uz atbilstošu noteikumu projekta punktu.”</w:t>
            </w:r>
          </w:p>
        </w:tc>
        <w:tc>
          <w:tcPr>
            <w:tcW w:w="3829" w:type="dxa"/>
            <w:gridSpan w:val="2"/>
            <w:tcBorders>
              <w:left w:val="single" w:sz="6" w:space="0" w:color="000000"/>
              <w:bottom w:val="single" w:sz="4" w:space="0" w:color="auto"/>
              <w:right w:val="single" w:sz="6" w:space="0" w:color="000000"/>
            </w:tcBorders>
          </w:tcPr>
          <w:p w14:paraId="1A52E703" w14:textId="060CD4E3" w:rsidR="003478B2" w:rsidRPr="00FD51F3" w:rsidRDefault="00EA55B2" w:rsidP="00FD51F3">
            <w:pPr>
              <w:pStyle w:val="naisc"/>
              <w:spacing w:before="0" w:after="0"/>
              <w:jc w:val="left"/>
            </w:pPr>
            <w:r w:rsidRPr="00FD51F3">
              <w:rPr>
                <w:b/>
                <w:bCs/>
              </w:rPr>
              <w:t>Priekšlikums ir ņemts vērā</w:t>
            </w:r>
            <w:r w:rsidRPr="00FD51F3">
              <w:t xml:space="preserve"> un</w:t>
            </w:r>
            <w:r w:rsidR="0020502D" w:rsidRPr="00FD51F3">
              <w:t xml:space="preserve"> anotācija ir precizēta. </w:t>
            </w:r>
          </w:p>
        </w:tc>
        <w:tc>
          <w:tcPr>
            <w:tcW w:w="2985" w:type="dxa"/>
            <w:tcBorders>
              <w:top w:val="single" w:sz="4" w:space="0" w:color="auto"/>
              <w:left w:val="single" w:sz="4" w:space="0" w:color="auto"/>
              <w:bottom w:val="single" w:sz="4" w:space="0" w:color="auto"/>
            </w:tcBorders>
          </w:tcPr>
          <w:p w14:paraId="79751C6D" w14:textId="19524B5F" w:rsidR="003478B2" w:rsidRPr="00FD51F3" w:rsidRDefault="007222D3" w:rsidP="00FD51F3">
            <w:r w:rsidRPr="00FD51F3">
              <w:t>Precizēts Anotācijas I. sadaļas 2. punkts: “Iesniegumā jānorāda Noteikumu 7.punktā prasītā informācija.”</w:t>
            </w:r>
          </w:p>
        </w:tc>
      </w:tr>
      <w:tr w:rsidR="009E67F2" w:rsidRPr="00FD51F3" w14:paraId="0912B0B0" w14:textId="77777777" w:rsidTr="00C433A0">
        <w:trPr>
          <w:trHeight w:val="1266"/>
        </w:trPr>
        <w:tc>
          <w:tcPr>
            <w:tcW w:w="708" w:type="dxa"/>
            <w:tcBorders>
              <w:left w:val="single" w:sz="6" w:space="0" w:color="000000"/>
              <w:bottom w:val="single" w:sz="4" w:space="0" w:color="auto"/>
              <w:right w:val="single" w:sz="6" w:space="0" w:color="000000"/>
            </w:tcBorders>
          </w:tcPr>
          <w:p w14:paraId="46EFE77E" w14:textId="4462E952" w:rsidR="00C43F14" w:rsidRPr="00FD51F3" w:rsidRDefault="002E5409" w:rsidP="00FD51F3">
            <w:pPr>
              <w:pStyle w:val="naisc"/>
              <w:spacing w:before="0" w:after="0"/>
              <w:jc w:val="left"/>
            </w:pPr>
            <w:r w:rsidRPr="00FD51F3">
              <w:t>7.</w:t>
            </w:r>
          </w:p>
        </w:tc>
        <w:tc>
          <w:tcPr>
            <w:tcW w:w="3511" w:type="dxa"/>
            <w:gridSpan w:val="2"/>
            <w:tcBorders>
              <w:left w:val="single" w:sz="6" w:space="0" w:color="000000"/>
              <w:bottom w:val="single" w:sz="4" w:space="0" w:color="auto"/>
              <w:right w:val="single" w:sz="6" w:space="0" w:color="000000"/>
            </w:tcBorders>
          </w:tcPr>
          <w:p w14:paraId="7C90A2F0" w14:textId="2696111E" w:rsidR="00C43F14" w:rsidRPr="00FD51F3" w:rsidRDefault="002E5409" w:rsidP="00FD51F3">
            <w:pPr>
              <w:pStyle w:val="naisc"/>
              <w:spacing w:before="0" w:after="0"/>
              <w:jc w:val="left"/>
            </w:pPr>
            <w:r w:rsidRPr="00FD51F3">
              <w:t>Anotācijas I. sadaļas 2.punkts</w:t>
            </w:r>
          </w:p>
        </w:tc>
        <w:tc>
          <w:tcPr>
            <w:tcW w:w="3969" w:type="dxa"/>
            <w:tcBorders>
              <w:left w:val="single" w:sz="6" w:space="0" w:color="000000"/>
              <w:bottom w:val="single" w:sz="4" w:space="0" w:color="auto"/>
              <w:right w:val="single" w:sz="6" w:space="0" w:color="000000"/>
            </w:tcBorders>
          </w:tcPr>
          <w:p w14:paraId="335F8757" w14:textId="05BAFEC7" w:rsidR="00C433A0" w:rsidRPr="00C433A0" w:rsidRDefault="00C43F14" w:rsidP="00C433A0">
            <w:pPr>
              <w:tabs>
                <w:tab w:val="left" w:pos="0"/>
                <w:tab w:val="left" w:pos="851"/>
                <w:tab w:val="left" w:pos="993"/>
              </w:tabs>
              <w:suppressAutoHyphens/>
              <w:contextualSpacing/>
              <w:outlineLvl w:val="0"/>
              <w:rPr>
                <w:rFonts w:eastAsia="Calibri"/>
                <w:lang w:eastAsia="en-US"/>
              </w:rPr>
            </w:pPr>
            <w:r w:rsidRPr="00FD51F3">
              <w:rPr>
                <w:rFonts w:eastAsia="Calibri"/>
                <w:b/>
                <w:bCs/>
                <w:lang w:eastAsia="en-US"/>
              </w:rPr>
              <w:t>Iekšlietu ministrijas 21.01.2021 iebildums</w:t>
            </w:r>
            <w:r w:rsidR="00CB4395" w:rsidRPr="00FD51F3">
              <w:rPr>
                <w:rFonts w:eastAsia="Calibri"/>
                <w:b/>
                <w:bCs/>
                <w:lang w:eastAsia="en-US"/>
              </w:rPr>
              <w:t xml:space="preserve"> Nr.1</w:t>
            </w:r>
            <w:r w:rsidRPr="00FD51F3">
              <w:rPr>
                <w:rFonts w:eastAsia="Calibri"/>
                <w:b/>
                <w:bCs/>
                <w:lang w:eastAsia="en-US"/>
              </w:rPr>
              <w:t xml:space="preserve">: </w:t>
            </w:r>
            <w:r w:rsidR="002D07E0" w:rsidRPr="00FD51F3">
              <w:rPr>
                <w:rFonts w:eastAsia="Calibri"/>
                <w:b/>
                <w:bCs/>
                <w:lang w:eastAsia="en-US"/>
              </w:rPr>
              <w:t>“</w:t>
            </w:r>
            <w:r w:rsidRPr="00FD51F3">
              <w:rPr>
                <w:rFonts w:eastAsia="Calibri"/>
                <w:lang w:eastAsia="en-US"/>
              </w:rPr>
              <w:t>Lūdzam papildināt projektu vai projekta anotācijas I.</w:t>
            </w:r>
            <w:r w:rsidR="002D07E0" w:rsidRPr="00FD51F3">
              <w:rPr>
                <w:rFonts w:eastAsia="Calibri"/>
                <w:lang w:eastAsia="en-US"/>
              </w:rPr>
              <w:t xml:space="preserve"> </w:t>
            </w:r>
            <w:r w:rsidRPr="00FD51F3">
              <w:rPr>
                <w:rFonts w:eastAsia="Calibri"/>
                <w:lang w:eastAsia="en-US"/>
              </w:rPr>
              <w:t>sadaļas 2.pun</w:t>
            </w:r>
            <w:r w:rsidR="002D07E0" w:rsidRPr="00FD51F3">
              <w:rPr>
                <w:rFonts w:eastAsia="Calibri"/>
                <w:lang w:eastAsia="en-US"/>
              </w:rPr>
              <w:t>k</w:t>
            </w:r>
            <w:r w:rsidRPr="00FD51F3">
              <w:rPr>
                <w:rFonts w:eastAsia="Calibri"/>
                <w:lang w:eastAsia="en-US"/>
              </w:rPr>
              <w:t xml:space="preserve">tu, sniedzot skaidrojumu frāzei “prioritāro pakalpojumu sniegšanas kārtība un termiņš”, jo projekta pielikumā ir ietverts tikai atsevišķu tiesību normu </w:t>
            </w:r>
            <w:r w:rsidRPr="00FD51F3">
              <w:rPr>
                <w:rFonts w:eastAsia="Calibri"/>
                <w:lang w:eastAsia="en-US"/>
              </w:rPr>
              <w:lastRenderedPageBreak/>
              <w:t>uzskaitījums bez saprotamas norādes uz vēlamo pakalpojumu prioritāru sniegšanas kārtību un termiņu.</w:t>
            </w:r>
            <w:r w:rsidR="00C433A0">
              <w:rPr>
                <w:rFonts w:eastAsia="Calibri"/>
                <w:lang w:eastAsia="en-US"/>
              </w:rPr>
              <w:t xml:space="preserve"> (..) Vienlaikus </w:t>
            </w:r>
            <w:r w:rsidR="009E67F2">
              <w:rPr>
                <w:rFonts w:eastAsia="Calibri"/>
                <w:lang w:eastAsia="en-US"/>
              </w:rPr>
              <w:t xml:space="preserve">arī </w:t>
            </w:r>
            <w:r w:rsidR="00C433A0" w:rsidRPr="00C433A0">
              <w:rPr>
                <w:rFonts w:eastAsia="Calibri"/>
                <w:lang w:eastAsia="en-US"/>
              </w:rPr>
              <w:t xml:space="preserve">nav skaidrs, vai iestādei, kas izskata dokumentus, būtu jāprioritizē šo komersantu lietas starp  minētajos noteikumos paredzētajiem atsevišķo personu kategoriju subjektiem, kā piemēram, personām ar bēgļa vai alternatīvo statusu vai ārzemniekiem, kuriem piešķirts cilvēku tirdzniecības upura statuss vai citiem subjektiem, kuriem tiesiskais regulējums paredz paātrinātu dokumentu izskatīšanu, ja minēto personu dokumenti tiktu saņemti, piemēram, vienas dienas ietvaros. </w:t>
            </w:r>
          </w:p>
          <w:p w14:paraId="53C7CD0B" w14:textId="286D63C2" w:rsidR="00C43F14" w:rsidRPr="00FD51F3" w:rsidRDefault="00C433A0" w:rsidP="00FD51F3">
            <w:pPr>
              <w:tabs>
                <w:tab w:val="left" w:pos="0"/>
                <w:tab w:val="left" w:pos="851"/>
                <w:tab w:val="left" w:pos="993"/>
              </w:tabs>
              <w:suppressAutoHyphens/>
              <w:contextualSpacing/>
              <w:outlineLvl w:val="0"/>
              <w:rPr>
                <w:rFonts w:eastAsia="Calibri"/>
                <w:lang w:eastAsia="en-US"/>
              </w:rPr>
            </w:pPr>
            <w:r w:rsidRPr="00C433A0">
              <w:rPr>
                <w:rFonts w:eastAsia="Calibri"/>
                <w:lang w:eastAsia="en-US"/>
              </w:rPr>
              <w:t>Jāatzīmē, ka no projekta pašlaik nav skaidrs arī subjektu loks, uz ko būtu attiecināma prioritārā kārtība, proti, saskaņā ar projekta 3.punktu prioritāte attiecināma uz pakalpojumiem un gadījumiem attiecībā uz prioritārajiem investīciju projektiem, taču projekta pielikumā pievienotā saraksta 1.10. un 1.11.apakšpunktā norādītas normas pēc būtības attiecās uz ārzemnieka ieceļošanas un uzturēšanās tiesību izvērtēšanu, tai skaitā arī no drošības viedokļa</w:t>
            </w:r>
            <w:r w:rsidR="00092431">
              <w:rPr>
                <w:rFonts w:eastAsia="Calibri"/>
                <w:lang w:eastAsia="en-US"/>
              </w:rPr>
              <w:t xml:space="preserve"> (..).”</w:t>
            </w:r>
          </w:p>
        </w:tc>
        <w:tc>
          <w:tcPr>
            <w:tcW w:w="3829" w:type="dxa"/>
            <w:gridSpan w:val="2"/>
            <w:tcBorders>
              <w:left w:val="single" w:sz="6" w:space="0" w:color="000000"/>
              <w:bottom w:val="single" w:sz="4" w:space="0" w:color="auto"/>
              <w:right w:val="single" w:sz="6" w:space="0" w:color="000000"/>
            </w:tcBorders>
          </w:tcPr>
          <w:p w14:paraId="7A479C0A" w14:textId="3B542F55" w:rsidR="00F53AE8" w:rsidRPr="00FD51F3" w:rsidRDefault="006B6E5E" w:rsidP="00FD51F3">
            <w:pPr>
              <w:pStyle w:val="naisc"/>
              <w:spacing w:before="0" w:after="0"/>
              <w:jc w:val="left"/>
            </w:pPr>
            <w:r w:rsidRPr="00FD51F3">
              <w:rPr>
                <w:b/>
                <w:bCs/>
              </w:rPr>
              <w:lastRenderedPageBreak/>
              <w:t xml:space="preserve">Iebildums ir ņemts vērā </w:t>
            </w:r>
            <w:r w:rsidR="000772E9" w:rsidRPr="00FD51F3">
              <w:t xml:space="preserve">un anotācijas I. sadaļas 2.punkts ir papildināts. </w:t>
            </w:r>
          </w:p>
          <w:p w14:paraId="27A8B423" w14:textId="77777777" w:rsidR="00230771" w:rsidRPr="00FD51F3" w:rsidRDefault="00230771" w:rsidP="00FD51F3">
            <w:pPr>
              <w:pStyle w:val="naisc"/>
              <w:spacing w:before="0" w:after="0"/>
              <w:jc w:val="left"/>
            </w:pPr>
          </w:p>
          <w:p w14:paraId="1DE7A98D" w14:textId="7DD4B1F8" w:rsidR="00C43F14" w:rsidRPr="00FD51F3" w:rsidRDefault="000772E9" w:rsidP="00FD51F3">
            <w:pPr>
              <w:pStyle w:val="naisc"/>
              <w:spacing w:before="0" w:after="0"/>
              <w:jc w:val="left"/>
            </w:pPr>
            <w:r w:rsidRPr="00FD51F3">
              <w:t>Skaidrojam, ka prioritār</w:t>
            </w:r>
            <w:r w:rsidR="000B6A98" w:rsidRPr="00FD51F3">
              <w:t>ā kārtība un termiņš, kādā apkalpojami prioritārie investīciju projekti, ir noteikts “Covid</w:t>
            </w:r>
            <w:r w:rsidR="007D4251" w:rsidRPr="00FD51F3">
              <w:t>-19</w:t>
            </w:r>
            <w:r w:rsidR="000B6A98" w:rsidRPr="00FD51F3">
              <w:t xml:space="preserve"> </w:t>
            </w:r>
            <w:r w:rsidR="007D4251" w:rsidRPr="00FD51F3">
              <w:t xml:space="preserve">infekcijas seku </w:t>
            </w:r>
            <w:r w:rsidR="007D4251" w:rsidRPr="00FD51F3">
              <w:lastRenderedPageBreak/>
              <w:t>pārvarēšanas likuma”</w:t>
            </w:r>
            <w:r w:rsidR="00F53AE8" w:rsidRPr="00FD51F3">
              <w:t xml:space="preserve"> 59.panta 3.daļā: </w:t>
            </w:r>
            <w:r w:rsidR="000B6A98" w:rsidRPr="00FD51F3">
              <w:t xml:space="preserve"> </w:t>
            </w:r>
            <w:r w:rsidR="00F53AE8" w:rsidRPr="00FD51F3">
              <w:t>Ja šā panta otrajā daļā minētajā sarakstā ietverto pakalpojumu sniegšanas termiņš atbilstoši attiecīgās jomas darbību regulējošiem normatīvajiem aktiem ir garāks par piecām darbdienām, tad prioritārā kārtībā attiecīgais pakalpojums sniedzams vismaz divas reizes īsākā termiņā un par to netiek piemērota papildu maksa.</w:t>
            </w:r>
          </w:p>
          <w:p w14:paraId="68D803BB" w14:textId="279096D5" w:rsidR="00C43F14" w:rsidRPr="00FD51F3" w:rsidRDefault="00C43F14" w:rsidP="00FD51F3">
            <w:pPr>
              <w:pStyle w:val="naisc"/>
              <w:spacing w:before="0" w:after="0"/>
              <w:jc w:val="left"/>
            </w:pPr>
          </w:p>
          <w:p w14:paraId="54399151" w14:textId="0798CBCB" w:rsidR="00C43F14" w:rsidRPr="00FD51F3" w:rsidRDefault="7CF1F334" w:rsidP="00FD51F3">
            <w:pPr>
              <w:pStyle w:val="naisc"/>
              <w:spacing w:before="0" w:after="0"/>
              <w:jc w:val="left"/>
            </w:pPr>
            <w:r>
              <w:t>Noteikumos un likum</w:t>
            </w:r>
            <w:r w:rsidR="4788AD2E">
              <w:t>ā</w:t>
            </w:r>
            <w:r>
              <w:t xml:space="preserve"> ietvertais regulējums neierobežo p</w:t>
            </w:r>
            <w:r w:rsidR="75A0A1CF">
              <w:t>ā</w:t>
            </w:r>
            <w:r>
              <w:t>rvaldes iestāžu rīcības brīv</w:t>
            </w:r>
            <w:r w:rsidR="0F4A5E61">
              <w:t xml:space="preserve">ību iekšējā darba </w:t>
            </w:r>
            <w:r w:rsidR="7F4D7E95">
              <w:t>organizācijas jautājumos</w:t>
            </w:r>
            <w:r w:rsidR="02BD887B">
              <w:t>, līdz ar to neizslēdz iespēju, ka ar citiem normatīvajiem aktiem var būt arī citu subjektu grup</w:t>
            </w:r>
            <w:r w:rsidR="4B677FBD">
              <w:t xml:space="preserve">as, kurām līdzīgi ir jānodrošina prioritāra apkalpošana. </w:t>
            </w:r>
          </w:p>
          <w:p w14:paraId="784319D3" w14:textId="5BA74351" w:rsidR="00C43F14" w:rsidRPr="00FD51F3" w:rsidRDefault="00C43F14" w:rsidP="00FD51F3">
            <w:pPr>
              <w:pStyle w:val="naisc"/>
              <w:spacing w:before="0" w:after="0"/>
              <w:jc w:val="left"/>
            </w:pPr>
          </w:p>
          <w:p w14:paraId="33120294" w14:textId="3C99E04C" w:rsidR="00C43F14" w:rsidRPr="00FD51F3" w:rsidRDefault="02F32AA1" w:rsidP="00FD51F3">
            <w:pPr>
              <w:pStyle w:val="naisc"/>
              <w:spacing w:before="0" w:after="0"/>
              <w:jc w:val="left"/>
            </w:pPr>
            <w:r>
              <w:t>Prognozētais prioritāro investīciju projektu loks varētu būt 50 – 70 investīciju projekti gadā</w:t>
            </w:r>
            <w:r w:rsidR="53CE2376">
              <w:t>, balstoties uz 2019. un 2020.gada datiem.</w:t>
            </w:r>
            <w:r w:rsidR="0065494A">
              <w:t xml:space="preserve"> </w:t>
            </w:r>
            <w:r w:rsidR="004F604E">
              <w:t xml:space="preserve">Piemērojot </w:t>
            </w:r>
            <w:r w:rsidR="00BC080B">
              <w:t xml:space="preserve">prioritārās kārtības un termiņa noteikumus </w:t>
            </w:r>
            <w:r w:rsidR="00594F54">
              <w:t>Pielikumā iekļaut</w:t>
            </w:r>
            <w:r w:rsidR="00E16084">
              <w:t>ajos</w:t>
            </w:r>
            <w:r w:rsidR="00594F54">
              <w:t xml:space="preserve"> </w:t>
            </w:r>
            <w:r w:rsidR="00BC080B">
              <w:t xml:space="preserve">Imigrācijas likuma un MK noteikumu </w:t>
            </w:r>
            <w:r w:rsidR="0065494A" w:rsidRPr="0065494A">
              <w:t>“Uzturēšanās atļauju noteikumi”</w:t>
            </w:r>
            <w:r w:rsidR="00BC080B">
              <w:t xml:space="preserve"> </w:t>
            </w:r>
            <w:r w:rsidR="00D44B85">
              <w:t>regulētajos gadījumos, par subjektu loku uzskatāms komersants un tā nodarbinātie.</w:t>
            </w:r>
          </w:p>
        </w:tc>
        <w:tc>
          <w:tcPr>
            <w:tcW w:w="2985" w:type="dxa"/>
            <w:tcBorders>
              <w:top w:val="single" w:sz="4" w:space="0" w:color="auto"/>
              <w:left w:val="single" w:sz="4" w:space="0" w:color="auto"/>
              <w:bottom w:val="single" w:sz="4" w:space="0" w:color="auto"/>
            </w:tcBorders>
          </w:tcPr>
          <w:p w14:paraId="54F9AA9A" w14:textId="62885F69" w:rsidR="00C43F14" w:rsidRPr="00FD51F3" w:rsidRDefault="00B730E0" w:rsidP="00FD51F3">
            <w:r w:rsidRPr="00FD51F3">
              <w:lastRenderedPageBreak/>
              <w:t>Anotācijas I.</w:t>
            </w:r>
            <w:r w:rsidR="00A538E6" w:rsidRPr="00FD51F3">
              <w:t xml:space="preserve"> sadaļas 2.punkts papildināts ar tekstu: “Prioritārā kārtība un termiņš, kādā apkalpojami prioritārie investīciju projekti, ir noteikts “Covid-19 infekcijas seku pārvarēšanas likuma” </w:t>
            </w:r>
            <w:r w:rsidR="00A538E6" w:rsidRPr="00FD51F3">
              <w:lastRenderedPageBreak/>
              <w:t>59.panta 3.daļā:  “Ja šā panta otrajā daļā minētajā sarakstā ietverto pakalpojumu sniegšanas termiņš atbilstoši attiecīgās jomas darbību regulējošiem normatīvajiem aktiem ir garāks par piecām darbdienām, tad prioritārā kārtībā attiecīgais pakalpojums sniedzams vismaz divas reizes īsākā termiņā un par to netiek piemērota papildu maksa.”</w:t>
            </w:r>
          </w:p>
        </w:tc>
      </w:tr>
      <w:tr w:rsidR="009E67F2" w:rsidRPr="00FD51F3" w14:paraId="053B518A" w14:textId="77777777" w:rsidTr="00C433A0">
        <w:trPr>
          <w:trHeight w:val="8085"/>
        </w:trPr>
        <w:tc>
          <w:tcPr>
            <w:tcW w:w="708" w:type="dxa"/>
            <w:tcBorders>
              <w:left w:val="single" w:sz="6" w:space="0" w:color="000000"/>
              <w:bottom w:val="single" w:sz="4" w:space="0" w:color="auto"/>
              <w:right w:val="single" w:sz="6" w:space="0" w:color="000000"/>
            </w:tcBorders>
          </w:tcPr>
          <w:p w14:paraId="6F55899C" w14:textId="3E238EC8" w:rsidR="00C43F14" w:rsidRPr="00FD51F3" w:rsidRDefault="002E5409" w:rsidP="00FD51F3">
            <w:pPr>
              <w:pStyle w:val="naisc"/>
              <w:spacing w:before="0" w:after="0"/>
              <w:jc w:val="left"/>
            </w:pPr>
            <w:r w:rsidRPr="00FD51F3">
              <w:lastRenderedPageBreak/>
              <w:t>8.</w:t>
            </w:r>
          </w:p>
        </w:tc>
        <w:tc>
          <w:tcPr>
            <w:tcW w:w="3511" w:type="dxa"/>
            <w:gridSpan w:val="2"/>
            <w:tcBorders>
              <w:left w:val="single" w:sz="6" w:space="0" w:color="000000"/>
              <w:bottom w:val="single" w:sz="4" w:space="0" w:color="auto"/>
              <w:right w:val="single" w:sz="6" w:space="0" w:color="000000"/>
            </w:tcBorders>
          </w:tcPr>
          <w:p w14:paraId="34A6B1F9" w14:textId="2111BA17" w:rsidR="00C43F14" w:rsidRPr="00FD51F3" w:rsidRDefault="005E73D0" w:rsidP="00FD51F3">
            <w:pPr>
              <w:pStyle w:val="naisc"/>
              <w:spacing w:before="0" w:after="0"/>
              <w:jc w:val="left"/>
            </w:pPr>
            <w:r w:rsidRPr="00FD51F3">
              <w:t>Pielikuma 1.10.apakšpunkts</w:t>
            </w:r>
          </w:p>
          <w:p w14:paraId="401CD009" w14:textId="77777777" w:rsidR="005E73D0" w:rsidRPr="00FD51F3" w:rsidRDefault="005E73D0" w:rsidP="00FD51F3">
            <w:pPr>
              <w:pStyle w:val="naisc"/>
              <w:spacing w:before="0" w:after="0"/>
              <w:jc w:val="left"/>
            </w:pPr>
          </w:p>
          <w:tbl>
            <w:tblPr>
              <w:tblW w:w="3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250"/>
            </w:tblGrid>
            <w:tr w:rsidR="004A669D" w:rsidRPr="00FD51F3" w14:paraId="4899A603" w14:textId="77777777" w:rsidTr="7EE60116">
              <w:tc>
                <w:tcPr>
                  <w:tcW w:w="996" w:type="dxa"/>
                  <w:shd w:val="clear" w:color="auto" w:fill="auto"/>
                </w:tcPr>
                <w:p w14:paraId="37623607"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b/>
                      <w:color w:val="auto"/>
                      <w:sz w:val="20"/>
                      <w:szCs w:val="20"/>
                    </w:rPr>
                  </w:pPr>
                  <w:r w:rsidRPr="00FD51F3">
                    <w:rPr>
                      <w:rFonts w:ascii="Times New Roman" w:eastAsia="Times New Roman" w:hAnsi="Times New Roman" w:cs="Times New Roman"/>
                      <w:b/>
                      <w:color w:val="auto"/>
                      <w:sz w:val="20"/>
                      <w:szCs w:val="20"/>
                    </w:rPr>
                    <w:t>1.10.</w:t>
                  </w:r>
                </w:p>
              </w:tc>
              <w:tc>
                <w:tcPr>
                  <w:tcW w:w="2250" w:type="dxa"/>
                  <w:shd w:val="clear" w:color="auto" w:fill="auto"/>
                </w:tcPr>
                <w:p w14:paraId="4DBF8D39"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b/>
                      <w:color w:val="auto"/>
                      <w:sz w:val="20"/>
                      <w:szCs w:val="20"/>
                    </w:rPr>
                  </w:pPr>
                  <w:r w:rsidRPr="00FD51F3">
                    <w:rPr>
                      <w:rFonts w:ascii="Times New Roman" w:eastAsia="Times New Roman" w:hAnsi="Times New Roman" w:cs="Times New Roman"/>
                      <w:b/>
                      <w:color w:val="auto"/>
                      <w:sz w:val="20"/>
                      <w:szCs w:val="20"/>
                    </w:rPr>
                    <w:t>Imigrācijas likums</w:t>
                  </w:r>
                </w:p>
              </w:tc>
            </w:tr>
            <w:tr w:rsidR="004A669D" w:rsidRPr="00FD51F3" w14:paraId="23561640" w14:textId="77777777" w:rsidTr="7EE60116">
              <w:tc>
                <w:tcPr>
                  <w:tcW w:w="996" w:type="dxa"/>
                  <w:shd w:val="clear" w:color="auto" w:fill="auto"/>
                </w:tcPr>
                <w:p w14:paraId="4982A6EB"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1.10.1.</w:t>
                  </w:r>
                </w:p>
              </w:tc>
              <w:tc>
                <w:tcPr>
                  <w:tcW w:w="2250" w:type="dxa"/>
                  <w:shd w:val="clear" w:color="auto" w:fill="auto"/>
                </w:tcPr>
                <w:p w14:paraId="344A5971"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15.pants</w:t>
                  </w:r>
                </w:p>
              </w:tc>
            </w:tr>
            <w:tr w:rsidR="004A669D" w:rsidRPr="00FD51F3" w14:paraId="50B9FC5F" w14:textId="77777777" w:rsidTr="7EE60116">
              <w:tc>
                <w:tcPr>
                  <w:tcW w:w="996" w:type="dxa"/>
                  <w:shd w:val="clear" w:color="auto" w:fill="auto"/>
                </w:tcPr>
                <w:p w14:paraId="38A052B1"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1.10.2.</w:t>
                  </w:r>
                </w:p>
              </w:tc>
              <w:tc>
                <w:tcPr>
                  <w:tcW w:w="2250" w:type="dxa"/>
                  <w:shd w:val="clear" w:color="auto" w:fill="auto"/>
                </w:tcPr>
                <w:p w14:paraId="7991280A"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33.pants</w:t>
                  </w:r>
                </w:p>
              </w:tc>
            </w:tr>
            <w:tr w:rsidR="004A669D" w:rsidRPr="00FD51F3" w14:paraId="2141778A" w14:textId="77777777" w:rsidTr="7EE60116">
              <w:tc>
                <w:tcPr>
                  <w:tcW w:w="996" w:type="dxa"/>
                  <w:shd w:val="clear" w:color="auto" w:fill="auto"/>
                </w:tcPr>
                <w:p w14:paraId="0A13A25B"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1.10.3.</w:t>
                  </w:r>
                </w:p>
              </w:tc>
              <w:tc>
                <w:tcPr>
                  <w:tcW w:w="2250" w:type="dxa"/>
                  <w:shd w:val="clear" w:color="auto" w:fill="auto"/>
                </w:tcPr>
                <w:p w14:paraId="2E48285E"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38.pants</w:t>
                  </w:r>
                </w:p>
              </w:tc>
            </w:tr>
          </w:tbl>
          <w:p w14:paraId="3F8D28DF" w14:textId="47A233B6" w:rsidR="005E73D0" w:rsidRPr="00FD51F3" w:rsidRDefault="005E73D0" w:rsidP="00FD51F3">
            <w:pPr>
              <w:pStyle w:val="naisc"/>
              <w:spacing w:before="0" w:after="0"/>
              <w:jc w:val="left"/>
            </w:pPr>
          </w:p>
        </w:tc>
        <w:tc>
          <w:tcPr>
            <w:tcW w:w="3969" w:type="dxa"/>
            <w:tcBorders>
              <w:left w:val="single" w:sz="6" w:space="0" w:color="000000"/>
              <w:bottom w:val="single" w:sz="4" w:space="0" w:color="auto"/>
              <w:right w:val="single" w:sz="6" w:space="0" w:color="000000"/>
            </w:tcBorders>
          </w:tcPr>
          <w:p w14:paraId="0B251682" w14:textId="103A7716" w:rsidR="00C43F14" w:rsidRPr="00FD51F3" w:rsidRDefault="00C43F14" w:rsidP="05BD0DA7">
            <w:pPr>
              <w:widowControl w:val="0"/>
            </w:pPr>
            <w:r w:rsidRPr="05BD0DA7">
              <w:rPr>
                <w:rFonts w:eastAsia="Calibri"/>
                <w:b/>
                <w:bCs/>
                <w:lang w:eastAsia="en-US"/>
              </w:rPr>
              <w:t>Iekšlietu ministrijas 21.01.2021 iebildums</w:t>
            </w:r>
            <w:r w:rsidR="00CB4395" w:rsidRPr="05BD0DA7">
              <w:rPr>
                <w:rFonts w:eastAsia="Calibri"/>
                <w:b/>
                <w:bCs/>
                <w:lang w:eastAsia="en-US"/>
              </w:rPr>
              <w:t xml:space="preserve"> Nr.2</w:t>
            </w:r>
            <w:r w:rsidRPr="05BD0DA7">
              <w:rPr>
                <w:rFonts w:eastAsia="Calibri"/>
                <w:b/>
                <w:bCs/>
                <w:lang w:eastAsia="en-US"/>
              </w:rPr>
              <w:t xml:space="preserve">: </w:t>
            </w:r>
            <w:r w:rsidR="002D07E0">
              <w:t>“S</w:t>
            </w:r>
            <w:r>
              <w:t>vītrot projekta pielikuma 1.10.apakšpunktā iekļautās atsauces uz Imigrācijas likuma normām:</w:t>
            </w:r>
            <w:r w:rsidR="709D9E0A">
              <w:t xml:space="preserve"> </w:t>
            </w:r>
          </w:p>
          <w:p w14:paraId="578FEBBF" w14:textId="72D0BEA5" w:rsidR="00C43F14" w:rsidRPr="00FD51F3" w:rsidRDefault="709D9E0A" w:rsidP="05BD0DA7">
            <w:pPr>
              <w:widowControl w:val="0"/>
            </w:pPr>
            <w:r w:rsidRPr="05BD0DA7">
              <w:t>1.1.</w:t>
            </w:r>
            <w:r w:rsidR="00C43F14" w:rsidRPr="05BD0DA7">
              <w:t>projekta pielikuma 1.10.1.apakšpunktā norādīto Imigrācijas likuma 15.pantu.</w:t>
            </w:r>
            <w:r w:rsidR="002E5409" w:rsidRPr="05BD0DA7">
              <w:t>(..)</w:t>
            </w:r>
          </w:p>
          <w:p w14:paraId="4FF180D4" w14:textId="288327D6" w:rsidR="002E5409" w:rsidRPr="00FD51F3" w:rsidRDefault="4B2698CA" w:rsidP="05BD0DA7">
            <w:pPr>
              <w:widowControl w:val="0"/>
            </w:pPr>
            <w:r w:rsidRPr="05BD0DA7">
              <w:t>1.2.</w:t>
            </w:r>
            <w:r w:rsidR="00C43F14" w:rsidRPr="05BD0DA7">
              <w:t>projekta pielikuma 1.10.2.apakšpunktā norādīto Imigrācijas likuma 33.pantu.</w:t>
            </w:r>
            <w:r w:rsidR="002E5409" w:rsidRPr="05BD0DA7">
              <w:t>(..)</w:t>
            </w:r>
          </w:p>
          <w:p w14:paraId="74D0E8F9" w14:textId="21FBB889" w:rsidR="00C43F14" w:rsidRPr="00FD51F3" w:rsidRDefault="2A9817D1" w:rsidP="05BD0DA7">
            <w:pPr>
              <w:widowControl w:val="0"/>
            </w:pPr>
            <w:r w:rsidRPr="05BD0DA7">
              <w:t>1.3.</w:t>
            </w:r>
            <w:r w:rsidR="00C43F14" w:rsidRPr="05BD0DA7">
              <w:t>projekta pielikuma 1.10.3.apakšpunktā norādīto Imigrācijas likuma 38.pantu. Norādām, ka Imigrācijas likuma 38.pantā noteiktā uzdevuma prioritāra izpilde var tikai paātrināt uzturēšanās atļaujas anulēšanas procesu, kas pirmšķietami neatbilst projektā norādītajam mērķim.</w:t>
            </w:r>
            <w:r w:rsidR="00491208" w:rsidRPr="05BD0DA7">
              <w:t>(..)</w:t>
            </w:r>
          </w:p>
          <w:p w14:paraId="1F808FAF" w14:textId="4D2977A1" w:rsidR="05BD0DA7" w:rsidRDefault="05BD0DA7" w:rsidP="05BD0DA7"/>
          <w:p w14:paraId="2565CEF3" w14:textId="14CDF117" w:rsidR="00C43F14" w:rsidRPr="00FD51F3" w:rsidRDefault="00C43F14" w:rsidP="00FD51F3">
            <w:r w:rsidRPr="00FD51F3">
              <w:t>Vēršam uzmanību uz to, ka</w:t>
            </w:r>
            <w:r w:rsidR="00491208" w:rsidRPr="00FD51F3">
              <w:t xml:space="preserve"> </w:t>
            </w:r>
            <w:r w:rsidRPr="00FD51F3">
              <w:t>zemāka juridiskā spēka normatīvajā aktā, proti, Ministru kabineta noteikumos, nevar paredzēt regulējumu, kas ir pretrunā augstāka juridiskā spēka tiesību aktā, proti, likumā, paredzētajam regulējumam.</w:t>
            </w:r>
            <w:r w:rsidR="00491208" w:rsidRPr="00FD51F3">
              <w:t>”</w:t>
            </w:r>
          </w:p>
        </w:tc>
        <w:tc>
          <w:tcPr>
            <w:tcW w:w="3829" w:type="dxa"/>
            <w:gridSpan w:val="2"/>
            <w:tcBorders>
              <w:left w:val="single" w:sz="6" w:space="0" w:color="000000"/>
              <w:bottom w:val="single" w:sz="4" w:space="0" w:color="auto"/>
              <w:right w:val="single" w:sz="6" w:space="0" w:color="000000"/>
            </w:tcBorders>
          </w:tcPr>
          <w:p w14:paraId="4D4FF026" w14:textId="61F7904F" w:rsidR="00C43F14" w:rsidRPr="00FD51F3" w:rsidRDefault="0053641D" w:rsidP="00FD51F3">
            <w:pPr>
              <w:pStyle w:val="naisc"/>
              <w:spacing w:before="0" w:after="0"/>
              <w:jc w:val="left"/>
            </w:pPr>
            <w:r>
              <w:rPr>
                <w:b/>
                <w:bCs/>
              </w:rPr>
              <w:t>Iebildums ir s</w:t>
            </w:r>
            <w:r w:rsidR="003D4AA9">
              <w:rPr>
                <w:b/>
                <w:bCs/>
              </w:rPr>
              <w:t>as</w:t>
            </w:r>
            <w:r>
              <w:rPr>
                <w:b/>
                <w:bCs/>
              </w:rPr>
              <w:t xml:space="preserve">aistīts ar </w:t>
            </w:r>
            <w:r w:rsidR="00EA018D">
              <w:rPr>
                <w:b/>
                <w:bCs/>
              </w:rPr>
              <w:t xml:space="preserve">Iekšlietu ministrijas </w:t>
            </w:r>
            <w:r w:rsidR="005F3418">
              <w:rPr>
                <w:b/>
                <w:bCs/>
              </w:rPr>
              <w:t xml:space="preserve">iebildumu Nr.1, kas ir </w:t>
            </w:r>
            <w:r w:rsidR="00110577">
              <w:rPr>
                <w:b/>
                <w:bCs/>
              </w:rPr>
              <w:t xml:space="preserve">ņemts vērā un </w:t>
            </w:r>
            <w:r w:rsidR="003D4AA9">
              <w:rPr>
                <w:b/>
                <w:bCs/>
              </w:rPr>
              <w:t xml:space="preserve">ir sniegts skaidrojums, ka </w:t>
            </w:r>
            <w:r w:rsidR="00C27B6A" w:rsidRPr="00FD51F3">
              <w:t>prioritārā kārtība un termiņš, kādā apkalpojami prioritārie investīciju projekti, ir noteikts “Covid-19 infekcijas seku pārvarēšanas likuma” 59.panta 3.daļā</w:t>
            </w:r>
            <w:r w:rsidR="00142C6F">
              <w:t>.</w:t>
            </w:r>
            <w:r w:rsidR="00C27B6A" w:rsidRPr="00FD51F3">
              <w:rPr>
                <w:b/>
                <w:bCs/>
              </w:rPr>
              <w:t xml:space="preserve"> </w:t>
            </w:r>
            <w:r w:rsidR="00142C6F">
              <w:t xml:space="preserve">Līdz ar to skaidrojam, ka </w:t>
            </w:r>
            <w:r w:rsidR="00360CCD">
              <w:t xml:space="preserve">konflikts starp </w:t>
            </w:r>
            <w:r w:rsidR="003C5950">
              <w:t xml:space="preserve">zemāka juridiskā spēka tiesību akta (MK noteikumi) </w:t>
            </w:r>
            <w:r w:rsidR="005B050F">
              <w:t xml:space="preserve">un augstāka juridiskā spēka tiesību akta (likums) </w:t>
            </w:r>
            <w:r w:rsidR="005F6097">
              <w:t xml:space="preserve">regulējumu nerodas. </w:t>
            </w:r>
            <w:r w:rsidR="003C5950">
              <w:t xml:space="preserve"> </w:t>
            </w:r>
          </w:p>
          <w:p w14:paraId="794F3C6C" w14:textId="77777777" w:rsidR="00D30809" w:rsidRPr="00FD51F3" w:rsidRDefault="00D30809" w:rsidP="00FD51F3">
            <w:pPr>
              <w:pStyle w:val="naisc"/>
              <w:spacing w:before="0" w:after="0"/>
              <w:jc w:val="left"/>
            </w:pPr>
          </w:p>
          <w:p w14:paraId="4DC1153F" w14:textId="0C7FA8BB" w:rsidR="00FF0465" w:rsidRPr="00FD51F3" w:rsidRDefault="00D30809" w:rsidP="00FD51F3">
            <w:pPr>
              <w:pStyle w:val="naisc"/>
              <w:spacing w:before="0" w:after="0"/>
              <w:jc w:val="left"/>
            </w:pPr>
            <w:r w:rsidRPr="00FD51F3">
              <w:t>Pielikum</w:t>
            </w:r>
            <w:r w:rsidR="00FF0465" w:rsidRPr="00FD51F3">
              <w:t>ā</w:t>
            </w:r>
            <w:r w:rsidR="00314D44" w:rsidRPr="00FD51F3">
              <w:t xml:space="preserve"> (1.10.3. apakšp.) </w:t>
            </w:r>
            <w:r w:rsidR="00FF0465" w:rsidRPr="00FD51F3">
              <w:t xml:space="preserve"> Imigrācijas likuma 38.pants ir iekļauts ar mērķi paātrināt ar uzturēšanās atļauju saistīto lēmumu pieņemšan</w:t>
            </w:r>
            <w:r w:rsidR="00314D44" w:rsidRPr="00FD51F3">
              <w:t>u.</w:t>
            </w:r>
          </w:p>
        </w:tc>
        <w:tc>
          <w:tcPr>
            <w:tcW w:w="2985" w:type="dxa"/>
            <w:tcBorders>
              <w:top w:val="single" w:sz="4" w:space="0" w:color="auto"/>
              <w:left w:val="single" w:sz="4" w:space="0" w:color="auto"/>
              <w:bottom w:val="single" w:sz="4" w:space="0" w:color="auto"/>
            </w:tcBorders>
          </w:tcPr>
          <w:p w14:paraId="0358EAFB" w14:textId="26C75E36" w:rsidR="00C43F14" w:rsidRPr="00FD51F3" w:rsidRDefault="00D30809" w:rsidP="00FD51F3">
            <w:r w:rsidRPr="00FD51F3">
              <w:t>N/A</w:t>
            </w:r>
          </w:p>
        </w:tc>
      </w:tr>
      <w:tr w:rsidR="009E67F2" w:rsidRPr="00FD51F3" w14:paraId="01A4099B" w14:textId="77777777" w:rsidTr="00C433A0">
        <w:trPr>
          <w:trHeight w:val="1652"/>
        </w:trPr>
        <w:tc>
          <w:tcPr>
            <w:tcW w:w="708" w:type="dxa"/>
            <w:tcBorders>
              <w:left w:val="single" w:sz="6" w:space="0" w:color="000000"/>
              <w:bottom w:val="single" w:sz="4" w:space="0" w:color="auto"/>
              <w:right w:val="single" w:sz="6" w:space="0" w:color="000000"/>
            </w:tcBorders>
          </w:tcPr>
          <w:p w14:paraId="0398C0E1" w14:textId="4384CF4E" w:rsidR="00C43F14" w:rsidRPr="00FD51F3" w:rsidRDefault="00321B9D" w:rsidP="00FD51F3">
            <w:pPr>
              <w:pStyle w:val="naisc"/>
              <w:spacing w:before="0" w:after="0"/>
              <w:jc w:val="left"/>
            </w:pPr>
            <w:r w:rsidRPr="00FD51F3">
              <w:lastRenderedPageBreak/>
              <w:t>9.</w:t>
            </w:r>
          </w:p>
        </w:tc>
        <w:tc>
          <w:tcPr>
            <w:tcW w:w="3511" w:type="dxa"/>
            <w:gridSpan w:val="2"/>
            <w:tcBorders>
              <w:left w:val="single" w:sz="6" w:space="0" w:color="000000"/>
              <w:bottom w:val="single" w:sz="4" w:space="0" w:color="auto"/>
              <w:right w:val="single" w:sz="6" w:space="0" w:color="000000"/>
            </w:tcBorders>
          </w:tcPr>
          <w:p w14:paraId="008185F5" w14:textId="49136C06" w:rsidR="00C43F14" w:rsidRPr="00FD51F3" w:rsidRDefault="005E73D0" w:rsidP="00FD51F3">
            <w:pPr>
              <w:pStyle w:val="naisc"/>
              <w:spacing w:before="0" w:after="0"/>
              <w:jc w:val="left"/>
            </w:pPr>
            <w:r w:rsidRPr="00FD51F3">
              <w:t>Pielikuma 1.11.apakšpunkts</w:t>
            </w:r>
          </w:p>
          <w:p w14:paraId="09241067" w14:textId="77777777" w:rsidR="00AC35F4" w:rsidRPr="00FD51F3" w:rsidRDefault="00AC35F4" w:rsidP="00FD51F3">
            <w:pPr>
              <w:pStyle w:val="naisc"/>
              <w:spacing w:before="0" w:after="0"/>
              <w:jc w:val="left"/>
            </w:pPr>
          </w:p>
          <w:tbl>
            <w:tblPr>
              <w:tblW w:w="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070"/>
            </w:tblGrid>
            <w:tr w:rsidR="004A669D" w:rsidRPr="00FD51F3" w14:paraId="5448E329" w14:textId="77777777" w:rsidTr="7EE60116">
              <w:tc>
                <w:tcPr>
                  <w:tcW w:w="1271" w:type="dxa"/>
                  <w:shd w:val="clear" w:color="auto" w:fill="auto"/>
                </w:tcPr>
                <w:p w14:paraId="228A1401"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b/>
                      <w:color w:val="auto"/>
                      <w:sz w:val="20"/>
                      <w:szCs w:val="20"/>
                    </w:rPr>
                  </w:pPr>
                  <w:r w:rsidRPr="00FD51F3">
                    <w:rPr>
                      <w:rFonts w:ascii="Times New Roman" w:eastAsia="Times New Roman" w:hAnsi="Times New Roman" w:cs="Times New Roman"/>
                      <w:b/>
                      <w:color w:val="auto"/>
                      <w:sz w:val="20"/>
                      <w:szCs w:val="20"/>
                    </w:rPr>
                    <w:t>1.11.</w:t>
                  </w:r>
                </w:p>
              </w:tc>
              <w:tc>
                <w:tcPr>
                  <w:tcW w:w="2070" w:type="dxa"/>
                  <w:shd w:val="clear" w:color="auto" w:fill="auto"/>
                </w:tcPr>
                <w:p w14:paraId="20DB3442" w14:textId="77777777" w:rsidR="00E75A8B"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hAnsi="Times New Roman" w:cs="Times New Roman"/>
                      <w:b/>
                      <w:color w:val="auto"/>
                      <w:sz w:val="20"/>
                      <w:szCs w:val="20"/>
                      <w:shd w:val="clear" w:color="auto" w:fill="FFFFFF"/>
                    </w:rPr>
                  </w:pPr>
                  <w:r w:rsidRPr="00FD51F3">
                    <w:rPr>
                      <w:rFonts w:ascii="Times New Roman" w:hAnsi="Times New Roman" w:cs="Times New Roman"/>
                      <w:b/>
                      <w:color w:val="auto"/>
                      <w:sz w:val="20"/>
                      <w:szCs w:val="20"/>
                      <w:shd w:val="clear" w:color="auto" w:fill="FFFFFF"/>
                    </w:rPr>
                    <w:t xml:space="preserve">Ministru kabineta </w:t>
                  </w:r>
                </w:p>
                <w:p w14:paraId="3F7B466B" w14:textId="77777777" w:rsidR="00E75A8B"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hAnsi="Times New Roman" w:cs="Times New Roman"/>
                      <w:b/>
                      <w:color w:val="auto"/>
                      <w:sz w:val="20"/>
                      <w:szCs w:val="20"/>
                      <w:shd w:val="clear" w:color="auto" w:fill="FFFFFF"/>
                    </w:rPr>
                  </w:pPr>
                  <w:r w:rsidRPr="00FD51F3">
                    <w:rPr>
                      <w:rFonts w:ascii="Times New Roman" w:hAnsi="Times New Roman" w:cs="Times New Roman"/>
                      <w:b/>
                      <w:color w:val="auto"/>
                      <w:sz w:val="20"/>
                      <w:szCs w:val="20"/>
                      <w:shd w:val="clear" w:color="auto" w:fill="FFFFFF"/>
                    </w:rPr>
                    <w:t xml:space="preserve">2010.gada 21.jūnija </w:t>
                  </w:r>
                </w:p>
                <w:p w14:paraId="51A4938F" w14:textId="77777777" w:rsidR="00E75A8B"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hAnsi="Times New Roman" w:cs="Times New Roman"/>
                      <w:b/>
                      <w:color w:val="auto"/>
                      <w:sz w:val="20"/>
                      <w:szCs w:val="20"/>
                      <w:shd w:val="clear" w:color="auto" w:fill="FFFFFF"/>
                    </w:rPr>
                  </w:pPr>
                  <w:r w:rsidRPr="00FD51F3">
                    <w:rPr>
                      <w:rFonts w:ascii="Times New Roman" w:hAnsi="Times New Roman" w:cs="Times New Roman"/>
                      <w:b/>
                      <w:color w:val="auto"/>
                      <w:sz w:val="20"/>
                      <w:szCs w:val="20"/>
                      <w:shd w:val="clear" w:color="auto" w:fill="FFFFFF"/>
                    </w:rPr>
                    <w:t>noteikumi Nr.564 “</w:t>
                  </w:r>
                </w:p>
                <w:p w14:paraId="205E5356" w14:textId="77777777" w:rsidR="00E75A8B"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hAnsi="Times New Roman" w:cs="Times New Roman"/>
                      <w:b/>
                      <w:color w:val="auto"/>
                      <w:sz w:val="20"/>
                      <w:szCs w:val="20"/>
                      <w:shd w:val="clear" w:color="auto" w:fill="FFFFFF"/>
                    </w:rPr>
                  </w:pPr>
                  <w:r w:rsidRPr="00FD51F3">
                    <w:rPr>
                      <w:rFonts w:ascii="Times New Roman" w:hAnsi="Times New Roman" w:cs="Times New Roman"/>
                      <w:b/>
                      <w:color w:val="auto"/>
                      <w:sz w:val="20"/>
                      <w:szCs w:val="20"/>
                      <w:shd w:val="clear" w:color="auto" w:fill="FFFFFF"/>
                    </w:rPr>
                    <w:t xml:space="preserve">Uzturēšanās atļauju </w:t>
                  </w:r>
                </w:p>
                <w:p w14:paraId="262E2B89" w14:textId="7C27DD36"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b/>
                      <w:color w:val="auto"/>
                      <w:sz w:val="20"/>
                      <w:szCs w:val="20"/>
                    </w:rPr>
                  </w:pPr>
                  <w:r w:rsidRPr="00FD51F3">
                    <w:rPr>
                      <w:rFonts w:ascii="Times New Roman" w:hAnsi="Times New Roman" w:cs="Times New Roman"/>
                      <w:b/>
                      <w:color w:val="auto"/>
                      <w:sz w:val="20"/>
                      <w:szCs w:val="20"/>
                      <w:shd w:val="clear" w:color="auto" w:fill="FFFFFF"/>
                    </w:rPr>
                    <w:t>noteikumi”</w:t>
                  </w:r>
                </w:p>
              </w:tc>
            </w:tr>
            <w:tr w:rsidR="004A669D" w:rsidRPr="00FD51F3" w14:paraId="4480FEF6" w14:textId="77777777" w:rsidTr="7EE60116">
              <w:tc>
                <w:tcPr>
                  <w:tcW w:w="1271" w:type="dxa"/>
                  <w:shd w:val="clear" w:color="auto" w:fill="auto"/>
                </w:tcPr>
                <w:p w14:paraId="0B3F852C"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1.11.1.</w:t>
                  </w:r>
                </w:p>
              </w:tc>
              <w:tc>
                <w:tcPr>
                  <w:tcW w:w="2070" w:type="dxa"/>
                  <w:shd w:val="clear" w:color="auto" w:fill="auto"/>
                </w:tcPr>
                <w:p w14:paraId="1EE4A454"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hAnsi="Times New Roman" w:cs="Times New Roman"/>
                      <w:color w:val="auto"/>
                      <w:sz w:val="20"/>
                      <w:szCs w:val="20"/>
                      <w:shd w:val="clear" w:color="auto" w:fill="FFFFFF"/>
                    </w:rPr>
                    <w:t>16.</w:t>
                  </w:r>
                  <w:r w:rsidRPr="00FD51F3">
                    <w:rPr>
                      <w:rFonts w:ascii="Times New Roman" w:hAnsi="Times New Roman" w:cs="Times New Roman"/>
                      <w:color w:val="auto"/>
                      <w:sz w:val="20"/>
                      <w:szCs w:val="20"/>
                      <w:shd w:val="clear" w:color="auto" w:fill="FFFFFF"/>
                      <w:vertAlign w:val="superscript"/>
                    </w:rPr>
                    <w:t xml:space="preserve">1 </w:t>
                  </w:r>
                  <w:r w:rsidRPr="00FD51F3">
                    <w:rPr>
                      <w:rFonts w:ascii="Times New Roman" w:hAnsi="Times New Roman" w:cs="Times New Roman"/>
                      <w:color w:val="auto"/>
                      <w:sz w:val="20"/>
                      <w:szCs w:val="20"/>
                      <w:shd w:val="clear" w:color="auto" w:fill="FFFFFF"/>
                    </w:rPr>
                    <w:t>punkts</w:t>
                  </w:r>
                </w:p>
              </w:tc>
            </w:tr>
            <w:tr w:rsidR="004A669D" w:rsidRPr="00FD51F3" w14:paraId="65A3DAC7" w14:textId="77777777" w:rsidTr="7EE60116">
              <w:tc>
                <w:tcPr>
                  <w:tcW w:w="1271" w:type="dxa"/>
                  <w:shd w:val="clear" w:color="auto" w:fill="auto"/>
                </w:tcPr>
                <w:p w14:paraId="23C1F20B"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 xml:space="preserve">1.11.2. </w:t>
                  </w:r>
                </w:p>
              </w:tc>
              <w:tc>
                <w:tcPr>
                  <w:tcW w:w="2070" w:type="dxa"/>
                  <w:shd w:val="clear" w:color="auto" w:fill="auto"/>
                </w:tcPr>
                <w:p w14:paraId="626F5F32"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hAnsi="Times New Roman" w:cs="Times New Roman"/>
                      <w:color w:val="auto"/>
                      <w:sz w:val="20"/>
                      <w:szCs w:val="20"/>
                      <w:shd w:val="clear" w:color="auto" w:fill="FFFFFF"/>
                    </w:rPr>
                    <w:t>24.punkts</w:t>
                  </w:r>
                </w:p>
              </w:tc>
            </w:tr>
            <w:tr w:rsidR="004A669D" w:rsidRPr="00FD51F3" w14:paraId="59675A03" w14:textId="77777777" w:rsidTr="7EE60116">
              <w:tc>
                <w:tcPr>
                  <w:tcW w:w="1271" w:type="dxa"/>
                  <w:shd w:val="clear" w:color="auto" w:fill="auto"/>
                </w:tcPr>
                <w:p w14:paraId="5A0CE76C"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eastAsia="Times New Roman" w:hAnsi="Times New Roman" w:cs="Times New Roman"/>
                      <w:color w:val="auto"/>
                      <w:sz w:val="20"/>
                      <w:szCs w:val="20"/>
                    </w:rPr>
                    <w:t xml:space="preserve">1.11.3. </w:t>
                  </w:r>
                </w:p>
              </w:tc>
              <w:tc>
                <w:tcPr>
                  <w:tcW w:w="2070" w:type="dxa"/>
                  <w:shd w:val="clear" w:color="auto" w:fill="auto"/>
                </w:tcPr>
                <w:p w14:paraId="3C16FFFD" w14:textId="77777777" w:rsidR="005E73D0" w:rsidRPr="00FD51F3" w:rsidRDefault="005E73D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0"/>
                      <w:szCs w:val="20"/>
                    </w:rPr>
                  </w:pPr>
                  <w:r w:rsidRPr="00FD51F3">
                    <w:rPr>
                      <w:rFonts w:ascii="Times New Roman" w:hAnsi="Times New Roman" w:cs="Times New Roman"/>
                      <w:color w:val="auto"/>
                      <w:sz w:val="20"/>
                      <w:szCs w:val="20"/>
                      <w:shd w:val="clear" w:color="auto" w:fill="FFFFFF"/>
                    </w:rPr>
                    <w:t>95.punkts</w:t>
                  </w:r>
                </w:p>
              </w:tc>
            </w:tr>
          </w:tbl>
          <w:p w14:paraId="162C393A" w14:textId="090784E2" w:rsidR="005E73D0" w:rsidRPr="00FD51F3" w:rsidRDefault="005E73D0" w:rsidP="00FD51F3">
            <w:pPr>
              <w:pStyle w:val="naisc"/>
              <w:spacing w:before="0" w:after="0"/>
              <w:jc w:val="left"/>
            </w:pPr>
          </w:p>
        </w:tc>
        <w:tc>
          <w:tcPr>
            <w:tcW w:w="3969" w:type="dxa"/>
            <w:tcBorders>
              <w:left w:val="single" w:sz="6" w:space="0" w:color="000000"/>
              <w:bottom w:val="single" w:sz="4" w:space="0" w:color="auto"/>
              <w:right w:val="single" w:sz="6" w:space="0" w:color="000000"/>
            </w:tcBorders>
          </w:tcPr>
          <w:p w14:paraId="399C3678" w14:textId="30C70A89" w:rsidR="00C43F14" w:rsidRPr="00FD51F3" w:rsidRDefault="00CB4395" w:rsidP="00FD51F3">
            <w:pPr>
              <w:tabs>
                <w:tab w:val="left" w:pos="0"/>
                <w:tab w:val="left" w:pos="851"/>
                <w:tab w:val="left" w:pos="993"/>
              </w:tabs>
              <w:suppressAutoHyphens/>
              <w:contextualSpacing/>
              <w:outlineLvl w:val="0"/>
              <w:rPr>
                <w:rFonts w:eastAsia="Calibri"/>
                <w:lang w:eastAsia="en-US"/>
              </w:rPr>
            </w:pPr>
            <w:r w:rsidRPr="00FD51F3">
              <w:rPr>
                <w:rFonts w:eastAsia="Calibri"/>
                <w:b/>
                <w:bCs/>
                <w:lang w:eastAsia="en-US"/>
              </w:rPr>
              <w:t>Iekšlietu mini</w:t>
            </w:r>
            <w:r w:rsidR="00F351E5" w:rsidRPr="00FD51F3">
              <w:rPr>
                <w:rFonts w:eastAsia="Calibri"/>
                <w:b/>
                <w:bCs/>
                <w:lang w:eastAsia="en-US"/>
              </w:rPr>
              <w:t>st</w:t>
            </w:r>
            <w:r w:rsidRPr="00FD51F3">
              <w:rPr>
                <w:rFonts w:eastAsia="Calibri"/>
                <w:b/>
                <w:bCs/>
                <w:lang w:eastAsia="en-US"/>
              </w:rPr>
              <w:t>rijas 21.01.2021 iebildums Nr.</w:t>
            </w:r>
            <w:r w:rsidR="00F351E5" w:rsidRPr="00FD51F3">
              <w:rPr>
                <w:rFonts w:eastAsia="Calibri"/>
                <w:b/>
                <w:bCs/>
                <w:lang w:eastAsia="en-US"/>
              </w:rPr>
              <w:t>3</w:t>
            </w:r>
            <w:r w:rsidRPr="00FD51F3">
              <w:rPr>
                <w:rFonts w:eastAsia="Calibri"/>
                <w:b/>
                <w:bCs/>
                <w:lang w:eastAsia="en-US"/>
              </w:rPr>
              <w:t>:</w:t>
            </w:r>
            <w:r w:rsidR="002E5409" w:rsidRPr="00FD51F3">
              <w:rPr>
                <w:rFonts w:eastAsia="Calibri"/>
                <w:b/>
                <w:bCs/>
                <w:lang w:eastAsia="en-US"/>
              </w:rPr>
              <w:t xml:space="preserve"> </w:t>
            </w:r>
            <w:r w:rsidR="00491208" w:rsidRPr="00FD51F3">
              <w:rPr>
                <w:rFonts w:eastAsia="Calibri"/>
                <w:b/>
                <w:bCs/>
                <w:lang w:eastAsia="en-US"/>
              </w:rPr>
              <w:t>“</w:t>
            </w:r>
            <w:r w:rsidRPr="00FD51F3">
              <w:rPr>
                <w:rFonts w:eastAsia="Calibri"/>
                <w:lang w:eastAsia="en-US"/>
              </w:rPr>
              <w:t xml:space="preserve">Lūdzam svītrot projekta pielikuma 1.11.apakšpunktā iekļautās atsauces uz Ministru kabineta 2010.gada 21.jūnija noteikumu Nr.564 “Uzturēšanās atļauju noteikumi” 161., 24., un 95.punktu. Vēršam uzmanību, ka norādītajās Ministru kabineta 2010.gada 21.jūnija noteikumu Nr.564 “Uzturēšanās atļauju noteikumi” normās noteiktajās procedūras jau ir paredzēti izsmeļoši nosacījumi atšķirīgas kārtības piemērošanai. </w:t>
            </w:r>
            <w:r w:rsidR="005E73D0" w:rsidRPr="00FD51F3">
              <w:rPr>
                <w:rFonts w:eastAsia="Calibri"/>
                <w:lang w:eastAsia="en-US"/>
              </w:rPr>
              <w:t>(..) L</w:t>
            </w:r>
            <w:r w:rsidRPr="00FD51F3">
              <w:rPr>
                <w:rFonts w:eastAsia="Calibri"/>
                <w:lang w:eastAsia="en-US"/>
              </w:rPr>
              <w:t>ai nodrošinātu tiesisko skaidrību un noteiktu atsevišķu nosacījumu par saīsinātu izskatīšanas un procedūru termiņu attiecībā uz komersantiem, kas atbilst prioritāro investīciju projektu statusam, būtu izvērtējama iespēja izstrādāt grozījumus Uzturēšanās atļauju noteikumos.</w:t>
            </w:r>
            <w:r w:rsidR="005E73D0" w:rsidRPr="00FD51F3">
              <w:rPr>
                <w:rFonts w:eastAsia="Calibri"/>
                <w:lang w:eastAsia="en-US"/>
              </w:rPr>
              <w:t>”</w:t>
            </w:r>
          </w:p>
        </w:tc>
        <w:tc>
          <w:tcPr>
            <w:tcW w:w="3829" w:type="dxa"/>
            <w:gridSpan w:val="2"/>
            <w:tcBorders>
              <w:left w:val="single" w:sz="6" w:space="0" w:color="000000"/>
              <w:bottom w:val="single" w:sz="4" w:space="0" w:color="auto"/>
              <w:right w:val="single" w:sz="6" w:space="0" w:color="000000"/>
            </w:tcBorders>
          </w:tcPr>
          <w:p w14:paraId="38E26F9D" w14:textId="5DB86E41" w:rsidR="00C43F14" w:rsidRPr="00FD51F3" w:rsidRDefault="00142C6F" w:rsidP="00FD51F3">
            <w:pPr>
              <w:pStyle w:val="naisc"/>
              <w:spacing w:before="0" w:after="0"/>
              <w:jc w:val="left"/>
              <w:rPr>
                <w:b/>
                <w:bCs/>
              </w:rPr>
            </w:pPr>
            <w:r w:rsidRPr="00142C6F">
              <w:rPr>
                <w:b/>
                <w:bCs/>
              </w:rPr>
              <w:t xml:space="preserve">Iebildums ir sasaistīts ar Iekšlietu ministrijas iebildumu Nr.1, kas ir ņemts vērā un ir sniegts skaidrojums, ka prioritārā kārtība un termiņš, kādā apkalpojami prioritārie investīciju projekti, ir noteikts “Covid-19 infekcijas seku pārvarēšanas likuma” 59.panta 3.daļā. </w:t>
            </w:r>
            <w:r w:rsidR="001C4D9D" w:rsidRPr="00FD51F3">
              <w:t xml:space="preserve">Minētais pants skaidri nosaka, </w:t>
            </w:r>
            <w:r w:rsidR="008072B7" w:rsidRPr="00FD51F3">
              <w:t xml:space="preserve">ka, ja </w:t>
            </w:r>
            <w:r w:rsidR="002962D7" w:rsidRPr="00FD51F3">
              <w:t>sarakstā ietverto pakalpojumu sniegšanas termiņš atbilstoši attiecīgās jomas darbību regulējošiem normatīvajiem aktiem ir garāks par piecām darbdienām, tad prioritārā kārtībā attiecīgais pakalpojums sniedzams vismaz divas reizes īsākā termiņā un par to netiek piemērota papildu maksa.</w:t>
            </w:r>
            <w:r w:rsidR="001C4D9D" w:rsidRPr="00FD51F3">
              <w:t xml:space="preserve"> </w:t>
            </w:r>
            <w:r w:rsidR="000F5B3F" w:rsidRPr="00FD51F3">
              <w:t xml:space="preserve">Ņemot vērā </w:t>
            </w:r>
            <w:r w:rsidR="002962D7" w:rsidRPr="00FD51F3">
              <w:t xml:space="preserve">minēto, </w:t>
            </w:r>
            <w:r w:rsidR="000C36CD" w:rsidRPr="00FD51F3">
              <w:t>prioritāte ir augstāka</w:t>
            </w:r>
            <w:r w:rsidR="000253E4" w:rsidRPr="00FD51F3">
              <w:t xml:space="preserve"> juridiskā spēka</w:t>
            </w:r>
            <w:r w:rsidR="000C36CD" w:rsidRPr="00FD51F3">
              <w:t xml:space="preserve"> tiesību aktam</w:t>
            </w:r>
            <w:r w:rsidR="000253E4" w:rsidRPr="00FD51F3">
              <w:t>, kas šajā gadījumā ir “Covid-19 infekcijas seku pārvarēšanas likums”</w:t>
            </w:r>
            <w:r w:rsidR="00F158A4">
              <w:t>.</w:t>
            </w:r>
          </w:p>
        </w:tc>
        <w:tc>
          <w:tcPr>
            <w:tcW w:w="2985" w:type="dxa"/>
            <w:tcBorders>
              <w:top w:val="single" w:sz="4" w:space="0" w:color="auto"/>
              <w:left w:val="single" w:sz="4" w:space="0" w:color="auto"/>
              <w:bottom w:val="single" w:sz="4" w:space="0" w:color="auto"/>
            </w:tcBorders>
          </w:tcPr>
          <w:p w14:paraId="61E0A197" w14:textId="4C332521" w:rsidR="00C43F14" w:rsidRPr="00FD51F3" w:rsidRDefault="008C071D" w:rsidP="00FD51F3">
            <w:r w:rsidRPr="00FD51F3">
              <w:t>N/A</w:t>
            </w:r>
          </w:p>
        </w:tc>
      </w:tr>
      <w:tr w:rsidR="009E67F2" w:rsidRPr="00FD51F3" w14:paraId="1C56F053" w14:textId="77777777" w:rsidTr="00C433A0">
        <w:trPr>
          <w:trHeight w:val="1652"/>
        </w:trPr>
        <w:tc>
          <w:tcPr>
            <w:tcW w:w="708" w:type="dxa"/>
            <w:tcBorders>
              <w:left w:val="single" w:sz="6" w:space="0" w:color="000000"/>
              <w:bottom w:val="single" w:sz="4" w:space="0" w:color="auto"/>
              <w:right w:val="single" w:sz="6" w:space="0" w:color="000000"/>
            </w:tcBorders>
          </w:tcPr>
          <w:p w14:paraId="5A38353C" w14:textId="3F2ECAAB" w:rsidR="005E73D0" w:rsidRPr="00FD51F3" w:rsidRDefault="00321B9D" w:rsidP="00FD51F3">
            <w:pPr>
              <w:pStyle w:val="naisc"/>
              <w:spacing w:before="0" w:after="0"/>
              <w:jc w:val="left"/>
            </w:pPr>
            <w:r w:rsidRPr="00FD51F3">
              <w:t>10.</w:t>
            </w:r>
          </w:p>
        </w:tc>
        <w:tc>
          <w:tcPr>
            <w:tcW w:w="3511" w:type="dxa"/>
            <w:gridSpan w:val="2"/>
            <w:tcBorders>
              <w:left w:val="single" w:sz="6" w:space="0" w:color="000000"/>
              <w:bottom w:val="single" w:sz="4" w:space="0" w:color="auto"/>
              <w:right w:val="single" w:sz="6" w:space="0" w:color="000000"/>
            </w:tcBorders>
          </w:tcPr>
          <w:p w14:paraId="395F14E4" w14:textId="707556C2" w:rsidR="005E73D0" w:rsidRPr="00FD51F3" w:rsidRDefault="005E73D0" w:rsidP="00FD51F3">
            <w:pPr>
              <w:pStyle w:val="naisc"/>
              <w:spacing w:before="0" w:after="0"/>
              <w:jc w:val="left"/>
            </w:pPr>
            <w:r w:rsidRPr="00FD51F3">
              <w:t>Anotācijas I. sadaļas 2.punkts</w:t>
            </w:r>
          </w:p>
        </w:tc>
        <w:tc>
          <w:tcPr>
            <w:tcW w:w="3969" w:type="dxa"/>
            <w:tcBorders>
              <w:left w:val="single" w:sz="6" w:space="0" w:color="000000"/>
              <w:bottom w:val="single" w:sz="4" w:space="0" w:color="auto"/>
              <w:right w:val="single" w:sz="6" w:space="0" w:color="000000"/>
            </w:tcBorders>
          </w:tcPr>
          <w:p w14:paraId="0FB13D5B" w14:textId="7151AC17" w:rsidR="005E73D0" w:rsidRPr="00FD51F3" w:rsidRDefault="005E73D0" w:rsidP="00FD51F3">
            <w:pPr>
              <w:tabs>
                <w:tab w:val="left" w:pos="0"/>
                <w:tab w:val="left" w:pos="851"/>
                <w:tab w:val="left" w:pos="993"/>
              </w:tabs>
              <w:suppressAutoHyphens/>
              <w:contextualSpacing/>
              <w:outlineLvl w:val="0"/>
              <w:rPr>
                <w:rFonts w:eastAsia="Calibri"/>
                <w:b/>
                <w:bCs/>
                <w:lang w:eastAsia="en-US"/>
              </w:rPr>
            </w:pPr>
            <w:r w:rsidRPr="00FD51F3">
              <w:rPr>
                <w:rFonts w:eastAsia="Calibri"/>
                <w:b/>
                <w:bCs/>
                <w:lang w:eastAsia="en-US"/>
              </w:rPr>
              <w:t xml:space="preserve">Iekšlietu ministrijas 21.01.2021 priekšlikums Nr.1: </w:t>
            </w:r>
            <w:r w:rsidRPr="00FD51F3">
              <w:rPr>
                <w:rFonts w:eastAsia="Calibri"/>
                <w:lang w:eastAsia="en-US"/>
              </w:rPr>
              <w:t>“Informāciju par prioritārajiem investīciju projektiem norādīt Latvijas Investīciju un attīstības aģentūras interneta vietnē, jo pretējā gadījumā informācijas iegūšana par attiecīgajiem uzņēmumiem var būt laikietilpīga.”</w:t>
            </w:r>
          </w:p>
        </w:tc>
        <w:tc>
          <w:tcPr>
            <w:tcW w:w="3829" w:type="dxa"/>
            <w:gridSpan w:val="2"/>
            <w:tcBorders>
              <w:left w:val="single" w:sz="6" w:space="0" w:color="000000"/>
              <w:bottom w:val="single" w:sz="4" w:space="0" w:color="auto"/>
              <w:right w:val="single" w:sz="6" w:space="0" w:color="000000"/>
            </w:tcBorders>
          </w:tcPr>
          <w:p w14:paraId="1D8B8D53" w14:textId="0BC22CE6" w:rsidR="005E73D0" w:rsidRPr="00FD51F3" w:rsidRDefault="008C071D" w:rsidP="00FD51F3">
            <w:pPr>
              <w:pStyle w:val="naisc"/>
              <w:spacing w:before="0" w:after="0"/>
              <w:jc w:val="left"/>
            </w:pPr>
            <w:r w:rsidRPr="00FD51F3">
              <w:rPr>
                <w:b/>
                <w:bCs/>
              </w:rPr>
              <w:t xml:space="preserve">Priekšlikums ņemts vērā </w:t>
            </w:r>
            <w:r w:rsidR="00894544" w:rsidRPr="00FD51F3">
              <w:t>un anotācijas</w:t>
            </w:r>
            <w:r w:rsidR="00E8193A" w:rsidRPr="00FD51F3">
              <w:t xml:space="preserve"> I. sadaļas 2.punkts ir papildināts. </w:t>
            </w:r>
          </w:p>
        </w:tc>
        <w:tc>
          <w:tcPr>
            <w:tcW w:w="2985" w:type="dxa"/>
            <w:tcBorders>
              <w:top w:val="single" w:sz="4" w:space="0" w:color="auto"/>
              <w:left w:val="single" w:sz="4" w:space="0" w:color="auto"/>
              <w:bottom w:val="single" w:sz="4" w:space="0" w:color="auto"/>
            </w:tcBorders>
          </w:tcPr>
          <w:p w14:paraId="0DB964A6" w14:textId="3127AEAC" w:rsidR="005E73D0" w:rsidRPr="00FD51F3" w:rsidRDefault="00E8193A" w:rsidP="00FD51F3">
            <w:r w:rsidRPr="00FD51F3">
              <w:t>Anotācijas I. sadaļas 2.punktā iekļauts: “</w:t>
            </w:r>
            <w:r w:rsidR="001045A9" w:rsidRPr="00FD51F3">
              <w:t xml:space="preserve">Informācija par </w:t>
            </w:r>
            <w:r w:rsidR="00D94DAA" w:rsidRPr="00FD51F3">
              <w:t xml:space="preserve">apstiprinātajiem </w:t>
            </w:r>
            <w:r w:rsidR="001045A9" w:rsidRPr="00FD51F3">
              <w:t>prioritār</w:t>
            </w:r>
            <w:r w:rsidR="00D94DAA" w:rsidRPr="00FD51F3">
              <w:t xml:space="preserve">o investīciju statusa projektiem tiek publicēta </w:t>
            </w:r>
            <w:r w:rsidR="004F60D3" w:rsidRPr="00FD51F3">
              <w:t xml:space="preserve">Latvijas Investīciju un attīstības aģentūras interneta vietnē </w:t>
            </w:r>
            <w:hyperlink r:id="rId11" w:history="1">
              <w:r w:rsidR="00D02895" w:rsidRPr="00FD51F3">
                <w:rPr>
                  <w:rStyle w:val="Hyperlink"/>
                </w:rPr>
                <w:t>www.liaa.gov.lv</w:t>
              </w:r>
            </w:hyperlink>
            <w:r w:rsidR="00016A39" w:rsidRPr="00FD51F3">
              <w:t>.</w:t>
            </w:r>
            <w:r w:rsidR="00D02895" w:rsidRPr="00FD51F3">
              <w:t xml:space="preserve">” </w:t>
            </w:r>
            <w:r w:rsidR="004F60D3" w:rsidRPr="00FD51F3">
              <w:t xml:space="preserve"> </w:t>
            </w:r>
          </w:p>
        </w:tc>
      </w:tr>
      <w:tr w:rsidR="009E67F2" w:rsidRPr="00FD51F3" w14:paraId="5ACB183B" w14:textId="77777777" w:rsidTr="00C433A0">
        <w:trPr>
          <w:trHeight w:val="1652"/>
        </w:trPr>
        <w:tc>
          <w:tcPr>
            <w:tcW w:w="708" w:type="dxa"/>
            <w:tcBorders>
              <w:left w:val="single" w:sz="6" w:space="0" w:color="000000"/>
              <w:bottom w:val="single" w:sz="4" w:space="0" w:color="auto"/>
              <w:right w:val="single" w:sz="6" w:space="0" w:color="000000"/>
            </w:tcBorders>
          </w:tcPr>
          <w:p w14:paraId="64AC0D45" w14:textId="11FCA03D" w:rsidR="00F351E5" w:rsidRPr="00FD51F3" w:rsidRDefault="00321B9D" w:rsidP="00FD51F3">
            <w:pPr>
              <w:pStyle w:val="naisc"/>
              <w:spacing w:before="0" w:after="0"/>
              <w:jc w:val="left"/>
            </w:pPr>
            <w:r w:rsidRPr="00FD51F3">
              <w:lastRenderedPageBreak/>
              <w:t>11.</w:t>
            </w:r>
          </w:p>
        </w:tc>
        <w:tc>
          <w:tcPr>
            <w:tcW w:w="3511" w:type="dxa"/>
            <w:gridSpan w:val="2"/>
            <w:tcBorders>
              <w:left w:val="single" w:sz="6" w:space="0" w:color="000000"/>
              <w:bottom w:val="single" w:sz="4" w:space="0" w:color="auto"/>
              <w:right w:val="single" w:sz="6" w:space="0" w:color="000000"/>
            </w:tcBorders>
          </w:tcPr>
          <w:p w14:paraId="37860149" w14:textId="7DC34AF1" w:rsidR="00F351E5" w:rsidRPr="00FD51F3" w:rsidRDefault="005E73D0" w:rsidP="00FD51F3">
            <w:pPr>
              <w:pStyle w:val="naisc"/>
              <w:spacing w:before="0" w:after="0"/>
              <w:jc w:val="left"/>
            </w:pPr>
            <w:r w:rsidRPr="00FD51F3">
              <w:t>“6. Lai pieteiktu investīciju projektu, kas atbilst šo noteikumu  4.punktā minētajiem kritērijiem, komersants elektroniski iesniedz Latvijas Investīciju un attīstības aģentūrā attiecīgu iesniegumu, kas parakstīts ar drošu elektronisko parakstu un apliecināts ar laika zīmogu, vai iesniedz bez droša elektroniskā paraksta valsts pārvaldes pakalpojumu portālā www.latvija.lv.”</w:t>
            </w:r>
          </w:p>
        </w:tc>
        <w:tc>
          <w:tcPr>
            <w:tcW w:w="3969" w:type="dxa"/>
            <w:tcBorders>
              <w:left w:val="single" w:sz="6" w:space="0" w:color="000000"/>
              <w:bottom w:val="single" w:sz="4" w:space="0" w:color="auto"/>
              <w:right w:val="single" w:sz="6" w:space="0" w:color="000000"/>
            </w:tcBorders>
          </w:tcPr>
          <w:p w14:paraId="2AEC129B" w14:textId="1C8BCFF1" w:rsidR="00F351E5" w:rsidRPr="00FD51F3" w:rsidRDefault="00F351E5" w:rsidP="00FD51F3">
            <w:pPr>
              <w:tabs>
                <w:tab w:val="left" w:pos="0"/>
                <w:tab w:val="left" w:pos="851"/>
                <w:tab w:val="left" w:pos="993"/>
              </w:tabs>
              <w:suppressAutoHyphens/>
              <w:contextualSpacing/>
              <w:outlineLvl w:val="0"/>
              <w:rPr>
                <w:rFonts w:eastAsia="Calibri"/>
                <w:b/>
                <w:bCs/>
                <w:lang w:eastAsia="en-US"/>
              </w:rPr>
            </w:pPr>
            <w:r w:rsidRPr="00FD51F3">
              <w:rPr>
                <w:rFonts w:eastAsia="Calibri"/>
                <w:b/>
                <w:bCs/>
                <w:lang w:eastAsia="en-US"/>
              </w:rPr>
              <w:t>Iekšlietu ministrijas 21.01.2021 priekšlikums</w:t>
            </w:r>
            <w:r w:rsidR="005E73D0" w:rsidRPr="00FD51F3">
              <w:rPr>
                <w:rFonts w:eastAsia="Calibri"/>
                <w:b/>
                <w:bCs/>
                <w:lang w:eastAsia="en-US"/>
              </w:rPr>
              <w:t xml:space="preserve"> Nr.2</w:t>
            </w:r>
            <w:r w:rsidRPr="00FD51F3">
              <w:rPr>
                <w:rFonts w:eastAsia="Calibri"/>
                <w:b/>
                <w:bCs/>
                <w:lang w:eastAsia="en-US"/>
              </w:rPr>
              <w:t xml:space="preserve">: </w:t>
            </w:r>
            <w:r w:rsidR="005E73D0" w:rsidRPr="00FD51F3">
              <w:rPr>
                <w:rFonts w:eastAsia="Calibri"/>
                <w:b/>
                <w:bCs/>
                <w:lang w:eastAsia="en-US"/>
              </w:rPr>
              <w:t>“</w:t>
            </w:r>
            <w:r w:rsidRPr="00FD51F3">
              <w:rPr>
                <w:rFonts w:eastAsia="Calibri"/>
                <w:lang w:eastAsia="en-US"/>
              </w:rPr>
              <w:t xml:space="preserve">Projekta 6.punktā paredzēts, ka lai pieteiktu investīciju projektu, </w:t>
            </w:r>
            <w:r w:rsidR="005E73D0" w:rsidRPr="00FD51F3">
              <w:rPr>
                <w:rFonts w:eastAsia="Calibri"/>
                <w:lang w:eastAsia="en-US"/>
              </w:rPr>
              <w:t xml:space="preserve">(..) </w:t>
            </w:r>
            <w:r w:rsidRPr="00FD51F3">
              <w:rPr>
                <w:rFonts w:eastAsia="Calibri"/>
                <w:lang w:eastAsia="en-US"/>
              </w:rPr>
              <w:t>komersants elektroniski iesniedz Latvijas Investīciju un attīstības aģentūrā attiecīgu iesniegumu, kas parakstīts ar drošu elektronisko parakstu un apliecināts ar laika zīmogu, vai iesniedz bez droša elektroniskā paraksta valsts pārvaldes pakalpojumu portālā www.latvija.lv. Norādām, ka valsts pārvaldes pakalpojumu portālā www.latvija.lv paredz arī iespēju iesniegt iesniegumus ar drošu elektronisko parakstu un apliecināt tos ar laika zīmogu. Tādējādi būtu izvērtējama projekta 6.punktā ietverto vārdu “bez droša elektroniskā paraksta” svītrošana.</w:t>
            </w:r>
            <w:r w:rsidR="005E73D0" w:rsidRPr="00FD51F3">
              <w:rPr>
                <w:rFonts w:eastAsia="Calibri"/>
                <w:lang w:eastAsia="en-US"/>
              </w:rPr>
              <w:t>”</w:t>
            </w:r>
          </w:p>
        </w:tc>
        <w:tc>
          <w:tcPr>
            <w:tcW w:w="3829" w:type="dxa"/>
            <w:gridSpan w:val="2"/>
            <w:tcBorders>
              <w:left w:val="single" w:sz="6" w:space="0" w:color="000000"/>
              <w:bottom w:val="single" w:sz="4" w:space="0" w:color="auto"/>
              <w:right w:val="single" w:sz="6" w:space="0" w:color="000000"/>
            </w:tcBorders>
          </w:tcPr>
          <w:p w14:paraId="3D9289EB" w14:textId="64C15066" w:rsidR="00F351E5" w:rsidRPr="00FD51F3" w:rsidRDefault="00D22CB9" w:rsidP="00FD51F3">
            <w:pPr>
              <w:pStyle w:val="naisc"/>
              <w:spacing w:before="0" w:after="0"/>
              <w:jc w:val="left"/>
              <w:rPr>
                <w:b/>
                <w:bCs/>
              </w:rPr>
            </w:pPr>
            <w:r w:rsidRPr="00FD51F3">
              <w:rPr>
                <w:b/>
                <w:bCs/>
              </w:rPr>
              <w:t xml:space="preserve">Priekšlikums ņemts vērā </w:t>
            </w:r>
            <w:r w:rsidRPr="00FD51F3">
              <w:t xml:space="preserve">un noteikumu 6.punkts precizēts. </w:t>
            </w:r>
          </w:p>
        </w:tc>
        <w:tc>
          <w:tcPr>
            <w:tcW w:w="2985" w:type="dxa"/>
            <w:tcBorders>
              <w:top w:val="single" w:sz="4" w:space="0" w:color="auto"/>
              <w:left w:val="single" w:sz="4" w:space="0" w:color="auto"/>
              <w:bottom w:val="single" w:sz="4" w:space="0" w:color="auto"/>
            </w:tcBorders>
          </w:tcPr>
          <w:p w14:paraId="39C1CC65" w14:textId="13543133" w:rsidR="00F351E5" w:rsidRPr="00FD51F3" w:rsidRDefault="00D22CB9" w:rsidP="00FD51F3">
            <w:r w:rsidRPr="00FD51F3">
              <w:t>“6. Lai pieteiktu investīciju projektu, kas atbilst šo noteikumu  4.punktā minētajiem kritērijiem, komersants elektroniski iesniedz Latvijas Investīciju un attīstības aģentūrā attiecīgu iesniegumu, kas parakstīts ar drošu elektronisko parakstu un apliecināts ar laika zīmogu, vai iesniedz to valsts pārvaldes pakalpojumu portālā www.latvija.lv.”</w:t>
            </w:r>
          </w:p>
        </w:tc>
      </w:tr>
      <w:tr w:rsidR="009E67F2" w:rsidRPr="00FD51F3" w14:paraId="5C05378D" w14:textId="77777777" w:rsidTr="00C433A0">
        <w:trPr>
          <w:trHeight w:val="1652"/>
        </w:trPr>
        <w:tc>
          <w:tcPr>
            <w:tcW w:w="708" w:type="dxa"/>
            <w:tcBorders>
              <w:left w:val="single" w:sz="6" w:space="0" w:color="000000"/>
              <w:bottom w:val="single" w:sz="4" w:space="0" w:color="auto"/>
              <w:right w:val="single" w:sz="6" w:space="0" w:color="000000"/>
            </w:tcBorders>
          </w:tcPr>
          <w:p w14:paraId="3FEBED0F" w14:textId="32CAC90E" w:rsidR="00F351E5" w:rsidRPr="00FD51F3" w:rsidRDefault="00617C08" w:rsidP="00FD51F3">
            <w:pPr>
              <w:pStyle w:val="naisc"/>
              <w:spacing w:before="0" w:after="0"/>
              <w:jc w:val="left"/>
            </w:pPr>
            <w:r w:rsidRPr="00FD51F3">
              <w:t>12.</w:t>
            </w:r>
          </w:p>
        </w:tc>
        <w:tc>
          <w:tcPr>
            <w:tcW w:w="3511" w:type="dxa"/>
            <w:gridSpan w:val="2"/>
            <w:tcBorders>
              <w:left w:val="single" w:sz="6" w:space="0" w:color="000000"/>
              <w:bottom w:val="single" w:sz="4" w:space="0" w:color="auto"/>
              <w:right w:val="single" w:sz="6" w:space="0" w:color="000000"/>
            </w:tcBorders>
          </w:tcPr>
          <w:p w14:paraId="58F2349C" w14:textId="04C2CBAA" w:rsidR="00F351E5" w:rsidRPr="00FD51F3" w:rsidRDefault="005B7A75" w:rsidP="00FD51F3">
            <w:pPr>
              <w:pStyle w:val="naisc"/>
              <w:spacing w:before="0" w:after="0"/>
              <w:jc w:val="left"/>
            </w:pPr>
            <w:r>
              <w:t>“</w:t>
            </w:r>
            <w:r w:rsidRPr="005B7A75">
              <w:t>6. Lai pieteiktu investīciju projektu, kas atbilst šo noteikumu  4.punktā minētajiem kritērijiem, komersants elektroniski iesniedz Latvijas Investīciju un attīstības aģentūrā attiecīgu iesniegumu, kas parakstīts ar drošu elektronisko parakstu un apliecināts ar laika zīmogu, vai iesniedz bez droša elektroniskā paraksta valsts pārvaldes pakalpojumu portālā www.latvija.lv.</w:t>
            </w:r>
            <w:r>
              <w:t>”</w:t>
            </w:r>
            <w:bookmarkStart w:id="0" w:name="_GoBack"/>
            <w:bookmarkEnd w:id="0"/>
          </w:p>
        </w:tc>
        <w:tc>
          <w:tcPr>
            <w:tcW w:w="3969" w:type="dxa"/>
            <w:tcBorders>
              <w:left w:val="single" w:sz="6" w:space="0" w:color="000000"/>
              <w:bottom w:val="single" w:sz="4" w:space="0" w:color="auto"/>
              <w:right w:val="single" w:sz="6" w:space="0" w:color="000000"/>
            </w:tcBorders>
          </w:tcPr>
          <w:p w14:paraId="5ED92E8B" w14:textId="5269D629" w:rsidR="00F351E5" w:rsidRPr="00FD51F3" w:rsidRDefault="00617C08" w:rsidP="00FD51F3">
            <w:pPr>
              <w:pStyle w:val="NormalWeb"/>
              <w:spacing w:before="0" w:after="0"/>
              <w:ind w:right="13"/>
            </w:pPr>
            <w:r w:rsidRPr="00FD51F3">
              <w:rPr>
                <w:rFonts w:eastAsia="Calibri"/>
                <w:b/>
                <w:bCs/>
                <w:lang w:eastAsia="en-US"/>
              </w:rPr>
              <w:t xml:space="preserve">Tieslietu ministrijas </w:t>
            </w:r>
            <w:r w:rsidR="001565DB" w:rsidRPr="00FD51F3">
              <w:rPr>
                <w:rFonts w:eastAsia="Calibri"/>
                <w:b/>
                <w:bCs/>
                <w:lang w:eastAsia="en-US"/>
              </w:rPr>
              <w:t xml:space="preserve">22.01.2021 </w:t>
            </w:r>
            <w:r w:rsidR="00A91055" w:rsidRPr="00FD51F3">
              <w:rPr>
                <w:rFonts w:eastAsia="Calibri"/>
                <w:b/>
                <w:bCs/>
                <w:lang w:eastAsia="en-US"/>
              </w:rPr>
              <w:t>iebildums Nr.1:</w:t>
            </w:r>
            <w:r w:rsidR="00A91055" w:rsidRPr="00FD51F3">
              <w:t xml:space="preserve"> “Administratīvā procesa likuma 56. panta pirmā daļa noteic, ka iesniegumu var iesniegt mutvārdos vai rakstveidā. Savukārt Administratīvā procesa likuma 3. panta pirmā daļa noteic, ka šo likumu piemēro administratīvajā procesā iestādē, ciktāl citu likumu speciālajās tiesību normās nav noteikta cita kārtība. Līdz ar to speciālajā likumā var paredzēt citādāku regulējumu nekā </w:t>
            </w:r>
            <w:r w:rsidR="00A91055" w:rsidRPr="00FD51F3">
              <w:lastRenderedPageBreak/>
              <w:t xml:space="preserve">Administratīvā procesa likumā, bet projekta sākotnējās </w:t>
            </w:r>
            <w:r w:rsidR="00A91055" w:rsidRPr="00FD51F3">
              <w:rPr>
                <w:i/>
                <w:iCs/>
              </w:rPr>
              <w:t>(ex-ante)</w:t>
            </w:r>
            <w:r w:rsidR="00A91055" w:rsidRPr="00FD51F3">
              <w:t xml:space="preserve"> ietekmes novērtējuma ziņojuma (turpmāk – anotācija) I sadaļas 2. punktā nav informācijas par to, no kuras likuma normas izriet Ministru kabineta tiesības noteikt, ka persona var iesniegt iesniegumu tikai elektroniski. Ievērojot minēto, lūdzam precizēt projektu atbilstoši Administratīvā procesa likumam vai papildināt anotāciju.”</w:t>
            </w:r>
          </w:p>
        </w:tc>
        <w:tc>
          <w:tcPr>
            <w:tcW w:w="3829" w:type="dxa"/>
            <w:gridSpan w:val="2"/>
            <w:tcBorders>
              <w:left w:val="single" w:sz="6" w:space="0" w:color="000000"/>
              <w:bottom w:val="single" w:sz="4" w:space="0" w:color="auto"/>
              <w:right w:val="single" w:sz="6" w:space="0" w:color="000000"/>
            </w:tcBorders>
          </w:tcPr>
          <w:p w14:paraId="4CDB7D96" w14:textId="2B76E5AF" w:rsidR="00F351E5" w:rsidRPr="00FD51F3" w:rsidRDefault="002F1B6F" w:rsidP="00FD51F3">
            <w:pPr>
              <w:pStyle w:val="naisc"/>
              <w:spacing w:before="0" w:after="0"/>
              <w:jc w:val="left"/>
            </w:pPr>
            <w:r w:rsidRPr="00FD51F3">
              <w:rPr>
                <w:b/>
                <w:bCs/>
              </w:rPr>
              <w:lastRenderedPageBreak/>
              <w:t>Iebildums ir ņemts vērā</w:t>
            </w:r>
            <w:r w:rsidR="005B7A75">
              <w:rPr>
                <w:b/>
                <w:bCs/>
              </w:rPr>
              <w:t xml:space="preserve"> </w:t>
            </w:r>
            <w:r w:rsidR="005B7A75">
              <w:t>un noteikumu 7. punkts ir precizēts</w:t>
            </w:r>
            <w:r w:rsidR="00A92507" w:rsidRPr="00FD51F3">
              <w:t>.</w:t>
            </w:r>
          </w:p>
        </w:tc>
        <w:tc>
          <w:tcPr>
            <w:tcW w:w="2985" w:type="dxa"/>
            <w:tcBorders>
              <w:top w:val="single" w:sz="4" w:space="0" w:color="auto"/>
              <w:left w:val="single" w:sz="4" w:space="0" w:color="auto"/>
              <w:bottom w:val="single" w:sz="4" w:space="0" w:color="auto"/>
            </w:tcBorders>
          </w:tcPr>
          <w:p w14:paraId="1B6DBD55" w14:textId="1F3B414E" w:rsidR="00F351E5" w:rsidRPr="00FD51F3" w:rsidRDefault="005B7A75" w:rsidP="00FD51F3">
            <w:r>
              <w:t>“</w:t>
            </w:r>
            <w:r w:rsidRPr="005B7A75">
              <w:t>7. Lai pieteiktu investīciju projektu, kas atbilst šo noteikumu 4. punktā minētajiem kritērijiem, komersants iesniedz Latvijas Investīciju un attīstības aģentūrā attiecīgu iesniegumu.</w:t>
            </w:r>
            <w:r>
              <w:t>”</w:t>
            </w:r>
          </w:p>
        </w:tc>
      </w:tr>
      <w:tr w:rsidR="009E67F2" w:rsidRPr="00FD51F3" w14:paraId="4FBEDBDA" w14:textId="77777777" w:rsidTr="00C433A0">
        <w:trPr>
          <w:trHeight w:val="1652"/>
        </w:trPr>
        <w:tc>
          <w:tcPr>
            <w:tcW w:w="708" w:type="dxa"/>
            <w:tcBorders>
              <w:left w:val="single" w:sz="6" w:space="0" w:color="000000"/>
              <w:bottom w:val="single" w:sz="4" w:space="0" w:color="auto"/>
              <w:right w:val="single" w:sz="6" w:space="0" w:color="000000"/>
            </w:tcBorders>
          </w:tcPr>
          <w:p w14:paraId="5B162538" w14:textId="490FC6DC" w:rsidR="006B6495" w:rsidRPr="00FD51F3" w:rsidRDefault="003E34BC" w:rsidP="00FD51F3">
            <w:pPr>
              <w:pStyle w:val="naisc"/>
              <w:spacing w:before="0" w:after="0"/>
              <w:jc w:val="left"/>
            </w:pPr>
            <w:r w:rsidRPr="00FD51F3">
              <w:lastRenderedPageBreak/>
              <w:t>13.</w:t>
            </w:r>
          </w:p>
        </w:tc>
        <w:tc>
          <w:tcPr>
            <w:tcW w:w="3511" w:type="dxa"/>
            <w:gridSpan w:val="2"/>
            <w:tcBorders>
              <w:left w:val="single" w:sz="6" w:space="0" w:color="000000"/>
              <w:bottom w:val="single" w:sz="4" w:space="0" w:color="auto"/>
              <w:right w:val="single" w:sz="6" w:space="0" w:color="000000"/>
            </w:tcBorders>
          </w:tcPr>
          <w:p w14:paraId="7B9EB506" w14:textId="20DEC906" w:rsidR="006B6495" w:rsidRPr="00FD51F3" w:rsidRDefault="002F1B6F" w:rsidP="00FD51F3">
            <w:pPr>
              <w:pStyle w:val="naisc"/>
              <w:spacing w:before="0" w:after="0"/>
              <w:jc w:val="left"/>
            </w:pPr>
            <w:r w:rsidRPr="00FD51F3">
              <w:t>“7.1. saimnieciskās darbības veicēja nosaukums, nodokļu maksātāja reģistrācijas numurs, e-pasta adrese un NACE 2. red. klasifikācijas kods;”</w:t>
            </w:r>
          </w:p>
        </w:tc>
        <w:tc>
          <w:tcPr>
            <w:tcW w:w="3969" w:type="dxa"/>
            <w:tcBorders>
              <w:left w:val="single" w:sz="6" w:space="0" w:color="000000"/>
              <w:bottom w:val="single" w:sz="4" w:space="0" w:color="auto"/>
              <w:right w:val="single" w:sz="6" w:space="0" w:color="000000"/>
            </w:tcBorders>
          </w:tcPr>
          <w:p w14:paraId="1293A5A9" w14:textId="4C913116" w:rsidR="006B6495" w:rsidRPr="00FD51F3" w:rsidRDefault="006E688E" w:rsidP="00FD51F3">
            <w:pPr>
              <w:pStyle w:val="NormalWeb"/>
              <w:spacing w:before="0" w:beforeAutospacing="0" w:after="0" w:afterAutospacing="0"/>
              <w:ind w:right="11"/>
              <w:rPr>
                <w:rFonts w:eastAsia="Calibri"/>
                <w:b/>
                <w:bCs/>
                <w:lang w:eastAsia="en-US"/>
              </w:rPr>
            </w:pPr>
            <w:r w:rsidRPr="00FD51F3">
              <w:rPr>
                <w:rFonts w:eastAsia="Calibri"/>
                <w:b/>
                <w:bCs/>
                <w:lang w:eastAsia="en-US"/>
              </w:rPr>
              <w:t xml:space="preserve">Tieslietu ministrijas 22.01.2021 iebildums Nr.2: </w:t>
            </w:r>
            <w:r w:rsidRPr="00FD51F3">
              <w:rPr>
                <w:rFonts w:eastAsia="Calibri"/>
                <w:lang w:eastAsia="en-US"/>
              </w:rPr>
              <w:t>“Atbilstoši Ministru kabineta 2009. gada 3. februāra noteikumu Nr. 108 "Normatīvo aktu projektu sagatavošanas noteikumi" (..) 124. un 44. punktam Ministru kabineta noteikumu projektā neizmanto abreviatūras, kas nav vispārzināmas, tostarp abreviatūru "NACE". Ievērojot minēto, lūdzam precizēt projekta 7.1. apakšpunktu.</w:t>
            </w:r>
          </w:p>
        </w:tc>
        <w:tc>
          <w:tcPr>
            <w:tcW w:w="3829" w:type="dxa"/>
            <w:gridSpan w:val="2"/>
            <w:tcBorders>
              <w:left w:val="single" w:sz="6" w:space="0" w:color="000000"/>
              <w:bottom w:val="single" w:sz="4" w:space="0" w:color="auto"/>
              <w:right w:val="single" w:sz="6" w:space="0" w:color="000000"/>
            </w:tcBorders>
          </w:tcPr>
          <w:p w14:paraId="45470F3F" w14:textId="591CD672" w:rsidR="006B6495" w:rsidRPr="00FD51F3" w:rsidRDefault="006A66FA" w:rsidP="00FD51F3">
            <w:pPr>
              <w:pStyle w:val="naisc"/>
              <w:spacing w:before="0" w:after="0"/>
              <w:jc w:val="left"/>
            </w:pPr>
            <w:r w:rsidRPr="00FD51F3">
              <w:rPr>
                <w:b/>
                <w:bCs/>
              </w:rPr>
              <w:t>Iebildums ir ņemts vērā</w:t>
            </w:r>
            <w:r w:rsidR="001C6D91" w:rsidRPr="00FD51F3">
              <w:rPr>
                <w:b/>
                <w:bCs/>
              </w:rPr>
              <w:t xml:space="preserve"> </w:t>
            </w:r>
            <w:r w:rsidR="001C6D91" w:rsidRPr="00FD51F3">
              <w:t xml:space="preserve">un noteikumi 7.1. apakšpunkts ir precizēts. </w:t>
            </w:r>
          </w:p>
        </w:tc>
        <w:tc>
          <w:tcPr>
            <w:tcW w:w="2985" w:type="dxa"/>
            <w:tcBorders>
              <w:top w:val="single" w:sz="4" w:space="0" w:color="auto"/>
              <w:left w:val="single" w:sz="4" w:space="0" w:color="auto"/>
              <w:bottom w:val="single" w:sz="4" w:space="0" w:color="auto"/>
            </w:tcBorders>
          </w:tcPr>
          <w:p w14:paraId="5220CF55" w14:textId="11A4402D" w:rsidR="006B6495" w:rsidRPr="00FD51F3" w:rsidRDefault="006A66FA" w:rsidP="00FD51F3">
            <w:r w:rsidRPr="00FD51F3">
              <w:t>“7.1. saimnieciskās darbības veicēja nosaukums, nodokļu maksātāja reģistrācijas numurs, e-pasta adrese un Vispārējās ekonomiskās darbības klasifikācijas Eiropas Kopienā 2.redakcijas (turpmāk - NACE 2. red.) klasifikācijas kods;”</w:t>
            </w:r>
          </w:p>
        </w:tc>
      </w:tr>
      <w:tr w:rsidR="009E67F2" w:rsidRPr="00FD51F3" w14:paraId="3365FD99" w14:textId="77777777" w:rsidTr="00C433A0">
        <w:trPr>
          <w:trHeight w:val="1652"/>
        </w:trPr>
        <w:tc>
          <w:tcPr>
            <w:tcW w:w="708" w:type="dxa"/>
            <w:tcBorders>
              <w:left w:val="single" w:sz="6" w:space="0" w:color="000000"/>
              <w:bottom w:val="single" w:sz="4" w:space="0" w:color="auto"/>
              <w:right w:val="single" w:sz="6" w:space="0" w:color="000000"/>
            </w:tcBorders>
          </w:tcPr>
          <w:p w14:paraId="7B7A968E" w14:textId="456C6D81" w:rsidR="006B6495" w:rsidRPr="00FD51F3" w:rsidRDefault="002F1B6F" w:rsidP="00FD51F3">
            <w:pPr>
              <w:pStyle w:val="naisc"/>
              <w:spacing w:before="0" w:after="0"/>
              <w:jc w:val="left"/>
            </w:pPr>
            <w:r w:rsidRPr="00FD51F3">
              <w:t xml:space="preserve">14. </w:t>
            </w:r>
          </w:p>
        </w:tc>
        <w:tc>
          <w:tcPr>
            <w:tcW w:w="3511" w:type="dxa"/>
            <w:gridSpan w:val="2"/>
            <w:tcBorders>
              <w:left w:val="single" w:sz="6" w:space="0" w:color="000000"/>
              <w:bottom w:val="single" w:sz="4" w:space="0" w:color="auto"/>
              <w:right w:val="single" w:sz="6" w:space="0" w:color="000000"/>
            </w:tcBorders>
          </w:tcPr>
          <w:p w14:paraId="28EECBA2" w14:textId="0523A3C4" w:rsidR="006B6495" w:rsidRPr="00FD51F3" w:rsidRDefault="005E5D29" w:rsidP="00FD51F3">
            <w:pPr>
              <w:pStyle w:val="naisc"/>
              <w:spacing w:before="0" w:after="0"/>
              <w:jc w:val="left"/>
            </w:pPr>
            <w:r w:rsidRPr="00FD51F3">
              <w:t>“9. Latvijas Investīciju un attīstības aģentūra, pamatojoties uz komersanta iesniegumā norādīto informāciju, pieņem lēmumu par investīciju projekta atbilstību prioritārajam statusam apstiprināšanu, ja investīciju projekts atbilst šo noteikumu 4. punktā noteiktajiem kritērijiem.”</w:t>
            </w:r>
          </w:p>
        </w:tc>
        <w:tc>
          <w:tcPr>
            <w:tcW w:w="3969" w:type="dxa"/>
            <w:tcBorders>
              <w:left w:val="single" w:sz="6" w:space="0" w:color="000000"/>
              <w:bottom w:val="single" w:sz="4" w:space="0" w:color="auto"/>
              <w:right w:val="single" w:sz="6" w:space="0" w:color="000000"/>
            </w:tcBorders>
          </w:tcPr>
          <w:p w14:paraId="6C06DE0A" w14:textId="24833E28" w:rsidR="006B6495" w:rsidRPr="00FD51F3" w:rsidRDefault="004010A0" w:rsidP="00FD51F3">
            <w:pPr>
              <w:pStyle w:val="NormalWeb"/>
              <w:spacing w:before="0" w:after="0"/>
              <w:ind w:right="13"/>
              <w:rPr>
                <w:rFonts w:eastAsia="Calibri"/>
                <w:lang w:eastAsia="en-US"/>
              </w:rPr>
            </w:pPr>
            <w:r w:rsidRPr="00FD51F3">
              <w:rPr>
                <w:rFonts w:eastAsia="Calibri"/>
                <w:b/>
                <w:bCs/>
                <w:lang w:eastAsia="en-US"/>
              </w:rPr>
              <w:t xml:space="preserve">Tieslietu ministrijas 22.01.2021 iebildums Nr.3: </w:t>
            </w:r>
            <w:r w:rsidR="007949BD" w:rsidRPr="00FD51F3">
              <w:rPr>
                <w:rFonts w:eastAsia="Calibri"/>
                <w:lang w:eastAsia="en-US"/>
              </w:rPr>
              <w:t xml:space="preserve">“Latvijas Investīciju un attīstības aģentūra, pamatojoties uz projekta 9. punktu, pieņem lēmumu par investīciju projekta atbilstību prioritārajam statusam. Pieņemot, ka projekta 11. punkts noteic projekta 9. punktā minētā lēmuma paziņošanas kārtību, vēršam uzmanību, ka 9. punktā nav norādīts, ka gadījumā, ja </w:t>
            </w:r>
            <w:r w:rsidR="007949BD" w:rsidRPr="00FD51F3">
              <w:rPr>
                <w:rFonts w:eastAsia="Calibri"/>
                <w:lang w:eastAsia="en-US"/>
              </w:rPr>
              <w:lastRenderedPageBreak/>
              <w:t>investīciju projekts neatbilst projekta 4. punktā noteiktajiem kritērijiem, Latvijas Investīciju un attīstības aģentūra pieņem lēmumu par atteikumu apstiprināt investīciju projektu prioritārajam statusam. Lai nodrošinātu Administratīvā procesa likumā nostiprinātās tiesības apstrīdēt un pārsūdzēt lēmumu par atteikumu, lūdzam precizēt projektu un skaidri norādīt uz nelabvēlīga administratīvā akta pieņemšanas un paziņošanas kārtību.”</w:t>
            </w:r>
          </w:p>
        </w:tc>
        <w:tc>
          <w:tcPr>
            <w:tcW w:w="3829" w:type="dxa"/>
            <w:gridSpan w:val="2"/>
            <w:tcBorders>
              <w:left w:val="single" w:sz="6" w:space="0" w:color="000000"/>
              <w:bottom w:val="single" w:sz="4" w:space="0" w:color="auto"/>
              <w:right w:val="single" w:sz="6" w:space="0" w:color="000000"/>
            </w:tcBorders>
          </w:tcPr>
          <w:p w14:paraId="5E811DD1" w14:textId="5B5DB883" w:rsidR="006B6495" w:rsidRPr="00FD51F3" w:rsidRDefault="007949BD" w:rsidP="00FD51F3">
            <w:pPr>
              <w:pStyle w:val="naisc"/>
              <w:spacing w:before="0" w:after="0"/>
              <w:jc w:val="left"/>
            </w:pPr>
            <w:r w:rsidRPr="00FD51F3">
              <w:rPr>
                <w:b/>
                <w:bCs/>
              </w:rPr>
              <w:lastRenderedPageBreak/>
              <w:t xml:space="preserve">Iebildums ir ņemts vērā </w:t>
            </w:r>
            <w:r w:rsidRPr="00FD51F3">
              <w:t xml:space="preserve">un </w:t>
            </w:r>
            <w:r w:rsidR="00C55CE3" w:rsidRPr="00FD51F3">
              <w:t>ir precizēts Noteikumu</w:t>
            </w:r>
            <w:r w:rsidR="00934795" w:rsidRPr="00FD51F3">
              <w:t xml:space="preserve"> 10.</w:t>
            </w:r>
            <w:r w:rsidR="00C55CE3" w:rsidRPr="00FD51F3">
              <w:t>punkts</w:t>
            </w:r>
            <w:r w:rsidR="00E2667F" w:rsidRPr="00FD51F3">
              <w:t>.</w:t>
            </w:r>
          </w:p>
        </w:tc>
        <w:tc>
          <w:tcPr>
            <w:tcW w:w="2985" w:type="dxa"/>
            <w:tcBorders>
              <w:top w:val="single" w:sz="4" w:space="0" w:color="auto"/>
              <w:left w:val="single" w:sz="4" w:space="0" w:color="auto"/>
              <w:bottom w:val="single" w:sz="4" w:space="0" w:color="auto"/>
            </w:tcBorders>
          </w:tcPr>
          <w:p w14:paraId="1A61C241" w14:textId="6DAE165E" w:rsidR="006B6495" w:rsidRPr="00FD51F3" w:rsidRDefault="00D11ADB" w:rsidP="00FD51F3">
            <w:r w:rsidRPr="00FD51F3">
              <w:t xml:space="preserve">“10. Latvijas Investīciju un attīstības aģentūra, pamatojoties uz izvērtējumu par komersanta iesniegumā norādītās informācijas atbilstību šajos noteikumos noteiktajām prasībām, pieņem lēmumu par investīciju projekta atbilstību prioritārajam </w:t>
            </w:r>
            <w:r w:rsidRPr="00FD51F3">
              <w:lastRenderedPageBreak/>
              <w:t>statusam apstiprināšanu vai noraidīšanu (atteikumu), par pieņemto lēmumu informējot iesniedzēju Paziņošanas likumā noteiktajā kārtībā.”</w:t>
            </w:r>
          </w:p>
        </w:tc>
      </w:tr>
      <w:tr w:rsidR="009E67F2" w:rsidRPr="00FD51F3" w14:paraId="75702CA9" w14:textId="77777777" w:rsidTr="00C433A0">
        <w:trPr>
          <w:trHeight w:val="1652"/>
        </w:trPr>
        <w:tc>
          <w:tcPr>
            <w:tcW w:w="708" w:type="dxa"/>
            <w:tcBorders>
              <w:left w:val="single" w:sz="6" w:space="0" w:color="000000"/>
              <w:bottom w:val="single" w:sz="4" w:space="0" w:color="auto"/>
              <w:right w:val="single" w:sz="6" w:space="0" w:color="000000"/>
            </w:tcBorders>
          </w:tcPr>
          <w:p w14:paraId="3F92C077" w14:textId="625F4B86" w:rsidR="006B6495" w:rsidRPr="00FD51F3" w:rsidRDefault="005E5D29" w:rsidP="00FD51F3">
            <w:pPr>
              <w:pStyle w:val="naisc"/>
              <w:spacing w:before="0" w:after="0"/>
              <w:jc w:val="left"/>
            </w:pPr>
            <w:r w:rsidRPr="00FD51F3">
              <w:lastRenderedPageBreak/>
              <w:t>15</w:t>
            </w:r>
            <w:r w:rsidR="00CB59A5" w:rsidRPr="00FD51F3">
              <w:t>.</w:t>
            </w:r>
          </w:p>
        </w:tc>
        <w:tc>
          <w:tcPr>
            <w:tcW w:w="3511" w:type="dxa"/>
            <w:gridSpan w:val="2"/>
            <w:tcBorders>
              <w:left w:val="single" w:sz="6" w:space="0" w:color="000000"/>
              <w:bottom w:val="single" w:sz="4" w:space="0" w:color="auto"/>
              <w:right w:val="single" w:sz="6" w:space="0" w:color="000000"/>
            </w:tcBorders>
          </w:tcPr>
          <w:p w14:paraId="7BEE62C7" w14:textId="650EF579" w:rsidR="006B6495" w:rsidRPr="00FD51F3" w:rsidRDefault="008E15EF" w:rsidP="00FD51F3">
            <w:pPr>
              <w:pStyle w:val="naisc"/>
              <w:spacing w:before="0" w:after="0"/>
              <w:jc w:val="left"/>
            </w:pPr>
            <w:r w:rsidRPr="00FD51F3">
              <w:t>“10. Latvijas Investīciju un attīstības aģentūra ir tiesīga pieprasīt no komersanta papildu vai precizējošu informāciju un dokumentus, ja vienlaikus ar iesniegumu nav iesniegta visa prasītā informācija un dokumenti. Latvijas Investīciju un attīstības aģentūrai ir tiesības noteikt papildu informācijas iesniegšanas termiņu, kas nevar būt īsāks par piecām darba dienām, kā arī tiesības atteikt investīciju projekta apstiprināšanu, ja informācija netiek sniegta.”</w:t>
            </w:r>
          </w:p>
        </w:tc>
        <w:tc>
          <w:tcPr>
            <w:tcW w:w="3969" w:type="dxa"/>
            <w:tcBorders>
              <w:left w:val="single" w:sz="6" w:space="0" w:color="000000"/>
              <w:bottom w:val="single" w:sz="4" w:space="0" w:color="auto"/>
              <w:right w:val="single" w:sz="6" w:space="0" w:color="000000"/>
            </w:tcBorders>
          </w:tcPr>
          <w:p w14:paraId="03506C6D" w14:textId="63832C22" w:rsidR="006B6495" w:rsidRPr="00FD51F3" w:rsidRDefault="00A41726" w:rsidP="00FD51F3">
            <w:pPr>
              <w:pStyle w:val="NormalWeb"/>
              <w:spacing w:before="0" w:after="0"/>
              <w:ind w:right="13"/>
              <w:rPr>
                <w:rFonts w:eastAsia="Calibri"/>
                <w:b/>
                <w:bCs/>
                <w:lang w:eastAsia="en-US"/>
              </w:rPr>
            </w:pPr>
            <w:r w:rsidRPr="00FD51F3">
              <w:rPr>
                <w:rFonts w:eastAsia="Calibri"/>
                <w:b/>
                <w:bCs/>
                <w:lang w:eastAsia="en-US"/>
              </w:rPr>
              <w:t>Tieslietu ministrijas 22.01.2021 iebildums Nr.4. “</w:t>
            </w:r>
            <w:r w:rsidR="00E4634C" w:rsidRPr="00FD51F3">
              <w:rPr>
                <w:rFonts w:eastAsia="Calibri"/>
                <w:lang w:eastAsia="en-US"/>
              </w:rPr>
              <w:t>Vēršam uzmanību, ka projekta 10. punkta pirmais teikums dublē Administratīvā procesa likuma 59. panta otro daļu, tāpēc saskaņā ar noteikumu Nr. 108 3.2. apakšpunktu lūdzam to svītrot.</w:t>
            </w:r>
            <w:r w:rsidRPr="00FD51F3">
              <w:rPr>
                <w:rFonts w:eastAsia="Calibri"/>
                <w:lang w:eastAsia="en-US"/>
              </w:rPr>
              <w:t>”</w:t>
            </w:r>
          </w:p>
        </w:tc>
        <w:tc>
          <w:tcPr>
            <w:tcW w:w="3829" w:type="dxa"/>
            <w:gridSpan w:val="2"/>
            <w:tcBorders>
              <w:left w:val="single" w:sz="6" w:space="0" w:color="000000"/>
              <w:bottom w:val="single" w:sz="4" w:space="0" w:color="auto"/>
              <w:right w:val="single" w:sz="6" w:space="0" w:color="000000"/>
            </w:tcBorders>
          </w:tcPr>
          <w:p w14:paraId="3F5C3617" w14:textId="4F9266D4" w:rsidR="006B6495" w:rsidRPr="00FD51F3" w:rsidRDefault="00B53703" w:rsidP="00FD51F3">
            <w:pPr>
              <w:pStyle w:val="naisc"/>
              <w:spacing w:before="0" w:after="0"/>
              <w:jc w:val="left"/>
            </w:pPr>
            <w:r w:rsidRPr="00FD51F3">
              <w:rPr>
                <w:b/>
                <w:bCs/>
              </w:rPr>
              <w:t>Iebildums ir ņemts vērā</w:t>
            </w:r>
            <w:r w:rsidR="00E3212D" w:rsidRPr="00FD51F3">
              <w:rPr>
                <w:b/>
                <w:bCs/>
              </w:rPr>
              <w:t xml:space="preserve"> </w:t>
            </w:r>
            <w:r w:rsidR="00E3212D" w:rsidRPr="00FD51F3">
              <w:t>un Noteikumu projekta attiecīgais punkts ir precizēts.</w:t>
            </w:r>
            <w:r w:rsidR="005901D8" w:rsidRPr="00FD51F3">
              <w:t xml:space="preserve"> </w:t>
            </w:r>
          </w:p>
        </w:tc>
        <w:tc>
          <w:tcPr>
            <w:tcW w:w="2985" w:type="dxa"/>
            <w:tcBorders>
              <w:top w:val="single" w:sz="4" w:space="0" w:color="auto"/>
              <w:left w:val="single" w:sz="4" w:space="0" w:color="auto"/>
              <w:bottom w:val="single" w:sz="4" w:space="0" w:color="auto"/>
            </w:tcBorders>
          </w:tcPr>
          <w:p w14:paraId="4F93D571" w14:textId="12728FC7" w:rsidR="006B6495" w:rsidRPr="00FD51F3" w:rsidRDefault="00204792" w:rsidP="00FD51F3">
            <w:r w:rsidRPr="00FD51F3">
              <w:t>“</w:t>
            </w:r>
            <w:r w:rsidR="005901D8" w:rsidRPr="00FD51F3">
              <w:t>9. Ja vienlaikus ar iesniegumu nav iesniegta visa prasītā informācija un dokumenti, Latvijas Investīciju un attīstības aģentūrai ir tiesības noteikt papildu informācijas un dokumentu iesniegšanas termiņu, kas nevar būt īsāks par piecām darba dienām, kā arī tiesības atteikt investīciju projekta apstiprināšanu, ja informācija netiek sniegta.</w:t>
            </w:r>
            <w:r w:rsidRPr="00FD51F3">
              <w:t>”</w:t>
            </w:r>
          </w:p>
        </w:tc>
      </w:tr>
      <w:tr w:rsidR="009E67F2" w:rsidRPr="00FD51F3" w14:paraId="229A7541" w14:textId="77777777" w:rsidTr="00C433A0">
        <w:trPr>
          <w:trHeight w:val="1652"/>
        </w:trPr>
        <w:tc>
          <w:tcPr>
            <w:tcW w:w="708" w:type="dxa"/>
            <w:tcBorders>
              <w:left w:val="single" w:sz="6" w:space="0" w:color="000000"/>
              <w:bottom w:val="single" w:sz="4" w:space="0" w:color="auto"/>
              <w:right w:val="single" w:sz="6" w:space="0" w:color="000000"/>
            </w:tcBorders>
          </w:tcPr>
          <w:p w14:paraId="30680A58" w14:textId="0D2BBF87" w:rsidR="005E5D29" w:rsidRPr="00FD51F3" w:rsidRDefault="00CB59A5" w:rsidP="00FD51F3">
            <w:pPr>
              <w:pStyle w:val="naisc"/>
              <w:spacing w:before="0" w:after="0"/>
              <w:jc w:val="left"/>
            </w:pPr>
            <w:r w:rsidRPr="00FD51F3">
              <w:lastRenderedPageBreak/>
              <w:t>16.</w:t>
            </w:r>
          </w:p>
        </w:tc>
        <w:tc>
          <w:tcPr>
            <w:tcW w:w="3511" w:type="dxa"/>
            <w:gridSpan w:val="2"/>
            <w:tcBorders>
              <w:left w:val="single" w:sz="6" w:space="0" w:color="000000"/>
              <w:bottom w:val="single" w:sz="4" w:space="0" w:color="auto"/>
              <w:right w:val="single" w:sz="6" w:space="0" w:color="000000"/>
            </w:tcBorders>
          </w:tcPr>
          <w:p w14:paraId="22619B7A" w14:textId="36D12713" w:rsidR="005E5D29" w:rsidRPr="00FD51F3" w:rsidRDefault="00EC4365" w:rsidP="00FD51F3">
            <w:pPr>
              <w:pStyle w:val="naisc"/>
              <w:spacing w:before="0" w:after="0"/>
              <w:jc w:val="left"/>
            </w:pPr>
            <w:r w:rsidRPr="00FD51F3">
              <w:t>“11. Šo noteikumu 8.punktā minēto lēmumu Latvijas Investīciju un attīstības aģentūra triju darbdienu laikā no projekta apstiprināšanas brīža publicē oficiālajā izdevumā "Latvijas Vēstnesis", vienlaicīgi nosūtot lēmumu uz komersanta iesniegumā norādīto e-pasta adresi, kā arī informējot atbildīgās tiešās un pastarpinātās valsts pārvaldes iestādes un privātpersonas,  kuras ir iesaistītas pakalpojumu sniegšanā, veicot valsts pārvaldes uzdevumus, tostarp investīciju projekta īstenošanai nepieciešamo darbību saskaņošanā.”</w:t>
            </w:r>
          </w:p>
        </w:tc>
        <w:tc>
          <w:tcPr>
            <w:tcW w:w="3969" w:type="dxa"/>
            <w:tcBorders>
              <w:left w:val="single" w:sz="6" w:space="0" w:color="000000"/>
              <w:bottom w:val="single" w:sz="4" w:space="0" w:color="auto"/>
              <w:right w:val="single" w:sz="6" w:space="0" w:color="000000"/>
            </w:tcBorders>
          </w:tcPr>
          <w:p w14:paraId="45E6C377" w14:textId="52185FD1" w:rsidR="00CB59A5" w:rsidRPr="00FD51F3" w:rsidRDefault="00CB59A5" w:rsidP="00FD51F3">
            <w:pPr>
              <w:pStyle w:val="NormalWeb"/>
              <w:ind w:right="13"/>
              <w:rPr>
                <w:rFonts w:eastAsia="Calibri"/>
                <w:lang w:eastAsia="en-US"/>
              </w:rPr>
            </w:pPr>
            <w:r w:rsidRPr="00FD51F3">
              <w:rPr>
                <w:rFonts w:eastAsia="Calibri"/>
                <w:b/>
                <w:bCs/>
                <w:lang w:eastAsia="en-US"/>
              </w:rPr>
              <w:t xml:space="preserve">Tieslietu ministrijas 22.01.2021 iebildums Nr.5 </w:t>
            </w:r>
            <w:r w:rsidRPr="00FD51F3">
              <w:rPr>
                <w:rFonts w:eastAsia="Calibri"/>
                <w:lang w:eastAsia="en-US"/>
              </w:rPr>
              <w:t xml:space="preserve">“Projekta 11. punkts noteic, ka Latvijas Investīciju un attīstības aģentūra lēmumu par investīciju projekta atbilstību prioritārajam statusam apstiprināšanu publicē oficiālajā izdevumā "Latvijas Vēstnesis". Vēršam uzmanību, ka to jau noteic Covid-19 infekcijas izplatības seku pārvarēšanas likuma 59. panta piektā daļa, tāpēc projektā tas nav jādublē. (..) Ievērojot minēto, lūdzam atbilstoši precizēt projektu. </w:t>
            </w:r>
          </w:p>
          <w:p w14:paraId="15965211" w14:textId="5632337F" w:rsidR="005E5D29" w:rsidRPr="00FD51F3" w:rsidRDefault="00CB59A5" w:rsidP="00FD51F3">
            <w:pPr>
              <w:pStyle w:val="NormalWeb"/>
              <w:spacing w:before="0" w:after="0"/>
              <w:ind w:right="13"/>
              <w:rPr>
                <w:rFonts w:eastAsia="Calibri"/>
                <w:b/>
                <w:bCs/>
                <w:lang w:eastAsia="en-US"/>
              </w:rPr>
            </w:pPr>
            <w:r w:rsidRPr="00FD51F3">
              <w:rPr>
                <w:rFonts w:eastAsia="Calibri"/>
                <w:lang w:eastAsia="en-US"/>
              </w:rPr>
              <w:t>(..) Projekta 11. punktā ietverta atsauce uz noteikumu 8. punktā minēto lēmumu. Ņemot vērā, ka projekta 8. punkts noteic iesniegumam pievienojamos dokumentus, nevis paredz kāda lēmuma pieņemšanu, lūdzam atbilstoši precizēt projekta 11. punktu.”</w:t>
            </w:r>
          </w:p>
        </w:tc>
        <w:tc>
          <w:tcPr>
            <w:tcW w:w="3829" w:type="dxa"/>
            <w:gridSpan w:val="2"/>
            <w:tcBorders>
              <w:left w:val="single" w:sz="6" w:space="0" w:color="000000"/>
              <w:bottom w:val="single" w:sz="4" w:space="0" w:color="auto"/>
              <w:right w:val="single" w:sz="6" w:space="0" w:color="000000"/>
            </w:tcBorders>
          </w:tcPr>
          <w:p w14:paraId="42D7193D" w14:textId="3BB735F7" w:rsidR="005E5D29" w:rsidRPr="00FD51F3" w:rsidRDefault="00CB59A5" w:rsidP="00FD51F3">
            <w:pPr>
              <w:pStyle w:val="naisc"/>
              <w:spacing w:before="0" w:after="0"/>
              <w:jc w:val="left"/>
              <w:rPr>
                <w:b/>
                <w:bCs/>
              </w:rPr>
            </w:pPr>
            <w:r w:rsidRPr="00FD51F3">
              <w:rPr>
                <w:b/>
                <w:bCs/>
              </w:rPr>
              <w:t xml:space="preserve">Iebildums ir ņemts vērā </w:t>
            </w:r>
            <w:r w:rsidRPr="00FD51F3">
              <w:t>un Noteikumu projekta attiecīgais punkts ir precizēts</w:t>
            </w:r>
          </w:p>
        </w:tc>
        <w:tc>
          <w:tcPr>
            <w:tcW w:w="2985" w:type="dxa"/>
            <w:tcBorders>
              <w:top w:val="single" w:sz="4" w:space="0" w:color="auto"/>
              <w:left w:val="single" w:sz="4" w:space="0" w:color="auto"/>
              <w:bottom w:val="single" w:sz="4" w:space="0" w:color="auto"/>
            </w:tcBorders>
          </w:tcPr>
          <w:p w14:paraId="50F00270" w14:textId="6AC0F535" w:rsidR="005E5D29" w:rsidRPr="00FD51F3" w:rsidRDefault="00485F30" w:rsidP="00FD51F3">
            <w:r w:rsidRPr="00FD51F3">
              <w:t xml:space="preserve">“12. Šo noteikumu 10.punktā minēto lēmumu Latvijas Investīciju un attīstības aģentūra triju darbdienu laikā no projekta apstiprināšanas vai noraidīšanas brīža </w:t>
            </w:r>
            <w:r w:rsidR="00EE7FEE" w:rsidRPr="00FD51F3">
              <w:t>nosūta</w:t>
            </w:r>
            <w:r w:rsidRPr="00FD51F3">
              <w:t xml:space="preserve"> uz komersanta iesniegumā norādīto e-pasta adresi, kā arī informē atbildīgās tiešās un pastarpinātās valsts pārvaldes iestādes un privātpersonas,  kuras ir iesaistītas pakalpojumu sniegšanā, veicot valsts pārvaldes uzdevumus, tostarp investīciju projekta īstenošanai nepieciešamo darbību saskaņošanā, ja tādas ir norādītas šo noteikumu 7.punktā minētajā iesniegumā.</w:t>
            </w:r>
            <w:r w:rsidR="00791E78" w:rsidRPr="00FD51F3">
              <w:t>”</w:t>
            </w:r>
          </w:p>
        </w:tc>
      </w:tr>
      <w:tr w:rsidR="009E67F2" w:rsidRPr="00FD51F3" w14:paraId="0D42A990" w14:textId="77777777" w:rsidTr="00C433A0">
        <w:trPr>
          <w:trHeight w:val="1652"/>
        </w:trPr>
        <w:tc>
          <w:tcPr>
            <w:tcW w:w="708" w:type="dxa"/>
            <w:tcBorders>
              <w:left w:val="single" w:sz="6" w:space="0" w:color="000000"/>
              <w:bottom w:val="single" w:sz="4" w:space="0" w:color="auto"/>
              <w:right w:val="single" w:sz="6" w:space="0" w:color="000000"/>
            </w:tcBorders>
          </w:tcPr>
          <w:p w14:paraId="23083EAB" w14:textId="2F3B85A9" w:rsidR="000C7A7C" w:rsidRPr="00FD51F3" w:rsidRDefault="00D14612" w:rsidP="00FD51F3">
            <w:pPr>
              <w:pStyle w:val="naisc"/>
              <w:spacing w:before="0" w:after="0"/>
              <w:jc w:val="left"/>
            </w:pPr>
            <w:r w:rsidRPr="00FD51F3">
              <w:t>17.</w:t>
            </w:r>
          </w:p>
        </w:tc>
        <w:tc>
          <w:tcPr>
            <w:tcW w:w="3511" w:type="dxa"/>
            <w:gridSpan w:val="2"/>
            <w:tcBorders>
              <w:left w:val="single" w:sz="6" w:space="0" w:color="000000"/>
              <w:bottom w:val="single" w:sz="4" w:space="0" w:color="auto"/>
              <w:right w:val="single" w:sz="6" w:space="0" w:color="000000"/>
            </w:tcBorders>
          </w:tcPr>
          <w:p w14:paraId="0E58F28D" w14:textId="08F50A6B" w:rsidR="000C7A7C" w:rsidRPr="00FD51F3" w:rsidRDefault="00F34E20" w:rsidP="00FD51F3">
            <w:pPr>
              <w:pStyle w:val="naisc"/>
              <w:spacing w:before="0" w:after="0"/>
              <w:jc w:val="left"/>
            </w:pPr>
            <w:r w:rsidRPr="00FD51F3">
              <w:t>“12. Lēmumu par atteikumu apstiprināt investīciju projektu prioritārajam statusam var apstrīdēt Administratīvā procesa likumā noteiktajā kārtībā.”</w:t>
            </w:r>
          </w:p>
        </w:tc>
        <w:tc>
          <w:tcPr>
            <w:tcW w:w="3969" w:type="dxa"/>
            <w:tcBorders>
              <w:left w:val="single" w:sz="6" w:space="0" w:color="000000"/>
              <w:bottom w:val="single" w:sz="4" w:space="0" w:color="auto"/>
              <w:right w:val="single" w:sz="6" w:space="0" w:color="000000"/>
            </w:tcBorders>
          </w:tcPr>
          <w:p w14:paraId="055DC931" w14:textId="422F136F" w:rsidR="000C7A7C" w:rsidRPr="00FD51F3" w:rsidRDefault="000C7A7C" w:rsidP="00FD51F3">
            <w:pPr>
              <w:pStyle w:val="NormalWeb"/>
              <w:ind w:right="13"/>
              <w:rPr>
                <w:rFonts w:eastAsia="Calibri"/>
                <w:lang w:eastAsia="en-US"/>
              </w:rPr>
            </w:pPr>
            <w:r w:rsidRPr="00FD51F3">
              <w:rPr>
                <w:rFonts w:eastAsia="Calibri"/>
                <w:b/>
                <w:bCs/>
                <w:lang w:eastAsia="en-US"/>
              </w:rPr>
              <w:t xml:space="preserve">Tieslietu ministrijas 22.01.2021 iebildums Nr.6: </w:t>
            </w:r>
            <w:r w:rsidR="00956CA5" w:rsidRPr="00FD51F3">
              <w:rPr>
                <w:rFonts w:eastAsia="Calibri"/>
                <w:b/>
                <w:bCs/>
                <w:lang w:eastAsia="en-US"/>
              </w:rPr>
              <w:t>“</w:t>
            </w:r>
            <w:r w:rsidR="00956CA5" w:rsidRPr="00FD51F3">
              <w:t xml:space="preserve">Vēršam uzmanību, ka atbilstoši noteikumu Nr. 108 3.2. apakšpunktam projektā neietver tiesību normas, kas dublē augstāka normatīvā akta tiesību normās ietverto tiesisko regulējumu. Ievērojot minēto, projektā nav jāiekļauj vispārīga norāde uz tiesībām apstrīdēt lēmumu par atteikumu apstiprināt investīciju projektu prioritārajam statusam </w:t>
            </w:r>
            <w:r w:rsidR="00956CA5" w:rsidRPr="00FD51F3">
              <w:lastRenderedPageBreak/>
              <w:t>Administratīvā procesa likumā noteiktajā kārtībā, jo to vispārīgi jau paredz Administratīvā procesa likuma 76. pants, tāpēc lūdzam svītrot projekta 12. punktu.(..)”</w:t>
            </w:r>
          </w:p>
        </w:tc>
        <w:tc>
          <w:tcPr>
            <w:tcW w:w="3829" w:type="dxa"/>
            <w:gridSpan w:val="2"/>
            <w:tcBorders>
              <w:left w:val="single" w:sz="6" w:space="0" w:color="000000"/>
              <w:bottom w:val="single" w:sz="4" w:space="0" w:color="auto"/>
              <w:right w:val="single" w:sz="6" w:space="0" w:color="000000"/>
            </w:tcBorders>
          </w:tcPr>
          <w:p w14:paraId="79FC1897" w14:textId="114089E0" w:rsidR="000C7A7C" w:rsidRPr="00FD51F3" w:rsidRDefault="00F34E20" w:rsidP="00FD51F3">
            <w:pPr>
              <w:pStyle w:val="naisc"/>
              <w:spacing w:before="0" w:after="0"/>
              <w:jc w:val="left"/>
            </w:pPr>
            <w:r w:rsidRPr="00FD51F3">
              <w:rPr>
                <w:b/>
                <w:bCs/>
              </w:rPr>
              <w:lastRenderedPageBreak/>
              <w:t xml:space="preserve">Iebildums ir ņemts vērā </w:t>
            </w:r>
            <w:r w:rsidRPr="00FD51F3">
              <w:t xml:space="preserve">un punkts Nr.12 ir svītrots. </w:t>
            </w:r>
          </w:p>
        </w:tc>
        <w:tc>
          <w:tcPr>
            <w:tcW w:w="2985" w:type="dxa"/>
            <w:tcBorders>
              <w:top w:val="single" w:sz="4" w:space="0" w:color="auto"/>
              <w:left w:val="single" w:sz="4" w:space="0" w:color="auto"/>
              <w:bottom w:val="single" w:sz="4" w:space="0" w:color="auto"/>
            </w:tcBorders>
          </w:tcPr>
          <w:p w14:paraId="5748571C" w14:textId="2F91FE7D" w:rsidR="000C7A7C" w:rsidRPr="00FD51F3" w:rsidRDefault="00F34E20" w:rsidP="00FD51F3">
            <w:r w:rsidRPr="00FD51F3">
              <w:t>N/A</w:t>
            </w:r>
          </w:p>
        </w:tc>
      </w:tr>
      <w:tr w:rsidR="009E67F2" w:rsidRPr="00FD51F3" w14:paraId="2C43F671" w14:textId="77777777" w:rsidTr="00C433A0">
        <w:trPr>
          <w:trHeight w:val="1652"/>
        </w:trPr>
        <w:tc>
          <w:tcPr>
            <w:tcW w:w="708" w:type="dxa"/>
            <w:tcBorders>
              <w:left w:val="single" w:sz="6" w:space="0" w:color="000000"/>
              <w:bottom w:val="single" w:sz="4" w:space="0" w:color="auto"/>
              <w:right w:val="single" w:sz="6" w:space="0" w:color="000000"/>
            </w:tcBorders>
          </w:tcPr>
          <w:p w14:paraId="44CADC88" w14:textId="37EC28A1" w:rsidR="000C7A7C" w:rsidRPr="00FD51F3" w:rsidRDefault="00442F5E" w:rsidP="00FD51F3">
            <w:pPr>
              <w:pStyle w:val="naisc"/>
              <w:spacing w:before="0" w:after="0"/>
              <w:jc w:val="left"/>
            </w:pPr>
            <w:r w:rsidRPr="00FD51F3">
              <w:t xml:space="preserve">18. </w:t>
            </w:r>
          </w:p>
        </w:tc>
        <w:tc>
          <w:tcPr>
            <w:tcW w:w="3511" w:type="dxa"/>
            <w:gridSpan w:val="2"/>
            <w:tcBorders>
              <w:left w:val="single" w:sz="6" w:space="0" w:color="000000"/>
              <w:bottom w:val="single" w:sz="4" w:space="0" w:color="auto"/>
              <w:right w:val="single" w:sz="6" w:space="0" w:color="000000"/>
            </w:tcBorders>
          </w:tcPr>
          <w:p w14:paraId="357B187C" w14:textId="24A0FD50" w:rsidR="000C7A7C" w:rsidRPr="00FD51F3" w:rsidRDefault="00417644" w:rsidP="00FD51F3">
            <w:pPr>
              <w:pStyle w:val="naisc"/>
              <w:spacing w:before="0" w:after="0"/>
              <w:jc w:val="left"/>
            </w:pPr>
            <w:r w:rsidRPr="00FD51F3">
              <w:t>“14. Šo noteikumu 13. punkts ir piemērojams sākot ar dienu, kad Būvniecības informācijas sistēma nodrošina atbilstošu funkcionalitāti, bet ne agrāk kā no 2021. gada 1. marta.”</w:t>
            </w:r>
          </w:p>
        </w:tc>
        <w:tc>
          <w:tcPr>
            <w:tcW w:w="3969" w:type="dxa"/>
            <w:tcBorders>
              <w:left w:val="single" w:sz="6" w:space="0" w:color="000000"/>
              <w:bottom w:val="single" w:sz="4" w:space="0" w:color="auto"/>
              <w:right w:val="single" w:sz="6" w:space="0" w:color="000000"/>
            </w:tcBorders>
          </w:tcPr>
          <w:p w14:paraId="4E672709" w14:textId="05E4E2D7" w:rsidR="000C7A7C" w:rsidRPr="00FD51F3" w:rsidRDefault="00B439E9" w:rsidP="00FD51F3">
            <w:pPr>
              <w:pStyle w:val="NormalWeb"/>
              <w:ind w:right="13"/>
              <w:rPr>
                <w:rFonts w:eastAsia="Calibri"/>
                <w:b/>
                <w:bCs/>
                <w:lang w:eastAsia="en-US"/>
              </w:rPr>
            </w:pPr>
            <w:r w:rsidRPr="00FD51F3">
              <w:rPr>
                <w:rFonts w:eastAsia="Calibri"/>
                <w:b/>
                <w:bCs/>
                <w:lang w:eastAsia="en-US"/>
              </w:rPr>
              <w:t xml:space="preserve">Tieslietu ministrijas 22.01.2021 iebildums Nr.7: </w:t>
            </w:r>
            <w:r w:rsidRPr="00FD51F3">
              <w:rPr>
                <w:rFonts w:eastAsia="Calibri"/>
                <w:lang w:eastAsia="en-US"/>
              </w:rPr>
              <w:t>Lūdzam izvērtēt iespēju projekta 14. punktā noteikt arī maksimālo termiņu, kādā Būvniecības informācijas sistēmā jānodrošina atbilstoša funkcionalitāte, lai nerastos situācija, kad tas netiek nodrošināts ilgtermiņā, tādējādi projektā ietverot praksē nepiemērojamu tiesību normu.</w:t>
            </w:r>
          </w:p>
        </w:tc>
        <w:tc>
          <w:tcPr>
            <w:tcW w:w="3829" w:type="dxa"/>
            <w:gridSpan w:val="2"/>
            <w:tcBorders>
              <w:left w:val="single" w:sz="6" w:space="0" w:color="000000"/>
              <w:bottom w:val="single" w:sz="4" w:space="0" w:color="auto"/>
              <w:right w:val="single" w:sz="6" w:space="0" w:color="000000"/>
            </w:tcBorders>
          </w:tcPr>
          <w:p w14:paraId="665163E0" w14:textId="1DB5D8D7" w:rsidR="000C7A7C" w:rsidRPr="00C433A0" w:rsidRDefault="4FE86380" w:rsidP="00FD51F3">
            <w:pPr>
              <w:pStyle w:val="naisc"/>
              <w:spacing w:before="0" w:after="0"/>
              <w:jc w:val="left"/>
              <w:rPr>
                <w:color w:val="000000"/>
              </w:rPr>
            </w:pPr>
            <w:r w:rsidRPr="00C433A0">
              <w:rPr>
                <w:b/>
                <w:color w:val="000000"/>
              </w:rPr>
              <w:t xml:space="preserve">Iebildums ir ņemts vērā </w:t>
            </w:r>
            <w:r w:rsidRPr="00C433A0">
              <w:rPr>
                <w:color w:val="000000"/>
              </w:rPr>
              <w:t>un attiecīgais punkts it papildināts ar maksimālo funkcionalitātes nodrošināšanas termiņu - 1</w:t>
            </w:r>
            <w:r w:rsidR="4EE15BE5" w:rsidRPr="00C433A0">
              <w:rPr>
                <w:color w:val="000000"/>
              </w:rPr>
              <w:t>5.</w:t>
            </w:r>
            <w:r w:rsidRPr="00C433A0">
              <w:rPr>
                <w:color w:val="000000"/>
              </w:rPr>
              <w:t>0</w:t>
            </w:r>
            <w:r w:rsidR="4107C805" w:rsidRPr="00C433A0">
              <w:rPr>
                <w:color w:val="000000"/>
              </w:rPr>
              <w:t>5</w:t>
            </w:r>
            <w:r w:rsidRPr="00C433A0">
              <w:rPr>
                <w:color w:val="000000"/>
              </w:rPr>
              <w:t>.2021.</w:t>
            </w:r>
          </w:p>
        </w:tc>
        <w:tc>
          <w:tcPr>
            <w:tcW w:w="2985" w:type="dxa"/>
            <w:tcBorders>
              <w:top w:val="single" w:sz="4" w:space="0" w:color="auto"/>
              <w:left w:val="single" w:sz="4" w:space="0" w:color="auto"/>
              <w:bottom w:val="single" w:sz="4" w:space="0" w:color="auto"/>
            </w:tcBorders>
          </w:tcPr>
          <w:p w14:paraId="1C2025A5" w14:textId="699DCC79" w:rsidR="000C7A7C" w:rsidRPr="00FD51F3" w:rsidRDefault="148A7E07" w:rsidP="00FD51F3">
            <w:pPr>
              <w:pStyle w:val="naisc"/>
              <w:spacing w:before="0" w:after="0"/>
              <w:jc w:val="left"/>
            </w:pPr>
            <w:r w:rsidRPr="00FD51F3">
              <w:t xml:space="preserve">“14. Šo noteikumu 13. punkts ir piemērojams sākot ar dienu, kad Būvniecības informācijas sistēma nodrošina atbilstošu funkcionalitāti, bet ne agrāk kā no 2021. gada 1. marta un ne vēlāk kā no 2021.gada </w:t>
            </w:r>
            <w:r>
              <w:t>1</w:t>
            </w:r>
            <w:r w:rsidR="387E0B03">
              <w:t>5</w:t>
            </w:r>
            <w:r>
              <w:t>.</w:t>
            </w:r>
            <w:r w:rsidR="7943A0C7">
              <w:t>ma</w:t>
            </w:r>
            <w:r>
              <w:t>ija.”</w:t>
            </w:r>
          </w:p>
          <w:p w14:paraId="5B717FE2" w14:textId="33513EC4" w:rsidR="000C7A7C" w:rsidRPr="00FD51F3" w:rsidRDefault="000C7A7C" w:rsidP="00FD51F3"/>
        </w:tc>
      </w:tr>
      <w:tr w:rsidR="009E67F2" w:rsidRPr="00FD51F3" w14:paraId="70FF4B54" w14:textId="77777777" w:rsidTr="00C433A0">
        <w:trPr>
          <w:trHeight w:val="1652"/>
        </w:trPr>
        <w:tc>
          <w:tcPr>
            <w:tcW w:w="708" w:type="dxa"/>
            <w:tcBorders>
              <w:left w:val="single" w:sz="6" w:space="0" w:color="000000"/>
              <w:bottom w:val="single" w:sz="4" w:space="0" w:color="auto"/>
              <w:right w:val="single" w:sz="6" w:space="0" w:color="000000"/>
            </w:tcBorders>
          </w:tcPr>
          <w:p w14:paraId="78D216A6" w14:textId="17710CB6" w:rsidR="000C7A7C" w:rsidRPr="00FD51F3" w:rsidRDefault="00417644" w:rsidP="00FD51F3">
            <w:pPr>
              <w:pStyle w:val="naisc"/>
              <w:spacing w:before="0" w:after="0"/>
              <w:jc w:val="left"/>
            </w:pPr>
            <w:r w:rsidRPr="00FD51F3">
              <w:t xml:space="preserve">19. </w:t>
            </w:r>
          </w:p>
        </w:tc>
        <w:tc>
          <w:tcPr>
            <w:tcW w:w="3511" w:type="dxa"/>
            <w:gridSpan w:val="2"/>
            <w:tcBorders>
              <w:left w:val="single" w:sz="6" w:space="0" w:color="000000"/>
              <w:bottom w:val="single" w:sz="4" w:space="0" w:color="auto"/>
              <w:right w:val="single" w:sz="6" w:space="0" w:color="000000"/>
            </w:tcBorders>
          </w:tcPr>
          <w:p w14:paraId="2EBBD25F" w14:textId="5539E1B3" w:rsidR="000C7A7C" w:rsidRPr="00FD51F3" w:rsidRDefault="00C60652" w:rsidP="00FD51F3">
            <w:pPr>
              <w:pStyle w:val="naisc"/>
              <w:spacing w:before="0" w:after="0"/>
              <w:jc w:val="left"/>
            </w:pPr>
            <w:r w:rsidRPr="00FD51F3">
              <w:t>N/A</w:t>
            </w:r>
          </w:p>
        </w:tc>
        <w:tc>
          <w:tcPr>
            <w:tcW w:w="3969" w:type="dxa"/>
            <w:tcBorders>
              <w:left w:val="single" w:sz="6" w:space="0" w:color="000000"/>
              <w:bottom w:val="single" w:sz="4" w:space="0" w:color="auto"/>
              <w:right w:val="single" w:sz="6" w:space="0" w:color="000000"/>
            </w:tcBorders>
          </w:tcPr>
          <w:p w14:paraId="768247EC" w14:textId="6FBC3613" w:rsidR="000C7A7C" w:rsidRPr="00FD51F3" w:rsidRDefault="00417644" w:rsidP="00FD51F3">
            <w:pPr>
              <w:pStyle w:val="NormalWeb"/>
              <w:ind w:right="13"/>
              <w:rPr>
                <w:rFonts w:eastAsia="Calibri"/>
                <w:b/>
                <w:bCs/>
                <w:lang w:eastAsia="en-US"/>
              </w:rPr>
            </w:pPr>
            <w:r w:rsidRPr="00FD51F3">
              <w:rPr>
                <w:rFonts w:eastAsia="Calibri"/>
                <w:b/>
                <w:bCs/>
                <w:lang w:eastAsia="en-US"/>
              </w:rPr>
              <w:t>Tieslietu ministrijas 22.01.2021 iebildums Nr.</w:t>
            </w:r>
            <w:r w:rsidR="00795746" w:rsidRPr="00FD51F3">
              <w:rPr>
                <w:rFonts w:eastAsia="Calibri"/>
                <w:b/>
                <w:bCs/>
                <w:lang w:eastAsia="en-US"/>
              </w:rPr>
              <w:t>8</w:t>
            </w:r>
            <w:r w:rsidR="00B1309E" w:rsidRPr="00FD51F3">
              <w:rPr>
                <w:rFonts w:eastAsia="Calibri"/>
                <w:b/>
                <w:bCs/>
                <w:lang w:eastAsia="en-US"/>
              </w:rPr>
              <w:t xml:space="preserve"> “</w:t>
            </w:r>
            <w:r w:rsidR="00B1309E" w:rsidRPr="00FD51F3">
              <w:t>Ņemot vērā, ka Covid-19 infekcijas izplatības seku pārvarēšanas likuma 59. panta otrā daļa, kurā ietverts pilnvarojums Ministru kabinetam izdot noteikumus, stāsies spēkā 2021. gada 1. februārī, projekta virzībā lūdzam nodrošināt, ka projekts stāsies spēkā ne ātrāk kā 2021. gada 1. februārī.”</w:t>
            </w:r>
          </w:p>
        </w:tc>
        <w:tc>
          <w:tcPr>
            <w:tcW w:w="3829" w:type="dxa"/>
            <w:gridSpan w:val="2"/>
            <w:tcBorders>
              <w:left w:val="single" w:sz="6" w:space="0" w:color="000000"/>
              <w:bottom w:val="single" w:sz="4" w:space="0" w:color="auto"/>
              <w:right w:val="single" w:sz="6" w:space="0" w:color="000000"/>
            </w:tcBorders>
          </w:tcPr>
          <w:p w14:paraId="7F0E1886" w14:textId="103CDF85" w:rsidR="000C7A7C" w:rsidRPr="00FD51F3" w:rsidRDefault="00B1309E" w:rsidP="00FD51F3">
            <w:pPr>
              <w:pStyle w:val="naisc"/>
              <w:spacing w:before="0" w:after="0"/>
              <w:jc w:val="left"/>
            </w:pPr>
            <w:r w:rsidRPr="00FD51F3">
              <w:rPr>
                <w:b/>
                <w:bCs/>
              </w:rPr>
              <w:t xml:space="preserve">Iebildums ir ņemts vērā </w:t>
            </w:r>
            <w:r w:rsidRPr="00FD51F3">
              <w:t>un Noteiktumu projekts ir papildināts</w:t>
            </w:r>
            <w:r w:rsidR="00C60652" w:rsidRPr="00FD51F3">
              <w:t xml:space="preserve"> ar 16.punktu, kas nosaka Noteikumu stāšanos spēkā 1.februārī. </w:t>
            </w:r>
          </w:p>
        </w:tc>
        <w:tc>
          <w:tcPr>
            <w:tcW w:w="2985" w:type="dxa"/>
            <w:tcBorders>
              <w:top w:val="single" w:sz="4" w:space="0" w:color="auto"/>
              <w:left w:val="single" w:sz="4" w:space="0" w:color="auto"/>
              <w:bottom w:val="single" w:sz="4" w:space="0" w:color="auto"/>
            </w:tcBorders>
          </w:tcPr>
          <w:p w14:paraId="5ACFCD2E" w14:textId="041FE400" w:rsidR="000C7A7C" w:rsidRPr="00FD51F3" w:rsidRDefault="00C60652" w:rsidP="00FD51F3">
            <w:r w:rsidRPr="00FD51F3">
              <w:t>“16. Noteikumi stājas spēkā 2021.gada 1.februārī.”</w:t>
            </w:r>
          </w:p>
        </w:tc>
      </w:tr>
      <w:tr w:rsidR="009E67F2" w:rsidRPr="00FD51F3" w14:paraId="0A5A05B7" w14:textId="77777777" w:rsidTr="00C433A0">
        <w:trPr>
          <w:trHeight w:val="9345"/>
        </w:trPr>
        <w:tc>
          <w:tcPr>
            <w:tcW w:w="708" w:type="dxa"/>
            <w:tcBorders>
              <w:left w:val="single" w:sz="6" w:space="0" w:color="000000"/>
              <w:bottom w:val="single" w:sz="4" w:space="0" w:color="auto"/>
              <w:right w:val="single" w:sz="6" w:space="0" w:color="000000"/>
            </w:tcBorders>
          </w:tcPr>
          <w:p w14:paraId="6A1B1BE7" w14:textId="592532F9" w:rsidR="00C60652" w:rsidRPr="00FD51F3" w:rsidRDefault="00C60652" w:rsidP="00FD51F3">
            <w:pPr>
              <w:pStyle w:val="naisc"/>
              <w:spacing w:before="0" w:after="0"/>
              <w:jc w:val="left"/>
            </w:pPr>
            <w:r w:rsidRPr="00FD51F3">
              <w:lastRenderedPageBreak/>
              <w:t>20.</w:t>
            </w:r>
          </w:p>
        </w:tc>
        <w:tc>
          <w:tcPr>
            <w:tcW w:w="3511" w:type="dxa"/>
            <w:gridSpan w:val="2"/>
            <w:tcBorders>
              <w:left w:val="single" w:sz="6" w:space="0" w:color="000000"/>
              <w:bottom w:val="single" w:sz="4" w:space="0" w:color="auto"/>
              <w:right w:val="single" w:sz="6" w:space="0" w:color="000000"/>
            </w:tcBorders>
          </w:tcPr>
          <w:p w14:paraId="2D0A4CD4" w14:textId="5D9AC638" w:rsidR="00C60652" w:rsidRPr="00FD51F3" w:rsidRDefault="009B7DFF" w:rsidP="00FD51F3">
            <w:pPr>
              <w:pStyle w:val="naisc"/>
              <w:spacing w:before="0" w:after="0"/>
              <w:jc w:val="left"/>
            </w:pPr>
            <w:r w:rsidRPr="00FD51F3">
              <w:t>Anotācijas I. sadaļas 2.punkts.</w:t>
            </w:r>
          </w:p>
        </w:tc>
        <w:tc>
          <w:tcPr>
            <w:tcW w:w="3969" w:type="dxa"/>
            <w:tcBorders>
              <w:left w:val="single" w:sz="6" w:space="0" w:color="000000"/>
              <w:bottom w:val="single" w:sz="4" w:space="0" w:color="auto"/>
              <w:right w:val="single" w:sz="6" w:space="0" w:color="000000"/>
            </w:tcBorders>
          </w:tcPr>
          <w:p w14:paraId="7F3227AB" w14:textId="4954C6DE" w:rsidR="00C60652" w:rsidRPr="00FD51F3" w:rsidRDefault="003B21E6" w:rsidP="00FD51F3">
            <w:pPr>
              <w:pStyle w:val="NormalWeb"/>
              <w:ind w:right="13"/>
              <w:rPr>
                <w:rFonts w:eastAsia="Calibri"/>
                <w:b/>
                <w:bCs/>
                <w:lang w:eastAsia="en-US"/>
              </w:rPr>
            </w:pPr>
            <w:r w:rsidRPr="00FD51F3">
              <w:rPr>
                <w:rFonts w:eastAsia="Calibri"/>
                <w:b/>
                <w:bCs/>
                <w:lang w:eastAsia="en-US"/>
              </w:rPr>
              <w:t xml:space="preserve">Tieslietu ministrijas 22.01.2021 iebildums Nr.9 </w:t>
            </w:r>
            <w:r w:rsidRPr="00FD51F3">
              <w:rPr>
                <w:rFonts w:eastAsia="Calibri"/>
                <w:lang w:eastAsia="en-US"/>
              </w:rPr>
              <w:t>“Lūdzam anotācijā sniegt izvērstāku skaidrojumu par izvēlēto kārtību, kādā noteikts valsts pārvaldes uzdevumu ietvaros sniedzamo pakalpojumu saraksts, proti, kādēļ tieši šie pakalpojumi ir atzīti par prioritāriem, salīdzinot ar citiem pakalpojumiem.”</w:t>
            </w:r>
          </w:p>
        </w:tc>
        <w:tc>
          <w:tcPr>
            <w:tcW w:w="3829" w:type="dxa"/>
            <w:gridSpan w:val="2"/>
            <w:tcBorders>
              <w:left w:val="single" w:sz="6" w:space="0" w:color="000000"/>
              <w:bottom w:val="single" w:sz="4" w:space="0" w:color="auto"/>
              <w:right w:val="single" w:sz="6" w:space="0" w:color="000000"/>
            </w:tcBorders>
          </w:tcPr>
          <w:p w14:paraId="4228D657" w14:textId="18466FC0" w:rsidR="00C60652" w:rsidRPr="00FD51F3" w:rsidRDefault="00CA27C5" w:rsidP="00FD51F3">
            <w:pPr>
              <w:pStyle w:val="naisc"/>
              <w:spacing w:before="0" w:after="0"/>
              <w:jc w:val="left"/>
            </w:pPr>
            <w:r w:rsidRPr="00FD51F3">
              <w:rPr>
                <w:b/>
                <w:bCs/>
              </w:rPr>
              <w:t>Iebildums ir ņemts vērā</w:t>
            </w:r>
            <w:r w:rsidR="009B7DFF" w:rsidRPr="00FD51F3">
              <w:rPr>
                <w:b/>
                <w:bCs/>
              </w:rPr>
              <w:t xml:space="preserve"> </w:t>
            </w:r>
            <w:r w:rsidR="009B7DFF" w:rsidRPr="00FD51F3">
              <w:t>un anotācijas I. sadaļas 2.punkts ir papildināts.</w:t>
            </w:r>
          </w:p>
        </w:tc>
        <w:tc>
          <w:tcPr>
            <w:tcW w:w="2985" w:type="dxa"/>
            <w:tcBorders>
              <w:top w:val="single" w:sz="4" w:space="0" w:color="auto"/>
              <w:left w:val="single" w:sz="4" w:space="0" w:color="auto"/>
              <w:bottom w:val="single" w:sz="4" w:space="0" w:color="auto"/>
            </w:tcBorders>
          </w:tcPr>
          <w:p w14:paraId="40326089" w14:textId="61261DFC" w:rsidR="00CA27C5" w:rsidRPr="00FD51F3" w:rsidRDefault="00CA27C5" w:rsidP="00FD51F3">
            <w:r w:rsidRPr="00FD51F3">
              <w:t>Anotācijas I. sadaļas 2.punktā iekļauts: “Noteikumu pielikumā ir ietverti tiešās un pastarpinātās pārvaldes iestāžu sniegtie pakalpojumi, kuru sniegšanas termiņš var ietekmēt investīciju projektu īstenošanu no komersantu puses, neiekļaujot tādus pakalpojumus, kas ietekmē sabiedrības līdzdalības iesējas un tiesības attiecībā uz līdzdalību lēmumu pieņemšanas procesā to likumīgo interešu aizsardzībai.</w:t>
            </w:r>
          </w:p>
          <w:p w14:paraId="67AE3027" w14:textId="77777777" w:rsidR="00CA27C5" w:rsidRPr="00FD51F3" w:rsidRDefault="00CA27C5" w:rsidP="00FD51F3"/>
          <w:p w14:paraId="33B38DF7" w14:textId="2F5D2D6B" w:rsidR="00C60652" w:rsidRPr="00FD51F3" w:rsidRDefault="00CA27C5" w:rsidP="00FD51F3">
            <w:r w:rsidRPr="00FD51F3">
              <w:t>Pielikumā atbilstoši likumā ietvertajam deleģējumam ir ietverti arī tie gadījumi, kad ir nepieciešams saņemt saskaņojumu no privātpersonām, kuras ir iesaistītas pakalpojumu sniegšanā, veicot valsts pārvaldes uzdevumus, tostarp investīciju projekta īstenošanai nepieciešamo darbību saskaņošanā (piemēram, saistītās infrastruktūras turētāji).</w:t>
            </w:r>
            <w:r w:rsidR="009B7DFF" w:rsidRPr="00FD51F3">
              <w:t>”</w:t>
            </w:r>
          </w:p>
        </w:tc>
      </w:tr>
      <w:tr w:rsidR="009E67F2" w:rsidRPr="00FD51F3" w14:paraId="0F1E83F4" w14:textId="77777777" w:rsidTr="00C433A0">
        <w:trPr>
          <w:trHeight w:val="1652"/>
        </w:trPr>
        <w:tc>
          <w:tcPr>
            <w:tcW w:w="708" w:type="dxa"/>
            <w:tcBorders>
              <w:left w:val="single" w:sz="6" w:space="0" w:color="000000"/>
              <w:bottom w:val="single" w:sz="4" w:space="0" w:color="auto"/>
              <w:right w:val="single" w:sz="6" w:space="0" w:color="000000"/>
            </w:tcBorders>
          </w:tcPr>
          <w:p w14:paraId="416ACEB1" w14:textId="2C38A8E3" w:rsidR="00C60652" w:rsidRPr="00FD51F3" w:rsidRDefault="00971212" w:rsidP="00FD51F3">
            <w:pPr>
              <w:pStyle w:val="naisc"/>
              <w:spacing w:before="0" w:after="0"/>
              <w:jc w:val="left"/>
            </w:pPr>
            <w:r w:rsidRPr="00FD51F3">
              <w:lastRenderedPageBreak/>
              <w:t xml:space="preserve">21. </w:t>
            </w:r>
          </w:p>
        </w:tc>
        <w:tc>
          <w:tcPr>
            <w:tcW w:w="3511" w:type="dxa"/>
            <w:gridSpan w:val="2"/>
            <w:tcBorders>
              <w:left w:val="single" w:sz="6" w:space="0" w:color="000000"/>
              <w:bottom w:val="single" w:sz="4" w:space="0" w:color="auto"/>
              <w:right w:val="single" w:sz="6" w:space="0" w:color="000000"/>
            </w:tcBorders>
          </w:tcPr>
          <w:p w14:paraId="2AAC55D4" w14:textId="4795FA50" w:rsidR="00AC35F4" w:rsidRPr="00FD51F3" w:rsidRDefault="00AC35F4" w:rsidP="00FD51F3">
            <w:r w:rsidRPr="00FD51F3">
              <w:t>Pielikuma 1.5. apakšpunkts</w:t>
            </w:r>
          </w:p>
          <w:p w14:paraId="5EBA4BA3" w14:textId="77777777" w:rsidR="00AC35F4" w:rsidRPr="00FD51F3" w:rsidRDefault="00AC35F4" w:rsidP="00FD51F3"/>
          <w:tbl>
            <w:tblPr>
              <w:tblW w:w="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010"/>
            </w:tblGrid>
            <w:tr w:rsidR="00D82D30" w:rsidRPr="00FD51F3" w14:paraId="6DBBB98C" w14:textId="77777777" w:rsidTr="7EE60116">
              <w:tc>
                <w:tcPr>
                  <w:tcW w:w="1271" w:type="dxa"/>
                  <w:shd w:val="clear" w:color="auto" w:fill="auto"/>
                </w:tcPr>
                <w:p w14:paraId="7FDC5AC2" w14:textId="77777777" w:rsidR="00D82D30" w:rsidRPr="00FD51F3" w:rsidRDefault="00D82D3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b/>
                      <w:bCs/>
                      <w:color w:val="auto"/>
                      <w:sz w:val="24"/>
                      <w:szCs w:val="24"/>
                    </w:rPr>
                  </w:pPr>
                  <w:r w:rsidRPr="00FD51F3">
                    <w:rPr>
                      <w:rFonts w:ascii="Times New Roman" w:eastAsia="Times New Roman" w:hAnsi="Times New Roman" w:cs="Times New Roman"/>
                      <w:b/>
                      <w:bCs/>
                      <w:color w:val="auto"/>
                      <w:sz w:val="24"/>
                      <w:szCs w:val="24"/>
                    </w:rPr>
                    <w:t>1.5.</w:t>
                  </w:r>
                </w:p>
              </w:tc>
              <w:tc>
                <w:tcPr>
                  <w:tcW w:w="2010" w:type="dxa"/>
                  <w:shd w:val="clear" w:color="auto" w:fill="auto"/>
                </w:tcPr>
                <w:p w14:paraId="1DB676A7" w14:textId="77777777" w:rsidR="00D82D30" w:rsidRPr="00FD51F3" w:rsidRDefault="00D82D3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b/>
                      <w:bCs/>
                      <w:color w:val="auto"/>
                      <w:sz w:val="24"/>
                      <w:szCs w:val="24"/>
                    </w:rPr>
                  </w:pPr>
                  <w:r w:rsidRPr="00FD51F3">
                    <w:rPr>
                      <w:rFonts w:ascii="Times New Roman" w:eastAsia="Times New Roman" w:hAnsi="Times New Roman" w:cs="Times New Roman"/>
                      <w:b/>
                      <w:bCs/>
                      <w:color w:val="auto"/>
                      <w:sz w:val="24"/>
                      <w:szCs w:val="24"/>
                    </w:rPr>
                    <w:t xml:space="preserve">Likums “Par Latvijas </w:t>
                  </w:r>
                </w:p>
                <w:p w14:paraId="38617D70" w14:textId="77777777" w:rsidR="00D82D30" w:rsidRPr="00FD51F3" w:rsidRDefault="00D82D3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b/>
                      <w:bCs/>
                      <w:color w:val="auto"/>
                      <w:sz w:val="24"/>
                      <w:szCs w:val="24"/>
                    </w:rPr>
                  </w:pPr>
                  <w:r w:rsidRPr="00FD51F3">
                    <w:rPr>
                      <w:rFonts w:ascii="Times New Roman" w:eastAsia="Times New Roman" w:hAnsi="Times New Roman" w:cs="Times New Roman"/>
                      <w:b/>
                      <w:bCs/>
                      <w:color w:val="auto"/>
                      <w:sz w:val="24"/>
                      <w:szCs w:val="24"/>
                    </w:rPr>
                    <w:t>Republikas Uzņēmumu</w:t>
                  </w:r>
                </w:p>
                <w:p w14:paraId="4392B1CC" w14:textId="0F15F4AD" w:rsidR="00D82D30" w:rsidRPr="00FD51F3" w:rsidRDefault="00D82D3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b/>
                      <w:bCs/>
                      <w:color w:val="auto"/>
                      <w:sz w:val="24"/>
                      <w:szCs w:val="24"/>
                    </w:rPr>
                  </w:pPr>
                  <w:r w:rsidRPr="00FD51F3">
                    <w:rPr>
                      <w:rFonts w:ascii="Times New Roman" w:eastAsia="Times New Roman" w:hAnsi="Times New Roman" w:cs="Times New Roman"/>
                      <w:b/>
                      <w:bCs/>
                      <w:color w:val="auto"/>
                      <w:sz w:val="24"/>
                      <w:szCs w:val="24"/>
                    </w:rPr>
                    <w:t>reģistru”</w:t>
                  </w:r>
                </w:p>
              </w:tc>
            </w:tr>
            <w:tr w:rsidR="00D82D30" w:rsidRPr="00FD51F3" w14:paraId="1206F1B6" w14:textId="77777777" w:rsidTr="7EE60116">
              <w:tc>
                <w:tcPr>
                  <w:tcW w:w="1271" w:type="dxa"/>
                  <w:shd w:val="clear" w:color="auto" w:fill="auto"/>
                </w:tcPr>
                <w:p w14:paraId="55CA12EA" w14:textId="77777777" w:rsidR="00D82D30" w:rsidRPr="00FD51F3" w:rsidRDefault="00D82D3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4"/>
                      <w:szCs w:val="24"/>
                    </w:rPr>
                  </w:pPr>
                  <w:r w:rsidRPr="00FD51F3">
                    <w:rPr>
                      <w:rFonts w:ascii="Times New Roman" w:eastAsia="Times New Roman" w:hAnsi="Times New Roman" w:cs="Times New Roman"/>
                      <w:color w:val="auto"/>
                      <w:sz w:val="24"/>
                      <w:szCs w:val="24"/>
                    </w:rPr>
                    <w:t>1.5.1.</w:t>
                  </w:r>
                </w:p>
              </w:tc>
              <w:tc>
                <w:tcPr>
                  <w:tcW w:w="2010" w:type="dxa"/>
                  <w:shd w:val="clear" w:color="auto" w:fill="auto"/>
                </w:tcPr>
                <w:p w14:paraId="444479F1" w14:textId="77777777" w:rsidR="00D82D30" w:rsidRPr="00FD51F3" w:rsidRDefault="00D82D30" w:rsidP="00FD51F3">
                  <w:pPr>
                    <w:pStyle w:val="Body0"/>
                    <w:pBdr>
                      <w:top w:val="none" w:sz="0" w:space="0" w:color="auto"/>
                      <w:left w:val="none" w:sz="0" w:space="0" w:color="auto"/>
                      <w:bottom w:val="none" w:sz="0" w:space="0" w:color="auto"/>
                      <w:right w:val="none" w:sz="0" w:space="0" w:color="auto"/>
                      <w:between w:val="none" w:sz="0" w:space="0" w:color="auto"/>
                      <w:bar w:val="none" w:sz="0" w:color="auto"/>
                    </w:pBdr>
                    <w:tabs>
                      <w:tab w:val="left" w:pos="6521"/>
                    </w:tabs>
                    <w:spacing w:after="0" w:line="240" w:lineRule="auto"/>
                    <w:rPr>
                      <w:rFonts w:ascii="Times New Roman" w:eastAsia="Times New Roman" w:hAnsi="Times New Roman" w:cs="Times New Roman"/>
                      <w:color w:val="auto"/>
                      <w:sz w:val="24"/>
                      <w:szCs w:val="24"/>
                    </w:rPr>
                  </w:pPr>
                  <w:r w:rsidRPr="00FD51F3">
                    <w:rPr>
                      <w:rFonts w:ascii="Times New Roman" w:eastAsia="Times New Roman" w:hAnsi="Times New Roman" w:cs="Times New Roman"/>
                      <w:color w:val="auto"/>
                      <w:sz w:val="24"/>
                      <w:szCs w:val="24"/>
                    </w:rPr>
                    <w:t>8.panta devītā daļa</w:t>
                  </w:r>
                </w:p>
              </w:tc>
            </w:tr>
          </w:tbl>
          <w:p w14:paraId="398831A5" w14:textId="77777777" w:rsidR="00C60652" w:rsidRPr="00FD51F3" w:rsidRDefault="00C60652" w:rsidP="00FD51F3">
            <w:pPr>
              <w:pStyle w:val="naisc"/>
              <w:spacing w:before="0" w:after="0"/>
              <w:jc w:val="left"/>
            </w:pPr>
          </w:p>
        </w:tc>
        <w:tc>
          <w:tcPr>
            <w:tcW w:w="3969" w:type="dxa"/>
            <w:tcBorders>
              <w:left w:val="single" w:sz="6" w:space="0" w:color="000000"/>
              <w:bottom w:val="single" w:sz="4" w:space="0" w:color="auto"/>
              <w:right w:val="single" w:sz="6" w:space="0" w:color="000000"/>
            </w:tcBorders>
          </w:tcPr>
          <w:p w14:paraId="38E55C83" w14:textId="3EA68CC5" w:rsidR="00C60652" w:rsidRPr="00FD51F3" w:rsidRDefault="00971212" w:rsidP="00FD51F3">
            <w:pPr>
              <w:pStyle w:val="NormalWeb"/>
              <w:spacing w:before="0" w:after="0"/>
              <w:ind w:right="13"/>
            </w:pPr>
            <w:r w:rsidRPr="00FD51F3">
              <w:rPr>
                <w:rFonts w:eastAsia="Calibri"/>
                <w:b/>
                <w:bCs/>
                <w:lang w:eastAsia="en-US"/>
              </w:rPr>
              <w:t xml:space="preserve">Tieslietu ministrijas 22.01.2021 iebildums Nr.10 </w:t>
            </w:r>
            <w:r w:rsidR="004661AD" w:rsidRPr="00FD51F3">
              <w:rPr>
                <w:rFonts w:eastAsia="Calibri"/>
                <w:b/>
                <w:bCs/>
                <w:lang w:eastAsia="en-US"/>
              </w:rPr>
              <w:t>“</w:t>
            </w:r>
            <w:r w:rsidR="004661AD" w:rsidRPr="00FD51F3">
              <w:t>Projekta 3. punkts noteic, ka projekta pielikumā norādītie valsts pārvaldes pakalpojumi un gadījumi, nodrošināmi prioritārā kārtībā un termiņā attiecībā uz</w:t>
            </w:r>
            <w:r w:rsidR="00586B66" w:rsidRPr="00FD51F3">
              <w:t xml:space="preserve"> </w:t>
            </w:r>
            <w:r w:rsidR="004661AD" w:rsidRPr="00FD51F3">
              <w:t xml:space="preserve">prioritārajiem investīciju projektiem. </w:t>
            </w:r>
            <w:r w:rsidR="00586B66" w:rsidRPr="00FD51F3">
              <w:t xml:space="preserve">(..) </w:t>
            </w:r>
            <w:r w:rsidR="004661AD" w:rsidRPr="00FD51F3">
              <w:t>Latvijas Republikas turpmāk – Reģistrs) kompetencē ir pasākums, kas norādīts pielikuma 5. punktā un kuru regulē likuma "Par Latvijas Republikas Uzņēmumu reģistru" (turpmāk - Reģistra likums) 8. panta devītā daļa.</w:t>
            </w:r>
            <w:r w:rsidR="00586B66" w:rsidRPr="00FD51F3">
              <w:t xml:space="preserve"> (..) </w:t>
            </w:r>
            <w:r w:rsidR="004661AD" w:rsidRPr="00FD51F3">
              <w:t>Vēršam uzmanību, ka norādītā tiesību norma nav attiecināma uz komersantiem, bet gan ir attiecināma uz Uzņēmumu reģistra žurnālā ierakstāmajiem subjektiem - individuālajiem (ģimenes) uzņēmumiem, zemnieka un zvejnieka saimniecību, kooperatīvajām sabiedrībām. Līdz ar to lūdzam svītrot projekta pielikuma 5. punktu</w:t>
            </w:r>
            <w:r w:rsidR="00E354CB" w:rsidRPr="00FD51F3">
              <w:t>.</w:t>
            </w:r>
            <w:r w:rsidR="005A0298" w:rsidRPr="00FD51F3">
              <w:t>(..)</w:t>
            </w:r>
          </w:p>
        </w:tc>
        <w:tc>
          <w:tcPr>
            <w:tcW w:w="3829" w:type="dxa"/>
            <w:gridSpan w:val="2"/>
            <w:tcBorders>
              <w:left w:val="single" w:sz="6" w:space="0" w:color="000000"/>
              <w:bottom w:val="single" w:sz="4" w:space="0" w:color="auto"/>
              <w:right w:val="single" w:sz="6" w:space="0" w:color="000000"/>
            </w:tcBorders>
          </w:tcPr>
          <w:p w14:paraId="521AD1B3" w14:textId="5F422772" w:rsidR="00C60652" w:rsidRPr="00FD51F3" w:rsidRDefault="005A0298" w:rsidP="00FD51F3">
            <w:pPr>
              <w:pStyle w:val="naisc"/>
              <w:spacing w:before="0" w:after="0"/>
              <w:jc w:val="left"/>
            </w:pPr>
            <w:r w:rsidRPr="00FD51F3">
              <w:rPr>
                <w:b/>
                <w:bCs/>
              </w:rPr>
              <w:t xml:space="preserve">Iebildums ir ņemts vērā </w:t>
            </w:r>
            <w:r w:rsidRPr="00FD51F3">
              <w:t xml:space="preserve">un likuma "Par Latvijas Republikas Uzņēmumu reģistru" 8.panta devītā daļa </w:t>
            </w:r>
            <w:r w:rsidR="0001490F" w:rsidRPr="00FD51F3">
              <w:t>ir izslēgta no pielikuma</w:t>
            </w:r>
            <w:r w:rsidR="00D82D30" w:rsidRPr="00FD51F3">
              <w:t xml:space="preserve"> (Pielikuma 1.5.p.)</w:t>
            </w:r>
          </w:p>
        </w:tc>
        <w:tc>
          <w:tcPr>
            <w:tcW w:w="2985" w:type="dxa"/>
            <w:tcBorders>
              <w:top w:val="single" w:sz="4" w:space="0" w:color="auto"/>
              <w:left w:val="single" w:sz="4" w:space="0" w:color="auto"/>
              <w:bottom w:val="single" w:sz="4" w:space="0" w:color="auto"/>
            </w:tcBorders>
          </w:tcPr>
          <w:p w14:paraId="69EB9E23" w14:textId="289F92BA" w:rsidR="00C60652" w:rsidRPr="00FD51F3" w:rsidRDefault="00D82D30" w:rsidP="00FD51F3">
            <w:r w:rsidRPr="00FD51F3">
              <w:t>Pielikums ir precizēts</w:t>
            </w:r>
          </w:p>
        </w:tc>
      </w:tr>
      <w:tr w:rsidR="009E67F2" w:rsidRPr="00FD51F3" w14:paraId="41B49460" w14:textId="77777777" w:rsidTr="00C433A0">
        <w:trPr>
          <w:trHeight w:val="1652"/>
        </w:trPr>
        <w:tc>
          <w:tcPr>
            <w:tcW w:w="708" w:type="dxa"/>
            <w:tcBorders>
              <w:left w:val="single" w:sz="6" w:space="0" w:color="000000"/>
              <w:bottom w:val="single" w:sz="4" w:space="0" w:color="auto"/>
              <w:right w:val="single" w:sz="6" w:space="0" w:color="000000"/>
            </w:tcBorders>
          </w:tcPr>
          <w:p w14:paraId="4598B97E" w14:textId="171FE626" w:rsidR="00C60652" w:rsidRPr="00FD51F3" w:rsidRDefault="00AC35F4" w:rsidP="00FD51F3">
            <w:pPr>
              <w:pStyle w:val="naisc"/>
              <w:spacing w:before="0" w:after="0"/>
              <w:jc w:val="left"/>
            </w:pPr>
            <w:r w:rsidRPr="00FD51F3">
              <w:t>22.</w:t>
            </w:r>
          </w:p>
        </w:tc>
        <w:tc>
          <w:tcPr>
            <w:tcW w:w="3511" w:type="dxa"/>
            <w:gridSpan w:val="2"/>
            <w:tcBorders>
              <w:left w:val="single" w:sz="6" w:space="0" w:color="000000"/>
              <w:bottom w:val="single" w:sz="4" w:space="0" w:color="auto"/>
              <w:right w:val="single" w:sz="6" w:space="0" w:color="000000"/>
            </w:tcBorders>
          </w:tcPr>
          <w:p w14:paraId="2BF6D811" w14:textId="66862182" w:rsidR="00C60652" w:rsidRPr="00FD51F3" w:rsidRDefault="061DE0A2" w:rsidP="00FD51F3">
            <w:r w:rsidRPr="00FD51F3">
              <w:t>“4.1.  ieguldījumu apjoms trīs gadu periodā ir vismaz 10 000 000 euro, un tas tiek veikts, lai nodrošinātu komercdarbību vismaz vienā no 2. punktā  minētajiem sektoriem (darbības jomām), tai skaitā pakalpojumu nodrošināšanā šo sektoru uzņēmumiem;”</w:t>
            </w:r>
          </w:p>
          <w:p w14:paraId="0F10ED78" w14:textId="6158473A" w:rsidR="00C60652" w:rsidRPr="00FD51F3" w:rsidRDefault="00C60652" w:rsidP="00FD51F3">
            <w:pPr>
              <w:pStyle w:val="naisc"/>
              <w:spacing w:before="0" w:after="0"/>
              <w:jc w:val="left"/>
            </w:pPr>
          </w:p>
        </w:tc>
        <w:tc>
          <w:tcPr>
            <w:tcW w:w="3969" w:type="dxa"/>
            <w:tcBorders>
              <w:left w:val="single" w:sz="6" w:space="0" w:color="000000"/>
              <w:bottom w:val="single" w:sz="4" w:space="0" w:color="auto"/>
              <w:right w:val="single" w:sz="6" w:space="0" w:color="000000"/>
            </w:tcBorders>
          </w:tcPr>
          <w:p w14:paraId="1772CE24" w14:textId="76E942D8" w:rsidR="00C60652" w:rsidRPr="00FD51F3" w:rsidRDefault="2EEA8A82" w:rsidP="00FD51F3">
            <w:pPr>
              <w:pStyle w:val="NormalWeb"/>
              <w:ind w:right="13"/>
            </w:pPr>
            <w:r w:rsidRPr="00FD51F3">
              <w:rPr>
                <w:b/>
                <w:bCs/>
                <w:lang w:eastAsia="en-US"/>
              </w:rPr>
              <w:t>Kurzemes plānošanas reģiona 21.01.2021 iebildums</w:t>
            </w:r>
            <w:r w:rsidR="79948F19" w:rsidRPr="00FD51F3">
              <w:rPr>
                <w:b/>
                <w:bCs/>
                <w:lang w:eastAsia="en-US"/>
              </w:rPr>
              <w:t xml:space="preserve"> </w:t>
            </w:r>
            <w:r w:rsidRPr="00FD51F3">
              <w:rPr>
                <w:b/>
                <w:bCs/>
                <w:lang w:eastAsia="en-US"/>
              </w:rPr>
              <w:t xml:space="preserve">Nr.1: </w:t>
            </w:r>
            <w:r w:rsidR="2FB1FD45" w:rsidRPr="00FD51F3">
              <w:rPr>
                <w:b/>
                <w:bCs/>
                <w:lang w:eastAsia="en-US"/>
              </w:rPr>
              <w:t>“</w:t>
            </w:r>
            <w:r w:rsidR="4F5EF165" w:rsidRPr="00FD51F3">
              <w:t>Noteikumu 4.1. apakšpunktu papildināt ar norādi, ka ieguldījumu apjoms Kurzemes, Zemgales, Latgales un Vidzemes plānošanas reģionos trīs gadu periodā - vismaz 5 000 000 euro”</w:t>
            </w:r>
            <w:r w:rsidR="7ACB6525" w:rsidRPr="00FD51F3">
              <w:t>.</w:t>
            </w:r>
          </w:p>
        </w:tc>
        <w:tc>
          <w:tcPr>
            <w:tcW w:w="3829" w:type="dxa"/>
            <w:gridSpan w:val="2"/>
            <w:tcBorders>
              <w:left w:val="single" w:sz="6" w:space="0" w:color="000000"/>
              <w:bottom w:val="single" w:sz="4" w:space="0" w:color="auto"/>
              <w:right w:val="single" w:sz="6" w:space="0" w:color="000000"/>
            </w:tcBorders>
          </w:tcPr>
          <w:p w14:paraId="2A5B01BD" w14:textId="0CC3FC71" w:rsidR="00C60652" w:rsidRPr="00FD51F3" w:rsidRDefault="4F5EF165" w:rsidP="00FD51F3">
            <w:pPr>
              <w:pStyle w:val="naisc"/>
              <w:spacing w:before="0" w:after="0"/>
              <w:jc w:val="left"/>
            </w:pPr>
            <w:r w:rsidRPr="00FD51F3">
              <w:rPr>
                <w:b/>
                <w:bCs/>
              </w:rPr>
              <w:t>Iebildums ņemts vērā</w:t>
            </w:r>
            <w:r w:rsidR="00B24F76" w:rsidRPr="00FD51F3">
              <w:t xml:space="preserve"> un noteikumu 4.4.1.apakšpunktā veikti atbilstoši precizējumi.</w:t>
            </w:r>
          </w:p>
        </w:tc>
        <w:tc>
          <w:tcPr>
            <w:tcW w:w="2985" w:type="dxa"/>
            <w:tcBorders>
              <w:top w:val="single" w:sz="4" w:space="0" w:color="auto"/>
              <w:left w:val="single" w:sz="4" w:space="0" w:color="auto"/>
              <w:bottom w:val="single" w:sz="4" w:space="0" w:color="auto"/>
            </w:tcBorders>
          </w:tcPr>
          <w:p w14:paraId="005E6E28" w14:textId="70FBCFAA" w:rsidR="00C60652" w:rsidRPr="00FD51F3" w:rsidRDefault="00CF6069" w:rsidP="00FD51F3">
            <w:pPr>
              <w:spacing w:after="160"/>
              <w:rPr>
                <w:color w:val="000000"/>
              </w:rPr>
            </w:pPr>
            <w:r w:rsidRPr="00FD51F3">
              <w:rPr>
                <w:color w:val="000000"/>
              </w:rPr>
              <w:t>“</w:t>
            </w:r>
            <w:r w:rsidR="0F372845" w:rsidRPr="00FD51F3">
              <w:rPr>
                <w:color w:val="000000"/>
              </w:rPr>
              <w:t xml:space="preserve">4.4.1. kopējais ieguldījumu apjoms trīs gadu periodā no investīciju projekta uzsākšanas dienas ir vismaz 5 000 000 euro (Rīgas pilsētas administratīvajā teritorijā - vismaz 10 000 000 euro), un tas tiek veikts, lai nodrošinātu komercdarbību vismaz </w:t>
            </w:r>
            <w:r w:rsidR="0F372845" w:rsidRPr="00FD51F3">
              <w:rPr>
                <w:color w:val="000000"/>
              </w:rPr>
              <w:lastRenderedPageBreak/>
              <w:t>vienā no 2. punktā  minētajiem sektoriem (darbības jomām);</w:t>
            </w:r>
            <w:r w:rsidRPr="00FD51F3">
              <w:rPr>
                <w:color w:val="000000"/>
              </w:rPr>
              <w:t>”</w:t>
            </w:r>
          </w:p>
        </w:tc>
      </w:tr>
      <w:tr w:rsidR="009E67F2" w:rsidRPr="00FD51F3" w14:paraId="443410E8" w14:textId="77777777" w:rsidTr="00C433A0">
        <w:trPr>
          <w:trHeight w:val="1652"/>
        </w:trPr>
        <w:tc>
          <w:tcPr>
            <w:tcW w:w="708" w:type="dxa"/>
            <w:tcBorders>
              <w:left w:val="single" w:sz="6" w:space="0" w:color="000000"/>
              <w:bottom w:val="single" w:sz="4" w:space="0" w:color="auto"/>
              <w:right w:val="single" w:sz="6" w:space="0" w:color="000000"/>
            </w:tcBorders>
          </w:tcPr>
          <w:p w14:paraId="0B2FF247" w14:textId="6C5B823D" w:rsidR="4F5EF165" w:rsidRPr="00FD51F3" w:rsidRDefault="4F5EF165" w:rsidP="00FD51F3">
            <w:pPr>
              <w:pStyle w:val="naisc"/>
              <w:jc w:val="left"/>
            </w:pPr>
            <w:r w:rsidRPr="00FD51F3">
              <w:lastRenderedPageBreak/>
              <w:t>23.</w:t>
            </w:r>
          </w:p>
        </w:tc>
        <w:tc>
          <w:tcPr>
            <w:tcW w:w="3511" w:type="dxa"/>
            <w:gridSpan w:val="2"/>
            <w:tcBorders>
              <w:left w:val="single" w:sz="6" w:space="0" w:color="000000"/>
              <w:bottom w:val="single" w:sz="4" w:space="0" w:color="auto"/>
              <w:right w:val="single" w:sz="6" w:space="0" w:color="000000"/>
            </w:tcBorders>
          </w:tcPr>
          <w:p w14:paraId="7DB43DB6" w14:textId="77777777" w:rsidR="009B16EA" w:rsidRPr="00FD51F3" w:rsidRDefault="004446A4" w:rsidP="00FD51F3">
            <w:pPr>
              <w:pStyle w:val="naisc"/>
              <w:jc w:val="left"/>
            </w:pPr>
            <w:r w:rsidRPr="00FD51F3">
              <w:t>“4.2. investīciju projekta īstenošanas rezultātā plānoto darba vietu skaits ir vismaz 100 jaunas darba vietas (Rīgas pilsētas pašvaldībā administratīvajā teritorijā - vismaz 150 jaunas darba vietas);</w:t>
            </w:r>
            <w:r w:rsidR="009B16EA" w:rsidRPr="00FD51F3">
              <w:t xml:space="preserve"> </w:t>
            </w:r>
          </w:p>
          <w:p w14:paraId="5836ACCF" w14:textId="0544D4E6" w:rsidR="7EE60116" w:rsidRPr="00FD51F3" w:rsidRDefault="009B16EA" w:rsidP="00FD51F3">
            <w:pPr>
              <w:pStyle w:val="naisc"/>
              <w:jc w:val="left"/>
            </w:pPr>
            <w:r w:rsidRPr="00FD51F3">
              <w:t>4.3. komersanta plānotā mēneša vidējā bruto darba samaksa darbiniekiem ir ne mazāka kā 2500 euro, un investīciju projekta īstenošanas rezultātā plānoto no jauna radīto darba vietu skaits ir vismaz 50 jaunas darba vietas.</w:t>
            </w:r>
            <w:r w:rsidR="004446A4" w:rsidRPr="00FD51F3">
              <w:t>”</w:t>
            </w:r>
          </w:p>
        </w:tc>
        <w:tc>
          <w:tcPr>
            <w:tcW w:w="3969" w:type="dxa"/>
            <w:tcBorders>
              <w:left w:val="single" w:sz="6" w:space="0" w:color="000000"/>
              <w:bottom w:val="single" w:sz="4" w:space="0" w:color="auto"/>
              <w:right w:val="single" w:sz="6" w:space="0" w:color="000000"/>
            </w:tcBorders>
          </w:tcPr>
          <w:p w14:paraId="7AB61E3A" w14:textId="0B7CD06D" w:rsidR="0050061C" w:rsidRPr="00FD51F3" w:rsidRDefault="4F5EF165" w:rsidP="00FD51F3">
            <w:r w:rsidRPr="00FD51F3">
              <w:rPr>
                <w:b/>
                <w:bCs/>
                <w:color w:val="000000"/>
              </w:rPr>
              <w:t>Kurzemes plānošanas reģiona 21.01.2021 iebildums Nr.2:</w:t>
            </w:r>
            <w:r w:rsidR="59607F18" w:rsidRPr="00FD51F3">
              <w:rPr>
                <w:b/>
                <w:bCs/>
                <w:color w:val="000000"/>
              </w:rPr>
              <w:t xml:space="preserve"> “</w:t>
            </w:r>
            <w:r w:rsidR="59607F18" w:rsidRPr="00FD51F3">
              <w:t>Noteikumu 4.2. apakšpunkt papildināt ar norādi, ka investīciju projekta īstenošanas rezultātā plānoto darba vietu skaits</w:t>
            </w:r>
            <w:r w:rsidR="59607F18" w:rsidRPr="00FD51F3">
              <w:rPr>
                <w:b/>
                <w:bCs/>
              </w:rPr>
              <w:t xml:space="preserve"> </w:t>
            </w:r>
            <w:r w:rsidR="59607F18" w:rsidRPr="00FD51F3">
              <w:t>Kurzemes, Zemgales, Latgales un Vidzemes plānošanas reģionos ir vismaz 50 jaunas darba vietas”</w:t>
            </w:r>
            <w:r w:rsidR="002407ED" w:rsidRPr="00FD51F3">
              <w:t xml:space="preserve"> </w:t>
            </w:r>
            <w:r w:rsidR="002407ED" w:rsidRPr="00FD51F3">
              <w:rPr>
                <w:b/>
                <w:bCs/>
              </w:rPr>
              <w:t xml:space="preserve">un </w:t>
            </w:r>
            <w:r w:rsidR="0050061C" w:rsidRPr="00FD51F3">
              <w:rPr>
                <w:b/>
                <w:bCs/>
              </w:rPr>
              <w:t>iebildums</w:t>
            </w:r>
            <w:r w:rsidR="0050061C" w:rsidRPr="00FD51F3">
              <w:t xml:space="preserve"> </w:t>
            </w:r>
            <w:r w:rsidR="002407ED" w:rsidRPr="00FD51F3">
              <w:rPr>
                <w:b/>
                <w:bCs/>
              </w:rPr>
              <w:t>Nr</w:t>
            </w:r>
            <w:r w:rsidR="00754BC7" w:rsidRPr="00FD51F3">
              <w:rPr>
                <w:b/>
                <w:bCs/>
              </w:rPr>
              <w:t>.</w:t>
            </w:r>
            <w:r w:rsidR="002407ED" w:rsidRPr="00FD51F3">
              <w:rPr>
                <w:b/>
                <w:bCs/>
              </w:rPr>
              <w:t>3</w:t>
            </w:r>
            <w:r w:rsidR="00754BC7" w:rsidRPr="00FD51F3">
              <w:rPr>
                <w:b/>
                <w:bCs/>
              </w:rPr>
              <w:t>:</w:t>
            </w:r>
            <w:r w:rsidR="0050061C" w:rsidRPr="00FD51F3">
              <w:rPr>
                <w:b/>
                <w:bCs/>
              </w:rPr>
              <w:t xml:space="preserve"> “</w:t>
            </w:r>
            <w:r w:rsidR="0050061C" w:rsidRPr="00FD51F3">
              <w:t>Noteikumu 4.3. apakšpunktu papildināt ar norādi, ka komersanta plānotā mēneša vidējā bruto darba samaksa darbiniekiem apjoms Kurzemes, Zemgales, Latgales un Vidzemes plānošanas reģionos ne mazāka kā 1500 euro, un investīciju projekta īstenošanas rezultātā plānoto no jauna radīto darba vietu skaits ir vismaz 30 jaunas darba vietas.”</w:t>
            </w:r>
          </w:p>
          <w:p w14:paraId="0468401C" w14:textId="37B29FF7" w:rsidR="4F5EF165" w:rsidRPr="00FD51F3" w:rsidRDefault="4F5EF165" w:rsidP="00FD51F3">
            <w:pPr>
              <w:pStyle w:val="NormalWeb"/>
              <w:rPr>
                <w:b/>
                <w:bCs/>
              </w:rPr>
            </w:pPr>
          </w:p>
        </w:tc>
        <w:tc>
          <w:tcPr>
            <w:tcW w:w="3829" w:type="dxa"/>
            <w:gridSpan w:val="2"/>
            <w:tcBorders>
              <w:left w:val="single" w:sz="6" w:space="0" w:color="000000"/>
              <w:bottom w:val="single" w:sz="4" w:space="0" w:color="auto"/>
              <w:right w:val="single" w:sz="6" w:space="0" w:color="000000"/>
            </w:tcBorders>
          </w:tcPr>
          <w:p w14:paraId="6220A198" w14:textId="77777777" w:rsidR="00B82B0D" w:rsidRPr="00FD51F3" w:rsidRDefault="59607F18" w:rsidP="00FD51F3">
            <w:pPr>
              <w:pStyle w:val="naisc"/>
              <w:spacing w:before="0" w:after="0"/>
              <w:jc w:val="left"/>
            </w:pPr>
            <w:r w:rsidRPr="00FD51F3">
              <w:rPr>
                <w:b/>
                <w:bCs/>
              </w:rPr>
              <w:t>Iebildum</w:t>
            </w:r>
            <w:r w:rsidR="008363F8" w:rsidRPr="00FD51F3">
              <w:rPr>
                <w:b/>
                <w:bCs/>
              </w:rPr>
              <w:t xml:space="preserve">i ir </w:t>
            </w:r>
            <w:r w:rsidRPr="00FD51F3">
              <w:rPr>
                <w:b/>
                <w:bCs/>
              </w:rPr>
              <w:t>ņemt</w:t>
            </w:r>
            <w:r w:rsidR="008363F8" w:rsidRPr="00FD51F3">
              <w:rPr>
                <w:b/>
                <w:bCs/>
              </w:rPr>
              <w:t>i</w:t>
            </w:r>
            <w:r w:rsidRPr="00FD51F3">
              <w:rPr>
                <w:b/>
                <w:bCs/>
              </w:rPr>
              <w:t xml:space="preserve"> vērā</w:t>
            </w:r>
            <w:r w:rsidR="00027C63" w:rsidRPr="00FD51F3">
              <w:rPr>
                <w:b/>
                <w:bCs/>
              </w:rPr>
              <w:t xml:space="preserve"> daļēji</w:t>
            </w:r>
            <w:r w:rsidR="0001337C" w:rsidRPr="00FD51F3">
              <w:rPr>
                <w:b/>
                <w:bCs/>
              </w:rPr>
              <w:t xml:space="preserve">: </w:t>
            </w:r>
            <w:r w:rsidR="0001337C" w:rsidRPr="00FD51F3">
              <w:t xml:space="preserve">1) </w:t>
            </w:r>
            <w:r w:rsidR="00154180" w:rsidRPr="00FD51F3">
              <w:t xml:space="preserve">samazinot </w:t>
            </w:r>
            <w:r w:rsidR="005A4F3A" w:rsidRPr="00FD51F3">
              <w:t xml:space="preserve">no jauna radīto </w:t>
            </w:r>
            <w:r w:rsidR="00154180" w:rsidRPr="00FD51F3">
              <w:t xml:space="preserve">darba vietu skaitu </w:t>
            </w:r>
            <w:r w:rsidR="005A4F3A" w:rsidRPr="00FD51F3">
              <w:t xml:space="preserve">no 100 uz </w:t>
            </w:r>
            <w:r w:rsidR="00560711" w:rsidRPr="00FD51F3">
              <w:t>75 reģionos un no 150 uz 100 Rīgas pilsētas administratīvajā teritorijā</w:t>
            </w:r>
            <w:r w:rsidR="000E0F70" w:rsidRPr="00FD51F3">
              <w:t xml:space="preserve">, kā arī precizējot, ka </w:t>
            </w:r>
            <w:r w:rsidR="00C50C0C" w:rsidRPr="00FD51F3">
              <w:t xml:space="preserve">kritērijs vērtējams </w:t>
            </w:r>
            <w:r w:rsidR="0048443A" w:rsidRPr="00FD51F3">
              <w:t xml:space="preserve">ilgākā, </w:t>
            </w:r>
            <w:r w:rsidR="00C50C0C" w:rsidRPr="00FD51F3">
              <w:t>3 gadu periodā</w:t>
            </w:r>
            <w:r w:rsidR="0001337C" w:rsidRPr="00FD51F3">
              <w:t xml:space="preserve">; 2) piesaistot </w:t>
            </w:r>
            <w:r w:rsidR="001063CB" w:rsidRPr="00FD51F3">
              <w:t>vidējās bruto algas samaks</w:t>
            </w:r>
            <w:r w:rsidR="0049794E" w:rsidRPr="00FD51F3">
              <w:t xml:space="preserve">as kritēriju </w:t>
            </w:r>
            <w:r w:rsidR="001063CB" w:rsidRPr="00FD51F3">
              <w:t>vidējai bruto algai valstīt</w:t>
            </w:r>
            <w:r w:rsidR="00F056E7" w:rsidRPr="00FD51F3">
              <w:t xml:space="preserve"> iepriekšējā kalendārajā gadā</w:t>
            </w:r>
            <w:r w:rsidR="001063CB" w:rsidRPr="00FD51F3">
              <w:t xml:space="preserve"> un nosakot</w:t>
            </w:r>
            <w:r w:rsidR="009F1846" w:rsidRPr="00FD51F3">
              <w:t>, ka tiek piemērots koeficients 1.5 reģionos un koeficients 2 Rīgas pilsētas administratīvajā teritorijā</w:t>
            </w:r>
            <w:r w:rsidR="00782237" w:rsidRPr="00FD51F3">
              <w:t xml:space="preserve"> (p</w:t>
            </w:r>
            <w:r w:rsidR="00B30AD8" w:rsidRPr="00FD51F3">
              <w:t xml:space="preserve">ēc </w:t>
            </w:r>
            <w:r w:rsidR="00B5152E" w:rsidRPr="00FD51F3">
              <w:t xml:space="preserve">Centrālās statistikas pārvaldes </w:t>
            </w:r>
            <w:r w:rsidR="00B30AD8" w:rsidRPr="00FD51F3">
              <w:t>datiem</w:t>
            </w:r>
            <w:r w:rsidR="00B5152E" w:rsidRPr="00FD51F3">
              <w:t xml:space="preserve"> vidējā bruto</w:t>
            </w:r>
            <w:r w:rsidR="00B30AD8" w:rsidRPr="00FD51F3">
              <w:t xml:space="preserve"> </w:t>
            </w:r>
            <w:r w:rsidR="00B5152E" w:rsidRPr="00FD51F3">
              <w:t>alga 2020.g. 2.cet. bija 1118 eur</w:t>
            </w:r>
            <w:r w:rsidR="00782237" w:rsidRPr="00FD51F3">
              <w:t xml:space="preserve">; </w:t>
            </w:r>
            <w:r w:rsidR="00B000BD" w:rsidRPr="00FD51F3">
              <w:t xml:space="preserve">tātad reģionos </w:t>
            </w:r>
            <w:r w:rsidR="00F056E7" w:rsidRPr="00FD51F3">
              <w:t>izpildāmais kritērijs</w:t>
            </w:r>
            <w:r w:rsidR="00B000BD" w:rsidRPr="00FD51F3">
              <w:t xml:space="preserve"> būt</w:t>
            </w:r>
            <w:r w:rsidR="00F056E7" w:rsidRPr="00FD51F3">
              <w:t>u</w:t>
            </w:r>
            <w:r w:rsidR="00B000BD" w:rsidRPr="00FD51F3">
              <w:t xml:space="preserve"> 1677 eur)</w:t>
            </w:r>
            <w:r w:rsidR="0049794E" w:rsidRPr="00FD51F3">
              <w:t>; 3)</w:t>
            </w:r>
            <w:r w:rsidR="004C6A7D" w:rsidRPr="00FD51F3">
              <w:t xml:space="preserve"> dodot</w:t>
            </w:r>
            <w:r w:rsidR="0049783C" w:rsidRPr="00FD51F3">
              <w:t xml:space="preserve"> </w:t>
            </w:r>
            <w:r w:rsidR="00E33823" w:rsidRPr="00FD51F3">
              <w:t>komersanti</w:t>
            </w:r>
            <w:r w:rsidR="004C6A7D" w:rsidRPr="00FD51F3">
              <w:t>em iespēju</w:t>
            </w:r>
            <w:r w:rsidR="00E33823" w:rsidRPr="00FD51F3">
              <w:t xml:space="preserve"> neizpildīt </w:t>
            </w:r>
            <w:r w:rsidR="004C6A7D" w:rsidRPr="00FD51F3">
              <w:t>jaunu darba vietu un atalgojuma kritēriju</w:t>
            </w:r>
            <w:r w:rsidR="00E33823" w:rsidRPr="00FD51F3">
              <w:t>, ja tie izpilda pārējos</w:t>
            </w:r>
            <w:r w:rsidR="004C6A7D" w:rsidRPr="00FD51F3">
              <w:t xml:space="preserve"> </w:t>
            </w:r>
            <w:r w:rsidR="007F3C26" w:rsidRPr="00FD51F3">
              <w:t xml:space="preserve">kritērijus (jāizpilda 3 no </w:t>
            </w:r>
            <w:r w:rsidR="00B82B0D" w:rsidRPr="00FD51F3">
              <w:t xml:space="preserve">četriem kritērijiem, kas definēti </w:t>
            </w:r>
            <w:r w:rsidR="003A0C8F" w:rsidRPr="00FD51F3">
              <w:t>4.4. apakšpunktā</w:t>
            </w:r>
            <w:r w:rsidR="007F3C26" w:rsidRPr="00FD51F3">
              <w:t>).</w:t>
            </w:r>
          </w:p>
          <w:p w14:paraId="02E0716F" w14:textId="77777777" w:rsidR="00B82B0D" w:rsidRPr="00FD51F3" w:rsidRDefault="00B82B0D" w:rsidP="00FD51F3">
            <w:pPr>
              <w:pStyle w:val="naisc"/>
              <w:spacing w:before="0" w:after="0"/>
              <w:jc w:val="left"/>
            </w:pPr>
          </w:p>
          <w:p w14:paraId="5839621C" w14:textId="316A574D" w:rsidR="00BF074E" w:rsidRPr="00FD51F3" w:rsidRDefault="00B82B0D" w:rsidP="00FD51F3">
            <w:pPr>
              <w:pStyle w:val="naisc"/>
              <w:spacing w:before="0" w:after="0"/>
              <w:jc w:val="left"/>
            </w:pPr>
            <w:r w:rsidRPr="00FD51F3">
              <w:t xml:space="preserve">Papildus skaidrojam, ka </w:t>
            </w:r>
            <w:r w:rsidR="1A011904" w:rsidRPr="00FD51F3">
              <w:t xml:space="preserve">pretēji pašvaldību bažām, </w:t>
            </w:r>
            <w:r w:rsidR="000A7C8D" w:rsidRPr="00FD51F3">
              <w:t xml:space="preserve">komersantu pārstāvētas organizācijas – Latvijas </w:t>
            </w:r>
            <w:r w:rsidR="000A7C8D" w:rsidRPr="00FD51F3">
              <w:lastRenderedPageBreak/>
              <w:t xml:space="preserve">tūrisma un rūpniecības kameras – </w:t>
            </w:r>
            <w:r w:rsidR="5BD22CDA" w:rsidRPr="00FD51F3">
              <w:t>izteiktais</w:t>
            </w:r>
            <w:r w:rsidR="5EC188FB" w:rsidRPr="00FD51F3">
              <w:t xml:space="preserve"> priekšlikums ir pat</w:t>
            </w:r>
            <w:r w:rsidR="007F3C26" w:rsidRPr="00FD51F3">
              <w:t xml:space="preserve"> </w:t>
            </w:r>
            <w:r w:rsidR="113324D3" w:rsidRPr="00FD51F3">
              <w:t xml:space="preserve">augstāka vidējā bruto darba alga </w:t>
            </w:r>
            <w:r w:rsidR="79CD0902" w:rsidRPr="00FD51F3">
              <w:t>ne</w:t>
            </w:r>
            <w:r w:rsidR="113324D3" w:rsidRPr="00FD51F3">
              <w:t xml:space="preserve">kā iekļauts šajos noteikumos </w:t>
            </w:r>
            <w:r w:rsidR="1B37EF10" w:rsidRPr="00FD51F3">
              <w:t xml:space="preserve">- </w:t>
            </w:r>
            <w:r w:rsidR="113324D3" w:rsidRPr="00FD51F3">
              <w:rPr>
                <w:rFonts w:eastAsia="Calibri"/>
              </w:rPr>
              <w:t>ne mazāka kā 2000 euro, un investīciju projekta īstenošanas rezultātā plānoto no jauna radīto darba vietu skaits ir vismaz 50 jaunas darba vieta</w:t>
            </w:r>
            <w:r w:rsidR="3A2C8AA6" w:rsidRPr="00FD51F3">
              <w:t>, kas atbilst Noteikumu 4.4.2.2. apakšpunktā paredzētajam</w:t>
            </w:r>
            <w:r w:rsidR="323420DE" w:rsidRPr="00FD51F3">
              <w:t>.</w:t>
            </w:r>
          </w:p>
          <w:p w14:paraId="004EE225" w14:textId="05774287" w:rsidR="7EE60116" w:rsidRPr="00FD51F3" w:rsidRDefault="7EE60116" w:rsidP="00FD51F3">
            <w:pPr>
              <w:pStyle w:val="naisc"/>
              <w:jc w:val="left"/>
              <w:rPr>
                <w:b/>
                <w:bCs/>
              </w:rPr>
            </w:pPr>
          </w:p>
        </w:tc>
        <w:tc>
          <w:tcPr>
            <w:tcW w:w="2985" w:type="dxa"/>
            <w:tcBorders>
              <w:top w:val="single" w:sz="4" w:space="0" w:color="auto"/>
              <w:left w:val="single" w:sz="4" w:space="0" w:color="auto"/>
              <w:bottom w:val="single" w:sz="4" w:space="0" w:color="auto"/>
            </w:tcBorders>
          </w:tcPr>
          <w:p w14:paraId="6335925F" w14:textId="332ACDD1" w:rsidR="00636FC8" w:rsidRPr="00FD51F3" w:rsidRDefault="008C4768" w:rsidP="00FD51F3">
            <w:r w:rsidRPr="00FD51F3">
              <w:lastRenderedPageBreak/>
              <w:t>“</w:t>
            </w:r>
            <w:r w:rsidR="00636FC8" w:rsidRPr="00FD51F3">
              <w:t xml:space="preserve">4.4.2. attiecībā uz no jauna radītajām darba vietām, projekts izpilda vienu no šiem kritērijiem: </w:t>
            </w:r>
          </w:p>
          <w:p w14:paraId="193D3F60" w14:textId="77777777" w:rsidR="00636FC8" w:rsidRPr="00FD51F3" w:rsidRDefault="00636FC8" w:rsidP="00FD51F3"/>
          <w:p w14:paraId="5DB4F8D3" w14:textId="77777777" w:rsidR="00636FC8" w:rsidRPr="00FD51F3" w:rsidRDefault="00636FC8" w:rsidP="00FD51F3">
            <w:r w:rsidRPr="00FD51F3">
              <w:t xml:space="preserve">4.4.2.1. plānotais investīciju projekta īstenošanas rezultātā no jauna radīto darba vietu skaits trīs gadu periodā ir vismaz 75 jaunas darba vietas (Rīgas pilsētas administratīvajā teritorijā plānotas vismaz 100 jaunas darba vietas); </w:t>
            </w:r>
          </w:p>
          <w:p w14:paraId="02BAA447" w14:textId="77777777" w:rsidR="00636FC8" w:rsidRPr="00FD51F3" w:rsidRDefault="00636FC8" w:rsidP="00FD51F3"/>
          <w:p w14:paraId="678A193D" w14:textId="4D3CE14E" w:rsidR="7EE60116" w:rsidRPr="00FD51F3" w:rsidRDefault="00636FC8" w:rsidP="00FD51F3">
            <w:r w:rsidRPr="00FD51F3">
              <w:t xml:space="preserve">4.4.2.2. komersanta plānotā mēneša vidējā bruto darba samaksa darbiniekiem ir ne mazāka kā Centrālās statistikas pārvaldes oficiālajā statistikas paziņojumā publicētais valstī strādājošo mēneša vidējās darba samaksas apmērs iepriekšējā gadā, kam piemērots koeficients 1,5 (komersantiem, kas </w:t>
            </w:r>
            <w:r w:rsidRPr="00FD51F3">
              <w:lastRenderedPageBreak/>
              <w:t>īsteno investīciju projektus Rīgas pilsētas administratīvajā teritorijā tiek piemērots koeficients 2), un investīciju projekta īstenošanas rezultātā plānoto no jauna radīto darba vietu skaits trīs gadu periodā ir vismaz 50 jaunas darba vietas (komersantiem, kas īsteno investīciju projektus Rīgas pilsētas administratīvajā teritorijā plānotas vismaz 75 jaunas darba vietas);</w:t>
            </w:r>
          </w:p>
        </w:tc>
      </w:tr>
      <w:tr w:rsidR="009E67F2" w:rsidRPr="00FD51F3" w14:paraId="3A2FE745" w14:textId="77777777" w:rsidTr="00C433A0">
        <w:trPr>
          <w:trHeight w:val="1652"/>
        </w:trPr>
        <w:tc>
          <w:tcPr>
            <w:tcW w:w="708" w:type="dxa"/>
            <w:tcBorders>
              <w:left w:val="single" w:sz="6" w:space="0" w:color="000000"/>
              <w:bottom w:val="single" w:sz="4" w:space="0" w:color="auto"/>
              <w:right w:val="single" w:sz="6" w:space="0" w:color="000000"/>
            </w:tcBorders>
          </w:tcPr>
          <w:p w14:paraId="3A3D6F7D" w14:textId="290E1EF4" w:rsidR="4F5EF165" w:rsidRPr="00FD51F3" w:rsidRDefault="4F5EF165" w:rsidP="00FD51F3">
            <w:pPr>
              <w:pStyle w:val="naisc"/>
              <w:jc w:val="left"/>
            </w:pPr>
            <w:r w:rsidRPr="00FD51F3">
              <w:lastRenderedPageBreak/>
              <w:t>24.</w:t>
            </w:r>
          </w:p>
        </w:tc>
        <w:tc>
          <w:tcPr>
            <w:tcW w:w="3511" w:type="dxa"/>
            <w:gridSpan w:val="2"/>
            <w:tcBorders>
              <w:left w:val="single" w:sz="6" w:space="0" w:color="000000"/>
              <w:bottom w:val="single" w:sz="4" w:space="0" w:color="auto"/>
              <w:right w:val="single" w:sz="6" w:space="0" w:color="000000"/>
            </w:tcBorders>
          </w:tcPr>
          <w:p w14:paraId="32A61AB5" w14:textId="5D9AC638" w:rsidR="7EE60116" w:rsidRPr="00FD51F3" w:rsidRDefault="19D9D79A" w:rsidP="00FD51F3">
            <w:pPr>
              <w:pStyle w:val="naisc"/>
              <w:spacing w:before="0" w:after="0"/>
              <w:jc w:val="left"/>
            </w:pPr>
            <w:r w:rsidRPr="00FD51F3">
              <w:t>Anotācijas I. sadaļas 2.punkts.</w:t>
            </w:r>
          </w:p>
          <w:p w14:paraId="1C884C04" w14:textId="106AF804" w:rsidR="7EE60116" w:rsidRPr="00FD51F3" w:rsidRDefault="7EE60116" w:rsidP="00FD51F3">
            <w:pPr>
              <w:pStyle w:val="naisc"/>
              <w:jc w:val="left"/>
            </w:pPr>
          </w:p>
        </w:tc>
        <w:tc>
          <w:tcPr>
            <w:tcW w:w="3969" w:type="dxa"/>
            <w:tcBorders>
              <w:left w:val="single" w:sz="6" w:space="0" w:color="000000"/>
              <w:bottom w:val="single" w:sz="4" w:space="0" w:color="auto"/>
              <w:right w:val="single" w:sz="6" w:space="0" w:color="000000"/>
            </w:tcBorders>
          </w:tcPr>
          <w:p w14:paraId="219F2255" w14:textId="1551FB99" w:rsidR="4F5EF165" w:rsidRPr="00FD51F3" w:rsidRDefault="4F5EF165" w:rsidP="00FD51F3">
            <w:pPr>
              <w:pStyle w:val="NormalWeb"/>
            </w:pPr>
            <w:r w:rsidRPr="00FD51F3">
              <w:rPr>
                <w:b/>
                <w:bCs/>
                <w:color w:val="000000"/>
              </w:rPr>
              <w:t>Kurzemes plānošanas reģiona 21.01.2021 iebildums Nr.</w:t>
            </w:r>
            <w:r w:rsidR="00B24F76" w:rsidRPr="00FD51F3">
              <w:rPr>
                <w:b/>
                <w:bCs/>
                <w:color w:val="000000"/>
              </w:rPr>
              <w:t>4</w:t>
            </w:r>
            <w:r w:rsidRPr="00FD51F3">
              <w:rPr>
                <w:b/>
                <w:bCs/>
                <w:color w:val="000000"/>
              </w:rPr>
              <w:t>:</w:t>
            </w:r>
            <w:r w:rsidR="6F55A9E9" w:rsidRPr="00FD51F3">
              <w:rPr>
                <w:b/>
                <w:bCs/>
                <w:color w:val="000000"/>
              </w:rPr>
              <w:t xml:space="preserve"> “</w:t>
            </w:r>
            <w:r w:rsidR="6F55A9E9" w:rsidRPr="00FD51F3">
              <w:t>Noteikumiem attiecībā pret Lietuvas, Igaunijas un Polijas līdzvērtīgiem dokumentiem ir jāparedz skaidri redzamas priekšrocības investīcijām Latvijā.”</w:t>
            </w:r>
          </w:p>
          <w:p w14:paraId="5A638A2E" w14:textId="62C7F9FB" w:rsidR="4F5EF165" w:rsidRPr="00FD51F3" w:rsidRDefault="4F5EF165" w:rsidP="00FD51F3">
            <w:pPr>
              <w:pStyle w:val="NormalWeb"/>
              <w:rPr>
                <w:b/>
                <w:color w:val="000000"/>
              </w:rPr>
            </w:pPr>
          </w:p>
        </w:tc>
        <w:tc>
          <w:tcPr>
            <w:tcW w:w="3829" w:type="dxa"/>
            <w:gridSpan w:val="2"/>
            <w:tcBorders>
              <w:left w:val="single" w:sz="6" w:space="0" w:color="000000"/>
              <w:bottom w:val="single" w:sz="4" w:space="0" w:color="auto"/>
              <w:right w:val="single" w:sz="6" w:space="0" w:color="000000"/>
            </w:tcBorders>
          </w:tcPr>
          <w:p w14:paraId="1E4903F1" w14:textId="537A0000" w:rsidR="7EE60116" w:rsidRPr="00FD51F3" w:rsidRDefault="00025A8E" w:rsidP="00FD51F3">
            <w:pPr>
              <w:pStyle w:val="naisc"/>
              <w:jc w:val="left"/>
            </w:pPr>
            <w:r w:rsidRPr="00FD51F3">
              <w:rPr>
                <w:b/>
                <w:bCs/>
              </w:rPr>
              <w:t xml:space="preserve">Iebildums ir ņemts vērā </w:t>
            </w:r>
            <w:r w:rsidRPr="00FD51F3">
              <w:t xml:space="preserve">un informācija </w:t>
            </w:r>
            <w:r w:rsidR="005D6173" w:rsidRPr="00FD51F3">
              <w:t xml:space="preserve">iekļauta anotācijas I. sadaļas 2.punktā. </w:t>
            </w:r>
          </w:p>
        </w:tc>
        <w:tc>
          <w:tcPr>
            <w:tcW w:w="2985" w:type="dxa"/>
            <w:tcBorders>
              <w:top w:val="single" w:sz="4" w:space="0" w:color="auto"/>
              <w:left w:val="single" w:sz="4" w:space="0" w:color="auto"/>
              <w:bottom w:val="single" w:sz="4" w:space="0" w:color="auto"/>
            </w:tcBorders>
          </w:tcPr>
          <w:p w14:paraId="4616BA8F" w14:textId="70FD7B3F" w:rsidR="7EE60116" w:rsidRPr="00FD51F3" w:rsidRDefault="00B33884" w:rsidP="00FD51F3">
            <w:r w:rsidRPr="00FD51F3">
              <w:t xml:space="preserve">Anotācijas I. sadaļas 2.punktā iekļauts salīdzinājums starp Latvijas </w:t>
            </w:r>
            <w:r w:rsidR="00EF6877" w:rsidRPr="00FD51F3">
              <w:t xml:space="preserve">un Lietuvas </w:t>
            </w:r>
            <w:r w:rsidR="00A15743" w:rsidRPr="00FD51F3">
              <w:t xml:space="preserve">piedāvājumu. </w:t>
            </w:r>
          </w:p>
        </w:tc>
      </w:tr>
      <w:tr w:rsidR="009E67F2" w:rsidRPr="00FD51F3" w14:paraId="48E0E64A" w14:textId="77777777" w:rsidTr="00C433A0">
        <w:trPr>
          <w:trHeight w:val="1652"/>
        </w:trPr>
        <w:tc>
          <w:tcPr>
            <w:tcW w:w="708" w:type="dxa"/>
            <w:tcBorders>
              <w:left w:val="single" w:sz="6" w:space="0" w:color="000000"/>
              <w:bottom w:val="single" w:sz="4" w:space="0" w:color="auto"/>
              <w:right w:val="single" w:sz="6" w:space="0" w:color="000000"/>
            </w:tcBorders>
          </w:tcPr>
          <w:p w14:paraId="612E9C7B" w14:textId="3A6D647C" w:rsidR="4F5EF165" w:rsidRPr="00FD51F3" w:rsidRDefault="4F5EF165" w:rsidP="00FD51F3">
            <w:pPr>
              <w:pStyle w:val="naisc"/>
              <w:jc w:val="left"/>
            </w:pPr>
            <w:r w:rsidRPr="00FD51F3">
              <w:t>25.</w:t>
            </w:r>
          </w:p>
        </w:tc>
        <w:tc>
          <w:tcPr>
            <w:tcW w:w="3511" w:type="dxa"/>
            <w:gridSpan w:val="2"/>
            <w:tcBorders>
              <w:left w:val="single" w:sz="6" w:space="0" w:color="000000"/>
              <w:bottom w:val="single" w:sz="4" w:space="0" w:color="auto"/>
              <w:right w:val="single" w:sz="6" w:space="0" w:color="000000"/>
            </w:tcBorders>
          </w:tcPr>
          <w:p w14:paraId="47CF24D5" w14:textId="53381FD3" w:rsidR="7EE60116" w:rsidRPr="00FD51F3" w:rsidRDefault="006A041A" w:rsidP="00FD51F3">
            <w:pPr>
              <w:pStyle w:val="naisc"/>
              <w:jc w:val="left"/>
            </w:pPr>
            <w:r w:rsidRPr="00FD51F3">
              <w:t>Anotācijas I. sadaļas 2.punkts.</w:t>
            </w:r>
          </w:p>
        </w:tc>
        <w:tc>
          <w:tcPr>
            <w:tcW w:w="3969" w:type="dxa"/>
            <w:tcBorders>
              <w:left w:val="single" w:sz="6" w:space="0" w:color="000000"/>
              <w:bottom w:val="single" w:sz="4" w:space="0" w:color="auto"/>
              <w:right w:val="single" w:sz="6" w:space="0" w:color="000000"/>
            </w:tcBorders>
          </w:tcPr>
          <w:p w14:paraId="2FB4CF4F" w14:textId="73E884A0" w:rsidR="4F5EF165" w:rsidRPr="00FD51F3" w:rsidRDefault="00321CCE" w:rsidP="00FD51F3">
            <w:pPr>
              <w:pStyle w:val="NormalWeb"/>
            </w:pPr>
            <w:r w:rsidRPr="00FD51F3">
              <w:rPr>
                <w:b/>
                <w:bCs/>
              </w:rPr>
              <w:t xml:space="preserve">Pārresoru koordinācijas centra </w:t>
            </w:r>
            <w:r w:rsidR="00303E0E">
              <w:rPr>
                <w:b/>
                <w:bCs/>
              </w:rPr>
              <w:t xml:space="preserve">21.01.2021 </w:t>
            </w:r>
            <w:r w:rsidRPr="00FD51F3">
              <w:rPr>
                <w:b/>
                <w:bCs/>
              </w:rPr>
              <w:t xml:space="preserve">priekšlikums: </w:t>
            </w:r>
            <w:r w:rsidRPr="00FD51F3">
              <w:t>“Precizēt noteikumu projekta anotācijas 2.punktu, detalizētāk pamatojot investīciju projektu kvalifikācijas kritērijos noteikto apjomu izvēli (..).</w:t>
            </w:r>
            <w:r w:rsidR="00F153D2" w:rsidRPr="00FD51F3">
              <w:t>”</w:t>
            </w:r>
          </w:p>
        </w:tc>
        <w:tc>
          <w:tcPr>
            <w:tcW w:w="3829" w:type="dxa"/>
            <w:gridSpan w:val="2"/>
            <w:tcBorders>
              <w:left w:val="single" w:sz="6" w:space="0" w:color="000000"/>
              <w:bottom w:val="single" w:sz="4" w:space="0" w:color="auto"/>
              <w:right w:val="single" w:sz="6" w:space="0" w:color="000000"/>
            </w:tcBorders>
          </w:tcPr>
          <w:p w14:paraId="46C0ABD1" w14:textId="5573C4C4" w:rsidR="7EE60116" w:rsidRPr="00FD51F3" w:rsidRDefault="00321CCE" w:rsidP="00FD51F3">
            <w:pPr>
              <w:pStyle w:val="naisc"/>
              <w:jc w:val="left"/>
            </w:pPr>
            <w:r w:rsidRPr="00FD51F3">
              <w:rPr>
                <w:b/>
                <w:bCs/>
              </w:rPr>
              <w:t>Priekšl</w:t>
            </w:r>
            <w:r w:rsidR="006A041A" w:rsidRPr="00FD51F3">
              <w:rPr>
                <w:b/>
                <w:bCs/>
              </w:rPr>
              <w:t>ikums ir ņemts vērā</w:t>
            </w:r>
            <w:r w:rsidR="001039F4">
              <w:rPr>
                <w:b/>
                <w:bCs/>
              </w:rPr>
              <w:t xml:space="preserve"> </w:t>
            </w:r>
            <w:r w:rsidR="001039F4" w:rsidRPr="00FD51F3">
              <w:t>un anotācijas I. sadaļas 2.punkts ir papildināts.</w:t>
            </w:r>
          </w:p>
        </w:tc>
        <w:tc>
          <w:tcPr>
            <w:tcW w:w="2985" w:type="dxa"/>
            <w:tcBorders>
              <w:top w:val="single" w:sz="4" w:space="0" w:color="auto"/>
              <w:left w:val="single" w:sz="4" w:space="0" w:color="auto"/>
              <w:bottom w:val="single" w:sz="4" w:space="0" w:color="auto"/>
            </w:tcBorders>
          </w:tcPr>
          <w:p w14:paraId="3D0007E9" w14:textId="013B814B" w:rsidR="7EE60116" w:rsidRPr="00FD51F3" w:rsidRDefault="006A041A" w:rsidP="00FD51F3">
            <w:r w:rsidRPr="00FD51F3">
              <w:t xml:space="preserve">Anotācijas I. sadaļas </w:t>
            </w:r>
            <w:r w:rsidR="00C72087" w:rsidRPr="00FD51F3">
              <w:t>2.punkts ir papildināts ar pamatojumu par katru kritēriju</w:t>
            </w:r>
            <w:r w:rsidR="001039F4">
              <w:t xml:space="preserve"> (4.lpp.)</w:t>
            </w:r>
            <w:r w:rsidR="00DA4E0D">
              <w:t>.</w:t>
            </w:r>
          </w:p>
        </w:tc>
      </w:tr>
      <w:tr w:rsidR="009E67F2" w:rsidRPr="00FD51F3" w14:paraId="4DF93293" w14:textId="77777777" w:rsidTr="00C433A0">
        <w:trPr>
          <w:trHeight w:val="416"/>
        </w:trPr>
        <w:tc>
          <w:tcPr>
            <w:tcW w:w="708" w:type="dxa"/>
            <w:tcBorders>
              <w:left w:val="single" w:sz="6" w:space="0" w:color="000000"/>
              <w:bottom w:val="single" w:sz="4" w:space="0" w:color="auto"/>
              <w:right w:val="single" w:sz="6" w:space="0" w:color="000000"/>
            </w:tcBorders>
          </w:tcPr>
          <w:p w14:paraId="2632044D" w14:textId="0BE7AF76" w:rsidR="7EE60116" w:rsidRPr="00FD51F3" w:rsidRDefault="00FD51F3" w:rsidP="00FD51F3">
            <w:pPr>
              <w:pStyle w:val="naisc"/>
              <w:jc w:val="left"/>
            </w:pPr>
            <w:r w:rsidRPr="00FD51F3">
              <w:t>26.</w:t>
            </w:r>
          </w:p>
        </w:tc>
        <w:tc>
          <w:tcPr>
            <w:tcW w:w="3511" w:type="dxa"/>
            <w:gridSpan w:val="2"/>
            <w:tcBorders>
              <w:left w:val="single" w:sz="6" w:space="0" w:color="000000"/>
              <w:bottom w:val="single" w:sz="4" w:space="0" w:color="auto"/>
              <w:right w:val="single" w:sz="6" w:space="0" w:color="000000"/>
            </w:tcBorders>
          </w:tcPr>
          <w:p w14:paraId="5D8663FF" w14:textId="1BF8EB4E" w:rsidR="7EE60116" w:rsidRPr="00FD51F3" w:rsidRDefault="00363182" w:rsidP="00FD51F3">
            <w:pPr>
              <w:pStyle w:val="naisc"/>
              <w:jc w:val="left"/>
            </w:pPr>
            <w:r w:rsidRPr="00363182">
              <w:t>Anotācijas I. sadaļas 2.punkts.</w:t>
            </w:r>
          </w:p>
        </w:tc>
        <w:tc>
          <w:tcPr>
            <w:tcW w:w="3969" w:type="dxa"/>
            <w:tcBorders>
              <w:left w:val="single" w:sz="6" w:space="0" w:color="000000"/>
              <w:bottom w:val="single" w:sz="4" w:space="0" w:color="auto"/>
              <w:right w:val="single" w:sz="6" w:space="0" w:color="000000"/>
            </w:tcBorders>
          </w:tcPr>
          <w:p w14:paraId="4314B321" w14:textId="3DB10C5A" w:rsidR="00F153D2" w:rsidRPr="00FD51F3" w:rsidRDefault="00BE2ECA" w:rsidP="00FD51F3">
            <w:pPr>
              <w:jc w:val="both"/>
            </w:pPr>
            <w:r w:rsidRPr="00FD51F3">
              <w:rPr>
                <w:b/>
                <w:bCs/>
                <w:color w:val="000000"/>
              </w:rPr>
              <w:t xml:space="preserve">Vides aizsardzības un reģionālās attīstības ministrijas </w:t>
            </w:r>
            <w:r w:rsidR="00936533">
              <w:rPr>
                <w:b/>
                <w:bCs/>
                <w:color w:val="000000"/>
              </w:rPr>
              <w:t xml:space="preserve">21.01.2021 </w:t>
            </w:r>
            <w:r w:rsidRPr="00FD51F3">
              <w:rPr>
                <w:b/>
                <w:bCs/>
                <w:color w:val="000000"/>
              </w:rPr>
              <w:t>priekšlikum</w:t>
            </w:r>
            <w:r w:rsidR="00F153D2" w:rsidRPr="00FD51F3">
              <w:rPr>
                <w:b/>
                <w:bCs/>
                <w:color w:val="000000"/>
              </w:rPr>
              <w:t>s</w:t>
            </w:r>
            <w:r w:rsidRPr="00FD51F3">
              <w:rPr>
                <w:b/>
                <w:bCs/>
                <w:color w:val="000000"/>
              </w:rPr>
              <w:t>:</w:t>
            </w:r>
            <w:r w:rsidR="00F153D2" w:rsidRPr="00FD51F3">
              <w:rPr>
                <w:b/>
                <w:bCs/>
                <w:color w:val="000000"/>
              </w:rPr>
              <w:t xml:space="preserve"> “</w:t>
            </w:r>
            <w:r w:rsidR="00F153D2" w:rsidRPr="00FD51F3">
              <w:t xml:space="preserve">1) lūgums skaidrot, </w:t>
            </w:r>
            <w:r w:rsidR="00F153D2" w:rsidRPr="00FD51F3">
              <w:lastRenderedPageBreak/>
              <w:t>vai Projekts ir attiecināms uz visiem investīciju projektiem, neatkarīgi no to finansējuma avota un tā, vai projektu administrē/pārauga/plāno Latvijas Investīciju un attīstības aģentūra vai kāda cita iestāde, piemēram, Centrālā finanšu un līgumu aģentūra;</w:t>
            </w:r>
          </w:p>
          <w:p w14:paraId="0C28D694" w14:textId="510925BC" w:rsidR="00F153D2" w:rsidRPr="00FD51F3" w:rsidRDefault="00F153D2" w:rsidP="00FD51F3">
            <w:pPr>
              <w:jc w:val="both"/>
            </w:pPr>
            <w:r w:rsidRPr="00FD51F3">
              <w:t>2) tāpat lūgums skaidrot, vai Projekta 4.2. un 4.3.apakšpunktā minēto kritēriju izpilde nav obligāta arī attiecībā uz tādiem investīciju projektiem viedās enerģētikas jomā, kas ir saistīti ar esošo elektroenerģijas ražošanas iekārtu aizstāšanu.”</w:t>
            </w:r>
          </w:p>
          <w:p w14:paraId="0D14E00D" w14:textId="15BC9A39" w:rsidR="7EE60116" w:rsidRPr="00FD51F3" w:rsidRDefault="00BE2ECA" w:rsidP="00FD51F3">
            <w:pPr>
              <w:pStyle w:val="NormalWeb"/>
              <w:rPr>
                <w:b/>
                <w:bCs/>
                <w:color w:val="000000"/>
              </w:rPr>
            </w:pPr>
            <w:r w:rsidRPr="00FD51F3">
              <w:rPr>
                <w:b/>
                <w:bCs/>
                <w:color w:val="000000"/>
              </w:rPr>
              <w:t xml:space="preserve"> </w:t>
            </w:r>
          </w:p>
        </w:tc>
        <w:tc>
          <w:tcPr>
            <w:tcW w:w="3829" w:type="dxa"/>
            <w:gridSpan w:val="2"/>
            <w:tcBorders>
              <w:left w:val="single" w:sz="6" w:space="0" w:color="000000"/>
              <w:bottom w:val="single" w:sz="4" w:space="0" w:color="auto"/>
              <w:right w:val="single" w:sz="6" w:space="0" w:color="000000"/>
            </w:tcBorders>
          </w:tcPr>
          <w:p w14:paraId="3B9F956E" w14:textId="5591869E" w:rsidR="7EE60116" w:rsidRPr="00FD51F3" w:rsidRDefault="00F153D2" w:rsidP="00FD51F3">
            <w:pPr>
              <w:pStyle w:val="naisc"/>
              <w:jc w:val="left"/>
              <w:rPr>
                <w:b/>
                <w:bCs/>
              </w:rPr>
            </w:pPr>
            <w:r w:rsidRPr="00FD51F3">
              <w:rPr>
                <w:b/>
                <w:bCs/>
              </w:rPr>
              <w:lastRenderedPageBreak/>
              <w:t>Priekšlikum</w:t>
            </w:r>
            <w:r w:rsidR="001039F4">
              <w:rPr>
                <w:b/>
                <w:bCs/>
              </w:rPr>
              <w:t>s</w:t>
            </w:r>
            <w:r w:rsidRPr="00FD51F3">
              <w:rPr>
                <w:b/>
                <w:bCs/>
              </w:rPr>
              <w:t xml:space="preserve"> ir ņemt</w:t>
            </w:r>
            <w:r w:rsidR="001039F4">
              <w:rPr>
                <w:b/>
                <w:bCs/>
              </w:rPr>
              <w:t>s</w:t>
            </w:r>
            <w:r w:rsidRPr="00FD51F3">
              <w:rPr>
                <w:b/>
                <w:bCs/>
              </w:rPr>
              <w:t xml:space="preserve"> vērā</w:t>
            </w:r>
            <w:r w:rsidR="00DA4E0D">
              <w:rPr>
                <w:b/>
                <w:bCs/>
              </w:rPr>
              <w:t xml:space="preserve"> </w:t>
            </w:r>
            <w:r w:rsidR="00DA4E0D" w:rsidRPr="00FD51F3">
              <w:t>un anotācijas I. sadaļas 2.punkts ir papildināts.</w:t>
            </w:r>
          </w:p>
        </w:tc>
        <w:tc>
          <w:tcPr>
            <w:tcW w:w="2985" w:type="dxa"/>
            <w:tcBorders>
              <w:top w:val="single" w:sz="4" w:space="0" w:color="auto"/>
              <w:left w:val="single" w:sz="4" w:space="0" w:color="auto"/>
              <w:bottom w:val="single" w:sz="4" w:space="0" w:color="auto"/>
            </w:tcBorders>
          </w:tcPr>
          <w:p w14:paraId="5B169223" w14:textId="251BE899" w:rsidR="00833917" w:rsidRPr="00FD51F3" w:rsidRDefault="00F153D2" w:rsidP="00FD51F3">
            <w:r w:rsidRPr="00FD51F3">
              <w:t>Anotācijas I. sadaļas 2.p</w:t>
            </w:r>
            <w:r w:rsidR="005D7631">
              <w:t>.</w:t>
            </w:r>
            <w:r w:rsidRPr="00FD51F3">
              <w:t xml:space="preserve"> papildināts</w:t>
            </w:r>
            <w:r w:rsidR="00D55558" w:rsidRPr="00FD51F3">
              <w:t>:</w:t>
            </w:r>
            <w:r w:rsidR="006A41B0">
              <w:t xml:space="preserve"> “</w:t>
            </w:r>
            <w:r w:rsidR="00D55558" w:rsidRPr="00FD51F3">
              <w:t xml:space="preserve">Noteikumi ir attiecināmi uz visiem </w:t>
            </w:r>
            <w:r w:rsidR="00D55558" w:rsidRPr="00FD51F3">
              <w:lastRenderedPageBreak/>
              <w:t>investīciju projektiem, neatkarīgi no to finansējuma avota un projektu administrējošās vai pārraugošās iestādes.</w:t>
            </w:r>
            <w:r w:rsidR="00FD51F3" w:rsidRPr="00FD51F3">
              <w:t>” un</w:t>
            </w:r>
            <w:r w:rsidR="00833917" w:rsidRPr="00FD51F3">
              <w:t xml:space="preserve"> </w:t>
            </w:r>
            <w:r w:rsidR="00FD51F3" w:rsidRPr="00FD51F3">
              <w:t>“</w:t>
            </w:r>
            <w:r w:rsidR="005D7631">
              <w:t>(..)</w:t>
            </w:r>
            <w:r w:rsidR="00833917" w:rsidRPr="00FD51F3">
              <w:t xml:space="preserve"> projekta 4</w:t>
            </w:r>
            <w:r w:rsidR="00281D7F" w:rsidRPr="00FD51F3">
              <w:t>.4</w:t>
            </w:r>
            <w:r w:rsidR="00833917" w:rsidRPr="00FD51F3">
              <w:t>.2. un 4.</w:t>
            </w:r>
            <w:r w:rsidR="00281D7F" w:rsidRPr="00FD51F3">
              <w:t>4.</w:t>
            </w:r>
            <w:r w:rsidR="00833917" w:rsidRPr="00FD51F3">
              <w:t>3.apakšpunktā minēto kritēriju izpilde (t.i., minimālais no jauna radīto darba vietu skaits) nav obligāta prasīb</w:t>
            </w:r>
            <w:r w:rsidR="00FD51F3" w:rsidRPr="00FD51F3">
              <w:t>a</w:t>
            </w:r>
            <w:r w:rsidR="00833917" w:rsidRPr="00FD51F3">
              <w:t xml:space="preserve"> attiecībā uz investīciju projektiem viedās enerģētikas jomā, ja investīciju projekts ir saistīts ar jaunu elektroenerģijas ražošanas  iekārtu ieviešanu (piemēram, vēja vai saules elektrostaciju ieviešanu) vai elektroenerģijas ražošanas jaudu palielināšanu atjaunojamo energoresursu jomā (t</w:t>
            </w:r>
            <w:r w:rsidR="006A41B0">
              <w:t>.sk</w:t>
            </w:r>
            <w:r w:rsidR="00833917" w:rsidRPr="00FD51F3">
              <w:t>, aizstājot esošās elektroenerģijas ražošanas iekārtas).</w:t>
            </w:r>
            <w:r w:rsidR="006A41B0">
              <w:t>”</w:t>
            </w:r>
          </w:p>
        </w:tc>
      </w:tr>
      <w:tr w:rsidR="009E67F2" w:rsidRPr="00FD51F3" w14:paraId="1BAD334E" w14:textId="77777777" w:rsidTr="00C433A0">
        <w:trPr>
          <w:trHeight w:val="1652"/>
        </w:trPr>
        <w:tc>
          <w:tcPr>
            <w:tcW w:w="708" w:type="dxa"/>
            <w:tcBorders>
              <w:left w:val="single" w:sz="6" w:space="0" w:color="000000"/>
              <w:bottom w:val="single" w:sz="4" w:space="0" w:color="auto"/>
              <w:right w:val="single" w:sz="6" w:space="0" w:color="000000"/>
            </w:tcBorders>
          </w:tcPr>
          <w:p w14:paraId="1D33557E" w14:textId="6C60E52A" w:rsidR="7EE60116" w:rsidRPr="00FD51F3" w:rsidRDefault="00E87D07" w:rsidP="00FD51F3">
            <w:pPr>
              <w:pStyle w:val="naisc"/>
              <w:jc w:val="left"/>
            </w:pPr>
            <w:r>
              <w:lastRenderedPageBreak/>
              <w:t>27.</w:t>
            </w:r>
          </w:p>
        </w:tc>
        <w:tc>
          <w:tcPr>
            <w:tcW w:w="3511" w:type="dxa"/>
            <w:gridSpan w:val="2"/>
            <w:tcBorders>
              <w:left w:val="single" w:sz="6" w:space="0" w:color="000000"/>
              <w:bottom w:val="single" w:sz="4" w:space="0" w:color="auto"/>
              <w:right w:val="single" w:sz="6" w:space="0" w:color="000000"/>
            </w:tcBorders>
          </w:tcPr>
          <w:p w14:paraId="1358EEAD" w14:textId="229A518E" w:rsidR="7EE60116" w:rsidRPr="00FD51F3" w:rsidRDefault="00737F0B" w:rsidP="00FD51F3">
            <w:pPr>
              <w:pStyle w:val="naisc"/>
              <w:jc w:val="left"/>
            </w:pPr>
            <w:r w:rsidRPr="00737F0B">
              <w:t>Anotācijas I. sadaļas 2.punkts.</w:t>
            </w:r>
          </w:p>
        </w:tc>
        <w:tc>
          <w:tcPr>
            <w:tcW w:w="3969" w:type="dxa"/>
            <w:tcBorders>
              <w:left w:val="single" w:sz="6" w:space="0" w:color="000000"/>
              <w:bottom w:val="single" w:sz="4" w:space="0" w:color="auto"/>
              <w:right w:val="single" w:sz="6" w:space="0" w:color="000000"/>
            </w:tcBorders>
          </w:tcPr>
          <w:p w14:paraId="70C2A7A3" w14:textId="790C3878" w:rsidR="7EE60116" w:rsidRPr="00FD51F3" w:rsidRDefault="00E5045A" w:rsidP="00FD51F3">
            <w:pPr>
              <w:pStyle w:val="NormalWeb"/>
              <w:rPr>
                <w:b/>
                <w:bCs/>
                <w:color w:val="000000"/>
              </w:rPr>
            </w:pPr>
            <w:r w:rsidRPr="00E5045A">
              <w:rPr>
                <w:b/>
                <w:bCs/>
                <w:color w:val="000000"/>
              </w:rPr>
              <w:t>Vides pārraudzības valsts biroj</w:t>
            </w:r>
            <w:r>
              <w:rPr>
                <w:b/>
                <w:bCs/>
                <w:color w:val="000000"/>
              </w:rPr>
              <w:t>a</w:t>
            </w:r>
            <w:r w:rsidR="00737F0B">
              <w:rPr>
                <w:b/>
                <w:bCs/>
                <w:color w:val="000000"/>
              </w:rPr>
              <w:t xml:space="preserve"> 20.01.2021</w:t>
            </w:r>
            <w:r>
              <w:rPr>
                <w:b/>
                <w:bCs/>
                <w:color w:val="000000"/>
              </w:rPr>
              <w:t xml:space="preserve"> priekšlikums: </w:t>
            </w:r>
            <w:r w:rsidRPr="00E5045A">
              <w:rPr>
                <w:color w:val="000000"/>
              </w:rPr>
              <w:t>“A</w:t>
            </w:r>
            <w:r w:rsidR="00BB051B" w:rsidRPr="00E5045A">
              <w:rPr>
                <w:color w:val="000000"/>
              </w:rPr>
              <w:t xml:space="preserve">notācijā būtu nepieciešams sniegt nepārprotamu norādi, ka ar prioritāru investīciju projektu saistīts administratīvais process iestādē šādā gadījumā varētu būt uzskatāms par Administratīvā procesa likuma 64. panta otrajā daļā minēto objektīvo </w:t>
            </w:r>
            <w:r w:rsidR="00BB051B" w:rsidRPr="00E5045A">
              <w:rPr>
                <w:color w:val="000000"/>
              </w:rPr>
              <w:lastRenderedPageBreak/>
              <w:t>iemeslu termiņa neievērošanai (tā pagarināšanai) citās administratīvajās lietās.</w:t>
            </w:r>
            <w:r>
              <w:rPr>
                <w:color w:val="000000"/>
              </w:rPr>
              <w:t>”</w:t>
            </w:r>
          </w:p>
        </w:tc>
        <w:tc>
          <w:tcPr>
            <w:tcW w:w="3829" w:type="dxa"/>
            <w:gridSpan w:val="2"/>
            <w:tcBorders>
              <w:left w:val="single" w:sz="6" w:space="0" w:color="000000"/>
              <w:bottom w:val="single" w:sz="4" w:space="0" w:color="auto"/>
              <w:right w:val="single" w:sz="6" w:space="0" w:color="000000"/>
            </w:tcBorders>
          </w:tcPr>
          <w:p w14:paraId="73837D46" w14:textId="0087B460" w:rsidR="7EE60116" w:rsidRPr="00FD51F3" w:rsidRDefault="00737F0B" w:rsidP="00FD51F3">
            <w:pPr>
              <w:pStyle w:val="naisc"/>
              <w:jc w:val="left"/>
              <w:rPr>
                <w:b/>
                <w:bCs/>
              </w:rPr>
            </w:pPr>
            <w:r w:rsidRPr="00737F0B">
              <w:rPr>
                <w:b/>
                <w:bCs/>
              </w:rPr>
              <w:lastRenderedPageBreak/>
              <w:t xml:space="preserve">Priekšlikums ir ņemts vērā </w:t>
            </w:r>
            <w:r w:rsidRPr="00737F0B">
              <w:t>un anotācijas I. sadaļas 2.punkts ir papildināts.</w:t>
            </w:r>
          </w:p>
        </w:tc>
        <w:tc>
          <w:tcPr>
            <w:tcW w:w="2985" w:type="dxa"/>
            <w:tcBorders>
              <w:top w:val="single" w:sz="4" w:space="0" w:color="auto"/>
              <w:left w:val="single" w:sz="4" w:space="0" w:color="auto"/>
              <w:bottom w:val="single" w:sz="4" w:space="0" w:color="auto"/>
            </w:tcBorders>
          </w:tcPr>
          <w:p w14:paraId="66BA9295" w14:textId="1700D527" w:rsidR="7EE60116" w:rsidRPr="00FD51F3" w:rsidRDefault="000F5E48" w:rsidP="00FD51F3">
            <w:r w:rsidRPr="000F5E48">
              <w:t>Anotācijas I. sadaļas 2.punkts ir papildināts ar sekojošo:</w:t>
            </w:r>
            <w:r>
              <w:t xml:space="preserve"> “</w:t>
            </w:r>
            <w:r w:rsidRPr="000F5E48">
              <w:t xml:space="preserve">Gadījumā, ja prioritāro investīciju projektu apkalpošanas dēļ tiek kavēta citu attiecīgajā iestādē iesniegto administratīvo lietu izskatīšana, tas ir uzskatāms </w:t>
            </w:r>
            <w:r w:rsidRPr="000F5E48">
              <w:lastRenderedPageBreak/>
              <w:t>par objektīvu un attaisnojošu iemeslu pagarināt termiņu neprioritāro administratīvo lietu izskatīšanai.</w:t>
            </w:r>
            <w:r>
              <w:t>”</w:t>
            </w:r>
          </w:p>
        </w:tc>
      </w:tr>
      <w:tr w:rsidR="009E67F2" w:rsidRPr="00FD51F3" w14:paraId="74D02DB2" w14:textId="77777777" w:rsidTr="00C433A0">
        <w:trPr>
          <w:trHeight w:val="1652"/>
        </w:trPr>
        <w:tc>
          <w:tcPr>
            <w:tcW w:w="708" w:type="dxa"/>
            <w:tcBorders>
              <w:left w:val="single" w:sz="6" w:space="0" w:color="000000"/>
              <w:bottom w:val="single" w:sz="4" w:space="0" w:color="auto"/>
              <w:right w:val="single" w:sz="6" w:space="0" w:color="000000"/>
            </w:tcBorders>
          </w:tcPr>
          <w:p w14:paraId="080F9784" w14:textId="411345CA" w:rsidR="7EE60116" w:rsidRPr="00FD51F3" w:rsidRDefault="00E87D07" w:rsidP="00FD51F3">
            <w:pPr>
              <w:pStyle w:val="naisc"/>
              <w:jc w:val="left"/>
            </w:pPr>
            <w:r>
              <w:lastRenderedPageBreak/>
              <w:t>28.</w:t>
            </w:r>
          </w:p>
        </w:tc>
        <w:tc>
          <w:tcPr>
            <w:tcW w:w="3511" w:type="dxa"/>
            <w:gridSpan w:val="2"/>
            <w:tcBorders>
              <w:left w:val="single" w:sz="6" w:space="0" w:color="000000"/>
              <w:bottom w:val="single" w:sz="4" w:space="0" w:color="auto"/>
              <w:right w:val="single" w:sz="6" w:space="0" w:color="000000"/>
            </w:tcBorders>
          </w:tcPr>
          <w:p w14:paraId="4B5387F3" w14:textId="394B3D85" w:rsidR="7EE60116" w:rsidRPr="00FD51F3" w:rsidRDefault="00E87D07" w:rsidP="00FD51F3">
            <w:pPr>
              <w:pStyle w:val="naisc"/>
              <w:jc w:val="left"/>
            </w:pPr>
            <w:r w:rsidRPr="00E87D07">
              <w:t>“4.2. investīciju projekta īstenošanas rezultātā plānoto darba vietu skaits ir vismaz 100 jaunas darba vietas (Rīgas pilsētas pašvaldībā administratīvajā teritorijā - vismaz 150 jaunas darba vietas);</w:t>
            </w:r>
            <w:r>
              <w:t>”</w:t>
            </w:r>
          </w:p>
        </w:tc>
        <w:tc>
          <w:tcPr>
            <w:tcW w:w="3969" w:type="dxa"/>
            <w:tcBorders>
              <w:left w:val="single" w:sz="6" w:space="0" w:color="000000"/>
              <w:bottom w:val="single" w:sz="4" w:space="0" w:color="auto"/>
              <w:right w:val="single" w:sz="6" w:space="0" w:color="000000"/>
            </w:tcBorders>
          </w:tcPr>
          <w:p w14:paraId="2D57AD31" w14:textId="2D06E50A" w:rsidR="7EE60116" w:rsidRPr="00614732" w:rsidRDefault="00E87D07" w:rsidP="004C1B00">
            <w:pPr>
              <w:pStyle w:val="NormalWeb"/>
              <w:rPr>
                <w:color w:val="000000"/>
              </w:rPr>
            </w:pPr>
            <w:r>
              <w:rPr>
                <w:b/>
                <w:bCs/>
                <w:color w:val="000000"/>
              </w:rPr>
              <w:t xml:space="preserve">Vidzemes plānošanas reģiona </w:t>
            </w:r>
            <w:r w:rsidR="00614732">
              <w:rPr>
                <w:b/>
                <w:bCs/>
                <w:color w:val="000000"/>
              </w:rPr>
              <w:t xml:space="preserve">22.01.2021 iebildums: </w:t>
            </w:r>
            <w:r w:rsidR="00614732">
              <w:rPr>
                <w:color w:val="000000"/>
              </w:rPr>
              <w:t>“</w:t>
            </w:r>
            <w:r w:rsidR="00806EAB">
              <w:rPr>
                <w:color w:val="000000"/>
              </w:rPr>
              <w:t>(..)N</w:t>
            </w:r>
            <w:r w:rsidR="00614732" w:rsidRPr="00614732">
              <w:rPr>
                <w:color w:val="000000"/>
              </w:rPr>
              <w:t>oteikt Rīgai un Pierīgai vienādus kvalifikācijas kritērijus un noteikt atšķirīgus kritērijus pārējiem reģioniem:</w:t>
            </w:r>
            <w:r w:rsidR="00806EAB">
              <w:rPr>
                <w:color w:val="000000"/>
              </w:rPr>
              <w:t xml:space="preserve"> </w:t>
            </w:r>
            <w:r w:rsidR="004C1B00">
              <w:rPr>
                <w:color w:val="000000"/>
              </w:rPr>
              <w:t xml:space="preserve">- </w:t>
            </w:r>
            <w:r w:rsidR="00614732" w:rsidRPr="00614732">
              <w:rPr>
                <w:color w:val="000000"/>
              </w:rPr>
              <w:t>Samazināt 4.2. punktā minēto jauno darba vietu skaitu uz 50, izņemot Rīgā un Pierīgā;</w:t>
            </w:r>
            <w:r w:rsidR="00806EAB">
              <w:rPr>
                <w:color w:val="000000"/>
              </w:rPr>
              <w:t>”</w:t>
            </w:r>
          </w:p>
        </w:tc>
        <w:tc>
          <w:tcPr>
            <w:tcW w:w="3829" w:type="dxa"/>
            <w:gridSpan w:val="2"/>
            <w:tcBorders>
              <w:left w:val="single" w:sz="6" w:space="0" w:color="000000"/>
              <w:bottom w:val="single" w:sz="4" w:space="0" w:color="auto"/>
              <w:right w:val="single" w:sz="6" w:space="0" w:color="000000"/>
            </w:tcBorders>
          </w:tcPr>
          <w:p w14:paraId="4917A764" w14:textId="090EEA46" w:rsidR="7EE60116" w:rsidRPr="00557853" w:rsidRDefault="000878AE" w:rsidP="00557853">
            <w:pPr>
              <w:pStyle w:val="naisc"/>
              <w:spacing w:before="0" w:after="0"/>
              <w:jc w:val="left"/>
            </w:pPr>
            <w:r w:rsidRPr="000878AE">
              <w:rPr>
                <w:b/>
                <w:bCs/>
              </w:rPr>
              <w:t>Iebildum</w:t>
            </w:r>
            <w:r w:rsidR="00255E68">
              <w:rPr>
                <w:b/>
                <w:bCs/>
              </w:rPr>
              <w:t>s</w:t>
            </w:r>
            <w:r w:rsidRPr="000878AE">
              <w:rPr>
                <w:b/>
                <w:bCs/>
              </w:rPr>
              <w:t xml:space="preserve"> ir ņemt</w:t>
            </w:r>
            <w:r w:rsidR="00255E68">
              <w:rPr>
                <w:b/>
                <w:bCs/>
              </w:rPr>
              <w:t>s</w:t>
            </w:r>
            <w:r w:rsidRPr="000878AE">
              <w:rPr>
                <w:b/>
                <w:bCs/>
              </w:rPr>
              <w:t xml:space="preserve"> vērā daļēji</w:t>
            </w:r>
            <w:r w:rsidR="005D7631">
              <w:rPr>
                <w:b/>
                <w:bCs/>
              </w:rPr>
              <w:t xml:space="preserve">. </w:t>
            </w:r>
            <w:r w:rsidR="00255E68">
              <w:t>N</w:t>
            </w:r>
            <w:r w:rsidRPr="00411295">
              <w:t>o jauna radīto darba vietu skait</w:t>
            </w:r>
            <w:r w:rsidR="00255E68">
              <w:t xml:space="preserve">a kritērijs ir samazināts </w:t>
            </w:r>
            <w:r w:rsidRPr="00411295">
              <w:t xml:space="preserve">no 100 uz 75 reģionos un no 150 uz 100 Rīgas pilsētas administratīvajā teritorijā, kā arī </w:t>
            </w:r>
            <w:r w:rsidR="00255E68">
              <w:t xml:space="preserve">tiek </w:t>
            </w:r>
            <w:r w:rsidRPr="00411295">
              <w:t>precizēt</w:t>
            </w:r>
            <w:r w:rsidR="00255E68">
              <w:t>s</w:t>
            </w:r>
            <w:r w:rsidRPr="00411295">
              <w:t>, ka kritērijs vērtējams ilgākā, 3 gadu periodā</w:t>
            </w:r>
            <w:r w:rsidR="00255E68">
              <w:t>. Papildus</w:t>
            </w:r>
            <w:r w:rsidR="00255E68" w:rsidRPr="00FD51F3">
              <w:t xml:space="preserve"> komersantiem </w:t>
            </w:r>
            <w:r w:rsidR="00255E68">
              <w:t xml:space="preserve">tiek dota </w:t>
            </w:r>
            <w:r w:rsidR="00255E68" w:rsidRPr="00FD51F3">
              <w:t>iespēj</w:t>
            </w:r>
            <w:r w:rsidR="00255E68">
              <w:t>a</w:t>
            </w:r>
            <w:r w:rsidR="00255E68" w:rsidRPr="00FD51F3">
              <w:t xml:space="preserve"> neizpildīt jaunu darba vietu kritēriju, ja tie izpilda pārējos </w:t>
            </w:r>
            <w:r w:rsidR="005D7631">
              <w:t xml:space="preserve">3 no 4 </w:t>
            </w:r>
            <w:r w:rsidR="00255E68" w:rsidRPr="00FD51F3">
              <w:t>kritērij</w:t>
            </w:r>
            <w:r w:rsidR="005D7631">
              <w:t>iem</w:t>
            </w:r>
            <w:r w:rsidR="00255E68" w:rsidRPr="00FD51F3">
              <w:t xml:space="preserve"> (</w:t>
            </w:r>
            <w:r w:rsidR="005D7631">
              <w:t>4.4. apakšpunkts).</w:t>
            </w:r>
          </w:p>
        </w:tc>
        <w:tc>
          <w:tcPr>
            <w:tcW w:w="2985" w:type="dxa"/>
            <w:tcBorders>
              <w:top w:val="single" w:sz="4" w:space="0" w:color="auto"/>
              <w:left w:val="single" w:sz="4" w:space="0" w:color="auto"/>
              <w:bottom w:val="single" w:sz="4" w:space="0" w:color="auto"/>
            </w:tcBorders>
          </w:tcPr>
          <w:p w14:paraId="348CFF2B" w14:textId="6CFEE1EF" w:rsidR="7EE60116" w:rsidRPr="00FD51F3" w:rsidRDefault="00E87D07" w:rsidP="00FD51F3">
            <w:r>
              <w:t>“</w:t>
            </w:r>
            <w:r w:rsidRPr="00FD51F3">
              <w:t>4.4.2.1. plānotais investīciju projekta īstenošanas rezultātā no jauna radīto darba vietu skaits trīs gadu periodā ir vismaz 75 jaunas darba vietas (Rīgas pilsētas administratīvajā teritorijā plānotas vismaz 100 jaunas darba vietas);</w:t>
            </w:r>
            <w:r>
              <w:t>”</w:t>
            </w:r>
          </w:p>
        </w:tc>
      </w:tr>
      <w:tr w:rsidR="009E67F2" w:rsidRPr="00FD51F3" w14:paraId="28A37860" w14:textId="77777777" w:rsidTr="00C433A0">
        <w:trPr>
          <w:trHeight w:val="983"/>
        </w:trPr>
        <w:tc>
          <w:tcPr>
            <w:tcW w:w="708" w:type="dxa"/>
            <w:tcBorders>
              <w:left w:val="single" w:sz="6" w:space="0" w:color="000000"/>
              <w:bottom w:val="single" w:sz="4" w:space="0" w:color="auto"/>
              <w:right w:val="single" w:sz="6" w:space="0" w:color="000000"/>
            </w:tcBorders>
          </w:tcPr>
          <w:p w14:paraId="7413D84D" w14:textId="6805C631" w:rsidR="7EE60116" w:rsidRPr="00FD51F3" w:rsidRDefault="00B46B3E" w:rsidP="00FD51F3">
            <w:pPr>
              <w:pStyle w:val="naisc"/>
              <w:jc w:val="left"/>
            </w:pPr>
            <w:r>
              <w:t>29.</w:t>
            </w:r>
          </w:p>
        </w:tc>
        <w:tc>
          <w:tcPr>
            <w:tcW w:w="3511" w:type="dxa"/>
            <w:gridSpan w:val="2"/>
            <w:tcBorders>
              <w:left w:val="single" w:sz="6" w:space="0" w:color="000000"/>
              <w:bottom w:val="single" w:sz="4" w:space="0" w:color="auto"/>
              <w:right w:val="single" w:sz="6" w:space="0" w:color="000000"/>
            </w:tcBorders>
          </w:tcPr>
          <w:p w14:paraId="42C5A7B0" w14:textId="589A8BD6" w:rsidR="007149D9" w:rsidRDefault="007149D9" w:rsidP="007149D9">
            <w:pPr>
              <w:pStyle w:val="naisc"/>
              <w:jc w:val="left"/>
            </w:pPr>
            <w:r>
              <w:t>“4.4. plānotais preču vai pakalpojumu eksporta apjoms ir lielāks par 500 000 euro gadā;</w:t>
            </w:r>
          </w:p>
          <w:p w14:paraId="4DC1D8AE" w14:textId="46AFAB62" w:rsidR="7EE60116" w:rsidRPr="00FD51F3" w:rsidRDefault="007149D9" w:rsidP="007149D9">
            <w:pPr>
              <w:pStyle w:val="naisc"/>
              <w:jc w:val="left"/>
            </w:pPr>
            <w:r>
              <w:t>4.5. komersanta plānotais ieguldījumu apjoms gada ietvaros pētniecībā un attīstībā, darbinieku kompetenču pilnveidē ir vismaz 50 000 euro;”</w:t>
            </w:r>
          </w:p>
        </w:tc>
        <w:tc>
          <w:tcPr>
            <w:tcW w:w="3969" w:type="dxa"/>
            <w:tcBorders>
              <w:left w:val="single" w:sz="6" w:space="0" w:color="000000"/>
              <w:bottom w:val="single" w:sz="4" w:space="0" w:color="auto"/>
              <w:right w:val="single" w:sz="6" w:space="0" w:color="000000"/>
            </w:tcBorders>
          </w:tcPr>
          <w:p w14:paraId="1AD971D9" w14:textId="3C0AA002" w:rsidR="00DC57DB" w:rsidRPr="005C642E" w:rsidRDefault="00B46B3E" w:rsidP="005C642E">
            <w:pPr>
              <w:rPr>
                <w:lang w:eastAsia="en-US"/>
              </w:rPr>
            </w:pPr>
            <w:r>
              <w:rPr>
                <w:rFonts w:eastAsia="Calibri"/>
                <w:b/>
                <w:bCs/>
                <w:lang w:eastAsia="en-US"/>
              </w:rPr>
              <w:t>Latvijas tirdzniecības un rūpniecības kameras</w:t>
            </w:r>
            <w:r w:rsidR="00ED4BDB">
              <w:rPr>
                <w:rFonts w:eastAsia="Calibri"/>
                <w:b/>
                <w:bCs/>
                <w:lang w:eastAsia="en-US"/>
              </w:rPr>
              <w:t xml:space="preserve"> 25.01.2021</w:t>
            </w:r>
            <w:r>
              <w:rPr>
                <w:rFonts w:eastAsia="Calibri"/>
                <w:b/>
                <w:bCs/>
                <w:lang w:eastAsia="en-US"/>
              </w:rPr>
              <w:t xml:space="preserve"> priekšlikum</w:t>
            </w:r>
            <w:r w:rsidR="00B74431">
              <w:rPr>
                <w:rFonts w:eastAsia="Calibri"/>
                <w:b/>
                <w:bCs/>
                <w:lang w:eastAsia="en-US"/>
              </w:rPr>
              <w:t xml:space="preserve">s: </w:t>
            </w:r>
            <w:r w:rsidR="00DC57DB">
              <w:rPr>
                <w:rFonts w:eastAsia="Calibri"/>
                <w:b/>
                <w:bCs/>
                <w:lang w:eastAsia="en-US"/>
              </w:rPr>
              <w:t>“</w:t>
            </w:r>
            <w:r w:rsidR="005C642E">
              <w:rPr>
                <w:lang w:eastAsia="en-US"/>
              </w:rPr>
              <w:t xml:space="preserve">(..) </w:t>
            </w:r>
            <w:r w:rsidR="00DC57DB" w:rsidRPr="00DC57DB">
              <w:rPr>
                <w:rFonts w:eastAsia="Calibri"/>
                <w:lang w:eastAsia="en-US"/>
              </w:rPr>
              <w:t>3.4. plānotais preču vai pakalpojumu eksporta apjoms ir lielāks par 3 miljoniem euro gadā;</w:t>
            </w:r>
          </w:p>
          <w:p w14:paraId="5CF05D68" w14:textId="77777777" w:rsidR="00DC57DB" w:rsidRDefault="00DC57DB" w:rsidP="00DC57DB">
            <w:pPr>
              <w:pStyle w:val="NormalWeb"/>
              <w:spacing w:before="0" w:beforeAutospacing="0" w:after="0" w:afterAutospacing="0"/>
              <w:rPr>
                <w:rFonts w:eastAsia="Calibri"/>
                <w:lang w:eastAsia="en-US"/>
              </w:rPr>
            </w:pPr>
            <w:r w:rsidRPr="00DC57DB">
              <w:rPr>
                <w:rFonts w:eastAsia="Calibri"/>
                <w:lang w:eastAsia="en-US"/>
              </w:rPr>
              <w:t>3.5. komersanta plānotais ieguldījumu apjoms gada ietvaros pētniecībā un attīstībā, darbinieku kompetenču pilnveidē ir vismaz 500 000 euro;</w:t>
            </w:r>
          </w:p>
          <w:p w14:paraId="2347159B" w14:textId="6D7137E6" w:rsidR="00DC57DB" w:rsidRPr="00DC57DB" w:rsidRDefault="00DC57DB" w:rsidP="00DC57DB">
            <w:pPr>
              <w:pStyle w:val="NormalWeb"/>
              <w:spacing w:before="0" w:beforeAutospacing="0" w:after="0" w:afterAutospacing="0"/>
              <w:rPr>
                <w:rFonts w:eastAsia="Calibri"/>
                <w:b/>
                <w:bCs/>
                <w:lang w:eastAsia="en-US"/>
              </w:rPr>
            </w:pPr>
            <w:r w:rsidRPr="00DC57DB">
              <w:rPr>
                <w:rFonts w:eastAsia="Calibri"/>
                <w:lang w:eastAsia="en-US"/>
              </w:rPr>
              <w:t>Tāpat aicinām iekļaut papildus</w:t>
            </w:r>
            <w:r w:rsidR="006A41B0">
              <w:rPr>
                <w:rFonts w:eastAsia="Calibri"/>
                <w:lang w:eastAsia="en-US"/>
              </w:rPr>
              <w:t xml:space="preserve"> (..)</w:t>
            </w:r>
            <w:r w:rsidRPr="00DC57DB">
              <w:rPr>
                <w:rFonts w:eastAsia="Calibri"/>
                <w:lang w:eastAsia="en-US"/>
              </w:rPr>
              <w:t>:</w:t>
            </w:r>
          </w:p>
          <w:p w14:paraId="7CAF70A8" w14:textId="113FFD92" w:rsidR="00AB71DB" w:rsidRDefault="00DC57DB" w:rsidP="00DC57DB">
            <w:pPr>
              <w:pStyle w:val="NormalWeb"/>
              <w:spacing w:before="0" w:beforeAutospacing="0" w:after="0" w:afterAutospacing="0"/>
              <w:rPr>
                <w:rFonts w:eastAsia="Calibri"/>
                <w:lang w:eastAsia="en-US"/>
              </w:rPr>
            </w:pPr>
            <w:r w:rsidRPr="00DC57DB">
              <w:rPr>
                <w:rFonts w:eastAsia="Calibri"/>
                <w:lang w:eastAsia="en-US"/>
              </w:rPr>
              <w:t>3.6. plānotais preču vai pakalpojumu, kuri ir importa aizstājēji,  apjoms ir lielāks par 500 000 euro gadā.</w:t>
            </w:r>
          </w:p>
          <w:p w14:paraId="578C57FC" w14:textId="1ED90EAF" w:rsidR="00DC57DB" w:rsidRPr="00FD51F3" w:rsidRDefault="00AB71DB" w:rsidP="00DC57DB">
            <w:pPr>
              <w:pStyle w:val="NormalWeb"/>
              <w:spacing w:before="0" w:beforeAutospacing="0" w:after="0" w:afterAutospacing="0"/>
              <w:rPr>
                <w:rFonts w:eastAsia="Calibri"/>
                <w:b/>
                <w:bCs/>
                <w:lang w:eastAsia="en-US"/>
              </w:rPr>
            </w:pPr>
            <w:r>
              <w:rPr>
                <w:rFonts w:eastAsia="Calibri"/>
                <w:lang w:eastAsia="en-US"/>
              </w:rPr>
              <w:t xml:space="preserve">(..) </w:t>
            </w:r>
            <w:r>
              <w:rPr>
                <w:lang w:eastAsia="en-US"/>
              </w:rPr>
              <w:t xml:space="preserve">LTRK ieskatā piedāvātie eksporta apjoma un ieguldījumu apjoma PA un </w:t>
            </w:r>
            <w:r>
              <w:rPr>
                <w:lang w:eastAsia="en-US"/>
              </w:rPr>
              <w:lastRenderedPageBreak/>
              <w:t>darbinieku kvalifikācijas celšanā ir palielināmi, lai virzītos uz produktivitātes un eksportspējas pieaugumu visos tautsaimniecības sektoros.</w:t>
            </w:r>
            <w:r w:rsidR="00DC57DB">
              <w:rPr>
                <w:rFonts w:eastAsia="Calibri"/>
                <w:lang w:eastAsia="en-US"/>
              </w:rPr>
              <w:t>”</w:t>
            </w:r>
          </w:p>
        </w:tc>
        <w:tc>
          <w:tcPr>
            <w:tcW w:w="3829" w:type="dxa"/>
            <w:gridSpan w:val="2"/>
            <w:tcBorders>
              <w:left w:val="single" w:sz="6" w:space="0" w:color="000000"/>
              <w:bottom w:val="single" w:sz="4" w:space="0" w:color="auto"/>
              <w:right w:val="single" w:sz="6" w:space="0" w:color="000000"/>
            </w:tcBorders>
          </w:tcPr>
          <w:p w14:paraId="15760389" w14:textId="309D92F6" w:rsidR="7EE60116" w:rsidRPr="002C4898" w:rsidRDefault="002C4898" w:rsidP="00FD51F3">
            <w:pPr>
              <w:pStyle w:val="naisc"/>
              <w:jc w:val="left"/>
            </w:pPr>
            <w:r>
              <w:rPr>
                <w:b/>
                <w:bCs/>
              </w:rPr>
              <w:lastRenderedPageBreak/>
              <w:t xml:space="preserve">Priekšlikums ir ņemts vērā </w:t>
            </w:r>
            <w:r w:rsidR="00CC762A">
              <w:rPr>
                <w:b/>
                <w:bCs/>
              </w:rPr>
              <w:t xml:space="preserve">daļēji </w:t>
            </w:r>
            <w:r>
              <w:t xml:space="preserve">un uz tā pamata ir izstrādāti precizējumi </w:t>
            </w:r>
            <w:r w:rsidR="004948AD">
              <w:t>Noteikumu 4.4.3. un 4.4.4. apakšpunktos</w:t>
            </w:r>
            <w:r w:rsidR="0059653D">
              <w:t>: 1)</w:t>
            </w:r>
            <w:r w:rsidR="007149D9">
              <w:t xml:space="preserve"> palielinot eksporta</w:t>
            </w:r>
            <w:r w:rsidR="0059653D">
              <w:t xml:space="preserve"> apjomu</w:t>
            </w:r>
            <w:r w:rsidR="00872B0E">
              <w:t xml:space="preserve"> 4.4.3. apakšpunktā</w:t>
            </w:r>
            <w:r w:rsidR="00745D21">
              <w:t>; 2)</w:t>
            </w:r>
            <w:r w:rsidR="006C71BB">
              <w:t xml:space="preserve"> papildinot 4.4.3. apakšpunktu </w:t>
            </w:r>
            <w:r w:rsidR="0042134A">
              <w:t>ar tekstu “</w:t>
            </w:r>
            <w:r w:rsidR="0042134A" w:rsidRPr="009465B0">
              <w:t>vai plānotais saražoto preču vai sniegto pakalpojumu apjoms trīs gadu periodā, kuri ir importa preču vai pakalpojumu aizstājēji,  ir lielāks par 500 000 euro gadā trīs gadu periodā</w:t>
            </w:r>
            <w:r w:rsidR="0042134A">
              <w:t>”</w:t>
            </w:r>
            <w:r w:rsidR="00745D21">
              <w:t xml:space="preserve">; 3) palielinot plānoto ieguldījumu </w:t>
            </w:r>
            <w:r w:rsidR="00BB4665">
              <w:t xml:space="preserve">apjomu </w:t>
            </w:r>
            <w:r w:rsidR="00872B0E">
              <w:t xml:space="preserve">pētniecībā un attīstībā 4.4.4. apakšpunktā. </w:t>
            </w:r>
          </w:p>
        </w:tc>
        <w:tc>
          <w:tcPr>
            <w:tcW w:w="2985" w:type="dxa"/>
            <w:tcBorders>
              <w:top w:val="single" w:sz="4" w:space="0" w:color="auto"/>
              <w:left w:val="single" w:sz="4" w:space="0" w:color="auto"/>
              <w:bottom w:val="single" w:sz="4" w:space="0" w:color="auto"/>
            </w:tcBorders>
          </w:tcPr>
          <w:p w14:paraId="5D6C44C6" w14:textId="406B9D40" w:rsidR="009465B0" w:rsidRDefault="009465B0" w:rsidP="00FD51F3">
            <w:r>
              <w:t>“</w:t>
            </w:r>
            <w:r w:rsidRPr="009465B0">
              <w:t>4.4.3. plānotais preču vai pakalpojumu eksporta apjoms triju gadu periodā pēc investīciju projekta īstenošanas ir lielāks par 3 000  000 euro (komersantiem, kas īsteno investīciju projektus Rīgas pilsētas administratīvajā teritorijā</w:t>
            </w:r>
            <w:r w:rsidR="00F40949">
              <w:t>,</w:t>
            </w:r>
            <w:r w:rsidRPr="009465B0">
              <w:t xml:space="preserve"> plānotais preču vai pakalpojumu eksporta apjoms ir lielāks par 5 000 000 euro) vai plānotais saražoto preču vai sniegto pakalpojumu apjoms trīs gadu periodā, kuri ir importa </w:t>
            </w:r>
            <w:r w:rsidRPr="009465B0">
              <w:lastRenderedPageBreak/>
              <w:t>preču vai pakalpojumu aizstājēji,  ir lielāks par 500 000 euro gadā trīs gadu periodā;</w:t>
            </w:r>
          </w:p>
          <w:p w14:paraId="3A0DE773" w14:textId="12A2D426" w:rsidR="7EE60116" w:rsidRPr="00FD51F3" w:rsidRDefault="00B74431" w:rsidP="00FD51F3">
            <w:r w:rsidRPr="00B74431">
              <w:t>4.4.4. komersanta plānotais ieguldījumu apjoms pētniecībā un attīstībā, tai skaitā darbinieku kompetenču pilnveidē, trīs gadu periodā pēc investīciju projekta īstenošanas, ir vismaz 250 000 euro</w:t>
            </w:r>
            <w:r w:rsidR="00A10D12">
              <w:t>”</w:t>
            </w:r>
          </w:p>
        </w:tc>
      </w:tr>
      <w:tr w:rsidR="007116C7" w:rsidRPr="00FD51F3" w14:paraId="3EBD920F" w14:textId="77777777" w:rsidTr="00C433A0">
        <w:tblPrEx>
          <w:tblBorders>
            <w:top w:val="none" w:sz="0" w:space="0" w:color="auto"/>
            <w:left w:val="none" w:sz="0" w:space="0" w:color="auto"/>
            <w:bottom w:val="none" w:sz="0" w:space="0" w:color="auto"/>
            <w:right w:val="none" w:sz="0" w:space="0" w:color="auto"/>
          </w:tblBorders>
        </w:tblPrEx>
        <w:trPr>
          <w:gridAfter w:val="2"/>
          <w:wAfter w:w="5715" w:type="dxa"/>
        </w:trPr>
        <w:tc>
          <w:tcPr>
            <w:tcW w:w="3108" w:type="dxa"/>
            <w:gridSpan w:val="2"/>
            <w:tcBorders>
              <w:top w:val="single" w:sz="0" w:space="0" w:color="000000"/>
              <w:left w:val="single" w:sz="0" w:space="0" w:color="000000"/>
              <w:bottom w:val="single" w:sz="0" w:space="0" w:color="000000"/>
              <w:right w:val="single" w:sz="0" w:space="0" w:color="000000"/>
            </w:tcBorders>
          </w:tcPr>
          <w:p w14:paraId="24F96379" w14:textId="77777777" w:rsidR="003A4C6C" w:rsidRPr="00FD51F3" w:rsidRDefault="003A4C6C" w:rsidP="00FD51F3">
            <w:pPr>
              <w:pStyle w:val="naiskr"/>
              <w:spacing w:before="0" w:after="0"/>
            </w:pPr>
          </w:p>
          <w:p w14:paraId="0E69E9E2" w14:textId="77777777" w:rsidR="007116C7" w:rsidRPr="00FD51F3" w:rsidRDefault="007116C7" w:rsidP="00FD51F3">
            <w:pPr>
              <w:pStyle w:val="naiskr"/>
              <w:spacing w:before="0" w:after="0"/>
            </w:pPr>
            <w:r w:rsidRPr="00FD51F3">
              <w:t>Atbildīgā amatpersona</w:t>
            </w:r>
          </w:p>
        </w:tc>
        <w:tc>
          <w:tcPr>
            <w:tcW w:w="6179" w:type="dxa"/>
            <w:gridSpan w:val="3"/>
            <w:tcBorders>
              <w:top w:val="single" w:sz="0" w:space="0" w:color="000000"/>
              <w:left w:val="single" w:sz="0" w:space="0" w:color="000000"/>
              <w:bottom w:val="single" w:sz="0" w:space="0" w:color="000000"/>
              <w:right w:val="single" w:sz="0" w:space="0" w:color="000000"/>
            </w:tcBorders>
          </w:tcPr>
          <w:p w14:paraId="103E3D2D" w14:textId="77777777" w:rsidR="007116C7" w:rsidRPr="00FD51F3" w:rsidRDefault="007116C7" w:rsidP="00FD51F3">
            <w:pPr>
              <w:pStyle w:val="naiskr"/>
              <w:spacing w:before="0" w:after="0"/>
              <w:ind w:firstLine="720"/>
            </w:pPr>
            <w:r w:rsidRPr="00FD51F3">
              <w:t>  </w:t>
            </w:r>
          </w:p>
        </w:tc>
      </w:tr>
      <w:tr w:rsidR="007116C7" w:rsidRPr="00FD51F3" w14:paraId="2EDE7200" w14:textId="77777777" w:rsidTr="00C433A0">
        <w:tblPrEx>
          <w:tblBorders>
            <w:top w:val="none" w:sz="0" w:space="0" w:color="auto"/>
            <w:left w:val="none" w:sz="0" w:space="0" w:color="auto"/>
            <w:bottom w:val="none" w:sz="0" w:space="0" w:color="auto"/>
            <w:right w:val="none" w:sz="0" w:space="0" w:color="auto"/>
          </w:tblBorders>
        </w:tblPrEx>
        <w:trPr>
          <w:gridAfter w:val="2"/>
          <w:wAfter w:w="5715" w:type="dxa"/>
        </w:trPr>
        <w:tc>
          <w:tcPr>
            <w:tcW w:w="3108" w:type="dxa"/>
            <w:gridSpan w:val="2"/>
            <w:tcBorders>
              <w:top w:val="single" w:sz="0" w:space="0" w:color="000000"/>
              <w:left w:val="single" w:sz="0" w:space="0" w:color="000000"/>
              <w:bottom w:val="single" w:sz="0" w:space="0" w:color="000000"/>
              <w:right w:val="single" w:sz="0" w:space="0" w:color="000000"/>
            </w:tcBorders>
          </w:tcPr>
          <w:p w14:paraId="09991175" w14:textId="77777777" w:rsidR="007116C7" w:rsidRPr="00FD51F3" w:rsidRDefault="007116C7" w:rsidP="00FD51F3">
            <w:pPr>
              <w:pStyle w:val="naiskr"/>
              <w:spacing w:before="0" w:after="0"/>
              <w:ind w:firstLine="720"/>
            </w:pPr>
          </w:p>
        </w:tc>
        <w:tc>
          <w:tcPr>
            <w:tcW w:w="6179" w:type="dxa"/>
            <w:gridSpan w:val="3"/>
            <w:tcBorders>
              <w:top w:val="single" w:sz="6" w:space="0" w:color="000000"/>
              <w:left w:val="single" w:sz="0" w:space="0" w:color="000000"/>
              <w:bottom w:val="single" w:sz="0" w:space="0" w:color="000000"/>
              <w:right w:val="single" w:sz="0" w:space="0" w:color="000000"/>
            </w:tcBorders>
          </w:tcPr>
          <w:p w14:paraId="503F7E55" w14:textId="77777777" w:rsidR="007116C7" w:rsidRPr="00FD51F3" w:rsidRDefault="007116C7" w:rsidP="00FD51F3">
            <w:pPr>
              <w:pStyle w:val="naisc"/>
              <w:spacing w:before="0" w:after="0"/>
              <w:ind w:firstLine="720"/>
            </w:pPr>
            <w:r w:rsidRPr="00FD51F3">
              <w:t>(paraksts</w:t>
            </w:r>
            <w:r w:rsidR="00D64FB0" w:rsidRPr="00FD51F3">
              <w:t>*</w:t>
            </w:r>
            <w:r w:rsidRPr="00FD51F3">
              <w:t>)</w:t>
            </w:r>
          </w:p>
        </w:tc>
      </w:tr>
    </w:tbl>
    <w:p w14:paraId="26C82BCA" w14:textId="77777777" w:rsidR="00D86BE3" w:rsidRPr="00FD51F3" w:rsidRDefault="00D86BE3" w:rsidP="00FD51F3">
      <w:pPr>
        <w:pStyle w:val="naisf"/>
        <w:spacing w:before="0" w:after="0"/>
        <w:ind w:firstLine="0"/>
      </w:pPr>
    </w:p>
    <w:p w14:paraId="6844AA4A" w14:textId="77777777" w:rsidR="003A4C6C" w:rsidRPr="00FD51F3" w:rsidRDefault="003A4C6C" w:rsidP="00FD51F3">
      <w:pPr>
        <w:pStyle w:val="naisf"/>
        <w:spacing w:before="0" w:after="0"/>
        <w:ind w:firstLine="0"/>
      </w:pPr>
    </w:p>
    <w:p w14:paraId="1BD124C8" w14:textId="7E07E812" w:rsidR="003A4C6C" w:rsidRPr="00FD51F3" w:rsidRDefault="00184479" w:rsidP="05BD0DA7">
      <w:pPr>
        <w:pStyle w:val="naisf"/>
        <w:spacing w:before="0" w:after="0"/>
        <w:ind w:firstLine="0"/>
      </w:pPr>
      <w:r>
        <w:t>Piezīme.</w:t>
      </w:r>
      <w:r w:rsidR="00767BF3">
        <w:t> </w:t>
      </w:r>
      <w:r w:rsidR="00FB6C91">
        <w:t>*</w:t>
      </w:r>
      <w:r w:rsidR="00767BF3">
        <w:t> </w:t>
      </w:r>
      <w:r w:rsidR="00317DC7">
        <w:t xml:space="preserve">Dokumenta rekvizītu </w:t>
      </w:r>
      <w:r w:rsidR="00364BB6">
        <w:t>"</w:t>
      </w:r>
      <w:r w:rsidR="0018210A">
        <w:t>p</w:t>
      </w:r>
      <w:r w:rsidR="00317DC7">
        <w:t>araksts</w:t>
      </w:r>
      <w:r w:rsidR="00364BB6">
        <w:t>"</w:t>
      </w:r>
      <w:r w:rsidR="00317DC7">
        <w:t xml:space="preserve"> neaizpilda, ja elektroniskais dokuments ir </w:t>
      </w:r>
      <w:r>
        <w:t>sagatavots</w:t>
      </w:r>
      <w:r w:rsidR="00317DC7">
        <w:t xml:space="preserve"> atbilstoši </w:t>
      </w:r>
      <w:r>
        <w:t xml:space="preserve">normatīvajiem aktiem par </w:t>
      </w:r>
      <w:r w:rsidR="00317DC7">
        <w:t>elektronisko dokumentu noformēšan</w:t>
      </w:r>
      <w:r>
        <w:t>u.</w:t>
      </w:r>
    </w:p>
    <w:p w14:paraId="417CC215" w14:textId="77777777" w:rsidR="003A4C6C" w:rsidRDefault="003A4C6C" w:rsidP="00FD51F3">
      <w:pPr>
        <w:pStyle w:val="NormalLatvian"/>
        <w:spacing w:after="0"/>
        <w:rPr>
          <w:sz w:val="24"/>
        </w:rPr>
      </w:pPr>
    </w:p>
    <w:p w14:paraId="0F419EC4" w14:textId="77777777" w:rsidR="005D1F54" w:rsidRDefault="005D1F54" w:rsidP="00FD51F3">
      <w:pPr>
        <w:pStyle w:val="NormalLatvian"/>
        <w:spacing w:after="0"/>
        <w:rPr>
          <w:sz w:val="24"/>
        </w:rPr>
      </w:pPr>
    </w:p>
    <w:p w14:paraId="117E06E1" w14:textId="77777777" w:rsidR="00484AEA" w:rsidRPr="00FD51F3" w:rsidRDefault="00484AEA" w:rsidP="00FD51F3">
      <w:pPr>
        <w:pStyle w:val="NormalLatvian"/>
        <w:spacing w:after="0"/>
        <w:rPr>
          <w:sz w:val="24"/>
        </w:rPr>
      </w:pPr>
    </w:p>
    <w:p w14:paraId="6A2E66A9" w14:textId="77777777" w:rsidR="00C2605E" w:rsidRPr="00FD51F3" w:rsidRDefault="00C2605E" w:rsidP="00FD51F3">
      <w:pPr>
        <w:pStyle w:val="NormalLatvian"/>
        <w:spacing w:after="0"/>
        <w:rPr>
          <w:sz w:val="20"/>
          <w:szCs w:val="20"/>
        </w:rPr>
      </w:pPr>
      <w:r w:rsidRPr="00FD51F3">
        <w:rPr>
          <w:sz w:val="20"/>
          <w:szCs w:val="20"/>
        </w:rPr>
        <w:t>Zanda Gailume - Zohara</w:t>
      </w:r>
    </w:p>
    <w:p w14:paraId="112542BB" w14:textId="77777777" w:rsidR="00C2605E" w:rsidRPr="00FD51F3" w:rsidRDefault="00C2605E" w:rsidP="00FD51F3">
      <w:pPr>
        <w:pStyle w:val="naisf"/>
        <w:spacing w:before="0" w:after="0"/>
        <w:ind w:firstLine="0"/>
        <w:rPr>
          <w:sz w:val="20"/>
          <w:szCs w:val="20"/>
        </w:rPr>
      </w:pPr>
      <w:r w:rsidRPr="00FD51F3">
        <w:rPr>
          <w:sz w:val="20"/>
          <w:szCs w:val="20"/>
        </w:rPr>
        <w:t xml:space="preserve">Inovācijas departamenta </w:t>
      </w:r>
    </w:p>
    <w:p w14:paraId="5D7DB189" w14:textId="77777777" w:rsidR="003A4C6C" w:rsidRPr="00FD51F3" w:rsidRDefault="00C2605E" w:rsidP="00FD51F3">
      <w:pPr>
        <w:pStyle w:val="naisf"/>
        <w:spacing w:before="0" w:after="0"/>
        <w:ind w:firstLine="0"/>
        <w:rPr>
          <w:sz w:val="20"/>
          <w:szCs w:val="20"/>
        </w:rPr>
      </w:pPr>
      <w:r w:rsidRPr="00FD51F3">
        <w:rPr>
          <w:sz w:val="20"/>
          <w:szCs w:val="20"/>
        </w:rPr>
        <w:t>Projektu attīstības nodaļas vecākā referente</w:t>
      </w:r>
    </w:p>
    <w:p w14:paraId="2E71980D" w14:textId="2108E295" w:rsidR="007116C7" w:rsidRPr="009E42CC" w:rsidRDefault="00C2605E" w:rsidP="00FD51F3">
      <w:pPr>
        <w:pStyle w:val="naisf"/>
        <w:spacing w:before="0" w:after="0"/>
        <w:ind w:firstLine="0"/>
        <w:rPr>
          <w:sz w:val="20"/>
          <w:szCs w:val="20"/>
        </w:rPr>
      </w:pPr>
      <w:r w:rsidRPr="00FD51F3">
        <w:rPr>
          <w:sz w:val="20"/>
          <w:szCs w:val="20"/>
        </w:rPr>
        <w:t xml:space="preserve">tālr.: </w:t>
      </w:r>
      <w:r w:rsidRPr="00FD51F3">
        <w:rPr>
          <w:color w:val="000000"/>
          <w:sz w:val="20"/>
          <w:szCs w:val="20"/>
        </w:rPr>
        <w:t>67013039</w:t>
      </w:r>
      <w:r w:rsidRPr="00FD51F3">
        <w:rPr>
          <w:sz w:val="20"/>
          <w:szCs w:val="20"/>
        </w:rPr>
        <w:t xml:space="preserve">, e-pasts: </w:t>
      </w:r>
      <w:hyperlink r:id="rId12" w:history="1">
        <w:r w:rsidRPr="00FD51F3">
          <w:rPr>
            <w:rStyle w:val="Hyperlink"/>
            <w:sz w:val="20"/>
            <w:szCs w:val="20"/>
          </w:rPr>
          <w:t>zanda.gailume-zohara@em.gov.lv</w:t>
        </w:r>
      </w:hyperlink>
      <w:r w:rsidRPr="00FD51F3">
        <w:rPr>
          <w:sz w:val="20"/>
          <w:szCs w:val="20"/>
        </w:rPr>
        <w:t xml:space="preserve"> </w:t>
      </w:r>
    </w:p>
    <w:sectPr w:rsidR="007116C7" w:rsidRPr="009E42CC" w:rsidSect="009F4DB5">
      <w:headerReference w:type="even" r:id="rId13"/>
      <w:headerReference w:type="default" r:id="rId14"/>
      <w:footerReference w:type="default" r:id="rId15"/>
      <w:headerReference w:type="firs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D443" w14:textId="77777777" w:rsidR="00642A21" w:rsidRDefault="00642A21">
      <w:r>
        <w:separator/>
      </w:r>
    </w:p>
  </w:endnote>
  <w:endnote w:type="continuationSeparator" w:id="0">
    <w:p w14:paraId="222D9EFA" w14:textId="77777777" w:rsidR="00642A21" w:rsidRDefault="00642A21">
      <w:r>
        <w:continuationSeparator/>
      </w:r>
    </w:p>
  </w:endnote>
  <w:endnote w:type="continuationNotice" w:id="1">
    <w:p w14:paraId="54608124" w14:textId="77777777" w:rsidR="00642A21" w:rsidRDefault="0064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default"/>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22C9" w14:textId="49FBDBE6" w:rsidR="00561D3C" w:rsidRPr="00EE6380" w:rsidRDefault="005D1F54" w:rsidP="00EE6380">
    <w:pPr>
      <w:pStyle w:val="Footer"/>
      <w:rPr>
        <w:sz w:val="20"/>
        <w:szCs w:val="20"/>
      </w:rPr>
    </w:pPr>
    <w:r>
      <w:rPr>
        <w:sz w:val="20"/>
        <w:szCs w:val="20"/>
      </w:rPr>
      <w:t>EMIzziņa</w:t>
    </w:r>
    <w:r w:rsidR="00EE6380" w:rsidRPr="00015C84">
      <w:rPr>
        <w:sz w:val="20"/>
        <w:szCs w:val="20"/>
      </w:rPr>
      <w:t>_</w:t>
    </w:r>
    <w:r w:rsidR="00DF7E03">
      <w:rPr>
        <w:sz w:val="20"/>
        <w:szCs w:val="20"/>
      </w:rPr>
      <w:t>MKNprioritarie_projekti</w:t>
    </w:r>
    <w:r>
      <w:rPr>
        <w:sz w:val="20"/>
        <w:szCs w:val="20"/>
      </w:rPr>
      <w:t>_26012021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8414" w14:textId="77777777" w:rsidR="006455E7" w:rsidRPr="00015C84" w:rsidRDefault="00015C84" w:rsidP="00364BB6">
    <w:pPr>
      <w:pStyle w:val="Footer"/>
      <w:rPr>
        <w:sz w:val="20"/>
        <w:szCs w:val="20"/>
      </w:rPr>
    </w:pPr>
    <w:r w:rsidRPr="00015C84">
      <w:rPr>
        <w:sz w:val="20"/>
        <w:szCs w:val="20"/>
      </w:rPr>
      <w:t>MKizz_</w:t>
    </w:r>
    <w:r w:rsidR="005E0ADC">
      <w:rPr>
        <w:sz w:val="20"/>
        <w:szCs w:val="20"/>
      </w:rPr>
      <w:t>201120</w:t>
    </w:r>
    <w:r w:rsidRPr="00015C84">
      <w:rPr>
        <w:sz w:val="20"/>
        <w:szCs w:val="20"/>
      </w:rPr>
      <w:t>_</w:t>
    </w:r>
    <w:r w:rsidR="005E0ADC">
      <w:rPr>
        <w:sz w:val="20"/>
        <w:szCs w:val="20"/>
      </w:rPr>
      <w:t>groz857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6C8B" w14:textId="77777777" w:rsidR="00642A21" w:rsidRDefault="00642A21">
      <w:r>
        <w:separator/>
      </w:r>
    </w:p>
  </w:footnote>
  <w:footnote w:type="continuationSeparator" w:id="0">
    <w:p w14:paraId="20282E1F" w14:textId="77777777" w:rsidR="00642A21" w:rsidRDefault="00642A21">
      <w:r>
        <w:continuationSeparator/>
      </w:r>
    </w:p>
  </w:footnote>
  <w:footnote w:type="continuationNotice" w:id="1">
    <w:p w14:paraId="42F64D11" w14:textId="77777777" w:rsidR="00642A21" w:rsidRDefault="00642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578E"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786EE"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AD0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3A919D24" w14:textId="77777777"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163C" w14:textId="1D34695F" w:rsidR="009F4DB5" w:rsidRDefault="009F4DB5">
    <w:pPr>
      <w:pStyle w:val="Header"/>
    </w:pPr>
  </w:p>
  <w:p w14:paraId="4C15029A" w14:textId="77777777" w:rsidR="009F4DB5" w:rsidRDefault="009F4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A07"/>
    <w:multiLevelType w:val="hybridMultilevel"/>
    <w:tmpl w:val="FFFFFFFF"/>
    <w:lvl w:ilvl="0" w:tplc="B096E506">
      <w:start w:val="1"/>
      <w:numFmt w:val="decimal"/>
      <w:lvlText w:val="%1."/>
      <w:lvlJc w:val="left"/>
      <w:pPr>
        <w:ind w:left="720" w:hanging="360"/>
      </w:pPr>
    </w:lvl>
    <w:lvl w:ilvl="1" w:tplc="A1C23650">
      <w:start w:val="1"/>
      <w:numFmt w:val="lowerLetter"/>
      <w:lvlText w:val="%2."/>
      <w:lvlJc w:val="left"/>
      <w:pPr>
        <w:ind w:left="1440" w:hanging="360"/>
      </w:pPr>
    </w:lvl>
    <w:lvl w:ilvl="2" w:tplc="E572F2F8">
      <w:start w:val="1"/>
      <w:numFmt w:val="lowerRoman"/>
      <w:lvlText w:val="%3."/>
      <w:lvlJc w:val="right"/>
      <w:pPr>
        <w:ind w:left="2160" w:hanging="180"/>
      </w:pPr>
    </w:lvl>
    <w:lvl w:ilvl="3" w:tplc="B4C68CF6">
      <w:start w:val="1"/>
      <w:numFmt w:val="decimal"/>
      <w:lvlText w:val="%4."/>
      <w:lvlJc w:val="left"/>
      <w:pPr>
        <w:ind w:left="2880" w:hanging="360"/>
      </w:pPr>
    </w:lvl>
    <w:lvl w:ilvl="4" w:tplc="28325162">
      <w:start w:val="1"/>
      <w:numFmt w:val="lowerLetter"/>
      <w:lvlText w:val="%5."/>
      <w:lvlJc w:val="left"/>
      <w:pPr>
        <w:ind w:left="3600" w:hanging="360"/>
      </w:pPr>
    </w:lvl>
    <w:lvl w:ilvl="5" w:tplc="7DB89420">
      <w:start w:val="1"/>
      <w:numFmt w:val="lowerRoman"/>
      <w:lvlText w:val="%6."/>
      <w:lvlJc w:val="right"/>
      <w:pPr>
        <w:ind w:left="4320" w:hanging="180"/>
      </w:pPr>
    </w:lvl>
    <w:lvl w:ilvl="6" w:tplc="FB580DC8">
      <w:start w:val="1"/>
      <w:numFmt w:val="decimal"/>
      <w:lvlText w:val="%7."/>
      <w:lvlJc w:val="left"/>
      <w:pPr>
        <w:ind w:left="5040" w:hanging="360"/>
      </w:pPr>
    </w:lvl>
    <w:lvl w:ilvl="7" w:tplc="229045EA">
      <w:start w:val="1"/>
      <w:numFmt w:val="lowerLetter"/>
      <w:lvlText w:val="%8."/>
      <w:lvlJc w:val="left"/>
      <w:pPr>
        <w:ind w:left="5760" w:hanging="360"/>
      </w:pPr>
    </w:lvl>
    <w:lvl w:ilvl="8" w:tplc="6E8C59FC">
      <w:start w:val="1"/>
      <w:numFmt w:val="lowerRoman"/>
      <w:lvlText w:val="%9."/>
      <w:lvlJc w:val="right"/>
      <w:pPr>
        <w:ind w:left="6480" w:hanging="180"/>
      </w:pPr>
    </w:lvl>
  </w:abstractNum>
  <w:abstractNum w:abstractNumId="1" w15:restartNumberingAfterBreak="0">
    <w:nsid w:val="0A7D0DA6"/>
    <w:multiLevelType w:val="hybridMultilevel"/>
    <w:tmpl w:val="428C8328"/>
    <w:lvl w:ilvl="0" w:tplc="65BA04A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7F010D"/>
    <w:multiLevelType w:val="multilevel"/>
    <w:tmpl w:val="B82011C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39E8356E"/>
    <w:multiLevelType w:val="hybridMultilevel"/>
    <w:tmpl w:val="E544133C"/>
    <w:lvl w:ilvl="0" w:tplc="24402C4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A8080A"/>
    <w:multiLevelType w:val="multilevel"/>
    <w:tmpl w:val="987C409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hybridMultilevel"/>
    <w:tmpl w:val="DB46BDCE"/>
    <w:lvl w:ilvl="0" w:tplc="C870F5B6">
      <w:start w:val="1"/>
      <w:numFmt w:val="bullet"/>
      <w:lvlText w:val=""/>
      <w:lvlJc w:val="left"/>
      <w:pPr>
        <w:tabs>
          <w:tab w:val="num" w:pos="720"/>
        </w:tabs>
        <w:ind w:left="720" w:hanging="360"/>
      </w:pPr>
      <w:rPr>
        <w:rFonts w:ascii="Symbol" w:hAnsi="Symbol" w:hint="default"/>
        <w:sz w:val="20"/>
      </w:rPr>
    </w:lvl>
    <w:lvl w:ilvl="1" w:tplc="F65607D6" w:tentative="1">
      <w:start w:val="1"/>
      <w:numFmt w:val="bullet"/>
      <w:lvlText w:val="o"/>
      <w:lvlJc w:val="left"/>
      <w:pPr>
        <w:tabs>
          <w:tab w:val="num" w:pos="1440"/>
        </w:tabs>
        <w:ind w:left="1440" w:hanging="360"/>
      </w:pPr>
      <w:rPr>
        <w:rFonts w:ascii="Courier New" w:hAnsi="Courier New" w:hint="default"/>
        <w:sz w:val="20"/>
      </w:rPr>
    </w:lvl>
    <w:lvl w:ilvl="2" w:tplc="168E9334" w:tentative="1">
      <w:start w:val="1"/>
      <w:numFmt w:val="bullet"/>
      <w:lvlText w:val=""/>
      <w:lvlJc w:val="left"/>
      <w:pPr>
        <w:tabs>
          <w:tab w:val="num" w:pos="2160"/>
        </w:tabs>
        <w:ind w:left="2160" w:hanging="360"/>
      </w:pPr>
      <w:rPr>
        <w:rFonts w:ascii="Wingdings" w:hAnsi="Wingdings" w:hint="default"/>
        <w:sz w:val="20"/>
      </w:rPr>
    </w:lvl>
    <w:lvl w:ilvl="3" w:tplc="ABAED904" w:tentative="1">
      <w:start w:val="1"/>
      <w:numFmt w:val="bullet"/>
      <w:lvlText w:val=""/>
      <w:lvlJc w:val="left"/>
      <w:pPr>
        <w:tabs>
          <w:tab w:val="num" w:pos="2880"/>
        </w:tabs>
        <w:ind w:left="2880" w:hanging="360"/>
      </w:pPr>
      <w:rPr>
        <w:rFonts w:ascii="Wingdings" w:hAnsi="Wingdings" w:hint="default"/>
        <w:sz w:val="20"/>
      </w:rPr>
    </w:lvl>
    <w:lvl w:ilvl="4" w:tplc="2EF4AFD6" w:tentative="1">
      <w:start w:val="1"/>
      <w:numFmt w:val="bullet"/>
      <w:lvlText w:val=""/>
      <w:lvlJc w:val="left"/>
      <w:pPr>
        <w:tabs>
          <w:tab w:val="num" w:pos="3600"/>
        </w:tabs>
        <w:ind w:left="3600" w:hanging="360"/>
      </w:pPr>
      <w:rPr>
        <w:rFonts w:ascii="Wingdings" w:hAnsi="Wingdings" w:hint="default"/>
        <w:sz w:val="20"/>
      </w:rPr>
    </w:lvl>
    <w:lvl w:ilvl="5" w:tplc="243C90F8" w:tentative="1">
      <w:start w:val="1"/>
      <w:numFmt w:val="bullet"/>
      <w:lvlText w:val=""/>
      <w:lvlJc w:val="left"/>
      <w:pPr>
        <w:tabs>
          <w:tab w:val="num" w:pos="4320"/>
        </w:tabs>
        <w:ind w:left="4320" w:hanging="360"/>
      </w:pPr>
      <w:rPr>
        <w:rFonts w:ascii="Wingdings" w:hAnsi="Wingdings" w:hint="default"/>
        <w:sz w:val="20"/>
      </w:rPr>
    </w:lvl>
    <w:lvl w:ilvl="6" w:tplc="DDC432F6" w:tentative="1">
      <w:start w:val="1"/>
      <w:numFmt w:val="bullet"/>
      <w:lvlText w:val=""/>
      <w:lvlJc w:val="left"/>
      <w:pPr>
        <w:tabs>
          <w:tab w:val="num" w:pos="5040"/>
        </w:tabs>
        <w:ind w:left="5040" w:hanging="360"/>
      </w:pPr>
      <w:rPr>
        <w:rFonts w:ascii="Wingdings" w:hAnsi="Wingdings" w:hint="default"/>
        <w:sz w:val="20"/>
      </w:rPr>
    </w:lvl>
    <w:lvl w:ilvl="7" w:tplc="5888BEFE" w:tentative="1">
      <w:start w:val="1"/>
      <w:numFmt w:val="bullet"/>
      <w:lvlText w:val=""/>
      <w:lvlJc w:val="left"/>
      <w:pPr>
        <w:tabs>
          <w:tab w:val="num" w:pos="5760"/>
        </w:tabs>
        <w:ind w:left="5760" w:hanging="360"/>
      </w:pPr>
      <w:rPr>
        <w:rFonts w:ascii="Wingdings" w:hAnsi="Wingdings" w:hint="default"/>
        <w:sz w:val="20"/>
      </w:rPr>
    </w:lvl>
    <w:lvl w:ilvl="8" w:tplc="CE8A3D6E"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37C"/>
    <w:rsid w:val="000136AA"/>
    <w:rsid w:val="00013B4C"/>
    <w:rsid w:val="00013BF6"/>
    <w:rsid w:val="0001490F"/>
    <w:rsid w:val="0001554C"/>
    <w:rsid w:val="00015B94"/>
    <w:rsid w:val="00015C84"/>
    <w:rsid w:val="00015DE5"/>
    <w:rsid w:val="00016A39"/>
    <w:rsid w:val="000172E2"/>
    <w:rsid w:val="00017449"/>
    <w:rsid w:val="00020249"/>
    <w:rsid w:val="00022338"/>
    <w:rsid w:val="0002296A"/>
    <w:rsid w:val="00022B0F"/>
    <w:rsid w:val="00022B9A"/>
    <w:rsid w:val="00023FD6"/>
    <w:rsid w:val="0002416A"/>
    <w:rsid w:val="00024B11"/>
    <w:rsid w:val="00024CCD"/>
    <w:rsid w:val="00024D20"/>
    <w:rsid w:val="000253DB"/>
    <w:rsid w:val="000253E4"/>
    <w:rsid w:val="00025A8E"/>
    <w:rsid w:val="00025BC5"/>
    <w:rsid w:val="000278E7"/>
    <w:rsid w:val="00027A63"/>
    <w:rsid w:val="00027C63"/>
    <w:rsid w:val="00027F9D"/>
    <w:rsid w:val="000307B5"/>
    <w:rsid w:val="00032457"/>
    <w:rsid w:val="0003413A"/>
    <w:rsid w:val="000349CA"/>
    <w:rsid w:val="0003557A"/>
    <w:rsid w:val="00035C06"/>
    <w:rsid w:val="000366DF"/>
    <w:rsid w:val="000366F2"/>
    <w:rsid w:val="000376CD"/>
    <w:rsid w:val="00040A5C"/>
    <w:rsid w:val="00043005"/>
    <w:rsid w:val="0004345F"/>
    <w:rsid w:val="00044026"/>
    <w:rsid w:val="00046075"/>
    <w:rsid w:val="00046CAD"/>
    <w:rsid w:val="00046F5C"/>
    <w:rsid w:val="00047385"/>
    <w:rsid w:val="00047D46"/>
    <w:rsid w:val="00050554"/>
    <w:rsid w:val="00053706"/>
    <w:rsid w:val="00053E04"/>
    <w:rsid w:val="00056D29"/>
    <w:rsid w:val="000579E6"/>
    <w:rsid w:val="00060E03"/>
    <w:rsid w:val="000641CE"/>
    <w:rsid w:val="00065271"/>
    <w:rsid w:val="00066176"/>
    <w:rsid w:val="0006618D"/>
    <w:rsid w:val="00066885"/>
    <w:rsid w:val="0006694E"/>
    <w:rsid w:val="00066A37"/>
    <w:rsid w:val="00066B3D"/>
    <w:rsid w:val="00066F05"/>
    <w:rsid w:val="00072628"/>
    <w:rsid w:val="000728ED"/>
    <w:rsid w:val="000733F5"/>
    <w:rsid w:val="000733FF"/>
    <w:rsid w:val="00074EB8"/>
    <w:rsid w:val="0007577A"/>
    <w:rsid w:val="000772E9"/>
    <w:rsid w:val="000775D0"/>
    <w:rsid w:val="00080ABF"/>
    <w:rsid w:val="00081B0F"/>
    <w:rsid w:val="0008283D"/>
    <w:rsid w:val="00083090"/>
    <w:rsid w:val="00083214"/>
    <w:rsid w:val="00083B8F"/>
    <w:rsid w:val="00084B11"/>
    <w:rsid w:val="00085322"/>
    <w:rsid w:val="0008656F"/>
    <w:rsid w:val="00086AB9"/>
    <w:rsid w:val="00086BCE"/>
    <w:rsid w:val="00086F36"/>
    <w:rsid w:val="00087512"/>
    <w:rsid w:val="000878AE"/>
    <w:rsid w:val="00090168"/>
    <w:rsid w:val="00090C76"/>
    <w:rsid w:val="00091033"/>
    <w:rsid w:val="00091F10"/>
    <w:rsid w:val="00092431"/>
    <w:rsid w:val="0009302B"/>
    <w:rsid w:val="00093EC2"/>
    <w:rsid w:val="000958A2"/>
    <w:rsid w:val="000965E7"/>
    <w:rsid w:val="000A0041"/>
    <w:rsid w:val="000A06FC"/>
    <w:rsid w:val="000A1A02"/>
    <w:rsid w:val="000A32BB"/>
    <w:rsid w:val="000A4035"/>
    <w:rsid w:val="000A483A"/>
    <w:rsid w:val="000A55D2"/>
    <w:rsid w:val="000A64D3"/>
    <w:rsid w:val="000A77B9"/>
    <w:rsid w:val="000A7C8D"/>
    <w:rsid w:val="000A7EA7"/>
    <w:rsid w:val="000B0403"/>
    <w:rsid w:val="000B057B"/>
    <w:rsid w:val="000B06E7"/>
    <w:rsid w:val="000B0C94"/>
    <w:rsid w:val="000B15E5"/>
    <w:rsid w:val="000B2382"/>
    <w:rsid w:val="000B3171"/>
    <w:rsid w:val="000B34A5"/>
    <w:rsid w:val="000B4746"/>
    <w:rsid w:val="000B6A98"/>
    <w:rsid w:val="000B7966"/>
    <w:rsid w:val="000B7CB1"/>
    <w:rsid w:val="000C0AE6"/>
    <w:rsid w:val="000C0D0D"/>
    <w:rsid w:val="000C2555"/>
    <w:rsid w:val="000C29E1"/>
    <w:rsid w:val="000C3545"/>
    <w:rsid w:val="000C36CD"/>
    <w:rsid w:val="000C498A"/>
    <w:rsid w:val="000C4C16"/>
    <w:rsid w:val="000C56FC"/>
    <w:rsid w:val="000C7907"/>
    <w:rsid w:val="000C7A11"/>
    <w:rsid w:val="000C7A7C"/>
    <w:rsid w:val="000C7F5E"/>
    <w:rsid w:val="000D00AC"/>
    <w:rsid w:val="000D0AED"/>
    <w:rsid w:val="000D3602"/>
    <w:rsid w:val="000D4D89"/>
    <w:rsid w:val="000D6BBD"/>
    <w:rsid w:val="000D7751"/>
    <w:rsid w:val="000D7C23"/>
    <w:rsid w:val="000E0A16"/>
    <w:rsid w:val="000E0F70"/>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B3F"/>
    <w:rsid w:val="000F5C37"/>
    <w:rsid w:val="000F5DF0"/>
    <w:rsid w:val="000F5E48"/>
    <w:rsid w:val="000F6A0B"/>
    <w:rsid w:val="000F7695"/>
    <w:rsid w:val="001002F1"/>
    <w:rsid w:val="001012E3"/>
    <w:rsid w:val="0010186F"/>
    <w:rsid w:val="00101EEB"/>
    <w:rsid w:val="0010375A"/>
    <w:rsid w:val="001038ED"/>
    <w:rsid w:val="001039F4"/>
    <w:rsid w:val="001042B0"/>
    <w:rsid w:val="00104579"/>
    <w:rsid w:val="001045A9"/>
    <w:rsid w:val="001063CB"/>
    <w:rsid w:val="001065A5"/>
    <w:rsid w:val="00106F4F"/>
    <w:rsid w:val="001071D3"/>
    <w:rsid w:val="001075A8"/>
    <w:rsid w:val="00110259"/>
    <w:rsid w:val="00110577"/>
    <w:rsid w:val="00110AA9"/>
    <w:rsid w:val="0011254D"/>
    <w:rsid w:val="001139C2"/>
    <w:rsid w:val="00114559"/>
    <w:rsid w:val="00114EA9"/>
    <w:rsid w:val="00115ED0"/>
    <w:rsid w:val="0011683C"/>
    <w:rsid w:val="001179E8"/>
    <w:rsid w:val="0012021B"/>
    <w:rsid w:val="0012222D"/>
    <w:rsid w:val="001255E6"/>
    <w:rsid w:val="00126BD0"/>
    <w:rsid w:val="0013053A"/>
    <w:rsid w:val="0013066A"/>
    <w:rsid w:val="001307DD"/>
    <w:rsid w:val="001315EF"/>
    <w:rsid w:val="00131F39"/>
    <w:rsid w:val="00132375"/>
    <w:rsid w:val="0013240A"/>
    <w:rsid w:val="00132E73"/>
    <w:rsid w:val="00133505"/>
    <w:rsid w:val="00134188"/>
    <w:rsid w:val="00137403"/>
    <w:rsid w:val="00140706"/>
    <w:rsid w:val="0014122A"/>
    <w:rsid w:val="00141E85"/>
    <w:rsid w:val="00142A70"/>
    <w:rsid w:val="00142C6F"/>
    <w:rsid w:val="0014319C"/>
    <w:rsid w:val="001436B3"/>
    <w:rsid w:val="00143976"/>
    <w:rsid w:val="00143DAC"/>
    <w:rsid w:val="00144622"/>
    <w:rsid w:val="00144781"/>
    <w:rsid w:val="00144917"/>
    <w:rsid w:val="0014702D"/>
    <w:rsid w:val="00147596"/>
    <w:rsid w:val="00152718"/>
    <w:rsid w:val="001530CF"/>
    <w:rsid w:val="00153F12"/>
    <w:rsid w:val="00154180"/>
    <w:rsid w:val="001543DB"/>
    <w:rsid w:val="00155473"/>
    <w:rsid w:val="00155DC2"/>
    <w:rsid w:val="001565DB"/>
    <w:rsid w:val="00156D90"/>
    <w:rsid w:val="00156E9F"/>
    <w:rsid w:val="00157A57"/>
    <w:rsid w:val="00157DB6"/>
    <w:rsid w:val="00157EC2"/>
    <w:rsid w:val="00162A68"/>
    <w:rsid w:val="00162E08"/>
    <w:rsid w:val="001633F1"/>
    <w:rsid w:val="0016531E"/>
    <w:rsid w:val="0016565C"/>
    <w:rsid w:val="00165D88"/>
    <w:rsid w:val="00166314"/>
    <w:rsid w:val="00166746"/>
    <w:rsid w:val="00167590"/>
    <w:rsid w:val="00167918"/>
    <w:rsid w:val="00167C1E"/>
    <w:rsid w:val="0017043B"/>
    <w:rsid w:val="001706A1"/>
    <w:rsid w:val="00170914"/>
    <w:rsid w:val="00170DF2"/>
    <w:rsid w:val="001718C0"/>
    <w:rsid w:val="00174841"/>
    <w:rsid w:val="00174BAD"/>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87C"/>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8A1"/>
    <w:rsid w:val="001C0824"/>
    <w:rsid w:val="001C0B83"/>
    <w:rsid w:val="001C1510"/>
    <w:rsid w:val="001C1989"/>
    <w:rsid w:val="001C28FD"/>
    <w:rsid w:val="001C3349"/>
    <w:rsid w:val="001C486D"/>
    <w:rsid w:val="001C4ABA"/>
    <w:rsid w:val="001C4D9D"/>
    <w:rsid w:val="001C546B"/>
    <w:rsid w:val="001C5C81"/>
    <w:rsid w:val="001C5EA2"/>
    <w:rsid w:val="001C6608"/>
    <w:rsid w:val="001C6C7D"/>
    <w:rsid w:val="001C6D91"/>
    <w:rsid w:val="001D1637"/>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0F3"/>
    <w:rsid w:val="001E4456"/>
    <w:rsid w:val="001E4DDC"/>
    <w:rsid w:val="001E774F"/>
    <w:rsid w:val="001E7C1D"/>
    <w:rsid w:val="001F073F"/>
    <w:rsid w:val="001F3009"/>
    <w:rsid w:val="001F3358"/>
    <w:rsid w:val="001F35CB"/>
    <w:rsid w:val="001F390F"/>
    <w:rsid w:val="001F40C9"/>
    <w:rsid w:val="001F5CD1"/>
    <w:rsid w:val="001F7257"/>
    <w:rsid w:val="001F7739"/>
    <w:rsid w:val="0020011B"/>
    <w:rsid w:val="0020187E"/>
    <w:rsid w:val="00201DC6"/>
    <w:rsid w:val="00202375"/>
    <w:rsid w:val="002025EA"/>
    <w:rsid w:val="00202884"/>
    <w:rsid w:val="00202E44"/>
    <w:rsid w:val="00203556"/>
    <w:rsid w:val="00204792"/>
    <w:rsid w:val="00204D0F"/>
    <w:rsid w:val="00204DB6"/>
    <w:rsid w:val="0020502D"/>
    <w:rsid w:val="002056ED"/>
    <w:rsid w:val="00205C3A"/>
    <w:rsid w:val="00211793"/>
    <w:rsid w:val="00211C11"/>
    <w:rsid w:val="00212345"/>
    <w:rsid w:val="00212663"/>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771"/>
    <w:rsid w:val="002308FA"/>
    <w:rsid w:val="0023132F"/>
    <w:rsid w:val="00231AA5"/>
    <w:rsid w:val="00232F90"/>
    <w:rsid w:val="0023339B"/>
    <w:rsid w:val="0023469C"/>
    <w:rsid w:val="00234C71"/>
    <w:rsid w:val="00235511"/>
    <w:rsid w:val="002366E0"/>
    <w:rsid w:val="00236DE1"/>
    <w:rsid w:val="002372EE"/>
    <w:rsid w:val="002372FD"/>
    <w:rsid w:val="0023764D"/>
    <w:rsid w:val="002407E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5E68"/>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02F"/>
    <w:rsid w:val="002815D0"/>
    <w:rsid w:val="00281D7F"/>
    <w:rsid w:val="002820A7"/>
    <w:rsid w:val="00283B82"/>
    <w:rsid w:val="00283E13"/>
    <w:rsid w:val="00286478"/>
    <w:rsid w:val="00287EDD"/>
    <w:rsid w:val="0029141B"/>
    <w:rsid w:val="002927D3"/>
    <w:rsid w:val="00294BDE"/>
    <w:rsid w:val="00295DB6"/>
    <w:rsid w:val="002962D7"/>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454"/>
    <w:rsid w:val="002B183D"/>
    <w:rsid w:val="002B1DBF"/>
    <w:rsid w:val="002B207F"/>
    <w:rsid w:val="002B2A48"/>
    <w:rsid w:val="002B2BEE"/>
    <w:rsid w:val="002B31AD"/>
    <w:rsid w:val="002B3EA7"/>
    <w:rsid w:val="002B4BAE"/>
    <w:rsid w:val="002B4CFA"/>
    <w:rsid w:val="002B538B"/>
    <w:rsid w:val="002B581B"/>
    <w:rsid w:val="002C2892"/>
    <w:rsid w:val="002C36ED"/>
    <w:rsid w:val="002C4898"/>
    <w:rsid w:val="002C58AB"/>
    <w:rsid w:val="002C6D84"/>
    <w:rsid w:val="002C73B8"/>
    <w:rsid w:val="002C7D21"/>
    <w:rsid w:val="002D07E0"/>
    <w:rsid w:val="002D1564"/>
    <w:rsid w:val="002D1AFB"/>
    <w:rsid w:val="002D1CA4"/>
    <w:rsid w:val="002D286B"/>
    <w:rsid w:val="002D2C09"/>
    <w:rsid w:val="002D2C45"/>
    <w:rsid w:val="002D4969"/>
    <w:rsid w:val="002D4EE1"/>
    <w:rsid w:val="002D4F49"/>
    <w:rsid w:val="002D6F33"/>
    <w:rsid w:val="002D778E"/>
    <w:rsid w:val="002E007A"/>
    <w:rsid w:val="002E04D7"/>
    <w:rsid w:val="002E06DD"/>
    <w:rsid w:val="002E171A"/>
    <w:rsid w:val="002E1837"/>
    <w:rsid w:val="002E2A24"/>
    <w:rsid w:val="002E3D66"/>
    <w:rsid w:val="002E3F11"/>
    <w:rsid w:val="002E4B11"/>
    <w:rsid w:val="002E4F70"/>
    <w:rsid w:val="002E5409"/>
    <w:rsid w:val="002E5886"/>
    <w:rsid w:val="002E5AD3"/>
    <w:rsid w:val="002E635D"/>
    <w:rsid w:val="002E74CA"/>
    <w:rsid w:val="002E7562"/>
    <w:rsid w:val="002F071F"/>
    <w:rsid w:val="002F0E49"/>
    <w:rsid w:val="002F16D5"/>
    <w:rsid w:val="002F1A90"/>
    <w:rsid w:val="002F1B6F"/>
    <w:rsid w:val="002F1C2F"/>
    <w:rsid w:val="002F3D1C"/>
    <w:rsid w:val="002F3DD0"/>
    <w:rsid w:val="002F4EA1"/>
    <w:rsid w:val="002F52DE"/>
    <w:rsid w:val="002F55C1"/>
    <w:rsid w:val="002F797A"/>
    <w:rsid w:val="00300483"/>
    <w:rsid w:val="0030145B"/>
    <w:rsid w:val="00301C91"/>
    <w:rsid w:val="00303B9C"/>
    <w:rsid w:val="00303E0E"/>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D44"/>
    <w:rsid w:val="00315266"/>
    <w:rsid w:val="0031693B"/>
    <w:rsid w:val="003169CE"/>
    <w:rsid w:val="00316F0A"/>
    <w:rsid w:val="003178B6"/>
    <w:rsid w:val="00317DC7"/>
    <w:rsid w:val="003200F9"/>
    <w:rsid w:val="00320F38"/>
    <w:rsid w:val="00321183"/>
    <w:rsid w:val="00321694"/>
    <w:rsid w:val="00321B9D"/>
    <w:rsid w:val="00321CCE"/>
    <w:rsid w:val="00321F0A"/>
    <w:rsid w:val="003223CE"/>
    <w:rsid w:val="00322A2D"/>
    <w:rsid w:val="00322E80"/>
    <w:rsid w:val="00324D5B"/>
    <w:rsid w:val="00325045"/>
    <w:rsid w:val="00325D91"/>
    <w:rsid w:val="003267B4"/>
    <w:rsid w:val="003305EC"/>
    <w:rsid w:val="00331193"/>
    <w:rsid w:val="00331400"/>
    <w:rsid w:val="003333D4"/>
    <w:rsid w:val="00334951"/>
    <w:rsid w:val="003362AA"/>
    <w:rsid w:val="00336411"/>
    <w:rsid w:val="0033678D"/>
    <w:rsid w:val="0033720D"/>
    <w:rsid w:val="003373E8"/>
    <w:rsid w:val="00337931"/>
    <w:rsid w:val="003443DD"/>
    <w:rsid w:val="00344D5A"/>
    <w:rsid w:val="0034554B"/>
    <w:rsid w:val="00346EB6"/>
    <w:rsid w:val="003478B2"/>
    <w:rsid w:val="00347EDB"/>
    <w:rsid w:val="00350797"/>
    <w:rsid w:val="00351A85"/>
    <w:rsid w:val="003522E8"/>
    <w:rsid w:val="00353989"/>
    <w:rsid w:val="00355B7A"/>
    <w:rsid w:val="0035617C"/>
    <w:rsid w:val="00356E7E"/>
    <w:rsid w:val="00356EB8"/>
    <w:rsid w:val="00357B83"/>
    <w:rsid w:val="00360CCD"/>
    <w:rsid w:val="003614A8"/>
    <w:rsid w:val="0036160E"/>
    <w:rsid w:val="00362610"/>
    <w:rsid w:val="00363182"/>
    <w:rsid w:val="00363830"/>
    <w:rsid w:val="00363D2D"/>
    <w:rsid w:val="00364BB6"/>
    <w:rsid w:val="00364D6B"/>
    <w:rsid w:val="00365408"/>
    <w:rsid w:val="00365CC0"/>
    <w:rsid w:val="003668DF"/>
    <w:rsid w:val="00367688"/>
    <w:rsid w:val="00372221"/>
    <w:rsid w:val="00372686"/>
    <w:rsid w:val="00372CF2"/>
    <w:rsid w:val="00374C7E"/>
    <w:rsid w:val="00377353"/>
    <w:rsid w:val="0037736B"/>
    <w:rsid w:val="00381F57"/>
    <w:rsid w:val="0038216E"/>
    <w:rsid w:val="003822E5"/>
    <w:rsid w:val="003830B8"/>
    <w:rsid w:val="00383262"/>
    <w:rsid w:val="003902BC"/>
    <w:rsid w:val="00392960"/>
    <w:rsid w:val="003A0C8F"/>
    <w:rsid w:val="003A157A"/>
    <w:rsid w:val="003A283F"/>
    <w:rsid w:val="003A2A16"/>
    <w:rsid w:val="003A2FDD"/>
    <w:rsid w:val="003A3C43"/>
    <w:rsid w:val="003A4C6C"/>
    <w:rsid w:val="003A4DC7"/>
    <w:rsid w:val="003A5CCC"/>
    <w:rsid w:val="003A70FF"/>
    <w:rsid w:val="003A74D2"/>
    <w:rsid w:val="003A756B"/>
    <w:rsid w:val="003A7902"/>
    <w:rsid w:val="003B21E6"/>
    <w:rsid w:val="003B23D7"/>
    <w:rsid w:val="003B34CB"/>
    <w:rsid w:val="003B3AB4"/>
    <w:rsid w:val="003B3CA8"/>
    <w:rsid w:val="003B45D5"/>
    <w:rsid w:val="003B52FE"/>
    <w:rsid w:val="003B572A"/>
    <w:rsid w:val="003B6325"/>
    <w:rsid w:val="003B71E0"/>
    <w:rsid w:val="003B78A4"/>
    <w:rsid w:val="003C144E"/>
    <w:rsid w:val="003C1895"/>
    <w:rsid w:val="003C1A07"/>
    <w:rsid w:val="003C1E74"/>
    <w:rsid w:val="003C20A2"/>
    <w:rsid w:val="003C2673"/>
    <w:rsid w:val="003C27A2"/>
    <w:rsid w:val="003C567C"/>
    <w:rsid w:val="003C5950"/>
    <w:rsid w:val="003C59B8"/>
    <w:rsid w:val="003C6809"/>
    <w:rsid w:val="003C7897"/>
    <w:rsid w:val="003D0937"/>
    <w:rsid w:val="003D17E6"/>
    <w:rsid w:val="003D1A20"/>
    <w:rsid w:val="003D1AC9"/>
    <w:rsid w:val="003D2AC9"/>
    <w:rsid w:val="003D2CD8"/>
    <w:rsid w:val="003D3724"/>
    <w:rsid w:val="003D46A7"/>
    <w:rsid w:val="003D4AA9"/>
    <w:rsid w:val="003D6376"/>
    <w:rsid w:val="003E1235"/>
    <w:rsid w:val="003E2A35"/>
    <w:rsid w:val="003E2B56"/>
    <w:rsid w:val="003E2CE1"/>
    <w:rsid w:val="003E2DCB"/>
    <w:rsid w:val="003E34BC"/>
    <w:rsid w:val="003E4C3F"/>
    <w:rsid w:val="003E4D7C"/>
    <w:rsid w:val="003E5FA8"/>
    <w:rsid w:val="003E6252"/>
    <w:rsid w:val="003E650B"/>
    <w:rsid w:val="003F1200"/>
    <w:rsid w:val="003F1421"/>
    <w:rsid w:val="003F1844"/>
    <w:rsid w:val="003F241E"/>
    <w:rsid w:val="003F28C0"/>
    <w:rsid w:val="003F52B2"/>
    <w:rsid w:val="003F716E"/>
    <w:rsid w:val="00400061"/>
    <w:rsid w:val="0040068A"/>
    <w:rsid w:val="00400813"/>
    <w:rsid w:val="004010A0"/>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295"/>
    <w:rsid w:val="00416277"/>
    <w:rsid w:val="00416E24"/>
    <w:rsid w:val="00417644"/>
    <w:rsid w:val="0042063D"/>
    <w:rsid w:val="0042134A"/>
    <w:rsid w:val="00422096"/>
    <w:rsid w:val="00422B23"/>
    <w:rsid w:val="00423A60"/>
    <w:rsid w:val="0042651C"/>
    <w:rsid w:val="00426E9B"/>
    <w:rsid w:val="00427D55"/>
    <w:rsid w:val="0043233C"/>
    <w:rsid w:val="00433E19"/>
    <w:rsid w:val="004345A6"/>
    <w:rsid w:val="00435B2F"/>
    <w:rsid w:val="00435E03"/>
    <w:rsid w:val="004373E1"/>
    <w:rsid w:val="004374A3"/>
    <w:rsid w:val="00437A7E"/>
    <w:rsid w:val="00437B6C"/>
    <w:rsid w:val="00440144"/>
    <w:rsid w:val="0044064E"/>
    <w:rsid w:val="00440805"/>
    <w:rsid w:val="004412E1"/>
    <w:rsid w:val="00441554"/>
    <w:rsid w:val="00442E48"/>
    <w:rsid w:val="00442F5E"/>
    <w:rsid w:val="00443DCD"/>
    <w:rsid w:val="00443E7E"/>
    <w:rsid w:val="004446A4"/>
    <w:rsid w:val="00444C06"/>
    <w:rsid w:val="004454DF"/>
    <w:rsid w:val="00446804"/>
    <w:rsid w:val="004478D4"/>
    <w:rsid w:val="0045004A"/>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1AD"/>
    <w:rsid w:val="004662AD"/>
    <w:rsid w:val="00466516"/>
    <w:rsid w:val="00467B65"/>
    <w:rsid w:val="00467FAE"/>
    <w:rsid w:val="00471EA5"/>
    <w:rsid w:val="004720C9"/>
    <w:rsid w:val="00472257"/>
    <w:rsid w:val="00472E49"/>
    <w:rsid w:val="004732BB"/>
    <w:rsid w:val="00474C60"/>
    <w:rsid w:val="00475944"/>
    <w:rsid w:val="00475A21"/>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443A"/>
    <w:rsid w:val="00484AEA"/>
    <w:rsid w:val="00485C56"/>
    <w:rsid w:val="00485F30"/>
    <w:rsid w:val="00486B79"/>
    <w:rsid w:val="00486CA2"/>
    <w:rsid w:val="00490B25"/>
    <w:rsid w:val="00490FD6"/>
    <w:rsid w:val="004911C4"/>
    <w:rsid w:val="00491208"/>
    <w:rsid w:val="004948AD"/>
    <w:rsid w:val="00494CC8"/>
    <w:rsid w:val="004955E7"/>
    <w:rsid w:val="0049589C"/>
    <w:rsid w:val="00495EF1"/>
    <w:rsid w:val="00496ED4"/>
    <w:rsid w:val="0049783C"/>
    <w:rsid w:val="0049794E"/>
    <w:rsid w:val="00497D4A"/>
    <w:rsid w:val="004A0441"/>
    <w:rsid w:val="004A084C"/>
    <w:rsid w:val="004A15B3"/>
    <w:rsid w:val="004A1D01"/>
    <w:rsid w:val="004A2A54"/>
    <w:rsid w:val="004A2EF3"/>
    <w:rsid w:val="004A3B0D"/>
    <w:rsid w:val="004A3F97"/>
    <w:rsid w:val="004A52F5"/>
    <w:rsid w:val="004A5D3A"/>
    <w:rsid w:val="004A669D"/>
    <w:rsid w:val="004A6897"/>
    <w:rsid w:val="004A692B"/>
    <w:rsid w:val="004A6EB6"/>
    <w:rsid w:val="004A794C"/>
    <w:rsid w:val="004B1858"/>
    <w:rsid w:val="004B3EC7"/>
    <w:rsid w:val="004B5664"/>
    <w:rsid w:val="004C17D0"/>
    <w:rsid w:val="004C1B00"/>
    <w:rsid w:val="004C2107"/>
    <w:rsid w:val="004C5FC6"/>
    <w:rsid w:val="004C6006"/>
    <w:rsid w:val="004C6435"/>
    <w:rsid w:val="004C649B"/>
    <w:rsid w:val="004C6A7D"/>
    <w:rsid w:val="004C7B9C"/>
    <w:rsid w:val="004C7D55"/>
    <w:rsid w:val="004D089A"/>
    <w:rsid w:val="004D3184"/>
    <w:rsid w:val="004D32A0"/>
    <w:rsid w:val="004D5030"/>
    <w:rsid w:val="004D6045"/>
    <w:rsid w:val="004D7546"/>
    <w:rsid w:val="004D7EC5"/>
    <w:rsid w:val="004E02B0"/>
    <w:rsid w:val="004E0B29"/>
    <w:rsid w:val="004E0E11"/>
    <w:rsid w:val="004E0F08"/>
    <w:rsid w:val="004E1546"/>
    <w:rsid w:val="004E19DC"/>
    <w:rsid w:val="004E35E8"/>
    <w:rsid w:val="004E50F0"/>
    <w:rsid w:val="004E5267"/>
    <w:rsid w:val="004E67FF"/>
    <w:rsid w:val="004E6A03"/>
    <w:rsid w:val="004F0070"/>
    <w:rsid w:val="004F0468"/>
    <w:rsid w:val="004F0C51"/>
    <w:rsid w:val="004F263C"/>
    <w:rsid w:val="004F2BB1"/>
    <w:rsid w:val="004F2EC7"/>
    <w:rsid w:val="004F3CE8"/>
    <w:rsid w:val="004F604E"/>
    <w:rsid w:val="004F60D3"/>
    <w:rsid w:val="004F6BFB"/>
    <w:rsid w:val="004F7E4A"/>
    <w:rsid w:val="0050061C"/>
    <w:rsid w:val="0050147C"/>
    <w:rsid w:val="0050182B"/>
    <w:rsid w:val="00502579"/>
    <w:rsid w:val="005029F7"/>
    <w:rsid w:val="00503D4C"/>
    <w:rsid w:val="00504C0C"/>
    <w:rsid w:val="00504E48"/>
    <w:rsid w:val="005066B2"/>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41D"/>
    <w:rsid w:val="00536D28"/>
    <w:rsid w:val="005372C5"/>
    <w:rsid w:val="00537A26"/>
    <w:rsid w:val="00540E47"/>
    <w:rsid w:val="00543283"/>
    <w:rsid w:val="0054364C"/>
    <w:rsid w:val="00546747"/>
    <w:rsid w:val="00547510"/>
    <w:rsid w:val="00547ECC"/>
    <w:rsid w:val="00547F89"/>
    <w:rsid w:val="00551D5A"/>
    <w:rsid w:val="00551EC3"/>
    <w:rsid w:val="00554A44"/>
    <w:rsid w:val="00554C53"/>
    <w:rsid w:val="00554F18"/>
    <w:rsid w:val="00555220"/>
    <w:rsid w:val="005555F0"/>
    <w:rsid w:val="00555739"/>
    <w:rsid w:val="00556E75"/>
    <w:rsid w:val="00556F2D"/>
    <w:rsid w:val="00557853"/>
    <w:rsid w:val="0056069A"/>
    <w:rsid w:val="00560711"/>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35D"/>
    <w:rsid w:val="00584D1E"/>
    <w:rsid w:val="00586795"/>
    <w:rsid w:val="00586B66"/>
    <w:rsid w:val="00586B82"/>
    <w:rsid w:val="00587E13"/>
    <w:rsid w:val="005901D8"/>
    <w:rsid w:val="00592CC1"/>
    <w:rsid w:val="005933AA"/>
    <w:rsid w:val="005940AA"/>
    <w:rsid w:val="00594614"/>
    <w:rsid w:val="00594E10"/>
    <w:rsid w:val="00594F54"/>
    <w:rsid w:val="00596306"/>
    <w:rsid w:val="00596487"/>
    <w:rsid w:val="0059653D"/>
    <w:rsid w:val="005A0298"/>
    <w:rsid w:val="005A0809"/>
    <w:rsid w:val="005A08C6"/>
    <w:rsid w:val="005A0B91"/>
    <w:rsid w:val="005A1494"/>
    <w:rsid w:val="005A3590"/>
    <w:rsid w:val="005A406F"/>
    <w:rsid w:val="005A4A1C"/>
    <w:rsid w:val="005A4F3A"/>
    <w:rsid w:val="005A5BD8"/>
    <w:rsid w:val="005A692A"/>
    <w:rsid w:val="005A6AB8"/>
    <w:rsid w:val="005B050F"/>
    <w:rsid w:val="005B11C2"/>
    <w:rsid w:val="005B180A"/>
    <w:rsid w:val="005B382C"/>
    <w:rsid w:val="005B3C11"/>
    <w:rsid w:val="005B40DA"/>
    <w:rsid w:val="005B4226"/>
    <w:rsid w:val="005B4486"/>
    <w:rsid w:val="005B5AA4"/>
    <w:rsid w:val="005B656B"/>
    <w:rsid w:val="005B71B3"/>
    <w:rsid w:val="005B76A4"/>
    <w:rsid w:val="005B7A75"/>
    <w:rsid w:val="005C04A7"/>
    <w:rsid w:val="005C17A4"/>
    <w:rsid w:val="005C1C1B"/>
    <w:rsid w:val="005C27CC"/>
    <w:rsid w:val="005C370D"/>
    <w:rsid w:val="005C504E"/>
    <w:rsid w:val="005C6153"/>
    <w:rsid w:val="005C642E"/>
    <w:rsid w:val="005C78B0"/>
    <w:rsid w:val="005C7B95"/>
    <w:rsid w:val="005D01EB"/>
    <w:rsid w:val="005D0DFB"/>
    <w:rsid w:val="005D1112"/>
    <w:rsid w:val="005D1F54"/>
    <w:rsid w:val="005D237C"/>
    <w:rsid w:val="005D25E2"/>
    <w:rsid w:val="005D25FF"/>
    <w:rsid w:val="005D2632"/>
    <w:rsid w:val="005D38E0"/>
    <w:rsid w:val="005D3F32"/>
    <w:rsid w:val="005D4E3E"/>
    <w:rsid w:val="005D6173"/>
    <w:rsid w:val="005D67F7"/>
    <w:rsid w:val="005D7631"/>
    <w:rsid w:val="005D7D7E"/>
    <w:rsid w:val="005E0ADC"/>
    <w:rsid w:val="005E0B59"/>
    <w:rsid w:val="005E1105"/>
    <w:rsid w:val="005E162F"/>
    <w:rsid w:val="005E1DBD"/>
    <w:rsid w:val="005E2C60"/>
    <w:rsid w:val="005E31F6"/>
    <w:rsid w:val="005E3622"/>
    <w:rsid w:val="005E5D29"/>
    <w:rsid w:val="005E60B3"/>
    <w:rsid w:val="005E676C"/>
    <w:rsid w:val="005E6CB9"/>
    <w:rsid w:val="005E73D0"/>
    <w:rsid w:val="005E7F14"/>
    <w:rsid w:val="005F0154"/>
    <w:rsid w:val="005F0176"/>
    <w:rsid w:val="005F021D"/>
    <w:rsid w:val="005F1EAC"/>
    <w:rsid w:val="005F308F"/>
    <w:rsid w:val="005F3418"/>
    <w:rsid w:val="005F4869"/>
    <w:rsid w:val="005F4BFD"/>
    <w:rsid w:val="005F5748"/>
    <w:rsid w:val="005F5834"/>
    <w:rsid w:val="005F5E11"/>
    <w:rsid w:val="005F6097"/>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732"/>
    <w:rsid w:val="0061562E"/>
    <w:rsid w:val="00616D41"/>
    <w:rsid w:val="00617292"/>
    <w:rsid w:val="00617C08"/>
    <w:rsid w:val="006200A9"/>
    <w:rsid w:val="00622225"/>
    <w:rsid w:val="00622D03"/>
    <w:rsid w:val="00622DCD"/>
    <w:rsid w:val="00622F57"/>
    <w:rsid w:val="00623DD5"/>
    <w:rsid w:val="00624269"/>
    <w:rsid w:val="00624A34"/>
    <w:rsid w:val="0062568D"/>
    <w:rsid w:val="006256D3"/>
    <w:rsid w:val="00626502"/>
    <w:rsid w:val="006267F5"/>
    <w:rsid w:val="00626C87"/>
    <w:rsid w:val="00627337"/>
    <w:rsid w:val="00630069"/>
    <w:rsid w:val="00630583"/>
    <w:rsid w:val="00630D2E"/>
    <w:rsid w:val="00630D39"/>
    <w:rsid w:val="00631E19"/>
    <w:rsid w:val="00633E76"/>
    <w:rsid w:val="00633EC9"/>
    <w:rsid w:val="006340F5"/>
    <w:rsid w:val="00634542"/>
    <w:rsid w:val="00635E4D"/>
    <w:rsid w:val="0063620C"/>
    <w:rsid w:val="00636FC8"/>
    <w:rsid w:val="00637E18"/>
    <w:rsid w:val="0064032E"/>
    <w:rsid w:val="0064038D"/>
    <w:rsid w:val="00641A0B"/>
    <w:rsid w:val="00641D5A"/>
    <w:rsid w:val="00641E06"/>
    <w:rsid w:val="00642A21"/>
    <w:rsid w:val="00643007"/>
    <w:rsid w:val="006431D0"/>
    <w:rsid w:val="006432C5"/>
    <w:rsid w:val="006436FA"/>
    <w:rsid w:val="00643852"/>
    <w:rsid w:val="00643B86"/>
    <w:rsid w:val="00643C27"/>
    <w:rsid w:val="006455E7"/>
    <w:rsid w:val="00645758"/>
    <w:rsid w:val="006461A1"/>
    <w:rsid w:val="00647422"/>
    <w:rsid w:val="00647E6B"/>
    <w:rsid w:val="00650E84"/>
    <w:rsid w:val="0065139B"/>
    <w:rsid w:val="0065198B"/>
    <w:rsid w:val="006525AF"/>
    <w:rsid w:val="0065266A"/>
    <w:rsid w:val="00653F9C"/>
    <w:rsid w:val="0065494A"/>
    <w:rsid w:val="00655470"/>
    <w:rsid w:val="00656FEE"/>
    <w:rsid w:val="0065758F"/>
    <w:rsid w:val="00660897"/>
    <w:rsid w:val="00661028"/>
    <w:rsid w:val="006617BD"/>
    <w:rsid w:val="0066194D"/>
    <w:rsid w:val="0066341B"/>
    <w:rsid w:val="00664695"/>
    <w:rsid w:val="00664840"/>
    <w:rsid w:val="00664B44"/>
    <w:rsid w:val="006652BF"/>
    <w:rsid w:val="0066630C"/>
    <w:rsid w:val="00667BBD"/>
    <w:rsid w:val="0067049E"/>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41A"/>
    <w:rsid w:val="006A0A9E"/>
    <w:rsid w:val="006A1F1C"/>
    <w:rsid w:val="006A3836"/>
    <w:rsid w:val="006A3DD3"/>
    <w:rsid w:val="006A41B0"/>
    <w:rsid w:val="006A4402"/>
    <w:rsid w:val="006A4625"/>
    <w:rsid w:val="006A47AE"/>
    <w:rsid w:val="006A5B5E"/>
    <w:rsid w:val="006A5C2F"/>
    <w:rsid w:val="006A66FA"/>
    <w:rsid w:val="006A67CB"/>
    <w:rsid w:val="006B0368"/>
    <w:rsid w:val="006B0F6E"/>
    <w:rsid w:val="006B1D7B"/>
    <w:rsid w:val="006B27D4"/>
    <w:rsid w:val="006B2C9C"/>
    <w:rsid w:val="006B48EB"/>
    <w:rsid w:val="006B4C00"/>
    <w:rsid w:val="006B56FC"/>
    <w:rsid w:val="006B6495"/>
    <w:rsid w:val="006B6791"/>
    <w:rsid w:val="006B6DDA"/>
    <w:rsid w:val="006B6E5E"/>
    <w:rsid w:val="006B73D9"/>
    <w:rsid w:val="006B7DF0"/>
    <w:rsid w:val="006B7E74"/>
    <w:rsid w:val="006C0D75"/>
    <w:rsid w:val="006C1C48"/>
    <w:rsid w:val="006C3C1D"/>
    <w:rsid w:val="006C41FF"/>
    <w:rsid w:val="006C4FC2"/>
    <w:rsid w:val="006C5145"/>
    <w:rsid w:val="006C65A8"/>
    <w:rsid w:val="006C71BB"/>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688E"/>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AC3"/>
    <w:rsid w:val="00704BAE"/>
    <w:rsid w:val="00705807"/>
    <w:rsid w:val="007058F3"/>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9D9"/>
    <w:rsid w:val="00716B3C"/>
    <w:rsid w:val="007170C2"/>
    <w:rsid w:val="00717EE4"/>
    <w:rsid w:val="00717F2D"/>
    <w:rsid w:val="00720453"/>
    <w:rsid w:val="00720853"/>
    <w:rsid w:val="00722129"/>
    <w:rsid w:val="007222D3"/>
    <w:rsid w:val="00724173"/>
    <w:rsid w:val="00726730"/>
    <w:rsid w:val="00730598"/>
    <w:rsid w:val="00730CBE"/>
    <w:rsid w:val="00731C24"/>
    <w:rsid w:val="0073257E"/>
    <w:rsid w:val="00732A32"/>
    <w:rsid w:val="00733066"/>
    <w:rsid w:val="00733469"/>
    <w:rsid w:val="00733539"/>
    <w:rsid w:val="00733AD3"/>
    <w:rsid w:val="00735557"/>
    <w:rsid w:val="00737108"/>
    <w:rsid w:val="007379CE"/>
    <w:rsid w:val="00737F0B"/>
    <w:rsid w:val="007419A7"/>
    <w:rsid w:val="00741B21"/>
    <w:rsid w:val="00741DD8"/>
    <w:rsid w:val="00741E49"/>
    <w:rsid w:val="00741F40"/>
    <w:rsid w:val="0074250D"/>
    <w:rsid w:val="007445E2"/>
    <w:rsid w:val="00745496"/>
    <w:rsid w:val="00745D21"/>
    <w:rsid w:val="007460DA"/>
    <w:rsid w:val="0074705B"/>
    <w:rsid w:val="007470EC"/>
    <w:rsid w:val="0075020B"/>
    <w:rsid w:val="00751017"/>
    <w:rsid w:val="007516DB"/>
    <w:rsid w:val="00751960"/>
    <w:rsid w:val="007535C7"/>
    <w:rsid w:val="00754BC7"/>
    <w:rsid w:val="00755ABA"/>
    <w:rsid w:val="00756551"/>
    <w:rsid w:val="00757769"/>
    <w:rsid w:val="0076067E"/>
    <w:rsid w:val="00760797"/>
    <w:rsid w:val="00761BFD"/>
    <w:rsid w:val="00761D5C"/>
    <w:rsid w:val="00761FE5"/>
    <w:rsid w:val="00762476"/>
    <w:rsid w:val="00762A18"/>
    <w:rsid w:val="00763AE2"/>
    <w:rsid w:val="00763B5B"/>
    <w:rsid w:val="0076467D"/>
    <w:rsid w:val="00766D90"/>
    <w:rsid w:val="0076770A"/>
    <w:rsid w:val="00767BF3"/>
    <w:rsid w:val="00767C19"/>
    <w:rsid w:val="00767D4E"/>
    <w:rsid w:val="00771067"/>
    <w:rsid w:val="007722ED"/>
    <w:rsid w:val="0077408B"/>
    <w:rsid w:val="00774AF6"/>
    <w:rsid w:val="00774EC8"/>
    <w:rsid w:val="00776781"/>
    <w:rsid w:val="007776CC"/>
    <w:rsid w:val="00777CE9"/>
    <w:rsid w:val="00780D05"/>
    <w:rsid w:val="00782237"/>
    <w:rsid w:val="00783C7B"/>
    <w:rsid w:val="0078556C"/>
    <w:rsid w:val="007855C5"/>
    <w:rsid w:val="007856D3"/>
    <w:rsid w:val="00785ABD"/>
    <w:rsid w:val="007860C6"/>
    <w:rsid w:val="00786254"/>
    <w:rsid w:val="00786DB0"/>
    <w:rsid w:val="00787D47"/>
    <w:rsid w:val="0079014E"/>
    <w:rsid w:val="0079148B"/>
    <w:rsid w:val="00791E78"/>
    <w:rsid w:val="00792971"/>
    <w:rsid w:val="007935C6"/>
    <w:rsid w:val="00794129"/>
    <w:rsid w:val="00794516"/>
    <w:rsid w:val="00794878"/>
    <w:rsid w:val="007949BD"/>
    <w:rsid w:val="00795512"/>
    <w:rsid w:val="00795746"/>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7C9"/>
    <w:rsid w:val="007C4209"/>
    <w:rsid w:val="007C5EB9"/>
    <w:rsid w:val="007C7449"/>
    <w:rsid w:val="007C7EA5"/>
    <w:rsid w:val="007D1A95"/>
    <w:rsid w:val="007D1E29"/>
    <w:rsid w:val="007D245E"/>
    <w:rsid w:val="007D3764"/>
    <w:rsid w:val="007D4251"/>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3C26"/>
    <w:rsid w:val="007F4224"/>
    <w:rsid w:val="007F4DD2"/>
    <w:rsid w:val="007F4FB9"/>
    <w:rsid w:val="007F7022"/>
    <w:rsid w:val="007F7690"/>
    <w:rsid w:val="008011CC"/>
    <w:rsid w:val="00801404"/>
    <w:rsid w:val="008017AA"/>
    <w:rsid w:val="00801CBA"/>
    <w:rsid w:val="00801D92"/>
    <w:rsid w:val="008030D2"/>
    <w:rsid w:val="00804BCF"/>
    <w:rsid w:val="00804FA4"/>
    <w:rsid w:val="00805275"/>
    <w:rsid w:val="00806A62"/>
    <w:rsid w:val="00806E44"/>
    <w:rsid w:val="00806E55"/>
    <w:rsid w:val="00806EAB"/>
    <w:rsid w:val="008072B7"/>
    <w:rsid w:val="008075CE"/>
    <w:rsid w:val="00807DE6"/>
    <w:rsid w:val="00812179"/>
    <w:rsid w:val="008124E2"/>
    <w:rsid w:val="00813928"/>
    <w:rsid w:val="00815321"/>
    <w:rsid w:val="008166DB"/>
    <w:rsid w:val="008173E0"/>
    <w:rsid w:val="008175C1"/>
    <w:rsid w:val="008200D4"/>
    <w:rsid w:val="00820370"/>
    <w:rsid w:val="00820CC6"/>
    <w:rsid w:val="00822C41"/>
    <w:rsid w:val="00825043"/>
    <w:rsid w:val="00825267"/>
    <w:rsid w:val="0082624E"/>
    <w:rsid w:val="008264EC"/>
    <w:rsid w:val="00827C0D"/>
    <w:rsid w:val="00830642"/>
    <w:rsid w:val="00831250"/>
    <w:rsid w:val="00831D8D"/>
    <w:rsid w:val="008320CB"/>
    <w:rsid w:val="008333B7"/>
    <w:rsid w:val="008336EC"/>
    <w:rsid w:val="008337B9"/>
    <w:rsid w:val="00833917"/>
    <w:rsid w:val="00834FD2"/>
    <w:rsid w:val="00835084"/>
    <w:rsid w:val="00835184"/>
    <w:rsid w:val="00835569"/>
    <w:rsid w:val="00835802"/>
    <w:rsid w:val="00836295"/>
    <w:rsid w:val="008363F8"/>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044"/>
    <w:rsid w:val="00856379"/>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B0E"/>
    <w:rsid w:val="00873D88"/>
    <w:rsid w:val="0087433B"/>
    <w:rsid w:val="0087621E"/>
    <w:rsid w:val="008767B2"/>
    <w:rsid w:val="00877328"/>
    <w:rsid w:val="0087787A"/>
    <w:rsid w:val="008802F0"/>
    <w:rsid w:val="00880992"/>
    <w:rsid w:val="00881692"/>
    <w:rsid w:val="00882E57"/>
    <w:rsid w:val="00883143"/>
    <w:rsid w:val="00884EC8"/>
    <w:rsid w:val="00886154"/>
    <w:rsid w:val="00890277"/>
    <w:rsid w:val="0089061A"/>
    <w:rsid w:val="008915C6"/>
    <w:rsid w:val="00891677"/>
    <w:rsid w:val="00892DB5"/>
    <w:rsid w:val="00894544"/>
    <w:rsid w:val="00894B61"/>
    <w:rsid w:val="00895255"/>
    <w:rsid w:val="00895DF1"/>
    <w:rsid w:val="00896645"/>
    <w:rsid w:val="008975D2"/>
    <w:rsid w:val="008A035B"/>
    <w:rsid w:val="008A0459"/>
    <w:rsid w:val="008A1218"/>
    <w:rsid w:val="008A15B6"/>
    <w:rsid w:val="008A1A6E"/>
    <w:rsid w:val="008A202A"/>
    <w:rsid w:val="008A36C9"/>
    <w:rsid w:val="008A4291"/>
    <w:rsid w:val="008A5AF9"/>
    <w:rsid w:val="008A7996"/>
    <w:rsid w:val="008B16DE"/>
    <w:rsid w:val="008B251F"/>
    <w:rsid w:val="008B2602"/>
    <w:rsid w:val="008B2727"/>
    <w:rsid w:val="008B316B"/>
    <w:rsid w:val="008B5059"/>
    <w:rsid w:val="008B5BF2"/>
    <w:rsid w:val="008B6934"/>
    <w:rsid w:val="008B6CF8"/>
    <w:rsid w:val="008B72F6"/>
    <w:rsid w:val="008C071D"/>
    <w:rsid w:val="008C074C"/>
    <w:rsid w:val="008C119E"/>
    <w:rsid w:val="008C1E24"/>
    <w:rsid w:val="008C296B"/>
    <w:rsid w:val="008C2A46"/>
    <w:rsid w:val="008C4278"/>
    <w:rsid w:val="008C4768"/>
    <w:rsid w:val="008C520E"/>
    <w:rsid w:val="008C563B"/>
    <w:rsid w:val="008C567E"/>
    <w:rsid w:val="008C5DEE"/>
    <w:rsid w:val="008C5FE9"/>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5D34"/>
    <w:rsid w:val="008D718E"/>
    <w:rsid w:val="008E09C5"/>
    <w:rsid w:val="008E0AA7"/>
    <w:rsid w:val="008E15EF"/>
    <w:rsid w:val="008E2355"/>
    <w:rsid w:val="008E2564"/>
    <w:rsid w:val="008E3151"/>
    <w:rsid w:val="008E3386"/>
    <w:rsid w:val="008E5410"/>
    <w:rsid w:val="008E5A3F"/>
    <w:rsid w:val="008E650E"/>
    <w:rsid w:val="008E7209"/>
    <w:rsid w:val="008E7448"/>
    <w:rsid w:val="008F11BB"/>
    <w:rsid w:val="008F16FF"/>
    <w:rsid w:val="008F182F"/>
    <w:rsid w:val="008F1E95"/>
    <w:rsid w:val="008F2304"/>
    <w:rsid w:val="008F390B"/>
    <w:rsid w:val="008F57DD"/>
    <w:rsid w:val="008F5AEE"/>
    <w:rsid w:val="008F5FFA"/>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4795"/>
    <w:rsid w:val="00936533"/>
    <w:rsid w:val="0093787E"/>
    <w:rsid w:val="009412CC"/>
    <w:rsid w:val="0094388B"/>
    <w:rsid w:val="00943D09"/>
    <w:rsid w:val="00944826"/>
    <w:rsid w:val="009457A1"/>
    <w:rsid w:val="009465B0"/>
    <w:rsid w:val="00947C5D"/>
    <w:rsid w:val="00947CA9"/>
    <w:rsid w:val="0095045C"/>
    <w:rsid w:val="00950478"/>
    <w:rsid w:val="00950888"/>
    <w:rsid w:val="00950AF9"/>
    <w:rsid w:val="00950B5F"/>
    <w:rsid w:val="00950D35"/>
    <w:rsid w:val="0095144C"/>
    <w:rsid w:val="0095165B"/>
    <w:rsid w:val="00951B17"/>
    <w:rsid w:val="00951B8D"/>
    <w:rsid w:val="009536A8"/>
    <w:rsid w:val="00954596"/>
    <w:rsid w:val="00955851"/>
    <w:rsid w:val="00955C63"/>
    <w:rsid w:val="00956CA5"/>
    <w:rsid w:val="00957E23"/>
    <w:rsid w:val="00957E42"/>
    <w:rsid w:val="009595CD"/>
    <w:rsid w:val="00961487"/>
    <w:rsid w:val="00961BA7"/>
    <w:rsid w:val="00961F01"/>
    <w:rsid w:val="00962162"/>
    <w:rsid w:val="009623BC"/>
    <w:rsid w:val="009628BE"/>
    <w:rsid w:val="009631C8"/>
    <w:rsid w:val="00963AE4"/>
    <w:rsid w:val="00963C14"/>
    <w:rsid w:val="009645CD"/>
    <w:rsid w:val="00965940"/>
    <w:rsid w:val="00965A4E"/>
    <w:rsid w:val="0096644E"/>
    <w:rsid w:val="00966BE5"/>
    <w:rsid w:val="00966EB0"/>
    <w:rsid w:val="00971116"/>
    <w:rsid w:val="00971212"/>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247"/>
    <w:rsid w:val="009927F1"/>
    <w:rsid w:val="009936C4"/>
    <w:rsid w:val="009948ED"/>
    <w:rsid w:val="00995ADA"/>
    <w:rsid w:val="0099643A"/>
    <w:rsid w:val="00997959"/>
    <w:rsid w:val="009991DC"/>
    <w:rsid w:val="009A0BAF"/>
    <w:rsid w:val="009A1431"/>
    <w:rsid w:val="009A153D"/>
    <w:rsid w:val="009A1634"/>
    <w:rsid w:val="009A3A34"/>
    <w:rsid w:val="009A3FE2"/>
    <w:rsid w:val="009A400C"/>
    <w:rsid w:val="009A4B2C"/>
    <w:rsid w:val="009A5592"/>
    <w:rsid w:val="009A59BA"/>
    <w:rsid w:val="009A6417"/>
    <w:rsid w:val="009A6461"/>
    <w:rsid w:val="009A7E57"/>
    <w:rsid w:val="009B01DF"/>
    <w:rsid w:val="009B020D"/>
    <w:rsid w:val="009B072F"/>
    <w:rsid w:val="009B07A1"/>
    <w:rsid w:val="009B09CC"/>
    <w:rsid w:val="009B0A42"/>
    <w:rsid w:val="009B0FE7"/>
    <w:rsid w:val="009B16EA"/>
    <w:rsid w:val="009B173B"/>
    <w:rsid w:val="009B1A1A"/>
    <w:rsid w:val="009B2608"/>
    <w:rsid w:val="009B2A71"/>
    <w:rsid w:val="009B4027"/>
    <w:rsid w:val="009B4975"/>
    <w:rsid w:val="009B561F"/>
    <w:rsid w:val="009B5773"/>
    <w:rsid w:val="009B5D2D"/>
    <w:rsid w:val="009B7DFF"/>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505"/>
    <w:rsid w:val="009D6CAA"/>
    <w:rsid w:val="009D6CF6"/>
    <w:rsid w:val="009D6E69"/>
    <w:rsid w:val="009E02DC"/>
    <w:rsid w:val="009E2040"/>
    <w:rsid w:val="009E42CC"/>
    <w:rsid w:val="009E49AE"/>
    <w:rsid w:val="009E4DC7"/>
    <w:rsid w:val="009E660A"/>
    <w:rsid w:val="009E67F2"/>
    <w:rsid w:val="009E6B64"/>
    <w:rsid w:val="009E72E5"/>
    <w:rsid w:val="009F1846"/>
    <w:rsid w:val="009F1BB5"/>
    <w:rsid w:val="009F46C8"/>
    <w:rsid w:val="009F4DB5"/>
    <w:rsid w:val="009F4F2A"/>
    <w:rsid w:val="009F660B"/>
    <w:rsid w:val="009F671E"/>
    <w:rsid w:val="009F7ED1"/>
    <w:rsid w:val="00A006AA"/>
    <w:rsid w:val="00A0149B"/>
    <w:rsid w:val="00A01607"/>
    <w:rsid w:val="00A018D4"/>
    <w:rsid w:val="00A02F9D"/>
    <w:rsid w:val="00A03767"/>
    <w:rsid w:val="00A04834"/>
    <w:rsid w:val="00A05628"/>
    <w:rsid w:val="00A07DCF"/>
    <w:rsid w:val="00A10D12"/>
    <w:rsid w:val="00A12979"/>
    <w:rsid w:val="00A131A9"/>
    <w:rsid w:val="00A1496E"/>
    <w:rsid w:val="00A14F84"/>
    <w:rsid w:val="00A15743"/>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1726"/>
    <w:rsid w:val="00A44D0E"/>
    <w:rsid w:val="00A4621D"/>
    <w:rsid w:val="00A509FB"/>
    <w:rsid w:val="00A51C19"/>
    <w:rsid w:val="00A51E04"/>
    <w:rsid w:val="00A522B5"/>
    <w:rsid w:val="00A52C31"/>
    <w:rsid w:val="00A52F37"/>
    <w:rsid w:val="00A533C5"/>
    <w:rsid w:val="00A5388C"/>
    <w:rsid w:val="00A538E6"/>
    <w:rsid w:val="00A5397B"/>
    <w:rsid w:val="00A53BE1"/>
    <w:rsid w:val="00A53C3A"/>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2E5"/>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0807"/>
    <w:rsid w:val="00A91055"/>
    <w:rsid w:val="00A92507"/>
    <w:rsid w:val="00A92DD4"/>
    <w:rsid w:val="00A94D0F"/>
    <w:rsid w:val="00A94F13"/>
    <w:rsid w:val="00A9568C"/>
    <w:rsid w:val="00A9580E"/>
    <w:rsid w:val="00A95BED"/>
    <w:rsid w:val="00A95EA2"/>
    <w:rsid w:val="00A9787E"/>
    <w:rsid w:val="00A97AF9"/>
    <w:rsid w:val="00AA08E8"/>
    <w:rsid w:val="00AA0DB4"/>
    <w:rsid w:val="00AA11C5"/>
    <w:rsid w:val="00AA17E2"/>
    <w:rsid w:val="00AA21B7"/>
    <w:rsid w:val="00AA3827"/>
    <w:rsid w:val="00AA382D"/>
    <w:rsid w:val="00AA4A2C"/>
    <w:rsid w:val="00AA50D4"/>
    <w:rsid w:val="00AA59A6"/>
    <w:rsid w:val="00AA6299"/>
    <w:rsid w:val="00AA6E05"/>
    <w:rsid w:val="00AB0262"/>
    <w:rsid w:val="00AB14A1"/>
    <w:rsid w:val="00AB202A"/>
    <w:rsid w:val="00AB5555"/>
    <w:rsid w:val="00AB55AD"/>
    <w:rsid w:val="00AB5D1B"/>
    <w:rsid w:val="00AB6918"/>
    <w:rsid w:val="00AB6B40"/>
    <w:rsid w:val="00AB71DB"/>
    <w:rsid w:val="00AB740A"/>
    <w:rsid w:val="00AC13D5"/>
    <w:rsid w:val="00AC1DA5"/>
    <w:rsid w:val="00AC216B"/>
    <w:rsid w:val="00AC26B1"/>
    <w:rsid w:val="00AC35F4"/>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0BD"/>
    <w:rsid w:val="00B00C24"/>
    <w:rsid w:val="00B00F93"/>
    <w:rsid w:val="00B01BBE"/>
    <w:rsid w:val="00B039D6"/>
    <w:rsid w:val="00B03F92"/>
    <w:rsid w:val="00B055D8"/>
    <w:rsid w:val="00B06CD6"/>
    <w:rsid w:val="00B06EBC"/>
    <w:rsid w:val="00B10481"/>
    <w:rsid w:val="00B11D2D"/>
    <w:rsid w:val="00B123F0"/>
    <w:rsid w:val="00B12891"/>
    <w:rsid w:val="00B1309E"/>
    <w:rsid w:val="00B146C1"/>
    <w:rsid w:val="00B146E7"/>
    <w:rsid w:val="00B156DF"/>
    <w:rsid w:val="00B15ABB"/>
    <w:rsid w:val="00B16973"/>
    <w:rsid w:val="00B2036A"/>
    <w:rsid w:val="00B21057"/>
    <w:rsid w:val="00B2202B"/>
    <w:rsid w:val="00B23422"/>
    <w:rsid w:val="00B24948"/>
    <w:rsid w:val="00B24CBD"/>
    <w:rsid w:val="00B24F76"/>
    <w:rsid w:val="00B25558"/>
    <w:rsid w:val="00B25CA3"/>
    <w:rsid w:val="00B30028"/>
    <w:rsid w:val="00B30AD8"/>
    <w:rsid w:val="00B31E8D"/>
    <w:rsid w:val="00B3313B"/>
    <w:rsid w:val="00B331E8"/>
    <w:rsid w:val="00B331EA"/>
    <w:rsid w:val="00B33884"/>
    <w:rsid w:val="00B34732"/>
    <w:rsid w:val="00B353B8"/>
    <w:rsid w:val="00B35C56"/>
    <w:rsid w:val="00B36788"/>
    <w:rsid w:val="00B36F17"/>
    <w:rsid w:val="00B372ED"/>
    <w:rsid w:val="00B40603"/>
    <w:rsid w:val="00B40AF6"/>
    <w:rsid w:val="00B41071"/>
    <w:rsid w:val="00B425C0"/>
    <w:rsid w:val="00B42DB6"/>
    <w:rsid w:val="00B439E9"/>
    <w:rsid w:val="00B46957"/>
    <w:rsid w:val="00B46B3E"/>
    <w:rsid w:val="00B47B54"/>
    <w:rsid w:val="00B47F1C"/>
    <w:rsid w:val="00B50E99"/>
    <w:rsid w:val="00B5152E"/>
    <w:rsid w:val="00B51926"/>
    <w:rsid w:val="00B51F9A"/>
    <w:rsid w:val="00B52316"/>
    <w:rsid w:val="00B53703"/>
    <w:rsid w:val="00B54A00"/>
    <w:rsid w:val="00B54DA7"/>
    <w:rsid w:val="00B600C6"/>
    <w:rsid w:val="00B60167"/>
    <w:rsid w:val="00B60FC0"/>
    <w:rsid w:val="00B61665"/>
    <w:rsid w:val="00B61BA6"/>
    <w:rsid w:val="00B63528"/>
    <w:rsid w:val="00B63DAF"/>
    <w:rsid w:val="00B63E98"/>
    <w:rsid w:val="00B65754"/>
    <w:rsid w:val="00B661AA"/>
    <w:rsid w:val="00B66242"/>
    <w:rsid w:val="00B670D3"/>
    <w:rsid w:val="00B67958"/>
    <w:rsid w:val="00B67F99"/>
    <w:rsid w:val="00B701D1"/>
    <w:rsid w:val="00B7096F"/>
    <w:rsid w:val="00B716BB"/>
    <w:rsid w:val="00B716FD"/>
    <w:rsid w:val="00B730E0"/>
    <w:rsid w:val="00B734C2"/>
    <w:rsid w:val="00B73BDA"/>
    <w:rsid w:val="00B74053"/>
    <w:rsid w:val="00B74431"/>
    <w:rsid w:val="00B753B6"/>
    <w:rsid w:val="00B765A0"/>
    <w:rsid w:val="00B76C02"/>
    <w:rsid w:val="00B77BD2"/>
    <w:rsid w:val="00B814CB"/>
    <w:rsid w:val="00B81B6A"/>
    <w:rsid w:val="00B820F4"/>
    <w:rsid w:val="00B82B0D"/>
    <w:rsid w:val="00B835E0"/>
    <w:rsid w:val="00B8396D"/>
    <w:rsid w:val="00B84631"/>
    <w:rsid w:val="00B90331"/>
    <w:rsid w:val="00B903ED"/>
    <w:rsid w:val="00B90B2D"/>
    <w:rsid w:val="00B935A1"/>
    <w:rsid w:val="00B95DAD"/>
    <w:rsid w:val="00B96418"/>
    <w:rsid w:val="00B96C0C"/>
    <w:rsid w:val="00B9734D"/>
    <w:rsid w:val="00B97732"/>
    <w:rsid w:val="00BA27F4"/>
    <w:rsid w:val="00BA2E40"/>
    <w:rsid w:val="00BA3CB7"/>
    <w:rsid w:val="00BA41DE"/>
    <w:rsid w:val="00BA556C"/>
    <w:rsid w:val="00BB051B"/>
    <w:rsid w:val="00BB0F31"/>
    <w:rsid w:val="00BB15AB"/>
    <w:rsid w:val="00BB189B"/>
    <w:rsid w:val="00BB1D21"/>
    <w:rsid w:val="00BB2E51"/>
    <w:rsid w:val="00BB4665"/>
    <w:rsid w:val="00BB4BEA"/>
    <w:rsid w:val="00BB4C1A"/>
    <w:rsid w:val="00BB50AB"/>
    <w:rsid w:val="00BB6664"/>
    <w:rsid w:val="00BC01FC"/>
    <w:rsid w:val="00BC080B"/>
    <w:rsid w:val="00BC1F79"/>
    <w:rsid w:val="00BC2201"/>
    <w:rsid w:val="00BC3C7A"/>
    <w:rsid w:val="00BC7DC6"/>
    <w:rsid w:val="00BD1039"/>
    <w:rsid w:val="00BD13B5"/>
    <w:rsid w:val="00BD2EFC"/>
    <w:rsid w:val="00BD340E"/>
    <w:rsid w:val="00BD54A2"/>
    <w:rsid w:val="00BD60AD"/>
    <w:rsid w:val="00BD6C02"/>
    <w:rsid w:val="00BE1244"/>
    <w:rsid w:val="00BE165D"/>
    <w:rsid w:val="00BE2394"/>
    <w:rsid w:val="00BE2702"/>
    <w:rsid w:val="00BE2ECA"/>
    <w:rsid w:val="00BE4326"/>
    <w:rsid w:val="00BE5F4F"/>
    <w:rsid w:val="00BE60DB"/>
    <w:rsid w:val="00BF0191"/>
    <w:rsid w:val="00BF074E"/>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34D"/>
    <w:rsid w:val="00C13C20"/>
    <w:rsid w:val="00C13F74"/>
    <w:rsid w:val="00C146D3"/>
    <w:rsid w:val="00C165A3"/>
    <w:rsid w:val="00C16BE0"/>
    <w:rsid w:val="00C21C39"/>
    <w:rsid w:val="00C2325C"/>
    <w:rsid w:val="00C239ED"/>
    <w:rsid w:val="00C24D9D"/>
    <w:rsid w:val="00C25CF3"/>
    <w:rsid w:val="00C2605E"/>
    <w:rsid w:val="00C263E9"/>
    <w:rsid w:val="00C2775A"/>
    <w:rsid w:val="00C27B6A"/>
    <w:rsid w:val="00C3063A"/>
    <w:rsid w:val="00C30BAD"/>
    <w:rsid w:val="00C31E8F"/>
    <w:rsid w:val="00C31EB2"/>
    <w:rsid w:val="00C335DA"/>
    <w:rsid w:val="00C33D3E"/>
    <w:rsid w:val="00C362E0"/>
    <w:rsid w:val="00C36ED4"/>
    <w:rsid w:val="00C376CC"/>
    <w:rsid w:val="00C400F7"/>
    <w:rsid w:val="00C40EC6"/>
    <w:rsid w:val="00C417A5"/>
    <w:rsid w:val="00C419AD"/>
    <w:rsid w:val="00C41B5F"/>
    <w:rsid w:val="00C4296D"/>
    <w:rsid w:val="00C433A0"/>
    <w:rsid w:val="00C437BA"/>
    <w:rsid w:val="00C43F14"/>
    <w:rsid w:val="00C44395"/>
    <w:rsid w:val="00C443B3"/>
    <w:rsid w:val="00C45CE8"/>
    <w:rsid w:val="00C46585"/>
    <w:rsid w:val="00C46F06"/>
    <w:rsid w:val="00C47DA6"/>
    <w:rsid w:val="00C50986"/>
    <w:rsid w:val="00C50ABF"/>
    <w:rsid w:val="00C50C0C"/>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CE3"/>
    <w:rsid w:val="00C564F2"/>
    <w:rsid w:val="00C56F11"/>
    <w:rsid w:val="00C60652"/>
    <w:rsid w:val="00C60996"/>
    <w:rsid w:val="00C61F3A"/>
    <w:rsid w:val="00C629CB"/>
    <w:rsid w:val="00C62B75"/>
    <w:rsid w:val="00C657B5"/>
    <w:rsid w:val="00C661E1"/>
    <w:rsid w:val="00C66686"/>
    <w:rsid w:val="00C678C4"/>
    <w:rsid w:val="00C71215"/>
    <w:rsid w:val="00C72087"/>
    <w:rsid w:val="00C7216B"/>
    <w:rsid w:val="00C727BE"/>
    <w:rsid w:val="00C732A9"/>
    <w:rsid w:val="00C73448"/>
    <w:rsid w:val="00C73E2E"/>
    <w:rsid w:val="00C74546"/>
    <w:rsid w:val="00C748E2"/>
    <w:rsid w:val="00C76878"/>
    <w:rsid w:val="00C7776C"/>
    <w:rsid w:val="00C8398D"/>
    <w:rsid w:val="00C84BC2"/>
    <w:rsid w:val="00C85139"/>
    <w:rsid w:val="00C85657"/>
    <w:rsid w:val="00C90C22"/>
    <w:rsid w:val="00C91C88"/>
    <w:rsid w:val="00C939C3"/>
    <w:rsid w:val="00C94228"/>
    <w:rsid w:val="00C96D56"/>
    <w:rsid w:val="00C977E6"/>
    <w:rsid w:val="00CA0020"/>
    <w:rsid w:val="00CA0B2E"/>
    <w:rsid w:val="00CA18CA"/>
    <w:rsid w:val="00CA2557"/>
    <w:rsid w:val="00CA27C5"/>
    <w:rsid w:val="00CA4F9D"/>
    <w:rsid w:val="00CA5413"/>
    <w:rsid w:val="00CA5674"/>
    <w:rsid w:val="00CA5BDA"/>
    <w:rsid w:val="00CA5C1A"/>
    <w:rsid w:val="00CA633F"/>
    <w:rsid w:val="00CA641E"/>
    <w:rsid w:val="00CA7558"/>
    <w:rsid w:val="00CA785F"/>
    <w:rsid w:val="00CA792A"/>
    <w:rsid w:val="00CA7949"/>
    <w:rsid w:val="00CA7E29"/>
    <w:rsid w:val="00CB0400"/>
    <w:rsid w:val="00CB0C6E"/>
    <w:rsid w:val="00CB0C89"/>
    <w:rsid w:val="00CB226B"/>
    <w:rsid w:val="00CB229B"/>
    <w:rsid w:val="00CB33B4"/>
    <w:rsid w:val="00CB3D93"/>
    <w:rsid w:val="00CB4395"/>
    <w:rsid w:val="00CB4441"/>
    <w:rsid w:val="00CB4B1A"/>
    <w:rsid w:val="00CB4E1F"/>
    <w:rsid w:val="00CB59A5"/>
    <w:rsid w:val="00CC152E"/>
    <w:rsid w:val="00CC2493"/>
    <w:rsid w:val="00CC3222"/>
    <w:rsid w:val="00CC35F1"/>
    <w:rsid w:val="00CC35FF"/>
    <w:rsid w:val="00CC762A"/>
    <w:rsid w:val="00CC7F68"/>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069"/>
    <w:rsid w:val="00CF64B5"/>
    <w:rsid w:val="00CF7853"/>
    <w:rsid w:val="00D004ED"/>
    <w:rsid w:val="00D01269"/>
    <w:rsid w:val="00D025C1"/>
    <w:rsid w:val="00D0260F"/>
    <w:rsid w:val="00D02895"/>
    <w:rsid w:val="00D03708"/>
    <w:rsid w:val="00D06776"/>
    <w:rsid w:val="00D06E46"/>
    <w:rsid w:val="00D06F95"/>
    <w:rsid w:val="00D1158C"/>
    <w:rsid w:val="00D11600"/>
    <w:rsid w:val="00D119A2"/>
    <w:rsid w:val="00D11ADB"/>
    <w:rsid w:val="00D12E31"/>
    <w:rsid w:val="00D137F9"/>
    <w:rsid w:val="00D1458C"/>
    <w:rsid w:val="00D14612"/>
    <w:rsid w:val="00D1620E"/>
    <w:rsid w:val="00D16867"/>
    <w:rsid w:val="00D16EEC"/>
    <w:rsid w:val="00D2047A"/>
    <w:rsid w:val="00D20631"/>
    <w:rsid w:val="00D207FC"/>
    <w:rsid w:val="00D21588"/>
    <w:rsid w:val="00D218D2"/>
    <w:rsid w:val="00D2260B"/>
    <w:rsid w:val="00D22CB9"/>
    <w:rsid w:val="00D22D49"/>
    <w:rsid w:val="00D23930"/>
    <w:rsid w:val="00D23A23"/>
    <w:rsid w:val="00D24D8A"/>
    <w:rsid w:val="00D24DA4"/>
    <w:rsid w:val="00D25235"/>
    <w:rsid w:val="00D25383"/>
    <w:rsid w:val="00D25670"/>
    <w:rsid w:val="00D301FF"/>
    <w:rsid w:val="00D30809"/>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4B85"/>
    <w:rsid w:val="00D453E4"/>
    <w:rsid w:val="00D47226"/>
    <w:rsid w:val="00D50B21"/>
    <w:rsid w:val="00D51349"/>
    <w:rsid w:val="00D527AF"/>
    <w:rsid w:val="00D529E1"/>
    <w:rsid w:val="00D534C2"/>
    <w:rsid w:val="00D5410F"/>
    <w:rsid w:val="00D54C84"/>
    <w:rsid w:val="00D55558"/>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1B3"/>
    <w:rsid w:val="00D755F2"/>
    <w:rsid w:val="00D75BD2"/>
    <w:rsid w:val="00D762AC"/>
    <w:rsid w:val="00D775E7"/>
    <w:rsid w:val="00D77B9E"/>
    <w:rsid w:val="00D81461"/>
    <w:rsid w:val="00D81CA9"/>
    <w:rsid w:val="00D82AD8"/>
    <w:rsid w:val="00D82D30"/>
    <w:rsid w:val="00D839D8"/>
    <w:rsid w:val="00D83F9E"/>
    <w:rsid w:val="00D840C2"/>
    <w:rsid w:val="00D84562"/>
    <w:rsid w:val="00D85C16"/>
    <w:rsid w:val="00D86169"/>
    <w:rsid w:val="00D86BE3"/>
    <w:rsid w:val="00D8732E"/>
    <w:rsid w:val="00D91294"/>
    <w:rsid w:val="00D9186A"/>
    <w:rsid w:val="00D92D47"/>
    <w:rsid w:val="00D94213"/>
    <w:rsid w:val="00D94BEB"/>
    <w:rsid w:val="00D94DAA"/>
    <w:rsid w:val="00D94EA5"/>
    <w:rsid w:val="00D95F32"/>
    <w:rsid w:val="00DA024A"/>
    <w:rsid w:val="00DA07EE"/>
    <w:rsid w:val="00DA0A58"/>
    <w:rsid w:val="00DA1C85"/>
    <w:rsid w:val="00DA1CC9"/>
    <w:rsid w:val="00DA2E58"/>
    <w:rsid w:val="00DA328E"/>
    <w:rsid w:val="00DA3AA6"/>
    <w:rsid w:val="00DA46C1"/>
    <w:rsid w:val="00DA4E0D"/>
    <w:rsid w:val="00DA50B6"/>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7DB"/>
    <w:rsid w:val="00DC6DF6"/>
    <w:rsid w:val="00DC7BFE"/>
    <w:rsid w:val="00DD08C7"/>
    <w:rsid w:val="00DD1A10"/>
    <w:rsid w:val="00DD200D"/>
    <w:rsid w:val="00DD2990"/>
    <w:rsid w:val="00DD2FE9"/>
    <w:rsid w:val="00DD3A7E"/>
    <w:rsid w:val="00DD41DD"/>
    <w:rsid w:val="00DD434E"/>
    <w:rsid w:val="00DD4402"/>
    <w:rsid w:val="00DD60D0"/>
    <w:rsid w:val="00DD6200"/>
    <w:rsid w:val="00DD686C"/>
    <w:rsid w:val="00DD6E86"/>
    <w:rsid w:val="00DE0E5D"/>
    <w:rsid w:val="00DE4293"/>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E03"/>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084"/>
    <w:rsid w:val="00E16640"/>
    <w:rsid w:val="00E1740F"/>
    <w:rsid w:val="00E200CF"/>
    <w:rsid w:val="00E24287"/>
    <w:rsid w:val="00E2667F"/>
    <w:rsid w:val="00E31367"/>
    <w:rsid w:val="00E3181C"/>
    <w:rsid w:val="00E3212D"/>
    <w:rsid w:val="00E32EF3"/>
    <w:rsid w:val="00E33823"/>
    <w:rsid w:val="00E33E21"/>
    <w:rsid w:val="00E34BC4"/>
    <w:rsid w:val="00E3540C"/>
    <w:rsid w:val="00E354CB"/>
    <w:rsid w:val="00E36187"/>
    <w:rsid w:val="00E36332"/>
    <w:rsid w:val="00E36C9B"/>
    <w:rsid w:val="00E37638"/>
    <w:rsid w:val="00E37E9D"/>
    <w:rsid w:val="00E41B71"/>
    <w:rsid w:val="00E42569"/>
    <w:rsid w:val="00E434A0"/>
    <w:rsid w:val="00E44D30"/>
    <w:rsid w:val="00E4597F"/>
    <w:rsid w:val="00E4634C"/>
    <w:rsid w:val="00E46CB7"/>
    <w:rsid w:val="00E4723D"/>
    <w:rsid w:val="00E5045A"/>
    <w:rsid w:val="00E5077C"/>
    <w:rsid w:val="00E50EC8"/>
    <w:rsid w:val="00E5159B"/>
    <w:rsid w:val="00E515C6"/>
    <w:rsid w:val="00E52E0D"/>
    <w:rsid w:val="00E52FE2"/>
    <w:rsid w:val="00E53DA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B4C"/>
    <w:rsid w:val="00E65FF5"/>
    <w:rsid w:val="00E66857"/>
    <w:rsid w:val="00E67556"/>
    <w:rsid w:val="00E7252F"/>
    <w:rsid w:val="00E73FC2"/>
    <w:rsid w:val="00E74481"/>
    <w:rsid w:val="00E74517"/>
    <w:rsid w:val="00E755D7"/>
    <w:rsid w:val="00E7566D"/>
    <w:rsid w:val="00E75A8B"/>
    <w:rsid w:val="00E75C89"/>
    <w:rsid w:val="00E76E91"/>
    <w:rsid w:val="00E774B4"/>
    <w:rsid w:val="00E778F5"/>
    <w:rsid w:val="00E77CB3"/>
    <w:rsid w:val="00E80E7C"/>
    <w:rsid w:val="00E81779"/>
    <w:rsid w:val="00E8193A"/>
    <w:rsid w:val="00E81C6D"/>
    <w:rsid w:val="00E8205B"/>
    <w:rsid w:val="00E82444"/>
    <w:rsid w:val="00E8341C"/>
    <w:rsid w:val="00E8602B"/>
    <w:rsid w:val="00E86B5F"/>
    <w:rsid w:val="00E877B1"/>
    <w:rsid w:val="00E87D05"/>
    <w:rsid w:val="00E87D07"/>
    <w:rsid w:val="00E91F96"/>
    <w:rsid w:val="00E92E99"/>
    <w:rsid w:val="00E968FD"/>
    <w:rsid w:val="00E96D55"/>
    <w:rsid w:val="00E97993"/>
    <w:rsid w:val="00EA018D"/>
    <w:rsid w:val="00EA0D5D"/>
    <w:rsid w:val="00EA1192"/>
    <w:rsid w:val="00EA153F"/>
    <w:rsid w:val="00EA2788"/>
    <w:rsid w:val="00EA2C6E"/>
    <w:rsid w:val="00EA4964"/>
    <w:rsid w:val="00EA4F1A"/>
    <w:rsid w:val="00EA55B2"/>
    <w:rsid w:val="00EB02DE"/>
    <w:rsid w:val="00EB0A07"/>
    <w:rsid w:val="00EB16AE"/>
    <w:rsid w:val="00EB1B69"/>
    <w:rsid w:val="00EB1C78"/>
    <w:rsid w:val="00EB3B46"/>
    <w:rsid w:val="00EB4F08"/>
    <w:rsid w:val="00EC221F"/>
    <w:rsid w:val="00EC2E07"/>
    <w:rsid w:val="00EC4365"/>
    <w:rsid w:val="00EC43C7"/>
    <w:rsid w:val="00EC465D"/>
    <w:rsid w:val="00EC5C89"/>
    <w:rsid w:val="00EC66D2"/>
    <w:rsid w:val="00EC67E7"/>
    <w:rsid w:val="00ED0A1B"/>
    <w:rsid w:val="00ED21BC"/>
    <w:rsid w:val="00ED27AB"/>
    <w:rsid w:val="00ED2FEC"/>
    <w:rsid w:val="00ED3F67"/>
    <w:rsid w:val="00ED440A"/>
    <w:rsid w:val="00ED4BDB"/>
    <w:rsid w:val="00ED7971"/>
    <w:rsid w:val="00ED7FB2"/>
    <w:rsid w:val="00EE0748"/>
    <w:rsid w:val="00EE29A0"/>
    <w:rsid w:val="00EE2CEA"/>
    <w:rsid w:val="00EE3365"/>
    <w:rsid w:val="00EE48DF"/>
    <w:rsid w:val="00EE4AB3"/>
    <w:rsid w:val="00EE6380"/>
    <w:rsid w:val="00EE7405"/>
    <w:rsid w:val="00EE7FEE"/>
    <w:rsid w:val="00EF033E"/>
    <w:rsid w:val="00EF06EC"/>
    <w:rsid w:val="00EF14FF"/>
    <w:rsid w:val="00EF2BFE"/>
    <w:rsid w:val="00EF2D85"/>
    <w:rsid w:val="00EF402C"/>
    <w:rsid w:val="00EF45E0"/>
    <w:rsid w:val="00EF4E6F"/>
    <w:rsid w:val="00EF5C82"/>
    <w:rsid w:val="00EF6877"/>
    <w:rsid w:val="00EF7A15"/>
    <w:rsid w:val="00F01F8C"/>
    <w:rsid w:val="00F035A6"/>
    <w:rsid w:val="00F04AD0"/>
    <w:rsid w:val="00F056E7"/>
    <w:rsid w:val="00F10033"/>
    <w:rsid w:val="00F10848"/>
    <w:rsid w:val="00F109C9"/>
    <w:rsid w:val="00F10B68"/>
    <w:rsid w:val="00F11F55"/>
    <w:rsid w:val="00F12DEC"/>
    <w:rsid w:val="00F13151"/>
    <w:rsid w:val="00F153D2"/>
    <w:rsid w:val="00F15523"/>
    <w:rsid w:val="00F158A4"/>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4E20"/>
    <w:rsid w:val="00F350CF"/>
    <w:rsid w:val="00F351E5"/>
    <w:rsid w:val="00F35582"/>
    <w:rsid w:val="00F37004"/>
    <w:rsid w:val="00F376A1"/>
    <w:rsid w:val="00F37B8E"/>
    <w:rsid w:val="00F40949"/>
    <w:rsid w:val="00F41746"/>
    <w:rsid w:val="00F41E79"/>
    <w:rsid w:val="00F4315F"/>
    <w:rsid w:val="00F445F6"/>
    <w:rsid w:val="00F4512F"/>
    <w:rsid w:val="00F45763"/>
    <w:rsid w:val="00F459E3"/>
    <w:rsid w:val="00F45BCF"/>
    <w:rsid w:val="00F45BEA"/>
    <w:rsid w:val="00F45CFE"/>
    <w:rsid w:val="00F46877"/>
    <w:rsid w:val="00F47F3E"/>
    <w:rsid w:val="00F523D7"/>
    <w:rsid w:val="00F530E6"/>
    <w:rsid w:val="00F532C7"/>
    <w:rsid w:val="00F53AE8"/>
    <w:rsid w:val="00F54EE5"/>
    <w:rsid w:val="00F55358"/>
    <w:rsid w:val="00F5603C"/>
    <w:rsid w:val="00F5605C"/>
    <w:rsid w:val="00F564B9"/>
    <w:rsid w:val="00F57909"/>
    <w:rsid w:val="00F612D6"/>
    <w:rsid w:val="00F63399"/>
    <w:rsid w:val="00F63400"/>
    <w:rsid w:val="00F636C6"/>
    <w:rsid w:val="00F6433D"/>
    <w:rsid w:val="00F65300"/>
    <w:rsid w:val="00F6573E"/>
    <w:rsid w:val="00F662EB"/>
    <w:rsid w:val="00F67606"/>
    <w:rsid w:val="00F70327"/>
    <w:rsid w:val="00F70FEF"/>
    <w:rsid w:val="00F72FA8"/>
    <w:rsid w:val="00F75415"/>
    <w:rsid w:val="00F773F9"/>
    <w:rsid w:val="00F77635"/>
    <w:rsid w:val="00F8101C"/>
    <w:rsid w:val="00F817B9"/>
    <w:rsid w:val="00F81CB7"/>
    <w:rsid w:val="00F82280"/>
    <w:rsid w:val="00F8235F"/>
    <w:rsid w:val="00F82529"/>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0BC9"/>
    <w:rsid w:val="00FA0DD6"/>
    <w:rsid w:val="00FA164A"/>
    <w:rsid w:val="00FA3F3E"/>
    <w:rsid w:val="00FA4272"/>
    <w:rsid w:val="00FA4855"/>
    <w:rsid w:val="00FA4ACD"/>
    <w:rsid w:val="00FA6428"/>
    <w:rsid w:val="00FA7144"/>
    <w:rsid w:val="00FA7184"/>
    <w:rsid w:val="00FB0C36"/>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0B6"/>
    <w:rsid w:val="00FC6356"/>
    <w:rsid w:val="00FC7D01"/>
    <w:rsid w:val="00FD0130"/>
    <w:rsid w:val="00FD0373"/>
    <w:rsid w:val="00FD0582"/>
    <w:rsid w:val="00FD0C93"/>
    <w:rsid w:val="00FD1062"/>
    <w:rsid w:val="00FD2589"/>
    <w:rsid w:val="00FD4876"/>
    <w:rsid w:val="00FD5190"/>
    <w:rsid w:val="00FD51F3"/>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0465"/>
    <w:rsid w:val="00FF1070"/>
    <w:rsid w:val="00FF13E2"/>
    <w:rsid w:val="00FF1F43"/>
    <w:rsid w:val="00FF2237"/>
    <w:rsid w:val="00FF3C97"/>
    <w:rsid w:val="00FF4953"/>
    <w:rsid w:val="00FF5FA3"/>
    <w:rsid w:val="00FF5FCE"/>
    <w:rsid w:val="00FF6177"/>
    <w:rsid w:val="00FF6AD9"/>
    <w:rsid w:val="024B2955"/>
    <w:rsid w:val="02BD887B"/>
    <w:rsid w:val="02F32AA1"/>
    <w:rsid w:val="031E7C56"/>
    <w:rsid w:val="04AD352D"/>
    <w:rsid w:val="05BD0DA7"/>
    <w:rsid w:val="061DE0A2"/>
    <w:rsid w:val="08A0A7B2"/>
    <w:rsid w:val="09146F9A"/>
    <w:rsid w:val="0AF05264"/>
    <w:rsid w:val="0BBC06A3"/>
    <w:rsid w:val="0C0B8B4B"/>
    <w:rsid w:val="0E52DB74"/>
    <w:rsid w:val="0F372845"/>
    <w:rsid w:val="0F4A5E61"/>
    <w:rsid w:val="10C85372"/>
    <w:rsid w:val="113324D3"/>
    <w:rsid w:val="11530AC6"/>
    <w:rsid w:val="12A37E35"/>
    <w:rsid w:val="12E6057F"/>
    <w:rsid w:val="13D63875"/>
    <w:rsid w:val="146FCED3"/>
    <w:rsid w:val="148A7E07"/>
    <w:rsid w:val="14A2113E"/>
    <w:rsid w:val="15BDFF47"/>
    <w:rsid w:val="15FA19A0"/>
    <w:rsid w:val="1625B1A0"/>
    <w:rsid w:val="17F1DE3E"/>
    <w:rsid w:val="183A5E8B"/>
    <w:rsid w:val="18DDB3AB"/>
    <w:rsid w:val="18F5A009"/>
    <w:rsid w:val="1968F13C"/>
    <w:rsid w:val="19D9D79A"/>
    <w:rsid w:val="19F18258"/>
    <w:rsid w:val="1A011904"/>
    <w:rsid w:val="1A3CCED9"/>
    <w:rsid w:val="1B37EF10"/>
    <w:rsid w:val="1C78FC2C"/>
    <w:rsid w:val="1F54A2D5"/>
    <w:rsid w:val="20F13D7F"/>
    <w:rsid w:val="21343B35"/>
    <w:rsid w:val="21E36BE0"/>
    <w:rsid w:val="231EACEC"/>
    <w:rsid w:val="23CF0EE9"/>
    <w:rsid w:val="252C15A3"/>
    <w:rsid w:val="258E5DD5"/>
    <w:rsid w:val="2702C45E"/>
    <w:rsid w:val="27761591"/>
    <w:rsid w:val="2906DAAF"/>
    <w:rsid w:val="29447819"/>
    <w:rsid w:val="295F98B4"/>
    <w:rsid w:val="2A9817D1"/>
    <w:rsid w:val="2AA36C2B"/>
    <w:rsid w:val="2C3229BE"/>
    <w:rsid w:val="2C7F2333"/>
    <w:rsid w:val="2C973976"/>
    <w:rsid w:val="2E19011A"/>
    <w:rsid w:val="2E19E17A"/>
    <w:rsid w:val="2EA29407"/>
    <w:rsid w:val="2EEA8A82"/>
    <w:rsid w:val="2F05F6C7"/>
    <w:rsid w:val="2FB1FD45"/>
    <w:rsid w:val="2FCEDA38"/>
    <w:rsid w:val="306E9C50"/>
    <w:rsid w:val="3130CE3A"/>
    <w:rsid w:val="323420DE"/>
    <w:rsid w:val="32A43518"/>
    <w:rsid w:val="33536450"/>
    <w:rsid w:val="33D1488E"/>
    <w:rsid w:val="353D86FB"/>
    <w:rsid w:val="3789DCB9"/>
    <w:rsid w:val="387E0B03"/>
    <w:rsid w:val="39B8885E"/>
    <w:rsid w:val="3A2C8AA6"/>
    <w:rsid w:val="3B47A2A2"/>
    <w:rsid w:val="3B5458BF"/>
    <w:rsid w:val="3B84ECAE"/>
    <w:rsid w:val="3C8A7878"/>
    <w:rsid w:val="3E4F4FC0"/>
    <w:rsid w:val="3E7755A5"/>
    <w:rsid w:val="3F08A79C"/>
    <w:rsid w:val="4107C805"/>
    <w:rsid w:val="43D2C42D"/>
    <w:rsid w:val="4532630C"/>
    <w:rsid w:val="46F30940"/>
    <w:rsid w:val="4714D3FC"/>
    <w:rsid w:val="4788AD2E"/>
    <w:rsid w:val="488ED9A1"/>
    <w:rsid w:val="498E58BF"/>
    <w:rsid w:val="4B2698CA"/>
    <w:rsid w:val="4B677FBD"/>
    <w:rsid w:val="4C2EE41A"/>
    <w:rsid w:val="4EBA4331"/>
    <w:rsid w:val="4EE15BE5"/>
    <w:rsid w:val="4EF9279B"/>
    <w:rsid w:val="4F20C3A4"/>
    <w:rsid w:val="4F5EF165"/>
    <w:rsid w:val="4FE86380"/>
    <w:rsid w:val="50698E09"/>
    <w:rsid w:val="50B2F950"/>
    <w:rsid w:val="516C8EF9"/>
    <w:rsid w:val="51AE001C"/>
    <w:rsid w:val="53A82172"/>
    <w:rsid w:val="53B0A3ED"/>
    <w:rsid w:val="53CE2376"/>
    <w:rsid w:val="59607F18"/>
    <w:rsid w:val="5B62C53A"/>
    <w:rsid w:val="5BD22CDA"/>
    <w:rsid w:val="5D077F8A"/>
    <w:rsid w:val="5EB39E9E"/>
    <w:rsid w:val="5EC188FB"/>
    <w:rsid w:val="60473FA8"/>
    <w:rsid w:val="609CE437"/>
    <w:rsid w:val="60AC7B95"/>
    <w:rsid w:val="60BF84BA"/>
    <w:rsid w:val="60C2B8F7"/>
    <w:rsid w:val="61D35F7B"/>
    <w:rsid w:val="62B15410"/>
    <w:rsid w:val="62FD3B6B"/>
    <w:rsid w:val="63CCABC6"/>
    <w:rsid w:val="6529C54F"/>
    <w:rsid w:val="666A0F7B"/>
    <w:rsid w:val="669DE338"/>
    <w:rsid w:val="66EF1C38"/>
    <w:rsid w:val="678C8F5F"/>
    <w:rsid w:val="68CDCADC"/>
    <w:rsid w:val="6C5016FA"/>
    <w:rsid w:val="6CAD8D19"/>
    <w:rsid w:val="6F55A9E9"/>
    <w:rsid w:val="6F58393A"/>
    <w:rsid w:val="7037B2B0"/>
    <w:rsid w:val="70658020"/>
    <w:rsid w:val="709D9E0A"/>
    <w:rsid w:val="70A5D702"/>
    <w:rsid w:val="73448B97"/>
    <w:rsid w:val="741FFE9D"/>
    <w:rsid w:val="74269E7A"/>
    <w:rsid w:val="755365F3"/>
    <w:rsid w:val="75A0A1CF"/>
    <w:rsid w:val="7652ED7D"/>
    <w:rsid w:val="76F2DB8F"/>
    <w:rsid w:val="77929DA7"/>
    <w:rsid w:val="77FC9CF7"/>
    <w:rsid w:val="78890440"/>
    <w:rsid w:val="7943A0C7"/>
    <w:rsid w:val="798A8E3F"/>
    <w:rsid w:val="79948F19"/>
    <w:rsid w:val="79CD0902"/>
    <w:rsid w:val="7AB75ADF"/>
    <w:rsid w:val="7ACB6525"/>
    <w:rsid w:val="7CD85F96"/>
    <w:rsid w:val="7CF1F334"/>
    <w:rsid w:val="7DB5F7D0"/>
    <w:rsid w:val="7E0E61B4"/>
    <w:rsid w:val="7E90BE60"/>
    <w:rsid w:val="7ED2063E"/>
    <w:rsid w:val="7ED61B0D"/>
    <w:rsid w:val="7EE60116"/>
    <w:rsid w:val="7F4D7E95"/>
    <w:rsid w:val="7FF1B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A9774"/>
  <w15:chartTrackingRefBased/>
  <w15:docId w15:val="{FF5B9367-5DBF-4628-AA3E-1EACDF09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A90807"/>
    <w:pPr>
      <w:jc w:val="both"/>
    </w:pPr>
    <w:rPr>
      <w:rFonts w:eastAsia="Calibri"/>
      <w:sz w:val="20"/>
      <w:szCs w:val="20"/>
      <w:lang w:eastAsia="en-US"/>
    </w:rPr>
  </w:style>
  <w:style w:type="character" w:customStyle="1" w:styleId="FootnoteTextChar">
    <w:name w:val="Footnote Text Char"/>
    <w:link w:val="FootnoteText"/>
    <w:uiPriority w:val="99"/>
    <w:semiHidden/>
    <w:rsid w:val="00A90807"/>
    <w:rPr>
      <w:rFonts w:eastAsia="Calibri"/>
      <w:lang w:eastAsia="en-US"/>
    </w:rPr>
  </w:style>
  <w:style w:type="character" w:styleId="FootnoteReference">
    <w:name w:val="footnote reference"/>
    <w:uiPriority w:val="99"/>
    <w:semiHidden/>
    <w:unhideWhenUsed/>
    <w:rsid w:val="00A90807"/>
    <w:rPr>
      <w:vertAlign w:val="superscript"/>
    </w:rPr>
  </w:style>
  <w:style w:type="paragraph" w:customStyle="1" w:styleId="NormalLatvian">
    <w:name w:val="Normal – Latvian"/>
    <w:basedOn w:val="Normal"/>
    <w:rsid w:val="00C2605E"/>
    <w:pPr>
      <w:tabs>
        <w:tab w:val="left" w:pos="1829"/>
      </w:tabs>
      <w:spacing w:after="120"/>
      <w:jc w:val="both"/>
    </w:pPr>
    <w:rPr>
      <w:bCs/>
      <w:sz w:val="28"/>
      <w:lang w:eastAsia="en-US"/>
    </w:rPr>
  </w:style>
  <w:style w:type="character" w:styleId="UnresolvedMention">
    <w:name w:val="Unresolved Mention"/>
    <w:uiPriority w:val="99"/>
    <w:semiHidden/>
    <w:unhideWhenUsed/>
    <w:rsid w:val="00C2605E"/>
    <w:rPr>
      <w:color w:val="605E5C"/>
      <w:shd w:val="clear" w:color="auto" w:fill="E1DFDD"/>
    </w:rPr>
  </w:style>
  <w:style w:type="character" w:customStyle="1" w:styleId="normaltextrun">
    <w:name w:val="normaltextrun"/>
    <w:rsid w:val="00EC221F"/>
  </w:style>
  <w:style w:type="paragraph" w:customStyle="1" w:styleId="Body0">
    <w:name w:val="Body"/>
    <w:rsid w:val="005E73D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eop">
    <w:name w:val="eop"/>
    <w:rsid w:val="007F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2007">
      <w:bodyDiv w:val="1"/>
      <w:marLeft w:val="0"/>
      <w:marRight w:val="0"/>
      <w:marTop w:val="0"/>
      <w:marBottom w:val="0"/>
      <w:divBdr>
        <w:top w:val="none" w:sz="0" w:space="0" w:color="auto"/>
        <w:left w:val="none" w:sz="0" w:space="0" w:color="auto"/>
        <w:bottom w:val="none" w:sz="0" w:space="0" w:color="auto"/>
        <w:right w:val="none" w:sz="0" w:space="0" w:color="auto"/>
      </w:divBdr>
    </w:div>
    <w:div w:id="21970643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0002207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38129791">
      <w:bodyDiv w:val="1"/>
      <w:marLeft w:val="0"/>
      <w:marRight w:val="0"/>
      <w:marTop w:val="0"/>
      <w:marBottom w:val="0"/>
      <w:divBdr>
        <w:top w:val="none" w:sz="0" w:space="0" w:color="auto"/>
        <w:left w:val="none" w:sz="0" w:space="0" w:color="auto"/>
        <w:bottom w:val="none" w:sz="0" w:space="0" w:color="auto"/>
        <w:right w:val="none" w:sz="0" w:space="0" w:color="auto"/>
      </w:divBdr>
      <w:divsChild>
        <w:div w:id="1773353293">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5337531">
      <w:bodyDiv w:val="1"/>
      <w:marLeft w:val="0"/>
      <w:marRight w:val="0"/>
      <w:marTop w:val="0"/>
      <w:marBottom w:val="0"/>
      <w:divBdr>
        <w:top w:val="none" w:sz="0" w:space="0" w:color="auto"/>
        <w:left w:val="none" w:sz="0" w:space="0" w:color="auto"/>
        <w:bottom w:val="none" w:sz="0" w:space="0" w:color="auto"/>
        <w:right w:val="none" w:sz="0" w:space="0" w:color="auto"/>
      </w:divBdr>
      <w:divsChild>
        <w:div w:id="239293695">
          <w:marLeft w:val="0"/>
          <w:marRight w:val="0"/>
          <w:marTop w:val="0"/>
          <w:marBottom w:val="0"/>
          <w:divBdr>
            <w:top w:val="none" w:sz="0" w:space="0" w:color="auto"/>
            <w:left w:val="none" w:sz="0" w:space="0" w:color="auto"/>
            <w:bottom w:val="none" w:sz="0" w:space="0" w:color="auto"/>
            <w:right w:val="none" w:sz="0" w:space="0" w:color="auto"/>
          </w:divBdr>
        </w:div>
      </w:divsChild>
    </w:div>
    <w:div w:id="146901213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da.gailume-zohara@e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5FE087FC1B844A83E2EDF405DAD7F" ma:contentTypeVersion="9" ma:contentTypeDescription="Create a new document." ma:contentTypeScope="" ma:versionID="552b49b5af2db2237bb734c90459a032">
  <xsd:schema xmlns:xsd="http://www.w3.org/2001/XMLSchema" xmlns:xs="http://www.w3.org/2001/XMLSchema" xmlns:p="http://schemas.microsoft.com/office/2006/metadata/properties" xmlns:ns3="f26bd45e-c81f-4ad6-880f-d877d82294f4" xmlns:ns4="010df039-ddb9-4415-8887-ea3e355ce0c5" targetNamespace="http://schemas.microsoft.com/office/2006/metadata/properties" ma:root="true" ma:fieldsID="7911e8fd72af0d968b70d3900c0401ad" ns3:_="" ns4:_="">
    <xsd:import namespace="f26bd45e-c81f-4ad6-880f-d877d82294f4"/>
    <xsd:import namespace="010df039-ddb9-4415-8887-ea3e355ce0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bd45e-c81f-4ad6-880f-d877d8229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df039-ddb9-4415-8887-ea3e355ce0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EEAB-85C3-4C78-AB99-1C78592EEE2F}">
  <ds:schemaRefs>
    <ds:schemaRef ds:uri="http://schemas.microsoft.com/sharepoint/v3/contenttype/forms"/>
  </ds:schemaRefs>
</ds:datastoreItem>
</file>

<file path=customXml/itemProps2.xml><?xml version="1.0" encoding="utf-8"?>
<ds:datastoreItem xmlns:ds="http://schemas.openxmlformats.org/officeDocument/2006/customXml" ds:itemID="{9D8F4592-5DAF-4C44-8838-2FF116AB93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00F615-8605-4E75-BB31-F1C08896E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bd45e-c81f-4ad6-880f-d877d82294f4"/>
    <ds:schemaRef ds:uri="010df039-ddb9-4415-8887-ea3e355ce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C56B6-776D-482C-87C4-8CD87EA3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26503</Words>
  <Characters>15107</Characters>
  <Application>Microsoft Office Word</Application>
  <DocSecurity>0</DocSecurity>
  <Lines>125</Lines>
  <Paragraphs>83</Paragraphs>
  <ScaleCrop>false</ScaleCrop>
  <Company>Iestādes nosaukums</Company>
  <LinksUpToDate>false</LinksUpToDate>
  <CharactersWithSpaces>41527</CharactersWithSpaces>
  <SharedDoc>false</SharedDoc>
  <HLinks>
    <vt:vector size="12" baseType="variant">
      <vt:variant>
        <vt:i4>3735625</vt:i4>
      </vt:variant>
      <vt:variant>
        <vt:i4>3</vt:i4>
      </vt:variant>
      <vt:variant>
        <vt:i4>0</vt:i4>
      </vt:variant>
      <vt:variant>
        <vt:i4>5</vt:i4>
      </vt:variant>
      <vt:variant>
        <vt:lpwstr>mailto:zanda.gailume-zohara@em.gov.lv</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Zanda Gailume-Zohara</cp:lastModifiedBy>
  <cp:revision>4</cp:revision>
  <cp:lastPrinted>2009-04-08T18:39:00Z</cp:lastPrinted>
  <dcterms:created xsi:type="dcterms:W3CDTF">2021-01-26T09:52:00Z</dcterms:created>
  <dcterms:modified xsi:type="dcterms:W3CDTF">2021-01-26T15:37:00Z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0x010100C515FE087FC1B844A83E2EDF405DAD7F</vt:lpwstr>
  </property>
</Properties>
</file>