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5ECDB" w14:textId="1065BA0C" w:rsidR="00BD5588" w:rsidRPr="00EB5A4B" w:rsidRDefault="00F05658" w:rsidP="002B45C6">
      <w:pPr>
        <w:shd w:val="clear" w:color="auto" w:fill="FFFFFF"/>
        <w:contextualSpacing/>
        <w:jc w:val="center"/>
        <w:rPr>
          <w:b/>
          <w:bCs/>
        </w:rPr>
      </w:pPr>
      <w:r w:rsidRPr="00EB5A4B">
        <w:rPr>
          <w:b/>
          <w:bCs/>
        </w:rPr>
        <w:t>Ministru kabineta n</w:t>
      </w:r>
      <w:r w:rsidR="002B45C6" w:rsidRPr="00EB5A4B">
        <w:rPr>
          <w:b/>
          <w:bCs/>
        </w:rPr>
        <w:t>oteikumu projekta “Grozījum</w:t>
      </w:r>
      <w:r w:rsidR="005C7A4E">
        <w:rPr>
          <w:b/>
          <w:bCs/>
        </w:rPr>
        <w:t>i</w:t>
      </w:r>
      <w:r w:rsidR="002B45C6" w:rsidRPr="00EB5A4B">
        <w:rPr>
          <w:b/>
          <w:bCs/>
        </w:rPr>
        <w:t xml:space="preserve"> Ministru kabineta 2014. gada 19. augusta noteikumos Nr.500 “Vispārīgie būvnoteikumi”” </w:t>
      </w:r>
      <w:r w:rsidR="00BD5588" w:rsidRPr="00EB5A4B">
        <w:rPr>
          <w:b/>
          <w:bCs/>
        </w:rPr>
        <w:t>Tiesību akta projekta sākotnējās ietekmes novērtējuma ziņojums (anotācija)</w:t>
      </w:r>
    </w:p>
    <w:p w14:paraId="424C5A5C" w14:textId="77777777" w:rsidR="00BD5588" w:rsidRPr="00EB5A4B" w:rsidRDefault="00BD5588" w:rsidP="002B45C6">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45"/>
        <w:gridCol w:w="5351"/>
      </w:tblGrid>
      <w:tr w:rsidR="00EB5A4B" w:rsidRPr="00EB5A4B" w14:paraId="7B6610FB" w14:textId="77777777" w:rsidTr="009E0502">
        <w:trPr>
          <w:cantSplit/>
        </w:trPr>
        <w:tc>
          <w:tcPr>
            <w:tcW w:w="9581" w:type="dxa"/>
            <w:gridSpan w:val="2"/>
            <w:shd w:val="clear" w:color="auto" w:fill="FFFFFF"/>
            <w:vAlign w:val="center"/>
            <w:hideMark/>
          </w:tcPr>
          <w:p w14:paraId="06335C3C" w14:textId="77777777" w:rsidR="00BD5588" w:rsidRPr="00EB5A4B" w:rsidRDefault="00BD5588" w:rsidP="002B45C6">
            <w:pPr>
              <w:contextualSpacing/>
              <w:jc w:val="center"/>
              <w:rPr>
                <w:b/>
                <w:iCs/>
                <w:lang w:eastAsia="en-US"/>
              </w:rPr>
            </w:pPr>
            <w:r w:rsidRPr="00EB5A4B">
              <w:rPr>
                <w:b/>
                <w:iCs/>
                <w:lang w:eastAsia="en-US"/>
              </w:rPr>
              <w:t>Tiesību akta projekta anotācijas kopsavilkums</w:t>
            </w:r>
          </w:p>
        </w:tc>
      </w:tr>
      <w:tr w:rsidR="00EB5A4B" w:rsidRPr="00EB5A4B" w14:paraId="51DEDC74" w14:textId="77777777" w:rsidTr="00F05658">
        <w:trPr>
          <w:cantSplit/>
        </w:trPr>
        <w:tc>
          <w:tcPr>
            <w:tcW w:w="3430" w:type="dxa"/>
            <w:shd w:val="clear" w:color="auto" w:fill="FFFFFF"/>
            <w:hideMark/>
          </w:tcPr>
          <w:p w14:paraId="15A66D50" w14:textId="77777777" w:rsidR="00BD5588" w:rsidRPr="00EB5A4B" w:rsidRDefault="00BD5588" w:rsidP="002B45C6">
            <w:pPr>
              <w:contextualSpacing/>
              <w:rPr>
                <w:iCs/>
                <w:lang w:eastAsia="en-US"/>
              </w:rPr>
            </w:pPr>
            <w:r w:rsidRPr="00EB5A4B">
              <w:rPr>
                <w:iCs/>
                <w:lang w:eastAsia="en-US"/>
              </w:rPr>
              <w:t>Mērķis, risinājums un projekta spēkā stāšanās laiks (500 zīmes bez atstarpēm)</w:t>
            </w:r>
          </w:p>
        </w:tc>
        <w:tc>
          <w:tcPr>
            <w:tcW w:w="6151" w:type="dxa"/>
            <w:shd w:val="clear" w:color="auto" w:fill="FFFFFF"/>
          </w:tcPr>
          <w:p w14:paraId="2CBC60EB" w14:textId="110C8858" w:rsidR="00BD5588" w:rsidRPr="00EB5A4B" w:rsidRDefault="00F05658" w:rsidP="00A448C4">
            <w:pPr>
              <w:contextualSpacing/>
              <w:jc w:val="both"/>
              <w:rPr>
                <w:lang w:eastAsia="en-US"/>
              </w:rPr>
            </w:pPr>
            <w:r w:rsidRPr="00EB5A4B">
              <w:rPr>
                <w:lang w:eastAsia="en-US"/>
              </w:rPr>
              <w:t>Ar Ministru kabineta noteikumu projekta “Grozījum</w:t>
            </w:r>
            <w:r w:rsidR="005C7A4E">
              <w:rPr>
                <w:lang w:eastAsia="en-US"/>
              </w:rPr>
              <w:t>i</w:t>
            </w:r>
            <w:r w:rsidRPr="00EB5A4B">
              <w:rPr>
                <w:lang w:eastAsia="en-US"/>
              </w:rPr>
              <w:t xml:space="preserve"> Ministru kabineta 2014. gada 19. augusta noteikumos Nr.500 “Vispārīgie būvnoteikumi”” (turpmāk – Noteikumu projekts) tiek aktualizēts un pārskatīts līdzšinējais būvju iedalījums grupās</w:t>
            </w:r>
            <w:r w:rsidR="00260923">
              <w:rPr>
                <w:lang w:eastAsia="en-US"/>
              </w:rPr>
              <w:t xml:space="preserve">. </w:t>
            </w:r>
            <w:r w:rsidRPr="00EB5A4B">
              <w:t xml:space="preserve">Noteikumu projekta spēkā </w:t>
            </w:r>
            <w:r w:rsidR="00A448C4" w:rsidRPr="00EB5A4B">
              <w:t>stāšanās ir paredzēta 2021. gada 1. </w:t>
            </w:r>
            <w:r w:rsidR="002A6676">
              <w:t>novembrī</w:t>
            </w:r>
            <w:r w:rsidR="00A448C4" w:rsidRPr="00EB5A4B">
              <w:t>.</w:t>
            </w:r>
            <w:r w:rsidRPr="00EB5A4B">
              <w:rPr>
                <w:lang w:eastAsia="en-US"/>
              </w:rPr>
              <w:t xml:space="preserve"> </w:t>
            </w:r>
          </w:p>
        </w:tc>
      </w:tr>
    </w:tbl>
    <w:p w14:paraId="6DBC3A1C" w14:textId="77777777" w:rsidR="00BD5588" w:rsidRPr="00EB5A4B" w:rsidRDefault="00BD5588" w:rsidP="002B45C6">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1"/>
        <w:gridCol w:w="2111"/>
        <w:gridCol w:w="5764"/>
      </w:tblGrid>
      <w:tr w:rsidR="00EB5A4B" w:rsidRPr="00EB5A4B" w14:paraId="61E9597D" w14:textId="77777777" w:rsidTr="00BB0D3E">
        <w:tc>
          <w:tcPr>
            <w:tcW w:w="5000" w:type="pct"/>
            <w:gridSpan w:val="3"/>
            <w:vAlign w:val="center"/>
            <w:hideMark/>
          </w:tcPr>
          <w:p w14:paraId="690E3A8E" w14:textId="77777777" w:rsidR="00BD5588" w:rsidRPr="00EB5A4B" w:rsidRDefault="00BD5588" w:rsidP="002B45C6">
            <w:pPr>
              <w:contextualSpacing/>
              <w:jc w:val="center"/>
              <w:rPr>
                <w:b/>
                <w:bCs/>
              </w:rPr>
            </w:pPr>
            <w:r w:rsidRPr="00EB5A4B">
              <w:rPr>
                <w:b/>
                <w:bCs/>
              </w:rPr>
              <w:t>I. Tiesību akta projekta izstrādes nepieciešamība</w:t>
            </w:r>
          </w:p>
        </w:tc>
      </w:tr>
      <w:tr w:rsidR="00EB5A4B" w:rsidRPr="00EB5A4B" w14:paraId="66B38522" w14:textId="77777777" w:rsidTr="00BB0D3E">
        <w:tc>
          <w:tcPr>
            <w:tcW w:w="254" w:type="pct"/>
            <w:hideMark/>
          </w:tcPr>
          <w:p w14:paraId="501AEC92" w14:textId="77777777" w:rsidR="00BD5588" w:rsidRPr="00EB5A4B" w:rsidRDefault="00BD5588" w:rsidP="002B45C6">
            <w:pPr>
              <w:contextualSpacing/>
              <w:jc w:val="center"/>
            </w:pPr>
            <w:r w:rsidRPr="00EB5A4B">
              <w:t>1.</w:t>
            </w:r>
          </w:p>
        </w:tc>
        <w:tc>
          <w:tcPr>
            <w:tcW w:w="1272" w:type="pct"/>
            <w:hideMark/>
          </w:tcPr>
          <w:p w14:paraId="33F286EA" w14:textId="77777777" w:rsidR="00BD5588" w:rsidRPr="00EB5A4B" w:rsidRDefault="00BD5588" w:rsidP="002B45C6">
            <w:pPr>
              <w:contextualSpacing/>
            </w:pPr>
            <w:r w:rsidRPr="00EB5A4B">
              <w:t>Pamatojums</w:t>
            </w:r>
          </w:p>
        </w:tc>
        <w:tc>
          <w:tcPr>
            <w:tcW w:w="3474" w:type="pct"/>
            <w:hideMark/>
          </w:tcPr>
          <w:p w14:paraId="1BD81A35" w14:textId="0A8CD577" w:rsidR="00436359" w:rsidRDefault="0093441F" w:rsidP="0093441F">
            <w:pPr>
              <w:contextualSpacing/>
              <w:jc w:val="both"/>
            </w:pPr>
            <w:r w:rsidRPr="00EB5A4B">
              <w:rPr>
                <w:bCs/>
              </w:rPr>
              <w:t xml:space="preserve">Noteikumu projekts </w:t>
            </w:r>
            <w:r w:rsidRPr="00EB5A4B">
              <w:rPr>
                <w:iCs/>
              </w:rPr>
              <w:t xml:space="preserve">izstrādāts </w:t>
            </w:r>
            <w:r w:rsidR="00162278">
              <w:t>p</w:t>
            </w:r>
            <w:r w:rsidRPr="00EB5A4B">
              <w:t>amatojoties uz Ministru kabineta 07.05.2019. rīkojuma Nr.210 “Par Valdības rīcības plānu Deklarācijas par Artura Krišjāņa Kariņa vadītā Ministru kabineta iecerēto darbību īstenošanai” pielikuma “Valdības rīcības plāns Deklarācijas par Artura Krišjāņa Kariņa vadītā Ministru kabineta iecerēto darbību īstenošanai” pasākumu Nr.53.2.</w:t>
            </w:r>
          </w:p>
          <w:p w14:paraId="7A2E8BBB" w14:textId="20CFECDD" w:rsidR="00BD5588" w:rsidRPr="00EB5A4B" w:rsidRDefault="00436359" w:rsidP="0093441F">
            <w:pPr>
              <w:contextualSpacing/>
              <w:jc w:val="both"/>
            </w:pPr>
            <w:r>
              <w:t xml:space="preserve">Tāpat arī ar </w:t>
            </w:r>
            <w:r w:rsidR="007A20D0" w:rsidRPr="007A20D0">
              <w:t>Noteikumu projekt</w:t>
            </w:r>
            <w:r>
              <w:t>u saskaņā ar Ekonomikas ministrijas iniciatīvu</w:t>
            </w:r>
            <w:r w:rsidR="007A20D0" w:rsidRPr="007A20D0">
              <w:t xml:space="preserve"> veiktas izmaiņas attiecībā uz ogļūdeņražu izpētes un ieguves procesu, kas </w:t>
            </w:r>
            <w:r>
              <w:t>sagatavots</w:t>
            </w:r>
            <w:r w:rsidR="007A20D0" w:rsidRPr="007A20D0">
              <w:t xml:space="preserve"> ar mērķi samazināt administratīvo slogu </w:t>
            </w:r>
            <w:r>
              <w:t>pēc</w:t>
            </w:r>
            <w:r w:rsidR="007A20D0" w:rsidRPr="007A20D0">
              <w:t xml:space="preserve"> Baltijas ogļūdeņražu izpētes un ieguves asociācijas  ierosinājum</w:t>
            </w:r>
            <w:r>
              <w:t>a,</w:t>
            </w:r>
            <w:r w:rsidR="007A20D0" w:rsidRPr="007A20D0">
              <w:t xml:space="preserve"> un to atbalstot.</w:t>
            </w:r>
          </w:p>
        </w:tc>
      </w:tr>
      <w:tr w:rsidR="00EB5A4B" w:rsidRPr="00EB5A4B" w14:paraId="34A1657A" w14:textId="77777777" w:rsidTr="00BB0D3E">
        <w:tc>
          <w:tcPr>
            <w:tcW w:w="254" w:type="pct"/>
            <w:hideMark/>
          </w:tcPr>
          <w:p w14:paraId="10076177" w14:textId="77777777" w:rsidR="00BD5588" w:rsidRPr="00EB5A4B" w:rsidRDefault="00BD5588" w:rsidP="002B45C6">
            <w:pPr>
              <w:contextualSpacing/>
              <w:jc w:val="center"/>
            </w:pPr>
            <w:r w:rsidRPr="00EB5A4B">
              <w:t>2.</w:t>
            </w:r>
          </w:p>
        </w:tc>
        <w:tc>
          <w:tcPr>
            <w:tcW w:w="1272" w:type="pct"/>
            <w:hideMark/>
          </w:tcPr>
          <w:p w14:paraId="0632CC3B" w14:textId="77777777" w:rsidR="00BD5588" w:rsidRPr="00EB5A4B" w:rsidRDefault="00BD5588" w:rsidP="002B45C6">
            <w:pPr>
              <w:contextualSpacing/>
            </w:pPr>
            <w:r w:rsidRPr="00EB5A4B">
              <w:t>Pašreizējā situācija un problēmas, kuru risināšanai tiesību akta projekts izstrādāts, tiesiskā regulējuma mērķis un būtība</w:t>
            </w:r>
          </w:p>
        </w:tc>
        <w:tc>
          <w:tcPr>
            <w:tcW w:w="3474" w:type="pct"/>
            <w:hideMark/>
          </w:tcPr>
          <w:p w14:paraId="448D7B07" w14:textId="5019E980" w:rsidR="00BD5588" w:rsidRPr="00EB5A4B" w:rsidRDefault="008A6843" w:rsidP="008A6843">
            <w:pPr>
              <w:contextualSpacing/>
              <w:jc w:val="both"/>
            </w:pPr>
            <w:r w:rsidRPr="00EB5A4B">
              <w:t>Ministru kabineta 2014.gada 19.augusta noteikum</w:t>
            </w:r>
            <w:r w:rsidR="00892C15">
              <w:t>u</w:t>
            </w:r>
            <w:r w:rsidRPr="00EB5A4B">
              <w:t xml:space="preserve"> Nr.500 “Vispārīgie būvnoteikumi” 1.pielikuma piemērošanas gaitā ir konstatēts, ka atsevišķi noteiktie būvju raksturlielumi nav objektīvi un viennozīmīgi nosakāmi</w:t>
            </w:r>
            <w:r w:rsidR="00AC0399">
              <w:t xml:space="preserve"> un</w:t>
            </w:r>
            <w:r w:rsidRPr="00EB5A4B">
              <w:t xml:space="preserve"> atsevišķas II grupas un III grupas būves pēc savas sarežģītības un potenciālās negatīvās ietekmes uz vidi būtu ietveramas zemākā grupā. Papildu būvju iedalījums pēc to atrašanās veida ir </w:t>
            </w:r>
            <w:r w:rsidR="00AC0399">
              <w:t>procesuāls</w:t>
            </w:r>
            <w:r w:rsidR="00AC0399" w:rsidRPr="00EB5A4B">
              <w:t xml:space="preserve"> </w:t>
            </w:r>
            <w:r w:rsidRPr="00EB5A4B">
              <w:t>jautājums, nevis sarežģītības jautājums un šī iemesla dēļ</w:t>
            </w:r>
            <w:r w:rsidR="0014010F">
              <w:t xml:space="preserve"> tas netiek risināts ar noteikumu projektu, bet</w:t>
            </w:r>
            <w:r w:rsidRPr="00EB5A4B">
              <w:t xml:space="preserve"> tas būtu risināms speciālajos būvnoteikumos.</w:t>
            </w:r>
          </w:p>
          <w:p w14:paraId="09423885" w14:textId="77777777" w:rsidR="008A6843" w:rsidRPr="00EB5A4B" w:rsidRDefault="008A6843" w:rsidP="008A6843">
            <w:pPr>
              <w:contextualSpacing/>
              <w:jc w:val="both"/>
            </w:pPr>
          </w:p>
          <w:p w14:paraId="5AB5A66B" w14:textId="42CB9F31" w:rsidR="008A6843" w:rsidRPr="00EB5A4B" w:rsidRDefault="008A6843" w:rsidP="008A6843">
            <w:pPr>
              <w:contextualSpacing/>
              <w:jc w:val="both"/>
            </w:pPr>
            <w:r w:rsidRPr="00EB5A4B">
              <w:t xml:space="preserve">Ievērojot </w:t>
            </w:r>
            <w:r w:rsidR="00677500">
              <w:t xml:space="preserve">minēto, </w:t>
            </w:r>
            <w:r w:rsidRPr="00EB5A4B">
              <w:t>konstatēt</w:t>
            </w:r>
            <w:r w:rsidR="00677500">
              <w:t>as šādas</w:t>
            </w:r>
            <w:r w:rsidRPr="00EB5A4B">
              <w:t xml:space="preserve"> piemērošanas problēmas</w:t>
            </w:r>
            <w:r w:rsidR="00677500">
              <w:t xml:space="preserve"> un to tiesiskais risinājums</w:t>
            </w:r>
            <w:r w:rsidRPr="00EB5A4B">
              <w:t>:</w:t>
            </w:r>
          </w:p>
          <w:p w14:paraId="7C766885" w14:textId="77777777" w:rsidR="001627D5" w:rsidRPr="00EB5A4B" w:rsidRDefault="001627D5" w:rsidP="008A6843">
            <w:pPr>
              <w:contextualSpacing/>
              <w:jc w:val="both"/>
            </w:pPr>
          </w:p>
          <w:p w14:paraId="31EF022A" w14:textId="08E94EEA" w:rsidR="008A6843" w:rsidRPr="00EB5A4B" w:rsidRDefault="008A6843" w:rsidP="00F43DA8">
            <w:pPr>
              <w:tabs>
                <w:tab w:val="left" w:pos="750"/>
              </w:tabs>
              <w:contextualSpacing/>
              <w:jc w:val="both"/>
            </w:pPr>
            <w:r w:rsidRPr="00EB5A4B">
              <w:t>[1] </w:t>
            </w:r>
            <w:r w:rsidR="00F43DA8" w:rsidRPr="00EB5A4B">
              <w:t xml:space="preserve">Spēkā esošajā regulējumā ir noteikts, ka par III grupas ēku ir uzskatāma ēka, kurai ir vairāk nekā pieci virszemes stāvi. Regulējuma piemērošanas praksē ir konstatēti gadījumi, </w:t>
            </w:r>
            <w:proofErr w:type="gramStart"/>
            <w:r w:rsidR="00F43DA8" w:rsidRPr="00EB5A4B">
              <w:t>kad ēkām, kuras vizuāli būtu uz</w:t>
            </w:r>
            <w:r w:rsidR="0014010F">
              <w:t>ska</w:t>
            </w:r>
            <w:r w:rsidR="00F43DA8" w:rsidRPr="00EB5A4B">
              <w:t>tāmas par piecu stāvu ēkām, ir izbūvēts</w:t>
            </w:r>
            <w:proofErr w:type="gramEnd"/>
            <w:r w:rsidR="00F43DA8" w:rsidRPr="00EB5A4B">
              <w:t xml:space="preserve"> arī tehniskais stāvs. Šajā gadījumā šāda ēkā, kurā piecos stāvos ir dzīvojamās telpas, </w:t>
            </w:r>
            <w:r w:rsidR="001F1068" w:rsidRPr="00EB5A4B">
              <w:t xml:space="preserve">ar tehnisko stāvu tiks uzskatīta par sešu stāvu ēku – III grupas ēku. Ņemot vērā, ka pēc savas būtības šāda ēka nav </w:t>
            </w:r>
            <w:r w:rsidR="001F1068" w:rsidRPr="00EB5A4B">
              <w:lastRenderedPageBreak/>
              <w:t>sarežģītāka par piecu stāvu dzīvojamo ēku un izlases kārtībā pārbaudīto šādu ēku būvniecības ieceres dokumentācijā šīs ēkas ir apzīmētas kā piecu stāvu ēkas, III grupā būtu ietveramas ēkas, kurām ir vairāk nekā seši virszemes stāvi</w:t>
            </w:r>
            <w:r w:rsidR="00633F8C">
              <w:t xml:space="preserve"> (visu virszemes stāvu summa; </w:t>
            </w:r>
            <w:r w:rsidR="00061554">
              <w:t xml:space="preserve">sk. plānotās izmaiņas </w:t>
            </w:r>
            <w:r w:rsidR="00061554" w:rsidRPr="00061554">
              <w:t>Ministru kabineta 2014.gada 19.augusta noteikumu Nr.500 “Vispārīgie būvnoteikumi” 1. pielikuma</w:t>
            </w:r>
            <w:r w:rsidR="00BB6A4A">
              <w:t xml:space="preserve"> </w:t>
            </w:r>
            <w:r w:rsidR="00BB6A4A" w:rsidRPr="00BB6A4A">
              <w:t>2.2.1.</w:t>
            </w:r>
            <w:r w:rsidR="00BB6A4A">
              <w:t>apakšpunkts</w:t>
            </w:r>
            <w:r w:rsidR="00061554">
              <w:t>)</w:t>
            </w:r>
            <w:r w:rsidR="001F1068" w:rsidRPr="00EB5A4B">
              <w:t>;</w:t>
            </w:r>
          </w:p>
          <w:p w14:paraId="157B5A72" w14:textId="77777777" w:rsidR="001627D5" w:rsidRPr="00EB5A4B" w:rsidRDefault="001627D5" w:rsidP="00F43DA8">
            <w:pPr>
              <w:tabs>
                <w:tab w:val="left" w:pos="750"/>
              </w:tabs>
              <w:contextualSpacing/>
              <w:jc w:val="both"/>
            </w:pPr>
          </w:p>
          <w:p w14:paraId="2A814E31" w14:textId="530791D1" w:rsidR="001F1068" w:rsidRPr="00EB5A4B" w:rsidRDefault="001F1068" w:rsidP="00F43DA8">
            <w:pPr>
              <w:tabs>
                <w:tab w:val="left" w:pos="750"/>
              </w:tabs>
              <w:contextualSpacing/>
              <w:jc w:val="both"/>
            </w:pPr>
            <w:r w:rsidRPr="00EB5A4B">
              <w:t>[2] </w:t>
            </w:r>
            <w:r w:rsidR="00151FB6" w:rsidRPr="00EB5A4B">
              <w:t>Par III grupas ēku ir uzskatāma publiska ēka, kurā paredzēts vienlaikus uzturēties vairāk nekā 100 cilvēkiem. Ņemot vērā, ka piederība grupai ir atkarīga no cilvēku skait</w:t>
            </w:r>
            <w:r w:rsidR="00677500">
              <w:t>a</w:t>
            </w:r>
            <w:r w:rsidR="00151FB6" w:rsidRPr="00EB5A4B">
              <w:t>, tad šādas ēkas platība var būt no 100 m</w:t>
            </w:r>
            <w:r w:rsidR="00151FB6" w:rsidRPr="00EB5A4B">
              <w:rPr>
                <w:vertAlign w:val="superscript"/>
              </w:rPr>
              <w:t xml:space="preserve">2 </w:t>
            </w:r>
            <w:r w:rsidR="00151FB6" w:rsidRPr="00EB5A4B">
              <w:t>(telpas publiskajiem pasākumiem). Pie cita ēkas lietošanas veida šādas ēkas minimālā platība būt lielāka, piemēram, tirdzniecības telpu gadījumā no 300 m</w:t>
            </w:r>
            <w:r w:rsidR="00151FB6" w:rsidRPr="00EB5A4B">
              <w:rPr>
                <w:vertAlign w:val="superscript"/>
              </w:rPr>
              <w:t xml:space="preserve">2 </w:t>
            </w:r>
            <w:r w:rsidR="00151FB6" w:rsidRPr="00EB5A4B">
              <w:t xml:space="preserve">(sk. Latvijas būvnormatīva LBN 201-15 “Būvju ugunsdrošība” 6.tabulu). Regulējuma piemērošanas praksē tika konstatēts, ka var pastāvēt divas vienādas ēkas un katrā gadījumā tiks uzdots būvniecības ieceres dokumentācijā dažāds plānotais cilvēku skaits (tai skaitā to pamatojot). Rezultātā viena būs II grupas būve – otra III grupas būve. </w:t>
            </w:r>
            <w:r w:rsidR="00003F10" w:rsidRPr="00EB5A4B">
              <w:t>Tas saistīts ar to, ka cilvēku skaita aprēķins nav atkarīgs tikai no Latvijas būvnormatīva LBN 201-15 “Būvju ugunsdrošība” 6.tabulā noteiktajiem lielumiem, bet var būt atkarīgs arī no tā plānot</w:t>
            </w:r>
            <w:r w:rsidR="004965C0" w:rsidRPr="00EB5A4B">
              <w:t>ā</w:t>
            </w:r>
            <w:r w:rsidR="00003F10" w:rsidRPr="00EB5A4B">
              <w:t xml:space="preserve"> pakalpojuma sniegšanas specifika</w:t>
            </w:r>
            <w:r w:rsidR="001627D5" w:rsidRPr="00EB5A4B">
              <w:t>s</w:t>
            </w:r>
            <w:r w:rsidR="00003F10" w:rsidRPr="00EB5A4B">
              <w:t xml:space="preserve"> (piemēram, mēbeļu skaits, lielums, izvietojums u.tml.). Līdz ar to, ir nepieciešams skaidrāks kritērijs</w:t>
            </w:r>
            <w:r w:rsidR="00061554">
              <w:t xml:space="preserve"> – m</w:t>
            </w:r>
            <w:r w:rsidR="00061554" w:rsidRPr="00DF4268">
              <w:rPr>
                <w:vertAlign w:val="superscript"/>
              </w:rPr>
              <w:t>2</w:t>
            </w:r>
            <w:r w:rsidR="00003F10" w:rsidRPr="00EB5A4B">
              <w:t>, lai nošķirtu attiecīgās veida ēka</w:t>
            </w:r>
            <w:r w:rsidR="00667BC8">
              <w:t>s</w:t>
            </w:r>
            <w:r w:rsidR="00003F10" w:rsidRPr="00EB5A4B">
              <w:t xml:space="preserve"> pēc grupām</w:t>
            </w:r>
            <w:r w:rsidR="00061554">
              <w:t xml:space="preserve"> (sk. plānotās izmaiņas </w:t>
            </w:r>
            <w:r w:rsidR="00061554" w:rsidRPr="00061554">
              <w:t xml:space="preserve">Ministru kabineta 2014.gada 19.augusta noteikumu Nr.500 “Vispārīgie būvnoteikumi” 1. pielikuma </w:t>
            </w:r>
            <w:r w:rsidR="00061554">
              <w:t>1</w:t>
            </w:r>
            <w:r w:rsidR="00BB6A4A">
              <w:t xml:space="preserve"> </w:t>
            </w:r>
            <w:r w:rsidR="00BB6A4A" w:rsidRPr="00BB6A4A">
              <w:t>2.2.3.</w:t>
            </w:r>
            <w:r w:rsidR="00BB6A4A">
              <w:t>apakšpunktu</w:t>
            </w:r>
            <w:r w:rsidR="00061554">
              <w:t>)</w:t>
            </w:r>
            <w:r w:rsidR="00003F10" w:rsidRPr="00EB5A4B">
              <w:t xml:space="preserve">. </w:t>
            </w:r>
            <w:r w:rsidR="002B127E" w:rsidRPr="00EB5A4B">
              <w:t>Plānotās izmaiņas nemaina Būvniecības valsts kontroles biroja Būvniecības likuma 6.</w:t>
            </w:r>
            <w:r w:rsidR="002B127E" w:rsidRPr="00EB5A4B">
              <w:rPr>
                <w:vertAlign w:val="superscript"/>
              </w:rPr>
              <w:t>1</w:t>
            </w:r>
            <w:r w:rsidR="002B127E" w:rsidRPr="00EB5A4B">
              <w:t>panta pirmās daļas 1.punkta “a” apakšpunktā noteikto kompetence</w:t>
            </w:r>
            <w:r w:rsidR="000B7CFB">
              <w:t>. Papildus jānorāda, ka</w:t>
            </w:r>
            <w:r w:rsidR="000B7CFB" w:rsidRPr="000B7CFB">
              <w:t xml:space="preserve"> piecstāvu </w:t>
            </w:r>
            <w:proofErr w:type="spellStart"/>
            <w:r w:rsidR="000B7CFB" w:rsidRPr="000B7CFB">
              <w:t>daudzīvokļu</w:t>
            </w:r>
            <w:proofErr w:type="spellEnd"/>
            <w:r w:rsidR="000B7CFB" w:rsidRPr="000B7CFB">
              <w:t xml:space="preserve"> dzīvojamā ēka ir dzīvojamā ēka, neatkarīgi no tā, ka piemēram, tās pirmajā stāvā ir izvietotas publiskas telpas. Publisko telpu esamība pati par sevi, vadoties pēc galvā lietošanas veida aprēķināšanas kārtības (sk. Ministru kabineta 12.06.2018. noteikumu Nr.326 “Būvju klasifikācijas noteikumi”</w:t>
            </w:r>
            <w:r w:rsidR="000B7CFB">
              <w:t xml:space="preserve"> (turpmāk – </w:t>
            </w:r>
            <w:r w:rsidR="000B7CFB" w:rsidRPr="000B7CFB">
              <w:t>būvju klasifikācija</w:t>
            </w:r>
            <w:r w:rsidR="000B7CFB">
              <w:t>)</w:t>
            </w:r>
            <w:r w:rsidR="000B7CFB" w:rsidRPr="000B7CFB">
              <w:t xml:space="preserve"> 8.punktu), nenozīmē, ka ēkas galvenais lietošanas veids būs kāds no publiskās ēkas lietošanas veidiem. Tāpat vēršam uzmanību uz to, ka koplietošanas telpas, dēļ tā, ka tajās netiek nodrošināta pakalpojumu sniegšanai, nav uzskatāma par publisku telpu. Ņemot vērā, Latvijas būvnormatīva LBN 201-15 "Būvju ugunsdrošība" 6.tabulā noteiktos kritērijus, nav sagaidāms, ka pie kritērija 1000 m</w:t>
            </w:r>
            <w:r w:rsidR="000B7CFB" w:rsidRPr="000B7CFB">
              <w:rPr>
                <w:vertAlign w:val="superscript"/>
              </w:rPr>
              <w:t>2</w:t>
            </w:r>
            <w:r w:rsidR="000B7CFB" w:rsidRPr="000B7CFB">
              <w:t xml:space="preserve"> kāda otrās grupas ēka kļūs par III grupas ēku</w:t>
            </w:r>
            <w:r w:rsidR="002B127E" w:rsidRPr="00EB5A4B">
              <w:t>;</w:t>
            </w:r>
          </w:p>
          <w:p w14:paraId="74D85E8C" w14:textId="77777777" w:rsidR="00003F10" w:rsidRPr="00EB5A4B" w:rsidRDefault="00003F10" w:rsidP="00F43DA8">
            <w:pPr>
              <w:tabs>
                <w:tab w:val="left" w:pos="750"/>
              </w:tabs>
              <w:contextualSpacing/>
              <w:jc w:val="both"/>
            </w:pPr>
          </w:p>
          <w:p w14:paraId="27311090" w14:textId="60FC4852" w:rsidR="00003F10" w:rsidRPr="00EB5A4B" w:rsidRDefault="002B127E" w:rsidP="00795195">
            <w:pPr>
              <w:tabs>
                <w:tab w:val="left" w:pos="750"/>
              </w:tabs>
              <w:contextualSpacing/>
              <w:jc w:val="both"/>
            </w:pPr>
            <w:r w:rsidRPr="00EB5A4B">
              <w:lastRenderedPageBreak/>
              <w:t>[3] </w:t>
            </w:r>
            <w:r w:rsidR="00795195" w:rsidRPr="00EB5A4B">
              <w:t>Ministru kabineta 2014.gada 19.augusta noteikum</w:t>
            </w:r>
            <w:r w:rsidR="00B51F93" w:rsidRPr="00EB5A4B">
              <w:t>u</w:t>
            </w:r>
            <w:r w:rsidR="00795195" w:rsidRPr="00EB5A4B">
              <w:t xml:space="preserve"> Nr.500 “Vispārīgie būvnoteikumi” 1.pielikumā ir noteikts, ka par I grupas ēkām ir uzskatāmas: 1) </w:t>
            </w:r>
            <w:proofErr w:type="spellStart"/>
            <w:r w:rsidR="00795195" w:rsidRPr="00EB5A4B">
              <w:t>mazēka</w:t>
            </w:r>
            <w:proofErr w:type="spellEnd"/>
            <w:r w:rsidR="00795195" w:rsidRPr="00EB5A4B">
              <w:t xml:space="preserve"> (vienstāva ēka, t. sk. nojume un palīgēka, kuras apbūves laukums nav lielāks par 25 m</w:t>
            </w:r>
            <w:r w:rsidR="00795195" w:rsidRPr="00EB5A4B">
              <w:rPr>
                <w:vertAlign w:val="superscript"/>
              </w:rPr>
              <w:t>2</w:t>
            </w:r>
            <w:r w:rsidR="00795195" w:rsidRPr="00EB5A4B">
              <w:t>); 2) ārpus pilsētu un ciemu teritorijām vienstāva lauku saimniecību nedzīvojamā ēka, kura nav paredzēta dzīvnieku turēšanai, un palīgēka (piemēram, saimniecības ēka, noliktava, šķūnis, pagrabs, nojume, garāža) ar apbūves laukumu līdz 60 m</w:t>
            </w:r>
            <w:r w:rsidR="00795195" w:rsidRPr="00EB5A4B">
              <w:rPr>
                <w:vertAlign w:val="superscript"/>
              </w:rPr>
              <w:t>2</w:t>
            </w:r>
            <w:r w:rsidR="00795195" w:rsidRPr="00EB5A4B">
              <w:t>; 3) Atsevišķa rūpnieciski izgatavota vienstāva ēka ar apbūves laukumu līdz 60 m2, tai skaitā konteinertipa ēka vai būvizstrādājums, izņemot ēku, kurā tiek izvietota bīstamā iekārta. Tas, vai ēka ir vai nav paredzēta dzīvnieku turēšanai, nav uzskatāms par sarežģītības pakāpi</w:t>
            </w:r>
            <w:r w:rsidR="006F1001">
              <w:t>, ciktāl tas attiecas uz I grupu – ņemot vērā šādu ēku apbūves laukumu un konstruktīvo risinājumu līdzīgumu.</w:t>
            </w:r>
            <w:r w:rsidR="00795195" w:rsidRPr="00EB5A4B">
              <w:t xml:space="preserve"> </w:t>
            </w:r>
            <w:r w:rsidR="00667BC8">
              <w:t>Turklāt</w:t>
            </w:r>
            <w:r w:rsidR="00795195" w:rsidRPr="00EB5A4B">
              <w:t xml:space="preserve">, </w:t>
            </w:r>
            <w:r w:rsidR="00667BC8">
              <w:t>iz</w:t>
            </w:r>
            <w:r w:rsidR="00795195" w:rsidRPr="00EB5A4B">
              <w:t>vērtējot konkrēto regulējumu, nav saskatāms pamats par I grupas ēkām uzskatīt arī kūt</w:t>
            </w:r>
            <w:r w:rsidR="00667BC8">
              <w:t>i</w:t>
            </w:r>
            <w:r w:rsidR="00795195" w:rsidRPr="00EB5A4B">
              <w:t>s līdz 60 m</w:t>
            </w:r>
            <w:r w:rsidR="00795195" w:rsidRPr="00EB5A4B">
              <w:rPr>
                <w:vertAlign w:val="superscript"/>
              </w:rPr>
              <w:t xml:space="preserve">2 </w:t>
            </w:r>
            <w:r w:rsidR="00795195" w:rsidRPr="00EB5A4B">
              <w:t xml:space="preserve">– it sevišķi ņemot vērā, ka šādu būvju pieļaujamību konkrētā zemes vienībā regulē pašvaldības teritorijas izmantošanas un apbūves nosacījumi. Tāpat jāņem vērā, ka šajā punktā minētais regulējums ir nevajadzīgi detalizēts un apgrūtina tā vienveidīgu uztveramību. Ievērojot iepriekš minēto, regulējums ir precizēts, nosakot, ka par I grupas ēkām būs skatāmas visas vienstāva </w:t>
            </w:r>
            <w:r w:rsidR="00643951">
              <w:t>ēkas</w:t>
            </w:r>
            <w:r w:rsidR="00795195" w:rsidRPr="00EB5A4B">
              <w:t>, kuras apbūves laukums nepārsniedz 60 m</w:t>
            </w:r>
            <w:r w:rsidR="00795195" w:rsidRPr="00872F5C">
              <w:rPr>
                <w:vertAlign w:val="superscript"/>
              </w:rPr>
              <w:t>2</w:t>
            </w:r>
            <w:r w:rsidR="00795195" w:rsidRPr="00EB5A4B">
              <w:t xml:space="preserve">, tai skaitā </w:t>
            </w:r>
            <w:proofErr w:type="spellStart"/>
            <w:r w:rsidR="00795195" w:rsidRPr="00EB5A4B">
              <w:t>mazēka</w:t>
            </w:r>
            <w:proofErr w:type="spellEnd"/>
            <w:r w:rsidR="00AF47E8">
              <w:t xml:space="preserve"> (sk. plānotās izmaiņas </w:t>
            </w:r>
            <w:r w:rsidR="00AF47E8" w:rsidRPr="00061554">
              <w:t xml:space="preserve">Ministru kabineta 2014.gada 19.augusta noteikumu Nr.500 “Vispārīgie būvnoteikumi” 1. pielikuma </w:t>
            </w:r>
            <w:r w:rsidR="00BB6A4A" w:rsidRPr="00BB6A4A">
              <w:t>2.1.1.</w:t>
            </w:r>
            <w:r w:rsidR="00BB6A4A">
              <w:t>apakšpunktu</w:t>
            </w:r>
            <w:r w:rsidR="00AF47E8">
              <w:t>)</w:t>
            </w:r>
            <w:r w:rsidR="00AF47E8" w:rsidRPr="00EB5A4B">
              <w:t>.</w:t>
            </w:r>
            <w:r w:rsidR="00795195" w:rsidRPr="00EB5A4B">
              <w:t>;</w:t>
            </w:r>
            <w:r w:rsidR="00A5502C">
              <w:t xml:space="preserve"> Jāatzīmē, ka </w:t>
            </w:r>
            <w:r w:rsidR="00A5502C" w:rsidRPr="00A5502C">
              <w:t>noteikumu projektā kritērijs “jauda” attiecas arī uz siltumenerģiju, nevis tikai elektroenerģiju. Ņemot vērā, ka noteikta viedas ēkas tiek projektētas tieši, lai tajās varētu izvietot noteiktas iekārtas, tad nav pamats argumentam, ka paredzētā ēkas lietošanas veidam nav nekās ietekmes uz pašas ēkas konstrukcijām. Tāpat ir jāņem vērā, ka šādas ēkas rada arī lielāku potenciālo sabiedrības apdraudējumu kā līdzīgas apjoma cita lietošanas veida ēkas.</w:t>
            </w:r>
          </w:p>
          <w:p w14:paraId="00B4360D" w14:textId="77777777" w:rsidR="00795195" w:rsidRPr="00EB5A4B" w:rsidRDefault="00795195" w:rsidP="00795195">
            <w:pPr>
              <w:tabs>
                <w:tab w:val="left" w:pos="750"/>
              </w:tabs>
              <w:contextualSpacing/>
              <w:jc w:val="both"/>
            </w:pPr>
          </w:p>
          <w:p w14:paraId="79DF770D" w14:textId="3947BE9E" w:rsidR="00795195" w:rsidRPr="00EB5A4B" w:rsidRDefault="00795195" w:rsidP="00295027">
            <w:pPr>
              <w:tabs>
                <w:tab w:val="left" w:pos="750"/>
              </w:tabs>
              <w:contextualSpacing/>
              <w:jc w:val="both"/>
            </w:pPr>
            <w:r w:rsidRPr="00EB5A4B">
              <w:t xml:space="preserve">[4] Ministru kabineta </w:t>
            </w:r>
            <w:proofErr w:type="gramStart"/>
            <w:r w:rsidRPr="00EB5A4B">
              <w:t>2014.gada</w:t>
            </w:r>
            <w:proofErr w:type="gramEnd"/>
            <w:r w:rsidRPr="00EB5A4B">
              <w:t xml:space="preserve"> 19.augusta noteikum</w:t>
            </w:r>
            <w:r w:rsidR="00B51F93" w:rsidRPr="00EB5A4B">
              <w:t>u</w:t>
            </w:r>
            <w:r w:rsidRPr="00EB5A4B">
              <w:t xml:space="preserve"> Nr.500 “Vispārīgie būvnoteikumi” 1.pielikumā ir noteikts, ka par III grupas ēkām ir uzskatāmas:</w:t>
            </w:r>
            <w:r w:rsidR="00295027" w:rsidRPr="00EB5A4B">
              <w:t xml:space="preserve"> 1) </w:t>
            </w:r>
            <w:r w:rsidR="00B51F93" w:rsidRPr="00EB5A4B">
              <w:t>r</w:t>
            </w:r>
            <w:r w:rsidR="00295027" w:rsidRPr="00EB5A4B">
              <w:t>ūpnieciskās ražošanas ēka, kuras kopējā platība ir lielāka par 1000 m</w:t>
            </w:r>
            <w:r w:rsidR="00295027" w:rsidRPr="00EB5A4B">
              <w:rPr>
                <w:vertAlign w:val="superscript"/>
              </w:rPr>
              <w:t>2</w:t>
            </w:r>
            <w:r w:rsidR="00295027" w:rsidRPr="00EB5A4B">
              <w:t xml:space="preserve">; 2) </w:t>
            </w:r>
            <w:r w:rsidR="00B51F93" w:rsidRPr="00EB5A4B">
              <w:t>n</w:t>
            </w:r>
            <w:r w:rsidR="00295027" w:rsidRPr="00EB5A4B">
              <w:t>oliktavas ēka, kurā paredzēta ugunsslodze virs 600 MJ/m2 vai kuras kopējā platība ir lielāka par 2000 m</w:t>
            </w:r>
            <w:r w:rsidR="00295027" w:rsidRPr="00EB5A4B">
              <w:rPr>
                <w:vertAlign w:val="superscript"/>
              </w:rPr>
              <w:t>2</w:t>
            </w:r>
            <w:r w:rsidR="00295027" w:rsidRPr="00EB5A4B">
              <w:t xml:space="preserve">. </w:t>
            </w:r>
            <w:r w:rsidR="00B51F93" w:rsidRPr="00EB5A4B">
              <w:t>Ņemot vērā, ka attiecīgo ēku potenciālā sabiedrības bīstamība var būt vienāda, kvalifikācijas kritēriji šīm ēkām ir vienveidoti</w:t>
            </w:r>
            <w:r w:rsidR="006F1001">
              <w:t xml:space="preserve"> - </w:t>
            </w:r>
            <w:r w:rsidR="006F1001" w:rsidRPr="006F1001">
              <w:t>ugunsslodze virs 600 MJ/m</w:t>
            </w:r>
            <w:r w:rsidR="006F1001" w:rsidRPr="006F1001">
              <w:rPr>
                <w:vertAlign w:val="superscript"/>
              </w:rPr>
              <w:t>2</w:t>
            </w:r>
            <w:r w:rsidR="006F1001" w:rsidRPr="006F1001">
              <w:t xml:space="preserve"> vai platība lielāka par 2000 m</w:t>
            </w:r>
            <w:r w:rsidR="006F1001" w:rsidRPr="00DF4268">
              <w:rPr>
                <w:vertAlign w:val="superscript"/>
              </w:rPr>
              <w:t>2</w:t>
            </w:r>
            <w:r w:rsidR="00AF47E8">
              <w:t xml:space="preserve"> (sk. plānotās izmaiņas </w:t>
            </w:r>
            <w:r w:rsidR="00AF47E8" w:rsidRPr="00061554">
              <w:t xml:space="preserve">Ministru kabineta 2014.gada 19.augusta noteikumu Nr.500 “Vispārīgie būvnoteikumi” 1. pielikuma </w:t>
            </w:r>
            <w:r w:rsidR="0019259F" w:rsidRPr="0019259F">
              <w:t>2.2.4.</w:t>
            </w:r>
            <w:r w:rsidR="0019259F">
              <w:t xml:space="preserve">, </w:t>
            </w:r>
            <w:r w:rsidR="0019259F" w:rsidRPr="0019259F">
              <w:t>2.2.5.</w:t>
            </w:r>
            <w:r w:rsidR="0019259F">
              <w:t xml:space="preserve">, </w:t>
            </w:r>
            <w:r w:rsidR="0019259F" w:rsidRPr="0019259F">
              <w:t>2.2.6.</w:t>
            </w:r>
            <w:r w:rsidR="0019259F">
              <w:t xml:space="preserve"> un </w:t>
            </w:r>
            <w:r w:rsidR="0019259F" w:rsidRPr="0019259F">
              <w:t>2.2.7.</w:t>
            </w:r>
            <w:r w:rsidR="0019259F">
              <w:t>apakšpunktu</w:t>
            </w:r>
            <w:r w:rsidR="00AF47E8">
              <w:t>)</w:t>
            </w:r>
            <w:r w:rsidR="00A5502C">
              <w:t xml:space="preserve">. Vienlaikus, skaidrības labad jānorāda, </w:t>
            </w:r>
            <w:r w:rsidR="00A5502C">
              <w:lastRenderedPageBreak/>
              <w:t xml:space="preserve">ka </w:t>
            </w:r>
            <w:r w:rsidR="00A5502C" w:rsidRPr="00EB5A4B">
              <w:t xml:space="preserve">Ministru kabineta 2014.gada 19.augusta noteikumu Nr.500 “Vispārīgie būvnoteikumi” </w:t>
            </w:r>
            <w:r w:rsidR="00A5502C">
              <w:t xml:space="preserve">1.pielikumā būves (ēkas un inženierbūves) ir iedalītas grupās atkarībā no to sarežģītības un iespējamās ietekmes uz cilvēku dzīvību, veselību un vidi. Pirmā ir zemākā, bet trešā ir augstākā grupa. </w:t>
            </w:r>
            <w:r w:rsidR="00A5502C" w:rsidRPr="00EB5A4B">
              <w:t xml:space="preserve">Ministru kabineta 2014.gada 19.augusta noteikumu Nr.500 “Vispārīgie būvnoteikumi” </w:t>
            </w:r>
            <w:r w:rsidR="00A5502C">
              <w:t xml:space="preserve"> 1.pielikumā termins “noliktavas ēka” ir lietots atbilstoši būvju klasifikācija</w:t>
            </w:r>
            <w:r w:rsidR="000B7CFB">
              <w:t>i</w:t>
            </w:r>
            <w:r w:rsidR="00A5502C">
              <w:t xml:space="preserve">. Būvju klasifikācija nosaka būvju (tai skaitā būvēs esošo telpu grupu) klasifikāciju pēc lietošanas veida. Klasifikācija nodrošina klasifikācijas objektu – būvju un būvēs esošo telpu grupu – vienotu uzskaiti Latvijas Republikā. Būvei nosaka vienu galveno lietošanas veidu (būves galvenais lietošanas veids – būvei būvniecības procesā paredzētā un būvniecības dokumentos noteiktā būves dominējošā izmantošana (klasifikācijas kods ar četrām zīmēm)) arī tad, ja būvē esošajām telpu grupām ir dažādi lietošanas veidi. Lai vieglāk varētu noteikt ēkas galveno lietošanas veidu, būvju klasifikācijā ir dots skaidrojums, kādas ēkas ietilpst konkrētajā četru zīmju klasifikācijas kodā. Tā klasifikācijas kodā 1252 </w:t>
            </w:r>
            <w:r w:rsidR="00526626">
              <w:t>“</w:t>
            </w:r>
            <w:r w:rsidR="00A5502C">
              <w:t>Noliktavas, rezervuāri, bunkuri un silosi</w:t>
            </w:r>
            <w:r w:rsidR="00526626">
              <w:t>”</w:t>
            </w:r>
            <w:r w:rsidR="00A5502C">
              <w:t xml:space="preserve"> ietilpst apjumtas ēkas un telpu grupas, kas tiek izmantotas kā noliktavas un pilda uzglabāšanas funkcijas, piemēram, ūdens, naftas, gāzes, ķīmisko vielu un radioaktīvo atkritumu rezervuāru ēkas, bunkuri un silosi, saldētavas, sašķidrinātas gāzes spiedtvertnes un citas specializētās noliktavu ēkas. Tikai šādas ēkas ir uzskatāmas par noliktavu ēkām kā trešās grupas ēkas. Paskaidrojam, ka būvju klasifikācijā ir lietots arī termins “palīgēkas”, kurā ietilpst pie dzīvojamām mājām un nedzīvojamām ēkām uzbūvētas saimniecības ēkas, individuālās garāžas, siltumnīcas, pagrabi, nojumes, tualetes u. tml. ēkas (klasifikācijas kods 1274 Citas, iepriekš neklasificētas, ēkas, tipu grupa 127402 Palīgēkas). Malkas noliktava </w:t>
            </w:r>
            <w:r w:rsidR="00A5502C" w:rsidRPr="00EB5A4B">
              <w:t xml:space="preserve">Ministru kabineta 2014.gada 19.augusta noteikumu Nr.500 “Vispārīgie būvnoteikumi” </w:t>
            </w:r>
            <w:r w:rsidR="00A5502C">
              <w:t xml:space="preserve">un Būvju klasifikācijas izpratnē ir palīgēka, līdz ar to malkas noliktava nav trešās grupas noliktavas ēka, kurā paredzēta ugunsslodze virs 600 MJ/m2. Vēršam uzmanību, ka </w:t>
            </w:r>
            <w:r w:rsidR="00A5502C" w:rsidRPr="00EB5A4B">
              <w:t xml:space="preserve">Ministru kabineta 2014.gada 19.augusta noteikumu Nr.500 “Vispārīgie būvnoteikumi” </w:t>
            </w:r>
            <w:r w:rsidR="00A5502C">
              <w:t>1.pielikumā kritērijs par ugunsslodzi nav norādīts pie pirmās grupas ēkām. Kā trešās grupas ēka ir noliktavas ēka, kurā paredzēta ugunsslodze virs 600 MJ/m</w:t>
            </w:r>
            <w:r w:rsidR="00A5502C" w:rsidRPr="00526626">
              <w:rPr>
                <w:vertAlign w:val="superscript"/>
              </w:rPr>
              <w:t>2</w:t>
            </w:r>
            <w:r w:rsidR="00A5502C">
              <w:t xml:space="preserve"> vai kuras kopējā platība ir lielāka par 2000 m</w:t>
            </w:r>
            <w:r w:rsidR="00A5502C" w:rsidRPr="00526626">
              <w:rPr>
                <w:vertAlign w:val="superscript"/>
              </w:rPr>
              <w:t>2</w:t>
            </w:r>
            <w:r w:rsidR="00A5502C">
              <w:t>. Līdz ar to, lai noteiktu, vai noliktavas ēka ir trešās grupas ēka, ir jāizpildās vienam no nosacījumiem</w:t>
            </w:r>
            <w:r w:rsidR="00B51F93" w:rsidRPr="00EB5A4B">
              <w:t>;</w:t>
            </w:r>
          </w:p>
          <w:p w14:paraId="1D329F54" w14:textId="77777777" w:rsidR="00B51F93" w:rsidRPr="00EB5A4B" w:rsidRDefault="00B51F93" w:rsidP="00295027">
            <w:pPr>
              <w:tabs>
                <w:tab w:val="left" w:pos="750"/>
              </w:tabs>
              <w:contextualSpacing/>
              <w:jc w:val="both"/>
            </w:pPr>
          </w:p>
          <w:p w14:paraId="26FD2FE3" w14:textId="4F34D744" w:rsidR="00B51F93" w:rsidRDefault="00B51F93" w:rsidP="00295027">
            <w:pPr>
              <w:tabs>
                <w:tab w:val="left" w:pos="750"/>
              </w:tabs>
              <w:contextualSpacing/>
              <w:jc w:val="both"/>
            </w:pPr>
            <w:r w:rsidRPr="00EB5A4B">
              <w:t>[5] </w:t>
            </w:r>
            <w:r w:rsidR="00333227" w:rsidRPr="00EB5A4B">
              <w:t>Ministru kabineta 2014.gada 19.augusta noteikumu Nr.500 “Vispārīgie būvnoteikumi” 1.pielikuma 1.sadaļas “Ēku iedalījums grupās” 4.</w:t>
            </w:r>
            <w:r w:rsidR="00643951">
              <w:t>rindā</w:t>
            </w:r>
            <w:r w:rsidR="00643951" w:rsidRPr="00EB5A4B">
              <w:t xml:space="preserve"> </w:t>
            </w:r>
            <w:r w:rsidR="00333227" w:rsidRPr="00EB5A4B">
              <w:t xml:space="preserve">regulējums precizēts, lai tas būtu attiecināms uz visa veida rezervuāriem, paredzot </w:t>
            </w:r>
            <w:r w:rsidR="00333227" w:rsidRPr="00EB5A4B">
              <w:lastRenderedPageBreak/>
              <w:t>ierobežojumus tikai attiecībās uz rezervuāriem bīstamām ķīmiskām vielām. Līdzīgi arī precizēts regulējums attiecībā uz ēku iedalījumu pēc jaudas – regulējums tiek attiecināts uz visa veida transformatoru apakšstaciju ēkām</w:t>
            </w:r>
            <w:r w:rsidR="00AF47E8">
              <w:t xml:space="preserve"> (sk. plānotās izmaiņas </w:t>
            </w:r>
            <w:r w:rsidR="00AF47E8" w:rsidRPr="00061554">
              <w:t xml:space="preserve">Ministru kabineta 2014.gada 19.augusta noteikumu Nr.500 “Vispārīgie būvnoteikumi” 1. pielikuma </w:t>
            </w:r>
            <w:r w:rsidR="00AF47E8">
              <w:t>1</w:t>
            </w:r>
            <w:r w:rsidR="00AF47E8" w:rsidRPr="00061554">
              <w:t xml:space="preserve">. </w:t>
            </w:r>
            <w:r w:rsidR="0019259F" w:rsidRPr="0019259F">
              <w:t>2.1.2.</w:t>
            </w:r>
            <w:r w:rsidR="0019259F">
              <w:t xml:space="preserve"> un </w:t>
            </w:r>
            <w:r w:rsidR="0019259F" w:rsidRPr="0019259F">
              <w:t>2.2.8.</w:t>
            </w:r>
            <w:r w:rsidR="0019259F">
              <w:t>apakšpunktu</w:t>
            </w:r>
            <w:r w:rsidR="00AF47E8">
              <w:t>)</w:t>
            </w:r>
            <w:r w:rsidR="00AF47E8" w:rsidRPr="00EB5A4B">
              <w:t>.</w:t>
            </w:r>
          </w:p>
          <w:p w14:paraId="59C1C340" w14:textId="77777777" w:rsidR="00AF47E8" w:rsidRPr="00EB5A4B" w:rsidRDefault="00AF47E8" w:rsidP="00295027">
            <w:pPr>
              <w:tabs>
                <w:tab w:val="left" w:pos="750"/>
              </w:tabs>
              <w:contextualSpacing/>
              <w:jc w:val="both"/>
            </w:pPr>
          </w:p>
          <w:p w14:paraId="04268D59" w14:textId="0B1027E5" w:rsidR="00333227" w:rsidRPr="00EB5A4B" w:rsidRDefault="0093312E" w:rsidP="00295027">
            <w:pPr>
              <w:tabs>
                <w:tab w:val="left" w:pos="750"/>
              </w:tabs>
              <w:contextualSpacing/>
              <w:jc w:val="both"/>
            </w:pPr>
            <w:r>
              <w:t>Norādāms</w:t>
            </w:r>
            <w:r w:rsidR="00333227" w:rsidRPr="00EB5A4B">
              <w:t>, ka</w:t>
            </w:r>
            <w:r>
              <w:t>,</w:t>
            </w:r>
            <w:r w:rsidR="00333227" w:rsidRPr="00EB5A4B">
              <w:t xml:space="preserve"> lai noteiktu, vai ēka pieder pie konkrētās grupas, jābūt spēkā vienai no minētajām klasifikācijas pazīmēm.</w:t>
            </w:r>
          </w:p>
          <w:p w14:paraId="3AFBE064" w14:textId="505662B0" w:rsidR="00333227" w:rsidRPr="00EB5A4B" w:rsidRDefault="00333227" w:rsidP="00295027">
            <w:pPr>
              <w:tabs>
                <w:tab w:val="left" w:pos="750"/>
              </w:tabs>
              <w:contextualSpacing/>
              <w:jc w:val="both"/>
            </w:pPr>
          </w:p>
          <w:p w14:paraId="1D14D919" w14:textId="4ABBDCF5" w:rsidR="0098370A" w:rsidRPr="00EB5A4B" w:rsidRDefault="0098370A" w:rsidP="00295027">
            <w:pPr>
              <w:tabs>
                <w:tab w:val="left" w:pos="750"/>
              </w:tabs>
              <w:contextualSpacing/>
              <w:jc w:val="both"/>
            </w:pPr>
            <w:r w:rsidRPr="00EB5A4B">
              <w:t xml:space="preserve">[6] Pārskatot Ministru kabineta 2014.gada 19.augusta noteikumu Nr.500 “Vispārīgie būvnoteikumi” 1.pielikuma 2.sadaļu “Inženierbūvju iedalījums grupās”, autoceļu un ielu inženierbūves tiek kvalificētas vienuviet. </w:t>
            </w:r>
            <w:r w:rsidR="0090423B" w:rsidRPr="00EB5A4B">
              <w:t xml:space="preserve">Papildus, ņemot vērā potenciālo sarežģītības pakāpi un iespējamo ietekmi uz cilvēku dzīvību, </w:t>
            </w:r>
            <w:r w:rsidR="00643951">
              <w:t>precizēti</w:t>
            </w:r>
            <w:r w:rsidR="00643951" w:rsidRPr="00EB5A4B">
              <w:t xml:space="preserve"> </w:t>
            </w:r>
            <w:r w:rsidR="0090423B" w:rsidRPr="00EB5A4B">
              <w:t>I un III grupas tiltu laidu un garuma iedalījuma kritēriji</w:t>
            </w:r>
            <w:r w:rsidR="00AF47E8">
              <w:t xml:space="preserve"> (sk. plānotās izmaiņas </w:t>
            </w:r>
            <w:r w:rsidR="00AF47E8" w:rsidRPr="00061554">
              <w:t xml:space="preserve">Ministru kabineta </w:t>
            </w:r>
            <w:proofErr w:type="gramStart"/>
            <w:r w:rsidR="00AF47E8" w:rsidRPr="00061554">
              <w:t>2014.gada</w:t>
            </w:r>
            <w:proofErr w:type="gramEnd"/>
            <w:r w:rsidR="00AF47E8" w:rsidRPr="00061554">
              <w:t xml:space="preserve"> 19.augusta noteikumu Nr.500 “Vispārīgie būvnoteikumi” 1. pielikuma </w:t>
            </w:r>
            <w:r w:rsidR="0019259F" w:rsidRPr="0019259F">
              <w:t>3.1.11.</w:t>
            </w:r>
            <w:r w:rsidR="0019259F">
              <w:t xml:space="preserve">, </w:t>
            </w:r>
            <w:r w:rsidR="0019259F" w:rsidRPr="0019259F">
              <w:t>3.1.12.</w:t>
            </w:r>
            <w:r w:rsidR="004D41A6">
              <w:t xml:space="preserve">, 3.2.25. un </w:t>
            </w:r>
            <w:r w:rsidR="004C0A95" w:rsidRPr="004C0A95">
              <w:t>3.2.</w:t>
            </w:r>
            <w:r w:rsidR="004D41A6">
              <w:t>26</w:t>
            </w:r>
            <w:r w:rsidR="004C0A95" w:rsidRPr="004C0A95">
              <w:t>.</w:t>
            </w:r>
            <w:r w:rsidR="004C0A95">
              <w:t xml:space="preserve"> apakšpunktu</w:t>
            </w:r>
            <w:r w:rsidR="00AF47E8">
              <w:t>)</w:t>
            </w:r>
            <w:r w:rsidR="009B6F8E">
              <w:t>.</w:t>
            </w:r>
            <w:r w:rsidR="004D41A6">
              <w:t xml:space="preserve"> Par pamatu tiltu dalījumam pēc grupas tika izmantos arī A.Paeglīša sastādītais mācību metodiskais līdzeklis “Tiltu projektēšana, būvniecības un ekspluatācija”, kura tilti ar garumu zem 25 m ir uzskatāmi par maziem tiltiem.</w:t>
            </w:r>
            <w:r w:rsidR="009B6F8E">
              <w:t xml:space="preserve"> Jāatzīmē arī, ka p</w:t>
            </w:r>
            <w:r w:rsidR="009B6F8E" w:rsidRPr="009B6F8E">
              <w:t>ar gājēju un velosipēdistu tiltiem ir uzskatāmi ar tādi tilti, kuri ir uzskatāmi par dabas taku infrastruktūras sastāvdaļu. Šīs inženierbūves ar noteiktiem parametriem (līdz 10 m garumam) jau šobrīd ir uzskatāmas par I grupas inženierbūvēm. Regulējuma piemērošanas praksē nav konstatēti gadījumi, kas liecinātu ka šajā aspektā būtu jāparedz vēl kādi papildus ierobežojumi, bez tiem kas jau ir paredzēti</w:t>
            </w:r>
            <w:r w:rsidR="004D41A6">
              <w:t xml:space="preserve">. Papildus jāatzīmē, ka tilta garums ir </w:t>
            </w:r>
            <w:r w:rsidR="004D41A6" w:rsidRPr="004D41A6">
              <w:t>virsbūves maksimālo garumu. Parasti tilta garumu mēra pa klāja ass līniju no viena gala līdz otram starp tilta šuvēm</w:t>
            </w:r>
            <w:r w:rsidR="004D41A6">
              <w:t xml:space="preserve"> (laidumu summa)</w:t>
            </w:r>
            <w:r w:rsidR="004D41A6" w:rsidRPr="004D41A6">
              <w:t>.</w:t>
            </w:r>
          </w:p>
          <w:p w14:paraId="3A1C6292" w14:textId="6DFE3F25" w:rsidR="0090423B" w:rsidRPr="00EB5A4B" w:rsidRDefault="0090423B" w:rsidP="00295027">
            <w:pPr>
              <w:tabs>
                <w:tab w:val="left" w:pos="750"/>
              </w:tabs>
              <w:contextualSpacing/>
              <w:jc w:val="both"/>
            </w:pPr>
          </w:p>
          <w:p w14:paraId="1FEBD17E" w14:textId="080CC494" w:rsidR="0090423B" w:rsidRPr="00EB5A4B" w:rsidRDefault="0090423B" w:rsidP="00295027">
            <w:pPr>
              <w:tabs>
                <w:tab w:val="left" w:pos="750"/>
              </w:tabs>
              <w:contextualSpacing/>
              <w:jc w:val="both"/>
            </w:pPr>
            <w:r w:rsidRPr="00EB5A4B">
              <w:t xml:space="preserve">[6] Ņemot vērā, ka kā I grupas </w:t>
            </w:r>
            <w:r w:rsidR="006A1EAE">
              <w:t>inženier</w:t>
            </w:r>
            <w:r w:rsidRPr="00EB5A4B">
              <w:t xml:space="preserve">būve pie ielām ir ietverti satiksmes organizācijas un kontroles tehniskie līdzekļi, dzelzceļa satiksmes organizācijas un kontroles tehniskie līdzekļi </w:t>
            </w:r>
            <w:r w:rsidR="006A1EAE">
              <w:t xml:space="preserve">arī </w:t>
            </w:r>
            <w:r w:rsidRPr="00EB5A4B">
              <w:t xml:space="preserve">tiek noteikti kā I grupas attiecīgā </w:t>
            </w:r>
            <w:r w:rsidR="006A1EAE">
              <w:t>veida</w:t>
            </w:r>
            <w:r w:rsidR="006A1EAE" w:rsidRPr="00EB5A4B">
              <w:t xml:space="preserve"> </w:t>
            </w:r>
            <w:r w:rsidRPr="00EB5A4B">
              <w:t>inženierbūves</w:t>
            </w:r>
            <w:r w:rsidR="00AF47E8">
              <w:t xml:space="preserve"> </w:t>
            </w:r>
            <w:r w:rsidR="00680BAD">
              <w:t>(</w:t>
            </w:r>
            <w:r w:rsidR="00680BAD" w:rsidRPr="00680BAD">
              <w:t>kopnes</w:t>
            </w:r>
            <w:r w:rsidR="00680BAD">
              <w:t>,</w:t>
            </w:r>
            <w:r w:rsidR="00680BAD" w:rsidRPr="00680BAD">
              <w:t xml:space="preserve"> konsoles</w:t>
            </w:r>
            <w:r w:rsidR="00680BAD">
              <w:t xml:space="preserve">, luksofori u.tml., nevis ceļa zīmes, tai skaitā horizontālais marķējums) </w:t>
            </w:r>
            <w:r w:rsidR="00AF47E8">
              <w:t xml:space="preserve">(sk. plānotās izmaiņas </w:t>
            </w:r>
            <w:r w:rsidR="00AF47E8" w:rsidRPr="00061554">
              <w:t xml:space="preserve">Ministru kabineta 2014.gada 19.augusta noteikumu Nr.500 “Vispārīgie būvnoteikumi” 1. pielikuma </w:t>
            </w:r>
            <w:r w:rsidR="004C0A95" w:rsidRPr="004C0A95">
              <w:t>3.1.2</w:t>
            </w:r>
            <w:r w:rsidR="00526626">
              <w:t>6</w:t>
            </w:r>
            <w:r w:rsidR="004C0A95" w:rsidRPr="004C0A95">
              <w:t>.</w:t>
            </w:r>
            <w:r w:rsidR="004C0A95">
              <w:t>apakšpunktu</w:t>
            </w:r>
            <w:r w:rsidR="00AF47E8">
              <w:t>)</w:t>
            </w:r>
            <w:r w:rsidRPr="00EB5A4B">
              <w:t>;</w:t>
            </w:r>
          </w:p>
          <w:p w14:paraId="3E2A598A" w14:textId="77777777" w:rsidR="0090423B" w:rsidRPr="00EB5A4B" w:rsidRDefault="0090423B" w:rsidP="00295027">
            <w:pPr>
              <w:tabs>
                <w:tab w:val="left" w:pos="750"/>
              </w:tabs>
              <w:contextualSpacing/>
              <w:jc w:val="both"/>
            </w:pPr>
          </w:p>
          <w:p w14:paraId="42DDC895" w14:textId="06BDC859" w:rsidR="00333227" w:rsidRPr="00EB5A4B" w:rsidRDefault="0090423B" w:rsidP="00295027">
            <w:pPr>
              <w:tabs>
                <w:tab w:val="left" w:pos="750"/>
              </w:tabs>
              <w:contextualSpacing/>
              <w:jc w:val="both"/>
            </w:pPr>
            <w:r w:rsidRPr="00EB5A4B">
              <w:t>[7] </w:t>
            </w:r>
            <w:r w:rsidR="00900A67" w:rsidRPr="00EB5A4B">
              <w:t xml:space="preserve">Elektronisko sakaru I inženierbūves ir papildinātas ar stabiem, torņiem un mastiem līdz 10 m augstumam </w:t>
            </w:r>
            <w:r w:rsidR="00900A67" w:rsidRPr="00EB5A4B">
              <w:lastRenderedPageBreak/>
              <w:t>(augstuma ierobežojums saskan ar citu līdzīgu objektu augstuma ierobežojumiem)</w:t>
            </w:r>
            <w:r w:rsidR="001021E0" w:rsidRPr="00EB5A4B">
              <w:t>. Tāpat, ievērojot zemo sarežģītības pakāpi un iespējamo ietekmi uz cilvēku dzīvību par I grupas inženierbūvi ir plānots noteikt elektronisko sakaru ārējos inženiertīklus, tai skaitā to piederumus (piemēram, sadales skapis, iekārtu skapji un konteineri, kas nav ēkas)</w:t>
            </w:r>
            <w:r w:rsidR="00A14CFC">
              <w:t xml:space="preserve"> (sk. plānotās izmaiņas </w:t>
            </w:r>
            <w:r w:rsidR="00A14CFC" w:rsidRPr="00061554">
              <w:t xml:space="preserve">Ministru kabineta </w:t>
            </w:r>
            <w:proofErr w:type="gramStart"/>
            <w:r w:rsidR="00A14CFC" w:rsidRPr="00061554">
              <w:t>2014.gada</w:t>
            </w:r>
            <w:proofErr w:type="gramEnd"/>
            <w:r w:rsidR="00A14CFC" w:rsidRPr="00061554">
              <w:t xml:space="preserve"> 19.augusta noteikumu Nr.500 “Vispārīgie būvnoteikumi” 1. pielikuma </w:t>
            </w:r>
            <w:r w:rsidR="004C0A95" w:rsidRPr="004C0A95">
              <w:t>3.1.9.</w:t>
            </w:r>
            <w:r w:rsidR="004C0A95">
              <w:t>apakšpunktu</w:t>
            </w:r>
            <w:r w:rsidR="00A14CFC">
              <w:t>)</w:t>
            </w:r>
            <w:r w:rsidR="001021E0" w:rsidRPr="00EB5A4B">
              <w:t xml:space="preserve">. </w:t>
            </w:r>
            <w:r w:rsidR="00641AF7" w:rsidRPr="00EB5A4B">
              <w:t xml:space="preserve">Līdzīgi tas attiecas arī uz plānotajām izmaiņām grupu dalījumā attiecībā uz I grupas </w:t>
            </w:r>
            <w:r w:rsidR="005F45CD" w:rsidRPr="00EB5A4B">
              <w:t>e</w:t>
            </w:r>
            <w:r w:rsidR="00641AF7" w:rsidRPr="00EB5A4B">
              <w:t>nerģijas ražošanas, glabāšanas, pārvades un sadales, ostu hidrotehnisk</w:t>
            </w:r>
            <w:r w:rsidR="005F45CD" w:rsidRPr="00EB5A4B">
              <w:t>ajām</w:t>
            </w:r>
            <w:r w:rsidR="00641AF7" w:rsidRPr="00EB5A4B">
              <w:t xml:space="preserve"> un cit</w:t>
            </w:r>
            <w:r w:rsidR="005F45CD" w:rsidRPr="00EB5A4B">
              <w:t>iem</w:t>
            </w:r>
            <w:r w:rsidR="00641AF7" w:rsidRPr="00EB5A4B">
              <w:t xml:space="preserve"> atsevišķi neklasificēt</w:t>
            </w:r>
            <w:r w:rsidR="005F45CD" w:rsidRPr="00EB5A4B">
              <w:t>iem ārējiem inženiertīkliem</w:t>
            </w:r>
            <w:r w:rsidR="00A14CFC">
              <w:t xml:space="preserve"> (sk.</w:t>
            </w:r>
            <w:r w:rsidR="004C0A95">
              <w:t xml:space="preserve">, piemēram, </w:t>
            </w:r>
            <w:r w:rsidR="00A14CFC">
              <w:t xml:space="preserve">plānotās izmaiņas </w:t>
            </w:r>
            <w:r w:rsidR="00A14CFC" w:rsidRPr="00061554">
              <w:t xml:space="preserve">Ministru kabineta 2014.gada 19.augusta noteikumu Nr.500 “Vispārīgie būvnoteikumi” 1. pielikuma </w:t>
            </w:r>
            <w:r w:rsidR="004C0A95" w:rsidRPr="004C0A95">
              <w:t>3.1.7.</w:t>
            </w:r>
            <w:r w:rsidR="004C0A95">
              <w:t>apakšpunktu</w:t>
            </w:r>
            <w:r w:rsidR="00A14CFC">
              <w:t>)</w:t>
            </w:r>
            <w:r w:rsidR="00A14CFC" w:rsidRPr="00EB5A4B">
              <w:t>;</w:t>
            </w:r>
            <w:r w:rsidR="00641AF7" w:rsidRPr="00EB5A4B">
              <w:t xml:space="preserve">. </w:t>
            </w:r>
            <w:r w:rsidR="001021E0" w:rsidRPr="00EB5A4B">
              <w:t>Jāatzīmē</w:t>
            </w:r>
            <w:r w:rsidR="00641AF7" w:rsidRPr="00EB5A4B">
              <w:t xml:space="preserve"> arī</w:t>
            </w:r>
            <w:r w:rsidR="001021E0" w:rsidRPr="00EB5A4B">
              <w:t>, ka raidstaciju iekārtas un antenas uz kādas citas būves pašas par sevi nav uzskatāmas par būvēm, bet piederumiem vai kustamām mantām atkarībā no konkrētā gadījuma</w:t>
            </w:r>
            <w:r w:rsidR="00AD435E">
              <w:t>. Papildus jānorāda, ka noteikumu projektā ar vārdiem “</w:t>
            </w:r>
            <w:r w:rsidR="00AD435E" w:rsidRPr="00AD435E">
              <w:t>kanalizācijas ārējie inženiertīkli</w:t>
            </w:r>
            <w:r w:rsidR="00AD435E">
              <w:t>” tiek apzīmēta gan sadzīves, gan lietu kanalizācijas ārējie inženiertīkli</w:t>
            </w:r>
            <w:r w:rsidR="001021E0" w:rsidRPr="00EB5A4B">
              <w:t>;</w:t>
            </w:r>
          </w:p>
          <w:p w14:paraId="23F00296" w14:textId="77777777" w:rsidR="001021E0" w:rsidRPr="00EB5A4B" w:rsidRDefault="001021E0" w:rsidP="00295027">
            <w:pPr>
              <w:tabs>
                <w:tab w:val="left" w:pos="750"/>
              </w:tabs>
              <w:contextualSpacing/>
              <w:jc w:val="both"/>
            </w:pPr>
          </w:p>
          <w:p w14:paraId="72FF83B6" w14:textId="2633D7B9" w:rsidR="001021E0" w:rsidRPr="00EB5A4B" w:rsidRDefault="001021E0" w:rsidP="00295027">
            <w:pPr>
              <w:tabs>
                <w:tab w:val="left" w:pos="750"/>
              </w:tabs>
              <w:contextualSpacing/>
              <w:jc w:val="both"/>
            </w:pPr>
            <w:r w:rsidRPr="00EB5A4B">
              <w:t xml:space="preserve">[8] Ņemot vērā potenciālo negatīvo ietekmi uz vidi, par III grupas hidrotehnisko būvi ir noteikti dambji, aizsprosti u. tml. </w:t>
            </w:r>
            <w:r w:rsidR="00526626" w:rsidRPr="00526626">
              <w:t xml:space="preserve">ūdensteču un ūdenstilpju krasta nostiprinājumi un krastmalas, ja ūdens dziļums lielāks par 6 m </w:t>
            </w:r>
            <w:r w:rsidR="00D0291E">
              <w:t xml:space="preserve">(sk. plānotās izmaiņas </w:t>
            </w:r>
            <w:r w:rsidR="00D0291E" w:rsidRPr="00061554">
              <w:t xml:space="preserve">Ministru kabineta </w:t>
            </w:r>
            <w:proofErr w:type="gramStart"/>
            <w:r w:rsidR="00D0291E" w:rsidRPr="00061554">
              <w:t>2014.gada</w:t>
            </w:r>
            <w:proofErr w:type="gramEnd"/>
            <w:r w:rsidR="00D0291E" w:rsidRPr="00061554">
              <w:t xml:space="preserve"> 19.augusta noteikumu Nr.500 “Vispārīgie būvnoteikumi” 1. pielikuma </w:t>
            </w:r>
            <w:r w:rsidR="004C0A95" w:rsidRPr="004C0A95">
              <w:t>3.2.</w:t>
            </w:r>
            <w:r w:rsidR="00B62B09">
              <w:t>1</w:t>
            </w:r>
            <w:r w:rsidR="00F4625A">
              <w:t>0</w:t>
            </w:r>
            <w:r w:rsidR="004C0A95" w:rsidRPr="004C0A95">
              <w:t>.</w:t>
            </w:r>
            <w:r w:rsidR="004C0A95">
              <w:t>apakšpunktu</w:t>
            </w:r>
            <w:r w:rsidR="00D0291E">
              <w:t>)</w:t>
            </w:r>
            <w:r w:rsidR="00D0291E" w:rsidRPr="00EB5A4B">
              <w:t>;</w:t>
            </w:r>
            <w:r w:rsidR="00641AF7" w:rsidRPr="00EB5A4B">
              <w:t xml:space="preserve">. Līdzīgi tas attiecas arī uz plānotajām izmaiņām grupu dalījumā attiecībās uz III grupas </w:t>
            </w:r>
            <w:r w:rsidR="004A3D16">
              <w:t>e</w:t>
            </w:r>
            <w:r w:rsidR="004A3D16" w:rsidRPr="00EB5A4B">
              <w:t xml:space="preserve">nerģijas </w:t>
            </w:r>
            <w:r w:rsidR="00641AF7" w:rsidRPr="00EB5A4B">
              <w:t>ražošanas, glabāšanas, pārvades un sadales, ostu hidrotehniskās un citas atsevišķi neklasificētas inženierbūves</w:t>
            </w:r>
            <w:r w:rsidR="00D0291E">
              <w:t xml:space="preserve"> (sk., piemēram, plānotās izmaiņas </w:t>
            </w:r>
            <w:r w:rsidR="00D0291E" w:rsidRPr="00061554">
              <w:t xml:space="preserve">Ministru kabineta 2014.gada 19.augusta noteikumu Nr.500 “Vispārīgie būvnoteikumi” 1. pielikuma </w:t>
            </w:r>
            <w:r w:rsidR="004C0A95" w:rsidRPr="004C0A95">
              <w:t>3.2.</w:t>
            </w:r>
            <w:r w:rsidR="00F4625A">
              <w:t>18</w:t>
            </w:r>
            <w:r w:rsidR="004C0A95" w:rsidRPr="004C0A95">
              <w:t>.</w:t>
            </w:r>
            <w:r w:rsidR="004C0A95">
              <w:t>apakšpunktu</w:t>
            </w:r>
            <w:r w:rsidR="00D0291E">
              <w:t>)</w:t>
            </w:r>
            <w:r w:rsidR="002C31E8">
              <w:t xml:space="preserve">. Jāatzīmē, ka kā III grupas inženierbūve ir paredzētas tikai </w:t>
            </w:r>
            <w:r w:rsidR="002C31E8" w:rsidRPr="002C31E8">
              <w:t xml:space="preserve">kanalizācijas notekūdeņu attīrīšanas </w:t>
            </w:r>
            <w:r w:rsidR="002C31E8">
              <w:t xml:space="preserve">un pārsūknēšanas </w:t>
            </w:r>
            <w:r w:rsidR="002C31E8" w:rsidRPr="002C31E8">
              <w:t>inženierbūves ar jaudu virs 300 m</w:t>
            </w:r>
            <w:r w:rsidR="002C31E8" w:rsidRPr="002C31E8">
              <w:rPr>
                <w:vertAlign w:val="superscript"/>
              </w:rPr>
              <w:t>3</w:t>
            </w:r>
            <w:r w:rsidR="002C31E8" w:rsidRPr="002C31E8">
              <w:t>/diennaktī</w:t>
            </w:r>
            <w:r w:rsidR="002C31E8">
              <w:t>. Tas saistīts ar to, ka esošais atbilstošais parametrs attiecās arī uz mazākām, piemēram, ciemu notekūdeņu attrīšanas un pārsūknēšanas inženierbūvēm, kuras pēc sava rakstura nebūtu uzākstāmas par sarežģītām (vadoties no funkcijas, atrašanās vietas un konstruktīvās sarežģītības)</w:t>
            </w:r>
            <w:r w:rsidR="00D0291E" w:rsidRPr="00EB5A4B">
              <w:t>;</w:t>
            </w:r>
          </w:p>
          <w:p w14:paraId="1C42DDAF" w14:textId="77777777" w:rsidR="001021E0" w:rsidRPr="00EB5A4B" w:rsidRDefault="001021E0" w:rsidP="00295027">
            <w:pPr>
              <w:tabs>
                <w:tab w:val="left" w:pos="750"/>
              </w:tabs>
              <w:contextualSpacing/>
              <w:jc w:val="both"/>
            </w:pPr>
          </w:p>
          <w:p w14:paraId="65E9EEB6" w14:textId="10D644B6" w:rsidR="005F45CD" w:rsidRPr="00EB5A4B" w:rsidRDefault="005F45CD" w:rsidP="00295027">
            <w:pPr>
              <w:tabs>
                <w:tab w:val="left" w:pos="750"/>
              </w:tabs>
              <w:contextualSpacing/>
              <w:jc w:val="both"/>
            </w:pPr>
            <w:r w:rsidRPr="00EB5A4B">
              <w:t>[</w:t>
            </w:r>
            <w:r w:rsidR="004C0A95">
              <w:t>9</w:t>
            </w:r>
            <w:r w:rsidRPr="00EB5A4B">
              <w:t>] Papildus jānorāda, ka būves nav jāiedala pēc to atrašanās vieta</w:t>
            </w:r>
            <w:r w:rsidR="001208CD">
              <w:t>s</w:t>
            </w:r>
            <w:r w:rsidRPr="00EB5A4B">
              <w:t>, tas vai atkarībā no vietas ir nepieciešama būvniecības ieceres dokumentācija ir speciālo būvnoteikumu jautājum</w:t>
            </w:r>
            <w:r w:rsidR="001208CD">
              <w:t>s</w:t>
            </w:r>
            <w:r w:rsidRPr="00EB5A4B">
              <w:t>. Ievēro</w:t>
            </w:r>
            <w:r w:rsidR="00A850C0">
              <w:t>jot</w:t>
            </w:r>
            <w:r w:rsidRPr="00EB5A4B">
              <w:t xml:space="preserve"> iepriekš minēto</w:t>
            </w:r>
            <w:r w:rsidR="00A850C0">
              <w:t>,</w:t>
            </w:r>
            <w:r w:rsidRPr="00EB5A4B">
              <w:t xml:space="preserve"> visi atsevišķi labiekārtojuma </w:t>
            </w:r>
            <w:r w:rsidRPr="00EB5A4B">
              <w:lastRenderedPageBreak/>
              <w:t xml:space="preserve">elementi ir uzskatāmi par I grupas inženierbūvi. Vienlaikus ņemot vērā Ministru kabineta </w:t>
            </w:r>
            <w:proofErr w:type="gramStart"/>
            <w:r w:rsidRPr="00EB5A4B">
              <w:t>2017.gada</w:t>
            </w:r>
            <w:proofErr w:type="gramEnd"/>
            <w:r w:rsidRPr="00EB5A4B">
              <w:t xml:space="preserve"> 9.maija noteikumu Nr.253 “Atsevišķu inženierbūvju būvnoteikumi” 7.punkt</w:t>
            </w:r>
            <w:r w:rsidR="00A850C0">
              <w:t>u</w:t>
            </w:r>
            <w:r w:rsidRPr="00EB5A4B">
              <w:t xml:space="preserve"> ir precizēts karoga mastu iedalījums grupās</w:t>
            </w:r>
            <w:r w:rsidR="00D0291E">
              <w:t xml:space="preserve"> (sk.</w:t>
            </w:r>
            <w:r w:rsidR="004C0A95">
              <w:t>, piemēram,</w:t>
            </w:r>
            <w:r w:rsidR="00D0291E">
              <w:t xml:space="preserve"> plānotās izmaiņas </w:t>
            </w:r>
            <w:r w:rsidR="00D0291E" w:rsidRPr="00061554">
              <w:t xml:space="preserve">Ministru kabineta 2014.gada 19.augusta noteikumu Nr.500 “Vispārīgie būvnoteikumi” 1. pielikuma </w:t>
            </w:r>
            <w:r w:rsidR="004C0A95" w:rsidRPr="004C0A95">
              <w:t>3.1.1.</w:t>
            </w:r>
            <w:r w:rsidR="004C0A95">
              <w:t>apakšpunktā</w:t>
            </w:r>
            <w:r w:rsidR="00D0291E">
              <w:t>)</w:t>
            </w:r>
            <w:r w:rsidR="008F04F5">
              <w:t>. Jāatzīmē, ka I grupas inženierbūves “</w:t>
            </w:r>
            <w:r w:rsidR="008F04F5" w:rsidRPr="008F04F5">
              <w:t>sporta laukums ar segumu</w:t>
            </w:r>
            <w:r w:rsidR="008F04F5">
              <w:t>” vai “</w:t>
            </w:r>
            <w:r w:rsidR="008F04F5" w:rsidRPr="008F04F5">
              <w:t>laukums ar segumu</w:t>
            </w:r>
            <w:r w:rsidR="008F04F5">
              <w:t>” sare</w:t>
            </w:r>
            <w:r w:rsidR="00702AC7">
              <w:t>ž</w:t>
            </w:r>
            <w:r w:rsidR="008F04F5">
              <w:t xml:space="preserve">ģītībā nemainās atkarībā no šīs laukuma </w:t>
            </w:r>
            <w:r w:rsidR="00702AC7">
              <w:t xml:space="preserve">platības. Papildus jāatzīmē, ka </w:t>
            </w:r>
            <w:r w:rsidR="00702AC7" w:rsidRPr="00A579BA">
              <w:rPr>
                <w:sz w:val="22"/>
                <w:szCs w:val="22"/>
              </w:rPr>
              <w:t>autostāvviet</w:t>
            </w:r>
            <w:r w:rsidR="00702AC7">
              <w:rPr>
                <w:sz w:val="22"/>
                <w:szCs w:val="22"/>
              </w:rPr>
              <w:t>a</w:t>
            </w:r>
            <w:r w:rsidR="00702AC7" w:rsidRPr="00A579BA">
              <w:rPr>
                <w:sz w:val="22"/>
                <w:szCs w:val="22"/>
              </w:rPr>
              <w:t xml:space="preserve"> </w:t>
            </w:r>
            <w:r w:rsidR="00702AC7">
              <w:t xml:space="preserve">ir uzskatāma par </w:t>
            </w:r>
            <w:r w:rsidR="008F04F5">
              <w:t xml:space="preserve"> </w:t>
            </w:r>
            <w:r w:rsidR="00702AC7" w:rsidRPr="008F04F5">
              <w:t>labiekārtot</w:t>
            </w:r>
            <w:r w:rsidR="00702AC7">
              <w:t>u</w:t>
            </w:r>
            <w:r w:rsidR="00702AC7" w:rsidRPr="008F04F5">
              <w:t xml:space="preserve"> laukum</w:t>
            </w:r>
            <w:r w:rsidR="00702AC7">
              <w:t>u</w:t>
            </w:r>
            <w:r w:rsidR="00702AC7" w:rsidRPr="008F04F5">
              <w:t xml:space="preserve"> ar segumu</w:t>
            </w:r>
            <w:r w:rsidR="00923AE6">
              <w:t>. Tāpat jānorāda, ka apzaļumots laukums nav uzskatāms par laukumu ar segumu</w:t>
            </w:r>
            <w:r w:rsidR="007A20D0">
              <w:t>;</w:t>
            </w:r>
          </w:p>
          <w:p w14:paraId="3C3601D8" w14:textId="080D3B14" w:rsidR="005F45CD" w:rsidRDefault="005F45CD" w:rsidP="00295027">
            <w:pPr>
              <w:tabs>
                <w:tab w:val="left" w:pos="750"/>
              </w:tabs>
              <w:contextualSpacing/>
              <w:jc w:val="both"/>
            </w:pPr>
          </w:p>
          <w:p w14:paraId="77413F51" w14:textId="27838848" w:rsidR="007A20D0" w:rsidRDefault="007A20D0" w:rsidP="007A20D0">
            <w:pPr>
              <w:tabs>
                <w:tab w:val="left" w:pos="750"/>
              </w:tabs>
              <w:contextualSpacing/>
              <w:jc w:val="both"/>
            </w:pPr>
            <w:r>
              <w:t>[1</w:t>
            </w:r>
            <w:r w:rsidR="004C0A95">
              <w:t>0</w:t>
            </w:r>
            <w:r>
              <w:t xml:space="preserve">] Ekonomikas ministrija, iepazīstoties ar ogļūdeņražu izpētes un ieguves nozares praktisko pieredzi, ir secinājusi, ka esošais regulējums rada pārmērīgu administratīvo slogu, kas neveicina komercdarbību. Ņemot vērā problēmjautājumus, ar kuriem ir </w:t>
            </w:r>
            <w:proofErr w:type="spellStart"/>
            <w:r>
              <w:t>saskarušies</w:t>
            </w:r>
            <w:proofErr w:type="spellEnd"/>
            <w:r>
              <w:t xml:space="preserve"> nozares pārstāvji, tika secināts, ka nepieciešams precizēt regulējumu, kas attiecās uz ogļūdeņražu izpēti un ieguvi, tai skaitā pārskatīt ogļūdeņražu ieguves klasifikāciju. Būvniecības likuma 1.panta 3.punkta izpratnē urbumi dažādu resursu ieguvei tiek uzskatīti par būvi. Attiecīgi pēc būvju klasifikatora skaidrojuma, ogļūdeņražu ieguves urbums ir </w:t>
            </w:r>
            <w:proofErr w:type="spellStart"/>
            <w:r>
              <w:t>iežieguves</w:t>
            </w:r>
            <w:proofErr w:type="spellEnd"/>
            <w:r>
              <w:t xml:space="preserve"> būve, kurai nav ēku pazīmju. Ogļūdeņražu ieguves urbumus klasificē kodā – 2301 kā ieguves rūpniecības vai </w:t>
            </w:r>
            <w:proofErr w:type="spellStart"/>
            <w:r>
              <w:t>iežieguves</w:t>
            </w:r>
            <w:proofErr w:type="spellEnd"/>
            <w:r>
              <w:t xml:space="preserve"> būves un tie ietilpst III inženierbūvju grupā kā rūpnieciskās ražošanas būve (ieguves rūpniecības vai </w:t>
            </w:r>
            <w:proofErr w:type="spellStart"/>
            <w:r>
              <w:t>iežieguves</w:t>
            </w:r>
            <w:proofErr w:type="spellEnd"/>
            <w:r>
              <w:t xml:space="preserve"> būve, ķīmiskās ražošanas būve, smagās rūpniecības uzņēmumu būve). Tā kā ogļūdeņražu ieguves urbumi, pēc šī brīža spēkā esošā regulējuma, tiek iedalīti III grupā, ogļūdeņražu nozare</w:t>
            </w:r>
            <w:r w:rsidR="00A850C0">
              <w:t>s</w:t>
            </w:r>
            <w:r>
              <w:t xml:space="preserve"> uzņēmēji sask</w:t>
            </w:r>
            <w:r w:rsidR="002A6676">
              <w:t>ā</w:t>
            </w:r>
            <w:r>
              <w:t xml:space="preserve">rās ar komplicētu būvniecības dokumentācijas pasākumu virknējumu. Noteikumu projekts paredz, ka urbumiem, proti, ogļūdeņražu urbumiem, turpmāk tiks piemērota II grupa. </w:t>
            </w:r>
            <w:r w:rsidR="00A850C0">
              <w:t>Norādāms</w:t>
            </w:r>
            <w:r>
              <w:t xml:space="preserve">, ka saskaņā ar spēkā esošo regulējumu zem kategorijas “urbumi” vēl ietilptu ģeotermālie urbumi. Gatavojot Noteikumu projektu tika vēlreiz pārvērtēta ogļūdeņražu ieguves urbumu un ar to saistītās infrastruktūras sabiedriskā drošība, tai skaitā iespējamās ietekmes uz cilvēku dzīvību, veselību un vidi. Ņemot vērā arī mūsdienu tehnoloģiju un tehnisko paņēmienu attīstību, vērtējot augsto tehniskā aprīkojuma drošību, urbumu izveides tehnoloģiskā sarežģītības pakāpe nav vērtējama kā augsta, attiecīgi nav nepieciešamība piemērot III grupu, urbumus iekļaujot II grupā. Lai samazinātu administratīvo slogu ogļūdeņražu nozarē, attiecīgi nepieciešamas veikt grozījumu </w:t>
            </w:r>
            <w:r w:rsidRPr="00EB5A4B">
              <w:t xml:space="preserve">Ministru kabineta 2014.gada 19.augusta noteikumu Nr.500 “Vispārīgie </w:t>
            </w:r>
            <w:r w:rsidRPr="00EB5A4B">
              <w:lastRenderedPageBreak/>
              <w:t xml:space="preserve">būvnoteikumi” </w:t>
            </w:r>
            <w:r>
              <w:t>1. pielikuma 2. sadaļas “Inženierbūvju iedalījums grupās” 8. rindas, kolonnas “III grupa” 3) punktu, izdarot izņēmumu, proti, papildinot ar vārdiem “izņemot urbumus”</w:t>
            </w:r>
            <w:r w:rsidR="004C0A95">
              <w:t xml:space="preserve"> (sk. </w:t>
            </w:r>
            <w:r w:rsidR="004C0A95" w:rsidRPr="00061554">
              <w:t>Ministru kabineta 2014.gada 19.augusta noteikumu Nr.500 “Vispārīgie būvnoteikumi” 1. pielikuma</w:t>
            </w:r>
            <w:r w:rsidR="004C0A95">
              <w:t xml:space="preserve"> </w:t>
            </w:r>
            <w:r w:rsidR="004C0A95" w:rsidRPr="004C0A95">
              <w:t>3.2.2</w:t>
            </w:r>
            <w:r w:rsidR="00F4625A">
              <w:t>3</w:t>
            </w:r>
            <w:r w:rsidR="004C0A95" w:rsidRPr="004C0A95">
              <w:t>.</w:t>
            </w:r>
            <w:r w:rsidR="004C0A95">
              <w:t>apakšpunktu)</w:t>
            </w:r>
            <w:r>
              <w:t>. Attiecīgi veicot šādu grozījumu, urbumi, tajā skaitā ogļūdeņražu urbumi, turpmāk tiks iedalīti II grupā</w:t>
            </w:r>
            <w:r w:rsidR="004C0A95">
              <w:t xml:space="preserve"> (izņemot ūdens ieguves urbumus un urbumus jūrā)</w:t>
            </w:r>
            <w:r>
              <w:t>. Attiecīgi urbumiem, kas iekļauti II grupā, vairs nebūs nepieciešama būvprojekta ekspertīze.</w:t>
            </w:r>
            <w:r w:rsidR="004C0A95">
              <w:t xml:space="preserve"> </w:t>
            </w:r>
            <w:r w:rsidR="00AC178F">
              <w:t>V</w:t>
            </w:r>
            <w:r w:rsidR="00AC178F" w:rsidRPr="00AC178F">
              <w:t>ārdi “izņemot urbumus” attiecas uz vārdu ko</w:t>
            </w:r>
            <w:r w:rsidR="00AC178F">
              <w:t>p</w:t>
            </w:r>
            <w:r w:rsidR="00AC178F" w:rsidRPr="00AC178F">
              <w:t xml:space="preserve">u “Rūpnieciskās ražošanas būve (ieguves rūpniecības vai </w:t>
            </w:r>
            <w:proofErr w:type="spellStart"/>
            <w:r w:rsidR="00AC178F" w:rsidRPr="00AC178F">
              <w:t>iežieguves</w:t>
            </w:r>
            <w:proofErr w:type="spellEnd"/>
            <w:r w:rsidR="00AC178F" w:rsidRPr="00AC178F">
              <w:t xml:space="preserve"> būve, ķīmiskās ražošanas būve, smagās rūpniecības uzņēmumu būve)”</w:t>
            </w:r>
            <w:r w:rsidR="00AC178F">
              <w:t xml:space="preserve">. </w:t>
            </w:r>
            <w:r w:rsidR="00AC178F" w:rsidRPr="00AC178F">
              <w:t>Jēdziens “urbums” kā būves apzīmējums ir lietots anotācija un noteikumu projektā tā vispārpieņemtajā nozīmē.</w:t>
            </w:r>
            <w:r w:rsidR="00AC178F">
              <w:t xml:space="preserve"> </w:t>
            </w:r>
            <w:r w:rsidR="004C0A95">
              <w:t xml:space="preserve">Jāatzīmē, ka arī izpētes urbumi ir uzskatāmi par būvi Būvniecības likuma izpratnē, neatkarīgi no tās, ka tā ir domāta tikai īslaicīgai lietošanai, tas vai šādu objektu būvdarbiem </w:t>
            </w:r>
            <w:r w:rsidR="00682B23">
              <w:t xml:space="preserve">(izņemot jūrā) </w:t>
            </w:r>
            <w:r w:rsidR="004C0A95">
              <w:t xml:space="preserve">ir nepieciešama būvniecības ieceres dokumentācija ir regulējams </w:t>
            </w:r>
            <w:r w:rsidR="00682B23" w:rsidRPr="00EB5A4B">
              <w:t>Ministru kabineta 2017.gada 9.maija noteikum</w:t>
            </w:r>
            <w:r w:rsidR="00682B23">
              <w:t>os</w:t>
            </w:r>
            <w:r w:rsidR="00682B23" w:rsidRPr="00EB5A4B">
              <w:t xml:space="preserve"> Nr.253 “Atsevišķu inženierbūvju būvnoteikumi</w:t>
            </w:r>
            <w:r w:rsidR="00682B23">
              <w:t>”.</w:t>
            </w:r>
          </w:p>
          <w:p w14:paraId="1B2708B6" w14:textId="77777777" w:rsidR="007A20D0" w:rsidRPr="00EB5A4B" w:rsidRDefault="007A20D0" w:rsidP="00295027">
            <w:pPr>
              <w:tabs>
                <w:tab w:val="left" w:pos="750"/>
              </w:tabs>
              <w:contextualSpacing/>
              <w:jc w:val="both"/>
            </w:pPr>
          </w:p>
          <w:p w14:paraId="7B8646F9" w14:textId="2E84C3E9" w:rsidR="005F45CD" w:rsidRDefault="00D865E4" w:rsidP="00295027">
            <w:pPr>
              <w:tabs>
                <w:tab w:val="left" w:pos="750"/>
              </w:tabs>
              <w:contextualSpacing/>
              <w:jc w:val="both"/>
            </w:pPr>
            <w:r w:rsidRPr="00EB5A4B">
              <w:t xml:space="preserve">Tāpat būtu vēršama uzmanība uz to, ka iekšējo inženiertīklu būvniecībai piemēro attiecīgajos speciālajos būvnoteikumos noteikto būvniecības procesu. Atsevišķie labiekārtojuma elementi, kā arī stacionārie reklāmas un informācijas stendi nav uzskatāmi par kadastra objektiem Nekustamā īpašuma valsts kadastra likuma izpratnē. Šajos noteikumos termini "autoceļš", "ceļš" un "iela" tiek lietoti atbilstoši likumā “Par autoceļiem” un Ceļu satiksmes likumā noteiktajai definīcijai. </w:t>
            </w:r>
            <w:r w:rsidR="001871F2">
              <w:t xml:space="preserve">Jāatzīmē, ka atbilstoši LVS 190-11:2009 “Tilta inspekcija un pārbaude ar slodzi” ceļa pārvads, viadukts, estakāde ir uzākstāmi par tiltu veidiem (sk., piemēram, šī standarta 4.2.apakšpunktu). </w:t>
            </w:r>
            <w:r w:rsidRPr="00EB5A4B">
              <w:t>Ministru kabineta 2017.gada 9.maija noteikumos Nr.253 “Atsevišķu inženierbūvju būvnoteikumi”, līdzīgi kā tas jau ir šobrīd, tiek plānots vienkopus noteikt tos būvdarbus, kuru veikšana</w:t>
            </w:r>
            <w:r w:rsidR="00A850C0">
              <w:t>i</w:t>
            </w:r>
            <w:r w:rsidRPr="00EB5A4B">
              <w:t xml:space="preserve"> nav nepieciešama būvniecības ieceres dokumentācija (piemēram, reklāmas un informācijā stenda ar augstumu līdz 6 m novietošanai un nojaukšanai, šo stendu </w:t>
            </w:r>
            <w:proofErr w:type="spellStart"/>
            <w:r w:rsidRPr="00EB5A4B">
              <w:t>gaisvada</w:t>
            </w:r>
            <w:proofErr w:type="spellEnd"/>
            <w:r w:rsidRPr="00EB5A4B">
              <w:t xml:space="preserve"> elektrības pieslēgumam līdz 5 m garumam ierīkošanai).</w:t>
            </w:r>
          </w:p>
          <w:p w14:paraId="4D7C1EBA" w14:textId="77777777" w:rsidR="00912293" w:rsidRDefault="00912293" w:rsidP="00295027">
            <w:pPr>
              <w:tabs>
                <w:tab w:val="left" w:pos="750"/>
              </w:tabs>
              <w:contextualSpacing/>
              <w:jc w:val="both"/>
            </w:pPr>
          </w:p>
          <w:p w14:paraId="6BA0FFA1" w14:textId="77777777" w:rsidR="00912293" w:rsidRDefault="00912293" w:rsidP="00295027">
            <w:pPr>
              <w:tabs>
                <w:tab w:val="left" w:pos="750"/>
              </w:tabs>
              <w:contextualSpacing/>
              <w:jc w:val="both"/>
            </w:pPr>
            <w:r w:rsidRPr="00912293">
              <w:t xml:space="preserve">Ja būvdarbu veikšanai ir izdota būvatļauja vai akceptēts paskaidrojuma raksts vai apliecinājuma karte un būvniecības administratīvā procesa laikā ar grozījumiem normatīvajos aktos tie mainīta būvniecības ieceres ietvaros būvējamas būves grupa, tad šo būvniecības administratīvo procesu pabeidz atbilstoši uzsāktajam būvniecības procesa </w:t>
            </w:r>
            <w:r w:rsidRPr="00912293">
              <w:lastRenderedPageBreak/>
              <w:t>veidam, kā arī, ja šāda uzsākta būvniecības administratīvā procesa ietvaros būvējas būves grupas tiek mainīta no otrās grupas uz trešo grupu – būvniecības ieceres dokumentācijas vai tās izmaiņu būvekspertīze nav nepieciešama</w:t>
            </w:r>
            <w:r>
              <w:t xml:space="preserve"> (sk. noteikumu projekta 1.1.apakšpunktu).</w:t>
            </w:r>
            <w:r w:rsidR="00DF68AE">
              <w:t xml:space="preserve"> Papildus jānorāda, ka gadījumā, ja būves grupa mainīsies no III trešās grupas un II grupu, tad, piemēram, uzsāktā būvniecības administratīvā procesā arī būvniecības ieceres izmaiņu dokumentācijai nebūs nepieciešama obligātā būvekspertīze.</w:t>
            </w:r>
          </w:p>
          <w:p w14:paraId="15A5565E" w14:textId="77777777" w:rsidR="008F04F5" w:rsidRDefault="008F04F5" w:rsidP="00295027">
            <w:pPr>
              <w:tabs>
                <w:tab w:val="left" w:pos="750"/>
              </w:tabs>
              <w:contextualSpacing/>
              <w:jc w:val="both"/>
            </w:pPr>
          </w:p>
          <w:p w14:paraId="058B2291" w14:textId="7A883ACC" w:rsidR="008F04F5" w:rsidRDefault="008F04F5" w:rsidP="00BF0163">
            <w:pPr>
              <w:tabs>
                <w:tab w:val="left" w:pos="750"/>
              </w:tabs>
              <w:contextualSpacing/>
              <w:jc w:val="both"/>
            </w:pPr>
            <w:r>
              <w:t>[11] </w:t>
            </w:r>
            <w:r w:rsidR="00316811">
              <w:t>Vienlaikus, ņemot vērā praksē radušos jautājumu, jānorāda, ka būvniecības regulējums primāri attiecas uz būvju būvniecību, nevis iekārtu ierīkošanu, uzstādīšanu vai izvietošanu būvē. Ja iekārtas (tai skaitā saules paneļa) funkcionēšanas, ierīkošanas vai izvietošanas nodrošināšanai nav nepieciešams veikt būvdarbus (piemēram, pastiprināt nesošās konstrukcijas, izbūvēt jaunus iekšējos inženiertīklus), tad tas nav būvniecības regulējuma jautājums, bet sabiedriskās kārtības un būvju uzturēšanas jautājums. Savukārt, ja iekārtas funkcionēšanas, ierīkošanas vai izvietošanas nodrošināšanai ir nepieciešams veikt būvdarbus, tad piemērojams būvniecības regulējums atkarībā no plānotajiem būvdarbiem.</w:t>
            </w:r>
            <w:r w:rsidR="00BF0163">
              <w:t xml:space="preserve"> Tāpat </w:t>
            </w:r>
            <w:r w:rsidR="00316811">
              <w:t xml:space="preserve">vēršam uzmanību uz to, ka gadījumā, ja nav piemērojams būvniecības regulējums, ēkas īpašniekam tik un tā ir pienākums ievērot vietējās pašvaldības teritorijas plānojuma, </w:t>
            </w:r>
            <w:proofErr w:type="spellStart"/>
            <w:r w:rsidR="00316811">
              <w:t>lokālpānojuma</w:t>
            </w:r>
            <w:proofErr w:type="spellEnd"/>
            <w:r w:rsidR="00316811">
              <w:t xml:space="preserve"> vai </w:t>
            </w:r>
            <w:proofErr w:type="spellStart"/>
            <w:r w:rsidR="00316811">
              <w:t>detālpānojuma</w:t>
            </w:r>
            <w:proofErr w:type="spellEnd"/>
            <w:r w:rsidR="00316811">
              <w:t xml:space="preserve"> prasības.</w:t>
            </w:r>
            <w:r w:rsidR="00BF0163">
              <w:t xml:space="preserve"> </w:t>
            </w:r>
            <w:r w:rsidR="00316811">
              <w:t xml:space="preserve">Papildus vēršam uzmanību uz to, ka Ministru kabineta </w:t>
            </w:r>
            <w:proofErr w:type="gramStart"/>
            <w:r w:rsidR="00316811">
              <w:t>2014.gada</w:t>
            </w:r>
            <w:proofErr w:type="gramEnd"/>
            <w:r w:rsidR="00316811">
              <w:t xml:space="preserve"> 30.septembra noteikumi Nr.573 “Elektroenerģijas ražošanas, pārvades un sadales būvju būvnoteikumi” un Ministru kabineta 2017.gada 9.maija noteikumi Nr.253 “Atsevišķu inženierbūvju būvnoteikumi” </w:t>
            </w:r>
            <w:r w:rsidR="00BF0163">
              <w:t xml:space="preserve">šobrīd </w:t>
            </w:r>
            <w:r w:rsidR="00316811">
              <w:t>neregulē jautājumus par būvju iekšējā elektroenerģijas inženiertīkla (iekšējā elektroinstalācija) būvdarbiem. Šādu būvju piederumu būvdarbiem nav nepieciešama atļauja no būvvaldes puses. Tādējādi (ja nav nepieciešams veikt būvdarbus, kuru veikšanai ir nepieciešama būvvaldes atļauja, piemēram, pastiprināt nesošās konstrukcijas vai mainīt jumta iesegumu) personai nav nepieciešama būvvaldes atļauja, lai uzstādītu saules paneļus (iekārtas) un ierīkot nepieciešamos iekšējos elektroenerģijas inženiertīklus. Tomēr būtu vēršama uzmanība uz to, ka personai šādu iekārtu gadījumā ir jāievēro Ministru kabineta 2009.gada 11.augusta noteikumu Nr.883 “Noteikumi par atļaujām elektroenerģijas ražošanas jaudu palielināšanai vai jaunu ražošanas iekārtu ieviešanai” prasības un jāsaņem atbilstoša atļauja elektroenerģijas ražošanas jaudu palielināšanai vai jaunu ražošanas iekārtu ieviešanai.</w:t>
            </w:r>
            <w:r w:rsidR="00BF0163">
              <w:t xml:space="preserve"> Papildus jānorāda, ka </w:t>
            </w:r>
            <w:r>
              <w:t>saules paneļu kā energoapgādes objekta būvniecībai</w:t>
            </w:r>
            <w:r w:rsidR="00BF0163">
              <w:t xml:space="preserve"> šobrīd</w:t>
            </w:r>
            <w:r>
              <w:t xml:space="preserve"> </w:t>
            </w:r>
            <w:r>
              <w:lastRenderedPageBreak/>
              <w:t xml:space="preserve">ir jāpiemēro Ministru kabineta 2014.gada 30.septembra noteikumi Nr.573 “Elektroenerģijas ražošanas, pārvades un sadales būvju būvnoteikumi”, kas nosaka elektroenerģijas ražošanas būvju, elektroenerģijas pārvades un sadales būvju  būvniecības procesa kārtību, būvniecības procesā iesaistītās institūcijas un atbildīgos būvspeciālistus. </w:t>
            </w:r>
            <w:r w:rsidR="00BF0163">
              <w:t>Ministru kabineta 2014.gada 30.septembra noteikumu Nr.573 “Elektroenerģijas ražošanas, pārvades un sadales būvju būvnoteikumi”</w:t>
            </w:r>
            <w:r>
              <w:t xml:space="preserve"> 13. un 14.punkts nosaka dokumentu sastāvu kāds jāiesniedz būvvaldē, lai veiktu elektroenerģijas ražošanas būvju, elektroenerģijas pārvades un sadales būvju jaunu būvniecību. Saules paneļi ar jaudu 60 MW ir uzskatāmi par spēkstaciju būvi.</w:t>
            </w:r>
            <w:r w:rsidR="00BF0163">
              <w:t xml:space="preserve"> </w:t>
            </w:r>
            <w:r>
              <w:t>Norādām</w:t>
            </w:r>
            <w:r w:rsidR="00BF0163">
              <w:t xml:space="preserve"> arī</w:t>
            </w:r>
            <w:r>
              <w:t xml:space="preserve">, ka Ministru kabineta 2014.gada 19.augusta noteikumu Nr.500 “Vispārīgie būvnoteikumi” 4.punkts nosaka, ka būves iedala trīs grupās (1.pielikums) atkarībā no būvniecības sarežģītības un iespējamās ietekmes uz vidi. Pirmā ir zemākā, bet trešā ir augstākā grupa. Pirmās grupas būvēm būvniecības process ir vienkāršāks un nav jāizstrādā būvprojekts, savukārt trešās grupas būvēm ir izvirzītas papildus prasības, piemēram, būvprojekta ekspertīzes nepieciešamība. Saskaņā ar </w:t>
            </w:r>
            <w:r w:rsidR="00BF0163">
              <w:t xml:space="preserve">Ministru kabineta 2014.gada 19.augusta noteikumu Nr.500 “Vispārīgie būvnoteikumi” </w:t>
            </w:r>
            <w:r>
              <w:t xml:space="preserve">1.pielikumā </w:t>
            </w:r>
            <w:r w:rsidR="00BF0163">
              <w:t>(spēkā</w:t>
            </w:r>
            <w:r w:rsidR="00BB6B53">
              <w:t xml:space="preserve"> </w:t>
            </w:r>
            <w:r w:rsidR="00BF0163">
              <w:t xml:space="preserve">esošajā redakcijā) </w:t>
            </w:r>
            <w:r>
              <w:t xml:space="preserve">doto būvju iedalījumu grupās kā enerģijas ražošanas, pārvades un sadales būves, kurām piemēro būvniecības procesu ir noteikts, ka trešā grupa ir  spēkstaciju būve ar jaudu virs 20 kW, tai skaitā vēja elektrostacija (vēja parks), līdz ar to saules paneļu parks ar jaudu 60 MW ir </w:t>
            </w:r>
            <w:r w:rsidR="008B2C9D">
              <w:t>III</w:t>
            </w:r>
            <w:r>
              <w:t xml:space="preserve"> grupas inženierbūve.</w:t>
            </w:r>
            <w:r w:rsidR="00BF0163">
              <w:t xml:space="preserve"> Ar noteikumu </w:t>
            </w:r>
            <w:r w:rsidR="00BB6B53">
              <w:t>projektu</w:t>
            </w:r>
            <w:r w:rsidR="00BF0163">
              <w:t xml:space="preserve"> plānotās izmaiņas nemaina </w:t>
            </w:r>
            <w:r w:rsidR="00BB6B53">
              <w:t>iepriekš</w:t>
            </w:r>
            <w:r w:rsidR="00BF0163">
              <w:t xml:space="preserve"> šajā rindkopā norādītu</w:t>
            </w:r>
            <w:r w:rsidR="00514C1E">
              <w:t>;</w:t>
            </w:r>
          </w:p>
          <w:p w14:paraId="0403C90D" w14:textId="77777777" w:rsidR="00514C1E" w:rsidRDefault="00514C1E" w:rsidP="00BF0163">
            <w:pPr>
              <w:tabs>
                <w:tab w:val="left" w:pos="750"/>
              </w:tabs>
              <w:contextualSpacing/>
              <w:jc w:val="both"/>
            </w:pPr>
          </w:p>
          <w:p w14:paraId="6BE415B3" w14:textId="77777777" w:rsidR="00514C1E" w:rsidRDefault="00A00602" w:rsidP="00BF0163">
            <w:pPr>
              <w:tabs>
                <w:tab w:val="left" w:pos="750"/>
              </w:tabs>
              <w:contextualSpacing/>
              <w:jc w:val="both"/>
            </w:pPr>
            <w:r>
              <w:t xml:space="preserve">[12] Ņemot vērā </w:t>
            </w:r>
            <w:r w:rsidRPr="00A00602">
              <w:t>Latvijas Pašvaldību savienība</w:t>
            </w:r>
            <w:r>
              <w:t xml:space="preserve">s priekšlikumu, I grupas inženierbūves ir papildinātas ar jaunu inženierbūvi </w:t>
            </w:r>
            <w:r w:rsidRPr="00A00602">
              <w:t>vēja elektrostacijas ar jaudu līdz 10 k</w:t>
            </w:r>
            <w:r>
              <w:t xml:space="preserve">W un </w:t>
            </w:r>
            <w:r w:rsidRPr="00A00602">
              <w:t>masta augstumu līdz 1</w:t>
            </w:r>
            <w:r w:rsidR="009E4F00">
              <w:t>0</w:t>
            </w:r>
            <w:r w:rsidRPr="00A00602">
              <w:t xml:space="preserve"> m</w:t>
            </w:r>
            <w:r>
              <w:t>.</w:t>
            </w:r>
            <w:r w:rsidR="00382DC9">
              <w:t xml:space="preserve"> Masta </w:t>
            </w:r>
            <w:r w:rsidR="001B58FA">
              <w:t>augstums</w:t>
            </w:r>
            <w:r w:rsidR="00382DC9">
              <w:t xml:space="preserve"> ir </w:t>
            </w:r>
            <w:r w:rsidR="001B58FA">
              <w:t>noteikts</w:t>
            </w:r>
            <w:r w:rsidR="00382DC9">
              <w:t>, vadoties no tirgū esošā piedāvājumu un šajā grupā līdzīgiem objektiem.</w:t>
            </w:r>
            <w:r>
              <w:t xml:space="preserve"> Jāatzīmē, ka gadījumā ja šādas inženierbūves masta augstums būs nepieciešams, piemēram, 13 m – tad tā būs II grupas inženierbūve, </w:t>
            </w:r>
            <w:r w:rsidR="001B58FA">
              <w:t>neatkarīgi</w:t>
            </w:r>
            <w:r>
              <w:t xml:space="preserve"> no tās, ja jauda, piemēram, būs 6 kW. Tāpat jānorāda, ka gadījumā, ja, piemēram, v</w:t>
            </w:r>
            <w:r w:rsidRPr="00A00602">
              <w:t>ertikāl</w:t>
            </w:r>
            <w:r>
              <w:t>o</w:t>
            </w:r>
            <w:r w:rsidRPr="00A00602">
              <w:t xml:space="preserve"> vēja ģenerator</w:t>
            </w:r>
            <w:r>
              <w:t>u uzstāda uz ēka ēkas jumta, tad tas ir šīs ēkas piederums, nevis pastāvīga inženierbūve, un uz to nav piemērojams būvniecības regulējums.</w:t>
            </w:r>
            <w:r w:rsidR="007C6328">
              <w:t xml:space="preserve"> Pašvaldības saistošie noteikumi, ja tajos ir kāds īpašs regulējums – gan ir jāievēro.</w:t>
            </w:r>
          </w:p>
          <w:p w14:paraId="257D984E" w14:textId="77777777" w:rsidR="00BB6B53" w:rsidRDefault="00BB6B53" w:rsidP="00BF0163">
            <w:pPr>
              <w:tabs>
                <w:tab w:val="left" w:pos="750"/>
              </w:tabs>
              <w:contextualSpacing/>
              <w:jc w:val="both"/>
            </w:pPr>
          </w:p>
          <w:p w14:paraId="4BDF8537" w14:textId="77777777" w:rsidR="00BB6B53" w:rsidRDefault="00BB6B53" w:rsidP="00BF0163">
            <w:pPr>
              <w:tabs>
                <w:tab w:val="left" w:pos="750"/>
              </w:tabs>
              <w:contextualSpacing/>
              <w:jc w:val="both"/>
            </w:pPr>
            <w:r>
              <w:t>[13] Būvju grupu iedalījuma izmaiņas neietekmē vides prasību piemērojamību.</w:t>
            </w:r>
            <w:r w:rsidR="00851917">
              <w:t xml:space="preserve"> </w:t>
            </w:r>
            <w:proofErr w:type="gramStart"/>
            <w:r w:rsidR="00851917">
              <w:t>Papildus skaidrības</w:t>
            </w:r>
            <w:proofErr w:type="gramEnd"/>
            <w:r w:rsidR="00851917">
              <w:t xml:space="preserve"> labad norādām, ka visi parametri ir norādīti līdz kādai vienībai – šī vienība </w:t>
            </w:r>
            <w:r w:rsidR="00851917">
              <w:lastRenderedPageBreak/>
              <w:t xml:space="preserve">arī tiek ieskaitīta. </w:t>
            </w:r>
            <w:proofErr w:type="gramStart"/>
            <w:r w:rsidR="00851917">
              <w:t>Ja vienība ir norādīta</w:t>
            </w:r>
            <w:proofErr w:type="gramEnd"/>
            <w:r w:rsidR="00851917">
              <w:t xml:space="preserve"> virs, tad sākot ar konkrēto vienību.</w:t>
            </w:r>
          </w:p>
          <w:p w14:paraId="671264E6" w14:textId="77777777" w:rsidR="002A6676" w:rsidRDefault="002A6676" w:rsidP="00BF0163">
            <w:pPr>
              <w:tabs>
                <w:tab w:val="left" w:pos="750"/>
              </w:tabs>
              <w:contextualSpacing/>
              <w:jc w:val="both"/>
            </w:pPr>
          </w:p>
          <w:p w14:paraId="65D1972C" w14:textId="55826872" w:rsidR="002A6676" w:rsidRPr="00EB5A4B" w:rsidRDefault="002A6676" w:rsidP="00BF0163">
            <w:pPr>
              <w:tabs>
                <w:tab w:val="left" w:pos="750"/>
              </w:tabs>
              <w:contextualSpacing/>
              <w:jc w:val="both"/>
            </w:pPr>
            <w:r>
              <w:t>[14] </w:t>
            </w:r>
            <w:r w:rsidRPr="002A6676">
              <w:t xml:space="preserve">Pietam, vēršam uzmanību uz to, ka Valsts vides dienesta kompetencē nav būvniecības ieceres atbilstības izvērtēšana pret pašvaldības teritorijas plānojumam, </w:t>
            </w:r>
            <w:proofErr w:type="spellStart"/>
            <w:r w:rsidRPr="002A6676">
              <w:t>lokālpānojumam</w:t>
            </w:r>
            <w:proofErr w:type="spellEnd"/>
            <w:r w:rsidRPr="002A6676">
              <w:t xml:space="preserve"> vai detālplānojumam. Šādas tiesības ir tikai būvvaldei vai institūcijai, kuras pilda būvvaldes funkcijas (sk., piemēram, Būvniecības likuma </w:t>
            </w:r>
            <w:proofErr w:type="gramStart"/>
            <w:r w:rsidRPr="002A6676">
              <w:t>15.panta</w:t>
            </w:r>
            <w:proofErr w:type="gramEnd"/>
            <w:r w:rsidRPr="002A6676">
              <w:t xml:space="preserve"> pirmās daļas 1.punktu).</w:t>
            </w:r>
          </w:p>
        </w:tc>
      </w:tr>
      <w:tr w:rsidR="00EB5A4B" w:rsidRPr="00EB5A4B" w14:paraId="4E81B45C" w14:textId="77777777" w:rsidTr="00BB0D3E">
        <w:tc>
          <w:tcPr>
            <w:tcW w:w="254" w:type="pct"/>
            <w:hideMark/>
          </w:tcPr>
          <w:p w14:paraId="2EBEC1C7" w14:textId="77777777" w:rsidR="00BD5588" w:rsidRPr="00EB5A4B" w:rsidRDefault="00BD5588" w:rsidP="002B45C6">
            <w:pPr>
              <w:contextualSpacing/>
              <w:jc w:val="center"/>
            </w:pPr>
            <w:r w:rsidRPr="00EB5A4B">
              <w:lastRenderedPageBreak/>
              <w:t>3.</w:t>
            </w:r>
          </w:p>
        </w:tc>
        <w:tc>
          <w:tcPr>
            <w:tcW w:w="1272" w:type="pct"/>
            <w:hideMark/>
          </w:tcPr>
          <w:p w14:paraId="671CBB91" w14:textId="77777777" w:rsidR="00BD5588" w:rsidRPr="00EB5A4B" w:rsidRDefault="00BD5588" w:rsidP="002B45C6">
            <w:pPr>
              <w:contextualSpacing/>
            </w:pPr>
            <w:r w:rsidRPr="00EB5A4B">
              <w:t>Projekta izstrādē iesaistītās institūcijas un publiskas personas kapitālsabiedrības</w:t>
            </w:r>
          </w:p>
        </w:tc>
        <w:tc>
          <w:tcPr>
            <w:tcW w:w="3474" w:type="pct"/>
            <w:hideMark/>
          </w:tcPr>
          <w:p w14:paraId="5454A66E" w14:textId="0BBD60A9" w:rsidR="00BD5588" w:rsidRPr="00EB5A4B" w:rsidRDefault="00510762" w:rsidP="008A6843">
            <w:pPr>
              <w:contextualSpacing/>
              <w:jc w:val="both"/>
            </w:pPr>
            <w:r>
              <w:t xml:space="preserve">Noteikuma regulējuma izstrādes laikā tika izvērtētie </w:t>
            </w:r>
            <w:r w:rsidRPr="00061554">
              <w:t xml:space="preserve">Ministru kabineta </w:t>
            </w:r>
            <w:proofErr w:type="gramStart"/>
            <w:r w:rsidRPr="00061554">
              <w:t>2014.gada</w:t>
            </w:r>
            <w:proofErr w:type="gramEnd"/>
            <w:r w:rsidRPr="00061554">
              <w:t xml:space="preserve"> 19.augusta noteikumu Nr.500 “Vispārīgie būvnoteikumi”</w:t>
            </w:r>
            <w:r>
              <w:t xml:space="preserve"> spēkā esamības laikā saņemtie priekšlikumi un jautājumi no būvniecības nozares </w:t>
            </w:r>
            <w:r w:rsidR="00BB6B53">
              <w:t>nevalstiskajām</w:t>
            </w:r>
            <w:r>
              <w:t xml:space="preserve"> organizācijām, būvniecības procesa dalībniekiem un dažādām inst</w:t>
            </w:r>
            <w:r w:rsidR="00BB6B53">
              <w:t>it</w:t>
            </w:r>
            <w:r>
              <w:t>ūcijām.</w:t>
            </w:r>
          </w:p>
        </w:tc>
      </w:tr>
      <w:tr w:rsidR="00EB5A4B" w:rsidRPr="00EB5A4B" w14:paraId="320C709C" w14:textId="77777777" w:rsidTr="00BB0D3E">
        <w:tc>
          <w:tcPr>
            <w:tcW w:w="254" w:type="pct"/>
            <w:hideMark/>
          </w:tcPr>
          <w:p w14:paraId="60F10490" w14:textId="77777777" w:rsidR="00BD5588" w:rsidRPr="00EB5A4B" w:rsidRDefault="00BD5588" w:rsidP="002B45C6">
            <w:pPr>
              <w:contextualSpacing/>
              <w:jc w:val="center"/>
            </w:pPr>
            <w:r w:rsidRPr="00EB5A4B">
              <w:t>4.</w:t>
            </w:r>
          </w:p>
        </w:tc>
        <w:tc>
          <w:tcPr>
            <w:tcW w:w="1272" w:type="pct"/>
            <w:hideMark/>
          </w:tcPr>
          <w:p w14:paraId="1948EBAC" w14:textId="77777777" w:rsidR="00BD5588" w:rsidRPr="00EB5A4B" w:rsidRDefault="00BD5588" w:rsidP="002B45C6">
            <w:pPr>
              <w:contextualSpacing/>
            </w:pPr>
            <w:r w:rsidRPr="00EB5A4B">
              <w:t>Cita informācija</w:t>
            </w:r>
          </w:p>
        </w:tc>
        <w:tc>
          <w:tcPr>
            <w:tcW w:w="3474" w:type="pct"/>
            <w:hideMark/>
          </w:tcPr>
          <w:p w14:paraId="2FD525B8" w14:textId="77777777" w:rsidR="00BD5588" w:rsidRDefault="00D21798" w:rsidP="006819DC">
            <w:pPr>
              <w:contextualSpacing/>
              <w:jc w:val="both"/>
            </w:pPr>
            <w:r>
              <w:t>Lai nodrošinātu plānoto izmaiņu pārskatāmību, anotācijā tiek ietverta tabula Nr.1 par ēku būvniecības sadalījumu un tabula Nr.2 par citu būvju būvniecības procesa sadalījumu</w:t>
            </w:r>
            <w:r w:rsidR="006819DC">
              <w:t>.</w:t>
            </w:r>
          </w:p>
          <w:p w14:paraId="7DD15C85" w14:textId="77777777" w:rsidR="00BB0D3E" w:rsidRDefault="00BB0D3E" w:rsidP="006819DC">
            <w:pPr>
              <w:contextualSpacing/>
              <w:jc w:val="both"/>
            </w:pPr>
          </w:p>
          <w:p w14:paraId="070224A8" w14:textId="77777777" w:rsidR="00BB0D3E" w:rsidRPr="00D21798" w:rsidRDefault="00BB0D3E" w:rsidP="00BB0D3E">
            <w:pPr>
              <w:pStyle w:val="Title"/>
              <w:ind w:firstLine="539"/>
              <w:contextualSpacing/>
              <w:jc w:val="both"/>
              <w:rPr>
                <w:i/>
                <w:iCs/>
                <w:sz w:val="24"/>
                <w:szCs w:val="24"/>
              </w:rPr>
            </w:pPr>
            <w:r w:rsidRPr="00D21798">
              <w:rPr>
                <w:i/>
                <w:iCs/>
                <w:sz w:val="24"/>
                <w:szCs w:val="24"/>
              </w:rPr>
              <w:t>Tabula Nr.1. par ēku būvniecības sadalījumu:</w:t>
            </w:r>
          </w:p>
          <w:p w14:paraId="7844FA0C" w14:textId="77777777" w:rsidR="00BB0D3E" w:rsidRPr="00D21798" w:rsidRDefault="00BB0D3E" w:rsidP="00BB0D3E">
            <w:pPr>
              <w:pStyle w:val="Title"/>
              <w:ind w:firstLine="539"/>
              <w:contextualSpacing/>
              <w:jc w:val="both"/>
              <w:rPr>
                <w:i/>
                <w:iCs/>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964"/>
              <w:gridCol w:w="1856"/>
              <w:gridCol w:w="700"/>
              <w:gridCol w:w="2168"/>
            </w:tblGrid>
            <w:tr w:rsidR="00BB0D3E" w:rsidRPr="00BB0D3E" w14:paraId="78AD206E" w14:textId="77777777" w:rsidTr="00F040CE">
              <w:tc>
                <w:tcPr>
                  <w:tcW w:w="701" w:type="pct"/>
                  <w:tcBorders>
                    <w:top w:val="outset" w:sz="6" w:space="0" w:color="414142"/>
                    <w:left w:val="outset" w:sz="6" w:space="0" w:color="414142"/>
                    <w:bottom w:val="outset" w:sz="6" w:space="0" w:color="414142"/>
                    <w:right w:val="outset" w:sz="6" w:space="0" w:color="414142"/>
                  </w:tcBorders>
                  <w:vAlign w:val="center"/>
                  <w:hideMark/>
                </w:tcPr>
                <w:p w14:paraId="0939A755" w14:textId="77777777" w:rsidR="00BB0D3E" w:rsidRPr="00BB0D3E" w:rsidRDefault="00BB0D3E" w:rsidP="00BB0D3E">
                  <w:pPr>
                    <w:jc w:val="both"/>
                    <w:rPr>
                      <w:i/>
                      <w:iCs/>
                      <w:sz w:val="18"/>
                      <w:szCs w:val="18"/>
                    </w:rPr>
                  </w:pPr>
                  <w:r w:rsidRPr="00BB0D3E">
                    <w:rPr>
                      <w:i/>
                      <w:iCs/>
                      <w:sz w:val="18"/>
                      <w:szCs w:val="18"/>
                    </w:rPr>
                    <w:t>Iedalījuma kritērijs</w:t>
                  </w:r>
                </w:p>
              </w:tc>
              <w:tc>
                <w:tcPr>
                  <w:tcW w:w="1712" w:type="pct"/>
                  <w:tcBorders>
                    <w:top w:val="outset" w:sz="6" w:space="0" w:color="414142"/>
                    <w:left w:val="outset" w:sz="6" w:space="0" w:color="414142"/>
                    <w:bottom w:val="outset" w:sz="6" w:space="0" w:color="414142"/>
                    <w:right w:val="outset" w:sz="6" w:space="0" w:color="414142"/>
                  </w:tcBorders>
                  <w:vAlign w:val="center"/>
                  <w:hideMark/>
                </w:tcPr>
                <w:p w14:paraId="03D51CDB" w14:textId="77777777" w:rsidR="00BB0D3E" w:rsidRPr="00BB0D3E" w:rsidRDefault="00BB0D3E" w:rsidP="00BB0D3E">
                  <w:pPr>
                    <w:jc w:val="both"/>
                    <w:rPr>
                      <w:i/>
                      <w:iCs/>
                      <w:sz w:val="18"/>
                      <w:szCs w:val="18"/>
                    </w:rPr>
                  </w:pPr>
                  <w:r w:rsidRPr="00BB0D3E">
                    <w:rPr>
                      <w:i/>
                      <w:iCs/>
                      <w:sz w:val="18"/>
                      <w:szCs w:val="18"/>
                    </w:rPr>
                    <w:t>I grupa</w:t>
                  </w:r>
                </w:p>
              </w:tc>
              <w:tc>
                <w:tcPr>
                  <w:tcW w:w="601" w:type="pct"/>
                  <w:tcBorders>
                    <w:top w:val="outset" w:sz="6" w:space="0" w:color="414142"/>
                    <w:left w:val="outset" w:sz="6" w:space="0" w:color="414142"/>
                    <w:bottom w:val="outset" w:sz="6" w:space="0" w:color="414142"/>
                    <w:right w:val="outset" w:sz="6" w:space="0" w:color="414142"/>
                  </w:tcBorders>
                  <w:vAlign w:val="center"/>
                </w:tcPr>
                <w:p w14:paraId="21C0C125" w14:textId="77777777" w:rsidR="00BB0D3E" w:rsidRPr="00BB0D3E" w:rsidRDefault="00BB0D3E" w:rsidP="00BB0D3E">
                  <w:pPr>
                    <w:jc w:val="both"/>
                    <w:rPr>
                      <w:i/>
                      <w:iCs/>
                      <w:sz w:val="18"/>
                      <w:szCs w:val="18"/>
                    </w:rPr>
                  </w:pPr>
                  <w:r w:rsidRPr="00BB0D3E">
                    <w:rPr>
                      <w:i/>
                      <w:iCs/>
                      <w:sz w:val="18"/>
                      <w:szCs w:val="18"/>
                    </w:rPr>
                    <w:t>II grupa</w:t>
                  </w:r>
                </w:p>
              </w:tc>
              <w:tc>
                <w:tcPr>
                  <w:tcW w:w="1986" w:type="pct"/>
                  <w:tcBorders>
                    <w:top w:val="outset" w:sz="6" w:space="0" w:color="414142"/>
                    <w:left w:val="outset" w:sz="6" w:space="0" w:color="414142"/>
                    <w:bottom w:val="outset" w:sz="6" w:space="0" w:color="414142"/>
                    <w:right w:val="outset" w:sz="6" w:space="0" w:color="414142"/>
                  </w:tcBorders>
                  <w:vAlign w:val="center"/>
                  <w:hideMark/>
                </w:tcPr>
                <w:p w14:paraId="7ABE7C22" w14:textId="77777777" w:rsidR="00BB0D3E" w:rsidRPr="00BB0D3E" w:rsidRDefault="00BB0D3E" w:rsidP="00BB0D3E">
                  <w:pPr>
                    <w:jc w:val="both"/>
                    <w:rPr>
                      <w:i/>
                      <w:iCs/>
                      <w:sz w:val="18"/>
                      <w:szCs w:val="18"/>
                    </w:rPr>
                  </w:pPr>
                  <w:r w:rsidRPr="00BB0D3E">
                    <w:rPr>
                      <w:i/>
                      <w:iCs/>
                      <w:sz w:val="18"/>
                      <w:szCs w:val="18"/>
                    </w:rPr>
                    <w:t>III grupa</w:t>
                  </w:r>
                </w:p>
              </w:tc>
            </w:tr>
            <w:tr w:rsidR="00BB0D3E" w:rsidRPr="00BB0D3E" w14:paraId="5D6088FC" w14:textId="77777777" w:rsidTr="00F040CE">
              <w:tc>
                <w:tcPr>
                  <w:tcW w:w="701" w:type="pct"/>
                  <w:tcBorders>
                    <w:top w:val="outset" w:sz="6" w:space="0" w:color="414142"/>
                    <w:left w:val="outset" w:sz="6" w:space="0" w:color="414142"/>
                    <w:bottom w:val="outset" w:sz="6" w:space="0" w:color="414142"/>
                    <w:right w:val="outset" w:sz="6" w:space="0" w:color="414142"/>
                  </w:tcBorders>
                  <w:hideMark/>
                </w:tcPr>
                <w:p w14:paraId="24C2145F" w14:textId="77777777" w:rsidR="00BB0D3E" w:rsidRPr="00BB0D3E" w:rsidRDefault="00BB0D3E" w:rsidP="00BB0D3E">
                  <w:pPr>
                    <w:ind w:left="57" w:right="57"/>
                    <w:jc w:val="both"/>
                    <w:rPr>
                      <w:i/>
                      <w:iCs/>
                      <w:sz w:val="18"/>
                      <w:szCs w:val="18"/>
                    </w:rPr>
                  </w:pPr>
                  <w:bookmarkStart w:id="0" w:name="_Hlk53594939"/>
                  <w:r w:rsidRPr="00BB0D3E">
                    <w:rPr>
                      <w:i/>
                      <w:iCs/>
                      <w:sz w:val="18"/>
                      <w:szCs w:val="18"/>
                    </w:rPr>
                    <w:t>1. Stāvu skaits</w:t>
                  </w:r>
                </w:p>
              </w:tc>
              <w:tc>
                <w:tcPr>
                  <w:tcW w:w="1712" w:type="pct"/>
                  <w:vMerge w:val="restart"/>
                  <w:tcBorders>
                    <w:top w:val="outset" w:sz="6" w:space="0" w:color="414142"/>
                    <w:left w:val="outset" w:sz="6" w:space="0" w:color="414142"/>
                    <w:right w:val="outset" w:sz="6" w:space="0" w:color="414142"/>
                  </w:tcBorders>
                  <w:hideMark/>
                </w:tcPr>
                <w:p w14:paraId="44945674" w14:textId="77777777" w:rsidR="00BB0D3E" w:rsidRPr="00BB0D3E" w:rsidRDefault="00BB0D3E" w:rsidP="00BB0D3E">
                  <w:pPr>
                    <w:ind w:left="57" w:right="57"/>
                    <w:jc w:val="both"/>
                    <w:rPr>
                      <w:i/>
                      <w:iCs/>
                      <w:sz w:val="18"/>
                      <w:szCs w:val="18"/>
                    </w:rPr>
                  </w:pPr>
                  <w:r w:rsidRPr="00BB0D3E">
                    <w:rPr>
                      <w:i/>
                      <w:iCs/>
                      <w:sz w:val="18"/>
                      <w:szCs w:val="18"/>
                    </w:rPr>
                    <w:t>Vienstāva ēka, kuras apbūves laukums nepārsniedz 60 m</w:t>
                  </w:r>
                  <w:r w:rsidRPr="00BB0D3E">
                    <w:rPr>
                      <w:i/>
                      <w:iCs/>
                      <w:sz w:val="18"/>
                      <w:szCs w:val="18"/>
                      <w:vertAlign w:val="superscript"/>
                    </w:rPr>
                    <w:t>2</w:t>
                  </w:r>
                  <w:r w:rsidRPr="00BB0D3E">
                    <w:rPr>
                      <w:i/>
                      <w:iCs/>
                      <w:sz w:val="18"/>
                      <w:szCs w:val="18"/>
                    </w:rPr>
                    <w:t xml:space="preserve">, tai skaitā </w:t>
                  </w:r>
                  <w:proofErr w:type="spellStart"/>
                  <w:r w:rsidRPr="00BB0D3E">
                    <w:rPr>
                      <w:i/>
                      <w:iCs/>
                      <w:sz w:val="18"/>
                      <w:szCs w:val="18"/>
                    </w:rPr>
                    <w:t>mazēka</w:t>
                  </w:r>
                  <w:proofErr w:type="spellEnd"/>
                </w:p>
              </w:tc>
              <w:tc>
                <w:tcPr>
                  <w:tcW w:w="601" w:type="pct"/>
                  <w:tcBorders>
                    <w:top w:val="outset" w:sz="6" w:space="0" w:color="414142"/>
                    <w:left w:val="outset" w:sz="6" w:space="0" w:color="414142"/>
                    <w:bottom w:val="outset" w:sz="6" w:space="0" w:color="414142"/>
                    <w:right w:val="outset" w:sz="6" w:space="0" w:color="414142"/>
                  </w:tcBorders>
                </w:tcPr>
                <w:p w14:paraId="09C58719" w14:textId="77777777" w:rsidR="00BB0D3E" w:rsidRPr="00BB0D3E" w:rsidRDefault="00BB0D3E" w:rsidP="00BB0D3E">
                  <w:pPr>
                    <w:jc w:val="both"/>
                    <w:rPr>
                      <w:i/>
                      <w:iCs/>
                      <w:sz w:val="18"/>
                      <w:szCs w:val="18"/>
                    </w:rPr>
                  </w:pPr>
                  <w:r w:rsidRPr="00BB0D3E">
                    <w:rPr>
                      <w:i/>
                      <w:iCs/>
                      <w:sz w:val="18"/>
                      <w:szCs w:val="18"/>
                    </w:rPr>
                    <w:t>Ēkas, kuras neietilpst 1. vai 3. grupā</w:t>
                  </w:r>
                </w:p>
              </w:tc>
              <w:tc>
                <w:tcPr>
                  <w:tcW w:w="1986" w:type="pct"/>
                  <w:tcBorders>
                    <w:top w:val="outset" w:sz="6" w:space="0" w:color="414142"/>
                    <w:left w:val="outset" w:sz="6" w:space="0" w:color="414142"/>
                    <w:bottom w:val="outset" w:sz="6" w:space="0" w:color="414142"/>
                    <w:right w:val="outset" w:sz="6" w:space="0" w:color="414142"/>
                  </w:tcBorders>
                  <w:hideMark/>
                </w:tcPr>
                <w:p w14:paraId="79DC6D38" w14:textId="10325A0B" w:rsidR="00BB0D3E" w:rsidRPr="00BB0D3E" w:rsidRDefault="00BB0D3E" w:rsidP="00BB0D3E">
                  <w:pPr>
                    <w:ind w:left="57" w:right="57"/>
                    <w:jc w:val="both"/>
                    <w:rPr>
                      <w:i/>
                      <w:iCs/>
                      <w:sz w:val="18"/>
                      <w:szCs w:val="18"/>
                    </w:rPr>
                  </w:pPr>
                  <w:r w:rsidRPr="00BB0D3E">
                    <w:rPr>
                      <w:i/>
                      <w:iCs/>
                      <w:sz w:val="18"/>
                      <w:szCs w:val="18"/>
                    </w:rPr>
                    <w:t>1) Ēka, kurai ir vairāk nekā seši virszemes stāvi</w:t>
                  </w:r>
                  <w:r w:rsidR="00633F8C">
                    <w:rPr>
                      <w:i/>
                      <w:iCs/>
                      <w:sz w:val="18"/>
                      <w:szCs w:val="18"/>
                    </w:rPr>
                    <w:t xml:space="preserve"> (visu virszemes stāvu summa)</w:t>
                  </w:r>
                </w:p>
                <w:p w14:paraId="185704D1" w14:textId="77777777" w:rsidR="00BB0D3E" w:rsidRPr="00BB0D3E" w:rsidRDefault="00BB0D3E" w:rsidP="00BB0D3E">
                  <w:pPr>
                    <w:ind w:left="57" w:right="57"/>
                    <w:jc w:val="both"/>
                    <w:rPr>
                      <w:i/>
                      <w:iCs/>
                      <w:sz w:val="18"/>
                      <w:szCs w:val="18"/>
                    </w:rPr>
                  </w:pPr>
                  <w:r w:rsidRPr="00BB0D3E">
                    <w:rPr>
                      <w:i/>
                      <w:iCs/>
                      <w:sz w:val="18"/>
                      <w:szCs w:val="18"/>
                    </w:rPr>
                    <w:t>2) Ēka, kurai ir vairāk nekā viens apakšzemes stāvs</w:t>
                  </w:r>
                </w:p>
              </w:tc>
            </w:tr>
            <w:tr w:rsidR="00BB0D3E" w:rsidRPr="00BB0D3E" w14:paraId="076FBC27" w14:textId="77777777" w:rsidTr="00F040CE">
              <w:tc>
                <w:tcPr>
                  <w:tcW w:w="701" w:type="pct"/>
                  <w:tcBorders>
                    <w:top w:val="outset" w:sz="6" w:space="0" w:color="414142"/>
                    <w:left w:val="outset" w:sz="6" w:space="0" w:color="414142"/>
                    <w:bottom w:val="outset" w:sz="6" w:space="0" w:color="414142"/>
                    <w:right w:val="outset" w:sz="6" w:space="0" w:color="414142"/>
                  </w:tcBorders>
                  <w:hideMark/>
                </w:tcPr>
                <w:p w14:paraId="5B741B30" w14:textId="77777777" w:rsidR="00BB0D3E" w:rsidRPr="00BB0D3E" w:rsidRDefault="00BB0D3E" w:rsidP="00BB0D3E">
                  <w:pPr>
                    <w:ind w:left="57" w:right="57"/>
                    <w:jc w:val="both"/>
                    <w:rPr>
                      <w:i/>
                      <w:iCs/>
                      <w:sz w:val="18"/>
                      <w:szCs w:val="18"/>
                    </w:rPr>
                  </w:pPr>
                  <w:r w:rsidRPr="00BB0D3E">
                    <w:rPr>
                      <w:i/>
                      <w:iCs/>
                      <w:sz w:val="18"/>
                      <w:szCs w:val="18"/>
                    </w:rPr>
                    <w:t>2. Platība, apbūves laukums</w:t>
                  </w:r>
                </w:p>
              </w:tc>
              <w:tc>
                <w:tcPr>
                  <w:tcW w:w="1712" w:type="pct"/>
                  <w:vMerge/>
                  <w:tcBorders>
                    <w:left w:val="outset" w:sz="6" w:space="0" w:color="414142"/>
                    <w:bottom w:val="outset" w:sz="6" w:space="0" w:color="414142"/>
                    <w:right w:val="outset" w:sz="6" w:space="0" w:color="414142"/>
                  </w:tcBorders>
                  <w:hideMark/>
                </w:tcPr>
                <w:p w14:paraId="1043F302" w14:textId="77777777" w:rsidR="00BB0D3E" w:rsidRPr="00BB0D3E" w:rsidRDefault="00BB0D3E" w:rsidP="00BB0D3E">
                  <w:pPr>
                    <w:ind w:left="57" w:right="57"/>
                    <w:jc w:val="both"/>
                    <w:rPr>
                      <w:i/>
                      <w:iCs/>
                      <w:sz w:val="18"/>
                      <w:szCs w:val="18"/>
                    </w:rPr>
                  </w:pPr>
                </w:p>
              </w:tc>
              <w:tc>
                <w:tcPr>
                  <w:tcW w:w="601" w:type="pct"/>
                  <w:tcBorders>
                    <w:top w:val="outset" w:sz="6" w:space="0" w:color="414142"/>
                    <w:left w:val="outset" w:sz="6" w:space="0" w:color="414142"/>
                    <w:bottom w:val="outset" w:sz="6" w:space="0" w:color="414142"/>
                    <w:right w:val="outset" w:sz="6" w:space="0" w:color="414142"/>
                  </w:tcBorders>
                </w:tcPr>
                <w:p w14:paraId="19CE3CCA" w14:textId="77777777" w:rsidR="00BB0D3E" w:rsidRPr="00BB0D3E" w:rsidRDefault="00BB0D3E" w:rsidP="00BB0D3E">
                  <w:pPr>
                    <w:ind w:left="57" w:right="57"/>
                    <w:jc w:val="both"/>
                    <w:rPr>
                      <w:i/>
                      <w:iCs/>
                      <w:sz w:val="18"/>
                      <w:szCs w:val="18"/>
                    </w:rPr>
                  </w:pPr>
                </w:p>
              </w:tc>
              <w:tc>
                <w:tcPr>
                  <w:tcW w:w="1986" w:type="pct"/>
                  <w:tcBorders>
                    <w:top w:val="outset" w:sz="6" w:space="0" w:color="414142"/>
                    <w:left w:val="outset" w:sz="6" w:space="0" w:color="414142"/>
                    <w:bottom w:val="outset" w:sz="6" w:space="0" w:color="414142"/>
                    <w:right w:val="outset" w:sz="6" w:space="0" w:color="414142"/>
                  </w:tcBorders>
                  <w:hideMark/>
                </w:tcPr>
                <w:p w14:paraId="17FED98B" w14:textId="77777777" w:rsidR="00BB0D3E" w:rsidRPr="00BB0D3E" w:rsidRDefault="00BB0D3E" w:rsidP="00BB0D3E">
                  <w:pPr>
                    <w:ind w:left="57" w:right="57"/>
                    <w:jc w:val="both"/>
                    <w:rPr>
                      <w:i/>
                      <w:iCs/>
                      <w:sz w:val="18"/>
                      <w:szCs w:val="18"/>
                      <w:vertAlign w:val="superscript"/>
                    </w:rPr>
                  </w:pPr>
                  <w:r w:rsidRPr="00BB0D3E">
                    <w:rPr>
                      <w:i/>
                      <w:iCs/>
                      <w:sz w:val="18"/>
                      <w:szCs w:val="18"/>
                    </w:rPr>
                    <w:t>1) Publiska ēka, kuras kopējā platība ir lielāka par 1000 m</w:t>
                  </w:r>
                  <w:r w:rsidRPr="00BB0D3E">
                    <w:rPr>
                      <w:i/>
                      <w:iCs/>
                      <w:sz w:val="18"/>
                      <w:szCs w:val="18"/>
                      <w:vertAlign w:val="superscript"/>
                    </w:rPr>
                    <w:t xml:space="preserve">2 </w:t>
                  </w:r>
                </w:p>
                <w:p w14:paraId="26EC59E7" w14:textId="77777777" w:rsidR="00BB0D3E" w:rsidRPr="00BB0D3E" w:rsidRDefault="00BB0D3E" w:rsidP="00BB0D3E">
                  <w:pPr>
                    <w:autoSpaceDE w:val="0"/>
                    <w:autoSpaceDN w:val="0"/>
                    <w:adjustRightInd w:val="0"/>
                    <w:ind w:left="57" w:right="57"/>
                    <w:jc w:val="both"/>
                    <w:rPr>
                      <w:i/>
                      <w:iCs/>
                      <w:sz w:val="18"/>
                      <w:szCs w:val="18"/>
                    </w:rPr>
                  </w:pPr>
                  <w:r w:rsidRPr="00BB0D3E">
                    <w:rPr>
                      <w:i/>
                      <w:iCs/>
                      <w:sz w:val="18"/>
                      <w:szCs w:val="18"/>
                    </w:rPr>
                    <w:t>2) Rūpnieciskās ražošanas vai noliktavas ēkas, kurā paredzēta ugunsslodze virs 600 MJ/m</w:t>
                  </w:r>
                  <w:r w:rsidRPr="00BB0D3E">
                    <w:rPr>
                      <w:i/>
                      <w:iCs/>
                      <w:sz w:val="18"/>
                      <w:szCs w:val="18"/>
                      <w:vertAlign w:val="superscript"/>
                    </w:rPr>
                    <w:t>2</w:t>
                  </w:r>
                  <w:r w:rsidRPr="00BB0D3E">
                    <w:rPr>
                      <w:i/>
                      <w:iCs/>
                      <w:sz w:val="18"/>
                      <w:szCs w:val="18"/>
                    </w:rPr>
                    <w:t xml:space="preserve"> vai kuras kopējā platība ir lielāka par 2000 m</w:t>
                  </w:r>
                  <w:r w:rsidRPr="00BB0D3E">
                    <w:rPr>
                      <w:i/>
                      <w:iCs/>
                      <w:sz w:val="18"/>
                      <w:szCs w:val="18"/>
                      <w:vertAlign w:val="superscript"/>
                    </w:rPr>
                    <w:t>2</w:t>
                  </w:r>
                </w:p>
                <w:p w14:paraId="5441B36E" w14:textId="77777777" w:rsidR="00BB0D3E" w:rsidRPr="00BB0D3E" w:rsidRDefault="00BB0D3E" w:rsidP="00BB0D3E">
                  <w:pPr>
                    <w:ind w:left="57" w:right="57"/>
                    <w:jc w:val="both"/>
                    <w:rPr>
                      <w:i/>
                      <w:iCs/>
                      <w:sz w:val="18"/>
                      <w:szCs w:val="18"/>
                    </w:rPr>
                  </w:pPr>
                </w:p>
                <w:p w14:paraId="778D6BDC" w14:textId="77777777" w:rsidR="00BB0D3E" w:rsidRPr="00BB0D3E" w:rsidRDefault="00BB0D3E" w:rsidP="00BB0D3E">
                  <w:pPr>
                    <w:ind w:left="57" w:right="57"/>
                    <w:jc w:val="both"/>
                    <w:rPr>
                      <w:i/>
                      <w:iCs/>
                      <w:sz w:val="18"/>
                      <w:szCs w:val="18"/>
                    </w:rPr>
                  </w:pPr>
                </w:p>
              </w:tc>
            </w:tr>
            <w:tr w:rsidR="00BB0D3E" w:rsidRPr="00BB0D3E" w14:paraId="70745EAD" w14:textId="77777777" w:rsidTr="00F040CE">
              <w:tc>
                <w:tcPr>
                  <w:tcW w:w="701" w:type="pct"/>
                  <w:tcBorders>
                    <w:top w:val="outset" w:sz="6" w:space="0" w:color="414142"/>
                    <w:left w:val="outset" w:sz="6" w:space="0" w:color="414142"/>
                    <w:bottom w:val="outset" w:sz="6" w:space="0" w:color="414142"/>
                    <w:right w:val="outset" w:sz="6" w:space="0" w:color="414142"/>
                  </w:tcBorders>
                  <w:hideMark/>
                </w:tcPr>
                <w:p w14:paraId="6491E6ED" w14:textId="77777777" w:rsidR="00BB0D3E" w:rsidRPr="00BB0D3E" w:rsidRDefault="00BB0D3E" w:rsidP="00BB0D3E">
                  <w:pPr>
                    <w:ind w:left="57" w:right="57"/>
                    <w:jc w:val="both"/>
                    <w:rPr>
                      <w:i/>
                      <w:iCs/>
                      <w:sz w:val="18"/>
                      <w:szCs w:val="18"/>
                    </w:rPr>
                  </w:pPr>
                  <w:r w:rsidRPr="00BB0D3E">
                    <w:rPr>
                      <w:i/>
                      <w:iCs/>
                      <w:sz w:val="18"/>
                      <w:szCs w:val="18"/>
                    </w:rPr>
                    <w:t xml:space="preserve">3. </w:t>
                  </w:r>
                  <w:proofErr w:type="spellStart"/>
                  <w:r w:rsidRPr="00BB0D3E">
                    <w:rPr>
                      <w:i/>
                      <w:iCs/>
                      <w:sz w:val="18"/>
                      <w:szCs w:val="18"/>
                    </w:rPr>
                    <w:t>Būvtilpums</w:t>
                  </w:r>
                  <w:proofErr w:type="spellEnd"/>
                </w:p>
              </w:tc>
              <w:tc>
                <w:tcPr>
                  <w:tcW w:w="1712" w:type="pct"/>
                  <w:tcBorders>
                    <w:top w:val="outset" w:sz="6" w:space="0" w:color="414142"/>
                    <w:left w:val="outset" w:sz="6" w:space="0" w:color="414142"/>
                    <w:bottom w:val="outset" w:sz="6" w:space="0" w:color="414142"/>
                    <w:right w:val="outset" w:sz="6" w:space="0" w:color="414142"/>
                  </w:tcBorders>
                  <w:hideMark/>
                </w:tcPr>
                <w:p w14:paraId="4C550C3B" w14:textId="77777777" w:rsidR="00BB0D3E" w:rsidRPr="00BB0D3E" w:rsidRDefault="00BB0D3E" w:rsidP="00BB0D3E">
                  <w:pPr>
                    <w:ind w:left="57" w:right="57"/>
                    <w:jc w:val="both"/>
                    <w:rPr>
                      <w:i/>
                      <w:iCs/>
                      <w:sz w:val="18"/>
                      <w:szCs w:val="18"/>
                    </w:rPr>
                  </w:pPr>
                  <w:r w:rsidRPr="00BB0D3E">
                    <w:rPr>
                      <w:i/>
                      <w:iCs/>
                      <w:sz w:val="18"/>
                      <w:szCs w:val="18"/>
                    </w:rPr>
                    <w:t xml:space="preserve">Rezervuārs ar </w:t>
                  </w:r>
                  <w:proofErr w:type="spellStart"/>
                  <w:r w:rsidRPr="00BB0D3E">
                    <w:rPr>
                      <w:i/>
                      <w:iCs/>
                      <w:sz w:val="18"/>
                      <w:szCs w:val="18"/>
                    </w:rPr>
                    <w:t>būvtilpumu</w:t>
                  </w:r>
                  <w:proofErr w:type="spellEnd"/>
                  <w:r w:rsidRPr="00BB0D3E">
                    <w:rPr>
                      <w:i/>
                      <w:iCs/>
                      <w:sz w:val="18"/>
                      <w:szCs w:val="18"/>
                    </w:rPr>
                    <w:t xml:space="preserve"> līdz 50 m</w:t>
                  </w:r>
                  <w:r w:rsidRPr="00BB0D3E">
                    <w:rPr>
                      <w:i/>
                      <w:iCs/>
                      <w:sz w:val="18"/>
                      <w:szCs w:val="18"/>
                      <w:vertAlign w:val="superscript"/>
                    </w:rPr>
                    <w:t>3</w:t>
                  </w:r>
                  <w:r w:rsidRPr="00BB0D3E">
                    <w:rPr>
                      <w:i/>
                      <w:iCs/>
                      <w:sz w:val="18"/>
                      <w:szCs w:val="18"/>
                    </w:rPr>
                    <w:t xml:space="preserve">, izņemot, ja tas paredzēts bīstamu ķīmisko vielu uzglabāšanai </w:t>
                  </w:r>
                </w:p>
              </w:tc>
              <w:tc>
                <w:tcPr>
                  <w:tcW w:w="601" w:type="pct"/>
                  <w:tcBorders>
                    <w:top w:val="outset" w:sz="6" w:space="0" w:color="414142"/>
                    <w:left w:val="outset" w:sz="6" w:space="0" w:color="414142"/>
                    <w:bottom w:val="outset" w:sz="6" w:space="0" w:color="414142"/>
                    <w:right w:val="outset" w:sz="6" w:space="0" w:color="414142"/>
                  </w:tcBorders>
                </w:tcPr>
                <w:p w14:paraId="75C3101E" w14:textId="77777777" w:rsidR="00BB0D3E" w:rsidRPr="00BB0D3E" w:rsidRDefault="00BB0D3E" w:rsidP="00BB0D3E">
                  <w:pPr>
                    <w:ind w:left="57" w:right="57"/>
                    <w:jc w:val="both"/>
                    <w:rPr>
                      <w:i/>
                      <w:iCs/>
                      <w:sz w:val="18"/>
                      <w:szCs w:val="18"/>
                    </w:rPr>
                  </w:pPr>
                </w:p>
              </w:tc>
              <w:tc>
                <w:tcPr>
                  <w:tcW w:w="1986" w:type="pct"/>
                  <w:tcBorders>
                    <w:top w:val="outset" w:sz="6" w:space="0" w:color="414142"/>
                    <w:left w:val="outset" w:sz="6" w:space="0" w:color="414142"/>
                    <w:bottom w:val="outset" w:sz="6" w:space="0" w:color="414142"/>
                    <w:right w:val="outset" w:sz="6" w:space="0" w:color="414142"/>
                  </w:tcBorders>
                  <w:hideMark/>
                </w:tcPr>
                <w:p w14:paraId="574E4330" w14:textId="77777777" w:rsidR="00BB0D3E" w:rsidRPr="00BB0D3E" w:rsidRDefault="00BB0D3E" w:rsidP="00BB0D3E">
                  <w:pPr>
                    <w:ind w:left="57" w:right="57"/>
                    <w:jc w:val="both"/>
                    <w:rPr>
                      <w:i/>
                      <w:iCs/>
                      <w:sz w:val="18"/>
                      <w:szCs w:val="18"/>
                    </w:rPr>
                  </w:pPr>
                  <w:r w:rsidRPr="00BB0D3E">
                    <w:rPr>
                      <w:i/>
                      <w:iCs/>
                      <w:sz w:val="18"/>
                      <w:szCs w:val="18"/>
                    </w:rPr>
                    <w:t xml:space="preserve">Rezervuārs šķidru, gāzveida vielu vai beramu materiālu uzglabāšanai, pārkraušanai vai pārstrādei ar </w:t>
                  </w:r>
                  <w:proofErr w:type="spellStart"/>
                  <w:r w:rsidRPr="00BB0D3E">
                    <w:rPr>
                      <w:i/>
                      <w:iCs/>
                      <w:sz w:val="18"/>
                      <w:szCs w:val="18"/>
                    </w:rPr>
                    <w:t>būvtilpumu</w:t>
                  </w:r>
                  <w:proofErr w:type="spellEnd"/>
                  <w:r w:rsidRPr="00BB0D3E">
                    <w:rPr>
                      <w:i/>
                      <w:iCs/>
                      <w:sz w:val="18"/>
                      <w:szCs w:val="18"/>
                    </w:rPr>
                    <w:t xml:space="preserve"> virs 5000 m</w:t>
                  </w:r>
                  <w:r w:rsidRPr="00BB0D3E">
                    <w:rPr>
                      <w:i/>
                      <w:iCs/>
                      <w:sz w:val="18"/>
                      <w:szCs w:val="18"/>
                      <w:vertAlign w:val="superscript"/>
                    </w:rPr>
                    <w:t>3</w:t>
                  </w:r>
                </w:p>
              </w:tc>
            </w:tr>
            <w:tr w:rsidR="00BB0D3E" w:rsidRPr="00BB0D3E" w14:paraId="7E2C3FBB" w14:textId="77777777" w:rsidTr="00F040CE">
              <w:tc>
                <w:tcPr>
                  <w:tcW w:w="701" w:type="pct"/>
                  <w:tcBorders>
                    <w:top w:val="outset" w:sz="6" w:space="0" w:color="414142"/>
                    <w:left w:val="outset" w:sz="6" w:space="0" w:color="414142"/>
                    <w:bottom w:val="outset" w:sz="6" w:space="0" w:color="414142"/>
                    <w:right w:val="outset" w:sz="6" w:space="0" w:color="414142"/>
                  </w:tcBorders>
                  <w:hideMark/>
                </w:tcPr>
                <w:p w14:paraId="3B6115AC" w14:textId="77777777" w:rsidR="00BB0D3E" w:rsidRPr="00BB0D3E" w:rsidRDefault="00BB0D3E" w:rsidP="00BB0D3E">
                  <w:pPr>
                    <w:ind w:left="57" w:right="57"/>
                    <w:jc w:val="both"/>
                    <w:rPr>
                      <w:i/>
                      <w:iCs/>
                      <w:sz w:val="18"/>
                      <w:szCs w:val="18"/>
                    </w:rPr>
                  </w:pPr>
                  <w:r w:rsidRPr="00BB0D3E">
                    <w:rPr>
                      <w:i/>
                      <w:iCs/>
                      <w:sz w:val="18"/>
                      <w:szCs w:val="18"/>
                    </w:rPr>
                    <w:t>4. Jauda</w:t>
                  </w:r>
                </w:p>
              </w:tc>
              <w:tc>
                <w:tcPr>
                  <w:tcW w:w="1712" w:type="pct"/>
                  <w:tcBorders>
                    <w:top w:val="outset" w:sz="6" w:space="0" w:color="414142"/>
                    <w:left w:val="outset" w:sz="6" w:space="0" w:color="414142"/>
                    <w:bottom w:val="outset" w:sz="6" w:space="0" w:color="414142"/>
                    <w:right w:val="outset" w:sz="6" w:space="0" w:color="414142"/>
                  </w:tcBorders>
                  <w:hideMark/>
                </w:tcPr>
                <w:p w14:paraId="16894705" w14:textId="77777777" w:rsidR="00BB0D3E" w:rsidRPr="00BB0D3E" w:rsidRDefault="00BB0D3E" w:rsidP="00BB0D3E">
                  <w:pPr>
                    <w:ind w:left="57" w:right="57"/>
                    <w:jc w:val="both"/>
                    <w:rPr>
                      <w:i/>
                      <w:iCs/>
                      <w:sz w:val="18"/>
                      <w:szCs w:val="18"/>
                    </w:rPr>
                  </w:pPr>
                  <w:r w:rsidRPr="00BB0D3E">
                    <w:rPr>
                      <w:i/>
                      <w:iCs/>
                      <w:sz w:val="18"/>
                      <w:szCs w:val="18"/>
                    </w:rPr>
                    <w:t>Transformatoru apakšstacijas ēka ar spriegumu līdz 20 kV un apbūves laukumu līdz 60 m</w:t>
                  </w:r>
                  <w:r w:rsidRPr="00BB0D3E">
                    <w:rPr>
                      <w:i/>
                      <w:iCs/>
                      <w:sz w:val="18"/>
                      <w:szCs w:val="18"/>
                      <w:vertAlign w:val="superscript"/>
                    </w:rPr>
                    <w:t>2</w:t>
                  </w:r>
                </w:p>
                <w:p w14:paraId="2B7654FF" w14:textId="77777777" w:rsidR="00BB0D3E" w:rsidRPr="00BB0D3E" w:rsidRDefault="00BB0D3E" w:rsidP="00BB0D3E">
                  <w:pPr>
                    <w:ind w:left="57" w:right="57"/>
                    <w:jc w:val="both"/>
                    <w:rPr>
                      <w:i/>
                      <w:iCs/>
                      <w:strike/>
                      <w:sz w:val="18"/>
                      <w:szCs w:val="18"/>
                    </w:rPr>
                  </w:pPr>
                </w:p>
              </w:tc>
              <w:tc>
                <w:tcPr>
                  <w:tcW w:w="601" w:type="pct"/>
                  <w:tcBorders>
                    <w:top w:val="outset" w:sz="6" w:space="0" w:color="414142"/>
                    <w:left w:val="outset" w:sz="6" w:space="0" w:color="414142"/>
                    <w:bottom w:val="outset" w:sz="6" w:space="0" w:color="414142"/>
                    <w:right w:val="outset" w:sz="6" w:space="0" w:color="414142"/>
                  </w:tcBorders>
                </w:tcPr>
                <w:p w14:paraId="75A78DBB" w14:textId="77777777" w:rsidR="00BB0D3E" w:rsidRPr="00BB0D3E" w:rsidRDefault="00BB0D3E" w:rsidP="00BB0D3E">
                  <w:pPr>
                    <w:ind w:left="57" w:right="57"/>
                    <w:jc w:val="both"/>
                    <w:rPr>
                      <w:i/>
                      <w:iCs/>
                      <w:sz w:val="18"/>
                      <w:szCs w:val="18"/>
                    </w:rPr>
                  </w:pPr>
                </w:p>
              </w:tc>
              <w:tc>
                <w:tcPr>
                  <w:tcW w:w="1986" w:type="pct"/>
                  <w:tcBorders>
                    <w:top w:val="outset" w:sz="6" w:space="0" w:color="414142"/>
                    <w:left w:val="outset" w:sz="6" w:space="0" w:color="414142"/>
                    <w:bottom w:val="outset" w:sz="6" w:space="0" w:color="414142"/>
                    <w:right w:val="outset" w:sz="6" w:space="0" w:color="414142"/>
                  </w:tcBorders>
                  <w:hideMark/>
                </w:tcPr>
                <w:p w14:paraId="37F529A2" w14:textId="77777777" w:rsidR="00BB0D3E" w:rsidRPr="00BB0D3E" w:rsidRDefault="00BB0D3E" w:rsidP="00BB0D3E">
                  <w:pPr>
                    <w:ind w:left="57" w:right="57"/>
                    <w:jc w:val="both"/>
                    <w:rPr>
                      <w:i/>
                      <w:iCs/>
                      <w:sz w:val="18"/>
                      <w:szCs w:val="18"/>
                    </w:rPr>
                  </w:pPr>
                  <w:r w:rsidRPr="00BB0D3E">
                    <w:rPr>
                      <w:i/>
                      <w:iCs/>
                      <w:sz w:val="18"/>
                      <w:szCs w:val="18"/>
                    </w:rPr>
                    <w:t>1) Katlumāja vai elektroenerģijas apgādes ēka ar siltuma jaudu lielāku par 2 MW vai elektrisko jaudu, lielāku par 2 MW</w:t>
                  </w:r>
                </w:p>
                <w:p w14:paraId="534AF881" w14:textId="77777777" w:rsidR="00BB0D3E" w:rsidRPr="00BB0D3E" w:rsidRDefault="00BB0D3E" w:rsidP="00BB0D3E">
                  <w:pPr>
                    <w:ind w:left="57" w:right="57"/>
                    <w:jc w:val="both"/>
                    <w:rPr>
                      <w:i/>
                      <w:iCs/>
                      <w:sz w:val="18"/>
                      <w:szCs w:val="18"/>
                    </w:rPr>
                  </w:pPr>
                  <w:r w:rsidRPr="00BB0D3E">
                    <w:rPr>
                      <w:i/>
                      <w:iCs/>
                      <w:sz w:val="18"/>
                      <w:szCs w:val="18"/>
                    </w:rPr>
                    <w:t>2) Transformatoru apakšstaciju ēka ar 110 kV vai augstāku spriegumu</w:t>
                  </w:r>
                </w:p>
              </w:tc>
            </w:tr>
            <w:bookmarkEnd w:id="0"/>
          </w:tbl>
          <w:p w14:paraId="0295E518" w14:textId="77777777" w:rsidR="00BB0D3E" w:rsidRPr="00D21798" w:rsidRDefault="00BB0D3E" w:rsidP="00BB0D3E">
            <w:pPr>
              <w:pStyle w:val="Title"/>
              <w:ind w:firstLine="539"/>
              <w:contextualSpacing/>
              <w:jc w:val="both"/>
              <w:rPr>
                <w:i/>
                <w:iCs/>
                <w:sz w:val="24"/>
                <w:szCs w:val="24"/>
              </w:rPr>
            </w:pPr>
          </w:p>
          <w:p w14:paraId="4B827C72" w14:textId="77777777" w:rsidR="00BB0D3E" w:rsidRPr="00D21798" w:rsidRDefault="00BB0D3E" w:rsidP="00BB0D3E">
            <w:pPr>
              <w:pStyle w:val="Title"/>
              <w:ind w:firstLine="539"/>
              <w:contextualSpacing/>
              <w:jc w:val="both"/>
              <w:rPr>
                <w:i/>
                <w:iCs/>
                <w:sz w:val="24"/>
                <w:szCs w:val="24"/>
              </w:rPr>
            </w:pPr>
            <w:r w:rsidRPr="00D21798">
              <w:rPr>
                <w:i/>
                <w:iCs/>
                <w:sz w:val="24"/>
                <w:szCs w:val="24"/>
              </w:rPr>
              <w:lastRenderedPageBreak/>
              <w:t>Tabula Nr.2 par citu būvju būvniecības procesa sadalījumu:</w:t>
            </w:r>
          </w:p>
          <w:p w14:paraId="67ECFA21" w14:textId="77777777" w:rsidR="00BB0D3E" w:rsidRPr="00D21798" w:rsidRDefault="00BB0D3E" w:rsidP="00BB0D3E">
            <w:pPr>
              <w:pStyle w:val="Title"/>
              <w:ind w:firstLine="539"/>
              <w:contextualSpacing/>
              <w:jc w:val="both"/>
              <w:rPr>
                <w:i/>
                <w:iCs/>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1454"/>
              <w:gridCol w:w="1555"/>
              <w:gridCol w:w="1085"/>
              <w:gridCol w:w="1594"/>
            </w:tblGrid>
            <w:tr w:rsidR="00BB0D3E" w:rsidRPr="00BB0D3E" w14:paraId="1856A6DE" w14:textId="77777777" w:rsidTr="00F040CE">
              <w:tc>
                <w:tcPr>
                  <w:tcW w:w="1016" w:type="pct"/>
                  <w:tcBorders>
                    <w:top w:val="outset" w:sz="6" w:space="0" w:color="414142"/>
                    <w:left w:val="outset" w:sz="6" w:space="0" w:color="414142"/>
                    <w:bottom w:val="outset" w:sz="6" w:space="0" w:color="414142"/>
                    <w:right w:val="outset" w:sz="6" w:space="0" w:color="414142"/>
                  </w:tcBorders>
                  <w:vAlign w:val="center"/>
                  <w:hideMark/>
                </w:tcPr>
                <w:p w14:paraId="0944B73B" w14:textId="77777777" w:rsidR="00BB0D3E" w:rsidRPr="00BB0D3E" w:rsidRDefault="00BB0D3E" w:rsidP="00BB0D3E">
                  <w:pPr>
                    <w:jc w:val="both"/>
                    <w:rPr>
                      <w:i/>
                      <w:iCs/>
                      <w:sz w:val="18"/>
                      <w:szCs w:val="18"/>
                    </w:rPr>
                  </w:pPr>
                  <w:r w:rsidRPr="00BB0D3E">
                    <w:rPr>
                      <w:i/>
                      <w:iCs/>
                      <w:sz w:val="18"/>
                      <w:szCs w:val="18"/>
                    </w:rPr>
                    <w:t>Būvnoteikumi</w:t>
                  </w:r>
                </w:p>
              </w:tc>
              <w:tc>
                <w:tcPr>
                  <w:tcW w:w="1509" w:type="pct"/>
                  <w:tcBorders>
                    <w:top w:val="outset" w:sz="6" w:space="0" w:color="414142"/>
                    <w:left w:val="outset" w:sz="6" w:space="0" w:color="414142"/>
                    <w:bottom w:val="outset" w:sz="6" w:space="0" w:color="414142"/>
                    <w:right w:val="outset" w:sz="6" w:space="0" w:color="414142"/>
                  </w:tcBorders>
                  <w:vAlign w:val="center"/>
                  <w:hideMark/>
                </w:tcPr>
                <w:p w14:paraId="2C3613D9" w14:textId="77777777" w:rsidR="00BB0D3E" w:rsidRPr="00BB0D3E" w:rsidRDefault="00BB0D3E" w:rsidP="00BB0D3E">
                  <w:pPr>
                    <w:jc w:val="both"/>
                    <w:rPr>
                      <w:i/>
                      <w:iCs/>
                      <w:sz w:val="18"/>
                      <w:szCs w:val="18"/>
                    </w:rPr>
                  </w:pPr>
                  <w:r w:rsidRPr="00BB0D3E">
                    <w:rPr>
                      <w:i/>
                      <w:iCs/>
                      <w:sz w:val="18"/>
                      <w:szCs w:val="18"/>
                    </w:rPr>
                    <w:t>I grupa</w:t>
                  </w:r>
                </w:p>
              </w:tc>
              <w:tc>
                <w:tcPr>
                  <w:tcW w:w="796" w:type="pct"/>
                  <w:tcBorders>
                    <w:top w:val="outset" w:sz="6" w:space="0" w:color="414142"/>
                    <w:left w:val="outset" w:sz="6" w:space="0" w:color="414142"/>
                    <w:bottom w:val="outset" w:sz="6" w:space="0" w:color="414142"/>
                    <w:right w:val="outset" w:sz="6" w:space="0" w:color="414142"/>
                  </w:tcBorders>
                  <w:vAlign w:val="center"/>
                </w:tcPr>
                <w:p w14:paraId="31A43543" w14:textId="77777777" w:rsidR="00BB0D3E" w:rsidRPr="00BB0D3E" w:rsidRDefault="00BB0D3E" w:rsidP="00BB0D3E">
                  <w:pPr>
                    <w:jc w:val="both"/>
                    <w:rPr>
                      <w:i/>
                      <w:iCs/>
                      <w:sz w:val="18"/>
                      <w:szCs w:val="18"/>
                    </w:rPr>
                  </w:pPr>
                  <w:r w:rsidRPr="00BB0D3E">
                    <w:rPr>
                      <w:i/>
                      <w:iCs/>
                      <w:sz w:val="18"/>
                      <w:szCs w:val="18"/>
                    </w:rPr>
                    <w:t>II grupa</w:t>
                  </w:r>
                </w:p>
              </w:tc>
              <w:tc>
                <w:tcPr>
                  <w:tcW w:w="1679" w:type="pct"/>
                  <w:tcBorders>
                    <w:top w:val="outset" w:sz="6" w:space="0" w:color="414142"/>
                    <w:left w:val="outset" w:sz="6" w:space="0" w:color="414142"/>
                    <w:bottom w:val="outset" w:sz="6" w:space="0" w:color="414142"/>
                    <w:right w:val="outset" w:sz="6" w:space="0" w:color="414142"/>
                  </w:tcBorders>
                  <w:vAlign w:val="center"/>
                  <w:hideMark/>
                </w:tcPr>
                <w:p w14:paraId="039C257C" w14:textId="77777777" w:rsidR="00BB0D3E" w:rsidRPr="00BB0D3E" w:rsidRDefault="00BB0D3E" w:rsidP="00BB0D3E">
                  <w:pPr>
                    <w:jc w:val="both"/>
                    <w:rPr>
                      <w:i/>
                      <w:iCs/>
                      <w:sz w:val="18"/>
                      <w:szCs w:val="18"/>
                    </w:rPr>
                  </w:pPr>
                  <w:r w:rsidRPr="00BB0D3E">
                    <w:rPr>
                      <w:i/>
                      <w:iCs/>
                      <w:sz w:val="18"/>
                      <w:szCs w:val="18"/>
                    </w:rPr>
                    <w:t>III grupa</w:t>
                  </w:r>
                </w:p>
              </w:tc>
            </w:tr>
            <w:tr w:rsidR="00BB0D3E" w:rsidRPr="00BB0D3E" w14:paraId="381A30A9" w14:textId="77777777" w:rsidTr="00F040CE">
              <w:tc>
                <w:tcPr>
                  <w:tcW w:w="1016" w:type="pct"/>
                  <w:tcBorders>
                    <w:top w:val="outset" w:sz="6" w:space="0" w:color="414142"/>
                    <w:left w:val="outset" w:sz="6" w:space="0" w:color="414142"/>
                    <w:bottom w:val="outset" w:sz="6" w:space="0" w:color="414142"/>
                    <w:right w:val="outset" w:sz="6" w:space="0" w:color="414142"/>
                  </w:tcBorders>
                  <w:hideMark/>
                </w:tcPr>
                <w:p w14:paraId="4F4C5B8E" w14:textId="77777777" w:rsidR="00BB0D3E" w:rsidRPr="00BB0D3E" w:rsidRDefault="00BB0D3E" w:rsidP="00BB0D3E">
                  <w:pPr>
                    <w:ind w:left="57" w:right="57"/>
                    <w:jc w:val="both"/>
                    <w:rPr>
                      <w:i/>
                      <w:iCs/>
                      <w:sz w:val="18"/>
                      <w:szCs w:val="18"/>
                    </w:rPr>
                  </w:pPr>
                  <w:r w:rsidRPr="00BB0D3E">
                    <w:rPr>
                      <w:i/>
                      <w:iCs/>
                      <w:sz w:val="18"/>
                      <w:szCs w:val="18"/>
                    </w:rPr>
                    <w:t>Ministru kabineta 14.10.2014. noteikumi Nr.633 “Autoceļu un ielu būvnoteikumi”</w:t>
                  </w:r>
                </w:p>
              </w:tc>
              <w:tc>
                <w:tcPr>
                  <w:tcW w:w="1509" w:type="pct"/>
                  <w:tcBorders>
                    <w:top w:val="outset" w:sz="6" w:space="0" w:color="414142"/>
                    <w:left w:val="outset" w:sz="6" w:space="0" w:color="414142"/>
                    <w:bottom w:val="outset" w:sz="6" w:space="0" w:color="414142"/>
                    <w:right w:val="outset" w:sz="6" w:space="0" w:color="414142"/>
                  </w:tcBorders>
                  <w:hideMark/>
                </w:tcPr>
                <w:p w14:paraId="3F61264F" w14:textId="77777777" w:rsidR="00BB0D3E" w:rsidRPr="00BB0D3E" w:rsidRDefault="00BB0D3E" w:rsidP="00BB0D3E">
                  <w:pPr>
                    <w:ind w:left="57" w:right="57"/>
                    <w:jc w:val="both"/>
                    <w:rPr>
                      <w:i/>
                      <w:iCs/>
                      <w:sz w:val="18"/>
                      <w:szCs w:val="18"/>
                    </w:rPr>
                  </w:pPr>
                  <w:r w:rsidRPr="00BB0D3E">
                    <w:rPr>
                      <w:i/>
                      <w:iCs/>
                      <w:sz w:val="18"/>
                      <w:szCs w:val="18"/>
                    </w:rPr>
                    <w:t>1) Māju ceļš, komersantu ceļš, kā arī pieslēgums esošajam pašvaldību ielu tīklam (piebrauktuve vai iebrauktuve)</w:t>
                  </w:r>
                </w:p>
                <w:p w14:paraId="0D0788BB" w14:textId="0725CC41" w:rsidR="00BB0D3E" w:rsidRPr="00BB0D3E" w:rsidRDefault="00BB0D3E" w:rsidP="00BB0D3E">
                  <w:pPr>
                    <w:ind w:left="57" w:right="57"/>
                    <w:jc w:val="both"/>
                    <w:rPr>
                      <w:i/>
                      <w:iCs/>
                      <w:sz w:val="18"/>
                      <w:szCs w:val="18"/>
                      <w:vertAlign w:val="superscript"/>
                    </w:rPr>
                  </w:pPr>
                  <w:r w:rsidRPr="00BB0D3E">
                    <w:rPr>
                      <w:i/>
                      <w:iCs/>
                      <w:sz w:val="18"/>
                      <w:szCs w:val="18"/>
                    </w:rPr>
                    <w:t xml:space="preserve">2) Satiksmes organizācijas un kontroles (uzraudzības) </w:t>
                  </w:r>
                  <w:r w:rsidR="001871F2">
                    <w:rPr>
                      <w:i/>
                      <w:iCs/>
                      <w:sz w:val="18"/>
                      <w:szCs w:val="18"/>
                    </w:rPr>
                    <w:t>inženierbūves</w:t>
                  </w:r>
                </w:p>
                <w:p w14:paraId="75153437" w14:textId="749FF70E" w:rsidR="00BB0D3E" w:rsidRPr="00BB0D3E" w:rsidRDefault="00BB0D3E" w:rsidP="00BB0D3E">
                  <w:pPr>
                    <w:ind w:left="57" w:right="57"/>
                    <w:jc w:val="both"/>
                    <w:rPr>
                      <w:b/>
                      <w:i/>
                      <w:iCs/>
                      <w:sz w:val="18"/>
                      <w:szCs w:val="18"/>
                      <w:vertAlign w:val="superscript"/>
                    </w:rPr>
                  </w:pPr>
                  <w:r w:rsidRPr="00BB0D3E">
                    <w:rPr>
                      <w:i/>
                      <w:iCs/>
                      <w:sz w:val="18"/>
                      <w:szCs w:val="18"/>
                    </w:rPr>
                    <w:t>3) </w:t>
                  </w:r>
                  <w:r w:rsidR="001871F2">
                    <w:rPr>
                      <w:i/>
                      <w:iCs/>
                      <w:sz w:val="18"/>
                      <w:szCs w:val="18"/>
                    </w:rPr>
                    <w:t>G</w:t>
                  </w:r>
                  <w:r w:rsidR="001871F2" w:rsidRPr="001871F2">
                    <w:rPr>
                      <w:i/>
                      <w:iCs/>
                      <w:sz w:val="18"/>
                      <w:szCs w:val="18"/>
                    </w:rPr>
                    <w:t xml:space="preserve">ājēju vai velosipēdistu, </w:t>
                  </w:r>
                  <w:proofErr w:type="gramStart"/>
                  <w:r w:rsidR="001871F2" w:rsidRPr="001871F2">
                    <w:rPr>
                      <w:i/>
                      <w:iCs/>
                      <w:sz w:val="18"/>
                      <w:szCs w:val="18"/>
                    </w:rPr>
                    <w:t>vai apvienots gājēju un velosipēdistu tilts ar garumu</w:t>
                  </w:r>
                  <w:proofErr w:type="gramEnd"/>
                  <w:r w:rsidR="001871F2" w:rsidRPr="001871F2">
                    <w:rPr>
                      <w:i/>
                      <w:iCs/>
                      <w:sz w:val="18"/>
                      <w:szCs w:val="18"/>
                    </w:rPr>
                    <w:t xml:space="preserve"> līdz 10 m</w:t>
                  </w:r>
                </w:p>
                <w:p w14:paraId="53116D6A" w14:textId="0A82D550" w:rsidR="00BB0D3E" w:rsidRPr="00BB0D3E" w:rsidRDefault="00BB0D3E" w:rsidP="001871F2">
                  <w:pPr>
                    <w:ind w:left="57" w:right="57"/>
                    <w:jc w:val="both"/>
                    <w:rPr>
                      <w:b/>
                      <w:i/>
                      <w:iCs/>
                      <w:sz w:val="18"/>
                      <w:szCs w:val="18"/>
                    </w:rPr>
                  </w:pPr>
                  <w:r w:rsidRPr="00BB0D3E">
                    <w:rPr>
                      <w:i/>
                      <w:iCs/>
                      <w:sz w:val="18"/>
                      <w:szCs w:val="18"/>
                    </w:rPr>
                    <w:t xml:space="preserve">4) </w:t>
                  </w:r>
                  <w:r w:rsidR="001871F2">
                    <w:rPr>
                      <w:i/>
                      <w:iCs/>
                      <w:sz w:val="18"/>
                      <w:szCs w:val="18"/>
                    </w:rPr>
                    <w:t>G</w:t>
                  </w:r>
                  <w:r w:rsidR="001871F2" w:rsidRPr="001871F2">
                    <w:rPr>
                      <w:i/>
                      <w:iCs/>
                      <w:sz w:val="18"/>
                      <w:szCs w:val="18"/>
                    </w:rPr>
                    <w:t>ājēju vai velosipēdistu, vai apvienots gājēju un velosipēdistu ceļš</w:t>
                  </w:r>
                </w:p>
              </w:tc>
              <w:tc>
                <w:tcPr>
                  <w:tcW w:w="796" w:type="pct"/>
                  <w:tcBorders>
                    <w:top w:val="outset" w:sz="6" w:space="0" w:color="414142"/>
                    <w:left w:val="outset" w:sz="6" w:space="0" w:color="414142"/>
                    <w:bottom w:val="outset" w:sz="6" w:space="0" w:color="414142"/>
                    <w:right w:val="outset" w:sz="6" w:space="0" w:color="414142"/>
                  </w:tcBorders>
                </w:tcPr>
                <w:p w14:paraId="5E9F67ED" w14:textId="77777777" w:rsidR="00BB0D3E" w:rsidRPr="00BB0D3E" w:rsidRDefault="00BB0D3E" w:rsidP="00BB0D3E">
                  <w:pPr>
                    <w:jc w:val="both"/>
                    <w:rPr>
                      <w:i/>
                      <w:iCs/>
                      <w:sz w:val="18"/>
                      <w:szCs w:val="18"/>
                    </w:rPr>
                  </w:pPr>
                  <w:r w:rsidRPr="00BB0D3E">
                    <w:rPr>
                      <w:i/>
                      <w:iCs/>
                      <w:sz w:val="18"/>
                      <w:szCs w:val="18"/>
                    </w:rPr>
                    <w:t>Inženierbūves, kuras neietilpst 1. vai 3. grupā</w:t>
                  </w:r>
                </w:p>
              </w:tc>
              <w:tc>
                <w:tcPr>
                  <w:tcW w:w="1679" w:type="pct"/>
                  <w:tcBorders>
                    <w:top w:val="outset" w:sz="6" w:space="0" w:color="414142"/>
                    <w:left w:val="outset" w:sz="6" w:space="0" w:color="414142"/>
                    <w:bottom w:val="outset" w:sz="6" w:space="0" w:color="414142"/>
                    <w:right w:val="outset" w:sz="6" w:space="0" w:color="414142"/>
                  </w:tcBorders>
                  <w:hideMark/>
                </w:tcPr>
                <w:p w14:paraId="2462E8EF" w14:textId="696A2791" w:rsidR="00BB0D3E" w:rsidRPr="00BB0D3E" w:rsidRDefault="00BB0D3E" w:rsidP="00BB0D3E">
                  <w:pPr>
                    <w:ind w:left="57" w:right="57"/>
                    <w:jc w:val="both"/>
                    <w:rPr>
                      <w:i/>
                      <w:iCs/>
                      <w:sz w:val="18"/>
                      <w:szCs w:val="18"/>
                    </w:rPr>
                  </w:pPr>
                  <w:r w:rsidRPr="00BB0D3E">
                    <w:rPr>
                      <w:i/>
                      <w:iCs/>
                      <w:sz w:val="18"/>
                      <w:szCs w:val="18"/>
                    </w:rPr>
                    <w:t xml:space="preserve">1) Autoceļa </w:t>
                  </w:r>
                  <w:r w:rsidR="001871F2">
                    <w:rPr>
                      <w:i/>
                      <w:iCs/>
                      <w:sz w:val="18"/>
                      <w:szCs w:val="18"/>
                    </w:rPr>
                    <w:t xml:space="preserve">vai ielas </w:t>
                  </w:r>
                  <w:r w:rsidRPr="00BB0D3E">
                    <w:rPr>
                      <w:i/>
                      <w:iCs/>
                      <w:sz w:val="18"/>
                      <w:szCs w:val="18"/>
                    </w:rPr>
                    <w:t>tilts ar laidumu 10 m un vairāk</w:t>
                  </w:r>
                  <w:r w:rsidR="00633F8C">
                    <w:rPr>
                      <w:i/>
                      <w:iCs/>
                      <w:sz w:val="18"/>
                      <w:szCs w:val="18"/>
                    </w:rPr>
                    <w:t xml:space="preserve"> vai garāks par 25 m</w:t>
                  </w:r>
                </w:p>
                <w:p w14:paraId="018ED9A4" w14:textId="77777777" w:rsidR="00BB0D3E" w:rsidRPr="00BB0D3E" w:rsidRDefault="00BB0D3E" w:rsidP="00BB0D3E">
                  <w:pPr>
                    <w:ind w:left="57" w:right="57"/>
                    <w:jc w:val="both"/>
                    <w:rPr>
                      <w:i/>
                      <w:iCs/>
                      <w:sz w:val="18"/>
                      <w:szCs w:val="18"/>
                    </w:rPr>
                  </w:pPr>
                  <w:r w:rsidRPr="00BB0D3E">
                    <w:rPr>
                      <w:i/>
                      <w:iCs/>
                      <w:sz w:val="18"/>
                      <w:szCs w:val="18"/>
                    </w:rPr>
                    <w:t>2) Tunelis</w:t>
                  </w:r>
                </w:p>
                <w:p w14:paraId="6040209F" w14:textId="059A2DE9" w:rsidR="00BB0D3E" w:rsidRPr="00BB0D3E" w:rsidRDefault="00BB0D3E" w:rsidP="00BB0D3E">
                  <w:pPr>
                    <w:ind w:left="57" w:right="57"/>
                    <w:jc w:val="both"/>
                    <w:rPr>
                      <w:i/>
                      <w:iCs/>
                      <w:strike/>
                      <w:sz w:val="18"/>
                      <w:szCs w:val="18"/>
                    </w:rPr>
                  </w:pPr>
                  <w:r w:rsidRPr="00BB0D3E">
                    <w:rPr>
                      <w:i/>
                      <w:iCs/>
                      <w:sz w:val="18"/>
                      <w:szCs w:val="18"/>
                    </w:rPr>
                    <w:t>3) </w:t>
                  </w:r>
                  <w:r w:rsidR="001871F2">
                    <w:rPr>
                      <w:i/>
                      <w:iCs/>
                      <w:sz w:val="18"/>
                      <w:szCs w:val="18"/>
                    </w:rPr>
                    <w:t>G</w:t>
                  </w:r>
                  <w:r w:rsidR="001871F2" w:rsidRPr="001871F2">
                    <w:rPr>
                      <w:i/>
                      <w:iCs/>
                      <w:sz w:val="18"/>
                      <w:szCs w:val="18"/>
                    </w:rPr>
                    <w:t>ājēju vai velosipēdistu, vai apvienots gājēju un velosipēdistu tilts ar laiduma garumu lielāku par 10 m;</w:t>
                  </w:r>
                </w:p>
                <w:p w14:paraId="17306EDF" w14:textId="77777777" w:rsidR="00BB0D3E" w:rsidRPr="00BB0D3E" w:rsidRDefault="00BB0D3E" w:rsidP="00BB0D3E">
                  <w:pPr>
                    <w:ind w:left="57" w:right="57"/>
                    <w:jc w:val="both"/>
                    <w:rPr>
                      <w:b/>
                      <w:i/>
                      <w:iCs/>
                      <w:sz w:val="18"/>
                      <w:szCs w:val="18"/>
                    </w:rPr>
                  </w:pPr>
                </w:p>
              </w:tc>
            </w:tr>
            <w:tr w:rsidR="00BB0D3E" w:rsidRPr="00BB0D3E" w14:paraId="42A482E4" w14:textId="77777777" w:rsidTr="00F040CE">
              <w:tc>
                <w:tcPr>
                  <w:tcW w:w="1016" w:type="pct"/>
                  <w:tcBorders>
                    <w:top w:val="outset" w:sz="6" w:space="0" w:color="414142"/>
                    <w:left w:val="outset" w:sz="6" w:space="0" w:color="414142"/>
                    <w:bottom w:val="outset" w:sz="6" w:space="0" w:color="414142"/>
                    <w:right w:val="outset" w:sz="6" w:space="0" w:color="414142"/>
                  </w:tcBorders>
                  <w:hideMark/>
                </w:tcPr>
                <w:p w14:paraId="5FC9A074" w14:textId="77777777" w:rsidR="00BB0D3E" w:rsidRPr="00BB0D3E" w:rsidRDefault="00BB0D3E" w:rsidP="00BB0D3E">
                  <w:pPr>
                    <w:ind w:left="57" w:right="57"/>
                    <w:jc w:val="both"/>
                    <w:rPr>
                      <w:i/>
                      <w:iCs/>
                      <w:sz w:val="18"/>
                      <w:szCs w:val="18"/>
                    </w:rPr>
                  </w:pPr>
                  <w:r w:rsidRPr="00BB0D3E">
                    <w:rPr>
                      <w:i/>
                      <w:iCs/>
                      <w:sz w:val="18"/>
                      <w:szCs w:val="18"/>
                    </w:rPr>
                    <w:t>Ministru kabineta 02.09.2014. noteikumi Nr.530 “Dzelzceļa būvnoteikumi”</w:t>
                  </w:r>
                </w:p>
              </w:tc>
              <w:tc>
                <w:tcPr>
                  <w:tcW w:w="1509" w:type="pct"/>
                  <w:tcBorders>
                    <w:top w:val="outset" w:sz="6" w:space="0" w:color="414142"/>
                    <w:left w:val="outset" w:sz="6" w:space="0" w:color="414142"/>
                    <w:bottom w:val="outset" w:sz="6" w:space="0" w:color="414142"/>
                    <w:right w:val="outset" w:sz="6" w:space="0" w:color="414142"/>
                  </w:tcBorders>
                  <w:hideMark/>
                </w:tcPr>
                <w:p w14:paraId="551D72E8" w14:textId="77777777" w:rsidR="00BB0D3E" w:rsidRPr="00BB0D3E" w:rsidRDefault="00BB0D3E" w:rsidP="00BB0D3E">
                  <w:pPr>
                    <w:ind w:left="57" w:right="57"/>
                    <w:jc w:val="both"/>
                    <w:rPr>
                      <w:i/>
                      <w:iCs/>
                      <w:sz w:val="18"/>
                      <w:szCs w:val="18"/>
                    </w:rPr>
                  </w:pPr>
                  <w:r w:rsidRPr="00BB0D3E">
                    <w:rPr>
                      <w:i/>
                      <w:iCs/>
                      <w:sz w:val="18"/>
                      <w:szCs w:val="18"/>
                    </w:rPr>
                    <w:t>1) Dzelzceļa gājēju pāreja un dzelzceļa tehnoloģiskā pārbrauktuve</w:t>
                  </w:r>
                </w:p>
                <w:p w14:paraId="65CE1648" w14:textId="1945EA7F" w:rsidR="00BB0D3E" w:rsidRPr="00BB0D3E" w:rsidRDefault="00BB0D3E" w:rsidP="00BB0D3E">
                  <w:pPr>
                    <w:ind w:left="57" w:right="57"/>
                    <w:jc w:val="both"/>
                    <w:rPr>
                      <w:i/>
                      <w:iCs/>
                      <w:sz w:val="18"/>
                      <w:szCs w:val="18"/>
                    </w:rPr>
                  </w:pPr>
                  <w:r w:rsidRPr="00BB0D3E">
                    <w:rPr>
                      <w:i/>
                      <w:iCs/>
                      <w:sz w:val="18"/>
                      <w:szCs w:val="18"/>
                    </w:rPr>
                    <w:t xml:space="preserve">2) Satiksmes organizācijas un kontroles (uzraudzības) </w:t>
                  </w:r>
                  <w:r w:rsidR="001871F2">
                    <w:rPr>
                      <w:i/>
                      <w:iCs/>
                      <w:sz w:val="18"/>
                      <w:szCs w:val="18"/>
                    </w:rPr>
                    <w:t>inženierbūves</w:t>
                  </w:r>
                </w:p>
              </w:tc>
              <w:tc>
                <w:tcPr>
                  <w:tcW w:w="796" w:type="pct"/>
                  <w:tcBorders>
                    <w:top w:val="outset" w:sz="6" w:space="0" w:color="414142"/>
                    <w:left w:val="outset" w:sz="6" w:space="0" w:color="414142"/>
                    <w:bottom w:val="outset" w:sz="6" w:space="0" w:color="414142"/>
                    <w:right w:val="outset" w:sz="6" w:space="0" w:color="414142"/>
                  </w:tcBorders>
                </w:tcPr>
                <w:p w14:paraId="2E39A67E" w14:textId="77777777" w:rsidR="00BB0D3E" w:rsidRPr="00BB0D3E" w:rsidRDefault="00BB0D3E" w:rsidP="00BB0D3E">
                  <w:pPr>
                    <w:ind w:left="57" w:right="57"/>
                    <w:jc w:val="both"/>
                    <w:rPr>
                      <w:i/>
                      <w:iCs/>
                      <w:sz w:val="18"/>
                      <w:szCs w:val="18"/>
                    </w:rPr>
                  </w:pPr>
                </w:p>
              </w:tc>
              <w:tc>
                <w:tcPr>
                  <w:tcW w:w="1679" w:type="pct"/>
                  <w:tcBorders>
                    <w:top w:val="outset" w:sz="6" w:space="0" w:color="414142"/>
                    <w:left w:val="outset" w:sz="6" w:space="0" w:color="414142"/>
                    <w:bottom w:val="outset" w:sz="6" w:space="0" w:color="414142"/>
                    <w:right w:val="outset" w:sz="6" w:space="0" w:color="414142"/>
                  </w:tcBorders>
                  <w:hideMark/>
                </w:tcPr>
                <w:p w14:paraId="74B4FD8C" w14:textId="77777777" w:rsidR="00BB0D3E" w:rsidRPr="00BB0D3E" w:rsidRDefault="00BB0D3E" w:rsidP="00BB0D3E">
                  <w:pPr>
                    <w:ind w:left="57" w:right="57"/>
                    <w:jc w:val="both"/>
                    <w:rPr>
                      <w:i/>
                      <w:iCs/>
                      <w:sz w:val="18"/>
                      <w:szCs w:val="18"/>
                    </w:rPr>
                  </w:pPr>
                  <w:r w:rsidRPr="00BB0D3E">
                    <w:rPr>
                      <w:i/>
                      <w:iCs/>
                      <w:sz w:val="18"/>
                      <w:szCs w:val="18"/>
                    </w:rPr>
                    <w:t>1) Publiskās lietošanas dzelzceļš</w:t>
                  </w:r>
                </w:p>
                <w:p w14:paraId="5E6FD287" w14:textId="66EA7037" w:rsidR="00BB0D3E" w:rsidRPr="00BB0D3E" w:rsidRDefault="00BB0D3E" w:rsidP="00BB0D3E">
                  <w:pPr>
                    <w:ind w:left="57" w:right="57"/>
                    <w:jc w:val="both"/>
                    <w:rPr>
                      <w:i/>
                      <w:iCs/>
                      <w:sz w:val="18"/>
                      <w:szCs w:val="18"/>
                    </w:rPr>
                  </w:pPr>
                  <w:r w:rsidRPr="00BB0D3E">
                    <w:rPr>
                      <w:i/>
                      <w:iCs/>
                      <w:sz w:val="18"/>
                      <w:szCs w:val="18"/>
                    </w:rPr>
                    <w:t>2) Dzelzceļa viadukts, pārvads un</w:t>
                  </w:r>
                  <w:r w:rsidR="001871F2">
                    <w:rPr>
                      <w:i/>
                      <w:iCs/>
                      <w:sz w:val="18"/>
                      <w:szCs w:val="18"/>
                    </w:rPr>
                    <w:t xml:space="preserve"> citi</w:t>
                  </w:r>
                  <w:r w:rsidRPr="00BB0D3E">
                    <w:rPr>
                      <w:i/>
                      <w:iCs/>
                      <w:sz w:val="18"/>
                      <w:szCs w:val="18"/>
                    </w:rPr>
                    <w:t xml:space="preserve"> tilt</w:t>
                  </w:r>
                  <w:r w:rsidR="001871F2">
                    <w:rPr>
                      <w:i/>
                      <w:iCs/>
                      <w:sz w:val="18"/>
                      <w:szCs w:val="18"/>
                    </w:rPr>
                    <w:t>i</w:t>
                  </w:r>
                  <w:r w:rsidRPr="00BB0D3E">
                    <w:rPr>
                      <w:i/>
                      <w:iCs/>
                      <w:sz w:val="18"/>
                      <w:szCs w:val="18"/>
                    </w:rPr>
                    <w:t xml:space="preserve"> ar laidumu 10 m un vairāk</w:t>
                  </w:r>
                  <w:r w:rsidR="00633F8C">
                    <w:rPr>
                      <w:i/>
                      <w:iCs/>
                      <w:sz w:val="18"/>
                      <w:szCs w:val="18"/>
                    </w:rPr>
                    <w:t xml:space="preserve"> vai garāks par 25 m.</w:t>
                  </w:r>
                </w:p>
                <w:p w14:paraId="02EC69D3" w14:textId="77777777" w:rsidR="00BB0D3E" w:rsidRPr="00BB0D3E" w:rsidRDefault="00BB0D3E" w:rsidP="00BB0D3E">
                  <w:pPr>
                    <w:ind w:left="57" w:right="57"/>
                    <w:jc w:val="both"/>
                    <w:rPr>
                      <w:i/>
                      <w:iCs/>
                      <w:sz w:val="18"/>
                      <w:szCs w:val="18"/>
                    </w:rPr>
                  </w:pPr>
                  <w:r w:rsidRPr="00BB0D3E">
                    <w:rPr>
                      <w:i/>
                      <w:iCs/>
                      <w:sz w:val="18"/>
                      <w:szCs w:val="18"/>
                    </w:rPr>
                    <w:t>3) Tunelis</w:t>
                  </w:r>
                </w:p>
              </w:tc>
            </w:tr>
            <w:tr w:rsidR="00BB0D3E" w:rsidRPr="00BB0D3E" w14:paraId="1051E5DC" w14:textId="77777777" w:rsidTr="00F040CE">
              <w:tc>
                <w:tcPr>
                  <w:tcW w:w="1016" w:type="pct"/>
                  <w:tcBorders>
                    <w:top w:val="outset" w:sz="6" w:space="0" w:color="414142"/>
                    <w:left w:val="outset" w:sz="6" w:space="0" w:color="414142"/>
                    <w:bottom w:val="outset" w:sz="6" w:space="0" w:color="414142"/>
                    <w:right w:val="outset" w:sz="6" w:space="0" w:color="414142"/>
                  </w:tcBorders>
                  <w:hideMark/>
                </w:tcPr>
                <w:p w14:paraId="3C3E4A5C" w14:textId="77777777" w:rsidR="00BB0D3E" w:rsidRPr="00BB0D3E" w:rsidRDefault="00BB0D3E" w:rsidP="00BB0D3E">
                  <w:pPr>
                    <w:ind w:left="57" w:right="57"/>
                    <w:jc w:val="both"/>
                    <w:rPr>
                      <w:i/>
                      <w:iCs/>
                      <w:sz w:val="18"/>
                      <w:szCs w:val="18"/>
                    </w:rPr>
                  </w:pPr>
                  <w:r w:rsidRPr="00BB0D3E">
                    <w:rPr>
                      <w:i/>
                      <w:iCs/>
                      <w:sz w:val="18"/>
                      <w:szCs w:val="18"/>
                    </w:rPr>
                    <w:t>Ministru kabineta 19.08.2014. noteikumi Nr.501 “Elektronisko sakaru tīklu ierīkošanas, būvniecības un uzraudzības kārtība”</w:t>
                  </w:r>
                </w:p>
              </w:tc>
              <w:tc>
                <w:tcPr>
                  <w:tcW w:w="1509" w:type="pct"/>
                  <w:tcBorders>
                    <w:top w:val="outset" w:sz="6" w:space="0" w:color="414142"/>
                    <w:left w:val="outset" w:sz="6" w:space="0" w:color="414142"/>
                    <w:bottom w:val="outset" w:sz="6" w:space="0" w:color="414142"/>
                    <w:right w:val="outset" w:sz="6" w:space="0" w:color="414142"/>
                  </w:tcBorders>
                  <w:hideMark/>
                </w:tcPr>
                <w:p w14:paraId="3CB77A9F" w14:textId="77777777" w:rsidR="00BB0D3E" w:rsidRPr="00BB0D3E" w:rsidRDefault="00BB0D3E" w:rsidP="00BB0D3E">
                  <w:pPr>
                    <w:ind w:left="57" w:right="57"/>
                    <w:jc w:val="both"/>
                    <w:rPr>
                      <w:i/>
                      <w:iCs/>
                      <w:sz w:val="18"/>
                      <w:szCs w:val="18"/>
                    </w:rPr>
                  </w:pPr>
                  <w:r w:rsidRPr="00BB0D3E">
                    <w:rPr>
                      <w:i/>
                      <w:iCs/>
                      <w:sz w:val="18"/>
                      <w:szCs w:val="18"/>
                    </w:rPr>
                    <w:t>1) Elektronisko sakaru stabs, tornis vai masts līdz 10 m</w:t>
                  </w:r>
                </w:p>
                <w:p w14:paraId="65E7FF60" w14:textId="77777777" w:rsidR="00BB0D3E" w:rsidRPr="00BB0D3E" w:rsidRDefault="00BB0D3E" w:rsidP="00BB0D3E">
                  <w:pPr>
                    <w:ind w:left="57" w:right="57"/>
                    <w:jc w:val="both"/>
                    <w:rPr>
                      <w:i/>
                      <w:iCs/>
                      <w:sz w:val="18"/>
                      <w:szCs w:val="18"/>
                    </w:rPr>
                  </w:pPr>
                  <w:r w:rsidRPr="00BB0D3E">
                    <w:rPr>
                      <w:i/>
                      <w:iCs/>
                      <w:sz w:val="18"/>
                      <w:szCs w:val="18"/>
                    </w:rPr>
                    <w:t>2) Elektronisko sakaru ārējie inženiertīkli</w:t>
                  </w:r>
                </w:p>
                <w:p w14:paraId="103CE902" w14:textId="77777777" w:rsidR="00BB0D3E" w:rsidRPr="00BB0D3E" w:rsidRDefault="00BB0D3E" w:rsidP="00BB0D3E">
                  <w:pPr>
                    <w:ind w:left="57" w:right="57"/>
                    <w:jc w:val="both"/>
                    <w:rPr>
                      <w:i/>
                      <w:iCs/>
                      <w:sz w:val="18"/>
                      <w:szCs w:val="18"/>
                    </w:rPr>
                  </w:pPr>
                  <w:r w:rsidRPr="00BB0D3E">
                    <w:rPr>
                      <w:i/>
                      <w:iCs/>
                      <w:sz w:val="18"/>
                      <w:szCs w:val="18"/>
                    </w:rPr>
                    <w:t>4) Elektronisko sakaru inženiertīklu pievads</w:t>
                  </w:r>
                </w:p>
              </w:tc>
              <w:tc>
                <w:tcPr>
                  <w:tcW w:w="796" w:type="pct"/>
                  <w:tcBorders>
                    <w:top w:val="outset" w:sz="6" w:space="0" w:color="414142"/>
                    <w:left w:val="outset" w:sz="6" w:space="0" w:color="414142"/>
                    <w:bottom w:val="outset" w:sz="6" w:space="0" w:color="414142"/>
                    <w:right w:val="outset" w:sz="6" w:space="0" w:color="414142"/>
                  </w:tcBorders>
                </w:tcPr>
                <w:p w14:paraId="0BC3B11F" w14:textId="77777777" w:rsidR="00BB0D3E" w:rsidRPr="00BB0D3E" w:rsidRDefault="00BB0D3E" w:rsidP="00BB0D3E">
                  <w:pPr>
                    <w:ind w:left="57" w:right="57"/>
                    <w:jc w:val="both"/>
                    <w:rPr>
                      <w:i/>
                      <w:iCs/>
                      <w:sz w:val="18"/>
                      <w:szCs w:val="18"/>
                    </w:rPr>
                  </w:pPr>
                </w:p>
              </w:tc>
              <w:tc>
                <w:tcPr>
                  <w:tcW w:w="1679" w:type="pct"/>
                  <w:tcBorders>
                    <w:top w:val="outset" w:sz="6" w:space="0" w:color="414142"/>
                    <w:left w:val="outset" w:sz="6" w:space="0" w:color="414142"/>
                    <w:bottom w:val="outset" w:sz="6" w:space="0" w:color="414142"/>
                    <w:right w:val="outset" w:sz="6" w:space="0" w:color="414142"/>
                  </w:tcBorders>
                  <w:hideMark/>
                </w:tcPr>
                <w:p w14:paraId="6D6E98FF" w14:textId="77777777" w:rsidR="00BB0D3E" w:rsidRPr="00BB0D3E" w:rsidRDefault="00BB0D3E" w:rsidP="00BB0D3E">
                  <w:pPr>
                    <w:ind w:left="57" w:right="57"/>
                    <w:jc w:val="both"/>
                    <w:rPr>
                      <w:i/>
                      <w:iCs/>
                      <w:sz w:val="18"/>
                      <w:szCs w:val="18"/>
                    </w:rPr>
                  </w:pPr>
                  <w:r w:rsidRPr="00BB0D3E">
                    <w:rPr>
                      <w:i/>
                      <w:iCs/>
                      <w:sz w:val="18"/>
                      <w:szCs w:val="18"/>
                    </w:rPr>
                    <w:t>Tornis, masts, stabs, augstāks par 100 m</w:t>
                  </w:r>
                </w:p>
                <w:p w14:paraId="46F06B51" w14:textId="77777777" w:rsidR="00BB0D3E" w:rsidRPr="00BB0D3E" w:rsidRDefault="00BB0D3E" w:rsidP="00BB0D3E">
                  <w:pPr>
                    <w:ind w:left="57" w:right="57"/>
                    <w:jc w:val="both"/>
                    <w:rPr>
                      <w:i/>
                      <w:iCs/>
                      <w:sz w:val="18"/>
                      <w:szCs w:val="18"/>
                    </w:rPr>
                  </w:pPr>
                </w:p>
              </w:tc>
            </w:tr>
            <w:tr w:rsidR="00BB0D3E" w:rsidRPr="00BB0D3E" w14:paraId="0355360D" w14:textId="77777777" w:rsidTr="00F040CE">
              <w:tc>
                <w:tcPr>
                  <w:tcW w:w="1016" w:type="pct"/>
                  <w:tcBorders>
                    <w:top w:val="outset" w:sz="6" w:space="0" w:color="414142"/>
                    <w:left w:val="outset" w:sz="6" w:space="0" w:color="414142"/>
                    <w:bottom w:val="outset" w:sz="6" w:space="0" w:color="414142"/>
                    <w:right w:val="outset" w:sz="6" w:space="0" w:color="414142"/>
                  </w:tcBorders>
                  <w:hideMark/>
                </w:tcPr>
                <w:p w14:paraId="30EBDDD3" w14:textId="77777777" w:rsidR="00BB0D3E" w:rsidRPr="00BB0D3E" w:rsidRDefault="00BB0D3E" w:rsidP="00BB0D3E">
                  <w:pPr>
                    <w:ind w:left="57" w:right="57"/>
                    <w:jc w:val="both"/>
                    <w:rPr>
                      <w:i/>
                      <w:iCs/>
                      <w:sz w:val="18"/>
                      <w:szCs w:val="18"/>
                    </w:rPr>
                  </w:pPr>
                  <w:r w:rsidRPr="00BB0D3E">
                    <w:rPr>
                      <w:i/>
                      <w:iCs/>
                      <w:sz w:val="18"/>
                      <w:szCs w:val="18"/>
                    </w:rPr>
                    <w:t>Ministru kabineta 16.09.2014. noteikumi Nr.550 “Hidrotehnisko un meliorācijas būvju būvnoteikumi”</w:t>
                  </w:r>
                </w:p>
              </w:tc>
              <w:tc>
                <w:tcPr>
                  <w:tcW w:w="1509" w:type="pct"/>
                  <w:tcBorders>
                    <w:top w:val="outset" w:sz="6" w:space="0" w:color="414142"/>
                    <w:left w:val="outset" w:sz="6" w:space="0" w:color="414142"/>
                    <w:bottom w:val="outset" w:sz="6" w:space="0" w:color="414142"/>
                    <w:right w:val="outset" w:sz="6" w:space="0" w:color="414142"/>
                  </w:tcBorders>
                  <w:hideMark/>
                </w:tcPr>
                <w:p w14:paraId="63A9A444" w14:textId="77777777" w:rsidR="00BB0D3E" w:rsidRPr="00BB0D3E" w:rsidRDefault="00BB0D3E" w:rsidP="00BB0D3E">
                  <w:pPr>
                    <w:ind w:left="57" w:right="57"/>
                    <w:jc w:val="both"/>
                    <w:rPr>
                      <w:i/>
                      <w:iCs/>
                      <w:sz w:val="18"/>
                      <w:szCs w:val="18"/>
                    </w:rPr>
                  </w:pPr>
                  <w:r w:rsidRPr="00BB0D3E">
                    <w:rPr>
                      <w:i/>
                      <w:iCs/>
                      <w:sz w:val="18"/>
                      <w:szCs w:val="18"/>
                    </w:rPr>
                    <w:t>1) Viena īpašuma meliorācijas sistēma vai atsevišķa būve, tai skaitā grāvis</w:t>
                  </w:r>
                </w:p>
                <w:p w14:paraId="7E0FC2E1" w14:textId="77777777" w:rsidR="00BB0D3E" w:rsidRPr="00BB0D3E" w:rsidRDefault="00BB0D3E" w:rsidP="00BB0D3E">
                  <w:pPr>
                    <w:pStyle w:val="NoSpacing"/>
                    <w:ind w:left="57" w:right="57"/>
                    <w:rPr>
                      <w:i/>
                      <w:iCs/>
                      <w:sz w:val="18"/>
                      <w:szCs w:val="18"/>
                      <w:lang w:val="lv-LV"/>
                    </w:rPr>
                  </w:pPr>
                  <w:r w:rsidRPr="00BB0D3E">
                    <w:rPr>
                      <w:rFonts w:eastAsia="Times New Roman"/>
                      <w:i/>
                      <w:iCs/>
                      <w:sz w:val="18"/>
                      <w:szCs w:val="18"/>
                      <w:lang w:eastAsia="lv-LV"/>
                    </w:rPr>
                    <w:t>2) </w:t>
                  </w:r>
                  <w:r w:rsidRPr="00BB0D3E">
                    <w:rPr>
                      <w:rFonts w:eastAsia="Times New Roman"/>
                      <w:i/>
                      <w:iCs/>
                      <w:sz w:val="18"/>
                      <w:szCs w:val="18"/>
                      <w:lang w:val="lv-LV" w:eastAsia="lv-LV"/>
                    </w:rPr>
                    <w:t xml:space="preserve">Rakts dīķis </w:t>
                  </w:r>
                  <w:r w:rsidRPr="00BB0D3E">
                    <w:rPr>
                      <w:i/>
                      <w:iCs/>
                      <w:sz w:val="18"/>
                      <w:szCs w:val="18"/>
                      <w:lang w:val="lv-LV"/>
                    </w:rPr>
                    <w:t>ar virsmas laukumu līdz 0,5 ha platībā</w:t>
                  </w:r>
                </w:p>
                <w:p w14:paraId="3DB42D72" w14:textId="77777777" w:rsidR="00BB0D3E" w:rsidRPr="00BB0D3E" w:rsidRDefault="00BB0D3E" w:rsidP="00BB0D3E">
                  <w:pPr>
                    <w:ind w:left="57" w:right="57"/>
                    <w:jc w:val="both"/>
                    <w:rPr>
                      <w:i/>
                      <w:iCs/>
                      <w:sz w:val="18"/>
                      <w:szCs w:val="18"/>
                    </w:rPr>
                  </w:pPr>
                </w:p>
              </w:tc>
              <w:tc>
                <w:tcPr>
                  <w:tcW w:w="796" w:type="pct"/>
                  <w:tcBorders>
                    <w:top w:val="outset" w:sz="6" w:space="0" w:color="414142"/>
                    <w:left w:val="outset" w:sz="6" w:space="0" w:color="414142"/>
                    <w:bottom w:val="outset" w:sz="6" w:space="0" w:color="414142"/>
                    <w:right w:val="outset" w:sz="6" w:space="0" w:color="414142"/>
                  </w:tcBorders>
                </w:tcPr>
                <w:p w14:paraId="4440440F" w14:textId="77777777" w:rsidR="00BB0D3E" w:rsidRPr="00BB0D3E" w:rsidRDefault="00BB0D3E" w:rsidP="00BB0D3E">
                  <w:pPr>
                    <w:pStyle w:val="NoSpacing"/>
                    <w:ind w:left="57" w:right="57"/>
                    <w:rPr>
                      <w:i/>
                      <w:iCs/>
                      <w:sz w:val="18"/>
                      <w:szCs w:val="18"/>
                      <w:lang w:val="lv-LV"/>
                    </w:rPr>
                  </w:pPr>
                </w:p>
              </w:tc>
              <w:tc>
                <w:tcPr>
                  <w:tcW w:w="1679" w:type="pct"/>
                  <w:tcBorders>
                    <w:top w:val="outset" w:sz="6" w:space="0" w:color="414142"/>
                    <w:left w:val="outset" w:sz="6" w:space="0" w:color="414142"/>
                    <w:bottom w:val="outset" w:sz="6" w:space="0" w:color="414142"/>
                    <w:right w:val="outset" w:sz="6" w:space="0" w:color="414142"/>
                  </w:tcBorders>
                  <w:hideMark/>
                </w:tcPr>
                <w:p w14:paraId="707FBE86" w14:textId="3465C580" w:rsidR="00BB0D3E" w:rsidRPr="00BB0D3E" w:rsidRDefault="00BB0D3E" w:rsidP="00BB0D3E">
                  <w:pPr>
                    <w:pStyle w:val="NoSpacing"/>
                    <w:ind w:left="57" w:right="57"/>
                    <w:rPr>
                      <w:i/>
                      <w:iCs/>
                      <w:sz w:val="18"/>
                      <w:szCs w:val="18"/>
                      <w:lang w:val="lv-LV"/>
                    </w:rPr>
                  </w:pPr>
                  <w:r w:rsidRPr="00BB0D3E">
                    <w:rPr>
                      <w:i/>
                      <w:iCs/>
                      <w:sz w:val="18"/>
                      <w:szCs w:val="18"/>
                      <w:lang w:val="lv-LV"/>
                    </w:rPr>
                    <w:t xml:space="preserve">1) </w:t>
                  </w:r>
                  <w:r w:rsidR="006177AF">
                    <w:rPr>
                      <w:i/>
                      <w:iCs/>
                      <w:sz w:val="18"/>
                      <w:szCs w:val="18"/>
                      <w:lang w:val="lv-LV"/>
                    </w:rPr>
                    <w:t>Ū</w:t>
                  </w:r>
                  <w:r w:rsidR="001871F2" w:rsidRPr="001871F2">
                    <w:rPr>
                      <w:i/>
                      <w:iCs/>
                      <w:sz w:val="18"/>
                      <w:szCs w:val="18"/>
                      <w:lang w:val="lv-LV"/>
                    </w:rPr>
                    <w:t>densteču un ūdenstilpju krasta nostiprinājumi un krastmalas, ja ūdens dziļums lielāks par 6 m</w:t>
                  </w:r>
                </w:p>
                <w:p w14:paraId="6FBD1B07" w14:textId="4D4F76C6" w:rsidR="00BB0D3E" w:rsidRPr="00BB0D3E" w:rsidRDefault="00BB0D3E" w:rsidP="00BB0D3E">
                  <w:pPr>
                    <w:pStyle w:val="NoSpacing"/>
                    <w:ind w:left="57" w:right="57"/>
                    <w:rPr>
                      <w:i/>
                      <w:iCs/>
                      <w:sz w:val="18"/>
                      <w:szCs w:val="18"/>
                      <w:lang w:val="lv-LV"/>
                    </w:rPr>
                  </w:pPr>
                  <w:r w:rsidRPr="00BB0D3E">
                    <w:rPr>
                      <w:i/>
                      <w:iCs/>
                      <w:sz w:val="18"/>
                      <w:szCs w:val="18"/>
                      <w:lang w:val="lv-LV"/>
                    </w:rPr>
                    <w:t xml:space="preserve">2) </w:t>
                  </w:r>
                  <w:r w:rsidR="006177AF">
                    <w:rPr>
                      <w:i/>
                      <w:iCs/>
                      <w:sz w:val="18"/>
                      <w:szCs w:val="18"/>
                      <w:lang w:val="lv-LV"/>
                    </w:rPr>
                    <w:t>Ū</w:t>
                  </w:r>
                  <w:r w:rsidR="001871F2" w:rsidRPr="001871F2">
                    <w:rPr>
                      <w:i/>
                      <w:iCs/>
                      <w:sz w:val="18"/>
                      <w:szCs w:val="18"/>
                      <w:lang w:val="lv-LV"/>
                    </w:rPr>
                    <w:t xml:space="preserve">dens noteces un līmeņa regulēšanas hidrotehniskās inženierbūve, ja aizsprosta augstums pārsniedz 10 m, vai </w:t>
                  </w:r>
                  <w:proofErr w:type="spellStart"/>
                  <w:r w:rsidR="001871F2" w:rsidRPr="001871F2">
                    <w:rPr>
                      <w:i/>
                      <w:iCs/>
                      <w:sz w:val="18"/>
                      <w:szCs w:val="18"/>
                      <w:lang w:val="lv-LV"/>
                    </w:rPr>
                    <w:t>novadbūves</w:t>
                  </w:r>
                  <w:proofErr w:type="spellEnd"/>
                  <w:r w:rsidR="001871F2" w:rsidRPr="001871F2">
                    <w:rPr>
                      <w:i/>
                      <w:iCs/>
                      <w:sz w:val="18"/>
                      <w:szCs w:val="18"/>
                      <w:lang w:val="lv-LV"/>
                    </w:rPr>
                    <w:t xml:space="preserve"> </w:t>
                  </w:r>
                  <w:proofErr w:type="spellStart"/>
                  <w:r w:rsidR="001871F2" w:rsidRPr="001871F2">
                    <w:rPr>
                      <w:i/>
                      <w:iCs/>
                      <w:sz w:val="18"/>
                      <w:szCs w:val="18"/>
                      <w:lang w:val="lv-LV"/>
                    </w:rPr>
                    <w:t>caurvades</w:t>
                  </w:r>
                  <w:proofErr w:type="spellEnd"/>
                  <w:r w:rsidR="001871F2" w:rsidRPr="001871F2">
                    <w:rPr>
                      <w:i/>
                      <w:iCs/>
                      <w:sz w:val="18"/>
                      <w:szCs w:val="18"/>
                      <w:lang w:val="lv-LV"/>
                    </w:rPr>
                    <w:t xml:space="preserve"> spēja ir lielāka par 500 m</w:t>
                  </w:r>
                  <w:r w:rsidR="001871F2" w:rsidRPr="001871F2">
                    <w:rPr>
                      <w:i/>
                      <w:iCs/>
                      <w:sz w:val="18"/>
                      <w:szCs w:val="18"/>
                      <w:vertAlign w:val="superscript"/>
                      <w:lang w:val="lv-LV"/>
                    </w:rPr>
                    <w:t>3</w:t>
                  </w:r>
                  <w:r w:rsidR="001871F2" w:rsidRPr="001871F2">
                    <w:rPr>
                      <w:i/>
                      <w:iCs/>
                      <w:sz w:val="18"/>
                      <w:szCs w:val="18"/>
                      <w:lang w:val="lv-LV"/>
                    </w:rPr>
                    <w:t>/s</w:t>
                  </w:r>
                </w:p>
                <w:p w14:paraId="735044FA" w14:textId="77777777" w:rsidR="00BB0D3E" w:rsidRDefault="00BB0D3E" w:rsidP="00BB0D3E">
                  <w:pPr>
                    <w:ind w:left="57" w:right="57"/>
                    <w:jc w:val="both"/>
                    <w:rPr>
                      <w:i/>
                      <w:iCs/>
                      <w:sz w:val="18"/>
                      <w:szCs w:val="18"/>
                    </w:rPr>
                  </w:pPr>
                  <w:r w:rsidRPr="00BB0D3E">
                    <w:rPr>
                      <w:i/>
                      <w:iCs/>
                      <w:sz w:val="18"/>
                      <w:szCs w:val="18"/>
                    </w:rPr>
                    <w:t xml:space="preserve">3) Ūdens resursu izmantošanas </w:t>
                  </w:r>
                  <w:r w:rsidRPr="00BB0D3E">
                    <w:rPr>
                      <w:i/>
                      <w:iCs/>
                      <w:sz w:val="18"/>
                      <w:szCs w:val="18"/>
                    </w:rPr>
                    <w:lastRenderedPageBreak/>
                    <w:t>hidrotehniskā inženierbūve, ja hidroelektrostacijas projektētā jauda ir no 1 MW līdz 2 MW vai sūkņu stacijas ražīgums ir lielāks par 5 m</w:t>
                  </w:r>
                  <w:r w:rsidRPr="00BB0D3E">
                    <w:rPr>
                      <w:i/>
                      <w:iCs/>
                      <w:sz w:val="18"/>
                      <w:szCs w:val="18"/>
                      <w:vertAlign w:val="superscript"/>
                    </w:rPr>
                    <w:t>3</w:t>
                  </w:r>
                  <w:r w:rsidRPr="00BB0D3E">
                    <w:rPr>
                      <w:i/>
                      <w:iCs/>
                      <w:sz w:val="18"/>
                      <w:szCs w:val="18"/>
                    </w:rPr>
                    <w:t>/s</w:t>
                  </w:r>
                  <w:r w:rsidR="001871F2">
                    <w:rPr>
                      <w:i/>
                      <w:iCs/>
                      <w:sz w:val="18"/>
                      <w:szCs w:val="18"/>
                    </w:rPr>
                    <w:t>;</w:t>
                  </w:r>
                </w:p>
                <w:p w14:paraId="3939ECDC" w14:textId="4CE19DE7" w:rsidR="001871F2" w:rsidRDefault="001871F2" w:rsidP="00BB0D3E">
                  <w:pPr>
                    <w:ind w:left="57" w:right="57"/>
                    <w:jc w:val="both"/>
                    <w:rPr>
                      <w:i/>
                      <w:iCs/>
                      <w:sz w:val="18"/>
                      <w:szCs w:val="18"/>
                    </w:rPr>
                  </w:pPr>
                  <w:r>
                    <w:rPr>
                      <w:i/>
                      <w:iCs/>
                      <w:sz w:val="18"/>
                      <w:szCs w:val="18"/>
                    </w:rPr>
                    <w:t>4) S</w:t>
                  </w:r>
                  <w:r w:rsidRPr="001871F2">
                    <w:rPr>
                      <w:i/>
                      <w:iCs/>
                      <w:sz w:val="18"/>
                      <w:szCs w:val="18"/>
                    </w:rPr>
                    <w:t>tacionārās piestātnes ūdenstecēs un ūdenstilpēs, ja ūdens dziļums lielāks par 6 m;</w:t>
                  </w:r>
                </w:p>
                <w:p w14:paraId="44C2E197" w14:textId="7EBB4181" w:rsidR="001871F2" w:rsidRPr="00BB0D3E" w:rsidRDefault="001871F2" w:rsidP="00BB0D3E">
                  <w:pPr>
                    <w:ind w:left="57" w:right="57"/>
                    <w:jc w:val="both"/>
                    <w:rPr>
                      <w:i/>
                      <w:iCs/>
                      <w:sz w:val="18"/>
                      <w:szCs w:val="18"/>
                    </w:rPr>
                  </w:pPr>
                  <w:r>
                    <w:rPr>
                      <w:i/>
                      <w:iCs/>
                      <w:sz w:val="18"/>
                      <w:szCs w:val="18"/>
                    </w:rPr>
                    <w:t>5) S</w:t>
                  </w:r>
                  <w:r w:rsidRPr="001871F2">
                    <w:rPr>
                      <w:i/>
                      <w:iCs/>
                      <w:sz w:val="18"/>
                      <w:szCs w:val="18"/>
                    </w:rPr>
                    <w:t>tacionāras piestātnes un krasta nostiprinājumi jūrā un ostās;</w:t>
                  </w:r>
                </w:p>
              </w:tc>
            </w:tr>
            <w:tr w:rsidR="00BB0D3E" w:rsidRPr="00BB0D3E" w14:paraId="1ACD593C" w14:textId="77777777" w:rsidTr="00F040CE">
              <w:tc>
                <w:tcPr>
                  <w:tcW w:w="1016" w:type="pct"/>
                  <w:tcBorders>
                    <w:top w:val="outset" w:sz="6" w:space="0" w:color="414142"/>
                    <w:left w:val="outset" w:sz="6" w:space="0" w:color="414142"/>
                    <w:bottom w:val="outset" w:sz="6" w:space="0" w:color="414142"/>
                    <w:right w:val="outset" w:sz="6" w:space="0" w:color="414142"/>
                  </w:tcBorders>
                  <w:hideMark/>
                </w:tcPr>
                <w:p w14:paraId="77073C2E" w14:textId="77777777" w:rsidR="00BB0D3E" w:rsidRPr="00BB0D3E" w:rsidRDefault="00BB0D3E" w:rsidP="00BB0D3E">
                  <w:pPr>
                    <w:ind w:left="57" w:right="57"/>
                    <w:jc w:val="both"/>
                    <w:rPr>
                      <w:i/>
                      <w:iCs/>
                      <w:sz w:val="18"/>
                      <w:szCs w:val="18"/>
                    </w:rPr>
                  </w:pPr>
                  <w:r w:rsidRPr="00BB0D3E">
                    <w:rPr>
                      <w:i/>
                      <w:iCs/>
                      <w:sz w:val="18"/>
                      <w:szCs w:val="18"/>
                    </w:rPr>
                    <w:lastRenderedPageBreak/>
                    <w:t>Ministru kabineta 24.11.2015. noteikumi Nr.661 “Ar radiācijas drošību saistīto būvju būvnoteikumi”</w:t>
                  </w:r>
                </w:p>
              </w:tc>
              <w:tc>
                <w:tcPr>
                  <w:tcW w:w="1509" w:type="pct"/>
                  <w:tcBorders>
                    <w:top w:val="outset" w:sz="6" w:space="0" w:color="414142"/>
                    <w:left w:val="outset" w:sz="6" w:space="0" w:color="414142"/>
                    <w:bottom w:val="outset" w:sz="6" w:space="0" w:color="414142"/>
                    <w:right w:val="outset" w:sz="6" w:space="0" w:color="414142"/>
                  </w:tcBorders>
                  <w:hideMark/>
                </w:tcPr>
                <w:p w14:paraId="6B9C9809" w14:textId="77777777" w:rsidR="00BB0D3E" w:rsidRPr="00BB0D3E" w:rsidRDefault="00BB0D3E" w:rsidP="00BB0D3E">
                  <w:pPr>
                    <w:ind w:left="57" w:right="57"/>
                    <w:jc w:val="both"/>
                    <w:rPr>
                      <w:i/>
                      <w:iCs/>
                      <w:sz w:val="18"/>
                      <w:szCs w:val="18"/>
                    </w:rPr>
                  </w:pPr>
                  <w:r w:rsidRPr="00BB0D3E">
                    <w:rPr>
                      <w:i/>
                      <w:iCs/>
                      <w:sz w:val="18"/>
                      <w:szCs w:val="18"/>
                    </w:rPr>
                    <w:t> </w:t>
                  </w:r>
                </w:p>
              </w:tc>
              <w:tc>
                <w:tcPr>
                  <w:tcW w:w="796" w:type="pct"/>
                  <w:tcBorders>
                    <w:top w:val="outset" w:sz="6" w:space="0" w:color="414142"/>
                    <w:left w:val="outset" w:sz="6" w:space="0" w:color="414142"/>
                    <w:bottom w:val="outset" w:sz="6" w:space="0" w:color="414142"/>
                    <w:right w:val="outset" w:sz="6" w:space="0" w:color="414142"/>
                  </w:tcBorders>
                </w:tcPr>
                <w:p w14:paraId="7181949E" w14:textId="77777777" w:rsidR="00BB0D3E" w:rsidRPr="00BB0D3E" w:rsidRDefault="00BB0D3E" w:rsidP="00BB0D3E">
                  <w:pPr>
                    <w:ind w:left="57" w:right="57"/>
                    <w:jc w:val="both"/>
                    <w:rPr>
                      <w:i/>
                      <w:iCs/>
                      <w:sz w:val="18"/>
                      <w:szCs w:val="18"/>
                    </w:rPr>
                  </w:pPr>
                </w:p>
              </w:tc>
              <w:tc>
                <w:tcPr>
                  <w:tcW w:w="1679" w:type="pct"/>
                  <w:tcBorders>
                    <w:top w:val="outset" w:sz="6" w:space="0" w:color="414142"/>
                    <w:left w:val="outset" w:sz="6" w:space="0" w:color="414142"/>
                    <w:bottom w:val="outset" w:sz="6" w:space="0" w:color="414142"/>
                    <w:right w:val="outset" w:sz="6" w:space="0" w:color="414142"/>
                  </w:tcBorders>
                  <w:hideMark/>
                </w:tcPr>
                <w:p w14:paraId="132F5B46" w14:textId="77777777" w:rsidR="00BB0D3E" w:rsidRPr="00BB0D3E" w:rsidRDefault="00BB0D3E" w:rsidP="00BB0D3E">
                  <w:pPr>
                    <w:ind w:left="57" w:right="57"/>
                    <w:jc w:val="both"/>
                    <w:rPr>
                      <w:i/>
                      <w:iCs/>
                      <w:sz w:val="18"/>
                      <w:szCs w:val="18"/>
                    </w:rPr>
                  </w:pPr>
                  <w:r w:rsidRPr="00BB0D3E">
                    <w:rPr>
                      <w:i/>
                      <w:iCs/>
                      <w:sz w:val="18"/>
                      <w:szCs w:val="18"/>
                    </w:rPr>
                    <w:t>Ar radiācijas drošību saistītās būves (kodoliekārtas un radioaktīvo atkritumu pārvaldības objekti (valsts nozīmes jonizējošā starojuma objekti))</w:t>
                  </w:r>
                </w:p>
              </w:tc>
            </w:tr>
            <w:tr w:rsidR="00BB0D3E" w:rsidRPr="00BB0D3E" w14:paraId="5702D529" w14:textId="77777777" w:rsidTr="00F040CE">
              <w:tc>
                <w:tcPr>
                  <w:tcW w:w="1016" w:type="pct"/>
                  <w:tcBorders>
                    <w:top w:val="outset" w:sz="6" w:space="0" w:color="414142"/>
                    <w:left w:val="outset" w:sz="6" w:space="0" w:color="414142"/>
                    <w:bottom w:val="outset" w:sz="6" w:space="0" w:color="414142"/>
                    <w:right w:val="outset" w:sz="6" w:space="0" w:color="414142"/>
                  </w:tcBorders>
                  <w:hideMark/>
                </w:tcPr>
                <w:p w14:paraId="52E50D3D" w14:textId="77777777" w:rsidR="00BB0D3E" w:rsidRPr="00BB0D3E" w:rsidRDefault="00BB0D3E" w:rsidP="00BB0D3E">
                  <w:pPr>
                    <w:ind w:left="57" w:right="57"/>
                    <w:jc w:val="both"/>
                    <w:rPr>
                      <w:i/>
                      <w:iCs/>
                      <w:sz w:val="18"/>
                      <w:szCs w:val="18"/>
                    </w:rPr>
                  </w:pPr>
                  <w:r w:rsidRPr="00BB0D3E">
                    <w:rPr>
                      <w:i/>
                      <w:iCs/>
                      <w:sz w:val="18"/>
                      <w:szCs w:val="18"/>
                    </w:rPr>
                    <w:t>Ministru kabineta 14.10.2014. noteikumi Nr.631 “Latvijas Republikas iekšējo jūras ūdeņu, teritoriālās jūras un ekskluzīvās ekonomiskās zonas būvju būvnoteikumi”</w:t>
                  </w:r>
                </w:p>
              </w:tc>
              <w:tc>
                <w:tcPr>
                  <w:tcW w:w="1509" w:type="pct"/>
                  <w:tcBorders>
                    <w:top w:val="outset" w:sz="6" w:space="0" w:color="414142"/>
                    <w:left w:val="outset" w:sz="6" w:space="0" w:color="414142"/>
                    <w:bottom w:val="outset" w:sz="6" w:space="0" w:color="414142"/>
                    <w:right w:val="outset" w:sz="6" w:space="0" w:color="414142"/>
                  </w:tcBorders>
                  <w:hideMark/>
                </w:tcPr>
                <w:p w14:paraId="3839D113" w14:textId="77777777" w:rsidR="00BB0D3E" w:rsidRPr="00BB0D3E" w:rsidRDefault="00BB0D3E" w:rsidP="00BB0D3E">
                  <w:pPr>
                    <w:ind w:left="57" w:right="57"/>
                    <w:jc w:val="both"/>
                    <w:rPr>
                      <w:i/>
                      <w:iCs/>
                      <w:sz w:val="18"/>
                      <w:szCs w:val="18"/>
                    </w:rPr>
                  </w:pPr>
                  <w:r w:rsidRPr="00BB0D3E">
                    <w:rPr>
                      <w:i/>
                      <w:iCs/>
                      <w:sz w:val="18"/>
                      <w:szCs w:val="18"/>
                    </w:rPr>
                    <w:t> </w:t>
                  </w:r>
                </w:p>
              </w:tc>
              <w:tc>
                <w:tcPr>
                  <w:tcW w:w="796" w:type="pct"/>
                  <w:tcBorders>
                    <w:top w:val="outset" w:sz="6" w:space="0" w:color="414142"/>
                    <w:left w:val="outset" w:sz="6" w:space="0" w:color="414142"/>
                    <w:bottom w:val="outset" w:sz="6" w:space="0" w:color="414142"/>
                    <w:right w:val="outset" w:sz="6" w:space="0" w:color="414142"/>
                  </w:tcBorders>
                </w:tcPr>
                <w:p w14:paraId="1D169FAB" w14:textId="77777777" w:rsidR="00BB0D3E" w:rsidRPr="00BB0D3E" w:rsidRDefault="00BB0D3E" w:rsidP="00BB0D3E">
                  <w:pPr>
                    <w:ind w:left="57" w:right="57"/>
                    <w:jc w:val="both"/>
                    <w:rPr>
                      <w:i/>
                      <w:iCs/>
                      <w:sz w:val="18"/>
                      <w:szCs w:val="18"/>
                    </w:rPr>
                  </w:pPr>
                </w:p>
              </w:tc>
              <w:tc>
                <w:tcPr>
                  <w:tcW w:w="1679" w:type="pct"/>
                  <w:tcBorders>
                    <w:top w:val="outset" w:sz="6" w:space="0" w:color="414142"/>
                    <w:left w:val="outset" w:sz="6" w:space="0" w:color="414142"/>
                    <w:bottom w:val="outset" w:sz="6" w:space="0" w:color="414142"/>
                    <w:right w:val="outset" w:sz="6" w:space="0" w:color="414142"/>
                  </w:tcBorders>
                  <w:hideMark/>
                </w:tcPr>
                <w:p w14:paraId="07F82DD4" w14:textId="77777777" w:rsidR="00BB0D3E" w:rsidRPr="00BB0D3E" w:rsidRDefault="00BB0D3E" w:rsidP="00BB0D3E">
                  <w:pPr>
                    <w:ind w:left="57" w:right="57"/>
                    <w:jc w:val="both"/>
                    <w:rPr>
                      <w:i/>
                      <w:iCs/>
                      <w:sz w:val="18"/>
                      <w:szCs w:val="18"/>
                    </w:rPr>
                  </w:pPr>
                  <w:r w:rsidRPr="00BB0D3E">
                    <w:rPr>
                      <w:i/>
                      <w:iCs/>
                      <w:sz w:val="18"/>
                      <w:szCs w:val="18"/>
                    </w:rPr>
                    <w:t>Visas būves Latvijas Republikas teritoriālajos ūdeņos un ekskluzīvajā ekonomiskajā zonā</w:t>
                  </w:r>
                </w:p>
              </w:tc>
            </w:tr>
            <w:tr w:rsidR="00BB0D3E" w:rsidRPr="00BB0D3E" w14:paraId="63C213D3" w14:textId="77777777" w:rsidTr="00F040CE">
              <w:tc>
                <w:tcPr>
                  <w:tcW w:w="1016" w:type="pct"/>
                  <w:tcBorders>
                    <w:top w:val="outset" w:sz="6" w:space="0" w:color="414142"/>
                    <w:left w:val="outset" w:sz="6" w:space="0" w:color="414142"/>
                    <w:bottom w:val="outset" w:sz="6" w:space="0" w:color="414142"/>
                    <w:right w:val="outset" w:sz="6" w:space="0" w:color="414142"/>
                  </w:tcBorders>
                  <w:hideMark/>
                </w:tcPr>
                <w:p w14:paraId="22B87A1C" w14:textId="77777777" w:rsidR="00BB0D3E" w:rsidRPr="00BB0D3E" w:rsidRDefault="00BB0D3E" w:rsidP="00BB0D3E">
                  <w:pPr>
                    <w:ind w:left="57" w:right="57"/>
                    <w:jc w:val="both"/>
                    <w:rPr>
                      <w:i/>
                      <w:iCs/>
                      <w:sz w:val="18"/>
                      <w:szCs w:val="18"/>
                    </w:rPr>
                  </w:pPr>
                  <w:r w:rsidRPr="00BB0D3E">
                    <w:rPr>
                      <w:i/>
                      <w:iCs/>
                      <w:sz w:val="18"/>
                      <w:szCs w:val="18"/>
                    </w:rPr>
                    <w:t>Ministru kabineta 09.05.2017. noteikumi Nr.253 “Atsevišķu inženierbūvju būvnoteikumi” (tiek plānots pievienot Ministru kabineta 30.09.2014. noteikumos Nr.573 “Elektroenerģijas ražošanas, pārvades un sadales būvju būvnoteikumi” ietverto regulējumu)</w:t>
                  </w:r>
                </w:p>
              </w:tc>
              <w:tc>
                <w:tcPr>
                  <w:tcW w:w="1509" w:type="pct"/>
                  <w:tcBorders>
                    <w:top w:val="outset" w:sz="6" w:space="0" w:color="414142"/>
                    <w:left w:val="outset" w:sz="6" w:space="0" w:color="414142"/>
                    <w:bottom w:val="outset" w:sz="6" w:space="0" w:color="414142"/>
                    <w:right w:val="outset" w:sz="6" w:space="0" w:color="414142"/>
                  </w:tcBorders>
                  <w:hideMark/>
                </w:tcPr>
                <w:p w14:paraId="1A315373" w14:textId="77777777" w:rsidR="00BB0D3E" w:rsidRPr="00BB0D3E" w:rsidRDefault="00BB0D3E" w:rsidP="00BB0D3E">
                  <w:pPr>
                    <w:ind w:left="57" w:right="57"/>
                    <w:jc w:val="both"/>
                    <w:rPr>
                      <w:i/>
                      <w:iCs/>
                      <w:sz w:val="18"/>
                      <w:szCs w:val="18"/>
                      <w:vertAlign w:val="superscript"/>
                    </w:rPr>
                  </w:pPr>
                  <w:r w:rsidRPr="00BB0D3E">
                    <w:rPr>
                      <w:i/>
                      <w:iCs/>
                      <w:sz w:val="18"/>
                      <w:szCs w:val="18"/>
                    </w:rPr>
                    <w:t>1) Atsevišķs labiekārtojuma elements,  – soliņš, bērnu rotaļu ierīce, sporta aprīkojums, atsevišķa laterna un apgaismes ķermenis, laipa, karogu masts līdz 18 m, ielu norādes stabs, velosipēdu statīvs u. tml.</w:t>
                  </w:r>
                </w:p>
                <w:p w14:paraId="715B1CFE" w14:textId="77777777" w:rsidR="00BB0D3E" w:rsidRPr="00BB0D3E" w:rsidRDefault="00BB0D3E" w:rsidP="00BB0D3E">
                  <w:pPr>
                    <w:ind w:left="57" w:right="57"/>
                    <w:jc w:val="both"/>
                    <w:rPr>
                      <w:i/>
                      <w:iCs/>
                      <w:sz w:val="18"/>
                      <w:szCs w:val="18"/>
                    </w:rPr>
                  </w:pPr>
                  <w:r w:rsidRPr="00BB0D3E">
                    <w:rPr>
                      <w:i/>
                      <w:iCs/>
                      <w:sz w:val="18"/>
                      <w:szCs w:val="18"/>
                    </w:rPr>
                    <w:t>2) Sporta laukums ar segumu</w:t>
                  </w:r>
                </w:p>
                <w:p w14:paraId="4F7441A5" w14:textId="77777777" w:rsidR="00BB0D3E" w:rsidRPr="00BB0D3E" w:rsidRDefault="00BB0D3E" w:rsidP="00BB0D3E">
                  <w:pPr>
                    <w:ind w:left="57" w:right="57"/>
                    <w:jc w:val="both"/>
                    <w:rPr>
                      <w:i/>
                      <w:iCs/>
                      <w:sz w:val="18"/>
                      <w:szCs w:val="18"/>
                    </w:rPr>
                  </w:pPr>
                  <w:r w:rsidRPr="00BB0D3E">
                    <w:rPr>
                      <w:i/>
                      <w:iCs/>
                      <w:sz w:val="18"/>
                      <w:szCs w:val="18"/>
                    </w:rPr>
                    <w:t>3) Stacionārs līdz 6 m augsts reklāmas un informācijas stends</w:t>
                  </w:r>
                </w:p>
                <w:p w14:paraId="3A073D12" w14:textId="77777777" w:rsidR="00BB0D3E" w:rsidRPr="00BB0D3E" w:rsidRDefault="00BB0D3E" w:rsidP="00BB0D3E">
                  <w:pPr>
                    <w:ind w:left="57" w:right="57"/>
                    <w:jc w:val="both"/>
                    <w:rPr>
                      <w:i/>
                      <w:iCs/>
                      <w:sz w:val="18"/>
                      <w:szCs w:val="18"/>
                    </w:rPr>
                  </w:pPr>
                  <w:r w:rsidRPr="00BB0D3E">
                    <w:rPr>
                      <w:i/>
                      <w:iCs/>
                      <w:sz w:val="18"/>
                      <w:szCs w:val="18"/>
                    </w:rPr>
                    <w:t>4) Žogs un mūris</w:t>
                  </w:r>
                </w:p>
                <w:p w14:paraId="42BEA51E" w14:textId="77777777" w:rsidR="00BB0D3E" w:rsidRPr="00BB0D3E" w:rsidRDefault="00BB0D3E" w:rsidP="00BB0D3E">
                  <w:pPr>
                    <w:ind w:left="57" w:right="57"/>
                    <w:jc w:val="both"/>
                    <w:rPr>
                      <w:i/>
                      <w:iCs/>
                      <w:sz w:val="18"/>
                      <w:szCs w:val="18"/>
                    </w:rPr>
                  </w:pPr>
                  <w:r w:rsidRPr="00BB0D3E">
                    <w:rPr>
                      <w:i/>
                      <w:iCs/>
                      <w:sz w:val="18"/>
                      <w:szCs w:val="18"/>
                    </w:rPr>
                    <w:t>5) Inženiertīklu pievads</w:t>
                  </w:r>
                </w:p>
                <w:p w14:paraId="26D157FA" w14:textId="32C77F84" w:rsidR="00BB0D3E" w:rsidRPr="00BB0D3E" w:rsidRDefault="00BB0D3E" w:rsidP="00BB0D3E">
                  <w:pPr>
                    <w:ind w:left="57" w:right="57"/>
                    <w:jc w:val="both"/>
                    <w:rPr>
                      <w:i/>
                      <w:iCs/>
                      <w:sz w:val="18"/>
                      <w:szCs w:val="18"/>
                    </w:rPr>
                  </w:pPr>
                  <w:r w:rsidRPr="00BB0D3E">
                    <w:rPr>
                      <w:i/>
                      <w:iCs/>
                      <w:sz w:val="18"/>
                      <w:szCs w:val="18"/>
                    </w:rPr>
                    <w:t>6) </w:t>
                  </w:r>
                  <w:r w:rsidR="001871F2">
                    <w:rPr>
                      <w:i/>
                      <w:iCs/>
                      <w:sz w:val="18"/>
                      <w:szCs w:val="18"/>
                    </w:rPr>
                    <w:t>L</w:t>
                  </w:r>
                  <w:r w:rsidRPr="00BB0D3E">
                    <w:rPr>
                      <w:i/>
                      <w:iCs/>
                      <w:sz w:val="18"/>
                      <w:szCs w:val="18"/>
                    </w:rPr>
                    <w:t xml:space="preserve">aukums ar segumu (betona, šķembu u. c.) </w:t>
                  </w:r>
                </w:p>
                <w:p w14:paraId="4828D0C3" w14:textId="77777777" w:rsidR="00BB0D3E" w:rsidRPr="00BB0D3E" w:rsidRDefault="00BB0D3E" w:rsidP="00BB0D3E">
                  <w:pPr>
                    <w:ind w:left="57" w:right="57"/>
                    <w:jc w:val="both"/>
                    <w:rPr>
                      <w:i/>
                      <w:iCs/>
                      <w:sz w:val="18"/>
                      <w:szCs w:val="18"/>
                    </w:rPr>
                  </w:pPr>
                  <w:r w:rsidRPr="00BB0D3E">
                    <w:rPr>
                      <w:i/>
                      <w:iCs/>
                      <w:sz w:val="18"/>
                      <w:szCs w:val="18"/>
                    </w:rPr>
                    <w:lastRenderedPageBreak/>
                    <w:t xml:space="preserve">7) Avotu </w:t>
                  </w:r>
                  <w:proofErr w:type="spellStart"/>
                  <w:r w:rsidRPr="00BB0D3E">
                    <w:rPr>
                      <w:i/>
                      <w:iCs/>
                      <w:sz w:val="18"/>
                      <w:szCs w:val="18"/>
                    </w:rPr>
                    <w:t>kaptāža</w:t>
                  </w:r>
                  <w:proofErr w:type="spellEnd"/>
                  <w:r w:rsidRPr="00BB0D3E">
                    <w:rPr>
                      <w:i/>
                      <w:iCs/>
                      <w:sz w:val="18"/>
                      <w:szCs w:val="18"/>
                    </w:rPr>
                    <w:t xml:space="preserve">, grodu aka un ūdens ieguves urbums </w:t>
                  </w:r>
                </w:p>
                <w:p w14:paraId="60DD927E" w14:textId="77777777" w:rsidR="00BB0D3E" w:rsidRPr="00BB0D3E" w:rsidRDefault="00BB0D3E" w:rsidP="00BB0D3E">
                  <w:pPr>
                    <w:ind w:left="57" w:right="57"/>
                    <w:jc w:val="both"/>
                    <w:rPr>
                      <w:i/>
                      <w:iCs/>
                      <w:sz w:val="18"/>
                      <w:szCs w:val="18"/>
                    </w:rPr>
                  </w:pPr>
                  <w:r w:rsidRPr="00BB0D3E">
                    <w:rPr>
                      <w:i/>
                      <w:iCs/>
                      <w:sz w:val="18"/>
                      <w:szCs w:val="18"/>
                    </w:rPr>
                    <w:t>8) Tornis vai masts, izņemot karoga masts, līdz 10 m</w:t>
                  </w:r>
                </w:p>
                <w:p w14:paraId="2F49DAD2" w14:textId="77777777" w:rsidR="00BB0D3E" w:rsidRPr="00BB0D3E" w:rsidRDefault="00BB0D3E" w:rsidP="00BB0D3E">
                  <w:pPr>
                    <w:ind w:left="57" w:right="57"/>
                    <w:jc w:val="both"/>
                    <w:rPr>
                      <w:i/>
                      <w:iCs/>
                      <w:sz w:val="18"/>
                      <w:szCs w:val="18"/>
                    </w:rPr>
                  </w:pPr>
                  <w:r w:rsidRPr="00BB0D3E">
                    <w:rPr>
                      <w:i/>
                      <w:iCs/>
                      <w:sz w:val="18"/>
                      <w:szCs w:val="18"/>
                    </w:rPr>
                    <w:t>9) Notekūdeņu attīrīšanas ietaise ar jaudu līdz 5 m</w:t>
                  </w:r>
                  <w:r w:rsidRPr="00BB0D3E">
                    <w:rPr>
                      <w:i/>
                      <w:iCs/>
                      <w:sz w:val="18"/>
                      <w:szCs w:val="18"/>
                      <w:vertAlign w:val="superscript"/>
                    </w:rPr>
                    <w:t>3</w:t>
                  </w:r>
                  <w:r w:rsidRPr="00BB0D3E">
                    <w:rPr>
                      <w:i/>
                      <w:iCs/>
                      <w:sz w:val="18"/>
                      <w:szCs w:val="18"/>
                    </w:rPr>
                    <w:t>/diennaktī (ieskaitot)</w:t>
                  </w:r>
                </w:p>
                <w:p w14:paraId="3F5C651C" w14:textId="77777777" w:rsidR="00BB0D3E" w:rsidRPr="00BB0D3E" w:rsidRDefault="00BB0D3E" w:rsidP="00BB0D3E">
                  <w:pPr>
                    <w:ind w:left="57" w:right="57"/>
                    <w:jc w:val="both"/>
                    <w:rPr>
                      <w:i/>
                      <w:iCs/>
                      <w:sz w:val="18"/>
                      <w:szCs w:val="18"/>
                    </w:rPr>
                  </w:pPr>
                  <w:r w:rsidRPr="00BB0D3E">
                    <w:rPr>
                      <w:i/>
                      <w:iCs/>
                      <w:sz w:val="18"/>
                      <w:szCs w:val="18"/>
                    </w:rPr>
                    <w:t>10) Pazemes un virszemes tipa ugunsdzēsības hidranti</w:t>
                  </w:r>
                </w:p>
                <w:p w14:paraId="569FAD33" w14:textId="77777777" w:rsidR="00BB0D3E" w:rsidRPr="00BB0D3E" w:rsidRDefault="00BB0D3E" w:rsidP="00BB0D3E">
                  <w:pPr>
                    <w:ind w:left="57" w:right="57"/>
                    <w:jc w:val="both"/>
                    <w:rPr>
                      <w:i/>
                      <w:iCs/>
                      <w:sz w:val="18"/>
                      <w:szCs w:val="18"/>
                    </w:rPr>
                  </w:pPr>
                  <w:r w:rsidRPr="00BB0D3E">
                    <w:rPr>
                      <w:i/>
                      <w:iCs/>
                      <w:sz w:val="18"/>
                      <w:szCs w:val="18"/>
                    </w:rPr>
                    <w:t xml:space="preserve">11) Gāzapgādes ārējie inženiertīkli ar spiedienu līdz 0,4 </w:t>
                  </w:r>
                  <w:proofErr w:type="spellStart"/>
                  <w:r w:rsidRPr="00BB0D3E">
                    <w:rPr>
                      <w:i/>
                      <w:iCs/>
                      <w:sz w:val="18"/>
                      <w:szCs w:val="18"/>
                    </w:rPr>
                    <w:t>MPa</w:t>
                  </w:r>
                  <w:proofErr w:type="spellEnd"/>
                </w:p>
                <w:p w14:paraId="46C4690D" w14:textId="77777777" w:rsidR="00BB0D3E" w:rsidRPr="00BB0D3E" w:rsidRDefault="00BB0D3E" w:rsidP="00BB0D3E">
                  <w:pPr>
                    <w:ind w:left="57" w:right="57"/>
                    <w:jc w:val="both"/>
                    <w:rPr>
                      <w:i/>
                      <w:iCs/>
                      <w:sz w:val="18"/>
                      <w:szCs w:val="18"/>
                    </w:rPr>
                  </w:pPr>
                  <w:r w:rsidRPr="00BB0D3E">
                    <w:rPr>
                      <w:i/>
                      <w:iCs/>
                      <w:sz w:val="18"/>
                      <w:szCs w:val="18"/>
                    </w:rPr>
                    <w:t>12) Gāzapgādes sistēmas iekārtas, ja tai nav ēkas pazīmju</w:t>
                  </w:r>
                </w:p>
                <w:p w14:paraId="77FEE44C" w14:textId="77777777" w:rsidR="00BB0D3E" w:rsidRPr="00BB0D3E" w:rsidRDefault="00BB0D3E" w:rsidP="00BB0D3E">
                  <w:pPr>
                    <w:ind w:left="57" w:right="57"/>
                    <w:jc w:val="both"/>
                    <w:rPr>
                      <w:i/>
                      <w:iCs/>
                      <w:sz w:val="18"/>
                      <w:szCs w:val="18"/>
                    </w:rPr>
                  </w:pPr>
                  <w:r w:rsidRPr="00BB0D3E">
                    <w:rPr>
                      <w:i/>
                      <w:iCs/>
                      <w:sz w:val="18"/>
                      <w:szCs w:val="18"/>
                    </w:rPr>
                    <w:t xml:space="preserve">13) Ūdensapgādes un kanalizācijas akas, komercuzskaites mēraparātu akas un šahtas </w:t>
                  </w:r>
                </w:p>
                <w:p w14:paraId="088929E1" w14:textId="77777777" w:rsidR="00BB0D3E" w:rsidRPr="00BB0D3E" w:rsidRDefault="00BB0D3E" w:rsidP="00BB0D3E">
                  <w:pPr>
                    <w:ind w:left="57" w:right="57"/>
                    <w:jc w:val="both"/>
                    <w:rPr>
                      <w:i/>
                      <w:iCs/>
                      <w:sz w:val="18"/>
                      <w:szCs w:val="18"/>
                    </w:rPr>
                  </w:pPr>
                  <w:r w:rsidRPr="00BB0D3E">
                    <w:rPr>
                      <w:i/>
                      <w:iCs/>
                      <w:sz w:val="18"/>
                      <w:szCs w:val="18"/>
                    </w:rPr>
                    <w:t>14) Ūdensapgādes ārējie inženiertīkli ar iekšējo diametru līdz 200 mm</w:t>
                  </w:r>
                </w:p>
                <w:p w14:paraId="1118505E" w14:textId="77777777" w:rsidR="00BB0D3E" w:rsidRPr="00BB0D3E" w:rsidRDefault="00BB0D3E" w:rsidP="00BB0D3E">
                  <w:pPr>
                    <w:ind w:left="57" w:right="57"/>
                    <w:jc w:val="both"/>
                    <w:rPr>
                      <w:i/>
                      <w:iCs/>
                      <w:sz w:val="18"/>
                      <w:szCs w:val="18"/>
                    </w:rPr>
                  </w:pPr>
                  <w:r w:rsidRPr="00BB0D3E">
                    <w:rPr>
                      <w:i/>
                      <w:iCs/>
                      <w:sz w:val="18"/>
                      <w:szCs w:val="18"/>
                    </w:rPr>
                    <w:t>15) Kanalizācijas ārējie inženiertīkli ar iekšējo diametru līdz 200 mm</w:t>
                  </w:r>
                </w:p>
                <w:p w14:paraId="6CCFDF64" w14:textId="77777777" w:rsidR="00BB0D3E" w:rsidRPr="00BB0D3E" w:rsidRDefault="00BB0D3E" w:rsidP="00BB0D3E">
                  <w:pPr>
                    <w:ind w:left="57" w:right="57"/>
                    <w:jc w:val="both"/>
                    <w:rPr>
                      <w:i/>
                      <w:iCs/>
                      <w:sz w:val="18"/>
                      <w:szCs w:val="18"/>
                    </w:rPr>
                  </w:pPr>
                  <w:r w:rsidRPr="00BB0D3E">
                    <w:rPr>
                      <w:i/>
                      <w:iCs/>
                      <w:sz w:val="18"/>
                      <w:szCs w:val="18"/>
                    </w:rPr>
                    <w:t>16) Siltumapgādes ārējie inženiertīkli ar iekšējo diametru līdz 200 mm ieskaitot</w:t>
                  </w:r>
                </w:p>
                <w:p w14:paraId="7B83DD70" w14:textId="16B385EC" w:rsidR="00BB0D3E" w:rsidRDefault="00BB0D3E" w:rsidP="00BB0D3E">
                  <w:pPr>
                    <w:ind w:left="57" w:right="57"/>
                    <w:jc w:val="both"/>
                    <w:rPr>
                      <w:i/>
                      <w:iCs/>
                      <w:sz w:val="18"/>
                      <w:szCs w:val="18"/>
                    </w:rPr>
                  </w:pPr>
                  <w:r w:rsidRPr="00BB0D3E">
                    <w:rPr>
                      <w:i/>
                      <w:iCs/>
                      <w:sz w:val="18"/>
                      <w:szCs w:val="18"/>
                    </w:rPr>
                    <w:t>1</w:t>
                  </w:r>
                  <w:r w:rsidR="001871F2">
                    <w:rPr>
                      <w:i/>
                      <w:iCs/>
                      <w:sz w:val="18"/>
                      <w:szCs w:val="18"/>
                    </w:rPr>
                    <w:t>7</w:t>
                  </w:r>
                  <w:r w:rsidRPr="00BB0D3E">
                    <w:rPr>
                      <w:i/>
                      <w:iCs/>
                      <w:sz w:val="18"/>
                      <w:szCs w:val="18"/>
                    </w:rPr>
                    <w:t xml:space="preserve">) elektroapgādes un elektroaizsardzības ārējais inženiertīkls (tai skaitā transformatoru apakšstacijas un sadales ietaises (izņemot transformatoru apakšstaciju </w:t>
                  </w:r>
                  <w:proofErr w:type="spellStart"/>
                  <w:r w:rsidRPr="00BB0D3E">
                    <w:rPr>
                      <w:i/>
                      <w:iCs/>
                      <w:sz w:val="18"/>
                      <w:szCs w:val="18"/>
                    </w:rPr>
                    <w:t>ēkas))ar</w:t>
                  </w:r>
                  <w:proofErr w:type="spellEnd"/>
                  <w:r w:rsidRPr="00BB0D3E">
                    <w:rPr>
                      <w:i/>
                      <w:iCs/>
                      <w:sz w:val="18"/>
                      <w:szCs w:val="18"/>
                    </w:rPr>
                    <w:t xml:space="preserve"> nominālo spriegumu līdz 20 kV</w:t>
                  </w:r>
                  <w:r w:rsidR="001871F2">
                    <w:rPr>
                      <w:i/>
                      <w:iCs/>
                      <w:sz w:val="18"/>
                      <w:szCs w:val="18"/>
                    </w:rPr>
                    <w:t>;</w:t>
                  </w:r>
                </w:p>
                <w:p w14:paraId="623F6527" w14:textId="35BF7D15" w:rsidR="001871F2" w:rsidRPr="00BB0D3E" w:rsidRDefault="001871F2" w:rsidP="00BB0D3E">
                  <w:pPr>
                    <w:ind w:left="57" w:right="57"/>
                    <w:jc w:val="both"/>
                    <w:rPr>
                      <w:i/>
                      <w:iCs/>
                      <w:sz w:val="18"/>
                      <w:szCs w:val="18"/>
                    </w:rPr>
                  </w:pPr>
                  <w:r>
                    <w:rPr>
                      <w:i/>
                      <w:iCs/>
                      <w:sz w:val="18"/>
                      <w:szCs w:val="18"/>
                    </w:rPr>
                    <w:t>18) V</w:t>
                  </w:r>
                  <w:r w:rsidRPr="001871F2">
                    <w:rPr>
                      <w:i/>
                      <w:iCs/>
                      <w:sz w:val="18"/>
                      <w:szCs w:val="18"/>
                    </w:rPr>
                    <w:t>ēja elektrostacijas ar jaudu līdz 10 kW</w:t>
                  </w:r>
                  <w:proofErr w:type="gramStart"/>
                  <w:r w:rsidRPr="001871F2">
                    <w:rPr>
                      <w:i/>
                      <w:iCs/>
                      <w:sz w:val="18"/>
                      <w:szCs w:val="18"/>
                    </w:rPr>
                    <w:t xml:space="preserve"> un</w:t>
                  </w:r>
                  <w:proofErr w:type="gramEnd"/>
                  <w:r w:rsidRPr="001871F2">
                    <w:rPr>
                      <w:i/>
                      <w:iCs/>
                      <w:sz w:val="18"/>
                      <w:szCs w:val="18"/>
                    </w:rPr>
                    <w:t xml:space="preserve"> masta augstumu līdz 10 m</w:t>
                  </w:r>
                </w:p>
              </w:tc>
              <w:tc>
                <w:tcPr>
                  <w:tcW w:w="796" w:type="pct"/>
                  <w:tcBorders>
                    <w:top w:val="outset" w:sz="6" w:space="0" w:color="414142"/>
                    <w:left w:val="outset" w:sz="6" w:space="0" w:color="414142"/>
                    <w:bottom w:val="outset" w:sz="6" w:space="0" w:color="414142"/>
                    <w:right w:val="outset" w:sz="6" w:space="0" w:color="414142"/>
                  </w:tcBorders>
                </w:tcPr>
                <w:p w14:paraId="35187B49" w14:textId="77777777" w:rsidR="00BB0D3E" w:rsidRPr="00BB0D3E" w:rsidRDefault="00BB0D3E" w:rsidP="00BB0D3E">
                  <w:pPr>
                    <w:ind w:left="57" w:right="57"/>
                    <w:jc w:val="both"/>
                    <w:rPr>
                      <w:i/>
                      <w:iCs/>
                      <w:sz w:val="18"/>
                      <w:szCs w:val="18"/>
                    </w:rPr>
                  </w:pPr>
                </w:p>
              </w:tc>
              <w:tc>
                <w:tcPr>
                  <w:tcW w:w="1679" w:type="pct"/>
                  <w:tcBorders>
                    <w:top w:val="outset" w:sz="6" w:space="0" w:color="414142"/>
                    <w:left w:val="outset" w:sz="6" w:space="0" w:color="414142"/>
                    <w:bottom w:val="outset" w:sz="6" w:space="0" w:color="414142"/>
                    <w:right w:val="outset" w:sz="6" w:space="0" w:color="414142"/>
                  </w:tcBorders>
                  <w:hideMark/>
                </w:tcPr>
                <w:p w14:paraId="073E6B80" w14:textId="77777777" w:rsidR="00BB0D3E" w:rsidRPr="00BB0D3E" w:rsidRDefault="00BB0D3E" w:rsidP="00BB0D3E">
                  <w:pPr>
                    <w:ind w:left="57" w:right="57"/>
                    <w:jc w:val="both"/>
                    <w:rPr>
                      <w:i/>
                      <w:iCs/>
                      <w:sz w:val="18"/>
                      <w:szCs w:val="18"/>
                    </w:rPr>
                  </w:pPr>
                  <w:r w:rsidRPr="00BB0D3E">
                    <w:rPr>
                      <w:i/>
                      <w:iCs/>
                      <w:sz w:val="18"/>
                      <w:szCs w:val="18"/>
                    </w:rPr>
                    <w:t xml:space="preserve">1) Rūpnieciskās ražošanas inženierbūve (ieguves rūpniecības vai </w:t>
                  </w:r>
                  <w:proofErr w:type="spellStart"/>
                  <w:r w:rsidRPr="00BB0D3E">
                    <w:rPr>
                      <w:i/>
                      <w:iCs/>
                      <w:sz w:val="18"/>
                      <w:szCs w:val="18"/>
                    </w:rPr>
                    <w:t>iežieguves</w:t>
                  </w:r>
                  <w:proofErr w:type="spellEnd"/>
                  <w:r w:rsidRPr="00BB0D3E">
                    <w:rPr>
                      <w:i/>
                      <w:iCs/>
                      <w:sz w:val="18"/>
                      <w:szCs w:val="18"/>
                    </w:rPr>
                    <w:t xml:space="preserve"> inženierbūve, ķīmiskās ražošanas inženierbūve, smagās rūpniecības uzņēmumu inženierbūve), izņemot urbumus</w:t>
                  </w:r>
                </w:p>
                <w:p w14:paraId="00AEC806" w14:textId="77777777" w:rsidR="00BB0D3E" w:rsidRPr="00BB0D3E" w:rsidRDefault="00BB0D3E" w:rsidP="00BB0D3E">
                  <w:pPr>
                    <w:ind w:left="57" w:right="57"/>
                    <w:jc w:val="both"/>
                    <w:rPr>
                      <w:i/>
                      <w:iCs/>
                      <w:sz w:val="18"/>
                      <w:szCs w:val="18"/>
                    </w:rPr>
                  </w:pPr>
                  <w:r w:rsidRPr="00BB0D3E">
                    <w:rPr>
                      <w:i/>
                      <w:iCs/>
                      <w:sz w:val="18"/>
                      <w:szCs w:val="18"/>
                    </w:rPr>
                    <w:t>2) Gāzes pārvades un uzglabāšanas sistēma ar darba spiedienu virs 1,6 </w:t>
                  </w:r>
                  <w:proofErr w:type="spellStart"/>
                  <w:r w:rsidRPr="00BB0D3E">
                    <w:rPr>
                      <w:i/>
                      <w:iCs/>
                      <w:sz w:val="18"/>
                      <w:szCs w:val="18"/>
                    </w:rPr>
                    <w:t>MPa</w:t>
                  </w:r>
                  <w:proofErr w:type="spellEnd"/>
                </w:p>
                <w:p w14:paraId="4C3C3C56" w14:textId="77777777" w:rsidR="00BB0D3E" w:rsidRPr="00BB0D3E" w:rsidRDefault="00BB0D3E" w:rsidP="00BB0D3E">
                  <w:pPr>
                    <w:ind w:left="57" w:right="57"/>
                    <w:jc w:val="both"/>
                    <w:rPr>
                      <w:i/>
                      <w:iCs/>
                      <w:sz w:val="18"/>
                      <w:szCs w:val="18"/>
                    </w:rPr>
                  </w:pPr>
                  <w:r w:rsidRPr="00BB0D3E">
                    <w:rPr>
                      <w:i/>
                      <w:iCs/>
                      <w:sz w:val="18"/>
                      <w:szCs w:val="18"/>
                    </w:rPr>
                    <w:t>3) Estrāde, atklātais sporta laukums un baseins ar tribīnēm, paredzēts vairāk nekā 1000 sēdvietām</w:t>
                  </w:r>
                </w:p>
                <w:p w14:paraId="3DE384E3" w14:textId="77777777" w:rsidR="00BB0D3E" w:rsidRPr="00BB0D3E" w:rsidRDefault="00BB0D3E" w:rsidP="00BB0D3E">
                  <w:pPr>
                    <w:ind w:left="57" w:right="57"/>
                    <w:jc w:val="both"/>
                    <w:rPr>
                      <w:i/>
                      <w:iCs/>
                      <w:sz w:val="18"/>
                      <w:szCs w:val="18"/>
                    </w:rPr>
                  </w:pPr>
                  <w:r w:rsidRPr="00BB0D3E">
                    <w:rPr>
                      <w:i/>
                      <w:iCs/>
                      <w:sz w:val="18"/>
                      <w:szCs w:val="18"/>
                    </w:rPr>
                    <w:lastRenderedPageBreak/>
                    <w:t>4) Maģistrālie naftas produktu cauruļvadi (izņemot gāzes cauruļvadus)</w:t>
                  </w:r>
                </w:p>
                <w:p w14:paraId="5C6DCF01" w14:textId="77777777" w:rsidR="00BB0D3E" w:rsidRPr="00BB0D3E" w:rsidRDefault="00BB0D3E" w:rsidP="00BB0D3E">
                  <w:pPr>
                    <w:ind w:left="57" w:right="57"/>
                    <w:jc w:val="both"/>
                    <w:rPr>
                      <w:i/>
                      <w:iCs/>
                      <w:sz w:val="18"/>
                      <w:szCs w:val="18"/>
                    </w:rPr>
                  </w:pPr>
                  <w:r w:rsidRPr="00BB0D3E">
                    <w:rPr>
                      <w:i/>
                      <w:iCs/>
                      <w:sz w:val="18"/>
                      <w:szCs w:val="18"/>
                    </w:rPr>
                    <w:t>5) Ūdens un kanalizācijas  (spiedvadi) tīkli ar iekšējo diametru no 500 mm, pašteces kanalizācijas tīkli ar iekšējo diametru no 800 mm</w:t>
                  </w:r>
                </w:p>
                <w:p w14:paraId="7BAB51B2" w14:textId="77777777" w:rsidR="00BB0D3E" w:rsidRPr="00BB0D3E" w:rsidRDefault="00BB0D3E" w:rsidP="00BB0D3E">
                  <w:pPr>
                    <w:ind w:left="57" w:right="57"/>
                    <w:jc w:val="both"/>
                    <w:rPr>
                      <w:i/>
                      <w:iCs/>
                      <w:sz w:val="18"/>
                      <w:szCs w:val="18"/>
                    </w:rPr>
                  </w:pPr>
                  <w:r w:rsidRPr="00BB0D3E">
                    <w:rPr>
                      <w:i/>
                      <w:iCs/>
                      <w:sz w:val="18"/>
                      <w:szCs w:val="18"/>
                    </w:rPr>
                    <w:t>6) </w:t>
                  </w:r>
                  <w:r w:rsidRPr="00BB0D3E">
                    <w:rPr>
                      <w:bCs/>
                      <w:i/>
                      <w:iCs/>
                      <w:sz w:val="18"/>
                      <w:szCs w:val="18"/>
                    </w:rPr>
                    <w:t>Kanalizācijas notekūdeņu pārsūknēšanas stacija ar jaudu virs 300 m</w:t>
                  </w:r>
                  <w:r w:rsidRPr="00BB0D3E">
                    <w:rPr>
                      <w:bCs/>
                      <w:i/>
                      <w:iCs/>
                      <w:sz w:val="18"/>
                      <w:szCs w:val="18"/>
                      <w:vertAlign w:val="superscript"/>
                    </w:rPr>
                    <w:t>3</w:t>
                  </w:r>
                  <w:r w:rsidRPr="00BB0D3E">
                    <w:rPr>
                      <w:bCs/>
                      <w:i/>
                      <w:iCs/>
                      <w:sz w:val="18"/>
                      <w:szCs w:val="18"/>
                    </w:rPr>
                    <w:t>/diennaktī</w:t>
                  </w:r>
                </w:p>
                <w:p w14:paraId="766A0EED" w14:textId="77777777" w:rsidR="00BB0D3E" w:rsidRPr="00BB0D3E" w:rsidRDefault="00BB0D3E" w:rsidP="00BB0D3E">
                  <w:pPr>
                    <w:ind w:left="57" w:right="57"/>
                    <w:jc w:val="both"/>
                    <w:rPr>
                      <w:i/>
                      <w:iCs/>
                      <w:sz w:val="18"/>
                      <w:szCs w:val="18"/>
                    </w:rPr>
                  </w:pPr>
                  <w:r w:rsidRPr="00BB0D3E">
                    <w:rPr>
                      <w:i/>
                      <w:iCs/>
                      <w:sz w:val="18"/>
                      <w:szCs w:val="18"/>
                    </w:rPr>
                    <w:t>7) Lidlauka skrejceļš</w:t>
                  </w:r>
                </w:p>
                <w:p w14:paraId="5DCB7E46" w14:textId="77777777" w:rsidR="00BB0D3E" w:rsidRPr="00BB0D3E" w:rsidRDefault="00BB0D3E" w:rsidP="00BB0D3E">
                  <w:pPr>
                    <w:ind w:left="57" w:right="57"/>
                    <w:jc w:val="both"/>
                    <w:rPr>
                      <w:i/>
                      <w:iCs/>
                      <w:sz w:val="18"/>
                      <w:szCs w:val="18"/>
                    </w:rPr>
                  </w:pPr>
                  <w:r w:rsidRPr="00BB0D3E">
                    <w:rPr>
                      <w:i/>
                      <w:iCs/>
                      <w:sz w:val="18"/>
                      <w:szCs w:val="18"/>
                    </w:rPr>
                    <w:t>8) Tornis, augstāks par 100 m</w:t>
                  </w:r>
                </w:p>
                <w:p w14:paraId="62B83E16" w14:textId="77777777" w:rsidR="00BB0D3E" w:rsidRPr="00BB0D3E" w:rsidRDefault="00BB0D3E" w:rsidP="00BB0D3E">
                  <w:pPr>
                    <w:ind w:left="57" w:right="57"/>
                    <w:jc w:val="both"/>
                    <w:rPr>
                      <w:i/>
                      <w:iCs/>
                      <w:sz w:val="18"/>
                      <w:szCs w:val="18"/>
                    </w:rPr>
                  </w:pPr>
                  <w:r w:rsidRPr="00BB0D3E">
                    <w:rPr>
                      <w:i/>
                      <w:iCs/>
                      <w:sz w:val="18"/>
                      <w:szCs w:val="18"/>
                    </w:rPr>
                    <w:t>9) Masts, augstāks par 100 m</w:t>
                  </w:r>
                </w:p>
                <w:p w14:paraId="66BB72A6" w14:textId="79D456B1" w:rsidR="00BB0D3E" w:rsidRPr="00BB0D3E" w:rsidRDefault="001871F2" w:rsidP="00BB0D3E">
                  <w:pPr>
                    <w:ind w:left="57" w:right="57"/>
                    <w:jc w:val="both"/>
                    <w:rPr>
                      <w:i/>
                      <w:iCs/>
                      <w:sz w:val="18"/>
                      <w:szCs w:val="18"/>
                    </w:rPr>
                  </w:pPr>
                  <w:r>
                    <w:rPr>
                      <w:i/>
                      <w:iCs/>
                      <w:sz w:val="18"/>
                      <w:szCs w:val="18"/>
                    </w:rPr>
                    <w:t>10</w:t>
                  </w:r>
                  <w:r w:rsidR="00BB0D3E" w:rsidRPr="00BB0D3E">
                    <w:rPr>
                      <w:i/>
                      <w:iCs/>
                      <w:sz w:val="18"/>
                      <w:szCs w:val="18"/>
                    </w:rPr>
                    <w:t>) Karogu masts augstumu virs 100 m</w:t>
                  </w:r>
                </w:p>
                <w:p w14:paraId="402A32E8" w14:textId="6B41FE6F" w:rsidR="00BB0D3E" w:rsidRPr="00BB0D3E" w:rsidRDefault="00BB0D3E" w:rsidP="00BB0D3E">
                  <w:pPr>
                    <w:ind w:left="57" w:right="57"/>
                    <w:jc w:val="both"/>
                    <w:rPr>
                      <w:i/>
                      <w:iCs/>
                      <w:sz w:val="18"/>
                      <w:szCs w:val="18"/>
                    </w:rPr>
                  </w:pPr>
                  <w:r w:rsidRPr="00BB0D3E">
                    <w:rPr>
                      <w:i/>
                      <w:iCs/>
                      <w:sz w:val="18"/>
                      <w:szCs w:val="18"/>
                    </w:rPr>
                    <w:t>1</w:t>
                  </w:r>
                  <w:r w:rsidR="001871F2">
                    <w:rPr>
                      <w:i/>
                      <w:iCs/>
                      <w:sz w:val="18"/>
                      <w:szCs w:val="18"/>
                    </w:rPr>
                    <w:t>1</w:t>
                  </w:r>
                  <w:r w:rsidRPr="00BB0D3E">
                    <w:rPr>
                      <w:i/>
                      <w:iCs/>
                      <w:sz w:val="18"/>
                      <w:szCs w:val="18"/>
                    </w:rPr>
                    <w:t>) Elektrotīkls ar nominālo spriegumu 110 kV un augstāku</w:t>
                  </w:r>
                </w:p>
                <w:p w14:paraId="2DEFB7A3" w14:textId="4936982C" w:rsidR="00BB0D3E" w:rsidRPr="00BB0D3E" w:rsidRDefault="00BB0D3E" w:rsidP="00BB0D3E">
                  <w:pPr>
                    <w:ind w:left="57" w:right="57"/>
                    <w:jc w:val="both"/>
                    <w:rPr>
                      <w:i/>
                      <w:iCs/>
                      <w:sz w:val="18"/>
                      <w:szCs w:val="18"/>
                    </w:rPr>
                  </w:pPr>
                  <w:r w:rsidRPr="00BB0D3E">
                    <w:rPr>
                      <w:i/>
                      <w:iCs/>
                      <w:sz w:val="18"/>
                      <w:szCs w:val="18"/>
                    </w:rPr>
                    <w:t>1</w:t>
                  </w:r>
                  <w:r w:rsidR="001871F2">
                    <w:rPr>
                      <w:i/>
                      <w:iCs/>
                      <w:sz w:val="18"/>
                      <w:szCs w:val="18"/>
                    </w:rPr>
                    <w:t>2</w:t>
                  </w:r>
                  <w:r w:rsidRPr="00BB0D3E">
                    <w:rPr>
                      <w:i/>
                      <w:iCs/>
                      <w:sz w:val="18"/>
                      <w:szCs w:val="18"/>
                    </w:rPr>
                    <w:t>) Apakšstacija (izņemot transformatoru apakšstaciju ēkas) ar spriegumu 110 kV un augstāku ārpus norobežotām elektroietaišu teritorijām</w:t>
                  </w:r>
                </w:p>
                <w:p w14:paraId="6064BB62" w14:textId="043D8AAB" w:rsidR="00BB0D3E" w:rsidRPr="00BB0D3E" w:rsidRDefault="00BB0D3E" w:rsidP="00BB0D3E">
                  <w:pPr>
                    <w:ind w:left="57" w:right="57"/>
                    <w:jc w:val="both"/>
                    <w:rPr>
                      <w:i/>
                      <w:iCs/>
                      <w:sz w:val="18"/>
                      <w:szCs w:val="18"/>
                    </w:rPr>
                  </w:pPr>
                  <w:r w:rsidRPr="00BB0D3E">
                    <w:rPr>
                      <w:i/>
                      <w:iCs/>
                      <w:sz w:val="18"/>
                      <w:szCs w:val="18"/>
                    </w:rPr>
                    <w:t>1</w:t>
                  </w:r>
                  <w:r w:rsidR="001871F2">
                    <w:rPr>
                      <w:i/>
                      <w:iCs/>
                      <w:sz w:val="18"/>
                      <w:szCs w:val="18"/>
                    </w:rPr>
                    <w:t>3</w:t>
                  </w:r>
                  <w:r w:rsidRPr="00BB0D3E">
                    <w:rPr>
                      <w:i/>
                      <w:iCs/>
                      <w:sz w:val="18"/>
                      <w:szCs w:val="18"/>
                    </w:rPr>
                    <w:t>) Enerģijas ražošanas inženierbūves</w:t>
                  </w:r>
                  <w:proofErr w:type="gramStart"/>
                  <w:r w:rsidRPr="00BB0D3E">
                    <w:rPr>
                      <w:i/>
                      <w:iCs/>
                      <w:sz w:val="18"/>
                      <w:szCs w:val="18"/>
                    </w:rPr>
                    <w:t xml:space="preserve">  </w:t>
                  </w:r>
                  <w:proofErr w:type="gramEnd"/>
                  <w:r w:rsidRPr="00BB0D3E">
                    <w:rPr>
                      <w:i/>
                      <w:iCs/>
                      <w:sz w:val="18"/>
                      <w:szCs w:val="18"/>
                    </w:rPr>
                    <w:t>ar siltuma vai elektrisko jaudu lielāku par 2 MW</w:t>
                  </w:r>
                </w:p>
                <w:p w14:paraId="13759045" w14:textId="5FEEB343" w:rsidR="00BB0D3E" w:rsidRPr="00BB0D3E" w:rsidRDefault="00BB0D3E" w:rsidP="00BB0D3E">
                  <w:pPr>
                    <w:ind w:left="57" w:right="57"/>
                    <w:jc w:val="both"/>
                    <w:rPr>
                      <w:i/>
                      <w:iCs/>
                      <w:sz w:val="18"/>
                      <w:szCs w:val="18"/>
                    </w:rPr>
                  </w:pPr>
                  <w:r w:rsidRPr="00BB0D3E">
                    <w:rPr>
                      <w:i/>
                      <w:iCs/>
                      <w:sz w:val="18"/>
                      <w:szCs w:val="18"/>
                    </w:rPr>
                    <w:t>1</w:t>
                  </w:r>
                  <w:r w:rsidR="001871F2">
                    <w:rPr>
                      <w:i/>
                      <w:iCs/>
                      <w:sz w:val="18"/>
                      <w:szCs w:val="18"/>
                    </w:rPr>
                    <w:t>4</w:t>
                  </w:r>
                  <w:r w:rsidRPr="00BB0D3E">
                    <w:rPr>
                      <w:i/>
                      <w:iCs/>
                      <w:sz w:val="18"/>
                      <w:szCs w:val="18"/>
                    </w:rPr>
                    <w:t>) Vēja elektrostacijas ar jaudu virs 20 kW</w:t>
                  </w:r>
                </w:p>
                <w:p w14:paraId="04E5E542" w14:textId="77777777" w:rsidR="00BB0D3E" w:rsidRDefault="00BB0D3E" w:rsidP="00BB0D3E">
                  <w:pPr>
                    <w:ind w:left="57" w:right="57"/>
                    <w:jc w:val="both"/>
                    <w:rPr>
                      <w:i/>
                      <w:iCs/>
                      <w:sz w:val="18"/>
                      <w:szCs w:val="18"/>
                    </w:rPr>
                  </w:pPr>
                  <w:r w:rsidRPr="00BB0D3E">
                    <w:rPr>
                      <w:i/>
                      <w:iCs/>
                      <w:sz w:val="18"/>
                      <w:szCs w:val="18"/>
                    </w:rPr>
                    <w:t>1</w:t>
                  </w:r>
                  <w:r w:rsidR="001871F2">
                    <w:rPr>
                      <w:i/>
                      <w:iCs/>
                      <w:sz w:val="18"/>
                      <w:szCs w:val="18"/>
                    </w:rPr>
                    <w:t>5</w:t>
                  </w:r>
                  <w:r w:rsidRPr="00BB0D3E">
                    <w:rPr>
                      <w:i/>
                      <w:iCs/>
                      <w:sz w:val="18"/>
                      <w:szCs w:val="18"/>
                    </w:rPr>
                    <w:t>) Dūmenis virs 60 m</w:t>
                  </w:r>
                  <w:r w:rsidR="001871F2">
                    <w:rPr>
                      <w:i/>
                      <w:iCs/>
                      <w:sz w:val="18"/>
                      <w:szCs w:val="18"/>
                    </w:rPr>
                    <w:t>;</w:t>
                  </w:r>
                </w:p>
                <w:p w14:paraId="202C6F99" w14:textId="53E55940" w:rsidR="001871F2" w:rsidRPr="00BB0D3E" w:rsidRDefault="001871F2" w:rsidP="00BB0D3E">
                  <w:pPr>
                    <w:ind w:left="57" w:right="57"/>
                    <w:jc w:val="both"/>
                    <w:rPr>
                      <w:i/>
                      <w:iCs/>
                      <w:sz w:val="18"/>
                      <w:szCs w:val="18"/>
                    </w:rPr>
                  </w:pPr>
                  <w:r>
                    <w:rPr>
                      <w:i/>
                      <w:iCs/>
                      <w:sz w:val="18"/>
                      <w:szCs w:val="18"/>
                    </w:rPr>
                    <w:t>16) K</w:t>
                  </w:r>
                  <w:r w:rsidRPr="001871F2">
                    <w:rPr>
                      <w:i/>
                      <w:iCs/>
                      <w:sz w:val="18"/>
                      <w:szCs w:val="18"/>
                    </w:rPr>
                    <w:t>analizācijas notekūdeņu attīrīšanas inženierbūves ar jaudu virs 300 m3/diennaktī;</w:t>
                  </w:r>
                </w:p>
              </w:tc>
            </w:tr>
          </w:tbl>
          <w:p w14:paraId="1D85D36B" w14:textId="32BBBBD3" w:rsidR="00BB0D3E" w:rsidRPr="00EB5A4B" w:rsidRDefault="00BB0D3E" w:rsidP="006819DC">
            <w:pPr>
              <w:contextualSpacing/>
              <w:jc w:val="both"/>
            </w:pPr>
          </w:p>
        </w:tc>
      </w:tr>
    </w:tbl>
    <w:p w14:paraId="6029A28E" w14:textId="77777777" w:rsidR="00D21798" w:rsidRPr="00EB5A4B" w:rsidRDefault="00D21798" w:rsidP="002B45C6">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EB5A4B" w:rsidRPr="00EB5A4B" w14:paraId="5427283A" w14:textId="77777777" w:rsidTr="009E0502">
        <w:trPr>
          <w:cantSplit/>
        </w:trPr>
        <w:tc>
          <w:tcPr>
            <w:tcW w:w="5000" w:type="pct"/>
            <w:gridSpan w:val="3"/>
            <w:vAlign w:val="center"/>
            <w:hideMark/>
          </w:tcPr>
          <w:p w14:paraId="61FD7966" w14:textId="77777777" w:rsidR="00BD5588" w:rsidRPr="00EB5A4B" w:rsidRDefault="00BD5588" w:rsidP="002B45C6">
            <w:pPr>
              <w:contextualSpacing/>
              <w:jc w:val="center"/>
              <w:rPr>
                <w:b/>
                <w:bCs/>
              </w:rPr>
            </w:pPr>
            <w:r w:rsidRPr="00EB5A4B">
              <w:rPr>
                <w:b/>
                <w:bCs/>
              </w:rPr>
              <w:lastRenderedPageBreak/>
              <w:t>II. Tiesību akta projekta ietekme uz sabiedrību, tautsaimniecības attīstību un administratīvo slogu</w:t>
            </w:r>
          </w:p>
        </w:tc>
      </w:tr>
      <w:tr w:rsidR="00EB5A4B" w:rsidRPr="00EB5A4B" w14:paraId="1AF63A0B" w14:textId="77777777" w:rsidTr="009E0502">
        <w:trPr>
          <w:cantSplit/>
        </w:trPr>
        <w:tc>
          <w:tcPr>
            <w:tcW w:w="311" w:type="pct"/>
            <w:hideMark/>
          </w:tcPr>
          <w:p w14:paraId="7D3F21AB" w14:textId="77777777" w:rsidR="00BD5588" w:rsidRPr="00EB5A4B" w:rsidRDefault="00BD5588" w:rsidP="002B45C6">
            <w:pPr>
              <w:contextualSpacing/>
              <w:jc w:val="center"/>
            </w:pPr>
            <w:r w:rsidRPr="00EB5A4B">
              <w:t>1.</w:t>
            </w:r>
          </w:p>
        </w:tc>
        <w:tc>
          <w:tcPr>
            <w:tcW w:w="1479" w:type="pct"/>
            <w:hideMark/>
          </w:tcPr>
          <w:p w14:paraId="79FB8CD6" w14:textId="77777777" w:rsidR="00BD5588" w:rsidRPr="00EB5A4B" w:rsidRDefault="00BD5588" w:rsidP="002B45C6">
            <w:pPr>
              <w:contextualSpacing/>
            </w:pPr>
            <w:r w:rsidRPr="00EB5A4B">
              <w:t>Sabiedrības mērķgrupas, kuras tiesiskais regulējums ietekmē vai varētu ietekmēt</w:t>
            </w:r>
          </w:p>
        </w:tc>
        <w:tc>
          <w:tcPr>
            <w:tcW w:w="3210" w:type="pct"/>
            <w:hideMark/>
          </w:tcPr>
          <w:p w14:paraId="4256E75A" w14:textId="348819F6" w:rsidR="00BD5588" w:rsidRPr="00EB5A4B" w:rsidRDefault="00265735" w:rsidP="00265735">
            <w:pPr>
              <w:contextualSpacing/>
              <w:jc w:val="both"/>
            </w:pPr>
            <w:r w:rsidRPr="00EB5A4B">
              <w:t>Plānotais tiesiskais regulējums ietekmēs visus būvniecības procesa dalībniekus, trešās personas, būvvaldes un institūcijas, kuras pilda būvvaldes funkcijas, valsts un pašvaldību institūcijas.</w:t>
            </w:r>
            <w:r w:rsidR="00B068AC">
              <w:t xml:space="preserve"> </w:t>
            </w:r>
            <w:r w:rsidR="00B068AC" w:rsidRPr="00B068AC">
              <w:t xml:space="preserve"> Regulējums arī tiešā veidā attiecas uz komersantiem, kas vēlas saņemt licenci ogļūdeņražu meklēšanai vai izpētei un ieguvei, uz jau esošajiem ogļūdeņražu meklēšanas vai izpētes un ieguves licenciātiem, kā arī nekustamā īpašuma īpašniekiem, kuri vēlas iniciēt ogļūdeņražu meklēšanu vai izpēti un ieguvi savā nekustamajā īpašumā.</w:t>
            </w:r>
          </w:p>
        </w:tc>
      </w:tr>
      <w:tr w:rsidR="00EB5A4B" w:rsidRPr="00EB5A4B" w14:paraId="6E8CAD84" w14:textId="77777777" w:rsidTr="009E0502">
        <w:trPr>
          <w:cantSplit/>
        </w:trPr>
        <w:tc>
          <w:tcPr>
            <w:tcW w:w="311" w:type="pct"/>
            <w:hideMark/>
          </w:tcPr>
          <w:p w14:paraId="731D835F" w14:textId="77777777" w:rsidR="00BD5588" w:rsidRPr="00EB5A4B" w:rsidRDefault="00BD5588" w:rsidP="002B45C6">
            <w:pPr>
              <w:contextualSpacing/>
              <w:jc w:val="center"/>
            </w:pPr>
            <w:r w:rsidRPr="00EB5A4B">
              <w:t>2.</w:t>
            </w:r>
          </w:p>
        </w:tc>
        <w:tc>
          <w:tcPr>
            <w:tcW w:w="1479" w:type="pct"/>
            <w:hideMark/>
          </w:tcPr>
          <w:p w14:paraId="4E45C960" w14:textId="77777777" w:rsidR="00BD5588" w:rsidRPr="00EB5A4B" w:rsidRDefault="00BD5588" w:rsidP="002B45C6">
            <w:pPr>
              <w:contextualSpacing/>
            </w:pPr>
            <w:r w:rsidRPr="00EB5A4B">
              <w:t>Tiesiskā regulējuma ietekme uz tautsaimniecību un administratīvo slogu</w:t>
            </w:r>
          </w:p>
        </w:tc>
        <w:tc>
          <w:tcPr>
            <w:tcW w:w="3210" w:type="pct"/>
            <w:hideMark/>
          </w:tcPr>
          <w:p w14:paraId="664B3712" w14:textId="51EEEC76" w:rsidR="00BD5588" w:rsidRPr="00EB5A4B" w:rsidRDefault="00265735" w:rsidP="00265735">
            <w:pPr>
              <w:contextualSpacing/>
              <w:jc w:val="both"/>
            </w:pPr>
            <w:r w:rsidRPr="00EB5A4B">
              <w:t>Tā kā nav izdalāms viens tipisks gadījums, kas varētu attiekties uz visiem būvniecības ierosinātājiem vai būvdarbu veicējiem, kā arī šīs personas ir dažādas, tad attiecīgās izmaksas nav iespējams novērtēt.</w:t>
            </w:r>
            <w:r w:rsidR="001838EA">
              <w:t xml:space="preserve"> Piemēram, ogļūdeņražu urbumu (izpētes un ieguves) izbūvei vairs nebūs nepieciešama būvniecības ieceres dokumentācijas būvekspertīze, bet citos gadījumos, ņemot vērā regulējuma izmaiņas attiecībā uz jauniem būvniecības procesiem</w:t>
            </w:r>
            <w:r w:rsidR="00A1024A">
              <w:t>,</w:t>
            </w:r>
            <w:r w:rsidR="001838EA">
              <w:t xml:space="preserve"> tā būs nepieciešama.</w:t>
            </w:r>
          </w:p>
        </w:tc>
      </w:tr>
      <w:tr w:rsidR="00EB5A4B" w:rsidRPr="00EB5A4B" w14:paraId="3C397C99" w14:textId="77777777" w:rsidTr="009E0502">
        <w:trPr>
          <w:cantSplit/>
        </w:trPr>
        <w:tc>
          <w:tcPr>
            <w:tcW w:w="311" w:type="pct"/>
            <w:hideMark/>
          </w:tcPr>
          <w:p w14:paraId="25E98416" w14:textId="77777777" w:rsidR="00BD5588" w:rsidRPr="00EB5A4B" w:rsidRDefault="00BD5588" w:rsidP="002B45C6">
            <w:pPr>
              <w:contextualSpacing/>
              <w:jc w:val="center"/>
            </w:pPr>
            <w:r w:rsidRPr="00EB5A4B">
              <w:t>3.</w:t>
            </w:r>
          </w:p>
        </w:tc>
        <w:tc>
          <w:tcPr>
            <w:tcW w:w="1479" w:type="pct"/>
            <w:hideMark/>
          </w:tcPr>
          <w:p w14:paraId="0A7CFF76" w14:textId="77777777" w:rsidR="00BD5588" w:rsidRPr="00EB5A4B" w:rsidRDefault="00BD5588" w:rsidP="002B45C6">
            <w:pPr>
              <w:contextualSpacing/>
            </w:pPr>
            <w:r w:rsidRPr="00EB5A4B">
              <w:t>Administratīvo izmaksu monetārs novērtējums</w:t>
            </w:r>
          </w:p>
        </w:tc>
        <w:tc>
          <w:tcPr>
            <w:tcW w:w="3210" w:type="pct"/>
            <w:hideMark/>
          </w:tcPr>
          <w:p w14:paraId="7860FF92" w14:textId="2D08F515" w:rsidR="00BD5588" w:rsidRPr="00EB5A4B" w:rsidRDefault="006A1EAE" w:rsidP="00265735">
            <w:pPr>
              <w:contextualSpacing/>
              <w:jc w:val="both"/>
            </w:pPr>
            <w:r>
              <w:t>Projekts šo jomu neskar</w:t>
            </w:r>
          </w:p>
        </w:tc>
      </w:tr>
      <w:tr w:rsidR="00EB5A4B" w:rsidRPr="00EB5A4B" w14:paraId="4574B7E1" w14:textId="77777777" w:rsidTr="009E0502">
        <w:trPr>
          <w:cantSplit/>
        </w:trPr>
        <w:tc>
          <w:tcPr>
            <w:tcW w:w="311" w:type="pct"/>
            <w:hideMark/>
          </w:tcPr>
          <w:p w14:paraId="046DDD77" w14:textId="77777777" w:rsidR="00BD5588" w:rsidRPr="00EB5A4B" w:rsidRDefault="00BD5588" w:rsidP="002B45C6">
            <w:pPr>
              <w:contextualSpacing/>
              <w:jc w:val="center"/>
            </w:pPr>
            <w:r w:rsidRPr="00EB5A4B">
              <w:t>4.</w:t>
            </w:r>
          </w:p>
        </w:tc>
        <w:tc>
          <w:tcPr>
            <w:tcW w:w="1479" w:type="pct"/>
            <w:hideMark/>
          </w:tcPr>
          <w:p w14:paraId="05D5D695" w14:textId="77777777" w:rsidR="00BD5588" w:rsidRPr="00EB5A4B" w:rsidRDefault="00BD5588" w:rsidP="002B45C6">
            <w:pPr>
              <w:contextualSpacing/>
            </w:pPr>
            <w:r w:rsidRPr="00EB5A4B">
              <w:t>Atbilstības izmaksu monetārs novērtējums</w:t>
            </w:r>
          </w:p>
        </w:tc>
        <w:tc>
          <w:tcPr>
            <w:tcW w:w="3210" w:type="pct"/>
            <w:hideMark/>
          </w:tcPr>
          <w:p w14:paraId="7795B604" w14:textId="3F975E49" w:rsidR="00BD5588" w:rsidRPr="00EB5A4B" w:rsidRDefault="006A1EAE" w:rsidP="00265735">
            <w:pPr>
              <w:contextualSpacing/>
              <w:jc w:val="both"/>
            </w:pPr>
            <w:r>
              <w:t>Projekts šo jomu neskar</w:t>
            </w:r>
          </w:p>
        </w:tc>
      </w:tr>
      <w:tr w:rsidR="00265735" w:rsidRPr="00EB5A4B" w14:paraId="6DFDFD5D" w14:textId="77777777" w:rsidTr="009E0502">
        <w:trPr>
          <w:cantSplit/>
        </w:trPr>
        <w:tc>
          <w:tcPr>
            <w:tcW w:w="311" w:type="pct"/>
            <w:hideMark/>
          </w:tcPr>
          <w:p w14:paraId="29BF1977" w14:textId="77777777" w:rsidR="00BD5588" w:rsidRPr="00EB5A4B" w:rsidRDefault="00BD5588" w:rsidP="002B45C6">
            <w:pPr>
              <w:contextualSpacing/>
              <w:jc w:val="center"/>
            </w:pPr>
            <w:r w:rsidRPr="00EB5A4B">
              <w:t>5.</w:t>
            </w:r>
          </w:p>
        </w:tc>
        <w:tc>
          <w:tcPr>
            <w:tcW w:w="1479" w:type="pct"/>
            <w:hideMark/>
          </w:tcPr>
          <w:p w14:paraId="2340C532" w14:textId="77777777" w:rsidR="00BD5588" w:rsidRPr="00EB5A4B" w:rsidRDefault="00BD5588" w:rsidP="002B45C6">
            <w:pPr>
              <w:contextualSpacing/>
            </w:pPr>
            <w:r w:rsidRPr="00EB5A4B">
              <w:t>Cita informācija</w:t>
            </w:r>
          </w:p>
        </w:tc>
        <w:tc>
          <w:tcPr>
            <w:tcW w:w="3210" w:type="pct"/>
            <w:hideMark/>
          </w:tcPr>
          <w:p w14:paraId="06D9D646" w14:textId="76AB888E" w:rsidR="00BD5588" w:rsidRPr="00EB5A4B" w:rsidRDefault="00265735" w:rsidP="002B45C6">
            <w:pPr>
              <w:contextualSpacing/>
            </w:pPr>
            <w:r w:rsidRPr="00EB5A4B">
              <w:t>Nav</w:t>
            </w:r>
          </w:p>
        </w:tc>
      </w:tr>
    </w:tbl>
    <w:p w14:paraId="43EDD2FE" w14:textId="396B9565" w:rsidR="00BD5588" w:rsidRDefault="00BD5588" w:rsidP="002B45C6">
      <w:pPr>
        <w:contextualSpacing/>
      </w:pPr>
    </w:p>
    <w:p w14:paraId="6F4F07B9" w14:textId="77777777" w:rsidR="006819DC" w:rsidRPr="00EB5A4B" w:rsidRDefault="006819DC" w:rsidP="002B45C6">
      <w:pPr>
        <w:contextualSpacing/>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299"/>
      </w:tblGrid>
      <w:tr w:rsidR="00EB5A4B" w:rsidRPr="00EB5A4B" w14:paraId="248B7D23" w14:textId="77777777" w:rsidTr="002B45C6">
        <w:trPr>
          <w:cantSplit/>
        </w:trPr>
        <w:tc>
          <w:tcPr>
            <w:tcW w:w="8299" w:type="dxa"/>
            <w:shd w:val="clear" w:color="auto" w:fill="auto"/>
            <w:vAlign w:val="center"/>
            <w:hideMark/>
          </w:tcPr>
          <w:p w14:paraId="15C43E02" w14:textId="77777777" w:rsidR="00BD5588" w:rsidRPr="00EB5A4B" w:rsidRDefault="00BD5588" w:rsidP="002B45C6">
            <w:pPr>
              <w:contextualSpacing/>
              <w:jc w:val="center"/>
              <w:rPr>
                <w:b/>
                <w:bCs/>
                <w:lang w:eastAsia="en-US"/>
              </w:rPr>
            </w:pPr>
            <w:r w:rsidRPr="00EB5A4B">
              <w:rPr>
                <w:b/>
                <w:bCs/>
                <w:lang w:eastAsia="en-US"/>
              </w:rPr>
              <w:t>III. Tiesību akta projekta ietekme uz valsts budžetu un pašvaldību budžetiem</w:t>
            </w:r>
          </w:p>
        </w:tc>
      </w:tr>
      <w:tr w:rsidR="00245EF6" w:rsidRPr="00EB5A4B" w14:paraId="0A06DADB" w14:textId="77777777" w:rsidTr="002B45C6">
        <w:trPr>
          <w:cantSplit/>
        </w:trPr>
        <w:tc>
          <w:tcPr>
            <w:tcW w:w="8299" w:type="dxa"/>
            <w:shd w:val="clear" w:color="auto" w:fill="auto"/>
            <w:vAlign w:val="center"/>
          </w:tcPr>
          <w:p w14:paraId="4F6FAB2E" w14:textId="67717733" w:rsidR="00245EF6" w:rsidRPr="00F30E42" w:rsidRDefault="00245EF6" w:rsidP="002B45C6">
            <w:pPr>
              <w:contextualSpacing/>
              <w:jc w:val="center"/>
              <w:rPr>
                <w:lang w:eastAsia="en-US"/>
              </w:rPr>
            </w:pPr>
            <w:r w:rsidRPr="00F30E42">
              <w:rPr>
                <w:lang w:eastAsia="en-US"/>
              </w:rPr>
              <w:t>Projekts šo jomu neskar.</w:t>
            </w:r>
          </w:p>
        </w:tc>
      </w:tr>
    </w:tbl>
    <w:p w14:paraId="6F3EBC64" w14:textId="54CE2E14" w:rsidR="006819DC" w:rsidRDefault="006819DC" w:rsidP="002B45C6">
      <w:pPr>
        <w:pStyle w:val="Title"/>
        <w:ind w:firstLine="539"/>
        <w:contextualSpacing/>
        <w:jc w:val="both"/>
        <w:rPr>
          <w:sz w:val="24"/>
          <w:szCs w:val="24"/>
        </w:rPr>
      </w:pPr>
    </w:p>
    <w:p w14:paraId="04CAA8E2" w14:textId="77777777" w:rsidR="006819DC" w:rsidRPr="00EB5A4B" w:rsidRDefault="006819DC" w:rsidP="002B45C6">
      <w:pPr>
        <w:pStyle w:val="Title"/>
        <w:ind w:firstLine="539"/>
        <w:contextualSpacing/>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23"/>
        <w:gridCol w:w="2442"/>
        <w:gridCol w:w="5334"/>
      </w:tblGrid>
      <w:tr w:rsidR="00EB5A4B" w:rsidRPr="00EB5A4B" w14:paraId="21C83F0C" w14:textId="77777777" w:rsidTr="001A4FFA">
        <w:trPr>
          <w:cantSplit/>
        </w:trPr>
        <w:tc>
          <w:tcPr>
            <w:tcW w:w="8365" w:type="dxa"/>
            <w:gridSpan w:val="3"/>
            <w:vAlign w:val="center"/>
            <w:hideMark/>
          </w:tcPr>
          <w:p w14:paraId="4696C9CB" w14:textId="77777777" w:rsidR="002B45C6" w:rsidRPr="00EB5A4B" w:rsidRDefault="002B45C6" w:rsidP="002B45C6">
            <w:pPr>
              <w:contextualSpacing/>
              <w:jc w:val="center"/>
              <w:rPr>
                <w:b/>
                <w:bCs/>
              </w:rPr>
            </w:pPr>
            <w:r w:rsidRPr="00EB5A4B">
              <w:rPr>
                <w:b/>
                <w:bCs/>
              </w:rPr>
              <w:t>IV. Tiesību akta projekta ietekme uz spēkā esošo tiesību normu sistēmu</w:t>
            </w:r>
          </w:p>
        </w:tc>
      </w:tr>
      <w:tr w:rsidR="00EB5A4B" w:rsidRPr="00EB5A4B" w14:paraId="7BD9FE7B" w14:textId="77777777" w:rsidTr="001A4FFA">
        <w:trPr>
          <w:cantSplit/>
        </w:trPr>
        <w:tc>
          <w:tcPr>
            <w:tcW w:w="527" w:type="dxa"/>
            <w:hideMark/>
          </w:tcPr>
          <w:p w14:paraId="1A278215" w14:textId="77777777" w:rsidR="002B45C6" w:rsidRPr="00EB5A4B" w:rsidRDefault="002B45C6" w:rsidP="002B45C6">
            <w:pPr>
              <w:contextualSpacing/>
              <w:jc w:val="center"/>
            </w:pPr>
            <w:r w:rsidRPr="00EB5A4B">
              <w:t>1.</w:t>
            </w:r>
          </w:p>
        </w:tc>
        <w:tc>
          <w:tcPr>
            <w:tcW w:w="2461" w:type="dxa"/>
            <w:hideMark/>
          </w:tcPr>
          <w:p w14:paraId="78B6277B" w14:textId="77777777" w:rsidR="002B45C6" w:rsidRPr="00EB5A4B" w:rsidRDefault="002B45C6" w:rsidP="002B45C6">
            <w:pPr>
              <w:contextualSpacing/>
            </w:pPr>
            <w:r w:rsidRPr="00EB5A4B">
              <w:t>Saistītie tiesību aktu projekti</w:t>
            </w:r>
          </w:p>
        </w:tc>
        <w:tc>
          <w:tcPr>
            <w:tcW w:w="5377" w:type="dxa"/>
            <w:hideMark/>
          </w:tcPr>
          <w:p w14:paraId="7F15A14D" w14:textId="38685F55" w:rsidR="002B45C6" w:rsidRPr="00EB5A4B" w:rsidRDefault="00BE1256" w:rsidP="00BE1256">
            <w:pPr>
              <w:contextualSpacing/>
              <w:jc w:val="both"/>
            </w:pPr>
            <w:r w:rsidRPr="00EB5A4B">
              <w:t xml:space="preserve">Ņemot vērā plānotās izmaiņas, ir nepieciešamas atbilstošas izmaiņas Ministru kabineta 2017.gada 9.maija noteikumos Nr.253 “Atsevišķu inženierbūvju būvnoteikumi”. </w:t>
            </w:r>
            <w:r w:rsidR="00AD58C4">
              <w:t xml:space="preserve">Tāpat ir nepieciešamas izmaiņas </w:t>
            </w:r>
            <w:r w:rsidR="00AD58C4" w:rsidRPr="00AD58C4">
              <w:t>Ministru kabineta 2014.gada 14.oktobr</w:t>
            </w:r>
            <w:r w:rsidR="00AD58C4">
              <w:t xml:space="preserve">a </w:t>
            </w:r>
            <w:r w:rsidR="00AD58C4" w:rsidRPr="00AD58C4">
              <w:t>noteikum</w:t>
            </w:r>
            <w:r w:rsidR="00AD58C4">
              <w:t>os</w:t>
            </w:r>
            <w:r w:rsidR="00AD58C4" w:rsidRPr="00AD58C4">
              <w:t xml:space="preserve"> Nr.633</w:t>
            </w:r>
            <w:r w:rsidR="00AD58C4">
              <w:t xml:space="preserve"> “</w:t>
            </w:r>
            <w:r w:rsidR="00AD58C4" w:rsidRPr="00AD58C4">
              <w:t>Autoceļu un ielu būvnoteikumi</w:t>
            </w:r>
            <w:r w:rsidR="00AD58C4">
              <w:t xml:space="preserve">” (gājēju un velosipēdistu inženierbūves). </w:t>
            </w:r>
            <w:r w:rsidR="00F30E42">
              <w:t>Speciālajos būvnoteikumos būs nepieciešamas precizēt I grupas būvniecības procesu, attiecībās uz III grupu būvniecības procesu nebūs nepieciešamas precizēt.</w:t>
            </w:r>
            <w:r w:rsidR="00F30E42" w:rsidRPr="00EB5A4B">
              <w:t xml:space="preserve"> </w:t>
            </w:r>
          </w:p>
        </w:tc>
      </w:tr>
      <w:tr w:rsidR="00EB5A4B" w:rsidRPr="00EB5A4B" w14:paraId="1B0B4899" w14:textId="77777777" w:rsidTr="001A4FFA">
        <w:trPr>
          <w:cantSplit/>
        </w:trPr>
        <w:tc>
          <w:tcPr>
            <w:tcW w:w="527" w:type="dxa"/>
            <w:hideMark/>
          </w:tcPr>
          <w:p w14:paraId="7504AA18" w14:textId="77777777" w:rsidR="002B45C6" w:rsidRPr="00EB5A4B" w:rsidRDefault="002B45C6" w:rsidP="002B45C6">
            <w:pPr>
              <w:contextualSpacing/>
              <w:jc w:val="center"/>
            </w:pPr>
            <w:r w:rsidRPr="00EB5A4B">
              <w:t>2.</w:t>
            </w:r>
          </w:p>
        </w:tc>
        <w:tc>
          <w:tcPr>
            <w:tcW w:w="2461" w:type="dxa"/>
            <w:hideMark/>
          </w:tcPr>
          <w:p w14:paraId="4EFE4CD5" w14:textId="77777777" w:rsidR="002B45C6" w:rsidRPr="00EB5A4B" w:rsidRDefault="002B45C6" w:rsidP="002B45C6">
            <w:pPr>
              <w:contextualSpacing/>
            </w:pPr>
            <w:r w:rsidRPr="00EB5A4B">
              <w:t>Atbildīgā institūcija</w:t>
            </w:r>
          </w:p>
        </w:tc>
        <w:tc>
          <w:tcPr>
            <w:tcW w:w="5377" w:type="dxa"/>
            <w:hideMark/>
          </w:tcPr>
          <w:p w14:paraId="0CD679CC" w14:textId="1FE25D89" w:rsidR="002B45C6" w:rsidRPr="00EB5A4B" w:rsidRDefault="00BE1256" w:rsidP="002B45C6">
            <w:pPr>
              <w:contextualSpacing/>
            </w:pPr>
            <w:r w:rsidRPr="00EB5A4B">
              <w:t>Ekonomikas ministrija.</w:t>
            </w:r>
          </w:p>
        </w:tc>
      </w:tr>
      <w:tr w:rsidR="00EB5A4B" w:rsidRPr="00EB5A4B" w14:paraId="3E4ECF29" w14:textId="77777777" w:rsidTr="001A4FFA">
        <w:trPr>
          <w:cantSplit/>
        </w:trPr>
        <w:tc>
          <w:tcPr>
            <w:tcW w:w="527" w:type="dxa"/>
            <w:hideMark/>
          </w:tcPr>
          <w:p w14:paraId="1AECE5FC" w14:textId="77777777" w:rsidR="002B45C6" w:rsidRPr="00EB5A4B" w:rsidRDefault="002B45C6" w:rsidP="002B45C6">
            <w:pPr>
              <w:contextualSpacing/>
              <w:jc w:val="center"/>
            </w:pPr>
            <w:r w:rsidRPr="00EB5A4B">
              <w:t>3.</w:t>
            </w:r>
          </w:p>
        </w:tc>
        <w:tc>
          <w:tcPr>
            <w:tcW w:w="2461" w:type="dxa"/>
            <w:hideMark/>
          </w:tcPr>
          <w:p w14:paraId="0D3FA434" w14:textId="77777777" w:rsidR="002B45C6" w:rsidRPr="00EB5A4B" w:rsidRDefault="002B45C6" w:rsidP="002B45C6">
            <w:pPr>
              <w:contextualSpacing/>
            </w:pPr>
            <w:r w:rsidRPr="00EB5A4B">
              <w:t>Cita informācija</w:t>
            </w:r>
          </w:p>
        </w:tc>
        <w:tc>
          <w:tcPr>
            <w:tcW w:w="5377" w:type="dxa"/>
            <w:hideMark/>
          </w:tcPr>
          <w:p w14:paraId="5D8B2672" w14:textId="2E02AE2E" w:rsidR="002B45C6" w:rsidRPr="00EB5A4B" w:rsidRDefault="00BE1256" w:rsidP="002B45C6">
            <w:pPr>
              <w:contextualSpacing/>
            </w:pPr>
            <w:r w:rsidRPr="00EB5A4B">
              <w:t>Nav</w:t>
            </w:r>
          </w:p>
        </w:tc>
      </w:tr>
    </w:tbl>
    <w:p w14:paraId="706E3960" w14:textId="77777777" w:rsidR="002B45C6" w:rsidRPr="00EB5A4B" w:rsidRDefault="002B45C6" w:rsidP="002B45C6">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EB5A4B" w:rsidRPr="00EB5A4B" w14:paraId="2E639655" w14:textId="77777777" w:rsidTr="009E0502">
        <w:trPr>
          <w:cantSplit/>
        </w:trPr>
        <w:tc>
          <w:tcPr>
            <w:tcW w:w="5000" w:type="pct"/>
            <w:vAlign w:val="center"/>
            <w:hideMark/>
          </w:tcPr>
          <w:p w14:paraId="4F9BFDC7" w14:textId="77777777" w:rsidR="00BD5588" w:rsidRPr="00EB5A4B" w:rsidRDefault="00BD5588" w:rsidP="002B45C6">
            <w:pPr>
              <w:contextualSpacing/>
              <w:jc w:val="center"/>
              <w:rPr>
                <w:b/>
                <w:bCs/>
              </w:rPr>
            </w:pPr>
            <w:r w:rsidRPr="00EB5A4B">
              <w:rPr>
                <w:b/>
                <w:bCs/>
              </w:rPr>
              <w:lastRenderedPageBreak/>
              <w:t>V. Tiesību akta projekta atbilstība Latvijas Republikas starptautiskajām saistībām</w:t>
            </w:r>
          </w:p>
        </w:tc>
      </w:tr>
      <w:tr w:rsidR="002B45C6" w:rsidRPr="00EB5A4B" w14:paraId="5FEF335C" w14:textId="77777777" w:rsidTr="002B45C6">
        <w:trPr>
          <w:cantSplit/>
          <w:trHeight w:val="968"/>
        </w:trPr>
        <w:tc>
          <w:tcPr>
            <w:tcW w:w="5000" w:type="pct"/>
          </w:tcPr>
          <w:p w14:paraId="426CB882" w14:textId="6D868659" w:rsidR="002B45C6" w:rsidRPr="00EB5A4B" w:rsidRDefault="002B45C6" w:rsidP="002B45C6">
            <w:pPr>
              <w:contextualSpacing/>
              <w:jc w:val="center"/>
            </w:pPr>
            <w:r w:rsidRPr="00EB5A4B">
              <w:t>Projekts šo jomu neskar</w:t>
            </w:r>
          </w:p>
        </w:tc>
      </w:tr>
    </w:tbl>
    <w:p w14:paraId="29E51A00" w14:textId="24C90E32" w:rsidR="00BD5588" w:rsidRPr="00EB5A4B" w:rsidRDefault="00BD5588" w:rsidP="002B45C6">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EB5A4B" w:rsidRPr="00EB5A4B" w14:paraId="3EFEB6B1" w14:textId="77777777" w:rsidTr="009E0502">
        <w:trPr>
          <w:cantSplit/>
        </w:trPr>
        <w:tc>
          <w:tcPr>
            <w:tcW w:w="5000" w:type="pct"/>
            <w:gridSpan w:val="3"/>
            <w:vAlign w:val="center"/>
            <w:hideMark/>
          </w:tcPr>
          <w:p w14:paraId="16365F9D" w14:textId="77777777" w:rsidR="00BD5588" w:rsidRPr="00EB5A4B" w:rsidRDefault="00BD5588" w:rsidP="002B45C6">
            <w:pPr>
              <w:contextualSpacing/>
              <w:jc w:val="center"/>
              <w:rPr>
                <w:b/>
                <w:bCs/>
              </w:rPr>
            </w:pPr>
            <w:r w:rsidRPr="00EB5A4B">
              <w:rPr>
                <w:b/>
                <w:bCs/>
              </w:rPr>
              <w:t>VI. Sabiedrības līdzdalība un komunikācijas aktivitātes</w:t>
            </w:r>
          </w:p>
        </w:tc>
      </w:tr>
      <w:tr w:rsidR="00EB5A4B" w:rsidRPr="00EB5A4B" w14:paraId="6B402D11" w14:textId="77777777" w:rsidTr="00C55B1F">
        <w:trPr>
          <w:cantSplit/>
        </w:trPr>
        <w:tc>
          <w:tcPr>
            <w:tcW w:w="311" w:type="pct"/>
            <w:hideMark/>
          </w:tcPr>
          <w:p w14:paraId="4CB38808" w14:textId="77777777" w:rsidR="00BD5588" w:rsidRPr="00EB5A4B" w:rsidRDefault="00BD5588" w:rsidP="002B45C6">
            <w:pPr>
              <w:contextualSpacing/>
              <w:jc w:val="center"/>
            </w:pPr>
            <w:r w:rsidRPr="00EB5A4B">
              <w:t>1.</w:t>
            </w:r>
          </w:p>
        </w:tc>
        <w:tc>
          <w:tcPr>
            <w:tcW w:w="1479" w:type="pct"/>
            <w:hideMark/>
          </w:tcPr>
          <w:p w14:paraId="1E766BAE" w14:textId="77777777" w:rsidR="00BD5588" w:rsidRPr="00EB5A4B" w:rsidRDefault="00BD5588" w:rsidP="002B45C6">
            <w:pPr>
              <w:contextualSpacing/>
            </w:pPr>
            <w:r w:rsidRPr="00EB5A4B">
              <w:t>Plānotās sabiedrības līdzdalības un komunikācijas aktivitātes saistībā ar projektu</w:t>
            </w:r>
          </w:p>
        </w:tc>
        <w:tc>
          <w:tcPr>
            <w:tcW w:w="3210" w:type="pct"/>
          </w:tcPr>
          <w:p w14:paraId="400DC4B5" w14:textId="41DC6270" w:rsidR="00BD5588" w:rsidRPr="00EB5A4B" w:rsidRDefault="00C55B1F" w:rsidP="00C55B1F">
            <w:pPr>
              <w:contextualSpacing/>
              <w:jc w:val="both"/>
            </w:pPr>
            <w:r w:rsidRPr="00EB5A4B">
              <w:t>Sabiedrības pārstāvjiem tik</w:t>
            </w:r>
            <w:r w:rsidR="00485297">
              <w:t>a</w:t>
            </w:r>
            <w:r w:rsidRPr="00EB5A4B">
              <w:t xml:space="preserve"> nodrošināta iespēja iepazīties, izteikt viedokli un tikt uzklausītiem saskaņā ar Ministru kabineta 2009. gada 25. augusta noteikumu Nr.970 “Sabiedrības līdzdalības kārtība attīstības plānošanas procesā” 5. punktu un 7.4.</w:t>
            </w:r>
            <w:r w:rsidRPr="00EB5A4B">
              <w:rPr>
                <w:vertAlign w:val="superscript"/>
              </w:rPr>
              <w:t>1</w:t>
            </w:r>
            <w:r w:rsidRPr="00EB5A4B">
              <w:t xml:space="preserve"> apakšpunktu</w:t>
            </w:r>
            <w:r w:rsidR="00812AE2" w:rsidRPr="00EB5A4B">
              <w:t>.</w:t>
            </w:r>
          </w:p>
        </w:tc>
      </w:tr>
      <w:tr w:rsidR="00EB5A4B" w:rsidRPr="00EB5A4B" w14:paraId="00F2361A" w14:textId="77777777" w:rsidTr="009E0502">
        <w:trPr>
          <w:cantSplit/>
        </w:trPr>
        <w:tc>
          <w:tcPr>
            <w:tcW w:w="311" w:type="pct"/>
            <w:hideMark/>
          </w:tcPr>
          <w:p w14:paraId="180DD2CC" w14:textId="77777777" w:rsidR="00BD5588" w:rsidRPr="00EB5A4B" w:rsidRDefault="00BD5588" w:rsidP="002B45C6">
            <w:pPr>
              <w:contextualSpacing/>
              <w:jc w:val="center"/>
            </w:pPr>
            <w:r w:rsidRPr="00EB5A4B">
              <w:t>2.</w:t>
            </w:r>
          </w:p>
        </w:tc>
        <w:tc>
          <w:tcPr>
            <w:tcW w:w="1479" w:type="pct"/>
            <w:hideMark/>
          </w:tcPr>
          <w:p w14:paraId="655CAC0E" w14:textId="77777777" w:rsidR="00BD5588" w:rsidRPr="00EB5A4B" w:rsidRDefault="00BD5588" w:rsidP="002B45C6">
            <w:pPr>
              <w:contextualSpacing/>
            </w:pPr>
            <w:r w:rsidRPr="00EB5A4B">
              <w:t>Sabiedrības līdzdalība projekta izstrādē</w:t>
            </w:r>
          </w:p>
        </w:tc>
        <w:tc>
          <w:tcPr>
            <w:tcW w:w="3210" w:type="pct"/>
            <w:hideMark/>
          </w:tcPr>
          <w:p w14:paraId="2F418E06" w14:textId="582D90E7" w:rsidR="00BD5588" w:rsidRPr="00EB5A4B" w:rsidRDefault="00485297" w:rsidP="00A83B1C">
            <w:pPr>
              <w:contextualSpacing/>
              <w:jc w:val="both"/>
            </w:pPr>
            <w:r>
              <w:t xml:space="preserve">Noteikumu projekts sabiedrības līdzdalībai tika publicēts </w:t>
            </w:r>
            <w:r w:rsidR="00140237">
              <w:t xml:space="preserve">2020. gada </w:t>
            </w:r>
            <w:r>
              <w:t>21.</w:t>
            </w:r>
            <w:r w:rsidR="00140237">
              <w:t xml:space="preserve"> septembrī </w:t>
            </w:r>
            <w:r>
              <w:t xml:space="preserve">tīmekļa vietnē </w:t>
            </w:r>
            <w:proofErr w:type="spellStart"/>
            <w:r>
              <w:t>em.gov.lv</w:t>
            </w:r>
            <w:proofErr w:type="spellEnd"/>
            <w:r>
              <w:t xml:space="preserve"> sadaļas “apakšdaļa” “</w:t>
            </w:r>
            <w:r w:rsidRPr="00485297">
              <w:t>Diskusiju dokumenti</w:t>
            </w:r>
            <w:r>
              <w:t>” (ceļš s</w:t>
            </w:r>
            <w:r w:rsidRPr="00485297">
              <w:t>ākumlapa</w:t>
            </w:r>
            <w:r>
              <w:t xml:space="preserve"> &gt; “</w:t>
            </w:r>
            <w:r w:rsidRPr="00485297">
              <w:t>Ministrija</w:t>
            </w:r>
            <w:r>
              <w:t>” &gt; “</w:t>
            </w:r>
            <w:r w:rsidRPr="00485297">
              <w:t>Sabiedrības līdzdalība</w:t>
            </w:r>
            <w:r>
              <w:t>” &gt; “</w:t>
            </w:r>
            <w:r w:rsidRPr="00485297">
              <w:t>Diskusiju dokumenti</w:t>
            </w:r>
            <w:r>
              <w:t>”). Paziņojumā par sabiedrības līdzdalību tika norādīts, ka priekšlikumi ir sniedzami līdz 2020.</w:t>
            </w:r>
            <w:r w:rsidR="00140237">
              <w:t> gada 5. oktobrim</w:t>
            </w:r>
            <w:r>
              <w:t xml:space="preserve"> Jāatzīmē, ka tika izvērtēti arī priekšlikumi, kuri tika saņemti līdz </w:t>
            </w:r>
            <w:r w:rsidR="00140237">
              <w:t>2020. gada 13. oktobrim</w:t>
            </w:r>
            <w:r>
              <w:t>. Papildus par noteikumu projektu tika informēta Latvijas Būvniecības padome un Inženiertīklu turētāju sadarbības padomes pārstāvji.</w:t>
            </w:r>
          </w:p>
        </w:tc>
      </w:tr>
      <w:tr w:rsidR="00EB5A4B" w:rsidRPr="00EB5A4B" w14:paraId="1BF9F4CE" w14:textId="77777777" w:rsidTr="009E0502">
        <w:trPr>
          <w:cantSplit/>
        </w:trPr>
        <w:tc>
          <w:tcPr>
            <w:tcW w:w="311" w:type="pct"/>
            <w:hideMark/>
          </w:tcPr>
          <w:p w14:paraId="67124694" w14:textId="77777777" w:rsidR="00BD5588" w:rsidRPr="00EB5A4B" w:rsidRDefault="00BD5588" w:rsidP="002B45C6">
            <w:pPr>
              <w:contextualSpacing/>
              <w:jc w:val="center"/>
            </w:pPr>
            <w:r w:rsidRPr="00EB5A4B">
              <w:lastRenderedPageBreak/>
              <w:t>3.</w:t>
            </w:r>
          </w:p>
        </w:tc>
        <w:tc>
          <w:tcPr>
            <w:tcW w:w="1479" w:type="pct"/>
            <w:hideMark/>
          </w:tcPr>
          <w:p w14:paraId="432A9261" w14:textId="77777777" w:rsidR="00BD5588" w:rsidRPr="00EB5A4B" w:rsidRDefault="00BD5588" w:rsidP="002B45C6">
            <w:pPr>
              <w:contextualSpacing/>
            </w:pPr>
            <w:r w:rsidRPr="00EB5A4B">
              <w:t>Sabiedrības līdzdalības rezultāti</w:t>
            </w:r>
          </w:p>
        </w:tc>
        <w:tc>
          <w:tcPr>
            <w:tcW w:w="3210" w:type="pct"/>
            <w:hideMark/>
          </w:tcPr>
          <w:p w14:paraId="6FA98ABF" w14:textId="28467E5C" w:rsidR="00BD5588" w:rsidRDefault="00140237" w:rsidP="00C55B1F">
            <w:pPr>
              <w:contextualSpacing/>
              <w:jc w:val="both"/>
            </w:pPr>
            <w:r>
              <w:t xml:space="preserve">Par noteikumu projektu tika saņemti priekšlikumi no </w:t>
            </w:r>
            <w:r w:rsidRPr="00140237">
              <w:t>AS “ Latvijas valsts meži”</w:t>
            </w:r>
            <w:r>
              <w:t xml:space="preserve">, </w:t>
            </w:r>
            <w:r w:rsidRPr="00140237">
              <w:t>AS "Sadales tīkls"</w:t>
            </w:r>
            <w:r>
              <w:t xml:space="preserve">, </w:t>
            </w:r>
            <w:r w:rsidRPr="00140237">
              <w:t>Latvijas Būvinženieru savienība</w:t>
            </w:r>
            <w:r>
              <w:t xml:space="preserve">s, </w:t>
            </w:r>
            <w:r w:rsidRPr="00140237">
              <w:t>Latvijas Tirdzniecības un rūpniecības kamera</w:t>
            </w:r>
            <w:r>
              <w:t xml:space="preserve">s, </w:t>
            </w:r>
            <w:r w:rsidRPr="00140237">
              <w:t>Latvijas Būvuzņēmēju partnerība</w:t>
            </w:r>
            <w:r>
              <w:t>s,</w:t>
            </w:r>
            <w:r w:rsidRPr="00140237">
              <w:t xml:space="preserve"> SIA "Rīgas ūdens"</w:t>
            </w:r>
            <w:r>
              <w:t xml:space="preserve">, </w:t>
            </w:r>
            <w:r w:rsidRPr="00140237">
              <w:t>Transportbūvju inženieru asociācija</w:t>
            </w:r>
            <w:r>
              <w:t xml:space="preserve">s. Jāatzīmē, ka </w:t>
            </w:r>
            <w:r w:rsidRPr="00140237">
              <w:t>Latvijas Tirdzniecības un rūpniecības kameras</w:t>
            </w:r>
            <w:r>
              <w:t xml:space="preserve"> priekšlikumos bija ietverti </w:t>
            </w:r>
            <w:r w:rsidRPr="00140237">
              <w:t>Latvijas Būvuzņēmēju partnerība</w:t>
            </w:r>
            <w:r>
              <w:t>s,</w:t>
            </w:r>
            <w:r w:rsidRPr="00140237">
              <w:t xml:space="preserve"> SIA "Rīgas ūdens"</w:t>
            </w:r>
            <w:r>
              <w:t xml:space="preserve">, </w:t>
            </w:r>
            <w:r w:rsidRPr="00140237">
              <w:t>Transportbūvju inženieru asociācija</w:t>
            </w:r>
            <w:r>
              <w:t>s priekšlikumi.</w:t>
            </w:r>
            <w:r w:rsidR="00C71EF3">
              <w:t xml:space="preserve"> Priekšlikumi:</w:t>
            </w:r>
          </w:p>
          <w:p w14:paraId="7293DE58" w14:textId="738D7EFB" w:rsidR="00140237" w:rsidRDefault="00C71EF3" w:rsidP="00C71EF3">
            <w:pPr>
              <w:jc w:val="both"/>
            </w:pPr>
            <w:r>
              <w:t xml:space="preserve">1) </w:t>
            </w:r>
            <w:r w:rsidRPr="00C71EF3">
              <w:t>AS “ Latvijas valsts meži</w:t>
            </w:r>
            <w:r>
              <w:t>” priekšlikumi par to, ka attiecībās uz m</w:t>
            </w:r>
            <w:r w:rsidRPr="00C71EF3">
              <w:t>edību infrastruktūra</w:t>
            </w:r>
            <w:r>
              <w:t>s būvdarbiem nebūtu piemērojams būvniecības regulējums, nav ņemto vērā, ja tas ir speciālo būvnoteikumu jautājums;</w:t>
            </w:r>
          </w:p>
          <w:p w14:paraId="52DD688F" w14:textId="77777777" w:rsidR="00140237" w:rsidRDefault="00C71EF3" w:rsidP="00C55B1F">
            <w:pPr>
              <w:contextualSpacing/>
              <w:jc w:val="both"/>
            </w:pPr>
            <w:r>
              <w:t xml:space="preserve">2) </w:t>
            </w:r>
            <w:r w:rsidRPr="00140237">
              <w:t>AS "Sadales tīkls"</w:t>
            </w:r>
            <w:r>
              <w:t xml:space="preserve"> atsevišķi priekšlikumi ir ņemti vērā par terminoloģijas precizēšanu ir ņemti vērā. Nav ņemts vērā priekšlikums, ja būtu jāatsakās ēku dalījumā pēc jaudas kritērija, ja </w:t>
            </w:r>
            <w:r w:rsidRPr="00C71EF3">
              <w:t>šādas ēkas rada arī lielāku potenciālo sabiedrības apdraudējumu</w:t>
            </w:r>
            <w:r>
              <w:t>;</w:t>
            </w:r>
          </w:p>
          <w:p w14:paraId="6BAC96CA" w14:textId="77777777" w:rsidR="00C71EF3" w:rsidRDefault="00C71EF3" w:rsidP="00C55B1F">
            <w:pPr>
              <w:contextualSpacing/>
              <w:jc w:val="both"/>
            </w:pPr>
            <w:r>
              <w:t xml:space="preserve">3) </w:t>
            </w:r>
            <w:r w:rsidRPr="00140237">
              <w:t>Latvijas Būvinženieru savienība</w:t>
            </w:r>
            <w:r>
              <w:t>s priekšlikumi par detalizētāku III grupas publisku ēku iedalījumu nav ņemti vērā, jo tas apgrūtinās šādu ēku atlasi kontroles nodrošināšanai;</w:t>
            </w:r>
          </w:p>
          <w:p w14:paraId="533E66C8" w14:textId="50487531" w:rsidR="00C71EF3" w:rsidRPr="00EB5A4B" w:rsidRDefault="00C71EF3" w:rsidP="00C55B1F">
            <w:pPr>
              <w:contextualSpacing/>
              <w:jc w:val="both"/>
            </w:pPr>
            <w:r>
              <w:t xml:space="preserve">4) </w:t>
            </w:r>
            <w:r w:rsidRPr="00C71EF3">
              <w:t>Latvijas Tirdzniecības un rūpniecības kamera</w:t>
            </w:r>
            <w:r>
              <w:t>s priekšlikums par pārejas regulējumu ir ņemts vērā</w:t>
            </w:r>
            <w:r w:rsidR="000C5F4A">
              <w:t xml:space="preserve"> un precizējumi saistībā ar ūdensapgādes būvju kritēriju un elektronisko sakaru mastiem</w:t>
            </w:r>
            <w:r>
              <w:t xml:space="preserve">, bet nav ņemti vērā priekšlikumi par autoceļu būvju un robežsardzes būvju </w:t>
            </w:r>
            <w:r w:rsidR="000C5F4A">
              <w:t>grupējuma pārskatīšanu, jo līdzšinējā regulējumā piemērošanā šajā aspektā nav konstatētas problēmas, kuras būtu tieši saistītas ar šo būvju atrašanos vienā vai otrā grupā.</w:t>
            </w:r>
            <w:r w:rsidR="00EB62C6">
              <w:t xml:space="preserve"> Papildus nav ņemts vērā priekšlikums par trešās grupas publisku ēku kritērija palielināšanu, jo </w:t>
            </w:r>
            <w:r w:rsidR="00EB62C6" w:rsidRPr="00EB62C6">
              <w:t xml:space="preserve">piecstāvu </w:t>
            </w:r>
            <w:proofErr w:type="spellStart"/>
            <w:r w:rsidR="00EB62C6" w:rsidRPr="00EB62C6">
              <w:t>daudzīvokļu</w:t>
            </w:r>
            <w:proofErr w:type="spellEnd"/>
            <w:r w:rsidR="00EB62C6" w:rsidRPr="00EB62C6">
              <w:t xml:space="preserve"> dzīvojamā ēka ir dzīvojamā ēka, neatkarīgi no tā, ka piemēram, tās pirmajā stāvā ir izvietotas publiskas telpas.</w:t>
            </w:r>
          </w:p>
        </w:tc>
      </w:tr>
      <w:tr w:rsidR="00812AE2" w:rsidRPr="00EB5A4B" w14:paraId="3C4BAC74" w14:textId="77777777" w:rsidTr="009E0502">
        <w:trPr>
          <w:cantSplit/>
        </w:trPr>
        <w:tc>
          <w:tcPr>
            <w:tcW w:w="311" w:type="pct"/>
            <w:hideMark/>
          </w:tcPr>
          <w:p w14:paraId="5F3136C2" w14:textId="77777777" w:rsidR="00BD5588" w:rsidRPr="00EB5A4B" w:rsidRDefault="00BD5588" w:rsidP="002B45C6">
            <w:pPr>
              <w:contextualSpacing/>
              <w:jc w:val="center"/>
            </w:pPr>
            <w:r w:rsidRPr="00EB5A4B">
              <w:t>4.</w:t>
            </w:r>
          </w:p>
        </w:tc>
        <w:tc>
          <w:tcPr>
            <w:tcW w:w="1479" w:type="pct"/>
            <w:hideMark/>
          </w:tcPr>
          <w:p w14:paraId="7E0EABF4" w14:textId="77777777" w:rsidR="00BD5588" w:rsidRPr="00EB5A4B" w:rsidRDefault="00BD5588" w:rsidP="002B45C6">
            <w:pPr>
              <w:contextualSpacing/>
            </w:pPr>
            <w:r w:rsidRPr="00EB5A4B">
              <w:t>Cita informācija</w:t>
            </w:r>
          </w:p>
        </w:tc>
        <w:tc>
          <w:tcPr>
            <w:tcW w:w="3210" w:type="pct"/>
            <w:hideMark/>
          </w:tcPr>
          <w:p w14:paraId="13E7BD09" w14:textId="7B443BC2" w:rsidR="00BD5588" w:rsidRPr="00EB5A4B" w:rsidRDefault="00C55B1F" w:rsidP="002B45C6">
            <w:pPr>
              <w:contextualSpacing/>
            </w:pPr>
            <w:r w:rsidRPr="00EB5A4B">
              <w:t>Nav</w:t>
            </w:r>
          </w:p>
        </w:tc>
      </w:tr>
    </w:tbl>
    <w:p w14:paraId="3E23C218" w14:textId="77777777" w:rsidR="002B45C6" w:rsidRPr="00EB5A4B" w:rsidRDefault="002B45C6" w:rsidP="002B45C6">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EB5A4B" w:rsidRPr="00EB5A4B" w14:paraId="511B2730" w14:textId="77777777" w:rsidTr="009E0502">
        <w:trPr>
          <w:cantSplit/>
        </w:trPr>
        <w:tc>
          <w:tcPr>
            <w:tcW w:w="5000" w:type="pct"/>
            <w:gridSpan w:val="3"/>
            <w:vAlign w:val="center"/>
            <w:hideMark/>
          </w:tcPr>
          <w:p w14:paraId="7CD9F865" w14:textId="77777777" w:rsidR="00BD5588" w:rsidRPr="00EB5A4B" w:rsidRDefault="00BD5588" w:rsidP="002B45C6">
            <w:pPr>
              <w:contextualSpacing/>
              <w:jc w:val="center"/>
              <w:rPr>
                <w:b/>
                <w:bCs/>
              </w:rPr>
            </w:pPr>
            <w:r w:rsidRPr="00EB5A4B">
              <w:rPr>
                <w:b/>
                <w:bCs/>
              </w:rPr>
              <w:t>VII. Tiesību akta projekta izpildes nodrošināšana un tās ietekme uz institūcijām</w:t>
            </w:r>
          </w:p>
        </w:tc>
      </w:tr>
      <w:tr w:rsidR="00EB5A4B" w:rsidRPr="00EB5A4B" w14:paraId="4424449C" w14:textId="77777777" w:rsidTr="009E0502">
        <w:trPr>
          <w:cantSplit/>
        </w:trPr>
        <w:tc>
          <w:tcPr>
            <w:tcW w:w="311" w:type="pct"/>
            <w:hideMark/>
          </w:tcPr>
          <w:p w14:paraId="19BB36E1" w14:textId="77777777" w:rsidR="00BD5588" w:rsidRPr="00EB5A4B" w:rsidRDefault="00BD5588" w:rsidP="002B45C6">
            <w:pPr>
              <w:contextualSpacing/>
              <w:jc w:val="center"/>
            </w:pPr>
            <w:r w:rsidRPr="00EB5A4B">
              <w:t>1.</w:t>
            </w:r>
          </w:p>
        </w:tc>
        <w:tc>
          <w:tcPr>
            <w:tcW w:w="1479" w:type="pct"/>
            <w:hideMark/>
          </w:tcPr>
          <w:p w14:paraId="3E35126E" w14:textId="77777777" w:rsidR="00BD5588" w:rsidRPr="00EB5A4B" w:rsidRDefault="00BD5588" w:rsidP="002B45C6">
            <w:pPr>
              <w:contextualSpacing/>
            </w:pPr>
            <w:r w:rsidRPr="00EB5A4B">
              <w:t>Projekta izpildē iesaistītās institūcijas</w:t>
            </w:r>
          </w:p>
        </w:tc>
        <w:tc>
          <w:tcPr>
            <w:tcW w:w="3210" w:type="pct"/>
            <w:hideMark/>
          </w:tcPr>
          <w:p w14:paraId="1510E4C0" w14:textId="6FCF55D5" w:rsidR="00BD5588" w:rsidRPr="00EB5A4B" w:rsidRDefault="000969FD" w:rsidP="000969FD">
            <w:pPr>
              <w:contextualSpacing/>
              <w:jc w:val="both"/>
            </w:pPr>
            <w:r w:rsidRPr="00EB5A4B">
              <w:t>Būvvaldes un institūcij</w:t>
            </w:r>
            <w:r w:rsidR="00245EF6">
              <w:t>a</w:t>
            </w:r>
            <w:r w:rsidRPr="00EB5A4B">
              <w:t>s, kuras pilda būvvaldes funkcijas.</w:t>
            </w:r>
          </w:p>
        </w:tc>
      </w:tr>
      <w:tr w:rsidR="00EB5A4B" w:rsidRPr="00EB5A4B" w14:paraId="1708F19E" w14:textId="77777777" w:rsidTr="009E0502">
        <w:trPr>
          <w:cantSplit/>
        </w:trPr>
        <w:tc>
          <w:tcPr>
            <w:tcW w:w="311" w:type="pct"/>
            <w:hideMark/>
          </w:tcPr>
          <w:p w14:paraId="3E68EA9D" w14:textId="77777777" w:rsidR="00BD5588" w:rsidRPr="00EB5A4B" w:rsidRDefault="00BD5588" w:rsidP="002B45C6">
            <w:pPr>
              <w:contextualSpacing/>
              <w:jc w:val="center"/>
            </w:pPr>
            <w:r w:rsidRPr="00EB5A4B">
              <w:lastRenderedPageBreak/>
              <w:t>2.</w:t>
            </w:r>
          </w:p>
        </w:tc>
        <w:tc>
          <w:tcPr>
            <w:tcW w:w="1479" w:type="pct"/>
            <w:hideMark/>
          </w:tcPr>
          <w:p w14:paraId="59FD6FFC" w14:textId="77777777" w:rsidR="00BD5588" w:rsidRPr="00EB5A4B" w:rsidRDefault="00BD5588" w:rsidP="002B45C6">
            <w:pPr>
              <w:contextualSpacing/>
            </w:pPr>
            <w:r w:rsidRPr="00EB5A4B">
              <w:t>Projekta izpildes ietekme uz pārvaldes funkcijām un institucionālo struktūru.</w:t>
            </w:r>
            <w:r w:rsidRPr="00EB5A4B">
              <w:br/>
              <w:t>Jaunu institūciju izveide, esošu institūciju likvidācija vai reorganizācija, to ietekme uz institūcijas cilvēkresursiem</w:t>
            </w:r>
          </w:p>
        </w:tc>
        <w:tc>
          <w:tcPr>
            <w:tcW w:w="3210" w:type="pct"/>
            <w:hideMark/>
          </w:tcPr>
          <w:p w14:paraId="2E075959" w14:textId="001CC8EA" w:rsidR="000969FD" w:rsidRPr="00EB5A4B" w:rsidRDefault="000969FD" w:rsidP="00F30E42">
            <w:pPr>
              <w:contextualSpacing/>
              <w:jc w:val="both"/>
            </w:pPr>
            <w:r w:rsidRPr="00EB5A4B">
              <w:t>Projekts tiks īstenots esoš</w:t>
            </w:r>
            <w:r w:rsidR="00245EF6">
              <w:t>o</w:t>
            </w:r>
            <w:r w:rsidRPr="00EB5A4B">
              <w:t xml:space="preserve"> institūciju un cilvēkresursu ietvaros.</w:t>
            </w:r>
          </w:p>
          <w:p w14:paraId="1F9B0BD7" w14:textId="77777777" w:rsidR="000969FD" w:rsidRPr="00EB5A4B" w:rsidRDefault="000969FD" w:rsidP="00F30E42">
            <w:pPr>
              <w:contextualSpacing/>
              <w:jc w:val="both"/>
            </w:pPr>
          </w:p>
          <w:p w14:paraId="6ABE066A" w14:textId="6AFB75E2" w:rsidR="00BD5588" w:rsidRPr="00EB5A4B" w:rsidRDefault="000969FD" w:rsidP="00F30E42">
            <w:pPr>
              <w:contextualSpacing/>
              <w:jc w:val="both"/>
            </w:pPr>
            <w:r w:rsidRPr="00EB5A4B">
              <w:t>Saistībā ar Projekta izpildi nav paredzēta jaunu institūciju izveide, esošu institūciju likvidācija vai reorganizācija.</w:t>
            </w:r>
          </w:p>
        </w:tc>
      </w:tr>
      <w:tr w:rsidR="00761E1C" w:rsidRPr="00EB5A4B" w14:paraId="57770B26" w14:textId="77777777" w:rsidTr="009E0502">
        <w:trPr>
          <w:cantSplit/>
        </w:trPr>
        <w:tc>
          <w:tcPr>
            <w:tcW w:w="311" w:type="pct"/>
            <w:hideMark/>
          </w:tcPr>
          <w:p w14:paraId="4D29FD75" w14:textId="77777777" w:rsidR="00BD5588" w:rsidRPr="00EB5A4B" w:rsidRDefault="00BD5588" w:rsidP="002B45C6">
            <w:pPr>
              <w:contextualSpacing/>
              <w:jc w:val="center"/>
            </w:pPr>
            <w:r w:rsidRPr="00EB5A4B">
              <w:t>3.</w:t>
            </w:r>
          </w:p>
        </w:tc>
        <w:tc>
          <w:tcPr>
            <w:tcW w:w="1479" w:type="pct"/>
            <w:hideMark/>
          </w:tcPr>
          <w:p w14:paraId="5EED6125" w14:textId="77777777" w:rsidR="00BD5588" w:rsidRPr="00EB5A4B" w:rsidRDefault="00BD5588" w:rsidP="002B45C6">
            <w:pPr>
              <w:contextualSpacing/>
            </w:pPr>
            <w:r w:rsidRPr="00EB5A4B">
              <w:t>Cita informācija</w:t>
            </w:r>
          </w:p>
        </w:tc>
        <w:tc>
          <w:tcPr>
            <w:tcW w:w="3210" w:type="pct"/>
            <w:hideMark/>
          </w:tcPr>
          <w:p w14:paraId="53B4BB02" w14:textId="6B546849" w:rsidR="00BD5588" w:rsidRPr="00EB5A4B" w:rsidRDefault="000969FD" w:rsidP="002B45C6">
            <w:pPr>
              <w:contextualSpacing/>
            </w:pPr>
            <w:r w:rsidRPr="00EB5A4B">
              <w:t>Nav</w:t>
            </w:r>
            <w:r w:rsidR="00245EF6">
              <w:t>.</w:t>
            </w:r>
          </w:p>
        </w:tc>
      </w:tr>
    </w:tbl>
    <w:p w14:paraId="0CF39F54" w14:textId="77777777" w:rsidR="00E44472" w:rsidRPr="00EB5A4B" w:rsidRDefault="00E44472" w:rsidP="002B45C6">
      <w:pPr>
        <w:contextualSpacing/>
      </w:pPr>
    </w:p>
    <w:p w14:paraId="793409EB" w14:textId="77777777" w:rsidR="002B45C6" w:rsidRPr="00EB5A4B" w:rsidRDefault="002B45C6" w:rsidP="002B45C6">
      <w:pPr>
        <w:contextualSpacing/>
      </w:pPr>
    </w:p>
    <w:p w14:paraId="5C6D633F" w14:textId="7A71BEEB" w:rsidR="002B45C6" w:rsidRPr="00EB5A4B" w:rsidRDefault="002B45C6" w:rsidP="002B45C6">
      <w:pPr>
        <w:contextualSpacing/>
      </w:pPr>
      <w:r w:rsidRPr="00EB5A4B">
        <w:t xml:space="preserve">Ekonomikas ministrs </w:t>
      </w:r>
      <w:r w:rsidRPr="00EB5A4B">
        <w:tab/>
      </w:r>
      <w:r w:rsidRPr="00EB5A4B">
        <w:tab/>
      </w:r>
      <w:r w:rsidRPr="00EB5A4B">
        <w:tab/>
      </w:r>
      <w:r w:rsidRPr="00EB5A4B">
        <w:tab/>
      </w:r>
      <w:r w:rsidRPr="00EB5A4B">
        <w:tab/>
      </w:r>
      <w:r w:rsidRPr="00EB5A4B">
        <w:tab/>
      </w:r>
      <w:r w:rsidRPr="00EB5A4B">
        <w:tab/>
        <w:t xml:space="preserve">J. </w:t>
      </w:r>
      <w:proofErr w:type="spellStart"/>
      <w:r w:rsidRPr="00EB5A4B">
        <w:t>Vitenbergs</w:t>
      </w:r>
      <w:proofErr w:type="spellEnd"/>
    </w:p>
    <w:p w14:paraId="6B8550DC" w14:textId="77777777" w:rsidR="002B45C6" w:rsidRPr="00EB5A4B" w:rsidRDefault="002B45C6" w:rsidP="002B45C6">
      <w:pPr>
        <w:contextualSpacing/>
      </w:pPr>
    </w:p>
    <w:p w14:paraId="747BF41E" w14:textId="77777777" w:rsidR="002B45C6" w:rsidRPr="00EB5A4B" w:rsidRDefault="002B45C6" w:rsidP="002B45C6">
      <w:pPr>
        <w:contextualSpacing/>
      </w:pPr>
      <w:r w:rsidRPr="00EB5A4B">
        <w:t>Vīza:</w:t>
      </w:r>
    </w:p>
    <w:p w14:paraId="09A61D45" w14:textId="4EC4C9E5" w:rsidR="002B45C6" w:rsidRPr="00EB5A4B" w:rsidRDefault="002B45C6" w:rsidP="002B45C6">
      <w:pPr>
        <w:contextualSpacing/>
      </w:pPr>
      <w:r w:rsidRPr="00EB5A4B">
        <w:t xml:space="preserve">Valsts sekretārs </w:t>
      </w:r>
      <w:r w:rsidRPr="00EB5A4B">
        <w:tab/>
      </w:r>
      <w:r w:rsidRPr="00EB5A4B">
        <w:tab/>
      </w:r>
      <w:r w:rsidRPr="00EB5A4B">
        <w:tab/>
      </w:r>
      <w:r w:rsidRPr="00EB5A4B">
        <w:tab/>
      </w:r>
      <w:r w:rsidRPr="00EB5A4B">
        <w:tab/>
      </w:r>
      <w:r w:rsidRPr="00EB5A4B">
        <w:tab/>
      </w:r>
      <w:r w:rsidRPr="00EB5A4B">
        <w:tab/>
        <w:t xml:space="preserve">E. </w:t>
      </w:r>
      <w:proofErr w:type="spellStart"/>
      <w:r w:rsidRPr="00EB5A4B">
        <w:t>Valantis</w:t>
      </w:r>
      <w:proofErr w:type="spellEnd"/>
    </w:p>
    <w:sectPr w:rsidR="002B45C6" w:rsidRPr="00EB5A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75BDD"/>
    <w:multiLevelType w:val="hybridMultilevel"/>
    <w:tmpl w:val="7B7CC6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3F10"/>
    <w:rsid w:val="000312FD"/>
    <w:rsid w:val="00061554"/>
    <w:rsid w:val="000969FD"/>
    <w:rsid w:val="000B7CFB"/>
    <w:rsid w:val="000C5F4A"/>
    <w:rsid w:val="001021E0"/>
    <w:rsid w:val="001208CD"/>
    <w:rsid w:val="0014010F"/>
    <w:rsid w:val="00140237"/>
    <w:rsid w:val="00151FB6"/>
    <w:rsid w:val="00162278"/>
    <w:rsid w:val="001627D5"/>
    <w:rsid w:val="00182ED6"/>
    <w:rsid w:val="001838EA"/>
    <w:rsid w:val="001871F2"/>
    <w:rsid w:val="0019259F"/>
    <w:rsid w:val="001B58FA"/>
    <w:rsid w:val="001F1068"/>
    <w:rsid w:val="002333DD"/>
    <w:rsid w:val="00245EF6"/>
    <w:rsid w:val="00260923"/>
    <w:rsid w:val="00265735"/>
    <w:rsid w:val="00295027"/>
    <w:rsid w:val="002A6676"/>
    <w:rsid w:val="002B127E"/>
    <w:rsid w:val="002B45C6"/>
    <w:rsid w:val="002C31E8"/>
    <w:rsid w:val="00316811"/>
    <w:rsid w:val="00333227"/>
    <w:rsid w:val="00382DC9"/>
    <w:rsid w:val="00386ECE"/>
    <w:rsid w:val="003B49DF"/>
    <w:rsid w:val="00436359"/>
    <w:rsid w:val="004808FC"/>
    <w:rsid w:val="00485297"/>
    <w:rsid w:val="004965C0"/>
    <w:rsid w:val="004A3D16"/>
    <w:rsid w:val="004C0A95"/>
    <w:rsid w:val="004D41A6"/>
    <w:rsid w:val="00510762"/>
    <w:rsid w:val="005126D2"/>
    <w:rsid w:val="00514C1E"/>
    <w:rsid w:val="00526626"/>
    <w:rsid w:val="005C7A4E"/>
    <w:rsid w:val="005F45CD"/>
    <w:rsid w:val="006177AF"/>
    <w:rsid w:val="00633F8C"/>
    <w:rsid w:val="00641AF7"/>
    <w:rsid w:val="00643951"/>
    <w:rsid w:val="00667BC8"/>
    <w:rsid w:val="00677500"/>
    <w:rsid w:val="00680BAD"/>
    <w:rsid w:val="006819DC"/>
    <w:rsid w:val="00682B23"/>
    <w:rsid w:val="006A1EAE"/>
    <w:rsid w:val="006A48A2"/>
    <w:rsid w:val="006C5665"/>
    <w:rsid w:val="006E11BB"/>
    <w:rsid w:val="006F1001"/>
    <w:rsid w:val="006F5E46"/>
    <w:rsid w:val="00702AC7"/>
    <w:rsid w:val="00761E1C"/>
    <w:rsid w:val="0078770F"/>
    <w:rsid w:val="00795195"/>
    <w:rsid w:val="007A20D0"/>
    <w:rsid w:val="007C6328"/>
    <w:rsid w:val="00802687"/>
    <w:rsid w:val="00812AE2"/>
    <w:rsid w:val="00851917"/>
    <w:rsid w:val="00872F5C"/>
    <w:rsid w:val="00892C15"/>
    <w:rsid w:val="008A6843"/>
    <w:rsid w:val="008B2C9D"/>
    <w:rsid w:val="008F04F5"/>
    <w:rsid w:val="00900A67"/>
    <w:rsid w:val="0090423B"/>
    <w:rsid w:val="00912293"/>
    <w:rsid w:val="00923AE6"/>
    <w:rsid w:val="0093312E"/>
    <w:rsid w:val="0093441F"/>
    <w:rsid w:val="0098370A"/>
    <w:rsid w:val="009A55D1"/>
    <w:rsid w:val="009B6F8E"/>
    <w:rsid w:val="009E4F00"/>
    <w:rsid w:val="00A00602"/>
    <w:rsid w:val="00A1024A"/>
    <w:rsid w:val="00A14CFC"/>
    <w:rsid w:val="00A448C4"/>
    <w:rsid w:val="00A50FA7"/>
    <w:rsid w:val="00A5502C"/>
    <w:rsid w:val="00A83B1C"/>
    <w:rsid w:val="00A850C0"/>
    <w:rsid w:val="00AC0399"/>
    <w:rsid w:val="00AC178F"/>
    <w:rsid w:val="00AD435E"/>
    <w:rsid w:val="00AD58C4"/>
    <w:rsid w:val="00AE7313"/>
    <w:rsid w:val="00AF47E8"/>
    <w:rsid w:val="00B068AC"/>
    <w:rsid w:val="00B51F93"/>
    <w:rsid w:val="00B62B09"/>
    <w:rsid w:val="00B94112"/>
    <w:rsid w:val="00BB0D3E"/>
    <w:rsid w:val="00BB6A4A"/>
    <w:rsid w:val="00BB6B53"/>
    <w:rsid w:val="00BD5588"/>
    <w:rsid w:val="00BE1256"/>
    <w:rsid w:val="00BF0163"/>
    <w:rsid w:val="00C55B1F"/>
    <w:rsid w:val="00C60FBC"/>
    <w:rsid w:val="00C71EF3"/>
    <w:rsid w:val="00D0291E"/>
    <w:rsid w:val="00D21798"/>
    <w:rsid w:val="00D75001"/>
    <w:rsid w:val="00D865E4"/>
    <w:rsid w:val="00DE067F"/>
    <w:rsid w:val="00DE4535"/>
    <w:rsid w:val="00DF4268"/>
    <w:rsid w:val="00DF68AE"/>
    <w:rsid w:val="00E44472"/>
    <w:rsid w:val="00E44496"/>
    <w:rsid w:val="00EB5A4B"/>
    <w:rsid w:val="00EB62C6"/>
    <w:rsid w:val="00ED510D"/>
    <w:rsid w:val="00EF5A76"/>
    <w:rsid w:val="00F05658"/>
    <w:rsid w:val="00F30E42"/>
    <w:rsid w:val="00F43DA8"/>
    <w:rsid w:val="00F4625A"/>
    <w:rsid w:val="00FE27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F248"/>
  <w15:docId w15:val="{47323D28-60E3-47E5-99A7-C4E33E99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BalloonText">
    <w:name w:val="Balloon Text"/>
    <w:basedOn w:val="Normal"/>
    <w:link w:val="BalloonTextChar"/>
    <w:uiPriority w:val="99"/>
    <w:semiHidden/>
    <w:unhideWhenUsed/>
    <w:rsid w:val="00AC0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399"/>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436359"/>
    <w:rPr>
      <w:sz w:val="16"/>
      <w:szCs w:val="16"/>
    </w:rPr>
  </w:style>
  <w:style w:type="paragraph" w:styleId="CommentText">
    <w:name w:val="annotation text"/>
    <w:basedOn w:val="Normal"/>
    <w:link w:val="CommentTextChar"/>
    <w:uiPriority w:val="99"/>
    <w:semiHidden/>
    <w:unhideWhenUsed/>
    <w:rsid w:val="00436359"/>
    <w:rPr>
      <w:sz w:val="20"/>
      <w:szCs w:val="20"/>
    </w:rPr>
  </w:style>
  <w:style w:type="character" w:customStyle="1" w:styleId="CommentTextChar">
    <w:name w:val="Comment Text Char"/>
    <w:basedOn w:val="DefaultParagraphFont"/>
    <w:link w:val="CommentText"/>
    <w:uiPriority w:val="99"/>
    <w:semiHidden/>
    <w:rsid w:val="0043635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36359"/>
    <w:rPr>
      <w:b/>
      <w:bCs/>
    </w:rPr>
  </w:style>
  <w:style w:type="character" w:customStyle="1" w:styleId="CommentSubjectChar">
    <w:name w:val="Comment Subject Char"/>
    <w:basedOn w:val="CommentTextChar"/>
    <w:link w:val="CommentSubject"/>
    <w:uiPriority w:val="99"/>
    <w:semiHidden/>
    <w:rsid w:val="00436359"/>
    <w:rPr>
      <w:rFonts w:ascii="Times New Roman" w:eastAsia="Times New Roman" w:hAnsi="Times New Roman" w:cs="Times New Roman"/>
      <w:b/>
      <w:bCs/>
      <w:sz w:val="20"/>
      <w:szCs w:val="20"/>
      <w:lang w:eastAsia="lv-LV"/>
    </w:rPr>
  </w:style>
  <w:style w:type="paragraph" w:customStyle="1" w:styleId="naisc">
    <w:name w:val="naisc"/>
    <w:basedOn w:val="Normal"/>
    <w:rsid w:val="00D21798"/>
    <w:pPr>
      <w:spacing w:before="75" w:after="75"/>
      <w:jc w:val="center"/>
    </w:pPr>
  </w:style>
  <w:style w:type="paragraph" w:styleId="NoSpacing">
    <w:name w:val="No Spacing"/>
    <w:uiPriority w:val="1"/>
    <w:qFormat/>
    <w:rsid w:val="00D21798"/>
    <w:pPr>
      <w:widowControl w:val="0"/>
      <w:spacing w:after="0" w:line="240" w:lineRule="auto"/>
      <w:jc w:val="both"/>
    </w:pPr>
    <w:rPr>
      <w:rFonts w:ascii="Times New Roman" w:eastAsia="Calibri" w:hAnsi="Times New Roman" w:cs="Times New Roman"/>
      <w:sz w:val="24"/>
      <w:lang w:val="en-US"/>
    </w:rPr>
  </w:style>
  <w:style w:type="paragraph" w:styleId="ListParagraph">
    <w:name w:val="List Paragraph"/>
    <w:basedOn w:val="Normal"/>
    <w:uiPriority w:val="34"/>
    <w:qFormat/>
    <w:rsid w:val="00C71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18</Pages>
  <Words>25306</Words>
  <Characters>14425</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Anotācija VBN</vt:lpstr>
    </vt:vector>
  </TitlesOfParts>
  <Company/>
  <LinksUpToDate>false</LinksUpToDate>
  <CharactersWithSpaces>39652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VBN</dc:title>
  <dc:creator>Andris Lazarevs</dc:creator>
  <cp:keywords>VBN;groz</cp:keywords>
  <cp:lastModifiedBy>Andris</cp:lastModifiedBy>
  <cp:revision>34</cp:revision>
  <dcterms:created xsi:type="dcterms:W3CDTF">2020-10-27T12:45:00Z</dcterms:created>
  <dcterms:modified xsi:type="dcterms:W3CDTF">2020-12-10T11:43:00Z</dcterms:modified>
</cp:coreProperties>
</file>