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0DE7F" w14:textId="77777777" w:rsidR="007207ED" w:rsidRPr="00712B66" w:rsidRDefault="00E1789C" w:rsidP="007207ED">
      <w:pPr>
        <w:pStyle w:val="naisnod"/>
        <w:spacing w:before="0" w:after="0"/>
        <w:ind w:firstLine="720"/>
        <w:rPr>
          <w:sz w:val="28"/>
          <w:szCs w:val="28"/>
        </w:rPr>
      </w:pPr>
      <w:r w:rsidRPr="00712B66">
        <w:rPr>
          <w:sz w:val="28"/>
          <w:szCs w:val="28"/>
        </w:rPr>
        <w:t>Izziņa par atzinumos sniegtajiem iebildumiem</w:t>
      </w:r>
    </w:p>
    <w:p w14:paraId="1EC45660" w14:textId="77777777" w:rsidR="007207ED" w:rsidRPr="008A36C9" w:rsidRDefault="007207ED" w:rsidP="007207ED">
      <w:pPr>
        <w:pStyle w:val="naisf"/>
        <w:spacing w:before="0" w:after="0"/>
        <w:ind w:firstLine="720"/>
      </w:pPr>
    </w:p>
    <w:tbl>
      <w:tblPr>
        <w:tblW w:w="0" w:type="auto"/>
        <w:jc w:val="center"/>
        <w:tblLook w:val="00A0" w:firstRow="1" w:lastRow="0" w:firstColumn="1" w:lastColumn="0" w:noHBand="0" w:noVBand="0"/>
      </w:tblPr>
      <w:tblGrid>
        <w:gridCol w:w="13467"/>
      </w:tblGrid>
      <w:tr w:rsidR="005C663F" w14:paraId="41F70E8B" w14:textId="77777777" w:rsidTr="00B77CEA">
        <w:trPr>
          <w:jc w:val="center"/>
        </w:trPr>
        <w:tc>
          <w:tcPr>
            <w:tcW w:w="13467" w:type="dxa"/>
            <w:tcBorders>
              <w:bottom w:val="single" w:sz="6" w:space="0" w:color="000000"/>
            </w:tcBorders>
          </w:tcPr>
          <w:p w14:paraId="6D32691A" w14:textId="3A05131B" w:rsidR="007207ED" w:rsidRPr="00712B66" w:rsidRDefault="00A930C4" w:rsidP="00B77CEA">
            <w:pPr>
              <w:jc w:val="center"/>
            </w:pPr>
            <w:r>
              <w:rPr>
                <w:b/>
              </w:rPr>
              <w:t>Ministru kabineta n</w:t>
            </w:r>
            <w:r w:rsidR="00350F96">
              <w:rPr>
                <w:b/>
              </w:rPr>
              <w:t xml:space="preserve">oteikumu projekts </w:t>
            </w:r>
            <w:r w:rsidR="00350F96" w:rsidRPr="00350F96">
              <w:rPr>
                <w:b/>
              </w:rPr>
              <w:t>“</w:t>
            </w:r>
            <w:r w:rsidR="00DD7E7A" w:rsidRPr="00DD7E7A">
              <w:rPr>
                <w:b/>
              </w:rPr>
              <w:t>Grozījumi Ministru kabineta 2015. gada 30. jūnija noteikumos Nr. 333 “Noteikumi par Latvijas būvnormatīvu LBN 201-15 “Būvju ugunsdrošība””</w:t>
            </w:r>
            <w:r w:rsidR="00350F96" w:rsidRPr="00350F96">
              <w:rPr>
                <w:b/>
              </w:rPr>
              <w:t>”</w:t>
            </w:r>
            <w:r w:rsidR="00C55162">
              <w:rPr>
                <w:b/>
              </w:rPr>
              <w:t xml:space="preserve"> (</w:t>
            </w:r>
            <w:r w:rsidR="00C55162" w:rsidRPr="00C55162">
              <w:rPr>
                <w:b/>
              </w:rPr>
              <w:t>VSS-835</w:t>
            </w:r>
            <w:r w:rsidR="00C55162">
              <w:rPr>
                <w:b/>
              </w:rPr>
              <w:t>)</w:t>
            </w:r>
          </w:p>
        </w:tc>
      </w:tr>
    </w:tbl>
    <w:p w14:paraId="3DF5CD54" w14:textId="77777777" w:rsidR="007207ED" w:rsidRPr="00712B66" w:rsidRDefault="00E1789C" w:rsidP="007207ED">
      <w:pPr>
        <w:pStyle w:val="naisc"/>
        <w:spacing w:before="0" w:after="0"/>
        <w:ind w:firstLine="1080"/>
      </w:pPr>
      <w:r w:rsidRPr="00712B66">
        <w:t>(dokumenta veids un nosaukums)</w:t>
      </w:r>
    </w:p>
    <w:p w14:paraId="19D2D966" w14:textId="77777777" w:rsidR="007207ED" w:rsidRPr="00712B66" w:rsidRDefault="007207ED" w:rsidP="007207ED">
      <w:pPr>
        <w:pStyle w:val="naisf"/>
        <w:spacing w:before="0" w:after="0"/>
        <w:ind w:firstLine="720"/>
      </w:pPr>
    </w:p>
    <w:p w14:paraId="48EAD547" w14:textId="77777777" w:rsidR="007207ED" w:rsidRPr="00712B66" w:rsidRDefault="00E1789C" w:rsidP="007207ED">
      <w:pPr>
        <w:pStyle w:val="naisf"/>
        <w:spacing w:before="0" w:after="0"/>
        <w:ind w:firstLine="0"/>
        <w:jc w:val="center"/>
        <w:rPr>
          <w:b/>
        </w:rPr>
      </w:pPr>
      <w:r w:rsidRPr="00712B66">
        <w:rPr>
          <w:b/>
        </w:rPr>
        <w:t>I. Jautājumi, par kuriem saskaņošanā vienošanās nav panākta</w:t>
      </w:r>
    </w:p>
    <w:p w14:paraId="7404D99C" w14:textId="77777777" w:rsidR="007207ED" w:rsidRPr="00712B66" w:rsidRDefault="007207ED" w:rsidP="007207ED">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C663F" w14:paraId="4F439753" w14:textId="77777777" w:rsidTr="00B77CEA">
        <w:tc>
          <w:tcPr>
            <w:tcW w:w="708" w:type="dxa"/>
            <w:tcBorders>
              <w:top w:val="single" w:sz="6" w:space="0" w:color="000000"/>
              <w:left w:val="single" w:sz="6" w:space="0" w:color="000000"/>
              <w:bottom w:val="single" w:sz="6" w:space="0" w:color="000000"/>
              <w:right w:val="single" w:sz="6" w:space="0" w:color="000000"/>
            </w:tcBorders>
            <w:vAlign w:val="center"/>
          </w:tcPr>
          <w:p w14:paraId="791D272F" w14:textId="77777777" w:rsidR="007207ED" w:rsidRPr="00350F96" w:rsidRDefault="00E1789C" w:rsidP="00B77CEA">
            <w:pPr>
              <w:pStyle w:val="naisc"/>
              <w:spacing w:before="0" w:after="0"/>
              <w:rPr>
                <w:sz w:val="22"/>
                <w:szCs w:val="22"/>
              </w:rPr>
            </w:pPr>
            <w:r w:rsidRPr="00350F96">
              <w:rPr>
                <w:sz w:val="22"/>
                <w:szCs w:val="22"/>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6E753D78" w14:textId="77777777" w:rsidR="007207ED" w:rsidRPr="00350F96" w:rsidRDefault="00E1789C" w:rsidP="00B77CEA">
            <w:pPr>
              <w:pStyle w:val="naisc"/>
              <w:spacing w:before="0" w:after="0"/>
              <w:ind w:firstLine="12"/>
              <w:rPr>
                <w:sz w:val="22"/>
                <w:szCs w:val="22"/>
              </w:rPr>
            </w:pPr>
            <w:r w:rsidRPr="00350F96">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2C40720" w14:textId="77777777" w:rsidR="007207ED" w:rsidRPr="00350F96" w:rsidRDefault="00E1789C" w:rsidP="00B77CEA">
            <w:pPr>
              <w:pStyle w:val="naisc"/>
              <w:spacing w:before="0" w:after="0"/>
              <w:ind w:right="3"/>
              <w:rPr>
                <w:sz w:val="22"/>
                <w:szCs w:val="22"/>
              </w:rPr>
            </w:pPr>
            <w:r w:rsidRPr="00350F96">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5522B11" w14:textId="77777777" w:rsidR="007207ED" w:rsidRPr="00350F96" w:rsidRDefault="00E1789C" w:rsidP="00B77CEA">
            <w:pPr>
              <w:pStyle w:val="naisc"/>
              <w:spacing w:before="0" w:after="0"/>
              <w:ind w:firstLine="21"/>
              <w:rPr>
                <w:sz w:val="22"/>
                <w:szCs w:val="22"/>
              </w:rPr>
            </w:pPr>
            <w:r w:rsidRPr="00350F96">
              <w:rPr>
                <w:sz w:val="22"/>
                <w:szCs w:val="22"/>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C4B2037" w14:textId="77777777" w:rsidR="007207ED" w:rsidRPr="00350F96" w:rsidRDefault="00E1789C" w:rsidP="00B77CEA">
            <w:pPr>
              <w:jc w:val="center"/>
              <w:rPr>
                <w:sz w:val="22"/>
                <w:szCs w:val="22"/>
              </w:rPr>
            </w:pPr>
            <w:r w:rsidRPr="00350F96">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91FAD2D" w14:textId="77777777" w:rsidR="007207ED" w:rsidRPr="00350F96" w:rsidRDefault="00E1789C" w:rsidP="00B77CEA">
            <w:pPr>
              <w:jc w:val="center"/>
              <w:rPr>
                <w:sz w:val="22"/>
                <w:szCs w:val="22"/>
              </w:rPr>
            </w:pPr>
            <w:r w:rsidRPr="00350F96">
              <w:rPr>
                <w:sz w:val="22"/>
                <w:szCs w:val="22"/>
              </w:rPr>
              <w:t>Projekta attiecīgā punkta (panta) galīgā redakcija</w:t>
            </w:r>
          </w:p>
        </w:tc>
      </w:tr>
      <w:tr w:rsidR="005C663F" w14:paraId="5D0CB517" w14:textId="77777777" w:rsidTr="00B77CEA">
        <w:tc>
          <w:tcPr>
            <w:tcW w:w="708" w:type="dxa"/>
            <w:tcBorders>
              <w:top w:val="single" w:sz="6" w:space="0" w:color="000000"/>
              <w:left w:val="single" w:sz="6" w:space="0" w:color="000000"/>
              <w:bottom w:val="single" w:sz="6" w:space="0" w:color="000000"/>
              <w:right w:val="single" w:sz="6" w:space="0" w:color="000000"/>
            </w:tcBorders>
          </w:tcPr>
          <w:p w14:paraId="6F112E48" w14:textId="77777777" w:rsidR="007207ED" w:rsidRPr="008A36C9" w:rsidRDefault="00E1789C" w:rsidP="00B77CEA">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12965EA" w14:textId="77777777" w:rsidR="007207ED" w:rsidRPr="008A36C9" w:rsidRDefault="00E1789C" w:rsidP="00B77CEA">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C3768E6" w14:textId="77777777" w:rsidR="007207ED" w:rsidRPr="008A36C9" w:rsidRDefault="00E1789C" w:rsidP="00B77CEA">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4BFFD72" w14:textId="77777777" w:rsidR="007207ED" w:rsidRPr="008A36C9" w:rsidRDefault="00E1789C" w:rsidP="00B77CEA">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46AE51B" w14:textId="77777777" w:rsidR="007207ED" w:rsidRPr="008A36C9" w:rsidRDefault="00E1789C" w:rsidP="00B77CEA">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3E40126" w14:textId="77777777" w:rsidR="007207ED" w:rsidRPr="008A36C9" w:rsidRDefault="00E1789C" w:rsidP="00B77CEA">
            <w:pPr>
              <w:jc w:val="center"/>
              <w:rPr>
                <w:sz w:val="20"/>
                <w:szCs w:val="20"/>
              </w:rPr>
            </w:pPr>
            <w:r w:rsidRPr="008A36C9">
              <w:rPr>
                <w:sz w:val="20"/>
                <w:szCs w:val="20"/>
              </w:rPr>
              <w:t>6</w:t>
            </w:r>
          </w:p>
        </w:tc>
      </w:tr>
      <w:tr w:rsidR="00E45E29" w14:paraId="58D6AFF7" w14:textId="77777777" w:rsidTr="00B77CEA">
        <w:tc>
          <w:tcPr>
            <w:tcW w:w="708" w:type="dxa"/>
            <w:tcBorders>
              <w:top w:val="single" w:sz="6" w:space="0" w:color="000000"/>
              <w:left w:val="single" w:sz="6" w:space="0" w:color="000000"/>
              <w:bottom w:val="single" w:sz="6" w:space="0" w:color="000000"/>
              <w:right w:val="single" w:sz="6" w:space="0" w:color="000000"/>
            </w:tcBorders>
          </w:tcPr>
          <w:p w14:paraId="3BE2D265" w14:textId="297C3E7A" w:rsidR="00E45E29" w:rsidRDefault="00045EE1" w:rsidP="00B77CEA">
            <w:pPr>
              <w:pStyle w:val="naisc"/>
              <w:spacing w:before="0" w:after="0"/>
              <w:rPr>
                <w:sz w:val="20"/>
                <w:szCs w:val="20"/>
              </w:rPr>
            </w:pPr>
            <w:r>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07AE3813" w14:textId="1E758F23" w:rsidR="00E45E29" w:rsidRPr="00E45E29" w:rsidRDefault="00045EE1" w:rsidP="009C2ED0">
            <w:pPr>
              <w:pStyle w:val="naisc"/>
              <w:spacing w:before="0" w:after="0"/>
              <w:ind w:firstLine="456"/>
              <w:jc w:val="both"/>
              <w:rPr>
                <w:i/>
                <w:iCs/>
              </w:rPr>
            </w:pPr>
            <w:r>
              <w:rPr>
                <w:i/>
                <w:iCs/>
              </w:rPr>
              <w:t>-</w:t>
            </w:r>
          </w:p>
        </w:tc>
        <w:tc>
          <w:tcPr>
            <w:tcW w:w="3118" w:type="dxa"/>
            <w:tcBorders>
              <w:top w:val="single" w:sz="6" w:space="0" w:color="000000"/>
              <w:left w:val="single" w:sz="6" w:space="0" w:color="000000"/>
              <w:bottom w:val="single" w:sz="6" w:space="0" w:color="000000"/>
              <w:right w:val="single" w:sz="6" w:space="0" w:color="000000"/>
            </w:tcBorders>
          </w:tcPr>
          <w:p w14:paraId="41A9DA0A" w14:textId="1F00E9C3" w:rsidR="00E45E29" w:rsidRPr="00E45E29" w:rsidRDefault="00045EE1" w:rsidP="007F555C">
            <w:pPr>
              <w:ind w:right="57"/>
              <w:contextualSpacing/>
              <w:jc w:val="both"/>
              <w:rPr>
                <w:bCs/>
              </w:rPr>
            </w:pPr>
            <w:r>
              <w:rPr>
                <w:bCs/>
              </w:rPr>
              <w:t>-</w:t>
            </w:r>
          </w:p>
        </w:tc>
        <w:tc>
          <w:tcPr>
            <w:tcW w:w="2977" w:type="dxa"/>
            <w:tcBorders>
              <w:top w:val="single" w:sz="6" w:space="0" w:color="000000"/>
              <w:left w:val="single" w:sz="6" w:space="0" w:color="000000"/>
              <w:bottom w:val="single" w:sz="6" w:space="0" w:color="000000"/>
              <w:right w:val="single" w:sz="6" w:space="0" w:color="000000"/>
            </w:tcBorders>
          </w:tcPr>
          <w:p w14:paraId="2C1E80C2" w14:textId="0114B297" w:rsidR="00A90D7F" w:rsidRPr="00A90D7F" w:rsidRDefault="00045EE1" w:rsidP="001A7040">
            <w:pPr>
              <w:ind w:right="57"/>
              <w:contextualSpacing/>
              <w:jc w:val="both"/>
              <w:rPr>
                <w:bCs/>
              </w:rPr>
            </w:pPr>
            <w:r>
              <w:rPr>
                <w:bCs/>
              </w:rPr>
              <w:t>-</w:t>
            </w:r>
          </w:p>
        </w:tc>
        <w:tc>
          <w:tcPr>
            <w:tcW w:w="2459" w:type="dxa"/>
            <w:tcBorders>
              <w:top w:val="single" w:sz="4" w:space="0" w:color="auto"/>
              <w:left w:val="single" w:sz="4" w:space="0" w:color="auto"/>
              <w:bottom w:val="single" w:sz="4" w:space="0" w:color="auto"/>
              <w:right w:val="single" w:sz="4" w:space="0" w:color="auto"/>
            </w:tcBorders>
          </w:tcPr>
          <w:p w14:paraId="293E6520" w14:textId="1213E8AE" w:rsidR="00E45E29" w:rsidRPr="008A36C9" w:rsidRDefault="00045EE1" w:rsidP="00B77CEA">
            <w:pPr>
              <w:jc w:val="center"/>
              <w:rPr>
                <w:sz w:val="20"/>
                <w:szCs w:val="20"/>
              </w:rPr>
            </w:pPr>
            <w:r>
              <w:rPr>
                <w:sz w:val="20"/>
                <w:szCs w:val="20"/>
              </w:rPr>
              <w:t>-</w:t>
            </w:r>
          </w:p>
        </w:tc>
        <w:tc>
          <w:tcPr>
            <w:tcW w:w="1920" w:type="dxa"/>
            <w:tcBorders>
              <w:top w:val="single" w:sz="4" w:space="0" w:color="auto"/>
              <w:left w:val="single" w:sz="4" w:space="0" w:color="auto"/>
              <w:bottom w:val="single" w:sz="4" w:space="0" w:color="auto"/>
            </w:tcBorders>
          </w:tcPr>
          <w:p w14:paraId="59BA3D83" w14:textId="20D219EE" w:rsidR="00E45E29" w:rsidRPr="00433448" w:rsidRDefault="00045EE1" w:rsidP="00443E8F">
            <w:pPr>
              <w:ind w:right="57" w:firstLine="440"/>
              <w:contextualSpacing/>
              <w:jc w:val="both"/>
            </w:pPr>
            <w:r>
              <w:t>-</w:t>
            </w:r>
          </w:p>
        </w:tc>
      </w:tr>
    </w:tbl>
    <w:p w14:paraId="3A2A9729" w14:textId="77777777" w:rsidR="007207ED" w:rsidRDefault="007207ED" w:rsidP="007207ED"/>
    <w:p w14:paraId="69FDC329" w14:textId="77777777" w:rsidR="00C042A5" w:rsidRDefault="00C042A5" w:rsidP="00C042A5">
      <w:r>
        <w:t>Informācija par starpministriju (starpinstitūciju) sanāksmi vai elektronisko saskaņošanu</w:t>
      </w:r>
    </w:p>
    <w:p w14:paraId="4734F295" w14:textId="77777777" w:rsidR="00C042A5" w:rsidRDefault="00C042A5" w:rsidP="00C042A5"/>
    <w:p w14:paraId="554B0D2D" w14:textId="7103836B" w:rsidR="00C042A5" w:rsidRDefault="00C042A5" w:rsidP="004B36B1">
      <w:pPr>
        <w:ind w:left="1440" w:hanging="1440"/>
      </w:pPr>
      <w:r>
        <w:t>Datums</w:t>
      </w:r>
      <w:r w:rsidR="004B36B1">
        <w:t>:</w:t>
      </w:r>
      <w:r>
        <w:tab/>
      </w:r>
      <w:r w:rsidR="006B4A27">
        <w:t xml:space="preserve">02.11.2020. (sanāksme, piedaloties Ekonomikas ministrijai, </w:t>
      </w:r>
      <w:r w:rsidR="006B4A27" w:rsidRPr="006B4A27">
        <w:t>Valsts ugunsdzēsības un glābšanas dienest</w:t>
      </w:r>
      <w:r w:rsidR="006B4A27">
        <w:t xml:space="preserve">am un </w:t>
      </w:r>
      <w:r w:rsidR="003741F5" w:rsidRPr="003741F5">
        <w:t>Latvijas Ugunsdrošības asociācija</w:t>
      </w:r>
      <w:r w:rsidR="003741F5">
        <w:t>i)</w:t>
      </w:r>
      <w:r w:rsidR="002808F0">
        <w:t>;</w:t>
      </w:r>
    </w:p>
    <w:p w14:paraId="2ED59835" w14:textId="7CF09A82" w:rsidR="002808F0" w:rsidRDefault="002808F0" w:rsidP="004B36B1">
      <w:pPr>
        <w:ind w:left="1440" w:hanging="1440"/>
      </w:pPr>
      <w:r>
        <w:tab/>
        <w:t xml:space="preserve">09.11.2020 (sanāksme, </w:t>
      </w:r>
      <w:r w:rsidRPr="006B4A27">
        <w:t>Valsts ugunsdzēsības un glābšanas dienest</w:t>
      </w:r>
      <w:r>
        <w:t xml:space="preserve">am un </w:t>
      </w:r>
      <w:r w:rsidRPr="003741F5">
        <w:t>Latvijas Ugunsdrošības asociācija</w:t>
      </w:r>
      <w:r>
        <w:t>i);</w:t>
      </w:r>
    </w:p>
    <w:p w14:paraId="6611275E" w14:textId="397D3685" w:rsidR="004B36B1" w:rsidRDefault="004B36B1" w:rsidP="004B36B1">
      <w:pPr>
        <w:ind w:left="1440" w:hanging="1440"/>
      </w:pPr>
      <w:r>
        <w:tab/>
      </w:r>
      <w:r w:rsidR="006C6190">
        <w:t>11.11.2020</w:t>
      </w:r>
      <w:bookmarkStart w:id="0" w:name="_GoBack"/>
      <w:bookmarkEnd w:id="0"/>
      <w:r>
        <w:t xml:space="preserve"> (elektroniskā saskaņošana).</w:t>
      </w:r>
    </w:p>
    <w:p w14:paraId="3B456964" w14:textId="77777777" w:rsidR="00C042A5" w:rsidRDefault="00C042A5" w:rsidP="00C042A5">
      <w:r>
        <w:tab/>
      </w:r>
    </w:p>
    <w:p w14:paraId="70E8E656" w14:textId="24C2E3A0" w:rsidR="00C042A5" w:rsidRPr="00B53B32" w:rsidRDefault="00C042A5" w:rsidP="00C042A5">
      <w:pPr>
        <w:jc w:val="both"/>
        <w:rPr>
          <w:color w:val="000000" w:themeColor="text1"/>
        </w:rPr>
      </w:pPr>
      <w:r>
        <w:t>Saskaņošanas dalībnieki:</w:t>
      </w:r>
      <w:r>
        <w:tab/>
      </w:r>
      <w:r w:rsidR="00CA2D83">
        <w:rPr>
          <w:color w:val="000000" w:themeColor="text1"/>
        </w:rPr>
        <w:t xml:space="preserve"> </w:t>
      </w:r>
      <w:r>
        <w:rPr>
          <w:color w:val="000000" w:themeColor="text1"/>
        </w:rPr>
        <w:t xml:space="preserve"> </w:t>
      </w:r>
      <w:r w:rsidR="006B4A27" w:rsidRPr="006B4A27">
        <w:rPr>
          <w:color w:val="000000" w:themeColor="text1"/>
        </w:rPr>
        <w:t>Tieslietu ministrij</w:t>
      </w:r>
      <w:r w:rsidR="006B4A27">
        <w:rPr>
          <w:color w:val="000000" w:themeColor="text1"/>
        </w:rPr>
        <w:t>a</w:t>
      </w:r>
      <w:r w:rsidR="006B4A27" w:rsidRPr="006B4A27">
        <w:rPr>
          <w:color w:val="000000" w:themeColor="text1"/>
        </w:rPr>
        <w:t>, Finanšu ministrij</w:t>
      </w:r>
      <w:r w:rsidR="006B4A27">
        <w:rPr>
          <w:color w:val="000000" w:themeColor="text1"/>
        </w:rPr>
        <w:t>a</w:t>
      </w:r>
      <w:r w:rsidR="006B4A27" w:rsidRPr="006B4A27">
        <w:rPr>
          <w:color w:val="000000" w:themeColor="text1"/>
        </w:rPr>
        <w:t>, Aizsardzības ministrij</w:t>
      </w:r>
      <w:r w:rsidR="006B4A27">
        <w:rPr>
          <w:color w:val="000000" w:themeColor="text1"/>
        </w:rPr>
        <w:t>a</w:t>
      </w:r>
      <w:r w:rsidR="006B4A27" w:rsidRPr="006B4A27">
        <w:rPr>
          <w:color w:val="000000" w:themeColor="text1"/>
        </w:rPr>
        <w:t>, Iekšlietu ministrij</w:t>
      </w:r>
      <w:r w:rsidR="006B4A27">
        <w:rPr>
          <w:color w:val="000000" w:themeColor="text1"/>
        </w:rPr>
        <w:t>a</w:t>
      </w:r>
      <w:r w:rsidR="006B4A27" w:rsidRPr="006B4A27">
        <w:rPr>
          <w:color w:val="000000" w:themeColor="text1"/>
        </w:rPr>
        <w:t>, Satiksmes ministrij</w:t>
      </w:r>
      <w:r w:rsidR="006B4A27">
        <w:rPr>
          <w:color w:val="000000" w:themeColor="text1"/>
        </w:rPr>
        <w:t>a</w:t>
      </w:r>
      <w:r w:rsidR="006B4A27" w:rsidRPr="006B4A27">
        <w:rPr>
          <w:color w:val="000000" w:themeColor="text1"/>
        </w:rPr>
        <w:t>, Vides aizsardzības un reģionālās attīstības ministrij</w:t>
      </w:r>
      <w:r w:rsidR="006B4A27">
        <w:rPr>
          <w:color w:val="000000" w:themeColor="text1"/>
        </w:rPr>
        <w:t xml:space="preserve">a, </w:t>
      </w:r>
      <w:r w:rsidR="006B4A27" w:rsidRPr="006B4A27">
        <w:rPr>
          <w:color w:val="000000" w:themeColor="text1"/>
        </w:rPr>
        <w:t>Latvijas Pašvaldību savienīb</w:t>
      </w:r>
      <w:r w:rsidR="006B4A27">
        <w:rPr>
          <w:color w:val="000000" w:themeColor="text1"/>
        </w:rPr>
        <w:t xml:space="preserve">a un </w:t>
      </w:r>
      <w:r w:rsidR="002B5B74" w:rsidRPr="002B5B74">
        <w:rPr>
          <w:color w:val="000000" w:themeColor="text1"/>
        </w:rPr>
        <w:t>Latvijas Ugunsdrošības asociācija</w:t>
      </w:r>
    </w:p>
    <w:tbl>
      <w:tblPr>
        <w:tblW w:w="15559" w:type="dxa"/>
        <w:tblLook w:val="00A0" w:firstRow="1" w:lastRow="0" w:firstColumn="1" w:lastColumn="0" w:noHBand="0" w:noVBand="0"/>
      </w:tblPr>
      <w:tblGrid>
        <w:gridCol w:w="3936"/>
        <w:gridCol w:w="2772"/>
        <w:gridCol w:w="7859"/>
        <w:gridCol w:w="992"/>
      </w:tblGrid>
      <w:tr w:rsidR="00C042A5" w14:paraId="0285A313" w14:textId="77777777" w:rsidTr="00D30A17">
        <w:trPr>
          <w:gridAfter w:val="1"/>
          <w:wAfter w:w="992" w:type="dxa"/>
          <w:trHeight w:val="135"/>
        </w:trPr>
        <w:tc>
          <w:tcPr>
            <w:tcW w:w="3936" w:type="dxa"/>
          </w:tcPr>
          <w:p w14:paraId="31D9563F" w14:textId="77777777" w:rsidR="00C042A5" w:rsidRPr="00EE5D8C" w:rsidRDefault="00C042A5" w:rsidP="00D30A17">
            <w:pPr>
              <w:rPr>
                <w:sz w:val="22"/>
                <w:szCs w:val="22"/>
              </w:rPr>
            </w:pPr>
          </w:p>
        </w:tc>
        <w:tc>
          <w:tcPr>
            <w:tcW w:w="10631" w:type="dxa"/>
            <w:gridSpan w:val="2"/>
          </w:tcPr>
          <w:p w14:paraId="79CE8307" w14:textId="77777777" w:rsidR="00C042A5" w:rsidRPr="00EE5D8C" w:rsidRDefault="00C042A5" w:rsidP="00D30A17">
            <w:pPr>
              <w:contextualSpacing/>
              <w:rPr>
                <w:sz w:val="22"/>
                <w:szCs w:val="22"/>
              </w:rPr>
            </w:pPr>
          </w:p>
        </w:tc>
      </w:tr>
      <w:tr w:rsidR="00C042A5" w14:paraId="7401BF4A" w14:textId="77777777" w:rsidTr="00D30A17">
        <w:trPr>
          <w:gridAfter w:val="1"/>
          <w:wAfter w:w="992" w:type="dxa"/>
          <w:trHeight w:val="135"/>
        </w:trPr>
        <w:tc>
          <w:tcPr>
            <w:tcW w:w="3936" w:type="dxa"/>
          </w:tcPr>
          <w:p w14:paraId="5BCDC95F" w14:textId="77777777" w:rsidR="00C042A5" w:rsidRPr="00B12B87" w:rsidRDefault="00C042A5" w:rsidP="00D30A17">
            <w:pPr>
              <w:contextualSpacing/>
              <w:jc w:val="both"/>
              <w:rPr>
                <w:sz w:val="22"/>
                <w:szCs w:val="22"/>
              </w:rPr>
            </w:pPr>
          </w:p>
        </w:tc>
        <w:tc>
          <w:tcPr>
            <w:tcW w:w="10631" w:type="dxa"/>
            <w:gridSpan w:val="2"/>
          </w:tcPr>
          <w:p w14:paraId="00B32792" w14:textId="77777777" w:rsidR="00C042A5" w:rsidRPr="00B12B87" w:rsidRDefault="00C042A5" w:rsidP="00D30A17">
            <w:pPr>
              <w:contextualSpacing/>
              <w:rPr>
                <w:sz w:val="22"/>
                <w:szCs w:val="22"/>
              </w:rPr>
            </w:pPr>
          </w:p>
        </w:tc>
      </w:tr>
      <w:tr w:rsidR="00C042A5" w14:paraId="6BC8DE0A" w14:textId="77777777" w:rsidTr="00D30A17">
        <w:trPr>
          <w:gridAfter w:val="1"/>
          <w:wAfter w:w="992" w:type="dxa"/>
        </w:trPr>
        <w:tc>
          <w:tcPr>
            <w:tcW w:w="3936" w:type="dxa"/>
          </w:tcPr>
          <w:p w14:paraId="4D0F7369" w14:textId="77777777" w:rsidR="00C042A5" w:rsidRPr="00B12B87" w:rsidRDefault="00C042A5" w:rsidP="00D30A17">
            <w:pPr>
              <w:contextualSpacing/>
              <w:rPr>
                <w:sz w:val="22"/>
                <w:szCs w:val="22"/>
              </w:rPr>
            </w:pPr>
          </w:p>
        </w:tc>
        <w:tc>
          <w:tcPr>
            <w:tcW w:w="10631" w:type="dxa"/>
            <w:gridSpan w:val="2"/>
          </w:tcPr>
          <w:p w14:paraId="64CB715D" w14:textId="77777777" w:rsidR="00C042A5" w:rsidRPr="00B12B87" w:rsidRDefault="00C042A5" w:rsidP="00D30A17">
            <w:pPr>
              <w:ind w:left="33"/>
              <w:contextualSpacing/>
              <w:rPr>
                <w:sz w:val="22"/>
                <w:szCs w:val="22"/>
              </w:rPr>
            </w:pPr>
          </w:p>
        </w:tc>
      </w:tr>
      <w:tr w:rsidR="00C042A5" w14:paraId="27805712" w14:textId="77777777" w:rsidTr="00D30A17">
        <w:trPr>
          <w:gridAfter w:val="1"/>
          <w:wAfter w:w="992" w:type="dxa"/>
          <w:trHeight w:val="285"/>
        </w:trPr>
        <w:tc>
          <w:tcPr>
            <w:tcW w:w="6708" w:type="dxa"/>
            <w:gridSpan w:val="2"/>
          </w:tcPr>
          <w:p w14:paraId="13FB1CFF" w14:textId="77777777" w:rsidR="00C042A5" w:rsidRDefault="00C042A5" w:rsidP="00D30A17">
            <w:pPr>
              <w:contextualSpacing/>
              <w:rPr>
                <w:sz w:val="22"/>
                <w:szCs w:val="22"/>
              </w:rPr>
            </w:pPr>
            <w:r w:rsidRPr="00B12B87">
              <w:rPr>
                <w:sz w:val="22"/>
                <w:szCs w:val="22"/>
              </w:rPr>
              <w:t>Saskaņošanas dalībnieki izskatīja šādu ministriju (citu institūciju) iebildumus</w:t>
            </w:r>
          </w:p>
          <w:p w14:paraId="239423C0" w14:textId="77777777" w:rsidR="00C042A5" w:rsidRDefault="00C042A5" w:rsidP="00D30A17">
            <w:pPr>
              <w:contextualSpacing/>
              <w:rPr>
                <w:sz w:val="22"/>
                <w:szCs w:val="22"/>
              </w:rPr>
            </w:pPr>
          </w:p>
          <w:p w14:paraId="052C50AC" w14:textId="77777777" w:rsidR="00C042A5" w:rsidRPr="00B12B87" w:rsidRDefault="00C042A5" w:rsidP="00D30A17">
            <w:pPr>
              <w:contextualSpacing/>
              <w:rPr>
                <w:sz w:val="22"/>
                <w:szCs w:val="22"/>
              </w:rPr>
            </w:pPr>
          </w:p>
        </w:tc>
        <w:tc>
          <w:tcPr>
            <w:tcW w:w="7859" w:type="dxa"/>
          </w:tcPr>
          <w:p w14:paraId="31ADDFA5" w14:textId="29F5E66B" w:rsidR="00C042A5" w:rsidRDefault="00E8428A" w:rsidP="00D30A17">
            <w:pPr>
              <w:rPr>
                <w:sz w:val="22"/>
                <w:szCs w:val="22"/>
              </w:rPr>
            </w:pPr>
            <w:r w:rsidRPr="006B4A27">
              <w:rPr>
                <w:color w:val="000000" w:themeColor="text1"/>
              </w:rPr>
              <w:t>Iekšlietu ministrij</w:t>
            </w:r>
            <w:r>
              <w:rPr>
                <w:color w:val="000000" w:themeColor="text1"/>
              </w:rPr>
              <w:t xml:space="preserve">a, </w:t>
            </w:r>
            <w:r w:rsidR="002B5B74" w:rsidRPr="002B5B74">
              <w:rPr>
                <w:sz w:val="22"/>
                <w:szCs w:val="22"/>
              </w:rPr>
              <w:t>Latvijas Ugunsdrošības asociācija</w:t>
            </w:r>
          </w:p>
          <w:p w14:paraId="101F9ABF" w14:textId="5E2AF961" w:rsidR="00CA2D83" w:rsidRPr="00EE5D8C" w:rsidRDefault="00CA2D83" w:rsidP="00D30A17">
            <w:pPr>
              <w:rPr>
                <w:sz w:val="22"/>
                <w:szCs w:val="22"/>
              </w:rPr>
            </w:pPr>
          </w:p>
        </w:tc>
      </w:tr>
      <w:tr w:rsidR="00C042A5" w14:paraId="11125D31" w14:textId="77777777" w:rsidTr="00D30A17">
        <w:trPr>
          <w:trHeight w:val="95"/>
        </w:trPr>
        <w:tc>
          <w:tcPr>
            <w:tcW w:w="6708" w:type="dxa"/>
            <w:gridSpan w:val="2"/>
          </w:tcPr>
          <w:p w14:paraId="4BCA246B" w14:textId="77777777" w:rsidR="00C042A5" w:rsidRDefault="00C042A5" w:rsidP="00D30A17">
            <w:pPr>
              <w:contextualSpacing/>
              <w:rPr>
                <w:sz w:val="22"/>
                <w:szCs w:val="22"/>
              </w:rPr>
            </w:pPr>
            <w:r w:rsidRPr="00B12B87">
              <w:rPr>
                <w:sz w:val="22"/>
                <w:szCs w:val="22"/>
              </w:rPr>
              <w:lastRenderedPageBreak/>
              <w:t>Ministrijas (citas institūcijas), kuras nav ieradušās uz sanāksmi vai kuras nav atbildējušas uz uzaicinājumu piedalīties elektroniskajā saskaņošanā</w:t>
            </w:r>
          </w:p>
          <w:p w14:paraId="01992489" w14:textId="05593EC8" w:rsidR="00366CFC" w:rsidRPr="00B12B87" w:rsidRDefault="00366CFC" w:rsidP="00D30A17">
            <w:pPr>
              <w:contextualSpacing/>
              <w:rPr>
                <w:sz w:val="22"/>
                <w:szCs w:val="22"/>
              </w:rPr>
            </w:pPr>
          </w:p>
        </w:tc>
        <w:tc>
          <w:tcPr>
            <w:tcW w:w="8851" w:type="dxa"/>
            <w:gridSpan w:val="2"/>
          </w:tcPr>
          <w:p w14:paraId="6B1B4AD2" w14:textId="2F38E917" w:rsidR="00C042A5" w:rsidRPr="008D6517" w:rsidRDefault="00C042A5" w:rsidP="00CA2D83">
            <w:pPr>
              <w:ind w:right="-108"/>
              <w:contextualSpacing/>
              <w:rPr>
                <w:sz w:val="22"/>
                <w:szCs w:val="22"/>
                <w:highlight w:val="yellow"/>
              </w:rPr>
            </w:pPr>
          </w:p>
        </w:tc>
      </w:tr>
    </w:tbl>
    <w:p w14:paraId="63751128" w14:textId="77777777" w:rsidR="007207ED" w:rsidRDefault="00E1789C" w:rsidP="007207ED">
      <w:pPr>
        <w:ind w:left="1080" w:right="57" w:firstLine="360"/>
        <w:contextualSpacing/>
        <w:jc w:val="center"/>
        <w:rPr>
          <w:b/>
          <w:sz w:val="22"/>
          <w:szCs w:val="22"/>
        </w:rPr>
      </w:pPr>
      <w:r>
        <w:rPr>
          <w:b/>
          <w:sz w:val="22"/>
          <w:szCs w:val="22"/>
        </w:rPr>
        <w:t xml:space="preserve">II </w:t>
      </w:r>
      <w:r w:rsidRPr="00B12B87">
        <w:rPr>
          <w:b/>
          <w:sz w:val="22"/>
          <w:szCs w:val="22"/>
        </w:rPr>
        <w:t>Jautājumi, par kuriem saskaņošanā vienošanās ir panākta</w:t>
      </w:r>
    </w:p>
    <w:p w14:paraId="1D201C9A" w14:textId="77777777" w:rsidR="007207ED" w:rsidRDefault="007207ED" w:rsidP="007207ED">
      <w:pPr>
        <w:ind w:left="1080" w:right="57" w:firstLine="360"/>
        <w:contextualSpacing/>
        <w:jc w:val="center"/>
        <w:rPr>
          <w:b/>
          <w:sz w:val="22"/>
          <w:szCs w:val="22"/>
        </w:rPr>
      </w:pPr>
    </w:p>
    <w:p w14:paraId="73F5F717" w14:textId="77777777" w:rsidR="007207ED" w:rsidRDefault="007207ED" w:rsidP="007207ED">
      <w:pPr>
        <w:ind w:left="1080" w:right="57" w:firstLine="360"/>
        <w:contextualSpacing/>
        <w:jc w:val="center"/>
        <w:rPr>
          <w:b/>
          <w:sz w:val="22"/>
          <w:szCs w:val="22"/>
        </w:rPr>
      </w:pPr>
    </w:p>
    <w:tbl>
      <w:tblPr>
        <w:tblStyle w:val="TableGrid"/>
        <w:tblW w:w="15027" w:type="dxa"/>
        <w:tblInd w:w="-431" w:type="dxa"/>
        <w:tblLook w:val="04A0" w:firstRow="1" w:lastRow="0" w:firstColumn="1" w:lastColumn="0" w:noHBand="0" w:noVBand="1"/>
      </w:tblPr>
      <w:tblGrid>
        <w:gridCol w:w="604"/>
        <w:gridCol w:w="3112"/>
        <w:gridCol w:w="4241"/>
        <w:gridCol w:w="3394"/>
        <w:gridCol w:w="3676"/>
      </w:tblGrid>
      <w:tr w:rsidR="005C663F" w14:paraId="71552CBA" w14:textId="77777777" w:rsidTr="00AE1D83">
        <w:tc>
          <w:tcPr>
            <w:tcW w:w="604" w:type="dxa"/>
          </w:tcPr>
          <w:p w14:paraId="3E152192" w14:textId="77777777" w:rsidR="007207ED" w:rsidRPr="001E4AD9" w:rsidRDefault="00E1789C" w:rsidP="007207ED">
            <w:pPr>
              <w:ind w:right="57"/>
              <w:contextualSpacing/>
              <w:jc w:val="center"/>
              <w:rPr>
                <w:sz w:val="22"/>
                <w:szCs w:val="22"/>
              </w:rPr>
            </w:pPr>
            <w:r w:rsidRPr="001E4AD9">
              <w:rPr>
                <w:sz w:val="22"/>
                <w:szCs w:val="22"/>
              </w:rPr>
              <w:t>Nr p.k.</w:t>
            </w:r>
          </w:p>
        </w:tc>
        <w:tc>
          <w:tcPr>
            <w:tcW w:w="3112" w:type="dxa"/>
          </w:tcPr>
          <w:p w14:paraId="4BB5AD63" w14:textId="77777777" w:rsidR="007207ED" w:rsidRPr="007207ED" w:rsidRDefault="00E1789C" w:rsidP="007207ED">
            <w:pPr>
              <w:ind w:right="57"/>
              <w:contextualSpacing/>
              <w:jc w:val="center"/>
              <w:rPr>
                <w:sz w:val="22"/>
                <w:szCs w:val="22"/>
              </w:rPr>
            </w:pPr>
            <w:r w:rsidRPr="007207ED">
              <w:rPr>
                <w:sz w:val="22"/>
                <w:szCs w:val="22"/>
              </w:rPr>
              <w:t>Saskaņošanai nosūtītā projekta redakcija (konkrēta punkta (panta) redakcija)</w:t>
            </w:r>
          </w:p>
        </w:tc>
        <w:tc>
          <w:tcPr>
            <w:tcW w:w="4241" w:type="dxa"/>
          </w:tcPr>
          <w:p w14:paraId="13C99685" w14:textId="77777777" w:rsidR="007207ED" w:rsidRPr="007207ED" w:rsidRDefault="00E1789C" w:rsidP="007207ED">
            <w:pPr>
              <w:ind w:right="57"/>
              <w:contextualSpacing/>
              <w:jc w:val="center"/>
              <w:rPr>
                <w:sz w:val="22"/>
                <w:szCs w:val="22"/>
              </w:rPr>
            </w:pPr>
            <w:r w:rsidRPr="007207ED">
              <w:rPr>
                <w:sz w:val="22"/>
                <w:szCs w:val="22"/>
              </w:rPr>
              <w:t>Atzinumā norādītais ministrijas (citas institūcijas) iebildums, kā arī saskaņošanā papildus izteiktais iebildums par projekta konkrēto punktu (pantu)</w:t>
            </w:r>
          </w:p>
        </w:tc>
        <w:tc>
          <w:tcPr>
            <w:tcW w:w="3394" w:type="dxa"/>
          </w:tcPr>
          <w:p w14:paraId="37A020D8" w14:textId="77777777" w:rsidR="007207ED" w:rsidRPr="007207ED" w:rsidRDefault="00E1789C" w:rsidP="007207ED">
            <w:pPr>
              <w:ind w:right="57"/>
              <w:contextualSpacing/>
              <w:jc w:val="center"/>
              <w:rPr>
                <w:sz w:val="22"/>
                <w:szCs w:val="22"/>
              </w:rPr>
            </w:pPr>
            <w:r w:rsidRPr="007207ED">
              <w:rPr>
                <w:sz w:val="22"/>
                <w:szCs w:val="22"/>
              </w:rPr>
              <w:t>Atbildīgās ministrijas norāde par to, ka iebildums ir ņemts vērā, vai informācija par saskaņošanā panākto alternatīvo risinājumu</w:t>
            </w:r>
          </w:p>
        </w:tc>
        <w:tc>
          <w:tcPr>
            <w:tcW w:w="3676" w:type="dxa"/>
          </w:tcPr>
          <w:p w14:paraId="1518BE9C" w14:textId="77777777" w:rsidR="007207ED" w:rsidRPr="007207ED" w:rsidRDefault="00E1789C" w:rsidP="007207ED">
            <w:pPr>
              <w:ind w:right="57"/>
              <w:contextualSpacing/>
              <w:jc w:val="center"/>
              <w:rPr>
                <w:sz w:val="22"/>
                <w:szCs w:val="22"/>
              </w:rPr>
            </w:pPr>
            <w:r w:rsidRPr="007207ED">
              <w:rPr>
                <w:sz w:val="22"/>
                <w:szCs w:val="22"/>
              </w:rPr>
              <w:t>Projekta attiecīgā punkta (panta) galīgā redakcija</w:t>
            </w:r>
          </w:p>
        </w:tc>
      </w:tr>
      <w:tr w:rsidR="005C663F" w14:paraId="0CC79B35" w14:textId="77777777" w:rsidTr="00AE1D83">
        <w:tc>
          <w:tcPr>
            <w:tcW w:w="604" w:type="dxa"/>
          </w:tcPr>
          <w:p w14:paraId="6BA1D567" w14:textId="77777777" w:rsidR="007207ED" w:rsidRPr="001E4AD9" w:rsidRDefault="00E1789C" w:rsidP="007207ED">
            <w:pPr>
              <w:ind w:right="57"/>
              <w:contextualSpacing/>
              <w:jc w:val="center"/>
              <w:rPr>
                <w:sz w:val="22"/>
                <w:szCs w:val="22"/>
              </w:rPr>
            </w:pPr>
            <w:r w:rsidRPr="001E4AD9">
              <w:rPr>
                <w:sz w:val="22"/>
                <w:szCs w:val="22"/>
              </w:rPr>
              <w:t>1</w:t>
            </w:r>
          </w:p>
        </w:tc>
        <w:tc>
          <w:tcPr>
            <w:tcW w:w="3112" w:type="dxa"/>
          </w:tcPr>
          <w:p w14:paraId="3A84B7BF" w14:textId="77777777" w:rsidR="007207ED" w:rsidRPr="007207ED" w:rsidRDefault="00E1789C" w:rsidP="007207ED">
            <w:pPr>
              <w:ind w:right="57"/>
              <w:contextualSpacing/>
              <w:jc w:val="center"/>
              <w:rPr>
                <w:sz w:val="22"/>
                <w:szCs w:val="22"/>
              </w:rPr>
            </w:pPr>
            <w:r w:rsidRPr="007207ED">
              <w:rPr>
                <w:sz w:val="22"/>
                <w:szCs w:val="22"/>
              </w:rPr>
              <w:t>2</w:t>
            </w:r>
          </w:p>
        </w:tc>
        <w:tc>
          <w:tcPr>
            <w:tcW w:w="4241" w:type="dxa"/>
          </w:tcPr>
          <w:p w14:paraId="1089E073" w14:textId="77777777" w:rsidR="007207ED" w:rsidRPr="007207ED" w:rsidRDefault="00E1789C" w:rsidP="007207ED">
            <w:pPr>
              <w:ind w:right="57"/>
              <w:contextualSpacing/>
              <w:jc w:val="center"/>
              <w:rPr>
                <w:sz w:val="22"/>
                <w:szCs w:val="22"/>
              </w:rPr>
            </w:pPr>
            <w:r w:rsidRPr="007207ED">
              <w:rPr>
                <w:sz w:val="22"/>
                <w:szCs w:val="22"/>
              </w:rPr>
              <w:t>3</w:t>
            </w:r>
          </w:p>
        </w:tc>
        <w:tc>
          <w:tcPr>
            <w:tcW w:w="3394" w:type="dxa"/>
          </w:tcPr>
          <w:p w14:paraId="147448E3" w14:textId="77777777" w:rsidR="007207ED" w:rsidRPr="007207ED" w:rsidRDefault="00E1789C" w:rsidP="007207ED">
            <w:pPr>
              <w:ind w:right="57"/>
              <w:contextualSpacing/>
              <w:jc w:val="center"/>
              <w:rPr>
                <w:sz w:val="22"/>
                <w:szCs w:val="22"/>
              </w:rPr>
            </w:pPr>
            <w:r w:rsidRPr="007207ED">
              <w:rPr>
                <w:sz w:val="22"/>
                <w:szCs w:val="22"/>
              </w:rPr>
              <w:t>4</w:t>
            </w:r>
          </w:p>
        </w:tc>
        <w:tc>
          <w:tcPr>
            <w:tcW w:w="3676" w:type="dxa"/>
          </w:tcPr>
          <w:p w14:paraId="4C1CED47" w14:textId="77777777" w:rsidR="007207ED" w:rsidRPr="007207ED" w:rsidRDefault="00E1789C" w:rsidP="007207ED">
            <w:pPr>
              <w:ind w:right="57"/>
              <w:contextualSpacing/>
              <w:jc w:val="center"/>
              <w:rPr>
                <w:sz w:val="22"/>
                <w:szCs w:val="22"/>
              </w:rPr>
            </w:pPr>
            <w:r w:rsidRPr="007207ED">
              <w:rPr>
                <w:sz w:val="22"/>
                <w:szCs w:val="22"/>
              </w:rPr>
              <w:t>5</w:t>
            </w:r>
          </w:p>
        </w:tc>
      </w:tr>
      <w:tr w:rsidR="003D0ADF" w14:paraId="371360EA" w14:textId="77777777" w:rsidTr="00AE1D83">
        <w:tc>
          <w:tcPr>
            <w:tcW w:w="604" w:type="dxa"/>
          </w:tcPr>
          <w:p w14:paraId="777998DA" w14:textId="77777777" w:rsidR="003D0ADF" w:rsidRPr="001E4AD9" w:rsidRDefault="003D0ADF" w:rsidP="007207ED">
            <w:pPr>
              <w:ind w:right="57"/>
              <w:contextualSpacing/>
              <w:jc w:val="center"/>
            </w:pPr>
          </w:p>
        </w:tc>
        <w:tc>
          <w:tcPr>
            <w:tcW w:w="3112" w:type="dxa"/>
            <w:tcBorders>
              <w:top w:val="single" w:sz="4" w:space="0" w:color="auto"/>
              <w:left w:val="single" w:sz="4" w:space="0" w:color="auto"/>
              <w:bottom w:val="single" w:sz="4" w:space="0" w:color="auto"/>
              <w:right w:val="single" w:sz="4" w:space="0" w:color="auto"/>
            </w:tcBorders>
          </w:tcPr>
          <w:p w14:paraId="67AA8C87" w14:textId="1610DF6F" w:rsidR="003D0ADF" w:rsidRPr="003D0ADF" w:rsidRDefault="003D0ADF" w:rsidP="003D0ADF">
            <w:pPr>
              <w:ind w:firstLine="720"/>
              <w:jc w:val="both"/>
              <w:rPr>
                <w:rFonts w:eastAsia="Calibri"/>
                <w:lang w:eastAsia="en-US"/>
              </w:rPr>
            </w:pPr>
            <w:r w:rsidRPr="003D0ADF">
              <w:rPr>
                <w:rFonts w:eastAsia="Calibri"/>
                <w:lang w:eastAsia="en-US"/>
              </w:rPr>
              <w:t>10.</w:t>
            </w:r>
            <w:r w:rsidR="003741F5">
              <w:rPr>
                <w:rFonts w:eastAsia="Calibri"/>
                <w:lang w:eastAsia="en-US"/>
              </w:rPr>
              <w:t xml:space="preserve"> </w:t>
            </w:r>
            <w:r w:rsidRPr="003D0ADF">
              <w:rPr>
                <w:rFonts w:eastAsia="Calibri"/>
                <w:lang w:eastAsia="en-US"/>
              </w:rPr>
              <w:t>Papildināt būvnormatīva pielikuma 3. tabulu ar 3. piezīmi šādā redakcijā:</w:t>
            </w:r>
          </w:p>
          <w:p w14:paraId="14DDF4DB" w14:textId="77777777" w:rsidR="003D0ADF" w:rsidRPr="003D0ADF" w:rsidRDefault="003D0ADF" w:rsidP="003D0ADF">
            <w:pPr>
              <w:jc w:val="both"/>
              <w:rPr>
                <w:rFonts w:eastAsia="Calibri"/>
                <w:lang w:eastAsia="en-US"/>
              </w:rPr>
            </w:pPr>
          </w:p>
          <w:p w14:paraId="220738EC" w14:textId="237FCA21" w:rsidR="003D0ADF" w:rsidRDefault="003D0ADF" w:rsidP="003D0ADF">
            <w:pPr>
              <w:ind w:firstLine="709"/>
              <w:jc w:val="both"/>
              <w:rPr>
                <w:rFonts w:eastAsia="Calibri"/>
                <w:lang w:eastAsia="en-US"/>
              </w:rPr>
            </w:pPr>
            <w:r w:rsidRPr="003D0ADF">
              <w:rPr>
                <w:rFonts w:eastAsia="Calibri"/>
                <w:lang w:eastAsia="en-US"/>
              </w:rPr>
              <w:t>“3**. Ja būve sadalīta ugunsdrošības nodalījumos, kuriem ir dažādas ugunsnoturības pakāpes, jāievēro šādas prasības:</w:t>
            </w:r>
          </w:p>
          <w:p w14:paraId="7F588595" w14:textId="5F12B829" w:rsidR="003D0ADF" w:rsidRPr="003D0ADF" w:rsidRDefault="003D0ADF" w:rsidP="003D0ADF">
            <w:pPr>
              <w:ind w:firstLine="709"/>
              <w:jc w:val="both"/>
              <w:rPr>
                <w:rFonts w:eastAsia="Calibri"/>
                <w:lang w:eastAsia="en-US"/>
              </w:rPr>
            </w:pPr>
            <w:r w:rsidRPr="003D0ADF">
              <w:rPr>
                <w:rFonts w:eastAsia="Calibri"/>
                <w:lang w:eastAsia="en-US"/>
              </w:rPr>
              <w:t>1) kopīgām ugunsdrošības nodalījumu norobežojošām būvkonstrukcijām jāatbilst prasībām, kas izvirzītas ugunsdrošības nodalījumam ar augstāko ugunsnoturības pakāpi;</w:t>
            </w:r>
          </w:p>
          <w:p w14:paraId="495765C3" w14:textId="6C2FE1D2" w:rsidR="003D0ADF" w:rsidRPr="003D0ADF" w:rsidRDefault="003D0ADF" w:rsidP="003D0ADF">
            <w:pPr>
              <w:ind w:firstLine="709"/>
              <w:jc w:val="both"/>
              <w:rPr>
                <w:rFonts w:eastAsia="Calibri"/>
                <w:lang w:eastAsia="en-US"/>
              </w:rPr>
            </w:pPr>
            <w:r w:rsidRPr="003D0ADF">
              <w:rPr>
                <w:rFonts w:eastAsia="Calibri"/>
                <w:lang w:eastAsia="en-US"/>
              </w:rPr>
              <w:t xml:space="preserve">2) zemāk izvietoto ugunsdrošības nodalījumu nesošo būvkonstrukciju minimālai ugunsizturībai un </w:t>
            </w:r>
            <w:r w:rsidRPr="003D0ADF">
              <w:rPr>
                <w:rFonts w:eastAsia="Calibri"/>
                <w:lang w:eastAsia="en-US"/>
              </w:rPr>
              <w:lastRenderedPageBreak/>
              <w:t>ugunsreakcijas klasei jābūt ne mazākai par kopīgo ugunsdrošības nodalījumu būvkonstrukciju ugunsizturību un ugunsreakcijas klasi;</w:t>
            </w:r>
          </w:p>
          <w:p w14:paraId="2C7C07B5" w14:textId="03F728D5" w:rsidR="003D0ADF" w:rsidRPr="003D0ADF" w:rsidRDefault="003D0ADF" w:rsidP="003D0ADF">
            <w:pPr>
              <w:ind w:firstLine="709"/>
              <w:jc w:val="both"/>
              <w:rPr>
                <w:rFonts w:eastAsia="Calibri"/>
                <w:lang w:eastAsia="en-US"/>
              </w:rPr>
            </w:pPr>
            <w:r w:rsidRPr="003D0ADF">
              <w:rPr>
                <w:rFonts w:eastAsia="Calibri"/>
                <w:lang w:eastAsia="en-US"/>
              </w:rPr>
              <w:t>3) ja ugunsdroši atdalītas telpas funkcionāli saistītas ar vairāk kā vienu ugunsdrošības nodalījumu, to norobežojošo būvkonstrukciju minimālā ugunsizturība un būvizstrādājumu minimālā ugunsreakcijas klase nav zemāka, kā tas noteikts ugunsdroši atdalītām telpām ugunsdrošības nodalījumā ar augstāko ugunsnoturības pakāpi;</w:t>
            </w:r>
          </w:p>
          <w:p w14:paraId="2D408665" w14:textId="77777777" w:rsidR="003D0ADF" w:rsidRPr="003D0ADF" w:rsidRDefault="003D0ADF" w:rsidP="003D0ADF">
            <w:pPr>
              <w:ind w:firstLine="709"/>
              <w:jc w:val="both"/>
              <w:rPr>
                <w:rFonts w:eastAsia="Calibri"/>
                <w:lang w:eastAsia="en-US"/>
              </w:rPr>
            </w:pPr>
            <w:r w:rsidRPr="003D0ADF">
              <w:rPr>
                <w:rFonts w:eastAsia="Calibri"/>
                <w:lang w:eastAsia="en-US"/>
              </w:rPr>
              <w:t>4) virs U3 ugunsnoturības pakāpes ugunsdrošības nodalījuma aizliegts paredzēt ugunsdrošības nodalījumus ar citu ugunsnoturības pakāpi.”.</w:t>
            </w:r>
          </w:p>
          <w:p w14:paraId="787A11A7" w14:textId="77777777" w:rsidR="003D0ADF" w:rsidRPr="003D0ADF" w:rsidRDefault="003D0ADF" w:rsidP="003D0ADF">
            <w:pPr>
              <w:ind w:firstLine="709"/>
              <w:jc w:val="both"/>
              <w:rPr>
                <w:rFonts w:eastAsia="Calibri"/>
                <w:sz w:val="28"/>
                <w:szCs w:val="28"/>
                <w:lang w:eastAsia="en-US"/>
              </w:rPr>
            </w:pPr>
          </w:p>
          <w:p w14:paraId="0EE9CEC2" w14:textId="77777777" w:rsidR="003D0ADF" w:rsidRPr="0010762C" w:rsidRDefault="003D0ADF" w:rsidP="007207ED">
            <w:pPr>
              <w:shd w:val="clear" w:color="auto" w:fill="FFFFFF"/>
              <w:contextualSpacing/>
              <w:jc w:val="both"/>
            </w:pPr>
          </w:p>
        </w:tc>
        <w:tc>
          <w:tcPr>
            <w:tcW w:w="4241" w:type="dxa"/>
          </w:tcPr>
          <w:p w14:paraId="78837913" w14:textId="77777777" w:rsidR="003D0ADF" w:rsidRDefault="003D0ADF" w:rsidP="007207ED">
            <w:pPr>
              <w:ind w:right="57"/>
              <w:contextualSpacing/>
              <w:jc w:val="both"/>
              <w:rPr>
                <w:b/>
                <w:u w:val="single"/>
              </w:rPr>
            </w:pPr>
            <w:r>
              <w:rPr>
                <w:b/>
                <w:u w:val="single"/>
              </w:rPr>
              <w:lastRenderedPageBreak/>
              <w:t>Iekšlietu ministrija</w:t>
            </w:r>
          </w:p>
          <w:p w14:paraId="3AADA565" w14:textId="6788CC63" w:rsidR="003D0ADF" w:rsidRPr="003D0ADF" w:rsidRDefault="003D0ADF" w:rsidP="007207ED">
            <w:pPr>
              <w:ind w:right="57"/>
              <w:contextualSpacing/>
              <w:jc w:val="both"/>
              <w:rPr>
                <w:bCs/>
              </w:rPr>
            </w:pPr>
            <w:r w:rsidRPr="003D0ADF">
              <w:rPr>
                <w:bCs/>
              </w:rPr>
              <w:t>Iekšlietu ministrija izsak</w:t>
            </w:r>
            <w:r>
              <w:rPr>
                <w:bCs/>
              </w:rPr>
              <w:t>a</w:t>
            </w:r>
            <w:r w:rsidRPr="003D0ADF">
              <w:rPr>
                <w:bCs/>
              </w:rPr>
              <w:t xml:space="preserve"> priekšlikumu svītrot projekta 10.punktā zemsvītras piezīmes norādi ** pie skaitļa 3, ņemot vērā, ka projekta 10.punkts attiecas uz Latvijas būvnormatīva LBN 201-15 ”Būvju ugunsdrošība” (turpmāk – būvnormatīvs) pielikuma visu 3.tabulu, kā arī minētajā tabulā nav iekļauta attiecīgā zemsvītras piezīmes norāde</w:t>
            </w:r>
          </w:p>
        </w:tc>
        <w:tc>
          <w:tcPr>
            <w:tcW w:w="3394" w:type="dxa"/>
          </w:tcPr>
          <w:p w14:paraId="5E067451" w14:textId="77777777" w:rsidR="003D0ADF" w:rsidRDefault="003D0ADF" w:rsidP="003D0ADF">
            <w:pPr>
              <w:ind w:right="57"/>
              <w:contextualSpacing/>
              <w:jc w:val="center"/>
              <w:rPr>
                <w:b/>
              </w:rPr>
            </w:pPr>
            <w:r>
              <w:rPr>
                <w:b/>
              </w:rPr>
              <w:t>Ņemts vērā</w:t>
            </w:r>
          </w:p>
          <w:p w14:paraId="32AEE105" w14:textId="77777777" w:rsidR="003D0ADF" w:rsidRDefault="003D0ADF" w:rsidP="007207ED">
            <w:pPr>
              <w:ind w:right="57"/>
              <w:contextualSpacing/>
              <w:jc w:val="center"/>
              <w:rPr>
                <w:b/>
              </w:rPr>
            </w:pPr>
          </w:p>
        </w:tc>
        <w:tc>
          <w:tcPr>
            <w:tcW w:w="3676" w:type="dxa"/>
          </w:tcPr>
          <w:p w14:paraId="15B9BF36" w14:textId="77777777" w:rsidR="00FD5455" w:rsidRPr="00FD5455" w:rsidRDefault="00FD5455" w:rsidP="00FD5455">
            <w:pPr>
              <w:ind w:firstLine="720"/>
              <w:jc w:val="both"/>
              <w:rPr>
                <w:rFonts w:eastAsia="Calibri"/>
                <w:lang w:eastAsia="en-US"/>
              </w:rPr>
            </w:pPr>
            <w:r w:rsidRPr="00FD5455">
              <w:rPr>
                <w:rFonts w:eastAsia="Calibri"/>
                <w:lang w:eastAsia="en-US"/>
              </w:rPr>
              <w:t>13. Papildināt būvnormatīva pielikuma 3. tabulu ar 3. piezīmi šādā redakcijā:</w:t>
            </w:r>
          </w:p>
          <w:p w14:paraId="11E934EA" w14:textId="77777777" w:rsidR="00FD5455" w:rsidRPr="00FD5455" w:rsidRDefault="00FD5455" w:rsidP="00FD5455">
            <w:pPr>
              <w:ind w:firstLine="720"/>
              <w:jc w:val="both"/>
              <w:rPr>
                <w:rFonts w:eastAsia="Calibri"/>
                <w:lang w:eastAsia="en-US"/>
              </w:rPr>
            </w:pPr>
          </w:p>
          <w:p w14:paraId="3A9FB49F" w14:textId="77777777" w:rsidR="00FD5455" w:rsidRPr="00FD5455" w:rsidRDefault="00FD5455" w:rsidP="00FD5455">
            <w:pPr>
              <w:ind w:firstLine="720"/>
              <w:jc w:val="both"/>
              <w:rPr>
                <w:rFonts w:eastAsia="Calibri"/>
                <w:lang w:eastAsia="en-US"/>
              </w:rPr>
            </w:pPr>
            <w:r w:rsidRPr="00FD5455">
              <w:rPr>
                <w:rFonts w:eastAsia="Calibri"/>
                <w:lang w:eastAsia="en-US"/>
              </w:rPr>
              <w:t>“3. Ja būve sadalīta ugunsdrošības nodalījumos, kuriem ir dažādas ugunsnoturības pakāpes, jāievēro šādas prasības:</w:t>
            </w:r>
          </w:p>
          <w:p w14:paraId="1BE119C5" w14:textId="77777777" w:rsidR="00FD5455" w:rsidRPr="00FD5455" w:rsidRDefault="00FD5455" w:rsidP="00FD5455">
            <w:pPr>
              <w:ind w:firstLine="720"/>
              <w:jc w:val="both"/>
              <w:rPr>
                <w:rFonts w:eastAsia="Calibri"/>
                <w:lang w:eastAsia="en-US"/>
              </w:rPr>
            </w:pPr>
          </w:p>
          <w:p w14:paraId="25A66486" w14:textId="77777777" w:rsidR="00FD5455" w:rsidRPr="00FD5455" w:rsidRDefault="00FD5455" w:rsidP="00FD5455">
            <w:pPr>
              <w:ind w:firstLine="720"/>
              <w:jc w:val="both"/>
              <w:rPr>
                <w:rFonts w:eastAsia="Calibri"/>
                <w:lang w:eastAsia="en-US"/>
              </w:rPr>
            </w:pPr>
            <w:r w:rsidRPr="00FD5455">
              <w:rPr>
                <w:rFonts w:eastAsia="Calibri"/>
                <w:lang w:eastAsia="en-US"/>
              </w:rPr>
              <w:t>1) kopīgām ugunsdrošības nodalījumu norobežojošām būvkonstrukcijām jāatbilst prasībām, kas izvirzītas ugunsdrošības nodalījumam ar augstāko ugunsnoturības pakāpi;</w:t>
            </w:r>
          </w:p>
          <w:p w14:paraId="7B6B26DE" w14:textId="77777777" w:rsidR="00FD5455" w:rsidRPr="00FD5455" w:rsidRDefault="00FD5455" w:rsidP="00FD5455">
            <w:pPr>
              <w:ind w:firstLine="720"/>
              <w:jc w:val="both"/>
              <w:rPr>
                <w:rFonts w:eastAsia="Calibri"/>
                <w:lang w:eastAsia="en-US"/>
              </w:rPr>
            </w:pPr>
          </w:p>
          <w:p w14:paraId="58BF09B5" w14:textId="77777777" w:rsidR="00FD5455" w:rsidRPr="00FD5455" w:rsidRDefault="00FD5455" w:rsidP="00FD5455">
            <w:pPr>
              <w:ind w:firstLine="720"/>
              <w:jc w:val="both"/>
              <w:rPr>
                <w:rFonts w:eastAsia="Calibri"/>
                <w:lang w:eastAsia="en-US"/>
              </w:rPr>
            </w:pPr>
            <w:r w:rsidRPr="00FD5455">
              <w:rPr>
                <w:rFonts w:eastAsia="Calibri"/>
                <w:lang w:eastAsia="en-US"/>
              </w:rPr>
              <w:t xml:space="preserve">2) zemāk izvietoto ugunsdrošības nodalījumu nesošo būvkonstrukciju minimālai ugunsizturībai un ugunsreakcijas klasei jābūt ne mazākai par kopīgo ugunsdrošības nodalījumu </w:t>
            </w:r>
            <w:r w:rsidRPr="00FD5455">
              <w:rPr>
                <w:rFonts w:eastAsia="Calibri"/>
                <w:lang w:eastAsia="en-US"/>
              </w:rPr>
              <w:lastRenderedPageBreak/>
              <w:t>būvkonstrukciju ugunsizturību un ugunsreakcijas klasi;</w:t>
            </w:r>
          </w:p>
          <w:p w14:paraId="33E456B9" w14:textId="77777777" w:rsidR="00FD5455" w:rsidRPr="00FD5455" w:rsidRDefault="00FD5455" w:rsidP="00FD5455">
            <w:pPr>
              <w:ind w:firstLine="720"/>
              <w:jc w:val="both"/>
              <w:rPr>
                <w:rFonts w:eastAsia="Calibri"/>
                <w:lang w:eastAsia="en-US"/>
              </w:rPr>
            </w:pPr>
          </w:p>
          <w:p w14:paraId="59DFB53F" w14:textId="77777777" w:rsidR="00FD5455" w:rsidRPr="00FD5455" w:rsidRDefault="00FD5455" w:rsidP="00FD5455">
            <w:pPr>
              <w:ind w:firstLine="720"/>
              <w:jc w:val="both"/>
              <w:rPr>
                <w:rFonts w:eastAsia="Calibri"/>
                <w:lang w:eastAsia="en-US"/>
              </w:rPr>
            </w:pPr>
            <w:r w:rsidRPr="00FD5455">
              <w:rPr>
                <w:rFonts w:eastAsia="Calibri"/>
                <w:lang w:eastAsia="en-US"/>
              </w:rPr>
              <w:t>3) ja ugunsdroši atdalītas telpas funkcionāli saistītas ar vairāk kā vienu ugunsdrošības nodalījumu, to norobežojošo būvkonstrukciju minimālā ugunsizturība un būvizstrādājumu minimālā ugunsreakcijas klase nav zemāka, kā tas noteikts ugunsdroši atdalītām telpām ugunsdrošības nodalījumā ar augstāko ugunsnoturības pakāpi;</w:t>
            </w:r>
          </w:p>
          <w:p w14:paraId="76391B02" w14:textId="77777777" w:rsidR="00FD5455" w:rsidRPr="00FD5455" w:rsidRDefault="00FD5455" w:rsidP="00FD5455">
            <w:pPr>
              <w:ind w:firstLine="720"/>
              <w:jc w:val="both"/>
              <w:rPr>
                <w:rFonts w:eastAsia="Calibri"/>
                <w:lang w:eastAsia="en-US"/>
              </w:rPr>
            </w:pPr>
          </w:p>
          <w:p w14:paraId="79FB41AC" w14:textId="07CE15DD" w:rsidR="003D0ADF" w:rsidRPr="0010762C" w:rsidRDefault="00FD5455" w:rsidP="00FD5455">
            <w:pPr>
              <w:ind w:right="57"/>
              <w:contextualSpacing/>
              <w:jc w:val="both"/>
            </w:pPr>
            <w:r w:rsidRPr="00FD5455">
              <w:rPr>
                <w:rFonts w:eastAsia="Calibri"/>
                <w:lang w:eastAsia="en-US"/>
              </w:rPr>
              <w:t>4) virs U3 ugunsnoturības pakāpes ugunsdrošības nodalījuma aizliegts paredzēt ugunsdrošības nodalījumus ar citu ugunsnoturības pakāpi.”.</w:t>
            </w:r>
          </w:p>
        </w:tc>
      </w:tr>
      <w:tr w:rsidR="003D0ADF" w14:paraId="1A46B4F7" w14:textId="77777777" w:rsidTr="00AE1D83">
        <w:tc>
          <w:tcPr>
            <w:tcW w:w="604" w:type="dxa"/>
          </w:tcPr>
          <w:p w14:paraId="39FE71EE" w14:textId="77777777" w:rsidR="003D0ADF" w:rsidRPr="001E4AD9" w:rsidRDefault="003D0ADF" w:rsidP="007207ED">
            <w:pPr>
              <w:ind w:right="57"/>
              <w:contextualSpacing/>
              <w:jc w:val="center"/>
            </w:pPr>
          </w:p>
        </w:tc>
        <w:tc>
          <w:tcPr>
            <w:tcW w:w="3112" w:type="dxa"/>
            <w:tcBorders>
              <w:top w:val="single" w:sz="4" w:space="0" w:color="auto"/>
              <w:left w:val="single" w:sz="4" w:space="0" w:color="auto"/>
              <w:bottom w:val="single" w:sz="4" w:space="0" w:color="auto"/>
              <w:right w:val="single" w:sz="4" w:space="0" w:color="auto"/>
            </w:tcBorders>
          </w:tcPr>
          <w:p w14:paraId="1F37E60D" w14:textId="4D02A3D9" w:rsidR="00E1733F" w:rsidRDefault="00E1733F" w:rsidP="003D0ADF">
            <w:pPr>
              <w:ind w:firstLine="720"/>
              <w:jc w:val="both"/>
              <w:rPr>
                <w:rFonts w:eastAsia="Calibri"/>
                <w:i/>
                <w:iCs/>
                <w:lang w:eastAsia="en-US"/>
              </w:rPr>
            </w:pPr>
            <w:r w:rsidRPr="00E1733F">
              <w:rPr>
                <w:rFonts w:eastAsia="Calibri"/>
                <w:i/>
                <w:iCs/>
                <w:lang w:eastAsia="en-US"/>
              </w:rPr>
              <w:t xml:space="preserve">būvnormatīva pielikuma </w:t>
            </w:r>
            <w:r>
              <w:rPr>
                <w:rFonts w:eastAsia="Calibri"/>
                <w:i/>
                <w:iCs/>
                <w:lang w:eastAsia="en-US"/>
              </w:rPr>
              <w:t>1</w:t>
            </w:r>
            <w:r w:rsidRPr="00E1733F">
              <w:rPr>
                <w:rFonts w:eastAsia="Calibri"/>
                <w:i/>
                <w:iCs/>
                <w:lang w:eastAsia="en-US"/>
              </w:rPr>
              <w:t>. tabul</w:t>
            </w:r>
            <w:r>
              <w:rPr>
                <w:rFonts w:eastAsia="Calibri"/>
                <w:i/>
                <w:iCs/>
                <w:lang w:eastAsia="en-US"/>
              </w:rPr>
              <w:t>as</w:t>
            </w:r>
            <w:r w:rsidRPr="00E1733F">
              <w:rPr>
                <w:rFonts w:eastAsia="Calibri"/>
                <w:i/>
                <w:iCs/>
                <w:lang w:eastAsia="en-US"/>
              </w:rPr>
              <w:t xml:space="preserve">  </w:t>
            </w:r>
            <w:r>
              <w:rPr>
                <w:rFonts w:eastAsia="Calibri"/>
                <w:i/>
                <w:iCs/>
                <w:lang w:eastAsia="en-US"/>
              </w:rPr>
              <w:t>2</w:t>
            </w:r>
            <w:r w:rsidRPr="00E1733F">
              <w:rPr>
                <w:rFonts w:eastAsia="Calibri"/>
                <w:i/>
                <w:iCs/>
                <w:lang w:eastAsia="en-US"/>
              </w:rPr>
              <w:t>. piezīm</w:t>
            </w:r>
            <w:r>
              <w:rPr>
                <w:rFonts w:eastAsia="Calibri"/>
                <w:i/>
                <w:iCs/>
                <w:lang w:eastAsia="en-US"/>
              </w:rPr>
              <w:t>e</w:t>
            </w:r>
          </w:p>
          <w:p w14:paraId="716595A5" w14:textId="21218D56" w:rsidR="003D0ADF" w:rsidRPr="00E1733F" w:rsidRDefault="00E1733F" w:rsidP="003D0ADF">
            <w:pPr>
              <w:ind w:firstLine="720"/>
              <w:jc w:val="both"/>
              <w:rPr>
                <w:rFonts w:eastAsia="Calibri"/>
                <w:i/>
                <w:iCs/>
                <w:lang w:eastAsia="en-US"/>
              </w:rPr>
            </w:pPr>
            <w:r w:rsidRPr="00E1733F">
              <w:rPr>
                <w:rFonts w:eastAsia="Calibri"/>
                <w:i/>
                <w:iCs/>
                <w:lang w:eastAsia="en-US"/>
              </w:rPr>
              <w:lastRenderedPageBreak/>
              <w:t>2. **Vienstāva U1b un U2b ugunsnoturības pakāpes būvēs kolonnu minimālā ugunsizturība netiek reglamentēta, ja kolonnu būvizstrādājumu ugunsreakcijas klase ir vismaz A2-s1, d0.</w:t>
            </w:r>
          </w:p>
        </w:tc>
        <w:tc>
          <w:tcPr>
            <w:tcW w:w="4241" w:type="dxa"/>
          </w:tcPr>
          <w:p w14:paraId="7DEBD85D" w14:textId="77777777" w:rsidR="00EA211F" w:rsidRDefault="00EA211F" w:rsidP="00EA211F">
            <w:pPr>
              <w:ind w:right="57"/>
              <w:contextualSpacing/>
              <w:jc w:val="both"/>
              <w:rPr>
                <w:b/>
                <w:u w:val="single"/>
              </w:rPr>
            </w:pPr>
            <w:r>
              <w:rPr>
                <w:b/>
                <w:u w:val="single"/>
              </w:rPr>
              <w:lastRenderedPageBreak/>
              <w:t>Iekšlietu ministrija</w:t>
            </w:r>
          </w:p>
          <w:p w14:paraId="15187AEE" w14:textId="77777777" w:rsidR="00D11223" w:rsidRPr="00D11223" w:rsidRDefault="00D11223" w:rsidP="00D11223">
            <w:pPr>
              <w:widowControl w:val="0"/>
              <w:jc w:val="both"/>
              <w:rPr>
                <w:rFonts w:eastAsia="Calibri"/>
                <w:color w:val="000000"/>
                <w:lang w:eastAsia="en-US"/>
              </w:rPr>
            </w:pPr>
            <w:r w:rsidRPr="00D11223">
              <w:rPr>
                <w:rFonts w:eastAsia="Calibri"/>
                <w:color w:val="000000"/>
                <w:lang w:eastAsia="en-US"/>
              </w:rPr>
              <w:t>Papildus lūdzam izvērtēt šāda Valsts ugunsdzēsības un glābšanas dienesta priekšlikuma iekļaušanu projektā:</w:t>
            </w:r>
          </w:p>
          <w:p w14:paraId="6730B987" w14:textId="77777777" w:rsidR="00D11223" w:rsidRPr="00D11223" w:rsidRDefault="00D11223" w:rsidP="00D11223">
            <w:pPr>
              <w:widowControl w:val="0"/>
              <w:jc w:val="both"/>
              <w:rPr>
                <w:rFonts w:eastAsia="Calibri"/>
                <w:color w:val="000000"/>
                <w:lang w:eastAsia="en-US"/>
              </w:rPr>
            </w:pPr>
            <w:r w:rsidRPr="00D11223">
              <w:rPr>
                <w:rFonts w:eastAsia="Calibri"/>
                <w:color w:val="000000"/>
                <w:lang w:eastAsia="en-US"/>
              </w:rPr>
              <w:lastRenderedPageBreak/>
              <w:t>”Izteikt būvnormatīva pielikuma 1.tabulas otro piezīmi šādā redakcijā:</w:t>
            </w:r>
          </w:p>
          <w:p w14:paraId="534A4B4E" w14:textId="77777777" w:rsidR="00D11223" w:rsidRPr="00D11223" w:rsidRDefault="00D11223" w:rsidP="00D11223">
            <w:pPr>
              <w:widowControl w:val="0"/>
              <w:jc w:val="both"/>
              <w:outlineLvl w:val="0"/>
              <w:rPr>
                <w:rFonts w:eastAsia="Calibri"/>
                <w:color w:val="000000"/>
                <w:lang w:eastAsia="en-US"/>
              </w:rPr>
            </w:pPr>
            <w:r w:rsidRPr="00D11223">
              <w:rPr>
                <w:rFonts w:eastAsia="Calibri"/>
                <w:color w:val="000000"/>
                <w:lang w:eastAsia="en-US"/>
              </w:rPr>
              <w:t xml:space="preserve">”2.** U1b vai U2b ugunsnoturības pakāpes vienstāva būvei vai vienstāva būves daļai kolonnu minimālā ugunsizturība netiek reglamentēta, ja kolonnu būvizstrādājumu ugunsreakcijas klase ir vismaz A2-s1, d0.””. </w:t>
            </w:r>
          </w:p>
          <w:p w14:paraId="612AC124" w14:textId="7B0C33D7" w:rsidR="003D0ADF" w:rsidRDefault="00D11223" w:rsidP="00E8428A">
            <w:pPr>
              <w:widowControl w:val="0"/>
              <w:ind w:firstLine="720"/>
              <w:jc w:val="both"/>
              <w:rPr>
                <w:b/>
                <w:u w:val="single"/>
              </w:rPr>
            </w:pPr>
            <w:r w:rsidRPr="00D11223">
              <w:rPr>
                <w:rFonts w:eastAsia="Calibri"/>
                <w:color w:val="000000"/>
                <w:lang w:eastAsia="en-US"/>
              </w:rPr>
              <w:t>Minētais grozījums nepieciešams, jo ir būves, kurām ir vienstāvu daļa, kurā parasti notiek ražošanas procesi vai tajā ir noliktava un divstāvu vai vairāk stāvu daļa, kurā parasti ir biroju telpas. Ja tiek atļauts, ka vienstāva būvēs U1b un U2b ugunsnoturības pakāpes būvēs kolonnu minimālā ugunsizturība netiek reglamentēta, ja kolonnu būvizstrādājumu ugunsreakcijas klase ir vismaz A2-s1, d0, tad šo prasību var attiecināt arī uz vienstāva būves daļu.</w:t>
            </w:r>
          </w:p>
        </w:tc>
        <w:tc>
          <w:tcPr>
            <w:tcW w:w="3394" w:type="dxa"/>
          </w:tcPr>
          <w:p w14:paraId="7421E091" w14:textId="77777777" w:rsidR="00D11223" w:rsidRDefault="00D11223" w:rsidP="00D11223">
            <w:pPr>
              <w:ind w:right="57"/>
              <w:contextualSpacing/>
              <w:jc w:val="center"/>
              <w:rPr>
                <w:b/>
              </w:rPr>
            </w:pPr>
            <w:r>
              <w:rPr>
                <w:b/>
              </w:rPr>
              <w:lastRenderedPageBreak/>
              <w:t>Ņemts vērā</w:t>
            </w:r>
          </w:p>
          <w:p w14:paraId="404078FD" w14:textId="77777777" w:rsidR="003D0ADF" w:rsidRDefault="003D0ADF" w:rsidP="003D0ADF">
            <w:pPr>
              <w:ind w:right="57"/>
              <w:contextualSpacing/>
              <w:jc w:val="center"/>
              <w:rPr>
                <w:b/>
              </w:rPr>
            </w:pPr>
          </w:p>
        </w:tc>
        <w:tc>
          <w:tcPr>
            <w:tcW w:w="3676" w:type="dxa"/>
          </w:tcPr>
          <w:p w14:paraId="2CC0122E" w14:textId="77777777" w:rsidR="00FD5455" w:rsidRPr="00FD5455" w:rsidRDefault="00FD5455" w:rsidP="00FD5455">
            <w:pPr>
              <w:widowControl w:val="0"/>
              <w:jc w:val="both"/>
              <w:rPr>
                <w:rFonts w:eastAsia="Calibri"/>
                <w:color w:val="000000"/>
                <w:lang w:eastAsia="en-US"/>
              </w:rPr>
            </w:pPr>
            <w:r w:rsidRPr="00FD5455">
              <w:rPr>
                <w:rFonts w:eastAsia="Calibri"/>
                <w:color w:val="000000"/>
                <w:lang w:eastAsia="en-US"/>
              </w:rPr>
              <w:t>5. Izteikt būvnormatīva pielikuma 1.tabulas 2.piezīmi šādā redakcijā:</w:t>
            </w:r>
          </w:p>
          <w:p w14:paraId="5F863298" w14:textId="77777777" w:rsidR="00FD5455" w:rsidRPr="00FD5455" w:rsidRDefault="00FD5455" w:rsidP="00FD5455">
            <w:pPr>
              <w:widowControl w:val="0"/>
              <w:jc w:val="both"/>
              <w:rPr>
                <w:rFonts w:eastAsia="Calibri"/>
                <w:color w:val="000000"/>
                <w:lang w:eastAsia="en-US"/>
              </w:rPr>
            </w:pPr>
          </w:p>
          <w:p w14:paraId="046E65DE" w14:textId="3A4FE0CA" w:rsidR="003D0ADF" w:rsidRPr="003D0ADF" w:rsidRDefault="00FD5455" w:rsidP="00FD5455">
            <w:pPr>
              <w:ind w:firstLine="720"/>
              <w:jc w:val="both"/>
              <w:rPr>
                <w:rFonts w:eastAsia="Calibri"/>
                <w:lang w:eastAsia="en-US"/>
              </w:rPr>
            </w:pPr>
            <w:r w:rsidRPr="00FD5455">
              <w:rPr>
                <w:rFonts w:eastAsia="Calibri"/>
                <w:color w:val="000000"/>
                <w:lang w:eastAsia="en-US"/>
              </w:rPr>
              <w:lastRenderedPageBreak/>
              <w:t>”2.** U1b vai U2b ugunsnoturības pakāpes vienstāva būvei vai vienstāva būves daļai kolonnu minimālā ugunsizturība netiek reglamentēta, ja kolonnu būvizstrādājumu ugunsreakcijas klase ir vismaz A2-s1, d0.””.</w:t>
            </w:r>
          </w:p>
        </w:tc>
      </w:tr>
      <w:tr w:rsidR="003741F5" w14:paraId="0921D8A9" w14:textId="77777777" w:rsidTr="00AE1D83">
        <w:tc>
          <w:tcPr>
            <w:tcW w:w="604" w:type="dxa"/>
          </w:tcPr>
          <w:p w14:paraId="39325455" w14:textId="77777777" w:rsidR="003741F5" w:rsidRPr="001E4AD9" w:rsidRDefault="003741F5" w:rsidP="007207ED">
            <w:pPr>
              <w:ind w:right="57"/>
              <w:contextualSpacing/>
              <w:jc w:val="center"/>
            </w:pPr>
          </w:p>
        </w:tc>
        <w:tc>
          <w:tcPr>
            <w:tcW w:w="3112" w:type="dxa"/>
            <w:tcBorders>
              <w:top w:val="single" w:sz="4" w:space="0" w:color="auto"/>
              <w:left w:val="single" w:sz="4" w:space="0" w:color="auto"/>
              <w:bottom w:val="single" w:sz="4" w:space="0" w:color="auto"/>
              <w:right w:val="single" w:sz="4" w:space="0" w:color="auto"/>
            </w:tcBorders>
          </w:tcPr>
          <w:p w14:paraId="72818383" w14:textId="77777777" w:rsidR="003741F5" w:rsidRPr="00443E8F" w:rsidRDefault="003741F5" w:rsidP="003741F5">
            <w:pPr>
              <w:pStyle w:val="naisc"/>
              <w:spacing w:before="0" w:after="0"/>
              <w:ind w:firstLine="456"/>
              <w:jc w:val="both"/>
            </w:pPr>
            <w:r w:rsidRPr="00443E8F">
              <w:t>9. Svītrot būvnormatīva pielikuma 3. tabulas 2. piezīmē vārdus un skaitli “un stāvu skaitu līdz 6”.</w:t>
            </w:r>
          </w:p>
          <w:p w14:paraId="6D9F3AAA" w14:textId="77777777" w:rsidR="003741F5" w:rsidRDefault="003741F5" w:rsidP="003741F5">
            <w:pPr>
              <w:pStyle w:val="naisc"/>
              <w:spacing w:before="0" w:after="0"/>
              <w:ind w:firstLine="456"/>
              <w:jc w:val="both"/>
              <w:rPr>
                <w:i/>
                <w:iCs/>
              </w:rPr>
            </w:pPr>
          </w:p>
          <w:p w14:paraId="5ADA0690" w14:textId="109A7230" w:rsidR="003741F5" w:rsidRPr="00E1733F" w:rsidRDefault="003741F5" w:rsidP="003741F5">
            <w:pPr>
              <w:ind w:firstLine="720"/>
              <w:jc w:val="both"/>
              <w:rPr>
                <w:rFonts w:eastAsia="Calibri"/>
                <w:i/>
                <w:iCs/>
                <w:lang w:eastAsia="en-US"/>
              </w:rPr>
            </w:pPr>
            <w:r w:rsidRPr="00E45E29">
              <w:rPr>
                <w:i/>
                <w:iCs/>
              </w:rPr>
              <w:t xml:space="preserve">2. * U3 ugunsnoturības pakāpes I, II un V lietošanas veida būvēs, kurās būvkonstrukciju (tai skaitā ugunsdrošo būvkonstrukciju) minimālā ugunsizturība atbilst U2a </w:t>
            </w:r>
            <w:r w:rsidRPr="00E45E29">
              <w:rPr>
                <w:i/>
                <w:iCs/>
              </w:rPr>
              <w:lastRenderedPageBreak/>
              <w:t xml:space="preserve">ugunsnoturības pakāpei, ir atļauts palielināt būves augstākā stāva grīdas līmeņa atzīmi līdz 18 m </w:t>
            </w:r>
            <w:r w:rsidRPr="009C2ED0">
              <w:rPr>
                <w:b/>
                <w:bCs/>
                <w:i/>
                <w:iCs/>
                <w:strike/>
              </w:rPr>
              <w:t>un stāvu skaitu līdz 6</w:t>
            </w:r>
            <w:r w:rsidRPr="00E45E29">
              <w:rPr>
                <w:i/>
                <w:iCs/>
              </w:rPr>
              <w:t>, ja izpildītas šādas papildu prasības (nosacījumi):</w:t>
            </w:r>
          </w:p>
        </w:tc>
        <w:tc>
          <w:tcPr>
            <w:tcW w:w="4241" w:type="dxa"/>
          </w:tcPr>
          <w:p w14:paraId="4987B4E7" w14:textId="77777777" w:rsidR="003741F5" w:rsidRDefault="003741F5" w:rsidP="003741F5">
            <w:pPr>
              <w:ind w:right="57"/>
              <w:contextualSpacing/>
              <w:jc w:val="both"/>
              <w:rPr>
                <w:b/>
                <w:u w:val="single"/>
              </w:rPr>
            </w:pPr>
            <w:r w:rsidRPr="00E45E29">
              <w:rPr>
                <w:b/>
                <w:u w:val="single"/>
              </w:rPr>
              <w:lastRenderedPageBreak/>
              <w:t>Latvijas Ugunsdrošības asociācija</w:t>
            </w:r>
          </w:p>
          <w:p w14:paraId="793A994D" w14:textId="7633DA7B" w:rsidR="003741F5" w:rsidRDefault="003741F5" w:rsidP="003741F5">
            <w:pPr>
              <w:ind w:right="57"/>
              <w:contextualSpacing/>
              <w:jc w:val="both"/>
              <w:rPr>
                <w:b/>
                <w:u w:val="single"/>
              </w:rPr>
            </w:pPr>
            <w:r w:rsidRPr="00E45E29">
              <w:rPr>
                <w:bCs/>
              </w:rPr>
              <w:t xml:space="preserve">Izvērtējot MK grozījumu projekta redakciju, LUA, atbalsta gan iniciatīvu, gan esošo grozījumu redakciju, vienlaikus, lai novērstu grozījumu redakcijas pilnīgu nepārprotamību, lūdzam arī papildināt  pielikuma 3.tabulas 2.piezīmi (līdzīgi, kā tas tiek precizēts/papildināts arī LBN 201-15 8. un 13.punktos) ar teikumu:  “…..Ugunsdrošības nodalījuma </w:t>
            </w:r>
            <w:r w:rsidRPr="00E45E29">
              <w:rPr>
                <w:bCs/>
              </w:rPr>
              <w:lastRenderedPageBreak/>
              <w:t>maksimālo platību pieņem atbilstoši U2a ugunsnoturības pakāpei.”</w:t>
            </w:r>
          </w:p>
        </w:tc>
        <w:tc>
          <w:tcPr>
            <w:tcW w:w="3394" w:type="dxa"/>
          </w:tcPr>
          <w:p w14:paraId="6C6152EF" w14:textId="77777777" w:rsidR="003741F5" w:rsidRDefault="003741F5" w:rsidP="00D11223">
            <w:pPr>
              <w:ind w:right="57"/>
              <w:contextualSpacing/>
              <w:jc w:val="center"/>
              <w:rPr>
                <w:b/>
              </w:rPr>
            </w:pPr>
            <w:r>
              <w:rPr>
                <w:b/>
              </w:rPr>
              <w:lastRenderedPageBreak/>
              <w:t>Panākta vienošanās 09.11.2020.:</w:t>
            </w:r>
          </w:p>
          <w:p w14:paraId="053B0D2F" w14:textId="77777777" w:rsidR="003741F5" w:rsidRPr="003741F5" w:rsidRDefault="003741F5" w:rsidP="003741F5">
            <w:pPr>
              <w:ind w:right="57"/>
              <w:contextualSpacing/>
              <w:jc w:val="both"/>
              <w:rPr>
                <w:bCs/>
              </w:rPr>
            </w:pPr>
            <w:r w:rsidRPr="003741F5">
              <w:rPr>
                <w:bCs/>
              </w:rPr>
              <w:t>Papildināt LBN 201-15 pielikuma 3.tabulu ar 3.piezīmi izteicot to šāda redakcijā:</w:t>
            </w:r>
          </w:p>
          <w:p w14:paraId="45756D23" w14:textId="77777777" w:rsidR="003741F5" w:rsidRPr="003741F5" w:rsidRDefault="003741F5" w:rsidP="003741F5">
            <w:pPr>
              <w:ind w:right="57"/>
              <w:contextualSpacing/>
              <w:jc w:val="both"/>
              <w:rPr>
                <w:bCs/>
              </w:rPr>
            </w:pPr>
            <w:r w:rsidRPr="003741F5">
              <w:rPr>
                <w:bCs/>
              </w:rPr>
              <w:t>3. ** Piemērojot šī būvnormatīva pielikuma 3.tabulas 2.piezīmi atļauts I lietošanas veida būvēs palielināt ugunsdrošības nodalījuma maksimāli pieļaujamo platību līdz 2000 m2</w:t>
            </w:r>
          </w:p>
          <w:p w14:paraId="44E89FDF" w14:textId="77777777" w:rsidR="003741F5" w:rsidRPr="003741F5" w:rsidRDefault="003741F5" w:rsidP="003741F5">
            <w:pPr>
              <w:ind w:right="57"/>
              <w:contextualSpacing/>
              <w:jc w:val="both"/>
              <w:rPr>
                <w:bCs/>
              </w:rPr>
            </w:pPr>
            <w:r w:rsidRPr="003741F5">
              <w:rPr>
                <w:bCs/>
              </w:rPr>
              <w:lastRenderedPageBreak/>
              <w:t>***  Piemērojot šī būvnormatīva pielikuma 3.tabulas 2.piezīmi atļauts II un V lietošanas veida būvēs palielināt ugunsdrošības nodalījuma maksimāli pieļaujamo platību līdz 3500 m2</w:t>
            </w:r>
          </w:p>
          <w:p w14:paraId="2B4A04C8" w14:textId="77777777" w:rsidR="003741F5" w:rsidRPr="003741F5" w:rsidRDefault="003741F5" w:rsidP="003741F5">
            <w:pPr>
              <w:ind w:right="57"/>
              <w:contextualSpacing/>
              <w:jc w:val="both"/>
              <w:rPr>
                <w:bCs/>
              </w:rPr>
            </w:pPr>
          </w:p>
          <w:p w14:paraId="51A62D2B" w14:textId="77777777" w:rsidR="003741F5" w:rsidRPr="003741F5" w:rsidRDefault="003741F5" w:rsidP="003741F5">
            <w:pPr>
              <w:ind w:right="57"/>
              <w:contextualSpacing/>
              <w:jc w:val="both"/>
              <w:rPr>
                <w:bCs/>
              </w:rPr>
            </w:pPr>
            <w:r w:rsidRPr="003741F5">
              <w:rPr>
                <w:bCs/>
              </w:rPr>
              <w:t>** jāpieliek tabulā pie I lietošanas veids--&gt;U3--&gt;1600**</w:t>
            </w:r>
          </w:p>
          <w:p w14:paraId="5A2DB403" w14:textId="6F1FB385" w:rsidR="003741F5" w:rsidRPr="003741F5" w:rsidRDefault="003741F5" w:rsidP="003741F5">
            <w:pPr>
              <w:ind w:right="57"/>
              <w:contextualSpacing/>
              <w:jc w:val="both"/>
              <w:rPr>
                <w:bCs/>
              </w:rPr>
            </w:pPr>
            <w:r w:rsidRPr="003741F5">
              <w:rPr>
                <w:bCs/>
              </w:rPr>
              <w:t>***  jāpieliek tabulā pie II, V lietošanas veids--&gt;U3--&gt;1600***</w:t>
            </w:r>
          </w:p>
          <w:p w14:paraId="58181AC1" w14:textId="6CB79721" w:rsidR="003741F5" w:rsidRDefault="003741F5" w:rsidP="00D11223">
            <w:pPr>
              <w:ind w:right="57"/>
              <w:contextualSpacing/>
              <w:jc w:val="center"/>
              <w:rPr>
                <w:b/>
              </w:rPr>
            </w:pPr>
          </w:p>
        </w:tc>
        <w:tc>
          <w:tcPr>
            <w:tcW w:w="3676" w:type="dxa"/>
          </w:tcPr>
          <w:p w14:paraId="75047055" w14:textId="79F4B78D" w:rsidR="00FD5455" w:rsidRPr="00FD5455" w:rsidRDefault="00FD5455" w:rsidP="00FD5455">
            <w:pPr>
              <w:widowControl w:val="0"/>
              <w:jc w:val="both"/>
              <w:rPr>
                <w:rFonts w:eastAsia="Calibri"/>
                <w:color w:val="000000"/>
                <w:lang w:eastAsia="en-US"/>
              </w:rPr>
            </w:pPr>
            <w:r w:rsidRPr="00FD5455">
              <w:rPr>
                <w:rFonts w:eastAsia="Calibri"/>
                <w:color w:val="000000"/>
                <w:lang w:eastAsia="en-US"/>
              </w:rPr>
              <w:lastRenderedPageBreak/>
              <w:t>10. Aizstāt būvnormatīva pielikuma 3. tabulas ceturtās kolonnas 8. rindā skaitli “1600” ar skaitli un apzīmējum</w:t>
            </w:r>
            <w:r w:rsidR="0037776B">
              <w:rPr>
                <w:rFonts w:eastAsia="Calibri"/>
                <w:color w:val="000000"/>
                <w:lang w:eastAsia="en-US"/>
              </w:rPr>
              <w:t>iem</w:t>
            </w:r>
            <w:r w:rsidRPr="00FD5455">
              <w:rPr>
                <w:rFonts w:eastAsia="Calibri"/>
                <w:color w:val="000000"/>
                <w:lang w:eastAsia="en-US"/>
              </w:rPr>
              <w:t xml:space="preserve"> “1600**”.</w:t>
            </w:r>
          </w:p>
          <w:p w14:paraId="46565780" w14:textId="77777777" w:rsidR="00FD5455" w:rsidRPr="00FD5455" w:rsidRDefault="00FD5455" w:rsidP="00FD5455">
            <w:pPr>
              <w:widowControl w:val="0"/>
              <w:jc w:val="both"/>
              <w:rPr>
                <w:rFonts w:eastAsia="Calibri"/>
                <w:color w:val="000000"/>
                <w:lang w:eastAsia="en-US"/>
              </w:rPr>
            </w:pPr>
          </w:p>
          <w:p w14:paraId="48E4802B" w14:textId="74D1EC16" w:rsidR="003741F5" w:rsidRDefault="00FD5455" w:rsidP="00FD5455">
            <w:pPr>
              <w:widowControl w:val="0"/>
              <w:jc w:val="both"/>
              <w:rPr>
                <w:rFonts w:eastAsia="Calibri"/>
                <w:color w:val="000000"/>
                <w:lang w:eastAsia="en-US"/>
              </w:rPr>
            </w:pPr>
            <w:r w:rsidRPr="00FD5455">
              <w:rPr>
                <w:rFonts w:eastAsia="Calibri"/>
                <w:color w:val="000000"/>
                <w:lang w:eastAsia="en-US"/>
              </w:rPr>
              <w:t>11. Aizstāt būvnormatīva pielikuma 3. tabulas ceturtās kolonnas 15. rindā skaitli “1600” ar skaitli un apzīmējum</w:t>
            </w:r>
            <w:r w:rsidR="0037776B">
              <w:rPr>
                <w:rFonts w:eastAsia="Calibri"/>
                <w:color w:val="000000"/>
                <w:lang w:eastAsia="en-US"/>
              </w:rPr>
              <w:t>iem</w:t>
            </w:r>
            <w:r w:rsidRPr="00FD5455">
              <w:rPr>
                <w:rFonts w:eastAsia="Calibri"/>
                <w:color w:val="000000"/>
                <w:lang w:eastAsia="en-US"/>
              </w:rPr>
              <w:t xml:space="preserve"> “1600***”.</w:t>
            </w:r>
          </w:p>
          <w:p w14:paraId="3AFD841F" w14:textId="77777777" w:rsidR="00FD5455" w:rsidRDefault="00FD5455" w:rsidP="00FD5455">
            <w:pPr>
              <w:widowControl w:val="0"/>
              <w:jc w:val="both"/>
              <w:rPr>
                <w:rFonts w:eastAsia="Calibri"/>
                <w:color w:val="000000"/>
                <w:lang w:eastAsia="en-US"/>
              </w:rPr>
            </w:pPr>
          </w:p>
          <w:p w14:paraId="1643C986" w14:textId="345B0A25" w:rsidR="00FD5455" w:rsidRPr="00FD5455" w:rsidRDefault="00FD5455" w:rsidP="00FD5455">
            <w:pPr>
              <w:widowControl w:val="0"/>
              <w:jc w:val="both"/>
              <w:rPr>
                <w:rFonts w:eastAsia="Calibri"/>
                <w:color w:val="000000"/>
                <w:lang w:eastAsia="en-US"/>
              </w:rPr>
            </w:pPr>
            <w:r w:rsidRPr="00FD5455">
              <w:rPr>
                <w:rFonts w:eastAsia="Calibri"/>
                <w:color w:val="000000"/>
                <w:lang w:eastAsia="en-US"/>
              </w:rPr>
              <w:t xml:space="preserve">14. Papildināt būvnormatīva pielikuma 3. tabulu ar 4. un 5. </w:t>
            </w:r>
            <w:r w:rsidRPr="00FD5455">
              <w:rPr>
                <w:rFonts w:eastAsia="Calibri"/>
                <w:color w:val="000000"/>
                <w:lang w:eastAsia="en-US"/>
              </w:rPr>
              <w:lastRenderedPageBreak/>
              <w:t>piezīmi šādā redakcijā:</w:t>
            </w:r>
          </w:p>
          <w:p w14:paraId="4196D2B3" w14:textId="77777777" w:rsidR="00FD5455" w:rsidRPr="00FD5455" w:rsidRDefault="00FD5455" w:rsidP="00FD5455">
            <w:pPr>
              <w:widowControl w:val="0"/>
              <w:jc w:val="both"/>
              <w:rPr>
                <w:rFonts w:eastAsia="Calibri"/>
                <w:color w:val="000000"/>
                <w:lang w:eastAsia="en-US"/>
              </w:rPr>
            </w:pPr>
            <w:r w:rsidRPr="00FD5455">
              <w:rPr>
                <w:rFonts w:eastAsia="Calibri"/>
                <w:color w:val="000000"/>
                <w:lang w:eastAsia="en-US"/>
              </w:rPr>
              <w:tab/>
              <w:t>“4. ** Piemērojot šī būvnormatīva pielikuma 3. tabulas 2. piezīmi atļauts I lietošanas veida būvēs palielināt ugunsdrošības nodalījuma maksimāli pieļaujamo platību līdz 2000 m2;</w:t>
            </w:r>
          </w:p>
          <w:p w14:paraId="521DFFA2" w14:textId="77777777" w:rsidR="00FD5455" w:rsidRPr="00FD5455" w:rsidRDefault="00FD5455" w:rsidP="00FD5455">
            <w:pPr>
              <w:widowControl w:val="0"/>
              <w:jc w:val="both"/>
              <w:rPr>
                <w:rFonts w:eastAsia="Calibri"/>
                <w:color w:val="000000"/>
                <w:lang w:eastAsia="en-US"/>
              </w:rPr>
            </w:pPr>
          </w:p>
          <w:p w14:paraId="2FC73AA7" w14:textId="63E4C530" w:rsidR="00FD5455" w:rsidRDefault="00FD5455" w:rsidP="00FD5455">
            <w:pPr>
              <w:widowControl w:val="0"/>
              <w:jc w:val="both"/>
              <w:rPr>
                <w:rFonts w:eastAsia="Calibri"/>
                <w:color w:val="000000"/>
                <w:lang w:eastAsia="en-US"/>
              </w:rPr>
            </w:pPr>
            <w:r w:rsidRPr="00FD5455">
              <w:rPr>
                <w:rFonts w:eastAsia="Calibri"/>
                <w:color w:val="000000"/>
                <w:lang w:eastAsia="en-US"/>
              </w:rPr>
              <w:tab/>
              <w:t>“5. *** Piemērojot šī būvnormatīva pielikuma 3. tabulas 2. piezīmi atļauts II un V lietošanas veida būvēs palielināt ugunsdrošības nodalījuma maksimāli pieļaujamo platību līdz 3500 m2.”.</w:t>
            </w:r>
          </w:p>
        </w:tc>
      </w:tr>
    </w:tbl>
    <w:tbl>
      <w:tblPr>
        <w:tblW w:w="14985" w:type="dxa"/>
        <w:tblLayout w:type="fixed"/>
        <w:tblLook w:val="00A0" w:firstRow="1" w:lastRow="0" w:firstColumn="1" w:lastColumn="0" w:noHBand="0" w:noVBand="0"/>
      </w:tblPr>
      <w:tblGrid>
        <w:gridCol w:w="5015"/>
        <w:gridCol w:w="9970"/>
      </w:tblGrid>
      <w:tr w:rsidR="005C663F" w14:paraId="195A76A3" w14:textId="77777777" w:rsidTr="00565B7A">
        <w:tc>
          <w:tcPr>
            <w:tcW w:w="5015" w:type="dxa"/>
          </w:tcPr>
          <w:p w14:paraId="63E28846" w14:textId="115341BE" w:rsidR="00565B7A" w:rsidRDefault="00565B7A">
            <w:pPr>
              <w:pStyle w:val="naiskr"/>
              <w:spacing w:before="0" w:after="0"/>
              <w:contextualSpacing/>
            </w:pPr>
          </w:p>
          <w:p w14:paraId="420DD4E3" w14:textId="77777777" w:rsidR="00087DE0" w:rsidRDefault="00087DE0">
            <w:pPr>
              <w:pStyle w:val="naiskr"/>
              <w:spacing w:before="0" w:after="0"/>
              <w:contextualSpacing/>
            </w:pPr>
          </w:p>
          <w:p w14:paraId="6619C330" w14:textId="1E84B362" w:rsidR="00B2777D" w:rsidRDefault="00E1789C">
            <w:pPr>
              <w:pStyle w:val="naiskr"/>
              <w:spacing w:before="0" w:after="0"/>
              <w:contextualSpacing/>
            </w:pPr>
            <w:r>
              <w:t>Atbildīgā amatpersona</w:t>
            </w:r>
          </w:p>
        </w:tc>
        <w:tc>
          <w:tcPr>
            <w:tcW w:w="9970" w:type="dxa"/>
            <w:hideMark/>
          </w:tcPr>
          <w:p w14:paraId="0561F0AB" w14:textId="77777777" w:rsidR="00B2777D" w:rsidRDefault="00E1789C">
            <w:pPr>
              <w:pStyle w:val="naiskr"/>
              <w:spacing w:before="0" w:after="0"/>
              <w:ind w:firstLine="720"/>
              <w:contextualSpacing/>
            </w:pPr>
            <w:r>
              <w:t>  </w:t>
            </w:r>
          </w:p>
        </w:tc>
      </w:tr>
      <w:tr w:rsidR="005C663F" w14:paraId="744A2282" w14:textId="77777777" w:rsidTr="00565B7A">
        <w:tc>
          <w:tcPr>
            <w:tcW w:w="5015" w:type="dxa"/>
          </w:tcPr>
          <w:p w14:paraId="3E860CA1" w14:textId="77777777" w:rsidR="00B2777D" w:rsidRDefault="00B2777D">
            <w:pPr>
              <w:pStyle w:val="naiskr"/>
              <w:spacing w:before="0" w:after="0"/>
              <w:ind w:firstLine="720"/>
              <w:contextualSpacing/>
            </w:pPr>
          </w:p>
        </w:tc>
        <w:tc>
          <w:tcPr>
            <w:tcW w:w="9970" w:type="dxa"/>
            <w:tcBorders>
              <w:top w:val="single" w:sz="6" w:space="0" w:color="000000"/>
              <w:left w:val="nil"/>
              <w:bottom w:val="nil"/>
              <w:right w:val="nil"/>
            </w:tcBorders>
            <w:hideMark/>
          </w:tcPr>
          <w:p w14:paraId="379F45EB" w14:textId="77777777" w:rsidR="00B2777D" w:rsidRDefault="00E1789C">
            <w:pPr>
              <w:pStyle w:val="naisc"/>
              <w:spacing w:before="0" w:after="0"/>
              <w:ind w:firstLine="720"/>
              <w:contextualSpacing/>
            </w:pPr>
            <w:r>
              <w:t>(paraksts)*</w:t>
            </w:r>
          </w:p>
        </w:tc>
      </w:tr>
    </w:tbl>
    <w:p w14:paraId="2CAEEEFC" w14:textId="71F71FF8" w:rsidR="00B2777D" w:rsidRDefault="0010783E" w:rsidP="00B2777D">
      <w:pPr>
        <w:pStyle w:val="naisf"/>
        <w:spacing w:before="0" w:after="0"/>
        <w:ind w:firstLine="0"/>
        <w:contextualSpacing/>
      </w:pPr>
      <w:r>
        <w:t>Andris Mālnieks</w:t>
      </w:r>
    </w:p>
    <w:tbl>
      <w:tblPr>
        <w:tblW w:w="0" w:type="auto"/>
        <w:tblLook w:val="00A0" w:firstRow="1" w:lastRow="0" w:firstColumn="1" w:lastColumn="0" w:noHBand="0" w:noVBand="0"/>
      </w:tblPr>
      <w:tblGrid>
        <w:gridCol w:w="8268"/>
      </w:tblGrid>
      <w:tr w:rsidR="005C663F" w14:paraId="4D6E280A" w14:textId="77777777" w:rsidTr="00B2777D">
        <w:tc>
          <w:tcPr>
            <w:tcW w:w="8268" w:type="dxa"/>
            <w:tcBorders>
              <w:top w:val="single" w:sz="4" w:space="0" w:color="000000"/>
              <w:left w:val="nil"/>
              <w:bottom w:val="nil"/>
              <w:right w:val="nil"/>
            </w:tcBorders>
            <w:hideMark/>
          </w:tcPr>
          <w:p w14:paraId="4E131735" w14:textId="77777777" w:rsidR="00B2777D" w:rsidRDefault="00E1789C">
            <w:pPr>
              <w:jc w:val="center"/>
            </w:pPr>
            <w:r>
              <w:t>(par projektu atbildīgās amatpersonas vārds un uzvārds)</w:t>
            </w:r>
          </w:p>
        </w:tc>
      </w:tr>
      <w:tr w:rsidR="005C663F" w14:paraId="0A7EEEE1" w14:textId="77777777" w:rsidTr="00B2777D">
        <w:tc>
          <w:tcPr>
            <w:tcW w:w="8268" w:type="dxa"/>
            <w:tcBorders>
              <w:top w:val="nil"/>
              <w:left w:val="nil"/>
              <w:bottom w:val="single" w:sz="4" w:space="0" w:color="000000"/>
              <w:right w:val="nil"/>
            </w:tcBorders>
            <w:hideMark/>
          </w:tcPr>
          <w:p w14:paraId="042B06D1" w14:textId="77777777" w:rsidR="00087DE0" w:rsidRDefault="00087DE0"/>
          <w:p w14:paraId="1602F508" w14:textId="1DDC3C60" w:rsidR="00B2777D" w:rsidRDefault="00E1789C">
            <w:r>
              <w:t>Būvniecības politikas departamenta vecāk</w:t>
            </w:r>
            <w:r w:rsidR="0010783E">
              <w:t>ais referents</w:t>
            </w:r>
          </w:p>
        </w:tc>
      </w:tr>
      <w:tr w:rsidR="005C663F" w14:paraId="63EAEFE2" w14:textId="77777777" w:rsidTr="00B2777D">
        <w:tc>
          <w:tcPr>
            <w:tcW w:w="8268" w:type="dxa"/>
            <w:tcBorders>
              <w:top w:val="single" w:sz="4" w:space="0" w:color="000000"/>
              <w:left w:val="nil"/>
              <w:bottom w:val="nil"/>
              <w:right w:val="nil"/>
            </w:tcBorders>
            <w:hideMark/>
          </w:tcPr>
          <w:p w14:paraId="429EDF57" w14:textId="77777777" w:rsidR="00B2777D" w:rsidRDefault="00E1789C">
            <w:pPr>
              <w:jc w:val="center"/>
            </w:pPr>
            <w:r>
              <w:t>(amats)</w:t>
            </w:r>
          </w:p>
        </w:tc>
      </w:tr>
      <w:tr w:rsidR="005C663F" w14:paraId="251BC49B" w14:textId="77777777" w:rsidTr="00B2777D">
        <w:tc>
          <w:tcPr>
            <w:tcW w:w="8268" w:type="dxa"/>
            <w:tcBorders>
              <w:top w:val="nil"/>
              <w:left w:val="nil"/>
              <w:bottom w:val="single" w:sz="4" w:space="0" w:color="000000"/>
              <w:right w:val="nil"/>
            </w:tcBorders>
            <w:hideMark/>
          </w:tcPr>
          <w:p w14:paraId="4701A4CA" w14:textId="1630B9E4" w:rsidR="00B2777D" w:rsidRDefault="00E1789C">
            <w:r>
              <w:t>67013</w:t>
            </w:r>
            <w:r w:rsidR="0010783E">
              <w:t>086</w:t>
            </w:r>
          </w:p>
        </w:tc>
      </w:tr>
      <w:tr w:rsidR="005C663F" w14:paraId="303C5043" w14:textId="77777777" w:rsidTr="00B2777D">
        <w:tc>
          <w:tcPr>
            <w:tcW w:w="8268" w:type="dxa"/>
            <w:tcBorders>
              <w:top w:val="single" w:sz="4" w:space="0" w:color="000000"/>
              <w:left w:val="nil"/>
              <w:bottom w:val="nil"/>
              <w:right w:val="nil"/>
            </w:tcBorders>
            <w:hideMark/>
          </w:tcPr>
          <w:p w14:paraId="35524560" w14:textId="77777777" w:rsidR="00B2777D" w:rsidRDefault="00E1789C">
            <w:pPr>
              <w:jc w:val="center"/>
            </w:pPr>
            <w:r>
              <w:t>(tālruņa un faksa numurs)</w:t>
            </w:r>
          </w:p>
        </w:tc>
      </w:tr>
      <w:tr w:rsidR="005C663F" w14:paraId="6E70BCD6" w14:textId="77777777" w:rsidTr="00B2777D">
        <w:tc>
          <w:tcPr>
            <w:tcW w:w="8268" w:type="dxa"/>
            <w:tcBorders>
              <w:top w:val="nil"/>
              <w:left w:val="nil"/>
              <w:bottom w:val="single" w:sz="4" w:space="0" w:color="000000"/>
              <w:right w:val="nil"/>
            </w:tcBorders>
            <w:hideMark/>
          </w:tcPr>
          <w:p w14:paraId="14DFF2C2" w14:textId="4151E98A" w:rsidR="00B2777D" w:rsidRDefault="0010783E">
            <w:r>
              <w:t>Andris</w:t>
            </w:r>
            <w:r w:rsidR="00E1789C">
              <w:t>.</w:t>
            </w:r>
            <w:r>
              <w:t>Malnieks</w:t>
            </w:r>
            <w:r w:rsidR="00E1789C">
              <w:t>@em.gov.lv</w:t>
            </w:r>
          </w:p>
        </w:tc>
      </w:tr>
      <w:tr w:rsidR="005C663F" w14:paraId="6090FCCB" w14:textId="77777777" w:rsidTr="00B2777D">
        <w:tc>
          <w:tcPr>
            <w:tcW w:w="8268" w:type="dxa"/>
            <w:tcBorders>
              <w:top w:val="single" w:sz="4" w:space="0" w:color="000000"/>
              <w:left w:val="nil"/>
              <w:bottom w:val="nil"/>
              <w:right w:val="nil"/>
            </w:tcBorders>
            <w:hideMark/>
          </w:tcPr>
          <w:p w14:paraId="76095F11" w14:textId="77777777" w:rsidR="00B2777D" w:rsidRDefault="00E1789C">
            <w:pPr>
              <w:jc w:val="center"/>
            </w:pPr>
            <w:r>
              <w:t>(e-pasta adrese)</w:t>
            </w:r>
          </w:p>
        </w:tc>
      </w:tr>
    </w:tbl>
    <w:p w14:paraId="5BCDF634" w14:textId="77777777" w:rsidR="00325BB1" w:rsidRDefault="00325BB1"/>
    <w:sectPr w:rsidR="00325BB1" w:rsidSect="005505C3">
      <w:headerReference w:type="default" r:id="rId8"/>
      <w:footerReference w:type="default" r:id="rId9"/>
      <w:pgSz w:w="16838" w:h="11906" w:orient="landscape" w:code="9"/>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44CD" w14:textId="77777777" w:rsidR="001616E8" w:rsidRDefault="001616E8">
      <w:r>
        <w:separator/>
      </w:r>
    </w:p>
  </w:endnote>
  <w:endnote w:type="continuationSeparator" w:id="0">
    <w:p w14:paraId="37751B92" w14:textId="77777777" w:rsidR="001616E8" w:rsidRDefault="001616E8">
      <w:r>
        <w:continuationSeparator/>
      </w:r>
    </w:p>
  </w:endnote>
  <w:endnote w:type="continuationNotice" w:id="1">
    <w:p w14:paraId="4368ECFD" w14:textId="77777777" w:rsidR="001616E8" w:rsidRDefault="00161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A545" w14:textId="61C98F10" w:rsidR="001A7040" w:rsidRPr="00961821" w:rsidRDefault="001A7040">
    <w:pPr>
      <w:pStyle w:val="Footer"/>
      <w:rPr>
        <w:sz w:val="22"/>
        <w:szCs w:val="22"/>
      </w:rPr>
    </w:pPr>
    <w:r>
      <w:rPr>
        <w:sz w:val="22"/>
        <w:szCs w:val="22"/>
      </w:rPr>
      <w:t>EMizz_2</w:t>
    </w:r>
    <w:r w:rsidR="006C6190">
      <w:rPr>
        <w:sz w:val="22"/>
        <w:szCs w:val="22"/>
      </w:rPr>
      <w:t>3</w:t>
    </w:r>
    <w:r>
      <w:rPr>
        <w:sz w:val="22"/>
        <w:szCs w:val="22"/>
      </w:rPr>
      <w:t>1</w:t>
    </w:r>
    <w:r w:rsidR="006C6190">
      <w:rPr>
        <w:sz w:val="22"/>
        <w:szCs w:val="22"/>
      </w:rPr>
      <w:t>1</w:t>
    </w:r>
    <w:r>
      <w:rPr>
        <w:sz w:val="22"/>
        <w:szCs w:val="22"/>
      </w:rPr>
      <w:t>20_LBN201_15groz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1FB4" w14:textId="77777777" w:rsidR="001616E8" w:rsidRDefault="001616E8">
      <w:r>
        <w:separator/>
      </w:r>
    </w:p>
  </w:footnote>
  <w:footnote w:type="continuationSeparator" w:id="0">
    <w:p w14:paraId="17B996BE" w14:textId="77777777" w:rsidR="001616E8" w:rsidRDefault="001616E8">
      <w:r>
        <w:continuationSeparator/>
      </w:r>
    </w:p>
  </w:footnote>
  <w:footnote w:type="continuationNotice" w:id="1">
    <w:p w14:paraId="261A0AC4" w14:textId="77777777" w:rsidR="001616E8" w:rsidRDefault="00161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01772"/>
      <w:docPartObj>
        <w:docPartGallery w:val="Page Numbers (Top of Page)"/>
        <w:docPartUnique/>
      </w:docPartObj>
    </w:sdtPr>
    <w:sdtEndPr>
      <w:rPr>
        <w:noProof/>
      </w:rPr>
    </w:sdtEndPr>
    <w:sdtContent>
      <w:p w14:paraId="1E7C9A2E" w14:textId="1DDA5A35" w:rsidR="001A7040" w:rsidRDefault="001A7040">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2D33908F" w14:textId="77777777" w:rsidR="001A7040" w:rsidRDefault="001A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D584143"/>
    <w:multiLevelType w:val="hybridMultilevel"/>
    <w:tmpl w:val="257679AE"/>
    <w:lvl w:ilvl="0" w:tplc="8FA08042">
      <w:start w:val="1"/>
      <w:numFmt w:val="decimal"/>
      <w:lvlText w:val="%1."/>
      <w:lvlJc w:val="left"/>
      <w:pPr>
        <w:ind w:left="927" w:hanging="360"/>
      </w:pPr>
      <w:rPr>
        <w:rFonts w:hint="default"/>
      </w:rPr>
    </w:lvl>
    <w:lvl w:ilvl="1" w:tplc="F0A8F404" w:tentative="1">
      <w:start w:val="1"/>
      <w:numFmt w:val="lowerLetter"/>
      <w:lvlText w:val="%2."/>
      <w:lvlJc w:val="left"/>
      <w:pPr>
        <w:ind w:left="1647" w:hanging="360"/>
      </w:pPr>
    </w:lvl>
    <w:lvl w:ilvl="2" w:tplc="D972A700" w:tentative="1">
      <w:start w:val="1"/>
      <w:numFmt w:val="lowerRoman"/>
      <w:lvlText w:val="%3."/>
      <w:lvlJc w:val="right"/>
      <w:pPr>
        <w:ind w:left="2367" w:hanging="180"/>
      </w:pPr>
    </w:lvl>
    <w:lvl w:ilvl="3" w:tplc="39DAD638" w:tentative="1">
      <w:start w:val="1"/>
      <w:numFmt w:val="decimal"/>
      <w:lvlText w:val="%4."/>
      <w:lvlJc w:val="left"/>
      <w:pPr>
        <w:ind w:left="3087" w:hanging="360"/>
      </w:pPr>
    </w:lvl>
    <w:lvl w:ilvl="4" w:tplc="9B0A364C" w:tentative="1">
      <w:start w:val="1"/>
      <w:numFmt w:val="lowerLetter"/>
      <w:lvlText w:val="%5."/>
      <w:lvlJc w:val="left"/>
      <w:pPr>
        <w:ind w:left="3807" w:hanging="360"/>
      </w:pPr>
    </w:lvl>
    <w:lvl w:ilvl="5" w:tplc="7A00BA86" w:tentative="1">
      <w:start w:val="1"/>
      <w:numFmt w:val="lowerRoman"/>
      <w:lvlText w:val="%6."/>
      <w:lvlJc w:val="right"/>
      <w:pPr>
        <w:ind w:left="4527" w:hanging="180"/>
      </w:pPr>
    </w:lvl>
    <w:lvl w:ilvl="6" w:tplc="3F3A096C" w:tentative="1">
      <w:start w:val="1"/>
      <w:numFmt w:val="decimal"/>
      <w:lvlText w:val="%7."/>
      <w:lvlJc w:val="left"/>
      <w:pPr>
        <w:ind w:left="5247" w:hanging="360"/>
      </w:pPr>
    </w:lvl>
    <w:lvl w:ilvl="7" w:tplc="D45ED734" w:tentative="1">
      <w:start w:val="1"/>
      <w:numFmt w:val="lowerLetter"/>
      <w:lvlText w:val="%8."/>
      <w:lvlJc w:val="left"/>
      <w:pPr>
        <w:ind w:left="5967" w:hanging="360"/>
      </w:pPr>
    </w:lvl>
    <w:lvl w:ilvl="8" w:tplc="70284E38" w:tentative="1">
      <w:start w:val="1"/>
      <w:numFmt w:val="lowerRoman"/>
      <w:lvlText w:val="%9."/>
      <w:lvlJc w:val="right"/>
      <w:pPr>
        <w:ind w:left="6687" w:hanging="180"/>
      </w:pPr>
    </w:lvl>
  </w:abstractNum>
  <w:abstractNum w:abstractNumId="1" w15:restartNumberingAfterBreak="1">
    <w:nsid w:val="46795384"/>
    <w:multiLevelType w:val="multilevel"/>
    <w:tmpl w:val="78BEB6BC"/>
    <w:lvl w:ilvl="0">
      <w:start w:val="1"/>
      <w:numFmt w:val="decimal"/>
      <w:pStyle w:val="Punkts"/>
      <w:lvlText w:val="%1."/>
      <w:lvlJc w:val="left"/>
      <w:pPr>
        <w:ind w:left="502" w:hanging="360"/>
      </w:pPr>
      <w:rPr>
        <w:rFonts w:hint="default"/>
      </w:rPr>
    </w:lvl>
    <w:lvl w:ilvl="1">
      <w:start w:val="1"/>
      <w:numFmt w:val="decimal"/>
      <w:pStyle w:val="Apakshpunkts"/>
      <w:isLgl/>
      <w:lvlText w:val="%1.%2."/>
      <w:lvlJc w:val="left"/>
      <w:pPr>
        <w:ind w:left="1855" w:hanging="720"/>
      </w:pPr>
      <w:rPr>
        <w:rFonts w:hint="default"/>
        <w:u w:val="none"/>
      </w:rPr>
    </w:lvl>
    <w:lvl w:ilvl="2">
      <w:start w:val="1"/>
      <w:numFmt w:val="decimal"/>
      <w:isLgl/>
      <w:lvlText w:val="%1.%2.%3."/>
      <w:lvlJc w:val="left"/>
      <w:pPr>
        <w:ind w:left="1995" w:hanging="720"/>
      </w:pPr>
      <w:rPr>
        <w:rFonts w:hint="default"/>
        <w:u w:val="none"/>
      </w:rPr>
    </w:lvl>
    <w:lvl w:ilvl="3">
      <w:start w:val="1"/>
      <w:numFmt w:val="decimal"/>
      <w:isLgl/>
      <w:lvlText w:val="%1.%2.%3.%4."/>
      <w:lvlJc w:val="left"/>
      <w:pPr>
        <w:ind w:left="2780" w:hanging="1080"/>
      </w:pPr>
      <w:rPr>
        <w:rFonts w:hint="default"/>
        <w:u w:val="none"/>
      </w:rPr>
    </w:lvl>
    <w:lvl w:ilvl="4">
      <w:start w:val="1"/>
      <w:numFmt w:val="decimal"/>
      <w:isLgl/>
      <w:lvlText w:val="%1.%2.%3.%4.%5."/>
      <w:lvlJc w:val="left"/>
      <w:pPr>
        <w:ind w:left="3205" w:hanging="1080"/>
      </w:pPr>
      <w:rPr>
        <w:rFonts w:hint="default"/>
        <w:u w:val="none"/>
      </w:rPr>
    </w:lvl>
    <w:lvl w:ilvl="5">
      <w:start w:val="1"/>
      <w:numFmt w:val="decimal"/>
      <w:isLgl/>
      <w:lvlText w:val="%1.%2.%3.%4.%5.%6."/>
      <w:lvlJc w:val="left"/>
      <w:pPr>
        <w:ind w:left="3990" w:hanging="1440"/>
      </w:pPr>
      <w:rPr>
        <w:rFonts w:hint="default"/>
        <w:u w:val="none"/>
      </w:rPr>
    </w:lvl>
    <w:lvl w:ilvl="6">
      <w:start w:val="1"/>
      <w:numFmt w:val="decimal"/>
      <w:isLgl/>
      <w:lvlText w:val="%1.%2.%3.%4.%5.%6.%7."/>
      <w:lvlJc w:val="left"/>
      <w:pPr>
        <w:ind w:left="4775" w:hanging="1800"/>
      </w:pPr>
      <w:rPr>
        <w:rFonts w:hint="default"/>
        <w:u w:val="none"/>
      </w:rPr>
    </w:lvl>
    <w:lvl w:ilvl="7">
      <w:start w:val="1"/>
      <w:numFmt w:val="decimal"/>
      <w:isLgl/>
      <w:lvlText w:val="%1.%2.%3.%4.%5.%6.%7.%8."/>
      <w:lvlJc w:val="left"/>
      <w:pPr>
        <w:ind w:left="5200" w:hanging="1800"/>
      </w:pPr>
      <w:rPr>
        <w:rFonts w:hint="default"/>
        <w:u w:val="none"/>
      </w:rPr>
    </w:lvl>
    <w:lvl w:ilvl="8">
      <w:start w:val="1"/>
      <w:numFmt w:val="decimal"/>
      <w:isLgl/>
      <w:lvlText w:val="%1.%2.%3.%4.%5.%6.%7.%8.%9."/>
      <w:lvlJc w:val="left"/>
      <w:pPr>
        <w:ind w:left="5985" w:hanging="2160"/>
      </w:pPr>
      <w:rPr>
        <w:rFonts w:hint="default"/>
        <w:u w:val="none"/>
      </w:rPr>
    </w:lvl>
  </w:abstractNum>
  <w:abstractNum w:abstractNumId="2" w15:restartNumberingAfterBreak="0">
    <w:nsid w:val="55D05EEB"/>
    <w:multiLevelType w:val="multilevel"/>
    <w:tmpl w:val="228EFEB0"/>
    <w:lvl w:ilvl="0">
      <w:start w:val="1"/>
      <w:numFmt w:val="decimal"/>
      <w:lvlText w:val="%1."/>
      <w:lvlJc w:val="left"/>
      <w:pPr>
        <w:ind w:left="720" w:hanging="360"/>
      </w:pPr>
      <w:rPr>
        <w:rFonts w:hint="default"/>
        <w:b/>
        <w:bCs/>
      </w:rPr>
    </w:lvl>
    <w:lvl w:ilvl="1">
      <w:start w:val="1"/>
      <w:numFmt w:val="decimal"/>
      <w:lvlText w:val="%1.%2."/>
      <w:lvlJc w:val="left"/>
      <w:pPr>
        <w:ind w:left="720" w:hanging="360"/>
      </w:pPr>
      <w:rPr>
        <w:i w:val="0"/>
        <w:iCs w:val="0"/>
      </w:rPr>
    </w:lvl>
    <w:lvl w:ilvl="2">
      <w:start w:val="1"/>
      <w:numFmt w:val="decimal"/>
      <w:lvlText w:val="%1.%2.%3."/>
      <w:lvlJc w:val="left"/>
      <w:pPr>
        <w:ind w:left="1080" w:hanging="720"/>
      </w:pPr>
      <w:rPr>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ED"/>
    <w:rsid w:val="000104F9"/>
    <w:rsid w:val="00011FE6"/>
    <w:rsid w:val="0001443B"/>
    <w:rsid w:val="00020688"/>
    <w:rsid w:val="0002234C"/>
    <w:rsid w:val="00025647"/>
    <w:rsid w:val="000429E1"/>
    <w:rsid w:val="00042D13"/>
    <w:rsid w:val="0004572A"/>
    <w:rsid w:val="00045B09"/>
    <w:rsid w:val="00045EE1"/>
    <w:rsid w:val="00057F33"/>
    <w:rsid w:val="00063493"/>
    <w:rsid w:val="0006524C"/>
    <w:rsid w:val="00084B70"/>
    <w:rsid w:val="00087DE0"/>
    <w:rsid w:val="00090CD9"/>
    <w:rsid w:val="00095861"/>
    <w:rsid w:val="00095EF5"/>
    <w:rsid w:val="000A0E3F"/>
    <w:rsid w:val="000A37F7"/>
    <w:rsid w:val="000A5C89"/>
    <w:rsid w:val="000C2D70"/>
    <w:rsid w:val="000C6B4B"/>
    <w:rsid w:val="000D5EFB"/>
    <w:rsid w:val="000D7CD2"/>
    <w:rsid w:val="000E2702"/>
    <w:rsid w:val="000E3D88"/>
    <w:rsid w:val="000E47B8"/>
    <w:rsid w:val="000E77D4"/>
    <w:rsid w:val="000F0C4C"/>
    <w:rsid w:val="0010762C"/>
    <w:rsid w:val="0010783E"/>
    <w:rsid w:val="00124364"/>
    <w:rsid w:val="00125B00"/>
    <w:rsid w:val="001271E6"/>
    <w:rsid w:val="0012760C"/>
    <w:rsid w:val="00130BCD"/>
    <w:rsid w:val="0013577B"/>
    <w:rsid w:val="00152126"/>
    <w:rsid w:val="001616E8"/>
    <w:rsid w:val="0016231A"/>
    <w:rsid w:val="00170061"/>
    <w:rsid w:val="001735AF"/>
    <w:rsid w:val="00175A56"/>
    <w:rsid w:val="00182BA5"/>
    <w:rsid w:val="00194A40"/>
    <w:rsid w:val="00194C1B"/>
    <w:rsid w:val="001964F7"/>
    <w:rsid w:val="001977A3"/>
    <w:rsid w:val="001A3102"/>
    <w:rsid w:val="001A315B"/>
    <w:rsid w:val="001A5A53"/>
    <w:rsid w:val="001A7040"/>
    <w:rsid w:val="001B01C8"/>
    <w:rsid w:val="001B5D04"/>
    <w:rsid w:val="001B6B1E"/>
    <w:rsid w:val="001B763F"/>
    <w:rsid w:val="001C757B"/>
    <w:rsid w:val="001D6D33"/>
    <w:rsid w:val="001E0C54"/>
    <w:rsid w:val="001E3615"/>
    <w:rsid w:val="001E44A8"/>
    <w:rsid w:val="001E4AD9"/>
    <w:rsid w:val="001E4D6A"/>
    <w:rsid w:val="001E65DB"/>
    <w:rsid w:val="001F0143"/>
    <w:rsid w:val="00201C7C"/>
    <w:rsid w:val="002137AC"/>
    <w:rsid w:val="00215251"/>
    <w:rsid w:val="00231D99"/>
    <w:rsid w:val="002405F4"/>
    <w:rsid w:val="00242ECC"/>
    <w:rsid w:val="00246A0D"/>
    <w:rsid w:val="00247968"/>
    <w:rsid w:val="00251D12"/>
    <w:rsid w:val="002628FE"/>
    <w:rsid w:val="00266ADF"/>
    <w:rsid w:val="002733B9"/>
    <w:rsid w:val="00274FEC"/>
    <w:rsid w:val="00277BC1"/>
    <w:rsid w:val="002808F0"/>
    <w:rsid w:val="0028357C"/>
    <w:rsid w:val="00285020"/>
    <w:rsid w:val="00291C83"/>
    <w:rsid w:val="002967FF"/>
    <w:rsid w:val="002A50F9"/>
    <w:rsid w:val="002A63BC"/>
    <w:rsid w:val="002A761E"/>
    <w:rsid w:val="002B217B"/>
    <w:rsid w:val="002B363B"/>
    <w:rsid w:val="002B5B74"/>
    <w:rsid w:val="002C2815"/>
    <w:rsid w:val="002C6CDD"/>
    <w:rsid w:val="002C6E24"/>
    <w:rsid w:val="002D587D"/>
    <w:rsid w:val="002E6103"/>
    <w:rsid w:val="00300DDA"/>
    <w:rsid w:val="0030109A"/>
    <w:rsid w:val="00301842"/>
    <w:rsid w:val="00313E7E"/>
    <w:rsid w:val="00317287"/>
    <w:rsid w:val="00323ADE"/>
    <w:rsid w:val="00325BB1"/>
    <w:rsid w:val="00326B4C"/>
    <w:rsid w:val="00330747"/>
    <w:rsid w:val="0033605F"/>
    <w:rsid w:val="003367A7"/>
    <w:rsid w:val="00345372"/>
    <w:rsid w:val="00347F20"/>
    <w:rsid w:val="00350F96"/>
    <w:rsid w:val="003558D1"/>
    <w:rsid w:val="00366CFC"/>
    <w:rsid w:val="003741F5"/>
    <w:rsid w:val="0037566C"/>
    <w:rsid w:val="0037776B"/>
    <w:rsid w:val="00382387"/>
    <w:rsid w:val="00391B97"/>
    <w:rsid w:val="00396B08"/>
    <w:rsid w:val="003970B3"/>
    <w:rsid w:val="003A2E51"/>
    <w:rsid w:val="003C2A21"/>
    <w:rsid w:val="003D0593"/>
    <w:rsid w:val="003D0ADF"/>
    <w:rsid w:val="003D3BA7"/>
    <w:rsid w:val="003E2536"/>
    <w:rsid w:val="003E4802"/>
    <w:rsid w:val="003F28F2"/>
    <w:rsid w:val="004032E2"/>
    <w:rsid w:val="00406AA6"/>
    <w:rsid w:val="004140E2"/>
    <w:rsid w:val="00420198"/>
    <w:rsid w:val="00425388"/>
    <w:rsid w:val="00425E6E"/>
    <w:rsid w:val="00433448"/>
    <w:rsid w:val="00440DF4"/>
    <w:rsid w:val="004435F7"/>
    <w:rsid w:val="00443E8F"/>
    <w:rsid w:val="0045259D"/>
    <w:rsid w:val="00452F8B"/>
    <w:rsid w:val="004551E8"/>
    <w:rsid w:val="004618A7"/>
    <w:rsid w:val="00462CCA"/>
    <w:rsid w:val="00464709"/>
    <w:rsid w:val="00472106"/>
    <w:rsid w:val="004737F8"/>
    <w:rsid w:val="0049222B"/>
    <w:rsid w:val="00493BE1"/>
    <w:rsid w:val="00494A19"/>
    <w:rsid w:val="004A024B"/>
    <w:rsid w:val="004A7584"/>
    <w:rsid w:val="004B05BA"/>
    <w:rsid w:val="004B36B1"/>
    <w:rsid w:val="004B3AFA"/>
    <w:rsid w:val="004B6959"/>
    <w:rsid w:val="004C0CA7"/>
    <w:rsid w:val="004D2B2B"/>
    <w:rsid w:val="004D38A0"/>
    <w:rsid w:val="004E0DCD"/>
    <w:rsid w:val="004E59B1"/>
    <w:rsid w:val="004F7A7C"/>
    <w:rsid w:val="00500D46"/>
    <w:rsid w:val="00515C3C"/>
    <w:rsid w:val="00520A20"/>
    <w:rsid w:val="00527E1A"/>
    <w:rsid w:val="00544EDF"/>
    <w:rsid w:val="00545A61"/>
    <w:rsid w:val="00546DC1"/>
    <w:rsid w:val="005505C3"/>
    <w:rsid w:val="005569E8"/>
    <w:rsid w:val="00560885"/>
    <w:rsid w:val="00563E00"/>
    <w:rsid w:val="00565B7A"/>
    <w:rsid w:val="00570A77"/>
    <w:rsid w:val="00576688"/>
    <w:rsid w:val="00590364"/>
    <w:rsid w:val="00592142"/>
    <w:rsid w:val="005A0484"/>
    <w:rsid w:val="005A7ECB"/>
    <w:rsid w:val="005C139B"/>
    <w:rsid w:val="005C463E"/>
    <w:rsid w:val="005C660C"/>
    <w:rsid w:val="005C663F"/>
    <w:rsid w:val="005C6B17"/>
    <w:rsid w:val="005D344C"/>
    <w:rsid w:val="005E2E1C"/>
    <w:rsid w:val="005F1BD1"/>
    <w:rsid w:val="005F7618"/>
    <w:rsid w:val="00601040"/>
    <w:rsid w:val="00603913"/>
    <w:rsid w:val="00614E1E"/>
    <w:rsid w:val="006156E9"/>
    <w:rsid w:val="006212E6"/>
    <w:rsid w:val="006351AE"/>
    <w:rsid w:val="00636404"/>
    <w:rsid w:val="00642B31"/>
    <w:rsid w:val="006543B6"/>
    <w:rsid w:val="00657503"/>
    <w:rsid w:val="006765A7"/>
    <w:rsid w:val="00677E51"/>
    <w:rsid w:val="00682A18"/>
    <w:rsid w:val="006866B7"/>
    <w:rsid w:val="00692EB8"/>
    <w:rsid w:val="00697F21"/>
    <w:rsid w:val="006A0A5A"/>
    <w:rsid w:val="006A6B0C"/>
    <w:rsid w:val="006A7637"/>
    <w:rsid w:val="006B404D"/>
    <w:rsid w:val="006B4A27"/>
    <w:rsid w:val="006C01C0"/>
    <w:rsid w:val="006C4C41"/>
    <w:rsid w:val="006C6190"/>
    <w:rsid w:val="006D45B4"/>
    <w:rsid w:val="006D6DFF"/>
    <w:rsid w:val="006E16AE"/>
    <w:rsid w:val="006E265C"/>
    <w:rsid w:val="006E322D"/>
    <w:rsid w:val="006E32B0"/>
    <w:rsid w:val="006E424B"/>
    <w:rsid w:val="006F4C55"/>
    <w:rsid w:val="00700D9A"/>
    <w:rsid w:val="00712B66"/>
    <w:rsid w:val="00714B18"/>
    <w:rsid w:val="007207ED"/>
    <w:rsid w:val="0072185B"/>
    <w:rsid w:val="007235EE"/>
    <w:rsid w:val="0074110D"/>
    <w:rsid w:val="00745017"/>
    <w:rsid w:val="007574CB"/>
    <w:rsid w:val="00757E57"/>
    <w:rsid w:val="00760E4A"/>
    <w:rsid w:val="0076170C"/>
    <w:rsid w:val="007631F0"/>
    <w:rsid w:val="00766605"/>
    <w:rsid w:val="00773EAE"/>
    <w:rsid w:val="00776CF5"/>
    <w:rsid w:val="00780C9B"/>
    <w:rsid w:val="00782718"/>
    <w:rsid w:val="00793694"/>
    <w:rsid w:val="007A07B4"/>
    <w:rsid w:val="007A18D4"/>
    <w:rsid w:val="007A1D59"/>
    <w:rsid w:val="007A3E4D"/>
    <w:rsid w:val="007B6D35"/>
    <w:rsid w:val="007B7422"/>
    <w:rsid w:val="007B7ACB"/>
    <w:rsid w:val="007C2417"/>
    <w:rsid w:val="007D0DB9"/>
    <w:rsid w:val="007D4B88"/>
    <w:rsid w:val="007D7515"/>
    <w:rsid w:val="007E2022"/>
    <w:rsid w:val="007E2D7D"/>
    <w:rsid w:val="007E52A7"/>
    <w:rsid w:val="007F555C"/>
    <w:rsid w:val="008036CA"/>
    <w:rsid w:val="0080705D"/>
    <w:rsid w:val="00815D3A"/>
    <w:rsid w:val="00822B96"/>
    <w:rsid w:val="00823377"/>
    <w:rsid w:val="00826DD7"/>
    <w:rsid w:val="0083230D"/>
    <w:rsid w:val="0084092B"/>
    <w:rsid w:val="00844790"/>
    <w:rsid w:val="00844A51"/>
    <w:rsid w:val="00845AFF"/>
    <w:rsid w:val="00873764"/>
    <w:rsid w:val="008807F0"/>
    <w:rsid w:val="00881545"/>
    <w:rsid w:val="00882B08"/>
    <w:rsid w:val="00895999"/>
    <w:rsid w:val="008965F8"/>
    <w:rsid w:val="0089752C"/>
    <w:rsid w:val="008A0B1B"/>
    <w:rsid w:val="008A36C9"/>
    <w:rsid w:val="008B5666"/>
    <w:rsid w:val="008C150D"/>
    <w:rsid w:val="008C27BE"/>
    <w:rsid w:val="008C3F8E"/>
    <w:rsid w:val="008C6990"/>
    <w:rsid w:val="008D61F3"/>
    <w:rsid w:val="008E1B80"/>
    <w:rsid w:val="008F4ED6"/>
    <w:rsid w:val="008F7D71"/>
    <w:rsid w:val="00907DD6"/>
    <w:rsid w:val="00915DF0"/>
    <w:rsid w:val="009174E1"/>
    <w:rsid w:val="00924812"/>
    <w:rsid w:val="009322C6"/>
    <w:rsid w:val="009523F6"/>
    <w:rsid w:val="00961821"/>
    <w:rsid w:val="009651B1"/>
    <w:rsid w:val="009672A0"/>
    <w:rsid w:val="00972305"/>
    <w:rsid w:val="00973917"/>
    <w:rsid w:val="00973952"/>
    <w:rsid w:val="009800DB"/>
    <w:rsid w:val="00985D8A"/>
    <w:rsid w:val="009864CE"/>
    <w:rsid w:val="00990B28"/>
    <w:rsid w:val="00995398"/>
    <w:rsid w:val="009A3560"/>
    <w:rsid w:val="009A5551"/>
    <w:rsid w:val="009B3ED6"/>
    <w:rsid w:val="009C2ED0"/>
    <w:rsid w:val="009C6BD3"/>
    <w:rsid w:val="009D00C3"/>
    <w:rsid w:val="009D3211"/>
    <w:rsid w:val="009E32C2"/>
    <w:rsid w:val="009E67E0"/>
    <w:rsid w:val="009E6E96"/>
    <w:rsid w:val="009E7A04"/>
    <w:rsid w:val="00A01ECB"/>
    <w:rsid w:val="00A02699"/>
    <w:rsid w:val="00A05B87"/>
    <w:rsid w:val="00A10D4D"/>
    <w:rsid w:val="00A16B30"/>
    <w:rsid w:val="00A33EC7"/>
    <w:rsid w:val="00A37B7D"/>
    <w:rsid w:val="00A436C2"/>
    <w:rsid w:val="00A47488"/>
    <w:rsid w:val="00A53C87"/>
    <w:rsid w:val="00A625DB"/>
    <w:rsid w:val="00A6291C"/>
    <w:rsid w:val="00A65888"/>
    <w:rsid w:val="00A66312"/>
    <w:rsid w:val="00A6725D"/>
    <w:rsid w:val="00A6727B"/>
    <w:rsid w:val="00A700F5"/>
    <w:rsid w:val="00A71480"/>
    <w:rsid w:val="00A731BC"/>
    <w:rsid w:val="00A76F8D"/>
    <w:rsid w:val="00A81C42"/>
    <w:rsid w:val="00A84586"/>
    <w:rsid w:val="00A90D7F"/>
    <w:rsid w:val="00A91ABC"/>
    <w:rsid w:val="00A930C4"/>
    <w:rsid w:val="00A946F1"/>
    <w:rsid w:val="00AA0CA2"/>
    <w:rsid w:val="00AA2C91"/>
    <w:rsid w:val="00AB0748"/>
    <w:rsid w:val="00AB22B3"/>
    <w:rsid w:val="00AB5D5E"/>
    <w:rsid w:val="00AB63D0"/>
    <w:rsid w:val="00AC074D"/>
    <w:rsid w:val="00AC5A6D"/>
    <w:rsid w:val="00AD3443"/>
    <w:rsid w:val="00AD441E"/>
    <w:rsid w:val="00AD4B22"/>
    <w:rsid w:val="00AE1D83"/>
    <w:rsid w:val="00B00611"/>
    <w:rsid w:val="00B02E3A"/>
    <w:rsid w:val="00B1236C"/>
    <w:rsid w:val="00B12781"/>
    <w:rsid w:val="00B12B87"/>
    <w:rsid w:val="00B14E1C"/>
    <w:rsid w:val="00B1745F"/>
    <w:rsid w:val="00B23FD3"/>
    <w:rsid w:val="00B245A3"/>
    <w:rsid w:val="00B2777D"/>
    <w:rsid w:val="00B32778"/>
    <w:rsid w:val="00B41092"/>
    <w:rsid w:val="00B47DBD"/>
    <w:rsid w:val="00B53B32"/>
    <w:rsid w:val="00B65339"/>
    <w:rsid w:val="00B7229A"/>
    <w:rsid w:val="00B72F25"/>
    <w:rsid w:val="00B77554"/>
    <w:rsid w:val="00B77CEA"/>
    <w:rsid w:val="00B8111B"/>
    <w:rsid w:val="00B85503"/>
    <w:rsid w:val="00B9124A"/>
    <w:rsid w:val="00B96E64"/>
    <w:rsid w:val="00BA298D"/>
    <w:rsid w:val="00BB15C6"/>
    <w:rsid w:val="00BB36D7"/>
    <w:rsid w:val="00BB48BC"/>
    <w:rsid w:val="00BC4B0C"/>
    <w:rsid w:val="00BC6FFC"/>
    <w:rsid w:val="00BD20E1"/>
    <w:rsid w:val="00BE15CF"/>
    <w:rsid w:val="00BE62D6"/>
    <w:rsid w:val="00BF17C0"/>
    <w:rsid w:val="00BF3743"/>
    <w:rsid w:val="00C042A5"/>
    <w:rsid w:val="00C06546"/>
    <w:rsid w:val="00C11E79"/>
    <w:rsid w:val="00C13682"/>
    <w:rsid w:val="00C201F6"/>
    <w:rsid w:val="00C25099"/>
    <w:rsid w:val="00C30C3A"/>
    <w:rsid w:val="00C3322F"/>
    <w:rsid w:val="00C34259"/>
    <w:rsid w:val="00C37868"/>
    <w:rsid w:val="00C42C71"/>
    <w:rsid w:val="00C440BB"/>
    <w:rsid w:val="00C52462"/>
    <w:rsid w:val="00C52E59"/>
    <w:rsid w:val="00C54A0D"/>
    <w:rsid w:val="00C55162"/>
    <w:rsid w:val="00C57194"/>
    <w:rsid w:val="00C60168"/>
    <w:rsid w:val="00C62145"/>
    <w:rsid w:val="00C64160"/>
    <w:rsid w:val="00C653F6"/>
    <w:rsid w:val="00C66EA7"/>
    <w:rsid w:val="00C66F21"/>
    <w:rsid w:val="00C80DE0"/>
    <w:rsid w:val="00C83A71"/>
    <w:rsid w:val="00C865C7"/>
    <w:rsid w:val="00CA2AA5"/>
    <w:rsid w:val="00CA2D83"/>
    <w:rsid w:val="00CA3A78"/>
    <w:rsid w:val="00CA4DE3"/>
    <w:rsid w:val="00CA60F8"/>
    <w:rsid w:val="00CB2001"/>
    <w:rsid w:val="00CC3CDF"/>
    <w:rsid w:val="00CC472B"/>
    <w:rsid w:val="00CF729D"/>
    <w:rsid w:val="00CF7FE6"/>
    <w:rsid w:val="00D05F4B"/>
    <w:rsid w:val="00D06C50"/>
    <w:rsid w:val="00D10E5F"/>
    <w:rsid w:val="00D11223"/>
    <w:rsid w:val="00D14216"/>
    <w:rsid w:val="00D14552"/>
    <w:rsid w:val="00D1604D"/>
    <w:rsid w:val="00D17B8C"/>
    <w:rsid w:val="00D30A17"/>
    <w:rsid w:val="00D30B79"/>
    <w:rsid w:val="00D318F0"/>
    <w:rsid w:val="00D374FE"/>
    <w:rsid w:val="00D41D33"/>
    <w:rsid w:val="00D53893"/>
    <w:rsid w:val="00D579AA"/>
    <w:rsid w:val="00D61385"/>
    <w:rsid w:val="00D61D76"/>
    <w:rsid w:val="00D6531E"/>
    <w:rsid w:val="00D66C3D"/>
    <w:rsid w:val="00D74EE5"/>
    <w:rsid w:val="00D755D8"/>
    <w:rsid w:val="00D8660E"/>
    <w:rsid w:val="00D9745B"/>
    <w:rsid w:val="00DA2698"/>
    <w:rsid w:val="00DB1BDF"/>
    <w:rsid w:val="00DB5DAF"/>
    <w:rsid w:val="00DC0C6F"/>
    <w:rsid w:val="00DC7DA9"/>
    <w:rsid w:val="00DD2832"/>
    <w:rsid w:val="00DD7E7A"/>
    <w:rsid w:val="00DE312C"/>
    <w:rsid w:val="00DE75EB"/>
    <w:rsid w:val="00E01F75"/>
    <w:rsid w:val="00E02DA1"/>
    <w:rsid w:val="00E03D27"/>
    <w:rsid w:val="00E1733F"/>
    <w:rsid w:val="00E17638"/>
    <w:rsid w:val="00E1789C"/>
    <w:rsid w:val="00E3093D"/>
    <w:rsid w:val="00E31E92"/>
    <w:rsid w:val="00E35872"/>
    <w:rsid w:val="00E409D2"/>
    <w:rsid w:val="00E4403E"/>
    <w:rsid w:val="00E45E29"/>
    <w:rsid w:val="00E47325"/>
    <w:rsid w:val="00E67282"/>
    <w:rsid w:val="00E71B2C"/>
    <w:rsid w:val="00E76D7B"/>
    <w:rsid w:val="00E80E46"/>
    <w:rsid w:val="00E8428A"/>
    <w:rsid w:val="00E87647"/>
    <w:rsid w:val="00EA1D5A"/>
    <w:rsid w:val="00EA211F"/>
    <w:rsid w:val="00EA220C"/>
    <w:rsid w:val="00EA5D74"/>
    <w:rsid w:val="00EB3704"/>
    <w:rsid w:val="00ED6D53"/>
    <w:rsid w:val="00EE0681"/>
    <w:rsid w:val="00EE58BC"/>
    <w:rsid w:val="00EE5D8C"/>
    <w:rsid w:val="00F00BA1"/>
    <w:rsid w:val="00F01007"/>
    <w:rsid w:val="00F01077"/>
    <w:rsid w:val="00F03FC8"/>
    <w:rsid w:val="00F06C71"/>
    <w:rsid w:val="00F2632C"/>
    <w:rsid w:val="00F2683D"/>
    <w:rsid w:val="00F32E67"/>
    <w:rsid w:val="00F40325"/>
    <w:rsid w:val="00F416CA"/>
    <w:rsid w:val="00F710CC"/>
    <w:rsid w:val="00F71C59"/>
    <w:rsid w:val="00F72C9F"/>
    <w:rsid w:val="00F73E35"/>
    <w:rsid w:val="00F81542"/>
    <w:rsid w:val="00F84263"/>
    <w:rsid w:val="00F85DF9"/>
    <w:rsid w:val="00F90AE5"/>
    <w:rsid w:val="00F90B2F"/>
    <w:rsid w:val="00F921F7"/>
    <w:rsid w:val="00F9755E"/>
    <w:rsid w:val="00FA34C7"/>
    <w:rsid w:val="00FA5D5F"/>
    <w:rsid w:val="00FA6869"/>
    <w:rsid w:val="00FB4405"/>
    <w:rsid w:val="00FB4BE6"/>
    <w:rsid w:val="00FC163C"/>
    <w:rsid w:val="00FC767E"/>
    <w:rsid w:val="00FD2001"/>
    <w:rsid w:val="00FD5455"/>
    <w:rsid w:val="00FE560C"/>
    <w:rsid w:val="00FF293E"/>
    <w:rsid w:val="00FF337D"/>
    <w:rsid w:val="00FF3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F7C8"/>
  <w15:chartTrackingRefBased/>
  <w15:docId w15:val="{845BAEA4-4041-4FB3-AE04-8C19CE53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406AA6"/>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207ED"/>
    <w:pPr>
      <w:spacing w:before="75" w:after="75"/>
      <w:ind w:firstLine="375"/>
      <w:jc w:val="both"/>
    </w:pPr>
  </w:style>
  <w:style w:type="paragraph" w:customStyle="1" w:styleId="naisnod">
    <w:name w:val="naisnod"/>
    <w:basedOn w:val="Normal"/>
    <w:uiPriority w:val="99"/>
    <w:rsid w:val="007207ED"/>
    <w:pPr>
      <w:spacing w:before="150" w:after="150"/>
      <w:jc w:val="center"/>
    </w:pPr>
    <w:rPr>
      <w:b/>
      <w:bCs/>
    </w:rPr>
  </w:style>
  <w:style w:type="paragraph" w:customStyle="1" w:styleId="naisc">
    <w:name w:val="naisc"/>
    <w:basedOn w:val="Normal"/>
    <w:rsid w:val="007207ED"/>
    <w:pPr>
      <w:spacing w:before="75" w:after="75"/>
      <w:jc w:val="center"/>
    </w:pPr>
  </w:style>
  <w:style w:type="paragraph" w:customStyle="1" w:styleId="naiskr">
    <w:name w:val="naiskr"/>
    <w:basedOn w:val="Normal"/>
    <w:rsid w:val="007207ED"/>
    <w:pPr>
      <w:spacing w:before="75" w:after="75"/>
    </w:pPr>
  </w:style>
  <w:style w:type="paragraph" w:styleId="Header">
    <w:name w:val="header"/>
    <w:basedOn w:val="Normal"/>
    <w:link w:val="HeaderChar"/>
    <w:uiPriority w:val="99"/>
    <w:unhideWhenUsed/>
    <w:rsid w:val="007207ED"/>
    <w:pPr>
      <w:tabs>
        <w:tab w:val="center" w:pos="4153"/>
        <w:tab w:val="right" w:pos="8306"/>
      </w:tabs>
    </w:pPr>
  </w:style>
  <w:style w:type="character" w:customStyle="1" w:styleId="HeaderChar">
    <w:name w:val="Header Char"/>
    <w:basedOn w:val="DefaultParagraphFont"/>
    <w:link w:val="Header"/>
    <w:uiPriority w:val="99"/>
    <w:rsid w:val="007207ED"/>
    <w:rPr>
      <w:rFonts w:eastAsia="Times New Roman" w:cs="Times New Roman"/>
      <w:sz w:val="24"/>
      <w:szCs w:val="24"/>
      <w:lang w:eastAsia="lv-LV"/>
    </w:rPr>
  </w:style>
  <w:style w:type="paragraph" w:styleId="Footer">
    <w:name w:val="footer"/>
    <w:basedOn w:val="Normal"/>
    <w:link w:val="FooterChar"/>
    <w:uiPriority w:val="99"/>
    <w:unhideWhenUsed/>
    <w:rsid w:val="007207ED"/>
    <w:pPr>
      <w:tabs>
        <w:tab w:val="center" w:pos="4153"/>
        <w:tab w:val="right" w:pos="8306"/>
      </w:tabs>
    </w:pPr>
  </w:style>
  <w:style w:type="character" w:customStyle="1" w:styleId="FooterChar">
    <w:name w:val="Footer Char"/>
    <w:basedOn w:val="DefaultParagraphFont"/>
    <w:link w:val="Footer"/>
    <w:uiPriority w:val="99"/>
    <w:rsid w:val="007207ED"/>
    <w:rPr>
      <w:rFonts w:eastAsia="Times New Roman" w:cs="Times New Roman"/>
      <w:sz w:val="24"/>
      <w:szCs w:val="24"/>
      <w:lang w:eastAsia="lv-LV"/>
    </w:rPr>
  </w:style>
  <w:style w:type="table" w:styleId="TableGrid">
    <w:name w:val="Table Grid"/>
    <w:basedOn w:val="TableNormal"/>
    <w:uiPriority w:val="39"/>
    <w:rsid w:val="0072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ListParagraph"/>
    <w:link w:val="PunktsChar"/>
    <w:qFormat/>
    <w:rsid w:val="00D374FE"/>
    <w:pPr>
      <w:numPr>
        <w:numId w:val="3"/>
      </w:numPr>
      <w:ind w:left="644" w:right="142"/>
      <w:jc w:val="both"/>
    </w:pPr>
    <w:rPr>
      <w:sz w:val="28"/>
      <w:szCs w:val="28"/>
    </w:rPr>
  </w:style>
  <w:style w:type="paragraph" w:customStyle="1" w:styleId="Apakshpunkts">
    <w:name w:val="Apakshpunkts"/>
    <w:basedOn w:val="ListParagraph"/>
    <w:qFormat/>
    <w:rsid w:val="00D374FE"/>
    <w:pPr>
      <w:numPr>
        <w:ilvl w:val="1"/>
        <w:numId w:val="3"/>
      </w:numPr>
      <w:tabs>
        <w:tab w:val="left" w:pos="1418"/>
      </w:tabs>
      <w:ind w:left="720" w:right="170" w:hanging="360"/>
      <w:jc w:val="both"/>
    </w:pPr>
    <w:rPr>
      <w:sz w:val="28"/>
      <w:szCs w:val="28"/>
    </w:rPr>
  </w:style>
  <w:style w:type="character" w:customStyle="1" w:styleId="PunktsChar">
    <w:name w:val="Punkts Char"/>
    <w:basedOn w:val="DefaultParagraphFont"/>
    <w:link w:val="Punkts"/>
    <w:rsid w:val="00D374FE"/>
    <w:rPr>
      <w:rFonts w:eastAsia="Times New Roman" w:cs="Times New Roman"/>
      <w:szCs w:val="28"/>
      <w:lang w:eastAsia="lv-LV"/>
    </w:rPr>
  </w:style>
  <w:style w:type="paragraph" w:styleId="ListParagraph">
    <w:name w:val="List Paragraph"/>
    <w:basedOn w:val="Normal"/>
    <w:uiPriority w:val="34"/>
    <w:qFormat/>
    <w:rsid w:val="00D374FE"/>
    <w:pPr>
      <w:ind w:left="720"/>
      <w:contextualSpacing/>
    </w:pPr>
  </w:style>
  <w:style w:type="paragraph" w:styleId="BalloonText">
    <w:name w:val="Balloon Text"/>
    <w:basedOn w:val="Normal"/>
    <w:link w:val="BalloonTextChar"/>
    <w:uiPriority w:val="99"/>
    <w:semiHidden/>
    <w:unhideWhenUsed/>
    <w:rsid w:val="00F9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E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25B00"/>
    <w:rPr>
      <w:sz w:val="16"/>
      <w:szCs w:val="16"/>
    </w:rPr>
  </w:style>
  <w:style w:type="paragraph" w:styleId="CommentText">
    <w:name w:val="annotation text"/>
    <w:basedOn w:val="Normal"/>
    <w:link w:val="CommentTextChar"/>
    <w:uiPriority w:val="99"/>
    <w:semiHidden/>
    <w:unhideWhenUsed/>
    <w:rsid w:val="00125B00"/>
    <w:rPr>
      <w:sz w:val="20"/>
      <w:szCs w:val="20"/>
    </w:rPr>
  </w:style>
  <w:style w:type="character" w:customStyle="1" w:styleId="CommentTextChar">
    <w:name w:val="Comment Text Char"/>
    <w:basedOn w:val="DefaultParagraphFont"/>
    <w:link w:val="CommentText"/>
    <w:uiPriority w:val="99"/>
    <w:semiHidden/>
    <w:rsid w:val="00125B0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C150D"/>
    <w:rPr>
      <w:b/>
      <w:bCs/>
    </w:rPr>
  </w:style>
  <w:style w:type="character" w:customStyle="1" w:styleId="CommentSubjectChar">
    <w:name w:val="Comment Subject Char"/>
    <w:basedOn w:val="CommentTextChar"/>
    <w:link w:val="CommentSubject"/>
    <w:uiPriority w:val="99"/>
    <w:semiHidden/>
    <w:rsid w:val="008C150D"/>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2195">
      <w:bodyDiv w:val="1"/>
      <w:marLeft w:val="0"/>
      <w:marRight w:val="0"/>
      <w:marTop w:val="0"/>
      <w:marBottom w:val="0"/>
      <w:divBdr>
        <w:top w:val="none" w:sz="0" w:space="0" w:color="auto"/>
        <w:left w:val="none" w:sz="0" w:space="0" w:color="auto"/>
        <w:bottom w:val="none" w:sz="0" w:space="0" w:color="auto"/>
        <w:right w:val="none" w:sz="0" w:space="0" w:color="auto"/>
      </w:divBdr>
    </w:div>
    <w:div w:id="237324935">
      <w:bodyDiv w:val="1"/>
      <w:marLeft w:val="0"/>
      <w:marRight w:val="0"/>
      <w:marTop w:val="0"/>
      <w:marBottom w:val="0"/>
      <w:divBdr>
        <w:top w:val="none" w:sz="0" w:space="0" w:color="auto"/>
        <w:left w:val="none" w:sz="0" w:space="0" w:color="auto"/>
        <w:bottom w:val="none" w:sz="0" w:space="0" w:color="auto"/>
        <w:right w:val="none" w:sz="0" w:space="0" w:color="auto"/>
      </w:divBdr>
    </w:div>
    <w:div w:id="682630695">
      <w:bodyDiv w:val="1"/>
      <w:marLeft w:val="0"/>
      <w:marRight w:val="0"/>
      <w:marTop w:val="0"/>
      <w:marBottom w:val="0"/>
      <w:divBdr>
        <w:top w:val="none" w:sz="0" w:space="0" w:color="auto"/>
        <w:left w:val="none" w:sz="0" w:space="0" w:color="auto"/>
        <w:bottom w:val="none" w:sz="0" w:space="0" w:color="auto"/>
        <w:right w:val="none" w:sz="0" w:space="0" w:color="auto"/>
      </w:divBdr>
    </w:div>
    <w:div w:id="908922554">
      <w:bodyDiv w:val="1"/>
      <w:marLeft w:val="0"/>
      <w:marRight w:val="0"/>
      <w:marTop w:val="0"/>
      <w:marBottom w:val="0"/>
      <w:divBdr>
        <w:top w:val="none" w:sz="0" w:space="0" w:color="auto"/>
        <w:left w:val="none" w:sz="0" w:space="0" w:color="auto"/>
        <w:bottom w:val="none" w:sz="0" w:space="0" w:color="auto"/>
        <w:right w:val="none" w:sz="0" w:space="0" w:color="auto"/>
      </w:divBdr>
    </w:div>
    <w:div w:id="1185023844">
      <w:bodyDiv w:val="1"/>
      <w:marLeft w:val="0"/>
      <w:marRight w:val="0"/>
      <w:marTop w:val="0"/>
      <w:marBottom w:val="0"/>
      <w:divBdr>
        <w:top w:val="none" w:sz="0" w:space="0" w:color="auto"/>
        <w:left w:val="none" w:sz="0" w:space="0" w:color="auto"/>
        <w:bottom w:val="none" w:sz="0" w:space="0" w:color="auto"/>
        <w:right w:val="none" w:sz="0" w:space="0" w:color="auto"/>
      </w:divBdr>
    </w:div>
    <w:div w:id="1360157772">
      <w:bodyDiv w:val="1"/>
      <w:marLeft w:val="0"/>
      <w:marRight w:val="0"/>
      <w:marTop w:val="0"/>
      <w:marBottom w:val="0"/>
      <w:divBdr>
        <w:top w:val="none" w:sz="0" w:space="0" w:color="auto"/>
        <w:left w:val="none" w:sz="0" w:space="0" w:color="auto"/>
        <w:bottom w:val="none" w:sz="0" w:space="0" w:color="auto"/>
        <w:right w:val="none" w:sz="0" w:space="0" w:color="auto"/>
      </w:divBdr>
    </w:div>
    <w:div w:id="14076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0F80A-3F48-48FB-AC06-DA65F47A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5424</Words>
  <Characters>3092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Andris.Malnieks@em.gov.lv</dc:creator>
  <cp:lastModifiedBy>Andris Mālnieks</cp:lastModifiedBy>
  <cp:revision>3</cp:revision>
  <cp:lastPrinted>2019-10-16T10:12:00Z</cp:lastPrinted>
  <dcterms:created xsi:type="dcterms:W3CDTF">2020-11-23T15:17:00Z</dcterms:created>
  <dcterms:modified xsi:type="dcterms:W3CDTF">2020-11-23T15:19:00Z</dcterms:modified>
</cp:coreProperties>
</file>