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E1472" w14:textId="63A61961" w:rsidR="005D5DCB" w:rsidRPr="00903CCF" w:rsidRDefault="00706ABE" w:rsidP="000602B5">
      <w:pPr>
        <w:pStyle w:val="naisf"/>
        <w:spacing w:before="0" w:after="0"/>
        <w:ind w:right="140"/>
        <w:jc w:val="center"/>
        <w:rPr>
          <w:rFonts w:eastAsia="Calibri"/>
          <w:b/>
          <w:bCs/>
          <w:spacing w:val="-2"/>
          <w:sz w:val="28"/>
          <w:szCs w:val="28"/>
          <w:lang w:eastAsia="x-none"/>
        </w:rPr>
      </w:pPr>
      <w:r w:rsidRPr="00903CCF">
        <w:rPr>
          <w:rFonts w:eastAsia="Calibri"/>
          <w:b/>
          <w:bCs/>
          <w:spacing w:val="-2"/>
          <w:sz w:val="28"/>
          <w:szCs w:val="28"/>
          <w:lang w:eastAsia="x-none"/>
        </w:rPr>
        <w:t>Likumprojekta “</w:t>
      </w:r>
      <w:r w:rsidR="005D5DCB" w:rsidRPr="00903CCF">
        <w:rPr>
          <w:rFonts w:eastAsia="Calibri"/>
          <w:b/>
          <w:bCs/>
          <w:spacing w:val="-2"/>
          <w:sz w:val="28"/>
          <w:szCs w:val="28"/>
          <w:lang w:eastAsia="x-none"/>
        </w:rPr>
        <w:t xml:space="preserve">Grozījumi </w:t>
      </w:r>
      <w:r w:rsidR="00182555" w:rsidRPr="00903CCF">
        <w:rPr>
          <w:rFonts w:eastAsia="Calibri"/>
          <w:b/>
          <w:bCs/>
          <w:spacing w:val="-2"/>
          <w:sz w:val="28"/>
          <w:szCs w:val="28"/>
          <w:lang w:eastAsia="x-none"/>
        </w:rPr>
        <w:t>likumā “Par nodokļiem un nodevām</w:t>
      </w:r>
      <w:r w:rsidR="005D5DCB" w:rsidRPr="00903CCF">
        <w:rPr>
          <w:rFonts w:eastAsia="Calibri"/>
          <w:b/>
          <w:bCs/>
          <w:spacing w:val="-2"/>
          <w:sz w:val="28"/>
          <w:szCs w:val="28"/>
          <w:lang w:eastAsia="x-none"/>
        </w:rPr>
        <w:t>”</w:t>
      </w:r>
      <w:r w:rsidR="00182555" w:rsidRPr="00903CCF">
        <w:rPr>
          <w:rFonts w:eastAsia="Calibri"/>
          <w:b/>
          <w:bCs/>
          <w:spacing w:val="-2"/>
          <w:sz w:val="28"/>
          <w:szCs w:val="28"/>
          <w:lang w:eastAsia="x-none"/>
        </w:rPr>
        <w:t>”</w:t>
      </w:r>
      <w:r w:rsidR="005D5DCB" w:rsidRPr="00903CCF">
        <w:rPr>
          <w:rFonts w:eastAsia="Calibri"/>
          <w:b/>
          <w:bCs/>
          <w:spacing w:val="-2"/>
          <w:sz w:val="28"/>
          <w:szCs w:val="28"/>
          <w:lang w:eastAsia="x-none"/>
        </w:rPr>
        <w:t xml:space="preserve"> sākotnējās ietekmes novērtējuma ziņojums (anotācija)</w:t>
      </w:r>
    </w:p>
    <w:p w14:paraId="74334036" w14:textId="77777777" w:rsidR="005D5DCB" w:rsidRPr="00903CCF" w:rsidRDefault="005D5DCB" w:rsidP="000602B5">
      <w:pPr>
        <w:pStyle w:val="naisf"/>
        <w:spacing w:before="0" w:after="0"/>
        <w:ind w:right="140" w:firstLine="374"/>
        <w:jc w:val="center"/>
        <w:rPr>
          <w:spacing w:val="-2"/>
        </w:rPr>
      </w:pPr>
    </w:p>
    <w:tbl>
      <w:tblPr>
        <w:tblW w:w="50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72"/>
        <w:gridCol w:w="6364"/>
      </w:tblGrid>
      <w:tr w:rsidR="0033686E" w:rsidRPr="00903CCF" w14:paraId="66F35711" w14:textId="77777777" w:rsidTr="00E92F8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D335FE9" w14:textId="77777777" w:rsidR="005D5DCB" w:rsidRPr="00903CCF" w:rsidRDefault="005D5DCB" w:rsidP="000602B5">
            <w:pPr>
              <w:spacing w:before="100" w:beforeAutospacing="1" w:after="100" w:afterAutospacing="1" w:line="360" w:lineRule="auto"/>
              <w:ind w:right="140" w:firstLine="300"/>
              <w:jc w:val="center"/>
              <w:rPr>
                <w:b/>
                <w:bCs/>
                <w:spacing w:val="-2"/>
              </w:rPr>
            </w:pPr>
            <w:r w:rsidRPr="00903CCF">
              <w:rPr>
                <w:b/>
                <w:bCs/>
                <w:spacing w:val="-2"/>
              </w:rPr>
              <w:t>Tiesību akta projekta anotācijas kopsavilkums</w:t>
            </w:r>
          </w:p>
        </w:tc>
      </w:tr>
      <w:tr w:rsidR="0033686E" w:rsidRPr="00903CCF" w14:paraId="411366B6" w14:textId="77777777" w:rsidTr="00E92F84">
        <w:tc>
          <w:tcPr>
            <w:tcW w:w="1517" w:type="pct"/>
            <w:tcBorders>
              <w:top w:val="outset" w:sz="6" w:space="0" w:color="414142"/>
              <w:left w:val="outset" w:sz="6" w:space="0" w:color="414142"/>
              <w:bottom w:val="outset" w:sz="6" w:space="0" w:color="414142"/>
              <w:right w:val="outset" w:sz="6" w:space="0" w:color="414142"/>
            </w:tcBorders>
            <w:hideMark/>
          </w:tcPr>
          <w:p w14:paraId="206016E5" w14:textId="77777777" w:rsidR="005D5DCB" w:rsidRPr="00903CCF" w:rsidRDefault="005D5DCB" w:rsidP="000602B5">
            <w:pPr>
              <w:ind w:right="140"/>
              <w:jc w:val="both"/>
              <w:rPr>
                <w:spacing w:val="-2"/>
              </w:rPr>
            </w:pPr>
            <w:r w:rsidRPr="00903CCF">
              <w:rPr>
                <w:spacing w:val="-2"/>
              </w:rPr>
              <w:t>Mērķis, risinājums un projekta spēkā stāšanās laiks (500 zīmes bez atstarpēm)</w:t>
            </w:r>
          </w:p>
        </w:tc>
        <w:tc>
          <w:tcPr>
            <w:tcW w:w="3483" w:type="pct"/>
            <w:tcBorders>
              <w:top w:val="outset" w:sz="6" w:space="0" w:color="414142"/>
              <w:left w:val="outset" w:sz="6" w:space="0" w:color="414142"/>
              <w:bottom w:val="outset" w:sz="6" w:space="0" w:color="414142"/>
              <w:right w:val="outset" w:sz="6" w:space="0" w:color="414142"/>
            </w:tcBorders>
            <w:hideMark/>
          </w:tcPr>
          <w:p w14:paraId="48B29654" w14:textId="0D6CC81E" w:rsidR="00FC3D48" w:rsidRPr="00903CCF" w:rsidRDefault="005D5DCB" w:rsidP="000602B5">
            <w:pPr>
              <w:ind w:right="140"/>
              <w:jc w:val="both"/>
              <w:rPr>
                <w:spacing w:val="-2"/>
              </w:rPr>
            </w:pPr>
            <w:r w:rsidRPr="00903CCF">
              <w:rPr>
                <w:spacing w:val="-2"/>
              </w:rPr>
              <w:t>Likumprojekt</w:t>
            </w:r>
            <w:r w:rsidR="00FA5CA1" w:rsidRPr="00903CCF">
              <w:rPr>
                <w:spacing w:val="-2"/>
              </w:rPr>
              <w:t>a</w:t>
            </w:r>
            <w:r w:rsidRPr="00903CCF">
              <w:rPr>
                <w:spacing w:val="-2"/>
              </w:rPr>
              <w:t xml:space="preserve"> </w:t>
            </w:r>
            <w:r w:rsidR="00B667BA" w:rsidRPr="00903CCF">
              <w:rPr>
                <w:bCs/>
                <w:spacing w:val="-2"/>
              </w:rPr>
              <w:t>“</w:t>
            </w:r>
            <w:r w:rsidRPr="00903CCF">
              <w:rPr>
                <w:bCs/>
                <w:spacing w:val="-2"/>
              </w:rPr>
              <w:t xml:space="preserve">Grozījumi </w:t>
            </w:r>
            <w:r w:rsidR="00203C2F" w:rsidRPr="00903CCF">
              <w:rPr>
                <w:bCs/>
                <w:spacing w:val="-2"/>
              </w:rPr>
              <w:t>lik</w:t>
            </w:r>
            <w:r w:rsidR="00ED7E8F" w:rsidRPr="00903CCF">
              <w:rPr>
                <w:bCs/>
                <w:spacing w:val="-2"/>
              </w:rPr>
              <w:t>umā “Par nodokļiem un nodevām””</w:t>
            </w:r>
            <w:r w:rsidR="00203C2F" w:rsidRPr="00903CCF">
              <w:rPr>
                <w:bCs/>
                <w:spacing w:val="-2"/>
              </w:rPr>
              <w:t xml:space="preserve"> (turpmāk – likumprojekts) </w:t>
            </w:r>
            <w:r w:rsidR="00FA5CA1" w:rsidRPr="00903CCF">
              <w:rPr>
                <w:bCs/>
                <w:spacing w:val="-2"/>
              </w:rPr>
              <w:t xml:space="preserve">mērķis ir </w:t>
            </w:r>
            <w:r w:rsidR="00EC76ED" w:rsidRPr="00903CCF">
              <w:rPr>
                <w:bCs/>
                <w:spacing w:val="-2"/>
              </w:rPr>
              <w:t>ieviest</w:t>
            </w:r>
            <w:r w:rsidR="00FA5CA1" w:rsidRPr="00903CCF">
              <w:rPr>
                <w:bCs/>
                <w:spacing w:val="-2"/>
              </w:rPr>
              <w:t xml:space="preserve"> </w:t>
            </w:r>
            <w:r w:rsidR="00EC76ED" w:rsidRPr="00903CCF">
              <w:rPr>
                <w:spacing w:val="-2"/>
              </w:rPr>
              <w:t>vienkāršotu nodokļa nomaksas risinājumu</w:t>
            </w:r>
            <w:r w:rsidR="00FA5CA1" w:rsidRPr="00903CCF">
              <w:rPr>
                <w:spacing w:val="-2"/>
              </w:rPr>
              <w:t>, izmantojot saimnieciskās darbības ieņēmumu (turpmāk – SDI) kontu.</w:t>
            </w:r>
            <w:r w:rsidR="00D27D51" w:rsidRPr="00903CCF">
              <w:rPr>
                <w:spacing w:val="-2"/>
              </w:rPr>
              <w:t xml:space="preserve"> </w:t>
            </w:r>
            <w:r w:rsidR="00FC3D48" w:rsidRPr="00903CCF">
              <w:rPr>
                <w:spacing w:val="-2"/>
              </w:rPr>
              <w:t xml:space="preserve">Likumprojekts </w:t>
            </w:r>
            <w:r w:rsidR="00482EAB" w:rsidRPr="00903CCF">
              <w:rPr>
                <w:spacing w:val="-2"/>
              </w:rPr>
              <w:t xml:space="preserve">Saeimā </w:t>
            </w:r>
            <w:r w:rsidR="00FC3D48" w:rsidRPr="00903CCF">
              <w:rPr>
                <w:spacing w:val="-2"/>
              </w:rPr>
              <w:t>virzāms vienlaikus</w:t>
            </w:r>
            <w:r w:rsidR="000602B5" w:rsidRPr="00903CCF">
              <w:rPr>
                <w:spacing w:val="-2"/>
              </w:rPr>
              <w:t xml:space="preserve"> ar</w:t>
            </w:r>
            <w:r w:rsidR="00FC3D48" w:rsidRPr="00903CCF">
              <w:rPr>
                <w:spacing w:val="-2"/>
              </w:rPr>
              <w:t xml:space="preserve"> likumprojektiem</w:t>
            </w:r>
            <w:r w:rsidR="00EC76ED" w:rsidRPr="00903CCF">
              <w:rPr>
                <w:spacing w:val="-2"/>
              </w:rPr>
              <w:t>:</w:t>
            </w:r>
            <w:r w:rsidR="00FC3D48" w:rsidRPr="00903CCF">
              <w:rPr>
                <w:spacing w:val="-2"/>
              </w:rPr>
              <w:t xml:space="preserve"> “Grozījumi </w:t>
            </w:r>
            <w:proofErr w:type="spellStart"/>
            <w:r w:rsidR="00FC3D48" w:rsidRPr="00903CCF">
              <w:rPr>
                <w:spacing w:val="-2"/>
              </w:rPr>
              <w:t>Mikrouzņēmumu</w:t>
            </w:r>
            <w:proofErr w:type="spellEnd"/>
            <w:r w:rsidR="00FC3D48" w:rsidRPr="00903CCF">
              <w:rPr>
                <w:spacing w:val="-2"/>
              </w:rPr>
              <w:t xml:space="preserve"> nodokļa likumā”, “Grozījumi Kredītiestāžu likumā” un “Grozījumi Finanšu stabilitātes nodevas likumā”, jo tajos iekļauts regulējums minētā risinājuma ieviešana</w:t>
            </w:r>
            <w:r w:rsidR="0072037E" w:rsidRPr="00903CCF">
              <w:rPr>
                <w:spacing w:val="-2"/>
              </w:rPr>
              <w:t>s nodrošināšanai</w:t>
            </w:r>
            <w:r w:rsidR="00FC3D48" w:rsidRPr="00903CCF">
              <w:rPr>
                <w:spacing w:val="-2"/>
              </w:rPr>
              <w:t xml:space="preserve"> un īstenošanai. </w:t>
            </w:r>
          </w:p>
          <w:p w14:paraId="422FDBE3" w14:textId="4F0639F4" w:rsidR="005D5DCB" w:rsidRPr="00903CCF" w:rsidRDefault="00A719B0" w:rsidP="000602B5">
            <w:pPr>
              <w:ind w:right="140"/>
              <w:jc w:val="both"/>
              <w:rPr>
                <w:spacing w:val="-2"/>
              </w:rPr>
            </w:pPr>
            <w:r w:rsidRPr="00903CCF">
              <w:rPr>
                <w:spacing w:val="-2"/>
              </w:rPr>
              <w:t>Plānots, ka l</w:t>
            </w:r>
            <w:r w:rsidR="005D5DCB" w:rsidRPr="00903CCF">
              <w:rPr>
                <w:spacing w:val="-2"/>
              </w:rPr>
              <w:t>ikum</w:t>
            </w:r>
            <w:r w:rsidR="00FA5CA1" w:rsidRPr="00903CCF">
              <w:rPr>
                <w:spacing w:val="-2"/>
              </w:rPr>
              <w:t>projektā ietvertais regulējums</w:t>
            </w:r>
            <w:r w:rsidR="005D5DCB" w:rsidRPr="00903CCF">
              <w:rPr>
                <w:spacing w:val="-2"/>
              </w:rPr>
              <w:t xml:space="preserve"> stā</w:t>
            </w:r>
            <w:r w:rsidR="00FA5CA1" w:rsidRPr="00903CCF">
              <w:rPr>
                <w:spacing w:val="-2"/>
              </w:rPr>
              <w:t>sies</w:t>
            </w:r>
            <w:r w:rsidR="005D5DCB" w:rsidRPr="00903CCF">
              <w:rPr>
                <w:spacing w:val="-2"/>
              </w:rPr>
              <w:t xml:space="preserve"> spēkā </w:t>
            </w:r>
            <w:r w:rsidR="00393A77" w:rsidRPr="00903CCF">
              <w:rPr>
                <w:spacing w:val="-2"/>
              </w:rPr>
              <w:t>202</w:t>
            </w:r>
            <w:r w:rsidR="00B667BA" w:rsidRPr="00903CCF">
              <w:rPr>
                <w:spacing w:val="-2"/>
              </w:rPr>
              <w:t>1</w:t>
            </w:r>
            <w:r w:rsidR="00393A77" w:rsidRPr="00903CCF">
              <w:rPr>
                <w:spacing w:val="-2"/>
              </w:rPr>
              <w:t>.gada 1.</w:t>
            </w:r>
            <w:r w:rsidR="00B667BA" w:rsidRPr="00903CCF">
              <w:rPr>
                <w:spacing w:val="-2"/>
              </w:rPr>
              <w:t>jūlijā</w:t>
            </w:r>
            <w:r w:rsidR="00393A77" w:rsidRPr="00903CCF">
              <w:rPr>
                <w:spacing w:val="-2"/>
              </w:rPr>
              <w:t>.</w:t>
            </w:r>
          </w:p>
        </w:tc>
      </w:tr>
    </w:tbl>
    <w:p w14:paraId="20582664" w14:textId="77777777" w:rsidR="005D5DCB" w:rsidRPr="00903CCF" w:rsidRDefault="005D5DCB" w:rsidP="000602B5">
      <w:pPr>
        <w:pStyle w:val="naisf"/>
        <w:spacing w:before="0" w:after="0"/>
        <w:ind w:right="140" w:firstLine="374"/>
        <w:jc w:val="center"/>
        <w:rPr>
          <w:spacing w:val="-2"/>
        </w:rPr>
      </w:pPr>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2423"/>
        <w:gridCol w:w="6207"/>
      </w:tblGrid>
      <w:tr w:rsidR="0033686E" w:rsidRPr="00903CCF" w14:paraId="6601BC47" w14:textId="77777777" w:rsidTr="00E92F84">
        <w:trPr>
          <w:trHeight w:val="419"/>
        </w:trPr>
        <w:tc>
          <w:tcPr>
            <w:tcW w:w="5000" w:type="pct"/>
            <w:gridSpan w:val="3"/>
            <w:vAlign w:val="center"/>
          </w:tcPr>
          <w:p w14:paraId="70C58EBC" w14:textId="77777777" w:rsidR="005D5DCB" w:rsidRPr="00903CCF" w:rsidRDefault="005D5DCB" w:rsidP="000602B5">
            <w:pPr>
              <w:pStyle w:val="naisnod"/>
              <w:spacing w:before="0" w:after="0"/>
              <w:ind w:left="57" w:right="140"/>
              <w:rPr>
                <w:b w:val="0"/>
                <w:spacing w:val="-2"/>
                <w:lang w:val="lv-LV"/>
              </w:rPr>
            </w:pPr>
            <w:r w:rsidRPr="00903CCF">
              <w:rPr>
                <w:spacing w:val="-2"/>
                <w:lang w:val="lv-LV"/>
              </w:rPr>
              <w:t>I. Tiesību akta projekta izstrādes nepieciešamība</w:t>
            </w:r>
          </w:p>
        </w:tc>
      </w:tr>
      <w:tr w:rsidR="0033686E" w:rsidRPr="00903CCF" w14:paraId="2E382834" w14:textId="77777777" w:rsidTr="00E92F84">
        <w:trPr>
          <w:trHeight w:val="415"/>
        </w:trPr>
        <w:tc>
          <w:tcPr>
            <w:tcW w:w="309" w:type="pct"/>
          </w:tcPr>
          <w:p w14:paraId="6BA0E4E7" w14:textId="77777777" w:rsidR="005D5DCB" w:rsidRPr="00903CCF" w:rsidRDefault="005D5DCB" w:rsidP="000602B5">
            <w:pPr>
              <w:pStyle w:val="naiskr"/>
              <w:spacing w:before="0" w:after="0"/>
              <w:ind w:left="57" w:right="140"/>
              <w:jc w:val="center"/>
              <w:rPr>
                <w:spacing w:val="-2"/>
              </w:rPr>
            </w:pPr>
            <w:r w:rsidRPr="00903CCF">
              <w:rPr>
                <w:spacing w:val="-2"/>
              </w:rPr>
              <w:t>1.</w:t>
            </w:r>
          </w:p>
        </w:tc>
        <w:tc>
          <w:tcPr>
            <w:tcW w:w="1317" w:type="pct"/>
          </w:tcPr>
          <w:p w14:paraId="167A6E74" w14:textId="77777777" w:rsidR="005D5DCB" w:rsidRPr="00903CCF" w:rsidRDefault="005D5DCB" w:rsidP="000602B5">
            <w:pPr>
              <w:pStyle w:val="naiskr"/>
              <w:spacing w:before="0" w:after="0"/>
              <w:ind w:left="57" w:right="140"/>
              <w:jc w:val="both"/>
              <w:rPr>
                <w:spacing w:val="-2"/>
              </w:rPr>
            </w:pPr>
            <w:r w:rsidRPr="00903CCF">
              <w:rPr>
                <w:spacing w:val="-2"/>
              </w:rPr>
              <w:t>Pamatojums</w:t>
            </w:r>
          </w:p>
        </w:tc>
        <w:tc>
          <w:tcPr>
            <w:tcW w:w="3373" w:type="pct"/>
          </w:tcPr>
          <w:p w14:paraId="455D536C" w14:textId="4BE59707" w:rsidR="0072037E" w:rsidRPr="00903CCF" w:rsidRDefault="00EC76ED" w:rsidP="000602B5">
            <w:pPr>
              <w:ind w:right="140"/>
              <w:jc w:val="both"/>
              <w:rPr>
                <w:rFonts w:eastAsiaTheme="minorHAnsi"/>
                <w:spacing w:val="-2"/>
                <w:lang w:eastAsia="en-US"/>
              </w:rPr>
            </w:pPr>
            <w:r w:rsidRPr="00903CCF">
              <w:rPr>
                <w:spacing w:val="-2"/>
              </w:rPr>
              <w:t xml:space="preserve">Ar </w:t>
            </w:r>
            <w:r w:rsidR="0072037E" w:rsidRPr="00903CCF">
              <w:rPr>
                <w:spacing w:val="-2"/>
              </w:rPr>
              <w:t xml:space="preserve">Ministru kabineta </w:t>
            </w:r>
            <w:r w:rsidR="00DB1040" w:rsidRPr="00903CCF">
              <w:rPr>
                <w:spacing w:val="-2"/>
                <w:shd w:val="clear" w:color="auto" w:fill="FFFFFF"/>
              </w:rPr>
              <w:t>2019.gada 7.</w:t>
            </w:r>
            <w:r w:rsidR="0072037E" w:rsidRPr="00903CCF">
              <w:rPr>
                <w:spacing w:val="-2"/>
                <w:shd w:val="clear" w:color="auto" w:fill="FFFFFF"/>
              </w:rPr>
              <w:t>maija rīkojum</w:t>
            </w:r>
            <w:r w:rsidRPr="00903CCF">
              <w:rPr>
                <w:spacing w:val="-2"/>
                <w:shd w:val="clear" w:color="auto" w:fill="FFFFFF"/>
              </w:rPr>
              <w:t>u</w:t>
            </w:r>
            <w:r w:rsidR="0072037E" w:rsidRPr="00903CCF">
              <w:rPr>
                <w:spacing w:val="-2"/>
                <w:shd w:val="clear" w:color="auto" w:fill="FFFFFF"/>
              </w:rPr>
              <w:t xml:space="preserve"> Nr.210 “</w:t>
            </w:r>
            <w:r w:rsidR="0072037E" w:rsidRPr="00903CCF">
              <w:rPr>
                <w:rFonts w:eastAsiaTheme="minorHAnsi"/>
                <w:spacing w:val="-2"/>
                <w:lang w:eastAsia="en-US"/>
              </w:rPr>
              <w:t xml:space="preserve">Par Valdības rīcības plānu Deklarācijas par Artura Krišjāņa Kariņa vadītā Ministru kabineta iecerēto darbību īstenošanai” </w:t>
            </w:r>
            <w:r w:rsidRPr="00903CCF">
              <w:rPr>
                <w:rFonts w:eastAsiaTheme="minorHAnsi"/>
                <w:spacing w:val="-2"/>
                <w:lang w:eastAsia="en-US"/>
              </w:rPr>
              <w:t xml:space="preserve">apstiprinātā Valdības rīcības plāna Deklarācijas par Artura Krišjāņa Kariņa vadītā Ministru kabineta iecerēto darbību īstenošanai (turpmāk – Valdības rīcības plāns) </w:t>
            </w:r>
            <w:r w:rsidR="00DB1040" w:rsidRPr="00903CCF">
              <w:rPr>
                <w:rFonts w:eastAsiaTheme="minorHAnsi"/>
                <w:spacing w:val="-2"/>
                <w:lang w:eastAsia="en-US"/>
              </w:rPr>
              <w:t>uzdevum</w:t>
            </w:r>
            <w:r w:rsidRPr="00903CCF">
              <w:rPr>
                <w:rFonts w:eastAsiaTheme="minorHAnsi"/>
                <w:spacing w:val="-2"/>
                <w:lang w:eastAsia="en-US"/>
              </w:rPr>
              <w:t>s</w:t>
            </w:r>
            <w:r w:rsidR="0072037E" w:rsidRPr="00903CCF">
              <w:rPr>
                <w:rFonts w:eastAsiaTheme="minorHAnsi"/>
                <w:spacing w:val="-2"/>
                <w:lang w:eastAsia="en-US"/>
              </w:rPr>
              <w:t xml:space="preserve"> Nr.</w:t>
            </w:r>
            <w:r w:rsidR="0072037E" w:rsidRPr="00903CCF">
              <w:rPr>
                <w:spacing w:val="-2"/>
                <w:shd w:val="clear" w:color="auto" w:fill="FFFFFF"/>
              </w:rPr>
              <w:t xml:space="preserve">011 </w:t>
            </w:r>
            <w:r w:rsidR="00DB1040" w:rsidRPr="00903CCF">
              <w:rPr>
                <w:spacing w:val="-2"/>
                <w:shd w:val="clear" w:color="auto" w:fill="FFFFFF"/>
              </w:rPr>
              <w:t>pasākums</w:t>
            </w:r>
            <w:r w:rsidR="0072037E" w:rsidRPr="00903CCF">
              <w:rPr>
                <w:spacing w:val="-2"/>
                <w:shd w:val="clear" w:color="auto" w:fill="FFFFFF"/>
              </w:rPr>
              <w:t xml:space="preserve"> Nr.11.2.</w:t>
            </w:r>
          </w:p>
          <w:p w14:paraId="00850DA3" w14:textId="77777777" w:rsidR="00DB1040" w:rsidRPr="00903CCF" w:rsidRDefault="005D5DCB" w:rsidP="000602B5">
            <w:pPr>
              <w:ind w:right="140"/>
              <w:jc w:val="both"/>
              <w:rPr>
                <w:rFonts w:eastAsiaTheme="minorHAnsi"/>
                <w:spacing w:val="-2"/>
                <w:lang w:eastAsia="en-US"/>
              </w:rPr>
            </w:pPr>
            <w:r w:rsidRPr="00903CCF">
              <w:rPr>
                <w:rFonts w:eastAsiaTheme="minorHAnsi"/>
                <w:spacing w:val="-2"/>
                <w:lang w:eastAsia="en-US"/>
              </w:rPr>
              <w:t>Ministru kabineta 2020.gada 2</w:t>
            </w:r>
            <w:r w:rsidR="0003577A" w:rsidRPr="00903CCF">
              <w:rPr>
                <w:rFonts w:eastAsiaTheme="minorHAnsi"/>
                <w:spacing w:val="-2"/>
                <w:lang w:eastAsia="en-US"/>
              </w:rPr>
              <w:t>2</w:t>
            </w:r>
            <w:r w:rsidRPr="00903CCF">
              <w:rPr>
                <w:rFonts w:eastAsiaTheme="minorHAnsi"/>
                <w:spacing w:val="-2"/>
                <w:lang w:eastAsia="en-US"/>
              </w:rPr>
              <w:t>.septembra sēdes protokola Nr.5</w:t>
            </w:r>
            <w:r w:rsidR="0003577A" w:rsidRPr="00903CCF">
              <w:rPr>
                <w:rFonts w:eastAsiaTheme="minorHAnsi"/>
                <w:spacing w:val="-2"/>
                <w:lang w:eastAsia="en-US"/>
              </w:rPr>
              <w:t>5</w:t>
            </w:r>
            <w:r w:rsidRPr="00903CCF">
              <w:rPr>
                <w:rFonts w:eastAsiaTheme="minorHAnsi"/>
                <w:spacing w:val="-2"/>
                <w:lang w:eastAsia="en-US"/>
              </w:rPr>
              <w:t xml:space="preserve"> </w:t>
            </w:r>
            <w:r w:rsidR="0003577A" w:rsidRPr="00903CCF">
              <w:rPr>
                <w:rFonts w:eastAsiaTheme="minorHAnsi"/>
                <w:spacing w:val="-2"/>
                <w:lang w:eastAsia="en-US"/>
              </w:rPr>
              <w:t>38</w:t>
            </w:r>
            <w:r w:rsidR="005E1F20" w:rsidRPr="00903CCF">
              <w:rPr>
                <w:rFonts w:eastAsiaTheme="minorHAnsi"/>
                <w:spacing w:val="-2"/>
                <w:lang w:eastAsia="en-US"/>
              </w:rPr>
              <w:t>.</w:t>
            </w:r>
            <w:r w:rsidRPr="00903CCF">
              <w:rPr>
                <w:rFonts w:eastAsiaTheme="minorHAnsi"/>
                <w:spacing w:val="-2"/>
                <w:lang w:eastAsia="en-US"/>
              </w:rPr>
              <w:t xml:space="preserve">§ </w:t>
            </w:r>
            <w:r w:rsidR="0003577A" w:rsidRPr="00903CCF">
              <w:rPr>
                <w:rFonts w:eastAsiaTheme="minorHAnsi"/>
                <w:spacing w:val="-2"/>
                <w:lang w:eastAsia="en-US"/>
              </w:rPr>
              <w:t>5</w:t>
            </w:r>
            <w:r w:rsidRPr="00903CCF">
              <w:rPr>
                <w:rFonts w:eastAsiaTheme="minorHAnsi"/>
                <w:spacing w:val="-2"/>
                <w:lang w:eastAsia="en-US"/>
              </w:rPr>
              <w:t>.punkts</w:t>
            </w:r>
            <w:r w:rsidR="00B667BA" w:rsidRPr="00903CCF">
              <w:rPr>
                <w:rFonts w:eastAsiaTheme="minorHAnsi"/>
                <w:spacing w:val="-2"/>
                <w:lang w:eastAsia="en-US"/>
              </w:rPr>
              <w:t>.</w:t>
            </w:r>
            <w:r w:rsidR="0072037E" w:rsidRPr="00903CCF">
              <w:rPr>
                <w:rFonts w:eastAsiaTheme="minorHAnsi"/>
                <w:spacing w:val="-2"/>
                <w:lang w:eastAsia="en-US"/>
              </w:rPr>
              <w:t xml:space="preserve"> </w:t>
            </w:r>
          </w:p>
          <w:p w14:paraId="06E58551" w14:textId="0DE2B76C" w:rsidR="00B667BA" w:rsidRPr="00903CCF" w:rsidRDefault="0072037E" w:rsidP="000602B5">
            <w:pPr>
              <w:ind w:right="140"/>
              <w:jc w:val="both"/>
              <w:rPr>
                <w:rFonts w:eastAsiaTheme="minorHAnsi"/>
                <w:bCs/>
                <w:i/>
                <w:spacing w:val="-2"/>
                <w:shd w:val="clear" w:color="auto" w:fill="FFFFFF"/>
                <w:lang w:eastAsia="en-US"/>
              </w:rPr>
            </w:pPr>
            <w:r w:rsidRPr="00903CCF">
              <w:rPr>
                <w:rFonts w:eastAsiaTheme="minorHAnsi"/>
                <w:spacing w:val="-2"/>
                <w:lang w:eastAsia="en-US"/>
              </w:rPr>
              <w:t>Finanšu ministrijas iniciatīva</w:t>
            </w:r>
            <w:r w:rsidR="000602B5" w:rsidRPr="00903CCF">
              <w:rPr>
                <w:rFonts w:eastAsiaTheme="minorHAnsi"/>
                <w:spacing w:val="-2"/>
                <w:lang w:eastAsia="en-US"/>
              </w:rPr>
              <w:t>.</w:t>
            </w:r>
          </w:p>
        </w:tc>
      </w:tr>
      <w:tr w:rsidR="0033686E" w:rsidRPr="00903CCF" w14:paraId="59F03F78" w14:textId="77777777" w:rsidTr="00E92F84">
        <w:trPr>
          <w:trHeight w:val="699"/>
        </w:trPr>
        <w:tc>
          <w:tcPr>
            <w:tcW w:w="309" w:type="pct"/>
          </w:tcPr>
          <w:p w14:paraId="3B6B1A13" w14:textId="77777777" w:rsidR="005D5DCB" w:rsidRPr="00903CCF" w:rsidRDefault="005D5DCB" w:rsidP="000602B5">
            <w:pPr>
              <w:pStyle w:val="naiskr"/>
              <w:spacing w:before="0" w:after="0"/>
              <w:ind w:left="57" w:right="140"/>
              <w:jc w:val="center"/>
              <w:rPr>
                <w:spacing w:val="-2"/>
              </w:rPr>
            </w:pPr>
            <w:r w:rsidRPr="00903CCF">
              <w:rPr>
                <w:spacing w:val="-2"/>
              </w:rPr>
              <w:t>2.</w:t>
            </w:r>
          </w:p>
        </w:tc>
        <w:tc>
          <w:tcPr>
            <w:tcW w:w="1317" w:type="pct"/>
          </w:tcPr>
          <w:p w14:paraId="16D413CF" w14:textId="77777777" w:rsidR="005D5DCB" w:rsidRPr="00903CCF" w:rsidRDefault="005D5DCB" w:rsidP="000602B5">
            <w:pPr>
              <w:pStyle w:val="naiskr"/>
              <w:tabs>
                <w:tab w:val="left" w:pos="170"/>
              </w:tabs>
              <w:spacing w:before="0" w:after="0"/>
              <w:ind w:left="57" w:right="140"/>
              <w:rPr>
                <w:spacing w:val="-2"/>
              </w:rPr>
            </w:pPr>
            <w:r w:rsidRPr="00903CCF">
              <w:rPr>
                <w:spacing w:val="-2"/>
              </w:rPr>
              <w:t>Pašreizējā situācija un problēmas, kuru risināšanai tiesību akta projekts izstrādāts, tiesiskā regulējuma mērķis un būtība</w:t>
            </w:r>
          </w:p>
        </w:tc>
        <w:tc>
          <w:tcPr>
            <w:tcW w:w="3373" w:type="pct"/>
          </w:tcPr>
          <w:p w14:paraId="747A0DC9" w14:textId="001FC4D4" w:rsidR="00DB1040" w:rsidRPr="00903CCF" w:rsidRDefault="00EC76ED" w:rsidP="000602B5">
            <w:pPr>
              <w:ind w:right="140"/>
              <w:jc w:val="both"/>
              <w:rPr>
                <w:rFonts w:eastAsiaTheme="minorHAnsi"/>
                <w:spacing w:val="-2"/>
                <w:lang w:eastAsia="en-US"/>
              </w:rPr>
            </w:pPr>
            <w:r w:rsidRPr="00903CCF">
              <w:rPr>
                <w:rFonts w:eastAsiaTheme="minorHAnsi"/>
                <w:spacing w:val="-2"/>
                <w:lang w:eastAsia="en-US"/>
              </w:rPr>
              <w:t>Valdības rīcības plāna uzdevumā</w:t>
            </w:r>
            <w:r w:rsidR="00DB1040" w:rsidRPr="00903CCF">
              <w:rPr>
                <w:rFonts w:eastAsiaTheme="minorHAnsi"/>
                <w:spacing w:val="-2"/>
                <w:lang w:eastAsia="en-US"/>
              </w:rPr>
              <w:t xml:space="preserve"> Nr.</w:t>
            </w:r>
            <w:r w:rsidR="00DB1040" w:rsidRPr="00903CCF">
              <w:rPr>
                <w:spacing w:val="-2"/>
                <w:shd w:val="clear" w:color="auto" w:fill="FFFFFF"/>
              </w:rPr>
              <w:t xml:space="preserve">011 </w:t>
            </w:r>
            <w:r w:rsidRPr="00903CCF">
              <w:rPr>
                <w:spacing w:val="-2"/>
                <w:shd w:val="clear" w:color="auto" w:fill="FFFFFF"/>
              </w:rPr>
              <w:t xml:space="preserve">iekļautais </w:t>
            </w:r>
            <w:r w:rsidR="00DB1040" w:rsidRPr="00903CCF">
              <w:rPr>
                <w:spacing w:val="-2"/>
                <w:shd w:val="clear" w:color="auto" w:fill="FFFFFF"/>
              </w:rPr>
              <w:t xml:space="preserve">pasākums Nr.11.2. paredz - sadarbībā ar finanšu nozari izvērtēt iespēju ieviest brīvprātīgu risinājumu nodokļu maksātājiem, kuri maksā nodokli no apgrozījuma,  saimnieciskās darbības ieņēmumu kontu. </w:t>
            </w:r>
            <w:r w:rsidRPr="00903CCF">
              <w:rPr>
                <w:spacing w:val="-2"/>
                <w:shd w:val="clear" w:color="auto" w:fill="FFFFFF"/>
              </w:rPr>
              <w:t>Ieviešot m</w:t>
            </w:r>
            <w:r w:rsidR="00DB1040" w:rsidRPr="00903CCF">
              <w:rPr>
                <w:spacing w:val="-2"/>
                <w:shd w:val="clear" w:color="auto" w:fill="FFFFFF"/>
              </w:rPr>
              <w:t>inēt</w:t>
            </w:r>
            <w:r w:rsidRPr="00903CCF">
              <w:rPr>
                <w:spacing w:val="-2"/>
                <w:shd w:val="clear" w:color="auto" w:fill="FFFFFF"/>
              </w:rPr>
              <w:t>o pasākumu, sasniedzamais mērķis</w:t>
            </w:r>
            <w:r w:rsidR="00DB1040" w:rsidRPr="00903CCF">
              <w:rPr>
                <w:spacing w:val="-2"/>
                <w:shd w:val="clear" w:color="auto" w:fill="FFFFFF"/>
              </w:rPr>
              <w:t xml:space="preserve"> ir atvieglot mazajiem un vidējiem uzņēmumiem birokrātiskos procesus un samazināt administratīvo slogu, radot motivējošu vidi nodokļu samaksai.</w:t>
            </w:r>
          </w:p>
          <w:p w14:paraId="277977FB" w14:textId="2860545D" w:rsidR="009C2330" w:rsidRPr="00903CCF" w:rsidRDefault="00484868" w:rsidP="000602B5">
            <w:pPr>
              <w:ind w:right="140"/>
              <w:jc w:val="both"/>
              <w:rPr>
                <w:rFonts w:eastAsia="Calibri"/>
                <w:spacing w:val="-2"/>
                <w:lang w:eastAsia="en-US"/>
              </w:rPr>
            </w:pPr>
            <w:r w:rsidRPr="00903CCF">
              <w:rPr>
                <w:spacing w:val="-2"/>
              </w:rPr>
              <w:t>Saskaņā ar Ministru kabineta 2020.gada 22.septembra sēdes protokola Nr.55 38</w:t>
            </w:r>
            <w:r w:rsidR="005E1F20" w:rsidRPr="00903CCF">
              <w:rPr>
                <w:spacing w:val="-2"/>
              </w:rPr>
              <w:t>.</w:t>
            </w:r>
            <w:r w:rsidRPr="00903CCF">
              <w:rPr>
                <w:spacing w:val="-2"/>
              </w:rPr>
              <w:t xml:space="preserve">§ 5.punktu Finanšu ministrijai uzdots </w:t>
            </w:r>
            <w:r w:rsidRPr="00903CCF">
              <w:rPr>
                <w:rFonts w:eastAsia="Calibri"/>
                <w:spacing w:val="-2"/>
                <w:lang w:eastAsia="en-US"/>
              </w:rPr>
              <w:t>līdz 2021.gada 1.februārim iesniegt izskatīšanai Ministru kabinetā normatīvo aktu projektus, lai noteiktu vienkāršotu nodokļ</w:t>
            </w:r>
            <w:r w:rsidR="00AD2ECE" w:rsidRPr="00903CCF">
              <w:rPr>
                <w:rFonts w:eastAsia="Calibri"/>
                <w:spacing w:val="-2"/>
                <w:lang w:eastAsia="en-US"/>
              </w:rPr>
              <w:t>a</w:t>
            </w:r>
            <w:r w:rsidRPr="00903CCF">
              <w:rPr>
                <w:rFonts w:eastAsia="Calibri"/>
                <w:spacing w:val="-2"/>
                <w:lang w:eastAsia="en-US"/>
              </w:rPr>
              <w:t xml:space="preserve"> nomaksas risinājumu. </w:t>
            </w:r>
          </w:p>
          <w:p w14:paraId="349F1ED3" w14:textId="779F56CB" w:rsidR="0072037E" w:rsidRPr="00903CCF" w:rsidRDefault="00DB1040" w:rsidP="000602B5">
            <w:pPr>
              <w:ind w:right="140"/>
              <w:jc w:val="both"/>
              <w:rPr>
                <w:rFonts w:eastAsia="Calibri"/>
                <w:spacing w:val="-2"/>
                <w:lang w:eastAsia="en-US"/>
              </w:rPr>
            </w:pPr>
            <w:r w:rsidRPr="00903CCF">
              <w:rPr>
                <w:rFonts w:eastAsia="Calibri"/>
                <w:spacing w:val="-2"/>
                <w:lang w:eastAsia="en-US"/>
              </w:rPr>
              <w:t>Ņemot vērā minēto, l</w:t>
            </w:r>
            <w:r w:rsidR="0072037E" w:rsidRPr="00903CCF">
              <w:rPr>
                <w:rFonts w:eastAsia="Calibri"/>
                <w:spacing w:val="-2"/>
                <w:lang w:eastAsia="en-US"/>
              </w:rPr>
              <w:t xml:space="preserve">ai </w:t>
            </w:r>
            <w:r w:rsidR="00727959" w:rsidRPr="00903CCF">
              <w:rPr>
                <w:spacing w:val="-2"/>
                <w:shd w:val="clear" w:color="auto" w:fill="FFFFFF"/>
              </w:rPr>
              <w:t xml:space="preserve">radītu motivējošu vidi nodokļu samaksai, </w:t>
            </w:r>
            <w:r w:rsidR="00727959" w:rsidRPr="00903CCF">
              <w:rPr>
                <w:rFonts w:eastAsia="Calibri"/>
                <w:spacing w:val="-2"/>
                <w:lang w:eastAsia="en-US"/>
              </w:rPr>
              <w:t>mazinā</w:t>
            </w:r>
            <w:r w:rsidR="0072037E" w:rsidRPr="00903CCF">
              <w:rPr>
                <w:rFonts w:eastAsia="Calibri"/>
                <w:spacing w:val="-2"/>
                <w:lang w:eastAsia="en-US"/>
              </w:rPr>
              <w:t>t</w:t>
            </w:r>
            <w:r w:rsidR="00727959" w:rsidRPr="00903CCF">
              <w:rPr>
                <w:rFonts w:eastAsia="Calibri"/>
                <w:spacing w:val="-2"/>
                <w:lang w:eastAsia="en-US"/>
              </w:rPr>
              <w:t>u</w:t>
            </w:r>
            <w:r w:rsidR="0072037E" w:rsidRPr="00903CCF">
              <w:rPr>
                <w:rFonts w:eastAsia="Calibri"/>
                <w:spacing w:val="-2"/>
                <w:lang w:eastAsia="en-US"/>
              </w:rPr>
              <w:t xml:space="preserve"> administratīvo slogu,</w:t>
            </w:r>
            <w:r w:rsidR="00727959" w:rsidRPr="00903CCF">
              <w:rPr>
                <w:rFonts w:eastAsia="Calibri"/>
                <w:spacing w:val="-2"/>
                <w:lang w:eastAsia="en-US"/>
              </w:rPr>
              <w:t xml:space="preserve"> ierobežotu ēnu ekonomiku, radītu modernu un uz jaunākajām tehnoloģijām balstītu nodokļ</w:t>
            </w:r>
            <w:r w:rsidR="00EC76ED" w:rsidRPr="00903CCF">
              <w:rPr>
                <w:rFonts w:eastAsia="Calibri"/>
                <w:spacing w:val="-2"/>
                <w:lang w:eastAsia="en-US"/>
              </w:rPr>
              <w:t>u</w:t>
            </w:r>
            <w:r w:rsidR="00727959" w:rsidRPr="00903CCF">
              <w:rPr>
                <w:rFonts w:eastAsia="Calibri"/>
                <w:spacing w:val="-2"/>
                <w:lang w:eastAsia="en-US"/>
              </w:rPr>
              <w:t xml:space="preserve"> administrēšanas rīku, tādējādi </w:t>
            </w:r>
            <w:r w:rsidR="0072037E" w:rsidRPr="00903CCF">
              <w:rPr>
                <w:rFonts w:eastAsia="Calibri"/>
                <w:spacing w:val="-2"/>
                <w:lang w:eastAsia="en-US"/>
              </w:rPr>
              <w:t>sekmē</w:t>
            </w:r>
            <w:r w:rsidR="00727959" w:rsidRPr="00903CCF">
              <w:rPr>
                <w:rFonts w:eastAsia="Calibri"/>
                <w:spacing w:val="-2"/>
                <w:lang w:eastAsia="en-US"/>
              </w:rPr>
              <w:t>jot</w:t>
            </w:r>
            <w:r w:rsidR="0072037E" w:rsidRPr="00903CCF">
              <w:rPr>
                <w:rFonts w:eastAsia="Calibri"/>
                <w:spacing w:val="-2"/>
                <w:lang w:eastAsia="en-US"/>
              </w:rPr>
              <w:t xml:space="preserve"> mazā biznesa attīstību,</w:t>
            </w:r>
            <w:r w:rsidR="00FB0CC6" w:rsidRPr="00903CCF">
              <w:rPr>
                <w:spacing w:val="-2"/>
                <w:shd w:val="clear" w:color="auto" w:fill="FFFFFF"/>
              </w:rPr>
              <w:t xml:space="preserve"> </w:t>
            </w:r>
            <w:r w:rsidRPr="00903CCF">
              <w:rPr>
                <w:rFonts w:eastAsia="Calibri"/>
                <w:spacing w:val="-2"/>
                <w:lang w:eastAsia="en-US"/>
              </w:rPr>
              <w:t xml:space="preserve">ir </w:t>
            </w:r>
            <w:r w:rsidR="00FB0CC6" w:rsidRPr="00903CCF">
              <w:rPr>
                <w:rFonts w:eastAsia="Calibri"/>
                <w:spacing w:val="-2"/>
                <w:lang w:eastAsia="en-US"/>
              </w:rPr>
              <w:t>nepieciešams</w:t>
            </w:r>
            <w:r w:rsidRPr="00903CCF">
              <w:rPr>
                <w:rFonts w:eastAsia="Calibri"/>
                <w:spacing w:val="-2"/>
                <w:lang w:eastAsia="en-US"/>
              </w:rPr>
              <w:t xml:space="preserve"> izstrādāt un ieviest vienkāršotu nodokļa nomaksas risinājumu, </w:t>
            </w:r>
            <w:r w:rsidR="00EC76ED" w:rsidRPr="00903CCF">
              <w:rPr>
                <w:rFonts w:eastAsia="Calibri"/>
                <w:spacing w:val="-2"/>
                <w:lang w:eastAsia="en-US"/>
              </w:rPr>
              <w:t>kas ļaus veikt nodokļa nomaksu, izmantojot</w:t>
            </w:r>
            <w:r w:rsidRPr="00903CCF">
              <w:rPr>
                <w:rFonts w:eastAsia="Calibri"/>
                <w:spacing w:val="-2"/>
                <w:lang w:eastAsia="en-US"/>
              </w:rPr>
              <w:t xml:space="preserve"> SDI kontu, kuru </w:t>
            </w:r>
            <w:r w:rsidR="00C745C5" w:rsidRPr="00903CCF">
              <w:rPr>
                <w:rFonts w:eastAsia="Calibri"/>
                <w:spacing w:val="-2"/>
                <w:lang w:eastAsia="en-US"/>
              </w:rPr>
              <w:t xml:space="preserve">paredzēts </w:t>
            </w:r>
            <w:r w:rsidRPr="00903CCF">
              <w:rPr>
                <w:rFonts w:eastAsia="Calibri"/>
                <w:spacing w:val="-2"/>
                <w:lang w:eastAsia="en-US"/>
              </w:rPr>
              <w:t>izmanto</w:t>
            </w:r>
            <w:r w:rsidR="00C745C5" w:rsidRPr="00903CCF">
              <w:rPr>
                <w:rFonts w:eastAsia="Calibri"/>
                <w:spacing w:val="-2"/>
                <w:lang w:eastAsia="en-US"/>
              </w:rPr>
              <w:t>t tikai</w:t>
            </w:r>
            <w:r w:rsidRPr="00903CCF">
              <w:rPr>
                <w:rFonts w:eastAsia="Calibri"/>
                <w:spacing w:val="-2"/>
                <w:lang w:eastAsia="en-US"/>
              </w:rPr>
              <w:t xml:space="preserve"> vienkāršot</w:t>
            </w:r>
            <w:r w:rsidR="000602B5" w:rsidRPr="00903CCF">
              <w:rPr>
                <w:rFonts w:eastAsia="Calibri"/>
                <w:spacing w:val="-2"/>
                <w:lang w:eastAsia="en-US"/>
              </w:rPr>
              <w:t>ā</w:t>
            </w:r>
            <w:r w:rsidRPr="00903CCF">
              <w:rPr>
                <w:rFonts w:eastAsia="Calibri"/>
                <w:spacing w:val="-2"/>
                <w:lang w:eastAsia="en-US"/>
              </w:rPr>
              <w:t xml:space="preserve"> nodokļa nomaksas risinājuma ietvaros. </w:t>
            </w:r>
          </w:p>
          <w:p w14:paraId="04163CFB" w14:textId="77777777" w:rsidR="00727959" w:rsidRPr="00903CCF" w:rsidRDefault="00727959" w:rsidP="000602B5">
            <w:pPr>
              <w:ind w:right="140"/>
              <w:jc w:val="both"/>
              <w:rPr>
                <w:rFonts w:eastAsia="Calibri"/>
                <w:spacing w:val="-2"/>
                <w:lang w:eastAsia="en-US"/>
              </w:rPr>
            </w:pPr>
            <w:r w:rsidRPr="00903CCF">
              <w:rPr>
                <w:rFonts w:eastAsia="Calibri"/>
                <w:spacing w:val="-2"/>
                <w:lang w:eastAsia="en-US"/>
              </w:rPr>
              <w:t>Likumprojektā ir paredzēts noteikt vispārējo regulējumu:</w:t>
            </w:r>
          </w:p>
          <w:p w14:paraId="26A9B6E3" w14:textId="25BCD00B" w:rsidR="00727959" w:rsidRPr="00903CCF" w:rsidRDefault="00727959" w:rsidP="000602B5">
            <w:pPr>
              <w:ind w:right="140"/>
              <w:jc w:val="both"/>
              <w:rPr>
                <w:rFonts w:eastAsia="Calibri"/>
                <w:spacing w:val="-2"/>
                <w:lang w:eastAsia="en-US"/>
              </w:rPr>
            </w:pPr>
            <w:r w:rsidRPr="00903CCF">
              <w:rPr>
                <w:rFonts w:eastAsia="Calibri"/>
                <w:spacing w:val="-2"/>
                <w:lang w:eastAsia="en-US"/>
              </w:rPr>
              <w:lastRenderedPageBreak/>
              <w:t>- vienkāršotā nodokļa nomaksas risinājuma</w:t>
            </w:r>
            <w:r w:rsidR="000602B5" w:rsidRPr="00903CCF">
              <w:rPr>
                <w:rFonts w:eastAsia="Calibri"/>
                <w:spacing w:val="-2"/>
                <w:lang w:eastAsia="en-US"/>
              </w:rPr>
              <w:t xml:space="preserve"> </w:t>
            </w:r>
            <w:r w:rsidRPr="00903CCF">
              <w:rPr>
                <w:rFonts w:eastAsia="Calibri"/>
                <w:spacing w:val="-2"/>
                <w:lang w:eastAsia="en-US"/>
              </w:rPr>
              <w:t>izmantošanai nodokļa aprēķināšanā, ieturēšanā un pārskaitīšanā vienotajā nodokļu kontā</w:t>
            </w:r>
            <w:r w:rsidR="000602B5" w:rsidRPr="00903CCF">
              <w:rPr>
                <w:rFonts w:eastAsia="Calibri"/>
                <w:spacing w:val="-2"/>
                <w:lang w:eastAsia="en-US"/>
              </w:rPr>
              <w:t>;</w:t>
            </w:r>
          </w:p>
          <w:p w14:paraId="7A122E02" w14:textId="32E7B22F" w:rsidR="00727959" w:rsidRPr="00903CCF" w:rsidRDefault="00727959" w:rsidP="000602B5">
            <w:pPr>
              <w:ind w:right="140"/>
              <w:jc w:val="both"/>
              <w:rPr>
                <w:rFonts w:eastAsia="Calibri"/>
                <w:spacing w:val="-2"/>
                <w:lang w:eastAsia="en-US"/>
              </w:rPr>
            </w:pPr>
            <w:r w:rsidRPr="00903CCF">
              <w:rPr>
                <w:rFonts w:eastAsia="Calibri"/>
                <w:spacing w:val="-2"/>
                <w:lang w:eastAsia="en-US"/>
              </w:rPr>
              <w:t>- attiecībā uz jautājumiem, kas un kā var pieteikties izmantot SDI kontu;</w:t>
            </w:r>
          </w:p>
          <w:p w14:paraId="572B6A8B" w14:textId="12F848BC" w:rsidR="00727959" w:rsidRPr="00903CCF" w:rsidRDefault="00727959" w:rsidP="000602B5">
            <w:pPr>
              <w:ind w:right="140"/>
              <w:jc w:val="both"/>
              <w:rPr>
                <w:rFonts w:eastAsia="Calibri"/>
                <w:spacing w:val="-2"/>
                <w:lang w:eastAsia="en-US"/>
              </w:rPr>
            </w:pPr>
            <w:r w:rsidRPr="00903CCF">
              <w:rPr>
                <w:rFonts w:eastAsia="Calibri"/>
                <w:spacing w:val="-2"/>
                <w:lang w:eastAsia="en-US"/>
              </w:rPr>
              <w:t>- par vienkāršotā nodokļa nomaksas risinājuma</w:t>
            </w:r>
            <w:r w:rsidR="009B65B4" w:rsidRPr="00903CCF">
              <w:rPr>
                <w:rFonts w:eastAsia="Calibri"/>
                <w:spacing w:val="-2"/>
                <w:lang w:eastAsia="en-US"/>
              </w:rPr>
              <w:t xml:space="preserve"> izmantošanas</w:t>
            </w:r>
            <w:r w:rsidRPr="00903CCF">
              <w:rPr>
                <w:rFonts w:eastAsia="Calibri"/>
                <w:spacing w:val="-2"/>
                <w:lang w:eastAsia="en-US"/>
              </w:rPr>
              <w:t xml:space="preserve"> izbeigšanas un apturēšanas</w:t>
            </w:r>
            <w:r w:rsidR="00C745C5" w:rsidRPr="00903CCF">
              <w:rPr>
                <w:rFonts w:eastAsia="Calibri"/>
                <w:spacing w:val="-2"/>
                <w:lang w:eastAsia="en-US"/>
              </w:rPr>
              <w:t xml:space="preserve"> kārtību un</w:t>
            </w:r>
            <w:r w:rsidRPr="00903CCF">
              <w:rPr>
                <w:rFonts w:eastAsia="Calibri"/>
                <w:spacing w:val="-2"/>
                <w:lang w:eastAsia="en-US"/>
              </w:rPr>
              <w:t xml:space="preserve"> nosacījumiem;</w:t>
            </w:r>
          </w:p>
          <w:p w14:paraId="3548DCCF" w14:textId="69BFF32E" w:rsidR="00727959" w:rsidRPr="00903CCF" w:rsidRDefault="00727959" w:rsidP="000602B5">
            <w:pPr>
              <w:ind w:right="140"/>
              <w:jc w:val="both"/>
              <w:rPr>
                <w:rFonts w:eastAsia="Calibri"/>
                <w:spacing w:val="-2"/>
                <w:lang w:eastAsia="en-US"/>
              </w:rPr>
            </w:pPr>
            <w:r w:rsidRPr="00903CCF">
              <w:rPr>
                <w:rFonts w:eastAsia="Calibri"/>
                <w:spacing w:val="-2"/>
                <w:lang w:eastAsia="en-US"/>
              </w:rPr>
              <w:t>- Valsts ieņēmumu dienesta (turpmāk – VID) un kredītiestāžu, kas saviem klientiem piedāvās SDI kon</w:t>
            </w:r>
            <w:r w:rsidR="00C745C5" w:rsidRPr="00903CCF">
              <w:rPr>
                <w:rFonts w:eastAsia="Calibri"/>
                <w:spacing w:val="-2"/>
                <w:lang w:eastAsia="en-US"/>
              </w:rPr>
              <w:t>t</w:t>
            </w:r>
            <w:r w:rsidRPr="00903CCF">
              <w:rPr>
                <w:rFonts w:eastAsia="Calibri"/>
                <w:spacing w:val="-2"/>
                <w:lang w:eastAsia="en-US"/>
              </w:rPr>
              <w:t>a pakalpojumu</w:t>
            </w:r>
            <w:r w:rsidR="00C745C5" w:rsidRPr="00903CCF">
              <w:rPr>
                <w:rFonts w:eastAsia="Calibri"/>
                <w:spacing w:val="-2"/>
                <w:lang w:eastAsia="en-US"/>
              </w:rPr>
              <w:t>,</w:t>
            </w:r>
            <w:r w:rsidR="009B65B4" w:rsidRPr="00903CCF">
              <w:rPr>
                <w:rFonts w:eastAsia="Calibri"/>
                <w:spacing w:val="-2"/>
                <w:lang w:eastAsia="en-US"/>
              </w:rPr>
              <w:t xml:space="preserve"> (turpmāk – kredītiestādes)</w:t>
            </w:r>
            <w:r w:rsidRPr="00903CCF">
              <w:rPr>
                <w:rFonts w:eastAsia="Calibri"/>
                <w:spacing w:val="-2"/>
                <w:lang w:eastAsia="en-US"/>
              </w:rPr>
              <w:t xml:space="preserve">, </w:t>
            </w:r>
            <w:r w:rsidR="009B65B4" w:rsidRPr="00903CCF">
              <w:rPr>
                <w:rFonts w:eastAsia="Calibri"/>
                <w:spacing w:val="-2"/>
                <w:lang w:eastAsia="en-US"/>
              </w:rPr>
              <w:t>pienākumiem vienkāršotā nodokļa nomaksas risinājuma īstenošanas nodrošināšanā</w:t>
            </w:r>
            <w:r w:rsidRPr="00903CCF">
              <w:rPr>
                <w:rFonts w:eastAsia="Calibri"/>
                <w:spacing w:val="-2"/>
                <w:lang w:eastAsia="en-US"/>
              </w:rPr>
              <w:t>;</w:t>
            </w:r>
          </w:p>
          <w:p w14:paraId="6F39B0CC" w14:textId="2E0320B4" w:rsidR="00727959" w:rsidRPr="00903CCF" w:rsidRDefault="00727959" w:rsidP="000602B5">
            <w:pPr>
              <w:ind w:right="140"/>
              <w:jc w:val="both"/>
              <w:rPr>
                <w:rFonts w:eastAsia="Calibri"/>
                <w:spacing w:val="-2"/>
                <w:lang w:eastAsia="en-US"/>
              </w:rPr>
            </w:pPr>
            <w:r w:rsidRPr="00903CCF">
              <w:rPr>
                <w:rFonts w:eastAsia="Calibri"/>
                <w:spacing w:val="-2"/>
                <w:lang w:eastAsia="en-US"/>
              </w:rPr>
              <w:t>- </w:t>
            </w:r>
            <w:r w:rsidR="009B65B4" w:rsidRPr="00903CCF">
              <w:rPr>
                <w:rFonts w:eastAsia="Calibri"/>
                <w:spacing w:val="-2"/>
                <w:lang w:eastAsia="en-US"/>
              </w:rPr>
              <w:t>VID un kredītiestāžu informācijas apmaiņas nosacījumus vienkāršotā nodokļa nomaksas risinājuma ietvaros.</w:t>
            </w:r>
          </w:p>
          <w:p w14:paraId="418022D2" w14:textId="7FF4E2DF" w:rsidR="000602B5" w:rsidRPr="00903CCF" w:rsidRDefault="000602B5" w:rsidP="000602B5">
            <w:pPr>
              <w:ind w:right="140"/>
              <w:jc w:val="both"/>
              <w:rPr>
                <w:rFonts w:eastAsia="Calibri"/>
                <w:bCs/>
                <w:spacing w:val="-2"/>
                <w:lang w:eastAsia="en-US"/>
              </w:rPr>
            </w:pPr>
            <w:r w:rsidRPr="00903CCF">
              <w:rPr>
                <w:rFonts w:eastAsia="Calibri"/>
                <w:bCs/>
                <w:spacing w:val="-2"/>
                <w:lang w:eastAsia="en-US"/>
              </w:rPr>
              <w:t>Likumprojektā tiek noteikts vienkāršotā nodokļa nomaksas risinājuma regulējums, t.i., regulējums risinājumam</w:t>
            </w:r>
            <w:r w:rsidR="00B323CC" w:rsidRPr="00903CCF">
              <w:rPr>
                <w:rFonts w:eastAsia="Calibri"/>
                <w:bCs/>
                <w:spacing w:val="-2"/>
                <w:lang w:eastAsia="en-US"/>
              </w:rPr>
              <w:t xml:space="preserve"> un tā īstenošanas nodrošināšanai. Savukārt detalizēti nosacījumi par to, kas un kādos gadījumos, kādu nodokļu iekasēšanā to var izmantot, tiks noteikti konkrēto nodokļu likumos. Sākotnēji ir plānots, ka vienkāršoto nodokļa nomaksas risinājuma varēs izmantot </w:t>
            </w:r>
            <w:proofErr w:type="spellStart"/>
            <w:r w:rsidR="00B323CC" w:rsidRPr="00903CCF">
              <w:rPr>
                <w:rFonts w:eastAsia="Calibri"/>
                <w:bCs/>
                <w:spacing w:val="-2"/>
                <w:lang w:eastAsia="en-US"/>
              </w:rPr>
              <w:t>mikrouzņēmumu</w:t>
            </w:r>
            <w:proofErr w:type="spellEnd"/>
            <w:r w:rsidR="00B323CC" w:rsidRPr="00903CCF">
              <w:rPr>
                <w:rFonts w:eastAsia="Calibri"/>
                <w:bCs/>
                <w:spacing w:val="-2"/>
                <w:lang w:eastAsia="en-US"/>
              </w:rPr>
              <w:t xml:space="preserve"> nodokļa maksātāji. Tādējādi papildus likumprojektam (vienotā likumprojektu paketē) tiks virzīti grozījumi </w:t>
            </w:r>
            <w:proofErr w:type="spellStart"/>
            <w:r w:rsidR="00B323CC" w:rsidRPr="00903CCF">
              <w:rPr>
                <w:rFonts w:eastAsia="Calibri"/>
                <w:bCs/>
                <w:spacing w:val="-2"/>
                <w:lang w:eastAsia="en-US"/>
              </w:rPr>
              <w:t>Mikrouzņēmumu</w:t>
            </w:r>
            <w:proofErr w:type="spellEnd"/>
            <w:r w:rsidR="00B323CC" w:rsidRPr="00903CCF">
              <w:rPr>
                <w:rFonts w:eastAsia="Calibri"/>
                <w:bCs/>
                <w:spacing w:val="-2"/>
                <w:lang w:eastAsia="en-US"/>
              </w:rPr>
              <w:t xml:space="preserve"> nodokļa likumā, lai tajā noteiktu regulējumu par </w:t>
            </w:r>
            <w:proofErr w:type="spellStart"/>
            <w:r w:rsidR="00B323CC" w:rsidRPr="00903CCF">
              <w:rPr>
                <w:rFonts w:eastAsia="Calibri"/>
                <w:bCs/>
                <w:spacing w:val="-2"/>
                <w:lang w:eastAsia="en-US"/>
              </w:rPr>
              <w:t>mikrouzņēmumu</w:t>
            </w:r>
            <w:proofErr w:type="spellEnd"/>
            <w:r w:rsidR="00B323CC" w:rsidRPr="00903CCF">
              <w:rPr>
                <w:rFonts w:eastAsia="Calibri"/>
                <w:bCs/>
                <w:spacing w:val="-2"/>
                <w:lang w:eastAsia="en-US"/>
              </w:rPr>
              <w:t xml:space="preserve"> nodokļa iekasēšanu, izmantojot vienkāršoto nodokļa nomaksas risinājumu. </w:t>
            </w:r>
          </w:p>
          <w:p w14:paraId="09F831A1" w14:textId="0C194BDD" w:rsidR="009B65B4" w:rsidRPr="00903CCF" w:rsidRDefault="009B65B4" w:rsidP="000602B5">
            <w:pPr>
              <w:ind w:right="140"/>
              <w:jc w:val="center"/>
              <w:rPr>
                <w:rFonts w:eastAsia="Calibri"/>
                <w:b/>
                <w:spacing w:val="-2"/>
                <w:lang w:eastAsia="en-US"/>
              </w:rPr>
            </w:pPr>
            <w:r w:rsidRPr="00903CCF">
              <w:rPr>
                <w:rFonts w:eastAsia="Calibri"/>
                <w:b/>
                <w:spacing w:val="-2"/>
                <w:lang w:eastAsia="en-US"/>
              </w:rPr>
              <w:t>Likumprojektā ietvertā regulējuma būtība:</w:t>
            </w:r>
          </w:p>
          <w:p w14:paraId="4D559CF5" w14:textId="0EA3D841" w:rsidR="009B65B4" w:rsidRPr="00903CCF" w:rsidRDefault="009B65B4" w:rsidP="000602B5">
            <w:pPr>
              <w:ind w:right="140"/>
              <w:jc w:val="both"/>
              <w:rPr>
                <w:rFonts w:eastAsia="Calibri"/>
                <w:b/>
                <w:spacing w:val="-2"/>
                <w:u w:val="single"/>
                <w:lang w:eastAsia="en-US"/>
              </w:rPr>
            </w:pPr>
            <w:r w:rsidRPr="00903CCF">
              <w:rPr>
                <w:rFonts w:eastAsia="Calibri"/>
                <w:b/>
                <w:spacing w:val="-2"/>
                <w:u w:val="single"/>
                <w:lang w:eastAsia="en-US"/>
              </w:rPr>
              <w:t>Terminoloģija</w:t>
            </w:r>
          </w:p>
          <w:p w14:paraId="331396C1" w14:textId="4223CFED" w:rsidR="009B65B4" w:rsidRPr="00903CCF" w:rsidRDefault="009B65B4" w:rsidP="000602B5">
            <w:pPr>
              <w:ind w:right="140"/>
              <w:jc w:val="both"/>
              <w:rPr>
                <w:spacing w:val="-2"/>
              </w:rPr>
            </w:pPr>
            <w:r w:rsidRPr="00903CCF">
              <w:rPr>
                <w:spacing w:val="-2"/>
              </w:rPr>
              <w:t xml:space="preserve">Likumprojektā tiek definēts, kas ir vienkāršotais nodokļa nomaksas risinājums, tāpat arī tiek definēts SDI konta jēdziens. </w:t>
            </w:r>
            <w:r w:rsidR="00C745C5" w:rsidRPr="00903CCF">
              <w:rPr>
                <w:spacing w:val="-2"/>
              </w:rPr>
              <w:t>Kā paredz likumprojektā ietvertais regulējums,</w:t>
            </w:r>
            <w:r w:rsidRPr="00903CCF">
              <w:rPr>
                <w:spacing w:val="-2"/>
              </w:rPr>
              <w:t xml:space="preserve"> SDI konts ir maksājumu konts atbilstoši Maksājumu pakalpojumu un elektroniskās naudas likumā noteiktajam un tas tiks izmatots vienkāršotā nodokļa nomaksas risinājuma ietvaros.</w:t>
            </w:r>
          </w:p>
          <w:p w14:paraId="338EA3AB" w14:textId="34A9E6BE" w:rsidR="00D91A6A" w:rsidRPr="00903CCF" w:rsidRDefault="00D91A6A" w:rsidP="000602B5">
            <w:pPr>
              <w:ind w:right="140"/>
              <w:jc w:val="both"/>
              <w:rPr>
                <w:rFonts w:eastAsia="Calibri"/>
                <w:b/>
                <w:spacing w:val="-2"/>
                <w:u w:val="single"/>
                <w:lang w:eastAsia="en-US"/>
              </w:rPr>
            </w:pPr>
            <w:r w:rsidRPr="00903CCF">
              <w:rPr>
                <w:rFonts w:eastAsia="Calibri"/>
                <w:b/>
                <w:spacing w:val="-2"/>
                <w:u w:val="single"/>
                <w:lang w:eastAsia="en-US"/>
              </w:rPr>
              <w:t>Vienkāršotā nodokļa nomaksas risinājuma izmantošanas nosacījumi</w:t>
            </w:r>
          </w:p>
          <w:p w14:paraId="7505C4B0" w14:textId="3B905699" w:rsidR="00D91A6A" w:rsidRPr="00903CCF" w:rsidRDefault="00D91A6A" w:rsidP="000602B5">
            <w:pPr>
              <w:ind w:right="140"/>
              <w:jc w:val="both"/>
              <w:rPr>
                <w:rFonts w:eastAsia="Calibri"/>
                <w:spacing w:val="-2"/>
                <w:lang w:eastAsia="en-US"/>
              </w:rPr>
            </w:pPr>
            <w:r w:rsidRPr="00903CCF">
              <w:rPr>
                <w:rFonts w:eastAsia="Calibri"/>
                <w:spacing w:val="-2"/>
                <w:lang w:eastAsia="en-US"/>
              </w:rPr>
              <w:t>Lai arī likumprojektā tiek noteikts vienkāršotā nodokļa nomaksas risinājum</w:t>
            </w:r>
            <w:r w:rsidR="00960AF4" w:rsidRPr="00903CCF">
              <w:rPr>
                <w:rFonts w:eastAsia="Calibri"/>
                <w:spacing w:val="-2"/>
                <w:lang w:eastAsia="en-US"/>
              </w:rPr>
              <w:t>a</w:t>
            </w:r>
            <w:r w:rsidR="00C745C5" w:rsidRPr="00903CCF">
              <w:rPr>
                <w:rFonts w:eastAsia="Calibri"/>
                <w:spacing w:val="-2"/>
                <w:lang w:eastAsia="en-US"/>
              </w:rPr>
              <w:t xml:space="preserve"> vispārējais regulējums, tomēr</w:t>
            </w:r>
            <w:r w:rsidRPr="00903CCF">
              <w:rPr>
                <w:rFonts w:eastAsia="Calibri"/>
                <w:spacing w:val="-2"/>
                <w:lang w:eastAsia="en-US"/>
              </w:rPr>
              <w:t xml:space="preserve"> specifiski</w:t>
            </w:r>
            <w:r w:rsidR="00C745C5" w:rsidRPr="00903CCF">
              <w:rPr>
                <w:rFonts w:eastAsia="Calibri"/>
                <w:spacing w:val="-2"/>
                <w:lang w:eastAsia="en-US"/>
              </w:rPr>
              <w:t>e</w:t>
            </w:r>
            <w:r w:rsidRPr="00903CCF">
              <w:rPr>
                <w:rFonts w:eastAsia="Calibri"/>
                <w:spacing w:val="-2"/>
                <w:lang w:eastAsia="en-US"/>
              </w:rPr>
              <w:t xml:space="preserve"> minētā risinājuma izmantošanas nosacījumi</w:t>
            </w:r>
            <w:r w:rsidR="00C745C5" w:rsidRPr="00903CCF">
              <w:rPr>
                <w:rFonts w:eastAsia="Calibri"/>
                <w:spacing w:val="-2"/>
                <w:lang w:eastAsia="en-US"/>
              </w:rPr>
              <w:t>, t.sk. arī tas, kuru nodokļu aprēķināšanā, ieturēšanā un ieskaitīšanā vienotajā nodokļu kontā minēto risinājumu varēs izmantot, tiks noteikts konkrēto nodokļu likumos.</w:t>
            </w:r>
          </w:p>
          <w:p w14:paraId="03218F8D" w14:textId="7F291C5B" w:rsidR="00960AF4" w:rsidRPr="00903CCF" w:rsidRDefault="00C745C5" w:rsidP="000602B5">
            <w:pPr>
              <w:ind w:right="140"/>
              <w:jc w:val="both"/>
              <w:rPr>
                <w:rFonts w:eastAsia="Calibri"/>
                <w:spacing w:val="-2"/>
                <w:lang w:eastAsia="en-US"/>
              </w:rPr>
            </w:pPr>
            <w:r w:rsidRPr="00903CCF">
              <w:rPr>
                <w:rFonts w:eastAsia="Calibri"/>
                <w:spacing w:val="-2"/>
                <w:lang w:eastAsia="en-US"/>
              </w:rPr>
              <w:t>Šādi s</w:t>
            </w:r>
            <w:r w:rsidR="00960AF4" w:rsidRPr="00903CCF">
              <w:rPr>
                <w:rFonts w:eastAsia="Calibri"/>
                <w:spacing w:val="-2"/>
                <w:lang w:eastAsia="en-US"/>
              </w:rPr>
              <w:t>pecifiski</w:t>
            </w:r>
            <w:r w:rsidRPr="00903CCF">
              <w:rPr>
                <w:rFonts w:eastAsia="Calibri"/>
                <w:spacing w:val="-2"/>
                <w:lang w:eastAsia="en-US"/>
              </w:rPr>
              <w:t>e</w:t>
            </w:r>
            <w:r w:rsidR="00960AF4" w:rsidRPr="00903CCF">
              <w:rPr>
                <w:rFonts w:eastAsia="Calibri"/>
                <w:spacing w:val="-2"/>
                <w:lang w:eastAsia="en-US"/>
              </w:rPr>
              <w:t xml:space="preserve"> nosacījumi vienkāršotā nodokļa nomaksas risinājuma izmantošanā nosakāmi konkrēto nodokļu likumos, jo, piemēram, var būtiski atšķirties nosacījumi, kas un kādu nodokļu nomaksā var pieteikties izmantot vienkāršoto nodokļa nomaksas risinājumu, tāpat var atšķirties nosacījumi, kas jāievēro</w:t>
            </w:r>
            <w:r w:rsidRPr="00903CCF">
              <w:rPr>
                <w:rFonts w:eastAsia="Calibri"/>
                <w:spacing w:val="-2"/>
                <w:lang w:eastAsia="en-US"/>
              </w:rPr>
              <w:t xml:space="preserve"> konkrētā</w:t>
            </w:r>
            <w:r w:rsidR="00960AF4" w:rsidRPr="00903CCF">
              <w:rPr>
                <w:rFonts w:eastAsia="Calibri"/>
                <w:spacing w:val="-2"/>
                <w:lang w:eastAsia="en-US"/>
              </w:rPr>
              <w:t xml:space="preserve"> nodokļa maksātājam, ja tas </w:t>
            </w:r>
            <w:r w:rsidR="00CA401A" w:rsidRPr="00903CCF">
              <w:rPr>
                <w:rFonts w:eastAsia="Calibri"/>
                <w:spacing w:val="-2"/>
                <w:lang w:eastAsia="en-US"/>
              </w:rPr>
              <w:t>nodokļa nomaksā</w:t>
            </w:r>
            <w:r w:rsidR="00960AF4" w:rsidRPr="00903CCF">
              <w:rPr>
                <w:rFonts w:eastAsia="Calibri"/>
                <w:spacing w:val="-2"/>
                <w:lang w:eastAsia="en-US"/>
              </w:rPr>
              <w:t xml:space="preserve"> vēlas izmantot vienkāršoto nodokļa nomaksas risinājumu. Ņemot vērā minēto, likumprojektā tiek noteikti vienkāršotā nodokļa nomaksas risinājuma vispārējie nosacījumi, kas b</w:t>
            </w:r>
            <w:r w:rsidR="00CA401A" w:rsidRPr="00903CCF">
              <w:rPr>
                <w:rFonts w:eastAsia="Calibri"/>
                <w:spacing w:val="-2"/>
                <w:lang w:eastAsia="en-US"/>
              </w:rPr>
              <w:t>ūtu vienoti attiecībā uz visiem</w:t>
            </w:r>
            <w:r w:rsidR="00960AF4" w:rsidRPr="00903CCF">
              <w:rPr>
                <w:rFonts w:eastAsia="Calibri"/>
                <w:spacing w:val="-2"/>
                <w:lang w:eastAsia="en-US"/>
              </w:rPr>
              <w:t xml:space="preserve"> nodokļ</w:t>
            </w:r>
            <w:r w:rsidR="00CA401A" w:rsidRPr="00903CCF">
              <w:rPr>
                <w:rFonts w:eastAsia="Calibri"/>
                <w:spacing w:val="-2"/>
                <w:lang w:eastAsia="en-US"/>
              </w:rPr>
              <w:t>iem</w:t>
            </w:r>
            <w:r w:rsidR="00960AF4" w:rsidRPr="00903CCF">
              <w:rPr>
                <w:rFonts w:eastAsia="Calibri"/>
                <w:spacing w:val="-2"/>
                <w:lang w:eastAsia="en-US"/>
              </w:rPr>
              <w:t xml:space="preserve">, kuru aprēķināšanā, ieturēšanā un ieskaitīšanā vienotajā nodokļu kontā </w:t>
            </w:r>
            <w:r w:rsidR="00CA401A" w:rsidRPr="00903CCF">
              <w:rPr>
                <w:rFonts w:eastAsia="Calibri"/>
                <w:spacing w:val="-2"/>
                <w:lang w:eastAsia="en-US"/>
              </w:rPr>
              <w:t xml:space="preserve">paredzēts </w:t>
            </w:r>
            <w:r w:rsidR="00960AF4" w:rsidRPr="00903CCF">
              <w:rPr>
                <w:rFonts w:eastAsia="Calibri"/>
                <w:spacing w:val="-2"/>
                <w:lang w:eastAsia="en-US"/>
              </w:rPr>
              <w:t>izmanto</w:t>
            </w:r>
            <w:r w:rsidR="00CA401A" w:rsidRPr="00903CCF">
              <w:rPr>
                <w:rFonts w:eastAsia="Calibri"/>
                <w:spacing w:val="-2"/>
                <w:lang w:eastAsia="en-US"/>
              </w:rPr>
              <w:t>t</w:t>
            </w:r>
            <w:r w:rsidR="00960AF4" w:rsidRPr="00903CCF">
              <w:rPr>
                <w:rFonts w:eastAsia="Calibri"/>
                <w:spacing w:val="-2"/>
                <w:lang w:eastAsia="en-US"/>
              </w:rPr>
              <w:t xml:space="preserve"> minēto risinājumu</w:t>
            </w:r>
            <w:r w:rsidR="00CA401A" w:rsidRPr="00903CCF">
              <w:rPr>
                <w:rFonts w:eastAsia="Calibri"/>
                <w:spacing w:val="-2"/>
                <w:lang w:eastAsia="en-US"/>
              </w:rPr>
              <w:t>. Turklāt likumprojektā tiek noteikti vienkāršotā nodokļa nomaksas risinājuma īstenošanas</w:t>
            </w:r>
            <w:r w:rsidR="00A91670" w:rsidRPr="00903CCF">
              <w:rPr>
                <w:rFonts w:eastAsia="Calibri"/>
                <w:spacing w:val="-2"/>
                <w:lang w:eastAsia="en-US"/>
              </w:rPr>
              <w:t xml:space="preserve"> </w:t>
            </w:r>
            <w:r w:rsidR="00CA401A" w:rsidRPr="00903CCF">
              <w:rPr>
                <w:rFonts w:eastAsia="Calibri"/>
                <w:spacing w:val="-2"/>
                <w:lang w:eastAsia="en-US"/>
              </w:rPr>
              <w:t>nosacījumi</w:t>
            </w:r>
            <w:r w:rsidR="00452AF0" w:rsidRPr="00903CCF">
              <w:rPr>
                <w:rFonts w:eastAsia="Calibri"/>
                <w:spacing w:val="-2"/>
                <w:lang w:eastAsia="en-US"/>
              </w:rPr>
              <w:t xml:space="preserve"> (t.i., regulējums risinājumam)</w:t>
            </w:r>
            <w:r w:rsidR="00CA401A" w:rsidRPr="00903CCF">
              <w:rPr>
                <w:rFonts w:eastAsia="Calibri"/>
                <w:spacing w:val="-2"/>
                <w:lang w:eastAsia="en-US"/>
              </w:rPr>
              <w:t>, proti, kā VID sadarbībā ar kredītiestādēm nodrošina nodokļa aprēķināšanu, ieturēšanu, ieskaitīšanu vienotajā nodokļu kontā</w:t>
            </w:r>
            <w:r w:rsidR="00452AF0" w:rsidRPr="00903CCF">
              <w:rPr>
                <w:rFonts w:eastAsia="Calibri"/>
                <w:spacing w:val="-2"/>
                <w:lang w:eastAsia="en-US"/>
              </w:rPr>
              <w:t>,</w:t>
            </w:r>
            <w:r w:rsidR="00CA401A" w:rsidRPr="00903CCF">
              <w:rPr>
                <w:rFonts w:eastAsia="Calibri"/>
                <w:spacing w:val="-2"/>
                <w:lang w:eastAsia="en-US"/>
              </w:rPr>
              <w:t xml:space="preserve"> un kā VID un kredītiestādes risinājuma īstenošanas nodrošināšan</w:t>
            </w:r>
            <w:r w:rsidR="00A15BBF" w:rsidRPr="00903CCF">
              <w:rPr>
                <w:rFonts w:eastAsia="Calibri"/>
                <w:spacing w:val="-2"/>
                <w:lang w:eastAsia="en-US"/>
              </w:rPr>
              <w:t>ā</w:t>
            </w:r>
            <w:r w:rsidR="00CA401A" w:rsidRPr="00903CCF">
              <w:rPr>
                <w:rFonts w:eastAsia="Calibri"/>
                <w:spacing w:val="-2"/>
                <w:lang w:eastAsia="en-US"/>
              </w:rPr>
              <w:t xml:space="preserve"> apmainās ar informāciju.</w:t>
            </w:r>
          </w:p>
          <w:p w14:paraId="4332E5FE" w14:textId="77777777" w:rsidR="007D2A59" w:rsidRPr="00903CCF" w:rsidRDefault="0012220C" w:rsidP="000602B5">
            <w:pPr>
              <w:ind w:right="140"/>
              <w:jc w:val="both"/>
              <w:rPr>
                <w:rFonts w:eastAsia="Calibri"/>
                <w:spacing w:val="-2"/>
                <w:lang w:eastAsia="en-US"/>
              </w:rPr>
            </w:pPr>
            <w:r w:rsidRPr="00903CCF">
              <w:rPr>
                <w:rFonts w:eastAsia="Calibri"/>
                <w:spacing w:val="-2"/>
                <w:lang w:eastAsia="en-US"/>
              </w:rPr>
              <w:t>Lai nodokļu maksātājam būtu tiesības izmantot vienkāršotā nodokļa nomaksas risin</w:t>
            </w:r>
            <w:r w:rsidR="00FD22E9" w:rsidRPr="00903CCF">
              <w:rPr>
                <w:rFonts w:eastAsia="Calibri"/>
                <w:spacing w:val="-2"/>
                <w:lang w:eastAsia="en-US"/>
              </w:rPr>
              <w:t>ājumu un tā</w:t>
            </w:r>
            <w:r w:rsidRPr="00903CCF">
              <w:rPr>
                <w:rFonts w:eastAsia="Calibri"/>
                <w:spacing w:val="-2"/>
                <w:lang w:eastAsia="en-US"/>
              </w:rPr>
              <w:t xml:space="preserve"> galvenās priekšrocības, proti,</w:t>
            </w:r>
            <w:r w:rsidR="002E69FE" w:rsidRPr="00903CCF">
              <w:rPr>
                <w:rFonts w:eastAsia="Calibri"/>
                <w:spacing w:val="-2"/>
                <w:lang w:eastAsia="en-US"/>
              </w:rPr>
              <w:t xml:space="preserve"> pašam</w:t>
            </w:r>
            <w:r w:rsidRPr="00903CCF">
              <w:rPr>
                <w:rFonts w:eastAsia="Calibri"/>
                <w:spacing w:val="-2"/>
                <w:lang w:eastAsia="en-US"/>
              </w:rPr>
              <w:t xml:space="preserve"> neaprēķināt </w:t>
            </w:r>
            <w:r w:rsidR="00FD22E9" w:rsidRPr="00903CCF">
              <w:rPr>
                <w:rFonts w:eastAsia="Calibri"/>
                <w:spacing w:val="-2"/>
                <w:lang w:eastAsia="en-US"/>
              </w:rPr>
              <w:t xml:space="preserve">nodokļa maksājumu, neveikt maksājumu valsts budžeta kontā un </w:t>
            </w:r>
            <w:r w:rsidRPr="00903CCF">
              <w:rPr>
                <w:rFonts w:eastAsia="Calibri"/>
                <w:spacing w:val="-2"/>
                <w:lang w:eastAsia="en-US"/>
              </w:rPr>
              <w:t>nesniegt nodokļa deklar</w:t>
            </w:r>
            <w:r w:rsidR="00FD22E9" w:rsidRPr="00903CCF">
              <w:rPr>
                <w:rFonts w:eastAsia="Calibri"/>
                <w:spacing w:val="-2"/>
                <w:lang w:eastAsia="en-US"/>
              </w:rPr>
              <w:t>āciju, tam ir jānodrošina, ka visi ar saimniecisko darbību saistītie ieņēmumi tiek ieskaitīti vai iemaksāti (ja nodokļu maksātājs samaksu</w:t>
            </w:r>
            <w:r w:rsidR="00E6691B" w:rsidRPr="00903CCF">
              <w:rPr>
                <w:rFonts w:eastAsia="Calibri"/>
                <w:spacing w:val="-2"/>
                <w:lang w:eastAsia="en-US"/>
              </w:rPr>
              <w:t>/atlīdzību</w:t>
            </w:r>
            <w:r w:rsidR="00FD22E9" w:rsidRPr="00903CCF">
              <w:rPr>
                <w:rFonts w:eastAsia="Calibri"/>
                <w:spacing w:val="-2"/>
                <w:lang w:eastAsia="en-US"/>
              </w:rPr>
              <w:t xml:space="preserve"> saņem skaidrā naudā) SDI kontā. </w:t>
            </w:r>
          </w:p>
          <w:p w14:paraId="5017C459" w14:textId="45705C47" w:rsidR="00FD22E9" w:rsidRPr="00903CCF" w:rsidRDefault="00E946AE" w:rsidP="000602B5">
            <w:pPr>
              <w:ind w:right="140"/>
              <w:jc w:val="both"/>
              <w:rPr>
                <w:rFonts w:eastAsia="Calibri"/>
                <w:spacing w:val="-2"/>
                <w:lang w:eastAsia="en-US"/>
              </w:rPr>
            </w:pPr>
            <w:r w:rsidRPr="00903CCF">
              <w:rPr>
                <w:rFonts w:eastAsia="Calibri"/>
                <w:spacing w:val="-2"/>
                <w:lang w:eastAsia="en-US"/>
              </w:rPr>
              <w:t>SDI konts tiek ieviest</w:t>
            </w:r>
            <w:r w:rsidR="00FF7B49" w:rsidRPr="00903CCF">
              <w:rPr>
                <w:rFonts w:eastAsia="Calibri"/>
                <w:spacing w:val="-2"/>
                <w:lang w:eastAsia="en-US"/>
              </w:rPr>
              <w:t>s</w:t>
            </w:r>
            <w:r w:rsidRPr="00903CCF">
              <w:rPr>
                <w:rFonts w:eastAsia="Calibri"/>
                <w:spacing w:val="-2"/>
                <w:lang w:eastAsia="en-US"/>
              </w:rPr>
              <w:t xml:space="preserve"> nodokļa aprēķināšanai un ieturēšanai no saimnieciskās darbības ieņēmumiem, tādējādi </w:t>
            </w:r>
            <w:r w:rsidR="007D2A59" w:rsidRPr="00903CCF">
              <w:rPr>
                <w:rFonts w:eastAsia="Calibri"/>
                <w:spacing w:val="-2"/>
                <w:lang w:eastAsia="en-US"/>
              </w:rPr>
              <w:t xml:space="preserve">SDI kontā ieskaitāmi un iemaksājami tikai ar saimniecisko darbību saistītie ieņēmumi, </w:t>
            </w:r>
            <w:r w:rsidRPr="00903CCF">
              <w:rPr>
                <w:rFonts w:eastAsia="Calibri"/>
                <w:spacing w:val="-2"/>
                <w:lang w:eastAsia="en-US"/>
              </w:rPr>
              <w:t>t.i.,</w:t>
            </w:r>
            <w:r w:rsidR="007D2A59" w:rsidRPr="00903CCF">
              <w:rPr>
                <w:rFonts w:eastAsia="Calibri"/>
                <w:spacing w:val="-2"/>
                <w:lang w:eastAsia="en-US"/>
              </w:rPr>
              <w:t xml:space="preserve"> nodokļu maksātājam ir jānodrošina saimnieciskās darbības ieņēmumu nodalīšana no personiskajiem līdzekļiem. </w:t>
            </w:r>
            <w:r w:rsidRPr="00903CCF">
              <w:rPr>
                <w:rFonts w:eastAsia="Calibri"/>
                <w:spacing w:val="-2"/>
                <w:lang w:eastAsia="en-US"/>
              </w:rPr>
              <w:t xml:space="preserve">Turklāt tikai </w:t>
            </w:r>
            <w:r w:rsidR="00084D7F" w:rsidRPr="00903CCF">
              <w:rPr>
                <w:rFonts w:eastAsia="Calibri"/>
                <w:spacing w:val="-2"/>
                <w:lang w:eastAsia="en-US"/>
              </w:rPr>
              <w:t>pie nosacījuma</w:t>
            </w:r>
            <w:r w:rsidR="00FD22E9" w:rsidRPr="00903CCF">
              <w:rPr>
                <w:rFonts w:eastAsia="Calibri"/>
                <w:spacing w:val="-2"/>
                <w:lang w:eastAsia="en-US"/>
              </w:rPr>
              <w:t xml:space="preserve">, ka visi saimnieciskās darbības ieņēmumi ir ieskaitīti vai iemaksāti SDI kontā, VID sadarbībā ar kredītiestādēm var nodrošināt korekta nodokļa aprēķināšanu, ieturēšanu un ieskaitīšanu vienotajā nodokļu kontā. Tāpat vienkāršotā nodokļa nomaksas risinājuma ietvaros, ja nodokļu maksātājs ievēro tā izmantošanas nosacījumus, nevar veidoties nodokļa parādi un </w:t>
            </w:r>
            <w:r w:rsidR="00084D7F" w:rsidRPr="00903CCF">
              <w:rPr>
                <w:rFonts w:eastAsia="Calibri"/>
                <w:spacing w:val="-2"/>
                <w:lang w:eastAsia="en-US"/>
              </w:rPr>
              <w:t>līdz ar to arī nokavējuma nauda</w:t>
            </w:r>
            <w:r w:rsidR="00FD22E9" w:rsidRPr="00903CCF">
              <w:rPr>
                <w:rFonts w:eastAsia="Calibri"/>
                <w:spacing w:val="-2"/>
                <w:lang w:eastAsia="en-US"/>
              </w:rPr>
              <w:t xml:space="preserve"> par samaksas termiņa kavējumu. </w:t>
            </w:r>
          </w:p>
          <w:p w14:paraId="57F76F2F" w14:textId="77777777" w:rsidR="00DD38B1" w:rsidRPr="00903CCF" w:rsidRDefault="00DD38B1" w:rsidP="00DD38B1">
            <w:pPr>
              <w:ind w:right="140"/>
              <w:jc w:val="both"/>
              <w:rPr>
                <w:rFonts w:eastAsia="Calibri"/>
                <w:b/>
                <w:spacing w:val="-2"/>
                <w:u w:val="single"/>
                <w:lang w:eastAsia="en-US"/>
              </w:rPr>
            </w:pPr>
            <w:r w:rsidRPr="00903CCF">
              <w:rPr>
                <w:rFonts w:eastAsia="Calibri"/>
                <w:b/>
                <w:spacing w:val="-2"/>
                <w:u w:val="single"/>
                <w:lang w:eastAsia="en-US"/>
              </w:rPr>
              <w:t>Prasības SDI kontam</w:t>
            </w:r>
          </w:p>
          <w:p w14:paraId="5B09D7AA" w14:textId="740A4C01" w:rsidR="003E5426" w:rsidRPr="00903CCF" w:rsidRDefault="00FD22E9" w:rsidP="00DD38B1">
            <w:pPr>
              <w:ind w:right="140"/>
              <w:jc w:val="both"/>
              <w:rPr>
                <w:rFonts w:eastAsia="Calibri"/>
                <w:spacing w:val="-2"/>
                <w:lang w:eastAsia="en-US"/>
              </w:rPr>
            </w:pPr>
            <w:r w:rsidRPr="00903CCF">
              <w:rPr>
                <w:rFonts w:eastAsia="Calibri"/>
                <w:spacing w:val="-2"/>
                <w:lang w:eastAsia="en-US"/>
              </w:rPr>
              <w:t>Likumprojekts paredz, ka patērētāja pamatkonts (Maksājumu pakalpojumu un elektroniskās naudas likuma izpratnē)</w:t>
            </w:r>
            <w:r w:rsidRPr="00903CCF">
              <w:rPr>
                <w:spacing w:val="-2"/>
              </w:rPr>
              <w:t xml:space="preserve"> nevar tikt izmantots kā </w:t>
            </w:r>
            <w:r w:rsidRPr="00903CCF">
              <w:rPr>
                <w:rFonts w:eastAsia="Calibri"/>
                <w:spacing w:val="-2"/>
                <w:lang w:eastAsia="en-US"/>
              </w:rPr>
              <w:t xml:space="preserve">SDI konts, jo normatīvie akti attiecībā uz patērētāja pamatkontu paredz ierobežojumus, kurus nevar </w:t>
            </w:r>
            <w:r w:rsidR="00226756" w:rsidRPr="00903CCF">
              <w:rPr>
                <w:rFonts w:eastAsia="Calibri"/>
                <w:spacing w:val="-2"/>
                <w:lang w:eastAsia="en-US"/>
              </w:rPr>
              <w:t xml:space="preserve">nodrošināt vienkāršotā nodokļa nomaksas </w:t>
            </w:r>
            <w:r w:rsidR="009760CB" w:rsidRPr="00903CCF">
              <w:rPr>
                <w:rFonts w:eastAsia="Calibri"/>
                <w:spacing w:val="-2"/>
                <w:lang w:eastAsia="en-US"/>
              </w:rPr>
              <w:t xml:space="preserve">risinājuma </w:t>
            </w:r>
            <w:r w:rsidR="00226756" w:rsidRPr="00903CCF">
              <w:rPr>
                <w:rFonts w:eastAsia="Calibri"/>
                <w:spacing w:val="-2"/>
                <w:lang w:eastAsia="en-US"/>
              </w:rPr>
              <w:t>ietvaros</w:t>
            </w:r>
            <w:r w:rsidRPr="00903CCF">
              <w:rPr>
                <w:rFonts w:eastAsia="Calibri"/>
                <w:spacing w:val="-2"/>
                <w:lang w:eastAsia="en-US"/>
              </w:rPr>
              <w:t xml:space="preserve"> SDI kontam.</w:t>
            </w:r>
            <w:r w:rsidR="0000576A" w:rsidRPr="00903CCF">
              <w:rPr>
                <w:rFonts w:eastAsia="Calibri"/>
                <w:spacing w:val="-2"/>
                <w:lang w:eastAsia="en-US"/>
              </w:rPr>
              <w:t xml:space="preserve"> Ņemot vērā to, ka vienkāršotā nodokļa nomaksas risinājuma ietvaros nodokļa (t.i., valsts budžeta līdzekļu) iekasēšanā tiek iesaistītas kredītiestādes (</w:t>
            </w:r>
            <w:r w:rsidR="00AC2BED" w:rsidRPr="00903CCF">
              <w:rPr>
                <w:rFonts w:eastAsia="Calibri"/>
                <w:spacing w:val="-2"/>
                <w:lang w:eastAsia="en-US"/>
              </w:rPr>
              <w:t xml:space="preserve">t.i., </w:t>
            </w:r>
            <w:r w:rsidR="0000576A" w:rsidRPr="00903CCF">
              <w:rPr>
                <w:rFonts w:eastAsia="Calibri"/>
                <w:spacing w:val="-2"/>
                <w:lang w:eastAsia="en-US"/>
              </w:rPr>
              <w:t xml:space="preserve">privātā sektora pārstāvji) un lai mazinātu riskus, kas varētu skart valsts budžeta līdzekļus, kamēr tie atrodas pie </w:t>
            </w:r>
            <w:r w:rsidR="00AC2BED" w:rsidRPr="00903CCF">
              <w:rPr>
                <w:rFonts w:eastAsia="Calibri"/>
                <w:spacing w:val="-2"/>
                <w:lang w:eastAsia="en-US"/>
              </w:rPr>
              <w:t>privātā sektora pārstāvjiem</w:t>
            </w:r>
            <w:r w:rsidR="0000576A" w:rsidRPr="00903CCF">
              <w:rPr>
                <w:rFonts w:eastAsia="Calibri"/>
                <w:spacing w:val="-2"/>
                <w:lang w:eastAsia="en-US"/>
              </w:rPr>
              <w:t xml:space="preserve">, likumprojekts paredz noteikt, ka SDI konts atverams </w:t>
            </w:r>
            <w:r w:rsidR="00D91A6A" w:rsidRPr="00903CCF">
              <w:rPr>
                <w:rFonts w:eastAsia="Calibri"/>
                <w:spacing w:val="-2"/>
                <w:lang w:eastAsia="en-US"/>
              </w:rPr>
              <w:t>kredītiestādē vai dalībvalsts kredītiestādes filiālē</w:t>
            </w:r>
            <w:r w:rsidR="00DD38B1" w:rsidRPr="00903CCF">
              <w:rPr>
                <w:rFonts w:eastAsia="Calibri"/>
                <w:spacing w:val="-2"/>
                <w:lang w:eastAsia="en-US"/>
              </w:rPr>
              <w:t>, kas reģistrēta</w:t>
            </w:r>
            <w:r w:rsidR="00D91A6A" w:rsidRPr="00903CCF">
              <w:rPr>
                <w:rFonts w:eastAsia="Calibri"/>
                <w:spacing w:val="-2"/>
                <w:lang w:eastAsia="en-US"/>
              </w:rPr>
              <w:t xml:space="preserve"> Latvijā</w:t>
            </w:r>
            <w:r w:rsidR="00DD38B1" w:rsidRPr="00903CCF">
              <w:rPr>
                <w:rFonts w:eastAsia="Calibri"/>
                <w:spacing w:val="-2"/>
                <w:lang w:eastAsia="en-US"/>
              </w:rPr>
              <w:t xml:space="preserve"> un</w:t>
            </w:r>
            <w:r w:rsidR="00D91A6A" w:rsidRPr="00903CCF">
              <w:rPr>
                <w:rFonts w:eastAsia="Calibri"/>
                <w:spacing w:val="-2"/>
                <w:lang w:eastAsia="en-US"/>
              </w:rPr>
              <w:t xml:space="preserve"> kura saviem klientiem piedāvā </w:t>
            </w:r>
            <w:r w:rsidR="00AC2BED" w:rsidRPr="00903CCF">
              <w:rPr>
                <w:rFonts w:eastAsia="Calibri"/>
                <w:spacing w:val="-2"/>
                <w:lang w:eastAsia="en-US"/>
              </w:rPr>
              <w:t>SDI</w:t>
            </w:r>
            <w:r w:rsidR="00D91A6A" w:rsidRPr="00903CCF">
              <w:rPr>
                <w:rFonts w:eastAsia="Calibri"/>
                <w:spacing w:val="-2"/>
                <w:lang w:eastAsia="en-US"/>
              </w:rPr>
              <w:t xml:space="preserve"> konta lietošanas pakalpojumu.</w:t>
            </w:r>
            <w:r w:rsidR="0000576A" w:rsidRPr="00903CCF">
              <w:rPr>
                <w:rFonts w:eastAsia="Calibri"/>
                <w:spacing w:val="-2"/>
                <w:lang w:eastAsia="en-US"/>
              </w:rPr>
              <w:t xml:space="preserve"> </w:t>
            </w:r>
            <w:r w:rsidR="00AC2BED" w:rsidRPr="00903CCF">
              <w:rPr>
                <w:rFonts w:eastAsia="Calibri"/>
                <w:spacing w:val="-2"/>
                <w:lang w:eastAsia="en-US"/>
              </w:rPr>
              <w:t xml:space="preserve">Minētais nosacījums attiecībā uz kredītiestādēm noteikts, </w:t>
            </w:r>
            <w:r w:rsidR="003E5426" w:rsidRPr="00903CCF">
              <w:rPr>
                <w:rFonts w:eastAsia="Calibri"/>
                <w:spacing w:val="-2"/>
                <w:lang w:eastAsia="en-US"/>
              </w:rPr>
              <w:t xml:space="preserve">ņemot vērā </w:t>
            </w:r>
            <w:r w:rsidR="00AC2BED" w:rsidRPr="00903CCF">
              <w:rPr>
                <w:rFonts w:eastAsia="Calibri"/>
                <w:spacing w:val="-2"/>
                <w:lang w:eastAsia="en-US"/>
              </w:rPr>
              <w:t xml:space="preserve">arī </w:t>
            </w:r>
            <w:r w:rsidR="003E5426" w:rsidRPr="00903CCF">
              <w:rPr>
                <w:rFonts w:eastAsia="Calibri"/>
                <w:spacing w:val="-2"/>
                <w:lang w:eastAsia="en-US"/>
              </w:rPr>
              <w:t>to, ka vienkār</w:t>
            </w:r>
            <w:r w:rsidR="00AC2BED" w:rsidRPr="00903CCF">
              <w:rPr>
                <w:rFonts w:eastAsia="Calibri"/>
                <w:spacing w:val="-2"/>
                <w:lang w:eastAsia="en-US"/>
              </w:rPr>
              <w:t>šoto</w:t>
            </w:r>
            <w:r w:rsidR="003E5426" w:rsidRPr="00903CCF">
              <w:rPr>
                <w:rFonts w:eastAsia="Calibri"/>
                <w:spacing w:val="-2"/>
                <w:lang w:eastAsia="en-US"/>
              </w:rPr>
              <w:t xml:space="preserve"> nodokļa nomaksas risinājumu plānots attiecināt uz mazajiem uzņēmējiem – fiziskajām personām, kas veic saimniecisko darb</w:t>
            </w:r>
            <w:r w:rsidR="00AC2BED" w:rsidRPr="00903CCF">
              <w:rPr>
                <w:rFonts w:eastAsia="Calibri"/>
                <w:spacing w:val="-2"/>
                <w:lang w:eastAsia="en-US"/>
              </w:rPr>
              <w:t xml:space="preserve">ību, </w:t>
            </w:r>
            <w:r w:rsidR="00084D7F" w:rsidRPr="00903CCF">
              <w:rPr>
                <w:rFonts w:eastAsia="Calibri"/>
                <w:spacing w:val="-2"/>
                <w:lang w:eastAsia="en-US"/>
              </w:rPr>
              <w:t>un</w:t>
            </w:r>
            <w:r w:rsidR="003E5426" w:rsidRPr="00903CCF">
              <w:rPr>
                <w:rFonts w:eastAsia="Calibri"/>
                <w:spacing w:val="-2"/>
                <w:lang w:eastAsia="en-US"/>
              </w:rPr>
              <w:t xml:space="preserve"> būtiski ir nodrošināt </w:t>
            </w:r>
            <w:r w:rsidR="00AC2BED" w:rsidRPr="00903CCF">
              <w:rPr>
                <w:rFonts w:eastAsia="Calibri"/>
                <w:spacing w:val="-2"/>
                <w:lang w:eastAsia="en-US"/>
              </w:rPr>
              <w:t>šo personu</w:t>
            </w:r>
            <w:r w:rsidR="003E5426" w:rsidRPr="00903CCF">
              <w:rPr>
                <w:rFonts w:eastAsia="Calibri"/>
                <w:spacing w:val="-2"/>
                <w:lang w:eastAsia="en-US"/>
              </w:rPr>
              <w:t xml:space="preserve"> līdzekļu aizsardzību.</w:t>
            </w:r>
            <w:r w:rsidR="00E6691B" w:rsidRPr="00903CCF">
              <w:rPr>
                <w:rFonts w:eastAsia="Calibri"/>
                <w:spacing w:val="-2"/>
                <w:lang w:eastAsia="en-US"/>
              </w:rPr>
              <w:t xml:space="preserve"> Noguldījumu g</w:t>
            </w:r>
            <w:r w:rsidR="003E5426" w:rsidRPr="00903CCF">
              <w:rPr>
                <w:rFonts w:eastAsia="Calibri"/>
                <w:spacing w:val="-2"/>
                <w:lang w:eastAsia="en-US"/>
              </w:rPr>
              <w:t>arantiju likuma noteikumi ir attiecināmi uz:</w:t>
            </w:r>
          </w:p>
          <w:p w14:paraId="07689905" w14:textId="77777777" w:rsidR="003E5426" w:rsidRPr="00903CCF" w:rsidRDefault="003E5426" w:rsidP="000602B5">
            <w:pPr>
              <w:ind w:right="140"/>
              <w:jc w:val="both"/>
              <w:rPr>
                <w:rFonts w:eastAsia="Calibri"/>
                <w:spacing w:val="-2"/>
                <w:lang w:eastAsia="en-US"/>
              </w:rPr>
            </w:pPr>
            <w:r w:rsidRPr="00903CCF">
              <w:rPr>
                <w:rFonts w:eastAsia="Calibri"/>
                <w:spacing w:val="-2"/>
                <w:lang w:eastAsia="en-US"/>
              </w:rPr>
              <w:t xml:space="preserve">1) Latvijā reģistrētām kredītiestādēm un to filiālēm, </w:t>
            </w:r>
            <w:proofErr w:type="spellStart"/>
            <w:r w:rsidRPr="00903CCF">
              <w:rPr>
                <w:rFonts w:eastAsia="Calibri"/>
                <w:spacing w:val="-2"/>
                <w:lang w:eastAsia="en-US"/>
              </w:rPr>
              <w:t>krājaizdevu</w:t>
            </w:r>
            <w:proofErr w:type="spellEnd"/>
            <w:r w:rsidRPr="00903CCF">
              <w:rPr>
                <w:rFonts w:eastAsia="Calibri"/>
                <w:spacing w:val="-2"/>
                <w:lang w:eastAsia="en-US"/>
              </w:rPr>
              <w:t xml:space="preserve"> sabiedrībām, kā arī ārvalstīs reģistrētu kredītiestāžu filiālēm Latvijā, </w:t>
            </w:r>
          </w:p>
          <w:p w14:paraId="6E1D4E33" w14:textId="487E9AC5" w:rsidR="00D91A6A" w:rsidRPr="00903CCF" w:rsidRDefault="003E5426" w:rsidP="000602B5">
            <w:pPr>
              <w:ind w:right="140"/>
              <w:jc w:val="both"/>
              <w:rPr>
                <w:rFonts w:eastAsia="Calibri"/>
                <w:spacing w:val="-2"/>
                <w:lang w:eastAsia="en-US"/>
              </w:rPr>
            </w:pPr>
            <w:r w:rsidRPr="00903CCF">
              <w:rPr>
                <w:rFonts w:eastAsia="Calibri"/>
                <w:spacing w:val="-2"/>
                <w:lang w:eastAsia="en-US"/>
              </w:rPr>
              <w:t>2) dalībvalstīs reģistrētu kredītiestāžu filiālēm Latvijā, ja tās piedalās noguldījumu garantiju fondā.</w:t>
            </w:r>
          </w:p>
          <w:p w14:paraId="3C04547A" w14:textId="72E23B91" w:rsidR="003E5426" w:rsidRPr="00903CCF" w:rsidRDefault="003E5426" w:rsidP="000602B5">
            <w:pPr>
              <w:ind w:right="140"/>
              <w:jc w:val="both"/>
              <w:rPr>
                <w:rFonts w:eastAsia="Calibri"/>
                <w:spacing w:val="-2"/>
                <w:lang w:eastAsia="en-US"/>
              </w:rPr>
            </w:pPr>
            <w:r w:rsidRPr="00903CCF">
              <w:rPr>
                <w:rFonts w:eastAsia="Calibri"/>
                <w:spacing w:val="-2"/>
                <w:lang w:eastAsia="en-US"/>
              </w:rPr>
              <w:t>Ņemot vērā minēto, lai nodrošinātu</w:t>
            </w:r>
            <w:r w:rsidR="000E78CD" w:rsidRPr="00903CCF">
              <w:rPr>
                <w:rFonts w:eastAsia="Calibri"/>
                <w:spacing w:val="-2"/>
                <w:lang w:eastAsia="en-US"/>
              </w:rPr>
              <w:t xml:space="preserve"> arī</w:t>
            </w:r>
            <w:r w:rsidRPr="00903CCF">
              <w:rPr>
                <w:rFonts w:eastAsia="Calibri"/>
                <w:spacing w:val="-2"/>
                <w:lang w:eastAsia="en-US"/>
              </w:rPr>
              <w:t xml:space="preserve"> SDI konta izmantotāju līdzekļu</w:t>
            </w:r>
            <w:r w:rsidR="00AC2BED" w:rsidRPr="00903CCF">
              <w:rPr>
                <w:rFonts w:eastAsia="Calibri"/>
                <w:spacing w:val="-2"/>
                <w:lang w:eastAsia="en-US"/>
              </w:rPr>
              <w:t xml:space="preserve"> aizsardzību</w:t>
            </w:r>
            <w:r w:rsidRPr="00903CCF">
              <w:rPr>
                <w:rFonts w:eastAsia="Calibri"/>
                <w:spacing w:val="-2"/>
                <w:lang w:eastAsia="en-US"/>
              </w:rPr>
              <w:t>, likumprojekts paredz, ka SDI konts atverams kredītiestādē vai dalībvalsts kredītiestādes filiālē Latvijā</w:t>
            </w:r>
            <w:r w:rsidR="00AC2BED" w:rsidRPr="00903CCF">
              <w:rPr>
                <w:rFonts w:eastAsia="Calibri"/>
                <w:spacing w:val="-2"/>
                <w:lang w:eastAsia="en-US"/>
              </w:rPr>
              <w:t>.</w:t>
            </w:r>
            <w:r w:rsidR="000E78CD" w:rsidRPr="00903CCF">
              <w:rPr>
                <w:rFonts w:eastAsia="Calibri"/>
                <w:spacing w:val="-2"/>
                <w:lang w:eastAsia="en-US"/>
              </w:rPr>
              <w:t xml:space="preserve"> </w:t>
            </w:r>
          </w:p>
          <w:p w14:paraId="754DFE19" w14:textId="2082673D" w:rsidR="00D91A6A" w:rsidRPr="00903CCF" w:rsidRDefault="00AC2BED" w:rsidP="000602B5">
            <w:pPr>
              <w:ind w:right="140"/>
              <w:jc w:val="both"/>
              <w:rPr>
                <w:spacing w:val="-2"/>
              </w:rPr>
            </w:pPr>
            <w:r w:rsidRPr="00903CCF">
              <w:rPr>
                <w:rFonts w:eastAsia="Calibri"/>
                <w:spacing w:val="-2"/>
                <w:lang w:eastAsia="en-US"/>
              </w:rPr>
              <w:t xml:space="preserve">Vienkāršotā nodokļa nomaksas risinājuma īstenošanā būtisks slogs gulstas uz VID, proti, VID būs jānodrošina </w:t>
            </w:r>
            <w:r w:rsidR="00DD38B1" w:rsidRPr="00903CCF">
              <w:rPr>
                <w:rFonts w:eastAsia="Calibri"/>
                <w:spacing w:val="-2"/>
                <w:lang w:eastAsia="en-US"/>
              </w:rPr>
              <w:t xml:space="preserve">nodokļu maksātāja SDI konta kredīta apgrozījuma uzskaite, lai nodrošinātu korektas nodokļa likmes paziņošanu kredītiestādei, </w:t>
            </w:r>
            <w:r w:rsidRPr="00903CCF">
              <w:rPr>
                <w:rFonts w:eastAsia="Calibri"/>
                <w:spacing w:val="-2"/>
                <w:lang w:eastAsia="en-US"/>
              </w:rPr>
              <w:t>nodokļa aprēķinā</w:t>
            </w:r>
            <w:r w:rsidR="00D766BE" w:rsidRPr="00903CCF">
              <w:rPr>
                <w:rFonts w:eastAsia="Calibri"/>
                <w:spacing w:val="-2"/>
                <w:lang w:eastAsia="en-US"/>
              </w:rPr>
              <w:t xml:space="preserve">šana, </w:t>
            </w:r>
            <w:r w:rsidRPr="00903CCF">
              <w:rPr>
                <w:rFonts w:eastAsia="Calibri"/>
                <w:spacing w:val="-2"/>
                <w:lang w:eastAsia="en-US"/>
              </w:rPr>
              <w:t xml:space="preserve">informācijas sagatavošana un </w:t>
            </w:r>
            <w:r w:rsidR="00B85954" w:rsidRPr="00903CCF">
              <w:rPr>
                <w:rFonts w:eastAsia="Calibri"/>
                <w:spacing w:val="-2"/>
                <w:lang w:eastAsia="en-US"/>
              </w:rPr>
              <w:t>sniegšana</w:t>
            </w:r>
            <w:r w:rsidRPr="00903CCF">
              <w:rPr>
                <w:rFonts w:eastAsia="Calibri"/>
                <w:spacing w:val="-2"/>
                <w:lang w:eastAsia="en-US"/>
              </w:rPr>
              <w:t xml:space="preserve"> kredītiestādēm, </w:t>
            </w:r>
            <w:r w:rsidR="00B85954" w:rsidRPr="00903CCF">
              <w:rPr>
                <w:rFonts w:eastAsia="Calibri"/>
                <w:spacing w:val="-2"/>
                <w:lang w:eastAsia="en-US"/>
              </w:rPr>
              <w:t>kā arī</w:t>
            </w:r>
            <w:r w:rsidRPr="00903CCF">
              <w:rPr>
                <w:rFonts w:eastAsia="Calibri"/>
                <w:spacing w:val="-2"/>
                <w:lang w:eastAsia="en-US"/>
              </w:rPr>
              <w:t xml:space="preserve"> būs jāveic</w:t>
            </w:r>
            <w:r w:rsidR="00B85954" w:rsidRPr="00903CCF">
              <w:rPr>
                <w:rFonts w:eastAsia="Calibri"/>
                <w:spacing w:val="-2"/>
                <w:lang w:eastAsia="en-US"/>
              </w:rPr>
              <w:t xml:space="preserve"> </w:t>
            </w:r>
            <w:r w:rsidR="000E78CD" w:rsidRPr="00903CCF">
              <w:rPr>
                <w:rFonts w:eastAsia="Calibri"/>
                <w:spacing w:val="-2"/>
                <w:lang w:eastAsia="en-US"/>
              </w:rPr>
              <w:t xml:space="preserve">aprēķinātā un iekasētā </w:t>
            </w:r>
            <w:r w:rsidRPr="00903CCF">
              <w:rPr>
                <w:rFonts w:eastAsia="Calibri"/>
                <w:spacing w:val="-2"/>
                <w:lang w:eastAsia="en-US"/>
              </w:rPr>
              <w:t xml:space="preserve">nodokļa </w:t>
            </w:r>
            <w:r w:rsidR="00B85954" w:rsidRPr="00903CCF">
              <w:rPr>
                <w:rFonts w:eastAsia="Calibri"/>
                <w:spacing w:val="-2"/>
                <w:lang w:eastAsia="en-US"/>
              </w:rPr>
              <w:t xml:space="preserve">uzskaite un </w:t>
            </w:r>
            <w:r w:rsidR="009760CB" w:rsidRPr="00903CCF">
              <w:rPr>
                <w:rFonts w:eastAsia="Calibri"/>
                <w:spacing w:val="-2"/>
                <w:lang w:eastAsia="en-US"/>
              </w:rPr>
              <w:t xml:space="preserve">būs </w:t>
            </w:r>
            <w:r w:rsidR="00B85954" w:rsidRPr="00903CCF">
              <w:rPr>
                <w:rFonts w:eastAsia="Calibri"/>
                <w:spacing w:val="-2"/>
                <w:lang w:eastAsia="en-US"/>
              </w:rPr>
              <w:t>jānodrošina informācija</w:t>
            </w:r>
            <w:r w:rsidR="00DD38B1" w:rsidRPr="00903CCF">
              <w:rPr>
                <w:rFonts w:eastAsia="Calibri"/>
                <w:spacing w:val="-2"/>
                <w:lang w:eastAsia="en-US"/>
              </w:rPr>
              <w:t>s pieejamība nodokļu maksātājam. Lī</w:t>
            </w:r>
            <w:r w:rsidR="00B85954" w:rsidRPr="00903CCF">
              <w:rPr>
                <w:rFonts w:eastAsia="Calibri"/>
                <w:spacing w:val="-2"/>
                <w:lang w:eastAsia="en-US"/>
              </w:rPr>
              <w:t xml:space="preserve">dz ar to, lai </w:t>
            </w:r>
            <w:r w:rsidR="00DD38B1" w:rsidRPr="00903CCF">
              <w:rPr>
                <w:rFonts w:eastAsia="Calibri"/>
                <w:spacing w:val="-2"/>
                <w:lang w:eastAsia="en-US"/>
              </w:rPr>
              <w:t xml:space="preserve"> arī valsts pusē </w:t>
            </w:r>
            <w:r w:rsidR="00B85954" w:rsidRPr="00903CCF">
              <w:rPr>
                <w:rFonts w:eastAsia="Calibri"/>
                <w:spacing w:val="-2"/>
                <w:lang w:eastAsia="en-US"/>
              </w:rPr>
              <w:t>vienkāršot</w:t>
            </w:r>
            <w:r w:rsidR="009760CB" w:rsidRPr="00903CCF">
              <w:rPr>
                <w:rFonts w:eastAsia="Calibri"/>
                <w:spacing w:val="-2"/>
                <w:lang w:eastAsia="en-US"/>
              </w:rPr>
              <w:t>o</w:t>
            </w:r>
            <w:r w:rsidR="00B85954" w:rsidRPr="00903CCF">
              <w:rPr>
                <w:rFonts w:eastAsia="Calibri"/>
                <w:spacing w:val="-2"/>
                <w:lang w:eastAsia="en-US"/>
              </w:rPr>
              <w:t xml:space="preserve"> nodokļa</w:t>
            </w:r>
            <w:r w:rsidR="00A91670" w:rsidRPr="00903CCF">
              <w:rPr>
                <w:rFonts w:eastAsia="Calibri"/>
                <w:spacing w:val="-2"/>
                <w:lang w:eastAsia="en-US"/>
              </w:rPr>
              <w:t xml:space="preserve"> nomaksas risinājum</w:t>
            </w:r>
            <w:r w:rsidR="009760CB" w:rsidRPr="00903CCF">
              <w:rPr>
                <w:rFonts w:eastAsia="Calibri"/>
                <w:spacing w:val="-2"/>
                <w:lang w:eastAsia="en-US"/>
              </w:rPr>
              <w:t>u nepadarītu sarežģītu un smagnēji administrējamu</w:t>
            </w:r>
            <w:r w:rsidR="00A91670" w:rsidRPr="00903CCF">
              <w:rPr>
                <w:rFonts w:eastAsia="Calibri"/>
                <w:spacing w:val="-2"/>
                <w:lang w:eastAsia="en-US"/>
              </w:rPr>
              <w:t xml:space="preserve">, </w:t>
            </w:r>
            <w:r w:rsidR="00DD38B1" w:rsidRPr="00903CCF">
              <w:rPr>
                <w:rFonts w:eastAsia="Calibri"/>
                <w:spacing w:val="-2"/>
                <w:lang w:eastAsia="en-US"/>
              </w:rPr>
              <w:t xml:space="preserve">kā arī nodrošinātu vienkāršu scenāriju operatīvai informācijas apritei, </w:t>
            </w:r>
            <w:r w:rsidR="000E78CD" w:rsidRPr="00903CCF">
              <w:rPr>
                <w:rFonts w:eastAsia="Calibri"/>
                <w:spacing w:val="-2"/>
                <w:lang w:eastAsia="en-US"/>
              </w:rPr>
              <w:t xml:space="preserve">likumprojekts </w:t>
            </w:r>
            <w:r w:rsidR="00A91670" w:rsidRPr="00903CCF">
              <w:rPr>
                <w:rFonts w:eastAsia="Calibri"/>
                <w:spacing w:val="-2"/>
                <w:lang w:eastAsia="en-US"/>
              </w:rPr>
              <w:t>paredz, k</w:t>
            </w:r>
            <w:r w:rsidR="000E78CD" w:rsidRPr="00903CCF">
              <w:rPr>
                <w:rFonts w:eastAsia="Calibri"/>
                <w:spacing w:val="-2"/>
                <w:lang w:eastAsia="en-US"/>
              </w:rPr>
              <w:t>a n</w:t>
            </w:r>
            <w:r w:rsidR="00D91A6A" w:rsidRPr="00903CCF">
              <w:rPr>
                <w:spacing w:val="-2"/>
              </w:rPr>
              <w:t xml:space="preserve">odokļu maksātājam, </w:t>
            </w:r>
            <w:r w:rsidR="000E78CD" w:rsidRPr="00903CCF">
              <w:rPr>
                <w:spacing w:val="-2"/>
              </w:rPr>
              <w:t xml:space="preserve">viena nodokļa režīma piemērošanai vienlaikus ir tikai viens </w:t>
            </w:r>
            <w:r w:rsidR="009760CB" w:rsidRPr="00903CCF">
              <w:rPr>
                <w:spacing w:val="-2"/>
              </w:rPr>
              <w:t>SDI</w:t>
            </w:r>
            <w:r w:rsidR="000E78CD" w:rsidRPr="00903CCF">
              <w:rPr>
                <w:spacing w:val="-2"/>
              </w:rPr>
              <w:t xml:space="preserve"> konts. Vienu </w:t>
            </w:r>
            <w:r w:rsidR="009760CB" w:rsidRPr="00903CCF">
              <w:rPr>
                <w:spacing w:val="-2"/>
              </w:rPr>
              <w:t>SDI</w:t>
            </w:r>
            <w:r w:rsidR="000E78CD" w:rsidRPr="00903CCF">
              <w:rPr>
                <w:spacing w:val="-2"/>
              </w:rPr>
              <w:t xml:space="preserve"> kontu vienlaikus var izmantot dažādu nodokļu režīmu (ar vienādu nodokļu likmi) piemērošanai, ja konkrētā nodokļa likums paredz šādu iespēju. Izņēmums, kad nodokļu maksātājam </w:t>
            </w:r>
            <w:r w:rsidR="009760CB" w:rsidRPr="00903CCF">
              <w:rPr>
                <w:spacing w:val="-2"/>
              </w:rPr>
              <w:t xml:space="preserve">īslaicīgi </w:t>
            </w:r>
            <w:r w:rsidR="000E78CD" w:rsidRPr="00903CCF">
              <w:rPr>
                <w:spacing w:val="-2"/>
              </w:rPr>
              <w:t xml:space="preserve">viena nodokļa režīma piemērošanai </w:t>
            </w:r>
            <w:r w:rsidR="009760CB" w:rsidRPr="00903CCF">
              <w:rPr>
                <w:spacing w:val="-2"/>
              </w:rPr>
              <w:t xml:space="preserve">vienlaikus </w:t>
            </w:r>
            <w:r w:rsidR="000E78CD" w:rsidRPr="00903CCF">
              <w:rPr>
                <w:spacing w:val="-2"/>
              </w:rPr>
              <w:t>ir divi SDI konti, paredzēts</w:t>
            </w:r>
            <w:r w:rsidR="00E6691B" w:rsidRPr="00903CCF">
              <w:rPr>
                <w:spacing w:val="-2"/>
              </w:rPr>
              <w:t xml:space="preserve"> tikai</w:t>
            </w:r>
            <w:r w:rsidR="000E78CD" w:rsidRPr="00903CCF">
              <w:rPr>
                <w:spacing w:val="-2"/>
              </w:rPr>
              <w:t xml:space="preserve">, lai nodrošinātu nodokļa iekasēšanas nepārtrauktību situācijā, kad nodokļu maksātājs maina SDI kontu (proti, maina kredītiestādi, kura sniedz SDI konta pakalpojumu vai maina SDI kontu tajā pašā kredītiestādē, kura sniedz SDI konta pakalpojumu). </w:t>
            </w:r>
          </w:p>
          <w:p w14:paraId="6EA88465" w14:textId="266CE3D9" w:rsidR="000E78CD" w:rsidRPr="00903CCF" w:rsidRDefault="000E78CD" w:rsidP="000602B5">
            <w:pPr>
              <w:ind w:right="140"/>
              <w:jc w:val="both"/>
              <w:rPr>
                <w:rFonts w:eastAsia="Calibri"/>
                <w:b/>
                <w:spacing w:val="-2"/>
                <w:u w:val="single"/>
                <w:lang w:eastAsia="en-US"/>
              </w:rPr>
            </w:pPr>
            <w:r w:rsidRPr="00903CCF">
              <w:rPr>
                <w:rFonts w:eastAsia="Calibri"/>
                <w:b/>
                <w:spacing w:val="-2"/>
                <w:u w:val="single"/>
                <w:lang w:eastAsia="en-US"/>
              </w:rPr>
              <w:t>Vienkāršotā nodokļa nomaksas risinājuma darbības uzsākšanas un izbeigšanas kārtība</w:t>
            </w:r>
          </w:p>
          <w:p w14:paraId="7B1D66B4" w14:textId="3C069B88" w:rsidR="004963AB" w:rsidRPr="00903CCF" w:rsidRDefault="000E78CD" w:rsidP="000602B5">
            <w:pPr>
              <w:ind w:right="140"/>
              <w:jc w:val="both"/>
              <w:rPr>
                <w:spacing w:val="-2"/>
              </w:rPr>
            </w:pPr>
            <w:r w:rsidRPr="00903CCF">
              <w:rPr>
                <w:spacing w:val="-2"/>
              </w:rPr>
              <w:t>Pirms vienkāršotā nodokļa nomaksas risinājuma izmantošanas uzsākšanas, nodokļu maksātājam</w:t>
            </w:r>
            <w:r w:rsidR="00DD38B1" w:rsidRPr="00903CCF">
              <w:rPr>
                <w:spacing w:val="-2"/>
              </w:rPr>
              <w:t xml:space="preserve"> ir jāvēršas kredītiestādē, kas sniedz SDI konta lietošanas pakalpojumu, lai atvērtu kontu vai noskaidrotu</w:t>
            </w:r>
            <w:r w:rsidR="00E27B1C" w:rsidRPr="00903CCF">
              <w:rPr>
                <w:spacing w:val="-2"/>
              </w:rPr>
              <w:t>,</w:t>
            </w:r>
            <w:r w:rsidR="00DD38B1" w:rsidRPr="00903CCF">
              <w:rPr>
                <w:spacing w:val="-2"/>
              </w:rPr>
              <w:t xml:space="preserve"> vai esošu kontu ir iespējams izmantot kā SDI kontu. Tālāk nodokļu maksātājam</w:t>
            </w:r>
            <w:r w:rsidRPr="00903CCF">
              <w:rPr>
                <w:spacing w:val="-2"/>
              </w:rPr>
              <w:t xml:space="preserve"> ir jāpiesak</w:t>
            </w:r>
            <w:r w:rsidR="004963AB" w:rsidRPr="00903CCF">
              <w:rPr>
                <w:spacing w:val="-2"/>
              </w:rPr>
              <w:t xml:space="preserve">ās VID, iesniedzot iesniegumu, kurā </w:t>
            </w:r>
            <w:r w:rsidR="009760CB" w:rsidRPr="00903CCF">
              <w:rPr>
                <w:spacing w:val="-2"/>
              </w:rPr>
              <w:t>jā</w:t>
            </w:r>
            <w:r w:rsidR="004963AB" w:rsidRPr="00903CCF">
              <w:rPr>
                <w:spacing w:val="-2"/>
              </w:rPr>
              <w:t xml:space="preserve">norāda </w:t>
            </w:r>
            <w:r w:rsidR="009760CB" w:rsidRPr="00903CCF">
              <w:rPr>
                <w:spacing w:val="-2"/>
              </w:rPr>
              <w:t>SDI</w:t>
            </w:r>
            <w:r w:rsidR="004963AB" w:rsidRPr="00903CCF">
              <w:rPr>
                <w:spacing w:val="-2"/>
              </w:rPr>
              <w:t xml:space="preserve"> konta numur</w:t>
            </w:r>
            <w:r w:rsidR="009760CB" w:rsidRPr="00903CCF">
              <w:rPr>
                <w:spacing w:val="-2"/>
              </w:rPr>
              <w:t>s</w:t>
            </w:r>
            <w:r w:rsidR="004963AB" w:rsidRPr="00903CCF">
              <w:rPr>
                <w:spacing w:val="-2"/>
              </w:rPr>
              <w:t>, kredītiestād</w:t>
            </w:r>
            <w:r w:rsidR="009760CB" w:rsidRPr="00903CCF">
              <w:rPr>
                <w:spacing w:val="-2"/>
              </w:rPr>
              <w:t>e</w:t>
            </w:r>
            <w:r w:rsidR="004963AB" w:rsidRPr="00903CCF">
              <w:rPr>
                <w:spacing w:val="-2"/>
              </w:rPr>
              <w:t>, kura atvērusi šo kontu, un plānoto datumu vienkāršotā nodokļa nomaksas risinājuma</w:t>
            </w:r>
            <w:r w:rsidR="009760CB" w:rsidRPr="00903CCF">
              <w:rPr>
                <w:spacing w:val="-2"/>
              </w:rPr>
              <w:t xml:space="preserve"> uzsākšanai</w:t>
            </w:r>
            <w:r w:rsidR="004963AB" w:rsidRPr="00903CCF">
              <w:rPr>
                <w:spacing w:val="-2"/>
              </w:rPr>
              <w:t xml:space="preserve">. Būtiski, ka nodokļu maksātājs nevar uzsākt SDI konta izmantošanu vienkāršotā nodokļa nomaksas risinājuma ietvaros, pirms nav saņemts apstiprinājums no VID un informācija par datumu, ar kuru </w:t>
            </w:r>
            <w:r w:rsidR="00E6691B" w:rsidRPr="00903CCF">
              <w:rPr>
                <w:spacing w:val="-2"/>
              </w:rPr>
              <w:t xml:space="preserve">šo </w:t>
            </w:r>
            <w:r w:rsidR="004963AB" w:rsidRPr="00903CCF">
              <w:rPr>
                <w:spacing w:val="-2"/>
              </w:rPr>
              <w:t xml:space="preserve">risinājumu var sākt piemērot SDI kontam. Lai nodokļu maksātājam būtu tiesības izmantot vienkāršoto nodokļa nomaksas risinājumu, tam </w:t>
            </w:r>
            <w:r w:rsidR="00C856BE" w:rsidRPr="00903CCF">
              <w:rPr>
                <w:spacing w:val="-2"/>
              </w:rPr>
              <w:t xml:space="preserve">attiecībā uz veikto saimniecisko darbību </w:t>
            </w:r>
            <w:r w:rsidR="004963AB" w:rsidRPr="00903CCF">
              <w:rPr>
                <w:spacing w:val="-2"/>
              </w:rPr>
              <w:t>ir jāievēro nosacījumi, kas izriet no konkrēt</w:t>
            </w:r>
            <w:r w:rsidR="00E6691B" w:rsidRPr="00903CCF">
              <w:rPr>
                <w:spacing w:val="-2"/>
              </w:rPr>
              <w:t>o</w:t>
            </w:r>
            <w:r w:rsidR="004963AB" w:rsidRPr="00903CCF">
              <w:rPr>
                <w:spacing w:val="-2"/>
              </w:rPr>
              <w:t xml:space="preserve"> nodokļu likumiem, kā arī jāatver maksājumu konts kredītiestādē, </w:t>
            </w:r>
            <w:r w:rsidR="00C856BE" w:rsidRPr="00903CCF">
              <w:rPr>
                <w:spacing w:val="-2"/>
              </w:rPr>
              <w:t>kas</w:t>
            </w:r>
            <w:r w:rsidR="004963AB" w:rsidRPr="00903CCF">
              <w:rPr>
                <w:spacing w:val="-2"/>
              </w:rPr>
              <w:t xml:space="preserve"> sniedz SDI konta pakalpojumu</w:t>
            </w:r>
            <w:r w:rsidR="00C856BE" w:rsidRPr="00903CCF">
              <w:rPr>
                <w:spacing w:val="-2"/>
              </w:rPr>
              <w:t>. L</w:t>
            </w:r>
            <w:r w:rsidR="004963AB" w:rsidRPr="00903CCF">
              <w:rPr>
                <w:spacing w:val="-2"/>
              </w:rPr>
              <w:t>īdz ar to, lai novērstu gad</w:t>
            </w:r>
            <w:r w:rsidR="00C856BE" w:rsidRPr="00903CCF">
              <w:rPr>
                <w:spacing w:val="-2"/>
              </w:rPr>
              <w:t>ījumus, ka vienkāršoto nodokļ</w:t>
            </w:r>
            <w:r w:rsidR="00676318" w:rsidRPr="00903CCF">
              <w:rPr>
                <w:spacing w:val="-2"/>
              </w:rPr>
              <w:t>a</w:t>
            </w:r>
            <w:r w:rsidR="00C856BE" w:rsidRPr="00903CCF">
              <w:rPr>
                <w:spacing w:val="-2"/>
              </w:rPr>
              <w:t xml:space="preserve"> nomaksas risinājumu izmanto nodokļu maksātājs, kuram to nav tiesības izmantot, vai risinājumu vēlas izmantot maksājumu kontam, kas atvērts kredītiestādē, kas saviem klientiem nepiedāvā SDI konta pakalpojumu, likumprojektā ietvertais regulējums paredz, ka VID, pamatojoties uz nodokļu maksātāja iesniegumu, izvērtē nodokļu maksātāja tiesības izmantot vienkāršoto nodokļa nomaksas risinājumu un saņem kredītiestādes apstiprinājumu, ka atvērtais maksājumu konts var tikt izmantots vienkāršotā nodokļa nomaksas risinājuma ietvaros.</w:t>
            </w:r>
          </w:p>
          <w:p w14:paraId="749AC5CB" w14:textId="79628072" w:rsidR="009760CB" w:rsidRPr="00903CCF" w:rsidRDefault="00C856BE" w:rsidP="000602B5">
            <w:pPr>
              <w:ind w:right="140"/>
              <w:jc w:val="both"/>
              <w:rPr>
                <w:spacing w:val="-2"/>
              </w:rPr>
            </w:pPr>
            <w:r w:rsidRPr="00903CCF">
              <w:rPr>
                <w:spacing w:val="-2"/>
              </w:rPr>
              <w:t>Lai nodrošinātu korektu nodokļu aprēķināšanu, deklarēšanu un samaksu visos gadījumos, t.sk., kad vienkāršotā nodokļa nomaksas risinājuma izmantošan</w:t>
            </w:r>
            <w:r w:rsidR="00DF2D7A" w:rsidRPr="00903CCF">
              <w:rPr>
                <w:spacing w:val="-2"/>
              </w:rPr>
              <w:t>u vēlas uzsākt</w:t>
            </w:r>
            <w:r w:rsidRPr="00903CCF">
              <w:rPr>
                <w:spacing w:val="-2"/>
              </w:rPr>
              <w:t xml:space="preserve"> jau reģistrēt</w:t>
            </w:r>
            <w:r w:rsidR="00DF2D7A" w:rsidRPr="00903CCF">
              <w:rPr>
                <w:spacing w:val="-2"/>
              </w:rPr>
              <w:t>s</w:t>
            </w:r>
            <w:r w:rsidRPr="00903CCF">
              <w:rPr>
                <w:spacing w:val="-2"/>
              </w:rPr>
              <w:t xml:space="preserve"> nodokļ</w:t>
            </w:r>
            <w:r w:rsidR="00DF2D7A" w:rsidRPr="00903CCF">
              <w:rPr>
                <w:spacing w:val="-2"/>
              </w:rPr>
              <w:t>u</w:t>
            </w:r>
            <w:r w:rsidRPr="00903CCF">
              <w:rPr>
                <w:spacing w:val="-2"/>
              </w:rPr>
              <w:t xml:space="preserve"> maksātāj</w:t>
            </w:r>
            <w:r w:rsidR="00DF2D7A" w:rsidRPr="00903CCF">
              <w:rPr>
                <w:spacing w:val="-2"/>
              </w:rPr>
              <w:t>s</w:t>
            </w:r>
            <w:r w:rsidRPr="00903CCF">
              <w:rPr>
                <w:spacing w:val="-2"/>
              </w:rPr>
              <w:t xml:space="preserve"> vai persona, kas vēl nav reģistrēta kā nodokļu maksātāja, būtiski ir noteikt nosacījumus, attiecībā uz iesnieguma iesnieg</w:t>
            </w:r>
            <w:r w:rsidR="00DF2D7A" w:rsidRPr="00903CCF">
              <w:rPr>
                <w:spacing w:val="-2"/>
              </w:rPr>
              <w:t xml:space="preserve">šanas brīdi. Proti, paredzēts, ka persona, kas vēl nav reģistrēta kā nodokļu maksātāja, iesniegumu vienkāršotā nodokļa nomaksas risinājuma izmantošanai iesniedz vienlaikus ar iesniegumu par reģistrēšanos par konkrētā nodokļa maksātāju. Savukārt nodokļu maksātājs, kas ir reģistrēts </w:t>
            </w:r>
            <w:r w:rsidR="00AF4ECE" w:rsidRPr="00903CCF">
              <w:rPr>
                <w:spacing w:val="-2"/>
              </w:rPr>
              <w:t xml:space="preserve">Latvijas Republikas Uzņēmumu reģistrā vai VID nodokļu maksātāju reģistrā </w:t>
            </w:r>
            <w:r w:rsidR="00DF2D7A" w:rsidRPr="00903CCF">
              <w:rPr>
                <w:spacing w:val="-2"/>
              </w:rPr>
              <w:t xml:space="preserve"> un </w:t>
            </w:r>
            <w:r w:rsidR="00E6691B" w:rsidRPr="00903CCF">
              <w:rPr>
                <w:spacing w:val="-2"/>
              </w:rPr>
              <w:t xml:space="preserve">konkrētā nodokļa maksātājs un </w:t>
            </w:r>
            <w:r w:rsidR="00DF2D7A" w:rsidRPr="00903CCF">
              <w:rPr>
                <w:spacing w:val="-2"/>
              </w:rPr>
              <w:t xml:space="preserve">vēlas uzsākt vienkāršotā nodokļa </w:t>
            </w:r>
            <w:r w:rsidR="00796061" w:rsidRPr="00903CCF">
              <w:rPr>
                <w:spacing w:val="-2"/>
              </w:rPr>
              <w:t xml:space="preserve">nomaksas </w:t>
            </w:r>
            <w:r w:rsidR="00DF2D7A" w:rsidRPr="00903CCF">
              <w:rPr>
                <w:spacing w:val="-2"/>
              </w:rPr>
              <w:t>risinājuma piemērošanu, iesniegumu iesniedz ne vēlāk kā piecas darb</w:t>
            </w:r>
            <w:r w:rsidR="0020012C" w:rsidRPr="00903CCF">
              <w:rPr>
                <w:spacing w:val="-2"/>
              </w:rPr>
              <w:t xml:space="preserve">a </w:t>
            </w:r>
            <w:r w:rsidR="00DF2D7A" w:rsidRPr="00903CCF">
              <w:rPr>
                <w:spacing w:val="-2"/>
              </w:rPr>
              <w:t xml:space="preserve">dienas pirms konkrētajā nodokļu likumā noteiktā vienkāršotā nodokļa nomaksas risinājuma uzsākšanas brīža. Šādi atšķirīgi iesniegumu iesniegšanas brīži ir noteikti, jo </w:t>
            </w:r>
            <w:proofErr w:type="spellStart"/>
            <w:r w:rsidR="00DF2D7A" w:rsidRPr="00903CCF">
              <w:rPr>
                <w:spacing w:val="-2"/>
              </w:rPr>
              <w:t>jaunreģistrēts</w:t>
            </w:r>
            <w:proofErr w:type="spellEnd"/>
            <w:r w:rsidR="00DF2D7A" w:rsidRPr="00903CCF">
              <w:rPr>
                <w:spacing w:val="-2"/>
              </w:rPr>
              <w:t xml:space="preserve"> nodokļu maksātājs vienkāršoto nodokļa nomaksas risinājum</w:t>
            </w:r>
            <w:r w:rsidR="00663471" w:rsidRPr="00903CCF">
              <w:rPr>
                <w:spacing w:val="-2"/>
              </w:rPr>
              <w:t xml:space="preserve">u var </w:t>
            </w:r>
            <w:r w:rsidR="00DF2D7A" w:rsidRPr="00903CCF">
              <w:rPr>
                <w:spacing w:val="-2"/>
              </w:rPr>
              <w:t>sākt izmantot</w:t>
            </w:r>
            <w:r w:rsidR="009760CB" w:rsidRPr="00903CCF">
              <w:rPr>
                <w:spacing w:val="-2"/>
              </w:rPr>
              <w:t xml:space="preserve"> tiklīdz ir</w:t>
            </w:r>
            <w:r w:rsidR="00663471" w:rsidRPr="00903CCF">
              <w:rPr>
                <w:spacing w:val="-2"/>
              </w:rPr>
              <w:t xml:space="preserve"> saņemta informācija no VID par vienkāršotā nodokļa nomaksas risinājuma uzsākšanu</w:t>
            </w:r>
            <w:r w:rsidR="009760CB" w:rsidRPr="00903CCF">
              <w:rPr>
                <w:spacing w:val="-2"/>
              </w:rPr>
              <w:t xml:space="preserve">, jo </w:t>
            </w:r>
            <w:proofErr w:type="spellStart"/>
            <w:r w:rsidR="009760CB" w:rsidRPr="00903CCF">
              <w:rPr>
                <w:spacing w:val="-2"/>
              </w:rPr>
              <w:t>jaunreģistrēts</w:t>
            </w:r>
            <w:proofErr w:type="spellEnd"/>
            <w:r w:rsidR="009760CB" w:rsidRPr="00903CCF">
              <w:rPr>
                <w:spacing w:val="-2"/>
              </w:rPr>
              <w:t xml:space="preserve"> nodokļu maksātājs saimniecisko darbību uzsāk</w:t>
            </w:r>
            <w:r w:rsidR="002353CF" w:rsidRPr="00903CCF">
              <w:rPr>
                <w:spacing w:val="-2"/>
              </w:rPr>
              <w:t xml:space="preserve"> tad, kad saimnieciskā darbība ir reģistrēta, līdz ar to</w:t>
            </w:r>
            <w:r w:rsidR="009760CB" w:rsidRPr="00903CCF">
              <w:rPr>
                <w:spacing w:val="-2"/>
              </w:rPr>
              <w:t xml:space="preserve"> ta</w:t>
            </w:r>
            <w:r w:rsidR="002353CF" w:rsidRPr="00903CCF">
              <w:rPr>
                <w:spacing w:val="-2"/>
              </w:rPr>
              <w:t xml:space="preserve">m nevar būt iepriekš gūti saimnieciskās darbības ieņēmumi, kuru uzskaitē vai attiecībā uz kuriem nodokļa aprēķināšanā būtu piemērojami citi normatīvajos aktos paredzētie nosacījumi. </w:t>
            </w:r>
          </w:p>
          <w:p w14:paraId="64080945" w14:textId="0F73ECFB" w:rsidR="00663471" w:rsidRPr="00903CCF" w:rsidRDefault="00663471" w:rsidP="000602B5">
            <w:pPr>
              <w:ind w:right="140"/>
              <w:jc w:val="both"/>
              <w:rPr>
                <w:spacing w:val="-2"/>
              </w:rPr>
            </w:pPr>
            <w:r w:rsidRPr="00903CCF">
              <w:rPr>
                <w:spacing w:val="-2"/>
              </w:rPr>
              <w:t>S</w:t>
            </w:r>
            <w:r w:rsidR="00DF2D7A" w:rsidRPr="00903CCF">
              <w:rPr>
                <w:spacing w:val="-2"/>
              </w:rPr>
              <w:t xml:space="preserve">avukārt jau reģistrētam nodokļu maksātājam konkrētā nodokļa likumā tiks noteikti nosacījumi, kad tas no nodokļa </w:t>
            </w:r>
            <w:r w:rsidR="00796061" w:rsidRPr="00903CCF">
              <w:rPr>
                <w:spacing w:val="-2"/>
              </w:rPr>
              <w:t>aprēķināšanas un deklarēšanas konkrētajā nodokļa likumā noteiktajā vispārējā kārtībā</w:t>
            </w:r>
            <w:r w:rsidR="00DF2D7A" w:rsidRPr="00903CCF">
              <w:rPr>
                <w:spacing w:val="-2"/>
              </w:rPr>
              <w:t xml:space="preserve"> var</w:t>
            </w:r>
            <w:r w:rsidR="00796061" w:rsidRPr="00903CCF">
              <w:rPr>
                <w:spacing w:val="-2"/>
              </w:rPr>
              <w:t xml:space="preserve"> pāriet uz </w:t>
            </w:r>
            <w:r w:rsidR="00DF2D7A" w:rsidRPr="00903CCF">
              <w:rPr>
                <w:spacing w:val="-2"/>
              </w:rPr>
              <w:t>vienkāršot</w:t>
            </w:r>
            <w:r w:rsidR="00796061" w:rsidRPr="00903CCF">
              <w:rPr>
                <w:spacing w:val="-2"/>
              </w:rPr>
              <w:t>ā</w:t>
            </w:r>
            <w:r w:rsidR="00DF2D7A" w:rsidRPr="00903CCF">
              <w:rPr>
                <w:spacing w:val="-2"/>
              </w:rPr>
              <w:t xml:space="preserve"> nodokļa nomaksas risinājum</w:t>
            </w:r>
            <w:r w:rsidR="00796061" w:rsidRPr="00903CCF">
              <w:rPr>
                <w:spacing w:val="-2"/>
              </w:rPr>
              <w:t>a izmantošanu</w:t>
            </w:r>
            <w:r w:rsidR="00DF2D7A" w:rsidRPr="00903CCF">
              <w:rPr>
                <w:spacing w:val="-2"/>
              </w:rPr>
              <w:t xml:space="preserve">. </w:t>
            </w:r>
          </w:p>
          <w:p w14:paraId="7CD629A2" w14:textId="2270BC08" w:rsidR="00DF2D7A" w:rsidRPr="00903CCF" w:rsidRDefault="00663471" w:rsidP="000602B5">
            <w:pPr>
              <w:ind w:right="140"/>
              <w:jc w:val="both"/>
              <w:rPr>
                <w:spacing w:val="-2"/>
              </w:rPr>
            </w:pPr>
            <w:r w:rsidRPr="00903CCF">
              <w:rPr>
                <w:spacing w:val="-2"/>
              </w:rPr>
              <w:t xml:space="preserve">Lai nodrošinātu </w:t>
            </w:r>
            <w:r w:rsidR="00C871B2" w:rsidRPr="00903CCF">
              <w:rPr>
                <w:spacing w:val="-2"/>
              </w:rPr>
              <w:t>korektu vienkāršotā nodokļa nomaksas risinājuma uzsākšanas brīdi, paredzēts, ka VID kredītiestādi informē vienas darb</w:t>
            </w:r>
            <w:r w:rsidR="0020012C" w:rsidRPr="00903CCF">
              <w:rPr>
                <w:spacing w:val="-2"/>
              </w:rPr>
              <w:t xml:space="preserve">a </w:t>
            </w:r>
            <w:r w:rsidR="00C871B2" w:rsidRPr="00903CCF">
              <w:rPr>
                <w:spacing w:val="-2"/>
              </w:rPr>
              <w:t>dienas laikā pēc nodokļu maksātāja:</w:t>
            </w:r>
          </w:p>
          <w:p w14:paraId="19A5270B" w14:textId="4BF9771D" w:rsidR="000E78CD" w:rsidRPr="00903CCF" w:rsidRDefault="00C871B2" w:rsidP="000602B5">
            <w:pPr>
              <w:ind w:right="140"/>
              <w:jc w:val="both"/>
              <w:rPr>
                <w:spacing w:val="-2"/>
              </w:rPr>
            </w:pPr>
            <w:r w:rsidRPr="00903CCF">
              <w:rPr>
                <w:spacing w:val="-2"/>
              </w:rPr>
              <w:t>1</w:t>
            </w:r>
            <w:r w:rsidR="000E78CD" w:rsidRPr="00903CCF">
              <w:rPr>
                <w:spacing w:val="-2"/>
              </w:rPr>
              <w:t xml:space="preserve">) kā konkrētā nodokļa maksātāja reģistrācijas - ja </w:t>
            </w:r>
            <w:r w:rsidR="00AF4ECE" w:rsidRPr="00903CCF">
              <w:rPr>
                <w:spacing w:val="-2"/>
              </w:rPr>
              <w:t xml:space="preserve">persona </w:t>
            </w:r>
            <w:r w:rsidR="000E78CD" w:rsidRPr="00903CCF">
              <w:rPr>
                <w:spacing w:val="-2"/>
              </w:rPr>
              <w:t>uz iesnieguma iesniegšanas dienu nav reģistrēt</w:t>
            </w:r>
            <w:r w:rsidR="00AF4ECE" w:rsidRPr="00903CCF">
              <w:rPr>
                <w:spacing w:val="-2"/>
              </w:rPr>
              <w:t xml:space="preserve">a Latvijas Republikas Uzņēmumu reģistrā vai VID nodokļu maksātāju reģistrā </w:t>
            </w:r>
            <w:r w:rsidR="000E78CD" w:rsidRPr="00903CCF">
              <w:rPr>
                <w:spacing w:val="-2"/>
              </w:rPr>
              <w:t xml:space="preserve">un </w:t>
            </w:r>
            <w:r w:rsidR="00AF4ECE" w:rsidRPr="00903CCF">
              <w:rPr>
                <w:spacing w:val="-2"/>
              </w:rPr>
              <w:t xml:space="preserve">kā </w:t>
            </w:r>
            <w:r w:rsidR="000E78CD" w:rsidRPr="00903CCF">
              <w:rPr>
                <w:spacing w:val="-2"/>
              </w:rPr>
              <w:t>konkrētā nodokļa maksātājs</w:t>
            </w:r>
            <w:r w:rsidRPr="00903CCF">
              <w:rPr>
                <w:spacing w:val="-2"/>
              </w:rPr>
              <w:t>. Proti, nodokļu maksātājs vispirms tiek reģistrēts</w:t>
            </w:r>
            <w:r w:rsidR="00AF4ECE" w:rsidRPr="00903CCF">
              <w:rPr>
                <w:spacing w:val="-2"/>
              </w:rPr>
              <w:t>, piemēram,</w:t>
            </w:r>
            <w:r w:rsidRPr="00903CCF">
              <w:rPr>
                <w:spacing w:val="-2"/>
              </w:rPr>
              <w:t xml:space="preserve"> kā</w:t>
            </w:r>
            <w:r w:rsidR="0020012C" w:rsidRPr="00903CCF">
              <w:rPr>
                <w:spacing w:val="-2"/>
              </w:rPr>
              <w:t xml:space="preserve"> individuālais komersants vai</w:t>
            </w:r>
            <w:r w:rsidRPr="00903CCF">
              <w:rPr>
                <w:spacing w:val="-2"/>
              </w:rPr>
              <w:t xml:space="preserve"> saimnieciskās darbības veicējs un konkrētā nodokļa maksātājs, tad tiek pārbaudīti kritēriji attiecībā uz tā tiesībām izmantot vienkāršoto nodokļa nomaksas risinājumu konkrētā nodokļa aprēķināšanā un iekasēšanā</w:t>
            </w:r>
            <w:r w:rsidR="00796061" w:rsidRPr="00903CCF">
              <w:rPr>
                <w:spacing w:val="-2"/>
              </w:rPr>
              <w:t>,</w:t>
            </w:r>
            <w:r w:rsidRPr="00903CCF">
              <w:rPr>
                <w:spacing w:val="-2"/>
              </w:rPr>
              <w:t xml:space="preserve"> un tikai tad tiek informēta kredītiestāde. </w:t>
            </w:r>
            <w:r w:rsidRPr="00903CCF">
              <w:rPr>
                <w:i/>
                <w:spacing w:val="-2"/>
              </w:rPr>
              <w:t>Piemērs – VID informē kredītiestādi vienas darb</w:t>
            </w:r>
            <w:r w:rsidR="0020012C" w:rsidRPr="00903CCF">
              <w:rPr>
                <w:i/>
                <w:spacing w:val="-2"/>
              </w:rPr>
              <w:t xml:space="preserve">a </w:t>
            </w:r>
            <w:r w:rsidRPr="00903CCF">
              <w:rPr>
                <w:i/>
                <w:spacing w:val="-2"/>
              </w:rPr>
              <w:t>dienas laikā pēc fiziskās personas reģistrēšanas par saimnieciskās darbības veicēju un</w:t>
            </w:r>
            <w:r w:rsidR="00796061" w:rsidRPr="00903CCF">
              <w:rPr>
                <w:i/>
                <w:spacing w:val="-2"/>
              </w:rPr>
              <w:t xml:space="preserve"> par</w:t>
            </w:r>
            <w:r w:rsidRPr="00903CCF">
              <w:rPr>
                <w:i/>
                <w:spacing w:val="-2"/>
              </w:rPr>
              <w:t xml:space="preserve"> </w:t>
            </w:r>
            <w:proofErr w:type="spellStart"/>
            <w:r w:rsidRPr="00903CCF">
              <w:rPr>
                <w:i/>
                <w:spacing w:val="-2"/>
              </w:rPr>
              <w:t>mikrouzņēmumu</w:t>
            </w:r>
            <w:proofErr w:type="spellEnd"/>
            <w:r w:rsidRPr="00903CCF">
              <w:rPr>
                <w:i/>
                <w:spacing w:val="-2"/>
              </w:rPr>
              <w:t xml:space="preserve"> nodokļa maksātāju</w:t>
            </w:r>
            <w:r w:rsidR="008F6C6A" w:rsidRPr="00903CCF">
              <w:rPr>
                <w:i/>
                <w:spacing w:val="-2"/>
              </w:rPr>
              <w:t xml:space="preserve">. Vienkāršotā nodokļa nomaksas risinājuma izmantošanu var uzsākt ar VID nodokļu maksātājam paziņoto vienkāršotā </w:t>
            </w:r>
            <w:r w:rsidR="00796061" w:rsidRPr="00903CCF">
              <w:rPr>
                <w:i/>
                <w:spacing w:val="-2"/>
              </w:rPr>
              <w:t xml:space="preserve">nodokļa nomaksas </w:t>
            </w:r>
            <w:r w:rsidR="008F6C6A" w:rsidRPr="00903CCF">
              <w:rPr>
                <w:i/>
                <w:spacing w:val="-2"/>
              </w:rPr>
              <w:t>risinājuma uzsākšanas datumu</w:t>
            </w:r>
            <w:r w:rsidR="000E78CD" w:rsidRPr="00903CCF">
              <w:rPr>
                <w:i/>
                <w:spacing w:val="-2"/>
              </w:rPr>
              <w:t>;</w:t>
            </w:r>
          </w:p>
          <w:p w14:paraId="6FD788AA" w14:textId="1D29E9BF" w:rsidR="000E78CD" w:rsidRPr="00903CCF" w:rsidRDefault="000E78CD" w:rsidP="000602B5">
            <w:pPr>
              <w:ind w:right="140"/>
              <w:jc w:val="both"/>
              <w:rPr>
                <w:spacing w:val="-2"/>
              </w:rPr>
            </w:pPr>
            <w:r w:rsidRPr="00903CCF">
              <w:rPr>
                <w:spacing w:val="-2"/>
              </w:rPr>
              <w:t xml:space="preserve">2) reģistrācijas par konkrētā nodokļa maksātāju - ja nodokļu maksātājs uz iesnieguma iesniegšanas dienu ir reģistrēts </w:t>
            </w:r>
            <w:r w:rsidR="00AF4ECE" w:rsidRPr="00903CCF">
              <w:rPr>
                <w:spacing w:val="-2"/>
              </w:rPr>
              <w:t>Latvijas Republikas Uzņēmumu reģistrā vai VID nodokļu maksātāju reģistrā</w:t>
            </w:r>
            <w:r w:rsidRPr="00903CCF">
              <w:rPr>
                <w:spacing w:val="-2"/>
              </w:rPr>
              <w:t>, bet maina piemērojamo nodokļa režīmu</w:t>
            </w:r>
            <w:r w:rsidR="00C871B2" w:rsidRPr="00903CCF">
              <w:rPr>
                <w:spacing w:val="-2"/>
              </w:rPr>
              <w:t>. Proti, nodokļu maksātājs vispirms tiek reģistrēts kā konkrētā</w:t>
            </w:r>
            <w:r w:rsidR="0020012C" w:rsidRPr="00903CCF">
              <w:rPr>
                <w:spacing w:val="-2"/>
              </w:rPr>
              <w:t xml:space="preserve"> (jaunā)</w:t>
            </w:r>
            <w:r w:rsidR="00C871B2" w:rsidRPr="00903CCF">
              <w:rPr>
                <w:spacing w:val="-2"/>
              </w:rPr>
              <w:t xml:space="preserve"> nodokļa maksātājs, tad tiek pārbaudīti kritēriji attiecībā uz tā tiesībām izmantot vienkāršoto nodokļa nomaksas risinājumu šī nodokļa aprēķināšanā un iekasēšanā (t.sk., tiek uzraudzīts arī risinājuma uzsākšanas brīdis) un tikai tad tiek informēta kredītiestāde</w:t>
            </w:r>
            <w:r w:rsidRPr="00903CCF">
              <w:rPr>
                <w:spacing w:val="-2"/>
              </w:rPr>
              <w:t>;</w:t>
            </w:r>
            <w:r w:rsidR="00C871B2" w:rsidRPr="00903CCF">
              <w:rPr>
                <w:spacing w:val="-2"/>
              </w:rPr>
              <w:t xml:space="preserve"> </w:t>
            </w:r>
            <w:r w:rsidR="00C871B2" w:rsidRPr="00903CCF">
              <w:rPr>
                <w:i/>
                <w:spacing w:val="-2"/>
              </w:rPr>
              <w:t>Piemērs – VID informē kredītiestādi vienas darb</w:t>
            </w:r>
            <w:r w:rsidR="0020012C" w:rsidRPr="00903CCF">
              <w:rPr>
                <w:i/>
                <w:spacing w:val="-2"/>
              </w:rPr>
              <w:t xml:space="preserve">a </w:t>
            </w:r>
            <w:r w:rsidR="00C871B2" w:rsidRPr="00903CCF">
              <w:rPr>
                <w:i/>
                <w:spacing w:val="-2"/>
              </w:rPr>
              <w:t>dienas laikā pēc</w:t>
            </w:r>
            <w:r w:rsidR="008F6C6A" w:rsidRPr="00903CCF">
              <w:rPr>
                <w:i/>
                <w:spacing w:val="-2"/>
              </w:rPr>
              <w:t xml:space="preserve"> saimnieciskās darbības veicēja (iedzīvotāju ienākuma nodokļa maksātāja) reģistrēšanas par </w:t>
            </w:r>
            <w:proofErr w:type="spellStart"/>
            <w:r w:rsidR="008F6C6A" w:rsidRPr="00903CCF">
              <w:rPr>
                <w:i/>
                <w:spacing w:val="-2"/>
              </w:rPr>
              <w:t>mikrouzņēmumu</w:t>
            </w:r>
            <w:proofErr w:type="spellEnd"/>
            <w:r w:rsidR="008F6C6A" w:rsidRPr="00903CCF">
              <w:rPr>
                <w:i/>
                <w:spacing w:val="-2"/>
              </w:rPr>
              <w:t xml:space="preserve"> nodokļa maksātāju. Vienkāršotā nodokļa nomaksas risinājuma izmantošanu var uzsākt ar VID nodokļu maksātājam paziņoto vienkāršotā </w:t>
            </w:r>
            <w:r w:rsidR="00796061" w:rsidRPr="00903CCF">
              <w:rPr>
                <w:i/>
                <w:spacing w:val="-2"/>
              </w:rPr>
              <w:t xml:space="preserve">nodokļa nomaksas </w:t>
            </w:r>
            <w:r w:rsidR="008F6C6A" w:rsidRPr="00903CCF">
              <w:rPr>
                <w:i/>
                <w:spacing w:val="-2"/>
              </w:rPr>
              <w:t xml:space="preserve">risinājuma uzsākšanas datumu, ievērojot </w:t>
            </w:r>
            <w:proofErr w:type="spellStart"/>
            <w:r w:rsidR="008F6C6A" w:rsidRPr="00903CCF">
              <w:rPr>
                <w:i/>
                <w:spacing w:val="-2"/>
              </w:rPr>
              <w:t>Mikrouzņēmumu</w:t>
            </w:r>
            <w:proofErr w:type="spellEnd"/>
            <w:r w:rsidR="008F6C6A" w:rsidRPr="00903CCF">
              <w:rPr>
                <w:i/>
                <w:spacing w:val="-2"/>
              </w:rPr>
              <w:t xml:space="preserve"> nodokļa likuma nosacījumus, t.i., ar ceturkšņa pirmo datumu.  </w:t>
            </w:r>
          </w:p>
          <w:p w14:paraId="3AA2E063" w14:textId="42AED37A" w:rsidR="000E78CD" w:rsidRPr="00903CCF" w:rsidRDefault="000E78CD" w:rsidP="000602B5">
            <w:pPr>
              <w:ind w:right="140"/>
              <w:jc w:val="both"/>
              <w:rPr>
                <w:spacing w:val="-2"/>
              </w:rPr>
            </w:pPr>
            <w:r w:rsidRPr="00903CCF">
              <w:rPr>
                <w:spacing w:val="-2"/>
              </w:rPr>
              <w:t xml:space="preserve">3) iesnieguma saņemšanas – ja nodokļu maksātājs uz iesnieguma iesniegšanas dienu ir reģistrēts </w:t>
            </w:r>
            <w:r w:rsidR="00AF4ECE" w:rsidRPr="00903CCF">
              <w:rPr>
                <w:spacing w:val="-2"/>
              </w:rPr>
              <w:t>Latvijas Republikas Uzņēmumu reģistrā vai Valsts ieņēmumu dienesta nodokļu maksātāju reģistrā</w:t>
            </w:r>
            <w:r w:rsidRPr="00903CCF">
              <w:rPr>
                <w:spacing w:val="-2"/>
              </w:rPr>
              <w:t xml:space="preserve"> un</w:t>
            </w:r>
            <w:r w:rsidR="00AF4ECE" w:rsidRPr="00903CCF">
              <w:rPr>
                <w:spacing w:val="-2"/>
              </w:rPr>
              <w:t xml:space="preserve"> kā</w:t>
            </w:r>
            <w:r w:rsidRPr="00903CCF">
              <w:rPr>
                <w:spacing w:val="-2"/>
              </w:rPr>
              <w:t xml:space="preserve"> konkrētā nodokļa maksātājs un vēlas uzsākt vienkāršotā nodokļa nomaksas risinājuma izmantošanu</w:t>
            </w:r>
            <w:r w:rsidR="00C871B2" w:rsidRPr="00903CCF">
              <w:rPr>
                <w:spacing w:val="-2"/>
              </w:rPr>
              <w:t xml:space="preserve">. Proti, nodokļu maksātājs </w:t>
            </w:r>
            <w:r w:rsidR="008F6C6A" w:rsidRPr="00903CCF">
              <w:rPr>
                <w:spacing w:val="-2"/>
              </w:rPr>
              <w:t>ir</w:t>
            </w:r>
            <w:r w:rsidR="00C871B2" w:rsidRPr="00903CCF">
              <w:rPr>
                <w:spacing w:val="-2"/>
              </w:rPr>
              <w:t xml:space="preserve"> reģistrēts kā </w:t>
            </w:r>
            <w:r w:rsidR="00077987" w:rsidRPr="00903CCF">
              <w:rPr>
                <w:spacing w:val="-2"/>
              </w:rPr>
              <w:t>konk</w:t>
            </w:r>
            <w:r w:rsidR="00796061" w:rsidRPr="00903CCF">
              <w:rPr>
                <w:spacing w:val="-2"/>
              </w:rPr>
              <w:t>r</w:t>
            </w:r>
            <w:r w:rsidR="00077987" w:rsidRPr="00903CCF">
              <w:rPr>
                <w:spacing w:val="-2"/>
              </w:rPr>
              <w:t>ētā</w:t>
            </w:r>
            <w:r w:rsidR="00C871B2" w:rsidRPr="00903CCF">
              <w:rPr>
                <w:spacing w:val="-2"/>
              </w:rPr>
              <w:t xml:space="preserve"> nodokļa maksātājs, tiek pārbaudīti kritēriji attiecībā uz tā tiesībām izmantot vienkāršoto nodokļa nomaksas risinājumu šī nodokļa aprēķināšanā un iekasēšanā (t.sk., tiek uzraudzīts arī risinājuma uzsākšanas brīdis) un tikai tad tiek informēta kredītiestāde</w:t>
            </w:r>
            <w:r w:rsidRPr="00903CCF">
              <w:rPr>
                <w:spacing w:val="-2"/>
              </w:rPr>
              <w:t>.</w:t>
            </w:r>
            <w:r w:rsidR="008F6C6A" w:rsidRPr="00903CCF">
              <w:rPr>
                <w:spacing w:val="-2"/>
              </w:rPr>
              <w:t xml:space="preserve"> </w:t>
            </w:r>
            <w:r w:rsidR="008F6C6A" w:rsidRPr="00903CCF">
              <w:rPr>
                <w:i/>
                <w:spacing w:val="-2"/>
              </w:rPr>
              <w:t>Piemērs – VID informē kredītiestādi vienas darb</w:t>
            </w:r>
            <w:r w:rsidR="0020012C" w:rsidRPr="00903CCF">
              <w:rPr>
                <w:i/>
                <w:spacing w:val="-2"/>
              </w:rPr>
              <w:t xml:space="preserve">a </w:t>
            </w:r>
            <w:r w:rsidR="008F6C6A" w:rsidRPr="00903CCF">
              <w:rPr>
                <w:i/>
                <w:spacing w:val="-2"/>
              </w:rPr>
              <w:t xml:space="preserve">dienas laikā pēc </w:t>
            </w:r>
            <w:proofErr w:type="spellStart"/>
            <w:r w:rsidR="008F6C6A" w:rsidRPr="00903CCF">
              <w:rPr>
                <w:i/>
                <w:spacing w:val="-2"/>
              </w:rPr>
              <w:t>mikrouzņēmuma</w:t>
            </w:r>
            <w:proofErr w:type="spellEnd"/>
            <w:r w:rsidR="008F6C6A" w:rsidRPr="00903CCF">
              <w:rPr>
                <w:i/>
                <w:spacing w:val="-2"/>
              </w:rPr>
              <w:t xml:space="preserve"> nodokļa maksātāja iesnieguma saņemšanas. Vienkāršotā nodokļa nomaksas risinājuma izmantošanu var uzsākt ar VID nodokļu maksātājam paziņoto vienkāršotā</w:t>
            </w:r>
            <w:r w:rsidR="00796061" w:rsidRPr="00903CCF">
              <w:rPr>
                <w:i/>
                <w:spacing w:val="-2"/>
              </w:rPr>
              <w:t xml:space="preserve"> nodokļa nomaksas</w:t>
            </w:r>
            <w:r w:rsidR="008F6C6A" w:rsidRPr="00903CCF">
              <w:rPr>
                <w:i/>
                <w:spacing w:val="-2"/>
              </w:rPr>
              <w:t xml:space="preserve"> risinājuma uzsākšanas datumu, ievērojot </w:t>
            </w:r>
            <w:proofErr w:type="spellStart"/>
            <w:r w:rsidR="008F6C6A" w:rsidRPr="00903CCF">
              <w:rPr>
                <w:i/>
                <w:spacing w:val="-2"/>
              </w:rPr>
              <w:t>Mikrouzņēmumu</w:t>
            </w:r>
            <w:proofErr w:type="spellEnd"/>
            <w:r w:rsidR="008F6C6A" w:rsidRPr="00903CCF">
              <w:rPr>
                <w:i/>
                <w:spacing w:val="-2"/>
              </w:rPr>
              <w:t xml:space="preserve"> nodokļa likuma nosacījumus, proti, ar ceturkšņa pirmo datumu. </w:t>
            </w:r>
          </w:p>
          <w:p w14:paraId="7953A50E" w14:textId="2D6DEA76" w:rsidR="000E78CD" w:rsidRPr="00903CCF" w:rsidRDefault="00077987" w:rsidP="000602B5">
            <w:pPr>
              <w:ind w:right="140"/>
              <w:jc w:val="both"/>
              <w:rPr>
                <w:spacing w:val="-2"/>
              </w:rPr>
            </w:pPr>
            <w:r w:rsidRPr="00903CCF">
              <w:rPr>
                <w:spacing w:val="-2"/>
              </w:rPr>
              <w:t>Ņemot vērā to, ka kredītiestādei ir jāpārbauda nodokļa maksātāja iesniegumā norādītā konta izmantošanas iespējas vienkāršotā nodokļa nomaksas risinājuma ietvaros, paredzēts, ka k</w:t>
            </w:r>
            <w:r w:rsidR="000E78CD" w:rsidRPr="00903CCF">
              <w:rPr>
                <w:spacing w:val="-2"/>
              </w:rPr>
              <w:t>redītiestāde divu darb</w:t>
            </w:r>
            <w:r w:rsidR="0020012C" w:rsidRPr="00903CCF">
              <w:rPr>
                <w:spacing w:val="-2"/>
              </w:rPr>
              <w:t xml:space="preserve">a </w:t>
            </w:r>
            <w:r w:rsidR="000E78CD" w:rsidRPr="00903CCF">
              <w:rPr>
                <w:spacing w:val="-2"/>
              </w:rPr>
              <w:t>dienu laikā pēc informācijas saņemšanas</w:t>
            </w:r>
            <w:r w:rsidRPr="00903CCF">
              <w:rPr>
                <w:spacing w:val="-2"/>
              </w:rPr>
              <w:t xml:space="preserve"> no VID, </w:t>
            </w:r>
            <w:proofErr w:type="spellStart"/>
            <w:r w:rsidR="000E78CD" w:rsidRPr="00903CCF">
              <w:rPr>
                <w:spacing w:val="-2"/>
              </w:rPr>
              <w:t>nosūta</w:t>
            </w:r>
            <w:proofErr w:type="spellEnd"/>
            <w:r w:rsidRPr="00903CCF">
              <w:rPr>
                <w:spacing w:val="-2"/>
              </w:rPr>
              <w:t xml:space="preserve"> </w:t>
            </w:r>
            <w:r w:rsidR="00FC23DE" w:rsidRPr="00903CCF">
              <w:rPr>
                <w:spacing w:val="-2"/>
              </w:rPr>
              <w:t>VID</w:t>
            </w:r>
            <w:r w:rsidR="000E78CD" w:rsidRPr="00903CCF">
              <w:rPr>
                <w:spacing w:val="-2"/>
              </w:rPr>
              <w:t xml:space="preserve"> paziņojumu, ar kuru apstiprina nodokļa ieturēšanas un ieskaitīšanas vienotajā nodokļu kontā uzsākšanu un paziņo tā uzsākšanas datumu, vai informē </w:t>
            </w:r>
            <w:r w:rsidR="00796061" w:rsidRPr="00903CCF">
              <w:rPr>
                <w:spacing w:val="-2"/>
              </w:rPr>
              <w:t>VID</w:t>
            </w:r>
            <w:r w:rsidR="000E78CD" w:rsidRPr="00903CCF">
              <w:rPr>
                <w:spacing w:val="-2"/>
              </w:rPr>
              <w:t xml:space="preserve"> par atteikumu attiecībā uz minēto darbību īstenošanu, norādot atteikuma iemeslu. </w:t>
            </w:r>
            <w:r w:rsidRPr="00903CCF">
              <w:rPr>
                <w:spacing w:val="-2"/>
              </w:rPr>
              <w:t>Tikai pēc informācijas saņemšanas no kredītiestādes, VID</w:t>
            </w:r>
            <w:r w:rsidR="000E78CD" w:rsidRPr="00903CCF">
              <w:rPr>
                <w:spacing w:val="-2"/>
              </w:rPr>
              <w:t xml:space="preserve"> vienas darb</w:t>
            </w:r>
            <w:r w:rsidR="0020012C" w:rsidRPr="00903CCF">
              <w:rPr>
                <w:spacing w:val="-2"/>
              </w:rPr>
              <w:t xml:space="preserve">a </w:t>
            </w:r>
            <w:r w:rsidR="000E78CD" w:rsidRPr="00903CCF">
              <w:rPr>
                <w:spacing w:val="-2"/>
              </w:rPr>
              <w:t xml:space="preserve">dienas laikā </w:t>
            </w:r>
            <w:r w:rsidRPr="00903CCF">
              <w:rPr>
                <w:spacing w:val="-2"/>
              </w:rPr>
              <w:t>VID</w:t>
            </w:r>
            <w:r w:rsidR="000E78CD" w:rsidRPr="00903CCF">
              <w:rPr>
                <w:spacing w:val="-2"/>
              </w:rPr>
              <w:t xml:space="preserve"> elektroniskās deklarēšanas sistēmā</w:t>
            </w:r>
            <w:r w:rsidRPr="00903CCF">
              <w:rPr>
                <w:spacing w:val="-2"/>
              </w:rPr>
              <w:t xml:space="preserve"> (turpmāk – EDS) </w:t>
            </w:r>
            <w:r w:rsidR="000E78CD" w:rsidRPr="00903CCF">
              <w:rPr>
                <w:spacing w:val="-2"/>
              </w:rPr>
              <w:t>paziņo nodokļu maksātājam par vienkāršotā nodokļa nomaksas risinājuma izmantošanas uzsākšanu, norādot risinājuma izmantošanas uzsākšanas datumu, vai paziņo par atteikumu vienkāršotā nodokļa nomaksas risinājuma izmantošanai, norādot atteikuma iemeslu.</w:t>
            </w:r>
          </w:p>
          <w:p w14:paraId="18F014EE" w14:textId="6CD80650" w:rsidR="000E78CD" w:rsidRPr="00903CCF" w:rsidRDefault="00077987" w:rsidP="000602B5">
            <w:pPr>
              <w:ind w:right="140"/>
              <w:jc w:val="both"/>
              <w:rPr>
                <w:spacing w:val="-2"/>
              </w:rPr>
            </w:pPr>
            <w:r w:rsidRPr="00903CCF">
              <w:rPr>
                <w:spacing w:val="-2"/>
              </w:rPr>
              <w:t>Ievērojot to, ka no nodokļa maksātāja reģistrācijas par saimnieciskās darbības veicēju un konkrētā nodokļa maksātāju līdz brīdim, kad nodokļu maksāt</w:t>
            </w:r>
            <w:r w:rsidR="00C823F0" w:rsidRPr="00903CCF">
              <w:rPr>
                <w:spacing w:val="-2"/>
              </w:rPr>
              <w:t>ājam rodas tiesības</w:t>
            </w:r>
            <w:r w:rsidRPr="00903CCF">
              <w:rPr>
                <w:spacing w:val="-2"/>
              </w:rPr>
              <w:t xml:space="preserve"> uzsākt vienkāršotā nodokļa nomaksas risinājuma izmantošanu</w:t>
            </w:r>
            <w:r w:rsidR="00C823F0" w:rsidRPr="00903CCF">
              <w:rPr>
                <w:spacing w:val="-2"/>
              </w:rPr>
              <w:t>,</w:t>
            </w:r>
            <w:r w:rsidRPr="00903CCF">
              <w:rPr>
                <w:spacing w:val="-2"/>
              </w:rPr>
              <w:t xml:space="preserve"> var paiet </w:t>
            </w:r>
            <w:r w:rsidR="00C823F0" w:rsidRPr="00903CCF">
              <w:rPr>
                <w:spacing w:val="-2"/>
              </w:rPr>
              <w:t>vair</w:t>
            </w:r>
            <w:r w:rsidR="0015688F" w:rsidRPr="00903CCF">
              <w:rPr>
                <w:spacing w:val="-2"/>
              </w:rPr>
              <w:t xml:space="preserve">ākas </w:t>
            </w:r>
            <w:r w:rsidR="00C823F0" w:rsidRPr="00903CCF">
              <w:rPr>
                <w:spacing w:val="-2"/>
              </w:rPr>
              <w:t>d</w:t>
            </w:r>
            <w:r w:rsidRPr="00903CCF">
              <w:rPr>
                <w:spacing w:val="-2"/>
              </w:rPr>
              <w:t>ien</w:t>
            </w:r>
            <w:r w:rsidR="00C823F0" w:rsidRPr="00903CCF">
              <w:rPr>
                <w:spacing w:val="-2"/>
              </w:rPr>
              <w:t>as</w:t>
            </w:r>
            <w:r w:rsidRPr="00903CCF">
              <w:rPr>
                <w:spacing w:val="-2"/>
              </w:rPr>
              <w:t xml:space="preserve"> (jo ir jānodrošina informācijas pārbaude un informācijas apmaiņa ar kredītiestādi</w:t>
            </w:r>
            <w:r w:rsidR="00C823F0" w:rsidRPr="00903CCF">
              <w:rPr>
                <w:spacing w:val="-2"/>
              </w:rPr>
              <w:t>, kā arī to var ietekmēt tas, cik savlaicīgi nodokļu maksātājs reģistrēs savu saimniecisko darbību un iesniegs iesniegumu</w:t>
            </w:r>
            <w:r w:rsidR="00F75057" w:rsidRPr="00903CCF">
              <w:rPr>
                <w:spacing w:val="-2"/>
              </w:rPr>
              <w:t xml:space="preserve"> risinājuma izmantošanai</w:t>
            </w:r>
            <w:r w:rsidRPr="00903CCF">
              <w:rPr>
                <w:spacing w:val="-2"/>
              </w:rPr>
              <w:t xml:space="preserve">) </w:t>
            </w:r>
            <w:r w:rsidR="00C02F17" w:rsidRPr="00903CCF">
              <w:rPr>
                <w:spacing w:val="-2"/>
              </w:rPr>
              <w:t>tiek</w:t>
            </w:r>
            <w:r w:rsidR="00C823F0" w:rsidRPr="00903CCF">
              <w:rPr>
                <w:spacing w:val="-2"/>
              </w:rPr>
              <w:t xml:space="preserve"> paredzēts, ka nodokļu maksātājs v</w:t>
            </w:r>
            <w:r w:rsidR="000E78CD" w:rsidRPr="00903CCF">
              <w:rPr>
                <w:spacing w:val="-2"/>
              </w:rPr>
              <w:t>ienkāršoto nodokļa nomaksas risinājumu var</w:t>
            </w:r>
            <w:r w:rsidR="00C823F0" w:rsidRPr="00903CCF">
              <w:rPr>
                <w:spacing w:val="-2"/>
              </w:rPr>
              <w:t>ēs</w:t>
            </w:r>
            <w:r w:rsidR="000E78CD" w:rsidRPr="00903CCF">
              <w:rPr>
                <w:spacing w:val="-2"/>
              </w:rPr>
              <w:t xml:space="preserve"> piemērot arī saimnieciskās darbības ieņēmumiem, kas gūti periodā no nodokļu maksātāja reģistrēšanas par saimnieciskās darbības veicēju un konkrētā nodokļa maksātāju līdz brīdim, kad, ievērojot </w:t>
            </w:r>
            <w:r w:rsidR="00796061" w:rsidRPr="00903CCF">
              <w:rPr>
                <w:spacing w:val="-2"/>
              </w:rPr>
              <w:t>VID</w:t>
            </w:r>
            <w:r w:rsidR="000E78CD" w:rsidRPr="00903CCF">
              <w:rPr>
                <w:spacing w:val="-2"/>
              </w:rPr>
              <w:t xml:space="preserve"> paziņojumu, </w:t>
            </w:r>
            <w:r w:rsidR="00C823F0" w:rsidRPr="00903CCF">
              <w:rPr>
                <w:spacing w:val="-2"/>
              </w:rPr>
              <w:t xml:space="preserve">var uzsākt </w:t>
            </w:r>
            <w:r w:rsidR="000E78CD" w:rsidRPr="00903CCF">
              <w:rPr>
                <w:spacing w:val="-2"/>
              </w:rPr>
              <w:t>vienkāršotā nodokļa nomaksas risinājuma piemērošanu</w:t>
            </w:r>
            <w:r w:rsidR="00C823F0" w:rsidRPr="00903CCF">
              <w:rPr>
                <w:spacing w:val="-2"/>
              </w:rPr>
              <w:t>. Šajā gadījumā nodokļu maksātājam būs jāizpilda šādi nosacījumi:</w:t>
            </w:r>
          </w:p>
          <w:p w14:paraId="4D5FB844" w14:textId="0E1AA25D" w:rsidR="000E78CD" w:rsidRPr="00903CCF" w:rsidRDefault="000E78CD" w:rsidP="000602B5">
            <w:pPr>
              <w:ind w:right="140"/>
              <w:jc w:val="both"/>
              <w:rPr>
                <w:spacing w:val="-2"/>
              </w:rPr>
            </w:pPr>
            <w:r w:rsidRPr="00903CCF">
              <w:rPr>
                <w:spacing w:val="-2"/>
              </w:rPr>
              <w:t>1) iesniegum</w:t>
            </w:r>
            <w:r w:rsidR="00C823F0" w:rsidRPr="00903CCF">
              <w:rPr>
                <w:spacing w:val="-2"/>
              </w:rPr>
              <w:t>s</w:t>
            </w:r>
            <w:r w:rsidRPr="00903CCF">
              <w:rPr>
                <w:spacing w:val="-2"/>
              </w:rPr>
              <w:t xml:space="preserve"> par vienkāršotā nodokļa nomaksas risinājuma piemērošanu </w:t>
            </w:r>
            <w:r w:rsidR="00C823F0" w:rsidRPr="00903CCF">
              <w:rPr>
                <w:spacing w:val="-2"/>
              </w:rPr>
              <w:t xml:space="preserve">VID </w:t>
            </w:r>
            <w:r w:rsidR="004C671C" w:rsidRPr="00903CCF">
              <w:rPr>
                <w:spacing w:val="-2"/>
              </w:rPr>
              <w:t>jā</w:t>
            </w:r>
            <w:r w:rsidR="00C823F0" w:rsidRPr="00903CCF">
              <w:rPr>
                <w:spacing w:val="-2"/>
              </w:rPr>
              <w:t>iesnie</w:t>
            </w:r>
            <w:r w:rsidR="004C671C" w:rsidRPr="00903CCF">
              <w:rPr>
                <w:spacing w:val="-2"/>
              </w:rPr>
              <w:t>dz</w:t>
            </w:r>
            <w:r w:rsidRPr="00903CCF">
              <w:rPr>
                <w:spacing w:val="-2"/>
              </w:rPr>
              <w:t xml:space="preserve"> vienlaikus ar iesniegumu par reģistrēšanos par saimnieciskās darbības veicēju un konkrētā nodokļa maksātāju; </w:t>
            </w:r>
          </w:p>
          <w:p w14:paraId="6C2CDF51" w14:textId="2ED38C19" w:rsidR="000E78CD" w:rsidRPr="00903CCF" w:rsidRDefault="000E78CD" w:rsidP="000602B5">
            <w:pPr>
              <w:ind w:right="140"/>
              <w:jc w:val="both"/>
              <w:rPr>
                <w:spacing w:val="-2"/>
              </w:rPr>
            </w:pPr>
            <w:r w:rsidRPr="00903CCF">
              <w:rPr>
                <w:spacing w:val="-2"/>
              </w:rPr>
              <w:t>2) </w:t>
            </w:r>
            <w:r w:rsidR="0020012C" w:rsidRPr="00903CCF">
              <w:rPr>
                <w:spacing w:val="-2"/>
              </w:rPr>
              <w:t xml:space="preserve"> saimnieciskās darbības ieņēmumi ne vēlāk kā desmit dienu laikā no vienkāršotā nodokļa nomaksas risinājuma uzsākšanas datuma </w:t>
            </w:r>
            <w:r w:rsidR="004C671C" w:rsidRPr="00903CCF">
              <w:rPr>
                <w:spacing w:val="-2"/>
              </w:rPr>
              <w:t>jā</w:t>
            </w:r>
            <w:r w:rsidR="0020012C" w:rsidRPr="00903CCF">
              <w:rPr>
                <w:spacing w:val="-2"/>
              </w:rPr>
              <w:t>iemaksā saimnieciskās darbības ieņēmumu kontā.</w:t>
            </w:r>
          </w:p>
          <w:p w14:paraId="2D35897B" w14:textId="0C90D572" w:rsidR="0015688F" w:rsidRPr="00903CCF" w:rsidRDefault="00C823F0" w:rsidP="000602B5">
            <w:pPr>
              <w:ind w:right="140"/>
              <w:jc w:val="both"/>
              <w:rPr>
                <w:spacing w:val="-2"/>
              </w:rPr>
            </w:pPr>
            <w:r w:rsidRPr="00903CCF">
              <w:rPr>
                <w:spacing w:val="-2"/>
              </w:rPr>
              <w:t xml:space="preserve">Minētais nodrošinās to, ka </w:t>
            </w:r>
            <w:proofErr w:type="spellStart"/>
            <w:r w:rsidR="0015688F" w:rsidRPr="00903CCF">
              <w:rPr>
                <w:spacing w:val="-2"/>
              </w:rPr>
              <w:t>jaunreģistrētam</w:t>
            </w:r>
            <w:proofErr w:type="spellEnd"/>
            <w:r w:rsidR="0015688F" w:rsidRPr="00903CCF">
              <w:rPr>
                <w:spacing w:val="-2"/>
              </w:rPr>
              <w:t xml:space="preserve"> </w:t>
            </w:r>
            <w:r w:rsidRPr="00903CCF">
              <w:rPr>
                <w:spacing w:val="-2"/>
              </w:rPr>
              <w:t xml:space="preserve">nodokļu maksātājam, </w:t>
            </w:r>
            <w:r w:rsidR="0015688F" w:rsidRPr="00903CCF">
              <w:rPr>
                <w:spacing w:val="-2"/>
              </w:rPr>
              <w:t xml:space="preserve">ja tas būs izvēlējies izmantot vienkāršoto nodokļa nomaksas risinājumu, visiem saimnieciskās darbības ieņēmumiem (pat ja tie gūti </w:t>
            </w:r>
            <w:r w:rsidR="00F75057" w:rsidRPr="00903CCF">
              <w:rPr>
                <w:spacing w:val="-2"/>
              </w:rPr>
              <w:t xml:space="preserve">īsi </w:t>
            </w:r>
            <w:r w:rsidR="0015688F" w:rsidRPr="00903CCF">
              <w:rPr>
                <w:spacing w:val="-2"/>
              </w:rPr>
              <w:t>pirms risinājuma izmantošanas uzsākšanas) būs iespēja piemērot vienkāršoto nodokļa nomaksas risinājumu.</w:t>
            </w:r>
            <w:r w:rsidR="00F75057" w:rsidRPr="00903CCF">
              <w:rPr>
                <w:spacing w:val="-2"/>
              </w:rPr>
              <w:t xml:space="preserve"> Tādējādi tiek novērsts tas, ka </w:t>
            </w:r>
            <w:proofErr w:type="spellStart"/>
            <w:r w:rsidR="00F75057" w:rsidRPr="00903CCF">
              <w:rPr>
                <w:spacing w:val="-2"/>
              </w:rPr>
              <w:t>jaunreģistrētam</w:t>
            </w:r>
            <w:proofErr w:type="spellEnd"/>
            <w:r w:rsidR="00F75057" w:rsidRPr="00903CCF">
              <w:rPr>
                <w:spacing w:val="-2"/>
              </w:rPr>
              <w:t xml:space="preserve"> nodokļu maksātājam varētu iestāties pienākums aprēķināt nodokli par dažām saimnieciskās darbības veikšanas dienām un iesniegt deklarāciju konkrētā nodokļa likumā noteiktajā vispārējā kārtībā.</w:t>
            </w:r>
          </w:p>
          <w:p w14:paraId="6E19F89F" w14:textId="795A3E7D" w:rsidR="00AB63B1" w:rsidRPr="00903CCF" w:rsidRDefault="00AB63B1" w:rsidP="000602B5">
            <w:pPr>
              <w:ind w:right="140"/>
              <w:jc w:val="both"/>
              <w:rPr>
                <w:b/>
                <w:spacing w:val="-2"/>
                <w:u w:val="single"/>
              </w:rPr>
            </w:pPr>
            <w:r w:rsidRPr="00903CCF">
              <w:rPr>
                <w:b/>
                <w:spacing w:val="-2"/>
                <w:u w:val="single"/>
              </w:rPr>
              <w:t>Vienkāršotā nodokļa nomaksas risinājuma piemērošanas atteikums, risinājuma darbības apturēšanas, izbeigšanas un izmaiņu veikšanas kārtība</w:t>
            </w:r>
          </w:p>
          <w:p w14:paraId="0A0C46E1" w14:textId="29E742CA" w:rsidR="00AB63B1" w:rsidRPr="00903CCF" w:rsidRDefault="00AB63B1" w:rsidP="000602B5">
            <w:pPr>
              <w:ind w:right="140"/>
              <w:jc w:val="both"/>
              <w:rPr>
                <w:spacing w:val="-2"/>
              </w:rPr>
            </w:pPr>
            <w:r w:rsidRPr="00903CCF">
              <w:rPr>
                <w:spacing w:val="-2"/>
              </w:rPr>
              <w:t>Likumprojektā ietvertais regulējums paredz, ka vienkāršotā nodokļa nomaksas risinājuma izmantošanu VID atsaka vai aptur, ja konstatē vismaz vienu</w:t>
            </w:r>
            <w:r w:rsidR="00D97595" w:rsidRPr="00903CCF">
              <w:rPr>
                <w:spacing w:val="-2"/>
              </w:rPr>
              <w:t xml:space="preserve"> no šādiem</w:t>
            </w:r>
            <w:r w:rsidRPr="00903CCF">
              <w:rPr>
                <w:spacing w:val="-2"/>
              </w:rPr>
              <w:t xml:space="preserve"> kritērij</w:t>
            </w:r>
            <w:r w:rsidR="00D97595" w:rsidRPr="00903CCF">
              <w:rPr>
                <w:spacing w:val="-2"/>
              </w:rPr>
              <w:t>iem</w:t>
            </w:r>
            <w:r w:rsidRPr="00903CCF">
              <w:rPr>
                <w:spacing w:val="-2"/>
              </w:rPr>
              <w:t>:</w:t>
            </w:r>
          </w:p>
          <w:p w14:paraId="1407DFA9" w14:textId="77777777" w:rsidR="00AB63B1" w:rsidRPr="00903CCF" w:rsidRDefault="00AB63B1" w:rsidP="000602B5">
            <w:pPr>
              <w:ind w:right="140"/>
              <w:jc w:val="both"/>
              <w:rPr>
                <w:spacing w:val="-2"/>
              </w:rPr>
            </w:pPr>
            <w:r w:rsidRPr="00903CCF">
              <w:rPr>
                <w:spacing w:val="-2"/>
              </w:rPr>
              <w:t xml:space="preserve">1) atbilstoši konkrētā nodokļa likuma nosacījumiem nodokļu maksātājs nav tiesīgs izmantot vienkāršoto nodokļa nomaksas risinājumu; </w:t>
            </w:r>
          </w:p>
          <w:p w14:paraId="0D1C1989" w14:textId="72774C82" w:rsidR="00AB63B1" w:rsidRPr="00903CCF" w:rsidRDefault="00AB63B1" w:rsidP="000602B5">
            <w:pPr>
              <w:ind w:right="140"/>
              <w:jc w:val="both"/>
              <w:rPr>
                <w:spacing w:val="-2"/>
              </w:rPr>
            </w:pPr>
            <w:r w:rsidRPr="00903CCF">
              <w:rPr>
                <w:spacing w:val="-2"/>
              </w:rPr>
              <w:t xml:space="preserve">2) kredītiestāde neapstiprina attiecīgā konta (nodokļu maksātāja iesniegumā norādītā </w:t>
            </w:r>
            <w:r w:rsidR="009760CB" w:rsidRPr="00903CCF">
              <w:rPr>
                <w:spacing w:val="-2"/>
              </w:rPr>
              <w:t>SDI</w:t>
            </w:r>
            <w:r w:rsidRPr="00903CCF">
              <w:rPr>
                <w:spacing w:val="-2"/>
              </w:rPr>
              <w:t xml:space="preserve"> konta) izmantošanu vienkāršotā nodokļa nomaksas risinājuma ietvaros vai paziņo par tā izmantošanas apturēšanu, ja izpildās vismaz viens no šādiem nosacījumiem:</w:t>
            </w:r>
          </w:p>
          <w:p w14:paraId="0A0C46A8" w14:textId="4223ED97" w:rsidR="00AB63B1" w:rsidRPr="00903CCF" w:rsidRDefault="00AB63B1" w:rsidP="000602B5">
            <w:pPr>
              <w:ind w:right="140"/>
              <w:jc w:val="both"/>
              <w:rPr>
                <w:spacing w:val="-2"/>
              </w:rPr>
            </w:pPr>
            <w:r w:rsidRPr="00903CCF">
              <w:rPr>
                <w:spacing w:val="-2"/>
              </w:rPr>
              <w:t>a) nodokļ</w:t>
            </w:r>
            <w:r w:rsidR="00E743FA" w:rsidRPr="00903CCF">
              <w:rPr>
                <w:spacing w:val="-2"/>
              </w:rPr>
              <w:t>u</w:t>
            </w:r>
            <w:r w:rsidRPr="00903CCF">
              <w:rPr>
                <w:spacing w:val="-2"/>
              </w:rPr>
              <w:t xml:space="preserve"> maksātāja norādītais konts ir uzskatāms par pamatkontu Maksājumu pakalpojumu un elektroniskās naudas likuma izpratnē; </w:t>
            </w:r>
          </w:p>
          <w:p w14:paraId="13FF631E" w14:textId="041B10E8" w:rsidR="00AB63B1" w:rsidRPr="00903CCF" w:rsidRDefault="00AB63B1" w:rsidP="000602B5">
            <w:pPr>
              <w:ind w:right="140"/>
              <w:jc w:val="both"/>
              <w:rPr>
                <w:spacing w:val="-2"/>
              </w:rPr>
            </w:pPr>
            <w:r w:rsidRPr="00903CCF">
              <w:rPr>
                <w:spacing w:val="-2"/>
              </w:rPr>
              <w:t>b) nodokļ</w:t>
            </w:r>
            <w:r w:rsidR="00E743FA" w:rsidRPr="00903CCF">
              <w:rPr>
                <w:spacing w:val="-2"/>
              </w:rPr>
              <w:t>u</w:t>
            </w:r>
            <w:r w:rsidRPr="00903CCF">
              <w:rPr>
                <w:spacing w:val="-2"/>
              </w:rPr>
              <w:t xml:space="preserve"> maksātāja norādītais konts ir vai tiek slēgts; </w:t>
            </w:r>
          </w:p>
          <w:p w14:paraId="478A1F55" w14:textId="7D835F06" w:rsidR="00AB63B1" w:rsidRPr="00903CCF" w:rsidRDefault="00AB63B1" w:rsidP="000602B5">
            <w:pPr>
              <w:ind w:right="140"/>
              <w:jc w:val="both"/>
              <w:rPr>
                <w:spacing w:val="-2"/>
              </w:rPr>
            </w:pPr>
            <w:r w:rsidRPr="00903CCF">
              <w:rPr>
                <w:spacing w:val="-2"/>
              </w:rPr>
              <w:t>c) kompetentā iestāde ir noteikusi ierobežojumus maksājumu veikšanai no maksājumu konta</w:t>
            </w:r>
            <w:r w:rsidR="00FC23DE" w:rsidRPr="00903CCF">
              <w:rPr>
                <w:spacing w:val="-2"/>
              </w:rPr>
              <w:t>, izņemot ierobežojumus, kas piedziņas procesa ietvaros noteikti ar VID vai zvērinātu tiesu izpildītāju Kredītiestāžu likuma 66.</w:t>
            </w:r>
            <w:r w:rsidR="00FC23DE" w:rsidRPr="00903CCF">
              <w:rPr>
                <w:spacing w:val="-2"/>
                <w:vertAlign w:val="superscript"/>
              </w:rPr>
              <w:t xml:space="preserve">1 </w:t>
            </w:r>
            <w:r w:rsidR="00FC23DE" w:rsidRPr="00903CCF">
              <w:rPr>
                <w:spacing w:val="-2"/>
              </w:rPr>
              <w:t>pantā noteiktiem rīkojumiem.</w:t>
            </w:r>
          </w:p>
          <w:p w14:paraId="759D0A8C" w14:textId="37C75A8E" w:rsidR="00AB63B1" w:rsidRPr="00903CCF" w:rsidRDefault="00AB63B1" w:rsidP="000602B5">
            <w:pPr>
              <w:ind w:right="140"/>
              <w:jc w:val="both"/>
              <w:rPr>
                <w:spacing w:val="-2"/>
              </w:rPr>
            </w:pPr>
            <w:r w:rsidRPr="00903CCF">
              <w:rPr>
                <w:spacing w:val="-2"/>
              </w:rPr>
              <w:t>Minētie kritēriji tiks pārbaudīti pirms vienkāršotā nodokļa nomaksas risinājuma izmantošanas apstiprināšanas, kā arī tiks uzraudzīti risinājuma izmantošanas laikā. Tādējādi, ja kāds no kritērijiem iestāsies risinājuma izmantošanas laikā, nodokļu maksātājs zaudēs tiesības izmantot vienkāršot</w:t>
            </w:r>
            <w:r w:rsidR="002566DC" w:rsidRPr="00903CCF">
              <w:rPr>
                <w:spacing w:val="-2"/>
              </w:rPr>
              <w:t>o</w:t>
            </w:r>
            <w:r w:rsidRPr="00903CCF">
              <w:rPr>
                <w:spacing w:val="-2"/>
              </w:rPr>
              <w:t xml:space="preserve"> nodokļa nomaksas risinājumu SDI kontam.</w:t>
            </w:r>
          </w:p>
          <w:p w14:paraId="5C9E3196" w14:textId="77777777" w:rsidR="00FC23DE" w:rsidRPr="00903CCF" w:rsidRDefault="00FC23DE" w:rsidP="00FC23DE">
            <w:pPr>
              <w:ind w:right="140"/>
              <w:jc w:val="both"/>
              <w:rPr>
                <w:spacing w:val="-2"/>
              </w:rPr>
            </w:pPr>
            <w:r w:rsidRPr="00903CCF">
              <w:rPr>
                <w:spacing w:val="-2"/>
              </w:rPr>
              <w:t>Savukārt gadījumā, kad ierobežojumi ir noteikti ar minētajiem VID vai zvērinātu tiesu izpildītāju rīkojumiem, kredītiestāde izpildi no SDI konta turpinās īstenot, bet pēc nodokļa ieturēšanas, un nodokļu maksātājs nezaudēs tiesības izmantot vienkāršotā nodokļa nomaksas risinājumu SDI kontam. Minētais ļauj izmantot šā risinājuma priekšrocības arī tām personām, kurām, piemēram, ikmēnesi tiek veikti ieturējumi uzturlīdzekļu nodrošināšanai. Šajā gadījumā nodokļa paritāte ir noteikta pēc analoģijas ar Civilprocesa likumā noteikto ieturējumu no darba algas veikšanas kārtību.</w:t>
            </w:r>
          </w:p>
          <w:p w14:paraId="208BE50F" w14:textId="6D7C0773" w:rsidR="00AB63B1" w:rsidRPr="00903CCF" w:rsidRDefault="00AB63B1" w:rsidP="00FC23DE">
            <w:pPr>
              <w:ind w:right="140"/>
              <w:jc w:val="both"/>
              <w:rPr>
                <w:spacing w:val="-2"/>
              </w:rPr>
            </w:pPr>
            <w:r w:rsidRPr="00903CCF">
              <w:rPr>
                <w:spacing w:val="-2"/>
              </w:rPr>
              <w:t xml:space="preserve">Ņemot vērā, ka atsevišķus vienkāršotā nodokļa nomaksas risinājuma izmantošanas kritērijus </w:t>
            </w:r>
            <w:r w:rsidR="00647F97" w:rsidRPr="00903CCF">
              <w:rPr>
                <w:spacing w:val="-2"/>
              </w:rPr>
              <w:t xml:space="preserve">(tos, kas attiecas uz </w:t>
            </w:r>
            <w:r w:rsidR="009812B6" w:rsidRPr="00903CCF">
              <w:rPr>
                <w:spacing w:val="-2"/>
              </w:rPr>
              <w:t xml:space="preserve">SDI kontu) </w:t>
            </w:r>
            <w:r w:rsidRPr="00903CCF">
              <w:rPr>
                <w:spacing w:val="-2"/>
              </w:rPr>
              <w:t xml:space="preserve">uzraudzīs kredītiestādes, konstatējot kāda kritērija iestāšanos, tās </w:t>
            </w:r>
            <w:r w:rsidR="002368CC" w:rsidRPr="00903CCF">
              <w:rPr>
                <w:spacing w:val="-2"/>
              </w:rPr>
              <w:t xml:space="preserve">paziņos VID </w:t>
            </w:r>
            <w:r w:rsidRPr="00903CCF">
              <w:rPr>
                <w:spacing w:val="-2"/>
              </w:rPr>
              <w:t xml:space="preserve">un nodokļu maksātājam datumu, ar kuru </w:t>
            </w:r>
            <w:r w:rsidR="002368CC" w:rsidRPr="00903CCF">
              <w:rPr>
                <w:spacing w:val="-2"/>
              </w:rPr>
              <w:t>VID</w:t>
            </w:r>
            <w:r w:rsidRPr="00903CCF">
              <w:rPr>
                <w:spacing w:val="-2"/>
              </w:rPr>
              <w:t xml:space="preserve"> ir pienākums apturēt vienkāršotā nodokļa nomaksas risinājuma piemērošanu nodokļu maksātāja </w:t>
            </w:r>
            <w:r w:rsidR="002368CC" w:rsidRPr="00903CCF">
              <w:rPr>
                <w:spacing w:val="-2"/>
              </w:rPr>
              <w:t>SDI</w:t>
            </w:r>
            <w:r w:rsidRPr="00903CCF">
              <w:rPr>
                <w:spacing w:val="-2"/>
              </w:rPr>
              <w:t xml:space="preserve"> kontam, un ar šo datumu pārtrau</w:t>
            </w:r>
            <w:r w:rsidR="002368CC" w:rsidRPr="00903CCF">
              <w:rPr>
                <w:spacing w:val="-2"/>
              </w:rPr>
              <w:t>ks</w:t>
            </w:r>
            <w:r w:rsidRPr="00903CCF">
              <w:rPr>
                <w:spacing w:val="-2"/>
              </w:rPr>
              <w:t xml:space="preserve"> nodokļa ieturēšanu vienkāršotā nodokļa nomaksas risinājuma ietvaros. </w:t>
            </w:r>
          </w:p>
          <w:p w14:paraId="5A691623" w14:textId="64D5FD96" w:rsidR="00AB63B1" w:rsidRPr="00903CCF" w:rsidRDefault="00F46FCD" w:rsidP="000602B5">
            <w:pPr>
              <w:ind w:right="140"/>
              <w:jc w:val="both"/>
              <w:rPr>
                <w:spacing w:val="-2"/>
              </w:rPr>
            </w:pPr>
            <w:r w:rsidRPr="00903CCF">
              <w:rPr>
                <w:spacing w:val="-2"/>
              </w:rPr>
              <w:t>Likumprojektā paredzēts, ka n</w:t>
            </w:r>
            <w:r w:rsidR="00AB63B1" w:rsidRPr="00903CCF">
              <w:rPr>
                <w:spacing w:val="-2"/>
              </w:rPr>
              <w:t xml:space="preserve">odokļu maksātājam ir tiesības mainīt </w:t>
            </w:r>
            <w:r w:rsidRPr="00903CCF">
              <w:rPr>
                <w:spacing w:val="-2"/>
              </w:rPr>
              <w:t>SDI</w:t>
            </w:r>
            <w:r w:rsidR="00AB63B1" w:rsidRPr="00903CCF">
              <w:rPr>
                <w:spacing w:val="-2"/>
              </w:rPr>
              <w:t xml:space="preserve"> kontu, nodrošinot vienkāršotā nodokļa nomaksas risinājuma un nodokļa iekasēšanas nepārtrauktību.</w:t>
            </w:r>
            <w:r w:rsidRPr="00903CCF">
              <w:rPr>
                <w:spacing w:val="-2"/>
              </w:rPr>
              <w:t xml:space="preserve"> Proti, n</w:t>
            </w:r>
            <w:r w:rsidR="00AB63B1" w:rsidRPr="00903CCF">
              <w:rPr>
                <w:spacing w:val="-2"/>
              </w:rPr>
              <w:t>odokļa iekasēšanas nepārtrauktība</w:t>
            </w:r>
            <w:r w:rsidRPr="00903CCF">
              <w:rPr>
                <w:spacing w:val="-2"/>
              </w:rPr>
              <w:t>s nodrošināšanai nodokļu maksātājam</w:t>
            </w:r>
            <w:r w:rsidR="00AB63B1" w:rsidRPr="00903CCF">
              <w:rPr>
                <w:spacing w:val="-2"/>
              </w:rPr>
              <w:t>, mainot</w:t>
            </w:r>
            <w:r w:rsidRPr="00903CCF">
              <w:rPr>
                <w:spacing w:val="-2"/>
              </w:rPr>
              <w:t xml:space="preserve"> SDI</w:t>
            </w:r>
            <w:r w:rsidR="00AB63B1" w:rsidRPr="00903CCF">
              <w:rPr>
                <w:spacing w:val="-2"/>
              </w:rPr>
              <w:t xml:space="preserve"> kontu, īslaicīgi (ne ilgāk par trīs darb</w:t>
            </w:r>
            <w:r w:rsidR="0020012C" w:rsidRPr="00903CCF">
              <w:rPr>
                <w:spacing w:val="-2"/>
              </w:rPr>
              <w:t xml:space="preserve">a </w:t>
            </w:r>
            <w:r w:rsidR="00AB63B1" w:rsidRPr="00903CCF">
              <w:rPr>
                <w:spacing w:val="-2"/>
              </w:rPr>
              <w:t xml:space="preserve">dienām) viena nodokļa režīma piemērošanai vienlaikus </w:t>
            </w:r>
            <w:r w:rsidR="00FF23FA" w:rsidRPr="00903CCF">
              <w:rPr>
                <w:spacing w:val="-2"/>
              </w:rPr>
              <w:t>var būt</w:t>
            </w:r>
            <w:r w:rsidR="00AB63B1" w:rsidRPr="00903CCF">
              <w:rPr>
                <w:spacing w:val="-2"/>
              </w:rPr>
              <w:t xml:space="preserve"> divi </w:t>
            </w:r>
            <w:r w:rsidRPr="00903CCF">
              <w:rPr>
                <w:spacing w:val="-2"/>
              </w:rPr>
              <w:t>SDI</w:t>
            </w:r>
            <w:r w:rsidR="00AB63B1" w:rsidRPr="00903CCF">
              <w:rPr>
                <w:spacing w:val="-2"/>
              </w:rPr>
              <w:t xml:space="preserve"> konti, kuriem vienlaikus tiek piemērots vienkāršotais nodokļa nomaksas risinājums</w:t>
            </w:r>
            <w:r w:rsidRPr="00903CCF">
              <w:rPr>
                <w:spacing w:val="-2"/>
              </w:rPr>
              <w:t>.</w:t>
            </w:r>
          </w:p>
          <w:p w14:paraId="0C831DD3" w14:textId="5D8EC3A4" w:rsidR="00AB63B1" w:rsidRPr="00903CCF" w:rsidRDefault="00F46FCD" w:rsidP="000602B5">
            <w:pPr>
              <w:ind w:right="140"/>
              <w:jc w:val="both"/>
              <w:rPr>
                <w:spacing w:val="-2"/>
              </w:rPr>
            </w:pPr>
            <w:r w:rsidRPr="00903CCF">
              <w:rPr>
                <w:spacing w:val="-2"/>
              </w:rPr>
              <w:t>Nodokļu maksātājam</w:t>
            </w:r>
            <w:r w:rsidR="002F4B30" w:rsidRPr="00903CCF">
              <w:rPr>
                <w:spacing w:val="-2"/>
              </w:rPr>
              <w:t>, ievērojot konkrētā nodokļa likuma nosacījumus,</w:t>
            </w:r>
            <w:r w:rsidRPr="00903CCF">
              <w:rPr>
                <w:spacing w:val="-2"/>
              </w:rPr>
              <w:t xml:space="preserve"> ir tiesības</w:t>
            </w:r>
            <w:r w:rsidR="00AB63B1" w:rsidRPr="00903CCF">
              <w:rPr>
                <w:spacing w:val="-2"/>
              </w:rPr>
              <w:t xml:space="preserve"> izbeigt vienkāršotā nodokļa nomaksas risinājuma piemērošanu </w:t>
            </w:r>
            <w:r w:rsidRPr="00903CCF">
              <w:rPr>
                <w:spacing w:val="-2"/>
              </w:rPr>
              <w:t xml:space="preserve">SDI </w:t>
            </w:r>
            <w:r w:rsidR="00AB63B1" w:rsidRPr="00903CCF">
              <w:rPr>
                <w:spacing w:val="-2"/>
              </w:rPr>
              <w:t>konta</w:t>
            </w:r>
            <w:r w:rsidRPr="00903CCF">
              <w:rPr>
                <w:spacing w:val="-2"/>
              </w:rPr>
              <w:t xml:space="preserve">m. Šajā gadījumā nodokļu maksātājam ir jāiesniedz iesniegums VID EDS </w:t>
            </w:r>
            <w:r w:rsidR="00AB63B1" w:rsidRPr="00903CCF">
              <w:rPr>
                <w:spacing w:val="-2"/>
              </w:rPr>
              <w:t>ne vēlāk kā trīs darb</w:t>
            </w:r>
            <w:r w:rsidR="0020012C" w:rsidRPr="00903CCF">
              <w:rPr>
                <w:spacing w:val="-2"/>
              </w:rPr>
              <w:t xml:space="preserve">a </w:t>
            </w:r>
            <w:r w:rsidR="00AB63B1" w:rsidRPr="00903CCF">
              <w:rPr>
                <w:spacing w:val="-2"/>
              </w:rPr>
              <w:t>dienas pirms plānotās vienkāršotā nodokļa nomaksas ris</w:t>
            </w:r>
            <w:r w:rsidRPr="00903CCF">
              <w:rPr>
                <w:spacing w:val="-2"/>
              </w:rPr>
              <w:t>inājuma piemērošanas izbeigšanas</w:t>
            </w:r>
            <w:r w:rsidR="00AB63B1" w:rsidRPr="00903CCF">
              <w:rPr>
                <w:spacing w:val="-2"/>
              </w:rPr>
              <w:t xml:space="preserve">. </w:t>
            </w:r>
            <w:r w:rsidRPr="00903CCF">
              <w:rPr>
                <w:spacing w:val="-2"/>
              </w:rPr>
              <w:t xml:space="preserve">Savukārt VID šajā gadījumā </w:t>
            </w:r>
            <w:r w:rsidR="00AB63B1" w:rsidRPr="00903CCF">
              <w:rPr>
                <w:spacing w:val="-2"/>
              </w:rPr>
              <w:t>vienas darb</w:t>
            </w:r>
            <w:r w:rsidR="0020012C" w:rsidRPr="00903CCF">
              <w:rPr>
                <w:spacing w:val="-2"/>
              </w:rPr>
              <w:t xml:space="preserve">a </w:t>
            </w:r>
            <w:r w:rsidR="00AB63B1" w:rsidRPr="00903CCF">
              <w:rPr>
                <w:spacing w:val="-2"/>
              </w:rPr>
              <w:t>dienas laikā pēc nodokļu maksātāja iesnieguma saņemšanas informē</w:t>
            </w:r>
            <w:r w:rsidRPr="00903CCF">
              <w:rPr>
                <w:spacing w:val="-2"/>
              </w:rPr>
              <w:t>s</w:t>
            </w:r>
            <w:r w:rsidR="00AB63B1" w:rsidRPr="00903CCF">
              <w:rPr>
                <w:spacing w:val="-2"/>
              </w:rPr>
              <w:t xml:space="preserve"> kredītiestādi, kura sniedz nodokļu maksātājam </w:t>
            </w:r>
            <w:r w:rsidRPr="00903CCF">
              <w:rPr>
                <w:spacing w:val="-2"/>
              </w:rPr>
              <w:t xml:space="preserve">SDI </w:t>
            </w:r>
            <w:r w:rsidR="00AB63B1" w:rsidRPr="00903CCF">
              <w:rPr>
                <w:spacing w:val="-2"/>
              </w:rPr>
              <w:t xml:space="preserve">konta pakalpojumu, un nodokļu maksātāju par vienkāršotā nodokļa nomaksas risinājuma piemērošanas izbeigšanu </w:t>
            </w:r>
            <w:r w:rsidR="00812AE4" w:rsidRPr="00903CCF">
              <w:rPr>
                <w:spacing w:val="-2"/>
              </w:rPr>
              <w:t>SDI</w:t>
            </w:r>
            <w:r w:rsidR="00AB63B1" w:rsidRPr="00903CCF">
              <w:rPr>
                <w:spacing w:val="-2"/>
              </w:rPr>
              <w:t xml:space="preserve"> kontam, norādot izbeigšanas datumu.</w:t>
            </w:r>
            <w:r w:rsidRPr="00903CCF">
              <w:rPr>
                <w:spacing w:val="-2"/>
              </w:rPr>
              <w:t xml:space="preserve"> </w:t>
            </w:r>
            <w:r w:rsidRPr="00903CCF">
              <w:rPr>
                <w:i/>
                <w:spacing w:val="-2"/>
              </w:rPr>
              <w:t xml:space="preserve">Piemēram, ja </w:t>
            </w:r>
            <w:r w:rsidR="001E3862" w:rsidRPr="00903CCF">
              <w:rPr>
                <w:i/>
                <w:spacing w:val="-2"/>
              </w:rPr>
              <w:t>vienkāršotā nodokļa nomaksas risinājuma piemērošana tiek izbeigta ar 1.aprīli</w:t>
            </w:r>
            <w:r w:rsidR="001B799A" w:rsidRPr="00903CCF">
              <w:rPr>
                <w:i/>
                <w:spacing w:val="-2"/>
              </w:rPr>
              <w:t xml:space="preserve"> (risinājuma izbeigšanas datums)</w:t>
            </w:r>
            <w:r w:rsidR="001E3862" w:rsidRPr="00903CCF">
              <w:rPr>
                <w:i/>
                <w:spacing w:val="-2"/>
              </w:rPr>
              <w:t>, tad 31.marts</w:t>
            </w:r>
            <w:r w:rsidR="00C02F17" w:rsidRPr="00903CCF">
              <w:rPr>
                <w:i/>
                <w:spacing w:val="-2"/>
              </w:rPr>
              <w:t xml:space="preserve"> ir tas</w:t>
            </w:r>
            <w:r w:rsidR="001E3862" w:rsidRPr="00903CCF">
              <w:rPr>
                <w:i/>
                <w:spacing w:val="-2"/>
              </w:rPr>
              <w:t xml:space="preserve"> datums, līdz kuram SDI kontam tiek piemērots vienkāršotais nodokļa nomaksas risinājums, un no 1.aprīļa nodokļu maksātājam ir pienā</w:t>
            </w:r>
            <w:r w:rsidR="00C02F17" w:rsidRPr="00903CCF">
              <w:rPr>
                <w:i/>
                <w:spacing w:val="-2"/>
              </w:rPr>
              <w:t>kums ievērot vispārējos konkrētā</w:t>
            </w:r>
            <w:r w:rsidR="001E3862" w:rsidRPr="00903CCF">
              <w:rPr>
                <w:i/>
                <w:spacing w:val="-2"/>
              </w:rPr>
              <w:t xml:space="preserve"> nodokļa aprēķināšanas, deklarēšanas un maksāšanas nosacījumus. </w:t>
            </w:r>
          </w:p>
          <w:p w14:paraId="1D1BEAB7" w14:textId="5545382B" w:rsidR="00AB63B1" w:rsidRPr="00903CCF" w:rsidRDefault="00812AE4" w:rsidP="000602B5">
            <w:pPr>
              <w:ind w:right="140"/>
              <w:jc w:val="both"/>
              <w:rPr>
                <w:spacing w:val="-2"/>
              </w:rPr>
            </w:pPr>
            <w:r w:rsidRPr="00903CCF">
              <w:rPr>
                <w:spacing w:val="-2"/>
              </w:rPr>
              <w:t xml:space="preserve">Tāpat tiek noteikts, ja </w:t>
            </w:r>
            <w:r w:rsidR="00AB63B1" w:rsidRPr="00903CCF">
              <w:rPr>
                <w:spacing w:val="-2"/>
              </w:rPr>
              <w:t>nodokļu maksātājs, kura</w:t>
            </w:r>
            <w:r w:rsidR="00512F9E" w:rsidRPr="00903CCF">
              <w:rPr>
                <w:spacing w:val="-2"/>
              </w:rPr>
              <w:t xml:space="preserve"> SDI konta</w:t>
            </w:r>
            <w:r w:rsidR="00AB63B1" w:rsidRPr="00903CCF">
              <w:rPr>
                <w:spacing w:val="-2"/>
              </w:rPr>
              <w:t>m piemēro vienkāršot</w:t>
            </w:r>
            <w:r w:rsidR="00AD07B6" w:rsidRPr="00903CCF">
              <w:rPr>
                <w:spacing w:val="-2"/>
              </w:rPr>
              <w:t>o</w:t>
            </w:r>
            <w:r w:rsidR="00AB63B1" w:rsidRPr="00903CCF">
              <w:rPr>
                <w:spacing w:val="-2"/>
              </w:rPr>
              <w:t xml:space="preserve"> nodokļa nomaksas risinājum</w:t>
            </w:r>
            <w:r w:rsidR="00AD07B6" w:rsidRPr="00903CCF">
              <w:rPr>
                <w:spacing w:val="-2"/>
              </w:rPr>
              <w:t>u</w:t>
            </w:r>
            <w:r w:rsidR="00AB63B1" w:rsidRPr="00903CCF">
              <w:rPr>
                <w:spacing w:val="-2"/>
              </w:rPr>
              <w:t>, izbeidz saimniecisko darbību, vienkāršotā nodokļa nomaksas risinājuma piemērošan</w:t>
            </w:r>
            <w:r w:rsidRPr="00903CCF">
              <w:rPr>
                <w:spacing w:val="-2"/>
              </w:rPr>
              <w:t>a tiek</w:t>
            </w:r>
            <w:r w:rsidR="00AB63B1" w:rsidRPr="00903CCF">
              <w:rPr>
                <w:spacing w:val="-2"/>
              </w:rPr>
              <w:t xml:space="preserve"> izbei</w:t>
            </w:r>
            <w:r w:rsidRPr="00903CCF">
              <w:rPr>
                <w:spacing w:val="-2"/>
              </w:rPr>
              <w:t xml:space="preserve">gta </w:t>
            </w:r>
            <w:r w:rsidR="00AB63B1" w:rsidRPr="00903CCF">
              <w:rPr>
                <w:spacing w:val="-2"/>
              </w:rPr>
              <w:t xml:space="preserve">ar datumu, kad </w:t>
            </w:r>
            <w:r w:rsidRPr="00903CCF">
              <w:rPr>
                <w:spacing w:val="-2"/>
              </w:rPr>
              <w:t>VID</w:t>
            </w:r>
            <w:r w:rsidR="00AB63B1" w:rsidRPr="00903CCF">
              <w:rPr>
                <w:spacing w:val="-2"/>
              </w:rPr>
              <w:t xml:space="preserve"> apstiprina nodokļu maksātāja paziņojum</w:t>
            </w:r>
            <w:r w:rsidRPr="00903CCF">
              <w:rPr>
                <w:spacing w:val="-2"/>
              </w:rPr>
              <w:t>u</w:t>
            </w:r>
            <w:r w:rsidR="00AB63B1" w:rsidRPr="00903CCF">
              <w:rPr>
                <w:spacing w:val="-2"/>
              </w:rPr>
              <w:t xml:space="preserve"> par saimnieciskās darbības izbeigšanu. </w:t>
            </w:r>
            <w:r w:rsidRPr="00903CCF">
              <w:rPr>
                <w:spacing w:val="-2"/>
              </w:rPr>
              <w:t>Arī šajā gadījumā VID informē kredītiestādi par vienkāršotā nodokļa nomaksas risinājuma piemērošanas izbeigšanu SDI kontam</w:t>
            </w:r>
            <w:r w:rsidR="009168EF" w:rsidRPr="00903CCF">
              <w:rPr>
                <w:spacing w:val="-2"/>
              </w:rPr>
              <w:t>.</w:t>
            </w:r>
          </w:p>
          <w:p w14:paraId="530837C2" w14:textId="247B0B49" w:rsidR="00AB63B1" w:rsidRPr="00903CCF" w:rsidRDefault="009168EF" w:rsidP="000602B5">
            <w:pPr>
              <w:ind w:right="140"/>
              <w:jc w:val="both"/>
              <w:rPr>
                <w:spacing w:val="-2"/>
              </w:rPr>
            </w:pPr>
            <w:r w:rsidRPr="00903CCF">
              <w:rPr>
                <w:spacing w:val="-2"/>
              </w:rPr>
              <w:t>Ņemot vērā to, ka ierobežojums veikt maksājumus var tikt uzlikts ne tikai nodokļu maksātāja kontam, bet arī pašai kredītiestādei, likumprojektā noteikts, ka</w:t>
            </w:r>
            <w:r w:rsidR="00AB63B1" w:rsidRPr="00903CCF">
              <w:rPr>
                <w:spacing w:val="-2"/>
              </w:rPr>
              <w:t xml:space="preserve"> kredītiestāde</w:t>
            </w:r>
            <w:r w:rsidRPr="00903CCF">
              <w:rPr>
                <w:spacing w:val="-2"/>
              </w:rPr>
              <w:t>i</w:t>
            </w:r>
            <w:r w:rsidR="00C02F17" w:rsidRPr="00903CCF">
              <w:rPr>
                <w:spacing w:val="-2"/>
              </w:rPr>
              <w:t xml:space="preserve"> šajā gadījumā</w:t>
            </w:r>
            <w:r w:rsidR="00AB63B1" w:rsidRPr="00903CCF">
              <w:rPr>
                <w:spacing w:val="-2"/>
              </w:rPr>
              <w:t xml:space="preserve"> nekavējoties (neatkarīgi no tā, vai ir saņemta </w:t>
            </w:r>
            <w:r w:rsidRPr="00903CCF">
              <w:rPr>
                <w:spacing w:val="-2"/>
              </w:rPr>
              <w:t>VID</w:t>
            </w:r>
            <w:r w:rsidR="00AB63B1" w:rsidRPr="00903CCF">
              <w:rPr>
                <w:spacing w:val="-2"/>
              </w:rPr>
              <w:t xml:space="preserve"> informācija par nodokļa apmēru) </w:t>
            </w:r>
            <w:r w:rsidRPr="00903CCF">
              <w:rPr>
                <w:spacing w:val="-2"/>
              </w:rPr>
              <w:t>ir jā</w:t>
            </w:r>
            <w:r w:rsidR="00AB63B1" w:rsidRPr="00903CCF">
              <w:rPr>
                <w:spacing w:val="-2"/>
              </w:rPr>
              <w:t>pārskaita rezervēt</w:t>
            </w:r>
            <w:r w:rsidRPr="00903CCF">
              <w:rPr>
                <w:spacing w:val="-2"/>
              </w:rPr>
              <w:t>ā</w:t>
            </w:r>
            <w:r w:rsidR="00AB63B1" w:rsidRPr="00903CCF">
              <w:rPr>
                <w:spacing w:val="-2"/>
              </w:rPr>
              <w:t xml:space="preserve"> nodokļa summ</w:t>
            </w:r>
            <w:r w:rsidRPr="00903CCF">
              <w:rPr>
                <w:spacing w:val="-2"/>
              </w:rPr>
              <w:t>a</w:t>
            </w:r>
            <w:r w:rsidR="00AB63B1" w:rsidRPr="00903CCF">
              <w:rPr>
                <w:spacing w:val="-2"/>
              </w:rPr>
              <w:t xml:space="preserve"> vienotajā nodokļu kontā, </w:t>
            </w:r>
            <w:r w:rsidR="009018A3" w:rsidRPr="00903CCF">
              <w:rPr>
                <w:spacing w:val="-2"/>
              </w:rPr>
              <w:t xml:space="preserve">un </w:t>
            </w:r>
            <w:r w:rsidR="00AB63B1" w:rsidRPr="00903CCF">
              <w:rPr>
                <w:spacing w:val="-2"/>
              </w:rPr>
              <w:t xml:space="preserve">vienlaikus </w:t>
            </w:r>
            <w:r w:rsidR="009018A3" w:rsidRPr="00903CCF">
              <w:rPr>
                <w:spacing w:val="-2"/>
              </w:rPr>
              <w:t>jāinformē</w:t>
            </w:r>
            <w:r w:rsidR="00AB63B1" w:rsidRPr="00903CCF">
              <w:rPr>
                <w:spacing w:val="-2"/>
              </w:rPr>
              <w:t xml:space="preserve"> </w:t>
            </w:r>
            <w:r w:rsidRPr="00903CCF">
              <w:rPr>
                <w:spacing w:val="-2"/>
              </w:rPr>
              <w:t>VID</w:t>
            </w:r>
            <w:r w:rsidR="00AB63B1" w:rsidRPr="00903CCF">
              <w:rPr>
                <w:spacing w:val="-2"/>
              </w:rPr>
              <w:t>.</w:t>
            </w:r>
            <w:r w:rsidRPr="00903CCF">
              <w:rPr>
                <w:spacing w:val="-2"/>
              </w:rPr>
              <w:t xml:space="preserve"> Tas nozīmē, ka nodok</w:t>
            </w:r>
            <w:r w:rsidR="009018A3" w:rsidRPr="00903CCF">
              <w:rPr>
                <w:spacing w:val="-2"/>
              </w:rPr>
              <w:t>ļi</w:t>
            </w:r>
            <w:r w:rsidRPr="00903CCF">
              <w:rPr>
                <w:spacing w:val="-2"/>
              </w:rPr>
              <w:t xml:space="preserve"> </w:t>
            </w:r>
            <w:r w:rsidR="009018A3" w:rsidRPr="00903CCF">
              <w:rPr>
                <w:spacing w:val="-2"/>
              </w:rPr>
              <w:t xml:space="preserve">šajā gadījumā tiks pārskaitīti valsts budžetā, </w:t>
            </w:r>
            <w:r w:rsidR="00FC23DE" w:rsidRPr="00903CCF">
              <w:rPr>
                <w:spacing w:val="-2"/>
              </w:rPr>
              <w:t xml:space="preserve">jo nav pieļaujams, ka nodokļu maksātājam veidotos nodokļa parāds tādēļ, ka ieturētie nodokļa maksājumi netiek pārskaiti valsts budžetā kredītiestādes dēļ (t.i., no nodokļu maksātāja neatkarīgu apstākļu dēļ). </w:t>
            </w:r>
          </w:p>
          <w:p w14:paraId="0D22F29E" w14:textId="6C3CADC0" w:rsidR="00BA1E40" w:rsidRPr="00903CCF" w:rsidRDefault="00BA1E40" w:rsidP="000602B5">
            <w:pPr>
              <w:ind w:right="140"/>
              <w:jc w:val="both"/>
              <w:rPr>
                <w:b/>
                <w:spacing w:val="-2"/>
                <w:u w:val="single"/>
              </w:rPr>
            </w:pPr>
            <w:r w:rsidRPr="00903CCF">
              <w:rPr>
                <w:b/>
                <w:spacing w:val="-2"/>
                <w:u w:val="single"/>
              </w:rPr>
              <w:t>Nodokļa aprēķināšana un ieturēšana vienkāršotā nodokļa nomaksas risinājuma</w:t>
            </w:r>
            <w:r w:rsidRPr="00903CCF">
              <w:rPr>
                <w:spacing w:val="-2"/>
                <w:u w:val="single"/>
              </w:rPr>
              <w:t xml:space="preserve"> </w:t>
            </w:r>
            <w:r w:rsidRPr="00903CCF">
              <w:rPr>
                <w:b/>
                <w:spacing w:val="-2"/>
                <w:u w:val="single"/>
              </w:rPr>
              <w:t>ietvaros</w:t>
            </w:r>
            <w:r w:rsidRPr="00903CCF">
              <w:rPr>
                <w:spacing w:val="-2"/>
                <w:u w:val="single"/>
              </w:rPr>
              <w:t xml:space="preserve"> </w:t>
            </w:r>
          </w:p>
          <w:p w14:paraId="7D03E8DD" w14:textId="5DA2D5C2" w:rsidR="00BA1E40" w:rsidRPr="00903CCF" w:rsidRDefault="005B2EB0" w:rsidP="000602B5">
            <w:pPr>
              <w:ind w:right="140"/>
              <w:jc w:val="both"/>
              <w:rPr>
                <w:spacing w:val="-2"/>
              </w:rPr>
            </w:pPr>
            <w:r w:rsidRPr="00903CCF">
              <w:rPr>
                <w:spacing w:val="-2"/>
              </w:rPr>
              <w:t>V</w:t>
            </w:r>
            <w:r w:rsidR="00BA1E40" w:rsidRPr="00903CCF">
              <w:rPr>
                <w:spacing w:val="-2"/>
              </w:rPr>
              <w:t>ienkāršot</w:t>
            </w:r>
            <w:r w:rsidRPr="00903CCF">
              <w:rPr>
                <w:spacing w:val="-2"/>
              </w:rPr>
              <w:t>ais</w:t>
            </w:r>
            <w:r w:rsidR="00BA1E40" w:rsidRPr="00903CCF">
              <w:rPr>
                <w:spacing w:val="-2"/>
              </w:rPr>
              <w:t xml:space="preserve"> nodokļa nomaksas risinājum</w:t>
            </w:r>
            <w:r w:rsidRPr="00903CCF">
              <w:rPr>
                <w:spacing w:val="-2"/>
              </w:rPr>
              <w:t>s</w:t>
            </w:r>
            <w:r w:rsidR="00BA1E40" w:rsidRPr="00903CCF">
              <w:rPr>
                <w:spacing w:val="-2"/>
              </w:rPr>
              <w:t xml:space="preserve"> ir paredzēts mazajiem uzņēmējiem – fiziskajām personām, kas veic saimniecisko darbību, un to finanšu </w:t>
            </w:r>
            <w:proofErr w:type="spellStart"/>
            <w:r w:rsidR="00BA1E40" w:rsidRPr="00903CCF">
              <w:rPr>
                <w:spacing w:val="-2"/>
              </w:rPr>
              <w:t>pratība</w:t>
            </w:r>
            <w:r w:rsidR="00C6271C" w:rsidRPr="00903CCF">
              <w:rPr>
                <w:spacing w:val="-2"/>
              </w:rPr>
              <w:t>s</w:t>
            </w:r>
            <w:proofErr w:type="spellEnd"/>
            <w:r w:rsidR="00C6271C" w:rsidRPr="00903CCF">
              <w:rPr>
                <w:spacing w:val="-2"/>
              </w:rPr>
              <w:t xml:space="preserve"> līmenis ir atšķirīgs</w:t>
            </w:r>
            <w:r w:rsidR="00BA1E40" w:rsidRPr="00903CCF">
              <w:rPr>
                <w:spacing w:val="-2"/>
              </w:rPr>
              <w:t>,</w:t>
            </w:r>
            <w:r w:rsidR="00C6271C" w:rsidRPr="00903CCF">
              <w:rPr>
                <w:spacing w:val="-2"/>
              </w:rPr>
              <w:t xml:space="preserve"> tādējādi</w:t>
            </w:r>
            <w:r w:rsidR="00BA1E40" w:rsidRPr="00903CCF">
              <w:rPr>
                <w:spacing w:val="-2"/>
              </w:rPr>
              <w:t xml:space="preserve"> risinājums paredz</w:t>
            </w:r>
            <w:r w:rsidR="00C6271C" w:rsidRPr="00903CCF">
              <w:rPr>
                <w:spacing w:val="-2"/>
              </w:rPr>
              <w:t xml:space="preserve"> nodokļa aprēķināšanu un iekasēšanu praktiski bez nodokļa maksātāja iesaistes, proti, </w:t>
            </w:r>
            <w:r w:rsidR="00BA1E40" w:rsidRPr="00903CCF">
              <w:rPr>
                <w:spacing w:val="-2"/>
              </w:rPr>
              <w:t xml:space="preserve">ka no katras SDI kontā ienākošās transakcijas (t.i., gan SDI kontā ieskaitītajiem </w:t>
            </w:r>
            <w:r w:rsidR="009219C1" w:rsidRPr="00903CCF">
              <w:rPr>
                <w:spacing w:val="-2"/>
              </w:rPr>
              <w:t xml:space="preserve">saimnieciskās darbības </w:t>
            </w:r>
            <w:r w:rsidR="00BA1E40" w:rsidRPr="00903CCF">
              <w:rPr>
                <w:spacing w:val="-2"/>
              </w:rPr>
              <w:t>ieņēmumiem, gan SDI kontā iemaksātajiem skaidras naudas ieņēmumiem) nodoklis tiks ieturēts uzreiz. Tādējādi nauda, kas paliks SDI kontā,</w:t>
            </w:r>
            <w:r w:rsidR="00C6271C" w:rsidRPr="00903CCF">
              <w:rPr>
                <w:spacing w:val="-2"/>
              </w:rPr>
              <w:t xml:space="preserve"> uzreiz </w:t>
            </w:r>
            <w:r w:rsidR="00BA1E40" w:rsidRPr="00903CCF">
              <w:rPr>
                <w:spacing w:val="-2"/>
              </w:rPr>
              <w:t xml:space="preserve">būs pieejama nodokļa maksātājam </w:t>
            </w:r>
            <w:r w:rsidR="00C6271C" w:rsidRPr="00903CCF">
              <w:rPr>
                <w:spacing w:val="-2"/>
              </w:rPr>
              <w:t xml:space="preserve">un </w:t>
            </w:r>
            <w:r w:rsidR="00BA1E40" w:rsidRPr="00903CCF">
              <w:rPr>
                <w:spacing w:val="-2"/>
              </w:rPr>
              <w:t>izmanto</w:t>
            </w:r>
            <w:r w:rsidR="00C6271C" w:rsidRPr="00903CCF">
              <w:rPr>
                <w:spacing w:val="-2"/>
              </w:rPr>
              <w:t>jama</w:t>
            </w:r>
            <w:r w:rsidR="00BA1E40" w:rsidRPr="00903CCF">
              <w:rPr>
                <w:spacing w:val="-2"/>
              </w:rPr>
              <w:t xml:space="preserve"> pēc tā ieskatiem. </w:t>
            </w:r>
          </w:p>
          <w:p w14:paraId="6B175FAD" w14:textId="4C52AE7D" w:rsidR="00354556" w:rsidRPr="00903CCF" w:rsidRDefault="00BA1E40" w:rsidP="000602B5">
            <w:pPr>
              <w:ind w:right="140"/>
              <w:jc w:val="both"/>
              <w:rPr>
                <w:spacing w:val="-2"/>
              </w:rPr>
            </w:pPr>
            <w:r w:rsidRPr="00903CCF">
              <w:rPr>
                <w:spacing w:val="-2"/>
              </w:rPr>
              <w:t xml:space="preserve">Ņemot vērā to, ka konkrētā nodokļa likumā var tikt paredzēta dažādu nodokļa likmju piemērošana, piemēram, atkarībā no apgrozījuma, </w:t>
            </w:r>
            <w:r w:rsidR="00C02F17" w:rsidRPr="00903CCF">
              <w:rPr>
                <w:spacing w:val="-2"/>
              </w:rPr>
              <w:t xml:space="preserve">kā tas, piemēram, ir noteikts </w:t>
            </w:r>
            <w:proofErr w:type="spellStart"/>
            <w:r w:rsidR="00C02F17" w:rsidRPr="00903CCF">
              <w:rPr>
                <w:spacing w:val="-2"/>
              </w:rPr>
              <w:t>Mikrouzņēmumu</w:t>
            </w:r>
            <w:proofErr w:type="spellEnd"/>
            <w:r w:rsidR="00C02F17" w:rsidRPr="00903CCF">
              <w:rPr>
                <w:spacing w:val="-2"/>
              </w:rPr>
              <w:t xml:space="preserve"> nodokļa likumā, </w:t>
            </w:r>
            <w:r w:rsidRPr="00903CCF">
              <w:rPr>
                <w:spacing w:val="-2"/>
              </w:rPr>
              <w:t xml:space="preserve">tad likumprojektā ir paredzēts, ja konkrētais nodokļa likums attiecīgajam nodokļu režīmam paredz piemērot dažādas nodokļa likmes, </w:t>
            </w:r>
            <w:r w:rsidR="00354556" w:rsidRPr="00903CCF">
              <w:rPr>
                <w:spacing w:val="-2"/>
              </w:rPr>
              <w:t>nodoklis no SDI kontā ienākošās transakcijas vispirms tiks ieturēts</w:t>
            </w:r>
            <w:r w:rsidR="00C6271C" w:rsidRPr="00903CCF">
              <w:rPr>
                <w:spacing w:val="-2"/>
              </w:rPr>
              <w:t xml:space="preserve"> atbilstoši maksimālajai likme. VID, ievērojot konkrēto nodokļa likumu, paziņos kredītiestādei  nodokļa likmi, kas piemērojama</w:t>
            </w:r>
            <w:r w:rsidR="00A85641" w:rsidRPr="00903CCF">
              <w:rPr>
                <w:spacing w:val="-2"/>
              </w:rPr>
              <w:t>,</w:t>
            </w:r>
            <w:r w:rsidR="00C6271C" w:rsidRPr="00903CCF">
              <w:rPr>
                <w:spacing w:val="-2"/>
              </w:rPr>
              <w:t xml:space="preserve"> rezervējot nodokli no katras SDI kontā ienākošās transakcijas.</w:t>
            </w:r>
          </w:p>
          <w:p w14:paraId="6178C8B8" w14:textId="3BB3D918" w:rsidR="00354556" w:rsidRPr="00903CCF" w:rsidRDefault="00354556" w:rsidP="000602B5">
            <w:pPr>
              <w:ind w:right="140"/>
              <w:jc w:val="both"/>
              <w:rPr>
                <w:i/>
                <w:spacing w:val="-2"/>
              </w:rPr>
            </w:pPr>
            <w:r w:rsidRPr="00903CCF">
              <w:rPr>
                <w:spacing w:val="-2"/>
              </w:rPr>
              <w:t>Savukārt pēc informācijas pārbaudes un korekta nodokļa aprēķināšanas, summa, kas rezervēta par daudz</w:t>
            </w:r>
            <w:r w:rsidR="00232CC7" w:rsidRPr="00903CCF">
              <w:rPr>
                <w:spacing w:val="-2"/>
              </w:rPr>
              <w:t>,</w:t>
            </w:r>
            <w:r w:rsidRPr="00903CCF">
              <w:rPr>
                <w:spacing w:val="-2"/>
              </w:rPr>
              <w:t xml:space="preserve"> tiks atbrīvota un vēlākais </w:t>
            </w:r>
            <w:r w:rsidR="0020012C" w:rsidRPr="00903CCF">
              <w:rPr>
                <w:spacing w:val="-2"/>
              </w:rPr>
              <w:t>divu</w:t>
            </w:r>
            <w:r w:rsidRPr="00903CCF">
              <w:rPr>
                <w:spacing w:val="-2"/>
              </w:rPr>
              <w:t xml:space="preserve"> darb</w:t>
            </w:r>
            <w:r w:rsidR="0020012C" w:rsidRPr="00903CCF">
              <w:rPr>
                <w:spacing w:val="-2"/>
              </w:rPr>
              <w:t xml:space="preserve">a </w:t>
            </w:r>
            <w:r w:rsidRPr="00903CCF">
              <w:rPr>
                <w:spacing w:val="-2"/>
              </w:rPr>
              <w:t xml:space="preserve">dienu būs pieejama nodokļu maksātājam. </w:t>
            </w:r>
            <w:r w:rsidRPr="00903CCF">
              <w:rPr>
                <w:i/>
                <w:spacing w:val="-2"/>
              </w:rPr>
              <w:t xml:space="preserve">Piemēram, ja konkrētā nodokļa likums paredz, ka apgrozījumam līdz 100 </w:t>
            </w:r>
            <w:proofErr w:type="spellStart"/>
            <w:r w:rsidRPr="00903CCF">
              <w:rPr>
                <w:i/>
                <w:spacing w:val="-2"/>
              </w:rPr>
              <w:t>euro</w:t>
            </w:r>
            <w:proofErr w:type="spellEnd"/>
            <w:r w:rsidRPr="00903CCF">
              <w:rPr>
                <w:i/>
                <w:spacing w:val="-2"/>
              </w:rPr>
              <w:t xml:space="preserve"> nodokļa likme ir 10%, bet apgrozījumam no 101 </w:t>
            </w:r>
            <w:proofErr w:type="spellStart"/>
            <w:r w:rsidRPr="00903CCF">
              <w:rPr>
                <w:i/>
                <w:spacing w:val="-2"/>
              </w:rPr>
              <w:t>euro</w:t>
            </w:r>
            <w:proofErr w:type="spellEnd"/>
            <w:r w:rsidRPr="00903CCF">
              <w:rPr>
                <w:i/>
                <w:spacing w:val="-2"/>
              </w:rPr>
              <w:t xml:space="preserve"> nodokļa likme ir 20%, tad šādā situācijā, kad SDI kontā tiks iemaksāti 10 </w:t>
            </w:r>
            <w:proofErr w:type="spellStart"/>
            <w:r w:rsidRPr="00903CCF">
              <w:rPr>
                <w:i/>
                <w:spacing w:val="-2"/>
              </w:rPr>
              <w:t>euro</w:t>
            </w:r>
            <w:proofErr w:type="spellEnd"/>
            <w:r w:rsidRPr="00903CCF">
              <w:rPr>
                <w:i/>
                <w:spacing w:val="-2"/>
              </w:rPr>
              <w:t xml:space="preserve">, kredītiestāde rezervēs nodokli 20% (2 </w:t>
            </w:r>
            <w:proofErr w:type="spellStart"/>
            <w:r w:rsidRPr="00903CCF">
              <w:rPr>
                <w:i/>
                <w:spacing w:val="-2"/>
              </w:rPr>
              <w:t>euro</w:t>
            </w:r>
            <w:proofErr w:type="spellEnd"/>
            <w:r w:rsidRPr="00903CCF">
              <w:rPr>
                <w:i/>
                <w:spacing w:val="-2"/>
              </w:rPr>
              <w:t>) apmērā, bet pēc informācijas saņemšanas no VID par nodokļa apmēru (vēlākais divu darb</w:t>
            </w:r>
            <w:r w:rsidR="0020012C" w:rsidRPr="00903CCF">
              <w:rPr>
                <w:i/>
                <w:spacing w:val="-2"/>
              </w:rPr>
              <w:t xml:space="preserve">a </w:t>
            </w:r>
            <w:r w:rsidRPr="00903CCF">
              <w:rPr>
                <w:i/>
                <w:spacing w:val="-2"/>
              </w:rPr>
              <w:t xml:space="preserve">dienu laikā), atbrīvos (darīs pieejamu nodokļu maksātājam) par daudz rezervēto nodokli, t.i., 1 </w:t>
            </w:r>
            <w:proofErr w:type="spellStart"/>
            <w:r w:rsidRPr="00903CCF">
              <w:rPr>
                <w:i/>
                <w:spacing w:val="-2"/>
              </w:rPr>
              <w:t>euro</w:t>
            </w:r>
            <w:proofErr w:type="spellEnd"/>
            <w:r w:rsidR="00D9467A" w:rsidRPr="00903CCF">
              <w:rPr>
                <w:i/>
                <w:spacing w:val="-2"/>
              </w:rPr>
              <w:t>.</w:t>
            </w:r>
          </w:p>
          <w:p w14:paraId="64A9B6DA" w14:textId="6E90C3F9" w:rsidR="00354556" w:rsidRPr="00903CCF" w:rsidRDefault="00354556" w:rsidP="000602B5">
            <w:pPr>
              <w:ind w:right="140"/>
              <w:jc w:val="both"/>
              <w:rPr>
                <w:spacing w:val="-2"/>
              </w:rPr>
            </w:pPr>
            <w:r w:rsidRPr="00903CCF">
              <w:rPr>
                <w:spacing w:val="-2"/>
              </w:rPr>
              <w:t>Šāds risinājums izvēlēts, lai vienkāršoto nodokļa nomaksas risinājumu ieviestu pēc iespējas vienkāršāku</w:t>
            </w:r>
            <w:r w:rsidR="00C02F17" w:rsidRPr="00903CCF">
              <w:rPr>
                <w:spacing w:val="-2"/>
              </w:rPr>
              <w:t xml:space="preserve"> un efektīvāku</w:t>
            </w:r>
            <w:r w:rsidRPr="00903CCF">
              <w:rPr>
                <w:spacing w:val="-2"/>
              </w:rPr>
              <w:t>, kā arī nebūtu jāpiemēro nokavējuma naudas par</w:t>
            </w:r>
            <w:r w:rsidR="00C02F17" w:rsidRPr="00903CCF">
              <w:rPr>
                <w:spacing w:val="-2"/>
              </w:rPr>
              <w:t xml:space="preserve"> nodokļu maksājumu </w:t>
            </w:r>
            <w:r w:rsidRPr="00903CCF">
              <w:rPr>
                <w:spacing w:val="-2"/>
              </w:rPr>
              <w:t>samaksas termiņa kavējumu aprēķināšanas un nodokļ</w:t>
            </w:r>
            <w:r w:rsidR="00C02F17" w:rsidRPr="00903CCF">
              <w:rPr>
                <w:spacing w:val="-2"/>
              </w:rPr>
              <w:t>u maksājumu</w:t>
            </w:r>
            <w:r w:rsidRPr="00903CCF">
              <w:rPr>
                <w:spacing w:val="-2"/>
              </w:rPr>
              <w:t xml:space="preserve"> piedziņas mehānismi, kas radītu ievērojamu slogu VID un nepatīkamas situācijas nodokļu maksātājiem. Ja minētajā piemērā sākotnēji tiktu piemērota mazākā nodokļa likme</w:t>
            </w:r>
            <w:r w:rsidR="00326DC6" w:rsidRPr="00903CCF">
              <w:rPr>
                <w:spacing w:val="-2"/>
              </w:rPr>
              <w:t>, bet</w:t>
            </w:r>
            <w:r w:rsidRPr="00903CCF">
              <w:rPr>
                <w:spacing w:val="-2"/>
              </w:rPr>
              <w:t xml:space="preserve"> informācijas apmaiņas procesā </w:t>
            </w:r>
            <w:r w:rsidR="00326DC6" w:rsidRPr="00903CCF">
              <w:rPr>
                <w:spacing w:val="-2"/>
              </w:rPr>
              <w:t>vēlāk (jo informācija par to, ka apgrozījums pārsniedz slieksni, kuram piemērojama mazākā nodokļa likme, tiek saņemta tikai nākamajā darb</w:t>
            </w:r>
            <w:r w:rsidR="0020012C" w:rsidRPr="00903CCF">
              <w:rPr>
                <w:spacing w:val="-2"/>
              </w:rPr>
              <w:t xml:space="preserve">a </w:t>
            </w:r>
            <w:r w:rsidR="00326DC6" w:rsidRPr="00903CCF">
              <w:rPr>
                <w:spacing w:val="-2"/>
              </w:rPr>
              <w:t>dienā)</w:t>
            </w:r>
            <w:r w:rsidRPr="00903CCF">
              <w:rPr>
                <w:spacing w:val="-2"/>
              </w:rPr>
              <w:t xml:space="preserve"> </w:t>
            </w:r>
            <w:r w:rsidR="00326DC6" w:rsidRPr="00903CCF">
              <w:rPr>
                <w:spacing w:val="-2"/>
              </w:rPr>
              <w:t>tiek saņemta informācija, kas pamato, ka piemērojama</w:t>
            </w:r>
            <w:r w:rsidRPr="00903CCF">
              <w:rPr>
                <w:spacing w:val="-2"/>
              </w:rPr>
              <w:t xml:space="preserve"> </w:t>
            </w:r>
            <w:r w:rsidR="00326DC6" w:rsidRPr="00903CCF">
              <w:rPr>
                <w:spacing w:val="-2"/>
              </w:rPr>
              <w:t>lielākā</w:t>
            </w:r>
            <w:r w:rsidRPr="00903CCF">
              <w:rPr>
                <w:spacing w:val="-2"/>
              </w:rPr>
              <w:t xml:space="preserve"> nodokļa likm</w:t>
            </w:r>
            <w:r w:rsidR="00326DC6" w:rsidRPr="00903CCF">
              <w:rPr>
                <w:spacing w:val="-2"/>
              </w:rPr>
              <w:t>e</w:t>
            </w:r>
            <w:r w:rsidRPr="00903CCF">
              <w:rPr>
                <w:spacing w:val="-2"/>
              </w:rPr>
              <w:t>,</w:t>
            </w:r>
            <w:r w:rsidR="00C02F17" w:rsidRPr="00903CCF">
              <w:rPr>
                <w:spacing w:val="-2"/>
              </w:rPr>
              <w:t xml:space="preserve"> taču SDI kontā naudas vairs nebūtu, </w:t>
            </w:r>
            <w:r w:rsidRPr="00903CCF">
              <w:rPr>
                <w:spacing w:val="-2"/>
              </w:rPr>
              <w:t>nodokļu maksātājam var</w:t>
            </w:r>
            <w:r w:rsidR="00326DC6" w:rsidRPr="00903CCF">
              <w:rPr>
                <w:spacing w:val="-2"/>
              </w:rPr>
              <w:t>ētu</w:t>
            </w:r>
            <w:r w:rsidRPr="00903CCF">
              <w:rPr>
                <w:spacing w:val="-2"/>
              </w:rPr>
              <w:t xml:space="preserve"> </w:t>
            </w:r>
            <w:r w:rsidR="00326DC6" w:rsidRPr="00903CCF">
              <w:rPr>
                <w:spacing w:val="-2"/>
              </w:rPr>
              <w:t>iz</w:t>
            </w:r>
            <w:r w:rsidRPr="00903CCF">
              <w:rPr>
                <w:spacing w:val="-2"/>
              </w:rPr>
              <w:t xml:space="preserve">veidoties nodokļa parāds. </w:t>
            </w:r>
            <w:r w:rsidR="00326DC6" w:rsidRPr="00903CCF">
              <w:rPr>
                <w:spacing w:val="-2"/>
              </w:rPr>
              <w:t>Vienkāršotā nodokļa nomaksas risinājuma īstenošanā, lai nodrošinātu to, ka nodokļu maksātājam nav jāiesaistās nodokļa aprēķināšanā un nomaksā, būtiska ir informācijas apmaiņa starp VID un kredītiestādi, bet tam ir jāparedz laiks. Savukārt informācijas apmaiņas</w:t>
            </w:r>
            <w:r w:rsidR="00196F16" w:rsidRPr="00903CCF">
              <w:rPr>
                <w:spacing w:val="-2"/>
              </w:rPr>
              <w:t xml:space="preserve"> procesa</w:t>
            </w:r>
            <w:r w:rsidR="00326DC6" w:rsidRPr="00903CCF">
              <w:rPr>
                <w:spacing w:val="-2"/>
              </w:rPr>
              <w:t xml:space="preserve"> laikā situācija ar nodokļa maksātāja ieņēmumiem var strauji mainīties, proti, pat no viena SDI kontā ienākošā maksājuma var mainīties piemērojam</w:t>
            </w:r>
            <w:r w:rsidR="00196F16" w:rsidRPr="00903CCF">
              <w:rPr>
                <w:spacing w:val="-2"/>
              </w:rPr>
              <w:t>ā</w:t>
            </w:r>
            <w:r w:rsidR="00326DC6" w:rsidRPr="00903CCF">
              <w:rPr>
                <w:spacing w:val="-2"/>
              </w:rPr>
              <w:t xml:space="preserve"> nodok</w:t>
            </w:r>
            <w:r w:rsidR="00196F16" w:rsidRPr="00903CCF">
              <w:rPr>
                <w:spacing w:val="-2"/>
              </w:rPr>
              <w:t>ļa likme</w:t>
            </w:r>
            <w:r w:rsidR="00326DC6" w:rsidRPr="00903CCF">
              <w:rPr>
                <w:spacing w:val="-2"/>
              </w:rPr>
              <w:t xml:space="preserve">, bet VID šo informāciju saņems vismaz ar </w:t>
            </w:r>
            <w:r w:rsidR="0020012C" w:rsidRPr="00903CCF">
              <w:rPr>
                <w:spacing w:val="-2"/>
              </w:rPr>
              <w:t>divu</w:t>
            </w:r>
            <w:r w:rsidR="00326DC6" w:rsidRPr="00903CCF">
              <w:rPr>
                <w:spacing w:val="-2"/>
              </w:rPr>
              <w:t xml:space="preserve"> darb</w:t>
            </w:r>
            <w:r w:rsidR="0020012C" w:rsidRPr="00903CCF">
              <w:rPr>
                <w:spacing w:val="-2"/>
              </w:rPr>
              <w:t xml:space="preserve">a </w:t>
            </w:r>
            <w:r w:rsidR="00326DC6" w:rsidRPr="00903CCF">
              <w:rPr>
                <w:spacing w:val="-2"/>
              </w:rPr>
              <w:t>dienu nobīdi</w:t>
            </w:r>
            <w:r w:rsidR="00196F16" w:rsidRPr="00903CCF">
              <w:rPr>
                <w:spacing w:val="-2"/>
              </w:rPr>
              <w:t>,</w:t>
            </w:r>
            <w:r w:rsidR="00326DC6" w:rsidRPr="00903CCF">
              <w:rPr>
                <w:spacing w:val="-2"/>
              </w:rPr>
              <w:t xml:space="preserve"> un </w:t>
            </w:r>
            <w:r w:rsidR="00196F16" w:rsidRPr="00903CCF">
              <w:rPr>
                <w:spacing w:val="-2"/>
              </w:rPr>
              <w:t xml:space="preserve">tad </w:t>
            </w:r>
            <w:r w:rsidR="00326DC6" w:rsidRPr="00903CCF">
              <w:rPr>
                <w:spacing w:val="-2"/>
              </w:rPr>
              <w:t xml:space="preserve">varētu veidoties situācija, ka nodokļu maksātājs ir iztērējis visus SDI kontā ieskaitītos ieņēmumus un būtu jāuzsāk nokavējuma naudas aprēķināšana un </w:t>
            </w:r>
            <w:r w:rsidR="00C02F17" w:rsidRPr="00903CCF">
              <w:rPr>
                <w:spacing w:val="-2"/>
              </w:rPr>
              <w:t xml:space="preserve"> nodokļu maksājumu </w:t>
            </w:r>
            <w:r w:rsidR="00326DC6" w:rsidRPr="00903CCF">
              <w:rPr>
                <w:spacing w:val="-2"/>
              </w:rPr>
              <w:t xml:space="preserve">parādu piedziņa. </w:t>
            </w:r>
            <w:r w:rsidR="00196F16" w:rsidRPr="00903CCF">
              <w:rPr>
                <w:spacing w:val="-2"/>
              </w:rPr>
              <w:t>Tādējādi vienkāršotā nodokļa nomaksas risinājuma ietvaros nodoklis no SDI kontā ienākošās transakcijas vispirms tiks ieturēts atbilstoši maksimālajai likmei, bet iespējami drīz tiks atbrīvota (kļūs pieejama nodokļu maksātājam) summa, kas rezervēta par daudz. Turklāt tikai pie šādiem nosacījumiem, iespējams nodrošināt to, ka nodokļu maksātājam nav jāiesaistās nodokļa aprēķināšanā un maksāšanā. Savukārt gadījumos, kad konkrēt</w:t>
            </w:r>
            <w:r w:rsidR="00C50096" w:rsidRPr="00903CCF">
              <w:rPr>
                <w:spacing w:val="-2"/>
              </w:rPr>
              <w:t>ais</w:t>
            </w:r>
            <w:r w:rsidR="00196F16" w:rsidRPr="00903CCF">
              <w:rPr>
                <w:spacing w:val="-2"/>
              </w:rPr>
              <w:t xml:space="preserve"> nodokļa likums attiecīgajam nodokļa režīmam paredzēs tikai vienu nodokļa likmi, nodoklis šajā gadījumā uzreiz tiks ieturēts korektā apmērā. </w:t>
            </w:r>
          </w:p>
          <w:p w14:paraId="34EA3229" w14:textId="489DF6C4" w:rsidR="00196F16" w:rsidRPr="00903CCF" w:rsidRDefault="00196F16" w:rsidP="000602B5">
            <w:pPr>
              <w:ind w:right="140"/>
              <w:jc w:val="both"/>
              <w:rPr>
                <w:spacing w:val="-2"/>
              </w:rPr>
            </w:pPr>
            <w:r w:rsidRPr="00903CCF">
              <w:rPr>
                <w:spacing w:val="-2"/>
              </w:rPr>
              <w:t xml:space="preserve">Lai nodrošinātu vienkāršotā nodokļa </w:t>
            </w:r>
            <w:r w:rsidR="00796061" w:rsidRPr="00903CCF">
              <w:rPr>
                <w:spacing w:val="-2"/>
              </w:rPr>
              <w:t xml:space="preserve">nomaksas </w:t>
            </w:r>
            <w:r w:rsidRPr="00903CCF">
              <w:rPr>
                <w:spacing w:val="-2"/>
              </w:rPr>
              <w:t>risinājuma īstenošanu, likumprojektā noteiks regulējums attiecībā uz to, kas kredītiestādei un VID attiecīgi ir jāievēro attiecībā uz nodokļa rezervēšanu, aprēķināšanu, informācijas apmaiņu, nodokļa ieskaitīšanu vienotajā nodokļu kontā un uzskaiti VID Maksājumu administrēšanas informācijas sistēmā.</w:t>
            </w:r>
          </w:p>
          <w:p w14:paraId="67AC2B01" w14:textId="457922A5" w:rsidR="00196F16" w:rsidRPr="00903CCF" w:rsidRDefault="00CE4299" w:rsidP="000602B5">
            <w:pPr>
              <w:ind w:right="140"/>
              <w:jc w:val="both"/>
              <w:rPr>
                <w:spacing w:val="-2"/>
              </w:rPr>
            </w:pPr>
            <w:r w:rsidRPr="00903CCF">
              <w:rPr>
                <w:spacing w:val="-2"/>
              </w:rPr>
              <w:t>Lai mazinātu komisijas maksu izdevumus par pārskaitījumu veikšanu,</w:t>
            </w:r>
            <w:r w:rsidR="00196F16" w:rsidRPr="00903CCF">
              <w:rPr>
                <w:spacing w:val="-2"/>
              </w:rPr>
              <w:t xml:space="preserve"> kredītiestāde</w:t>
            </w:r>
            <w:r w:rsidR="00226078" w:rsidRPr="00903CCF">
              <w:rPr>
                <w:spacing w:val="-2"/>
              </w:rPr>
              <w:t>s</w:t>
            </w:r>
            <w:r w:rsidR="00196F16" w:rsidRPr="00903CCF">
              <w:rPr>
                <w:spacing w:val="-2"/>
              </w:rPr>
              <w:t xml:space="preserve"> ieturēto nodokli atbilstoši VID sniegtajai informācijai ieskait</w:t>
            </w:r>
            <w:r w:rsidR="007939F8" w:rsidRPr="00903CCF">
              <w:rPr>
                <w:spacing w:val="-2"/>
              </w:rPr>
              <w:t>īs</w:t>
            </w:r>
            <w:r w:rsidR="00196F16" w:rsidRPr="00903CCF">
              <w:rPr>
                <w:spacing w:val="-2"/>
              </w:rPr>
              <w:t xml:space="preserve"> vienotaj</w:t>
            </w:r>
            <w:r w:rsidR="007939F8" w:rsidRPr="00903CCF">
              <w:rPr>
                <w:spacing w:val="-2"/>
              </w:rPr>
              <w:t>ā</w:t>
            </w:r>
            <w:r w:rsidR="00196F16" w:rsidRPr="00903CCF">
              <w:rPr>
                <w:spacing w:val="-2"/>
              </w:rPr>
              <w:t xml:space="preserve"> nodokļu kontā </w:t>
            </w:r>
            <w:r w:rsidR="007939F8" w:rsidRPr="00903CCF">
              <w:rPr>
                <w:spacing w:val="-2"/>
              </w:rPr>
              <w:t>(</w:t>
            </w:r>
            <w:r w:rsidR="00196F16" w:rsidRPr="00903CCF">
              <w:rPr>
                <w:spacing w:val="-2"/>
              </w:rPr>
              <w:t xml:space="preserve">vienā maksājumā) kā visu tās klientu, kas izmanto </w:t>
            </w:r>
            <w:r w:rsidR="00226078" w:rsidRPr="00903CCF">
              <w:rPr>
                <w:spacing w:val="-2"/>
              </w:rPr>
              <w:t xml:space="preserve">SDI </w:t>
            </w:r>
            <w:r w:rsidR="00196F16" w:rsidRPr="00903CCF">
              <w:rPr>
                <w:spacing w:val="-2"/>
              </w:rPr>
              <w:t>kontu, n</w:t>
            </w:r>
            <w:r w:rsidR="007939F8" w:rsidRPr="00903CCF">
              <w:rPr>
                <w:spacing w:val="-2"/>
              </w:rPr>
              <w:t xml:space="preserve">odokļu maksājumu. </w:t>
            </w:r>
            <w:r w:rsidR="00226078" w:rsidRPr="00903CCF">
              <w:rPr>
                <w:spacing w:val="-2"/>
              </w:rPr>
              <w:t>Savukārt, l</w:t>
            </w:r>
            <w:r w:rsidR="007939F8" w:rsidRPr="00903CCF">
              <w:rPr>
                <w:spacing w:val="-2"/>
              </w:rPr>
              <w:t xml:space="preserve">ai nodrošinātu saņemto nodokļu maksājumu identificēšanu un uzskaiti, kredītiestāde </w:t>
            </w:r>
            <w:r w:rsidR="00E03E49" w:rsidRPr="00903CCF">
              <w:rPr>
                <w:spacing w:val="-2"/>
              </w:rPr>
              <w:t xml:space="preserve">pirms nodokļa maksājuma par attiecīgo dienu pārskaitīšanas vienotajā nodokļu kontā </w:t>
            </w:r>
            <w:r w:rsidR="007939F8" w:rsidRPr="00903CCF">
              <w:rPr>
                <w:spacing w:val="-2"/>
              </w:rPr>
              <w:t xml:space="preserve">nosūtīs informāciju </w:t>
            </w:r>
            <w:r w:rsidR="00E03E49" w:rsidRPr="00903CCF">
              <w:rPr>
                <w:spacing w:val="-2"/>
              </w:rPr>
              <w:t xml:space="preserve">VID </w:t>
            </w:r>
            <w:r w:rsidR="007939F8" w:rsidRPr="00903CCF">
              <w:rPr>
                <w:spacing w:val="-2"/>
              </w:rPr>
              <w:t>par ieturētā nodokļa apmēru, kas konkrētajā dienā tiks pārskaitīts vienotajā nodokļu kontā, sadalījumā pa nodokļu maksātājiem, kā arī maksājuma uzdevumā norādīs informācij</w:t>
            </w:r>
            <w:r w:rsidR="0089196F" w:rsidRPr="00903CCF">
              <w:rPr>
                <w:spacing w:val="-2"/>
              </w:rPr>
              <w:t>u</w:t>
            </w:r>
            <w:r w:rsidR="007939F8" w:rsidRPr="00903CCF">
              <w:rPr>
                <w:spacing w:val="-2"/>
              </w:rPr>
              <w:t xml:space="preserve"> nodokļa maksājumu, kas pārskaitīti, un nodokļu maksātāju, no kuriem nodoklis ieturēts, identificēšanai.</w:t>
            </w:r>
            <w:r w:rsidR="00E03E49" w:rsidRPr="00903CCF">
              <w:rPr>
                <w:spacing w:val="-2"/>
              </w:rPr>
              <w:t xml:space="preserve"> </w:t>
            </w:r>
          </w:p>
          <w:p w14:paraId="7F5F35BE" w14:textId="415D7474" w:rsidR="00B000C7" w:rsidRPr="00903CCF" w:rsidRDefault="00E03E49" w:rsidP="000602B5">
            <w:pPr>
              <w:ind w:right="140"/>
              <w:jc w:val="both"/>
              <w:rPr>
                <w:spacing w:val="-2"/>
              </w:rPr>
            </w:pPr>
            <w:r w:rsidRPr="00903CCF">
              <w:rPr>
                <w:spacing w:val="-2"/>
              </w:rPr>
              <w:t xml:space="preserve">Lai nodrošinātu skaidru regulējumu attiecībā uz situācijām, kas varētu iestāties, proti, ja VID </w:t>
            </w:r>
            <w:r w:rsidR="00C50E57" w:rsidRPr="00903CCF">
              <w:rPr>
                <w:spacing w:val="-2"/>
              </w:rPr>
              <w:t xml:space="preserve">14 dienu laikā </w:t>
            </w:r>
            <w:proofErr w:type="spellStart"/>
            <w:r w:rsidRPr="00903CCF">
              <w:rPr>
                <w:spacing w:val="-2"/>
              </w:rPr>
              <w:t>nenosūta</w:t>
            </w:r>
            <w:proofErr w:type="spellEnd"/>
            <w:r w:rsidRPr="00903CCF">
              <w:rPr>
                <w:spacing w:val="-2"/>
              </w:rPr>
              <w:t xml:space="preserve"> kredītiestādei informāciju par vienotajā nodokļu kontā pārskaitāmā nodokļa apmēru vai kompetentā iestāde nosaka ierobežojumus maksājumu veikšanai no SDI konta, tad kredītiestāde</w:t>
            </w:r>
            <w:r w:rsidR="00C50E57" w:rsidRPr="00903CCF">
              <w:rPr>
                <w:spacing w:val="-2"/>
              </w:rPr>
              <w:t>, iestājoties minētajiem apstākļiem,</w:t>
            </w:r>
            <w:r w:rsidRPr="00903CCF">
              <w:rPr>
                <w:spacing w:val="-2"/>
              </w:rPr>
              <w:t xml:space="preserve"> atce</w:t>
            </w:r>
            <w:r w:rsidR="00C50E57" w:rsidRPr="00903CCF">
              <w:rPr>
                <w:spacing w:val="-2"/>
              </w:rPr>
              <w:t>ļ rezervāciju transakcijām, kas veido SDI konta kredīta apgrozījumu</w:t>
            </w:r>
            <w:r w:rsidR="001B799A" w:rsidRPr="00903CCF">
              <w:rPr>
                <w:spacing w:val="-2"/>
              </w:rPr>
              <w:t xml:space="preserve"> (pēc minēto apstākļu iestāšanās)</w:t>
            </w:r>
            <w:r w:rsidR="00B000C7" w:rsidRPr="00903CCF">
              <w:rPr>
                <w:spacing w:val="-2"/>
              </w:rPr>
              <w:t>.</w:t>
            </w:r>
            <w:r w:rsidR="004C671C" w:rsidRPr="00903CCF">
              <w:rPr>
                <w:spacing w:val="-2"/>
              </w:rPr>
              <w:t xml:space="preserve"> Minētais </w:t>
            </w:r>
            <w:r w:rsidR="004B1603" w:rsidRPr="00903CCF">
              <w:rPr>
                <w:spacing w:val="-2"/>
              </w:rPr>
              <w:t xml:space="preserve">nosacījums par rezervācijas atcelšanu </w:t>
            </w:r>
            <w:r w:rsidR="004C671C" w:rsidRPr="00903CCF">
              <w:rPr>
                <w:spacing w:val="-2"/>
              </w:rPr>
              <w:t>neattiecas uz</w:t>
            </w:r>
            <w:r w:rsidR="004B1603" w:rsidRPr="00903CCF">
              <w:rPr>
                <w:spacing w:val="-2"/>
              </w:rPr>
              <w:t xml:space="preserve"> gadījumu, kad</w:t>
            </w:r>
            <w:r w:rsidR="004C671C" w:rsidRPr="00903CCF">
              <w:rPr>
                <w:spacing w:val="-2"/>
              </w:rPr>
              <w:t xml:space="preserve"> ierobežojum</w:t>
            </w:r>
            <w:r w:rsidR="004B1603" w:rsidRPr="00903CCF">
              <w:rPr>
                <w:spacing w:val="-2"/>
              </w:rPr>
              <w:t>s SDI kontam noteikts</w:t>
            </w:r>
            <w:r w:rsidR="004C671C" w:rsidRPr="00903CCF">
              <w:rPr>
                <w:spacing w:val="-2"/>
              </w:rPr>
              <w:t xml:space="preserve"> piedziņas procesa ietvaros ar VID vai zvērinātu tiesu izpildītāju </w:t>
            </w:r>
            <w:r w:rsidR="004B1603" w:rsidRPr="00903CCF">
              <w:rPr>
                <w:spacing w:val="-2"/>
              </w:rPr>
              <w:t>rīkojumiem (</w:t>
            </w:r>
            <w:r w:rsidR="004C671C" w:rsidRPr="00903CCF">
              <w:rPr>
                <w:spacing w:val="-2"/>
              </w:rPr>
              <w:t>Kredītiestāžu likuma 66.</w:t>
            </w:r>
            <w:r w:rsidR="004C671C" w:rsidRPr="00903CCF">
              <w:rPr>
                <w:spacing w:val="-2"/>
                <w:vertAlign w:val="superscript"/>
              </w:rPr>
              <w:t xml:space="preserve">1 </w:t>
            </w:r>
            <w:r w:rsidR="004C671C" w:rsidRPr="00903CCF">
              <w:rPr>
                <w:spacing w:val="-2"/>
              </w:rPr>
              <w:t>pant</w:t>
            </w:r>
            <w:r w:rsidR="004B1603" w:rsidRPr="00903CCF">
              <w:rPr>
                <w:spacing w:val="-2"/>
              </w:rPr>
              <w:t>s)</w:t>
            </w:r>
            <w:r w:rsidR="004C671C" w:rsidRPr="00903CCF">
              <w:rPr>
                <w:spacing w:val="-2"/>
              </w:rPr>
              <w:t>.</w:t>
            </w:r>
            <w:r w:rsidR="004B1603" w:rsidRPr="00903CCF">
              <w:rPr>
                <w:spacing w:val="-2"/>
              </w:rPr>
              <w:t xml:space="preserve"> Šajā g</w:t>
            </w:r>
            <w:r w:rsidR="004C671C" w:rsidRPr="00903CCF">
              <w:rPr>
                <w:spacing w:val="-2"/>
              </w:rPr>
              <w:t>adījumā, ja attiecībā uz nodokļu maksātāju ir saņemti minētie rīkojumi, kredītiestāde attiecīgo rīkojumu izpildi no SDI konta īsteno pēc nodokļa ieturēšanas</w:t>
            </w:r>
            <w:r w:rsidR="004B1603" w:rsidRPr="00903CCF">
              <w:rPr>
                <w:spacing w:val="-2"/>
              </w:rPr>
              <w:t xml:space="preserve"> un ieskaitīšanas vienotajā nodokļu kontā (proti, nodoklis no SDI konta tiek ieturēts prioritāri un tad izpildīti rīkojumi)</w:t>
            </w:r>
            <w:r w:rsidR="004C671C" w:rsidRPr="00903CCF">
              <w:rPr>
                <w:spacing w:val="-2"/>
              </w:rPr>
              <w:t>.</w:t>
            </w:r>
          </w:p>
          <w:p w14:paraId="7BCC3219" w14:textId="2EF0B1D5" w:rsidR="00BA1E40" w:rsidRPr="00903CCF" w:rsidRDefault="00B000C7" w:rsidP="000602B5">
            <w:pPr>
              <w:ind w:right="140"/>
              <w:jc w:val="both"/>
              <w:rPr>
                <w:spacing w:val="-2"/>
              </w:rPr>
            </w:pPr>
            <w:r w:rsidRPr="00903CCF">
              <w:rPr>
                <w:spacing w:val="-2"/>
              </w:rPr>
              <w:t>SDI kontā varētu tik ieskaitīti vai iemaksāti maksājumi dažādos apmēros, tādējādi, lai nodrošinātu skaidru regulējumu attiecībā nodokļa apmēru, kas</w:t>
            </w:r>
            <w:r w:rsidR="00BA1E40" w:rsidRPr="00903CCF">
              <w:rPr>
                <w:spacing w:val="-2"/>
              </w:rPr>
              <w:t xml:space="preserve"> rezervējams un ieskaitāms vienotajā nodokļa kontā, </w:t>
            </w:r>
            <w:r w:rsidRPr="00903CCF">
              <w:rPr>
                <w:spacing w:val="-2"/>
              </w:rPr>
              <w:t>likumprojektā noteikts noapaļošanas princips, kas piemērojams</w:t>
            </w:r>
            <w:r w:rsidR="00C50E57" w:rsidRPr="00903CCF">
              <w:rPr>
                <w:spacing w:val="-2"/>
              </w:rPr>
              <w:t>,</w:t>
            </w:r>
            <w:r w:rsidRPr="00903CCF">
              <w:rPr>
                <w:spacing w:val="-2"/>
              </w:rPr>
              <w:t xml:space="preserve"> rezervējot un aprēķinot nodokļa apmēru, proti, noapaļ</w:t>
            </w:r>
            <w:r w:rsidR="00BA1E40" w:rsidRPr="00903CCF">
              <w:rPr>
                <w:spacing w:val="-2"/>
              </w:rPr>
              <w:t xml:space="preserve">o līdz tuvākajam centam, ņemot vērā trešo zīmi aiz komata. Ja trešā zīme aiz komata ir no 0 līdz 4, tad centa vērtība nemainās. Ja trešā zīme aiz komata ir no 5 līdz 9, tad cents tiek noapaļots par vienu uz augšu. </w:t>
            </w:r>
          </w:p>
          <w:p w14:paraId="63AAF473" w14:textId="7F363C33" w:rsidR="00BA1E40" w:rsidRPr="00903CCF" w:rsidRDefault="00B000C7" w:rsidP="000602B5">
            <w:pPr>
              <w:ind w:right="140"/>
              <w:jc w:val="both"/>
              <w:rPr>
                <w:spacing w:val="-2"/>
              </w:rPr>
            </w:pPr>
            <w:r w:rsidRPr="00903CCF">
              <w:rPr>
                <w:spacing w:val="-2"/>
              </w:rPr>
              <w:t>Vienkāršotā nodokļa nomaksas risinājuma piemērošanas laikā nodokļu maksātājam var veidoties situācijas, kad tam var rasties pienākums nodokli aprēķināt</w:t>
            </w:r>
            <w:r w:rsidR="00BA1E40" w:rsidRPr="00903CCF">
              <w:rPr>
                <w:spacing w:val="-2"/>
              </w:rPr>
              <w:t>, deklarē</w:t>
            </w:r>
            <w:r w:rsidRPr="00903CCF">
              <w:rPr>
                <w:spacing w:val="-2"/>
              </w:rPr>
              <w:t>t</w:t>
            </w:r>
            <w:r w:rsidR="00BA1E40" w:rsidRPr="00903CCF">
              <w:rPr>
                <w:spacing w:val="-2"/>
              </w:rPr>
              <w:t xml:space="preserve"> un maksā</w:t>
            </w:r>
            <w:r w:rsidRPr="00903CCF">
              <w:rPr>
                <w:spacing w:val="-2"/>
              </w:rPr>
              <w:t>t</w:t>
            </w:r>
            <w:r w:rsidR="00BA1E40" w:rsidRPr="00903CCF">
              <w:rPr>
                <w:spacing w:val="-2"/>
              </w:rPr>
              <w:t xml:space="preserve"> konkrētā nodokļa likumā noteiktajā vispārējā kārtībā par pārskata periodu (ārpus vienkāršotā nod</w:t>
            </w:r>
            <w:r w:rsidRPr="00903CCF">
              <w:rPr>
                <w:spacing w:val="-2"/>
              </w:rPr>
              <w:t>okļa nomaksas risinājuma), tādējādi likumprojektā paredzēts, ka nodokļu maksātājs aprēķina, deklarē un maksā konkrētā nodokļa likumā noteiktajā vispārējā kārtībā, ja</w:t>
            </w:r>
            <w:r w:rsidR="00BA1E40" w:rsidRPr="00903CCF">
              <w:rPr>
                <w:spacing w:val="-2"/>
              </w:rPr>
              <w:t xml:space="preserve"> iestājas vismaz viens no šādiem gadījumiem:</w:t>
            </w:r>
          </w:p>
          <w:p w14:paraId="3070CB00" w14:textId="77777777" w:rsidR="00BA1E40" w:rsidRPr="00903CCF" w:rsidRDefault="00BA1E40" w:rsidP="000602B5">
            <w:pPr>
              <w:ind w:right="140"/>
              <w:jc w:val="both"/>
              <w:rPr>
                <w:spacing w:val="-2"/>
              </w:rPr>
            </w:pPr>
            <w:r w:rsidRPr="00903CCF">
              <w:rPr>
                <w:spacing w:val="-2"/>
              </w:rPr>
              <w:t>1) nodokļu maksātājs zaudē tiesības izmantot vienkāršoto nodokļa nomaksas risinājumu – ar datumu, kad nodokļu maksātājs, ievērojot konkrētā nodokļa likuma nosacījumus, zaudē tiesības izmantot vienkāršoto nodokļa nomaksas risinājumu;</w:t>
            </w:r>
          </w:p>
          <w:p w14:paraId="72289610" w14:textId="2240D450" w:rsidR="00BA1E40" w:rsidRPr="00903CCF" w:rsidRDefault="00C97067" w:rsidP="000602B5">
            <w:pPr>
              <w:ind w:right="140"/>
              <w:jc w:val="both"/>
              <w:rPr>
                <w:spacing w:val="-2"/>
              </w:rPr>
            </w:pPr>
            <w:r w:rsidRPr="00903CCF">
              <w:rPr>
                <w:spacing w:val="-2"/>
              </w:rPr>
              <w:t>2)</w:t>
            </w:r>
            <w:r w:rsidR="00BA1E40" w:rsidRPr="00903CCF">
              <w:rPr>
                <w:spacing w:val="-2"/>
              </w:rPr>
              <w:t xml:space="preserve"> ir apturēta saimnieciskās darbības ieņēmuma konta darbība - par visu apturēšanas periodu, sākot ar saimnieciskās darbības ieņēmuma konta darbības apturēšanas datumu;</w:t>
            </w:r>
          </w:p>
          <w:p w14:paraId="1A11E691" w14:textId="57633CDC" w:rsidR="00BA1E40" w:rsidRPr="00903CCF" w:rsidRDefault="00BA1E40" w:rsidP="000602B5">
            <w:pPr>
              <w:ind w:right="140"/>
              <w:jc w:val="both"/>
              <w:rPr>
                <w:spacing w:val="-2"/>
              </w:rPr>
            </w:pPr>
            <w:r w:rsidRPr="00903CCF">
              <w:rPr>
                <w:spacing w:val="-2"/>
              </w:rPr>
              <w:t xml:space="preserve">3) nodokļu maksātājs izbeidz vienkāršotā nodokļa nomaksas risinājuma piemērošanu - ar </w:t>
            </w:r>
            <w:r w:rsidR="00C97067" w:rsidRPr="00903CCF">
              <w:rPr>
                <w:spacing w:val="-2"/>
              </w:rPr>
              <w:t>VID</w:t>
            </w:r>
            <w:r w:rsidRPr="00903CCF">
              <w:rPr>
                <w:spacing w:val="-2"/>
              </w:rPr>
              <w:t xml:space="preserve"> paziņoto vienkāršotā nodokļa nomaksas risinājuma piemērošanas izbeigšanas datumu.</w:t>
            </w:r>
          </w:p>
          <w:p w14:paraId="1522B478" w14:textId="06ADD87C" w:rsidR="00C97067" w:rsidRPr="00903CCF" w:rsidRDefault="00C97067" w:rsidP="000602B5">
            <w:pPr>
              <w:ind w:right="140"/>
              <w:jc w:val="both"/>
              <w:rPr>
                <w:spacing w:val="-2"/>
              </w:rPr>
            </w:pPr>
            <w:r w:rsidRPr="00903CCF">
              <w:rPr>
                <w:spacing w:val="-2"/>
              </w:rPr>
              <w:t>Situācijā, kad nodokļu maksātājam rodas pienākums nodokli aprēķināt, deklarēt un maksāt konkrētā nodokļa likumā noteiktajā vispārējā kārtībā, likumprojektā noteikts, ka VID ir pienākums EDS nodrošināt nodokļu maksātājam nodokļa deklarācijas aizpildīšanai nepieciešamo informācija par SDI konta kredīta apgrozījumu un nodokli, kas samaksāts, izmantojot SDI kontu.</w:t>
            </w:r>
          </w:p>
          <w:p w14:paraId="5B90782B" w14:textId="317E8469" w:rsidR="00BA1E40" w:rsidRPr="00903CCF" w:rsidRDefault="000F1AF1" w:rsidP="000602B5">
            <w:pPr>
              <w:ind w:right="140"/>
              <w:jc w:val="both"/>
              <w:rPr>
                <w:spacing w:val="-2"/>
              </w:rPr>
            </w:pPr>
            <w:r w:rsidRPr="00903CCF">
              <w:rPr>
                <w:spacing w:val="-2"/>
              </w:rPr>
              <w:t xml:space="preserve">Likumprojektā noteikts, </w:t>
            </w:r>
            <w:r w:rsidR="007A02D5" w:rsidRPr="00903CCF">
              <w:rPr>
                <w:spacing w:val="-2"/>
              </w:rPr>
              <w:t xml:space="preserve">kamēr nav iestājies saimnieciskās darbības ieņēmumu konta izmantošanas izbeigšanas datums  </w:t>
            </w:r>
            <w:r w:rsidR="00BA1E40" w:rsidRPr="00903CCF">
              <w:rPr>
                <w:spacing w:val="-2"/>
              </w:rPr>
              <w:t>nodokļa aprēķināšanu un ieturēšanu veic vienkāršotā nodokļ</w:t>
            </w:r>
            <w:r w:rsidR="00411AA3" w:rsidRPr="00903CCF">
              <w:rPr>
                <w:spacing w:val="-2"/>
              </w:rPr>
              <w:t>a nomaksas risinājuma ietvaros.</w:t>
            </w:r>
            <w:r w:rsidR="00A1251D" w:rsidRPr="00903CCF">
              <w:rPr>
                <w:spacing w:val="-2"/>
              </w:rPr>
              <w:t xml:space="preserve"> </w:t>
            </w:r>
            <w:r w:rsidR="00A1251D" w:rsidRPr="00903CCF">
              <w:rPr>
                <w:i/>
                <w:spacing w:val="-2"/>
              </w:rPr>
              <w:t>Piemērs, ja vienkāršotā nodokļa nomaksas risinājuma piemērošanu SDI kontam izbeidz 25.jūlijā (2</w:t>
            </w:r>
            <w:r w:rsidR="007A02D5" w:rsidRPr="00903CCF">
              <w:rPr>
                <w:i/>
                <w:spacing w:val="-2"/>
              </w:rPr>
              <w:t>5</w:t>
            </w:r>
            <w:r w:rsidR="00A1251D" w:rsidRPr="00903CCF">
              <w:rPr>
                <w:i/>
                <w:spacing w:val="-2"/>
              </w:rPr>
              <w:t>.jūlijs ir risinājuma izbeigšanas datums), tad vienkāršotais nodokļa nomaksas risinājums piemērojams saimnieciskās darbības ieņēmumiem, kas SDI kontā iemaksāti līdz 2</w:t>
            </w:r>
            <w:r w:rsidR="007A02D5" w:rsidRPr="00903CCF">
              <w:rPr>
                <w:i/>
                <w:spacing w:val="-2"/>
              </w:rPr>
              <w:t>4.jūlijam</w:t>
            </w:r>
            <w:r w:rsidR="00A1251D" w:rsidRPr="00903CCF">
              <w:rPr>
                <w:i/>
                <w:spacing w:val="-2"/>
              </w:rPr>
              <w:t>.</w:t>
            </w:r>
          </w:p>
          <w:p w14:paraId="62D5FCB6" w14:textId="3E3F6748" w:rsidR="00BA1E40" w:rsidRPr="00903CCF" w:rsidRDefault="00411AA3" w:rsidP="000602B5">
            <w:pPr>
              <w:ind w:right="140"/>
              <w:jc w:val="both"/>
              <w:rPr>
                <w:spacing w:val="-2"/>
              </w:rPr>
            </w:pPr>
            <w:r w:rsidRPr="00903CCF">
              <w:rPr>
                <w:spacing w:val="-2"/>
              </w:rPr>
              <w:t>Ņemot vērā to, ka praksē var veidoties situācijas, kad SDI kontā tiek ieskaitīti kļūdaini (ar saimniecisko darbību nesaistīti) maksājumi</w:t>
            </w:r>
            <w:r w:rsidR="007D021A" w:rsidRPr="00903CCF">
              <w:rPr>
                <w:spacing w:val="-2"/>
              </w:rPr>
              <w:t>, tad likumprojektā paredzēts, ka nodokļu maksātāj</w:t>
            </w:r>
            <w:r w:rsidR="002E69FE" w:rsidRPr="00903CCF">
              <w:rPr>
                <w:spacing w:val="-2"/>
              </w:rPr>
              <w:t>am</w:t>
            </w:r>
            <w:r w:rsidR="007D021A" w:rsidRPr="00903CCF">
              <w:rPr>
                <w:spacing w:val="-2"/>
              </w:rPr>
              <w:t xml:space="preserve"> šādā situācijā </w:t>
            </w:r>
            <w:r w:rsidR="00BA1E40" w:rsidRPr="00903CCF">
              <w:rPr>
                <w:spacing w:val="-2"/>
              </w:rPr>
              <w:t xml:space="preserve">triju gadu laikā no vienkāršotā nodokļa nomaksas risinājuma ietvaros ieturētā nodokļa ieskaitīšanas vienotajā nodokļu kontā ir tiesības iesniegt </w:t>
            </w:r>
            <w:r w:rsidR="007D021A" w:rsidRPr="00903CCF">
              <w:rPr>
                <w:spacing w:val="-2"/>
              </w:rPr>
              <w:t>VID</w:t>
            </w:r>
            <w:r w:rsidR="00BA1E40" w:rsidRPr="00903CCF">
              <w:rPr>
                <w:spacing w:val="-2"/>
              </w:rPr>
              <w:t xml:space="preserve"> </w:t>
            </w:r>
            <w:r w:rsidR="007D021A" w:rsidRPr="00903CCF">
              <w:rPr>
                <w:spacing w:val="-2"/>
              </w:rPr>
              <w:t>EDS</w:t>
            </w:r>
            <w:r w:rsidR="00BA1E40" w:rsidRPr="00903CCF">
              <w:rPr>
                <w:spacing w:val="-2"/>
              </w:rPr>
              <w:t xml:space="preserve"> iesniegumu strukturētu datu formā un pieprasīt nepareizi ieturētā nodokļa atmaksu. </w:t>
            </w:r>
            <w:r w:rsidR="007D021A" w:rsidRPr="00903CCF">
              <w:rPr>
                <w:spacing w:val="-2"/>
              </w:rPr>
              <w:t>VID</w:t>
            </w:r>
            <w:r w:rsidR="00BA1E40" w:rsidRPr="00903CCF">
              <w:rPr>
                <w:spacing w:val="-2"/>
              </w:rPr>
              <w:t xml:space="preserve"> šo iesniegumu </w:t>
            </w:r>
            <w:r w:rsidR="007D021A" w:rsidRPr="00903CCF">
              <w:rPr>
                <w:spacing w:val="-2"/>
              </w:rPr>
              <w:t xml:space="preserve">izskatīs </w:t>
            </w:r>
            <w:r w:rsidR="00BA1E40" w:rsidRPr="00903CCF">
              <w:rPr>
                <w:spacing w:val="-2"/>
              </w:rPr>
              <w:t xml:space="preserve">un </w:t>
            </w:r>
            <w:r w:rsidR="007D021A" w:rsidRPr="00903CCF">
              <w:rPr>
                <w:spacing w:val="-2"/>
              </w:rPr>
              <w:t>veiks</w:t>
            </w:r>
            <w:r w:rsidR="00BA1E40" w:rsidRPr="00903CCF">
              <w:rPr>
                <w:spacing w:val="-2"/>
              </w:rPr>
              <w:t xml:space="preserve"> nepareizi ieturētā nodokļa atmaksu, ievērojot likuma</w:t>
            </w:r>
            <w:r w:rsidR="007D021A" w:rsidRPr="00903CCF">
              <w:rPr>
                <w:spacing w:val="-2"/>
              </w:rPr>
              <w:t xml:space="preserve"> “Par nodokļiem un nodevām”</w:t>
            </w:r>
            <w:r w:rsidR="00BA1E40" w:rsidRPr="00903CCF">
              <w:rPr>
                <w:spacing w:val="-2"/>
              </w:rPr>
              <w:t xml:space="preserve"> 28.panta otrajā daļā noteikt</w:t>
            </w:r>
            <w:r w:rsidR="002E69FE" w:rsidRPr="00903CCF">
              <w:rPr>
                <w:spacing w:val="-2"/>
              </w:rPr>
              <w:t>o</w:t>
            </w:r>
            <w:r w:rsidR="00BA1E40" w:rsidRPr="00903CCF">
              <w:rPr>
                <w:spacing w:val="-2"/>
              </w:rPr>
              <w:t xml:space="preserve"> kārtīb</w:t>
            </w:r>
            <w:r w:rsidR="002E69FE" w:rsidRPr="00903CCF">
              <w:rPr>
                <w:spacing w:val="-2"/>
              </w:rPr>
              <w:t>u</w:t>
            </w:r>
            <w:r w:rsidR="00BA1E40" w:rsidRPr="00903CCF">
              <w:rPr>
                <w:spacing w:val="-2"/>
              </w:rPr>
              <w:t>. Nodokļa atmaks</w:t>
            </w:r>
            <w:r w:rsidR="007D021A" w:rsidRPr="00903CCF">
              <w:rPr>
                <w:spacing w:val="-2"/>
              </w:rPr>
              <w:t>a tiks veikta</w:t>
            </w:r>
            <w:r w:rsidR="00BA1E40" w:rsidRPr="00903CCF">
              <w:rPr>
                <w:spacing w:val="-2"/>
              </w:rPr>
              <w:t xml:space="preserve"> uz nodokļ</w:t>
            </w:r>
            <w:r w:rsidR="00A57F6C" w:rsidRPr="00903CCF">
              <w:rPr>
                <w:spacing w:val="-2"/>
              </w:rPr>
              <w:t>u</w:t>
            </w:r>
            <w:r w:rsidR="00BA1E40" w:rsidRPr="00903CCF">
              <w:rPr>
                <w:spacing w:val="-2"/>
              </w:rPr>
              <w:t xml:space="preserve"> maksātāja norādīto maksājumu kontu, kas nav </w:t>
            </w:r>
            <w:r w:rsidR="007D021A" w:rsidRPr="00903CCF">
              <w:rPr>
                <w:spacing w:val="-2"/>
              </w:rPr>
              <w:t>SDI</w:t>
            </w:r>
            <w:r w:rsidR="00BA1E40" w:rsidRPr="00903CCF">
              <w:rPr>
                <w:spacing w:val="-2"/>
              </w:rPr>
              <w:t xml:space="preserve"> konts</w:t>
            </w:r>
            <w:r w:rsidR="002B41DE" w:rsidRPr="00903CCF">
              <w:rPr>
                <w:spacing w:val="-2"/>
              </w:rPr>
              <w:t>. Nosacījums, ka atmaksa veicama uz kontu, kas nav SDI konts, noteikts</w:t>
            </w:r>
            <w:r w:rsidR="007D021A" w:rsidRPr="00903CCF">
              <w:rPr>
                <w:spacing w:val="-2"/>
              </w:rPr>
              <w:t>, jo, ja atmaks</w:t>
            </w:r>
            <w:r w:rsidR="002B41DE" w:rsidRPr="00903CCF">
              <w:rPr>
                <w:spacing w:val="-2"/>
              </w:rPr>
              <w:t xml:space="preserve">u </w:t>
            </w:r>
            <w:r w:rsidR="007D021A" w:rsidRPr="00903CCF">
              <w:rPr>
                <w:spacing w:val="-2"/>
              </w:rPr>
              <w:t xml:space="preserve">veiktu uz SDI kontu, tad nodoklis no šī kļūdainā maksājuma </w:t>
            </w:r>
            <w:r w:rsidR="002B41DE" w:rsidRPr="00903CCF">
              <w:rPr>
                <w:spacing w:val="-2"/>
              </w:rPr>
              <w:t xml:space="preserve">vienkāršotā nodokļa nomaksas risinājuma ietvaros </w:t>
            </w:r>
            <w:r w:rsidR="007D021A" w:rsidRPr="00903CCF">
              <w:rPr>
                <w:spacing w:val="-2"/>
              </w:rPr>
              <w:t>tiktu ieturēts atkārtoti</w:t>
            </w:r>
            <w:r w:rsidR="00204E96" w:rsidRPr="00903CCF">
              <w:rPr>
                <w:spacing w:val="-2"/>
              </w:rPr>
              <w:t xml:space="preserve"> (jo tas risinājuma ietvaros tiktu uzskatīts par SDI kontā ieskaitītu ieņēmumu, no kura ieturams nodoklis)</w:t>
            </w:r>
            <w:r w:rsidR="007D021A" w:rsidRPr="00903CCF">
              <w:rPr>
                <w:spacing w:val="-2"/>
              </w:rPr>
              <w:t>,</w:t>
            </w:r>
            <w:r w:rsidR="002B41DE" w:rsidRPr="00903CCF">
              <w:rPr>
                <w:spacing w:val="-2"/>
              </w:rPr>
              <w:t xml:space="preserve"> turklāt</w:t>
            </w:r>
            <w:r w:rsidR="007D021A" w:rsidRPr="00903CCF">
              <w:rPr>
                <w:spacing w:val="-2"/>
              </w:rPr>
              <w:t xml:space="preserve"> kredītiestādēm nav iespēja </w:t>
            </w:r>
            <w:r w:rsidR="002B41DE" w:rsidRPr="00903CCF">
              <w:rPr>
                <w:spacing w:val="-2"/>
              </w:rPr>
              <w:t>izvērtēt</w:t>
            </w:r>
            <w:r w:rsidR="007D021A" w:rsidRPr="00903CCF">
              <w:rPr>
                <w:spacing w:val="-2"/>
              </w:rPr>
              <w:t xml:space="preserve"> to, vai maksājums tiešām uzskatāms par kļūdainu.</w:t>
            </w:r>
            <w:r w:rsidR="002B41DE" w:rsidRPr="00903CCF">
              <w:rPr>
                <w:spacing w:val="-2"/>
              </w:rPr>
              <w:t xml:space="preserve"> Tādējādi situācijas, kas saistītas ar SDI kontā </w:t>
            </w:r>
            <w:r w:rsidR="002E69FE" w:rsidRPr="00903CCF">
              <w:rPr>
                <w:spacing w:val="-2"/>
              </w:rPr>
              <w:t xml:space="preserve">kļūdaini </w:t>
            </w:r>
            <w:r w:rsidR="002B41DE" w:rsidRPr="00903CCF">
              <w:rPr>
                <w:spacing w:val="-2"/>
              </w:rPr>
              <w:t>ieskaitītajiem maksājumiem, risināmas VID.</w:t>
            </w:r>
          </w:p>
          <w:p w14:paraId="464CB6E5" w14:textId="7B7F8FBD" w:rsidR="00BA1E40" w:rsidRPr="00903CCF" w:rsidRDefault="009711B6" w:rsidP="000602B5">
            <w:pPr>
              <w:ind w:right="140"/>
              <w:jc w:val="both"/>
              <w:rPr>
                <w:spacing w:val="-2"/>
              </w:rPr>
            </w:pPr>
            <w:r w:rsidRPr="00903CCF">
              <w:rPr>
                <w:spacing w:val="-2"/>
              </w:rPr>
              <w:t>Vienkāršotā nodokļa nomaksas risinājuma īstenošana notiks, izmantojot informācijas sistēmu tehnoloģ</w:t>
            </w:r>
            <w:r w:rsidR="002E69FE" w:rsidRPr="00903CCF">
              <w:rPr>
                <w:spacing w:val="-2"/>
              </w:rPr>
              <w:t xml:space="preserve">iju </w:t>
            </w:r>
            <w:r w:rsidRPr="00903CCF">
              <w:rPr>
                <w:spacing w:val="-2"/>
              </w:rPr>
              <w:t>iespējas, kas neizslēdz to, ka risinājuma īstenošanā varētu iestāties kādas tehniskas problēmas. Tādējādi, lai tās savlaicīgi identificētu un novērstu, regulējums paredz, ja nodokļ</w:t>
            </w:r>
            <w:r w:rsidR="00A57F6C" w:rsidRPr="00903CCF">
              <w:rPr>
                <w:spacing w:val="-2"/>
              </w:rPr>
              <w:t>u</w:t>
            </w:r>
            <w:r w:rsidRPr="00903CCF">
              <w:rPr>
                <w:spacing w:val="-2"/>
              </w:rPr>
              <w:t xml:space="preserve"> maksātājs </w:t>
            </w:r>
            <w:r w:rsidR="00BA1E40" w:rsidRPr="00903CCF">
              <w:rPr>
                <w:spacing w:val="-2"/>
              </w:rPr>
              <w:t xml:space="preserve">konstatē, ka no </w:t>
            </w:r>
            <w:r w:rsidRPr="00903CCF">
              <w:rPr>
                <w:spacing w:val="-2"/>
              </w:rPr>
              <w:t>SDI</w:t>
            </w:r>
            <w:r w:rsidR="00BA1E40" w:rsidRPr="00903CCF">
              <w:rPr>
                <w:spacing w:val="-2"/>
              </w:rPr>
              <w:t xml:space="preserve"> kontā ieskaitītajiem vai iemaksātajiem ieņēmumiem nodoklis netiek ieturēts un ieskaitīts vienotajā nodokļu kontā, </w:t>
            </w:r>
            <w:r w:rsidRPr="00903CCF">
              <w:rPr>
                <w:spacing w:val="-2"/>
              </w:rPr>
              <w:t xml:space="preserve">tas </w:t>
            </w:r>
            <w:r w:rsidR="00BA1E40" w:rsidRPr="00903CCF">
              <w:rPr>
                <w:spacing w:val="-2"/>
              </w:rPr>
              <w:t xml:space="preserve">nekavējoties informē </w:t>
            </w:r>
            <w:r w:rsidRPr="00903CCF">
              <w:rPr>
                <w:spacing w:val="-2"/>
              </w:rPr>
              <w:t>VID</w:t>
            </w:r>
            <w:r w:rsidR="00BA1E40" w:rsidRPr="00903CCF">
              <w:rPr>
                <w:spacing w:val="-2"/>
              </w:rPr>
              <w:t xml:space="preserve"> vai kredītiestādi.</w:t>
            </w:r>
          </w:p>
          <w:p w14:paraId="1BEED547" w14:textId="37ADD26C" w:rsidR="00BA1E40" w:rsidRPr="00903CCF" w:rsidRDefault="00855E3C" w:rsidP="000602B5">
            <w:pPr>
              <w:ind w:right="140"/>
              <w:jc w:val="both"/>
              <w:rPr>
                <w:spacing w:val="-2"/>
              </w:rPr>
            </w:pPr>
            <w:r w:rsidRPr="00903CCF">
              <w:rPr>
                <w:spacing w:val="-2"/>
              </w:rPr>
              <w:t>K</w:t>
            </w:r>
            <w:r w:rsidR="009711B6" w:rsidRPr="00903CCF">
              <w:rPr>
                <w:spacing w:val="-2"/>
              </w:rPr>
              <w:t>redītiestādes iesaistīsies tikai vienkāršotā nodokļa nomaksas risinājuma īstenošanā, t.</w:t>
            </w:r>
            <w:r w:rsidRPr="00903CCF">
              <w:rPr>
                <w:spacing w:val="-2"/>
              </w:rPr>
              <w:t>i</w:t>
            </w:r>
            <w:r w:rsidR="009711B6" w:rsidRPr="00903CCF">
              <w:rPr>
                <w:spacing w:val="-2"/>
              </w:rPr>
              <w:t xml:space="preserve">., sniedzot </w:t>
            </w:r>
            <w:r w:rsidRPr="00903CCF">
              <w:rPr>
                <w:spacing w:val="-2"/>
              </w:rPr>
              <w:t xml:space="preserve">atbalstu nodokļa iekasēšanas nodrošināšanai, savukārt VID ir uzskatāms par nodokļa administrāciju vienkāršotā nodokļa nomaksas risinājuma ietvaros. </w:t>
            </w:r>
          </w:p>
          <w:p w14:paraId="3B59CC60" w14:textId="3CA356FA" w:rsidR="00A719B0" w:rsidRPr="00903CCF" w:rsidRDefault="00A719B0" w:rsidP="000602B5">
            <w:pPr>
              <w:ind w:right="140"/>
              <w:jc w:val="both"/>
              <w:rPr>
                <w:b/>
                <w:bCs/>
                <w:spacing w:val="-2"/>
                <w:u w:val="single"/>
              </w:rPr>
            </w:pPr>
            <w:r w:rsidRPr="00903CCF">
              <w:rPr>
                <w:b/>
                <w:bCs/>
                <w:spacing w:val="-2"/>
                <w:u w:val="single"/>
              </w:rPr>
              <w:t xml:space="preserve">Grāmatvedības kārtošanas prasības nodokļu maksātājiem, kas izmantos vienkāršoto nodokļa nomaksas risinājumu </w:t>
            </w:r>
          </w:p>
          <w:p w14:paraId="0F152F11" w14:textId="136C1B99" w:rsidR="00A719B0" w:rsidRPr="00903CCF" w:rsidRDefault="00A719B0" w:rsidP="00A719B0">
            <w:pPr>
              <w:shd w:val="clear" w:color="auto" w:fill="FFFFFF"/>
              <w:jc w:val="both"/>
              <w:rPr>
                <w:spacing w:val="-2"/>
                <w:shd w:val="clear" w:color="auto" w:fill="FFFFFF"/>
              </w:rPr>
            </w:pPr>
            <w:r w:rsidRPr="00903CCF">
              <w:rPr>
                <w:spacing w:val="-2"/>
                <w:shd w:val="clear" w:color="auto" w:fill="FFFFFF"/>
              </w:rPr>
              <w:t>Ministru kabineta 2007.gada 20.marta noteikumu Nr. 188 “Kārtība, kādā individuālie komersanti, individuālie uzņēmumi, zemnieku un zvejnieku saimniecības, citas fiziskās personas, kas veic saimniecisko darbību, kārto grāmatvedību vienkāršā ieraksta sistēmā” (turpmāk – noteikumi Nr.188). 4.</w:t>
            </w:r>
            <w:r w:rsidRPr="00903CCF">
              <w:rPr>
                <w:spacing w:val="-2"/>
                <w:shd w:val="clear" w:color="auto" w:fill="FFFFFF"/>
                <w:vertAlign w:val="superscript"/>
              </w:rPr>
              <w:t>1</w:t>
            </w:r>
            <w:r w:rsidRPr="00903CCF">
              <w:rPr>
                <w:spacing w:val="-2"/>
                <w:shd w:val="clear" w:color="auto" w:fill="FFFFFF"/>
              </w:rPr>
              <w:t xml:space="preserve">punkts paredz, ka persona (gan iedzīvotāju ienākuma nodokļa, gan </w:t>
            </w:r>
            <w:proofErr w:type="spellStart"/>
            <w:r w:rsidRPr="00903CCF">
              <w:rPr>
                <w:spacing w:val="-2"/>
                <w:shd w:val="clear" w:color="auto" w:fill="FFFFFF"/>
              </w:rPr>
              <w:t>mikrouzņēmuma</w:t>
            </w:r>
            <w:proofErr w:type="spellEnd"/>
            <w:r w:rsidRPr="00903CCF">
              <w:rPr>
                <w:spacing w:val="-2"/>
                <w:shd w:val="clear" w:color="auto" w:fill="FFFFFF"/>
              </w:rPr>
              <w:t xml:space="preserve"> nodokļa maksātāji), saimnieciskās darbības ieņēmumus un ar to gūšanu saistītos izdevumus var nereģistrēt Saimnieciskās darbības ieņēmumu un izdevumu uzskaites žurnālā (turpmāk- žurnālā), ja tā savu saimniecisko darījumu nodrošināšanai veic tikai bezskaidras naudas norēķinus, šim nolūkam izmantojot atsevišķu maksājumu kontu, kuru tai atvēris personas maksājumu pakalpojumu sniedzējs Maksājumu pakalpojumu un elektroniskās naudas likuma izpratnē (turpmāk arī – kredītiestāde (banka)).</w:t>
            </w:r>
            <w:r w:rsidR="00462E6E" w:rsidRPr="00903CCF">
              <w:rPr>
                <w:spacing w:val="-2"/>
                <w:shd w:val="clear" w:color="auto" w:fill="FFFFFF"/>
              </w:rPr>
              <w:t xml:space="preserve"> </w:t>
            </w:r>
            <w:r w:rsidRPr="00903CCF">
              <w:rPr>
                <w:spacing w:val="-2"/>
                <w:shd w:val="clear" w:color="auto" w:fill="FFFFFF"/>
              </w:rPr>
              <w:t xml:space="preserve">Šādā gadījumā visi nepieciešamie dati par šīs personas saimnieciskajiem darījumiem, lai fiksētu nodokļu aprēķināšanai nepieciešamos datus, tiek iegūti, pamatojoties uz kredītiestādes (bankas) izsniegtajiem konta izrakstiem. </w:t>
            </w:r>
          </w:p>
          <w:p w14:paraId="748FD98B" w14:textId="203543CB" w:rsidR="00A719B0" w:rsidRPr="00903CCF" w:rsidRDefault="00A719B0" w:rsidP="00A719B0">
            <w:pPr>
              <w:shd w:val="clear" w:color="auto" w:fill="FFFFFF"/>
              <w:jc w:val="both"/>
              <w:rPr>
                <w:spacing w:val="-2"/>
                <w:shd w:val="clear" w:color="auto" w:fill="FFFFFF"/>
              </w:rPr>
            </w:pPr>
            <w:r w:rsidRPr="00903CCF">
              <w:rPr>
                <w:spacing w:val="-2"/>
                <w:shd w:val="clear" w:color="auto" w:fill="FFFFFF"/>
              </w:rPr>
              <w:t xml:space="preserve">Savukārt pēc likumprojektā noteiktā regulējuma par </w:t>
            </w:r>
            <w:r w:rsidRPr="00903CCF">
              <w:rPr>
                <w:spacing w:val="-2"/>
              </w:rPr>
              <w:t xml:space="preserve">vienkāršoto nodokļa nomaksas risinājumu </w:t>
            </w:r>
            <w:r w:rsidRPr="00903CCF">
              <w:rPr>
                <w:spacing w:val="-2"/>
                <w:shd w:val="clear" w:color="auto" w:fill="FFFFFF"/>
              </w:rPr>
              <w:t xml:space="preserve">spēkā stāšanās, </w:t>
            </w:r>
            <w:r w:rsidRPr="00903CCF">
              <w:rPr>
                <w:spacing w:val="-2"/>
              </w:rPr>
              <w:t>būs jāveic attiecīgi grozījumi noteikumos Nr.188, lai noteiktu nodokļu maksātājam, kas būs izvēlējies izmantot SDI kontu, atvieglotus nosacījumus grāmatvedības kārtošanā, atbrīvojot to no ieņēmumu un izdevumu uzskaites žurnāla vešanas, kā arī, ja šis nodokļa maksātājs</w:t>
            </w:r>
            <w:r w:rsidRPr="00903CCF">
              <w:rPr>
                <w:spacing w:val="-2"/>
                <w:shd w:val="clear" w:color="auto" w:fill="FFFFFF"/>
              </w:rPr>
              <w:t xml:space="preserve"> veic skaidras naudas norēķinus, </w:t>
            </w:r>
            <w:r w:rsidRPr="00903CCF">
              <w:rPr>
                <w:spacing w:val="-2"/>
              </w:rPr>
              <w:t xml:space="preserve">noteiktu viņam pienākumu </w:t>
            </w:r>
            <w:r w:rsidRPr="00903CCF">
              <w:rPr>
                <w:spacing w:val="-2"/>
                <w:shd w:val="clear" w:color="auto" w:fill="FFFFFF"/>
              </w:rPr>
              <w:t>skaidras naudas darījumus reģistrēt sarakstā brīvā formā.</w:t>
            </w:r>
          </w:p>
          <w:p w14:paraId="513EF9BB" w14:textId="6AA24DCA" w:rsidR="00462E6E" w:rsidRPr="00903CCF" w:rsidRDefault="00462E6E" w:rsidP="00462E6E">
            <w:pPr>
              <w:ind w:right="140"/>
              <w:jc w:val="both"/>
              <w:rPr>
                <w:color w:val="000000"/>
                <w:spacing w:val="-2"/>
                <w:shd w:val="clear" w:color="auto" w:fill="FFFFFF"/>
              </w:rPr>
            </w:pPr>
            <w:r w:rsidRPr="00903CCF">
              <w:rPr>
                <w:spacing w:val="-2"/>
              </w:rPr>
              <w:t xml:space="preserve">Ministru kabineta 2014.gada 11.februāra noteikumu Nr.96 “Nodokļu un citu maksājumu reģistrēšanas elektronisko ierīču un iekārtu lietošanas kārtība” (turpmāk – noteikumi Nr.96) 82.1.apakšpunktā ir noteikti gadījumi, kad nodokļu maksātāji, saņemot samaksu par darījumiem skaidrā naudā vai ar maksājumu kartēm, vai izmantojot mobilās lietotnes, nodokļu un citu maksājumu reģistrēšanai var nelietot kases aparātus, hibrīda kases aparātus, kases sistēmas, specializētās ierīces vai iekārtas, </w:t>
            </w:r>
            <w:r w:rsidR="00EB2A9D" w:rsidRPr="00903CCF">
              <w:rPr>
                <w:color w:val="000000"/>
                <w:spacing w:val="-2"/>
                <w:shd w:val="clear" w:color="auto" w:fill="FFFFFF"/>
              </w:rPr>
              <w:t>darījumu apliecinot ar šo</w:t>
            </w:r>
            <w:r w:rsidR="00060B8E" w:rsidRPr="00903CCF">
              <w:rPr>
                <w:color w:val="000000"/>
                <w:spacing w:val="-2"/>
                <w:shd w:val="clear" w:color="auto" w:fill="FFFFFF"/>
              </w:rPr>
              <w:t xml:space="preserve"> noteikumu 71.</w:t>
            </w:r>
            <w:r w:rsidR="00EB2A9D" w:rsidRPr="00903CCF">
              <w:rPr>
                <w:color w:val="000000"/>
                <w:spacing w:val="-2"/>
                <w:shd w:val="clear" w:color="auto" w:fill="FFFFFF"/>
              </w:rPr>
              <w:t>punktā minētajā kārtībā noformētu reģistrēto kvīti pēc darījuma partnera pieprasījuma.</w:t>
            </w:r>
          </w:p>
          <w:p w14:paraId="336A4D38" w14:textId="20C02B22" w:rsidR="00500ABC" w:rsidRPr="00903CCF" w:rsidRDefault="00EB2A9D" w:rsidP="009933B1">
            <w:pPr>
              <w:ind w:right="140"/>
              <w:jc w:val="both"/>
              <w:rPr>
                <w:color w:val="000000"/>
                <w:spacing w:val="-2"/>
                <w:shd w:val="clear" w:color="auto" w:fill="FFFFFF"/>
              </w:rPr>
            </w:pPr>
            <w:r w:rsidRPr="00903CCF">
              <w:rPr>
                <w:color w:val="000000"/>
                <w:spacing w:val="-2"/>
                <w:shd w:val="clear" w:color="auto" w:fill="FFFFFF"/>
              </w:rPr>
              <w:t xml:space="preserve">No šobrīd spēkā esoša regulējuma izriet, ka nodokļu maksātājam, kas izmantos vienkāršoto nodokļa nomaksas risinājumu, saņemot samaksu skaidrā naudā, darījumu partnerim būs jāiesniedz VID reģistrēta kvīts (ja darījumu partneris to pieprasīs) un attiecīgi vienu reizi ceturksnī būs jāsniedz VID informatīvā deklarācija par VID reģistrēto </w:t>
            </w:r>
            <w:proofErr w:type="spellStart"/>
            <w:r w:rsidRPr="00903CCF">
              <w:rPr>
                <w:color w:val="000000"/>
                <w:spacing w:val="-2"/>
                <w:shd w:val="clear" w:color="auto" w:fill="FFFFFF"/>
              </w:rPr>
              <w:t>kvīšu</w:t>
            </w:r>
            <w:proofErr w:type="spellEnd"/>
            <w:r w:rsidRPr="00903CCF">
              <w:rPr>
                <w:color w:val="000000"/>
                <w:spacing w:val="-2"/>
                <w:shd w:val="clear" w:color="auto" w:fill="FFFFFF"/>
              </w:rPr>
              <w:t xml:space="preserve"> izlietojumu. Lai vienkāršoto nodokļa nomaksas risinājumu ieviestu pēc iespējas vienkāršāku (</w:t>
            </w:r>
            <w:r w:rsidR="009933B1" w:rsidRPr="00903CCF">
              <w:rPr>
                <w:color w:val="000000"/>
                <w:spacing w:val="-2"/>
                <w:shd w:val="clear" w:color="auto" w:fill="FFFFFF"/>
              </w:rPr>
              <w:t>motivējošu</w:t>
            </w:r>
            <w:r w:rsidRPr="00903CCF">
              <w:rPr>
                <w:color w:val="000000"/>
                <w:spacing w:val="-2"/>
                <w:shd w:val="clear" w:color="auto" w:fill="FFFFFF"/>
              </w:rPr>
              <w:t xml:space="preserve"> nodokļu maksātājam), noteikumos Nr.96 jāparedz izņēmums, ka vienkāršotā nodokļa nomaksas risinājuma izmantotāji, saņemot samaksu skaidrā naudā, pēc darījumu partnera pieprasījuma izsniedz </w:t>
            </w:r>
            <w:r w:rsidR="00500ABC" w:rsidRPr="00903CCF">
              <w:rPr>
                <w:color w:val="000000"/>
                <w:spacing w:val="-2"/>
                <w:shd w:val="clear" w:color="auto" w:fill="FFFFFF"/>
              </w:rPr>
              <w:t>VID reģistrētu</w:t>
            </w:r>
            <w:r w:rsidRPr="00903CCF">
              <w:rPr>
                <w:color w:val="000000"/>
                <w:spacing w:val="-2"/>
                <w:shd w:val="clear" w:color="auto" w:fill="FFFFFF"/>
              </w:rPr>
              <w:t xml:space="preserve"> kvīti</w:t>
            </w:r>
            <w:r w:rsidR="00500ABC" w:rsidRPr="00903CCF">
              <w:rPr>
                <w:color w:val="000000"/>
                <w:spacing w:val="-2"/>
                <w:shd w:val="clear" w:color="auto" w:fill="FFFFFF"/>
              </w:rPr>
              <w:t xml:space="preserve">, bet atskaiti par </w:t>
            </w:r>
            <w:proofErr w:type="spellStart"/>
            <w:r w:rsidR="00500ABC" w:rsidRPr="00903CCF">
              <w:rPr>
                <w:color w:val="000000"/>
                <w:spacing w:val="-2"/>
                <w:shd w:val="clear" w:color="auto" w:fill="FFFFFF"/>
              </w:rPr>
              <w:t>kvīšu</w:t>
            </w:r>
            <w:proofErr w:type="spellEnd"/>
            <w:r w:rsidR="00500ABC" w:rsidRPr="00903CCF">
              <w:rPr>
                <w:color w:val="000000"/>
                <w:spacing w:val="-2"/>
                <w:shd w:val="clear" w:color="auto" w:fill="FFFFFF"/>
              </w:rPr>
              <w:t xml:space="preserve"> izlietojumu gatavo vienu reizi gadā, nevis, kā to paredz noteikumi Nr.96, vienu reizi ceturksnī.</w:t>
            </w:r>
          </w:p>
          <w:p w14:paraId="797DDCA8" w14:textId="3273887E" w:rsidR="00A719B0" w:rsidRPr="00903CCF" w:rsidRDefault="00A719B0" w:rsidP="000602B5">
            <w:pPr>
              <w:ind w:right="140"/>
              <w:jc w:val="both"/>
              <w:rPr>
                <w:b/>
                <w:bCs/>
                <w:spacing w:val="-2"/>
                <w:u w:val="single"/>
              </w:rPr>
            </w:pPr>
          </w:p>
          <w:p w14:paraId="26FA2631" w14:textId="55282B95" w:rsidR="00855E3C" w:rsidRPr="00903CCF" w:rsidRDefault="00855E3C" w:rsidP="000602B5">
            <w:pPr>
              <w:ind w:right="140"/>
              <w:jc w:val="both"/>
              <w:rPr>
                <w:b/>
                <w:spacing w:val="-2"/>
                <w:u w:val="single"/>
              </w:rPr>
            </w:pPr>
            <w:r w:rsidRPr="00903CCF">
              <w:rPr>
                <w:b/>
                <w:spacing w:val="-2"/>
                <w:u w:val="single"/>
              </w:rPr>
              <w:t>Datu apmaiņa vienkāršotās nodokļa nomaksas risinājuma ietvaros</w:t>
            </w:r>
          </w:p>
          <w:p w14:paraId="75E9681A" w14:textId="2C8D2BE2" w:rsidR="004C671C" w:rsidRPr="00903CCF" w:rsidRDefault="00855E3C" w:rsidP="000602B5">
            <w:pPr>
              <w:ind w:right="140"/>
              <w:jc w:val="both"/>
              <w:rPr>
                <w:spacing w:val="-2"/>
              </w:rPr>
            </w:pPr>
            <w:r w:rsidRPr="00903CCF">
              <w:rPr>
                <w:spacing w:val="-2"/>
              </w:rPr>
              <w:t xml:space="preserve">Vienkāršotā </w:t>
            </w:r>
            <w:r w:rsidR="00776C3B" w:rsidRPr="00903CCF">
              <w:rPr>
                <w:spacing w:val="-2"/>
              </w:rPr>
              <w:t xml:space="preserve">nodokļa </w:t>
            </w:r>
            <w:r w:rsidRPr="00903CCF">
              <w:rPr>
                <w:spacing w:val="-2"/>
              </w:rPr>
              <w:t xml:space="preserve">nomaksas risinājuma ietvaros datu apmaiņa starp VID un attiecīgo kredītiestādi notiks elektroniski, </w:t>
            </w:r>
            <w:r w:rsidR="00F6506B" w:rsidRPr="00903CCF">
              <w:rPr>
                <w:spacing w:val="-2"/>
              </w:rPr>
              <w:t>tiešsaistes režīmā</w:t>
            </w:r>
            <w:r w:rsidR="00F06BF7" w:rsidRPr="00903CCF">
              <w:rPr>
                <w:spacing w:val="-2"/>
              </w:rPr>
              <w:t xml:space="preserve">. </w:t>
            </w:r>
            <w:r w:rsidR="004C671C" w:rsidRPr="00903CCF">
              <w:rPr>
                <w:spacing w:val="-2"/>
              </w:rPr>
              <w:t>VID datu apmaiņas struktūru publicēs ne vēlāk kā 15 dienu laikā no likuma pieņemšanas.</w:t>
            </w:r>
          </w:p>
          <w:p w14:paraId="79320E6E" w14:textId="77777777" w:rsidR="002D4D00" w:rsidRPr="00903CCF" w:rsidRDefault="00CF608D" w:rsidP="000602B5">
            <w:pPr>
              <w:ind w:right="140"/>
              <w:jc w:val="both"/>
              <w:rPr>
                <w:spacing w:val="-2"/>
              </w:rPr>
            </w:pPr>
            <w:r w:rsidRPr="00903CCF">
              <w:rPr>
                <w:rFonts w:eastAsia="Calibri"/>
                <w:spacing w:val="-2"/>
                <w:lang w:eastAsia="en-US"/>
              </w:rPr>
              <w:t>Lai ieviestu vienkāršotu nodokļ</w:t>
            </w:r>
            <w:r w:rsidR="00AD2ECE" w:rsidRPr="00903CCF">
              <w:rPr>
                <w:rFonts w:eastAsia="Calibri"/>
                <w:spacing w:val="-2"/>
                <w:lang w:eastAsia="en-US"/>
              </w:rPr>
              <w:t>a</w:t>
            </w:r>
            <w:r w:rsidRPr="00903CCF">
              <w:rPr>
                <w:rFonts w:eastAsia="Calibri"/>
                <w:spacing w:val="-2"/>
                <w:lang w:eastAsia="en-US"/>
              </w:rPr>
              <w:t xml:space="preserve"> nomaksas risinājumu – SDI kontu,</w:t>
            </w:r>
            <w:r w:rsidR="00484868" w:rsidRPr="00903CCF">
              <w:rPr>
                <w:rFonts w:eastAsia="Calibri"/>
                <w:spacing w:val="-2"/>
                <w:lang w:eastAsia="en-US"/>
              </w:rPr>
              <w:t xml:space="preserve"> V</w:t>
            </w:r>
            <w:r w:rsidR="0001334E" w:rsidRPr="00903CCF">
              <w:rPr>
                <w:rFonts w:eastAsia="Calibri"/>
                <w:spacing w:val="-2"/>
                <w:lang w:eastAsia="en-US"/>
              </w:rPr>
              <w:t>ID</w:t>
            </w:r>
            <w:r w:rsidR="00484868" w:rsidRPr="00903CCF">
              <w:rPr>
                <w:rFonts w:eastAsia="Calibri"/>
                <w:spacing w:val="-2"/>
                <w:lang w:eastAsia="en-US"/>
              </w:rPr>
              <w:t xml:space="preserve"> un kredītiestādēm </w:t>
            </w:r>
            <w:r w:rsidRPr="00903CCF">
              <w:rPr>
                <w:spacing w:val="-2"/>
              </w:rPr>
              <w:t>ir nepieciešams</w:t>
            </w:r>
            <w:r w:rsidR="00204E96" w:rsidRPr="00903CCF">
              <w:rPr>
                <w:spacing w:val="-2"/>
              </w:rPr>
              <w:t xml:space="preserve"> izstrādāt attiecīgu programmatūru un</w:t>
            </w:r>
            <w:r w:rsidRPr="00903CCF">
              <w:rPr>
                <w:spacing w:val="-2"/>
              </w:rPr>
              <w:t xml:space="preserve"> pielāgot informācijas sistēmas</w:t>
            </w:r>
            <w:r w:rsidR="00204E96" w:rsidRPr="00903CCF">
              <w:rPr>
                <w:spacing w:val="-2"/>
              </w:rPr>
              <w:t>, t.sk</w:t>
            </w:r>
            <w:r w:rsidR="00EA6F24" w:rsidRPr="00903CCF">
              <w:rPr>
                <w:spacing w:val="-2"/>
              </w:rPr>
              <w:t>.</w:t>
            </w:r>
            <w:r w:rsidR="00204E96" w:rsidRPr="00903CCF">
              <w:rPr>
                <w:spacing w:val="-2"/>
              </w:rPr>
              <w:t xml:space="preserve"> informācijas apmaiņas nodrošināšanai</w:t>
            </w:r>
            <w:r w:rsidRPr="00903CCF">
              <w:rPr>
                <w:spacing w:val="-2"/>
              </w:rPr>
              <w:t xml:space="preserve">, tādējādi ir jāparedz samērīgs laiks izmaiņu izstrādei un ieviešanai informācijas sistēmās. </w:t>
            </w:r>
          </w:p>
          <w:p w14:paraId="41544BE4" w14:textId="46B2FDD9" w:rsidR="00C40CD0" w:rsidRPr="00903CCF" w:rsidRDefault="002D4D00" w:rsidP="00FF7B49">
            <w:pPr>
              <w:ind w:right="140"/>
              <w:jc w:val="both"/>
              <w:rPr>
                <w:bCs/>
                <w:spacing w:val="-2"/>
                <w:u w:val="single"/>
              </w:rPr>
            </w:pPr>
            <w:r w:rsidRPr="00903CCF">
              <w:rPr>
                <w:iCs/>
                <w:spacing w:val="-2"/>
              </w:rPr>
              <w:t xml:space="preserve">Saskaņā ar biedrības “Latvijas Finanšu nozares asociācija” pārstāvju sniegto informāciju SDI konta ieviešanas izmaksas kredītiestādei vidēji varētu </w:t>
            </w:r>
            <w:r w:rsidR="00FF7B49" w:rsidRPr="00903CCF">
              <w:rPr>
                <w:iCs/>
                <w:spacing w:val="-2"/>
              </w:rPr>
              <w:t>būt</w:t>
            </w:r>
            <w:r w:rsidRPr="00903CCF">
              <w:rPr>
                <w:iCs/>
                <w:spacing w:val="-2"/>
              </w:rPr>
              <w:t xml:space="preserve"> ap 50 000 </w:t>
            </w:r>
            <w:proofErr w:type="spellStart"/>
            <w:r w:rsidRPr="00903CCF">
              <w:rPr>
                <w:i/>
                <w:iCs/>
                <w:spacing w:val="-2"/>
              </w:rPr>
              <w:t>euro</w:t>
            </w:r>
            <w:proofErr w:type="spellEnd"/>
            <w:r w:rsidR="00BA07FD" w:rsidRPr="00903CCF">
              <w:rPr>
                <w:spacing w:val="-2"/>
              </w:rPr>
              <w:t>.</w:t>
            </w:r>
          </w:p>
        </w:tc>
      </w:tr>
      <w:tr w:rsidR="0033686E" w:rsidRPr="00903CCF" w14:paraId="18691D83" w14:textId="77777777" w:rsidTr="00E92F84">
        <w:trPr>
          <w:trHeight w:val="476"/>
        </w:trPr>
        <w:tc>
          <w:tcPr>
            <w:tcW w:w="309" w:type="pct"/>
          </w:tcPr>
          <w:p w14:paraId="70BFD008" w14:textId="77777777" w:rsidR="005D5DCB" w:rsidRPr="00903CCF" w:rsidRDefault="005D5DCB" w:rsidP="000602B5">
            <w:pPr>
              <w:pStyle w:val="naiskr"/>
              <w:spacing w:before="0" w:after="0"/>
              <w:ind w:left="57" w:right="140"/>
              <w:jc w:val="center"/>
              <w:rPr>
                <w:spacing w:val="-2"/>
              </w:rPr>
            </w:pPr>
            <w:r w:rsidRPr="00903CCF">
              <w:rPr>
                <w:spacing w:val="-2"/>
              </w:rPr>
              <w:lastRenderedPageBreak/>
              <w:t>3.</w:t>
            </w:r>
          </w:p>
        </w:tc>
        <w:tc>
          <w:tcPr>
            <w:tcW w:w="1317" w:type="pct"/>
          </w:tcPr>
          <w:p w14:paraId="099CC343" w14:textId="77777777" w:rsidR="005D5DCB" w:rsidRPr="00903CCF" w:rsidRDefault="005D5DCB" w:rsidP="000602B5">
            <w:pPr>
              <w:pStyle w:val="naiskr"/>
              <w:spacing w:before="0" w:after="0"/>
              <w:ind w:left="57" w:right="140"/>
              <w:rPr>
                <w:spacing w:val="-2"/>
              </w:rPr>
            </w:pPr>
            <w:r w:rsidRPr="00903CCF">
              <w:rPr>
                <w:spacing w:val="-2"/>
              </w:rPr>
              <w:t>Projekta izstrādē iesaistītās institūcijas un publiskas personas kapitālsabiedrības</w:t>
            </w:r>
          </w:p>
        </w:tc>
        <w:tc>
          <w:tcPr>
            <w:tcW w:w="3373" w:type="pct"/>
          </w:tcPr>
          <w:p w14:paraId="5DFB9AA9" w14:textId="5B7EEC39" w:rsidR="005D5DCB" w:rsidRPr="00903CCF" w:rsidRDefault="00DE7D92" w:rsidP="000602B5">
            <w:pPr>
              <w:ind w:right="140"/>
              <w:jc w:val="both"/>
              <w:rPr>
                <w:iCs/>
                <w:spacing w:val="-2"/>
              </w:rPr>
            </w:pPr>
            <w:r w:rsidRPr="00903CCF">
              <w:rPr>
                <w:iCs/>
                <w:spacing w:val="-2"/>
              </w:rPr>
              <w:t>Finanšu ministrija, VID,</w:t>
            </w:r>
            <w:r w:rsidR="00766C26" w:rsidRPr="00903CCF">
              <w:rPr>
                <w:iCs/>
                <w:spacing w:val="-2"/>
              </w:rPr>
              <w:t xml:space="preserve"> Valsts kase</w:t>
            </w:r>
          </w:p>
        </w:tc>
      </w:tr>
      <w:tr w:rsidR="0033686E" w:rsidRPr="00903CCF" w14:paraId="66C49931" w14:textId="77777777" w:rsidTr="00E92F84">
        <w:tc>
          <w:tcPr>
            <w:tcW w:w="309" w:type="pct"/>
          </w:tcPr>
          <w:p w14:paraId="139DF572" w14:textId="77777777" w:rsidR="005D5DCB" w:rsidRPr="00903CCF" w:rsidRDefault="005D5DCB" w:rsidP="000602B5">
            <w:pPr>
              <w:pStyle w:val="naiskr"/>
              <w:spacing w:before="0" w:after="0"/>
              <w:ind w:left="57" w:right="140"/>
              <w:jc w:val="center"/>
              <w:rPr>
                <w:spacing w:val="-2"/>
              </w:rPr>
            </w:pPr>
            <w:r w:rsidRPr="00903CCF">
              <w:rPr>
                <w:spacing w:val="-2"/>
              </w:rPr>
              <w:t>4.</w:t>
            </w:r>
          </w:p>
        </w:tc>
        <w:tc>
          <w:tcPr>
            <w:tcW w:w="1317" w:type="pct"/>
          </w:tcPr>
          <w:p w14:paraId="2DDDDB80" w14:textId="77777777" w:rsidR="005D5DCB" w:rsidRPr="00903CCF" w:rsidRDefault="005D5DCB" w:rsidP="000602B5">
            <w:pPr>
              <w:pStyle w:val="naiskr"/>
              <w:spacing w:before="0" w:after="0"/>
              <w:ind w:left="57" w:right="140"/>
              <w:rPr>
                <w:spacing w:val="-2"/>
              </w:rPr>
            </w:pPr>
            <w:r w:rsidRPr="00903CCF">
              <w:rPr>
                <w:spacing w:val="-2"/>
              </w:rPr>
              <w:t>Cita informācija</w:t>
            </w:r>
          </w:p>
        </w:tc>
        <w:tc>
          <w:tcPr>
            <w:tcW w:w="3373" w:type="pct"/>
          </w:tcPr>
          <w:p w14:paraId="333A831C" w14:textId="77777777" w:rsidR="005D5DCB" w:rsidRPr="00903CCF" w:rsidRDefault="005D5DCB" w:rsidP="000602B5">
            <w:pPr>
              <w:pStyle w:val="naiskr"/>
              <w:spacing w:before="0" w:after="0"/>
              <w:ind w:left="118" w:right="140"/>
              <w:rPr>
                <w:spacing w:val="-2"/>
              </w:rPr>
            </w:pPr>
            <w:r w:rsidRPr="00903CCF">
              <w:rPr>
                <w:spacing w:val="-2"/>
              </w:rPr>
              <w:t>Nav.</w:t>
            </w:r>
          </w:p>
        </w:tc>
      </w:tr>
    </w:tbl>
    <w:p w14:paraId="1F35ECB5" w14:textId="77777777" w:rsidR="005D5DCB" w:rsidRPr="00903CCF" w:rsidRDefault="005D5DCB" w:rsidP="000602B5">
      <w:pPr>
        <w:ind w:right="140"/>
        <w:rPr>
          <w:spacing w:val="-2"/>
        </w:rPr>
      </w:pPr>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3106"/>
        <w:gridCol w:w="5663"/>
      </w:tblGrid>
      <w:tr w:rsidR="0033686E" w:rsidRPr="00903CCF" w14:paraId="46CAB819" w14:textId="77777777" w:rsidTr="00E92F84">
        <w:trPr>
          <w:trHeight w:val="419"/>
        </w:trPr>
        <w:tc>
          <w:tcPr>
            <w:tcW w:w="5000" w:type="pct"/>
            <w:gridSpan w:val="3"/>
            <w:vAlign w:val="center"/>
          </w:tcPr>
          <w:p w14:paraId="72C6918D" w14:textId="77777777" w:rsidR="005D5DCB" w:rsidRPr="00903CCF" w:rsidRDefault="005D5DCB" w:rsidP="000602B5">
            <w:pPr>
              <w:ind w:right="140"/>
              <w:jc w:val="center"/>
              <w:rPr>
                <w:b/>
                <w:spacing w:val="-2"/>
              </w:rPr>
            </w:pPr>
            <w:r w:rsidRPr="00903CCF">
              <w:rPr>
                <w:b/>
                <w:bCs/>
                <w:spacing w:val="-2"/>
              </w:rPr>
              <w:t>II. Tiesību akta projekta ietekme uz sabiedrību, tautsaimniecības attīstību un administratīvo slogu</w:t>
            </w:r>
          </w:p>
        </w:tc>
      </w:tr>
      <w:tr w:rsidR="0033686E" w:rsidRPr="00903CCF" w14:paraId="0D264D02" w14:textId="77777777" w:rsidTr="00E92F84">
        <w:trPr>
          <w:trHeight w:val="415"/>
        </w:trPr>
        <w:tc>
          <w:tcPr>
            <w:tcW w:w="234" w:type="pct"/>
          </w:tcPr>
          <w:p w14:paraId="6A0563E2" w14:textId="77777777" w:rsidR="005D5DCB" w:rsidRPr="00903CCF" w:rsidRDefault="005D5DCB" w:rsidP="000602B5">
            <w:pPr>
              <w:ind w:right="140"/>
              <w:rPr>
                <w:spacing w:val="-2"/>
              </w:rPr>
            </w:pPr>
            <w:r w:rsidRPr="00903CCF">
              <w:rPr>
                <w:spacing w:val="-2"/>
              </w:rPr>
              <w:t>1.</w:t>
            </w:r>
          </w:p>
        </w:tc>
        <w:tc>
          <w:tcPr>
            <w:tcW w:w="1688" w:type="pct"/>
          </w:tcPr>
          <w:p w14:paraId="6BD5B5E8" w14:textId="77777777" w:rsidR="005D5DCB" w:rsidRPr="00903CCF" w:rsidRDefault="005D5DCB" w:rsidP="000602B5">
            <w:pPr>
              <w:ind w:right="140"/>
              <w:rPr>
                <w:spacing w:val="-2"/>
              </w:rPr>
            </w:pPr>
            <w:r w:rsidRPr="00903CCF">
              <w:rPr>
                <w:spacing w:val="-2"/>
              </w:rPr>
              <w:t xml:space="preserve">Sabiedrības </w:t>
            </w:r>
            <w:proofErr w:type="spellStart"/>
            <w:r w:rsidRPr="00903CCF">
              <w:rPr>
                <w:spacing w:val="-2"/>
              </w:rPr>
              <w:t>mērķgrupas</w:t>
            </w:r>
            <w:proofErr w:type="spellEnd"/>
            <w:r w:rsidRPr="00903CCF">
              <w:rPr>
                <w:spacing w:val="-2"/>
              </w:rPr>
              <w:t>, kuras tiesiskais regulējums ietekmē vai varētu ietekmēt</w:t>
            </w:r>
          </w:p>
        </w:tc>
        <w:tc>
          <w:tcPr>
            <w:tcW w:w="3077" w:type="pct"/>
          </w:tcPr>
          <w:p w14:paraId="00B07933" w14:textId="79FE0E3D" w:rsidR="005D5DCB" w:rsidRPr="00903CCF" w:rsidRDefault="00B40BAB" w:rsidP="002E69FE">
            <w:pPr>
              <w:ind w:right="140"/>
              <w:jc w:val="both"/>
              <w:rPr>
                <w:spacing w:val="-2"/>
              </w:rPr>
            </w:pPr>
            <w:r w:rsidRPr="00903CCF">
              <w:rPr>
                <w:spacing w:val="-2"/>
              </w:rPr>
              <w:t>Likumprojekt</w:t>
            </w:r>
            <w:r w:rsidR="008710E2" w:rsidRPr="00903CCF">
              <w:rPr>
                <w:spacing w:val="-2"/>
              </w:rPr>
              <w:t>ā paredzētie grozījumi</w:t>
            </w:r>
            <w:r w:rsidRPr="00903CCF">
              <w:rPr>
                <w:spacing w:val="-2"/>
              </w:rPr>
              <w:t xml:space="preserve"> </w:t>
            </w:r>
            <w:r w:rsidR="008710E2" w:rsidRPr="00903CCF">
              <w:rPr>
                <w:spacing w:val="-2"/>
              </w:rPr>
              <w:t>attieksies</w:t>
            </w:r>
            <w:r w:rsidRPr="00903CCF">
              <w:rPr>
                <w:spacing w:val="-2"/>
              </w:rPr>
              <w:t xml:space="preserve"> uz visiem </w:t>
            </w:r>
            <w:r w:rsidR="00DE7D92" w:rsidRPr="00903CCF">
              <w:rPr>
                <w:spacing w:val="-2"/>
              </w:rPr>
              <w:t>nodokļu maksātājiem, kas, ievērojot konkrētā nodokļa likuma nosacījumus, būs tiesīgi izvēlēties un izvēlēsies piemērot šo brīvprātīgo risinājumu nodokļu nomaksā, proti, vienkāršoto nodokļa nomaksas risinājumu.</w:t>
            </w:r>
          </w:p>
        </w:tc>
      </w:tr>
      <w:tr w:rsidR="0033686E" w:rsidRPr="00903CCF" w14:paraId="1D6D11B2" w14:textId="77777777" w:rsidTr="00E92F84">
        <w:trPr>
          <w:trHeight w:val="274"/>
        </w:trPr>
        <w:tc>
          <w:tcPr>
            <w:tcW w:w="234" w:type="pct"/>
          </w:tcPr>
          <w:p w14:paraId="1164F10A" w14:textId="77777777" w:rsidR="005D5DCB" w:rsidRPr="00903CCF" w:rsidRDefault="005D5DCB" w:rsidP="000602B5">
            <w:pPr>
              <w:ind w:right="140"/>
              <w:rPr>
                <w:spacing w:val="-2"/>
              </w:rPr>
            </w:pPr>
            <w:r w:rsidRPr="00903CCF">
              <w:rPr>
                <w:spacing w:val="-2"/>
              </w:rPr>
              <w:t>2.</w:t>
            </w:r>
          </w:p>
        </w:tc>
        <w:tc>
          <w:tcPr>
            <w:tcW w:w="1688" w:type="pct"/>
          </w:tcPr>
          <w:p w14:paraId="687FCB29" w14:textId="77777777" w:rsidR="005D5DCB" w:rsidRPr="00903CCF" w:rsidRDefault="005D5DCB" w:rsidP="000602B5">
            <w:pPr>
              <w:ind w:right="140"/>
              <w:rPr>
                <w:spacing w:val="-2"/>
              </w:rPr>
            </w:pPr>
            <w:r w:rsidRPr="00903CCF">
              <w:rPr>
                <w:spacing w:val="-2"/>
              </w:rPr>
              <w:t>Tiesiskā regulējuma ietekme uz tautsaimniecību un administratīvo slogu</w:t>
            </w:r>
          </w:p>
        </w:tc>
        <w:tc>
          <w:tcPr>
            <w:tcW w:w="3077" w:type="pct"/>
          </w:tcPr>
          <w:p w14:paraId="09A1C0C6" w14:textId="58327EA8" w:rsidR="00204E96" w:rsidRPr="00903CCF" w:rsidRDefault="008710E2" w:rsidP="000602B5">
            <w:pPr>
              <w:tabs>
                <w:tab w:val="left" w:pos="544"/>
                <w:tab w:val="left" w:pos="5809"/>
              </w:tabs>
              <w:ind w:right="140"/>
              <w:jc w:val="both"/>
              <w:rPr>
                <w:spacing w:val="-2"/>
              </w:rPr>
            </w:pPr>
            <w:r w:rsidRPr="00903CCF">
              <w:rPr>
                <w:spacing w:val="-2"/>
              </w:rPr>
              <w:t xml:space="preserve">Ar 2021.gada 1.jūliju </w:t>
            </w:r>
            <w:r w:rsidR="00DE7D92" w:rsidRPr="00903CCF">
              <w:rPr>
                <w:spacing w:val="-2"/>
              </w:rPr>
              <w:t>nodokļu</w:t>
            </w:r>
            <w:r w:rsidRPr="00903CCF">
              <w:rPr>
                <w:spacing w:val="-2"/>
              </w:rPr>
              <w:t xml:space="preserve"> maksātājam, izvēloties </w:t>
            </w:r>
            <w:r w:rsidR="00DE7D92" w:rsidRPr="00903CCF">
              <w:rPr>
                <w:spacing w:val="-2"/>
              </w:rPr>
              <w:t>nodokļa</w:t>
            </w:r>
            <w:r w:rsidRPr="00903CCF">
              <w:rPr>
                <w:spacing w:val="-2"/>
              </w:rPr>
              <w:t xml:space="preserve"> aprēķināšanā un nomaksā izmantot </w:t>
            </w:r>
            <w:r w:rsidR="00483233" w:rsidRPr="00903CCF">
              <w:rPr>
                <w:spacing w:val="-2"/>
              </w:rPr>
              <w:t>vienkāršoto nodokļ</w:t>
            </w:r>
            <w:r w:rsidR="00AD2ECE" w:rsidRPr="00903CCF">
              <w:rPr>
                <w:spacing w:val="-2"/>
              </w:rPr>
              <w:t>a</w:t>
            </w:r>
            <w:r w:rsidR="00483233" w:rsidRPr="00903CCF">
              <w:rPr>
                <w:spacing w:val="-2"/>
              </w:rPr>
              <w:t xml:space="preserve"> nomaksas risinājumu – </w:t>
            </w:r>
            <w:r w:rsidR="00DE7D92" w:rsidRPr="00903CCF">
              <w:rPr>
                <w:spacing w:val="-2"/>
              </w:rPr>
              <w:t>SDI</w:t>
            </w:r>
            <w:r w:rsidRPr="00903CCF">
              <w:rPr>
                <w:spacing w:val="-2"/>
              </w:rPr>
              <w:t xml:space="preserve"> kontu, pašam nebūs jāveic </w:t>
            </w:r>
            <w:r w:rsidR="00DE7D92" w:rsidRPr="00903CCF">
              <w:rPr>
                <w:spacing w:val="-2"/>
              </w:rPr>
              <w:t>nodokļa</w:t>
            </w:r>
            <w:r w:rsidRPr="00903CCF">
              <w:rPr>
                <w:spacing w:val="-2"/>
              </w:rPr>
              <w:t xml:space="preserve"> aprēķināšana, deklarēšana un nomaksa vispārējā </w:t>
            </w:r>
            <w:r w:rsidR="00483233" w:rsidRPr="00903CCF">
              <w:rPr>
                <w:spacing w:val="-2"/>
              </w:rPr>
              <w:t>(</w:t>
            </w:r>
            <w:r w:rsidR="00DE7D92" w:rsidRPr="00903CCF">
              <w:rPr>
                <w:spacing w:val="-2"/>
              </w:rPr>
              <w:t>konkrētā</w:t>
            </w:r>
            <w:r w:rsidRPr="00903CCF">
              <w:rPr>
                <w:spacing w:val="-2"/>
              </w:rPr>
              <w:t xml:space="preserve"> nodokļa likumā noteiktajā</w:t>
            </w:r>
            <w:r w:rsidR="00483233" w:rsidRPr="00903CCF">
              <w:rPr>
                <w:spacing w:val="-2"/>
              </w:rPr>
              <w:t>)</w:t>
            </w:r>
            <w:r w:rsidRPr="00903CCF">
              <w:rPr>
                <w:spacing w:val="-2"/>
              </w:rPr>
              <w:t xml:space="preserve"> kārtībā, bet to, savstarpēji sadarbojoties, nodrošinās </w:t>
            </w:r>
            <w:r w:rsidR="00007070" w:rsidRPr="00903CCF">
              <w:rPr>
                <w:spacing w:val="-2"/>
              </w:rPr>
              <w:t xml:space="preserve">VID </w:t>
            </w:r>
            <w:r w:rsidRPr="00903CCF">
              <w:rPr>
                <w:spacing w:val="-2"/>
              </w:rPr>
              <w:t>un kredītiestādes. Līdz ar to, ja nodokļ</w:t>
            </w:r>
            <w:r w:rsidR="00E9046F" w:rsidRPr="00903CCF">
              <w:rPr>
                <w:spacing w:val="-2"/>
              </w:rPr>
              <w:t>u</w:t>
            </w:r>
            <w:r w:rsidRPr="00903CCF">
              <w:rPr>
                <w:spacing w:val="-2"/>
              </w:rPr>
              <w:t xml:space="preserve"> maksātāji izmantos SDI kontu</w:t>
            </w:r>
            <w:r w:rsidR="00EB1BFE" w:rsidRPr="00903CCF">
              <w:rPr>
                <w:spacing w:val="-2"/>
              </w:rPr>
              <w:t>, tiem</w:t>
            </w:r>
            <w:r w:rsidRPr="00903CCF">
              <w:rPr>
                <w:spacing w:val="-2"/>
              </w:rPr>
              <w:t xml:space="preserve"> būtiski tiks mazināts administratīvais slogs.</w:t>
            </w:r>
          </w:p>
        </w:tc>
      </w:tr>
      <w:tr w:rsidR="0033686E" w:rsidRPr="00903CCF" w14:paraId="321995D2" w14:textId="77777777" w:rsidTr="00E92F84">
        <w:trPr>
          <w:trHeight w:val="309"/>
        </w:trPr>
        <w:tc>
          <w:tcPr>
            <w:tcW w:w="234" w:type="pct"/>
          </w:tcPr>
          <w:p w14:paraId="7C4CA21E" w14:textId="77777777" w:rsidR="00B84AFC" w:rsidRPr="00903CCF" w:rsidRDefault="00B84AFC" w:rsidP="00B84AFC">
            <w:pPr>
              <w:ind w:right="140"/>
              <w:rPr>
                <w:spacing w:val="-2"/>
              </w:rPr>
            </w:pPr>
            <w:r w:rsidRPr="00903CCF">
              <w:rPr>
                <w:spacing w:val="-2"/>
              </w:rPr>
              <w:t>3.</w:t>
            </w:r>
          </w:p>
        </w:tc>
        <w:tc>
          <w:tcPr>
            <w:tcW w:w="1688" w:type="pct"/>
          </w:tcPr>
          <w:p w14:paraId="22F44B8A" w14:textId="77777777" w:rsidR="00B84AFC" w:rsidRPr="00903CCF" w:rsidRDefault="00B84AFC" w:rsidP="00B84AFC">
            <w:pPr>
              <w:ind w:right="140"/>
              <w:jc w:val="both"/>
              <w:rPr>
                <w:spacing w:val="-2"/>
              </w:rPr>
            </w:pPr>
            <w:r w:rsidRPr="00903CCF">
              <w:rPr>
                <w:spacing w:val="-2"/>
              </w:rPr>
              <w:t>Administratīvo izmaksu monetārs novērtējums</w:t>
            </w:r>
          </w:p>
        </w:tc>
        <w:tc>
          <w:tcPr>
            <w:tcW w:w="3077" w:type="pct"/>
          </w:tcPr>
          <w:p w14:paraId="1102C3AE" w14:textId="0C0BC344" w:rsidR="00B84AFC" w:rsidRPr="00903CCF" w:rsidRDefault="00B84AFC" w:rsidP="00B84AFC">
            <w:pPr>
              <w:tabs>
                <w:tab w:val="left" w:pos="5809"/>
              </w:tabs>
              <w:ind w:left="1" w:right="140"/>
              <w:jc w:val="both"/>
              <w:rPr>
                <w:spacing w:val="-2"/>
              </w:rPr>
            </w:pPr>
            <w:r w:rsidRPr="00903CCF">
              <w:rPr>
                <w:iCs/>
                <w:spacing w:val="-2"/>
              </w:rPr>
              <w:t xml:space="preserve">Monetāro novērtējumu nav iespējams veikt, jo nav zināms, cik nodokļu maksātāji izmantos šo risinājumu, turklāt nav zināms, kādu slogu nodokļu maksātājiem veido nodokļu maksājumu aprēķināšana un deklarāciju aizpildīšana un iesniegšana, it īpaši ņemot vērā, ka daži to veic paši, bet daži ar speciālistu, piemēram, grāmatvežu, piesaisti. Turklāt nodokļu normatīvie akti paredz atšķirīgas prasības nodokļa aprēķināšanā, deklarēšanā un nomaksā, piemēram, </w:t>
            </w:r>
            <w:proofErr w:type="spellStart"/>
            <w:r w:rsidRPr="00903CCF">
              <w:rPr>
                <w:iCs/>
                <w:spacing w:val="-2"/>
              </w:rPr>
              <w:t>mikrouzņēmumu</w:t>
            </w:r>
            <w:proofErr w:type="spellEnd"/>
            <w:r w:rsidRPr="00903CCF">
              <w:rPr>
                <w:iCs/>
                <w:spacing w:val="-2"/>
              </w:rPr>
              <w:t xml:space="preserve"> nodokļa maksātājam </w:t>
            </w:r>
            <w:proofErr w:type="spellStart"/>
            <w:r w:rsidRPr="00903CCF">
              <w:rPr>
                <w:iCs/>
                <w:spacing w:val="-2"/>
              </w:rPr>
              <w:t>mikrouzņēmumu</w:t>
            </w:r>
            <w:proofErr w:type="spellEnd"/>
            <w:r w:rsidRPr="00903CCF">
              <w:rPr>
                <w:iCs/>
                <w:spacing w:val="-2"/>
              </w:rPr>
              <w:t xml:space="preserve"> nodoklis ir jāaprēķina un jāmaksā vienu reizi ceturksnī, savukārt iedzīvotāju ienākuma nodokļa maksātājam minētais pienākums (aprēķināt, deklarēt un samaksāt nodokli) var iestāties tikai vienu reizi gadā. Administratīvo izmaksu monetārais novērtējums būtu veicams, virzot grozījumus konkrēto nodokļa likumos, ar kuriem tiek noteikta vienkāršotā nodokļa nomaksas risinājuma izmantošana konkrētā nodokļa aprēķināšanā, deklarēšanā un nomaksā.</w:t>
            </w:r>
          </w:p>
        </w:tc>
      </w:tr>
      <w:tr w:rsidR="0033686E" w:rsidRPr="00903CCF" w14:paraId="2BB785B8" w14:textId="77777777" w:rsidTr="00E92F84">
        <w:trPr>
          <w:trHeight w:val="309"/>
        </w:trPr>
        <w:tc>
          <w:tcPr>
            <w:tcW w:w="234" w:type="pct"/>
          </w:tcPr>
          <w:p w14:paraId="1A956831" w14:textId="77777777" w:rsidR="00B84AFC" w:rsidRPr="00903CCF" w:rsidRDefault="00B84AFC" w:rsidP="00B84AFC">
            <w:pPr>
              <w:ind w:right="140"/>
              <w:rPr>
                <w:spacing w:val="-2"/>
              </w:rPr>
            </w:pPr>
            <w:r w:rsidRPr="00903CCF">
              <w:rPr>
                <w:spacing w:val="-2"/>
              </w:rPr>
              <w:t>4.</w:t>
            </w:r>
          </w:p>
        </w:tc>
        <w:tc>
          <w:tcPr>
            <w:tcW w:w="1688" w:type="pct"/>
          </w:tcPr>
          <w:p w14:paraId="70CADD8A" w14:textId="77777777" w:rsidR="00B84AFC" w:rsidRPr="00903CCF" w:rsidRDefault="00B84AFC" w:rsidP="00B84AFC">
            <w:pPr>
              <w:ind w:right="140"/>
              <w:rPr>
                <w:spacing w:val="-2"/>
              </w:rPr>
            </w:pPr>
            <w:r w:rsidRPr="00903CCF">
              <w:rPr>
                <w:spacing w:val="-2"/>
              </w:rPr>
              <w:t>Atbilstības izmaksu monetārs novērtējums</w:t>
            </w:r>
          </w:p>
        </w:tc>
        <w:tc>
          <w:tcPr>
            <w:tcW w:w="3077" w:type="pct"/>
          </w:tcPr>
          <w:p w14:paraId="31A1EAC0" w14:textId="77777777" w:rsidR="00B84AFC" w:rsidRPr="00903CCF" w:rsidRDefault="00B84AFC" w:rsidP="00B84AFC">
            <w:pPr>
              <w:tabs>
                <w:tab w:val="left" w:pos="5809"/>
              </w:tabs>
              <w:ind w:left="1" w:right="140"/>
              <w:jc w:val="both"/>
              <w:rPr>
                <w:spacing w:val="-2"/>
              </w:rPr>
            </w:pPr>
            <w:r w:rsidRPr="00903CCF">
              <w:rPr>
                <w:iCs/>
                <w:spacing w:val="-2"/>
              </w:rPr>
              <w:t>Likumprojekts šo jomu neskar.</w:t>
            </w:r>
          </w:p>
        </w:tc>
      </w:tr>
      <w:tr w:rsidR="0033686E" w:rsidRPr="00903CCF" w14:paraId="37EA06B6" w14:textId="77777777" w:rsidTr="00E92F84">
        <w:trPr>
          <w:trHeight w:val="242"/>
        </w:trPr>
        <w:tc>
          <w:tcPr>
            <w:tcW w:w="234" w:type="pct"/>
          </w:tcPr>
          <w:p w14:paraId="3A919FA3" w14:textId="77777777" w:rsidR="00B84AFC" w:rsidRPr="00903CCF" w:rsidRDefault="00B84AFC" w:rsidP="00B84AFC">
            <w:pPr>
              <w:ind w:right="140"/>
              <w:rPr>
                <w:spacing w:val="-2"/>
              </w:rPr>
            </w:pPr>
            <w:r w:rsidRPr="00903CCF">
              <w:rPr>
                <w:spacing w:val="-2"/>
              </w:rPr>
              <w:t>5.</w:t>
            </w:r>
          </w:p>
        </w:tc>
        <w:tc>
          <w:tcPr>
            <w:tcW w:w="1688" w:type="pct"/>
          </w:tcPr>
          <w:p w14:paraId="7FA6081A" w14:textId="77777777" w:rsidR="00B84AFC" w:rsidRPr="00903CCF" w:rsidRDefault="00B84AFC" w:rsidP="00B84AFC">
            <w:pPr>
              <w:ind w:right="140"/>
              <w:rPr>
                <w:spacing w:val="-2"/>
              </w:rPr>
            </w:pPr>
            <w:r w:rsidRPr="00903CCF">
              <w:rPr>
                <w:spacing w:val="-2"/>
              </w:rPr>
              <w:t>Cita informācija</w:t>
            </w:r>
          </w:p>
        </w:tc>
        <w:tc>
          <w:tcPr>
            <w:tcW w:w="3077" w:type="pct"/>
          </w:tcPr>
          <w:p w14:paraId="1F91D01F" w14:textId="77777777" w:rsidR="00B84AFC" w:rsidRPr="00903CCF" w:rsidRDefault="00B84AFC" w:rsidP="00B84AFC">
            <w:pPr>
              <w:ind w:left="1" w:right="140"/>
              <w:rPr>
                <w:spacing w:val="-2"/>
              </w:rPr>
            </w:pPr>
            <w:r w:rsidRPr="00903CCF">
              <w:rPr>
                <w:spacing w:val="-2"/>
              </w:rPr>
              <w:t>Nav.</w:t>
            </w:r>
          </w:p>
        </w:tc>
      </w:tr>
    </w:tbl>
    <w:p w14:paraId="2810389A" w14:textId="77777777" w:rsidR="005D5DCB" w:rsidRPr="00903CCF" w:rsidRDefault="005D5DCB" w:rsidP="000602B5">
      <w:pPr>
        <w:ind w:right="140"/>
        <w:rPr>
          <w:spacing w:val="-2"/>
        </w:rPr>
      </w:pPr>
    </w:p>
    <w:p w14:paraId="11584689" w14:textId="77777777" w:rsidR="005D5DCB" w:rsidRPr="00903CCF" w:rsidRDefault="005D5DCB" w:rsidP="000602B5">
      <w:pPr>
        <w:ind w:right="140"/>
        <w:rPr>
          <w:spacing w:val="-2"/>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33686E" w:rsidRPr="00903CCF" w14:paraId="6C5FDF98" w14:textId="77777777" w:rsidTr="00F93E82">
        <w:tc>
          <w:tcPr>
            <w:tcW w:w="10006" w:type="dxa"/>
            <w:gridSpan w:val="8"/>
            <w:tcBorders>
              <w:top w:val="outset" w:sz="6" w:space="0" w:color="414142"/>
              <w:left w:val="outset" w:sz="6" w:space="0" w:color="414142"/>
              <w:bottom w:val="outset" w:sz="6" w:space="0" w:color="414142"/>
              <w:right w:val="outset" w:sz="6" w:space="0" w:color="414142"/>
            </w:tcBorders>
            <w:hideMark/>
          </w:tcPr>
          <w:p w14:paraId="0296C067" w14:textId="77777777" w:rsidR="005D5DCB" w:rsidRPr="00903CCF" w:rsidRDefault="005D5DCB" w:rsidP="000602B5">
            <w:pPr>
              <w:ind w:right="140"/>
              <w:jc w:val="center"/>
              <w:rPr>
                <w:b/>
                <w:spacing w:val="-2"/>
              </w:rPr>
            </w:pPr>
            <w:r w:rsidRPr="00903CCF">
              <w:rPr>
                <w:b/>
                <w:spacing w:val="-2"/>
              </w:rPr>
              <w:t>III. Tiesību akta projekta ietekme uz valsts budžetu un pašvaldību budžetiem</w:t>
            </w:r>
          </w:p>
        </w:tc>
      </w:tr>
      <w:tr w:rsidR="0033686E" w:rsidRPr="00903CCF" w14:paraId="5875579D" w14:textId="77777777" w:rsidTr="00F93E82">
        <w:tc>
          <w:tcPr>
            <w:tcW w:w="1714" w:type="dxa"/>
            <w:vMerge w:val="restart"/>
            <w:tcBorders>
              <w:top w:val="outset" w:sz="6" w:space="0" w:color="414142"/>
              <w:left w:val="outset" w:sz="6" w:space="0" w:color="414142"/>
              <w:bottom w:val="outset" w:sz="6" w:space="0" w:color="414142"/>
              <w:right w:val="outset" w:sz="6" w:space="0" w:color="414142"/>
            </w:tcBorders>
            <w:hideMark/>
          </w:tcPr>
          <w:p w14:paraId="3511C28F" w14:textId="77777777" w:rsidR="005D5DCB" w:rsidRPr="00903CCF" w:rsidRDefault="005D5DCB" w:rsidP="000602B5">
            <w:pPr>
              <w:ind w:right="140"/>
              <w:rPr>
                <w:spacing w:val="-2"/>
              </w:rPr>
            </w:pPr>
            <w:r w:rsidRPr="00903CCF">
              <w:rPr>
                <w:spacing w:val="-2"/>
              </w:rPr>
              <w:t>Rādītāji</w:t>
            </w:r>
          </w:p>
          <w:p w14:paraId="0561A791" w14:textId="77777777" w:rsidR="005D5DCB" w:rsidRPr="00903CCF" w:rsidRDefault="005D5DCB" w:rsidP="000602B5">
            <w:pPr>
              <w:ind w:right="140"/>
              <w:rPr>
                <w:spacing w:val="-2"/>
              </w:rPr>
            </w:pPr>
          </w:p>
        </w:tc>
        <w:tc>
          <w:tcPr>
            <w:tcW w:w="2289" w:type="dxa"/>
            <w:gridSpan w:val="2"/>
            <w:vMerge w:val="restart"/>
            <w:tcBorders>
              <w:top w:val="outset" w:sz="6" w:space="0" w:color="414142"/>
              <w:left w:val="outset" w:sz="6" w:space="0" w:color="414142"/>
              <w:bottom w:val="outset" w:sz="6" w:space="0" w:color="414142"/>
              <w:right w:val="outset" w:sz="6" w:space="0" w:color="414142"/>
            </w:tcBorders>
            <w:hideMark/>
          </w:tcPr>
          <w:p w14:paraId="0E662152" w14:textId="4DFAA18D" w:rsidR="005D5DCB" w:rsidRPr="00903CCF" w:rsidRDefault="005D5DCB" w:rsidP="000602B5">
            <w:pPr>
              <w:ind w:right="140"/>
              <w:jc w:val="center"/>
              <w:rPr>
                <w:spacing w:val="-2"/>
              </w:rPr>
            </w:pPr>
            <w:r w:rsidRPr="00903CCF">
              <w:rPr>
                <w:spacing w:val="-2"/>
              </w:rPr>
              <w:t>202</w:t>
            </w:r>
            <w:r w:rsidR="00F93E82" w:rsidRPr="00903CCF">
              <w:rPr>
                <w:spacing w:val="-2"/>
              </w:rPr>
              <w:t>1</w:t>
            </w:r>
          </w:p>
          <w:p w14:paraId="7F1910BD" w14:textId="77777777" w:rsidR="005D5DCB" w:rsidRPr="00903CCF" w:rsidRDefault="005D5DCB" w:rsidP="000602B5">
            <w:pPr>
              <w:ind w:right="140"/>
              <w:jc w:val="center"/>
              <w:rPr>
                <w:spacing w:val="-2"/>
              </w:rPr>
            </w:pPr>
          </w:p>
        </w:tc>
        <w:tc>
          <w:tcPr>
            <w:tcW w:w="6003" w:type="dxa"/>
            <w:gridSpan w:val="5"/>
            <w:tcBorders>
              <w:top w:val="outset" w:sz="6" w:space="0" w:color="414142"/>
              <w:left w:val="outset" w:sz="6" w:space="0" w:color="414142"/>
              <w:bottom w:val="outset" w:sz="6" w:space="0" w:color="414142"/>
              <w:right w:val="outset" w:sz="6" w:space="0" w:color="414142"/>
            </w:tcBorders>
            <w:hideMark/>
          </w:tcPr>
          <w:p w14:paraId="7FA42D93" w14:textId="77777777" w:rsidR="005D5DCB" w:rsidRPr="00903CCF" w:rsidRDefault="005D5DCB" w:rsidP="000602B5">
            <w:pPr>
              <w:ind w:right="140"/>
              <w:jc w:val="center"/>
              <w:rPr>
                <w:spacing w:val="-2"/>
              </w:rPr>
            </w:pPr>
            <w:r w:rsidRPr="00903CCF">
              <w:rPr>
                <w:spacing w:val="-2"/>
              </w:rPr>
              <w:t>Turpmākie trīs gadi (</w:t>
            </w:r>
            <w:proofErr w:type="spellStart"/>
            <w:r w:rsidRPr="00903CCF">
              <w:rPr>
                <w:i/>
                <w:spacing w:val="-2"/>
              </w:rPr>
              <w:t>euro</w:t>
            </w:r>
            <w:proofErr w:type="spellEnd"/>
            <w:r w:rsidRPr="00903CCF">
              <w:rPr>
                <w:spacing w:val="-2"/>
              </w:rPr>
              <w:t>)</w:t>
            </w:r>
          </w:p>
        </w:tc>
      </w:tr>
      <w:tr w:rsidR="0033686E" w:rsidRPr="00903CCF" w14:paraId="78FA97C0" w14:textId="77777777" w:rsidTr="00F93E82">
        <w:tc>
          <w:tcPr>
            <w:tcW w:w="1714" w:type="dxa"/>
            <w:vMerge/>
            <w:tcBorders>
              <w:top w:val="outset" w:sz="6" w:space="0" w:color="414142"/>
              <w:left w:val="outset" w:sz="6" w:space="0" w:color="414142"/>
              <w:bottom w:val="outset" w:sz="6" w:space="0" w:color="414142"/>
              <w:right w:val="outset" w:sz="6" w:space="0" w:color="414142"/>
            </w:tcBorders>
            <w:hideMark/>
          </w:tcPr>
          <w:p w14:paraId="28AEFB94" w14:textId="77777777" w:rsidR="005D5DCB" w:rsidRPr="00903CCF" w:rsidRDefault="005D5DCB" w:rsidP="000602B5">
            <w:pPr>
              <w:ind w:right="140"/>
              <w:rPr>
                <w:spacing w:val="-2"/>
              </w:rPr>
            </w:pPr>
          </w:p>
        </w:tc>
        <w:tc>
          <w:tcPr>
            <w:tcW w:w="2289" w:type="dxa"/>
            <w:gridSpan w:val="2"/>
            <w:vMerge/>
            <w:tcBorders>
              <w:top w:val="outset" w:sz="6" w:space="0" w:color="414142"/>
              <w:left w:val="outset" w:sz="6" w:space="0" w:color="414142"/>
              <w:bottom w:val="outset" w:sz="6" w:space="0" w:color="414142"/>
              <w:right w:val="outset" w:sz="6" w:space="0" w:color="414142"/>
            </w:tcBorders>
            <w:hideMark/>
          </w:tcPr>
          <w:p w14:paraId="5BF61290" w14:textId="77777777" w:rsidR="005D5DCB" w:rsidRPr="00903CCF" w:rsidRDefault="005D5DCB" w:rsidP="000602B5">
            <w:pPr>
              <w:ind w:right="140"/>
              <w:jc w:val="center"/>
              <w:rPr>
                <w:spacing w:val="-2"/>
              </w:rPr>
            </w:pPr>
          </w:p>
        </w:tc>
        <w:tc>
          <w:tcPr>
            <w:tcW w:w="2287" w:type="dxa"/>
            <w:gridSpan w:val="2"/>
            <w:tcBorders>
              <w:top w:val="outset" w:sz="6" w:space="0" w:color="414142"/>
              <w:left w:val="outset" w:sz="6" w:space="0" w:color="414142"/>
              <w:bottom w:val="outset" w:sz="6" w:space="0" w:color="414142"/>
              <w:right w:val="outset" w:sz="6" w:space="0" w:color="414142"/>
            </w:tcBorders>
            <w:hideMark/>
          </w:tcPr>
          <w:p w14:paraId="0A330831" w14:textId="23147A03" w:rsidR="005D5DCB" w:rsidRPr="00903CCF" w:rsidRDefault="005D5DCB" w:rsidP="00F93E82">
            <w:pPr>
              <w:spacing w:before="100" w:beforeAutospacing="1"/>
              <w:ind w:right="140" w:firstLine="300"/>
              <w:jc w:val="center"/>
              <w:rPr>
                <w:spacing w:val="-2"/>
              </w:rPr>
            </w:pPr>
            <w:r w:rsidRPr="00903CCF">
              <w:rPr>
                <w:spacing w:val="-2"/>
              </w:rPr>
              <w:t>202</w:t>
            </w:r>
            <w:r w:rsidR="00F93E82" w:rsidRPr="00903CCF">
              <w:rPr>
                <w:spacing w:val="-2"/>
              </w:rPr>
              <w:t>2</w:t>
            </w:r>
          </w:p>
        </w:tc>
        <w:tc>
          <w:tcPr>
            <w:tcW w:w="2430" w:type="dxa"/>
            <w:gridSpan w:val="2"/>
            <w:tcBorders>
              <w:top w:val="outset" w:sz="6" w:space="0" w:color="414142"/>
              <w:left w:val="outset" w:sz="6" w:space="0" w:color="414142"/>
              <w:bottom w:val="outset" w:sz="6" w:space="0" w:color="414142"/>
              <w:right w:val="outset" w:sz="6" w:space="0" w:color="414142"/>
            </w:tcBorders>
            <w:hideMark/>
          </w:tcPr>
          <w:p w14:paraId="62CDE62A" w14:textId="63998C1F" w:rsidR="005D5DCB" w:rsidRPr="00903CCF" w:rsidRDefault="005D5DCB" w:rsidP="000602B5">
            <w:pPr>
              <w:spacing w:before="100" w:beforeAutospacing="1"/>
              <w:ind w:right="140" w:firstLine="300"/>
              <w:jc w:val="center"/>
              <w:rPr>
                <w:spacing w:val="-2"/>
              </w:rPr>
            </w:pPr>
            <w:r w:rsidRPr="00903CCF">
              <w:rPr>
                <w:spacing w:val="-2"/>
              </w:rPr>
              <w:t>202</w:t>
            </w:r>
            <w:r w:rsidR="00F93E82" w:rsidRPr="00903CCF">
              <w:rPr>
                <w:spacing w:val="-2"/>
              </w:rPr>
              <w:t>3</w:t>
            </w:r>
          </w:p>
        </w:tc>
        <w:tc>
          <w:tcPr>
            <w:tcW w:w="1286" w:type="dxa"/>
            <w:tcBorders>
              <w:top w:val="outset" w:sz="6" w:space="0" w:color="414142"/>
              <w:left w:val="outset" w:sz="6" w:space="0" w:color="414142"/>
              <w:bottom w:val="outset" w:sz="6" w:space="0" w:color="414142"/>
              <w:right w:val="outset" w:sz="6" w:space="0" w:color="414142"/>
            </w:tcBorders>
            <w:hideMark/>
          </w:tcPr>
          <w:p w14:paraId="1003B31A" w14:textId="14A16299" w:rsidR="005D5DCB" w:rsidRPr="00903CCF" w:rsidRDefault="005D5DCB" w:rsidP="000602B5">
            <w:pPr>
              <w:spacing w:before="100" w:beforeAutospacing="1"/>
              <w:ind w:right="140" w:firstLine="300"/>
              <w:jc w:val="center"/>
              <w:rPr>
                <w:spacing w:val="-2"/>
              </w:rPr>
            </w:pPr>
            <w:r w:rsidRPr="00903CCF">
              <w:rPr>
                <w:spacing w:val="-2"/>
              </w:rPr>
              <w:t>202</w:t>
            </w:r>
            <w:r w:rsidR="00F93E82" w:rsidRPr="00903CCF">
              <w:rPr>
                <w:spacing w:val="-2"/>
              </w:rPr>
              <w:t>4</w:t>
            </w:r>
          </w:p>
        </w:tc>
      </w:tr>
      <w:tr w:rsidR="0033686E" w:rsidRPr="00903CCF" w14:paraId="78B0FF61" w14:textId="77777777" w:rsidTr="00F93E82">
        <w:tc>
          <w:tcPr>
            <w:tcW w:w="1714" w:type="dxa"/>
            <w:vMerge/>
            <w:tcBorders>
              <w:top w:val="outset" w:sz="6" w:space="0" w:color="414142"/>
              <w:left w:val="outset" w:sz="6" w:space="0" w:color="414142"/>
              <w:bottom w:val="outset" w:sz="6" w:space="0" w:color="414142"/>
              <w:right w:val="outset" w:sz="6" w:space="0" w:color="414142"/>
            </w:tcBorders>
            <w:hideMark/>
          </w:tcPr>
          <w:p w14:paraId="409CA081" w14:textId="77777777" w:rsidR="005D5DCB" w:rsidRPr="00903CCF" w:rsidRDefault="005D5DCB" w:rsidP="000602B5">
            <w:pPr>
              <w:ind w:right="140"/>
              <w:rPr>
                <w:spacing w:val="-2"/>
              </w:rPr>
            </w:pPr>
          </w:p>
        </w:tc>
        <w:tc>
          <w:tcPr>
            <w:tcW w:w="1144" w:type="dxa"/>
            <w:tcBorders>
              <w:top w:val="outset" w:sz="6" w:space="0" w:color="414142"/>
              <w:left w:val="outset" w:sz="6" w:space="0" w:color="414142"/>
              <w:bottom w:val="outset" w:sz="6" w:space="0" w:color="414142"/>
              <w:right w:val="outset" w:sz="6" w:space="0" w:color="414142"/>
            </w:tcBorders>
            <w:hideMark/>
          </w:tcPr>
          <w:p w14:paraId="53C6432A" w14:textId="77777777" w:rsidR="005D5DCB" w:rsidRPr="00903CCF" w:rsidRDefault="005D5DCB" w:rsidP="000602B5">
            <w:pPr>
              <w:spacing w:before="100" w:beforeAutospacing="1"/>
              <w:ind w:right="140"/>
              <w:rPr>
                <w:spacing w:val="-2"/>
              </w:rPr>
            </w:pPr>
            <w:r w:rsidRPr="00903CCF">
              <w:rPr>
                <w:spacing w:val="-2"/>
              </w:rPr>
              <w:t>saskaņā ar valsts budžetu kārtējam gadam</w:t>
            </w:r>
          </w:p>
        </w:tc>
        <w:tc>
          <w:tcPr>
            <w:tcW w:w="1145" w:type="dxa"/>
            <w:tcBorders>
              <w:top w:val="outset" w:sz="6" w:space="0" w:color="414142"/>
              <w:left w:val="outset" w:sz="6" w:space="0" w:color="414142"/>
              <w:bottom w:val="outset" w:sz="6" w:space="0" w:color="414142"/>
              <w:right w:val="outset" w:sz="6" w:space="0" w:color="414142"/>
            </w:tcBorders>
            <w:hideMark/>
          </w:tcPr>
          <w:p w14:paraId="780B74FA" w14:textId="77777777" w:rsidR="005D5DCB" w:rsidRPr="00903CCF" w:rsidRDefault="005D5DCB" w:rsidP="000602B5">
            <w:pPr>
              <w:spacing w:before="100" w:beforeAutospacing="1"/>
              <w:ind w:right="140"/>
              <w:rPr>
                <w:spacing w:val="-2"/>
              </w:rPr>
            </w:pPr>
            <w:r w:rsidRPr="00903CCF">
              <w:rPr>
                <w:spacing w:val="-2"/>
              </w:rPr>
              <w:t>izmaiņas kārtējā gadā, salīdzinot ar valsts budžetu kārtējam gadam</w:t>
            </w:r>
          </w:p>
        </w:tc>
        <w:tc>
          <w:tcPr>
            <w:tcW w:w="1000" w:type="dxa"/>
            <w:tcBorders>
              <w:top w:val="outset" w:sz="6" w:space="0" w:color="414142"/>
              <w:left w:val="outset" w:sz="6" w:space="0" w:color="414142"/>
              <w:bottom w:val="outset" w:sz="6" w:space="0" w:color="414142"/>
              <w:right w:val="outset" w:sz="6" w:space="0" w:color="414142"/>
            </w:tcBorders>
            <w:hideMark/>
          </w:tcPr>
          <w:p w14:paraId="6A93890A" w14:textId="77777777" w:rsidR="005D5DCB" w:rsidRPr="00903CCF" w:rsidRDefault="005D5DCB" w:rsidP="000602B5">
            <w:pPr>
              <w:spacing w:before="100" w:beforeAutospacing="1"/>
              <w:ind w:right="140"/>
              <w:rPr>
                <w:spacing w:val="-2"/>
              </w:rPr>
            </w:pPr>
            <w:r w:rsidRPr="00903CCF">
              <w:rPr>
                <w:spacing w:val="-2"/>
              </w:rPr>
              <w:t>saskaņā ar vidēja termiņa budžeta ietvaru</w:t>
            </w:r>
          </w:p>
        </w:tc>
        <w:tc>
          <w:tcPr>
            <w:tcW w:w="1287" w:type="dxa"/>
            <w:tcBorders>
              <w:top w:val="outset" w:sz="6" w:space="0" w:color="414142"/>
              <w:left w:val="outset" w:sz="6" w:space="0" w:color="414142"/>
              <w:bottom w:val="outset" w:sz="6" w:space="0" w:color="414142"/>
              <w:right w:val="outset" w:sz="6" w:space="0" w:color="414142"/>
            </w:tcBorders>
            <w:hideMark/>
          </w:tcPr>
          <w:p w14:paraId="38FD25F7" w14:textId="0E503930" w:rsidR="005D5DCB" w:rsidRPr="00903CCF" w:rsidRDefault="005D5DCB" w:rsidP="00F93E82">
            <w:pPr>
              <w:spacing w:before="100" w:beforeAutospacing="1"/>
              <w:ind w:right="140"/>
              <w:rPr>
                <w:spacing w:val="-2"/>
              </w:rPr>
            </w:pPr>
            <w:r w:rsidRPr="00903CCF">
              <w:rPr>
                <w:spacing w:val="-2"/>
              </w:rPr>
              <w:t>izmaiņas, salīdzinot ar vidēja termiņa budžeta ietvaru 202</w:t>
            </w:r>
            <w:r w:rsidR="00F93E82" w:rsidRPr="00903CCF">
              <w:rPr>
                <w:spacing w:val="-2"/>
              </w:rPr>
              <w:t>2</w:t>
            </w:r>
            <w:r w:rsidRPr="00903CCF">
              <w:rPr>
                <w:spacing w:val="-2"/>
              </w:rPr>
              <w:t>. gadam</w:t>
            </w:r>
          </w:p>
        </w:tc>
        <w:tc>
          <w:tcPr>
            <w:tcW w:w="998" w:type="dxa"/>
            <w:tcBorders>
              <w:top w:val="outset" w:sz="6" w:space="0" w:color="414142"/>
              <w:left w:val="outset" w:sz="6" w:space="0" w:color="414142"/>
              <w:bottom w:val="outset" w:sz="6" w:space="0" w:color="414142"/>
              <w:right w:val="outset" w:sz="6" w:space="0" w:color="414142"/>
            </w:tcBorders>
            <w:hideMark/>
          </w:tcPr>
          <w:p w14:paraId="62A64CB2" w14:textId="77777777" w:rsidR="005D5DCB" w:rsidRPr="00903CCF" w:rsidRDefault="005D5DCB" w:rsidP="000602B5">
            <w:pPr>
              <w:spacing w:before="100" w:beforeAutospacing="1"/>
              <w:ind w:right="140"/>
              <w:rPr>
                <w:spacing w:val="-2"/>
              </w:rPr>
            </w:pPr>
            <w:r w:rsidRPr="00903CCF">
              <w:rPr>
                <w:spacing w:val="-2"/>
              </w:rPr>
              <w:t>saskaņā ar vidēja termiņa budžeta ietvaru</w:t>
            </w:r>
          </w:p>
        </w:tc>
        <w:tc>
          <w:tcPr>
            <w:tcW w:w="1432" w:type="dxa"/>
            <w:tcBorders>
              <w:top w:val="outset" w:sz="6" w:space="0" w:color="414142"/>
              <w:left w:val="outset" w:sz="6" w:space="0" w:color="414142"/>
              <w:bottom w:val="outset" w:sz="6" w:space="0" w:color="414142"/>
              <w:right w:val="outset" w:sz="6" w:space="0" w:color="414142"/>
            </w:tcBorders>
            <w:hideMark/>
          </w:tcPr>
          <w:p w14:paraId="20D92BF2" w14:textId="36AEA35B" w:rsidR="005D5DCB" w:rsidRPr="00903CCF" w:rsidRDefault="005D5DCB" w:rsidP="00F93E82">
            <w:pPr>
              <w:spacing w:before="100" w:beforeAutospacing="1"/>
              <w:ind w:right="140"/>
              <w:rPr>
                <w:spacing w:val="-2"/>
              </w:rPr>
            </w:pPr>
            <w:r w:rsidRPr="00903CCF">
              <w:rPr>
                <w:spacing w:val="-2"/>
              </w:rPr>
              <w:t>izmaiņas, salīdzinot ar vidēja termiņa budžeta ietvaru 202</w:t>
            </w:r>
            <w:r w:rsidR="00F93E82" w:rsidRPr="00903CCF">
              <w:rPr>
                <w:spacing w:val="-2"/>
              </w:rPr>
              <w:t>3</w:t>
            </w:r>
            <w:r w:rsidRPr="00903CCF">
              <w:rPr>
                <w:spacing w:val="-2"/>
              </w:rPr>
              <w:t>. gadam</w:t>
            </w:r>
          </w:p>
        </w:tc>
        <w:tc>
          <w:tcPr>
            <w:tcW w:w="1286" w:type="dxa"/>
            <w:tcBorders>
              <w:top w:val="outset" w:sz="6" w:space="0" w:color="414142"/>
              <w:left w:val="outset" w:sz="6" w:space="0" w:color="414142"/>
              <w:bottom w:val="outset" w:sz="6" w:space="0" w:color="414142"/>
              <w:right w:val="outset" w:sz="6" w:space="0" w:color="414142"/>
            </w:tcBorders>
            <w:hideMark/>
          </w:tcPr>
          <w:p w14:paraId="4677B03D" w14:textId="64BDA762" w:rsidR="005D5DCB" w:rsidRPr="00903CCF" w:rsidRDefault="005D5DCB" w:rsidP="00F93E82">
            <w:pPr>
              <w:spacing w:before="100" w:beforeAutospacing="1"/>
              <w:ind w:right="140"/>
              <w:rPr>
                <w:spacing w:val="-2"/>
              </w:rPr>
            </w:pPr>
            <w:r w:rsidRPr="00903CCF">
              <w:rPr>
                <w:spacing w:val="-2"/>
              </w:rPr>
              <w:t>izmaiņas, salīdzinot ar vidēja termiņa budžeta ietvaru 202</w:t>
            </w:r>
            <w:r w:rsidR="00F93E82" w:rsidRPr="00903CCF">
              <w:rPr>
                <w:spacing w:val="-2"/>
              </w:rPr>
              <w:t>3</w:t>
            </w:r>
            <w:r w:rsidRPr="00903CCF">
              <w:rPr>
                <w:spacing w:val="-2"/>
              </w:rPr>
              <w:t>. gadam</w:t>
            </w:r>
          </w:p>
        </w:tc>
      </w:tr>
      <w:tr w:rsidR="0033686E" w:rsidRPr="00903CCF" w14:paraId="676C7CA7" w14:textId="77777777" w:rsidTr="00F93E82">
        <w:tc>
          <w:tcPr>
            <w:tcW w:w="1714" w:type="dxa"/>
            <w:tcBorders>
              <w:top w:val="outset" w:sz="6" w:space="0" w:color="414142"/>
              <w:left w:val="outset" w:sz="6" w:space="0" w:color="414142"/>
              <w:bottom w:val="outset" w:sz="6" w:space="0" w:color="414142"/>
              <w:right w:val="outset" w:sz="6" w:space="0" w:color="414142"/>
            </w:tcBorders>
            <w:vAlign w:val="center"/>
            <w:hideMark/>
          </w:tcPr>
          <w:p w14:paraId="394229AB"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1</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A4561A9"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2</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2C05063"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3</w:t>
            </w:r>
          </w:p>
        </w:tc>
        <w:tc>
          <w:tcPr>
            <w:tcW w:w="1000" w:type="dxa"/>
            <w:tcBorders>
              <w:top w:val="outset" w:sz="6" w:space="0" w:color="414142"/>
              <w:left w:val="outset" w:sz="6" w:space="0" w:color="414142"/>
              <w:bottom w:val="outset" w:sz="6" w:space="0" w:color="414142"/>
              <w:right w:val="outset" w:sz="6" w:space="0" w:color="414142"/>
            </w:tcBorders>
            <w:vAlign w:val="center"/>
            <w:hideMark/>
          </w:tcPr>
          <w:p w14:paraId="76D89E15"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4</w:t>
            </w:r>
          </w:p>
        </w:tc>
        <w:tc>
          <w:tcPr>
            <w:tcW w:w="1287" w:type="dxa"/>
            <w:tcBorders>
              <w:top w:val="outset" w:sz="6" w:space="0" w:color="414142"/>
              <w:left w:val="outset" w:sz="6" w:space="0" w:color="414142"/>
              <w:bottom w:val="outset" w:sz="6" w:space="0" w:color="414142"/>
              <w:right w:val="outset" w:sz="6" w:space="0" w:color="414142"/>
            </w:tcBorders>
            <w:vAlign w:val="center"/>
            <w:hideMark/>
          </w:tcPr>
          <w:p w14:paraId="6F358DB4"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5</w:t>
            </w:r>
          </w:p>
        </w:tc>
        <w:tc>
          <w:tcPr>
            <w:tcW w:w="998" w:type="dxa"/>
            <w:tcBorders>
              <w:top w:val="outset" w:sz="6" w:space="0" w:color="414142"/>
              <w:left w:val="outset" w:sz="6" w:space="0" w:color="414142"/>
              <w:bottom w:val="outset" w:sz="6" w:space="0" w:color="414142"/>
              <w:right w:val="outset" w:sz="6" w:space="0" w:color="414142"/>
            </w:tcBorders>
            <w:vAlign w:val="center"/>
            <w:hideMark/>
          </w:tcPr>
          <w:p w14:paraId="748A18D1"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6</w:t>
            </w:r>
          </w:p>
        </w:tc>
        <w:tc>
          <w:tcPr>
            <w:tcW w:w="1432" w:type="dxa"/>
            <w:tcBorders>
              <w:top w:val="outset" w:sz="6" w:space="0" w:color="414142"/>
              <w:left w:val="outset" w:sz="6" w:space="0" w:color="414142"/>
              <w:bottom w:val="outset" w:sz="6" w:space="0" w:color="414142"/>
              <w:right w:val="outset" w:sz="6" w:space="0" w:color="414142"/>
            </w:tcBorders>
            <w:vAlign w:val="center"/>
            <w:hideMark/>
          </w:tcPr>
          <w:p w14:paraId="70E6EF73"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7</w:t>
            </w:r>
          </w:p>
        </w:tc>
        <w:tc>
          <w:tcPr>
            <w:tcW w:w="1286" w:type="dxa"/>
            <w:tcBorders>
              <w:top w:val="outset" w:sz="6" w:space="0" w:color="414142"/>
              <w:left w:val="outset" w:sz="6" w:space="0" w:color="414142"/>
              <w:bottom w:val="outset" w:sz="6" w:space="0" w:color="414142"/>
              <w:right w:val="outset" w:sz="6" w:space="0" w:color="414142"/>
            </w:tcBorders>
            <w:vAlign w:val="center"/>
            <w:hideMark/>
          </w:tcPr>
          <w:p w14:paraId="667D13C6" w14:textId="77777777" w:rsidR="005D5DCB" w:rsidRPr="00903CCF" w:rsidRDefault="005D5DCB" w:rsidP="000602B5">
            <w:pPr>
              <w:spacing w:before="100" w:beforeAutospacing="1" w:after="100" w:afterAutospacing="1" w:line="360" w:lineRule="auto"/>
              <w:ind w:right="140" w:firstLine="300"/>
              <w:jc w:val="center"/>
              <w:rPr>
                <w:spacing w:val="-2"/>
              </w:rPr>
            </w:pPr>
            <w:r w:rsidRPr="00903CCF">
              <w:rPr>
                <w:spacing w:val="-2"/>
              </w:rPr>
              <w:t>8</w:t>
            </w:r>
          </w:p>
        </w:tc>
      </w:tr>
      <w:tr w:rsidR="00F93E82" w:rsidRPr="00903CCF" w14:paraId="5DE0BDA7"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47F6F7D2" w14:textId="77777777" w:rsidR="00F93E82" w:rsidRPr="00903CCF" w:rsidRDefault="00F93E82" w:rsidP="00F93E82">
            <w:pPr>
              <w:ind w:right="140"/>
              <w:rPr>
                <w:spacing w:val="-2"/>
              </w:rPr>
            </w:pPr>
            <w:r w:rsidRPr="00903CCF">
              <w:rPr>
                <w:spacing w:val="-2"/>
              </w:rPr>
              <w:t>1. Budžeta ieņēmumi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688E155E" w14:textId="0EEE142F" w:rsidR="00F93E82" w:rsidRPr="00903CCF" w:rsidRDefault="00F93E82" w:rsidP="00F93E82">
            <w:pPr>
              <w:ind w:right="140"/>
              <w:jc w:val="center"/>
              <w:rPr>
                <w:spacing w:val="-2"/>
              </w:rPr>
            </w:pPr>
            <w:r w:rsidRPr="00903CCF">
              <w:rPr>
                <w:spacing w:val="-2"/>
              </w:rPr>
              <w:t>799 991</w:t>
            </w:r>
          </w:p>
        </w:tc>
        <w:tc>
          <w:tcPr>
            <w:tcW w:w="1145" w:type="dxa"/>
            <w:tcBorders>
              <w:top w:val="outset" w:sz="6" w:space="0" w:color="414142"/>
              <w:left w:val="outset" w:sz="6" w:space="0" w:color="414142"/>
              <w:bottom w:val="outset" w:sz="6" w:space="0" w:color="414142"/>
              <w:right w:val="outset" w:sz="6" w:space="0" w:color="414142"/>
            </w:tcBorders>
            <w:vAlign w:val="center"/>
          </w:tcPr>
          <w:p w14:paraId="2DD6AE70" w14:textId="5E891475"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1FEEB8C2" w14:textId="4BE2ADFC"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2432BB8D" w14:textId="52398273"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4951D83A" w14:textId="034E50D2"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63E11843" w14:textId="6E7F3000"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4D6CB175" w14:textId="2061542F" w:rsidR="00F93E82" w:rsidRPr="00903CCF" w:rsidRDefault="00F93E82" w:rsidP="00F93E82">
            <w:pPr>
              <w:ind w:right="140"/>
              <w:jc w:val="center"/>
              <w:rPr>
                <w:spacing w:val="-2"/>
              </w:rPr>
            </w:pPr>
            <w:r w:rsidRPr="00903CCF">
              <w:rPr>
                <w:spacing w:val="-2"/>
              </w:rPr>
              <w:t>0</w:t>
            </w:r>
          </w:p>
        </w:tc>
      </w:tr>
      <w:tr w:rsidR="00F93E82" w:rsidRPr="00903CCF" w14:paraId="540211A6"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11D89BF1" w14:textId="77777777" w:rsidR="00F93E82" w:rsidRPr="00903CCF" w:rsidRDefault="00F93E82" w:rsidP="00F93E82">
            <w:pPr>
              <w:ind w:right="140"/>
              <w:rPr>
                <w:spacing w:val="-2"/>
              </w:rPr>
            </w:pPr>
            <w:r w:rsidRPr="00903CCF">
              <w:rPr>
                <w:spacing w:val="-2"/>
              </w:rPr>
              <w:t>1.1. valsts pamatbudžets, tai skaitā ieņēmumi no maksas pakalpojumiem un citi pašu ieņēmumi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3DE33216" w14:textId="50E753EF" w:rsidR="00F93E82" w:rsidRPr="00903CCF" w:rsidRDefault="00F93E82" w:rsidP="00F93E82">
            <w:pPr>
              <w:ind w:right="140"/>
              <w:jc w:val="center"/>
              <w:rPr>
                <w:spacing w:val="-2"/>
              </w:rPr>
            </w:pPr>
            <w:r w:rsidRPr="00903CCF">
              <w:rPr>
                <w:spacing w:val="-2"/>
              </w:rPr>
              <w:t>799 991</w:t>
            </w:r>
          </w:p>
        </w:tc>
        <w:tc>
          <w:tcPr>
            <w:tcW w:w="1145" w:type="dxa"/>
            <w:tcBorders>
              <w:top w:val="outset" w:sz="6" w:space="0" w:color="414142"/>
              <w:left w:val="outset" w:sz="6" w:space="0" w:color="414142"/>
              <w:bottom w:val="outset" w:sz="6" w:space="0" w:color="414142"/>
              <w:right w:val="outset" w:sz="6" w:space="0" w:color="414142"/>
            </w:tcBorders>
            <w:vAlign w:val="center"/>
          </w:tcPr>
          <w:p w14:paraId="50053F0C" w14:textId="558BCEE4"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74508D04" w14:textId="6F8CDD36"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513ED49A" w14:textId="0A0F5F66"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726F056A" w14:textId="0ACB8C6C"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282F9BCF" w14:textId="3DD6BFD6"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4579280B" w14:textId="728A3BD9" w:rsidR="00F93E82" w:rsidRPr="00903CCF" w:rsidRDefault="00F93E82" w:rsidP="00F93E82">
            <w:pPr>
              <w:ind w:right="140"/>
              <w:jc w:val="center"/>
              <w:rPr>
                <w:spacing w:val="-2"/>
              </w:rPr>
            </w:pPr>
            <w:r w:rsidRPr="00903CCF">
              <w:rPr>
                <w:spacing w:val="-2"/>
              </w:rPr>
              <w:t>0</w:t>
            </w:r>
          </w:p>
        </w:tc>
      </w:tr>
      <w:tr w:rsidR="00F93E82" w:rsidRPr="00903CCF" w14:paraId="1DEEDA99"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6E6BFD78" w14:textId="46027B36" w:rsidR="00F93E82" w:rsidRPr="00903CCF" w:rsidRDefault="00F93E82" w:rsidP="00F93E82">
            <w:pPr>
              <w:ind w:right="140"/>
              <w:rPr>
                <w:spacing w:val="-2"/>
              </w:rPr>
            </w:pPr>
            <w:r w:rsidRPr="00903CCF">
              <w:rPr>
                <w:spacing w:val="-2"/>
              </w:rPr>
              <w:t>1.2.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FE7E193" w14:textId="521D2D64"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3DC59D58" w14:textId="44632D12"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613203BF" w14:textId="2BC4D9EA"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56C69ADD" w14:textId="39E8BFB3"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1C300061" w14:textId="310EF9C4"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788B58E2" w14:textId="26908F79"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14DDD987" w14:textId="55E825E4" w:rsidR="00F93E82" w:rsidRPr="00903CCF" w:rsidRDefault="00F93E82" w:rsidP="00F93E82">
            <w:pPr>
              <w:ind w:right="140"/>
              <w:jc w:val="center"/>
              <w:rPr>
                <w:spacing w:val="-2"/>
              </w:rPr>
            </w:pPr>
            <w:r w:rsidRPr="00903CCF">
              <w:rPr>
                <w:spacing w:val="-2"/>
              </w:rPr>
              <w:t>0</w:t>
            </w:r>
          </w:p>
        </w:tc>
      </w:tr>
      <w:tr w:rsidR="00F93E82" w:rsidRPr="00903CCF" w14:paraId="56C88732"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6F44EF27" w14:textId="55EF3C46" w:rsidR="00F93E82" w:rsidRPr="00903CCF" w:rsidRDefault="00F93E82" w:rsidP="00F93E82">
            <w:pPr>
              <w:ind w:right="140"/>
              <w:rPr>
                <w:spacing w:val="-2"/>
              </w:rPr>
            </w:pPr>
            <w:r w:rsidRPr="00903CCF">
              <w:rPr>
                <w:spacing w:val="-2"/>
              </w:rPr>
              <w:t>1.3.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4297A7A0" w14:textId="11019422"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4F0673B9" w14:textId="049C875D"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45926ECD" w14:textId="0401B84E"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1DB18C36" w14:textId="510840AE"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3F5CB002" w14:textId="44A643D4"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61D92600" w14:textId="3984F615"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6293AFB4" w14:textId="11C88DA9" w:rsidR="00F93E82" w:rsidRPr="00903CCF" w:rsidRDefault="00F93E82" w:rsidP="00F93E82">
            <w:pPr>
              <w:ind w:right="140"/>
              <w:jc w:val="center"/>
              <w:rPr>
                <w:spacing w:val="-2"/>
              </w:rPr>
            </w:pPr>
            <w:r w:rsidRPr="00903CCF">
              <w:rPr>
                <w:spacing w:val="-2"/>
              </w:rPr>
              <w:t>0</w:t>
            </w:r>
          </w:p>
        </w:tc>
      </w:tr>
      <w:tr w:rsidR="00F93E82" w:rsidRPr="00903CCF" w14:paraId="66D45912"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65F77E33" w14:textId="5A8DECF6" w:rsidR="00F93E82" w:rsidRPr="00903CCF" w:rsidRDefault="00F93E82" w:rsidP="00F93E82">
            <w:pPr>
              <w:ind w:right="140"/>
              <w:rPr>
                <w:spacing w:val="-2"/>
              </w:rPr>
            </w:pPr>
            <w:r w:rsidRPr="00903CCF">
              <w:rPr>
                <w:spacing w:val="-2"/>
              </w:rPr>
              <w:t>2. Budžeta izdevumi</w:t>
            </w:r>
          </w:p>
        </w:tc>
        <w:tc>
          <w:tcPr>
            <w:tcW w:w="1144" w:type="dxa"/>
            <w:tcBorders>
              <w:top w:val="outset" w:sz="6" w:space="0" w:color="414142"/>
              <w:left w:val="outset" w:sz="6" w:space="0" w:color="414142"/>
              <w:bottom w:val="outset" w:sz="6" w:space="0" w:color="414142"/>
              <w:right w:val="outset" w:sz="6" w:space="0" w:color="414142"/>
            </w:tcBorders>
            <w:vAlign w:val="center"/>
          </w:tcPr>
          <w:p w14:paraId="62B16017" w14:textId="598EA999" w:rsidR="00F93E82" w:rsidRPr="00903CCF" w:rsidRDefault="00F93E82" w:rsidP="00F93E82">
            <w:pPr>
              <w:ind w:right="140"/>
              <w:jc w:val="center"/>
              <w:rPr>
                <w:spacing w:val="-2"/>
              </w:rPr>
            </w:pPr>
            <w:r w:rsidRPr="00903CCF">
              <w:rPr>
                <w:spacing w:val="-2"/>
              </w:rPr>
              <w:t>799 991</w:t>
            </w:r>
          </w:p>
        </w:tc>
        <w:tc>
          <w:tcPr>
            <w:tcW w:w="1145" w:type="dxa"/>
            <w:tcBorders>
              <w:top w:val="outset" w:sz="6" w:space="0" w:color="414142"/>
              <w:left w:val="outset" w:sz="6" w:space="0" w:color="414142"/>
              <w:bottom w:val="outset" w:sz="6" w:space="0" w:color="414142"/>
              <w:right w:val="outset" w:sz="6" w:space="0" w:color="414142"/>
            </w:tcBorders>
            <w:vAlign w:val="center"/>
          </w:tcPr>
          <w:p w14:paraId="49C02BF8" w14:textId="510D2D78"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6C63AC39" w14:textId="01963B1A"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46D2EC76" w14:textId="7B65F423"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24C6381F" w14:textId="1153DC8D"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6363BB27" w14:textId="5940D993"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040FA25C" w14:textId="04F8DEF4" w:rsidR="00F93E82" w:rsidRPr="00903CCF" w:rsidRDefault="00F93E82" w:rsidP="00F93E82">
            <w:pPr>
              <w:ind w:right="140"/>
              <w:jc w:val="center"/>
              <w:rPr>
                <w:spacing w:val="-2"/>
              </w:rPr>
            </w:pPr>
            <w:r w:rsidRPr="00903CCF">
              <w:rPr>
                <w:spacing w:val="-2"/>
              </w:rPr>
              <w:t>0</w:t>
            </w:r>
          </w:p>
        </w:tc>
      </w:tr>
      <w:tr w:rsidR="00F93E82" w:rsidRPr="00903CCF" w14:paraId="1BD6FD14"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7B69E379" w14:textId="61FB6905" w:rsidR="00F93E82" w:rsidRPr="00903CCF" w:rsidRDefault="00F93E82" w:rsidP="00F93E82">
            <w:pPr>
              <w:ind w:right="140"/>
              <w:rPr>
                <w:spacing w:val="-2"/>
              </w:rPr>
            </w:pPr>
            <w:r w:rsidRPr="00903CCF">
              <w:rPr>
                <w:spacing w:val="-2"/>
              </w:rPr>
              <w:t>2.1.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2848944A" w14:textId="5C30F457" w:rsidR="00F93E82" w:rsidRPr="00903CCF" w:rsidRDefault="00F93E82" w:rsidP="00F93E82">
            <w:pPr>
              <w:ind w:right="140"/>
              <w:jc w:val="center"/>
              <w:rPr>
                <w:spacing w:val="-2"/>
              </w:rPr>
            </w:pPr>
            <w:r w:rsidRPr="00903CCF">
              <w:rPr>
                <w:spacing w:val="-2"/>
              </w:rPr>
              <w:t>799 991</w:t>
            </w:r>
          </w:p>
        </w:tc>
        <w:tc>
          <w:tcPr>
            <w:tcW w:w="1145" w:type="dxa"/>
            <w:tcBorders>
              <w:top w:val="outset" w:sz="6" w:space="0" w:color="414142"/>
              <w:left w:val="outset" w:sz="6" w:space="0" w:color="414142"/>
              <w:bottom w:val="outset" w:sz="6" w:space="0" w:color="414142"/>
              <w:right w:val="outset" w:sz="6" w:space="0" w:color="414142"/>
            </w:tcBorders>
            <w:vAlign w:val="center"/>
          </w:tcPr>
          <w:p w14:paraId="036DB420" w14:textId="5D1A93A8"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22A3EFEA" w14:textId="5F9F7D01"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0637B802" w14:textId="048B7B90"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229AC998" w14:textId="761001E0"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27348DC8" w14:textId="5F24E1EA"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26300906" w14:textId="41CFF51E" w:rsidR="00F93E82" w:rsidRPr="00903CCF" w:rsidRDefault="00F93E82" w:rsidP="00F93E82">
            <w:pPr>
              <w:ind w:right="140"/>
              <w:jc w:val="center"/>
              <w:rPr>
                <w:spacing w:val="-2"/>
              </w:rPr>
            </w:pPr>
            <w:r w:rsidRPr="00903CCF">
              <w:rPr>
                <w:spacing w:val="-2"/>
              </w:rPr>
              <w:t>0</w:t>
            </w:r>
          </w:p>
        </w:tc>
      </w:tr>
      <w:tr w:rsidR="00F93E82" w:rsidRPr="00903CCF" w14:paraId="300B15BA"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21B7B033" w14:textId="03F3FA24" w:rsidR="00F93E82" w:rsidRPr="00903CCF" w:rsidRDefault="00F93E82" w:rsidP="00F93E82">
            <w:pPr>
              <w:ind w:right="140"/>
              <w:rPr>
                <w:spacing w:val="-2"/>
              </w:rPr>
            </w:pPr>
            <w:r w:rsidRPr="00903CCF">
              <w:rPr>
                <w:spacing w:val="-2"/>
              </w:rPr>
              <w:t>2.2. valsts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1EEF5664" w14:textId="4C631492"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5ED20734" w14:textId="10190793"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3A6B3DAB" w14:textId="2B444069"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3F29928D" w14:textId="7467C3D9"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38E8055D" w14:textId="4BD15584"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382287F8" w14:textId="38CA8232"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1FC6FE00" w14:textId="49D4CE1D" w:rsidR="00F93E82" w:rsidRPr="00903CCF" w:rsidRDefault="00F93E82" w:rsidP="00F93E82">
            <w:pPr>
              <w:ind w:right="140"/>
              <w:jc w:val="center"/>
              <w:rPr>
                <w:spacing w:val="-2"/>
              </w:rPr>
            </w:pPr>
            <w:r w:rsidRPr="00903CCF">
              <w:rPr>
                <w:spacing w:val="-2"/>
              </w:rPr>
              <w:t>0</w:t>
            </w:r>
          </w:p>
        </w:tc>
      </w:tr>
      <w:tr w:rsidR="00F93E82" w:rsidRPr="00903CCF" w14:paraId="7408B479"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344D3E3D" w14:textId="267DF961" w:rsidR="00F93E82" w:rsidRPr="00903CCF" w:rsidRDefault="00F93E82" w:rsidP="00F93E82">
            <w:pPr>
              <w:ind w:right="140"/>
              <w:rPr>
                <w:spacing w:val="-2"/>
              </w:rPr>
            </w:pPr>
            <w:r w:rsidRPr="00903CCF">
              <w:rPr>
                <w:spacing w:val="-2"/>
              </w:rPr>
              <w:t>2.3.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12597072" w14:textId="0A22087B"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0C3B876E" w14:textId="56AC07B0"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62C73B69" w14:textId="20AFBCD6"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103F0AAE" w14:textId="10EC25AD"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5D897F63" w14:textId="4E6E1FB6"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7EE8F26C" w14:textId="71C355FE"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49A903EF" w14:textId="45D8BAAB" w:rsidR="00F93E82" w:rsidRPr="00903CCF" w:rsidRDefault="00F93E82" w:rsidP="00F93E82">
            <w:pPr>
              <w:ind w:right="140"/>
              <w:jc w:val="center"/>
              <w:rPr>
                <w:spacing w:val="-2"/>
              </w:rPr>
            </w:pPr>
            <w:r w:rsidRPr="00903CCF">
              <w:rPr>
                <w:spacing w:val="-2"/>
              </w:rPr>
              <w:t>0</w:t>
            </w:r>
          </w:p>
        </w:tc>
      </w:tr>
      <w:tr w:rsidR="00F93E82" w:rsidRPr="00903CCF" w14:paraId="64329ADB"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0D007F32" w14:textId="34C35D22" w:rsidR="00F93E82" w:rsidRPr="00903CCF" w:rsidRDefault="00F93E82" w:rsidP="00F93E82">
            <w:pPr>
              <w:ind w:right="140"/>
              <w:rPr>
                <w:spacing w:val="-2"/>
              </w:rPr>
            </w:pPr>
            <w:r w:rsidRPr="00903CCF">
              <w:rPr>
                <w:spacing w:val="-2"/>
              </w:rPr>
              <w:t>3. Finansiālā ietekme</w:t>
            </w:r>
          </w:p>
        </w:tc>
        <w:tc>
          <w:tcPr>
            <w:tcW w:w="1144" w:type="dxa"/>
            <w:tcBorders>
              <w:top w:val="outset" w:sz="6" w:space="0" w:color="414142"/>
              <w:left w:val="outset" w:sz="6" w:space="0" w:color="414142"/>
              <w:bottom w:val="outset" w:sz="6" w:space="0" w:color="414142"/>
              <w:right w:val="outset" w:sz="6" w:space="0" w:color="414142"/>
            </w:tcBorders>
            <w:vAlign w:val="center"/>
          </w:tcPr>
          <w:p w14:paraId="671C50BE" w14:textId="62606AA4"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44526FFA" w14:textId="27E80C99"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299E9354" w14:textId="0C381D35"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4386B842" w14:textId="5FC522A3"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2257A567" w14:textId="28CEC3BF"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177129B3" w14:textId="1F384BE2"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6B59843A" w14:textId="5F93662B" w:rsidR="00F93E82" w:rsidRPr="00903CCF" w:rsidRDefault="00F93E82" w:rsidP="00F93E82">
            <w:pPr>
              <w:ind w:right="140"/>
              <w:jc w:val="center"/>
              <w:rPr>
                <w:spacing w:val="-2"/>
              </w:rPr>
            </w:pPr>
            <w:r w:rsidRPr="00903CCF">
              <w:rPr>
                <w:spacing w:val="-2"/>
              </w:rPr>
              <w:t>0</w:t>
            </w:r>
          </w:p>
        </w:tc>
      </w:tr>
      <w:tr w:rsidR="00F93E82" w:rsidRPr="00903CCF" w14:paraId="592771A5"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046BB215" w14:textId="019F83E4" w:rsidR="00F93E82" w:rsidRPr="00903CCF" w:rsidRDefault="00F93E82" w:rsidP="00F93E82">
            <w:pPr>
              <w:ind w:right="140"/>
              <w:rPr>
                <w:spacing w:val="-2"/>
              </w:rPr>
            </w:pPr>
            <w:r w:rsidRPr="00903CCF">
              <w:rPr>
                <w:spacing w:val="-2"/>
              </w:rPr>
              <w:t>3.1. valsts pamatbudžets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329B8009" w14:textId="596458CC"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128B99C9" w14:textId="79AF69DD"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1097768F" w14:textId="597D48BB"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1DAC0AD1" w14:textId="365C1B1B"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6C27B69C" w14:textId="0688A73D"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4A9571D6" w14:textId="43848D20"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623CFF9F" w14:textId="597892AB" w:rsidR="00F93E82" w:rsidRPr="00903CCF" w:rsidRDefault="00F93E82" w:rsidP="00F93E82">
            <w:pPr>
              <w:ind w:right="140"/>
              <w:jc w:val="center"/>
              <w:rPr>
                <w:spacing w:val="-2"/>
              </w:rPr>
            </w:pPr>
            <w:r w:rsidRPr="00903CCF">
              <w:rPr>
                <w:spacing w:val="-2"/>
              </w:rPr>
              <w:t>0</w:t>
            </w:r>
          </w:p>
        </w:tc>
      </w:tr>
      <w:tr w:rsidR="00F93E82" w:rsidRPr="00903CCF" w14:paraId="5053A06F"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593F9C95" w14:textId="3FAC8BB6" w:rsidR="00F93E82" w:rsidRPr="00903CCF" w:rsidRDefault="00F93E82" w:rsidP="00F93E82">
            <w:pPr>
              <w:ind w:right="140"/>
              <w:rPr>
                <w:spacing w:val="-2"/>
              </w:rPr>
            </w:pPr>
            <w:r w:rsidRPr="00903CCF">
              <w:rPr>
                <w:spacing w:val="-2"/>
              </w:rPr>
              <w:t>3.2. speciālais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7866F191" w14:textId="1DE8526F"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204E4808" w14:textId="74AF30CE"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762E1439" w14:textId="7FF04FC9"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60CACD2F" w14:textId="4131C316"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5F2E754A" w14:textId="2D160094"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14568355" w14:textId="40210296"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55F9197C" w14:textId="7D5EFA12" w:rsidR="00F93E82" w:rsidRPr="00903CCF" w:rsidRDefault="00F93E82" w:rsidP="00F93E82">
            <w:pPr>
              <w:ind w:right="140"/>
              <w:jc w:val="center"/>
              <w:rPr>
                <w:spacing w:val="-2"/>
              </w:rPr>
            </w:pPr>
            <w:r w:rsidRPr="00903CCF">
              <w:rPr>
                <w:spacing w:val="-2"/>
              </w:rPr>
              <w:t>0</w:t>
            </w:r>
          </w:p>
        </w:tc>
      </w:tr>
      <w:tr w:rsidR="00F93E82" w:rsidRPr="00903CCF" w14:paraId="7B57B384"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333E9BDD" w14:textId="0640C1FF" w:rsidR="00F93E82" w:rsidRPr="00903CCF" w:rsidRDefault="00F93E82" w:rsidP="00F93E82">
            <w:pPr>
              <w:ind w:right="140"/>
              <w:rPr>
                <w:spacing w:val="-2"/>
              </w:rPr>
            </w:pPr>
            <w:r w:rsidRPr="00903CCF">
              <w:rPr>
                <w:spacing w:val="-2"/>
              </w:rPr>
              <w:t>3.3. pašvaldību budžets</w:t>
            </w:r>
          </w:p>
        </w:tc>
        <w:tc>
          <w:tcPr>
            <w:tcW w:w="1144" w:type="dxa"/>
            <w:tcBorders>
              <w:top w:val="outset" w:sz="6" w:space="0" w:color="414142"/>
              <w:left w:val="outset" w:sz="6" w:space="0" w:color="414142"/>
              <w:bottom w:val="outset" w:sz="6" w:space="0" w:color="414142"/>
              <w:right w:val="outset" w:sz="6" w:space="0" w:color="414142"/>
            </w:tcBorders>
            <w:vAlign w:val="center"/>
          </w:tcPr>
          <w:p w14:paraId="03EE4973" w14:textId="52228384"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67848449" w14:textId="111C50C6"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61D3D79C" w14:textId="06536C0A"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17035584" w14:textId="49646046"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75F45442" w14:textId="2ACE3074"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395167BB" w14:textId="43258F82"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03053F3D" w14:textId="29B7ABA6" w:rsidR="00F93E82" w:rsidRPr="00903CCF" w:rsidRDefault="00F93E82" w:rsidP="00F93E82">
            <w:pPr>
              <w:ind w:right="140"/>
              <w:jc w:val="center"/>
              <w:rPr>
                <w:spacing w:val="-2"/>
              </w:rPr>
            </w:pPr>
            <w:r w:rsidRPr="00903CCF">
              <w:rPr>
                <w:spacing w:val="-2"/>
              </w:rPr>
              <w:t>0</w:t>
            </w:r>
          </w:p>
        </w:tc>
      </w:tr>
      <w:tr w:rsidR="00F93E82" w:rsidRPr="00903CCF" w14:paraId="41BCBFA1"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6E8EBD2C" w14:textId="0BC54368" w:rsidR="00F93E82" w:rsidRPr="00903CCF" w:rsidRDefault="00F93E82" w:rsidP="00F93E82">
            <w:pPr>
              <w:ind w:right="140"/>
              <w:rPr>
                <w:spacing w:val="-2"/>
              </w:rPr>
            </w:pPr>
            <w:r w:rsidRPr="00903CCF">
              <w:rPr>
                <w:spacing w:val="-2"/>
              </w:rPr>
              <w:t>4. Finanšu līdzekļi papildu izdevumu finansēšanai (kompensējošu izdevumu samazinājumu norāda ar "+" zīmi)</w:t>
            </w:r>
          </w:p>
        </w:tc>
        <w:tc>
          <w:tcPr>
            <w:tcW w:w="114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4FC393E" w14:textId="48680366" w:rsidR="00F93E82" w:rsidRPr="00903CCF" w:rsidRDefault="00F93E82" w:rsidP="00F93E82">
            <w:pPr>
              <w:ind w:right="140"/>
              <w:jc w:val="center"/>
              <w:rPr>
                <w:spacing w:val="-2"/>
              </w:rPr>
            </w:pPr>
            <w:r w:rsidRPr="00903CCF">
              <w:rPr>
                <w:spacing w:val="-2"/>
              </w:rPr>
              <w:t>0</w:t>
            </w:r>
          </w:p>
        </w:tc>
        <w:tc>
          <w:tcPr>
            <w:tcW w:w="1145" w:type="dxa"/>
            <w:tcBorders>
              <w:top w:val="outset" w:sz="6" w:space="0" w:color="414142"/>
              <w:left w:val="outset" w:sz="6" w:space="0" w:color="414142"/>
              <w:bottom w:val="outset" w:sz="6" w:space="0" w:color="414142"/>
              <w:right w:val="outset" w:sz="6" w:space="0" w:color="414142"/>
            </w:tcBorders>
            <w:vAlign w:val="center"/>
          </w:tcPr>
          <w:p w14:paraId="0B2CEDE5" w14:textId="59572FED" w:rsidR="00F93E82" w:rsidRPr="00903CCF" w:rsidRDefault="00F93E82" w:rsidP="00F93E82">
            <w:pPr>
              <w:ind w:right="140"/>
              <w:jc w:val="center"/>
              <w:rPr>
                <w:spacing w:val="-2"/>
              </w:rPr>
            </w:pPr>
            <w:r w:rsidRPr="00903CCF">
              <w:rPr>
                <w:spacing w:val="-2"/>
              </w:rPr>
              <w:t>0</w:t>
            </w:r>
          </w:p>
        </w:tc>
        <w:tc>
          <w:tcPr>
            <w:tcW w:w="1000" w:type="dxa"/>
            <w:tcBorders>
              <w:top w:val="outset" w:sz="6" w:space="0" w:color="414142"/>
              <w:left w:val="outset" w:sz="6" w:space="0" w:color="414142"/>
              <w:bottom w:val="outset" w:sz="6" w:space="0" w:color="414142"/>
              <w:right w:val="outset" w:sz="6" w:space="0" w:color="414142"/>
            </w:tcBorders>
            <w:vAlign w:val="center"/>
          </w:tcPr>
          <w:p w14:paraId="55AF3318" w14:textId="00D68911" w:rsidR="00F93E82" w:rsidRPr="00903CCF" w:rsidRDefault="00F93E82" w:rsidP="00F93E82">
            <w:pPr>
              <w:ind w:right="140"/>
              <w:jc w:val="center"/>
              <w:rPr>
                <w:spacing w:val="-2"/>
              </w:rPr>
            </w:pPr>
            <w:r w:rsidRPr="00903CCF">
              <w:rPr>
                <w:spacing w:val="-2"/>
              </w:rPr>
              <w:t>0</w:t>
            </w:r>
          </w:p>
        </w:tc>
        <w:tc>
          <w:tcPr>
            <w:tcW w:w="1287" w:type="dxa"/>
            <w:tcBorders>
              <w:top w:val="outset" w:sz="6" w:space="0" w:color="414142"/>
              <w:left w:val="outset" w:sz="6" w:space="0" w:color="414142"/>
              <w:bottom w:val="outset" w:sz="6" w:space="0" w:color="414142"/>
              <w:right w:val="outset" w:sz="6" w:space="0" w:color="414142"/>
            </w:tcBorders>
            <w:vAlign w:val="center"/>
          </w:tcPr>
          <w:p w14:paraId="3D4815CE" w14:textId="41550F37" w:rsidR="00F93E82" w:rsidRPr="00903CCF" w:rsidRDefault="00F93E82" w:rsidP="00F93E82">
            <w:pPr>
              <w:ind w:right="140"/>
              <w:jc w:val="center"/>
              <w:rPr>
                <w:spacing w:val="-2"/>
              </w:rPr>
            </w:pPr>
            <w:r w:rsidRPr="00903CCF">
              <w:rPr>
                <w:spacing w:val="-2"/>
              </w:rPr>
              <w:t>0</w:t>
            </w:r>
          </w:p>
        </w:tc>
        <w:tc>
          <w:tcPr>
            <w:tcW w:w="998" w:type="dxa"/>
            <w:tcBorders>
              <w:top w:val="outset" w:sz="6" w:space="0" w:color="414142"/>
              <w:left w:val="outset" w:sz="6" w:space="0" w:color="414142"/>
              <w:bottom w:val="outset" w:sz="6" w:space="0" w:color="414142"/>
              <w:right w:val="outset" w:sz="6" w:space="0" w:color="414142"/>
            </w:tcBorders>
            <w:vAlign w:val="center"/>
          </w:tcPr>
          <w:p w14:paraId="117963DE" w14:textId="77359A1A" w:rsidR="00F93E82" w:rsidRPr="00903CCF" w:rsidRDefault="00F93E82" w:rsidP="00F93E82">
            <w:pPr>
              <w:ind w:right="140"/>
              <w:jc w:val="center"/>
              <w:rPr>
                <w:spacing w:val="-2"/>
              </w:rPr>
            </w:pPr>
            <w:r w:rsidRPr="00903CCF">
              <w:rPr>
                <w:spacing w:val="-2"/>
              </w:rPr>
              <w:t>0</w:t>
            </w:r>
          </w:p>
        </w:tc>
        <w:tc>
          <w:tcPr>
            <w:tcW w:w="1432" w:type="dxa"/>
            <w:tcBorders>
              <w:top w:val="outset" w:sz="6" w:space="0" w:color="414142"/>
              <w:left w:val="outset" w:sz="6" w:space="0" w:color="414142"/>
              <w:bottom w:val="outset" w:sz="6" w:space="0" w:color="414142"/>
              <w:right w:val="outset" w:sz="6" w:space="0" w:color="414142"/>
            </w:tcBorders>
            <w:vAlign w:val="center"/>
          </w:tcPr>
          <w:p w14:paraId="78F901EE" w14:textId="5E65DD0A"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03CBEFD7" w14:textId="64F0FA75" w:rsidR="00F93E82" w:rsidRPr="00903CCF" w:rsidRDefault="00F93E82" w:rsidP="00F93E82">
            <w:pPr>
              <w:ind w:right="140"/>
              <w:jc w:val="center"/>
              <w:rPr>
                <w:spacing w:val="-2"/>
              </w:rPr>
            </w:pPr>
            <w:r w:rsidRPr="00903CCF">
              <w:rPr>
                <w:spacing w:val="-2"/>
              </w:rPr>
              <w:t>0</w:t>
            </w:r>
          </w:p>
        </w:tc>
      </w:tr>
      <w:tr w:rsidR="00F93E82" w:rsidRPr="00903CCF" w14:paraId="292049AE"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011069FF" w14:textId="21235E9A" w:rsidR="00F93E82" w:rsidRPr="00903CCF" w:rsidRDefault="00F93E82" w:rsidP="00F93E82">
            <w:pPr>
              <w:ind w:right="140"/>
              <w:rPr>
                <w:spacing w:val="-2"/>
              </w:rPr>
            </w:pPr>
            <w:r w:rsidRPr="00903CCF">
              <w:rPr>
                <w:spacing w:val="-2"/>
              </w:rPr>
              <w:t>5. Precizēta finansiālā ietekme</w:t>
            </w:r>
          </w:p>
        </w:tc>
        <w:tc>
          <w:tcPr>
            <w:tcW w:w="114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6DBEFB54" w14:textId="63147FA8" w:rsidR="00F93E82" w:rsidRPr="00903CCF" w:rsidRDefault="00F93E82" w:rsidP="00F93E82">
            <w:pPr>
              <w:ind w:right="140"/>
              <w:jc w:val="center"/>
              <w:rPr>
                <w:spacing w:val="-2"/>
              </w:rPr>
            </w:pPr>
            <w:r w:rsidRPr="00903CCF">
              <w:rPr>
                <w:spacing w:val="-2"/>
              </w:rPr>
              <w:t>X</w:t>
            </w:r>
          </w:p>
        </w:tc>
        <w:tc>
          <w:tcPr>
            <w:tcW w:w="1145" w:type="dxa"/>
            <w:tcBorders>
              <w:top w:val="outset" w:sz="6" w:space="0" w:color="414142"/>
              <w:left w:val="outset" w:sz="6" w:space="0" w:color="414142"/>
              <w:bottom w:val="outset" w:sz="6" w:space="0" w:color="414142"/>
              <w:right w:val="outset" w:sz="6" w:space="0" w:color="414142"/>
            </w:tcBorders>
            <w:vAlign w:val="center"/>
          </w:tcPr>
          <w:p w14:paraId="52BCBF59" w14:textId="6E68C3CB" w:rsidR="00F93E82" w:rsidRPr="00903CCF" w:rsidRDefault="00F93E82" w:rsidP="00F93E82">
            <w:pPr>
              <w:ind w:right="140"/>
              <w:jc w:val="center"/>
              <w:rPr>
                <w:spacing w:val="-2"/>
              </w:rPr>
            </w:pPr>
            <w:r w:rsidRPr="00903CCF">
              <w:rPr>
                <w:spacing w:val="-2"/>
              </w:rPr>
              <w:t>0</w:t>
            </w:r>
          </w:p>
        </w:tc>
        <w:tc>
          <w:tcPr>
            <w:tcW w:w="1000" w:type="dxa"/>
            <w:vMerge w:val="restart"/>
            <w:tcBorders>
              <w:top w:val="outset" w:sz="6" w:space="0" w:color="414142"/>
              <w:left w:val="outset" w:sz="6" w:space="0" w:color="414142"/>
              <w:bottom w:val="outset" w:sz="6" w:space="0" w:color="414142"/>
              <w:right w:val="outset" w:sz="6" w:space="0" w:color="414142"/>
            </w:tcBorders>
            <w:vAlign w:val="center"/>
          </w:tcPr>
          <w:p w14:paraId="2E05AC0C" w14:textId="7D943DCB" w:rsidR="00F93E82" w:rsidRPr="00903CCF" w:rsidRDefault="00F93E82" w:rsidP="00F93E82">
            <w:pPr>
              <w:ind w:right="140"/>
              <w:jc w:val="center"/>
              <w:rPr>
                <w:spacing w:val="-2"/>
              </w:rPr>
            </w:pPr>
            <w:r w:rsidRPr="00903CCF">
              <w:rPr>
                <w:spacing w:val="-2"/>
              </w:rPr>
              <w:t>X</w:t>
            </w:r>
          </w:p>
        </w:tc>
        <w:tc>
          <w:tcPr>
            <w:tcW w:w="1287" w:type="dxa"/>
            <w:tcBorders>
              <w:top w:val="outset" w:sz="6" w:space="0" w:color="414142"/>
              <w:left w:val="outset" w:sz="6" w:space="0" w:color="414142"/>
              <w:bottom w:val="outset" w:sz="6" w:space="0" w:color="414142"/>
              <w:right w:val="outset" w:sz="6" w:space="0" w:color="414142"/>
            </w:tcBorders>
            <w:vAlign w:val="center"/>
          </w:tcPr>
          <w:p w14:paraId="2AA625B9" w14:textId="67F1D033" w:rsidR="00F93E82" w:rsidRPr="00903CCF" w:rsidRDefault="00F93E82" w:rsidP="00F93E82">
            <w:pPr>
              <w:ind w:right="140"/>
              <w:jc w:val="center"/>
              <w:rPr>
                <w:spacing w:val="-2"/>
              </w:rPr>
            </w:pPr>
            <w:r w:rsidRPr="00903CCF">
              <w:rPr>
                <w:spacing w:val="-2"/>
              </w:rPr>
              <w:t>0</w:t>
            </w:r>
          </w:p>
        </w:tc>
        <w:tc>
          <w:tcPr>
            <w:tcW w:w="998" w:type="dxa"/>
            <w:vMerge w:val="restart"/>
            <w:tcBorders>
              <w:top w:val="outset" w:sz="6" w:space="0" w:color="414142"/>
              <w:left w:val="outset" w:sz="6" w:space="0" w:color="414142"/>
              <w:bottom w:val="outset" w:sz="6" w:space="0" w:color="414142"/>
              <w:right w:val="outset" w:sz="6" w:space="0" w:color="414142"/>
            </w:tcBorders>
            <w:vAlign w:val="center"/>
          </w:tcPr>
          <w:p w14:paraId="4301EA1F" w14:textId="1F4F29CE" w:rsidR="00F93E82" w:rsidRPr="00903CCF" w:rsidRDefault="00F93E82" w:rsidP="00F93E82">
            <w:pPr>
              <w:ind w:right="140"/>
              <w:jc w:val="center"/>
              <w:rPr>
                <w:spacing w:val="-2"/>
              </w:rPr>
            </w:pPr>
            <w:r w:rsidRPr="00903CCF">
              <w:rPr>
                <w:spacing w:val="-2"/>
              </w:rPr>
              <w:t>X</w:t>
            </w:r>
          </w:p>
        </w:tc>
        <w:tc>
          <w:tcPr>
            <w:tcW w:w="1432" w:type="dxa"/>
            <w:tcBorders>
              <w:top w:val="outset" w:sz="6" w:space="0" w:color="414142"/>
              <w:left w:val="outset" w:sz="6" w:space="0" w:color="414142"/>
              <w:bottom w:val="outset" w:sz="6" w:space="0" w:color="414142"/>
              <w:right w:val="outset" w:sz="6" w:space="0" w:color="414142"/>
            </w:tcBorders>
            <w:vAlign w:val="center"/>
          </w:tcPr>
          <w:p w14:paraId="3B7F7EC7" w14:textId="08B70219"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252F7821" w14:textId="098C3488" w:rsidR="00F93E82" w:rsidRPr="00903CCF" w:rsidRDefault="00F93E82" w:rsidP="00F93E82">
            <w:pPr>
              <w:ind w:right="140"/>
              <w:jc w:val="center"/>
              <w:rPr>
                <w:spacing w:val="-2"/>
              </w:rPr>
            </w:pPr>
            <w:r w:rsidRPr="00903CCF">
              <w:rPr>
                <w:spacing w:val="-2"/>
              </w:rPr>
              <w:t>0</w:t>
            </w:r>
          </w:p>
        </w:tc>
      </w:tr>
      <w:tr w:rsidR="00F93E82" w:rsidRPr="00903CCF" w14:paraId="7BF7987A"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56B75AD2" w14:textId="35527965" w:rsidR="00F93E82" w:rsidRPr="00903CCF" w:rsidRDefault="00F93E82" w:rsidP="00F93E82">
            <w:pPr>
              <w:ind w:right="140"/>
              <w:rPr>
                <w:spacing w:val="-2"/>
              </w:rPr>
            </w:pPr>
            <w:r w:rsidRPr="00903CCF">
              <w:rPr>
                <w:spacing w:val="-2"/>
              </w:rPr>
              <w:t>5.1. valsts pamatbudžets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5324167C" w14:textId="77777777" w:rsidR="00F93E82" w:rsidRPr="00903CCF" w:rsidRDefault="00F93E82" w:rsidP="00F93E82">
            <w:pPr>
              <w:ind w:right="140"/>
              <w:jc w:val="center"/>
              <w:rPr>
                <w:spacing w:val="-2"/>
              </w:rPr>
            </w:pPr>
          </w:p>
        </w:tc>
        <w:tc>
          <w:tcPr>
            <w:tcW w:w="1145" w:type="dxa"/>
            <w:tcBorders>
              <w:top w:val="outset" w:sz="6" w:space="0" w:color="414142"/>
              <w:left w:val="outset" w:sz="6" w:space="0" w:color="414142"/>
              <w:bottom w:val="outset" w:sz="6" w:space="0" w:color="414142"/>
              <w:right w:val="outset" w:sz="6" w:space="0" w:color="414142"/>
            </w:tcBorders>
            <w:vAlign w:val="center"/>
          </w:tcPr>
          <w:p w14:paraId="2A7F77FA" w14:textId="73895FF5" w:rsidR="00F93E82" w:rsidRPr="00903CCF" w:rsidRDefault="00F93E82" w:rsidP="00F93E82">
            <w:pPr>
              <w:ind w:right="140"/>
              <w:jc w:val="center"/>
              <w:rPr>
                <w:spacing w:val="-2"/>
              </w:rPr>
            </w:pPr>
            <w:r w:rsidRPr="00903CCF">
              <w:rPr>
                <w:spacing w:val="-2"/>
              </w:rPr>
              <w:t>0</w:t>
            </w:r>
          </w:p>
        </w:tc>
        <w:tc>
          <w:tcPr>
            <w:tcW w:w="1000" w:type="dxa"/>
            <w:vMerge/>
            <w:tcBorders>
              <w:top w:val="outset" w:sz="6" w:space="0" w:color="414142"/>
              <w:left w:val="outset" w:sz="6" w:space="0" w:color="414142"/>
              <w:bottom w:val="outset" w:sz="6" w:space="0" w:color="414142"/>
              <w:right w:val="outset" w:sz="6" w:space="0" w:color="414142"/>
            </w:tcBorders>
            <w:vAlign w:val="center"/>
          </w:tcPr>
          <w:p w14:paraId="772A7EFE" w14:textId="77777777" w:rsidR="00F93E82" w:rsidRPr="00903CCF" w:rsidRDefault="00F93E82" w:rsidP="00F93E82">
            <w:pPr>
              <w:ind w:right="140"/>
              <w:jc w:val="center"/>
              <w:rPr>
                <w:spacing w:val="-2"/>
              </w:rPr>
            </w:pPr>
          </w:p>
        </w:tc>
        <w:tc>
          <w:tcPr>
            <w:tcW w:w="1287" w:type="dxa"/>
            <w:tcBorders>
              <w:top w:val="outset" w:sz="6" w:space="0" w:color="414142"/>
              <w:left w:val="outset" w:sz="6" w:space="0" w:color="414142"/>
              <w:bottom w:val="outset" w:sz="6" w:space="0" w:color="414142"/>
              <w:right w:val="outset" w:sz="6" w:space="0" w:color="414142"/>
            </w:tcBorders>
            <w:vAlign w:val="center"/>
          </w:tcPr>
          <w:p w14:paraId="3456D9EC" w14:textId="2B98EF9E" w:rsidR="00F93E82" w:rsidRPr="00903CCF" w:rsidRDefault="00F93E82" w:rsidP="00F93E82">
            <w:pPr>
              <w:ind w:right="140"/>
              <w:jc w:val="center"/>
              <w:rPr>
                <w:spacing w:val="-2"/>
              </w:rPr>
            </w:pPr>
            <w:r w:rsidRPr="00903CCF">
              <w:rPr>
                <w:spacing w:val="-2"/>
              </w:rPr>
              <w:t>0</w:t>
            </w:r>
          </w:p>
        </w:tc>
        <w:tc>
          <w:tcPr>
            <w:tcW w:w="998" w:type="dxa"/>
            <w:vMerge/>
            <w:tcBorders>
              <w:top w:val="outset" w:sz="6" w:space="0" w:color="414142"/>
              <w:left w:val="outset" w:sz="6" w:space="0" w:color="414142"/>
              <w:bottom w:val="outset" w:sz="6" w:space="0" w:color="414142"/>
              <w:right w:val="outset" w:sz="6" w:space="0" w:color="414142"/>
            </w:tcBorders>
            <w:vAlign w:val="center"/>
          </w:tcPr>
          <w:p w14:paraId="02F3121F" w14:textId="77777777" w:rsidR="00F93E82" w:rsidRPr="00903CCF" w:rsidRDefault="00F93E82" w:rsidP="00F93E82">
            <w:pPr>
              <w:ind w:right="140"/>
              <w:jc w:val="center"/>
              <w:rPr>
                <w:spacing w:val="-2"/>
              </w:rPr>
            </w:pPr>
          </w:p>
        </w:tc>
        <w:tc>
          <w:tcPr>
            <w:tcW w:w="1432" w:type="dxa"/>
            <w:tcBorders>
              <w:top w:val="outset" w:sz="6" w:space="0" w:color="414142"/>
              <w:left w:val="outset" w:sz="6" w:space="0" w:color="414142"/>
              <w:bottom w:val="outset" w:sz="6" w:space="0" w:color="414142"/>
              <w:right w:val="outset" w:sz="6" w:space="0" w:color="414142"/>
            </w:tcBorders>
            <w:vAlign w:val="center"/>
          </w:tcPr>
          <w:p w14:paraId="420AEB81" w14:textId="6D3E32D8"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37F98F34" w14:textId="7983BB21" w:rsidR="00F93E82" w:rsidRPr="00903CCF" w:rsidRDefault="00F93E82" w:rsidP="00F93E82">
            <w:pPr>
              <w:ind w:right="140"/>
              <w:jc w:val="center"/>
              <w:rPr>
                <w:spacing w:val="-2"/>
              </w:rPr>
            </w:pPr>
            <w:r w:rsidRPr="00903CCF">
              <w:rPr>
                <w:spacing w:val="-2"/>
              </w:rPr>
              <w:t>0</w:t>
            </w:r>
          </w:p>
        </w:tc>
      </w:tr>
      <w:tr w:rsidR="00F93E82" w:rsidRPr="00903CCF" w14:paraId="12F96FBE"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64A1714F" w14:textId="512E16FD" w:rsidR="00F93E82" w:rsidRPr="00903CCF" w:rsidRDefault="00F93E82" w:rsidP="00F93E82">
            <w:pPr>
              <w:ind w:right="140"/>
              <w:rPr>
                <w:spacing w:val="-2"/>
              </w:rPr>
            </w:pPr>
            <w:r w:rsidRPr="00903CCF">
              <w:rPr>
                <w:spacing w:val="-2"/>
              </w:rPr>
              <w:t>5.2. speciālais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2084E09B" w14:textId="77777777" w:rsidR="00F93E82" w:rsidRPr="00903CCF" w:rsidRDefault="00F93E82" w:rsidP="00F93E82">
            <w:pPr>
              <w:ind w:right="140"/>
              <w:jc w:val="center"/>
              <w:rPr>
                <w:spacing w:val="-2"/>
              </w:rPr>
            </w:pPr>
          </w:p>
        </w:tc>
        <w:tc>
          <w:tcPr>
            <w:tcW w:w="1145" w:type="dxa"/>
            <w:tcBorders>
              <w:top w:val="outset" w:sz="6" w:space="0" w:color="414142"/>
              <w:left w:val="outset" w:sz="6" w:space="0" w:color="414142"/>
              <w:bottom w:val="outset" w:sz="6" w:space="0" w:color="414142"/>
              <w:right w:val="outset" w:sz="6" w:space="0" w:color="414142"/>
            </w:tcBorders>
            <w:vAlign w:val="center"/>
          </w:tcPr>
          <w:p w14:paraId="24A96C48" w14:textId="16CC0821" w:rsidR="00F93E82" w:rsidRPr="00903CCF" w:rsidRDefault="00F93E82" w:rsidP="00F93E82">
            <w:pPr>
              <w:ind w:right="140"/>
              <w:jc w:val="center"/>
              <w:rPr>
                <w:spacing w:val="-2"/>
              </w:rPr>
            </w:pPr>
            <w:r w:rsidRPr="00903CCF">
              <w:rPr>
                <w:spacing w:val="-2"/>
              </w:rPr>
              <w:t>0</w:t>
            </w:r>
          </w:p>
        </w:tc>
        <w:tc>
          <w:tcPr>
            <w:tcW w:w="1000" w:type="dxa"/>
            <w:vMerge/>
            <w:tcBorders>
              <w:top w:val="outset" w:sz="6" w:space="0" w:color="414142"/>
              <w:left w:val="outset" w:sz="6" w:space="0" w:color="414142"/>
              <w:bottom w:val="outset" w:sz="6" w:space="0" w:color="414142"/>
              <w:right w:val="outset" w:sz="6" w:space="0" w:color="414142"/>
            </w:tcBorders>
            <w:vAlign w:val="center"/>
          </w:tcPr>
          <w:p w14:paraId="12ABD50F" w14:textId="77777777" w:rsidR="00F93E82" w:rsidRPr="00903CCF" w:rsidRDefault="00F93E82" w:rsidP="00F93E82">
            <w:pPr>
              <w:ind w:right="140"/>
              <w:jc w:val="center"/>
              <w:rPr>
                <w:spacing w:val="-2"/>
              </w:rPr>
            </w:pPr>
          </w:p>
        </w:tc>
        <w:tc>
          <w:tcPr>
            <w:tcW w:w="1287" w:type="dxa"/>
            <w:tcBorders>
              <w:top w:val="outset" w:sz="6" w:space="0" w:color="414142"/>
              <w:left w:val="outset" w:sz="6" w:space="0" w:color="414142"/>
              <w:bottom w:val="outset" w:sz="6" w:space="0" w:color="414142"/>
              <w:right w:val="outset" w:sz="6" w:space="0" w:color="414142"/>
            </w:tcBorders>
            <w:vAlign w:val="center"/>
          </w:tcPr>
          <w:p w14:paraId="65195E30" w14:textId="2A00E43E" w:rsidR="00F93E82" w:rsidRPr="00903CCF" w:rsidRDefault="00F93E82" w:rsidP="00F93E82">
            <w:pPr>
              <w:ind w:right="140"/>
              <w:jc w:val="center"/>
              <w:rPr>
                <w:spacing w:val="-2"/>
              </w:rPr>
            </w:pPr>
            <w:r w:rsidRPr="00903CCF">
              <w:rPr>
                <w:spacing w:val="-2"/>
              </w:rPr>
              <w:t>0</w:t>
            </w:r>
          </w:p>
        </w:tc>
        <w:tc>
          <w:tcPr>
            <w:tcW w:w="998" w:type="dxa"/>
            <w:vMerge/>
            <w:tcBorders>
              <w:top w:val="outset" w:sz="6" w:space="0" w:color="414142"/>
              <w:left w:val="outset" w:sz="6" w:space="0" w:color="414142"/>
              <w:bottom w:val="outset" w:sz="6" w:space="0" w:color="414142"/>
              <w:right w:val="outset" w:sz="6" w:space="0" w:color="414142"/>
            </w:tcBorders>
            <w:vAlign w:val="center"/>
          </w:tcPr>
          <w:p w14:paraId="193F4B0E" w14:textId="77777777" w:rsidR="00F93E82" w:rsidRPr="00903CCF" w:rsidRDefault="00F93E82" w:rsidP="00F93E82">
            <w:pPr>
              <w:ind w:right="140"/>
              <w:jc w:val="center"/>
              <w:rPr>
                <w:spacing w:val="-2"/>
              </w:rPr>
            </w:pPr>
          </w:p>
        </w:tc>
        <w:tc>
          <w:tcPr>
            <w:tcW w:w="1432" w:type="dxa"/>
            <w:tcBorders>
              <w:top w:val="outset" w:sz="6" w:space="0" w:color="414142"/>
              <w:left w:val="outset" w:sz="6" w:space="0" w:color="414142"/>
              <w:bottom w:val="outset" w:sz="6" w:space="0" w:color="414142"/>
              <w:right w:val="outset" w:sz="6" w:space="0" w:color="414142"/>
            </w:tcBorders>
            <w:vAlign w:val="center"/>
          </w:tcPr>
          <w:p w14:paraId="2C2F15FA" w14:textId="33A7E51F"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256AF303" w14:textId="4E94B670" w:rsidR="00F93E82" w:rsidRPr="00903CCF" w:rsidRDefault="00F93E82" w:rsidP="00F93E82">
            <w:pPr>
              <w:ind w:right="140"/>
              <w:jc w:val="center"/>
              <w:rPr>
                <w:spacing w:val="-2"/>
              </w:rPr>
            </w:pPr>
            <w:r w:rsidRPr="00903CCF">
              <w:rPr>
                <w:spacing w:val="-2"/>
              </w:rPr>
              <w:t>0</w:t>
            </w:r>
          </w:p>
        </w:tc>
      </w:tr>
      <w:tr w:rsidR="00F93E82" w:rsidRPr="00903CCF" w14:paraId="0E3E592C"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0640819A" w14:textId="182427D4" w:rsidR="00F93E82" w:rsidRPr="00903CCF" w:rsidRDefault="00F93E82" w:rsidP="00F93E82">
            <w:pPr>
              <w:ind w:right="140"/>
              <w:rPr>
                <w:spacing w:val="-2"/>
              </w:rPr>
            </w:pPr>
            <w:r w:rsidRPr="00903CCF">
              <w:rPr>
                <w:spacing w:val="-2"/>
              </w:rPr>
              <w:t>5.3. pašvaldību budžets</w:t>
            </w:r>
          </w:p>
        </w:tc>
        <w:tc>
          <w:tcPr>
            <w:tcW w:w="114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B89F8C" w14:textId="77777777" w:rsidR="00F93E82" w:rsidRPr="00903CCF" w:rsidRDefault="00F93E82" w:rsidP="00F93E82">
            <w:pPr>
              <w:ind w:right="140"/>
              <w:jc w:val="center"/>
              <w:rPr>
                <w:spacing w:val="-2"/>
              </w:rPr>
            </w:pPr>
          </w:p>
        </w:tc>
        <w:tc>
          <w:tcPr>
            <w:tcW w:w="1145" w:type="dxa"/>
            <w:tcBorders>
              <w:top w:val="outset" w:sz="6" w:space="0" w:color="414142"/>
              <w:left w:val="outset" w:sz="6" w:space="0" w:color="414142"/>
              <w:bottom w:val="outset" w:sz="6" w:space="0" w:color="414142"/>
              <w:right w:val="outset" w:sz="6" w:space="0" w:color="414142"/>
            </w:tcBorders>
            <w:vAlign w:val="center"/>
          </w:tcPr>
          <w:p w14:paraId="0CCDBD51" w14:textId="75F5C7E6" w:rsidR="00F93E82" w:rsidRPr="00903CCF" w:rsidRDefault="00F93E82" w:rsidP="00F93E82">
            <w:pPr>
              <w:ind w:right="140"/>
              <w:jc w:val="center"/>
              <w:rPr>
                <w:spacing w:val="-2"/>
              </w:rPr>
            </w:pPr>
            <w:r w:rsidRPr="00903CCF">
              <w:rPr>
                <w:spacing w:val="-2"/>
              </w:rPr>
              <w:t>0</w:t>
            </w:r>
          </w:p>
        </w:tc>
        <w:tc>
          <w:tcPr>
            <w:tcW w:w="1000" w:type="dxa"/>
            <w:vMerge/>
            <w:tcBorders>
              <w:top w:val="outset" w:sz="6" w:space="0" w:color="414142"/>
              <w:left w:val="outset" w:sz="6" w:space="0" w:color="414142"/>
              <w:bottom w:val="outset" w:sz="6" w:space="0" w:color="414142"/>
              <w:right w:val="outset" w:sz="6" w:space="0" w:color="414142"/>
            </w:tcBorders>
            <w:vAlign w:val="center"/>
          </w:tcPr>
          <w:p w14:paraId="4BE47EDA" w14:textId="77777777" w:rsidR="00F93E82" w:rsidRPr="00903CCF" w:rsidRDefault="00F93E82" w:rsidP="00F93E82">
            <w:pPr>
              <w:ind w:right="140"/>
              <w:jc w:val="center"/>
              <w:rPr>
                <w:spacing w:val="-2"/>
              </w:rPr>
            </w:pPr>
          </w:p>
        </w:tc>
        <w:tc>
          <w:tcPr>
            <w:tcW w:w="1287" w:type="dxa"/>
            <w:tcBorders>
              <w:top w:val="outset" w:sz="6" w:space="0" w:color="414142"/>
              <w:left w:val="outset" w:sz="6" w:space="0" w:color="414142"/>
              <w:bottom w:val="outset" w:sz="6" w:space="0" w:color="414142"/>
              <w:right w:val="outset" w:sz="6" w:space="0" w:color="414142"/>
            </w:tcBorders>
            <w:vAlign w:val="center"/>
          </w:tcPr>
          <w:p w14:paraId="17E35467" w14:textId="7A4977CB" w:rsidR="00F93E82" w:rsidRPr="00903CCF" w:rsidRDefault="00F93E82" w:rsidP="00F93E82">
            <w:pPr>
              <w:ind w:right="140"/>
              <w:jc w:val="center"/>
              <w:rPr>
                <w:spacing w:val="-2"/>
              </w:rPr>
            </w:pPr>
            <w:r w:rsidRPr="00903CCF">
              <w:rPr>
                <w:spacing w:val="-2"/>
              </w:rPr>
              <w:t>0</w:t>
            </w:r>
          </w:p>
        </w:tc>
        <w:tc>
          <w:tcPr>
            <w:tcW w:w="998" w:type="dxa"/>
            <w:vMerge/>
            <w:tcBorders>
              <w:top w:val="outset" w:sz="6" w:space="0" w:color="414142"/>
              <w:left w:val="outset" w:sz="6" w:space="0" w:color="414142"/>
              <w:bottom w:val="outset" w:sz="6" w:space="0" w:color="414142"/>
              <w:right w:val="outset" w:sz="6" w:space="0" w:color="414142"/>
            </w:tcBorders>
            <w:vAlign w:val="center"/>
          </w:tcPr>
          <w:p w14:paraId="0729B9C8" w14:textId="77777777" w:rsidR="00F93E82" w:rsidRPr="00903CCF" w:rsidRDefault="00F93E82" w:rsidP="00F93E82">
            <w:pPr>
              <w:ind w:right="140"/>
              <w:jc w:val="center"/>
              <w:rPr>
                <w:spacing w:val="-2"/>
              </w:rPr>
            </w:pPr>
          </w:p>
        </w:tc>
        <w:tc>
          <w:tcPr>
            <w:tcW w:w="1432" w:type="dxa"/>
            <w:tcBorders>
              <w:top w:val="outset" w:sz="6" w:space="0" w:color="414142"/>
              <w:left w:val="outset" w:sz="6" w:space="0" w:color="414142"/>
              <w:bottom w:val="outset" w:sz="6" w:space="0" w:color="414142"/>
              <w:right w:val="outset" w:sz="6" w:space="0" w:color="414142"/>
            </w:tcBorders>
            <w:vAlign w:val="center"/>
          </w:tcPr>
          <w:p w14:paraId="66C8D045" w14:textId="14FD6F36" w:rsidR="00F93E82" w:rsidRPr="00903CCF" w:rsidRDefault="00F93E82" w:rsidP="00F93E82">
            <w:pPr>
              <w:ind w:right="140"/>
              <w:jc w:val="center"/>
              <w:rPr>
                <w:spacing w:val="-2"/>
              </w:rPr>
            </w:pPr>
            <w:r w:rsidRPr="00903CCF">
              <w:rPr>
                <w:spacing w:val="-2"/>
              </w:rPr>
              <w:t>0</w:t>
            </w:r>
          </w:p>
        </w:tc>
        <w:tc>
          <w:tcPr>
            <w:tcW w:w="1286" w:type="dxa"/>
            <w:tcBorders>
              <w:top w:val="outset" w:sz="6" w:space="0" w:color="414142"/>
              <w:left w:val="outset" w:sz="6" w:space="0" w:color="414142"/>
              <w:bottom w:val="outset" w:sz="6" w:space="0" w:color="414142"/>
              <w:right w:val="outset" w:sz="6" w:space="0" w:color="414142"/>
            </w:tcBorders>
            <w:vAlign w:val="center"/>
          </w:tcPr>
          <w:p w14:paraId="40EAE41F" w14:textId="6C42AA70" w:rsidR="00F93E82" w:rsidRPr="00903CCF" w:rsidRDefault="00F93E82" w:rsidP="00F93E82">
            <w:pPr>
              <w:ind w:right="140"/>
              <w:jc w:val="center"/>
              <w:rPr>
                <w:spacing w:val="-2"/>
              </w:rPr>
            </w:pPr>
            <w:r w:rsidRPr="00903CCF">
              <w:rPr>
                <w:spacing w:val="-2"/>
              </w:rPr>
              <w:t>0</w:t>
            </w:r>
          </w:p>
        </w:tc>
      </w:tr>
      <w:tr w:rsidR="00444DAB" w:rsidRPr="00903CCF" w14:paraId="0FE48B89" w14:textId="77777777" w:rsidTr="00EB2A9D">
        <w:tc>
          <w:tcPr>
            <w:tcW w:w="1714" w:type="dxa"/>
            <w:tcBorders>
              <w:top w:val="outset" w:sz="6" w:space="0" w:color="414142"/>
              <w:left w:val="outset" w:sz="6" w:space="0" w:color="414142"/>
              <w:bottom w:val="outset" w:sz="6" w:space="0" w:color="414142"/>
              <w:right w:val="outset" w:sz="6" w:space="0" w:color="414142"/>
            </w:tcBorders>
            <w:hideMark/>
          </w:tcPr>
          <w:p w14:paraId="08EFB3A5" w14:textId="62B44DA4" w:rsidR="00444DAB" w:rsidRPr="00903CCF" w:rsidRDefault="00444DAB" w:rsidP="00F93E82">
            <w:pPr>
              <w:ind w:right="140"/>
              <w:rPr>
                <w:spacing w:val="-2"/>
              </w:rPr>
            </w:pPr>
            <w:r w:rsidRPr="00903CCF">
              <w:rPr>
                <w:spacing w:val="-2"/>
              </w:rPr>
              <w:t>6. Detalizēts ieņēmumu un izdevumu aprēķins (ja nepieciešams, detalizētu ieņēmumu un izdevumu aprēķinu var pievienot anotācijas pielikumā)</w:t>
            </w:r>
          </w:p>
        </w:tc>
        <w:tc>
          <w:tcPr>
            <w:tcW w:w="8292" w:type="dxa"/>
            <w:gridSpan w:val="7"/>
            <w:vMerge w:val="restart"/>
            <w:tcBorders>
              <w:top w:val="outset" w:sz="6" w:space="0" w:color="414142"/>
              <w:left w:val="outset" w:sz="6" w:space="0" w:color="414142"/>
              <w:right w:val="outset" w:sz="6" w:space="0" w:color="414142"/>
            </w:tcBorders>
            <w:vAlign w:val="center"/>
            <w:hideMark/>
          </w:tcPr>
          <w:p w14:paraId="6ECB7F6E" w14:textId="102F6C44" w:rsidR="00444DAB" w:rsidRPr="00903CCF" w:rsidRDefault="00444DAB" w:rsidP="00F93E82">
            <w:pPr>
              <w:ind w:right="140"/>
              <w:jc w:val="both"/>
              <w:rPr>
                <w:spacing w:val="-2"/>
              </w:rPr>
            </w:pPr>
            <w:r w:rsidRPr="00903CCF">
              <w:rPr>
                <w:spacing w:val="-2"/>
              </w:rPr>
              <w:t>Likumprojekts šo jomu neskar.</w:t>
            </w:r>
          </w:p>
        </w:tc>
      </w:tr>
      <w:tr w:rsidR="00444DAB" w:rsidRPr="00903CCF" w14:paraId="77C77C2F" w14:textId="77777777" w:rsidTr="00EB2A9D">
        <w:tc>
          <w:tcPr>
            <w:tcW w:w="1714" w:type="dxa"/>
            <w:tcBorders>
              <w:top w:val="outset" w:sz="6" w:space="0" w:color="414142"/>
              <w:left w:val="outset" w:sz="6" w:space="0" w:color="414142"/>
              <w:bottom w:val="outset" w:sz="6" w:space="0" w:color="414142"/>
              <w:right w:val="outset" w:sz="6" w:space="0" w:color="414142"/>
            </w:tcBorders>
            <w:hideMark/>
          </w:tcPr>
          <w:p w14:paraId="4DC9C1E3" w14:textId="2A084115" w:rsidR="00444DAB" w:rsidRPr="00903CCF" w:rsidRDefault="00444DAB" w:rsidP="00F93E82">
            <w:pPr>
              <w:ind w:right="140"/>
              <w:rPr>
                <w:spacing w:val="-2"/>
              </w:rPr>
            </w:pPr>
            <w:r w:rsidRPr="00903CCF">
              <w:rPr>
                <w:spacing w:val="-2"/>
              </w:rPr>
              <w:t>6.1. detalizēts ieņēmumu aprēķins</w:t>
            </w:r>
          </w:p>
        </w:tc>
        <w:tc>
          <w:tcPr>
            <w:tcW w:w="8292" w:type="dxa"/>
            <w:gridSpan w:val="7"/>
            <w:vMerge/>
            <w:tcBorders>
              <w:left w:val="outset" w:sz="6" w:space="0" w:color="414142"/>
              <w:right w:val="outset" w:sz="6" w:space="0" w:color="414142"/>
            </w:tcBorders>
            <w:vAlign w:val="center"/>
            <w:hideMark/>
          </w:tcPr>
          <w:p w14:paraId="5020075E" w14:textId="0DB9C005" w:rsidR="00444DAB" w:rsidRPr="00903CCF" w:rsidRDefault="00444DAB" w:rsidP="00F93E82">
            <w:pPr>
              <w:ind w:right="140"/>
              <w:rPr>
                <w:spacing w:val="-2"/>
              </w:rPr>
            </w:pPr>
          </w:p>
        </w:tc>
      </w:tr>
      <w:tr w:rsidR="00444DAB" w:rsidRPr="00903CCF" w14:paraId="747A0D86" w14:textId="77777777" w:rsidTr="00EB2A9D">
        <w:tc>
          <w:tcPr>
            <w:tcW w:w="1714" w:type="dxa"/>
            <w:tcBorders>
              <w:top w:val="outset" w:sz="6" w:space="0" w:color="414142"/>
              <w:left w:val="outset" w:sz="6" w:space="0" w:color="414142"/>
              <w:bottom w:val="outset" w:sz="6" w:space="0" w:color="414142"/>
              <w:right w:val="outset" w:sz="6" w:space="0" w:color="414142"/>
            </w:tcBorders>
            <w:hideMark/>
          </w:tcPr>
          <w:p w14:paraId="3AF40B83" w14:textId="25BAE396" w:rsidR="00444DAB" w:rsidRPr="00903CCF" w:rsidRDefault="00444DAB" w:rsidP="00F93E82">
            <w:pPr>
              <w:ind w:right="140"/>
              <w:rPr>
                <w:spacing w:val="-2"/>
              </w:rPr>
            </w:pPr>
            <w:r w:rsidRPr="00903CCF">
              <w:rPr>
                <w:spacing w:val="-2"/>
              </w:rPr>
              <w:t>6.2. detalizēts izdevumu aprēķins</w:t>
            </w:r>
          </w:p>
        </w:tc>
        <w:tc>
          <w:tcPr>
            <w:tcW w:w="8292" w:type="dxa"/>
            <w:gridSpan w:val="7"/>
            <w:vMerge/>
            <w:tcBorders>
              <w:left w:val="outset" w:sz="6" w:space="0" w:color="414142"/>
              <w:bottom w:val="outset" w:sz="6" w:space="0" w:color="414142"/>
              <w:right w:val="outset" w:sz="6" w:space="0" w:color="414142"/>
            </w:tcBorders>
            <w:vAlign w:val="center"/>
            <w:hideMark/>
          </w:tcPr>
          <w:p w14:paraId="3F6A84EB" w14:textId="2FF6AF96" w:rsidR="00444DAB" w:rsidRPr="00903CCF" w:rsidRDefault="00444DAB" w:rsidP="00F93E82">
            <w:pPr>
              <w:ind w:right="140"/>
              <w:rPr>
                <w:spacing w:val="-2"/>
              </w:rPr>
            </w:pPr>
          </w:p>
        </w:tc>
      </w:tr>
      <w:tr w:rsidR="00F93E82" w:rsidRPr="00903CCF" w14:paraId="323D2C09" w14:textId="77777777" w:rsidTr="00F93E82">
        <w:tc>
          <w:tcPr>
            <w:tcW w:w="1714" w:type="dxa"/>
            <w:tcBorders>
              <w:top w:val="outset" w:sz="6" w:space="0" w:color="414142"/>
              <w:left w:val="outset" w:sz="6" w:space="0" w:color="414142"/>
              <w:bottom w:val="outset" w:sz="6" w:space="0" w:color="414142"/>
              <w:right w:val="outset" w:sz="6" w:space="0" w:color="414142"/>
            </w:tcBorders>
            <w:hideMark/>
          </w:tcPr>
          <w:p w14:paraId="0965CBF0" w14:textId="45D8F9DF" w:rsidR="00F93E82" w:rsidRPr="00903CCF" w:rsidRDefault="00F93E82" w:rsidP="00F93E82">
            <w:pPr>
              <w:ind w:right="140"/>
              <w:rPr>
                <w:spacing w:val="-2"/>
              </w:rPr>
            </w:pPr>
            <w:r w:rsidRPr="00903CCF">
              <w:rPr>
                <w:spacing w:val="-2"/>
              </w:rPr>
              <w:t>7. Amata vietu skaita izmaiņas</w:t>
            </w:r>
          </w:p>
        </w:tc>
        <w:tc>
          <w:tcPr>
            <w:tcW w:w="8292" w:type="dxa"/>
            <w:gridSpan w:val="7"/>
            <w:tcBorders>
              <w:top w:val="outset" w:sz="6" w:space="0" w:color="414142"/>
              <w:left w:val="outset" w:sz="6" w:space="0" w:color="414142"/>
              <w:bottom w:val="outset" w:sz="6" w:space="0" w:color="414142"/>
              <w:right w:val="outset" w:sz="6" w:space="0" w:color="414142"/>
            </w:tcBorders>
            <w:vAlign w:val="center"/>
            <w:hideMark/>
          </w:tcPr>
          <w:p w14:paraId="214D6C37" w14:textId="13733585" w:rsidR="00F93E82" w:rsidRPr="00903CCF" w:rsidRDefault="00F93E82" w:rsidP="00F93E82">
            <w:pPr>
              <w:ind w:right="140"/>
              <w:rPr>
                <w:spacing w:val="-2"/>
              </w:rPr>
            </w:pPr>
            <w:r w:rsidRPr="00903CCF">
              <w:rPr>
                <w:spacing w:val="-2"/>
              </w:rPr>
              <w:t>Likumprojekts šo jomu neskar.</w:t>
            </w:r>
          </w:p>
        </w:tc>
      </w:tr>
      <w:tr w:rsidR="00F93E82" w:rsidRPr="00903CCF" w14:paraId="51A7932F" w14:textId="77777777" w:rsidTr="00F93E82">
        <w:trPr>
          <w:trHeight w:val="1101"/>
        </w:trPr>
        <w:tc>
          <w:tcPr>
            <w:tcW w:w="1714" w:type="dxa"/>
            <w:tcBorders>
              <w:top w:val="outset" w:sz="6" w:space="0" w:color="414142"/>
              <w:left w:val="outset" w:sz="6" w:space="0" w:color="414142"/>
              <w:bottom w:val="outset" w:sz="6" w:space="0" w:color="414142"/>
              <w:right w:val="outset" w:sz="6" w:space="0" w:color="414142"/>
            </w:tcBorders>
            <w:hideMark/>
          </w:tcPr>
          <w:p w14:paraId="6FCF15A1" w14:textId="08788AD8" w:rsidR="00F93E82" w:rsidRPr="00903CCF" w:rsidRDefault="00F93E82" w:rsidP="00F93E82">
            <w:pPr>
              <w:ind w:right="140"/>
              <w:rPr>
                <w:spacing w:val="-2"/>
              </w:rPr>
            </w:pPr>
            <w:r w:rsidRPr="00903CCF">
              <w:rPr>
                <w:spacing w:val="-2"/>
              </w:rPr>
              <w:t>8. Cita informācija</w:t>
            </w:r>
          </w:p>
        </w:tc>
        <w:tc>
          <w:tcPr>
            <w:tcW w:w="8292" w:type="dxa"/>
            <w:gridSpan w:val="7"/>
            <w:tcBorders>
              <w:top w:val="outset" w:sz="6" w:space="0" w:color="414142"/>
              <w:left w:val="outset" w:sz="6" w:space="0" w:color="414142"/>
              <w:bottom w:val="outset" w:sz="6" w:space="0" w:color="414142"/>
              <w:right w:val="outset" w:sz="6" w:space="0" w:color="414142"/>
            </w:tcBorders>
            <w:hideMark/>
          </w:tcPr>
          <w:p w14:paraId="07663F2E" w14:textId="5A380DB1" w:rsidR="00F06BF7" w:rsidRPr="00903CCF" w:rsidRDefault="002D4D00" w:rsidP="00F06BF7">
            <w:pPr>
              <w:jc w:val="both"/>
              <w:rPr>
                <w:spacing w:val="-2"/>
              </w:rPr>
            </w:pPr>
            <w:r w:rsidRPr="00903CCF">
              <w:rPr>
                <w:spacing w:val="-2"/>
              </w:rPr>
              <w:t>Lai nodrošinātu vienkāršotā nodokļa nomaksas risinājuma - SDI konta ieviešanu un ar to saistīto izmaiņu veikšanu VID informācijas sistēmās, izmaksas tiks segtas Finanšu ministrijas (VID) budžeta programmas 33.00.00 “Valsts ieņēmumu un muitas politikas nodrošināšana” 2021.gadam piešķirto valsts budžeta līdzekļu ievaros.</w:t>
            </w:r>
          </w:p>
          <w:p w14:paraId="767DC2D0" w14:textId="58480845" w:rsidR="00F93E82" w:rsidRPr="00903CCF" w:rsidRDefault="00F93E82" w:rsidP="00F93E82">
            <w:pPr>
              <w:ind w:right="140"/>
              <w:jc w:val="both"/>
              <w:rPr>
                <w:spacing w:val="-2"/>
              </w:rPr>
            </w:pPr>
          </w:p>
        </w:tc>
      </w:tr>
    </w:tbl>
    <w:p w14:paraId="24C64206" w14:textId="77777777" w:rsidR="005D5DCB" w:rsidRPr="00903CCF" w:rsidRDefault="005D5DCB" w:rsidP="000602B5">
      <w:pPr>
        <w:ind w:right="140"/>
        <w:rPr>
          <w:spacing w:val="-2"/>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666"/>
        <w:gridCol w:w="2976"/>
        <w:gridCol w:w="5407"/>
      </w:tblGrid>
      <w:tr w:rsidR="0033686E" w:rsidRPr="00903CCF" w14:paraId="4FE02C68" w14:textId="77777777" w:rsidTr="001F6262">
        <w:trPr>
          <w:trHeight w:val="272"/>
          <w:jc w:val="center"/>
        </w:trPr>
        <w:tc>
          <w:tcPr>
            <w:tcW w:w="9055" w:type="dxa"/>
            <w:gridSpan w:val="4"/>
            <w:tcBorders>
              <w:top w:val="outset" w:sz="6" w:space="0" w:color="414142"/>
              <w:left w:val="outset" w:sz="6" w:space="0" w:color="414142"/>
              <w:bottom w:val="outset" w:sz="6" w:space="0" w:color="414142"/>
              <w:right w:val="outset" w:sz="6" w:space="0" w:color="414142"/>
            </w:tcBorders>
          </w:tcPr>
          <w:p w14:paraId="74D95008" w14:textId="77777777" w:rsidR="005D5DCB" w:rsidRPr="00903CCF" w:rsidRDefault="005D5DCB" w:rsidP="000602B5">
            <w:pPr>
              <w:pStyle w:val="tvhtml"/>
              <w:spacing w:before="0" w:beforeAutospacing="0" w:after="0" w:afterAutospacing="0" w:line="256" w:lineRule="auto"/>
              <w:ind w:right="140"/>
              <w:jc w:val="center"/>
              <w:rPr>
                <w:bCs/>
                <w:spacing w:val="-2"/>
                <w:lang w:eastAsia="en-US"/>
              </w:rPr>
            </w:pPr>
            <w:r w:rsidRPr="00903CCF">
              <w:rPr>
                <w:b/>
                <w:bCs/>
                <w:spacing w:val="-2"/>
                <w:lang w:eastAsia="en-US"/>
              </w:rPr>
              <w:t xml:space="preserve">IV. </w:t>
            </w:r>
            <w:r w:rsidRPr="00903CCF">
              <w:rPr>
                <w:b/>
                <w:spacing w:val="-2"/>
                <w:lang w:eastAsia="en-US"/>
              </w:rPr>
              <w:t>Tiesību aktu projekta ietekme uz spēkā esošo tiesību normu sistēmu</w:t>
            </w:r>
          </w:p>
        </w:tc>
      </w:tr>
      <w:tr w:rsidR="0033686E" w:rsidRPr="00903CCF" w14:paraId="4A8C73C0" w14:textId="77777777" w:rsidTr="001F6262">
        <w:trPr>
          <w:gridBefore w:val="1"/>
          <w:wBefore w:w="6" w:type="dxa"/>
          <w:trHeight w:val="664"/>
          <w:jc w:val="center"/>
        </w:trPr>
        <w:tc>
          <w:tcPr>
            <w:tcW w:w="666" w:type="dxa"/>
            <w:tcBorders>
              <w:top w:val="outset" w:sz="6" w:space="0" w:color="414142"/>
              <w:left w:val="outset" w:sz="6" w:space="0" w:color="414142"/>
              <w:bottom w:val="outset" w:sz="6" w:space="0" w:color="414142"/>
              <w:right w:val="outset" w:sz="6" w:space="0" w:color="414142"/>
            </w:tcBorders>
          </w:tcPr>
          <w:p w14:paraId="66146207" w14:textId="77777777" w:rsidR="005D5DCB" w:rsidRPr="00903CCF" w:rsidRDefault="005D5DCB" w:rsidP="000602B5">
            <w:pPr>
              <w:ind w:right="140"/>
              <w:jc w:val="both"/>
              <w:rPr>
                <w:spacing w:val="-2"/>
              </w:rPr>
            </w:pPr>
            <w:r w:rsidRPr="00903CCF">
              <w:rPr>
                <w:spacing w:val="-2"/>
              </w:rPr>
              <w:t>1.</w:t>
            </w:r>
          </w:p>
        </w:tc>
        <w:tc>
          <w:tcPr>
            <w:tcW w:w="2976" w:type="dxa"/>
            <w:tcBorders>
              <w:top w:val="outset" w:sz="6" w:space="0" w:color="414142"/>
              <w:left w:val="outset" w:sz="6" w:space="0" w:color="414142"/>
              <w:bottom w:val="outset" w:sz="6" w:space="0" w:color="414142"/>
              <w:right w:val="outset" w:sz="6" w:space="0" w:color="414142"/>
            </w:tcBorders>
            <w:hideMark/>
          </w:tcPr>
          <w:p w14:paraId="370194FD" w14:textId="77777777" w:rsidR="005D5DCB" w:rsidRPr="00903CCF" w:rsidRDefault="005D5DCB" w:rsidP="000602B5">
            <w:pPr>
              <w:ind w:right="140"/>
              <w:jc w:val="both"/>
              <w:rPr>
                <w:spacing w:val="-2"/>
              </w:rPr>
            </w:pPr>
            <w:r w:rsidRPr="00903CCF">
              <w:rPr>
                <w:spacing w:val="-2"/>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hideMark/>
          </w:tcPr>
          <w:p w14:paraId="3EE307E7" w14:textId="77777777" w:rsidR="00852A4B" w:rsidRPr="00903CCF" w:rsidRDefault="00DE7D92" w:rsidP="002E69FE">
            <w:pPr>
              <w:ind w:right="140"/>
              <w:jc w:val="both"/>
              <w:rPr>
                <w:spacing w:val="-2"/>
              </w:rPr>
            </w:pPr>
            <w:r w:rsidRPr="00903CCF">
              <w:rPr>
                <w:spacing w:val="-2"/>
              </w:rPr>
              <w:t xml:space="preserve">Likumprojekts “Grozījumi </w:t>
            </w:r>
            <w:proofErr w:type="spellStart"/>
            <w:r w:rsidRPr="00903CCF">
              <w:rPr>
                <w:spacing w:val="-2"/>
              </w:rPr>
              <w:t>Mikrouzņēmumu</w:t>
            </w:r>
            <w:proofErr w:type="spellEnd"/>
            <w:r w:rsidRPr="00903CCF">
              <w:rPr>
                <w:spacing w:val="-2"/>
              </w:rPr>
              <w:t xml:space="preserve"> nodokļa likumā”, likumprojekts “</w:t>
            </w:r>
            <w:r w:rsidR="002E69FE" w:rsidRPr="00903CCF">
              <w:rPr>
                <w:spacing w:val="-2"/>
              </w:rPr>
              <w:t xml:space="preserve">Grozījumi Kredītiestāžu likumā”, </w:t>
            </w:r>
            <w:r w:rsidRPr="00903CCF">
              <w:rPr>
                <w:spacing w:val="-2"/>
              </w:rPr>
              <w:t>likumprojekts “Grozījumi Finanšu stabilitātes nodevas likumā”</w:t>
            </w:r>
            <w:r w:rsidR="002E69FE" w:rsidRPr="00903CCF">
              <w:rPr>
                <w:spacing w:val="-2"/>
              </w:rPr>
              <w:t xml:space="preserve"> un likumprojekts</w:t>
            </w:r>
            <w:r w:rsidRPr="00903CCF">
              <w:rPr>
                <w:spacing w:val="-2"/>
              </w:rPr>
              <w:t xml:space="preserve"> izskatīšanai Sae</w:t>
            </w:r>
            <w:r w:rsidR="002E69FE" w:rsidRPr="00903CCF">
              <w:rPr>
                <w:spacing w:val="-2"/>
              </w:rPr>
              <w:t>i</w:t>
            </w:r>
            <w:r w:rsidRPr="00903CCF">
              <w:rPr>
                <w:spacing w:val="-2"/>
              </w:rPr>
              <w:t>mā</w:t>
            </w:r>
            <w:r w:rsidR="0098261C" w:rsidRPr="00903CCF">
              <w:rPr>
                <w:spacing w:val="-2"/>
              </w:rPr>
              <w:t xml:space="preserve"> ir virzāmi vienotā likumprojektu paketē.</w:t>
            </w:r>
          </w:p>
          <w:p w14:paraId="52BD7DB5" w14:textId="3E088FA3" w:rsidR="00A719B0" w:rsidRPr="00903CCF" w:rsidRDefault="00A719B0" w:rsidP="002E69FE">
            <w:pPr>
              <w:ind w:right="140"/>
              <w:jc w:val="both"/>
              <w:rPr>
                <w:spacing w:val="-2"/>
              </w:rPr>
            </w:pPr>
            <w:r w:rsidRPr="00903CCF">
              <w:rPr>
                <w:spacing w:val="-2"/>
              </w:rPr>
              <w:t xml:space="preserve">Grozījumi </w:t>
            </w:r>
            <w:r w:rsidRPr="00903CCF">
              <w:rPr>
                <w:spacing w:val="-2"/>
                <w:shd w:val="clear" w:color="auto" w:fill="FFFFFF"/>
              </w:rPr>
              <w:t>noteikumos Nr.188</w:t>
            </w:r>
            <w:r w:rsidR="009933B1" w:rsidRPr="00903CCF">
              <w:rPr>
                <w:spacing w:val="-2"/>
                <w:shd w:val="clear" w:color="auto" w:fill="FFFFFF"/>
              </w:rPr>
              <w:t xml:space="preserve"> </w:t>
            </w:r>
            <w:r w:rsidR="009933B1" w:rsidRPr="00903CCF">
              <w:rPr>
                <w:spacing w:val="-2"/>
                <w:u w:val="single"/>
                <w:shd w:val="clear" w:color="auto" w:fill="FFFFFF"/>
              </w:rPr>
              <w:t>(</w:t>
            </w:r>
            <w:r w:rsidR="009933B1" w:rsidRPr="00903CCF">
              <w:rPr>
                <w:spacing w:val="-2"/>
                <w:shd w:val="clear" w:color="auto" w:fill="FFFFFF"/>
              </w:rPr>
              <w:t>Finanšu ministrija) un grozījumi noteikumos Nr.96 (VID)</w:t>
            </w:r>
            <w:r w:rsidRPr="00903CCF">
              <w:rPr>
                <w:spacing w:val="-2"/>
                <w:shd w:val="clear" w:color="auto" w:fill="FFFFFF"/>
              </w:rPr>
              <w:t xml:space="preserve"> virzāmi </w:t>
            </w:r>
            <w:r w:rsidR="008A4147" w:rsidRPr="00903CCF">
              <w:rPr>
                <w:spacing w:val="-2"/>
                <w:shd w:val="clear" w:color="auto" w:fill="FFFFFF"/>
              </w:rPr>
              <w:t>pēc tam, kad likumprojekts tiks skatīts Saeimā.</w:t>
            </w:r>
          </w:p>
        </w:tc>
      </w:tr>
      <w:tr w:rsidR="0033686E" w:rsidRPr="00903CCF" w14:paraId="457C9C4B" w14:textId="77777777" w:rsidTr="001F6262">
        <w:trPr>
          <w:trHeight w:val="35"/>
          <w:jc w:val="center"/>
        </w:trPr>
        <w:tc>
          <w:tcPr>
            <w:tcW w:w="672" w:type="dxa"/>
            <w:gridSpan w:val="2"/>
            <w:tcBorders>
              <w:top w:val="outset" w:sz="6" w:space="0" w:color="414142"/>
              <w:left w:val="outset" w:sz="6" w:space="0" w:color="414142"/>
              <w:bottom w:val="outset" w:sz="6" w:space="0" w:color="414142"/>
              <w:right w:val="outset" w:sz="6" w:space="0" w:color="414142"/>
            </w:tcBorders>
          </w:tcPr>
          <w:p w14:paraId="09417547" w14:textId="77777777" w:rsidR="005D5DCB" w:rsidRPr="00903CCF" w:rsidRDefault="005D5DCB" w:rsidP="000602B5">
            <w:pPr>
              <w:ind w:right="140"/>
              <w:jc w:val="both"/>
              <w:rPr>
                <w:spacing w:val="-2"/>
              </w:rPr>
            </w:pPr>
            <w:r w:rsidRPr="00903CCF">
              <w:rPr>
                <w:spacing w:val="-2"/>
              </w:rPr>
              <w:t>2.</w:t>
            </w:r>
          </w:p>
        </w:tc>
        <w:tc>
          <w:tcPr>
            <w:tcW w:w="2976" w:type="dxa"/>
            <w:tcBorders>
              <w:top w:val="outset" w:sz="6" w:space="0" w:color="414142"/>
              <w:left w:val="outset" w:sz="6" w:space="0" w:color="414142"/>
              <w:bottom w:val="outset" w:sz="6" w:space="0" w:color="414142"/>
              <w:right w:val="outset" w:sz="6" w:space="0" w:color="414142"/>
            </w:tcBorders>
            <w:hideMark/>
          </w:tcPr>
          <w:p w14:paraId="2F3CE72E" w14:textId="77777777" w:rsidR="005D5DCB" w:rsidRPr="00903CCF" w:rsidRDefault="005D5DCB" w:rsidP="000602B5">
            <w:pPr>
              <w:ind w:right="140"/>
              <w:jc w:val="both"/>
              <w:rPr>
                <w:spacing w:val="-2"/>
              </w:rPr>
            </w:pPr>
            <w:r w:rsidRPr="00903CCF">
              <w:rPr>
                <w:spacing w:val="-2"/>
              </w:rPr>
              <w:t>Atbildīgā institūcija</w:t>
            </w:r>
          </w:p>
        </w:tc>
        <w:tc>
          <w:tcPr>
            <w:tcW w:w="5407" w:type="dxa"/>
            <w:tcBorders>
              <w:top w:val="outset" w:sz="6" w:space="0" w:color="414142"/>
              <w:left w:val="outset" w:sz="6" w:space="0" w:color="414142"/>
              <w:bottom w:val="outset" w:sz="6" w:space="0" w:color="414142"/>
              <w:right w:val="outset" w:sz="6" w:space="0" w:color="414142"/>
            </w:tcBorders>
            <w:hideMark/>
          </w:tcPr>
          <w:p w14:paraId="4E7DA700" w14:textId="267AFBC7" w:rsidR="00852A4B" w:rsidRPr="00903CCF" w:rsidRDefault="0098261C" w:rsidP="000602B5">
            <w:pPr>
              <w:ind w:right="140"/>
              <w:jc w:val="both"/>
              <w:rPr>
                <w:spacing w:val="-2"/>
              </w:rPr>
            </w:pPr>
            <w:r w:rsidRPr="00903CCF">
              <w:rPr>
                <w:spacing w:val="-2"/>
              </w:rPr>
              <w:t>Finanšu ministrija</w:t>
            </w:r>
            <w:r w:rsidR="009933B1" w:rsidRPr="00903CCF">
              <w:rPr>
                <w:spacing w:val="-2"/>
              </w:rPr>
              <w:t>, VID.</w:t>
            </w:r>
          </w:p>
        </w:tc>
      </w:tr>
      <w:tr w:rsidR="005D5DCB" w:rsidRPr="00903CCF" w14:paraId="3D7695CC" w14:textId="77777777" w:rsidTr="001F6262">
        <w:trPr>
          <w:trHeight w:val="284"/>
          <w:jc w:val="center"/>
        </w:trPr>
        <w:tc>
          <w:tcPr>
            <w:tcW w:w="672" w:type="dxa"/>
            <w:gridSpan w:val="2"/>
            <w:tcBorders>
              <w:top w:val="outset" w:sz="6" w:space="0" w:color="414142"/>
              <w:left w:val="outset" w:sz="6" w:space="0" w:color="414142"/>
              <w:bottom w:val="outset" w:sz="6" w:space="0" w:color="414142"/>
              <w:right w:val="outset" w:sz="6" w:space="0" w:color="414142"/>
            </w:tcBorders>
          </w:tcPr>
          <w:p w14:paraId="5884B54C" w14:textId="77777777" w:rsidR="005D5DCB" w:rsidRPr="00903CCF" w:rsidRDefault="005D5DCB" w:rsidP="000602B5">
            <w:pPr>
              <w:ind w:right="140"/>
              <w:jc w:val="both"/>
              <w:rPr>
                <w:spacing w:val="-2"/>
              </w:rPr>
            </w:pPr>
            <w:r w:rsidRPr="00903CCF">
              <w:rPr>
                <w:spacing w:val="-2"/>
              </w:rPr>
              <w:t>3.</w:t>
            </w:r>
          </w:p>
        </w:tc>
        <w:tc>
          <w:tcPr>
            <w:tcW w:w="2976" w:type="dxa"/>
            <w:tcBorders>
              <w:top w:val="outset" w:sz="6" w:space="0" w:color="414142"/>
              <w:left w:val="outset" w:sz="6" w:space="0" w:color="414142"/>
              <w:bottom w:val="outset" w:sz="6" w:space="0" w:color="414142"/>
              <w:right w:val="outset" w:sz="6" w:space="0" w:color="414142"/>
            </w:tcBorders>
            <w:hideMark/>
          </w:tcPr>
          <w:p w14:paraId="762C0C75" w14:textId="77777777" w:rsidR="005D5DCB" w:rsidRPr="00903CCF" w:rsidRDefault="005D5DCB" w:rsidP="000602B5">
            <w:pPr>
              <w:ind w:right="140"/>
              <w:jc w:val="both"/>
              <w:rPr>
                <w:spacing w:val="-2"/>
              </w:rPr>
            </w:pPr>
            <w:r w:rsidRPr="00903CCF">
              <w:rPr>
                <w:spacing w:val="-2"/>
              </w:rPr>
              <w:t>Cita informācija</w:t>
            </w:r>
          </w:p>
        </w:tc>
        <w:tc>
          <w:tcPr>
            <w:tcW w:w="5407" w:type="dxa"/>
            <w:tcBorders>
              <w:top w:val="outset" w:sz="6" w:space="0" w:color="414142"/>
              <w:left w:val="outset" w:sz="6" w:space="0" w:color="414142"/>
              <w:bottom w:val="outset" w:sz="6" w:space="0" w:color="414142"/>
              <w:right w:val="outset" w:sz="6" w:space="0" w:color="414142"/>
            </w:tcBorders>
            <w:hideMark/>
          </w:tcPr>
          <w:p w14:paraId="12E6DB45" w14:textId="77777777" w:rsidR="005D5DCB" w:rsidRPr="00903CCF" w:rsidRDefault="005D5DCB" w:rsidP="000602B5">
            <w:pPr>
              <w:ind w:right="140"/>
              <w:jc w:val="both"/>
              <w:rPr>
                <w:spacing w:val="-2"/>
              </w:rPr>
            </w:pPr>
            <w:r w:rsidRPr="00903CCF">
              <w:rPr>
                <w:spacing w:val="-2"/>
              </w:rPr>
              <w:t>Nav.</w:t>
            </w:r>
          </w:p>
        </w:tc>
      </w:tr>
    </w:tbl>
    <w:p w14:paraId="095D81A3" w14:textId="77777777" w:rsidR="005D5DCB" w:rsidRPr="00903CCF" w:rsidRDefault="005D5DCB" w:rsidP="000602B5">
      <w:pPr>
        <w:ind w:right="140"/>
        <w:rPr>
          <w:spacing w:val="-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33686E" w:rsidRPr="00903CCF" w14:paraId="396485BB" w14:textId="77777777" w:rsidTr="00E30AEA">
        <w:trPr>
          <w:trHeight w:val="421"/>
          <w:jc w:val="center"/>
        </w:trPr>
        <w:tc>
          <w:tcPr>
            <w:tcW w:w="9072" w:type="dxa"/>
            <w:tcBorders>
              <w:top w:val="single" w:sz="4" w:space="0" w:color="auto"/>
              <w:left w:val="single" w:sz="4" w:space="0" w:color="auto"/>
              <w:bottom w:val="single" w:sz="4" w:space="0" w:color="auto"/>
              <w:right w:val="single" w:sz="4" w:space="0" w:color="auto"/>
            </w:tcBorders>
            <w:vAlign w:val="center"/>
          </w:tcPr>
          <w:p w14:paraId="1E1C292E" w14:textId="77777777" w:rsidR="005D5DCB" w:rsidRPr="00903CCF" w:rsidRDefault="005D5DCB" w:rsidP="000602B5">
            <w:pPr>
              <w:ind w:right="140"/>
              <w:rPr>
                <w:b/>
                <w:spacing w:val="-2"/>
              </w:rPr>
            </w:pPr>
            <w:r w:rsidRPr="00903CCF">
              <w:rPr>
                <w:b/>
                <w:spacing w:val="-2"/>
              </w:rPr>
              <w:t>V. Tiesību akta projekta atbilstība Latvijas Republikas starptautiskajām saistībām</w:t>
            </w:r>
          </w:p>
        </w:tc>
      </w:tr>
      <w:tr w:rsidR="005D5DCB" w:rsidRPr="00903CCF" w14:paraId="08526F1A" w14:textId="77777777" w:rsidTr="00E30A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072" w:type="dxa"/>
            <w:tcBorders>
              <w:top w:val="outset" w:sz="6" w:space="0" w:color="auto"/>
              <w:left w:val="outset" w:sz="6" w:space="0" w:color="auto"/>
              <w:bottom w:val="outset" w:sz="6" w:space="0" w:color="auto"/>
              <w:right w:val="outset" w:sz="6" w:space="0" w:color="auto"/>
            </w:tcBorders>
          </w:tcPr>
          <w:p w14:paraId="606B1D5D" w14:textId="77777777" w:rsidR="005D5DCB" w:rsidRPr="00903CCF" w:rsidRDefault="005D5DCB" w:rsidP="000602B5">
            <w:pPr>
              <w:ind w:right="140"/>
              <w:jc w:val="center"/>
              <w:rPr>
                <w:spacing w:val="-2"/>
              </w:rPr>
            </w:pPr>
            <w:r w:rsidRPr="00903CCF">
              <w:rPr>
                <w:bCs/>
                <w:spacing w:val="-2"/>
              </w:rPr>
              <w:t>Likumprojekts šo jomu neskar.</w:t>
            </w:r>
          </w:p>
        </w:tc>
      </w:tr>
    </w:tbl>
    <w:p w14:paraId="5D7CE4A7" w14:textId="77777777" w:rsidR="005D5DCB" w:rsidRPr="00903CCF" w:rsidRDefault="005D5DCB" w:rsidP="000602B5">
      <w:pPr>
        <w:ind w:right="140"/>
        <w:rPr>
          <w:spacing w:val="-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5670"/>
      </w:tblGrid>
      <w:tr w:rsidR="0033686E" w:rsidRPr="00903CCF" w14:paraId="0587D38C" w14:textId="77777777" w:rsidTr="00E30AEA">
        <w:trPr>
          <w:trHeight w:val="381"/>
          <w:jc w:val="center"/>
        </w:trPr>
        <w:tc>
          <w:tcPr>
            <w:tcW w:w="9209" w:type="dxa"/>
            <w:gridSpan w:val="3"/>
            <w:vAlign w:val="center"/>
          </w:tcPr>
          <w:p w14:paraId="4F7CE5C7" w14:textId="77777777" w:rsidR="005D5DCB" w:rsidRPr="00903CCF" w:rsidRDefault="005D5DCB" w:rsidP="000602B5">
            <w:pPr>
              <w:ind w:right="140"/>
              <w:jc w:val="center"/>
              <w:rPr>
                <w:spacing w:val="-2"/>
              </w:rPr>
            </w:pPr>
            <w:r w:rsidRPr="00903CCF">
              <w:rPr>
                <w:b/>
                <w:spacing w:val="-2"/>
              </w:rPr>
              <w:t>VI. Sabiedrības līdzdalība un komunikācijas aktivitātes</w:t>
            </w:r>
          </w:p>
        </w:tc>
      </w:tr>
      <w:tr w:rsidR="0033686E" w:rsidRPr="00903CCF" w14:paraId="630CD639" w14:textId="77777777" w:rsidTr="00E30AEA">
        <w:trPr>
          <w:trHeight w:val="427"/>
          <w:jc w:val="center"/>
        </w:trPr>
        <w:tc>
          <w:tcPr>
            <w:tcW w:w="421" w:type="dxa"/>
          </w:tcPr>
          <w:p w14:paraId="46CB4394" w14:textId="77777777" w:rsidR="005D5DCB" w:rsidRPr="00903CCF" w:rsidRDefault="005D5DCB" w:rsidP="000602B5">
            <w:pPr>
              <w:ind w:right="140"/>
              <w:rPr>
                <w:spacing w:val="-2"/>
              </w:rPr>
            </w:pPr>
            <w:r w:rsidRPr="00903CCF">
              <w:rPr>
                <w:spacing w:val="-2"/>
              </w:rPr>
              <w:t>1.</w:t>
            </w:r>
          </w:p>
        </w:tc>
        <w:tc>
          <w:tcPr>
            <w:tcW w:w="3118" w:type="dxa"/>
          </w:tcPr>
          <w:p w14:paraId="7EEC5490" w14:textId="77777777" w:rsidR="005D5DCB" w:rsidRPr="00903CCF" w:rsidRDefault="005D5DCB" w:rsidP="000602B5">
            <w:pPr>
              <w:ind w:right="140"/>
              <w:jc w:val="both"/>
              <w:rPr>
                <w:spacing w:val="-2"/>
              </w:rPr>
            </w:pPr>
            <w:r w:rsidRPr="00903CCF">
              <w:rPr>
                <w:spacing w:val="-2"/>
              </w:rPr>
              <w:t>Plānotās sabiedrības līdzdalības un komunikācijas aktivitātes saistībā ar projektu</w:t>
            </w:r>
          </w:p>
        </w:tc>
        <w:tc>
          <w:tcPr>
            <w:tcW w:w="5670" w:type="dxa"/>
          </w:tcPr>
          <w:p w14:paraId="4B75034F" w14:textId="2271D7C1" w:rsidR="005D5DCB" w:rsidRPr="00903CCF" w:rsidRDefault="00483233" w:rsidP="000602B5">
            <w:pPr>
              <w:ind w:right="140"/>
              <w:jc w:val="both"/>
              <w:rPr>
                <w:spacing w:val="-2"/>
              </w:rPr>
            </w:pPr>
            <w:r w:rsidRPr="00903CCF">
              <w:rPr>
                <w:spacing w:val="-2"/>
              </w:rPr>
              <w:t>Izstrādājot vienkāršo</w:t>
            </w:r>
            <w:r w:rsidR="00DE7D92" w:rsidRPr="00903CCF">
              <w:rPr>
                <w:spacing w:val="-2"/>
              </w:rPr>
              <w:t>tā nodokļ</w:t>
            </w:r>
            <w:r w:rsidR="00AD2ECE" w:rsidRPr="00903CCF">
              <w:rPr>
                <w:spacing w:val="-2"/>
              </w:rPr>
              <w:t>a</w:t>
            </w:r>
            <w:r w:rsidR="00DE7D92" w:rsidRPr="00903CCF">
              <w:rPr>
                <w:spacing w:val="-2"/>
              </w:rPr>
              <w:t xml:space="preserve"> nomaksas risinājuma </w:t>
            </w:r>
            <w:r w:rsidRPr="00903CCF">
              <w:rPr>
                <w:spacing w:val="-2"/>
              </w:rPr>
              <w:t xml:space="preserve">regulējumu, ir notikušas </w:t>
            </w:r>
            <w:r w:rsidR="00007070" w:rsidRPr="00903CCF">
              <w:rPr>
                <w:spacing w:val="-2"/>
              </w:rPr>
              <w:t xml:space="preserve">konsultācijas </w:t>
            </w:r>
            <w:r w:rsidRPr="00903CCF">
              <w:rPr>
                <w:spacing w:val="-2"/>
              </w:rPr>
              <w:t>ar biedrības “</w:t>
            </w:r>
            <w:r w:rsidR="00674368" w:rsidRPr="00903CCF">
              <w:rPr>
                <w:spacing w:val="-2"/>
              </w:rPr>
              <w:t xml:space="preserve">Latvijas </w:t>
            </w:r>
            <w:r w:rsidR="00BA551D" w:rsidRPr="00903CCF">
              <w:rPr>
                <w:spacing w:val="-2"/>
              </w:rPr>
              <w:t>Finanšu nozares asociācija</w:t>
            </w:r>
            <w:r w:rsidRPr="00903CCF">
              <w:rPr>
                <w:spacing w:val="-2"/>
              </w:rPr>
              <w:t xml:space="preserve">” pārstāvjiem. </w:t>
            </w:r>
          </w:p>
        </w:tc>
      </w:tr>
      <w:tr w:rsidR="0033686E" w:rsidRPr="00903CCF" w14:paraId="5B73808E" w14:textId="77777777" w:rsidTr="00E30AEA">
        <w:trPr>
          <w:trHeight w:val="463"/>
          <w:jc w:val="center"/>
        </w:trPr>
        <w:tc>
          <w:tcPr>
            <w:tcW w:w="421" w:type="dxa"/>
          </w:tcPr>
          <w:p w14:paraId="7E833174" w14:textId="77777777" w:rsidR="005D5DCB" w:rsidRPr="00903CCF" w:rsidRDefault="005D5DCB" w:rsidP="000602B5">
            <w:pPr>
              <w:ind w:right="140"/>
              <w:rPr>
                <w:spacing w:val="-2"/>
              </w:rPr>
            </w:pPr>
            <w:r w:rsidRPr="00903CCF">
              <w:rPr>
                <w:spacing w:val="-2"/>
              </w:rPr>
              <w:t>2.</w:t>
            </w:r>
          </w:p>
        </w:tc>
        <w:tc>
          <w:tcPr>
            <w:tcW w:w="3118" w:type="dxa"/>
          </w:tcPr>
          <w:p w14:paraId="0A0D2CCD" w14:textId="77777777" w:rsidR="005D5DCB" w:rsidRPr="00903CCF" w:rsidRDefault="005D5DCB" w:rsidP="000602B5">
            <w:pPr>
              <w:ind w:right="140"/>
              <w:rPr>
                <w:spacing w:val="-2"/>
              </w:rPr>
            </w:pPr>
            <w:r w:rsidRPr="00903CCF">
              <w:rPr>
                <w:spacing w:val="-2"/>
              </w:rPr>
              <w:t>Sabiedrības līdzdalība projekta izstrādē</w:t>
            </w:r>
          </w:p>
        </w:tc>
        <w:tc>
          <w:tcPr>
            <w:tcW w:w="5670" w:type="dxa"/>
          </w:tcPr>
          <w:p w14:paraId="367C591D" w14:textId="14C9A4E8" w:rsidR="005D5DCB" w:rsidRPr="00903CCF" w:rsidRDefault="005D5DCB" w:rsidP="005414EF">
            <w:pPr>
              <w:ind w:left="-25" w:right="140"/>
              <w:jc w:val="both"/>
              <w:rPr>
                <w:spacing w:val="-2"/>
              </w:rPr>
            </w:pPr>
            <w:r w:rsidRPr="00903CCF">
              <w:rPr>
                <w:spacing w:val="-2"/>
              </w:rPr>
              <w:t xml:space="preserve"> </w:t>
            </w:r>
            <w:r w:rsidR="00EA0504" w:rsidRPr="00903CCF">
              <w:rPr>
                <w:spacing w:val="-2"/>
              </w:rPr>
              <w:t>Bie</w:t>
            </w:r>
            <w:r w:rsidR="0001042E" w:rsidRPr="00903CCF">
              <w:rPr>
                <w:spacing w:val="-2"/>
              </w:rPr>
              <w:t>drība “Latvijas Finanšu n</w:t>
            </w:r>
            <w:r w:rsidR="00EA0504" w:rsidRPr="00903CCF">
              <w:rPr>
                <w:spacing w:val="-2"/>
              </w:rPr>
              <w:t xml:space="preserve">ozares asociācija” saskaņo likumprojektā ietverto </w:t>
            </w:r>
            <w:r w:rsidR="00776C3B" w:rsidRPr="00903CCF">
              <w:rPr>
                <w:spacing w:val="-2"/>
              </w:rPr>
              <w:t>regulējumu</w:t>
            </w:r>
            <w:r w:rsidR="00EA0504" w:rsidRPr="00903CCF">
              <w:rPr>
                <w:spacing w:val="-2"/>
              </w:rPr>
              <w:t>.</w:t>
            </w:r>
            <w:r w:rsidR="00C44B5D" w:rsidRPr="00903CCF">
              <w:rPr>
                <w:spacing w:val="-2"/>
              </w:rPr>
              <w:t xml:space="preserve"> </w:t>
            </w:r>
            <w:r w:rsidR="00C44B5D" w:rsidRPr="00903CCF">
              <w:rPr>
                <w:rFonts w:eastAsia="Calibri"/>
                <w:spacing w:val="-2"/>
                <w:lang w:eastAsia="en-US"/>
              </w:rPr>
              <w:t xml:space="preserve">Lai ieviestu vienkāršoto nodokļa nomaksas risinājumu – SDI kontu, VID un kredītiestādēm </w:t>
            </w:r>
            <w:r w:rsidR="00C44B5D" w:rsidRPr="00903CCF">
              <w:rPr>
                <w:spacing w:val="-2"/>
              </w:rPr>
              <w:t>ir nepieciešams izstrādāt attiecīgu programmatūru un pielāgot informācijas sistēmas, tādējādi ir jāparedz samērīgs laiks izmaiņu izstrādei un ieviešanai informācijas sistēmās. Līdz ar to biedrības ieskatā likumprojektā noteiktā regulējuma spēkā stāšanās laik</w:t>
            </w:r>
            <w:r w:rsidR="00A6781B" w:rsidRPr="00903CCF">
              <w:rPr>
                <w:spacing w:val="-2"/>
              </w:rPr>
              <w:t>s</w:t>
            </w:r>
            <w:r w:rsidR="00C44B5D" w:rsidRPr="00903CCF">
              <w:rPr>
                <w:spacing w:val="-2"/>
              </w:rPr>
              <w:t xml:space="preserve"> būtu precizē</w:t>
            </w:r>
            <w:r w:rsidR="00A6781B" w:rsidRPr="00903CCF">
              <w:rPr>
                <w:spacing w:val="-2"/>
              </w:rPr>
              <w:t>jams</w:t>
            </w:r>
            <w:r w:rsidR="00C44B5D" w:rsidRPr="00903CCF">
              <w:rPr>
                <w:spacing w:val="-2"/>
              </w:rPr>
              <w:t xml:space="preserve">, ņemot vērā likumprojekta </w:t>
            </w:r>
            <w:r w:rsidR="00A6781B" w:rsidRPr="00903CCF">
              <w:rPr>
                <w:spacing w:val="-2"/>
              </w:rPr>
              <w:t>virzību Saeim</w:t>
            </w:r>
            <w:r w:rsidR="005414EF" w:rsidRPr="00903CCF">
              <w:rPr>
                <w:spacing w:val="-2"/>
              </w:rPr>
              <w:t xml:space="preserve">ā un </w:t>
            </w:r>
            <w:r w:rsidR="00A6781B" w:rsidRPr="00903CCF">
              <w:rPr>
                <w:spacing w:val="-2"/>
              </w:rPr>
              <w:t>paredzot samērīgu laiku informācijas sistēmu pielāgošanai.</w:t>
            </w:r>
          </w:p>
        </w:tc>
      </w:tr>
      <w:tr w:rsidR="0033686E" w:rsidRPr="00903CCF" w14:paraId="05F6A53D" w14:textId="77777777" w:rsidTr="00E30AEA">
        <w:trPr>
          <w:trHeight w:val="283"/>
          <w:jc w:val="center"/>
        </w:trPr>
        <w:tc>
          <w:tcPr>
            <w:tcW w:w="421" w:type="dxa"/>
            <w:tcBorders>
              <w:top w:val="single" w:sz="4" w:space="0" w:color="auto"/>
              <w:left w:val="single" w:sz="4" w:space="0" w:color="auto"/>
              <w:bottom w:val="single" w:sz="4" w:space="0" w:color="auto"/>
              <w:right w:val="single" w:sz="4" w:space="0" w:color="auto"/>
            </w:tcBorders>
          </w:tcPr>
          <w:p w14:paraId="7917AB50" w14:textId="77777777" w:rsidR="005D5DCB" w:rsidRPr="00903CCF" w:rsidRDefault="005D5DCB" w:rsidP="000602B5">
            <w:pPr>
              <w:ind w:right="140"/>
              <w:rPr>
                <w:spacing w:val="-2"/>
              </w:rPr>
            </w:pPr>
            <w:r w:rsidRPr="00903CCF">
              <w:rPr>
                <w:spacing w:val="-2"/>
              </w:rPr>
              <w:t>3.</w:t>
            </w:r>
          </w:p>
        </w:tc>
        <w:tc>
          <w:tcPr>
            <w:tcW w:w="3118" w:type="dxa"/>
            <w:tcBorders>
              <w:top w:val="single" w:sz="4" w:space="0" w:color="auto"/>
              <w:left w:val="single" w:sz="4" w:space="0" w:color="auto"/>
              <w:bottom w:val="single" w:sz="4" w:space="0" w:color="auto"/>
              <w:right w:val="single" w:sz="4" w:space="0" w:color="auto"/>
            </w:tcBorders>
          </w:tcPr>
          <w:p w14:paraId="1C141333" w14:textId="77777777" w:rsidR="005D5DCB" w:rsidRPr="00903CCF" w:rsidRDefault="005D5DCB" w:rsidP="000602B5">
            <w:pPr>
              <w:ind w:right="140"/>
              <w:rPr>
                <w:spacing w:val="-2"/>
              </w:rPr>
            </w:pPr>
            <w:r w:rsidRPr="00903CCF">
              <w:rPr>
                <w:spacing w:val="-2"/>
              </w:rPr>
              <w:t>Sabiedrības līdzdalības rezultāti</w:t>
            </w:r>
          </w:p>
        </w:tc>
        <w:tc>
          <w:tcPr>
            <w:tcW w:w="5670" w:type="dxa"/>
            <w:tcBorders>
              <w:top w:val="single" w:sz="4" w:space="0" w:color="auto"/>
              <w:left w:val="single" w:sz="4" w:space="0" w:color="auto"/>
              <w:bottom w:val="single" w:sz="4" w:space="0" w:color="auto"/>
              <w:right w:val="single" w:sz="4" w:space="0" w:color="auto"/>
            </w:tcBorders>
          </w:tcPr>
          <w:p w14:paraId="49315E2C" w14:textId="71D72BDD" w:rsidR="005D5DCB" w:rsidRPr="00903CCF" w:rsidRDefault="00EA0504" w:rsidP="000602B5">
            <w:pPr>
              <w:ind w:left="-25" w:right="140"/>
              <w:jc w:val="both"/>
              <w:rPr>
                <w:spacing w:val="-2"/>
              </w:rPr>
            </w:pPr>
            <w:r w:rsidRPr="00903CCF">
              <w:rPr>
                <w:spacing w:val="-2"/>
              </w:rPr>
              <w:t>Biedrība “Latvijas Finanšu nozares asociācija” saskaņo likumprojektā ietverto regulējumu.</w:t>
            </w:r>
          </w:p>
        </w:tc>
      </w:tr>
      <w:tr w:rsidR="005D5DCB" w:rsidRPr="00903CCF" w14:paraId="0412BE04" w14:textId="77777777" w:rsidTr="00E30AEA">
        <w:trPr>
          <w:trHeight w:val="279"/>
          <w:jc w:val="center"/>
        </w:trPr>
        <w:tc>
          <w:tcPr>
            <w:tcW w:w="421" w:type="dxa"/>
          </w:tcPr>
          <w:p w14:paraId="622DD42C" w14:textId="77777777" w:rsidR="005D5DCB" w:rsidRPr="00903CCF" w:rsidRDefault="005D5DCB" w:rsidP="000602B5">
            <w:pPr>
              <w:ind w:right="140"/>
              <w:rPr>
                <w:spacing w:val="-2"/>
              </w:rPr>
            </w:pPr>
            <w:r w:rsidRPr="00903CCF">
              <w:rPr>
                <w:spacing w:val="-2"/>
              </w:rPr>
              <w:t>4.</w:t>
            </w:r>
          </w:p>
        </w:tc>
        <w:tc>
          <w:tcPr>
            <w:tcW w:w="3118" w:type="dxa"/>
          </w:tcPr>
          <w:p w14:paraId="133192F9" w14:textId="77777777" w:rsidR="005D5DCB" w:rsidRPr="00903CCF" w:rsidRDefault="005D5DCB" w:rsidP="000602B5">
            <w:pPr>
              <w:ind w:right="140"/>
              <w:rPr>
                <w:spacing w:val="-2"/>
              </w:rPr>
            </w:pPr>
            <w:r w:rsidRPr="00903CCF">
              <w:rPr>
                <w:spacing w:val="-2"/>
              </w:rPr>
              <w:t>Cita informācija</w:t>
            </w:r>
          </w:p>
        </w:tc>
        <w:tc>
          <w:tcPr>
            <w:tcW w:w="5670" w:type="dxa"/>
          </w:tcPr>
          <w:p w14:paraId="6FE01F04" w14:textId="77777777" w:rsidR="005D5DCB" w:rsidRPr="00903CCF" w:rsidRDefault="005D5DCB" w:rsidP="000602B5">
            <w:pPr>
              <w:ind w:left="114" w:right="140"/>
              <w:rPr>
                <w:spacing w:val="-2"/>
              </w:rPr>
            </w:pPr>
            <w:r w:rsidRPr="00903CCF">
              <w:rPr>
                <w:spacing w:val="-2"/>
              </w:rPr>
              <w:t>Nav.</w:t>
            </w:r>
          </w:p>
        </w:tc>
      </w:tr>
    </w:tbl>
    <w:p w14:paraId="5E103FBF" w14:textId="77777777" w:rsidR="005D5DCB" w:rsidRPr="00903CCF" w:rsidRDefault="005D5DCB" w:rsidP="000602B5">
      <w:pPr>
        <w:ind w:right="140"/>
        <w:rPr>
          <w:spacing w:val="-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5670"/>
      </w:tblGrid>
      <w:tr w:rsidR="0033686E" w:rsidRPr="00903CCF" w14:paraId="7D077BBA" w14:textId="77777777" w:rsidTr="00E30AEA">
        <w:trPr>
          <w:trHeight w:val="381"/>
          <w:jc w:val="center"/>
        </w:trPr>
        <w:tc>
          <w:tcPr>
            <w:tcW w:w="9351" w:type="dxa"/>
            <w:gridSpan w:val="3"/>
            <w:vAlign w:val="center"/>
          </w:tcPr>
          <w:p w14:paraId="306A673E" w14:textId="77777777" w:rsidR="005D5DCB" w:rsidRPr="00903CCF" w:rsidRDefault="005D5DCB" w:rsidP="000602B5">
            <w:pPr>
              <w:pStyle w:val="naisnod"/>
              <w:spacing w:before="0" w:after="0"/>
              <w:ind w:left="57" w:right="140"/>
              <w:rPr>
                <w:spacing w:val="-2"/>
                <w:lang w:val="lv-LV"/>
              </w:rPr>
            </w:pPr>
            <w:r w:rsidRPr="00903CCF">
              <w:rPr>
                <w:spacing w:val="-2"/>
                <w:lang w:val="lv-LV"/>
              </w:rPr>
              <w:t>VII. Tiesību akta projekta izpildes nodrošināšana un tās ietekme uz institūcijām</w:t>
            </w:r>
          </w:p>
        </w:tc>
      </w:tr>
      <w:tr w:rsidR="0033686E" w:rsidRPr="00903CCF" w14:paraId="47B259F3" w14:textId="77777777" w:rsidTr="00E30AEA">
        <w:trPr>
          <w:trHeight w:val="427"/>
          <w:jc w:val="center"/>
        </w:trPr>
        <w:tc>
          <w:tcPr>
            <w:tcW w:w="467" w:type="dxa"/>
          </w:tcPr>
          <w:p w14:paraId="23229658" w14:textId="77777777" w:rsidR="005D5DCB" w:rsidRPr="00903CCF" w:rsidRDefault="005D5DCB" w:rsidP="000602B5">
            <w:pPr>
              <w:pStyle w:val="naisnod"/>
              <w:spacing w:before="0" w:after="0"/>
              <w:ind w:left="57" w:right="140"/>
              <w:jc w:val="both"/>
              <w:rPr>
                <w:b w:val="0"/>
                <w:spacing w:val="-2"/>
                <w:lang w:val="lv-LV"/>
              </w:rPr>
            </w:pPr>
            <w:r w:rsidRPr="00903CCF">
              <w:rPr>
                <w:b w:val="0"/>
                <w:spacing w:val="-2"/>
                <w:lang w:val="lv-LV"/>
              </w:rPr>
              <w:t>1.</w:t>
            </w:r>
          </w:p>
        </w:tc>
        <w:tc>
          <w:tcPr>
            <w:tcW w:w="3214" w:type="dxa"/>
          </w:tcPr>
          <w:p w14:paraId="00EE668B" w14:textId="77777777" w:rsidR="005D5DCB" w:rsidRPr="00903CCF" w:rsidRDefault="005D5DCB" w:rsidP="000602B5">
            <w:pPr>
              <w:pStyle w:val="naisf"/>
              <w:spacing w:before="0" w:after="0"/>
              <w:ind w:left="57" w:right="140" w:firstLine="0"/>
              <w:rPr>
                <w:spacing w:val="-2"/>
              </w:rPr>
            </w:pPr>
            <w:r w:rsidRPr="00903CCF">
              <w:rPr>
                <w:spacing w:val="-2"/>
              </w:rPr>
              <w:t>Projekta izpildē iesaistītās institūcijas</w:t>
            </w:r>
          </w:p>
        </w:tc>
        <w:tc>
          <w:tcPr>
            <w:tcW w:w="5670" w:type="dxa"/>
          </w:tcPr>
          <w:p w14:paraId="54E09B4A" w14:textId="785CF4BF" w:rsidR="005D5DCB" w:rsidRPr="00903CCF" w:rsidRDefault="00796061" w:rsidP="000602B5">
            <w:pPr>
              <w:shd w:val="clear" w:color="auto" w:fill="FFFFFF"/>
              <w:ind w:right="140"/>
              <w:jc w:val="both"/>
              <w:rPr>
                <w:spacing w:val="-2"/>
              </w:rPr>
            </w:pPr>
            <w:r w:rsidRPr="00903CCF">
              <w:rPr>
                <w:spacing w:val="-2"/>
              </w:rPr>
              <w:t>VID</w:t>
            </w:r>
          </w:p>
        </w:tc>
      </w:tr>
      <w:tr w:rsidR="0033686E" w:rsidRPr="00903CCF" w14:paraId="54B72F78" w14:textId="77777777" w:rsidTr="00E30AEA">
        <w:trPr>
          <w:trHeight w:val="463"/>
          <w:jc w:val="center"/>
        </w:trPr>
        <w:tc>
          <w:tcPr>
            <w:tcW w:w="467" w:type="dxa"/>
          </w:tcPr>
          <w:p w14:paraId="20318C15" w14:textId="77777777" w:rsidR="005D5DCB" w:rsidRPr="00903CCF" w:rsidRDefault="005D5DCB" w:rsidP="000602B5">
            <w:pPr>
              <w:pStyle w:val="naisnod"/>
              <w:spacing w:before="0" w:after="0"/>
              <w:ind w:left="57" w:right="140"/>
              <w:jc w:val="both"/>
              <w:rPr>
                <w:b w:val="0"/>
                <w:spacing w:val="-2"/>
                <w:lang w:val="lv-LV"/>
              </w:rPr>
            </w:pPr>
            <w:r w:rsidRPr="00903CCF">
              <w:rPr>
                <w:b w:val="0"/>
                <w:spacing w:val="-2"/>
                <w:lang w:val="lv-LV"/>
              </w:rPr>
              <w:t>2.</w:t>
            </w:r>
          </w:p>
        </w:tc>
        <w:tc>
          <w:tcPr>
            <w:tcW w:w="3214" w:type="dxa"/>
          </w:tcPr>
          <w:p w14:paraId="27D7BC13" w14:textId="77777777" w:rsidR="005D5DCB" w:rsidRPr="00903CCF" w:rsidRDefault="005D5DCB" w:rsidP="000602B5">
            <w:pPr>
              <w:pStyle w:val="naisf"/>
              <w:spacing w:before="0" w:after="0"/>
              <w:ind w:left="57" w:right="140" w:firstLine="0"/>
              <w:rPr>
                <w:spacing w:val="-2"/>
              </w:rPr>
            </w:pPr>
            <w:r w:rsidRPr="00903CCF">
              <w:rPr>
                <w:spacing w:val="-2"/>
              </w:rPr>
              <w:t>Projekta izpildes ietekme uz pārvaldes funkcijām un institucionālo struktūru.</w:t>
            </w:r>
          </w:p>
          <w:p w14:paraId="1A56F275" w14:textId="77777777" w:rsidR="005D5DCB" w:rsidRPr="00903CCF" w:rsidRDefault="005D5DCB" w:rsidP="000602B5">
            <w:pPr>
              <w:pStyle w:val="naisf"/>
              <w:spacing w:before="0" w:after="0"/>
              <w:ind w:left="57" w:right="140" w:firstLine="0"/>
              <w:rPr>
                <w:spacing w:val="-2"/>
              </w:rPr>
            </w:pPr>
            <w:r w:rsidRPr="00903CCF">
              <w:rPr>
                <w:spacing w:val="-2"/>
              </w:rPr>
              <w:t>Jaunu institūciju izveide, esošu institūciju likvidācija vai reorga</w:t>
            </w:r>
            <w:r w:rsidRPr="00903CCF">
              <w:rPr>
                <w:spacing w:val="-2"/>
              </w:rPr>
              <w:softHyphen/>
              <w:t>nizācija, to ietekme uz institūcijas cilvēkresursiem</w:t>
            </w:r>
          </w:p>
        </w:tc>
        <w:tc>
          <w:tcPr>
            <w:tcW w:w="5670" w:type="dxa"/>
          </w:tcPr>
          <w:p w14:paraId="14A025E8" w14:textId="77777777" w:rsidR="005D5DCB" w:rsidRPr="00903CCF" w:rsidRDefault="005D5DCB" w:rsidP="000602B5">
            <w:pPr>
              <w:shd w:val="clear" w:color="auto" w:fill="FFFFFF"/>
              <w:ind w:right="140"/>
              <w:jc w:val="both"/>
              <w:rPr>
                <w:spacing w:val="-2"/>
              </w:rPr>
            </w:pPr>
            <w:r w:rsidRPr="00903CCF">
              <w:rPr>
                <w:spacing w:val="-2"/>
              </w:rPr>
              <w:t>Funkcijas un uzdevumi netiek grozīti.</w:t>
            </w:r>
          </w:p>
          <w:p w14:paraId="5EDAFFFC" w14:textId="77777777" w:rsidR="005D5DCB" w:rsidRPr="00903CCF" w:rsidRDefault="005D5DCB" w:rsidP="000602B5">
            <w:pPr>
              <w:shd w:val="clear" w:color="auto" w:fill="FFFFFF"/>
              <w:ind w:right="140"/>
              <w:jc w:val="both"/>
              <w:rPr>
                <w:spacing w:val="-2"/>
              </w:rPr>
            </w:pPr>
            <w:r w:rsidRPr="00903CCF">
              <w:rPr>
                <w:rFonts w:eastAsia="Calibri"/>
                <w:spacing w:val="-2"/>
                <w:lang w:eastAsia="en-US"/>
              </w:rPr>
              <w:t>Jaunas institūcijas nav nepieciešams izveidot.</w:t>
            </w:r>
          </w:p>
          <w:p w14:paraId="129B440F" w14:textId="77777777" w:rsidR="005D5DCB" w:rsidRPr="00903CCF" w:rsidRDefault="005D5DCB" w:rsidP="000602B5">
            <w:pPr>
              <w:shd w:val="clear" w:color="auto" w:fill="FFFFFF"/>
              <w:ind w:right="140"/>
              <w:jc w:val="both"/>
              <w:rPr>
                <w:spacing w:val="-2"/>
              </w:rPr>
            </w:pPr>
            <w:r w:rsidRPr="00903CCF">
              <w:rPr>
                <w:rFonts w:eastAsia="Calibri"/>
                <w:spacing w:val="-2"/>
                <w:lang w:eastAsia="en-US"/>
              </w:rPr>
              <w:t>Nav plānota esošu institūciju likvidācija vai reorganizācija.</w:t>
            </w:r>
          </w:p>
          <w:p w14:paraId="698EC14C" w14:textId="71EA27D1" w:rsidR="005D5DCB" w:rsidRPr="00903CCF" w:rsidRDefault="005D5DCB" w:rsidP="000602B5">
            <w:pPr>
              <w:shd w:val="clear" w:color="auto" w:fill="FFFFFF"/>
              <w:ind w:right="140"/>
              <w:jc w:val="both"/>
              <w:rPr>
                <w:spacing w:val="-2"/>
              </w:rPr>
            </w:pPr>
            <w:r w:rsidRPr="00903CCF">
              <w:rPr>
                <w:spacing w:val="-2"/>
              </w:rPr>
              <w:t>Likumprojekt</w:t>
            </w:r>
            <w:r w:rsidR="00766C26" w:rsidRPr="00903CCF">
              <w:rPr>
                <w:spacing w:val="-2"/>
              </w:rPr>
              <w:t>ā noteiktais regulējums</w:t>
            </w:r>
            <w:r w:rsidRPr="00903CCF">
              <w:rPr>
                <w:spacing w:val="-2"/>
              </w:rPr>
              <w:t xml:space="preserve"> tiks īstenots esošo cilvēkresursu ietvaros.</w:t>
            </w:r>
          </w:p>
          <w:p w14:paraId="249A7640" w14:textId="77777777" w:rsidR="005D5DCB" w:rsidRPr="00903CCF" w:rsidRDefault="005D5DCB" w:rsidP="000602B5">
            <w:pPr>
              <w:shd w:val="clear" w:color="auto" w:fill="FFFFFF"/>
              <w:ind w:right="140"/>
              <w:jc w:val="both"/>
              <w:rPr>
                <w:spacing w:val="-2"/>
              </w:rPr>
            </w:pPr>
          </w:p>
        </w:tc>
      </w:tr>
      <w:tr w:rsidR="005D5DCB" w:rsidRPr="00903CCF" w14:paraId="340B1BC3" w14:textId="77777777" w:rsidTr="00E30AEA">
        <w:trPr>
          <w:trHeight w:val="283"/>
          <w:jc w:val="center"/>
        </w:trPr>
        <w:tc>
          <w:tcPr>
            <w:tcW w:w="467" w:type="dxa"/>
            <w:tcBorders>
              <w:top w:val="single" w:sz="4" w:space="0" w:color="auto"/>
              <w:left w:val="single" w:sz="4" w:space="0" w:color="auto"/>
              <w:bottom w:val="single" w:sz="4" w:space="0" w:color="auto"/>
              <w:right w:val="single" w:sz="4" w:space="0" w:color="auto"/>
            </w:tcBorders>
          </w:tcPr>
          <w:p w14:paraId="12A4ED9B" w14:textId="77777777" w:rsidR="005D5DCB" w:rsidRPr="00903CCF" w:rsidRDefault="005D5DCB" w:rsidP="000602B5">
            <w:pPr>
              <w:pStyle w:val="naisnod"/>
              <w:spacing w:before="0" w:after="0"/>
              <w:ind w:left="57" w:right="140"/>
              <w:jc w:val="both"/>
              <w:rPr>
                <w:b w:val="0"/>
                <w:spacing w:val="-2"/>
                <w:lang w:val="lv-LV"/>
              </w:rPr>
            </w:pPr>
            <w:r w:rsidRPr="00903CCF">
              <w:rPr>
                <w:b w:val="0"/>
                <w:spacing w:val="-2"/>
                <w:lang w:val="lv-LV"/>
              </w:rPr>
              <w:t>3.</w:t>
            </w:r>
          </w:p>
        </w:tc>
        <w:tc>
          <w:tcPr>
            <w:tcW w:w="3214" w:type="dxa"/>
            <w:tcBorders>
              <w:top w:val="single" w:sz="4" w:space="0" w:color="auto"/>
              <w:left w:val="single" w:sz="4" w:space="0" w:color="auto"/>
              <w:bottom w:val="single" w:sz="4" w:space="0" w:color="auto"/>
              <w:right w:val="single" w:sz="4" w:space="0" w:color="auto"/>
            </w:tcBorders>
          </w:tcPr>
          <w:p w14:paraId="5C3C1312" w14:textId="77777777" w:rsidR="005D5DCB" w:rsidRPr="00903CCF" w:rsidRDefault="005D5DCB" w:rsidP="000602B5">
            <w:pPr>
              <w:pStyle w:val="naisf"/>
              <w:spacing w:before="0" w:after="0"/>
              <w:ind w:right="140" w:firstLine="0"/>
              <w:rPr>
                <w:spacing w:val="-2"/>
              </w:rPr>
            </w:pPr>
            <w:r w:rsidRPr="00903CCF">
              <w:rPr>
                <w:spacing w:val="-2"/>
              </w:rPr>
              <w:t>Cita informācija</w:t>
            </w:r>
          </w:p>
        </w:tc>
        <w:tc>
          <w:tcPr>
            <w:tcW w:w="5670" w:type="dxa"/>
            <w:tcBorders>
              <w:top w:val="single" w:sz="4" w:space="0" w:color="auto"/>
              <w:left w:val="single" w:sz="4" w:space="0" w:color="auto"/>
              <w:bottom w:val="single" w:sz="4" w:space="0" w:color="auto"/>
              <w:right w:val="single" w:sz="4" w:space="0" w:color="auto"/>
            </w:tcBorders>
          </w:tcPr>
          <w:p w14:paraId="07B4897C" w14:textId="77777777" w:rsidR="005D5DCB" w:rsidRPr="00903CCF" w:rsidRDefault="005D5DCB" w:rsidP="000602B5">
            <w:pPr>
              <w:ind w:right="140"/>
              <w:jc w:val="both"/>
              <w:rPr>
                <w:spacing w:val="-2"/>
              </w:rPr>
            </w:pPr>
            <w:r w:rsidRPr="00903CCF">
              <w:rPr>
                <w:spacing w:val="-2"/>
              </w:rPr>
              <w:t>Nav.</w:t>
            </w:r>
          </w:p>
        </w:tc>
      </w:tr>
    </w:tbl>
    <w:p w14:paraId="2934C6C8" w14:textId="77777777" w:rsidR="005D5DCB" w:rsidRPr="00903CCF" w:rsidRDefault="005D5DCB" w:rsidP="000602B5">
      <w:pPr>
        <w:pStyle w:val="naisf"/>
        <w:tabs>
          <w:tab w:val="right" w:pos="9000"/>
        </w:tabs>
        <w:spacing w:before="0" w:after="0"/>
        <w:ind w:right="140" w:firstLine="709"/>
        <w:rPr>
          <w:spacing w:val="-2"/>
        </w:rPr>
      </w:pPr>
    </w:p>
    <w:p w14:paraId="68BAB04F" w14:textId="77777777" w:rsidR="005D5DCB" w:rsidRDefault="005D5DCB" w:rsidP="000602B5">
      <w:pPr>
        <w:pStyle w:val="naisf"/>
        <w:tabs>
          <w:tab w:val="right" w:pos="9000"/>
        </w:tabs>
        <w:spacing w:before="0" w:after="0"/>
        <w:ind w:right="140" w:firstLine="709"/>
        <w:rPr>
          <w:spacing w:val="-2"/>
        </w:rPr>
      </w:pPr>
    </w:p>
    <w:p w14:paraId="39B67E6D" w14:textId="77777777" w:rsidR="00525A5A" w:rsidRPr="00903CCF" w:rsidRDefault="00525A5A" w:rsidP="000602B5">
      <w:pPr>
        <w:pStyle w:val="naisf"/>
        <w:tabs>
          <w:tab w:val="right" w:pos="9000"/>
        </w:tabs>
        <w:spacing w:before="0" w:after="0"/>
        <w:ind w:right="140" w:firstLine="709"/>
        <w:rPr>
          <w:spacing w:val="-2"/>
        </w:rPr>
      </w:pPr>
    </w:p>
    <w:p w14:paraId="1C7F8A49" w14:textId="0EEAA8C2" w:rsidR="005D5DCB" w:rsidRPr="00903CCF" w:rsidRDefault="005D5DCB" w:rsidP="00525A5A">
      <w:pPr>
        <w:tabs>
          <w:tab w:val="left" w:pos="6521"/>
          <w:tab w:val="right" w:pos="8820"/>
        </w:tabs>
        <w:ind w:right="140" w:firstLine="709"/>
        <w:rPr>
          <w:spacing w:val="-2"/>
          <w:sz w:val="28"/>
          <w:szCs w:val="28"/>
        </w:rPr>
      </w:pPr>
      <w:r w:rsidRPr="00903CCF">
        <w:rPr>
          <w:spacing w:val="-2"/>
          <w:sz w:val="28"/>
          <w:szCs w:val="28"/>
        </w:rPr>
        <w:t>Finanšu ministrs</w:t>
      </w:r>
      <w:r w:rsidRPr="00903CCF">
        <w:rPr>
          <w:spacing w:val="-2"/>
          <w:sz w:val="28"/>
          <w:szCs w:val="28"/>
        </w:rPr>
        <w:tab/>
        <w:t>J.</w:t>
      </w:r>
      <w:r w:rsidR="00525A5A">
        <w:rPr>
          <w:spacing w:val="-2"/>
          <w:sz w:val="28"/>
          <w:szCs w:val="28"/>
        </w:rPr>
        <w:t> </w:t>
      </w:r>
      <w:r w:rsidRPr="00903CCF">
        <w:rPr>
          <w:spacing w:val="-2"/>
          <w:sz w:val="28"/>
          <w:szCs w:val="28"/>
        </w:rPr>
        <w:t>Reirs</w:t>
      </w:r>
    </w:p>
    <w:p w14:paraId="1853D3F3" w14:textId="4CA041D7" w:rsidR="00D177B6" w:rsidRPr="00903CCF" w:rsidRDefault="00D177B6" w:rsidP="000602B5">
      <w:pPr>
        <w:ind w:right="140"/>
        <w:rPr>
          <w:iCs/>
          <w:spacing w:val="-2"/>
        </w:rPr>
      </w:pPr>
    </w:p>
    <w:p w14:paraId="3B0AB0E5" w14:textId="1A6E3534" w:rsidR="00D177B6" w:rsidRPr="00903CCF" w:rsidRDefault="00D177B6" w:rsidP="000602B5">
      <w:pPr>
        <w:ind w:right="140"/>
        <w:rPr>
          <w:iCs/>
          <w:spacing w:val="-2"/>
        </w:rPr>
      </w:pPr>
    </w:p>
    <w:p w14:paraId="10FBCC42" w14:textId="37E1F758" w:rsidR="00D177B6" w:rsidRPr="00903CCF" w:rsidRDefault="00D177B6" w:rsidP="000602B5">
      <w:pPr>
        <w:ind w:right="140"/>
        <w:rPr>
          <w:iCs/>
          <w:spacing w:val="-2"/>
        </w:rPr>
      </w:pPr>
    </w:p>
    <w:p w14:paraId="72DACF72" w14:textId="77777777" w:rsidR="00D177B6" w:rsidRPr="00903CCF" w:rsidRDefault="00D177B6" w:rsidP="000602B5">
      <w:pPr>
        <w:ind w:right="140"/>
        <w:rPr>
          <w:iCs/>
          <w:spacing w:val="-2"/>
        </w:rPr>
      </w:pPr>
    </w:p>
    <w:p w14:paraId="7402ADBF" w14:textId="26A43E07" w:rsidR="005D5DCB" w:rsidRPr="00525A5A" w:rsidRDefault="00766C26" w:rsidP="000602B5">
      <w:pPr>
        <w:ind w:right="140"/>
        <w:rPr>
          <w:iCs/>
          <w:spacing w:val="-2"/>
          <w:sz w:val="20"/>
          <w:szCs w:val="20"/>
        </w:rPr>
      </w:pPr>
      <w:r w:rsidRPr="00525A5A">
        <w:rPr>
          <w:iCs/>
          <w:spacing w:val="-2"/>
          <w:sz w:val="20"/>
          <w:szCs w:val="20"/>
        </w:rPr>
        <w:t>Valdmane</w:t>
      </w:r>
      <w:r w:rsidR="005D5DCB" w:rsidRPr="00525A5A">
        <w:rPr>
          <w:iCs/>
          <w:spacing w:val="-2"/>
          <w:sz w:val="20"/>
          <w:szCs w:val="20"/>
        </w:rPr>
        <w:t xml:space="preserve"> 67095</w:t>
      </w:r>
      <w:r w:rsidRPr="00525A5A">
        <w:rPr>
          <w:iCs/>
          <w:spacing w:val="-2"/>
          <w:sz w:val="20"/>
          <w:szCs w:val="20"/>
        </w:rPr>
        <w:t>542</w:t>
      </w:r>
    </w:p>
    <w:p w14:paraId="2A68B79B" w14:textId="77777777" w:rsidR="00525A5A" w:rsidRDefault="00525A5A" w:rsidP="000602B5">
      <w:pPr>
        <w:ind w:right="140"/>
        <w:rPr>
          <w:rStyle w:val="Hyperlink"/>
          <w:color w:val="auto"/>
          <w:spacing w:val="-2"/>
          <w:sz w:val="20"/>
          <w:szCs w:val="20"/>
        </w:rPr>
      </w:pPr>
      <w:hyperlink r:id="rId11" w:history="1">
        <w:r w:rsidR="00974091" w:rsidRPr="00525A5A">
          <w:rPr>
            <w:rStyle w:val="Hyperlink"/>
            <w:color w:val="auto"/>
            <w:spacing w:val="-2"/>
            <w:sz w:val="20"/>
            <w:szCs w:val="20"/>
          </w:rPr>
          <w:t>Marika.Valdmane@fm.gov.lv</w:t>
        </w:r>
      </w:hyperlink>
    </w:p>
    <w:p w14:paraId="76C34A1D" w14:textId="77777777" w:rsidR="00525A5A" w:rsidRDefault="00525A5A" w:rsidP="000602B5">
      <w:pPr>
        <w:ind w:right="140"/>
        <w:rPr>
          <w:rStyle w:val="Hyperlink"/>
          <w:color w:val="auto"/>
          <w:spacing w:val="-2"/>
          <w:sz w:val="20"/>
          <w:szCs w:val="20"/>
        </w:rPr>
      </w:pPr>
    </w:p>
    <w:p w14:paraId="3CFF392A" w14:textId="77777777" w:rsidR="00525A5A" w:rsidRDefault="00525A5A" w:rsidP="000602B5">
      <w:pPr>
        <w:ind w:right="140"/>
        <w:rPr>
          <w:rStyle w:val="Hyperlink"/>
          <w:color w:val="auto"/>
          <w:spacing w:val="-2"/>
          <w:sz w:val="20"/>
          <w:szCs w:val="20"/>
        </w:rPr>
      </w:pPr>
      <w:bookmarkStart w:id="0" w:name="_GoBack"/>
      <w:bookmarkEnd w:id="0"/>
    </w:p>
    <w:p w14:paraId="2640D933" w14:textId="77777777" w:rsidR="00525A5A" w:rsidRDefault="00525A5A" w:rsidP="000602B5">
      <w:pPr>
        <w:ind w:right="140"/>
        <w:rPr>
          <w:rStyle w:val="Hyperlink"/>
          <w:color w:val="auto"/>
          <w:spacing w:val="-2"/>
          <w:sz w:val="20"/>
          <w:szCs w:val="20"/>
        </w:rPr>
      </w:pPr>
    </w:p>
    <w:p w14:paraId="05452F62" w14:textId="77777777" w:rsidR="00525A5A" w:rsidRPr="005A3098" w:rsidRDefault="00525A5A" w:rsidP="00525A5A">
      <w:pPr>
        <w:pStyle w:val="Footer"/>
        <w:rPr>
          <w:sz w:val="16"/>
          <w:szCs w:val="16"/>
        </w:rPr>
      </w:pPr>
      <w:bookmarkStart w:id="1" w:name="_Hlk26364611"/>
      <w:proofErr w:type="spellStart"/>
      <w:r w:rsidRPr="008709C1">
        <w:rPr>
          <w:sz w:val="16"/>
          <w:szCs w:val="16"/>
        </w:rPr>
        <w:t>v_sk</w:t>
      </w:r>
      <w:proofErr w:type="spellEnd"/>
      <w:r w:rsidRPr="008709C1">
        <w:rPr>
          <w:sz w:val="16"/>
          <w:szCs w:val="16"/>
        </w:rPr>
        <w:t xml:space="preserve">. = </w:t>
      </w:r>
      <w:bookmarkEnd w:id="1"/>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5568</w:t>
      </w:r>
      <w:r w:rsidRPr="008709C1">
        <w:rPr>
          <w:sz w:val="16"/>
          <w:szCs w:val="16"/>
        </w:rPr>
        <w:fldChar w:fldCharType="end"/>
      </w:r>
    </w:p>
    <w:sectPr w:rsidR="00525A5A" w:rsidRPr="005A3098" w:rsidSect="001F6262">
      <w:headerReference w:type="even" r:id="rId12"/>
      <w:headerReference w:type="default" r:id="rId13"/>
      <w:footerReference w:type="even" r:id="rId14"/>
      <w:footerReference w:type="default" r:id="rId15"/>
      <w:footerReference w:type="first" r:id="rId16"/>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E795" w14:textId="77777777" w:rsidR="009D409E" w:rsidRDefault="009D409E">
      <w:r>
        <w:separator/>
      </w:r>
    </w:p>
  </w:endnote>
  <w:endnote w:type="continuationSeparator" w:id="0">
    <w:p w14:paraId="2AFA185A" w14:textId="77777777" w:rsidR="009D409E" w:rsidRDefault="009D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AA0D" w14:textId="77777777" w:rsidR="00EB2A9D" w:rsidRDefault="00EB2A9D" w:rsidP="001F6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C75FC" w14:textId="77777777" w:rsidR="00EB2A9D" w:rsidRDefault="00EB2A9D" w:rsidP="001F6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2161" w14:textId="77777777" w:rsidR="00525A5A" w:rsidRPr="001E04AD" w:rsidRDefault="00525A5A" w:rsidP="00525A5A">
    <w:pPr>
      <w:pStyle w:val="Footer"/>
      <w:rPr>
        <w:sz w:val="20"/>
        <w:szCs w:val="20"/>
      </w:rPr>
    </w:pPr>
    <w:r>
      <w:rPr>
        <w:noProof/>
        <w:sz w:val="20"/>
        <w:szCs w:val="20"/>
      </w:rPr>
      <w:t>FMAnot_060121_NNL  (TA-100)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504" w14:textId="684888CA" w:rsidR="00EB2A9D" w:rsidRPr="001E04AD" w:rsidRDefault="00BA07FD" w:rsidP="001E04AD">
    <w:pPr>
      <w:pStyle w:val="Footer"/>
      <w:rPr>
        <w:sz w:val="20"/>
        <w:szCs w:val="20"/>
      </w:rPr>
    </w:pPr>
    <w:r>
      <w:rPr>
        <w:noProof/>
        <w:sz w:val="20"/>
        <w:szCs w:val="20"/>
      </w:rPr>
      <w:t>FMAnot_060121</w:t>
    </w:r>
    <w:r w:rsidR="00EB2A9D">
      <w:rPr>
        <w:noProof/>
        <w:sz w:val="20"/>
        <w:szCs w:val="20"/>
      </w:rPr>
      <w:t>_NNL</w:t>
    </w:r>
    <w:r w:rsidR="00525A5A">
      <w:rPr>
        <w:noProof/>
        <w:sz w:val="20"/>
        <w:szCs w:val="20"/>
      </w:rPr>
      <w:t xml:space="preserve">  (TA-100)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4A40" w14:textId="77777777" w:rsidR="009D409E" w:rsidRDefault="009D409E">
      <w:r>
        <w:separator/>
      </w:r>
    </w:p>
  </w:footnote>
  <w:footnote w:type="continuationSeparator" w:id="0">
    <w:p w14:paraId="0990880E" w14:textId="77777777" w:rsidR="009D409E" w:rsidRDefault="009D4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0C2D" w14:textId="77777777" w:rsidR="00EB2A9D" w:rsidRDefault="00EB2A9D"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9F30F" w14:textId="77777777" w:rsidR="00EB2A9D" w:rsidRDefault="00EB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8247" w14:textId="7400F0E5" w:rsidR="00EB2A9D" w:rsidRPr="00796061" w:rsidRDefault="00EB2A9D" w:rsidP="001F6262">
    <w:pPr>
      <w:pStyle w:val="Header"/>
      <w:framePr w:wrap="around" w:vAnchor="text" w:hAnchor="margin" w:xAlign="center" w:y="1"/>
      <w:rPr>
        <w:rStyle w:val="PageNumber"/>
        <w:sz w:val="20"/>
        <w:szCs w:val="20"/>
      </w:rPr>
    </w:pPr>
    <w:r w:rsidRPr="00796061">
      <w:rPr>
        <w:rStyle w:val="PageNumber"/>
        <w:sz w:val="20"/>
        <w:szCs w:val="20"/>
      </w:rPr>
      <w:fldChar w:fldCharType="begin"/>
    </w:r>
    <w:r w:rsidRPr="00796061">
      <w:rPr>
        <w:rStyle w:val="PageNumber"/>
        <w:sz w:val="20"/>
        <w:szCs w:val="20"/>
      </w:rPr>
      <w:instrText xml:space="preserve">PAGE  </w:instrText>
    </w:r>
    <w:r w:rsidRPr="00796061">
      <w:rPr>
        <w:rStyle w:val="PageNumber"/>
        <w:sz w:val="20"/>
        <w:szCs w:val="20"/>
      </w:rPr>
      <w:fldChar w:fldCharType="separate"/>
    </w:r>
    <w:r w:rsidR="00525A5A">
      <w:rPr>
        <w:rStyle w:val="PageNumber"/>
        <w:noProof/>
        <w:sz w:val="20"/>
        <w:szCs w:val="20"/>
      </w:rPr>
      <w:t>17</w:t>
    </w:r>
    <w:r w:rsidRPr="00796061">
      <w:rPr>
        <w:rStyle w:val="PageNumber"/>
        <w:sz w:val="20"/>
        <w:szCs w:val="20"/>
      </w:rPr>
      <w:fldChar w:fldCharType="end"/>
    </w:r>
  </w:p>
  <w:p w14:paraId="13FC3FF0" w14:textId="77777777" w:rsidR="00EB2A9D" w:rsidRPr="00796061" w:rsidRDefault="00EB2A9D" w:rsidP="00796061">
    <w:pPr>
      <w:pStyle w:val="Header"/>
      <w:rPr>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E4D"/>
    <w:multiLevelType w:val="hybridMultilevel"/>
    <w:tmpl w:val="113A3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726113"/>
    <w:multiLevelType w:val="hybridMultilevel"/>
    <w:tmpl w:val="113A3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FA3B62"/>
    <w:multiLevelType w:val="hybridMultilevel"/>
    <w:tmpl w:val="FB4AC9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652366C"/>
    <w:multiLevelType w:val="hybridMultilevel"/>
    <w:tmpl w:val="77BE5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257ACB"/>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E00EC0"/>
    <w:multiLevelType w:val="hybridMultilevel"/>
    <w:tmpl w:val="0674E436"/>
    <w:lvl w:ilvl="0" w:tplc="0426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6" w15:restartNumberingAfterBreak="0">
    <w:nsid w:val="5E8D071F"/>
    <w:multiLevelType w:val="hybridMultilevel"/>
    <w:tmpl w:val="81787EE0"/>
    <w:lvl w:ilvl="0" w:tplc="E0FE362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CB"/>
    <w:rsid w:val="00005678"/>
    <w:rsid w:val="0000576A"/>
    <w:rsid w:val="00007070"/>
    <w:rsid w:val="0001042E"/>
    <w:rsid w:val="0001334E"/>
    <w:rsid w:val="0003577A"/>
    <w:rsid w:val="00042677"/>
    <w:rsid w:val="000459C2"/>
    <w:rsid w:val="00047055"/>
    <w:rsid w:val="00053D6F"/>
    <w:rsid w:val="000602B5"/>
    <w:rsid w:val="00060B8E"/>
    <w:rsid w:val="00077987"/>
    <w:rsid w:val="00084D7F"/>
    <w:rsid w:val="00096020"/>
    <w:rsid w:val="000A15ED"/>
    <w:rsid w:val="000C04D0"/>
    <w:rsid w:val="000E381D"/>
    <w:rsid w:val="000E78CD"/>
    <w:rsid w:val="000F1AF1"/>
    <w:rsid w:val="0011507F"/>
    <w:rsid w:val="0012180C"/>
    <w:rsid w:val="00121910"/>
    <w:rsid w:val="0012220C"/>
    <w:rsid w:val="001268B8"/>
    <w:rsid w:val="00133915"/>
    <w:rsid w:val="00144930"/>
    <w:rsid w:val="0015688F"/>
    <w:rsid w:val="00167D61"/>
    <w:rsid w:val="00175A2C"/>
    <w:rsid w:val="00182555"/>
    <w:rsid w:val="00190D20"/>
    <w:rsid w:val="00194234"/>
    <w:rsid w:val="00196F16"/>
    <w:rsid w:val="001A7BCC"/>
    <w:rsid w:val="001B1F1C"/>
    <w:rsid w:val="001B3A79"/>
    <w:rsid w:val="001B799A"/>
    <w:rsid w:val="001D0AC1"/>
    <w:rsid w:val="001D0ADC"/>
    <w:rsid w:val="001D1070"/>
    <w:rsid w:val="001D7D0D"/>
    <w:rsid w:val="001E04AD"/>
    <w:rsid w:val="001E3862"/>
    <w:rsid w:val="001F6262"/>
    <w:rsid w:val="001F6358"/>
    <w:rsid w:val="0020012C"/>
    <w:rsid w:val="0020181E"/>
    <w:rsid w:val="00202CE4"/>
    <w:rsid w:val="00203C2F"/>
    <w:rsid w:val="00204E96"/>
    <w:rsid w:val="00226078"/>
    <w:rsid w:val="00226756"/>
    <w:rsid w:val="00232CC7"/>
    <w:rsid w:val="002353CF"/>
    <w:rsid w:val="002368CC"/>
    <w:rsid w:val="00254BDA"/>
    <w:rsid w:val="002566DC"/>
    <w:rsid w:val="0026715A"/>
    <w:rsid w:val="002A0B01"/>
    <w:rsid w:val="002B41DE"/>
    <w:rsid w:val="002B41FA"/>
    <w:rsid w:val="002C7920"/>
    <w:rsid w:val="002D4D00"/>
    <w:rsid w:val="002D7B75"/>
    <w:rsid w:val="002E1750"/>
    <w:rsid w:val="002E17A3"/>
    <w:rsid w:val="002E69FE"/>
    <w:rsid w:val="002F4B30"/>
    <w:rsid w:val="00312FDA"/>
    <w:rsid w:val="00314C8D"/>
    <w:rsid w:val="00326DC6"/>
    <w:rsid w:val="0033686E"/>
    <w:rsid w:val="00336ADE"/>
    <w:rsid w:val="0035079F"/>
    <w:rsid w:val="00354556"/>
    <w:rsid w:val="00355456"/>
    <w:rsid w:val="00393A77"/>
    <w:rsid w:val="003D1281"/>
    <w:rsid w:val="003D31B1"/>
    <w:rsid w:val="003D7E21"/>
    <w:rsid w:val="003E5426"/>
    <w:rsid w:val="003F3CBC"/>
    <w:rsid w:val="003F449D"/>
    <w:rsid w:val="00400942"/>
    <w:rsid w:val="00411AA3"/>
    <w:rsid w:val="00417884"/>
    <w:rsid w:val="004340EC"/>
    <w:rsid w:val="00444DAB"/>
    <w:rsid w:val="00452AF0"/>
    <w:rsid w:val="00454F12"/>
    <w:rsid w:val="00462E6E"/>
    <w:rsid w:val="00464CEF"/>
    <w:rsid w:val="0047688E"/>
    <w:rsid w:val="00482EAB"/>
    <w:rsid w:val="00483233"/>
    <w:rsid w:val="00484868"/>
    <w:rsid w:val="00492220"/>
    <w:rsid w:val="004963AB"/>
    <w:rsid w:val="004B1603"/>
    <w:rsid w:val="004C671C"/>
    <w:rsid w:val="004C7BDA"/>
    <w:rsid w:val="004D7242"/>
    <w:rsid w:val="00500ABC"/>
    <w:rsid w:val="00504FFD"/>
    <w:rsid w:val="00511092"/>
    <w:rsid w:val="00512F9E"/>
    <w:rsid w:val="00523D27"/>
    <w:rsid w:val="00525A5A"/>
    <w:rsid w:val="0052616E"/>
    <w:rsid w:val="005413BC"/>
    <w:rsid w:val="005414EF"/>
    <w:rsid w:val="00544F56"/>
    <w:rsid w:val="00552295"/>
    <w:rsid w:val="005927AB"/>
    <w:rsid w:val="005A444B"/>
    <w:rsid w:val="005B2BAB"/>
    <w:rsid w:val="005B2EB0"/>
    <w:rsid w:val="005D5DCB"/>
    <w:rsid w:val="005D6663"/>
    <w:rsid w:val="005E1F20"/>
    <w:rsid w:val="00621D28"/>
    <w:rsid w:val="00626786"/>
    <w:rsid w:val="006273FA"/>
    <w:rsid w:val="00644625"/>
    <w:rsid w:val="00647F97"/>
    <w:rsid w:val="00663471"/>
    <w:rsid w:val="0067091D"/>
    <w:rsid w:val="00674368"/>
    <w:rsid w:val="00676318"/>
    <w:rsid w:val="006B14E6"/>
    <w:rsid w:val="006E35D9"/>
    <w:rsid w:val="006E38A9"/>
    <w:rsid w:val="006E3D2F"/>
    <w:rsid w:val="006E4568"/>
    <w:rsid w:val="00706955"/>
    <w:rsid w:val="00706ABE"/>
    <w:rsid w:val="00707AB7"/>
    <w:rsid w:val="007117C2"/>
    <w:rsid w:val="0072037E"/>
    <w:rsid w:val="00726505"/>
    <w:rsid w:val="00727959"/>
    <w:rsid w:val="007434AB"/>
    <w:rsid w:val="00763129"/>
    <w:rsid w:val="00766C26"/>
    <w:rsid w:val="00766F38"/>
    <w:rsid w:val="007730AF"/>
    <w:rsid w:val="00776C3B"/>
    <w:rsid w:val="007878F0"/>
    <w:rsid w:val="007939F8"/>
    <w:rsid w:val="00796061"/>
    <w:rsid w:val="007A02D5"/>
    <w:rsid w:val="007A3A4A"/>
    <w:rsid w:val="007A3D9B"/>
    <w:rsid w:val="007C432B"/>
    <w:rsid w:val="007D021A"/>
    <w:rsid w:val="007D2A59"/>
    <w:rsid w:val="007E10DB"/>
    <w:rsid w:val="007E2598"/>
    <w:rsid w:val="008038BE"/>
    <w:rsid w:val="00812AE4"/>
    <w:rsid w:val="0082060B"/>
    <w:rsid w:val="00821C55"/>
    <w:rsid w:val="00824CEB"/>
    <w:rsid w:val="00825637"/>
    <w:rsid w:val="008260E3"/>
    <w:rsid w:val="00852A09"/>
    <w:rsid w:val="00852A4B"/>
    <w:rsid w:val="00855E3C"/>
    <w:rsid w:val="00857A8A"/>
    <w:rsid w:val="008710E2"/>
    <w:rsid w:val="00891122"/>
    <w:rsid w:val="0089196F"/>
    <w:rsid w:val="00896426"/>
    <w:rsid w:val="008A0384"/>
    <w:rsid w:val="008A4147"/>
    <w:rsid w:val="008D027C"/>
    <w:rsid w:val="008F6C6A"/>
    <w:rsid w:val="009018A3"/>
    <w:rsid w:val="00903CCF"/>
    <w:rsid w:val="009168EF"/>
    <w:rsid w:val="009219C1"/>
    <w:rsid w:val="00924CFA"/>
    <w:rsid w:val="00945AD4"/>
    <w:rsid w:val="00951BDD"/>
    <w:rsid w:val="0095355D"/>
    <w:rsid w:val="00960AF4"/>
    <w:rsid w:val="00966C09"/>
    <w:rsid w:val="009703FF"/>
    <w:rsid w:val="009711B6"/>
    <w:rsid w:val="00974091"/>
    <w:rsid w:val="009760CB"/>
    <w:rsid w:val="009812B6"/>
    <w:rsid w:val="0098261C"/>
    <w:rsid w:val="009858D4"/>
    <w:rsid w:val="009933B1"/>
    <w:rsid w:val="009B656C"/>
    <w:rsid w:val="009B65B4"/>
    <w:rsid w:val="009C20E2"/>
    <w:rsid w:val="009C2330"/>
    <w:rsid w:val="009D409E"/>
    <w:rsid w:val="009D447B"/>
    <w:rsid w:val="009F04A5"/>
    <w:rsid w:val="00A0492F"/>
    <w:rsid w:val="00A1251D"/>
    <w:rsid w:val="00A15BBF"/>
    <w:rsid w:val="00A40044"/>
    <w:rsid w:val="00A40CC2"/>
    <w:rsid w:val="00A455F5"/>
    <w:rsid w:val="00A5333D"/>
    <w:rsid w:val="00A57F6C"/>
    <w:rsid w:val="00A6781B"/>
    <w:rsid w:val="00A719B0"/>
    <w:rsid w:val="00A72CA7"/>
    <w:rsid w:val="00A76C17"/>
    <w:rsid w:val="00A825C9"/>
    <w:rsid w:val="00A85641"/>
    <w:rsid w:val="00A91670"/>
    <w:rsid w:val="00A9681B"/>
    <w:rsid w:val="00AB63B1"/>
    <w:rsid w:val="00AC0AEB"/>
    <w:rsid w:val="00AC2BED"/>
    <w:rsid w:val="00AD07B6"/>
    <w:rsid w:val="00AD2ECE"/>
    <w:rsid w:val="00AE5CC7"/>
    <w:rsid w:val="00AF4ECE"/>
    <w:rsid w:val="00B000C7"/>
    <w:rsid w:val="00B15709"/>
    <w:rsid w:val="00B26394"/>
    <w:rsid w:val="00B323CC"/>
    <w:rsid w:val="00B40BAB"/>
    <w:rsid w:val="00B4129A"/>
    <w:rsid w:val="00B619FA"/>
    <w:rsid w:val="00B667BA"/>
    <w:rsid w:val="00B84AFC"/>
    <w:rsid w:val="00B85954"/>
    <w:rsid w:val="00B94BC5"/>
    <w:rsid w:val="00BA07FD"/>
    <w:rsid w:val="00BA1E40"/>
    <w:rsid w:val="00BA551D"/>
    <w:rsid w:val="00BB64E4"/>
    <w:rsid w:val="00BB6E7E"/>
    <w:rsid w:val="00BE47F3"/>
    <w:rsid w:val="00BF1731"/>
    <w:rsid w:val="00C02F17"/>
    <w:rsid w:val="00C05FDB"/>
    <w:rsid w:val="00C32371"/>
    <w:rsid w:val="00C40CD0"/>
    <w:rsid w:val="00C4411A"/>
    <w:rsid w:val="00C44B5D"/>
    <w:rsid w:val="00C50096"/>
    <w:rsid w:val="00C50E57"/>
    <w:rsid w:val="00C51905"/>
    <w:rsid w:val="00C6271C"/>
    <w:rsid w:val="00C72F34"/>
    <w:rsid w:val="00C745C5"/>
    <w:rsid w:val="00C751FC"/>
    <w:rsid w:val="00C823F0"/>
    <w:rsid w:val="00C856BE"/>
    <w:rsid w:val="00C871B2"/>
    <w:rsid w:val="00C97067"/>
    <w:rsid w:val="00CA0664"/>
    <w:rsid w:val="00CA401A"/>
    <w:rsid w:val="00CC38B9"/>
    <w:rsid w:val="00CC4E00"/>
    <w:rsid w:val="00CD40E2"/>
    <w:rsid w:val="00CD5A20"/>
    <w:rsid w:val="00CE0E0B"/>
    <w:rsid w:val="00CE4299"/>
    <w:rsid w:val="00CF39ED"/>
    <w:rsid w:val="00CF608D"/>
    <w:rsid w:val="00D0147A"/>
    <w:rsid w:val="00D05C1B"/>
    <w:rsid w:val="00D1719C"/>
    <w:rsid w:val="00D177B6"/>
    <w:rsid w:val="00D20E3D"/>
    <w:rsid w:val="00D27D51"/>
    <w:rsid w:val="00D4099D"/>
    <w:rsid w:val="00D57190"/>
    <w:rsid w:val="00D766BE"/>
    <w:rsid w:val="00D91A6A"/>
    <w:rsid w:val="00D9467A"/>
    <w:rsid w:val="00D97595"/>
    <w:rsid w:val="00DA71AC"/>
    <w:rsid w:val="00DB1040"/>
    <w:rsid w:val="00DD10E6"/>
    <w:rsid w:val="00DD38B1"/>
    <w:rsid w:val="00DD6C6C"/>
    <w:rsid w:val="00DE3824"/>
    <w:rsid w:val="00DE7D92"/>
    <w:rsid w:val="00DF2D7A"/>
    <w:rsid w:val="00DF53E6"/>
    <w:rsid w:val="00E03E49"/>
    <w:rsid w:val="00E05947"/>
    <w:rsid w:val="00E101EF"/>
    <w:rsid w:val="00E16668"/>
    <w:rsid w:val="00E22CF8"/>
    <w:rsid w:val="00E27B1C"/>
    <w:rsid w:val="00E30AEA"/>
    <w:rsid w:val="00E352D8"/>
    <w:rsid w:val="00E36120"/>
    <w:rsid w:val="00E453DE"/>
    <w:rsid w:val="00E52E85"/>
    <w:rsid w:val="00E63A6F"/>
    <w:rsid w:val="00E6691B"/>
    <w:rsid w:val="00E743FA"/>
    <w:rsid w:val="00E751B9"/>
    <w:rsid w:val="00E7522D"/>
    <w:rsid w:val="00E779B1"/>
    <w:rsid w:val="00E84676"/>
    <w:rsid w:val="00E85140"/>
    <w:rsid w:val="00E9046F"/>
    <w:rsid w:val="00E92F84"/>
    <w:rsid w:val="00E946AE"/>
    <w:rsid w:val="00E96BC1"/>
    <w:rsid w:val="00EA0504"/>
    <w:rsid w:val="00EA6F24"/>
    <w:rsid w:val="00EB1BFE"/>
    <w:rsid w:val="00EB2A9D"/>
    <w:rsid w:val="00EC0560"/>
    <w:rsid w:val="00EC6BDA"/>
    <w:rsid w:val="00EC76ED"/>
    <w:rsid w:val="00ED4077"/>
    <w:rsid w:val="00ED7E8F"/>
    <w:rsid w:val="00EE0530"/>
    <w:rsid w:val="00EE4070"/>
    <w:rsid w:val="00F01E18"/>
    <w:rsid w:val="00F057E8"/>
    <w:rsid w:val="00F06BF7"/>
    <w:rsid w:val="00F10265"/>
    <w:rsid w:val="00F31CA8"/>
    <w:rsid w:val="00F4074A"/>
    <w:rsid w:val="00F46FCD"/>
    <w:rsid w:val="00F6506B"/>
    <w:rsid w:val="00F75057"/>
    <w:rsid w:val="00F93CA4"/>
    <w:rsid w:val="00F93E82"/>
    <w:rsid w:val="00F945FF"/>
    <w:rsid w:val="00F94619"/>
    <w:rsid w:val="00FA157A"/>
    <w:rsid w:val="00FA5CA1"/>
    <w:rsid w:val="00FA7982"/>
    <w:rsid w:val="00FB0CC6"/>
    <w:rsid w:val="00FB1DC6"/>
    <w:rsid w:val="00FC23DE"/>
    <w:rsid w:val="00FC3A9D"/>
    <w:rsid w:val="00FC3D48"/>
    <w:rsid w:val="00FD1706"/>
    <w:rsid w:val="00FD22E9"/>
    <w:rsid w:val="00FE01C4"/>
    <w:rsid w:val="00FE3196"/>
    <w:rsid w:val="00FF1E3C"/>
    <w:rsid w:val="00FF23FA"/>
    <w:rsid w:val="00FF7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D714"/>
  <w15:docId w15:val="{E001CF40-37A1-4E35-BA02-E2E4092D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D5DCB"/>
    <w:pPr>
      <w:spacing w:before="75" w:after="75"/>
      <w:ind w:firstLine="375"/>
      <w:jc w:val="both"/>
    </w:pPr>
  </w:style>
  <w:style w:type="character" w:styleId="Hyperlink">
    <w:name w:val="Hyperlink"/>
    <w:rsid w:val="005D5DCB"/>
    <w:rPr>
      <w:color w:val="0000FF"/>
      <w:u w:val="single"/>
    </w:rPr>
  </w:style>
  <w:style w:type="paragraph" w:customStyle="1" w:styleId="naisnod">
    <w:name w:val="naisnod"/>
    <w:basedOn w:val="Normal"/>
    <w:rsid w:val="005D5DCB"/>
    <w:pPr>
      <w:spacing w:before="150" w:after="150"/>
      <w:jc w:val="center"/>
    </w:pPr>
    <w:rPr>
      <w:b/>
      <w:bCs/>
      <w:lang w:val="en-GB" w:eastAsia="en-US"/>
    </w:rPr>
  </w:style>
  <w:style w:type="paragraph" w:styleId="Header">
    <w:name w:val="header"/>
    <w:basedOn w:val="Normal"/>
    <w:link w:val="HeaderChar"/>
    <w:rsid w:val="005D5DCB"/>
    <w:pPr>
      <w:tabs>
        <w:tab w:val="center" w:pos="4153"/>
        <w:tab w:val="right" w:pos="8306"/>
      </w:tabs>
    </w:pPr>
  </w:style>
  <w:style w:type="character" w:customStyle="1" w:styleId="HeaderChar">
    <w:name w:val="Header Char"/>
    <w:basedOn w:val="DefaultParagraphFont"/>
    <w:link w:val="Header"/>
    <w:rsid w:val="005D5DC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D5DCB"/>
    <w:pPr>
      <w:tabs>
        <w:tab w:val="center" w:pos="4153"/>
        <w:tab w:val="right" w:pos="8306"/>
      </w:tabs>
    </w:pPr>
  </w:style>
  <w:style w:type="character" w:customStyle="1" w:styleId="FooterChar">
    <w:name w:val="Footer Char"/>
    <w:basedOn w:val="DefaultParagraphFont"/>
    <w:link w:val="Footer"/>
    <w:uiPriority w:val="99"/>
    <w:rsid w:val="005D5DCB"/>
    <w:rPr>
      <w:rFonts w:ascii="Times New Roman" w:eastAsia="Times New Roman" w:hAnsi="Times New Roman" w:cs="Times New Roman"/>
      <w:sz w:val="24"/>
      <w:szCs w:val="24"/>
      <w:lang w:eastAsia="lv-LV"/>
    </w:rPr>
  </w:style>
  <w:style w:type="character" w:styleId="PageNumber">
    <w:name w:val="page number"/>
    <w:basedOn w:val="DefaultParagraphFont"/>
    <w:rsid w:val="005D5DCB"/>
  </w:style>
  <w:style w:type="paragraph" w:customStyle="1" w:styleId="naiskr">
    <w:name w:val="naiskr"/>
    <w:basedOn w:val="Normal"/>
    <w:rsid w:val="005D5DCB"/>
    <w:pPr>
      <w:spacing w:before="75" w:after="75"/>
    </w:pPr>
  </w:style>
  <w:style w:type="paragraph" w:customStyle="1" w:styleId="tvhtml">
    <w:name w:val="tv_html"/>
    <w:basedOn w:val="Normal"/>
    <w:rsid w:val="005D5DCB"/>
    <w:pPr>
      <w:spacing w:before="100" w:beforeAutospacing="1" w:after="100" w:afterAutospacing="1"/>
    </w:pPr>
  </w:style>
  <w:style w:type="paragraph" w:styleId="ListParagraph">
    <w:name w:val="List Paragraph"/>
    <w:basedOn w:val="Normal"/>
    <w:uiPriority w:val="34"/>
    <w:qFormat/>
    <w:rsid w:val="00E751B9"/>
    <w:pPr>
      <w:ind w:left="720"/>
      <w:contextualSpacing/>
    </w:pPr>
  </w:style>
  <w:style w:type="paragraph" w:styleId="BalloonText">
    <w:name w:val="Balloon Text"/>
    <w:basedOn w:val="Normal"/>
    <w:link w:val="BalloonTextChar"/>
    <w:uiPriority w:val="99"/>
    <w:semiHidden/>
    <w:unhideWhenUsed/>
    <w:rsid w:val="00B2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9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A3A4A"/>
    <w:rPr>
      <w:sz w:val="16"/>
      <w:szCs w:val="16"/>
    </w:rPr>
  </w:style>
  <w:style w:type="paragraph" w:styleId="CommentText">
    <w:name w:val="annotation text"/>
    <w:basedOn w:val="Normal"/>
    <w:link w:val="CommentTextChar"/>
    <w:uiPriority w:val="99"/>
    <w:unhideWhenUsed/>
    <w:rsid w:val="007A3A4A"/>
    <w:rPr>
      <w:sz w:val="20"/>
      <w:szCs w:val="20"/>
    </w:rPr>
  </w:style>
  <w:style w:type="character" w:customStyle="1" w:styleId="CommentTextChar">
    <w:name w:val="Comment Text Char"/>
    <w:basedOn w:val="DefaultParagraphFont"/>
    <w:link w:val="CommentText"/>
    <w:uiPriority w:val="99"/>
    <w:rsid w:val="007A3A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7242"/>
    <w:rPr>
      <w:b/>
      <w:bCs/>
    </w:rPr>
  </w:style>
  <w:style w:type="character" w:customStyle="1" w:styleId="CommentSubjectChar">
    <w:name w:val="Comment Subject Char"/>
    <w:basedOn w:val="CommentTextChar"/>
    <w:link w:val="CommentSubject"/>
    <w:uiPriority w:val="99"/>
    <w:semiHidden/>
    <w:rsid w:val="004D724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9928">
      <w:bodyDiv w:val="1"/>
      <w:marLeft w:val="0"/>
      <w:marRight w:val="0"/>
      <w:marTop w:val="0"/>
      <w:marBottom w:val="0"/>
      <w:divBdr>
        <w:top w:val="none" w:sz="0" w:space="0" w:color="auto"/>
        <w:left w:val="none" w:sz="0" w:space="0" w:color="auto"/>
        <w:bottom w:val="none" w:sz="0" w:space="0" w:color="auto"/>
        <w:right w:val="none" w:sz="0" w:space="0" w:color="auto"/>
      </w:divBdr>
    </w:div>
    <w:div w:id="1159691741">
      <w:bodyDiv w:val="1"/>
      <w:marLeft w:val="0"/>
      <w:marRight w:val="0"/>
      <w:marTop w:val="0"/>
      <w:marBottom w:val="0"/>
      <w:divBdr>
        <w:top w:val="none" w:sz="0" w:space="0" w:color="auto"/>
        <w:left w:val="none" w:sz="0" w:space="0" w:color="auto"/>
        <w:bottom w:val="none" w:sz="0" w:space="0" w:color="auto"/>
        <w:right w:val="none" w:sz="0" w:space="0" w:color="auto"/>
      </w:divBdr>
    </w:div>
    <w:div w:id="1210075152">
      <w:bodyDiv w:val="1"/>
      <w:marLeft w:val="0"/>
      <w:marRight w:val="0"/>
      <w:marTop w:val="0"/>
      <w:marBottom w:val="0"/>
      <w:divBdr>
        <w:top w:val="none" w:sz="0" w:space="0" w:color="auto"/>
        <w:left w:val="none" w:sz="0" w:space="0" w:color="auto"/>
        <w:bottom w:val="none" w:sz="0" w:space="0" w:color="auto"/>
        <w:right w:val="none" w:sz="0" w:space="0" w:color="auto"/>
      </w:divBdr>
    </w:div>
    <w:div w:id="1461804535">
      <w:bodyDiv w:val="1"/>
      <w:marLeft w:val="0"/>
      <w:marRight w:val="0"/>
      <w:marTop w:val="0"/>
      <w:marBottom w:val="0"/>
      <w:divBdr>
        <w:top w:val="none" w:sz="0" w:space="0" w:color="auto"/>
        <w:left w:val="none" w:sz="0" w:space="0" w:color="auto"/>
        <w:bottom w:val="none" w:sz="0" w:space="0" w:color="auto"/>
        <w:right w:val="none" w:sz="0" w:space="0" w:color="auto"/>
      </w:divBdr>
    </w:div>
    <w:div w:id="1590774227">
      <w:bodyDiv w:val="1"/>
      <w:marLeft w:val="0"/>
      <w:marRight w:val="0"/>
      <w:marTop w:val="0"/>
      <w:marBottom w:val="0"/>
      <w:divBdr>
        <w:top w:val="none" w:sz="0" w:space="0" w:color="auto"/>
        <w:left w:val="none" w:sz="0" w:space="0" w:color="auto"/>
        <w:bottom w:val="none" w:sz="0" w:space="0" w:color="auto"/>
        <w:right w:val="none" w:sz="0" w:space="0" w:color="auto"/>
      </w:divBdr>
    </w:div>
    <w:div w:id="1656909583">
      <w:bodyDiv w:val="1"/>
      <w:marLeft w:val="0"/>
      <w:marRight w:val="0"/>
      <w:marTop w:val="0"/>
      <w:marBottom w:val="0"/>
      <w:divBdr>
        <w:top w:val="none" w:sz="0" w:space="0" w:color="auto"/>
        <w:left w:val="none" w:sz="0" w:space="0" w:color="auto"/>
        <w:bottom w:val="none" w:sz="0" w:space="0" w:color="auto"/>
        <w:right w:val="none" w:sz="0" w:space="0" w:color="auto"/>
      </w:divBdr>
    </w:div>
    <w:div w:id="1887328750">
      <w:bodyDiv w:val="1"/>
      <w:marLeft w:val="0"/>
      <w:marRight w:val="0"/>
      <w:marTop w:val="0"/>
      <w:marBottom w:val="0"/>
      <w:divBdr>
        <w:top w:val="none" w:sz="0" w:space="0" w:color="auto"/>
        <w:left w:val="none" w:sz="0" w:space="0" w:color="auto"/>
        <w:bottom w:val="none" w:sz="0" w:space="0" w:color="auto"/>
        <w:right w:val="none" w:sz="0" w:space="0" w:color="auto"/>
      </w:divBdr>
    </w:div>
    <w:div w:id="2090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ka.Valdman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3A05-4325-411A-9B76-60510F974D6F}">
  <ds:schemaRefs>
    <ds:schemaRef ds:uri="http://schemas.microsoft.com/sharepoint/v3/contenttype/forms"/>
  </ds:schemaRefs>
</ds:datastoreItem>
</file>

<file path=customXml/itemProps2.xml><?xml version="1.0" encoding="utf-8"?>
<ds:datastoreItem xmlns:ds="http://schemas.openxmlformats.org/officeDocument/2006/customXml" ds:itemID="{E3038901-A727-441C-913B-D56CB31D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42253-75F6-4D7B-8519-5AC46E4DA8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8823D-204A-4E4A-86D3-7F143F1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5598</Words>
  <Characters>39186</Characters>
  <Application>Microsoft Office Word</Application>
  <DocSecurity>0</DocSecurity>
  <Lines>1119</Lines>
  <Paragraphs>358</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anotācija</vt:lpstr>
    </vt:vector>
  </TitlesOfParts>
  <Company>Finanšu Ministrija</Company>
  <LinksUpToDate>false</LinksUpToDate>
  <CharactersWithSpaces>44426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marika.valdmane@fm.gov.lv</dc:creator>
  <dc:description>67095542
Marika.Valdmane@fm.gov.lv</dc:description>
  <cp:lastModifiedBy>User</cp:lastModifiedBy>
  <cp:revision>4</cp:revision>
  <cp:lastPrinted>2020-09-23T16:55:00Z</cp:lastPrinted>
  <dcterms:created xsi:type="dcterms:W3CDTF">2021-01-15T14:18:00Z</dcterms:created>
  <dcterms:modified xsi:type="dcterms:W3CDTF">2021-01-27T09:26:00Z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