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8CB2" w14:textId="77777777" w:rsidR="00E47026" w:rsidRDefault="00F06181" w:rsidP="00A90D40">
      <w:pPr>
        <w:spacing w:line="240" w:lineRule="auto"/>
        <w:contextualSpacing/>
        <w:jc w:val="right"/>
        <w:rPr>
          <w:rFonts w:ascii="Times New Roman" w:hAnsi="Times New Roman" w:cs="Times New Roman"/>
          <w:i/>
          <w:iCs/>
          <w:sz w:val="24"/>
          <w:szCs w:val="24"/>
        </w:rPr>
      </w:pPr>
      <w:r>
        <w:rPr>
          <w:rFonts w:ascii="Times New Roman" w:hAnsi="Times New Roman" w:cs="Times New Roman"/>
          <w:i/>
          <w:iCs/>
          <w:sz w:val="24"/>
          <w:szCs w:val="24"/>
        </w:rPr>
        <w:t>Pielikums</w:t>
      </w:r>
    </w:p>
    <w:p w14:paraId="7B2045A7" w14:textId="77777777" w:rsidR="00F06181" w:rsidRDefault="00F06181" w:rsidP="00F06181">
      <w:pPr>
        <w:spacing w:line="240" w:lineRule="auto"/>
        <w:contextualSpacing/>
        <w:jc w:val="center"/>
        <w:rPr>
          <w:rFonts w:ascii="Times New Roman" w:hAnsi="Times New Roman" w:cs="Times New Roman"/>
          <w:b/>
          <w:iCs/>
          <w:sz w:val="24"/>
          <w:szCs w:val="24"/>
        </w:rPr>
      </w:pPr>
    </w:p>
    <w:p w14:paraId="201D1254" w14:textId="1D29B6CC" w:rsidR="00A90D40" w:rsidRPr="00F06181" w:rsidRDefault="00F06181" w:rsidP="00F06181">
      <w:pPr>
        <w:spacing w:line="240" w:lineRule="auto"/>
        <w:contextualSpacing/>
        <w:jc w:val="center"/>
        <w:rPr>
          <w:rFonts w:ascii="Times New Roman" w:hAnsi="Times New Roman" w:cs="Times New Roman"/>
          <w:b/>
          <w:iCs/>
          <w:sz w:val="24"/>
          <w:szCs w:val="24"/>
        </w:rPr>
      </w:pPr>
      <w:r w:rsidRPr="00F06181">
        <w:rPr>
          <w:rFonts w:ascii="Times New Roman" w:hAnsi="Times New Roman" w:cs="Times New Roman"/>
          <w:b/>
          <w:iCs/>
          <w:sz w:val="24"/>
          <w:szCs w:val="24"/>
        </w:rPr>
        <w:t>Informācijas apkopojums par Latvijā nelicencētu interaktīvo azartspēļu tirgu un iespējamajiem papildu risinājumiem šāda tirgus ierobežošanai</w:t>
      </w:r>
    </w:p>
    <w:p w14:paraId="1654E155" w14:textId="77777777" w:rsidR="00A90D40" w:rsidRDefault="00A90D40" w:rsidP="00E47026">
      <w:pPr>
        <w:spacing w:line="240" w:lineRule="auto"/>
        <w:ind w:firstLine="360"/>
        <w:contextualSpacing/>
        <w:jc w:val="both"/>
        <w:rPr>
          <w:rFonts w:ascii="Times New Roman" w:eastAsia="Calibri" w:hAnsi="Times New Roman" w:cs="Times New Roman"/>
          <w:b/>
          <w:sz w:val="24"/>
          <w:szCs w:val="24"/>
        </w:rPr>
      </w:pPr>
    </w:p>
    <w:p w14:paraId="515531ED" w14:textId="645680F5" w:rsidR="00E47026" w:rsidRDefault="00E47026" w:rsidP="005411B8">
      <w:pPr>
        <w:spacing w:line="240" w:lineRule="auto"/>
        <w:ind w:firstLine="360"/>
        <w:contextualSpacing/>
        <w:jc w:val="both"/>
        <w:rPr>
          <w:rFonts w:ascii="Times New Roman" w:hAnsi="Times New Roman" w:cs="Times New Roman"/>
          <w:sz w:val="24"/>
          <w:szCs w:val="24"/>
        </w:rPr>
      </w:pPr>
      <w:r w:rsidRPr="00CB6351">
        <w:rPr>
          <w:rFonts w:ascii="Times New Roman" w:hAnsi="Times New Roman" w:cs="Times New Roman"/>
          <w:sz w:val="24"/>
          <w:szCs w:val="24"/>
        </w:rPr>
        <w:t>Saskaņā ar</w:t>
      </w:r>
      <w:r w:rsidR="00EB04C8">
        <w:rPr>
          <w:rFonts w:ascii="Times New Roman" w:hAnsi="Times New Roman" w:cs="Times New Roman"/>
          <w:sz w:val="24"/>
          <w:szCs w:val="24"/>
        </w:rPr>
        <w:t xml:space="preserve"> Saeimas doto uzdevumu</w:t>
      </w:r>
      <w:r w:rsidRPr="00CB6351">
        <w:rPr>
          <w:rFonts w:ascii="Times New Roman" w:hAnsi="Times New Roman" w:cs="Times New Roman"/>
          <w:sz w:val="24"/>
          <w:szCs w:val="24"/>
        </w:rPr>
        <w:t xml:space="preserve"> Covid-19 infekcijas izplatības seku pārvarēšanas likuma 61.pant</w:t>
      </w:r>
      <w:r w:rsidR="00EB04C8">
        <w:rPr>
          <w:rFonts w:ascii="Times New Roman" w:hAnsi="Times New Roman" w:cs="Times New Roman"/>
          <w:sz w:val="24"/>
          <w:szCs w:val="24"/>
        </w:rPr>
        <w:t>ā</w:t>
      </w:r>
      <w:r>
        <w:rPr>
          <w:rFonts w:ascii="Times New Roman" w:hAnsi="Times New Roman" w:cs="Times New Roman"/>
          <w:sz w:val="24"/>
          <w:szCs w:val="24"/>
        </w:rPr>
        <w:t xml:space="preserve">, kas nosaka, ka </w:t>
      </w:r>
      <w:r w:rsidRPr="002D5D4A">
        <w:rPr>
          <w:rFonts w:ascii="Times New Roman" w:hAnsi="Times New Roman" w:cs="Times New Roman"/>
          <w:sz w:val="24"/>
          <w:szCs w:val="24"/>
        </w:rPr>
        <w:t>Ministru kabinets līdz 2021.gada 10.janvārim izstrādā priekšlikumus nelegālo azartspēļu apkarošanai interneta vidē</w:t>
      </w:r>
      <w:r w:rsidRPr="00CB6351">
        <w:rPr>
          <w:rFonts w:ascii="Times New Roman" w:hAnsi="Times New Roman" w:cs="Times New Roman"/>
          <w:sz w:val="24"/>
          <w:szCs w:val="24"/>
        </w:rPr>
        <w:t>, Finanšu ministrija</w:t>
      </w:r>
      <w:r w:rsidR="00EB04C8">
        <w:rPr>
          <w:rFonts w:ascii="Times New Roman" w:hAnsi="Times New Roman" w:cs="Times New Roman"/>
          <w:sz w:val="24"/>
          <w:szCs w:val="24"/>
        </w:rPr>
        <w:t xml:space="preserve"> atbilstoši savai</w:t>
      </w:r>
      <w:r w:rsidRPr="00CB6351">
        <w:rPr>
          <w:rFonts w:ascii="Times New Roman" w:hAnsi="Times New Roman" w:cs="Times New Roman"/>
          <w:sz w:val="24"/>
          <w:szCs w:val="24"/>
        </w:rPr>
        <w:t xml:space="preserve"> kompetenc</w:t>
      </w:r>
      <w:r w:rsidR="00EB04C8">
        <w:rPr>
          <w:rFonts w:ascii="Times New Roman" w:hAnsi="Times New Roman" w:cs="Times New Roman"/>
          <w:sz w:val="24"/>
          <w:szCs w:val="24"/>
        </w:rPr>
        <w:t>e</w:t>
      </w:r>
      <w:r w:rsidRPr="00CB6351">
        <w:rPr>
          <w:rFonts w:ascii="Times New Roman" w:hAnsi="Times New Roman" w:cs="Times New Roman"/>
          <w:sz w:val="24"/>
          <w:szCs w:val="24"/>
        </w:rPr>
        <w:t>i izložu un azartspēļu politikas veidošanā ir sagatavojusi</w:t>
      </w:r>
      <w:r w:rsidR="00EB04C8">
        <w:rPr>
          <w:rFonts w:ascii="Times New Roman" w:hAnsi="Times New Roman" w:cs="Times New Roman"/>
          <w:sz w:val="24"/>
          <w:szCs w:val="24"/>
        </w:rPr>
        <w:t xml:space="preserve"> </w:t>
      </w:r>
      <w:r w:rsidR="00CB478E">
        <w:rPr>
          <w:rFonts w:ascii="Times New Roman" w:hAnsi="Times New Roman" w:cs="Times New Roman"/>
          <w:sz w:val="24"/>
          <w:szCs w:val="24"/>
        </w:rPr>
        <w:t>apkopojumu</w:t>
      </w:r>
      <w:r w:rsidRPr="00CB6351">
        <w:rPr>
          <w:rFonts w:ascii="Times New Roman" w:hAnsi="Times New Roman" w:cs="Times New Roman"/>
          <w:sz w:val="24"/>
          <w:szCs w:val="24"/>
        </w:rPr>
        <w:t xml:space="preserve"> par</w:t>
      </w:r>
      <w:r>
        <w:rPr>
          <w:rFonts w:ascii="Times New Roman" w:hAnsi="Times New Roman" w:cs="Times New Roman"/>
          <w:sz w:val="24"/>
          <w:szCs w:val="24"/>
        </w:rPr>
        <w:t xml:space="preserve">: </w:t>
      </w:r>
    </w:p>
    <w:p w14:paraId="4C6925D7" w14:textId="77777777" w:rsidR="00E47026" w:rsidRPr="00E142E1" w:rsidRDefault="00E47026" w:rsidP="00E47026">
      <w:pPr>
        <w:pStyle w:val="ListParagraph"/>
        <w:numPr>
          <w:ilvl w:val="0"/>
          <w:numId w:val="2"/>
        </w:numPr>
        <w:spacing w:line="240" w:lineRule="auto"/>
        <w:jc w:val="both"/>
        <w:rPr>
          <w:rFonts w:ascii="Times New Roman" w:hAnsi="Times New Roman" w:cs="Times New Roman"/>
          <w:sz w:val="24"/>
          <w:szCs w:val="24"/>
        </w:rPr>
      </w:pPr>
      <w:r w:rsidRPr="00E142E1">
        <w:rPr>
          <w:rFonts w:ascii="Times New Roman" w:hAnsi="Times New Roman" w:cs="Times New Roman"/>
          <w:sz w:val="24"/>
          <w:szCs w:val="24"/>
        </w:rPr>
        <w:t>pašreizējo situāciju</w:t>
      </w:r>
      <w:r>
        <w:rPr>
          <w:rFonts w:ascii="Times New Roman" w:hAnsi="Times New Roman" w:cs="Times New Roman"/>
          <w:sz w:val="24"/>
          <w:szCs w:val="24"/>
        </w:rPr>
        <w:t xml:space="preserve"> </w:t>
      </w:r>
      <w:r w:rsidRPr="00E142E1">
        <w:rPr>
          <w:rFonts w:ascii="Times New Roman" w:hAnsi="Times New Roman" w:cs="Times New Roman"/>
          <w:sz w:val="24"/>
          <w:szCs w:val="24"/>
        </w:rPr>
        <w:t>nelegālo azartspēļu apkarošan</w:t>
      </w:r>
      <w:r w:rsidR="0042594F">
        <w:rPr>
          <w:rFonts w:ascii="Times New Roman" w:hAnsi="Times New Roman" w:cs="Times New Roman"/>
          <w:sz w:val="24"/>
          <w:szCs w:val="24"/>
        </w:rPr>
        <w:t>ā</w:t>
      </w:r>
      <w:r w:rsidRPr="00E142E1">
        <w:rPr>
          <w:rFonts w:ascii="Times New Roman" w:hAnsi="Times New Roman" w:cs="Times New Roman"/>
          <w:sz w:val="24"/>
          <w:szCs w:val="24"/>
        </w:rPr>
        <w:t xml:space="preserve"> interneta vidē</w:t>
      </w:r>
      <w:r w:rsidRPr="00D14F7D">
        <w:rPr>
          <w:rFonts w:ascii="Times New Roman" w:hAnsi="Times New Roman" w:cs="Times New Roman"/>
          <w:sz w:val="24"/>
          <w:szCs w:val="24"/>
        </w:rPr>
        <w:t xml:space="preserve"> </w:t>
      </w:r>
      <w:r>
        <w:rPr>
          <w:rFonts w:ascii="Times New Roman" w:hAnsi="Times New Roman" w:cs="Times New Roman"/>
          <w:sz w:val="24"/>
          <w:szCs w:val="24"/>
        </w:rPr>
        <w:t>Latvijā</w:t>
      </w:r>
      <w:r w:rsidRPr="00E142E1">
        <w:rPr>
          <w:rFonts w:ascii="Times New Roman" w:hAnsi="Times New Roman" w:cs="Times New Roman"/>
          <w:sz w:val="24"/>
          <w:szCs w:val="24"/>
        </w:rPr>
        <w:t>;</w:t>
      </w:r>
    </w:p>
    <w:p w14:paraId="78DD93A6" w14:textId="77777777" w:rsidR="00E47026" w:rsidRPr="006B065B" w:rsidRDefault="00E47026" w:rsidP="00E4702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iespējamajiem</w:t>
      </w:r>
      <w:r w:rsidR="006D293B">
        <w:rPr>
          <w:rFonts w:ascii="Times New Roman" w:hAnsi="Times New Roman" w:cs="Times New Roman"/>
          <w:sz w:val="24"/>
          <w:szCs w:val="24"/>
        </w:rPr>
        <w:t xml:space="preserve"> papildus </w:t>
      </w:r>
      <w:r>
        <w:rPr>
          <w:rFonts w:ascii="Times New Roman" w:hAnsi="Times New Roman" w:cs="Times New Roman"/>
          <w:sz w:val="24"/>
          <w:szCs w:val="24"/>
        </w:rPr>
        <w:t>risinājumiem Latvijā nelicencēto interaktīvo azartspēļu tirgus ierobežošanai.</w:t>
      </w:r>
    </w:p>
    <w:p w14:paraId="677652BF" w14:textId="77777777" w:rsidR="00E47026" w:rsidRDefault="00E47026"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Vērtējot pašreizējās situācijas aktualitātes</w:t>
      </w:r>
      <w:r w:rsidR="0042594F">
        <w:rPr>
          <w:rFonts w:ascii="Times New Roman" w:hAnsi="Times New Roman" w:cs="Times New Roman"/>
          <w:sz w:val="24"/>
          <w:szCs w:val="24"/>
        </w:rPr>
        <w:t>,</w:t>
      </w:r>
      <w:r>
        <w:rPr>
          <w:rFonts w:ascii="Times New Roman" w:hAnsi="Times New Roman" w:cs="Times New Roman"/>
          <w:sz w:val="24"/>
          <w:szCs w:val="24"/>
        </w:rPr>
        <w:t xml:space="preserve"> secināms, ka d</w:t>
      </w:r>
      <w:r w:rsidRPr="00CB6351">
        <w:rPr>
          <w:rFonts w:ascii="Times New Roman" w:hAnsi="Times New Roman" w:cs="Times New Roman"/>
          <w:sz w:val="24"/>
          <w:szCs w:val="24"/>
        </w:rPr>
        <w:t>alība nelicencētās interaktīvās azartspēļu un izložu platformās spēlētājam rada būtiskus riskus. Papildus atkarības izraisošiem riskiem nekontrolētā vidē prevalē finansiāla rakstura riski (</w:t>
      </w:r>
      <w:proofErr w:type="spellStart"/>
      <w:r w:rsidRPr="00CB6351">
        <w:rPr>
          <w:rFonts w:ascii="Times New Roman" w:hAnsi="Times New Roman" w:cs="Times New Roman"/>
          <w:sz w:val="24"/>
          <w:szCs w:val="24"/>
        </w:rPr>
        <w:t>krāpniecība</w:t>
      </w:r>
      <w:proofErr w:type="spellEnd"/>
      <w:r w:rsidRPr="00CB6351">
        <w:rPr>
          <w:rFonts w:ascii="Times New Roman" w:hAnsi="Times New Roman" w:cs="Times New Roman"/>
          <w:sz w:val="24"/>
          <w:szCs w:val="24"/>
        </w:rPr>
        <w:t>), kā arī riski, kas ir saistīti ar personu datu aizsardzības prasību neievērošanu. Turklāt nekontrolētajā vidē personai netiek nodrošināta iespēja izmantot normatīvo aktu ietvaru, kas vērsts uz spēlētāju un sabiedrības interešu aizsardzību.</w:t>
      </w:r>
    </w:p>
    <w:p w14:paraId="41514493" w14:textId="659E1077" w:rsidR="00E47026" w:rsidRPr="00C34872" w:rsidRDefault="00CB478E"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jautājuma specifiku, </w:t>
      </w:r>
      <w:r w:rsidR="00EB04C8">
        <w:rPr>
          <w:rFonts w:ascii="Times New Roman" w:hAnsi="Times New Roman" w:cs="Times New Roman"/>
          <w:sz w:val="24"/>
          <w:szCs w:val="24"/>
        </w:rPr>
        <w:t>p</w:t>
      </w:r>
      <w:r w:rsidR="00E47026" w:rsidRPr="00AB6C5F">
        <w:rPr>
          <w:rFonts w:ascii="Times New Roman" w:hAnsi="Times New Roman" w:cs="Times New Roman"/>
          <w:sz w:val="24"/>
          <w:szCs w:val="24"/>
        </w:rPr>
        <w:t xml:space="preserve">recīzi dati par nelegālā tirgus apjomu nav pieejami, bet, kā liecina azartspēļu nozares datu specializēta uzņēmuma H2 </w:t>
      </w:r>
      <w:proofErr w:type="spellStart"/>
      <w:r w:rsidR="00E47026" w:rsidRPr="00AB6C5F">
        <w:rPr>
          <w:rFonts w:ascii="Times New Roman" w:hAnsi="Times New Roman" w:cs="Times New Roman"/>
          <w:sz w:val="24"/>
          <w:szCs w:val="24"/>
        </w:rPr>
        <w:t>Gambling</w:t>
      </w:r>
      <w:proofErr w:type="spellEnd"/>
      <w:r w:rsidR="00E47026" w:rsidRPr="00AB6C5F">
        <w:rPr>
          <w:rFonts w:ascii="Times New Roman" w:hAnsi="Times New Roman" w:cs="Times New Roman"/>
          <w:sz w:val="24"/>
          <w:szCs w:val="24"/>
        </w:rPr>
        <w:t xml:space="preserve"> </w:t>
      </w:r>
      <w:proofErr w:type="spellStart"/>
      <w:r w:rsidR="00E47026" w:rsidRPr="00AB6C5F">
        <w:rPr>
          <w:rFonts w:ascii="Times New Roman" w:hAnsi="Times New Roman" w:cs="Times New Roman"/>
          <w:sz w:val="24"/>
          <w:szCs w:val="24"/>
        </w:rPr>
        <w:t>Capital</w:t>
      </w:r>
      <w:proofErr w:type="spellEnd"/>
      <w:r w:rsidR="00E47026" w:rsidRPr="00AB6C5F">
        <w:rPr>
          <w:rFonts w:ascii="Times New Roman" w:hAnsi="Times New Roman" w:cs="Times New Roman"/>
          <w:sz w:val="24"/>
          <w:szCs w:val="24"/>
        </w:rPr>
        <w:t xml:space="preserve"> pētījums</w:t>
      </w:r>
      <w:r w:rsidR="00E962F1">
        <w:rPr>
          <w:rFonts w:ascii="Times New Roman" w:hAnsi="Times New Roman" w:cs="Times New Roman"/>
          <w:sz w:val="24"/>
          <w:szCs w:val="24"/>
        </w:rPr>
        <w:t>,</w:t>
      </w:r>
      <w:r w:rsidR="00E47026" w:rsidRPr="00AB6C5F">
        <w:rPr>
          <w:rFonts w:ascii="Times New Roman" w:hAnsi="Times New Roman" w:cs="Times New Roman"/>
          <w:sz w:val="24"/>
          <w:szCs w:val="24"/>
        </w:rPr>
        <w:t xml:space="preserve"> </w:t>
      </w:r>
      <w:r w:rsidR="00EB04C8" w:rsidRPr="00AB6C5F">
        <w:rPr>
          <w:rFonts w:ascii="Times New Roman" w:hAnsi="Times New Roman" w:cs="Times New Roman"/>
          <w:sz w:val="24"/>
          <w:szCs w:val="24"/>
        </w:rPr>
        <w:t xml:space="preserve">Latvijā </w:t>
      </w:r>
      <w:r w:rsidR="00E47026" w:rsidRPr="00AB6C5F">
        <w:rPr>
          <w:rFonts w:ascii="Times New Roman" w:hAnsi="Times New Roman" w:cs="Times New Roman"/>
          <w:sz w:val="24"/>
          <w:szCs w:val="24"/>
        </w:rPr>
        <w:t xml:space="preserve">nelegālā interaktīvo azartspēļu tirgus īpatsvars 2019.gadā </w:t>
      </w:r>
      <w:r w:rsidR="00EB04C8">
        <w:rPr>
          <w:rFonts w:ascii="Times New Roman" w:hAnsi="Times New Roman" w:cs="Times New Roman"/>
          <w:sz w:val="24"/>
          <w:szCs w:val="24"/>
        </w:rPr>
        <w:t>bija</w:t>
      </w:r>
      <w:r w:rsidR="00E47026" w:rsidRPr="00AB6C5F">
        <w:rPr>
          <w:rFonts w:ascii="Times New Roman" w:hAnsi="Times New Roman" w:cs="Times New Roman"/>
          <w:sz w:val="24"/>
          <w:szCs w:val="24"/>
        </w:rPr>
        <w:t xml:space="preserve"> 33,9 milj. </w:t>
      </w:r>
      <w:proofErr w:type="spellStart"/>
      <w:r w:rsidR="00E47026" w:rsidRPr="00AB6C5F">
        <w:rPr>
          <w:rFonts w:ascii="Times New Roman" w:hAnsi="Times New Roman" w:cs="Times New Roman"/>
          <w:i/>
          <w:sz w:val="24"/>
          <w:szCs w:val="24"/>
        </w:rPr>
        <w:t>euro</w:t>
      </w:r>
      <w:proofErr w:type="spellEnd"/>
      <w:r w:rsidR="00E47026" w:rsidRPr="00AB6C5F">
        <w:rPr>
          <w:rFonts w:ascii="Times New Roman" w:hAnsi="Times New Roman" w:cs="Times New Roman"/>
          <w:sz w:val="24"/>
          <w:szCs w:val="24"/>
        </w:rPr>
        <w:t xml:space="preserve"> (informācija uz 09.06.2020.).</w:t>
      </w:r>
      <w:r w:rsidR="00E47026">
        <w:rPr>
          <w:rFonts w:ascii="Times New Roman" w:hAnsi="Times New Roman" w:cs="Times New Roman"/>
          <w:sz w:val="24"/>
          <w:szCs w:val="24"/>
        </w:rPr>
        <w:t xml:space="preserve"> Savukārt, veicot pieejamo datu analīzi par ieņēmumiem no </w:t>
      </w:r>
      <w:r w:rsidR="00EB04C8">
        <w:rPr>
          <w:rFonts w:ascii="Times New Roman" w:hAnsi="Times New Roman" w:cs="Times New Roman"/>
          <w:sz w:val="24"/>
          <w:szCs w:val="24"/>
        </w:rPr>
        <w:t xml:space="preserve">Latvijā </w:t>
      </w:r>
      <w:r w:rsidR="00E47026">
        <w:rPr>
          <w:rFonts w:ascii="Times New Roman" w:hAnsi="Times New Roman" w:cs="Times New Roman"/>
          <w:sz w:val="24"/>
          <w:szCs w:val="24"/>
        </w:rPr>
        <w:t xml:space="preserve">licencētajām interaktīvajām azartspēlēm, 2020.gada 9 mēnešos ieņēmumi </w:t>
      </w:r>
      <w:r w:rsidR="00EB04C8">
        <w:rPr>
          <w:rFonts w:ascii="Times New Roman" w:hAnsi="Times New Roman" w:cs="Times New Roman"/>
          <w:sz w:val="24"/>
          <w:szCs w:val="24"/>
        </w:rPr>
        <w:t xml:space="preserve">ir </w:t>
      </w:r>
      <w:r w:rsidR="000B4306">
        <w:rPr>
          <w:rFonts w:ascii="Times New Roman" w:hAnsi="Times New Roman" w:cs="Times New Roman"/>
          <w:sz w:val="24"/>
          <w:szCs w:val="24"/>
        </w:rPr>
        <w:br/>
      </w:r>
      <w:r w:rsidR="00E47026">
        <w:rPr>
          <w:rFonts w:ascii="Times New Roman" w:hAnsi="Times New Roman" w:cs="Times New Roman"/>
          <w:sz w:val="24"/>
          <w:szCs w:val="24"/>
        </w:rPr>
        <w:t xml:space="preserve">36,4 milj. </w:t>
      </w:r>
      <w:proofErr w:type="spellStart"/>
      <w:r w:rsidR="00E47026">
        <w:rPr>
          <w:rFonts w:ascii="Times New Roman" w:hAnsi="Times New Roman" w:cs="Times New Roman"/>
          <w:i/>
          <w:sz w:val="24"/>
          <w:szCs w:val="24"/>
        </w:rPr>
        <w:t>euro</w:t>
      </w:r>
      <w:proofErr w:type="spellEnd"/>
      <w:r w:rsidR="00E47026">
        <w:rPr>
          <w:rFonts w:ascii="Times New Roman" w:hAnsi="Times New Roman" w:cs="Times New Roman"/>
          <w:sz w:val="24"/>
          <w:szCs w:val="24"/>
        </w:rPr>
        <w:t xml:space="preserve">, kas ir par 2,3 milj. </w:t>
      </w:r>
      <w:proofErr w:type="spellStart"/>
      <w:r w:rsidR="00E47026">
        <w:rPr>
          <w:rFonts w:ascii="Times New Roman" w:hAnsi="Times New Roman" w:cs="Times New Roman"/>
          <w:i/>
          <w:sz w:val="24"/>
          <w:szCs w:val="24"/>
        </w:rPr>
        <w:t>euro</w:t>
      </w:r>
      <w:proofErr w:type="spellEnd"/>
      <w:r w:rsidR="00E47026">
        <w:rPr>
          <w:rFonts w:ascii="Times New Roman" w:hAnsi="Times New Roman" w:cs="Times New Roman"/>
          <w:sz w:val="24"/>
          <w:szCs w:val="24"/>
        </w:rPr>
        <w:t xml:space="preserve"> mazāk nekā 2019.gada 9 mēnešos (skat. 1.tabulu).</w:t>
      </w:r>
    </w:p>
    <w:p w14:paraId="65C0976A" w14:textId="77777777" w:rsidR="00E47026" w:rsidRPr="00A863B0" w:rsidRDefault="00E47026" w:rsidP="00E47026">
      <w:pPr>
        <w:spacing w:line="240" w:lineRule="auto"/>
        <w:ind w:firstLine="360"/>
        <w:contextualSpacing/>
        <w:jc w:val="right"/>
        <w:rPr>
          <w:rFonts w:ascii="Times New Roman" w:hAnsi="Times New Roman" w:cs="Times New Roman"/>
          <w:sz w:val="24"/>
          <w:szCs w:val="24"/>
        </w:rPr>
      </w:pPr>
      <w:r w:rsidRPr="00A863B0">
        <w:rPr>
          <w:rFonts w:ascii="Times New Roman" w:hAnsi="Times New Roman" w:cs="Times New Roman"/>
          <w:sz w:val="24"/>
          <w:szCs w:val="24"/>
        </w:rPr>
        <w:t>1.tabula</w:t>
      </w:r>
    </w:p>
    <w:p w14:paraId="287D9972" w14:textId="77777777" w:rsidR="00E47026" w:rsidRPr="009C3F56" w:rsidRDefault="00E47026" w:rsidP="00E47026">
      <w:pPr>
        <w:spacing w:line="240" w:lineRule="auto"/>
        <w:ind w:firstLine="357"/>
        <w:contextualSpacing/>
        <w:jc w:val="center"/>
        <w:rPr>
          <w:rFonts w:ascii="Times New Roman" w:hAnsi="Times New Roman" w:cs="Times New Roman"/>
          <w:sz w:val="24"/>
          <w:szCs w:val="24"/>
        </w:rPr>
      </w:pPr>
      <w:r w:rsidRPr="009C3F56">
        <w:rPr>
          <w:rFonts w:ascii="Times New Roman" w:hAnsi="Times New Roman" w:cs="Times New Roman"/>
          <w:sz w:val="24"/>
          <w:szCs w:val="24"/>
        </w:rPr>
        <w:t>Ieņēmumi no interaktīvajām azartspēlēm</w:t>
      </w:r>
    </w:p>
    <w:p w14:paraId="75747F61" w14:textId="77777777" w:rsidR="00E47026" w:rsidRPr="009C3F56" w:rsidRDefault="00E47026" w:rsidP="00E47026">
      <w:pPr>
        <w:spacing w:line="240" w:lineRule="auto"/>
        <w:ind w:firstLine="357"/>
        <w:contextualSpacing/>
        <w:jc w:val="center"/>
        <w:rPr>
          <w:rFonts w:ascii="Times New Roman" w:hAnsi="Times New Roman" w:cs="Times New Roman"/>
          <w:sz w:val="24"/>
          <w:szCs w:val="24"/>
        </w:rPr>
      </w:pPr>
      <w:r w:rsidRPr="009C3F56">
        <w:rPr>
          <w:rFonts w:ascii="Times New Roman" w:hAnsi="Times New Roman" w:cs="Times New Roman"/>
          <w:sz w:val="24"/>
          <w:szCs w:val="24"/>
        </w:rPr>
        <w:t>(2019.gada un 2020.gada 9 mēnešu salīdzinājums)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9"/>
        <w:gridCol w:w="3278"/>
        <w:gridCol w:w="3604"/>
      </w:tblGrid>
      <w:tr w:rsidR="00E47026" w:rsidRPr="00445BA4" w14:paraId="65BA29AB" w14:textId="77777777" w:rsidTr="0055012B">
        <w:tc>
          <w:tcPr>
            <w:tcW w:w="1202" w:type="pct"/>
            <w:shd w:val="clear" w:color="auto" w:fill="B4C6E7" w:themeFill="accent1" w:themeFillTint="66"/>
            <w:tcMar>
              <w:top w:w="0" w:type="dxa"/>
              <w:left w:w="108" w:type="dxa"/>
              <w:bottom w:w="0" w:type="dxa"/>
              <w:right w:w="108" w:type="dxa"/>
            </w:tcMar>
          </w:tcPr>
          <w:p w14:paraId="1147ABB2" w14:textId="77777777" w:rsidR="00E47026" w:rsidRPr="00A263EF" w:rsidRDefault="00E47026" w:rsidP="0055012B">
            <w:pPr>
              <w:pStyle w:val="NoSpacing"/>
              <w:contextualSpacing/>
              <w:rPr>
                <w:rFonts w:ascii="Times New Roman" w:hAnsi="Times New Roman" w:cs="Times New Roman"/>
                <w:sz w:val="24"/>
                <w:szCs w:val="24"/>
                <w:u w:val="single"/>
              </w:rPr>
            </w:pPr>
          </w:p>
        </w:tc>
        <w:tc>
          <w:tcPr>
            <w:tcW w:w="1809" w:type="pct"/>
            <w:shd w:val="clear" w:color="auto" w:fill="B4C6E7" w:themeFill="accent1" w:themeFillTint="66"/>
            <w:tcMar>
              <w:top w:w="0" w:type="dxa"/>
              <w:left w:w="108" w:type="dxa"/>
              <w:bottom w:w="0" w:type="dxa"/>
              <w:right w:w="108" w:type="dxa"/>
            </w:tcMar>
            <w:hideMark/>
          </w:tcPr>
          <w:p w14:paraId="05927E18" w14:textId="77777777" w:rsidR="00E47026" w:rsidRPr="000219D1" w:rsidRDefault="00E47026" w:rsidP="000219D1">
            <w:pPr>
              <w:pStyle w:val="NoSpacing"/>
              <w:contextualSpacing/>
              <w:jc w:val="center"/>
              <w:rPr>
                <w:rFonts w:ascii="Times New Roman" w:hAnsi="Times New Roman" w:cs="Times New Roman"/>
                <w:b/>
                <w:sz w:val="24"/>
                <w:szCs w:val="24"/>
              </w:rPr>
            </w:pPr>
            <w:r w:rsidRPr="000219D1">
              <w:rPr>
                <w:rFonts w:ascii="Times New Roman" w:hAnsi="Times New Roman" w:cs="Times New Roman"/>
                <w:b/>
                <w:sz w:val="24"/>
                <w:szCs w:val="24"/>
              </w:rPr>
              <w:t>2019.gada 9 mēnešos (EUR)</w:t>
            </w:r>
          </w:p>
        </w:tc>
        <w:tc>
          <w:tcPr>
            <w:tcW w:w="1989" w:type="pct"/>
            <w:shd w:val="clear" w:color="auto" w:fill="B4C6E7" w:themeFill="accent1" w:themeFillTint="66"/>
            <w:tcMar>
              <w:top w:w="0" w:type="dxa"/>
              <w:left w:w="108" w:type="dxa"/>
              <w:bottom w:w="0" w:type="dxa"/>
              <w:right w:w="108" w:type="dxa"/>
            </w:tcMar>
            <w:hideMark/>
          </w:tcPr>
          <w:p w14:paraId="5FFC1B8F" w14:textId="77777777" w:rsidR="00E47026" w:rsidRPr="000219D1" w:rsidRDefault="00E47026" w:rsidP="000219D1">
            <w:pPr>
              <w:pStyle w:val="NoSpacing"/>
              <w:contextualSpacing/>
              <w:jc w:val="center"/>
              <w:rPr>
                <w:rFonts w:ascii="Times New Roman" w:hAnsi="Times New Roman" w:cs="Times New Roman"/>
                <w:b/>
                <w:sz w:val="24"/>
                <w:szCs w:val="24"/>
              </w:rPr>
            </w:pPr>
            <w:r w:rsidRPr="000219D1">
              <w:rPr>
                <w:rFonts w:ascii="Times New Roman" w:hAnsi="Times New Roman" w:cs="Times New Roman"/>
                <w:b/>
                <w:sz w:val="24"/>
                <w:szCs w:val="24"/>
              </w:rPr>
              <w:t>2020.gada 9 mēnešos (EUR)</w:t>
            </w:r>
          </w:p>
        </w:tc>
      </w:tr>
      <w:tr w:rsidR="00E47026" w:rsidRPr="00445BA4" w14:paraId="41003099" w14:textId="77777777" w:rsidTr="0055012B">
        <w:tc>
          <w:tcPr>
            <w:tcW w:w="1202" w:type="pct"/>
            <w:shd w:val="clear" w:color="auto" w:fill="F2F2F2" w:themeFill="background1" w:themeFillShade="F2"/>
            <w:tcMar>
              <w:top w:w="0" w:type="dxa"/>
              <w:left w:w="108" w:type="dxa"/>
              <w:bottom w:w="0" w:type="dxa"/>
              <w:right w:w="108" w:type="dxa"/>
            </w:tcMar>
            <w:hideMark/>
          </w:tcPr>
          <w:p w14:paraId="31DD7477" w14:textId="77777777" w:rsidR="00E47026" w:rsidRPr="00445BA4" w:rsidRDefault="00E47026" w:rsidP="0055012B">
            <w:pPr>
              <w:pStyle w:val="NoSpacing"/>
              <w:contextualSpacing/>
              <w:rPr>
                <w:rFonts w:ascii="Times New Roman" w:hAnsi="Times New Roman" w:cs="Times New Roman"/>
                <w:sz w:val="24"/>
                <w:szCs w:val="24"/>
              </w:rPr>
            </w:pPr>
            <w:r w:rsidRPr="00445BA4">
              <w:rPr>
                <w:rFonts w:ascii="Times New Roman" w:hAnsi="Times New Roman" w:cs="Times New Roman"/>
                <w:sz w:val="24"/>
                <w:szCs w:val="24"/>
              </w:rPr>
              <w:t>Kazino spēles</w:t>
            </w:r>
          </w:p>
        </w:tc>
        <w:tc>
          <w:tcPr>
            <w:tcW w:w="1809" w:type="pct"/>
            <w:tcMar>
              <w:top w:w="0" w:type="dxa"/>
              <w:left w:w="108" w:type="dxa"/>
              <w:bottom w:w="0" w:type="dxa"/>
              <w:right w:w="108" w:type="dxa"/>
            </w:tcMar>
            <w:hideMark/>
          </w:tcPr>
          <w:p w14:paraId="17C9CFED"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27 863 460</w:t>
            </w:r>
          </w:p>
        </w:tc>
        <w:tc>
          <w:tcPr>
            <w:tcW w:w="1989" w:type="pct"/>
            <w:tcMar>
              <w:top w:w="0" w:type="dxa"/>
              <w:left w:w="108" w:type="dxa"/>
              <w:bottom w:w="0" w:type="dxa"/>
              <w:right w:w="108" w:type="dxa"/>
            </w:tcMar>
            <w:hideMark/>
          </w:tcPr>
          <w:p w14:paraId="343A70A5"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27 531 564</w:t>
            </w:r>
          </w:p>
        </w:tc>
      </w:tr>
      <w:tr w:rsidR="00E47026" w:rsidRPr="00445BA4" w14:paraId="48F9BE84" w14:textId="77777777" w:rsidTr="0055012B">
        <w:tc>
          <w:tcPr>
            <w:tcW w:w="1202" w:type="pct"/>
            <w:tcBorders>
              <w:bottom w:val="single" w:sz="4" w:space="0" w:color="auto"/>
            </w:tcBorders>
            <w:shd w:val="clear" w:color="auto" w:fill="F2F2F2" w:themeFill="background1" w:themeFillShade="F2"/>
            <w:tcMar>
              <w:top w:w="0" w:type="dxa"/>
              <w:left w:w="108" w:type="dxa"/>
              <w:bottom w:w="0" w:type="dxa"/>
              <w:right w:w="108" w:type="dxa"/>
            </w:tcMar>
            <w:hideMark/>
          </w:tcPr>
          <w:p w14:paraId="3F554270" w14:textId="77777777" w:rsidR="00E47026" w:rsidRPr="00445BA4" w:rsidRDefault="00E47026" w:rsidP="0055012B">
            <w:pPr>
              <w:pStyle w:val="NoSpacing"/>
              <w:contextualSpacing/>
              <w:rPr>
                <w:rFonts w:ascii="Times New Roman" w:hAnsi="Times New Roman" w:cs="Times New Roman"/>
                <w:sz w:val="24"/>
                <w:szCs w:val="24"/>
              </w:rPr>
            </w:pPr>
            <w:proofErr w:type="spellStart"/>
            <w:r w:rsidRPr="00445BA4">
              <w:rPr>
                <w:rFonts w:ascii="Times New Roman" w:hAnsi="Times New Roman" w:cs="Times New Roman"/>
                <w:sz w:val="24"/>
                <w:szCs w:val="24"/>
              </w:rPr>
              <w:t>Totalizators</w:t>
            </w:r>
            <w:proofErr w:type="spellEnd"/>
          </w:p>
        </w:tc>
        <w:tc>
          <w:tcPr>
            <w:tcW w:w="1809" w:type="pct"/>
            <w:tcMar>
              <w:top w:w="0" w:type="dxa"/>
              <w:left w:w="108" w:type="dxa"/>
              <w:bottom w:w="0" w:type="dxa"/>
              <w:right w:w="108" w:type="dxa"/>
            </w:tcMar>
            <w:hideMark/>
          </w:tcPr>
          <w:p w14:paraId="44E288E5"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10 629 573</w:t>
            </w:r>
          </w:p>
        </w:tc>
        <w:tc>
          <w:tcPr>
            <w:tcW w:w="1989" w:type="pct"/>
            <w:tcMar>
              <w:top w:w="0" w:type="dxa"/>
              <w:left w:w="108" w:type="dxa"/>
              <w:bottom w:w="0" w:type="dxa"/>
              <w:right w:w="108" w:type="dxa"/>
            </w:tcMar>
            <w:hideMark/>
          </w:tcPr>
          <w:p w14:paraId="41AA9A99"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8 410</w:t>
            </w:r>
            <w:r>
              <w:rPr>
                <w:rFonts w:ascii="Times New Roman" w:hAnsi="Times New Roman" w:cs="Times New Roman"/>
                <w:sz w:val="24"/>
                <w:szCs w:val="24"/>
              </w:rPr>
              <w:t> </w:t>
            </w:r>
            <w:r w:rsidRPr="00445BA4">
              <w:rPr>
                <w:rFonts w:ascii="Times New Roman" w:hAnsi="Times New Roman" w:cs="Times New Roman"/>
                <w:sz w:val="24"/>
                <w:szCs w:val="24"/>
              </w:rPr>
              <w:t>951</w:t>
            </w:r>
          </w:p>
        </w:tc>
      </w:tr>
      <w:tr w:rsidR="00E47026" w:rsidRPr="00445BA4" w14:paraId="740858F5" w14:textId="77777777" w:rsidTr="0055012B">
        <w:tc>
          <w:tcPr>
            <w:tcW w:w="1202" w:type="pct"/>
            <w:shd w:val="clear" w:color="auto" w:fill="F2F2F2" w:themeFill="background1" w:themeFillShade="F2"/>
            <w:tcMar>
              <w:top w:w="0" w:type="dxa"/>
              <w:left w:w="108" w:type="dxa"/>
              <w:bottom w:w="0" w:type="dxa"/>
              <w:right w:w="108" w:type="dxa"/>
            </w:tcMar>
            <w:hideMark/>
          </w:tcPr>
          <w:p w14:paraId="300EAD1D" w14:textId="77777777" w:rsidR="00E47026" w:rsidRPr="00445BA4" w:rsidRDefault="00E47026" w:rsidP="0055012B">
            <w:pPr>
              <w:pStyle w:val="NoSpacing"/>
              <w:contextualSpacing/>
              <w:rPr>
                <w:rFonts w:ascii="Times New Roman" w:hAnsi="Times New Roman" w:cs="Times New Roman"/>
                <w:sz w:val="24"/>
                <w:szCs w:val="24"/>
              </w:rPr>
            </w:pPr>
            <w:r w:rsidRPr="00445BA4">
              <w:rPr>
                <w:rFonts w:ascii="Times New Roman" w:hAnsi="Times New Roman" w:cs="Times New Roman"/>
                <w:sz w:val="24"/>
                <w:szCs w:val="24"/>
              </w:rPr>
              <w:t>Kāršu spēles</w:t>
            </w:r>
          </w:p>
        </w:tc>
        <w:tc>
          <w:tcPr>
            <w:tcW w:w="1809" w:type="pct"/>
            <w:tcMar>
              <w:top w:w="0" w:type="dxa"/>
              <w:left w:w="108" w:type="dxa"/>
              <w:bottom w:w="0" w:type="dxa"/>
              <w:right w:w="108" w:type="dxa"/>
            </w:tcMar>
            <w:hideMark/>
          </w:tcPr>
          <w:p w14:paraId="3E13FF3C"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302 869</w:t>
            </w:r>
          </w:p>
        </w:tc>
        <w:tc>
          <w:tcPr>
            <w:tcW w:w="1989" w:type="pct"/>
            <w:tcMar>
              <w:top w:w="0" w:type="dxa"/>
              <w:left w:w="108" w:type="dxa"/>
              <w:bottom w:w="0" w:type="dxa"/>
              <w:right w:w="108" w:type="dxa"/>
            </w:tcMar>
            <w:hideMark/>
          </w:tcPr>
          <w:p w14:paraId="20338880" w14:textId="77777777" w:rsidR="00E47026" w:rsidRPr="00445BA4" w:rsidRDefault="00E47026" w:rsidP="0055012B">
            <w:pPr>
              <w:pStyle w:val="NoSpacing"/>
              <w:contextualSpacing/>
              <w:jc w:val="center"/>
              <w:rPr>
                <w:rFonts w:ascii="Times New Roman" w:hAnsi="Times New Roman" w:cs="Times New Roman"/>
                <w:sz w:val="24"/>
                <w:szCs w:val="24"/>
              </w:rPr>
            </w:pPr>
            <w:r w:rsidRPr="00445BA4">
              <w:rPr>
                <w:rFonts w:ascii="Times New Roman" w:hAnsi="Times New Roman" w:cs="Times New Roman"/>
                <w:sz w:val="24"/>
                <w:szCs w:val="24"/>
              </w:rPr>
              <w:t>466</w:t>
            </w:r>
            <w:r>
              <w:rPr>
                <w:rFonts w:ascii="Times New Roman" w:hAnsi="Times New Roman" w:cs="Times New Roman"/>
                <w:sz w:val="24"/>
                <w:szCs w:val="24"/>
              </w:rPr>
              <w:t> </w:t>
            </w:r>
            <w:r w:rsidRPr="00445BA4">
              <w:rPr>
                <w:rFonts w:ascii="Times New Roman" w:hAnsi="Times New Roman" w:cs="Times New Roman"/>
                <w:sz w:val="24"/>
                <w:szCs w:val="24"/>
              </w:rPr>
              <w:t>493</w:t>
            </w:r>
          </w:p>
        </w:tc>
      </w:tr>
      <w:tr w:rsidR="00E47026" w:rsidRPr="00445BA4" w14:paraId="67543F40" w14:textId="77777777" w:rsidTr="0055012B">
        <w:tc>
          <w:tcPr>
            <w:tcW w:w="1202" w:type="pct"/>
            <w:shd w:val="clear" w:color="auto" w:fill="F2F2F2" w:themeFill="background1" w:themeFillShade="F2"/>
            <w:tcMar>
              <w:top w:w="0" w:type="dxa"/>
              <w:left w:w="108" w:type="dxa"/>
              <w:bottom w:w="0" w:type="dxa"/>
              <w:right w:w="108" w:type="dxa"/>
            </w:tcMar>
          </w:tcPr>
          <w:p w14:paraId="7F49B3A0" w14:textId="77777777" w:rsidR="00E47026" w:rsidRPr="006078CF" w:rsidRDefault="00E47026" w:rsidP="0055012B">
            <w:pPr>
              <w:pStyle w:val="NoSpacing"/>
              <w:contextualSpacing/>
              <w:jc w:val="right"/>
              <w:rPr>
                <w:rFonts w:ascii="Times New Roman" w:hAnsi="Times New Roman" w:cs="Times New Roman"/>
                <w:b/>
                <w:sz w:val="24"/>
                <w:szCs w:val="24"/>
              </w:rPr>
            </w:pPr>
            <w:r w:rsidRPr="006078CF">
              <w:rPr>
                <w:rFonts w:ascii="Times New Roman" w:hAnsi="Times New Roman" w:cs="Times New Roman"/>
                <w:b/>
                <w:sz w:val="24"/>
                <w:szCs w:val="24"/>
              </w:rPr>
              <w:t>Kopā:</w:t>
            </w:r>
          </w:p>
        </w:tc>
        <w:tc>
          <w:tcPr>
            <w:tcW w:w="1809" w:type="pct"/>
            <w:shd w:val="clear" w:color="auto" w:fill="F2F2F2" w:themeFill="background1" w:themeFillShade="F2"/>
            <w:tcMar>
              <w:top w:w="0" w:type="dxa"/>
              <w:left w:w="108" w:type="dxa"/>
              <w:bottom w:w="0" w:type="dxa"/>
              <w:right w:w="108" w:type="dxa"/>
            </w:tcMar>
          </w:tcPr>
          <w:p w14:paraId="497CEE72" w14:textId="77777777" w:rsidR="00E47026" w:rsidRPr="006078CF" w:rsidRDefault="00E47026" w:rsidP="0055012B">
            <w:pPr>
              <w:pStyle w:val="NoSpacing"/>
              <w:contextualSpacing/>
              <w:jc w:val="center"/>
              <w:rPr>
                <w:rFonts w:ascii="Times New Roman" w:hAnsi="Times New Roman" w:cs="Times New Roman"/>
                <w:b/>
                <w:sz w:val="24"/>
                <w:szCs w:val="24"/>
              </w:rPr>
            </w:pPr>
            <w:r w:rsidRPr="006078CF">
              <w:rPr>
                <w:rFonts w:ascii="Times New Roman" w:hAnsi="Times New Roman" w:cs="Times New Roman"/>
                <w:b/>
                <w:sz w:val="24"/>
                <w:szCs w:val="24"/>
              </w:rPr>
              <w:t>38 795 902</w:t>
            </w:r>
          </w:p>
        </w:tc>
        <w:tc>
          <w:tcPr>
            <w:tcW w:w="1989" w:type="pct"/>
            <w:shd w:val="clear" w:color="auto" w:fill="F2F2F2" w:themeFill="background1" w:themeFillShade="F2"/>
            <w:tcMar>
              <w:top w:w="0" w:type="dxa"/>
              <w:left w:w="108" w:type="dxa"/>
              <w:bottom w:w="0" w:type="dxa"/>
              <w:right w:w="108" w:type="dxa"/>
            </w:tcMar>
          </w:tcPr>
          <w:p w14:paraId="58D465DA" w14:textId="77777777" w:rsidR="00E47026" w:rsidRPr="006078CF" w:rsidRDefault="00E47026" w:rsidP="0055012B">
            <w:pPr>
              <w:pStyle w:val="NoSpacing"/>
              <w:contextualSpacing/>
              <w:jc w:val="center"/>
              <w:rPr>
                <w:rFonts w:ascii="Times New Roman" w:hAnsi="Times New Roman" w:cs="Times New Roman"/>
                <w:b/>
                <w:sz w:val="24"/>
                <w:szCs w:val="24"/>
              </w:rPr>
            </w:pPr>
            <w:r w:rsidRPr="006078CF">
              <w:rPr>
                <w:rFonts w:ascii="Times New Roman" w:hAnsi="Times New Roman" w:cs="Times New Roman"/>
                <w:b/>
                <w:sz w:val="24"/>
                <w:szCs w:val="24"/>
              </w:rPr>
              <w:t>36 409 008</w:t>
            </w:r>
          </w:p>
        </w:tc>
      </w:tr>
    </w:tbl>
    <w:p w14:paraId="260B5909" w14:textId="77777777" w:rsidR="00E47026" w:rsidRPr="00AE13AA" w:rsidRDefault="00E47026" w:rsidP="00E47026">
      <w:pPr>
        <w:spacing w:line="240" w:lineRule="auto"/>
        <w:contextualSpacing/>
        <w:rPr>
          <w:rFonts w:ascii="Times New Roman" w:hAnsi="Times New Roman" w:cs="Times New Roman"/>
          <w:b/>
          <w:sz w:val="24"/>
          <w:szCs w:val="24"/>
        </w:rPr>
      </w:pPr>
      <w:r w:rsidRPr="0006747F">
        <w:rPr>
          <w:rFonts w:ascii="Times New Roman" w:hAnsi="Times New Roman" w:cs="Times New Roman"/>
          <w:bCs/>
          <w:sz w:val="24"/>
          <w:szCs w:val="24"/>
        </w:rPr>
        <w:t>Avots:</w:t>
      </w:r>
      <w:r>
        <w:rPr>
          <w:rFonts w:ascii="Times New Roman" w:hAnsi="Times New Roman" w:cs="Times New Roman"/>
          <w:b/>
          <w:sz w:val="24"/>
          <w:szCs w:val="24"/>
        </w:rPr>
        <w:t xml:space="preserve"> </w:t>
      </w:r>
      <w:r w:rsidRPr="00AE13AA">
        <w:rPr>
          <w:rFonts w:ascii="Times New Roman" w:hAnsi="Times New Roman" w:cs="Times New Roman"/>
          <w:sz w:val="24"/>
          <w:szCs w:val="24"/>
        </w:rPr>
        <w:t>Izložu un az</w:t>
      </w:r>
      <w:r>
        <w:rPr>
          <w:rFonts w:ascii="Times New Roman" w:hAnsi="Times New Roman" w:cs="Times New Roman"/>
          <w:sz w:val="24"/>
          <w:szCs w:val="24"/>
        </w:rPr>
        <w:t>artspēļu uzraudzības inspekcija</w:t>
      </w:r>
    </w:p>
    <w:p w14:paraId="1C637F7F" w14:textId="77777777" w:rsidR="00E47026" w:rsidRDefault="00E47026" w:rsidP="00E47026">
      <w:pPr>
        <w:spacing w:line="240" w:lineRule="auto"/>
        <w:ind w:firstLine="360"/>
        <w:contextualSpacing/>
        <w:jc w:val="both"/>
        <w:rPr>
          <w:rFonts w:ascii="Times New Roman" w:hAnsi="Times New Roman" w:cs="Times New Roman"/>
          <w:sz w:val="24"/>
          <w:szCs w:val="24"/>
        </w:rPr>
      </w:pPr>
    </w:p>
    <w:p w14:paraId="301EDAB8" w14:textId="77777777" w:rsidR="00E47026" w:rsidRDefault="00E47026"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AE13AA">
        <w:rPr>
          <w:rFonts w:ascii="Times New Roman" w:hAnsi="Times New Roman" w:cs="Times New Roman"/>
          <w:sz w:val="24"/>
          <w:szCs w:val="24"/>
        </w:rPr>
        <w:t>Izložu un azartspēļu uzraudzības inspekcijas</w:t>
      </w:r>
      <w:r>
        <w:rPr>
          <w:rFonts w:ascii="Times New Roman" w:hAnsi="Times New Roman" w:cs="Times New Roman"/>
          <w:sz w:val="24"/>
          <w:szCs w:val="24"/>
        </w:rPr>
        <w:t xml:space="preserve"> (</w:t>
      </w:r>
      <w:r w:rsidR="00EB04C8">
        <w:rPr>
          <w:rFonts w:ascii="Times New Roman" w:hAnsi="Times New Roman" w:cs="Times New Roman"/>
          <w:sz w:val="24"/>
          <w:szCs w:val="24"/>
        </w:rPr>
        <w:t xml:space="preserve">turpmāk - </w:t>
      </w:r>
      <w:r>
        <w:rPr>
          <w:rFonts w:ascii="Times New Roman" w:hAnsi="Times New Roman" w:cs="Times New Roman"/>
          <w:sz w:val="24"/>
          <w:szCs w:val="24"/>
        </w:rPr>
        <w:t>IAUI) sniegto informāciju, i</w:t>
      </w:r>
      <w:r w:rsidRPr="002674E4">
        <w:rPr>
          <w:rFonts w:ascii="Times New Roman" w:hAnsi="Times New Roman" w:cs="Times New Roman"/>
          <w:sz w:val="24"/>
          <w:szCs w:val="24"/>
        </w:rPr>
        <w:t>nteraktīvo azartspēļu nelegālajam sektoram Latvijā vērojams ikgadējs pieaugums (</w:t>
      </w:r>
      <w:r w:rsidR="000B4306">
        <w:rPr>
          <w:rFonts w:ascii="Times New Roman" w:hAnsi="Times New Roman" w:cs="Times New Roman"/>
          <w:sz w:val="24"/>
          <w:szCs w:val="24"/>
        </w:rPr>
        <w:t>2</w:t>
      </w:r>
      <w:r w:rsidRPr="002674E4">
        <w:rPr>
          <w:rFonts w:ascii="Times New Roman" w:hAnsi="Times New Roman" w:cs="Times New Roman"/>
          <w:sz w:val="24"/>
          <w:szCs w:val="24"/>
        </w:rPr>
        <w:t>,</w:t>
      </w:r>
      <w:r w:rsidR="000B4306">
        <w:rPr>
          <w:rFonts w:ascii="Times New Roman" w:hAnsi="Times New Roman" w:cs="Times New Roman"/>
          <w:sz w:val="24"/>
          <w:szCs w:val="24"/>
        </w:rPr>
        <w:t>0</w:t>
      </w:r>
      <w:r w:rsidRPr="002674E4">
        <w:rPr>
          <w:rFonts w:ascii="Times New Roman" w:hAnsi="Times New Roman" w:cs="Times New Roman"/>
          <w:sz w:val="24"/>
          <w:szCs w:val="24"/>
        </w:rPr>
        <w:t>% līdz 2,</w:t>
      </w:r>
      <w:r w:rsidR="000B4306">
        <w:rPr>
          <w:rFonts w:ascii="Times New Roman" w:hAnsi="Times New Roman" w:cs="Times New Roman"/>
          <w:sz w:val="24"/>
          <w:szCs w:val="24"/>
        </w:rPr>
        <w:t>9</w:t>
      </w:r>
      <w:r w:rsidRPr="002674E4">
        <w:rPr>
          <w:rFonts w:ascii="Times New Roman" w:hAnsi="Times New Roman" w:cs="Times New Roman"/>
          <w:sz w:val="24"/>
          <w:szCs w:val="24"/>
        </w:rPr>
        <w:t>% gadā)</w:t>
      </w:r>
      <w:r>
        <w:rPr>
          <w:rFonts w:ascii="Times New Roman" w:hAnsi="Times New Roman" w:cs="Times New Roman"/>
          <w:sz w:val="24"/>
          <w:szCs w:val="24"/>
        </w:rPr>
        <w:t>.</w:t>
      </w:r>
      <w:r w:rsidR="00E53059">
        <w:rPr>
          <w:rFonts w:ascii="Times New Roman" w:hAnsi="Times New Roman" w:cs="Times New Roman"/>
          <w:sz w:val="24"/>
          <w:szCs w:val="24"/>
        </w:rPr>
        <w:t xml:space="preserve"> Dati par nelegālo interaktīvo azartspēļu sektora ikgadējo pieaugumu Latvijā iegūti no H2 </w:t>
      </w:r>
      <w:proofErr w:type="spellStart"/>
      <w:r w:rsidR="00E53059">
        <w:rPr>
          <w:rFonts w:ascii="Times New Roman" w:hAnsi="Times New Roman" w:cs="Times New Roman"/>
          <w:sz w:val="24"/>
          <w:szCs w:val="24"/>
        </w:rPr>
        <w:t>Gambling</w:t>
      </w:r>
      <w:proofErr w:type="spellEnd"/>
      <w:r w:rsidR="00E53059">
        <w:rPr>
          <w:rFonts w:ascii="Times New Roman" w:hAnsi="Times New Roman" w:cs="Times New Roman"/>
          <w:sz w:val="24"/>
          <w:szCs w:val="24"/>
        </w:rPr>
        <w:t xml:space="preserve"> </w:t>
      </w:r>
      <w:proofErr w:type="spellStart"/>
      <w:r w:rsidR="00E53059">
        <w:rPr>
          <w:rFonts w:ascii="Times New Roman" w:hAnsi="Times New Roman" w:cs="Times New Roman"/>
          <w:sz w:val="24"/>
          <w:szCs w:val="24"/>
        </w:rPr>
        <w:t>Capital</w:t>
      </w:r>
      <w:proofErr w:type="spellEnd"/>
      <w:r w:rsidR="00E53059">
        <w:rPr>
          <w:rFonts w:ascii="Times New Roman" w:hAnsi="Times New Roman" w:cs="Times New Roman"/>
          <w:sz w:val="24"/>
          <w:szCs w:val="24"/>
        </w:rPr>
        <w:t xml:space="preserve"> </w:t>
      </w:r>
      <w:r w:rsidR="00AF1B59">
        <w:rPr>
          <w:rFonts w:ascii="Times New Roman" w:hAnsi="Times New Roman" w:cs="Times New Roman"/>
          <w:sz w:val="24"/>
          <w:szCs w:val="24"/>
        </w:rPr>
        <w:t>apkopotās informācijas</w:t>
      </w:r>
      <w:r w:rsidR="00E53059">
        <w:rPr>
          <w:rFonts w:ascii="Times New Roman" w:hAnsi="Times New Roman" w:cs="Times New Roman"/>
          <w:sz w:val="24"/>
          <w:szCs w:val="24"/>
        </w:rPr>
        <w:t>.</w:t>
      </w:r>
      <w:r>
        <w:rPr>
          <w:rFonts w:ascii="Times New Roman" w:hAnsi="Times New Roman" w:cs="Times New Roman"/>
          <w:sz w:val="24"/>
          <w:szCs w:val="24"/>
        </w:rPr>
        <w:t xml:space="preserve"> Pieaugums skaidrojams ar straujo tehnoloģiju attīstību, kas savukārt rada papildu izaicinājumus efektīvas kontroles un pārraudzības nodrošināšanai.</w:t>
      </w:r>
    </w:p>
    <w:p w14:paraId="2AB9856F" w14:textId="77777777" w:rsidR="00E47026" w:rsidRDefault="00E47026"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nelicencēto interaktīvo azartspēļu organizēšanas </w:t>
      </w:r>
      <w:r w:rsidR="00CB478E">
        <w:rPr>
          <w:rFonts w:ascii="Times New Roman" w:hAnsi="Times New Roman" w:cs="Times New Roman"/>
          <w:sz w:val="24"/>
          <w:szCs w:val="24"/>
        </w:rPr>
        <w:t>procesu</w:t>
      </w:r>
      <w:r>
        <w:rPr>
          <w:rFonts w:ascii="Times New Roman" w:hAnsi="Times New Roman" w:cs="Times New Roman"/>
          <w:sz w:val="24"/>
          <w:szCs w:val="24"/>
        </w:rPr>
        <w:t xml:space="preserve"> (piemēram, aktīva tīmekļa vietņu nosaukumu maiņa, nepārtraukta domēnu vārdu maiņa u.c. aktivitātes), IAUI ir nodrošināti vairāki IT rīki, kas atvieglo IAUI darbu nelicencēto interaktīvo azartspēļu vietņu meklēšanā, kā arī šādu vietņu bloķēšanā (piekļuves ierobežošanā).</w:t>
      </w:r>
    </w:p>
    <w:p w14:paraId="2A40BCD5" w14:textId="7466F4B7" w:rsidR="0072069F" w:rsidRDefault="00E47026"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Jau kopš </w:t>
      </w:r>
      <w:r w:rsidRPr="00494711">
        <w:rPr>
          <w:rFonts w:ascii="Times New Roman" w:hAnsi="Times New Roman" w:cs="Times New Roman"/>
          <w:sz w:val="24"/>
          <w:szCs w:val="24"/>
        </w:rPr>
        <w:t xml:space="preserve">2014.gada 1.augusta </w:t>
      </w:r>
      <w:r w:rsidR="00E962F1">
        <w:rPr>
          <w:rFonts w:ascii="Times New Roman" w:hAnsi="Times New Roman" w:cs="Times New Roman"/>
          <w:sz w:val="24"/>
          <w:szCs w:val="24"/>
        </w:rPr>
        <w:t>IAUI</w:t>
      </w:r>
      <w:r w:rsidRPr="00494711">
        <w:rPr>
          <w:rFonts w:ascii="Times New Roman" w:hAnsi="Times New Roman" w:cs="Times New Roman"/>
          <w:sz w:val="24"/>
          <w:szCs w:val="24"/>
        </w:rPr>
        <w:t xml:space="preserve"> interneta pakalpojumu sniedzējiem </w:t>
      </w:r>
      <w:proofErr w:type="spellStart"/>
      <w:r w:rsidRPr="00494711">
        <w:rPr>
          <w:rFonts w:ascii="Times New Roman" w:hAnsi="Times New Roman" w:cs="Times New Roman"/>
          <w:sz w:val="24"/>
          <w:szCs w:val="24"/>
        </w:rPr>
        <w:t>nosūta</w:t>
      </w:r>
      <w:proofErr w:type="spellEnd"/>
      <w:r w:rsidRPr="00494711">
        <w:rPr>
          <w:rFonts w:ascii="Times New Roman" w:hAnsi="Times New Roman" w:cs="Times New Roman"/>
          <w:sz w:val="24"/>
          <w:szCs w:val="24"/>
        </w:rPr>
        <w:t xml:space="preserve"> pieprasījumu bloķēt (ierobežot piekļuvi) Latvijā nelicencētu azartspēļ</w:t>
      </w:r>
      <w:r>
        <w:rPr>
          <w:rFonts w:ascii="Times New Roman" w:hAnsi="Times New Roman" w:cs="Times New Roman"/>
          <w:sz w:val="24"/>
          <w:szCs w:val="24"/>
        </w:rPr>
        <w:t>u organizētāju tīmekļa vietnes</w:t>
      </w:r>
      <w:r w:rsidRPr="0072069F">
        <w:rPr>
          <w:rFonts w:ascii="Times New Roman" w:hAnsi="Times New Roman" w:cs="Times New Roman"/>
          <w:sz w:val="24"/>
          <w:szCs w:val="24"/>
        </w:rPr>
        <w:t>.</w:t>
      </w:r>
      <w:r w:rsidR="0072069F" w:rsidRPr="0072069F">
        <w:rPr>
          <w:rFonts w:ascii="Times New Roman" w:hAnsi="Times New Roman" w:cs="Times New Roman"/>
          <w:sz w:val="24"/>
          <w:szCs w:val="24"/>
        </w:rPr>
        <w:t xml:space="preserve"> Savukārt,</w:t>
      </w:r>
      <w:r w:rsidR="0072069F">
        <w:t xml:space="preserve"> </w:t>
      </w:r>
      <w:proofErr w:type="spellStart"/>
      <w:r w:rsidR="0072069F">
        <w:rPr>
          <w:rFonts w:ascii="Times New Roman" w:hAnsi="Times New Roman" w:cs="Times New Roman"/>
          <w:sz w:val="24"/>
          <w:szCs w:val="24"/>
        </w:rPr>
        <w:t>e</w:t>
      </w:r>
      <w:r w:rsidR="0072069F" w:rsidRPr="0072069F">
        <w:rPr>
          <w:rFonts w:ascii="Times New Roman" w:hAnsi="Times New Roman" w:cs="Times New Roman"/>
          <w:sz w:val="24"/>
          <w:szCs w:val="24"/>
        </w:rPr>
        <w:t>fektivizējot</w:t>
      </w:r>
      <w:proofErr w:type="spellEnd"/>
      <w:r w:rsidR="0072069F" w:rsidRPr="0072069F">
        <w:rPr>
          <w:rFonts w:ascii="Times New Roman" w:hAnsi="Times New Roman" w:cs="Times New Roman"/>
          <w:sz w:val="24"/>
          <w:szCs w:val="24"/>
        </w:rPr>
        <w:t xml:space="preserve"> Latvijā nelicencēto interaktīvo azartspēļu organizētāju tīmekļa vietņu identificēšanu, 2017.gadā </w:t>
      </w:r>
      <w:r w:rsidR="0072069F">
        <w:rPr>
          <w:rFonts w:ascii="Times New Roman" w:hAnsi="Times New Roman" w:cs="Times New Roman"/>
          <w:sz w:val="24"/>
          <w:szCs w:val="24"/>
        </w:rPr>
        <w:t>IAUI</w:t>
      </w:r>
      <w:r w:rsidR="0072069F" w:rsidRPr="0072069F">
        <w:rPr>
          <w:rFonts w:ascii="Times New Roman" w:hAnsi="Times New Roman" w:cs="Times New Roman"/>
          <w:sz w:val="24"/>
          <w:szCs w:val="24"/>
        </w:rPr>
        <w:t xml:space="preserve"> uzraudzības procesa pilnveidošanai ieviesa Nelicencēto interaktīvo azartspēļu organizēšanas vietņu analīzes un uzraudzības IT risinājumu, kas paaugstina darba efektivitāti un veic automātisku vietņu kontroli.</w:t>
      </w:r>
    </w:p>
    <w:p w14:paraId="1098F220" w14:textId="77777777" w:rsidR="0072069F" w:rsidRDefault="0072069F" w:rsidP="00E47026">
      <w:pPr>
        <w:spacing w:line="240" w:lineRule="auto"/>
        <w:ind w:firstLine="360"/>
        <w:contextualSpacing/>
        <w:jc w:val="both"/>
        <w:rPr>
          <w:rFonts w:ascii="Times New Roman" w:hAnsi="Times New Roman" w:cs="Times New Roman"/>
          <w:sz w:val="24"/>
          <w:szCs w:val="24"/>
        </w:rPr>
      </w:pPr>
    </w:p>
    <w:p w14:paraId="568D78AF" w14:textId="77777777" w:rsidR="0072069F" w:rsidRDefault="0072069F" w:rsidP="00E47026">
      <w:pPr>
        <w:spacing w:line="240" w:lineRule="auto"/>
        <w:ind w:firstLine="360"/>
        <w:contextualSpacing/>
        <w:jc w:val="both"/>
        <w:rPr>
          <w:rFonts w:ascii="Times New Roman" w:hAnsi="Times New Roman" w:cs="Times New Roman"/>
          <w:sz w:val="24"/>
          <w:szCs w:val="24"/>
        </w:rPr>
      </w:pPr>
    </w:p>
    <w:p w14:paraId="0C5BC139" w14:textId="77777777" w:rsidR="00E47026" w:rsidRDefault="00E47026" w:rsidP="00E47026">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7104D8C" w14:textId="77777777" w:rsidR="00E47026" w:rsidRDefault="00E47026" w:rsidP="00E47026">
      <w:pPr>
        <w:spacing w:line="240" w:lineRule="auto"/>
        <w:ind w:firstLine="360"/>
        <w:contextualSpacing/>
        <w:jc w:val="both"/>
        <w:rPr>
          <w:rFonts w:ascii="Times New Roman" w:hAnsi="Times New Roman" w:cs="Times New Roman"/>
          <w:sz w:val="24"/>
          <w:szCs w:val="24"/>
        </w:rPr>
      </w:pPr>
      <w:r w:rsidRPr="00494711">
        <w:rPr>
          <w:rFonts w:ascii="Times New Roman" w:hAnsi="Times New Roman" w:cs="Times New Roman"/>
          <w:sz w:val="24"/>
          <w:szCs w:val="24"/>
        </w:rPr>
        <w:t xml:space="preserve">Tāpat </w:t>
      </w:r>
      <w:r w:rsidR="00FC7104">
        <w:rPr>
          <w:rFonts w:ascii="Times New Roman" w:hAnsi="Times New Roman" w:cs="Times New Roman"/>
          <w:sz w:val="24"/>
          <w:szCs w:val="24"/>
        </w:rPr>
        <w:t xml:space="preserve">kopš </w:t>
      </w:r>
      <w:r w:rsidRPr="00494711">
        <w:rPr>
          <w:rFonts w:ascii="Times New Roman" w:hAnsi="Times New Roman" w:cs="Times New Roman"/>
          <w:sz w:val="24"/>
          <w:szCs w:val="24"/>
        </w:rPr>
        <w:t>2020.gada beigā</w:t>
      </w:r>
      <w:r w:rsidR="00FC7104">
        <w:rPr>
          <w:rFonts w:ascii="Times New Roman" w:hAnsi="Times New Roman" w:cs="Times New Roman"/>
          <w:sz w:val="24"/>
          <w:szCs w:val="24"/>
        </w:rPr>
        <w:t>m</w:t>
      </w:r>
      <w:r w:rsidRPr="00494711">
        <w:rPr>
          <w:rFonts w:ascii="Times New Roman" w:hAnsi="Times New Roman" w:cs="Times New Roman"/>
          <w:sz w:val="24"/>
          <w:szCs w:val="24"/>
        </w:rPr>
        <w:t xml:space="preserve"> IAUI rīcībā ir jauns Elektronisko sakaru komersantu azart</w:t>
      </w:r>
      <w:r>
        <w:rPr>
          <w:rFonts w:ascii="Times New Roman" w:hAnsi="Times New Roman" w:cs="Times New Roman"/>
          <w:sz w:val="24"/>
          <w:szCs w:val="24"/>
        </w:rPr>
        <w:t>spēļu bloķēšanas atskaites rīks</w:t>
      </w:r>
      <w:r w:rsidRPr="00494711">
        <w:rPr>
          <w:rFonts w:ascii="Times New Roman" w:hAnsi="Times New Roman" w:cs="Times New Roman"/>
          <w:sz w:val="24"/>
          <w:szCs w:val="24"/>
        </w:rPr>
        <w:t>, kas palīdz operatīvāk pārbaudīt</w:t>
      </w:r>
      <w:r w:rsidR="0042594F">
        <w:rPr>
          <w:rFonts w:ascii="Times New Roman" w:hAnsi="Times New Roman" w:cs="Times New Roman"/>
          <w:sz w:val="24"/>
          <w:szCs w:val="24"/>
        </w:rPr>
        <w:t>,</w:t>
      </w:r>
      <w:r w:rsidRPr="00494711">
        <w:rPr>
          <w:rFonts w:ascii="Times New Roman" w:hAnsi="Times New Roman" w:cs="Times New Roman"/>
          <w:sz w:val="24"/>
          <w:szCs w:val="24"/>
        </w:rPr>
        <w:t xml:space="preserve"> vai elektronisko sakaru komersants atbilstoši bloķē IAUI pieprasījumā iekļautos domēnus. Kopumā IAUI </w:t>
      </w:r>
      <w:r w:rsidR="00E53059">
        <w:rPr>
          <w:rFonts w:ascii="Times New Roman" w:hAnsi="Times New Roman" w:cs="Times New Roman"/>
          <w:sz w:val="24"/>
          <w:szCs w:val="24"/>
        </w:rPr>
        <w:t xml:space="preserve">2019.gada beigās un </w:t>
      </w:r>
      <w:r w:rsidR="00E90916">
        <w:rPr>
          <w:rFonts w:ascii="Times New Roman" w:hAnsi="Times New Roman" w:cs="Times New Roman"/>
          <w:sz w:val="24"/>
          <w:szCs w:val="24"/>
        </w:rPr>
        <w:t xml:space="preserve">2020.gadā </w:t>
      </w:r>
      <w:r w:rsidRPr="00494711">
        <w:rPr>
          <w:rFonts w:ascii="Times New Roman" w:hAnsi="Times New Roman" w:cs="Times New Roman"/>
          <w:sz w:val="24"/>
          <w:szCs w:val="24"/>
        </w:rPr>
        <w:t>ir veicis 30 elektronisko sakaru komersantu pārbaudes.</w:t>
      </w:r>
      <w:r>
        <w:rPr>
          <w:rFonts w:ascii="Times New Roman" w:hAnsi="Times New Roman" w:cs="Times New Roman"/>
          <w:sz w:val="24"/>
          <w:szCs w:val="24"/>
        </w:rPr>
        <w:t xml:space="preserve"> Dati par nelicencēto interaktīvo azartspēļu vietņu bloķēšanu apkopoti 2.tabulā.</w:t>
      </w:r>
    </w:p>
    <w:p w14:paraId="077BC34A" w14:textId="77777777" w:rsidR="00E47026" w:rsidRDefault="00E47026" w:rsidP="00E47026">
      <w:pPr>
        <w:spacing w:line="240" w:lineRule="auto"/>
        <w:ind w:firstLine="360"/>
        <w:contextualSpacing/>
        <w:jc w:val="both"/>
        <w:rPr>
          <w:rFonts w:ascii="Times New Roman" w:hAnsi="Times New Roman" w:cs="Times New Roman"/>
          <w:sz w:val="24"/>
          <w:szCs w:val="24"/>
        </w:rPr>
      </w:pPr>
    </w:p>
    <w:p w14:paraId="31FF8FAD" w14:textId="77777777" w:rsidR="00E47026" w:rsidRPr="00A863B0" w:rsidRDefault="00E47026" w:rsidP="00E47026">
      <w:pPr>
        <w:spacing w:line="240" w:lineRule="auto"/>
        <w:ind w:firstLine="360"/>
        <w:contextualSpacing/>
        <w:jc w:val="right"/>
        <w:rPr>
          <w:rFonts w:ascii="Times New Roman" w:hAnsi="Times New Roman" w:cs="Times New Roman"/>
          <w:sz w:val="24"/>
          <w:szCs w:val="24"/>
        </w:rPr>
      </w:pPr>
      <w:r w:rsidRPr="00A863B0">
        <w:rPr>
          <w:rFonts w:ascii="Times New Roman" w:hAnsi="Times New Roman" w:cs="Times New Roman"/>
          <w:sz w:val="24"/>
          <w:szCs w:val="24"/>
        </w:rPr>
        <w:t>2.tabula</w:t>
      </w:r>
    </w:p>
    <w:p w14:paraId="3437B69E" w14:textId="77777777" w:rsidR="00E47026" w:rsidRPr="00AB6C5F" w:rsidRDefault="00E47026" w:rsidP="00E47026">
      <w:pPr>
        <w:spacing w:line="240" w:lineRule="auto"/>
        <w:contextualSpacing/>
        <w:jc w:val="center"/>
        <w:rPr>
          <w:rFonts w:ascii="Times New Roman" w:hAnsi="Times New Roman" w:cs="Times New Roman"/>
          <w:b/>
          <w:bCs/>
          <w:sz w:val="24"/>
          <w:szCs w:val="24"/>
        </w:rPr>
      </w:pPr>
      <w:r w:rsidRPr="00AB6C5F">
        <w:rPr>
          <w:rFonts w:ascii="Times New Roman" w:hAnsi="Times New Roman" w:cs="Times New Roman"/>
          <w:b/>
          <w:bCs/>
          <w:sz w:val="24"/>
          <w:szCs w:val="24"/>
        </w:rPr>
        <w:t xml:space="preserve">Nelicencēto interaktīvo azartspēļu vietņu bloķēšanas dati </w:t>
      </w:r>
    </w:p>
    <w:tbl>
      <w:tblPr>
        <w:tblStyle w:val="TableGrid"/>
        <w:tblW w:w="5000" w:type="pct"/>
        <w:tblLook w:val="04A0" w:firstRow="1" w:lastRow="0" w:firstColumn="1" w:lastColumn="0" w:noHBand="0" w:noVBand="1"/>
      </w:tblPr>
      <w:tblGrid>
        <w:gridCol w:w="3113"/>
        <w:gridCol w:w="2695"/>
        <w:gridCol w:w="3253"/>
      </w:tblGrid>
      <w:tr w:rsidR="00E47026" w:rsidRPr="00EA6309" w14:paraId="2BC63942" w14:textId="77777777" w:rsidTr="0055012B">
        <w:tc>
          <w:tcPr>
            <w:tcW w:w="1718" w:type="pct"/>
            <w:shd w:val="clear" w:color="auto" w:fill="B4C6E7" w:themeFill="accent1" w:themeFillTint="66"/>
          </w:tcPr>
          <w:p w14:paraId="58658BE9" w14:textId="77777777" w:rsidR="00E47026" w:rsidRPr="00EA6309" w:rsidRDefault="00E47026" w:rsidP="0055012B">
            <w:pPr>
              <w:contextualSpacing/>
              <w:jc w:val="both"/>
              <w:rPr>
                <w:rFonts w:ascii="Times New Roman" w:hAnsi="Times New Roman" w:cs="Times New Roman"/>
                <w:bCs/>
                <w:sz w:val="24"/>
                <w:szCs w:val="24"/>
              </w:rPr>
            </w:pPr>
          </w:p>
        </w:tc>
        <w:tc>
          <w:tcPr>
            <w:tcW w:w="1487" w:type="pct"/>
            <w:shd w:val="clear" w:color="auto" w:fill="B4C6E7" w:themeFill="accent1" w:themeFillTint="66"/>
          </w:tcPr>
          <w:p w14:paraId="4AB5528B" w14:textId="77777777" w:rsidR="00E47026" w:rsidRPr="006D2384" w:rsidRDefault="00E47026" w:rsidP="0055012B">
            <w:pPr>
              <w:contextualSpacing/>
              <w:jc w:val="center"/>
              <w:rPr>
                <w:rFonts w:ascii="Times New Roman" w:hAnsi="Times New Roman" w:cs="Times New Roman"/>
                <w:b/>
                <w:bCs/>
                <w:sz w:val="24"/>
                <w:szCs w:val="24"/>
              </w:rPr>
            </w:pPr>
            <w:r w:rsidRPr="006D2384">
              <w:rPr>
                <w:rFonts w:ascii="Times New Roman" w:hAnsi="Times New Roman" w:cs="Times New Roman"/>
                <w:b/>
                <w:bCs/>
                <w:sz w:val="24"/>
                <w:szCs w:val="24"/>
              </w:rPr>
              <w:t>2020.gadā</w:t>
            </w:r>
          </w:p>
        </w:tc>
        <w:tc>
          <w:tcPr>
            <w:tcW w:w="1796" w:type="pct"/>
            <w:shd w:val="clear" w:color="auto" w:fill="B4C6E7" w:themeFill="accent1" w:themeFillTint="66"/>
          </w:tcPr>
          <w:p w14:paraId="292C83BA" w14:textId="77777777" w:rsidR="00E47026" w:rsidRPr="006D2384" w:rsidRDefault="00E47026" w:rsidP="0055012B">
            <w:pPr>
              <w:contextualSpacing/>
              <w:jc w:val="center"/>
              <w:rPr>
                <w:rFonts w:ascii="Times New Roman" w:hAnsi="Times New Roman" w:cs="Times New Roman"/>
                <w:b/>
                <w:bCs/>
                <w:sz w:val="24"/>
                <w:szCs w:val="24"/>
              </w:rPr>
            </w:pPr>
            <w:r w:rsidRPr="006D2384">
              <w:rPr>
                <w:rFonts w:ascii="Times New Roman" w:hAnsi="Times New Roman" w:cs="Times New Roman"/>
                <w:b/>
                <w:bCs/>
                <w:sz w:val="24"/>
                <w:szCs w:val="24"/>
              </w:rPr>
              <w:t>Kopš 2014.gada</w:t>
            </w:r>
            <w:r w:rsidR="007F7DDF">
              <w:rPr>
                <w:rFonts w:ascii="Times New Roman" w:hAnsi="Times New Roman" w:cs="Times New Roman"/>
                <w:b/>
                <w:bCs/>
                <w:sz w:val="24"/>
                <w:szCs w:val="24"/>
              </w:rPr>
              <w:t xml:space="preserve"> (ieskaitot 2020.gadu)</w:t>
            </w:r>
          </w:p>
        </w:tc>
      </w:tr>
      <w:tr w:rsidR="00E47026" w:rsidRPr="00EA6309" w14:paraId="41123E67" w14:textId="77777777" w:rsidTr="0055012B">
        <w:tc>
          <w:tcPr>
            <w:tcW w:w="1718" w:type="pct"/>
            <w:shd w:val="clear" w:color="auto" w:fill="F2F2F2" w:themeFill="background1" w:themeFillShade="F2"/>
          </w:tcPr>
          <w:p w14:paraId="6E8F65C7" w14:textId="77777777" w:rsidR="00E47026" w:rsidRPr="00EA6309" w:rsidRDefault="00E47026" w:rsidP="0055012B">
            <w:pPr>
              <w:contextualSpacing/>
              <w:rPr>
                <w:rFonts w:ascii="Times New Roman" w:hAnsi="Times New Roman" w:cs="Times New Roman"/>
                <w:bCs/>
                <w:sz w:val="24"/>
                <w:szCs w:val="24"/>
              </w:rPr>
            </w:pPr>
            <w:r w:rsidRPr="00EA6309">
              <w:rPr>
                <w:rFonts w:ascii="Times New Roman" w:hAnsi="Times New Roman" w:cs="Times New Roman"/>
                <w:bCs/>
                <w:sz w:val="24"/>
                <w:szCs w:val="24"/>
              </w:rPr>
              <w:t>Pieņemti lēmumi</w:t>
            </w:r>
          </w:p>
        </w:tc>
        <w:tc>
          <w:tcPr>
            <w:tcW w:w="1487" w:type="pct"/>
          </w:tcPr>
          <w:p w14:paraId="0E40641B" w14:textId="77777777" w:rsidR="00E47026" w:rsidRPr="00EA6309"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549</w:t>
            </w:r>
          </w:p>
        </w:tc>
        <w:tc>
          <w:tcPr>
            <w:tcW w:w="1796" w:type="pct"/>
          </w:tcPr>
          <w:p w14:paraId="574D06FF" w14:textId="77777777" w:rsidR="00E47026"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1741</w:t>
            </w:r>
          </w:p>
        </w:tc>
      </w:tr>
      <w:tr w:rsidR="00E47026" w:rsidRPr="00EA6309" w14:paraId="0CFB8F02" w14:textId="77777777" w:rsidTr="0055012B">
        <w:tc>
          <w:tcPr>
            <w:tcW w:w="1718" w:type="pct"/>
            <w:shd w:val="clear" w:color="auto" w:fill="F2F2F2" w:themeFill="background1" w:themeFillShade="F2"/>
          </w:tcPr>
          <w:p w14:paraId="73F0C01E" w14:textId="77777777" w:rsidR="00E47026" w:rsidRPr="00EA6309" w:rsidRDefault="00E47026" w:rsidP="0055012B">
            <w:pPr>
              <w:contextualSpacing/>
              <w:rPr>
                <w:rFonts w:ascii="Times New Roman" w:hAnsi="Times New Roman" w:cs="Times New Roman"/>
                <w:bCs/>
                <w:sz w:val="24"/>
                <w:szCs w:val="24"/>
              </w:rPr>
            </w:pPr>
            <w:r w:rsidRPr="00EA6309">
              <w:rPr>
                <w:rFonts w:ascii="Times New Roman" w:hAnsi="Times New Roman" w:cs="Times New Roman"/>
                <w:bCs/>
                <w:sz w:val="24"/>
                <w:szCs w:val="24"/>
              </w:rPr>
              <w:t>Juridiskās personas</w:t>
            </w:r>
          </w:p>
        </w:tc>
        <w:tc>
          <w:tcPr>
            <w:tcW w:w="1487" w:type="pct"/>
          </w:tcPr>
          <w:p w14:paraId="760742C5" w14:textId="77777777" w:rsidR="00E47026" w:rsidRPr="00EA6309"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796" w:type="pct"/>
          </w:tcPr>
          <w:p w14:paraId="0F9973C9" w14:textId="77777777" w:rsidR="00E47026"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450</w:t>
            </w:r>
          </w:p>
        </w:tc>
      </w:tr>
      <w:tr w:rsidR="00E47026" w:rsidRPr="00EA6309" w14:paraId="2BE8F0B9" w14:textId="77777777" w:rsidTr="0055012B">
        <w:tc>
          <w:tcPr>
            <w:tcW w:w="1718" w:type="pct"/>
            <w:shd w:val="clear" w:color="auto" w:fill="F2F2F2" w:themeFill="background1" w:themeFillShade="F2"/>
          </w:tcPr>
          <w:p w14:paraId="29AA00EA" w14:textId="77777777" w:rsidR="00E47026" w:rsidRPr="00EA6309" w:rsidRDefault="00E47026" w:rsidP="0055012B">
            <w:pPr>
              <w:contextualSpacing/>
              <w:rPr>
                <w:rFonts w:ascii="Times New Roman" w:hAnsi="Times New Roman" w:cs="Times New Roman"/>
                <w:bCs/>
                <w:sz w:val="24"/>
                <w:szCs w:val="24"/>
              </w:rPr>
            </w:pPr>
            <w:r w:rsidRPr="00EA6309">
              <w:rPr>
                <w:rFonts w:ascii="Times New Roman" w:hAnsi="Times New Roman" w:cs="Times New Roman"/>
                <w:bCs/>
                <w:sz w:val="24"/>
                <w:szCs w:val="24"/>
              </w:rPr>
              <w:t>Bloķē</w:t>
            </w:r>
            <w:r>
              <w:rPr>
                <w:rFonts w:ascii="Times New Roman" w:hAnsi="Times New Roman" w:cs="Times New Roman"/>
                <w:bCs/>
                <w:sz w:val="24"/>
                <w:szCs w:val="24"/>
              </w:rPr>
              <w:t>t</w:t>
            </w:r>
            <w:r w:rsidRPr="00EA6309">
              <w:rPr>
                <w:rFonts w:ascii="Times New Roman" w:hAnsi="Times New Roman" w:cs="Times New Roman"/>
                <w:bCs/>
                <w:sz w:val="24"/>
                <w:szCs w:val="24"/>
              </w:rPr>
              <w:t>ie domēnu vārdi</w:t>
            </w:r>
          </w:p>
        </w:tc>
        <w:tc>
          <w:tcPr>
            <w:tcW w:w="1487" w:type="pct"/>
          </w:tcPr>
          <w:p w14:paraId="79F1EBE5" w14:textId="77777777" w:rsidR="00E47026" w:rsidRPr="00EA6309"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557</w:t>
            </w:r>
          </w:p>
        </w:tc>
        <w:tc>
          <w:tcPr>
            <w:tcW w:w="1796" w:type="pct"/>
          </w:tcPr>
          <w:p w14:paraId="50F396B1" w14:textId="77777777" w:rsidR="00E47026" w:rsidRDefault="00E47026" w:rsidP="0055012B">
            <w:pPr>
              <w:contextualSpacing/>
              <w:jc w:val="center"/>
              <w:rPr>
                <w:rFonts w:ascii="Times New Roman" w:hAnsi="Times New Roman" w:cs="Times New Roman"/>
                <w:bCs/>
                <w:sz w:val="24"/>
                <w:szCs w:val="24"/>
              </w:rPr>
            </w:pPr>
            <w:r>
              <w:rPr>
                <w:rFonts w:ascii="Times New Roman" w:hAnsi="Times New Roman" w:cs="Times New Roman"/>
                <w:bCs/>
                <w:sz w:val="24"/>
                <w:szCs w:val="24"/>
              </w:rPr>
              <w:t>1763</w:t>
            </w:r>
          </w:p>
        </w:tc>
      </w:tr>
    </w:tbl>
    <w:p w14:paraId="2267BCAE" w14:textId="77777777" w:rsidR="00E47026" w:rsidRPr="00AE13AA" w:rsidRDefault="00E47026" w:rsidP="00E47026">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Avots: </w:t>
      </w:r>
      <w:r w:rsidRPr="00AE13AA">
        <w:rPr>
          <w:rFonts w:ascii="Times New Roman" w:hAnsi="Times New Roman" w:cs="Times New Roman"/>
          <w:sz w:val="24"/>
          <w:szCs w:val="24"/>
        </w:rPr>
        <w:t>Izložu un az</w:t>
      </w:r>
      <w:r>
        <w:rPr>
          <w:rFonts w:ascii="Times New Roman" w:hAnsi="Times New Roman" w:cs="Times New Roman"/>
          <w:sz w:val="24"/>
          <w:szCs w:val="24"/>
        </w:rPr>
        <w:t>artspēļu uzraudzības inspekcija</w:t>
      </w:r>
    </w:p>
    <w:p w14:paraId="00BE2007" w14:textId="77777777" w:rsidR="00E47026" w:rsidRDefault="00E47026" w:rsidP="00E47026">
      <w:pPr>
        <w:spacing w:line="240" w:lineRule="auto"/>
        <w:contextualSpacing/>
        <w:jc w:val="both"/>
        <w:rPr>
          <w:rFonts w:ascii="Times New Roman" w:hAnsi="Times New Roman" w:cs="Times New Roman"/>
          <w:sz w:val="24"/>
          <w:szCs w:val="24"/>
        </w:rPr>
      </w:pPr>
    </w:p>
    <w:p w14:paraId="18DF6498" w14:textId="77777777" w:rsidR="00E47026"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Papildus iepriekš minētajai informācijai, Finanšu ministrija sadarbīb</w:t>
      </w:r>
      <w:r w:rsidR="005933A9">
        <w:rPr>
          <w:rFonts w:ascii="Times New Roman" w:hAnsi="Times New Roman" w:cs="Times New Roman"/>
          <w:sz w:val="24"/>
          <w:szCs w:val="24"/>
        </w:rPr>
        <w:t>ā</w:t>
      </w:r>
      <w:r>
        <w:rPr>
          <w:rFonts w:ascii="Times New Roman" w:hAnsi="Times New Roman" w:cs="Times New Roman"/>
          <w:sz w:val="24"/>
          <w:szCs w:val="24"/>
        </w:rPr>
        <w:t xml:space="preserve"> ar IAUI un nozares ekspertiem ir </w:t>
      </w:r>
      <w:r w:rsidR="00E90916">
        <w:rPr>
          <w:rFonts w:ascii="Times New Roman" w:hAnsi="Times New Roman" w:cs="Times New Roman"/>
          <w:sz w:val="24"/>
          <w:szCs w:val="24"/>
        </w:rPr>
        <w:t xml:space="preserve">realizējusi </w:t>
      </w:r>
      <w:r>
        <w:rPr>
          <w:rFonts w:ascii="Times New Roman" w:hAnsi="Times New Roman" w:cs="Times New Roman"/>
          <w:sz w:val="24"/>
          <w:szCs w:val="24"/>
        </w:rPr>
        <w:t xml:space="preserve">kompleksu pasākumu kopumu </w:t>
      </w:r>
      <w:r w:rsidR="00E90916">
        <w:rPr>
          <w:rFonts w:ascii="Times New Roman" w:hAnsi="Times New Roman" w:cs="Times New Roman"/>
          <w:sz w:val="24"/>
          <w:szCs w:val="24"/>
        </w:rPr>
        <w:t xml:space="preserve">Latvijā </w:t>
      </w:r>
      <w:r>
        <w:rPr>
          <w:rFonts w:ascii="Times New Roman" w:hAnsi="Times New Roman" w:cs="Times New Roman"/>
          <w:sz w:val="24"/>
          <w:szCs w:val="24"/>
        </w:rPr>
        <w:t xml:space="preserve">nelicencēto interaktīvo azartspēļu un </w:t>
      </w:r>
      <w:r w:rsidR="00CC07BF">
        <w:rPr>
          <w:rFonts w:ascii="Times New Roman" w:hAnsi="Times New Roman" w:cs="Times New Roman"/>
          <w:sz w:val="24"/>
          <w:szCs w:val="24"/>
        </w:rPr>
        <w:t xml:space="preserve">interaktīvo </w:t>
      </w:r>
      <w:r>
        <w:rPr>
          <w:rFonts w:ascii="Times New Roman" w:hAnsi="Times New Roman" w:cs="Times New Roman"/>
          <w:sz w:val="24"/>
          <w:szCs w:val="24"/>
        </w:rPr>
        <w:t xml:space="preserve">izložu jomā. Detalizētāka informācija par līdz šim veiktajiem pasākumiem apkopota </w:t>
      </w:r>
      <w:r w:rsidR="00FC7104">
        <w:rPr>
          <w:rFonts w:ascii="Times New Roman" w:hAnsi="Times New Roman" w:cs="Times New Roman"/>
          <w:sz w:val="24"/>
          <w:szCs w:val="24"/>
        </w:rPr>
        <w:t>zemāk</w:t>
      </w:r>
      <w:r>
        <w:rPr>
          <w:rFonts w:ascii="Times New Roman" w:hAnsi="Times New Roman" w:cs="Times New Roman"/>
          <w:sz w:val="24"/>
          <w:szCs w:val="24"/>
        </w:rPr>
        <w:t xml:space="preserve">. </w:t>
      </w:r>
    </w:p>
    <w:p w14:paraId="4D22C99A" w14:textId="77777777" w:rsidR="00E47026" w:rsidRDefault="00E47026" w:rsidP="00FC7104">
      <w:pPr>
        <w:spacing w:line="240" w:lineRule="auto"/>
        <w:ind w:firstLine="720"/>
        <w:contextualSpacing/>
        <w:jc w:val="both"/>
        <w:rPr>
          <w:rFonts w:ascii="Times New Roman" w:hAnsi="Times New Roman" w:cs="Times New Roman"/>
          <w:sz w:val="24"/>
          <w:szCs w:val="24"/>
        </w:rPr>
      </w:pPr>
    </w:p>
    <w:p w14:paraId="4A9CE8A2" w14:textId="77777777" w:rsidR="00E47026" w:rsidRPr="00C8482E" w:rsidRDefault="00E47026" w:rsidP="005411B8">
      <w:pPr>
        <w:spacing w:line="240" w:lineRule="auto"/>
        <w:ind w:firstLine="357"/>
        <w:jc w:val="both"/>
        <w:rPr>
          <w:rFonts w:ascii="Times New Roman" w:hAnsi="Times New Roman" w:cs="Times New Roman"/>
          <w:b/>
          <w:bCs/>
          <w:sz w:val="24"/>
          <w:szCs w:val="24"/>
        </w:rPr>
      </w:pPr>
      <w:r w:rsidRPr="00C8482E">
        <w:rPr>
          <w:rFonts w:ascii="Times New Roman" w:hAnsi="Times New Roman" w:cs="Times New Roman"/>
          <w:b/>
          <w:bCs/>
          <w:sz w:val="24"/>
          <w:szCs w:val="24"/>
        </w:rPr>
        <w:t>Līdz 2021.gada 1.janvārim veiktais komplekso pasākumu kopums nelicencēto interaktīvo azartspēļu un interaktīvo izložu pi</w:t>
      </w:r>
      <w:r>
        <w:rPr>
          <w:rFonts w:ascii="Times New Roman" w:hAnsi="Times New Roman" w:cs="Times New Roman"/>
          <w:b/>
          <w:bCs/>
          <w:sz w:val="24"/>
          <w:szCs w:val="24"/>
        </w:rPr>
        <w:t>eejamības ierobežošanai Latvijā</w:t>
      </w:r>
    </w:p>
    <w:p w14:paraId="00955C2F"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893D5A">
        <w:rPr>
          <w:rFonts w:ascii="Times New Roman" w:hAnsi="Times New Roman" w:cs="Times New Roman"/>
          <w:sz w:val="24"/>
          <w:szCs w:val="24"/>
        </w:rPr>
        <w:t>Saeima 2019.gada 3.aprīlī pieņēma likumu Par valsts budžetu 2019.gadam un to pavadošos likumus, tajā skaitā, tika pieņemti četri likumi, kas paredz ierobežot Latvijā nelicencētu interaktīvo azartspēļu un izložu pieejamību.</w:t>
      </w:r>
    </w:p>
    <w:p w14:paraId="7CFE1591"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3A8E591C"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FC7104">
        <w:rPr>
          <w:rFonts w:ascii="Times New Roman" w:hAnsi="Times New Roman" w:cs="Times New Roman"/>
          <w:b/>
          <w:i/>
          <w:sz w:val="24"/>
          <w:szCs w:val="24"/>
        </w:rPr>
        <w:t xml:space="preserve">Grozījumi </w:t>
      </w:r>
      <w:r w:rsidRPr="00FC7104">
        <w:rPr>
          <w:rFonts w:ascii="Times New Roman" w:hAnsi="Times New Roman" w:cs="Times New Roman"/>
          <w:b/>
          <w:bCs/>
          <w:i/>
          <w:sz w:val="24"/>
          <w:szCs w:val="24"/>
        </w:rPr>
        <w:t xml:space="preserve">Maksājumu pakalpojumu un elektroniskās naudas likumā </w:t>
      </w:r>
      <w:r w:rsidRPr="00FC7104">
        <w:rPr>
          <w:rFonts w:ascii="Times New Roman" w:hAnsi="Times New Roman" w:cs="Times New Roman"/>
          <w:bCs/>
          <w:i/>
          <w:sz w:val="24"/>
          <w:szCs w:val="24"/>
        </w:rPr>
        <w:t>(stājās spēkā 2019.gada 13.aprīlī).</w:t>
      </w:r>
    </w:p>
    <w:p w14:paraId="01FD48BD"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6CDC2BA9" w14:textId="77777777" w:rsidR="005411B8" w:rsidRDefault="00E9091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bCs/>
          <w:sz w:val="24"/>
          <w:szCs w:val="24"/>
        </w:rPr>
        <w:t>G</w:t>
      </w:r>
      <w:r w:rsidR="00E47026">
        <w:rPr>
          <w:rFonts w:ascii="Times New Roman" w:hAnsi="Times New Roman" w:cs="Times New Roman"/>
          <w:bCs/>
          <w:sz w:val="24"/>
          <w:szCs w:val="24"/>
        </w:rPr>
        <w:t>rozījumi kredītiestādēm un maksājumu pakalpojumu sniedzējiem notei</w:t>
      </w:r>
      <w:r>
        <w:rPr>
          <w:rFonts w:ascii="Times New Roman" w:hAnsi="Times New Roman" w:cs="Times New Roman"/>
          <w:bCs/>
          <w:sz w:val="24"/>
          <w:szCs w:val="24"/>
        </w:rPr>
        <w:t>ca</w:t>
      </w:r>
      <w:r w:rsidR="00E47026">
        <w:rPr>
          <w:rFonts w:ascii="Times New Roman" w:hAnsi="Times New Roman" w:cs="Times New Roman"/>
          <w:bCs/>
          <w:sz w:val="24"/>
          <w:szCs w:val="24"/>
        </w:rPr>
        <w:t xml:space="preserve"> pienākum</w:t>
      </w:r>
      <w:r>
        <w:rPr>
          <w:rFonts w:ascii="Times New Roman" w:hAnsi="Times New Roman" w:cs="Times New Roman"/>
          <w:bCs/>
          <w:sz w:val="24"/>
          <w:szCs w:val="24"/>
        </w:rPr>
        <w:t>u</w:t>
      </w:r>
      <w:r w:rsidR="00E47026">
        <w:rPr>
          <w:rFonts w:ascii="Times New Roman" w:hAnsi="Times New Roman" w:cs="Times New Roman"/>
          <w:bCs/>
          <w:sz w:val="24"/>
          <w:szCs w:val="24"/>
        </w:rPr>
        <w:t xml:space="preserve"> </w:t>
      </w:r>
      <w:r w:rsidR="00E47026" w:rsidRPr="006B065B">
        <w:rPr>
          <w:rFonts w:ascii="Times New Roman" w:hAnsi="Times New Roman" w:cs="Times New Roman"/>
          <w:sz w:val="24"/>
          <w:szCs w:val="24"/>
          <w:u w:val="single"/>
        </w:rPr>
        <w:t>atteikt attālināto maksājumu veikšanu</w:t>
      </w:r>
      <w:r w:rsidR="00E47026" w:rsidRPr="00CB6351">
        <w:rPr>
          <w:rFonts w:ascii="Times New Roman" w:hAnsi="Times New Roman" w:cs="Times New Roman"/>
          <w:sz w:val="24"/>
          <w:szCs w:val="24"/>
        </w:rPr>
        <w:t xml:space="preserve"> ar Latvijas rezidentam izsniegto maksājumu karti </w:t>
      </w:r>
      <w:r w:rsidR="00E47026" w:rsidRPr="006B065B">
        <w:rPr>
          <w:rFonts w:ascii="Times New Roman" w:hAnsi="Times New Roman" w:cs="Times New Roman"/>
          <w:sz w:val="24"/>
          <w:szCs w:val="24"/>
          <w:u w:val="single"/>
        </w:rPr>
        <w:t>Latvijā nelicencētam interaktīvo azartspēļu un interaktīvo izložu organizētājam</w:t>
      </w:r>
      <w:r w:rsidR="00E47026" w:rsidRPr="00CB6351">
        <w:rPr>
          <w:rFonts w:ascii="Times New Roman" w:hAnsi="Times New Roman" w:cs="Times New Roman"/>
          <w:sz w:val="24"/>
          <w:szCs w:val="24"/>
        </w:rPr>
        <w:t>. Vienlaikus grozījumi paredz, ka maksājumu pakalpoju</w:t>
      </w:r>
      <w:r w:rsidR="00E47026">
        <w:rPr>
          <w:rFonts w:ascii="Times New Roman" w:hAnsi="Times New Roman" w:cs="Times New Roman"/>
          <w:sz w:val="24"/>
          <w:szCs w:val="24"/>
        </w:rPr>
        <w:t>mu sniedzējs katru gadu līdz 1. </w:t>
      </w:r>
      <w:r w:rsidR="00E47026" w:rsidRPr="00CB6351">
        <w:rPr>
          <w:rFonts w:ascii="Times New Roman" w:hAnsi="Times New Roman" w:cs="Times New Roman"/>
          <w:sz w:val="24"/>
          <w:szCs w:val="24"/>
        </w:rPr>
        <w:t>februārim iesniedz Valsts ieņēmumu</w:t>
      </w:r>
      <w:r w:rsidR="00E47026" w:rsidRPr="00AF1175">
        <w:rPr>
          <w:rFonts w:ascii="Times New Roman" w:hAnsi="Times New Roman" w:cs="Times New Roman"/>
          <w:sz w:val="24"/>
          <w:szCs w:val="24"/>
        </w:rPr>
        <w:t xml:space="preserve"> dienestam</w:t>
      </w:r>
      <w:r w:rsidR="00E47026">
        <w:rPr>
          <w:rFonts w:ascii="Times New Roman" w:hAnsi="Times New Roman" w:cs="Times New Roman"/>
          <w:sz w:val="24"/>
          <w:szCs w:val="24"/>
        </w:rPr>
        <w:t xml:space="preserve"> (turpmāk – VID)</w:t>
      </w:r>
      <w:r w:rsidR="00E47026" w:rsidRPr="004042DA">
        <w:rPr>
          <w:rFonts w:ascii="Times New Roman" w:hAnsi="Times New Roman" w:cs="Times New Roman"/>
          <w:sz w:val="24"/>
          <w:szCs w:val="24"/>
        </w:rPr>
        <w:t xml:space="preserve"> </w:t>
      </w:r>
      <w:r w:rsidR="00E47026" w:rsidRPr="006B065B">
        <w:rPr>
          <w:rFonts w:ascii="Times New Roman" w:hAnsi="Times New Roman" w:cs="Times New Roman"/>
          <w:sz w:val="24"/>
          <w:szCs w:val="24"/>
          <w:u w:val="single"/>
        </w:rPr>
        <w:t>informāciju par</w:t>
      </w:r>
      <w:r w:rsidR="00F36943">
        <w:rPr>
          <w:rFonts w:ascii="Times New Roman" w:hAnsi="Times New Roman" w:cs="Times New Roman"/>
          <w:sz w:val="24"/>
          <w:szCs w:val="24"/>
          <w:u w:val="single"/>
        </w:rPr>
        <w:t xml:space="preserve"> atteikumiem veikt</w:t>
      </w:r>
      <w:r w:rsidR="00E47026" w:rsidRPr="006B065B">
        <w:rPr>
          <w:rFonts w:ascii="Times New Roman" w:hAnsi="Times New Roman" w:cs="Times New Roman"/>
          <w:sz w:val="24"/>
          <w:szCs w:val="24"/>
          <w:u w:val="single"/>
        </w:rPr>
        <w:t xml:space="preserve"> attālināt</w:t>
      </w:r>
      <w:r w:rsidR="00F36943">
        <w:rPr>
          <w:rFonts w:ascii="Times New Roman" w:hAnsi="Times New Roman" w:cs="Times New Roman"/>
          <w:sz w:val="24"/>
          <w:szCs w:val="24"/>
          <w:u w:val="single"/>
        </w:rPr>
        <w:t>os</w:t>
      </w:r>
      <w:r w:rsidR="00E47026" w:rsidRPr="006B065B">
        <w:rPr>
          <w:rFonts w:ascii="Times New Roman" w:hAnsi="Times New Roman" w:cs="Times New Roman"/>
          <w:sz w:val="24"/>
          <w:szCs w:val="24"/>
          <w:u w:val="single"/>
        </w:rPr>
        <w:t xml:space="preserve"> maksājum</w:t>
      </w:r>
      <w:r w:rsidR="00F36943">
        <w:rPr>
          <w:rFonts w:ascii="Times New Roman" w:hAnsi="Times New Roman" w:cs="Times New Roman"/>
          <w:sz w:val="24"/>
          <w:szCs w:val="24"/>
          <w:u w:val="single"/>
        </w:rPr>
        <w:t>us</w:t>
      </w:r>
      <w:r w:rsidR="00E47026" w:rsidRPr="00CB6351">
        <w:rPr>
          <w:rFonts w:ascii="Times New Roman" w:hAnsi="Times New Roman" w:cs="Times New Roman"/>
          <w:sz w:val="24"/>
          <w:szCs w:val="24"/>
        </w:rPr>
        <w:t>, kas iepriekšējā kalendāra gadā atteikti, norādot maksātāja vārdu, uzvārdu, personas kodu, kā arī maksājuma datumu un maksājuma pakalpojuma sniedzēja rīcībā esošos saņēmēju identificējošos datus.</w:t>
      </w:r>
    </w:p>
    <w:p w14:paraId="5583EAA8"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CB6351">
        <w:rPr>
          <w:rFonts w:ascii="Times New Roman" w:hAnsi="Times New Roman" w:cs="Times New Roman"/>
          <w:sz w:val="24"/>
          <w:szCs w:val="24"/>
        </w:rPr>
        <w:t>Informācijas apmaiņas pasākumam</w:t>
      </w:r>
      <w:r>
        <w:rPr>
          <w:rFonts w:ascii="Times New Roman" w:hAnsi="Times New Roman" w:cs="Times New Roman"/>
          <w:sz w:val="24"/>
          <w:szCs w:val="24"/>
        </w:rPr>
        <w:t xml:space="preserve"> starp maksājumu pakalpojumu sniedzējiem un VID</w:t>
      </w:r>
      <w:r w:rsidRPr="00CB6351">
        <w:rPr>
          <w:rFonts w:ascii="Times New Roman" w:hAnsi="Times New Roman" w:cs="Times New Roman"/>
          <w:sz w:val="24"/>
          <w:szCs w:val="24"/>
        </w:rPr>
        <w:t xml:space="preserve"> tika paredzēts pārejas periods, lai nodrošinātu iesaistīto pušu</w:t>
      </w:r>
      <w:r>
        <w:rPr>
          <w:rFonts w:ascii="Times New Roman" w:hAnsi="Times New Roman" w:cs="Times New Roman"/>
          <w:sz w:val="24"/>
          <w:szCs w:val="24"/>
        </w:rPr>
        <w:t xml:space="preserve"> IT risinājumu izstrādi</w:t>
      </w:r>
      <w:r w:rsidRPr="00CB6351">
        <w:rPr>
          <w:rFonts w:ascii="Times New Roman" w:hAnsi="Times New Roman" w:cs="Times New Roman"/>
          <w:sz w:val="24"/>
          <w:szCs w:val="24"/>
        </w:rPr>
        <w:t xml:space="preserve"> jauno pienākumu izpildei. Tādēļ pirmie dati par attālinātiem maksājumiem, kas iepriekšējā kalendāra gadā atteikti, būs pieejami</w:t>
      </w:r>
      <w:r w:rsidR="0042594F">
        <w:rPr>
          <w:rFonts w:ascii="Times New Roman" w:hAnsi="Times New Roman" w:cs="Times New Roman"/>
          <w:sz w:val="24"/>
          <w:szCs w:val="24"/>
        </w:rPr>
        <w:t xml:space="preserve"> tikai</w:t>
      </w:r>
      <w:r w:rsidRPr="00CB6351">
        <w:rPr>
          <w:rFonts w:ascii="Times New Roman" w:hAnsi="Times New Roman" w:cs="Times New Roman"/>
          <w:sz w:val="24"/>
          <w:szCs w:val="24"/>
        </w:rPr>
        <w:t xml:space="preserve"> </w:t>
      </w:r>
      <w:r>
        <w:rPr>
          <w:rFonts w:ascii="Times New Roman" w:hAnsi="Times New Roman" w:cs="Times New Roman"/>
          <w:sz w:val="24"/>
          <w:szCs w:val="24"/>
        </w:rPr>
        <w:t>2021.gada 1.februārī.</w:t>
      </w:r>
    </w:p>
    <w:p w14:paraId="40CE0DF7" w14:textId="77777777" w:rsidR="005411B8"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b/>
          <w:sz w:val="24"/>
          <w:szCs w:val="24"/>
        </w:rPr>
        <w:t>Grozījumu mērķis</w:t>
      </w:r>
      <w:r>
        <w:rPr>
          <w:rFonts w:ascii="Times New Roman" w:hAnsi="Times New Roman" w:cs="Times New Roman"/>
          <w:sz w:val="24"/>
          <w:szCs w:val="24"/>
        </w:rPr>
        <w:t xml:space="preserve">: </w:t>
      </w:r>
      <w:r w:rsidRPr="004042DA">
        <w:rPr>
          <w:rFonts w:ascii="Times New Roman" w:hAnsi="Times New Roman" w:cs="Times New Roman"/>
          <w:sz w:val="24"/>
          <w:szCs w:val="24"/>
        </w:rPr>
        <w:t xml:space="preserve">Uzskatāms, ka </w:t>
      </w:r>
      <w:r>
        <w:rPr>
          <w:rFonts w:ascii="Times New Roman" w:hAnsi="Times New Roman" w:cs="Times New Roman"/>
          <w:sz w:val="24"/>
          <w:szCs w:val="24"/>
        </w:rPr>
        <w:t xml:space="preserve">informācijas iegūšana par atteiktajiem attālinātajiem maksājumiem </w:t>
      </w:r>
      <w:r w:rsidRPr="004042DA">
        <w:rPr>
          <w:rFonts w:ascii="Times New Roman" w:hAnsi="Times New Roman" w:cs="Times New Roman"/>
          <w:sz w:val="24"/>
          <w:szCs w:val="24"/>
        </w:rPr>
        <w:t xml:space="preserve">dos iespēju </w:t>
      </w:r>
      <w:r w:rsidR="00FC7104">
        <w:rPr>
          <w:rFonts w:ascii="Times New Roman" w:hAnsi="Times New Roman" w:cs="Times New Roman"/>
          <w:sz w:val="24"/>
          <w:szCs w:val="24"/>
        </w:rPr>
        <w:t>datu analīzes rezultātā a</w:t>
      </w:r>
      <w:r w:rsidRPr="004042DA">
        <w:rPr>
          <w:rFonts w:ascii="Times New Roman" w:hAnsi="Times New Roman" w:cs="Times New Roman"/>
          <w:sz w:val="24"/>
          <w:szCs w:val="24"/>
        </w:rPr>
        <w:t>pzināt personas, kuras piedalās nelicencētajās interaktīvajās azartspēlēs</w:t>
      </w:r>
      <w:r w:rsidR="00CC07BF">
        <w:rPr>
          <w:rFonts w:ascii="Times New Roman" w:hAnsi="Times New Roman" w:cs="Times New Roman"/>
          <w:sz w:val="24"/>
          <w:szCs w:val="24"/>
        </w:rPr>
        <w:t xml:space="preserve"> un interaktīvajās izlozēs</w:t>
      </w:r>
      <w:r w:rsidR="004F33EB">
        <w:rPr>
          <w:rFonts w:ascii="Times New Roman" w:hAnsi="Times New Roman" w:cs="Times New Roman"/>
          <w:sz w:val="24"/>
          <w:szCs w:val="24"/>
        </w:rPr>
        <w:t xml:space="preserve"> (piemēram, atbilstoši lielajam atteikto transakciju skaitam interpretējot to kā mērķtiecīgo mēģinājumu identificēt iespēju piedalīties nelikumīgajā darbībā)</w:t>
      </w:r>
      <w:r w:rsidRPr="004042DA">
        <w:rPr>
          <w:rFonts w:ascii="Times New Roman" w:hAnsi="Times New Roman" w:cs="Times New Roman"/>
          <w:sz w:val="24"/>
          <w:szCs w:val="24"/>
        </w:rPr>
        <w:t>, kā arī iegūt informāciju par vietnēm, kuras nepieciešams bloķēt</w:t>
      </w:r>
      <w:r>
        <w:rPr>
          <w:rFonts w:ascii="Times New Roman" w:hAnsi="Times New Roman" w:cs="Times New Roman"/>
          <w:sz w:val="24"/>
          <w:szCs w:val="24"/>
        </w:rPr>
        <w:t xml:space="preserve"> (ierobežot piekļuvi)</w:t>
      </w:r>
      <w:r w:rsidR="005411B8">
        <w:rPr>
          <w:rFonts w:ascii="Times New Roman" w:hAnsi="Times New Roman" w:cs="Times New Roman"/>
          <w:sz w:val="24"/>
          <w:szCs w:val="24"/>
        </w:rPr>
        <w:t>.</w:t>
      </w:r>
    </w:p>
    <w:p w14:paraId="3BFA9BE4" w14:textId="77777777" w:rsidR="005411B8" w:rsidRDefault="001D2573" w:rsidP="005411B8">
      <w:pPr>
        <w:spacing w:line="240" w:lineRule="auto"/>
        <w:ind w:firstLine="357"/>
        <w:contextualSpacing/>
        <w:jc w:val="both"/>
        <w:rPr>
          <w:rFonts w:ascii="Times New Roman" w:hAnsi="Times New Roman" w:cs="Times New Roman"/>
          <w:sz w:val="24"/>
          <w:szCs w:val="24"/>
        </w:rPr>
      </w:pPr>
      <w:r w:rsidRPr="00EF01E5">
        <w:rPr>
          <w:rFonts w:ascii="Times New Roman" w:hAnsi="Times New Roman" w:cs="Times New Roman"/>
          <w:b/>
          <w:bCs/>
          <w:iCs/>
          <w:sz w:val="24"/>
          <w:szCs w:val="24"/>
        </w:rPr>
        <w:t>Pašreizējā situācija:</w:t>
      </w:r>
      <w:r>
        <w:rPr>
          <w:rFonts w:ascii="Times New Roman" w:hAnsi="Times New Roman" w:cs="Times New Roman"/>
          <w:sz w:val="24"/>
          <w:szCs w:val="24"/>
        </w:rPr>
        <w:t xml:space="preserve"> </w:t>
      </w:r>
      <w:r w:rsidR="00E47026">
        <w:rPr>
          <w:rFonts w:ascii="Times New Roman" w:hAnsi="Times New Roman" w:cs="Times New Roman"/>
          <w:sz w:val="24"/>
          <w:szCs w:val="24"/>
        </w:rPr>
        <w:t xml:space="preserve">Lai noskaidrotu kredītiestāžu un maksājumu pakalpojumu sniedzēju gatavību iepriekš minēto pienākumu izpildei, Finanšu ministrija </w:t>
      </w:r>
      <w:r w:rsidR="00E47026" w:rsidRPr="00B62F70">
        <w:rPr>
          <w:rFonts w:ascii="Times New Roman" w:hAnsi="Times New Roman" w:cs="Times New Roman"/>
          <w:sz w:val="24"/>
          <w:szCs w:val="24"/>
        </w:rPr>
        <w:t>sazinājās ar Finanšu nozares asociāciju</w:t>
      </w:r>
      <w:r w:rsidR="00E47026">
        <w:rPr>
          <w:rFonts w:ascii="Times New Roman" w:hAnsi="Times New Roman" w:cs="Times New Roman"/>
          <w:sz w:val="24"/>
          <w:szCs w:val="24"/>
        </w:rPr>
        <w:t xml:space="preserve"> (turpmāk -  </w:t>
      </w:r>
      <w:r w:rsidR="00E90916">
        <w:rPr>
          <w:rFonts w:ascii="Times New Roman" w:hAnsi="Times New Roman" w:cs="Times New Roman"/>
          <w:sz w:val="24"/>
          <w:szCs w:val="24"/>
        </w:rPr>
        <w:t>FNA</w:t>
      </w:r>
      <w:r w:rsidR="00E47026">
        <w:rPr>
          <w:rFonts w:ascii="Times New Roman" w:hAnsi="Times New Roman" w:cs="Times New Roman"/>
          <w:sz w:val="24"/>
          <w:szCs w:val="24"/>
        </w:rPr>
        <w:t>)</w:t>
      </w:r>
      <w:r w:rsidR="00E47026" w:rsidRPr="00B62F70">
        <w:rPr>
          <w:rFonts w:ascii="Times New Roman" w:hAnsi="Times New Roman" w:cs="Times New Roman"/>
          <w:sz w:val="24"/>
          <w:szCs w:val="24"/>
        </w:rPr>
        <w:t xml:space="preserve">. Pēc </w:t>
      </w:r>
      <w:r w:rsidR="00E90916">
        <w:rPr>
          <w:rFonts w:ascii="Times New Roman" w:hAnsi="Times New Roman" w:cs="Times New Roman"/>
          <w:sz w:val="24"/>
          <w:szCs w:val="24"/>
        </w:rPr>
        <w:t>FNA</w:t>
      </w:r>
      <w:r w:rsidR="00E90916" w:rsidRPr="00B62F70">
        <w:rPr>
          <w:rFonts w:ascii="Times New Roman" w:hAnsi="Times New Roman" w:cs="Times New Roman"/>
          <w:sz w:val="24"/>
          <w:szCs w:val="24"/>
        </w:rPr>
        <w:t xml:space="preserve"> </w:t>
      </w:r>
      <w:r w:rsidR="00E47026" w:rsidRPr="00B62F70">
        <w:rPr>
          <w:rFonts w:ascii="Times New Roman" w:hAnsi="Times New Roman" w:cs="Times New Roman"/>
          <w:sz w:val="24"/>
          <w:szCs w:val="24"/>
        </w:rPr>
        <w:t xml:space="preserve">sniegtās informācijas secināms, ka kredītiestādes un maksājumu pakalpojumu sniedzēji ir gatavi nodrošināt likumā noteiktās informācijas apmaiņu, tāpat </w:t>
      </w:r>
      <w:r w:rsidR="001A7E21">
        <w:rPr>
          <w:rFonts w:ascii="Times New Roman" w:hAnsi="Times New Roman" w:cs="Times New Roman"/>
          <w:sz w:val="24"/>
          <w:szCs w:val="24"/>
        </w:rPr>
        <w:t>FNA</w:t>
      </w:r>
      <w:r w:rsidR="00E47026" w:rsidRPr="00B62F70">
        <w:rPr>
          <w:rFonts w:ascii="Times New Roman" w:hAnsi="Times New Roman" w:cs="Times New Roman"/>
          <w:sz w:val="24"/>
          <w:szCs w:val="24"/>
        </w:rPr>
        <w:t xml:space="preserve"> informēja</w:t>
      </w:r>
      <w:r w:rsidR="00E47026">
        <w:rPr>
          <w:rFonts w:ascii="Times New Roman" w:hAnsi="Times New Roman" w:cs="Times New Roman"/>
          <w:sz w:val="24"/>
          <w:szCs w:val="24"/>
        </w:rPr>
        <w:t xml:space="preserve"> Finanšu ministriju</w:t>
      </w:r>
      <w:r w:rsidR="00E47026" w:rsidRPr="00B62F70">
        <w:rPr>
          <w:rFonts w:ascii="Times New Roman" w:hAnsi="Times New Roman" w:cs="Times New Roman"/>
          <w:sz w:val="24"/>
          <w:szCs w:val="24"/>
        </w:rPr>
        <w:t>, ka pēc sākotnējiem datiem 2020.gadā atteikt</w:t>
      </w:r>
      <w:r w:rsidR="0042594F">
        <w:rPr>
          <w:rFonts w:ascii="Times New Roman" w:hAnsi="Times New Roman" w:cs="Times New Roman"/>
          <w:sz w:val="24"/>
          <w:szCs w:val="24"/>
        </w:rPr>
        <w:t>s</w:t>
      </w:r>
      <w:r w:rsidR="00E47026" w:rsidRPr="00B62F70">
        <w:rPr>
          <w:rFonts w:ascii="Times New Roman" w:hAnsi="Times New Roman" w:cs="Times New Roman"/>
          <w:sz w:val="24"/>
          <w:szCs w:val="24"/>
        </w:rPr>
        <w:t xml:space="preserve"> ap </w:t>
      </w:r>
      <w:r w:rsidR="000219D1">
        <w:rPr>
          <w:rFonts w:ascii="Times New Roman" w:hAnsi="Times New Roman" w:cs="Times New Roman"/>
          <w:sz w:val="24"/>
          <w:szCs w:val="24"/>
        </w:rPr>
        <w:br/>
      </w:r>
      <w:r w:rsidR="00E47026" w:rsidRPr="00B62F70">
        <w:rPr>
          <w:rFonts w:ascii="Times New Roman" w:hAnsi="Times New Roman" w:cs="Times New Roman"/>
          <w:sz w:val="24"/>
          <w:szCs w:val="24"/>
        </w:rPr>
        <w:t>130 000 transakciju</w:t>
      </w:r>
      <w:r w:rsidR="00E47026">
        <w:rPr>
          <w:rFonts w:ascii="Times New Roman" w:hAnsi="Times New Roman" w:cs="Times New Roman"/>
          <w:sz w:val="24"/>
          <w:szCs w:val="24"/>
        </w:rPr>
        <w:t>.</w:t>
      </w:r>
    </w:p>
    <w:p w14:paraId="183B4788"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3533EDBF"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4F33EB">
        <w:rPr>
          <w:rFonts w:ascii="Times New Roman" w:hAnsi="Times New Roman" w:cs="Times New Roman"/>
          <w:b/>
          <w:bCs/>
          <w:i/>
          <w:sz w:val="24"/>
          <w:szCs w:val="24"/>
        </w:rPr>
        <w:t>Grozījumi Elektronisko sakaru likumā</w:t>
      </w:r>
      <w:r w:rsidRPr="004F33EB">
        <w:rPr>
          <w:rFonts w:ascii="Times New Roman" w:hAnsi="Times New Roman" w:cs="Times New Roman"/>
          <w:bCs/>
          <w:i/>
          <w:sz w:val="24"/>
          <w:szCs w:val="24"/>
        </w:rPr>
        <w:t xml:space="preserve"> (stājās spēkā 2019.gada 13.aprīlī)</w:t>
      </w:r>
    </w:p>
    <w:p w14:paraId="24347ADA"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0C59B518" w14:textId="77777777" w:rsidR="005411B8" w:rsidRDefault="00B12894"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G</w:t>
      </w:r>
      <w:r w:rsidR="00E47026">
        <w:rPr>
          <w:rFonts w:ascii="Times New Roman" w:hAnsi="Times New Roman" w:cs="Times New Roman"/>
          <w:sz w:val="24"/>
          <w:szCs w:val="24"/>
        </w:rPr>
        <w:t xml:space="preserve">rozījumi </w:t>
      </w:r>
      <w:r w:rsidR="004F33EB" w:rsidRPr="004F33EB">
        <w:rPr>
          <w:rFonts w:ascii="Times New Roman" w:hAnsi="Times New Roman" w:cs="Times New Roman"/>
          <w:sz w:val="24"/>
          <w:szCs w:val="24"/>
        </w:rPr>
        <w:t xml:space="preserve">Elektronisko sakaru </w:t>
      </w:r>
      <w:r w:rsidR="00E47026">
        <w:rPr>
          <w:rFonts w:ascii="Times New Roman" w:hAnsi="Times New Roman" w:cs="Times New Roman"/>
          <w:sz w:val="24"/>
          <w:szCs w:val="24"/>
        </w:rPr>
        <w:t>likumā elektronisko sakaru komersantam notei</w:t>
      </w:r>
      <w:r>
        <w:rPr>
          <w:rFonts w:ascii="Times New Roman" w:hAnsi="Times New Roman" w:cs="Times New Roman"/>
          <w:sz w:val="24"/>
          <w:szCs w:val="24"/>
        </w:rPr>
        <w:t>ca</w:t>
      </w:r>
      <w:r w:rsidR="00E47026">
        <w:rPr>
          <w:rFonts w:ascii="Times New Roman" w:hAnsi="Times New Roman" w:cs="Times New Roman"/>
          <w:sz w:val="24"/>
          <w:szCs w:val="24"/>
        </w:rPr>
        <w:t xml:space="preserve"> pienākum</w:t>
      </w:r>
      <w:r w:rsidR="004F33EB">
        <w:rPr>
          <w:rFonts w:ascii="Times New Roman" w:hAnsi="Times New Roman" w:cs="Times New Roman"/>
          <w:sz w:val="24"/>
          <w:szCs w:val="24"/>
        </w:rPr>
        <w:t>u</w:t>
      </w:r>
      <w:r w:rsidR="00E47026">
        <w:rPr>
          <w:rFonts w:ascii="Times New Roman" w:hAnsi="Times New Roman" w:cs="Times New Roman"/>
          <w:sz w:val="24"/>
          <w:szCs w:val="24"/>
        </w:rPr>
        <w:t xml:space="preserve">, </w:t>
      </w:r>
      <w:r w:rsidR="00E47026" w:rsidRPr="00D16632">
        <w:rPr>
          <w:rFonts w:ascii="Times New Roman" w:hAnsi="Times New Roman" w:cs="Times New Roman"/>
          <w:sz w:val="24"/>
          <w:szCs w:val="24"/>
        </w:rPr>
        <w:t xml:space="preserve">izpildot </w:t>
      </w:r>
      <w:r w:rsidR="00D77F40">
        <w:rPr>
          <w:rFonts w:ascii="Times New Roman" w:hAnsi="Times New Roman" w:cs="Times New Roman"/>
          <w:sz w:val="24"/>
          <w:szCs w:val="24"/>
        </w:rPr>
        <w:t xml:space="preserve">IAUI </w:t>
      </w:r>
      <w:r w:rsidR="00E47026" w:rsidRPr="00D16632">
        <w:rPr>
          <w:rFonts w:ascii="Times New Roman" w:hAnsi="Times New Roman" w:cs="Times New Roman"/>
          <w:sz w:val="24"/>
          <w:szCs w:val="24"/>
        </w:rPr>
        <w:t>lēmumu par piekļuves ierobežošanu</w:t>
      </w:r>
      <w:r>
        <w:rPr>
          <w:rFonts w:ascii="Times New Roman" w:hAnsi="Times New Roman" w:cs="Times New Roman"/>
          <w:sz w:val="24"/>
          <w:szCs w:val="24"/>
        </w:rPr>
        <w:t xml:space="preserve"> identificētām Latvijā nelicencētām azartspēļu un interaktīvo izložu organizētāju interneta vietnēm</w:t>
      </w:r>
      <w:r w:rsidR="00E47026" w:rsidRPr="00D16632">
        <w:rPr>
          <w:rFonts w:ascii="Times New Roman" w:hAnsi="Times New Roman" w:cs="Times New Roman"/>
          <w:sz w:val="24"/>
          <w:szCs w:val="24"/>
        </w:rPr>
        <w:t>, nodrošin</w:t>
      </w:r>
      <w:r w:rsidR="00E47026">
        <w:rPr>
          <w:rFonts w:ascii="Times New Roman" w:hAnsi="Times New Roman" w:cs="Times New Roman"/>
          <w:sz w:val="24"/>
          <w:szCs w:val="24"/>
        </w:rPr>
        <w:t>āt</w:t>
      </w:r>
      <w:r w:rsidR="00E47026" w:rsidRPr="00D16632">
        <w:rPr>
          <w:rFonts w:ascii="Times New Roman" w:hAnsi="Times New Roman" w:cs="Times New Roman"/>
          <w:sz w:val="24"/>
          <w:szCs w:val="24"/>
        </w:rPr>
        <w:t xml:space="preserve"> tīmekļa vietnes lietotāja pāradresāciju uz </w:t>
      </w:r>
      <w:r w:rsidR="00BD3E9A">
        <w:rPr>
          <w:rFonts w:ascii="Times New Roman" w:hAnsi="Times New Roman" w:cs="Times New Roman"/>
          <w:sz w:val="24"/>
          <w:szCs w:val="24"/>
        </w:rPr>
        <w:t>IAUI</w:t>
      </w:r>
      <w:r w:rsidR="00E47026" w:rsidRPr="00D16632">
        <w:rPr>
          <w:rFonts w:ascii="Times New Roman" w:hAnsi="Times New Roman" w:cs="Times New Roman"/>
          <w:sz w:val="24"/>
          <w:szCs w:val="24"/>
        </w:rPr>
        <w:t xml:space="preserve"> tīmekļa vietni, kurā </w:t>
      </w:r>
      <w:r w:rsidR="00E47026">
        <w:rPr>
          <w:rFonts w:ascii="Times New Roman" w:hAnsi="Times New Roman" w:cs="Times New Roman"/>
          <w:sz w:val="24"/>
          <w:szCs w:val="24"/>
          <w:u w:val="single"/>
        </w:rPr>
        <w:t>lietotājam tiek</w:t>
      </w:r>
      <w:r w:rsidR="00E47026" w:rsidRPr="00D16632">
        <w:rPr>
          <w:rFonts w:ascii="Times New Roman" w:hAnsi="Times New Roman" w:cs="Times New Roman"/>
          <w:sz w:val="24"/>
          <w:szCs w:val="24"/>
          <w:u w:val="single"/>
        </w:rPr>
        <w:t xml:space="preserve"> sniegta informācija par liegumu spēlēt Latvijā nelicencētas interaktīvās azartspēles un interaktīvās izlozes</w:t>
      </w:r>
      <w:r w:rsidR="004F33EB">
        <w:rPr>
          <w:rFonts w:ascii="Times New Roman" w:hAnsi="Times New Roman" w:cs="Times New Roman"/>
          <w:sz w:val="24"/>
          <w:szCs w:val="24"/>
        </w:rPr>
        <w:t>,</w:t>
      </w:r>
      <w:r w:rsidR="00E47026" w:rsidRPr="00D16632">
        <w:rPr>
          <w:rFonts w:ascii="Times New Roman" w:hAnsi="Times New Roman" w:cs="Times New Roman"/>
          <w:sz w:val="24"/>
          <w:szCs w:val="24"/>
        </w:rPr>
        <w:t xml:space="preserve"> par Latvijā licencētiem interaktīvajiem azartspēļu organizētājiem</w:t>
      </w:r>
      <w:r w:rsidR="004F33EB">
        <w:rPr>
          <w:rFonts w:ascii="Times New Roman" w:hAnsi="Times New Roman" w:cs="Times New Roman"/>
          <w:sz w:val="24"/>
          <w:szCs w:val="24"/>
        </w:rPr>
        <w:t xml:space="preserve"> un</w:t>
      </w:r>
      <w:r w:rsidR="00E47026" w:rsidRPr="00D16632">
        <w:rPr>
          <w:rFonts w:ascii="Times New Roman" w:hAnsi="Times New Roman" w:cs="Times New Roman"/>
          <w:sz w:val="24"/>
          <w:szCs w:val="24"/>
        </w:rPr>
        <w:t xml:space="preserve"> informācija par atkarību no azartspēlēm un izlozēm mazinošiem pasākumie</w:t>
      </w:r>
      <w:r w:rsidR="005411B8">
        <w:rPr>
          <w:rFonts w:ascii="Times New Roman" w:hAnsi="Times New Roman" w:cs="Times New Roman"/>
          <w:sz w:val="24"/>
          <w:szCs w:val="24"/>
        </w:rPr>
        <w:t>m.</w:t>
      </w:r>
    </w:p>
    <w:p w14:paraId="68852086"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Grozījuma mērķis:</w:t>
      </w:r>
      <w:r>
        <w:rPr>
          <w:rFonts w:ascii="Times New Roman" w:hAnsi="Times New Roman" w:cs="Times New Roman"/>
          <w:sz w:val="24"/>
          <w:szCs w:val="24"/>
        </w:rPr>
        <w:t xml:space="preserve"> Informācijas sniegšana spēlētājam par</w:t>
      </w:r>
      <w:r w:rsidR="00B12894">
        <w:rPr>
          <w:rFonts w:ascii="Times New Roman" w:hAnsi="Times New Roman" w:cs="Times New Roman"/>
          <w:sz w:val="24"/>
          <w:szCs w:val="24"/>
        </w:rPr>
        <w:t xml:space="preserve"> atbildību par</w:t>
      </w:r>
      <w:r>
        <w:rPr>
          <w:rFonts w:ascii="Times New Roman" w:hAnsi="Times New Roman" w:cs="Times New Roman"/>
          <w:sz w:val="24"/>
          <w:szCs w:val="24"/>
        </w:rPr>
        <w:t xml:space="preserve"> dalību </w:t>
      </w:r>
      <w:r w:rsidR="00B12894">
        <w:rPr>
          <w:rFonts w:ascii="Times New Roman" w:hAnsi="Times New Roman" w:cs="Times New Roman"/>
          <w:sz w:val="24"/>
          <w:szCs w:val="24"/>
        </w:rPr>
        <w:t xml:space="preserve">Latvijā </w:t>
      </w:r>
      <w:r>
        <w:rPr>
          <w:rFonts w:ascii="Times New Roman" w:hAnsi="Times New Roman" w:cs="Times New Roman"/>
          <w:sz w:val="24"/>
          <w:szCs w:val="24"/>
        </w:rPr>
        <w:t>nelicencētās interaktīvās azartspēlēs</w:t>
      </w:r>
      <w:r w:rsidR="00B12894">
        <w:rPr>
          <w:rFonts w:ascii="Times New Roman" w:hAnsi="Times New Roman" w:cs="Times New Roman"/>
          <w:sz w:val="24"/>
          <w:szCs w:val="24"/>
        </w:rPr>
        <w:t xml:space="preserve"> un interaktīvajās izlozēs</w:t>
      </w:r>
      <w:r>
        <w:rPr>
          <w:rFonts w:ascii="Times New Roman" w:hAnsi="Times New Roman" w:cs="Times New Roman"/>
          <w:sz w:val="24"/>
          <w:szCs w:val="24"/>
        </w:rPr>
        <w:t>, var preventīvi atturēt</w:t>
      </w:r>
      <w:r w:rsidRPr="00254036">
        <w:rPr>
          <w:rFonts w:ascii="Times New Roman" w:hAnsi="Times New Roman" w:cs="Times New Roman"/>
          <w:sz w:val="24"/>
          <w:szCs w:val="24"/>
        </w:rPr>
        <w:t xml:space="preserve"> personu no turpmākajām darbībām </w:t>
      </w:r>
      <w:r w:rsidR="00B12894">
        <w:rPr>
          <w:rFonts w:ascii="Times New Roman" w:hAnsi="Times New Roman" w:cs="Times New Roman"/>
          <w:sz w:val="24"/>
          <w:szCs w:val="24"/>
        </w:rPr>
        <w:t xml:space="preserve">Latvijā </w:t>
      </w:r>
      <w:r w:rsidRPr="00254036">
        <w:rPr>
          <w:rFonts w:ascii="Times New Roman" w:hAnsi="Times New Roman" w:cs="Times New Roman"/>
          <w:sz w:val="24"/>
          <w:szCs w:val="24"/>
        </w:rPr>
        <w:t xml:space="preserve">nelicencētajā </w:t>
      </w:r>
      <w:r w:rsidR="00B12894">
        <w:rPr>
          <w:rFonts w:ascii="Times New Roman" w:hAnsi="Times New Roman" w:cs="Times New Roman"/>
          <w:sz w:val="24"/>
          <w:szCs w:val="24"/>
        </w:rPr>
        <w:t xml:space="preserve">interaktīvo azartspēļu un interaktīvo izložu </w:t>
      </w:r>
      <w:r w:rsidRPr="00254036">
        <w:rPr>
          <w:rFonts w:ascii="Times New Roman" w:hAnsi="Times New Roman" w:cs="Times New Roman"/>
          <w:sz w:val="24"/>
          <w:szCs w:val="24"/>
        </w:rPr>
        <w:t>vidē,</w:t>
      </w:r>
      <w:r>
        <w:rPr>
          <w:rFonts w:ascii="Times New Roman" w:hAnsi="Times New Roman" w:cs="Times New Roman"/>
          <w:sz w:val="24"/>
          <w:szCs w:val="24"/>
        </w:rPr>
        <w:t xml:space="preserve"> kā arī sniegt iespēju spēlētāju</w:t>
      </w:r>
      <w:r w:rsidRPr="00254036">
        <w:rPr>
          <w:rFonts w:ascii="Times New Roman" w:hAnsi="Times New Roman" w:cs="Times New Roman"/>
          <w:sz w:val="24"/>
          <w:szCs w:val="24"/>
        </w:rPr>
        <w:t xml:space="preserve"> novirzīt uz kontrolēto vidi, kurā pastāv aizsargmehānismi pret atkarības veidošanos.</w:t>
      </w:r>
      <w:r w:rsidR="004F33EB">
        <w:rPr>
          <w:rFonts w:ascii="Times New Roman" w:hAnsi="Times New Roman" w:cs="Times New Roman"/>
          <w:sz w:val="24"/>
          <w:szCs w:val="24"/>
        </w:rPr>
        <w:t xml:space="preserve"> Tīmekļa vietņu piekļuves ierobežošanas procesa pilnveidošana ļauj nodrošināt ātrāku un efektīvāku lēmumu izpildi.</w:t>
      </w:r>
    </w:p>
    <w:p w14:paraId="563DA778"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Pašreizējā situācija:</w:t>
      </w:r>
      <w:r>
        <w:rPr>
          <w:rFonts w:ascii="Times New Roman" w:hAnsi="Times New Roman" w:cs="Times New Roman"/>
          <w:sz w:val="24"/>
          <w:szCs w:val="24"/>
        </w:rPr>
        <w:t xml:space="preserve"> Pēc IAUI sniegtās informācijas secināms, ka jau pašreiz notiek aktīvs darbs pie </w:t>
      </w:r>
      <w:r w:rsidR="00B12894">
        <w:rPr>
          <w:rFonts w:ascii="Times New Roman" w:hAnsi="Times New Roman" w:cs="Times New Roman"/>
          <w:sz w:val="24"/>
          <w:szCs w:val="24"/>
        </w:rPr>
        <w:t xml:space="preserve">Latvijā </w:t>
      </w:r>
      <w:r>
        <w:rPr>
          <w:rFonts w:ascii="Times New Roman" w:hAnsi="Times New Roman" w:cs="Times New Roman"/>
          <w:sz w:val="24"/>
          <w:szCs w:val="24"/>
        </w:rPr>
        <w:t xml:space="preserve">nelicencētu </w:t>
      </w:r>
      <w:r w:rsidR="00B12894">
        <w:rPr>
          <w:rFonts w:ascii="Times New Roman" w:hAnsi="Times New Roman" w:cs="Times New Roman"/>
          <w:sz w:val="24"/>
          <w:szCs w:val="24"/>
        </w:rPr>
        <w:t xml:space="preserve">interaktīvo </w:t>
      </w:r>
      <w:r>
        <w:rPr>
          <w:rFonts w:ascii="Times New Roman" w:hAnsi="Times New Roman" w:cs="Times New Roman"/>
          <w:sz w:val="24"/>
          <w:szCs w:val="24"/>
        </w:rPr>
        <w:t>azartspēļu</w:t>
      </w:r>
      <w:r w:rsidR="00B12894">
        <w:rPr>
          <w:rFonts w:ascii="Times New Roman" w:hAnsi="Times New Roman" w:cs="Times New Roman"/>
          <w:sz w:val="24"/>
          <w:szCs w:val="24"/>
        </w:rPr>
        <w:t xml:space="preserve"> un interaktīvo izložu</w:t>
      </w:r>
      <w:r>
        <w:rPr>
          <w:rFonts w:ascii="Times New Roman" w:hAnsi="Times New Roman" w:cs="Times New Roman"/>
          <w:sz w:val="24"/>
          <w:szCs w:val="24"/>
        </w:rPr>
        <w:t xml:space="preserve"> vietņu bloķēšanas (piekļuves ierobežošanas). Vienlaikus a</w:t>
      </w:r>
      <w:r w:rsidRPr="006B065B">
        <w:rPr>
          <w:rFonts w:ascii="Times New Roman" w:hAnsi="Times New Roman" w:cs="Times New Roman"/>
          <w:sz w:val="24"/>
          <w:szCs w:val="24"/>
        </w:rPr>
        <w:t>nalizējot pašreiz spēkā esošos normatīvos aktus salīdzinājumā ar citām valstīm, Latvijā ir iespējams efektīvāk nodrošināt nelicencēto interaktīvo vietņu bloķēšanu, jo nav nepieciešams saņemt tiesas atļauju, kas, piemēram, ir obligāts priekšnosacījums Lietuvā un Dānijā.</w:t>
      </w:r>
    </w:p>
    <w:p w14:paraId="164E8AED"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5E3461E4" w14:textId="77777777" w:rsidR="005411B8"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Tāpat tika noteiktas </w:t>
      </w:r>
      <w:r w:rsidRPr="00D16632">
        <w:rPr>
          <w:rFonts w:ascii="Times New Roman" w:hAnsi="Times New Roman" w:cs="Times New Roman"/>
          <w:sz w:val="24"/>
          <w:szCs w:val="24"/>
        </w:rPr>
        <w:t xml:space="preserve">minimālās piekļuves ierobežošanas prasības un arī </w:t>
      </w:r>
      <w:r w:rsidRPr="00D16632">
        <w:rPr>
          <w:rFonts w:ascii="Times New Roman" w:hAnsi="Times New Roman" w:cs="Times New Roman"/>
          <w:sz w:val="24"/>
          <w:szCs w:val="24"/>
          <w:u w:val="single"/>
        </w:rPr>
        <w:t xml:space="preserve">tiesības elektronisko pakalpojumu sniedzējam izvēlēties tehnoloģisko risinājumu, kā tiek ierobežota piekļuve </w:t>
      </w:r>
      <w:r w:rsidRPr="00D16632">
        <w:rPr>
          <w:rFonts w:ascii="Times New Roman" w:hAnsi="Times New Roman" w:cs="Times New Roman"/>
          <w:sz w:val="24"/>
          <w:szCs w:val="24"/>
        </w:rPr>
        <w:t>attiecīgajai tīme</w:t>
      </w:r>
      <w:r>
        <w:rPr>
          <w:rFonts w:ascii="Times New Roman" w:hAnsi="Times New Roman" w:cs="Times New Roman"/>
          <w:sz w:val="24"/>
          <w:szCs w:val="24"/>
        </w:rPr>
        <w:t>kļa vietnei sev piemērotā veidā.</w:t>
      </w:r>
    </w:p>
    <w:p w14:paraId="1A9C3FB9"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Grozījuma mērķis:</w:t>
      </w:r>
      <w:r>
        <w:rPr>
          <w:rFonts w:ascii="Times New Roman" w:hAnsi="Times New Roman" w:cs="Times New Roman"/>
          <w:sz w:val="24"/>
          <w:szCs w:val="24"/>
        </w:rPr>
        <w:t xml:space="preserve"> K</w:t>
      </w:r>
      <w:r w:rsidRPr="00254036">
        <w:rPr>
          <w:rFonts w:ascii="Times New Roman" w:hAnsi="Times New Roman" w:cs="Times New Roman"/>
          <w:sz w:val="24"/>
          <w:szCs w:val="24"/>
        </w:rPr>
        <w:t xml:space="preserve">atra elektronisko sakaru komersanta tehnoloģiskās iespējas ir atšķirīgas, piemēram, liedzot mājaslapas domēna izmantošanu, ierobežojot mājaslapas </w:t>
      </w:r>
      <w:proofErr w:type="spellStart"/>
      <w:r w:rsidRPr="00254036">
        <w:rPr>
          <w:rFonts w:ascii="Times New Roman" w:hAnsi="Times New Roman" w:cs="Times New Roman"/>
          <w:sz w:val="24"/>
          <w:szCs w:val="24"/>
        </w:rPr>
        <w:t>apakšsadaļu</w:t>
      </w:r>
      <w:proofErr w:type="spellEnd"/>
      <w:r w:rsidRPr="00254036">
        <w:rPr>
          <w:rFonts w:ascii="Times New Roman" w:hAnsi="Times New Roman" w:cs="Times New Roman"/>
          <w:sz w:val="24"/>
          <w:szCs w:val="24"/>
        </w:rPr>
        <w:t xml:space="preserve"> pieejamību vai bloķējot interneta protokola (IP) adresi. Līdz ar to </w:t>
      </w:r>
      <w:r>
        <w:rPr>
          <w:rFonts w:ascii="Times New Roman" w:hAnsi="Times New Roman" w:cs="Times New Roman"/>
          <w:sz w:val="24"/>
          <w:szCs w:val="24"/>
        </w:rPr>
        <w:t xml:space="preserve">bija nepieciešams </w:t>
      </w:r>
      <w:r w:rsidRPr="00254036">
        <w:rPr>
          <w:rFonts w:ascii="Times New Roman" w:hAnsi="Times New Roman" w:cs="Times New Roman"/>
          <w:sz w:val="24"/>
          <w:szCs w:val="24"/>
        </w:rPr>
        <w:t>tiesības elektronisko sakaru komersantam izvēlēties tehnoloģisko risinājumu, kā tiek ierobežota piekļuve attiecīgajai tīmekļa vietnei, sev piemērotā veidā, vienlaikus nosakot piekļuves ierobežošanas apjomu, ko var izpildīt visi elektronisko sakaru komersanti un par kura nenodrošināšanu tiktu piemērota piespiedu nauda, pamatojoties uz Administratīvā procesa likumā noteikto.</w:t>
      </w:r>
      <w:r w:rsidR="004F33EB">
        <w:rPr>
          <w:rFonts w:ascii="Times New Roman" w:hAnsi="Times New Roman" w:cs="Times New Roman"/>
          <w:sz w:val="24"/>
          <w:szCs w:val="24"/>
        </w:rPr>
        <w:t xml:space="preserve"> Attiecīgi, grozījumi uzlaboja tīmekļa vietņu piekļuves ierobežošanas tehniskā izpildījuma procesu, paaugstinot tā efektivitāti.</w:t>
      </w:r>
    </w:p>
    <w:p w14:paraId="77455227"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Pašreizējā situācija:</w:t>
      </w:r>
      <w:r>
        <w:rPr>
          <w:rFonts w:ascii="Times New Roman" w:hAnsi="Times New Roman" w:cs="Times New Roman"/>
          <w:sz w:val="24"/>
          <w:szCs w:val="24"/>
        </w:rPr>
        <w:t xml:space="preserve"> Pēc IAUI sniegtās informācijas secināms, ka IAUI sadarbība ar elektronisko sakaru komersantiem ir veiksmīga un līdz šim IAUI pieprasījumi</w:t>
      </w:r>
      <w:r w:rsidR="008A64B5">
        <w:rPr>
          <w:rFonts w:ascii="Times New Roman" w:hAnsi="Times New Roman" w:cs="Times New Roman"/>
          <w:sz w:val="24"/>
          <w:szCs w:val="24"/>
        </w:rPr>
        <w:t xml:space="preserve"> nelegālo vietņu bloķēšanai</w:t>
      </w:r>
      <w:r>
        <w:rPr>
          <w:rFonts w:ascii="Times New Roman" w:hAnsi="Times New Roman" w:cs="Times New Roman"/>
          <w:sz w:val="24"/>
          <w:szCs w:val="24"/>
        </w:rPr>
        <w:t xml:space="preserve"> tiek izpildīti laikus.</w:t>
      </w:r>
    </w:p>
    <w:p w14:paraId="396D99FB"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3CB8F6BE"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4F33EB">
        <w:rPr>
          <w:rFonts w:ascii="Times New Roman" w:hAnsi="Times New Roman" w:cs="Times New Roman"/>
          <w:b/>
          <w:i/>
          <w:sz w:val="24"/>
          <w:szCs w:val="24"/>
        </w:rPr>
        <w:t xml:space="preserve">Grozījumi Latvijas Administratīvo pārkāpumu kodeksā </w:t>
      </w:r>
      <w:r w:rsidRPr="004F33EB">
        <w:rPr>
          <w:rFonts w:ascii="Times New Roman" w:hAnsi="Times New Roman" w:cs="Times New Roman"/>
          <w:i/>
          <w:sz w:val="24"/>
          <w:szCs w:val="24"/>
        </w:rPr>
        <w:t>(stājās spēkā</w:t>
      </w:r>
      <w:r w:rsidR="0072069F" w:rsidRPr="004F33EB">
        <w:rPr>
          <w:rFonts w:ascii="Times New Roman" w:hAnsi="Times New Roman" w:cs="Times New Roman"/>
          <w:i/>
          <w:sz w:val="24"/>
          <w:szCs w:val="24"/>
        </w:rPr>
        <w:t xml:space="preserve"> 2019.gada 13.aprīlī)</w:t>
      </w:r>
      <w:r w:rsidR="004F33EB">
        <w:rPr>
          <w:rFonts w:ascii="Times New Roman" w:hAnsi="Times New Roman" w:cs="Times New Roman"/>
          <w:i/>
          <w:sz w:val="24"/>
          <w:szCs w:val="24"/>
        </w:rPr>
        <w:t xml:space="preserve"> </w:t>
      </w:r>
      <w:r w:rsidR="0023504F" w:rsidRPr="004F33EB">
        <w:rPr>
          <w:rFonts w:ascii="Times New Roman" w:hAnsi="Times New Roman" w:cs="Times New Roman"/>
          <w:i/>
          <w:sz w:val="24"/>
          <w:szCs w:val="24"/>
        </w:rPr>
        <w:t>un</w:t>
      </w:r>
      <w:r w:rsidR="004F33EB">
        <w:rPr>
          <w:rFonts w:ascii="Times New Roman" w:hAnsi="Times New Roman" w:cs="Times New Roman"/>
          <w:i/>
          <w:sz w:val="24"/>
          <w:szCs w:val="24"/>
        </w:rPr>
        <w:t xml:space="preserve"> </w:t>
      </w:r>
      <w:r w:rsidR="0072069F" w:rsidRPr="004F33EB">
        <w:rPr>
          <w:rFonts w:ascii="Times New Roman" w:hAnsi="Times New Roman" w:cs="Times New Roman"/>
          <w:b/>
          <w:bCs/>
          <w:i/>
          <w:sz w:val="24"/>
          <w:szCs w:val="24"/>
        </w:rPr>
        <w:t>Grozījumi Azartspēļu un izložu likumā</w:t>
      </w:r>
      <w:r w:rsidR="0072069F" w:rsidRPr="004F33EB">
        <w:rPr>
          <w:rFonts w:ascii="Times New Roman" w:hAnsi="Times New Roman" w:cs="Times New Roman"/>
          <w:i/>
          <w:sz w:val="24"/>
          <w:szCs w:val="24"/>
        </w:rPr>
        <w:t xml:space="preserve"> (likumprojekts Nr.456/Lp13)</w:t>
      </w:r>
    </w:p>
    <w:p w14:paraId="1EDEB895" w14:textId="77777777" w:rsidR="005411B8" w:rsidRDefault="005411B8" w:rsidP="005411B8">
      <w:pPr>
        <w:spacing w:line="240" w:lineRule="auto"/>
        <w:ind w:firstLine="357"/>
        <w:contextualSpacing/>
        <w:jc w:val="both"/>
        <w:rPr>
          <w:rFonts w:ascii="Times New Roman" w:hAnsi="Times New Roman" w:cs="Times New Roman"/>
          <w:sz w:val="24"/>
          <w:szCs w:val="24"/>
        </w:rPr>
      </w:pPr>
    </w:p>
    <w:p w14:paraId="615BF2A2" w14:textId="77777777" w:rsidR="005411B8"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Lai nodrošinātu, ka </w:t>
      </w:r>
      <w:r w:rsidRPr="001446C1">
        <w:rPr>
          <w:rFonts w:ascii="Times New Roman" w:hAnsi="Times New Roman" w:cs="Times New Roman"/>
          <w:sz w:val="24"/>
          <w:szCs w:val="24"/>
          <w:u w:val="single"/>
        </w:rPr>
        <w:t>personai par dalību Latvij</w:t>
      </w:r>
      <w:r w:rsidR="000219D1">
        <w:rPr>
          <w:rFonts w:ascii="Times New Roman" w:hAnsi="Times New Roman" w:cs="Times New Roman"/>
          <w:sz w:val="24"/>
          <w:szCs w:val="24"/>
          <w:u w:val="single"/>
        </w:rPr>
        <w:t>ā</w:t>
      </w:r>
      <w:r w:rsidRPr="001446C1">
        <w:rPr>
          <w:rFonts w:ascii="Times New Roman" w:hAnsi="Times New Roman" w:cs="Times New Roman"/>
          <w:sz w:val="24"/>
          <w:szCs w:val="24"/>
          <w:u w:val="single"/>
        </w:rPr>
        <w:t xml:space="preserve"> nelicencētās interaktīvās azartspēlēs</w:t>
      </w:r>
      <w:r w:rsidR="002A4B2D">
        <w:rPr>
          <w:rFonts w:ascii="Times New Roman" w:hAnsi="Times New Roman" w:cs="Times New Roman"/>
          <w:sz w:val="24"/>
          <w:szCs w:val="24"/>
          <w:u w:val="single"/>
        </w:rPr>
        <w:t xml:space="preserve"> un interaktīvās izlozēs</w:t>
      </w:r>
      <w:r w:rsidRPr="001446C1">
        <w:rPr>
          <w:rFonts w:ascii="Times New Roman" w:hAnsi="Times New Roman" w:cs="Times New Roman"/>
          <w:sz w:val="24"/>
          <w:szCs w:val="24"/>
          <w:u w:val="single"/>
        </w:rPr>
        <w:t xml:space="preserve"> tiktu noteikta administratīvā atbildība</w:t>
      </w:r>
      <w:r>
        <w:rPr>
          <w:rFonts w:ascii="Times New Roman" w:hAnsi="Times New Roman" w:cs="Times New Roman"/>
          <w:sz w:val="24"/>
          <w:szCs w:val="24"/>
        </w:rPr>
        <w:t>, tika veikti grozījumi Latvijas Administratīvo pārkāpumu kodeksā.</w:t>
      </w:r>
    </w:p>
    <w:p w14:paraId="1F782E22"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Grozījumu mērķis</w:t>
      </w:r>
      <w:r w:rsidR="00480708" w:rsidRPr="00631CC3">
        <w:rPr>
          <w:rFonts w:ascii="Times New Roman" w:hAnsi="Times New Roman" w:cs="Times New Roman"/>
          <w:b/>
          <w:bCs/>
          <w:iCs/>
          <w:sz w:val="24"/>
          <w:szCs w:val="24"/>
        </w:rPr>
        <w:t>:</w:t>
      </w:r>
      <w:r w:rsidR="00480708">
        <w:rPr>
          <w:rFonts w:ascii="Times New Roman" w:hAnsi="Times New Roman" w:cs="Times New Roman"/>
          <w:sz w:val="24"/>
          <w:szCs w:val="24"/>
        </w:rPr>
        <w:t xml:space="preserve"> Ņemot vērā, ka Azartspēļu un izložu likums nosaka aizliegumu personai piedalīties Latvijā nelicencētās azartspēlēs</w:t>
      </w:r>
      <w:r w:rsidR="00CC07BF">
        <w:rPr>
          <w:rFonts w:ascii="Times New Roman" w:hAnsi="Times New Roman" w:cs="Times New Roman"/>
          <w:sz w:val="24"/>
          <w:szCs w:val="24"/>
        </w:rPr>
        <w:t xml:space="preserve"> un interaktīvās izlozēs</w:t>
      </w:r>
      <w:r w:rsidR="00081082">
        <w:rPr>
          <w:rFonts w:ascii="Times New Roman" w:hAnsi="Times New Roman" w:cs="Times New Roman"/>
          <w:sz w:val="24"/>
          <w:szCs w:val="24"/>
        </w:rPr>
        <w:t>,</w:t>
      </w:r>
      <w:r w:rsidR="00153366">
        <w:rPr>
          <w:rFonts w:ascii="Times New Roman" w:hAnsi="Times New Roman" w:cs="Times New Roman"/>
          <w:sz w:val="24"/>
          <w:szCs w:val="24"/>
        </w:rPr>
        <w:t xml:space="preserve"> kā arī apstākli, ka minētajā likumā nav iekļauti mehānismi, kas var paredzēt atbildību par šāda aizlieguma neievērošanu, tika izstrādāti grozījumi Latvijas Administratīvo pārkāpumu kodeksā. </w:t>
      </w:r>
      <w:r w:rsidR="00081082">
        <w:rPr>
          <w:rFonts w:ascii="Times New Roman" w:hAnsi="Times New Roman" w:cs="Times New Roman"/>
          <w:sz w:val="24"/>
          <w:szCs w:val="24"/>
        </w:rPr>
        <w:t xml:space="preserve">Tāpat, administratīvās </w:t>
      </w:r>
      <w:r>
        <w:rPr>
          <w:rFonts w:ascii="Times New Roman" w:hAnsi="Times New Roman" w:cs="Times New Roman"/>
          <w:sz w:val="24"/>
          <w:szCs w:val="24"/>
        </w:rPr>
        <w:t>atbildības noteikšana fiziskai personai ir būtiska, lai radītu papildu instrumentu</w:t>
      </w:r>
      <w:r w:rsidR="00B87DCA">
        <w:rPr>
          <w:rFonts w:ascii="Times New Roman" w:hAnsi="Times New Roman" w:cs="Times New Roman"/>
          <w:sz w:val="24"/>
          <w:szCs w:val="24"/>
        </w:rPr>
        <w:t>,</w:t>
      </w:r>
      <w:r>
        <w:rPr>
          <w:rFonts w:ascii="Times New Roman" w:hAnsi="Times New Roman" w:cs="Times New Roman"/>
          <w:sz w:val="24"/>
          <w:szCs w:val="24"/>
        </w:rPr>
        <w:t xml:space="preserve"> ar kuru būtu iespējams mazināt interaktīvo azartspēļu vai interaktīvo izložu negatīvo ietekmi.</w:t>
      </w:r>
    </w:p>
    <w:p w14:paraId="608E9CCD" w14:textId="77777777" w:rsidR="00E47026"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Pašreizējā situācija:</w:t>
      </w:r>
      <w:r>
        <w:rPr>
          <w:rFonts w:ascii="Times New Roman" w:hAnsi="Times New Roman" w:cs="Times New Roman"/>
          <w:sz w:val="24"/>
          <w:szCs w:val="24"/>
        </w:rPr>
        <w:t xml:space="preserve"> </w:t>
      </w:r>
      <w:r w:rsidR="00153366">
        <w:rPr>
          <w:rFonts w:ascii="Times New Roman" w:hAnsi="Times New Roman" w:cs="Times New Roman"/>
          <w:sz w:val="24"/>
          <w:szCs w:val="24"/>
        </w:rPr>
        <w:t>Ņemot vērā, ka Latvijas Administratīvo pārkāpumu kodekss zaudēja spēk</w:t>
      </w:r>
      <w:r w:rsidR="003B6AD9">
        <w:rPr>
          <w:rFonts w:ascii="Times New Roman" w:hAnsi="Times New Roman" w:cs="Times New Roman"/>
          <w:sz w:val="24"/>
          <w:szCs w:val="24"/>
        </w:rPr>
        <w:t>u 2020.gada 1.jūlijā, kā arī</w:t>
      </w:r>
      <w:r w:rsidR="00153366">
        <w:rPr>
          <w:rFonts w:ascii="Times New Roman" w:hAnsi="Times New Roman" w:cs="Times New Roman"/>
          <w:sz w:val="24"/>
          <w:szCs w:val="24"/>
        </w:rPr>
        <w:t xml:space="preserve"> </w:t>
      </w:r>
      <w:r w:rsidR="003B6AD9">
        <w:rPr>
          <w:rFonts w:ascii="Times New Roman" w:hAnsi="Times New Roman" w:cs="Times New Roman"/>
          <w:sz w:val="24"/>
          <w:szCs w:val="24"/>
        </w:rPr>
        <w:t>ņemot vērā</w:t>
      </w:r>
      <w:r w:rsidR="003B6AD9" w:rsidRPr="00CB6351">
        <w:rPr>
          <w:rFonts w:ascii="Times New Roman" w:hAnsi="Times New Roman" w:cs="Times New Roman"/>
          <w:sz w:val="24"/>
          <w:szCs w:val="24"/>
        </w:rPr>
        <w:t xml:space="preserve"> </w:t>
      </w:r>
      <w:r w:rsidRPr="00CB6351">
        <w:rPr>
          <w:rFonts w:ascii="Times New Roman" w:hAnsi="Times New Roman" w:cs="Times New Roman"/>
          <w:sz w:val="24"/>
          <w:szCs w:val="24"/>
        </w:rPr>
        <w:t>Ministru kabineta 2014.gada 22.aprīļa sēdes protokola Nr.24 26.§ “Informatīvais ziņojums “Nozaru administratīvo pārkāpumu kodifikācijas ieviešanas sistēma”” 2.punktu, pirmā kodifikācijas ieviešanas ziņojuma 3.punktu un otrā kodifikācijas ieviešanas ziņojuma 4.punktu</w:t>
      </w:r>
      <w:r w:rsidR="003B6AD9">
        <w:rPr>
          <w:rFonts w:ascii="Times New Roman" w:hAnsi="Times New Roman" w:cs="Times New Roman"/>
          <w:sz w:val="24"/>
          <w:szCs w:val="24"/>
        </w:rPr>
        <w:t>,</w:t>
      </w:r>
      <w:r w:rsidRPr="00CB6351">
        <w:rPr>
          <w:rFonts w:ascii="Times New Roman" w:hAnsi="Times New Roman" w:cs="Times New Roman"/>
          <w:sz w:val="24"/>
          <w:szCs w:val="24"/>
        </w:rPr>
        <w:t xml:space="preserve"> Finanšu ministrija izstrādāja grozījumus Azartspēļu un izložu likumā (</w:t>
      </w:r>
      <w:r w:rsidR="0072069F">
        <w:rPr>
          <w:rFonts w:ascii="Times New Roman" w:hAnsi="Times New Roman" w:cs="Times New Roman"/>
          <w:sz w:val="24"/>
          <w:szCs w:val="24"/>
        </w:rPr>
        <w:t>l</w:t>
      </w:r>
      <w:r>
        <w:rPr>
          <w:rFonts w:ascii="Times New Roman" w:hAnsi="Times New Roman" w:cs="Times New Roman"/>
          <w:sz w:val="24"/>
          <w:szCs w:val="24"/>
        </w:rPr>
        <w:t xml:space="preserve">ikumprojekts </w:t>
      </w:r>
      <w:r w:rsidRPr="00CB6351">
        <w:rPr>
          <w:rFonts w:ascii="Times New Roman" w:hAnsi="Times New Roman" w:cs="Times New Roman"/>
          <w:sz w:val="24"/>
          <w:szCs w:val="24"/>
        </w:rPr>
        <w:t xml:space="preserve">Nr.456/Lp13), kurā tika iekļautas </w:t>
      </w:r>
      <w:r>
        <w:rPr>
          <w:rFonts w:ascii="Times New Roman" w:hAnsi="Times New Roman" w:cs="Times New Roman"/>
          <w:sz w:val="24"/>
          <w:szCs w:val="24"/>
        </w:rPr>
        <w:t xml:space="preserve">detalizētākas normas, kas paredz administratīvo atbildību azartspēļu un izložu jomā, tai skaitā par dalību </w:t>
      </w:r>
      <w:r w:rsidR="00792C38">
        <w:rPr>
          <w:rFonts w:ascii="Times New Roman" w:hAnsi="Times New Roman" w:cs="Times New Roman"/>
          <w:sz w:val="24"/>
          <w:szCs w:val="24"/>
        </w:rPr>
        <w:t xml:space="preserve">Latvijā </w:t>
      </w:r>
      <w:r>
        <w:rPr>
          <w:rFonts w:ascii="Times New Roman" w:hAnsi="Times New Roman" w:cs="Times New Roman"/>
          <w:sz w:val="24"/>
          <w:szCs w:val="24"/>
        </w:rPr>
        <w:t>nelicencētās interaktīvajās azartspēlēs</w:t>
      </w:r>
      <w:r w:rsidR="00792C38">
        <w:rPr>
          <w:rFonts w:ascii="Times New Roman" w:hAnsi="Times New Roman" w:cs="Times New Roman"/>
          <w:sz w:val="24"/>
          <w:szCs w:val="24"/>
        </w:rPr>
        <w:t xml:space="preserve"> un interaktīvajās izlozēs</w:t>
      </w:r>
      <w:r>
        <w:rPr>
          <w:rFonts w:ascii="Times New Roman" w:hAnsi="Times New Roman" w:cs="Times New Roman"/>
          <w:sz w:val="24"/>
          <w:szCs w:val="24"/>
        </w:rPr>
        <w:t xml:space="preserve">. </w:t>
      </w:r>
      <w:r w:rsidRPr="00CB6351">
        <w:rPr>
          <w:rFonts w:ascii="Times New Roman" w:hAnsi="Times New Roman" w:cs="Times New Roman"/>
          <w:sz w:val="24"/>
          <w:szCs w:val="24"/>
        </w:rPr>
        <w:t>Šobrīd likumprojekta “Grozījumi Azartspēļu un izložu likumā</w:t>
      </w:r>
      <w:r w:rsidR="00B87DCA">
        <w:rPr>
          <w:rFonts w:ascii="Times New Roman" w:hAnsi="Times New Roman" w:cs="Times New Roman"/>
          <w:sz w:val="24"/>
          <w:szCs w:val="24"/>
        </w:rPr>
        <w:t>”</w:t>
      </w:r>
      <w:r w:rsidRPr="00CB6351">
        <w:rPr>
          <w:rFonts w:ascii="Times New Roman" w:hAnsi="Times New Roman" w:cs="Times New Roman"/>
          <w:sz w:val="24"/>
          <w:szCs w:val="24"/>
        </w:rPr>
        <w:t xml:space="preserve"> (Nr.456/Lp13) </w:t>
      </w:r>
      <w:r w:rsidRPr="003A2AD6">
        <w:rPr>
          <w:rFonts w:ascii="Times New Roman" w:hAnsi="Times New Roman" w:cs="Times New Roman"/>
          <w:sz w:val="24"/>
          <w:szCs w:val="24"/>
        </w:rPr>
        <w:t>izskatīšana turpinās Budžeta un finanšu (nodokļu) komisijā trešajā lasījumā</w:t>
      </w:r>
      <w:r w:rsidR="003A2AD6" w:rsidRPr="003A2AD6">
        <w:rPr>
          <w:rFonts w:ascii="Times New Roman" w:hAnsi="Times New Roman" w:cs="Times New Roman"/>
          <w:sz w:val="24"/>
          <w:szCs w:val="24"/>
        </w:rPr>
        <w:t xml:space="preserve"> </w:t>
      </w:r>
      <w:r w:rsidR="003A2AD6">
        <w:rPr>
          <w:rFonts w:ascii="Times New Roman" w:hAnsi="Times New Roman" w:cs="Times New Roman"/>
          <w:sz w:val="24"/>
          <w:szCs w:val="24"/>
        </w:rPr>
        <w:t>un attiecīgi šis risinājums praktiski netiek darbināts.</w:t>
      </w:r>
    </w:p>
    <w:p w14:paraId="5A224521" w14:textId="77777777" w:rsidR="005411B8" w:rsidRDefault="009C3F56" w:rsidP="005411B8">
      <w:pPr>
        <w:spacing w:line="240" w:lineRule="auto"/>
        <w:jc w:val="both"/>
        <w:rPr>
          <w:rFonts w:ascii="Times New Roman" w:hAnsi="Times New Roman" w:cs="Times New Roman"/>
          <w:sz w:val="24"/>
          <w:szCs w:val="24"/>
        </w:rPr>
      </w:pPr>
      <w:r>
        <w:rPr>
          <w:rFonts w:ascii="Times New Roman" w:hAnsi="Times New Roman" w:cs="Times New Roman"/>
          <w:sz w:val="24"/>
          <w:szCs w:val="24"/>
        </w:rPr>
        <w:t>Papildus tam, būtu iespējams n</w:t>
      </w:r>
      <w:r w:rsidRPr="009C3F56">
        <w:rPr>
          <w:rFonts w:ascii="Times New Roman" w:hAnsi="Times New Roman" w:cs="Times New Roman"/>
          <w:sz w:val="24"/>
          <w:szCs w:val="24"/>
        </w:rPr>
        <w:t>oteikt atbildību arī</w:t>
      </w:r>
      <w:r>
        <w:rPr>
          <w:rFonts w:ascii="Times New Roman" w:hAnsi="Times New Roman" w:cs="Times New Roman"/>
          <w:sz w:val="24"/>
          <w:szCs w:val="24"/>
        </w:rPr>
        <w:t xml:space="preserve"> juridiskajām personām, ņemot vērā ka</w:t>
      </w:r>
      <w:r w:rsidRPr="009C3F56">
        <w:rPr>
          <w:rFonts w:ascii="Times New Roman" w:hAnsi="Times New Roman" w:cs="Times New Roman"/>
          <w:sz w:val="24"/>
          <w:szCs w:val="24"/>
        </w:rPr>
        <w:t xml:space="preserve"> darbībās ar Latvijā nelicencētām interaktīvajām azartspēlēm </w:t>
      </w:r>
      <w:r>
        <w:rPr>
          <w:rFonts w:ascii="Times New Roman" w:hAnsi="Times New Roman" w:cs="Times New Roman"/>
          <w:sz w:val="24"/>
          <w:szCs w:val="24"/>
        </w:rPr>
        <w:t>tiek izmantotas arī</w:t>
      </w:r>
      <w:r w:rsidRPr="009C3F56">
        <w:rPr>
          <w:rFonts w:ascii="Times New Roman" w:hAnsi="Times New Roman" w:cs="Times New Roman"/>
          <w:sz w:val="24"/>
          <w:szCs w:val="24"/>
        </w:rPr>
        <w:t xml:space="preserve"> Latvijas Republikas </w:t>
      </w:r>
      <w:r>
        <w:rPr>
          <w:rFonts w:ascii="Times New Roman" w:hAnsi="Times New Roman" w:cs="Times New Roman"/>
          <w:sz w:val="24"/>
          <w:szCs w:val="24"/>
        </w:rPr>
        <w:t>juridisko personu</w:t>
      </w:r>
      <w:r w:rsidRPr="009C3F56">
        <w:rPr>
          <w:rFonts w:ascii="Times New Roman" w:hAnsi="Times New Roman" w:cs="Times New Roman"/>
          <w:sz w:val="24"/>
          <w:szCs w:val="24"/>
        </w:rPr>
        <w:t xml:space="preserve"> norēķinu karte</w:t>
      </w:r>
      <w:r>
        <w:rPr>
          <w:rFonts w:ascii="Times New Roman" w:hAnsi="Times New Roman" w:cs="Times New Roman"/>
          <w:sz w:val="24"/>
          <w:szCs w:val="24"/>
        </w:rPr>
        <w:t>s, tādejādi apejot regulējumu, k</w:t>
      </w:r>
      <w:r w:rsidR="00B87DCA">
        <w:rPr>
          <w:rFonts w:ascii="Times New Roman" w:hAnsi="Times New Roman" w:cs="Times New Roman"/>
          <w:sz w:val="24"/>
          <w:szCs w:val="24"/>
        </w:rPr>
        <w:t>as</w:t>
      </w:r>
      <w:r>
        <w:rPr>
          <w:rFonts w:ascii="Times New Roman" w:hAnsi="Times New Roman" w:cs="Times New Roman"/>
          <w:sz w:val="24"/>
          <w:szCs w:val="24"/>
        </w:rPr>
        <w:t xml:space="preserve"> nosaka fiziskās personas at</w:t>
      </w:r>
      <w:r w:rsidR="005411B8">
        <w:rPr>
          <w:rFonts w:ascii="Times New Roman" w:hAnsi="Times New Roman" w:cs="Times New Roman"/>
          <w:sz w:val="24"/>
          <w:szCs w:val="24"/>
        </w:rPr>
        <w:t>bildību par attiecīgo pārkāpumu.</w:t>
      </w:r>
    </w:p>
    <w:p w14:paraId="6FC2E8F7" w14:textId="77777777" w:rsidR="005411B8" w:rsidRDefault="00E47026" w:rsidP="005411B8">
      <w:pPr>
        <w:spacing w:line="240" w:lineRule="auto"/>
        <w:ind w:firstLine="357"/>
        <w:jc w:val="both"/>
        <w:rPr>
          <w:rFonts w:ascii="Times New Roman" w:hAnsi="Times New Roman" w:cs="Times New Roman"/>
          <w:sz w:val="24"/>
          <w:szCs w:val="24"/>
        </w:rPr>
      </w:pPr>
      <w:r w:rsidRPr="003A2AD6">
        <w:rPr>
          <w:rFonts w:ascii="Times New Roman" w:hAnsi="Times New Roman" w:cs="Times New Roman"/>
          <w:b/>
          <w:bCs/>
          <w:i/>
          <w:sz w:val="24"/>
          <w:szCs w:val="24"/>
        </w:rPr>
        <w:t xml:space="preserve">Grozījumi Azartspēļu un izložu likumā </w:t>
      </w:r>
      <w:r w:rsidRPr="003A2AD6">
        <w:rPr>
          <w:rFonts w:ascii="Times New Roman" w:hAnsi="Times New Roman" w:cs="Times New Roman"/>
          <w:bCs/>
          <w:i/>
          <w:sz w:val="24"/>
          <w:szCs w:val="24"/>
        </w:rPr>
        <w:t>(stājās spēkā</w:t>
      </w:r>
      <w:r w:rsidR="00C3524D" w:rsidRPr="003A2AD6">
        <w:rPr>
          <w:rFonts w:ascii="Times New Roman" w:hAnsi="Times New Roman" w:cs="Times New Roman"/>
          <w:bCs/>
          <w:i/>
          <w:sz w:val="24"/>
          <w:szCs w:val="24"/>
        </w:rPr>
        <w:t xml:space="preserve"> 2019.gada 13.aprīlī)</w:t>
      </w:r>
    </w:p>
    <w:p w14:paraId="23702DBD"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B065B">
        <w:rPr>
          <w:rFonts w:ascii="Times New Roman" w:hAnsi="Times New Roman" w:cs="Times New Roman"/>
          <w:bCs/>
          <w:sz w:val="24"/>
          <w:szCs w:val="24"/>
        </w:rPr>
        <w:t>Grozījumi Azartspēļu un izložu likumā</w:t>
      </w:r>
      <w:r w:rsidRPr="00CB6351">
        <w:rPr>
          <w:rFonts w:ascii="Times New Roman" w:hAnsi="Times New Roman" w:cs="Times New Roman"/>
          <w:sz w:val="24"/>
          <w:szCs w:val="24"/>
        </w:rPr>
        <w:t xml:space="preserve"> not</w:t>
      </w:r>
      <w:r>
        <w:rPr>
          <w:rFonts w:ascii="Times New Roman" w:hAnsi="Times New Roman" w:cs="Times New Roman"/>
          <w:sz w:val="24"/>
          <w:szCs w:val="24"/>
        </w:rPr>
        <w:t>eic</w:t>
      </w:r>
      <w:r w:rsidRPr="00CB6351">
        <w:rPr>
          <w:rFonts w:ascii="Times New Roman" w:hAnsi="Times New Roman" w:cs="Times New Roman"/>
          <w:sz w:val="24"/>
          <w:szCs w:val="24"/>
        </w:rPr>
        <w:t xml:space="preserve"> </w:t>
      </w:r>
      <w:r w:rsidRPr="006B065B">
        <w:rPr>
          <w:rFonts w:ascii="Times New Roman" w:hAnsi="Times New Roman" w:cs="Times New Roman"/>
          <w:sz w:val="24"/>
          <w:szCs w:val="24"/>
          <w:u w:val="single"/>
        </w:rPr>
        <w:t>aizliegumu personai piedalīties</w:t>
      </w:r>
      <w:r>
        <w:rPr>
          <w:rFonts w:ascii="Times New Roman" w:hAnsi="Times New Roman" w:cs="Times New Roman"/>
          <w:sz w:val="24"/>
          <w:szCs w:val="24"/>
          <w:u w:val="single"/>
        </w:rPr>
        <w:t xml:space="preserve"> Latvijā</w:t>
      </w:r>
      <w:r w:rsidRPr="006B065B">
        <w:rPr>
          <w:rFonts w:ascii="Times New Roman" w:hAnsi="Times New Roman" w:cs="Times New Roman"/>
          <w:sz w:val="24"/>
          <w:szCs w:val="24"/>
          <w:u w:val="single"/>
        </w:rPr>
        <w:t xml:space="preserve"> nelicencētās azartspēlēs un izlozēs</w:t>
      </w:r>
      <w:r w:rsidRPr="00CB6351">
        <w:rPr>
          <w:rFonts w:ascii="Times New Roman" w:hAnsi="Times New Roman" w:cs="Times New Roman"/>
          <w:sz w:val="24"/>
          <w:szCs w:val="24"/>
        </w:rPr>
        <w:t xml:space="preserve">. Vienlaikus ar grozījumiem Azartspēļu un izložu likumā tika noteikta iespēja </w:t>
      </w:r>
      <w:r w:rsidRPr="006B065B">
        <w:rPr>
          <w:rFonts w:ascii="Times New Roman" w:hAnsi="Times New Roman" w:cs="Times New Roman"/>
          <w:sz w:val="24"/>
          <w:szCs w:val="24"/>
          <w:u w:val="single"/>
        </w:rPr>
        <w:t>fiziskai personai pieprasīt noteikt tai liegumu spēlēt azartspēles, tai skaitā interaktīvās azartspēles</w:t>
      </w:r>
      <w:r w:rsidR="00B0607F">
        <w:rPr>
          <w:rFonts w:ascii="Times New Roman" w:hAnsi="Times New Roman" w:cs="Times New Roman"/>
          <w:sz w:val="24"/>
          <w:szCs w:val="24"/>
          <w:u w:val="single"/>
        </w:rPr>
        <w:t>,</w:t>
      </w:r>
      <w:r w:rsidRPr="006B065B">
        <w:rPr>
          <w:rFonts w:ascii="Times New Roman" w:hAnsi="Times New Roman" w:cs="Times New Roman"/>
          <w:sz w:val="24"/>
          <w:szCs w:val="24"/>
          <w:u w:val="single"/>
        </w:rPr>
        <w:t xml:space="preserve"> un interaktīvās izlozes</w:t>
      </w:r>
      <w:r w:rsidRPr="00CB6351">
        <w:rPr>
          <w:rFonts w:ascii="Times New Roman" w:hAnsi="Times New Roman" w:cs="Times New Roman"/>
          <w:sz w:val="24"/>
          <w:szCs w:val="24"/>
        </w:rPr>
        <w:t xml:space="preserve"> un iekļaut to</w:t>
      </w:r>
      <w:r w:rsidR="00792C38">
        <w:rPr>
          <w:rFonts w:ascii="Times New Roman" w:hAnsi="Times New Roman" w:cs="Times New Roman"/>
          <w:sz w:val="24"/>
          <w:szCs w:val="24"/>
        </w:rPr>
        <w:t xml:space="preserve"> no azartspēlēm un interaktīvajām izlozēm</w:t>
      </w:r>
      <w:r w:rsidRPr="00CB6351">
        <w:rPr>
          <w:rFonts w:ascii="Times New Roman" w:hAnsi="Times New Roman" w:cs="Times New Roman"/>
          <w:sz w:val="24"/>
          <w:szCs w:val="24"/>
        </w:rPr>
        <w:t xml:space="preserve"> </w:t>
      </w:r>
      <w:proofErr w:type="spellStart"/>
      <w:r w:rsidR="005411B8">
        <w:rPr>
          <w:rFonts w:ascii="Times New Roman" w:hAnsi="Times New Roman" w:cs="Times New Roman"/>
          <w:sz w:val="24"/>
          <w:szCs w:val="24"/>
        </w:rPr>
        <w:t>pašatteikušos</w:t>
      </w:r>
      <w:proofErr w:type="spellEnd"/>
      <w:r w:rsidR="005411B8">
        <w:rPr>
          <w:rFonts w:ascii="Times New Roman" w:hAnsi="Times New Roman" w:cs="Times New Roman"/>
          <w:sz w:val="24"/>
          <w:szCs w:val="24"/>
        </w:rPr>
        <w:t xml:space="preserve"> personu reģistrā.</w:t>
      </w:r>
    </w:p>
    <w:p w14:paraId="2197759E"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Grozījumu mērķis:</w:t>
      </w:r>
      <w:r>
        <w:rPr>
          <w:rFonts w:ascii="Times New Roman" w:hAnsi="Times New Roman" w:cs="Times New Roman"/>
          <w:sz w:val="24"/>
          <w:szCs w:val="24"/>
        </w:rPr>
        <w:t xml:space="preserve"> Noteiktais liegums personai piedalīties Latvijā nelicencētajās interaktīvajās azartspēlēs</w:t>
      </w:r>
      <w:r w:rsidR="00792C38">
        <w:rPr>
          <w:rFonts w:ascii="Times New Roman" w:hAnsi="Times New Roman" w:cs="Times New Roman"/>
          <w:sz w:val="24"/>
          <w:szCs w:val="24"/>
        </w:rPr>
        <w:t xml:space="preserve"> un interaktīvajās izlozēs</w:t>
      </w:r>
      <w:r>
        <w:rPr>
          <w:rFonts w:ascii="Times New Roman" w:hAnsi="Times New Roman" w:cs="Times New Roman"/>
          <w:sz w:val="24"/>
          <w:szCs w:val="24"/>
        </w:rPr>
        <w:t xml:space="preserve"> ir vērtējams kopsakarā ar elektronisko sakaru komersantu pienākumiem bloķēt </w:t>
      </w:r>
      <w:r w:rsidR="00F03B4D">
        <w:rPr>
          <w:rFonts w:ascii="Times New Roman" w:hAnsi="Times New Roman" w:cs="Times New Roman"/>
          <w:sz w:val="24"/>
          <w:szCs w:val="24"/>
        </w:rPr>
        <w:t xml:space="preserve">Latvijā </w:t>
      </w:r>
      <w:r>
        <w:rPr>
          <w:rFonts w:ascii="Times New Roman" w:hAnsi="Times New Roman" w:cs="Times New Roman"/>
          <w:sz w:val="24"/>
          <w:szCs w:val="24"/>
        </w:rPr>
        <w:t xml:space="preserve">nelicencētas vietnes, kas tika noteikts Elektronisko sakaru likumā. Vienlaikus, lai nodrošinātu iespēju spēlētājam pašiem sev noteikt ierobežojumus spēlēt azartspēles, tika izveidots </w:t>
      </w:r>
      <w:r w:rsidR="00792C38">
        <w:rPr>
          <w:rFonts w:ascii="Times New Roman" w:hAnsi="Times New Roman" w:cs="Times New Roman"/>
          <w:sz w:val="24"/>
          <w:szCs w:val="24"/>
        </w:rPr>
        <w:t xml:space="preserve">no azartspēlēm un interaktīvajām izlozēm </w:t>
      </w:r>
      <w:proofErr w:type="spellStart"/>
      <w:r>
        <w:rPr>
          <w:rFonts w:ascii="Times New Roman" w:hAnsi="Times New Roman" w:cs="Times New Roman"/>
          <w:sz w:val="24"/>
          <w:szCs w:val="24"/>
        </w:rPr>
        <w:t>pašatteikušos</w:t>
      </w:r>
      <w:proofErr w:type="spellEnd"/>
      <w:r>
        <w:rPr>
          <w:rFonts w:ascii="Times New Roman" w:hAnsi="Times New Roman" w:cs="Times New Roman"/>
          <w:sz w:val="24"/>
          <w:szCs w:val="24"/>
        </w:rPr>
        <w:t xml:space="preserve"> personu reģistrs, kas veidots kā aizsardzības mehānisms spēlētājiem.</w:t>
      </w:r>
    </w:p>
    <w:p w14:paraId="4A87EC97" w14:textId="77777777" w:rsidR="005411B8" w:rsidRDefault="00E47026" w:rsidP="005411B8">
      <w:pPr>
        <w:spacing w:line="240" w:lineRule="auto"/>
        <w:ind w:firstLine="357"/>
        <w:contextualSpacing/>
        <w:jc w:val="both"/>
        <w:rPr>
          <w:rFonts w:ascii="Times New Roman" w:hAnsi="Times New Roman" w:cs="Times New Roman"/>
          <w:sz w:val="24"/>
          <w:szCs w:val="24"/>
        </w:rPr>
      </w:pPr>
      <w:r w:rsidRPr="00631CC3">
        <w:rPr>
          <w:rFonts w:ascii="Times New Roman" w:hAnsi="Times New Roman" w:cs="Times New Roman"/>
          <w:b/>
          <w:bCs/>
          <w:iCs/>
          <w:sz w:val="24"/>
          <w:szCs w:val="24"/>
        </w:rPr>
        <w:t>Pašreizējā situācija:</w:t>
      </w:r>
      <w:r>
        <w:rPr>
          <w:rFonts w:ascii="Times New Roman" w:hAnsi="Times New Roman" w:cs="Times New Roman"/>
          <w:sz w:val="24"/>
          <w:szCs w:val="24"/>
        </w:rPr>
        <w:t xml:space="preserve"> </w:t>
      </w:r>
      <w:r w:rsidRPr="00CB6351">
        <w:rPr>
          <w:rFonts w:ascii="Times New Roman" w:hAnsi="Times New Roman" w:cs="Times New Roman"/>
          <w:sz w:val="24"/>
          <w:szCs w:val="24"/>
        </w:rPr>
        <w:t xml:space="preserve">Pēc pašreiz pieejamās informācijas, līdz 2021.gada </w:t>
      </w:r>
      <w:r>
        <w:rPr>
          <w:rFonts w:ascii="Times New Roman" w:hAnsi="Times New Roman" w:cs="Times New Roman"/>
          <w:sz w:val="24"/>
          <w:szCs w:val="24"/>
        </w:rPr>
        <w:t xml:space="preserve">5.janvārim </w:t>
      </w:r>
      <w:r w:rsidR="00792C38">
        <w:rPr>
          <w:rFonts w:ascii="Times New Roman" w:hAnsi="Times New Roman" w:cs="Times New Roman"/>
          <w:sz w:val="24"/>
          <w:szCs w:val="24"/>
        </w:rPr>
        <w:t xml:space="preserve">no azartspēlēm un interaktīvajām izlozēm </w:t>
      </w:r>
      <w:proofErr w:type="spellStart"/>
      <w:r>
        <w:rPr>
          <w:rFonts w:ascii="Times New Roman" w:hAnsi="Times New Roman" w:cs="Times New Roman"/>
          <w:sz w:val="24"/>
          <w:szCs w:val="24"/>
        </w:rPr>
        <w:t>p</w:t>
      </w:r>
      <w:r w:rsidRPr="00CB6351">
        <w:rPr>
          <w:rFonts w:ascii="Times New Roman" w:hAnsi="Times New Roman" w:cs="Times New Roman"/>
          <w:sz w:val="24"/>
          <w:szCs w:val="24"/>
        </w:rPr>
        <w:t>ašatteikušos</w:t>
      </w:r>
      <w:proofErr w:type="spellEnd"/>
      <w:r w:rsidRPr="00CB6351">
        <w:rPr>
          <w:rFonts w:ascii="Times New Roman" w:hAnsi="Times New Roman" w:cs="Times New Roman"/>
          <w:sz w:val="24"/>
          <w:szCs w:val="24"/>
        </w:rPr>
        <w:t xml:space="preserve"> personu reģistrā ir reģistrētas</w:t>
      </w:r>
      <w:r w:rsidR="003634CB">
        <w:rPr>
          <w:rFonts w:ascii="Times New Roman" w:hAnsi="Times New Roman" w:cs="Times New Roman"/>
          <w:sz w:val="24"/>
          <w:szCs w:val="24"/>
        </w:rPr>
        <w:br/>
      </w:r>
      <w:r w:rsidRPr="002D5D4A">
        <w:rPr>
          <w:rFonts w:ascii="Times New Roman" w:hAnsi="Times New Roman" w:cs="Times New Roman"/>
          <w:sz w:val="24"/>
          <w:szCs w:val="24"/>
        </w:rPr>
        <w:t>14 750</w:t>
      </w:r>
      <w:r w:rsidRPr="00CB6351">
        <w:rPr>
          <w:rFonts w:ascii="Times New Roman" w:hAnsi="Times New Roman" w:cs="Times New Roman"/>
          <w:sz w:val="24"/>
          <w:szCs w:val="24"/>
        </w:rPr>
        <w:t xml:space="preserve"> personas.</w:t>
      </w:r>
    </w:p>
    <w:p w14:paraId="5B8C2D8D" w14:textId="77777777" w:rsidR="00E47026" w:rsidRDefault="00C502EF"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Pēc IAUI iniciatīvas panākta konceptuāla vienošanās ar Lietuvas </w:t>
      </w:r>
      <w:r w:rsidR="00EE278C">
        <w:rPr>
          <w:rFonts w:ascii="Times New Roman" w:hAnsi="Times New Roman" w:cs="Times New Roman"/>
          <w:sz w:val="24"/>
          <w:szCs w:val="24"/>
        </w:rPr>
        <w:t>A</w:t>
      </w:r>
      <w:r>
        <w:rPr>
          <w:rFonts w:ascii="Times New Roman" w:hAnsi="Times New Roman" w:cs="Times New Roman"/>
          <w:sz w:val="24"/>
          <w:szCs w:val="24"/>
        </w:rPr>
        <w:t>zartspēļu uzraudzības iestādi un Igaunijas Finanšu ministrijas amatpersonām, par vienotas platformas izstrādi, lai varētu nosūtīt un saņemt informācijas pieprasījumu no kaimiņvalsts reģistra, lai aizsargātu Latvijas, Lietuvas un Igaunijas ievainojamāko personu intereses, atbalstot viņu vēlmi atturēties no azartspēlēm.</w:t>
      </w:r>
      <w:r w:rsidR="00B67EF4">
        <w:rPr>
          <w:rFonts w:ascii="Times New Roman" w:hAnsi="Times New Roman" w:cs="Times New Roman"/>
          <w:sz w:val="24"/>
          <w:szCs w:val="24"/>
        </w:rPr>
        <w:t xml:space="preserve"> Prognozējamais rezultāts 2023.gadā </w:t>
      </w:r>
      <w:r w:rsidR="00EE278C">
        <w:rPr>
          <w:rFonts w:ascii="Times New Roman" w:hAnsi="Times New Roman" w:cs="Times New Roman"/>
          <w:sz w:val="24"/>
          <w:szCs w:val="24"/>
        </w:rPr>
        <w:t xml:space="preserve">- </w:t>
      </w:r>
      <w:r w:rsidR="00B67EF4">
        <w:rPr>
          <w:rFonts w:ascii="Times New Roman" w:hAnsi="Times New Roman" w:cs="Times New Roman"/>
          <w:sz w:val="24"/>
          <w:szCs w:val="24"/>
        </w:rPr>
        <w:t xml:space="preserve">Baltijas valstu vienota </w:t>
      </w:r>
      <w:proofErr w:type="spellStart"/>
      <w:r w:rsidR="00B67EF4">
        <w:rPr>
          <w:rFonts w:ascii="Times New Roman" w:hAnsi="Times New Roman" w:cs="Times New Roman"/>
          <w:sz w:val="24"/>
          <w:szCs w:val="24"/>
        </w:rPr>
        <w:t>pašatteikušos</w:t>
      </w:r>
      <w:proofErr w:type="spellEnd"/>
      <w:r w:rsidR="00B67EF4">
        <w:rPr>
          <w:rFonts w:ascii="Times New Roman" w:hAnsi="Times New Roman" w:cs="Times New Roman"/>
          <w:sz w:val="24"/>
          <w:szCs w:val="24"/>
        </w:rPr>
        <w:t xml:space="preserve"> personu reģistra ieviešana.</w:t>
      </w:r>
    </w:p>
    <w:p w14:paraId="2BBC6C1D" w14:textId="77777777" w:rsidR="00EE278C" w:rsidRDefault="00EE278C" w:rsidP="00E47026">
      <w:pPr>
        <w:spacing w:line="240" w:lineRule="auto"/>
        <w:contextualSpacing/>
        <w:jc w:val="both"/>
        <w:rPr>
          <w:rFonts w:ascii="Times New Roman" w:hAnsi="Times New Roman" w:cs="Times New Roman"/>
          <w:sz w:val="24"/>
          <w:szCs w:val="24"/>
        </w:rPr>
      </w:pPr>
    </w:p>
    <w:p w14:paraId="768C71F8" w14:textId="77777777" w:rsidR="005411B8" w:rsidRDefault="00E47026" w:rsidP="005411B8">
      <w:pPr>
        <w:spacing w:line="240" w:lineRule="auto"/>
        <w:ind w:firstLine="357"/>
        <w:contextualSpacing/>
        <w:rPr>
          <w:rFonts w:ascii="Times New Roman" w:hAnsi="Times New Roman" w:cs="Times New Roman"/>
          <w:b/>
          <w:i/>
          <w:sz w:val="24"/>
          <w:szCs w:val="24"/>
        </w:rPr>
      </w:pPr>
      <w:r w:rsidRPr="003A2AD6">
        <w:rPr>
          <w:rFonts w:ascii="Times New Roman" w:hAnsi="Times New Roman" w:cs="Times New Roman"/>
          <w:b/>
          <w:i/>
          <w:sz w:val="24"/>
          <w:szCs w:val="24"/>
        </w:rPr>
        <w:t>Azartspēļu un izložu politikas pamatnostādnes 2021.-2027.gadam</w:t>
      </w:r>
    </w:p>
    <w:p w14:paraId="04FD2458" w14:textId="77777777" w:rsidR="005411B8" w:rsidRDefault="005411B8" w:rsidP="005411B8">
      <w:pPr>
        <w:spacing w:line="240" w:lineRule="auto"/>
        <w:ind w:firstLine="357"/>
        <w:contextualSpacing/>
        <w:rPr>
          <w:rFonts w:ascii="Times New Roman" w:hAnsi="Times New Roman" w:cs="Times New Roman"/>
          <w:b/>
          <w:i/>
          <w:sz w:val="24"/>
          <w:szCs w:val="24"/>
        </w:rPr>
      </w:pPr>
    </w:p>
    <w:p w14:paraId="7E67F126" w14:textId="77777777" w:rsidR="005411B8" w:rsidRDefault="00E47026" w:rsidP="005411B8">
      <w:pPr>
        <w:spacing w:line="240" w:lineRule="auto"/>
        <w:ind w:firstLine="357"/>
        <w:contextualSpacing/>
        <w:jc w:val="both"/>
        <w:rPr>
          <w:rFonts w:ascii="Times New Roman" w:hAnsi="Times New Roman" w:cs="Times New Roman"/>
          <w:b/>
          <w:i/>
          <w:sz w:val="24"/>
          <w:szCs w:val="24"/>
        </w:rPr>
      </w:pPr>
      <w:r w:rsidRPr="00CB6351">
        <w:rPr>
          <w:rFonts w:ascii="Times New Roman" w:hAnsi="Times New Roman" w:cs="Times New Roman"/>
          <w:sz w:val="24"/>
          <w:szCs w:val="24"/>
        </w:rPr>
        <w:t xml:space="preserve">Vienlaikus informējam, ka </w:t>
      </w:r>
      <w:r>
        <w:rPr>
          <w:rFonts w:ascii="Times New Roman" w:hAnsi="Times New Roman" w:cs="Times New Roman"/>
          <w:sz w:val="24"/>
          <w:szCs w:val="24"/>
        </w:rPr>
        <w:t xml:space="preserve">Finanšu ministrija ir izstrādājusi </w:t>
      </w:r>
      <w:r w:rsidRPr="00C35AC7">
        <w:rPr>
          <w:rFonts w:ascii="Times New Roman" w:hAnsi="Times New Roman" w:cs="Times New Roman"/>
          <w:sz w:val="24"/>
          <w:szCs w:val="24"/>
        </w:rPr>
        <w:t xml:space="preserve">Azartspēļu un izložu </w:t>
      </w:r>
      <w:r w:rsidR="003A2AD6">
        <w:rPr>
          <w:rFonts w:ascii="Times New Roman" w:hAnsi="Times New Roman" w:cs="Times New Roman"/>
          <w:sz w:val="24"/>
          <w:szCs w:val="24"/>
        </w:rPr>
        <w:t>politikas pamatnostādņu</w:t>
      </w:r>
      <w:r>
        <w:rPr>
          <w:rFonts w:ascii="Times New Roman" w:hAnsi="Times New Roman" w:cs="Times New Roman"/>
          <w:sz w:val="24"/>
          <w:szCs w:val="24"/>
        </w:rPr>
        <w:t xml:space="preserve"> </w:t>
      </w:r>
      <w:r w:rsidRPr="00C35AC7">
        <w:rPr>
          <w:rFonts w:ascii="Times New Roman" w:hAnsi="Times New Roman" w:cs="Times New Roman"/>
          <w:sz w:val="24"/>
          <w:szCs w:val="24"/>
        </w:rPr>
        <w:t>2021.-2027.gadam</w:t>
      </w:r>
      <w:r w:rsidR="003A2AD6">
        <w:rPr>
          <w:rFonts w:ascii="Times New Roman" w:hAnsi="Times New Roman" w:cs="Times New Roman"/>
          <w:sz w:val="24"/>
          <w:szCs w:val="24"/>
        </w:rPr>
        <w:t xml:space="preserve"> projektu</w:t>
      </w:r>
      <w:r>
        <w:rPr>
          <w:rFonts w:ascii="Times New Roman" w:hAnsi="Times New Roman" w:cs="Times New Roman"/>
          <w:sz w:val="24"/>
          <w:szCs w:val="24"/>
        </w:rPr>
        <w:t>, kas paredz vairākus pasākumus</w:t>
      </w:r>
      <w:r w:rsidRPr="00CB6351">
        <w:rPr>
          <w:rFonts w:ascii="Times New Roman" w:hAnsi="Times New Roman" w:cs="Times New Roman"/>
          <w:sz w:val="24"/>
          <w:szCs w:val="24"/>
        </w:rPr>
        <w:t xml:space="preserve"> azartspēļu nozares, tai skaitā nelicencēto interaktīvo azartspēļu, negatīvās ietekmes mazināšanai.</w:t>
      </w:r>
    </w:p>
    <w:p w14:paraId="749B2CF2" w14:textId="77777777" w:rsidR="005411B8" w:rsidRPr="005411B8" w:rsidRDefault="00E47026" w:rsidP="005411B8">
      <w:pPr>
        <w:spacing w:line="240" w:lineRule="auto"/>
        <w:ind w:firstLine="357"/>
        <w:contextualSpacing/>
        <w:jc w:val="both"/>
        <w:rPr>
          <w:rFonts w:ascii="Times New Roman" w:hAnsi="Times New Roman" w:cs="Times New Roman"/>
          <w:b/>
          <w:i/>
          <w:sz w:val="24"/>
          <w:szCs w:val="24"/>
        </w:rPr>
      </w:pPr>
      <w:r w:rsidRPr="005411B8">
        <w:rPr>
          <w:rFonts w:ascii="Times New Roman" w:hAnsi="Times New Roman" w:cs="Times New Roman"/>
          <w:sz w:val="24"/>
          <w:szCs w:val="24"/>
        </w:rPr>
        <w:t>Pamatnostādnēs ir iekļauti šādi rīcības virzieni:</w:t>
      </w:r>
    </w:p>
    <w:p w14:paraId="001840B8"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a</w:t>
      </w:r>
      <w:r w:rsidR="00E47026" w:rsidRPr="005411B8">
        <w:rPr>
          <w:rFonts w:ascii="Times New Roman" w:hAnsi="Times New Roman" w:cs="Times New Roman"/>
          <w:sz w:val="24"/>
          <w:szCs w:val="24"/>
        </w:rPr>
        <w:t xml:space="preserve">tkarības profilakse un </w:t>
      </w:r>
      <w:proofErr w:type="spellStart"/>
      <w:r w:rsidR="00E47026" w:rsidRPr="005411B8">
        <w:rPr>
          <w:rFonts w:ascii="Times New Roman" w:hAnsi="Times New Roman" w:cs="Times New Roman"/>
          <w:sz w:val="24"/>
          <w:szCs w:val="24"/>
        </w:rPr>
        <w:t>prevencija</w:t>
      </w:r>
      <w:proofErr w:type="spellEnd"/>
      <w:r w:rsidR="00E47026" w:rsidRPr="005411B8">
        <w:rPr>
          <w:rFonts w:ascii="Times New Roman" w:hAnsi="Times New Roman" w:cs="Times New Roman"/>
          <w:sz w:val="24"/>
          <w:szCs w:val="24"/>
        </w:rPr>
        <w:t xml:space="preserve"> – 27 pasākumi</w:t>
      </w:r>
      <w:r>
        <w:rPr>
          <w:rFonts w:ascii="Times New Roman" w:hAnsi="Times New Roman" w:cs="Times New Roman"/>
          <w:sz w:val="24"/>
          <w:szCs w:val="24"/>
        </w:rPr>
        <w:t>;</w:t>
      </w:r>
    </w:p>
    <w:p w14:paraId="3D778F9C"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a</w:t>
      </w:r>
      <w:r w:rsidR="00E47026" w:rsidRPr="005411B8">
        <w:rPr>
          <w:rFonts w:ascii="Times New Roman" w:hAnsi="Times New Roman" w:cs="Times New Roman"/>
          <w:sz w:val="24"/>
          <w:szCs w:val="24"/>
        </w:rPr>
        <w:t>zartspēļu fiziskās pieejamības regulēšana – 2 pasākumi</w:t>
      </w:r>
      <w:r>
        <w:rPr>
          <w:rFonts w:ascii="Times New Roman" w:hAnsi="Times New Roman" w:cs="Times New Roman"/>
          <w:sz w:val="24"/>
          <w:szCs w:val="24"/>
        </w:rPr>
        <w:t>;</w:t>
      </w:r>
    </w:p>
    <w:p w14:paraId="2ECD396D"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r</w:t>
      </w:r>
      <w:r w:rsidR="00E47026" w:rsidRPr="005411B8">
        <w:rPr>
          <w:rFonts w:ascii="Times New Roman" w:hAnsi="Times New Roman" w:cs="Times New Roman"/>
          <w:sz w:val="24"/>
          <w:szCs w:val="24"/>
        </w:rPr>
        <w:t>eklāmas ierobežojuma pilnveidošana – 5 pasākumi</w:t>
      </w:r>
      <w:r>
        <w:rPr>
          <w:rFonts w:ascii="Times New Roman" w:hAnsi="Times New Roman" w:cs="Times New Roman"/>
          <w:sz w:val="24"/>
          <w:szCs w:val="24"/>
        </w:rPr>
        <w:t>;</w:t>
      </w:r>
    </w:p>
    <w:p w14:paraId="1220E557"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n</w:t>
      </w:r>
      <w:r w:rsidR="00E47026" w:rsidRPr="005411B8">
        <w:rPr>
          <w:rFonts w:ascii="Times New Roman" w:hAnsi="Times New Roman" w:cs="Times New Roman"/>
          <w:sz w:val="24"/>
          <w:szCs w:val="24"/>
        </w:rPr>
        <w:t>elegālā azartspēļu tirgus ierobežošana – 3 pasākumi</w:t>
      </w:r>
      <w:r>
        <w:rPr>
          <w:rFonts w:ascii="Times New Roman" w:hAnsi="Times New Roman" w:cs="Times New Roman"/>
          <w:sz w:val="24"/>
          <w:szCs w:val="24"/>
        </w:rPr>
        <w:t>;</w:t>
      </w:r>
    </w:p>
    <w:p w14:paraId="130AECCF"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n</w:t>
      </w:r>
      <w:r w:rsidR="00E47026" w:rsidRPr="005411B8">
        <w:rPr>
          <w:rFonts w:ascii="Times New Roman" w:hAnsi="Times New Roman" w:cs="Times New Roman"/>
          <w:sz w:val="24"/>
          <w:szCs w:val="24"/>
        </w:rPr>
        <w:t>ozares tendenču monitorings – 5 pasākumi</w:t>
      </w:r>
      <w:r>
        <w:rPr>
          <w:rFonts w:ascii="Times New Roman" w:hAnsi="Times New Roman" w:cs="Times New Roman"/>
          <w:sz w:val="24"/>
          <w:szCs w:val="24"/>
        </w:rPr>
        <w:t>;</w:t>
      </w:r>
    </w:p>
    <w:p w14:paraId="252B8F80" w14:textId="77777777" w:rsidR="005411B8" w:rsidRPr="005411B8" w:rsidRDefault="005411B8" w:rsidP="005411B8">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u</w:t>
      </w:r>
      <w:r w:rsidR="00E47026" w:rsidRPr="005411B8">
        <w:rPr>
          <w:rFonts w:ascii="Times New Roman" w:hAnsi="Times New Roman" w:cs="Times New Roman"/>
          <w:sz w:val="24"/>
          <w:szCs w:val="24"/>
        </w:rPr>
        <w:t>zraudzības pilnveidošana – 4 pasākumi</w:t>
      </w:r>
      <w:r>
        <w:rPr>
          <w:rFonts w:ascii="Times New Roman" w:hAnsi="Times New Roman" w:cs="Times New Roman"/>
          <w:sz w:val="24"/>
          <w:szCs w:val="24"/>
        </w:rPr>
        <w:t>.</w:t>
      </w:r>
    </w:p>
    <w:p w14:paraId="132CF439" w14:textId="77777777" w:rsidR="00E47026"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Lai nodrošinātu nelegālā azartspēļu tirgus ierobežošanu, pamatnostādnēs izvirzīti šādi uzdevumi:</w:t>
      </w:r>
    </w:p>
    <w:p w14:paraId="3EA1F690" w14:textId="77777777" w:rsidR="00E47026" w:rsidRPr="003A2AD6" w:rsidRDefault="005411B8" w:rsidP="005411B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E47026" w:rsidRPr="003A2AD6">
        <w:rPr>
          <w:rFonts w:ascii="Times New Roman" w:hAnsi="Times New Roman" w:cs="Times New Roman"/>
          <w:sz w:val="24"/>
          <w:szCs w:val="24"/>
        </w:rPr>
        <w:t xml:space="preserve">oteikt </w:t>
      </w:r>
      <w:r w:rsidR="00E47026" w:rsidRPr="003A2AD6">
        <w:rPr>
          <w:rFonts w:ascii="Times New Roman" w:hAnsi="Times New Roman" w:cs="Times New Roman"/>
          <w:bCs/>
          <w:sz w:val="24"/>
          <w:szCs w:val="24"/>
        </w:rPr>
        <w:t>IAUI tiesības bloķēt vai ierobežot piekļuvi konkrētajai tīmekļa vietnei</w:t>
      </w:r>
      <w:r>
        <w:rPr>
          <w:rFonts w:ascii="Times New Roman" w:hAnsi="Times New Roman" w:cs="Times New Roman"/>
          <w:sz w:val="24"/>
          <w:szCs w:val="24"/>
        </w:rPr>
        <w:t>, kas satur azartspēļu reklāmu;</w:t>
      </w:r>
    </w:p>
    <w:p w14:paraId="667CD391" w14:textId="77777777" w:rsidR="00E47026" w:rsidRPr="003A2AD6" w:rsidRDefault="00E47026" w:rsidP="005411B8">
      <w:pPr>
        <w:pStyle w:val="ListParagraph"/>
        <w:numPr>
          <w:ilvl w:val="0"/>
          <w:numId w:val="4"/>
        </w:numPr>
        <w:spacing w:line="240" w:lineRule="auto"/>
        <w:jc w:val="both"/>
        <w:rPr>
          <w:rFonts w:ascii="Times New Roman" w:hAnsi="Times New Roman" w:cs="Times New Roman"/>
          <w:sz w:val="24"/>
          <w:szCs w:val="24"/>
        </w:rPr>
      </w:pPr>
      <w:r w:rsidRPr="003A2AD6">
        <w:rPr>
          <w:rFonts w:ascii="Times New Roman" w:hAnsi="Times New Roman" w:cs="Times New Roman"/>
          <w:bCs/>
          <w:sz w:val="24"/>
          <w:szCs w:val="24"/>
        </w:rPr>
        <w:t>IAUI nodrošināt komunikāciju ar lielākajiem sociālajiem tīkliem</w:t>
      </w:r>
      <w:r w:rsidRPr="003A2AD6">
        <w:rPr>
          <w:rFonts w:ascii="Times New Roman" w:hAnsi="Times New Roman" w:cs="Times New Roman"/>
          <w:sz w:val="24"/>
          <w:szCs w:val="24"/>
        </w:rPr>
        <w:t>, kā arī banneru izplatīšanas kanāliem ar pieprasījumu nodrošināt reklāmas par Latvijā nelegālo azartspēļu organizētājiem nepi</w:t>
      </w:r>
      <w:r w:rsidR="005411B8">
        <w:rPr>
          <w:rFonts w:ascii="Times New Roman" w:hAnsi="Times New Roman" w:cs="Times New Roman"/>
          <w:sz w:val="24"/>
          <w:szCs w:val="24"/>
        </w:rPr>
        <w:t>eejamību no Latvijas IP adresēm;</w:t>
      </w:r>
    </w:p>
    <w:p w14:paraId="5DCD5909" w14:textId="77777777" w:rsidR="00E47026" w:rsidRPr="003A2AD6" w:rsidRDefault="005411B8" w:rsidP="005411B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bCs/>
          <w:sz w:val="24"/>
          <w:szCs w:val="24"/>
        </w:rPr>
        <w:t>ī</w:t>
      </w:r>
      <w:r w:rsidR="00E47026" w:rsidRPr="003A2AD6">
        <w:rPr>
          <w:rFonts w:ascii="Times New Roman" w:hAnsi="Times New Roman" w:cs="Times New Roman"/>
          <w:bCs/>
          <w:sz w:val="24"/>
          <w:szCs w:val="24"/>
        </w:rPr>
        <w:t>stenot informatīvo kampaņu par atbildības piemērošanu fiziskajām personām Latvijā</w:t>
      </w:r>
      <w:r w:rsidR="00E47026" w:rsidRPr="003A2AD6">
        <w:rPr>
          <w:rFonts w:ascii="Times New Roman" w:hAnsi="Times New Roman" w:cs="Times New Roman"/>
          <w:sz w:val="24"/>
          <w:szCs w:val="24"/>
        </w:rPr>
        <w:t xml:space="preserve"> par dalību Latvijā nelicencētās (nelegālās) azartspēlēs un/vai nelicencētās izlozēs, kā arī par citiem ar to saistītiem riskiem (atkarībām, krāpšanu un datu aizsardzības prasību neievērošanu).</w:t>
      </w:r>
    </w:p>
    <w:p w14:paraId="29DD95AC" w14:textId="77777777" w:rsidR="00E47026" w:rsidRPr="00CB6351"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ka izstrādāto pasākumu īstenošana ir kompleksa, pamatnostādnes paredz detalizētu </w:t>
      </w:r>
      <w:proofErr w:type="spellStart"/>
      <w:r>
        <w:rPr>
          <w:rFonts w:ascii="Times New Roman" w:hAnsi="Times New Roman" w:cs="Times New Roman"/>
          <w:sz w:val="24"/>
          <w:szCs w:val="24"/>
        </w:rPr>
        <w:t>starpinstitucionālu</w:t>
      </w:r>
      <w:proofErr w:type="spellEnd"/>
      <w:r>
        <w:rPr>
          <w:rFonts w:ascii="Times New Roman" w:hAnsi="Times New Roman" w:cs="Times New Roman"/>
          <w:sz w:val="24"/>
          <w:szCs w:val="24"/>
        </w:rPr>
        <w:t xml:space="preserve"> sadarbību. Šobrīd izstrādātais pamatnostādņu projekts ir </w:t>
      </w:r>
      <w:r w:rsidR="003B6AD9">
        <w:rPr>
          <w:rFonts w:ascii="Times New Roman" w:hAnsi="Times New Roman" w:cs="Times New Roman"/>
          <w:sz w:val="24"/>
          <w:szCs w:val="24"/>
        </w:rPr>
        <w:t>izskatīts 2021.gada 7.janvāra Valsts sekretāru sanāksmē un tiks precizēts tā turpmākajai virzībai</w:t>
      </w:r>
      <w:r w:rsidR="003A2AD6">
        <w:rPr>
          <w:rFonts w:ascii="Times New Roman" w:hAnsi="Times New Roman" w:cs="Times New Roman"/>
          <w:sz w:val="24"/>
          <w:szCs w:val="24"/>
        </w:rPr>
        <w:t xml:space="preserve"> izskatīšanai Ministru kabineta sēdē</w:t>
      </w:r>
      <w:r w:rsidR="003B6AD9">
        <w:rPr>
          <w:rFonts w:ascii="Times New Roman" w:hAnsi="Times New Roman" w:cs="Times New Roman"/>
          <w:sz w:val="24"/>
          <w:szCs w:val="24"/>
        </w:rPr>
        <w:t>.</w:t>
      </w:r>
    </w:p>
    <w:p w14:paraId="34C3B470" w14:textId="77777777" w:rsidR="00E47026" w:rsidRPr="006B065B" w:rsidRDefault="00E47026" w:rsidP="00E47026">
      <w:pPr>
        <w:spacing w:line="240" w:lineRule="auto"/>
        <w:contextualSpacing/>
        <w:jc w:val="both"/>
        <w:rPr>
          <w:rFonts w:ascii="Times New Roman" w:hAnsi="Times New Roman" w:cs="Times New Roman"/>
          <w:b/>
          <w:bCs/>
          <w:sz w:val="24"/>
          <w:szCs w:val="24"/>
        </w:rPr>
      </w:pPr>
    </w:p>
    <w:p w14:paraId="52EDF511" w14:textId="77777777" w:rsidR="005411B8" w:rsidRDefault="00E47026" w:rsidP="005411B8">
      <w:pPr>
        <w:spacing w:line="240" w:lineRule="auto"/>
        <w:ind w:firstLine="357"/>
        <w:contextualSpacing/>
        <w:rPr>
          <w:rFonts w:ascii="Times New Roman" w:hAnsi="Times New Roman" w:cs="Times New Roman"/>
          <w:b/>
          <w:bCs/>
          <w:sz w:val="24"/>
          <w:szCs w:val="24"/>
        </w:rPr>
      </w:pPr>
      <w:r>
        <w:rPr>
          <w:rFonts w:ascii="Times New Roman" w:hAnsi="Times New Roman" w:cs="Times New Roman"/>
          <w:b/>
          <w:bCs/>
          <w:sz w:val="24"/>
          <w:szCs w:val="24"/>
        </w:rPr>
        <w:t>Ie</w:t>
      </w:r>
      <w:r w:rsidR="003A2AD6">
        <w:rPr>
          <w:rFonts w:ascii="Times New Roman" w:hAnsi="Times New Roman" w:cs="Times New Roman"/>
          <w:b/>
          <w:bCs/>
          <w:sz w:val="24"/>
          <w:szCs w:val="24"/>
        </w:rPr>
        <w:t xml:space="preserve">spējami papildu </w:t>
      </w:r>
      <w:r w:rsidRPr="006B065B">
        <w:rPr>
          <w:rFonts w:ascii="Times New Roman" w:hAnsi="Times New Roman" w:cs="Times New Roman"/>
          <w:b/>
          <w:bCs/>
          <w:sz w:val="24"/>
          <w:szCs w:val="24"/>
        </w:rPr>
        <w:t>risinājumi</w:t>
      </w:r>
      <w:r>
        <w:rPr>
          <w:rFonts w:ascii="Times New Roman" w:hAnsi="Times New Roman" w:cs="Times New Roman"/>
          <w:b/>
          <w:bCs/>
          <w:sz w:val="24"/>
          <w:szCs w:val="24"/>
        </w:rPr>
        <w:t xml:space="preserve"> Latvijā nelicencēto interaktīvo azartspēļu tirgus ierobežošanai</w:t>
      </w:r>
    </w:p>
    <w:p w14:paraId="0DDF78DA" w14:textId="77777777" w:rsidR="005411B8" w:rsidRDefault="005411B8" w:rsidP="005411B8">
      <w:pPr>
        <w:spacing w:line="240" w:lineRule="auto"/>
        <w:ind w:firstLine="357"/>
        <w:contextualSpacing/>
        <w:rPr>
          <w:rFonts w:ascii="Times New Roman" w:hAnsi="Times New Roman" w:cs="Times New Roman"/>
          <w:b/>
          <w:bCs/>
          <w:sz w:val="24"/>
          <w:szCs w:val="24"/>
        </w:rPr>
      </w:pPr>
    </w:p>
    <w:p w14:paraId="512BF758" w14:textId="77777777" w:rsidR="005411B8" w:rsidRDefault="00E47026" w:rsidP="005411B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sz w:val="24"/>
          <w:szCs w:val="24"/>
        </w:rPr>
        <w:t xml:space="preserve">Izvērtējot pašreizējo situāciju un jau veiktos uzdevumus, iespējamos priekšlikumus </w:t>
      </w:r>
      <w:r w:rsidR="00F03B4D">
        <w:rPr>
          <w:rFonts w:ascii="Times New Roman" w:hAnsi="Times New Roman" w:cs="Times New Roman"/>
          <w:sz w:val="24"/>
          <w:szCs w:val="24"/>
        </w:rPr>
        <w:t xml:space="preserve">Latvijā </w:t>
      </w:r>
      <w:r>
        <w:rPr>
          <w:rFonts w:ascii="Times New Roman" w:hAnsi="Times New Roman" w:cs="Times New Roman"/>
          <w:sz w:val="24"/>
          <w:szCs w:val="24"/>
        </w:rPr>
        <w:t xml:space="preserve">nelicencēto interaktīvo azartspēļu tirgus ierobežošanai var iedalīt divās grupās: </w:t>
      </w:r>
      <w:r w:rsidR="0002365E">
        <w:rPr>
          <w:rFonts w:ascii="Times New Roman" w:hAnsi="Times New Roman" w:cs="Times New Roman"/>
          <w:sz w:val="24"/>
          <w:szCs w:val="24"/>
        </w:rPr>
        <w:t xml:space="preserve">rīcības </w:t>
      </w:r>
      <w:r>
        <w:rPr>
          <w:rFonts w:ascii="Times New Roman" w:hAnsi="Times New Roman" w:cs="Times New Roman"/>
          <w:sz w:val="24"/>
          <w:szCs w:val="24"/>
        </w:rPr>
        <w:t>pasākumi</w:t>
      </w:r>
      <w:r w:rsidR="00A90D40">
        <w:rPr>
          <w:rFonts w:ascii="Times New Roman" w:hAnsi="Times New Roman" w:cs="Times New Roman"/>
          <w:sz w:val="24"/>
          <w:szCs w:val="24"/>
        </w:rPr>
        <w:t>, kuru īstenošanai nav nepieciešams veikt grozījumus normatīvajos aktos,</w:t>
      </w:r>
      <w:r>
        <w:rPr>
          <w:rFonts w:ascii="Times New Roman" w:hAnsi="Times New Roman" w:cs="Times New Roman"/>
          <w:sz w:val="24"/>
          <w:szCs w:val="24"/>
        </w:rPr>
        <w:t xml:space="preserve"> un priekšlikumi, kuru īstenošanai nepieciešams veikt grozījumus normatīvajos aktos.</w:t>
      </w:r>
    </w:p>
    <w:p w14:paraId="1EBCD4FF" w14:textId="77777777" w:rsidR="005411B8" w:rsidRDefault="005411B8" w:rsidP="005411B8">
      <w:pPr>
        <w:spacing w:line="240" w:lineRule="auto"/>
        <w:ind w:firstLine="357"/>
        <w:contextualSpacing/>
        <w:jc w:val="both"/>
        <w:rPr>
          <w:rFonts w:ascii="Times New Roman" w:hAnsi="Times New Roman" w:cs="Times New Roman"/>
          <w:b/>
          <w:bCs/>
          <w:sz w:val="24"/>
          <w:szCs w:val="24"/>
        </w:rPr>
      </w:pPr>
    </w:p>
    <w:p w14:paraId="4D43EEF0" w14:textId="77777777" w:rsidR="005411B8" w:rsidRDefault="0002365E" w:rsidP="005411B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b/>
          <w:i/>
          <w:sz w:val="24"/>
          <w:szCs w:val="24"/>
        </w:rPr>
        <w:t xml:space="preserve">Rīcības </w:t>
      </w:r>
      <w:r w:rsidR="009C3F56">
        <w:rPr>
          <w:rFonts w:ascii="Times New Roman" w:hAnsi="Times New Roman" w:cs="Times New Roman"/>
          <w:b/>
          <w:i/>
          <w:sz w:val="24"/>
          <w:szCs w:val="24"/>
        </w:rPr>
        <w:t>pasākumi</w:t>
      </w:r>
      <w:r w:rsidR="00A90D40">
        <w:rPr>
          <w:rFonts w:ascii="Times New Roman" w:hAnsi="Times New Roman" w:cs="Times New Roman"/>
          <w:b/>
          <w:i/>
          <w:sz w:val="24"/>
          <w:szCs w:val="24"/>
        </w:rPr>
        <w:t xml:space="preserve">, </w:t>
      </w:r>
      <w:r w:rsidR="00A90D40" w:rsidRPr="00A90D40">
        <w:rPr>
          <w:rFonts w:ascii="Times New Roman" w:hAnsi="Times New Roman" w:cs="Times New Roman"/>
          <w:b/>
          <w:bCs/>
          <w:i/>
          <w:iCs/>
          <w:sz w:val="24"/>
          <w:szCs w:val="24"/>
        </w:rPr>
        <w:t>kuru īstenošanai nav nepieciešams veikt grozījumus normatīvaj</w:t>
      </w:r>
      <w:r w:rsidR="00A90D40">
        <w:rPr>
          <w:rFonts w:ascii="Times New Roman" w:hAnsi="Times New Roman" w:cs="Times New Roman"/>
          <w:b/>
          <w:bCs/>
          <w:i/>
          <w:iCs/>
          <w:sz w:val="24"/>
          <w:szCs w:val="24"/>
        </w:rPr>
        <w:t>os aktos</w:t>
      </w:r>
    </w:p>
    <w:p w14:paraId="42323EC9" w14:textId="77777777" w:rsidR="005411B8" w:rsidRDefault="005411B8" w:rsidP="005411B8">
      <w:pPr>
        <w:spacing w:line="240" w:lineRule="auto"/>
        <w:ind w:firstLine="357"/>
        <w:contextualSpacing/>
        <w:jc w:val="both"/>
        <w:rPr>
          <w:rFonts w:ascii="Times New Roman" w:hAnsi="Times New Roman" w:cs="Times New Roman"/>
          <w:b/>
          <w:bCs/>
          <w:sz w:val="24"/>
          <w:szCs w:val="24"/>
        </w:rPr>
      </w:pPr>
    </w:p>
    <w:p w14:paraId="1C9F7771" w14:textId="77777777" w:rsidR="005411B8" w:rsidRDefault="00E47026" w:rsidP="005411B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EC4754">
        <w:rPr>
          <w:rFonts w:ascii="Times New Roman" w:hAnsi="Times New Roman" w:cs="Times New Roman"/>
          <w:b/>
          <w:bCs/>
          <w:sz w:val="24"/>
          <w:szCs w:val="24"/>
        </w:rPr>
        <w:t xml:space="preserve">Uzsākt sarunas </w:t>
      </w:r>
      <w:r w:rsidRPr="00900EB1">
        <w:rPr>
          <w:rFonts w:ascii="Times New Roman" w:hAnsi="Times New Roman" w:cs="Times New Roman"/>
          <w:b/>
          <w:bCs/>
          <w:sz w:val="24"/>
          <w:szCs w:val="24"/>
        </w:rPr>
        <w:t>ar lielākajiem sociālajiem tīkliem</w:t>
      </w:r>
      <w:r w:rsidRPr="00900EB1">
        <w:rPr>
          <w:rFonts w:ascii="Times New Roman" w:hAnsi="Times New Roman" w:cs="Times New Roman"/>
          <w:sz w:val="24"/>
          <w:szCs w:val="24"/>
        </w:rPr>
        <w:t xml:space="preserve">, kā arī banneru izplatīšanas kanāliem </w:t>
      </w:r>
      <w:r w:rsidR="00EC4754">
        <w:rPr>
          <w:rFonts w:ascii="Times New Roman" w:hAnsi="Times New Roman" w:cs="Times New Roman"/>
          <w:sz w:val="24"/>
          <w:szCs w:val="24"/>
        </w:rPr>
        <w:t>par iespēju</w:t>
      </w:r>
      <w:r w:rsidRPr="00900EB1">
        <w:rPr>
          <w:rFonts w:ascii="Times New Roman" w:hAnsi="Times New Roman" w:cs="Times New Roman"/>
          <w:sz w:val="24"/>
          <w:szCs w:val="24"/>
        </w:rPr>
        <w:t xml:space="preserve"> nodrošināt reklāmas par Latvijā nelegālo azartspēļu organizētājiem nepieejamību no Latvijas IP adresēm.</w:t>
      </w:r>
    </w:p>
    <w:p w14:paraId="2CB5FC66" w14:textId="77777777" w:rsidR="005411B8" w:rsidRDefault="00E47026" w:rsidP="005411B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BD2C87">
        <w:rPr>
          <w:rFonts w:ascii="Times New Roman" w:hAnsi="Times New Roman" w:cs="Times New Roman"/>
          <w:b/>
          <w:bCs/>
          <w:sz w:val="24"/>
          <w:szCs w:val="24"/>
        </w:rPr>
        <w:t>IAUI ne retāk kā divas reizes gadā ī</w:t>
      </w:r>
      <w:r w:rsidRPr="00196CCA">
        <w:rPr>
          <w:rFonts w:ascii="Times New Roman" w:hAnsi="Times New Roman" w:cs="Times New Roman"/>
          <w:b/>
          <w:bCs/>
          <w:sz w:val="24"/>
          <w:szCs w:val="24"/>
        </w:rPr>
        <w:t>stenot informatīvo kampaņu par atbildības piemērošanu fiziskajām personām Latvijā</w:t>
      </w:r>
      <w:r w:rsidRPr="00196CCA">
        <w:rPr>
          <w:rFonts w:ascii="Times New Roman" w:hAnsi="Times New Roman" w:cs="Times New Roman"/>
          <w:sz w:val="24"/>
          <w:szCs w:val="24"/>
        </w:rPr>
        <w:t xml:space="preserve"> par dalību Latvijā nelicencētās (nelegālās) azartspēlēs un/vai nelicencētās</w:t>
      </w:r>
      <w:r w:rsidR="00EC4754">
        <w:rPr>
          <w:rFonts w:ascii="Times New Roman" w:hAnsi="Times New Roman" w:cs="Times New Roman"/>
          <w:sz w:val="24"/>
          <w:szCs w:val="24"/>
        </w:rPr>
        <w:t xml:space="preserve"> interaktīvās</w:t>
      </w:r>
      <w:r w:rsidRPr="00196CCA">
        <w:rPr>
          <w:rFonts w:ascii="Times New Roman" w:hAnsi="Times New Roman" w:cs="Times New Roman"/>
          <w:sz w:val="24"/>
          <w:szCs w:val="24"/>
        </w:rPr>
        <w:t xml:space="preserve"> izlozēs, kā arī par citiem ar to saistītiem riskiem (atkarībām, krāpšanu un datu aizsardzības prasību neievērošanu).</w:t>
      </w:r>
      <w:r w:rsidR="0002365E">
        <w:rPr>
          <w:rFonts w:ascii="Times New Roman" w:hAnsi="Times New Roman" w:cs="Times New Roman"/>
          <w:sz w:val="24"/>
          <w:szCs w:val="24"/>
        </w:rPr>
        <w:t xml:space="preserve"> Vienlaikus šāds pasākums ir efektīvs pie nosacījuma, ka regulējumā ir noteikta administratīvā atbildība par pārkāpuma izdarīšanu.</w:t>
      </w:r>
    </w:p>
    <w:p w14:paraId="5CA0A06E" w14:textId="77777777" w:rsidR="005411B8" w:rsidRDefault="00E47026" w:rsidP="005411B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00E53059">
        <w:rPr>
          <w:rFonts w:ascii="Times New Roman" w:hAnsi="Times New Roman" w:cs="Times New Roman"/>
          <w:b/>
          <w:sz w:val="24"/>
          <w:szCs w:val="24"/>
        </w:rPr>
        <w:t xml:space="preserve">IAUI uzsākt </w:t>
      </w:r>
      <w:r w:rsidR="00EC4754">
        <w:rPr>
          <w:rFonts w:ascii="Times New Roman" w:hAnsi="Times New Roman" w:cs="Times New Roman"/>
          <w:b/>
          <w:sz w:val="24"/>
          <w:szCs w:val="24"/>
        </w:rPr>
        <w:t xml:space="preserve">sarunas </w:t>
      </w:r>
      <w:r>
        <w:rPr>
          <w:rFonts w:ascii="Times New Roman" w:hAnsi="Times New Roman" w:cs="Times New Roman"/>
          <w:b/>
          <w:sz w:val="24"/>
          <w:szCs w:val="24"/>
        </w:rPr>
        <w:t>ar</w:t>
      </w:r>
      <w:r w:rsidR="009022BA">
        <w:rPr>
          <w:rFonts w:ascii="Times New Roman" w:hAnsi="Times New Roman" w:cs="Times New Roman"/>
          <w:b/>
          <w:sz w:val="24"/>
          <w:szCs w:val="24"/>
        </w:rPr>
        <w:t xml:space="preserve"> elektroniskās naudas iestādēm, kuras nodrošina elektroniskas naudas</w:t>
      </w:r>
      <w:r>
        <w:rPr>
          <w:rFonts w:ascii="Times New Roman" w:hAnsi="Times New Roman" w:cs="Times New Roman"/>
          <w:b/>
          <w:sz w:val="24"/>
          <w:szCs w:val="24"/>
        </w:rPr>
        <w:t xml:space="preserve"> </w:t>
      </w:r>
      <w:r w:rsidR="009022BA">
        <w:rPr>
          <w:rFonts w:ascii="Times New Roman" w:hAnsi="Times New Roman" w:cs="Times New Roman"/>
          <w:b/>
          <w:sz w:val="24"/>
          <w:szCs w:val="24"/>
        </w:rPr>
        <w:t>(</w:t>
      </w:r>
      <w:r>
        <w:rPr>
          <w:rFonts w:ascii="Times New Roman" w:hAnsi="Times New Roman" w:cs="Times New Roman"/>
          <w:b/>
          <w:sz w:val="24"/>
          <w:szCs w:val="24"/>
        </w:rPr>
        <w:t>“e</w:t>
      </w:r>
      <w:r w:rsidRPr="00492793">
        <w:rPr>
          <w:rFonts w:ascii="Times New Roman" w:hAnsi="Times New Roman" w:cs="Times New Roman"/>
          <w:b/>
          <w:sz w:val="24"/>
          <w:szCs w:val="24"/>
        </w:rPr>
        <w:t>lektronisko maku”</w:t>
      </w:r>
      <w:r w:rsidR="009022BA">
        <w:rPr>
          <w:rFonts w:ascii="Times New Roman" w:hAnsi="Times New Roman" w:cs="Times New Roman"/>
          <w:b/>
          <w:sz w:val="24"/>
          <w:szCs w:val="24"/>
        </w:rPr>
        <w:t>)</w:t>
      </w:r>
      <w:r w:rsidRPr="00492793">
        <w:rPr>
          <w:rFonts w:ascii="Times New Roman" w:hAnsi="Times New Roman" w:cs="Times New Roman"/>
          <w:b/>
          <w:sz w:val="24"/>
          <w:szCs w:val="24"/>
        </w:rPr>
        <w:t xml:space="preserve"> </w:t>
      </w:r>
      <w:r>
        <w:rPr>
          <w:rFonts w:ascii="Times New Roman" w:hAnsi="Times New Roman" w:cs="Times New Roman"/>
          <w:b/>
          <w:sz w:val="24"/>
          <w:szCs w:val="24"/>
        </w:rPr>
        <w:t>pakalpojumu</w:t>
      </w:r>
      <w:r w:rsidR="009022BA">
        <w:rPr>
          <w:rFonts w:ascii="Times New Roman" w:hAnsi="Times New Roman" w:cs="Times New Roman"/>
          <w:b/>
          <w:sz w:val="24"/>
          <w:szCs w:val="24"/>
        </w:rPr>
        <w:t>s</w:t>
      </w:r>
      <w:r w:rsidR="00EC4754">
        <w:rPr>
          <w:rFonts w:ascii="Times New Roman" w:hAnsi="Times New Roman" w:cs="Times New Roman"/>
          <w:sz w:val="24"/>
          <w:szCs w:val="24"/>
        </w:rPr>
        <w:t>, l</w:t>
      </w:r>
      <w:r>
        <w:rPr>
          <w:rFonts w:ascii="Times New Roman" w:hAnsi="Times New Roman" w:cs="Times New Roman"/>
          <w:sz w:val="24"/>
          <w:szCs w:val="24"/>
        </w:rPr>
        <w:t>ai risinātu problēmu, kad spēlētāji izmanto “elektronisko maku” pakalpojumus dalībai nelicencētās interaktīvajās azartspēlēs</w:t>
      </w:r>
      <w:r w:rsidR="00EC4754">
        <w:rPr>
          <w:rFonts w:ascii="Times New Roman" w:hAnsi="Times New Roman" w:cs="Times New Roman"/>
          <w:sz w:val="24"/>
          <w:szCs w:val="24"/>
        </w:rPr>
        <w:t>. Jā</w:t>
      </w:r>
      <w:r w:rsidRPr="00CB6351">
        <w:rPr>
          <w:rFonts w:ascii="Times New Roman" w:hAnsi="Times New Roman" w:cs="Times New Roman"/>
          <w:sz w:val="24"/>
          <w:szCs w:val="24"/>
        </w:rPr>
        <w:t>vērš</w:t>
      </w:r>
      <w:r w:rsidR="00EC4754">
        <w:rPr>
          <w:rFonts w:ascii="Times New Roman" w:hAnsi="Times New Roman" w:cs="Times New Roman"/>
          <w:sz w:val="24"/>
          <w:szCs w:val="24"/>
        </w:rPr>
        <w:t xml:space="preserve"> “elektronisko maku” pakalpojuma sniedzēju</w:t>
      </w:r>
      <w:r w:rsidRPr="00CB6351">
        <w:rPr>
          <w:rFonts w:ascii="Times New Roman" w:hAnsi="Times New Roman" w:cs="Times New Roman"/>
          <w:sz w:val="24"/>
          <w:szCs w:val="24"/>
        </w:rPr>
        <w:t xml:space="preserve"> uzmanību</w:t>
      </w:r>
      <w:r w:rsidR="00EC4754">
        <w:rPr>
          <w:rFonts w:ascii="Times New Roman" w:hAnsi="Times New Roman" w:cs="Times New Roman"/>
          <w:sz w:val="24"/>
          <w:szCs w:val="24"/>
        </w:rPr>
        <w:t xml:space="preserve"> uz to</w:t>
      </w:r>
      <w:r w:rsidRPr="00CB6351">
        <w:rPr>
          <w:rFonts w:ascii="Times New Roman" w:hAnsi="Times New Roman" w:cs="Times New Roman"/>
          <w:sz w:val="24"/>
          <w:szCs w:val="24"/>
        </w:rPr>
        <w:t xml:space="preserve">, ka </w:t>
      </w:r>
      <w:r w:rsidR="00AE3A8D">
        <w:rPr>
          <w:rFonts w:ascii="Times New Roman" w:hAnsi="Times New Roman" w:cs="Times New Roman"/>
          <w:sz w:val="24"/>
          <w:szCs w:val="24"/>
        </w:rPr>
        <w:t xml:space="preserve">likumdevējs ir noteicis, ka </w:t>
      </w:r>
      <w:r w:rsidRPr="00CB6351">
        <w:rPr>
          <w:rFonts w:ascii="Times New Roman" w:hAnsi="Times New Roman" w:cs="Times New Roman"/>
          <w:sz w:val="24"/>
          <w:szCs w:val="24"/>
        </w:rPr>
        <w:t xml:space="preserve">Latvijas rezidentu attālinātie maksājumi un </w:t>
      </w:r>
      <w:proofErr w:type="spellStart"/>
      <w:r w:rsidRPr="00CB6351">
        <w:rPr>
          <w:rFonts w:ascii="Times New Roman" w:hAnsi="Times New Roman" w:cs="Times New Roman"/>
          <w:sz w:val="24"/>
          <w:szCs w:val="24"/>
        </w:rPr>
        <w:t>p</w:t>
      </w:r>
      <w:r w:rsidR="00FA4E60">
        <w:rPr>
          <w:rFonts w:ascii="Times New Roman" w:hAnsi="Times New Roman" w:cs="Times New Roman"/>
          <w:sz w:val="24"/>
          <w:szCs w:val="24"/>
        </w:rPr>
        <w:t>ār</w:t>
      </w:r>
      <w:r w:rsidRPr="00CB6351">
        <w:rPr>
          <w:rFonts w:ascii="Times New Roman" w:hAnsi="Times New Roman" w:cs="Times New Roman"/>
          <w:sz w:val="24"/>
          <w:szCs w:val="24"/>
        </w:rPr>
        <w:t>skaitījumi</w:t>
      </w:r>
      <w:proofErr w:type="spellEnd"/>
      <w:r w:rsidRPr="00CB6351">
        <w:rPr>
          <w:rFonts w:ascii="Times New Roman" w:hAnsi="Times New Roman" w:cs="Times New Roman"/>
          <w:sz w:val="24"/>
          <w:szCs w:val="24"/>
        </w:rPr>
        <w:t xml:space="preserve"> Latvijā nelicencēto interaktīvo azartspēļu un interaktīvo izložu organizētājiem ir aizliegti.</w:t>
      </w:r>
    </w:p>
    <w:p w14:paraId="193791D3" w14:textId="77777777" w:rsidR="005411B8" w:rsidRDefault="00016836" w:rsidP="005411B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sz w:val="24"/>
          <w:szCs w:val="24"/>
        </w:rPr>
        <w:t xml:space="preserve">Saskaņā ar </w:t>
      </w:r>
      <w:r w:rsidR="00E47026">
        <w:rPr>
          <w:rFonts w:ascii="Times New Roman" w:hAnsi="Times New Roman" w:cs="Times New Roman"/>
          <w:sz w:val="24"/>
          <w:szCs w:val="24"/>
        </w:rPr>
        <w:t>Finanšu un kapitāla tirgus komisija</w:t>
      </w:r>
      <w:r>
        <w:rPr>
          <w:rFonts w:ascii="Times New Roman" w:hAnsi="Times New Roman" w:cs="Times New Roman"/>
          <w:sz w:val="24"/>
          <w:szCs w:val="24"/>
        </w:rPr>
        <w:t>s</w:t>
      </w:r>
      <w:r w:rsidR="00E47026">
        <w:rPr>
          <w:rFonts w:ascii="Times New Roman" w:hAnsi="Times New Roman" w:cs="Times New Roman"/>
          <w:sz w:val="24"/>
          <w:szCs w:val="24"/>
        </w:rPr>
        <w:t xml:space="preserve"> (turpmāk – </w:t>
      </w:r>
      <w:r w:rsidR="000E1178">
        <w:rPr>
          <w:rFonts w:ascii="Times New Roman" w:hAnsi="Times New Roman" w:cs="Times New Roman"/>
          <w:sz w:val="24"/>
          <w:szCs w:val="24"/>
        </w:rPr>
        <w:t>FKTK</w:t>
      </w:r>
      <w:r w:rsidR="00E47026">
        <w:rPr>
          <w:rFonts w:ascii="Times New Roman" w:hAnsi="Times New Roman" w:cs="Times New Roman"/>
          <w:sz w:val="24"/>
          <w:szCs w:val="24"/>
        </w:rPr>
        <w:t xml:space="preserve">) </w:t>
      </w:r>
      <w:r>
        <w:rPr>
          <w:rFonts w:ascii="Times New Roman" w:hAnsi="Times New Roman" w:cs="Times New Roman"/>
          <w:sz w:val="24"/>
          <w:szCs w:val="24"/>
        </w:rPr>
        <w:t xml:space="preserve">sniegto </w:t>
      </w:r>
      <w:r w:rsidR="00E47026">
        <w:rPr>
          <w:rFonts w:ascii="Times New Roman" w:hAnsi="Times New Roman" w:cs="Times New Roman"/>
          <w:sz w:val="24"/>
          <w:szCs w:val="24"/>
        </w:rPr>
        <w:t>inform</w:t>
      </w:r>
      <w:r>
        <w:rPr>
          <w:rFonts w:ascii="Times New Roman" w:hAnsi="Times New Roman" w:cs="Times New Roman"/>
          <w:sz w:val="24"/>
          <w:szCs w:val="24"/>
        </w:rPr>
        <w:t>āciju</w:t>
      </w:r>
      <w:r w:rsidR="00E47026">
        <w:rPr>
          <w:rFonts w:ascii="Times New Roman" w:hAnsi="Times New Roman" w:cs="Times New Roman"/>
          <w:sz w:val="24"/>
          <w:szCs w:val="24"/>
        </w:rPr>
        <w:t>, a</w:t>
      </w:r>
      <w:r w:rsidR="00E47026" w:rsidRPr="00780032">
        <w:rPr>
          <w:rFonts w:ascii="Times New Roman" w:hAnsi="Times New Roman" w:cs="Times New Roman"/>
          <w:sz w:val="24"/>
          <w:szCs w:val="24"/>
        </w:rPr>
        <w:t>tbilstoši Eiropas Savienības regulējumam, kā arī Maksājumu pakalpojumu un elektroniskās nau</w:t>
      </w:r>
      <w:r w:rsidR="00E47026">
        <w:rPr>
          <w:rFonts w:ascii="Times New Roman" w:hAnsi="Times New Roman" w:cs="Times New Roman"/>
          <w:sz w:val="24"/>
          <w:szCs w:val="24"/>
        </w:rPr>
        <w:t>das likuma (turpmāk – MPENL) 2.panta otrās daļas 7.</w:t>
      </w:r>
      <w:r w:rsidR="00E47026" w:rsidRPr="00780032">
        <w:rPr>
          <w:rFonts w:ascii="Times New Roman" w:hAnsi="Times New Roman" w:cs="Times New Roman"/>
          <w:sz w:val="24"/>
          <w:szCs w:val="24"/>
        </w:rPr>
        <w:t xml:space="preserve">punktam un Kredītiestāžu likuma </w:t>
      </w:r>
      <w:r w:rsidR="00E53059">
        <w:rPr>
          <w:rFonts w:ascii="Times New Roman" w:hAnsi="Times New Roman" w:cs="Times New Roman"/>
          <w:sz w:val="24"/>
          <w:szCs w:val="24"/>
        </w:rPr>
        <w:br/>
      </w:r>
      <w:r w:rsidR="00E47026" w:rsidRPr="00780032">
        <w:rPr>
          <w:rFonts w:ascii="Times New Roman" w:hAnsi="Times New Roman" w:cs="Times New Roman"/>
          <w:sz w:val="24"/>
          <w:szCs w:val="24"/>
        </w:rPr>
        <w:t>12.</w:t>
      </w:r>
      <w:r w:rsidR="00E47026" w:rsidRPr="00900EB1">
        <w:rPr>
          <w:rFonts w:ascii="Times New Roman" w:hAnsi="Times New Roman" w:cs="Times New Roman"/>
          <w:sz w:val="24"/>
          <w:szCs w:val="24"/>
          <w:vertAlign w:val="superscript"/>
        </w:rPr>
        <w:t>1</w:t>
      </w:r>
      <w:r w:rsidR="00E47026" w:rsidRPr="00780032">
        <w:rPr>
          <w:rFonts w:ascii="Times New Roman" w:hAnsi="Times New Roman" w:cs="Times New Roman"/>
          <w:sz w:val="24"/>
          <w:szCs w:val="24"/>
        </w:rPr>
        <w:t xml:space="preserve"> pantam Latvijas teritorijā maksājumu pakalpojumus un citus finanšu pakalpojumus var sniegt arī citās </w:t>
      </w:r>
      <w:r w:rsidR="000E1178">
        <w:rPr>
          <w:rFonts w:ascii="Times New Roman" w:hAnsi="Times New Roman" w:cs="Times New Roman"/>
          <w:sz w:val="24"/>
          <w:szCs w:val="24"/>
        </w:rPr>
        <w:t xml:space="preserve">Eiropas Savienības </w:t>
      </w:r>
      <w:r w:rsidR="00E47026" w:rsidRPr="00780032">
        <w:rPr>
          <w:rFonts w:ascii="Times New Roman" w:hAnsi="Times New Roman" w:cs="Times New Roman"/>
          <w:sz w:val="24"/>
          <w:szCs w:val="24"/>
        </w:rPr>
        <w:t xml:space="preserve">dalībvalstīs </w:t>
      </w:r>
      <w:r w:rsidR="000E1178">
        <w:rPr>
          <w:rFonts w:ascii="Times New Roman" w:hAnsi="Times New Roman" w:cs="Times New Roman"/>
          <w:sz w:val="24"/>
          <w:szCs w:val="24"/>
        </w:rPr>
        <w:t xml:space="preserve">(turpmāk – dalībvalsts) </w:t>
      </w:r>
      <w:r w:rsidR="00E47026" w:rsidRPr="00780032">
        <w:rPr>
          <w:rFonts w:ascii="Times New Roman" w:hAnsi="Times New Roman" w:cs="Times New Roman"/>
          <w:sz w:val="24"/>
          <w:szCs w:val="24"/>
        </w:rPr>
        <w:t>licencēts maksājumu pakalpojumu sniedzējs, tajā skaitā kredītiestādes, maksājumu un elektroniskās naudas iestādes. Šāda finanšu pakalpojumu sniegšana var notikt dibināšanas (uzņēmējdarbības) vai pakalpojumu sniegšanas brīvības ietvaros bez filiāles atvēršanas vai pārstāvju izmantošanas klātienē Latvijā.</w:t>
      </w:r>
    </w:p>
    <w:p w14:paraId="03E21AC8" w14:textId="77777777" w:rsidR="005411B8" w:rsidRDefault="00E47026" w:rsidP="005411B8">
      <w:pPr>
        <w:spacing w:line="240" w:lineRule="auto"/>
        <w:ind w:firstLine="357"/>
        <w:contextualSpacing/>
        <w:jc w:val="both"/>
        <w:rPr>
          <w:rFonts w:ascii="Times New Roman" w:hAnsi="Times New Roman" w:cs="Times New Roman"/>
          <w:b/>
          <w:bCs/>
          <w:sz w:val="24"/>
          <w:szCs w:val="24"/>
        </w:rPr>
      </w:pPr>
      <w:r w:rsidRPr="00780032">
        <w:rPr>
          <w:rFonts w:ascii="Times New Roman" w:hAnsi="Times New Roman" w:cs="Times New Roman"/>
          <w:sz w:val="24"/>
          <w:szCs w:val="24"/>
        </w:rPr>
        <w:t xml:space="preserve">Atkarībā no maksājumu pakalpojumu sniedzēja izvēlētā darbības veida Latvijā atšķiras arī </w:t>
      </w:r>
      <w:r w:rsidR="000E1178">
        <w:rPr>
          <w:rFonts w:ascii="Times New Roman" w:hAnsi="Times New Roman" w:cs="Times New Roman"/>
          <w:sz w:val="24"/>
          <w:szCs w:val="24"/>
        </w:rPr>
        <w:t>FKTK</w:t>
      </w:r>
      <w:r w:rsidR="000E1178" w:rsidRPr="00780032">
        <w:rPr>
          <w:rFonts w:ascii="Times New Roman" w:hAnsi="Times New Roman" w:cs="Times New Roman"/>
          <w:sz w:val="24"/>
          <w:szCs w:val="24"/>
        </w:rPr>
        <w:t xml:space="preserve"> </w:t>
      </w:r>
      <w:r w:rsidRPr="00780032">
        <w:rPr>
          <w:rFonts w:ascii="Times New Roman" w:hAnsi="Times New Roman" w:cs="Times New Roman"/>
          <w:sz w:val="24"/>
          <w:szCs w:val="24"/>
        </w:rPr>
        <w:t>kompetence un tiesības uzraudzīt šos finanšu pakalpojumu sniedzējus no citām dalībvalstīm. Piemēram, MPENL 107.pants paredz, ka attiecībā uz pakalpojumu sniegšanas brīvību (darbība bez filiāles vai pārstāvju izmantošanas) galveno uzraudzību nodrošina attiecīgā maksājumu pakalpojumu sniedzēja mītnes dalībvalsts kompetent</w:t>
      </w:r>
      <w:r>
        <w:rPr>
          <w:rFonts w:ascii="Times New Roman" w:hAnsi="Times New Roman" w:cs="Times New Roman"/>
          <w:sz w:val="24"/>
          <w:szCs w:val="24"/>
        </w:rPr>
        <w:t>ā iestāde. Vienlaikus MPENL 51.</w:t>
      </w:r>
      <w:r w:rsidRPr="00780032">
        <w:rPr>
          <w:rFonts w:ascii="Times New Roman" w:hAnsi="Times New Roman" w:cs="Times New Roman"/>
          <w:sz w:val="24"/>
          <w:szCs w:val="24"/>
        </w:rPr>
        <w:t xml:space="preserve">pants paredz </w:t>
      </w:r>
      <w:r w:rsidR="000E1178">
        <w:rPr>
          <w:rFonts w:ascii="Times New Roman" w:hAnsi="Times New Roman" w:cs="Times New Roman"/>
          <w:sz w:val="24"/>
          <w:szCs w:val="24"/>
        </w:rPr>
        <w:t>FKTK</w:t>
      </w:r>
      <w:r w:rsidRPr="00780032">
        <w:rPr>
          <w:rFonts w:ascii="Times New Roman" w:hAnsi="Times New Roman" w:cs="Times New Roman"/>
          <w:sz w:val="24"/>
          <w:szCs w:val="24"/>
        </w:rPr>
        <w:t xml:space="preserve"> pilnvaras pieprasītu citā</w:t>
      </w:r>
      <w:r w:rsidR="000E1178">
        <w:rPr>
          <w:rFonts w:ascii="Times New Roman" w:hAnsi="Times New Roman" w:cs="Times New Roman"/>
          <w:sz w:val="24"/>
          <w:szCs w:val="24"/>
        </w:rPr>
        <w:t xml:space="preserve"> </w:t>
      </w:r>
      <w:r w:rsidRPr="00780032">
        <w:rPr>
          <w:rFonts w:ascii="Times New Roman" w:hAnsi="Times New Roman" w:cs="Times New Roman"/>
          <w:sz w:val="24"/>
          <w:szCs w:val="24"/>
        </w:rPr>
        <w:t xml:space="preserve">dalībvalstī licencētam maksājumu pakalpojumu sniedzējam pārtraukt darbības, kas ir pretrunā ar normatīvajiem aktiem. Ja šis maksājumu pakalpojumu sniedzējs neizbeidz darbības, kas ir pretrunā ar normatīvajiem aktiem, </w:t>
      </w:r>
      <w:r w:rsidR="000E1178">
        <w:rPr>
          <w:rFonts w:ascii="Times New Roman" w:hAnsi="Times New Roman" w:cs="Times New Roman"/>
          <w:sz w:val="24"/>
          <w:szCs w:val="24"/>
        </w:rPr>
        <w:t>FKTK</w:t>
      </w:r>
      <w:r w:rsidRPr="00780032">
        <w:rPr>
          <w:rFonts w:ascii="Times New Roman" w:hAnsi="Times New Roman" w:cs="Times New Roman"/>
          <w:sz w:val="24"/>
          <w:szCs w:val="24"/>
        </w:rPr>
        <w:t xml:space="preserve"> nekavējoties par to informē attiecīgās dalībvalsts iestāžu uzraudzības institūciju, kuras pienākums ir rīkoties tā, lai pārkāpumi tiktu novērsti. Īpašos izņēmuma gadījumos, kad nepieciešama tūlītēja rīcība, lai novērstu nopietnu apdraudējumu maksājumu pakalpojumu izmantotāju un elektroniskās naudas turētāju kopīgajām interesēm Latvijā, </w:t>
      </w:r>
      <w:r w:rsidR="000E1178">
        <w:rPr>
          <w:rFonts w:ascii="Times New Roman" w:hAnsi="Times New Roman" w:cs="Times New Roman"/>
          <w:sz w:val="24"/>
          <w:szCs w:val="24"/>
        </w:rPr>
        <w:t>FKTK</w:t>
      </w:r>
      <w:r w:rsidRPr="00780032">
        <w:rPr>
          <w:rFonts w:ascii="Times New Roman" w:hAnsi="Times New Roman" w:cs="Times New Roman"/>
          <w:sz w:val="24"/>
          <w:szCs w:val="24"/>
        </w:rPr>
        <w:t xml:space="preserve"> pati var veikt pasākumus, lai n</w:t>
      </w:r>
      <w:r>
        <w:rPr>
          <w:rFonts w:ascii="Times New Roman" w:hAnsi="Times New Roman" w:cs="Times New Roman"/>
          <w:sz w:val="24"/>
          <w:szCs w:val="24"/>
        </w:rPr>
        <w:t>ovērstu konstatētos pārkāpumus.</w:t>
      </w:r>
    </w:p>
    <w:p w14:paraId="142A16F1" w14:textId="77777777" w:rsidR="00000A48" w:rsidRDefault="00E47026" w:rsidP="00000A48">
      <w:pPr>
        <w:spacing w:line="240" w:lineRule="auto"/>
        <w:ind w:firstLine="357"/>
        <w:contextualSpacing/>
        <w:jc w:val="both"/>
        <w:rPr>
          <w:rFonts w:ascii="Times New Roman" w:hAnsi="Times New Roman" w:cs="Times New Roman"/>
          <w:b/>
          <w:bCs/>
          <w:sz w:val="24"/>
          <w:szCs w:val="24"/>
        </w:rPr>
      </w:pPr>
      <w:r w:rsidRPr="00780032">
        <w:rPr>
          <w:rFonts w:ascii="Times New Roman" w:hAnsi="Times New Roman" w:cs="Times New Roman"/>
          <w:sz w:val="24"/>
          <w:szCs w:val="24"/>
        </w:rPr>
        <w:t>Atbilstoši Kredītiestāžu likuma</w:t>
      </w:r>
      <w:r>
        <w:rPr>
          <w:rFonts w:ascii="Times New Roman" w:hAnsi="Times New Roman" w:cs="Times New Roman"/>
          <w:sz w:val="24"/>
          <w:szCs w:val="24"/>
        </w:rPr>
        <w:t xml:space="preserve"> 6.panta trešajai daļai un 65.</w:t>
      </w:r>
      <w:r w:rsidRPr="00780032">
        <w:rPr>
          <w:rFonts w:ascii="Times New Roman" w:hAnsi="Times New Roman" w:cs="Times New Roman"/>
          <w:sz w:val="24"/>
          <w:szCs w:val="24"/>
        </w:rPr>
        <w:t xml:space="preserve">panta ceturtajai daļai, kā arī </w:t>
      </w:r>
      <w:r w:rsidR="009022BA">
        <w:rPr>
          <w:rFonts w:ascii="Times New Roman" w:hAnsi="Times New Roman" w:cs="Times New Roman"/>
          <w:sz w:val="24"/>
          <w:szCs w:val="24"/>
        </w:rPr>
        <w:t>MPENL</w:t>
      </w:r>
      <w:r w:rsidRPr="00780032">
        <w:rPr>
          <w:rFonts w:ascii="Times New Roman" w:hAnsi="Times New Roman" w:cs="Times New Roman"/>
          <w:sz w:val="24"/>
          <w:szCs w:val="24"/>
        </w:rPr>
        <w:t xml:space="preserve"> 44.</w:t>
      </w:r>
      <w:r w:rsidRPr="0079576B">
        <w:rPr>
          <w:rFonts w:ascii="Times New Roman" w:hAnsi="Times New Roman" w:cs="Times New Roman"/>
          <w:sz w:val="24"/>
          <w:szCs w:val="24"/>
          <w:vertAlign w:val="superscript"/>
        </w:rPr>
        <w:t>2</w:t>
      </w:r>
      <w:r w:rsidRPr="00780032">
        <w:rPr>
          <w:rFonts w:ascii="Times New Roman" w:hAnsi="Times New Roman" w:cs="Times New Roman"/>
          <w:sz w:val="24"/>
          <w:szCs w:val="24"/>
        </w:rPr>
        <w:t xml:space="preserve"> pantam aizliegums uzsākt un turpināt darījuma attiecības ar nelicencētu azartspēļu organizētāju attiecas arī uz citu dalībvalstu kredītiestādēm un citiem maksājumu pakalpojumu sniedzējiem, kas Latvijas teritorijā ir tiesīgi sniegt maksājumu pakalpojumus. Ierobežojumi sadarbībai ar nelicencētiem azartspēļu organizētājiem attiecas gan uz dibināšanas brīvību, gan pakalpojumu sniegšanas brīvību. </w:t>
      </w:r>
      <w:r w:rsidR="000E1178">
        <w:rPr>
          <w:rFonts w:ascii="Times New Roman" w:hAnsi="Times New Roman" w:cs="Times New Roman"/>
          <w:sz w:val="24"/>
          <w:szCs w:val="24"/>
        </w:rPr>
        <w:t>FKTK</w:t>
      </w:r>
      <w:r w:rsidR="000E1178" w:rsidRPr="00780032" w:rsidDel="000E1178">
        <w:rPr>
          <w:rFonts w:ascii="Times New Roman" w:hAnsi="Times New Roman" w:cs="Times New Roman"/>
          <w:sz w:val="24"/>
          <w:szCs w:val="24"/>
        </w:rPr>
        <w:t xml:space="preserve"> </w:t>
      </w:r>
      <w:r w:rsidRPr="00780032">
        <w:rPr>
          <w:rFonts w:ascii="Times New Roman" w:hAnsi="Times New Roman" w:cs="Times New Roman"/>
          <w:sz w:val="24"/>
          <w:szCs w:val="24"/>
        </w:rPr>
        <w:t xml:space="preserve">par šiem darbības ierobežojumiem informē citu dalībvalstu maksājumu pakalpojumu sniedzējus pirms tie uzsāk savu darbību Latvijā, t. sk. atbilstoša informācija ir ietverta </w:t>
      </w:r>
      <w:r w:rsidR="000E1178">
        <w:rPr>
          <w:rFonts w:ascii="Times New Roman" w:hAnsi="Times New Roman" w:cs="Times New Roman"/>
          <w:sz w:val="24"/>
          <w:szCs w:val="24"/>
        </w:rPr>
        <w:t>FKTK</w:t>
      </w:r>
      <w:r w:rsidRPr="00780032">
        <w:rPr>
          <w:rFonts w:ascii="Times New Roman" w:hAnsi="Times New Roman" w:cs="Times New Roman"/>
          <w:sz w:val="24"/>
          <w:szCs w:val="24"/>
        </w:rPr>
        <w:t xml:space="preserve"> m</w:t>
      </w:r>
      <w:r>
        <w:rPr>
          <w:rFonts w:ascii="Times New Roman" w:hAnsi="Times New Roman" w:cs="Times New Roman"/>
          <w:sz w:val="24"/>
          <w:szCs w:val="24"/>
        </w:rPr>
        <w:t>ājaslapā angļu valodā</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2DBEDC71" w14:textId="77777777" w:rsidR="00000A48" w:rsidRDefault="00E47026" w:rsidP="00000A48">
      <w:pPr>
        <w:spacing w:line="240" w:lineRule="auto"/>
        <w:ind w:firstLine="357"/>
        <w:contextualSpacing/>
        <w:jc w:val="both"/>
        <w:rPr>
          <w:rFonts w:ascii="Times New Roman" w:hAnsi="Times New Roman" w:cs="Times New Roman"/>
          <w:sz w:val="24"/>
          <w:szCs w:val="24"/>
        </w:rPr>
      </w:pPr>
      <w:r w:rsidRPr="00780032">
        <w:rPr>
          <w:rFonts w:ascii="Times New Roman" w:hAnsi="Times New Roman" w:cs="Times New Roman"/>
          <w:sz w:val="24"/>
          <w:szCs w:val="24"/>
        </w:rPr>
        <w:t>Ņemot vērā minēto, ja</w:t>
      </w:r>
      <w:r w:rsidR="000E1178" w:rsidRPr="000E1178">
        <w:rPr>
          <w:rFonts w:ascii="Times New Roman" w:hAnsi="Times New Roman" w:cs="Times New Roman"/>
          <w:sz w:val="24"/>
          <w:szCs w:val="24"/>
        </w:rPr>
        <w:t xml:space="preserve"> </w:t>
      </w:r>
      <w:r w:rsidR="000E1178">
        <w:rPr>
          <w:rFonts w:ascii="Times New Roman" w:hAnsi="Times New Roman" w:cs="Times New Roman"/>
          <w:sz w:val="24"/>
          <w:szCs w:val="24"/>
        </w:rPr>
        <w:t>FKTK</w:t>
      </w:r>
      <w:r w:rsidR="000E1178" w:rsidRPr="00780032" w:rsidDel="000E1178">
        <w:rPr>
          <w:rFonts w:ascii="Times New Roman" w:hAnsi="Times New Roman" w:cs="Times New Roman"/>
          <w:sz w:val="24"/>
          <w:szCs w:val="24"/>
        </w:rPr>
        <w:t xml:space="preserve"> </w:t>
      </w:r>
      <w:r w:rsidRPr="00780032">
        <w:rPr>
          <w:rFonts w:ascii="Times New Roman" w:hAnsi="Times New Roman" w:cs="Times New Roman"/>
          <w:sz w:val="24"/>
          <w:szCs w:val="24"/>
        </w:rPr>
        <w:t xml:space="preserve">rīcībā ir informācija, ka citas dalībvalsts maksājumu pakalpojumu sniedzējs saistībā ar finanšu pakalpojumiem pārkāpj Latvijas normatīvo aktu prasības, t. sk. pārkāpj ierobežojumus sadarbībai ar nelicencētiem azartspēļu organizētājiem, </w:t>
      </w:r>
      <w:r w:rsidR="000E1178">
        <w:rPr>
          <w:rFonts w:ascii="Times New Roman" w:hAnsi="Times New Roman" w:cs="Times New Roman"/>
          <w:sz w:val="24"/>
          <w:szCs w:val="24"/>
        </w:rPr>
        <w:t>FKTK</w:t>
      </w:r>
      <w:r w:rsidRPr="00780032">
        <w:rPr>
          <w:rFonts w:ascii="Times New Roman" w:hAnsi="Times New Roman" w:cs="Times New Roman"/>
          <w:sz w:val="24"/>
          <w:szCs w:val="24"/>
        </w:rPr>
        <w:t xml:space="preserve"> nekavējoties sazinās ar attiecīgo maksājumu pakalpojumu sniedzēju un lūdz skaidrot radušos situāciju un nekavējoties veikt pasākumus pārkāpuma novēršanai. Ja saziņas rezultātā konstatētie pārkāpumi netiek novērsti, </w:t>
      </w:r>
      <w:r w:rsidR="000E1178">
        <w:rPr>
          <w:rFonts w:ascii="Times New Roman" w:hAnsi="Times New Roman" w:cs="Times New Roman"/>
          <w:sz w:val="24"/>
          <w:szCs w:val="24"/>
        </w:rPr>
        <w:t>FKTK</w:t>
      </w:r>
      <w:r w:rsidR="000E1178" w:rsidRPr="00780032" w:rsidDel="000E1178">
        <w:rPr>
          <w:rFonts w:ascii="Times New Roman" w:hAnsi="Times New Roman" w:cs="Times New Roman"/>
          <w:sz w:val="24"/>
          <w:szCs w:val="24"/>
        </w:rPr>
        <w:t xml:space="preserve"> </w:t>
      </w:r>
      <w:r w:rsidRPr="00780032">
        <w:rPr>
          <w:rFonts w:ascii="Times New Roman" w:hAnsi="Times New Roman" w:cs="Times New Roman"/>
          <w:sz w:val="24"/>
          <w:szCs w:val="24"/>
        </w:rPr>
        <w:t>apkopo tās rīcībā esošo informāciju un informē attiecīgās dalībvalsts finanšu uzraudzības institūciju.</w:t>
      </w:r>
    </w:p>
    <w:p w14:paraId="0E1B9A12" w14:textId="77777777" w:rsidR="00AF1B59" w:rsidRPr="00AF1B59" w:rsidRDefault="00AF1B59" w:rsidP="00AF1B59">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FKTK </w:t>
      </w:r>
      <w:r w:rsidR="003116F8">
        <w:rPr>
          <w:rFonts w:ascii="Times New Roman" w:hAnsi="Times New Roman" w:cs="Times New Roman"/>
          <w:sz w:val="24"/>
          <w:szCs w:val="24"/>
        </w:rPr>
        <w:t>uzskata</w:t>
      </w:r>
      <w:r>
        <w:rPr>
          <w:rFonts w:ascii="Times New Roman" w:hAnsi="Times New Roman" w:cs="Times New Roman"/>
          <w:sz w:val="24"/>
          <w:szCs w:val="24"/>
        </w:rPr>
        <w:t xml:space="preserve">, ka </w:t>
      </w:r>
      <w:r w:rsidRPr="00AF1B59">
        <w:rPr>
          <w:rFonts w:ascii="Times New Roman" w:hAnsi="Times New Roman" w:cs="Times New Roman"/>
          <w:sz w:val="24"/>
          <w:szCs w:val="24"/>
        </w:rPr>
        <w:t xml:space="preserve">no samērīguma viedokļa uzraudzības kontrole būtu jāstiprina attiecībā uz tādiem maksājumu pakalpojumu sniedzējiem, kuri tieši apkalpo nelegālos azartspēļu organizētājus (vai personas, kuras rīkojas to uzdevumā), nevis tādiem maksājumu pakalpojumu sniedzējiem, kuriem ir gadījuma rakstura maksājumi, kurus iniciē maksātājs (azartspēļu spēlētājs). Turklāt, ja maksājumu pakalpojumu sniedzējs apkalpo nelegālos azartspēļu organizētājus, tad tas vienlaikus varētu būt saistīts ar paaugstinātiem noziedzīgi iegūtu līdzekļu legalizācijas un terorisma un </w:t>
      </w:r>
      <w:proofErr w:type="spellStart"/>
      <w:r w:rsidRPr="00AF1B59">
        <w:rPr>
          <w:rFonts w:ascii="Times New Roman" w:hAnsi="Times New Roman" w:cs="Times New Roman"/>
          <w:sz w:val="24"/>
          <w:szCs w:val="24"/>
        </w:rPr>
        <w:t>proliferācijas</w:t>
      </w:r>
      <w:proofErr w:type="spellEnd"/>
      <w:r w:rsidRPr="00AF1B59">
        <w:rPr>
          <w:rFonts w:ascii="Times New Roman" w:hAnsi="Times New Roman" w:cs="Times New Roman"/>
          <w:sz w:val="24"/>
          <w:szCs w:val="24"/>
        </w:rPr>
        <w:t xml:space="preserve"> finansēšanas novēršanas riskiem.</w:t>
      </w:r>
    </w:p>
    <w:p w14:paraId="53F24ECC" w14:textId="77777777" w:rsidR="00000A48" w:rsidRDefault="00E47026" w:rsidP="00000A48">
      <w:pPr>
        <w:spacing w:line="240" w:lineRule="auto"/>
        <w:ind w:firstLine="357"/>
        <w:contextualSpacing/>
        <w:jc w:val="both"/>
        <w:rPr>
          <w:rFonts w:ascii="Times New Roman" w:hAnsi="Times New Roman" w:cs="Times New Roman"/>
          <w:b/>
          <w:bCs/>
          <w:sz w:val="24"/>
          <w:szCs w:val="24"/>
        </w:rPr>
      </w:pPr>
      <w:r>
        <w:rPr>
          <w:rFonts w:ascii="Times New Roman" w:hAnsi="Times New Roman" w:cs="Times New Roman"/>
          <w:sz w:val="24"/>
          <w:szCs w:val="24"/>
        </w:rPr>
        <w:t>Ņemot vērā iepriekš minēto</w:t>
      </w:r>
      <w:r w:rsidR="00FA4E60">
        <w:rPr>
          <w:rFonts w:ascii="Times New Roman" w:hAnsi="Times New Roman" w:cs="Times New Roman"/>
          <w:sz w:val="24"/>
          <w:szCs w:val="24"/>
        </w:rPr>
        <w:t>,</w:t>
      </w:r>
      <w:r>
        <w:rPr>
          <w:rFonts w:ascii="Times New Roman" w:hAnsi="Times New Roman" w:cs="Times New Roman"/>
          <w:sz w:val="24"/>
          <w:szCs w:val="24"/>
        </w:rPr>
        <w:t xml:space="preserve"> secināms, ka ir iespējams stiprināt IAUI un </w:t>
      </w:r>
      <w:r w:rsidR="000E1178">
        <w:rPr>
          <w:rFonts w:ascii="Times New Roman" w:hAnsi="Times New Roman" w:cs="Times New Roman"/>
          <w:sz w:val="24"/>
          <w:szCs w:val="24"/>
        </w:rPr>
        <w:t>FKTK</w:t>
      </w:r>
      <w:r>
        <w:rPr>
          <w:rFonts w:ascii="Times New Roman" w:hAnsi="Times New Roman" w:cs="Times New Roman"/>
          <w:sz w:val="24"/>
          <w:szCs w:val="24"/>
        </w:rPr>
        <w:t xml:space="preserve"> sadarbību jautājumos, kas skar “elektronisko maku” pakalpojumu sniedzējus, proti, IAUI sniedzot </w:t>
      </w:r>
      <w:r w:rsidR="000E1178">
        <w:rPr>
          <w:rFonts w:ascii="Times New Roman" w:hAnsi="Times New Roman" w:cs="Times New Roman"/>
          <w:sz w:val="24"/>
          <w:szCs w:val="24"/>
        </w:rPr>
        <w:t>FKTK</w:t>
      </w:r>
      <w:r>
        <w:rPr>
          <w:rFonts w:ascii="Times New Roman" w:hAnsi="Times New Roman" w:cs="Times New Roman"/>
          <w:sz w:val="24"/>
          <w:szCs w:val="24"/>
        </w:rPr>
        <w:t xml:space="preserve"> informāciju par komersantiem, kas nodrošina “elektronisko maku” pakalpojumus Latvijā un </w:t>
      </w:r>
      <w:r w:rsidR="000E1178">
        <w:rPr>
          <w:rFonts w:ascii="Times New Roman" w:hAnsi="Times New Roman" w:cs="Times New Roman"/>
          <w:sz w:val="24"/>
          <w:szCs w:val="24"/>
        </w:rPr>
        <w:t>FKTK</w:t>
      </w:r>
      <w:r w:rsidR="000E1178" w:rsidDel="000E1178">
        <w:rPr>
          <w:rFonts w:ascii="Times New Roman" w:hAnsi="Times New Roman" w:cs="Times New Roman"/>
          <w:sz w:val="24"/>
          <w:szCs w:val="24"/>
        </w:rPr>
        <w:t xml:space="preserve"> </w:t>
      </w:r>
      <w:r>
        <w:rPr>
          <w:rFonts w:ascii="Times New Roman" w:hAnsi="Times New Roman" w:cs="Times New Roman"/>
          <w:sz w:val="24"/>
          <w:szCs w:val="24"/>
        </w:rPr>
        <w:t>saņemto informāciju nosūtīt attiecīgās valsts kompetentajai institūcijai.</w:t>
      </w:r>
    </w:p>
    <w:p w14:paraId="11C5D309" w14:textId="77777777" w:rsidR="00000A48" w:rsidRDefault="00E47026" w:rsidP="00000A4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Savukārt, IAUI</w:t>
      </w:r>
      <w:r w:rsidR="001A7E21">
        <w:rPr>
          <w:rFonts w:ascii="Times New Roman" w:hAnsi="Times New Roman" w:cs="Times New Roman"/>
          <w:sz w:val="24"/>
          <w:szCs w:val="24"/>
        </w:rPr>
        <w:t>,</w:t>
      </w:r>
      <w:r w:rsidRPr="0079576B">
        <w:rPr>
          <w:rFonts w:ascii="Times New Roman" w:hAnsi="Times New Roman" w:cs="Times New Roman"/>
          <w:sz w:val="24"/>
          <w:szCs w:val="24"/>
        </w:rPr>
        <w:t xml:space="preserve"> </w:t>
      </w:r>
      <w:r w:rsidR="000E1178">
        <w:rPr>
          <w:rFonts w:ascii="Times New Roman" w:hAnsi="Times New Roman" w:cs="Times New Roman"/>
          <w:sz w:val="24"/>
          <w:szCs w:val="24"/>
        </w:rPr>
        <w:t>FKTK</w:t>
      </w:r>
      <w:r w:rsidRPr="0079576B">
        <w:rPr>
          <w:rFonts w:ascii="Times New Roman" w:hAnsi="Times New Roman" w:cs="Times New Roman"/>
          <w:sz w:val="24"/>
          <w:szCs w:val="24"/>
        </w:rPr>
        <w:t xml:space="preserve"> un </w:t>
      </w:r>
      <w:r w:rsidR="001A7E21">
        <w:rPr>
          <w:rFonts w:ascii="Times New Roman" w:hAnsi="Times New Roman" w:cs="Times New Roman"/>
          <w:sz w:val="24"/>
          <w:szCs w:val="24"/>
        </w:rPr>
        <w:t>FNA</w:t>
      </w:r>
      <w:r w:rsidRPr="0079576B">
        <w:rPr>
          <w:rFonts w:ascii="Times New Roman" w:hAnsi="Times New Roman" w:cs="Times New Roman"/>
          <w:sz w:val="24"/>
          <w:szCs w:val="24"/>
        </w:rPr>
        <w:t xml:space="preserve"> ir uzsākušas sadarbību, izmantojot arī alternatīvus tās rīcībā esošos instrumentus ne</w:t>
      </w:r>
      <w:r w:rsidR="00000A48">
        <w:rPr>
          <w:rFonts w:ascii="Times New Roman" w:hAnsi="Times New Roman" w:cs="Times New Roman"/>
          <w:sz w:val="24"/>
          <w:szCs w:val="24"/>
        </w:rPr>
        <w:t>legālu darījumu ierobežošanai.</w:t>
      </w:r>
    </w:p>
    <w:p w14:paraId="6D3DBB76" w14:textId="77777777" w:rsidR="00000A48" w:rsidRDefault="00000A48" w:rsidP="00000A48">
      <w:pPr>
        <w:spacing w:line="240" w:lineRule="auto"/>
        <w:ind w:firstLine="357"/>
        <w:contextualSpacing/>
        <w:jc w:val="both"/>
        <w:rPr>
          <w:rFonts w:ascii="Times New Roman" w:hAnsi="Times New Roman" w:cs="Times New Roman"/>
          <w:sz w:val="24"/>
          <w:szCs w:val="24"/>
        </w:rPr>
      </w:pPr>
    </w:p>
    <w:p w14:paraId="744D8ABC" w14:textId="77777777" w:rsidR="00000A48" w:rsidRDefault="00E47026" w:rsidP="00000A48">
      <w:pPr>
        <w:spacing w:line="240" w:lineRule="auto"/>
        <w:ind w:firstLine="357"/>
        <w:contextualSpacing/>
        <w:jc w:val="both"/>
        <w:rPr>
          <w:rFonts w:ascii="Times New Roman" w:hAnsi="Times New Roman" w:cs="Times New Roman"/>
          <w:b/>
          <w:bCs/>
          <w:sz w:val="24"/>
          <w:szCs w:val="24"/>
        </w:rPr>
      </w:pPr>
      <w:r w:rsidRPr="009C3F56">
        <w:rPr>
          <w:rFonts w:ascii="Times New Roman" w:hAnsi="Times New Roman" w:cs="Times New Roman"/>
          <w:b/>
          <w:i/>
          <w:sz w:val="24"/>
          <w:szCs w:val="24"/>
        </w:rPr>
        <w:t>Priekšlikumi, kuru īstenošanai nepieciešams veik</w:t>
      </w:r>
      <w:r w:rsidR="009C3F56" w:rsidRPr="009C3F56">
        <w:rPr>
          <w:rFonts w:ascii="Times New Roman" w:hAnsi="Times New Roman" w:cs="Times New Roman"/>
          <w:b/>
          <w:i/>
          <w:sz w:val="24"/>
          <w:szCs w:val="24"/>
        </w:rPr>
        <w:t>t grozījumus normatīvajos aktos</w:t>
      </w:r>
    </w:p>
    <w:p w14:paraId="5DD04BA7" w14:textId="77777777" w:rsidR="00000A48" w:rsidRDefault="00000A48" w:rsidP="00000A48">
      <w:pPr>
        <w:spacing w:line="240" w:lineRule="auto"/>
        <w:ind w:firstLine="357"/>
        <w:contextualSpacing/>
        <w:jc w:val="both"/>
        <w:rPr>
          <w:rFonts w:ascii="Times New Roman" w:hAnsi="Times New Roman" w:cs="Times New Roman"/>
          <w:b/>
          <w:bCs/>
          <w:sz w:val="24"/>
          <w:szCs w:val="24"/>
        </w:rPr>
      </w:pPr>
    </w:p>
    <w:p w14:paraId="1AF31B2A" w14:textId="77777777" w:rsidR="00000A48" w:rsidRDefault="00000A48" w:rsidP="00000A48">
      <w:pPr>
        <w:spacing w:line="240" w:lineRule="auto"/>
        <w:ind w:firstLine="357"/>
        <w:contextualSpacing/>
        <w:jc w:val="both"/>
        <w:rPr>
          <w:rFonts w:ascii="Times New Roman" w:hAnsi="Times New Roman" w:cs="Times New Roman"/>
          <w:sz w:val="24"/>
          <w:szCs w:val="24"/>
        </w:rPr>
      </w:pPr>
      <w:r w:rsidRPr="00000A48">
        <w:rPr>
          <w:rFonts w:ascii="Times New Roman" w:hAnsi="Times New Roman" w:cs="Times New Roman"/>
          <w:b/>
          <w:sz w:val="24"/>
          <w:szCs w:val="24"/>
        </w:rPr>
        <w:t>1.</w:t>
      </w:r>
      <w:r>
        <w:rPr>
          <w:rFonts w:ascii="Times New Roman" w:hAnsi="Times New Roman" w:cs="Times New Roman"/>
          <w:b/>
          <w:sz w:val="24"/>
          <w:szCs w:val="24"/>
        </w:rPr>
        <w:t xml:space="preserve"> </w:t>
      </w:r>
      <w:r w:rsidR="0002365E" w:rsidRPr="00000A48">
        <w:rPr>
          <w:rFonts w:ascii="Times New Roman" w:hAnsi="Times New Roman" w:cs="Times New Roman"/>
          <w:b/>
          <w:sz w:val="24"/>
          <w:szCs w:val="24"/>
        </w:rPr>
        <w:t>Procesa uzlabošana saistībā ar atteiktajiem maksājumiem</w:t>
      </w:r>
      <w:r w:rsidR="0002365E" w:rsidRPr="00000A48">
        <w:rPr>
          <w:rFonts w:ascii="Times New Roman" w:hAnsi="Times New Roman" w:cs="Times New Roman"/>
          <w:sz w:val="24"/>
          <w:szCs w:val="24"/>
        </w:rPr>
        <w:t xml:space="preserve">. </w:t>
      </w:r>
      <w:r w:rsidR="00E47026" w:rsidRPr="00000A48">
        <w:rPr>
          <w:rFonts w:ascii="Times New Roman" w:hAnsi="Times New Roman" w:cs="Times New Roman"/>
          <w:sz w:val="24"/>
          <w:szCs w:val="24"/>
        </w:rPr>
        <w:t xml:space="preserve">Kā jau tika minēts iepriekš, pašreiz Maksājumu pakalpojumu un elektroniskās naudas likums nosaka pienākumu kredītiestādēm informāciju </w:t>
      </w:r>
      <w:r w:rsidR="00F36943" w:rsidRPr="00000A48">
        <w:rPr>
          <w:rFonts w:ascii="Times New Roman" w:hAnsi="Times New Roman" w:cs="Times New Roman"/>
          <w:sz w:val="24"/>
          <w:szCs w:val="24"/>
          <w:u w:val="single"/>
        </w:rPr>
        <w:t>par atteikumiem veikt attālinātos maksājumus</w:t>
      </w:r>
      <w:r w:rsidR="00F36943" w:rsidRPr="00000A48">
        <w:rPr>
          <w:rFonts w:ascii="Times New Roman" w:hAnsi="Times New Roman" w:cs="Times New Roman"/>
          <w:sz w:val="24"/>
          <w:szCs w:val="24"/>
        </w:rPr>
        <w:t xml:space="preserve"> </w:t>
      </w:r>
      <w:r w:rsidR="00E47026" w:rsidRPr="00000A48">
        <w:rPr>
          <w:rFonts w:ascii="Times New Roman" w:hAnsi="Times New Roman" w:cs="Times New Roman"/>
          <w:sz w:val="24"/>
          <w:szCs w:val="24"/>
        </w:rPr>
        <w:t>VID sniegt vien</w:t>
      </w:r>
      <w:r w:rsidR="009B033F" w:rsidRPr="00000A48">
        <w:rPr>
          <w:rFonts w:ascii="Times New Roman" w:hAnsi="Times New Roman" w:cs="Times New Roman"/>
          <w:sz w:val="24"/>
          <w:szCs w:val="24"/>
        </w:rPr>
        <w:t xml:space="preserve">u </w:t>
      </w:r>
      <w:r w:rsidR="00E47026" w:rsidRPr="00000A48">
        <w:rPr>
          <w:rFonts w:ascii="Times New Roman" w:hAnsi="Times New Roman" w:cs="Times New Roman"/>
          <w:sz w:val="24"/>
          <w:szCs w:val="24"/>
        </w:rPr>
        <w:t>reiz</w:t>
      </w:r>
      <w:r w:rsidR="009B033F" w:rsidRPr="00000A48">
        <w:rPr>
          <w:rFonts w:ascii="Times New Roman" w:hAnsi="Times New Roman" w:cs="Times New Roman"/>
          <w:sz w:val="24"/>
          <w:szCs w:val="24"/>
        </w:rPr>
        <w:t>i</w:t>
      </w:r>
      <w:r w:rsidR="00E47026" w:rsidRPr="00000A48">
        <w:rPr>
          <w:rFonts w:ascii="Times New Roman" w:hAnsi="Times New Roman" w:cs="Times New Roman"/>
          <w:sz w:val="24"/>
          <w:szCs w:val="24"/>
        </w:rPr>
        <w:t xml:space="preserve"> gadā</w:t>
      </w:r>
      <w:r w:rsidR="009B033F" w:rsidRPr="00000A48">
        <w:rPr>
          <w:rFonts w:ascii="Times New Roman" w:hAnsi="Times New Roman" w:cs="Times New Roman"/>
          <w:sz w:val="24"/>
          <w:szCs w:val="24"/>
        </w:rPr>
        <w:t>.</w:t>
      </w:r>
      <w:r w:rsidR="00E47026" w:rsidRPr="00000A48">
        <w:rPr>
          <w:rFonts w:ascii="Times New Roman" w:hAnsi="Times New Roman" w:cs="Times New Roman"/>
          <w:sz w:val="24"/>
          <w:szCs w:val="24"/>
        </w:rPr>
        <w:t xml:space="preserve"> </w:t>
      </w:r>
      <w:r w:rsidR="009B033F" w:rsidRPr="00000A48">
        <w:rPr>
          <w:rFonts w:ascii="Times New Roman" w:hAnsi="Times New Roman" w:cs="Times New Roman"/>
          <w:sz w:val="24"/>
          <w:szCs w:val="24"/>
        </w:rPr>
        <w:t>A</w:t>
      </w:r>
      <w:r w:rsidR="00E47026" w:rsidRPr="00000A48">
        <w:rPr>
          <w:rFonts w:ascii="Times New Roman" w:hAnsi="Times New Roman" w:cs="Times New Roman"/>
          <w:sz w:val="24"/>
          <w:szCs w:val="24"/>
        </w:rPr>
        <w:t xml:space="preserve">r </w:t>
      </w:r>
      <w:r w:rsidR="009B033F" w:rsidRPr="00000A48">
        <w:rPr>
          <w:rFonts w:ascii="Times New Roman" w:hAnsi="Times New Roman" w:cs="Times New Roman"/>
          <w:sz w:val="24"/>
          <w:szCs w:val="24"/>
        </w:rPr>
        <w:t xml:space="preserve">FNA diskutēts par </w:t>
      </w:r>
      <w:r w:rsidR="00E47026" w:rsidRPr="00000A48">
        <w:rPr>
          <w:rFonts w:ascii="Times New Roman" w:hAnsi="Times New Roman" w:cs="Times New Roman"/>
          <w:sz w:val="24"/>
          <w:szCs w:val="24"/>
        </w:rPr>
        <w:t>iespēj</w:t>
      </w:r>
      <w:r w:rsidR="009B033F" w:rsidRPr="00000A48">
        <w:rPr>
          <w:rFonts w:ascii="Times New Roman" w:hAnsi="Times New Roman" w:cs="Times New Roman"/>
          <w:sz w:val="24"/>
          <w:szCs w:val="24"/>
        </w:rPr>
        <w:t>u</w:t>
      </w:r>
      <w:r w:rsidR="00E47026" w:rsidRPr="00000A48">
        <w:rPr>
          <w:rFonts w:ascii="Times New Roman" w:hAnsi="Times New Roman" w:cs="Times New Roman"/>
          <w:sz w:val="24"/>
          <w:szCs w:val="24"/>
        </w:rPr>
        <w:t xml:space="preserve"> nodrošināt informācijas</w:t>
      </w:r>
      <w:r w:rsidR="00F36943" w:rsidRPr="00000A48">
        <w:rPr>
          <w:rFonts w:ascii="Times New Roman" w:hAnsi="Times New Roman" w:cs="Times New Roman"/>
          <w:sz w:val="24"/>
          <w:szCs w:val="24"/>
        </w:rPr>
        <w:t xml:space="preserve"> </w:t>
      </w:r>
      <w:r w:rsidR="00F36943" w:rsidRPr="00000A48">
        <w:rPr>
          <w:rFonts w:ascii="Times New Roman" w:hAnsi="Times New Roman" w:cs="Times New Roman"/>
          <w:sz w:val="24"/>
          <w:szCs w:val="24"/>
          <w:u w:val="single"/>
        </w:rPr>
        <w:t>par atteikumiem veikt attālinātos maksājumus</w:t>
      </w:r>
      <w:r w:rsidR="00E47026" w:rsidRPr="00000A48">
        <w:rPr>
          <w:rFonts w:ascii="Times New Roman" w:hAnsi="Times New Roman" w:cs="Times New Roman"/>
          <w:sz w:val="24"/>
          <w:szCs w:val="24"/>
        </w:rPr>
        <w:t xml:space="preserve"> apmaiņu div</w:t>
      </w:r>
      <w:r w:rsidR="009B033F" w:rsidRPr="00000A48">
        <w:rPr>
          <w:rFonts w:ascii="Times New Roman" w:hAnsi="Times New Roman" w:cs="Times New Roman"/>
          <w:sz w:val="24"/>
          <w:szCs w:val="24"/>
        </w:rPr>
        <w:t xml:space="preserve">as </w:t>
      </w:r>
      <w:r w:rsidR="00E47026" w:rsidRPr="00000A48">
        <w:rPr>
          <w:rFonts w:ascii="Times New Roman" w:hAnsi="Times New Roman" w:cs="Times New Roman"/>
          <w:sz w:val="24"/>
          <w:szCs w:val="24"/>
        </w:rPr>
        <w:t>reiz</w:t>
      </w:r>
      <w:r w:rsidR="009B033F" w:rsidRPr="00000A48">
        <w:rPr>
          <w:rFonts w:ascii="Times New Roman" w:hAnsi="Times New Roman" w:cs="Times New Roman"/>
          <w:sz w:val="24"/>
          <w:szCs w:val="24"/>
        </w:rPr>
        <w:t>es</w:t>
      </w:r>
      <w:r w:rsidR="00E47026" w:rsidRPr="00000A48">
        <w:rPr>
          <w:rFonts w:ascii="Times New Roman" w:hAnsi="Times New Roman" w:cs="Times New Roman"/>
          <w:sz w:val="24"/>
          <w:szCs w:val="24"/>
        </w:rPr>
        <w:t xml:space="preserve"> gadā. Lai būtu iespējams īstenot šādu pieeju, būtu nepieciešams veikt attiecīgus grozījumus </w:t>
      </w:r>
      <w:r w:rsidR="001A7E21" w:rsidRPr="00000A48">
        <w:rPr>
          <w:rFonts w:ascii="Times New Roman" w:hAnsi="Times New Roman" w:cs="Times New Roman"/>
          <w:sz w:val="24"/>
          <w:szCs w:val="24"/>
        </w:rPr>
        <w:t>normatīvajā regulējumā</w:t>
      </w:r>
      <w:r w:rsidR="00E47026" w:rsidRPr="00000A48">
        <w:rPr>
          <w:rFonts w:ascii="Times New Roman" w:hAnsi="Times New Roman" w:cs="Times New Roman"/>
          <w:sz w:val="24"/>
          <w:szCs w:val="24"/>
        </w:rPr>
        <w:t>.</w:t>
      </w:r>
    </w:p>
    <w:p w14:paraId="7B65D765" w14:textId="77777777" w:rsidR="00000A48" w:rsidRDefault="009B033F" w:rsidP="00000A48">
      <w:pPr>
        <w:spacing w:line="240" w:lineRule="auto"/>
        <w:ind w:firstLine="357"/>
        <w:contextualSpacing/>
        <w:jc w:val="both"/>
        <w:rPr>
          <w:rFonts w:ascii="Times New Roman" w:hAnsi="Times New Roman" w:cs="Times New Roman"/>
          <w:sz w:val="24"/>
          <w:szCs w:val="24"/>
        </w:rPr>
      </w:pPr>
      <w:r w:rsidRPr="00000A48">
        <w:rPr>
          <w:rFonts w:ascii="Times New Roman" w:hAnsi="Times New Roman" w:cs="Times New Roman"/>
          <w:sz w:val="24"/>
          <w:szCs w:val="24"/>
        </w:rPr>
        <w:t>Ņemot vērā, ka informācija</w:t>
      </w:r>
      <w:r w:rsidR="00F36943" w:rsidRPr="00000A48">
        <w:rPr>
          <w:rFonts w:ascii="Times New Roman" w:hAnsi="Times New Roman" w:cs="Times New Roman"/>
          <w:sz w:val="24"/>
          <w:szCs w:val="24"/>
        </w:rPr>
        <w:t xml:space="preserve"> par atteikumiem veikt attālinātos maksājumus</w:t>
      </w:r>
      <w:r w:rsidRPr="00000A48">
        <w:rPr>
          <w:rFonts w:ascii="Times New Roman" w:hAnsi="Times New Roman" w:cs="Times New Roman"/>
          <w:sz w:val="24"/>
          <w:szCs w:val="24"/>
        </w:rPr>
        <w:t xml:space="preserve"> </w:t>
      </w:r>
      <w:r w:rsidR="001A7E21" w:rsidRPr="00000A48">
        <w:rPr>
          <w:rFonts w:ascii="Times New Roman" w:hAnsi="Times New Roman" w:cs="Times New Roman"/>
          <w:sz w:val="24"/>
          <w:szCs w:val="24"/>
        </w:rPr>
        <w:t xml:space="preserve">pirmo reizi </w:t>
      </w:r>
      <w:r w:rsidRPr="00000A48">
        <w:rPr>
          <w:rFonts w:ascii="Times New Roman" w:hAnsi="Times New Roman" w:cs="Times New Roman"/>
          <w:sz w:val="24"/>
          <w:szCs w:val="24"/>
        </w:rPr>
        <w:t xml:space="preserve">tiks </w:t>
      </w:r>
      <w:r w:rsidR="00F36943" w:rsidRPr="00000A48">
        <w:rPr>
          <w:rFonts w:ascii="Times New Roman" w:hAnsi="Times New Roman" w:cs="Times New Roman"/>
          <w:sz w:val="24"/>
          <w:szCs w:val="24"/>
        </w:rPr>
        <w:t>iesniegta līdz 2021.gada 1.februārim, tiks</w:t>
      </w:r>
      <w:r w:rsidR="00E47026" w:rsidRPr="00000A48">
        <w:rPr>
          <w:rFonts w:ascii="Times New Roman" w:hAnsi="Times New Roman" w:cs="Times New Roman"/>
          <w:sz w:val="24"/>
          <w:szCs w:val="24"/>
        </w:rPr>
        <w:t xml:space="preserve"> vērtēt</w:t>
      </w:r>
      <w:r w:rsidR="00F36943" w:rsidRPr="00000A48">
        <w:rPr>
          <w:rFonts w:ascii="Times New Roman" w:hAnsi="Times New Roman" w:cs="Times New Roman"/>
          <w:sz w:val="24"/>
          <w:szCs w:val="24"/>
        </w:rPr>
        <w:t>a</w:t>
      </w:r>
      <w:r w:rsidR="00E47026" w:rsidRPr="00000A48">
        <w:rPr>
          <w:rFonts w:ascii="Times New Roman" w:hAnsi="Times New Roman" w:cs="Times New Roman"/>
          <w:sz w:val="24"/>
          <w:szCs w:val="24"/>
        </w:rPr>
        <w:t xml:space="preserve"> </w:t>
      </w:r>
      <w:r w:rsidR="00F36943" w:rsidRPr="00000A48">
        <w:rPr>
          <w:rFonts w:ascii="Times New Roman" w:hAnsi="Times New Roman" w:cs="Times New Roman"/>
          <w:sz w:val="24"/>
          <w:szCs w:val="24"/>
        </w:rPr>
        <w:t>jau spēkā esošā likuma regulējuma</w:t>
      </w:r>
      <w:r w:rsidR="00E47026" w:rsidRPr="00000A48">
        <w:rPr>
          <w:rFonts w:ascii="Times New Roman" w:hAnsi="Times New Roman" w:cs="Times New Roman"/>
          <w:sz w:val="24"/>
          <w:szCs w:val="24"/>
        </w:rPr>
        <w:t xml:space="preserve"> efektivitāt</w:t>
      </w:r>
      <w:r w:rsidR="00F36943" w:rsidRPr="00000A48">
        <w:rPr>
          <w:rFonts w:ascii="Times New Roman" w:hAnsi="Times New Roman" w:cs="Times New Roman"/>
          <w:sz w:val="24"/>
          <w:szCs w:val="24"/>
        </w:rPr>
        <w:t>e</w:t>
      </w:r>
      <w:r w:rsidR="00E47026" w:rsidRPr="00000A48">
        <w:rPr>
          <w:rFonts w:ascii="Times New Roman" w:hAnsi="Times New Roman" w:cs="Times New Roman"/>
          <w:sz w:val="24"/>
          <w:szCs w:val="24"/>
        </w:rPr>
        <w:t xml:space="preserve"> un </w:t>
      </w:r>
      <w:r w:rsidR="00F36943" w:rsidRPr="00000A48">
        <w:rPr>
          <w:rFonts w:ascii="Times New Roman" w:hAnsi="Times New Roman" w:cs="Times New Roman"/>
          <w:sz w:val="24"/>
          <w:szCs w:val="24"/>
        </w:rPr>
        <w:t>lietderība</w:t>
      </w:r>
      <w:r w:rsidR="00E47026" w:rsidRPr="00000A48">
        <w:rPr>
          <w:rFonts w:ascii="Times New Roman" w:hAnsi="Times New Roman" w:cs="Times New Roman"/>
          <w:sz w:val="24"/>
          <w:szCs w:val="24"/>
        </w:rPr>
        <w:t>,</w:t>
      </w:r>
      <w:r w:rsidR="00F36943" w:rsidRPr="00000A48">
        <w:rPr>
          <w:rFonts w:ascii="Times New Roman" w:hAnsi="Times New Roman" w:cs="Times New Roman"/>
          <w:sz w:val="24"/>
          <w:szCs w:val="24"/>
        </w:rPr>
        <w:t xml:space="preserve"> kā arī</w:t>
      </w:r>
      <w:r w:rsidR="00E47026" w:rsidRPr="00000A48">
        <w:rPr>
          <w:rFonts w:ascii="Times New Roman" w:hAnsi="Times New Roman" w:cs="Times New Roman"/>
          <w:sz w:val="24"/>
          <w:szCs w:val="24"/>
        </w:rPr>
        <w:t xml:space="preserve"> proces</w:t>
      </w:r>
      <w:r w:rsidR="001A7E21" w:rsidRPr="00000A48">
        <w:rPr>
          <w:rFonts w:ascii="Times New Roman" w:hAnsi="Times New Roman" w:cs="Times New Roman"/>
          <w:sz w:val="24"/>
          <w:szCs w:val="24"/>
        </w:rPr>
        <w:t>s</w:t>
      </w:r>
      <w:r w:rsidR="00F7120F" w:rsidRPr="00000A48">
        <w:rPr>
          <w:rFonts w:ascii="Times New Roman" w:hAnsi="Times New Roman" w:cs="Times New Roman"/>
          <w:sz w:val="24"/>
          <w:szCs w:val="24"/>
        </w:rPr>
        <w:t>,</w:t>
      </w:r>
      <w:r w:rsidR="00E47026" w:rsidRPr="00000A48">
        <w:rPr>
          <w:rFonts w:ascii="Times New Roman" w:hAnsi="Times New Roman" w:cs="Times New Roman"/>
          <w:sz w:val="24"/>
          <w:szCs w:val="24"/>
        </w:rPr>
        <w:t xml:space="preserve"> kā </w:t>
      </w:r>
      <w:r w:rsidR="001A7E21" w:rsidRPr="00000A48">
        <w:rPr>
          <w:rFonts w:ascii="Times New Roman" w:hAnsi="Times New Roman" w:cs="Times New Roman"/>
          <w:sz w:val="24"/>
          <w:szCs w:val="24"/>
        </w:rPr>
        <w:t>jau šobrīd kredītiestādes sniegs</w:t>
      </w:r>
      <w:r w:rsidR="00E47026" w:rsidRPr="00000A48">
        <w:rPr>
          <w:rFonts w:ascii="Times New Roman" w:hAnsi="Times New Roman" w:cs="Times New Roman"/>
          <w:sz w:val="24"/>
          <w:szCs w:val="24"/>
        </w:rPr>
        <w:t xml:space="preserve"> informāciju </w:t>
      </w:r>
      <w:r w:rsidR="00F36943" w:rsidRPr="00000A48">
        <w:rPr>
          <w:rFonts w:ascii="Times New Roman" w:hAnsi="Times New Roman" w:cs="Times New Roman"/>
          <w:sz w:val="24"/>
          <w:szCs w:val="24"/>
        </w:rPr>
        <w:t>VID</w:t>
      </w:r>
      <w:r w:rsidR="00E47026" w:rsidRPr="00000A48">
        <w:rPr>
          <w:rFonts w:ascii="Times New Roman" w:hAnsi="Times New Roman" w:cs="Times New Roman"/>
          <w:sz w:val="24"/>
          <w:szCs w:val="24"/>
        </w:rPr>
        <w:t>.</w:t>
      </w:r>
    </w:p>
    <w:p w14:paraId="0D05464A" w14:textId="77777777" w:rsidR="00000A48" w:rsidRDefault="00000A48" w:rsidP="00000A48">
      <w:pPr>
        <w:spacing w:line="240" w:lineRule="auto"/>
        <w:ind w:firstLine="357"/>
        <w:contextualSpacing/>
        <w:jc w:val="both"/>
        <w:rPr>
          <w:rFonts w:ascii="Times New Roman" w:hAnsi="Times New Roman" w:cs="Times New Roman"/>
          <w:sz w:val="24"/>
          <w:szCs w:val="24"/>
        </w:rPr>
      </w:pPr>
    </w:p>
    <w:p w14:paraId="1E663D75" w14:textId="77777777" w:rsidR="00000A48" w:rsidRDefault="00E47026" w:rsidP="00000A4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2.</w:t>
      </w:r>
      <w:r w:rsidRPr="00CB6351">
        <w:rPr>
          <w:rFonts w:ascii="Times New Roman" w:hAnsi="Times New Roman" w:cs="Times New Roman"/>
          <w:sz w:val="24"/>
          <w:szCs w:val="24"/>
        </w:rPr>
        <w:t xml:space="preserve"> </w:t>
      </w:r>
      <w:r w:rsidR="00F36943">
        <w:rPr>
          <w:rFonts w:ascii="Times New Roman" w:hAnsi="Times New Roman" w:cs="Times New Roman"/>
          <w:b/>
          <w:sz w:val="24"/>
          <w:szCs w:val="24"/>
        </w:rPr>
        <w:t>Azartspēļu r</w:t>
      </w:r>
      <w:r w:rsidRPr="00492793">
        <w:rPr>
          <w:rFonts w:ascii="Times New Roman" w:hAnsi="Times New Roman" w:cs="Times New Roman"/>
          <w:b/>
          <w:sz w:val="24"/>
          <w:szCs w:val="24"/>
        </w:rPr>
        <w:t>eklāmu publicēšana</w:t>
      </w:r>
      <w:r w:rsidR="009C3F56">
        <w:rPr>
          <w:rFonts w:ascii="Times New Roman" w:hAnsi="Times New Roman" w:cs="Times New Roman"/>
          <w:b/>
          <w:sz w:val="24"/>
          <w:szCs w:val="24"/>
        </w:rPr>
        <w:t>s ierobežošana</w:t>
      </w:r>
      <w:r w:rsidRPr="00492793">
        <w:rPr>
          <w:rFonts w:ascii="Times New Roman" w:hAnsi="Times New Roman" w:cs="Times New Roman"/>
          <w:b/>
          <w:sz w:val="24"/>
          <w:szCs w:val="24"/>
        </w:rPr>
        <w:t xml:space="preserve"> interneta vietnēs</w:t>
      </w:r>
      <w:r>
        <w:rPr>
          <w:rFonts w:ascii="Times New Roman" w:hAnsi="Times New Roman" w:cs="Times New Roman"/>
          <w:sz w:val="24"/>
          <w:szCs w:val="24"/>
        </w:rPr>
        <w:t>. Azartspēļu un izložu likuma</w:t>
      </w:r>
      <w:r w:rsidRPr="00492793">
        <w:rPr>
          <w:rFonts w:ascii="Times New Roman" w:hAnsi="Times New Roman" w:cs="Times New Roman"/>
          <w:sz w:val="24"/>
          <w:szCs w:val="24"/>
        </w:rPr>
        <w:t xml:space="preserve"> 41.panta piektā daļa nosaka, ka azartspēļu reklāma ir aizliegta ārpus azartspēļu organizēšanas vietām. Azartspēļu organizēšanas vietās atļauts norādīt tikai azartspēļu vietas nosaukumu un azartspēļu orga</w:t>
      </w:r>
      <w:r>
        <w:rPr>
          <w:rFonts w:ascii="Times New Roman" w:hAnsi="Times New Roman" w:cs="Times New Roman"/>
          <w:sz w:val="24"/>
          <w:szCs w:val="24"/>
        </w:rPr>
        <w:t xml:space="preserve">nizētāja reģistrētu preču zīmi. </w:t>
      </w:r>
      <w:r w:rsidRPr="00492793">
        <w:rPr>
          <w:rFonts w:ascii="Times New Roman" w:hAnsi="Times New Roman" w:cs="Times New Roman"/>
          <w:sz w:val="24"/>
          <w:szCs w:val="24"/>
        </w:rPr>
        <w:t>No iepriekš minētā izriet, ka likumdevējs ir noteicis, ka vienīgais reklāmas veids, ko ir atļauts azartspēļu organizētājam izplatīt ārpus azartspēļu organizēšanas vietām (tikai tieši pie azartspēļu organizēšanas vietas), ir katra konkrētā azartspēļu organizētāja reģ</w:t>
      </w:r>
      <w:r>
        <w:rPr>
          <w:rFonts w:ascii="Times New Roman" w:hAnsi="Times New Roman" w:cs="Times New Roman"/>
          <w:sz w:val="24"/>
          <w:szCs w:val="24"/>
        </w:rPr>
        <w:t xml:space="preserve">istrētas preču zīmes attēlošana. Tādēļ atsevišķi būtu jāvērtē </w:t>
      </w:r>
      <w:r w:rsidRPr="00492793">
        <w:rPr>
          <w:rFonts w:ascii="Times New Roman" w:hAnsi="Times New Roman" w:cs="Times New Roman"/>
          <w:sz w:val="24"/>
          <w:szCs w:val="24"/>
        </w:rPr>
        <w:t>reklāma interaktīvajā vidē, kad reklāmas kontrole ir īstenojama</w:t>
      </w:r>
      <w:r w:rsidR="00A24A30">
        <w:rPr>
          <w:rFonts w:ascii="Times New Roman" w:hAnsi="Times New Roman" w:cs="Times New Roman"/>
          <w:sz w:val="24"/>
          <w:szCs w:val="24"/>
        </w:rPr>
        <w:t xml:space="preserve"> tikai</w:t>
      </w:r>
      <w:r w:rsidRPr="00492793">
        <w:rPr>
          <w:rFonts w:ascii="Times New Roman" w:hAnsi="Times New Roman" w:cs="Times New Roman"/>
          <w:sz w:val="24"/>
          <w:szCs w:val="24"/>
        </w:rPr>
        <w:t xml:space="preserve"> </w:t>
      </w:r>
      <w:r w:rsidR="001A7E21">
        <w:rPr>
          <w:rFonts w:ascii="Times New Roman" w:hAnsi="Times New Roman" w:cs="Times New Roman"/>
          <w:sz w:val="24"/>
          <w:szCs w:val="24"/>
        </w:rPr>
        <w:t>“</w:t>
      </w:r>
      <w:r w:rsidRPr="00492793">
        <w:rPr>
          <w:rFonts w:ascii="Times New Roman" w:hAnsi="Times New Roman" w:cs="Times New Roman"/>
          <w:sz w:val="24"/>
          <w:szCs w:val="24"/>
        </w:rPr>
        <w:t>.lv</w:t>
      </w:r>
      <w:r w:rsidR="001A7E21">
        <w:rPr>
          <w:rFonts w:ascii="Times New Roman" w:hAnsi="Times New Roman" w:cs="Times New Roman"/>
          <w:sz w:val="24"/>
          <w:szCs w:val="24"/>
        </w:rPr>
        <w:t>”</w:t>
      </w:r>
      <w:r w:rsidRPr="00492793">
        <w:rPr>
          <w:rFonts w:ascii="Times New Roman" w:hAnsi="Times New Roman" w:cs="Times New Roman"/>
          <w:sz w:val="24"/>
          <w:szCs w:val="24"/>
        </w:rPr>
        <w:t xml:space="preserve"> domēnu ietvaros (ņemot vērā banneru, </w:t>
      </w:r>
      <w:r w:rsidRPr="00C24BCF">
        <w:rPr>
          <w:rFonts w:ascii="Times New Roman" w:hAnsi="Times New Roman" w:cs="Times New Roman"/>
          <w:i/>
          <w:sz w:val="24"/>
          <w:szCs w:val="24"/>
        </w:rPr>
        <w:t>pop-</w:t>
      </w:r>
      <w:proofErr w:type="spellStart"/>
      <w:r w:rsidRPr="00C24BCF">
        <w:rPr>
          <w:rFonts w:ascii="Times New Roman" w:hAnsi="Times New Roman" w:cs="Times New Roman"/>
          <w:i/>
          <w:sz w:val="24"/>
          <w:szCs w:val="24"/>
        </w:rPr>
        <w:t>up</w:t>
      </w:r>
      <w:proofErr w:type="spellEnd"/>
      <w:r w:rsidRPr="00492793">
        <w:rPr>
          <w:rFonts w:ascii="Times New Roman" w:hAnsi="Times New Roman" w:cs="Times New Roman"/>
          <w:sz w:val="24"/>
          <w:szCs w:val="24"/>
        </w:rPr>
        <w:t xml:space="preserve"> vai </w:t>
      </w:r>
      <w:proofErr w:type="spellStart"/>
      <w:r w:rsidRPr="00C24BCF">
        <w:rPr>
          <w:rFonts w:ascii="Times New Roman" w:hAnsi="Times New Roman" w:cs="Times New Roman"/>
          <w:i/>
          <w:sz w:val="24"/>
          <w:szCs w:val="24"/>
        </w:rPr>
        <w:t>spam</w:t>
      </w:r>
      <w:proofErr w:type="spellEnd"/>
      <w:r w:rsidRPr="00492793">
        <w:rPr>
          <w:rFonts w:ascii="Times New Roman" w:hAnsi="Times New Roman" w:cs="Times New Roman"/>
          <w:sz w:val="24"/>
          <w:szCs w:val="24"/>
        </w:rPr>
        <w:t xml:space="preserve"> iespējas, kad mājaslapas turētājs nevar ietekmēt saturu vai nezina par tāda izvietošanu) un interneta specifikas dēļ reklāmas izvietotājs var </w:t>
      </w:r>
      <w:r w:rsidR="001A7E21">
        <w:rPr>
          <w:rFonts w:ascii="Times New Roman" w:hAnsi="Times New Roman" w:cs="Times New Roman"/>
          <w:sz w:val="24"/>
          <w:szCs w:val="24"/>
        </w:rPr>
        <w:t>salīdzinoši vienkārši pāriet uz domēnu</w:t>
      </w:r>
      <w:r w:rsidRPr="00492793">
        <w:rPr>
          <w:rFonts w:ascii="Times New Roman" w:hAnsi="Times New Roman" w:cs="Times New Roman"/>
          <w:sz w:val="24"/>
          <w:szCs w:val="24"/>
        </w:rPr>
        <w:t xml:space="preserve"> </w:t>
      </w:r>
      <w:r w:rsidR="001A7E21">
        <w:rPr>
          <w:rFonts w:ascii="Times New Roman" w:hAnsi="Times New Roman" w:cs="Times New Roman"/>
          <w:sz w:val="24"/>
          <w:szCs w:val="24"/>
        </w:rPr>
        <w:t>“.</w:t>
      </w:r>
      <w:proofErr w:type="spellStart"/>
      <w:r w:rsidRPr="00492793">
        <w:rPr>
          <w:rFonts w:ascii="Times New Roman" w:hAnsi="Times New Roman" w:cs="Times New Roman"/>
          <w:sz w:val="24"/>
          <w:szCs w:val="24"/>
        </w:rPr>
        <w:t>com</w:t>
      </w:r>
      <w:proofErr w:type="spellEnd"/>
      <w:r w:rsidR="001A7E21">
        <w:rPr>
          <w:rFonts w:ascii="Times New Roman" w:hAnsi="Times New Roman" w:cs="Times New Roman"/>
          <w:sz w:val="24"/>
          <w:szCs w:val="24"/>
        </w:rPr>
        <w:t>”</w:t>
      </w:r>
      <w:r w:rsidRPr="00492793">
        <w:rPr>
          <w:rFonts w:ascii="Times New Roman" w:hAnsi="Times New Roman" w:cs="Times New Roman"/>
          <w:sz w:val="24"/>
          <w:szCs w:val="24"/>
        </w:rPr>
        <w:t xml:space="preserve">, </w:t>
      </w:r>
      <w:r w:rsidR="001A7E21">
        <w:rPr>
          <w:rFonts w:ascii="Times New Roman" w:hAnsi="Times New Roman" w:cs="Times New Roman"/>
          <w:sz w:val="24"/>
          <w:szCs w:val="24"/>
        </w:rPr>
        <w:t>“.</w:t>
      </w:r>
      <w:proofErr w:type="spellStart"/>
      <w:r w:rsidRPr="00492793">
        <w:rPr>
          <w:rFonts w:ascii="Times New Roman" w:hAnsi="Times New Roman" w:cs="Times New Roman"/>
          <w:sz w:val="24"/>
          <w:szCs w:val="24"/>
        </w:rPr>
        <w:t>eu</w:t>
      </w:r>
      <w:proofErr w:type="spellEnd"/>
      <w:r w:rsidR="001A7E21">
        <w:rPr>
          <w:rFonts w:ascii="Times New Roman" w:hAnsi="Times New Roman" w:cs="Times New Roman"/>
          <w:sz w:val="24"/>
          <w:szCs w:val="24"/>
        </w:rPr>
        <w:t>”</w:t>
      </w:r>
      <w:r w:rsidRPr="00492793">
        <w:rPr>
          <w:rFonts w:ascii="Times New Roman" w:hAnsi="Times New Roman" w:cs="Times New Roman"/>
          <w:sz w:val="24"/>
          <w:szCs w:val="24"/>
        </w:rPr>
        <w:t xml:space="preserve">, </w:t>
      </w:r>
      <w:r w:rsidR="001A7E21">
        <w:rPr>
          <w:rFonts w:ascii="Times New Roman" w:hAnsi="Times New Roman" w:cs="Times New Roman"/>
          <w:sz w:val="24"/>
          <w:szCs w:val="24"/>
        </w:rPr>
        <w:t>“.</w:t>
      </w:r>
      <w:r>
        <w:rPr>
          <w:rFonts w:ascii="Times New Roman" w:hAnsi="Times New Roman" w:cs="Times New Roman"/>
          <w:sz w:val="24"/>
          <w:szCs w:val="24"/>
        </w:rPr>
        <w:t>net</w:t>
      </w:r>
      <w:r w:rsidR="001A7E21">
        <w:rPr>
          <w:rFonts w:ascii="Times New Roman" w:hAnsi="Times New Roman" w:cs="Times New Roman"/>
          <w:sz w:val="24"/>
          <w:szCs w:val="24"/>
        </w:rPr>
        <w:t>”</w:t>
      </w:r>
      <w:r>
        <w:rPr>
          <w:rFonts w:ascii="Times New Roman" w:hAnsi="Times New Roman" w:cs="Times New Roman"/>
          <w:sz w:val="24"/>
          <w:szCs w:val="24"/>
        </w:rPr>
        <w:t xml:space="preserve"> utt.</w:t>
      </w:r>
    </w:p>
    <w:p w14:paraId="53506A4C" w14:textId="77777777" w:rsidR="00000A48" w:rsidRDefault="00E47026" w:rsidP="00000A48">
      <w:pPr>
        <w:spacing w:line="240" w:lineRule="auto"/>
        <w:ind w:firstLine="357"/>
        <w:contextualSpacing/>
        <w:jc w:val="both"/>
        <w:rPr>
          <w:rFonts w:ascii="Times New Roman" w:hAnsi="Times New Roman" w:cs="Times New Roman"/>
          <w:sz w:val="24"/>
          <w:szCs w:val="24"/>
        </w:rPr>
      </w:pPr>
      <w:r w:rsidRPr="00492793">
        <w:rPr>
          <w:rFonts w:ascii="Times New Roman" w:hAnsi="Times New Roman" w:cs="Times New Roman"/>
          <w:sz w:val="24"/>
          <w:szCs w:val="24"/>
        </w:rPr>
        <w:t xml:space="preserve">Lai aizsargātu personu, kā arī visas sabiedrības intereses </w:t>
      </w:r>
      <w:r w:rsidR="00A24A30">
        <w:rPr>
          <w:rFonts w:ascii="Times New Roman" w:hAnsi="Times New Roman" w:cs="Times New Roman"/>
          <w:sz w:val="24"/>
          <w:szCs w:val="24"/>
        </w:rPr>
        <w:t xml:space="preserve">azartspēļu </w:t>
      </w:r>
      <w:r w:rsidRPr="00492793">
        <w:rPr>
          <w:rFonts w:ascii="Times New Roman" w:hAnsi="Times New Roman" w:cs="Times New Roman"/>
          <w:sz w:val="24"/>
          <w:szCs w:val="24"/>
        </w:rPr>
        <w:t xml:space="preserve">reklāmas jomā no maldinošas un normatīvajiem aktiem neatbilstošas reklāmas, to radītajām sekām, nepieciešams </w:t>
      </w:r>
      <w:r>
        <w:rPr>
          <w:rFonts w:ascii="Times New Roman" w:hAnsi="Times New Roman" w:cs="Times New Roman"/>
          <w:sz w:val="24"/>
          <w:szCs w:val="24"/>
        </w:rPr>
        <w:t xml:space="preserve">veikt izmaiņas normatīvajos aktos, </w:t>
      </w:r>
      <w:r w:rsidRPr="00492793">
        <w:rPr>
          <w:rFonts w:ascii="Times New Roman" w:hAnsi="Times New Roman" w:cs="Times New Roman"/>
          <w:sz w:val="24"/>
          <w:szCs w:val="24"/>
        </w:rPr>
        <w:t>nosakot, ka savas kompetences ietvaros kontroli par azartspēļu un izložu rek</w:t>
      </w:r>
      <w:r>
        <w:rPr>
          <w:rFonts w:ascii="Times New Roman" w:hAnsi="Times New Roman" w:cs="Times New Roman"/>
          <w:sz w:val="24"/>
          <w:szCs w:val="24"/>
        </w:rPr>
        <w:t xml:space="preserve">lāmas aizliegumu veic arī </w:t>
      </w:r>
      <w:r w:rsidR="00A24A30">
        <w:rPr>
          <w:rFonts w:ascii="Times New Roman" w:hAnsi="Times New Roman" w:cs="Times New Roman"/>
          <w:sz w:val="24"/>
          <w:szCs w:val="24"/>
        </w:rPr>
        <w:t>IAUI</w:t>
      </w:r>
      <w:r w:rsidR="009C3F56">
        <w:rPr>
          <w:rFonts w:ascii="Times New Roman" w:hAnsi="Times New Roman" w:cs="Times New Roman"/>
          <w:sz w:val="24"/>
          <w:szCs w:val="24"/>
        </w:rPr>
        <w:t>, kā arī nosakot</w:t>
      </w:r>
      <w:r w:rsidR="009C3F56" w:rsidRPr="003A2AD6">
        <w:rPr>
          <w:rFonts w:ascii="Times New Roman" w:hAnsi="Times New Roman" w:cs="Times New Roman"/>
          <w:sz w:val="24"/>
          <w:szCs w:val="24"/>
        </w:rPr>
        <w:t xml:space="preserve"> </w:t>
      </w:r>
      <w:r w:rsidR="009C3F56" w:rsidRPr="003A2AD6">
        <w:rPr>
          <w:rFonts w:ascii="Times New Roman" w:hAnsi="Times New Roman" w:cs="Times New Roman"/>
          <w:bCs/>
          <w:sz w:val="24"/>
          <w:szCs w:val="24"/>
        </w:rPr>
        <w:t>IAUI tiesības bloķēt vai ierobežot piekļuvi konkrētajai tīmekļa vietnei</w:t>
      </w:r>
      <w:r w:rsidR="009C3F56" w:rsidRPr="003A2AD6">
        <w:rPr>
          <w:rFonts w:ascii="Times New Roman" w:hAnsi="Times New Roman" w:cs="Times New Roman"/>
          <w:sz w:val="24"/>
          <w:szCs w:val="24"/>
        </w:rPr>
        <w:t>, kas satur azartspēļu reklāmu</w:t>
      </w:r>
      <w:r w:rsidR="009C3F56">
        <w:rPr>
          <w:rFonts w:ascii="Times New Roman" w:hAnsi="Times New Roman" w:cs="Times New Roman"/>
          <w:sz w:val="24"/>
          <w:szCs w:val="24"/>
        </w:rPr>
        <w:t>.</w:t>
      </w:r>
    </w:p>
    <w:p w14:paraId="4F0AD9AC" w14:textId="77777777" w:rsidR="00000A48" w:rsidRDefault="00000A48" w:rsidP="00000A48">
      <w:pPr>
        <w:spacing w:line="240" w:lineRule="auto"/>
        <w:ind w:firstLine="357"/>
        <w:contextualSpacing/>
        <w:jc w:val="both"/>
        <w:rPr>
          <w:rFonts w:ascii="Times New Roman" w:hAnsi="Times New Roman" w:cs="Times New Roman"/>
          <w:sz w:val="24"/>
          <w:szCs w:val="24"/>
        </w:rPr>
      </w:pPr>
    </w:p>
    <w:p w14:paraId="6E4D832F" w14:textId="77777777" w:rsidR="00000A48" w:rsidRDefault="009C3F56" w:rsidP="00000A48">
      <w:pPr>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C3F56">
        <w:rPr>
          <w:rFonts w:ascii="Times New Roman" w:hAnsi="Times New Roman" w:cs="Times New Roman"/>
          <w:b/>
          <w:sz w:val="24"/>
          <w:szCs w:val="24"/>
        </w:rPr>
        <w:t>Atbildības noteikšana juridiskajām personām par dalību nelicencētajās azartspēlēs un interaktīvajās izlozēs</w:t>
      </w:r>
      <w:r w:rsidR="00000A48">
        <w:rPr>
          <w:rFonts w:ascii="Times New Roman" w:hAnsi="Times New Roman" w:cs="Times New Roman"/>
          <w:sz w:val="24"/>
          <w:szCs w:val="24"/>
        </w:rPr>
        <w:t xml:space="preserve">. </w:t>
      </w:r>
      <w:r>
        <w:rPr>
          <w:rFonts w:ascii="Times New Roman" w:hAnsi="Times New Roman" w:cs="Times New Roman"/>
          <w:sz w:val="24"/>
          <w:szCs w:val="24"/>
        </w:rPr>
        <w:t>Azartspēļu un izložu likumā būtu nepieciešams n</w:t>
      </w:r>
      <w:r w:rsidRPr="009C3F56">
        <w:rPr>
          <w:rFonts w:ascii="Times New Roman" w:hAnsi="Times New Roman" w:cs="Times New Roman"/>
          <w:sz w:val="24"/>
          <w:szCs w:val="24"/>
        </w:rPr>
        <w:t>oteikt atbildību arī</w:t>
      </w:r>
      <w:r>
        <w:rPr>
          <w:rFonts w:ascii="Times New Roman" w:hAnsi="Times New Roman" w:cs="Times New Roman"/>
          <w:sz w:val="24"/>
          <w:szCs w:val="24"/>
        </w:rPr>
        <w:t xml:space="preserve"> juridiskajām personām, ņemot vērā</w:t>
      </w:r>
      <w:r w:rsidR="00277E41">
        <w:rPr>
          <w:rFonts w:ascii="Times New Roman" w:hAnsi="Times New Roman" w:cs="Times New Roman"/>
          <w:sz w:val="24"/>
          <w:szCs w:val="24"/>
        </w:rPr>
        <w:t>,</w:t>
      </w:r>
      <w:r>
        <w:rPr>
          <w:rFonts w:ascii="Times New Roman" w:hAnsi="Times New Roman" w:cs="Times New Roman"/>
          <w:sz w:val="24"/>
          <w:szCs w:val="24"/>
        </w:rPr>
        <w:t xml:space="preserve"> ka</w:t>
      </w:r>
      <w:r w:rsidRPr="009C3F56">
        <w:rPr>
          <w:rFonts w:ascii="Times New Roman" w:hAnsi="Times New Roman" w:cs="Times New Roman"/>
          <w:sz w:val="24"/>
          <w:szCs w:val="24"/>
        </w:rPr>
        <w:t xml:space="preserve"> darbībās ar Latvijā nelicencētām interaktīvajām azartspēlēm </w:t>
      </w:r>
      <w:r>
        <w:rPr>
          <w:rFonts w:ascii="Times New Roman" w:hAnsi="Times New Roman" w:cs="Times New Roman"/>
          <w:sz w:val="24"/>
          <w:szCs w:val="24"/>
        </w:rPr>
        <w:t>tiek izmantotas arī</w:t>
      </w:r>
      <w:r w:rsidRPr="009C3F56">
        <w:rPr>
          <w:rFonts w:ascii="Times New Roman" w:hAnsi="Times New Roman" w:cs="Times New Roman"/>
          <w:sz w:val="24"/>
          <w:szCs w:val="24"/>
        </w:rPr>
        <w:t xml:space="preserve"> Latvijas Republikas </w:t>
      </w:r>
      <w:r>
        <w:rPr>
          <w:rFonts w:ascii="Times New Roman" w:hAnsi="Times New Roman" w:cs="Times New Roman"/>
          <w:sz w:val="24"/>
          <w:szCs w:val="24"/>
        </w:rPr>
        <w:t>juridisko personu</w:t>
      </w:r>
      <w:r w:rsidRPr="009C3F56">
        <w:rPr>
          <w:rFonts w:ascii="Times New Roman" w:hAnsi="Times New Roman" w:cs="Times New Roman"/>
          <w:sz w:val="24"/>
          <w:szCs w:val="24"/>
        </w:rPr>
        <w:t xml:space="preserve"> norēķinu karte</w:t>
      </w:r>
      <w:r>
        <w:rPr>
          <w:rFonts w:ascii="Times New Roman" w:hAnsi="Times New Roman" w:cs="Times New Roman"/>
          <w:sz w:val="24"/>
          <w:szCs w:val="24"/>
        </w:rPr>
        <w:t>s, tādejādi apejot regulējumu, kurš nosaka fiziskās personas atbildību par attiecīgo pārkāpumu.</w:t>
      </w:r>
    </w:p>
    <w:p w14:paraId="2EAE8AE6" w14:textId="77777777" w:rsidR="00000A48" w:rsidRDefault="00000A48" w:rsidP="00000A48">
      <w:pPr>
        <w:spacing w:line="240" w:lineRule="auto"/>
        <w:ind w:firstLine="357"/>
        <w:contextualSpacing/>
        <w:jc w:val="both"/>
        <w:rPr>
          <w:rFonts w:ascii="Times New Roman" w:hAnsi="Times New Roman" w:cs="Times New Roman"/>
          <w:sz w:val="24"/>
          <w:szCs w:val="24"/>
        </w:rPr>
      </w:pPr>
    </w:p>
    <w:p w14:paraId="791377E3" w14:textId="77777777" w:rsidR="00FC74CB" w:rsidRDefault="00FC74CB" w:rsidP="00000A48">
      <w:pPr>
        <w:spacing w:line="240" w:lineRule="auto"/>
        <w:ind w:firstLine="357"/>
        <w:contextualSpacing/>
        <w:jc w:val="both"/>
        <w:rPr>
          <w:rFonts w:ascii="Times New Roman" w:hAnsi="Times New Roman" w:cs="Times New Roman"/>
          <w:sz w:val="24"/>
          <w:szCs w:val="24"/>
        </w:rPr>
      </w:pPr>
    </w:p>
    <w:p w14:paraId="7AEB339A" w14:textId="77777777" w:rsidR="00E47026" w:rsidRPr="00000A48" w:rsidRDefault="00E47026" w:rsidP="00FC74CB">
      <w:pPr>
        <w:spacing w:line="252" w:lineRule="auto"/>
        <w:ind w:firstLine="357"/>
        <w:contextualSpacing/>
        <w:jc w:val="both"/>
        <w:rPr>
          <w:rFonts w:ascii="Times New Roman" w:hAnsi="Times New Roman" w:cs="Times New Roman"/>
          <w:sz w:val="24"/>
          <w:szCs w:val="24"/>
        </w:rPr>
      </w:pPr>
      <w:r w:rsidRPr="00A409E3">
        <w:rPr>
          <w:rFonts w:ascii="Times New Roman" w:hAnsi="Times New Roman" w:cs="Times New Roman"/>
          <w:b/>
          <w:sz w:val="24"/>
          <w:szCs w:val="24"/>
        </w:rPr>
        <w:t xml:space="preserve">Ņemot vērā iepriekš minēto, priekšlikumi </w:t>
      </w:r>
      <w:r w:rsidR="00A24A30">
        <w:rPr>
          <w:rFonts w:ascii="Times New Roman" w:hAnsi="Times New Roman" w:cs="Times New Roman"/>
          <w:b/>
          <w:sz w:val="24"/>
          <w:szCs w:val="24"/>
        </w:rPr>
        <w:t xml:space="preserve">Latvijā </w:t>
      </w:r>
      <w:r w:rsidRPr="00A409E3">
        <w:rPr>
          <w:rFonts w:ascii="Times New Roman" w:hAnsi="Times New Roman" w:cs="Times New Roman"/>
          <w:b/>
          <w:sz w:val="24"/>
          <w:szCs w:val="24"/>
        </w:rPr>
        <w:t>nelicencēto interaktīvo azartspēļu ierobežošanai ir šādi:</w:t>
      </w:r>
    </w:p>
    <w:p w14:paraId="2C2789C4" w14:textId="77777777" w:rsidR="00E47026" w:rsidRDefault="0002365E" w:rsidP="004C55F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Atbilstoši</w:t>
      </w:r>
      <w:r w:rsidR="00E47026">
        <w:rPr>
          <w:rFonts w:ascii="Times New Roman" w:hAnsi="Times New Roman" w:cs="Times New Roman"/>
          <w:sz w:val="24"/>
          <w:szCs w:val="24"/>
        </w:rPr>
        <w:t xml:space="preserve"> </w:t>
      </w:r>
      <w:r w:rsidR="00E47026" w:rsidRPr="00A409E3">
        <w:rPr>
          <w:rFonts w:ascii="Times New Roman" w:hAnsi="Times New Roman" w:cs="Times New Roman"/>
          <w:sz w:val="24"/>
          <w:szCs w:val="24"/>
        </w:rPr>
        <w:t>Maksājumu pakalpojumu un elektroniskās naudas likumā</w:t>
      </w:r>
      <w:r>
        <w:rPr>
          <w:rFonts w:ascii="Times New Roman" w:hAnsi="Times New Roman" w:cs="Times New Roman"/>
          <w:sz w:val="24"/>
          <w:szCs w:val="24"/>
        </w:rPr>
        <w:t xml:space="preserve"> noteiktajam, Valsts ieņēmumu dienestam 1.02.2021. saņemot informāciju </w:t>
      </w:r>
      <w:r w:rsidRPr="00A409E3">
        <w:rPr>
          <w:rFonts w:ascii="Times New Roman" w:hAnsi="Times New Roman" w:cs="Times New Roman"/>
          <w:sz w:val="24"/>
          <w:szCs w:val="24"/>
        </w:rPr>
        <w:t xml:space="preserve">par </w:t>
      </w:r>
      <w:r w:rsidRPr="006B065B">
        <w:rPr>
          <w:rFonts w:ascii="Times New Roman" w:hAnsi="Times New Roman" w:cs="Times New Roman"/>
          <w:sz w:val="24"/>
          <w:szCs w:val="24"/>
          <w:u w:val="single"/>
        </w:rPr>
        <w:t>attālināto maksājumu veikšanu</w:t>
      </w:r>
      <w:r w:rsidRPr="00CB6351">
        <w:rPr>
          <w:rFonts w:ascii="Times New Roman" w:hAnsi="Times New Roman" w:cs="Times New Roman"/>
          <w:sz w:val="24"/>
          <w:szCs w:val="24"/>
        </w:rPr>
        <w:t xml:space="preserve"> ar Latvijas rezidentam izsniegto maksājumu karti </w:t>
      </w:r>
      <w:r w:rsidRPr="006B065B">
        <w:rPr>
          <w:rFonts w:ascii="Times New Roman" w:hAnsi="Times New Roman" w:cs="Times New Roman"/>
          <w:sz w:val="24"/>
          <w:szCs w:val="24"/>
          <w:u w:val="single"/>
        </w:rPr>
        <w:t>Latvijā nelicencētam interaktīvo azartspēļu un interaktīvo izložu organizētājam</w:t>
      </w:r>
      <w:r w:rsidRPr="00A409E3">
        <w:rPr>
          <w:rFonts w:ascii="Times New Roman" w:hAnsi="Times New Roman" w:cs="Times New Roman"/>
          <w:sz w:val="24"/>
          <w:szCs w:val="24"/>
        </w:rPr>
        <w:t>, kas iepriekšējā kalendāra gadā atteikti</w:t>
      </w:r>
      <w:r>
        <w:rPr>
          <w:rFonts w:ascii="Times New Roman" w:hAnsi="Times New Roman" w:cs="Times New Roman"/>
          <w:sz w:val="24"/>
          <w:szCs w:val="24"/>
        </w:rPr>
        <w:t xml:space="preserve">, veikt </w:t>
      </w:r>
      <w:proofErr w:type="spellStart"/>
      <w:r>
        <w:rPr>
          <w:rFonts w:ascii="Times New Roman" w:hAnsi="Times New Roman" w:cs="Times New Roman"/>
          <w:sz w:val="24"/>
          <w:szCs w:val="24"/>
        </w:rPr>
        <w:t>iz</w:t>
      </w:r>
      <w:r w:rsidR="006503F6">
        <w:rPr>
          <w:rFonts w:ascii="Times New Roman" w:hAnsi="Times New Roman" w:cs="Times New Roman"/>
          <w:sz w:val="24"/>
          <w:szCs w:val="24"/>
        </w:rPr>
        <w:t>v</w:t>
      </w:r>
      <w:r>
        <w:rPr>
          <w:rFonts w:ascii="Times New Roman" w:hAnsi="Times New Roman" w:cs="Times New Roman"/>
          <w:sz w:val="24"/>
          <w:szCs w:val="24"/>
        </w:rPr>
        <w:t>ērtējumu</w:t>
      </w:r>
      <w:proofErr w:type="spellEnd"/>
      <w:r>
        <w:rPr>
          <w:rFonts w:ascii="Times New Roman" w:hAnsi="Times New Roman" w:cs="Times New Roman"/>
          <w:sz w:val="24"/>
          <w:szCs w:val="24"/>
        </w:rPr>
        <w:t xml:space="preserve"> par nepieciešamajiem procesa un informācijas satura pilnveidojumiem</w:t>
      </w:r>
      <w:r w:rsidR="00E47026">
        <w:rPr>
          <w:rFonts w:ascii="Times New Roman" w:hAnsi="Times New Roman" w:cs="Times New Roman"/>
          <w:sz w:val="24"/>
          <w:szCs w:val="24"/>
        </w:rPr>
        <w:t>;</w:t>
      </w:r>
      <w:r>
        <w:rPr>
          <w:rFonts w:ascii="Times New Roman" w:hAnsi="Times New Roman" w:cs="Times New Roman"/>
          <w:sz w:val="24"/>
          <w:szCs w:val="24"/>
        </w:rPr>
        <w:t xml:space="preserve"> </w:t>
      </w:r>
    </w:p>
    <w:p w14:paraId="03DCF08F" w14:textId="77777777" w:rsidR="00E47026" w:rsidRDefault="00E47026" w:rsidP="004C55FA">
      <w:pPr>
        <w:pStyle w:val="ListParagraph"/>
        <w:numPr>
          <w:ilvl w:val="0"/>
          <w:numId w:val="1"/>
        </w:numPr>
        <w:spacing w:line="240" w:lineRule="auto"/>
        <w:jc w:val="both"/>
        <w:rPr>
          <w:rFonts w:ascii="Times New Roman" w:hAnsi="Times New Roman" w:cs="Times New Roman"/>
          <w:sz w:val="24"/>
          <w:szCs w:val="24"/>
        </w:rPr>
      </w:pPr>
      <w:r w:rsidRPr="00A409E3">
        <w:rPr>
          <w:rFonts w:ascii="Times New Roman" w:hAnsi="Times New Roman" w:cs="Times New Roman"/>
          <w:sz w:val="24"/>
          <w:szCs w:val="24"/>
        </w:rPr>
        <w:t xml:space="preserve">Noteikt </w:t>
      </w:r>
      <w:r>
        <w:rPr>
          <w:rFonts w:ascii="Times New Roman" w:hAnsi="Times New Roman" w:cs="Times New Roman"/>
          <w:sz w:val="24"/>
          <w:szCs w:val="24"/>
        </w:rPr>
        <w:t>atbildību</w:t>
      </w:r>
      <w:r w:rsidR="00A24A30">
        <w:rPr>
          <w:rFonts w:ascii="Times New Roman" w:hAnsi="Times New Roman" w:cs="Times New Roman"/>
          <w:sz w:val="24"/>
          <w:szCs w:val="24"/>
        </w:rPr>
        <w:t xml:space="preserve"> arī</w:t>
      </w:r>
      <w:r w:rsidRPr="00A409E3">
        <w:rPr>
          <w:rFonts w:ascii="Times New Roman" w:hAnsi="Times New Roman" w:cs="Times New Roman"/>
          <w:sz w:val="24"/>
          <w:szCs w:val="24"/>
        </w:rPr>
        <w:t xml:space="preserve"> juridiskajām personām, ja darbībās ar </w:t>
      </w:r>
      <w:r w:rsidR="00A24A30">
        <w:rPr>
          <w:rFonts w:ascii="Times New Roman" w:hAnsi="Times New Roman" w:cs="Times New Roman"/>
          <w:sz w:val="24"/>
          <w:szCs w:val="24"/>
        </w:rPr>
        <w:t xml:space="preserve">Latvijā </w:t>
      </w:r>
      <w:r w:rsidRPr="00A409E3">
        <w:rPr>
          <w:rFonts w:ascii="Times New Roman" w:hAnsi="Times New Roman" w:cs="Times New Roman"/>
          <w:sz w:val="24"/>
          <w:szCs w:val="24"/>
        </w:rPr>
        <w:t xml:space="preserve">nelicencētām interaktīvajām azartspēlēm izmantota </w:t>
      </w:r>
      <w:r>
        <w:rPr>
          <w:rFonts w:ascii="Times New Roman" w:hAnsi="Times New Roman" w:cs="Times New Roman"/>
          <w:sz w:val="24"/>
          <w:szCs w:val="24"/>
        </w:rPr>
        <w:t>Latvijas Republikas</w:t>
      </w:r>
      <w:r w:rsidRPr="00A409E3">
        <w:rPr>
          <w:rFonts w:ascii="Times New Roman" w:hAnsi="Times New Roman" w:cs="Times New Roman"/>
          <w:sz w:val="24"/>
          <w:szCs w:val="24"/>
        </w:rPr>
        <w:t xml:space="preserve"> </w:t>
      </w:r>
      <w:r>
        <w:rPr>
          <w:rFonts w:ascii="Times New Roman" w:hAnsi="Times New Roman" w:cs="Times New Roman"/>
          <w:sz w:val="24"/>
          <w:szCs w:val="24"/>
        </w:rPr>
        <w:t xml:space="preserve">uzņēmuma </w:t>
      </w:r>
      <w:r w:rsidRPr="00A409E3">
        <w:rPr>
          <w:rFonts w:ascii="Times New Roman" w:hAnsi="Times New Roman" w:cs="Times New Roman"/>
          <w:sz w:val="24"/>
          <w:szCs w:val="24"/>
        </w:rPr>
        <w:t>norēķinu karte</w:t>
      </w:r>
      <w:r>
        <w:rPr>
          <w:rFonts w:ascii="Times New Roman" w:hAnsi="Times New Roman" w:cs="Times New Roman"/>
          <w:sz w:val="24"/>
          <w:szCs w:val="24"/>
        </w:rPr>
        <w:t>;</w:t>
      </w:r>
    </w:p>
    <w:p w14:paraId="4E0554F2" w14:textId="77777777" w:rsidR="00E47026" w:rsidRDefault="00E47026" w:rsidP="004C55F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Izstrādāt grozījumus normatīvajos aktos, </w:t>
      </w:r>
      <w:r w:rsidRPr="00492793">
        <w:rPr>
          <w:rFonts w:ascii="Times New Roman" w:hAnsi="Times New Roman" w:cs="Times New Roman"/>
          <w:sz w:val="24"/>
          <w:szCs w:val="24"/>
        </w:rPr>
        <w:t>nosakot, ka savas kompetences ietvaros kontroli par azartspēļu un izložu rek</w:t>
      </w:r>
      <w:r>
        <w:rPr>
          <w:rFonts w:ascii="Times New Roman" w:hAnsi="Times New Roman" w:cs="Times New Roman"/>
          <w:sz w:val="24"/>
          <w:szCs w:val="24"/>
        </w:rPr>
        <w:t xml:space="preserve">lāmas aizliegumu veic arī </w:t>
      </w:r>
      <w:r w:rsidR="00A24A30">
        <w:rPr>
          <w:rFonts w:ascii="Times New Roman" w:hAnsi="Times New Roman" w:cs="Times New Roman"/>
          <w:sz w:val="24"/>
          <w:szCs w:val="24"/>
        </w:rPr>
        <w:t>IAUI</w:t>
      </w:r>
      <w:r w:rsidR="009C3F56">
        <w:rPr>
          <w:rFonts w:ascii="Times New Roman" w:hAnsi="Times New Roman" w:cs="Times New Roman"/>
          <w:sz w:val="24"/>
          <w:szCs w:val="24"/>
        </w:rPr>
        <w:t>, kā arī nosakot IAUI</w:t>
      </w:r>
      <w:r w:rsidR="009C3F56" w:rsidRPr="003A2AD6">
        <w:rPr>
          <w:rFonts w:ascii="Times New Roman" w:hAnsi="Times New Roman" w:cs="Times New Roman"/>
          <w:bCs/>
          <w:sz w:val="24"/>
          <w:szCs w:val="24"/>
        </w:rPr>
        <w:t xml:space="preserve"> tiesības bloķēt vai ierobežot piekļuvi konkrētajai tīmekļa vietnei</w:t>
      </w:r>
      <w:r w:rsidR="009C3F56" w:rsidRPr="003A2AD6">
        <w:rPr>
          <w:rFonts w:ascii="Times New Roman" w:hAnsi="Times New Roman" w:cs="Times New Roman"/>
          <w:sz w:val="24"/>
          <w:szCs w:val="24"/>
        </w:rPr>
        <w:t>, kas satur azartspēļu reklāmu</w:t>
      </w:r>
      <w:r>
        <w:rPr>
          <w:rFonts w:ascii="Times New Roman" w:hAnsi="Times New Roman" w:cs="Times New Roman"/>
          <w:sz w:val="24"/>
          <w:szCs w:val="24"/>
        </w:rPr>
        <w:t>.</w:t>
      </w:r>
    </w:p>
    <w:p w14:paraId="3D98AE31" w14:textId="77777777" w:rsidR="000F70CA" w:rsidRDefault="008D6934" w:rsidP="004C55F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IAUI u</w:t>
      </w:r>
      <w:r w:rsidR="000F70CA" w:rsidRPr="000F70CA">
        <w:rPr>
          <w:rFonts w:ascii="Times New Roman" w:hAnsi="Times New Roman" w:cs="Times New Roman"/>
          <w:sz w:val="24"/>
          <w:szCs w:val="24"/>
        </w:rPr>
        <w:t>zsākt sarunas ar lielākajiem sociālajiem tīkliem, kā arī banneru izplatīšanas kanāliem par iespēju nodrošināt reklāmas par Latvijā nelegālo azartspēļu organizētājiem nepieejamību no Latvijas IP adresēm</w:t>
      </w:r>
      <w:r w:rsidR="000F70CA">
        <w:rPr>
          <w:rFonts w:ascii="Times New Roman" w:hAnsi="Times New Roman" w:cs="Times New Roman"/>
          <w:sz w:val="24"/>
          <w:szCs w:val="24"/>
        </w:rPr>
        <w:t>.</w:t>
      </w:r>
    </w:p>
    <w:p w14:paraId="255F6552" w14:textId="77777777" w:rsidR="00BD2C87" w:rsidRDefault="00BD2C87" w:rsidP="004C55FA">
      <w:pPr>
        <w:pStyle w:val="ListParagraph"/>
        <w:numPr>
          <w:ilvl w:val="0"/>
          <w:numId w:val="1"/>
        </w:numPr>
        <w:spacing w:line="240" w:lineRule="auto"/>
        <w:jc w:val="both"/>
        <w:rPr>
          <w:rFonts w:ascii="Times New Roman" w:hAnsi="Times New Roman" w:cs="Times New Roman"/>
          <w:sz w:val="24"/>
          <w:szCs w:val="24"/>
        </w:rPr>
      </w:pPr>
      <w:r w:rsidRPr="00A95E3D">
        <w:rPr>
          <w:rFonts w:ascii="Times New Roman" w:hAnsi="Times New Roman" w:cs="Times New Roman"/>
          <w:bCs/>
          <w:sz w:val="24"/>
          <w:szCs w:val="24"/>
        </w:rPr>
        <w:t>IAUI ne retāk kā divas reizes gadā īstenot informatīvo kampaņu par atbildības piemērošanu fiziskajām personām Latvijā</w:t>
      </w:r>
      <w:r w:rsidRPr="00196CCA">
        <w:rPr>
          <w:rFonts w:ascii="Times New Roman" w:hAnsi="Times New Roman" w:cs="Times New Roman"/>
          <w:sz w:val="24"/>
          <w:szCs w:val="24"/>
        </w:rPr>
        <w:t xml:space="preserve"> par dalību Latvijā nelicencētās (nelegālās) azartspēlēs un/vai nelicencētās</w:t>
      </w:r>
      <w:r>
        <w:rPr>
          <w:rFonts w:ascii="Times New Roman" w:hAnsi="Times New Roman" w:cs="Times New Roman"/>
          <w:sz w:val="24"/>
          <w:szCs w:val="24"/>
        </w:rPr>
        <w:t xml:space="preserve"> interaktīvās</w:t>
      </w:r>
      <w:r w:rsidRPr="00196CCA">
        <w:rPr>
          <w:rFonts w:ascii="Times New Roman" w:hAnsi="Times New Roman" w:cs="Times New Roman"/>
          <w:sz w:val="24"/>
          <w:szCs w:val="24"/>
        </w:rPr>
        <w:t xml:space="preserve"> izlozēs.</w:t>
      </w:r>
    </w:p>
    <w:p w14:paraId="57BEB442" w14:textId="77777777" w:rsidR="00325034" w:rsidRPr="00AA4F86" w:rsidRDefault="00AC7C53" w:rsidP="004C55F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Nepieciešams</w:t>
      </w:r>
      <w:r w:rsidRPr="00AC7C53">
        <w:rPr>
          <w:rFonts w:ascii="Times New Roman" w:hAnsi="Times New Roman" w:cs="Times New Roman"/>
          <w:sz w:val="24"/>
          <w:szCs w:val="24"/>
        </w:rPr>
        <w:t xml:space="preserve"> stiprināt IAUI un FKTK sadarbību jautājumos, kas skar “elektronisko maku” pakalpojumu sniedzējus, proti, IAUI sniedzot FKTK informāciju par komersantiem, kas nodrošina “elektronisko maku” pakalpojumus</w:t>
      </w:r>
      <w:r w:rsidR="005A5A4F">
        <w:rPr>
          <w:rFonts w:ascii="Times New Roman" w:hAnsi="Times New Roman" w:cs="Times New Roman"/>
          <w:sz w:val="24"/>
          <w:szCs w:val="24"/>
        </w:rPr>
        <w:t xml:space="preserve"> nelicencēto azartspēļu organizētājiem</w:t>
      </w:r>
      <w:r w:rsidRPr="00AC7C53">
        <w:rPr>
          <w:rFonts w:ascii="Times New Roman" w:hAnsi="Times New Roman" w:cs="Times New Roman"/>
          <w:sz w:val="24"/>
          <w:szCs w:val="24"/>
        </w:rPr>
        <w:t xml:space="preserve"> Latvijā un FKTK</w:t>
      </w:r>
      <w:r w:rsidRPr="00AC7C53" w:rsidDel="000E1178">
        <w:rPr>
          <w:rFonts w:ascii="Times New Roman" w:hAnsi="Times New Roman" w:cs="Times New Roman"/>
          <w:sz w:val="24"/>
          <w:szCs w:val="24"/>
        </w:rPr>
        <w:t xml:space="preserve"> </w:t>
      </w:r>
      <w:r w:rsidRPr="00AC7C53">
        <w:rPr>
          <w:rFonts w:ascii="Times New Roman" w:hAnsi="Times New Roman" w:cs="Times New Roman"/>
          <w:sz w:val="24"/>
          <w:szCs w:val="24"/>
        </w:rPr>
        <w:t>saņemto informāciju nosūtīt attiecīgās valsts kompetentajai institūcijai.</w:t>
      </w:r>
    </w:p>
    <w:sectPr w:rsidR="00325034" w:rsidRPr="00AA4F86" w:rsidSect="00D06845">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2278" w14:textId="77777777" w:rsidR="00721402" w:rsidRDefault="00721402" w:rsidP="00E47026">
      <w:pPr>
        <w:spacing w:after="0" w:line="240" w:lineRule="auto"/>
      </w:pPr>
      <w:r>
        <w:separator/>
      </w:r>
    </w:p>
  </w:endnote>
  <w:endnote w:type="continuationSeparator" w:id="0">
    <w:p w14:paraId="5F417EE8" w14:textId="77777777" w:rsidR="00721402" w:rsidRDefault="00721402" w:rsidP="00E4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2E07" w14:textId="77777777" w:rsidR="00721402" w:rsidRDefault="00721402" w:rsidP="00E47026">
      <w:pPr>
        <w:spacing w:after="0" w:line="240" w:lineRule="auto"/>
      </w:pPr>
      <w:r>
        <w:separator/>
      </w:r>
    </w:p>
  </w:footnote>
  <w:footnote w:type="continuationSeparator" w:id="0">
    <w:p w14:paraId="5EF0D326" w14:textId="77777777" w:rsidR="00721402" w:rsidRDefault="00721402" w:rsidP="00E47026">
      <w:pPr>
        <w:spacing w:after="0" w:line="240" w:lineRule="auto"/>
      </w:pPr>
      <w:r>
        <w:continuationSeparator/>
      </w:r>
    </w:p>
  </w:footnote>
  <w:footnote w:id="1">
    <w:p w14:paraId="6C704DF5" w14:textId="77777777" w:rsidR="00E47026" w:rsidRPr="00C3524D" w:rsidRDefault="00E47026" w:rsidP="00E47026">
      <w:pPr>
        <w:pStyle w:val="FootnoteText"/>
        <w:rPr>
          <w:rFonts w:ascii="Times New Roman" w:hAnsi="Times New Roman" w:cs="Times New Roman"/>
        </w:rPr>
      </w:pPr>
      <w:r w:rsidRPr="00C3524D">
        <w:rPr>
          <w:rStyle w:val="FootnoteReference"/>
          <w:rFonts w:ascii="Times New Roman" w:hAnsi="Times New Roman" w:cs="Times New Roman"/>
        </w:rPr>
        <w:footnoteRef/>
      </w:r>
      <w:r w:rsidRPr="00C3524D">
        <w:rPr>
          <w:rFonts w:ascii="Times New Roman" w:hAnsi="Times New Roman" w:cs="Times New Roman"/>
        </w:rPr>
        <w:t xml:space="preserve"> https://www.fktk.lv/wp-content/uploads/2020/06/General-good_Payment-institutions_Service_2020.pdf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86288"/>
      <w:docPartObj>
        <w:docPartGallery w:val="Page Numbers (Top of Page)"/>
        <w:docPartUnique/>
      </w:docPartObj>
    </w:sdtPr>
    <w:sdtEndPr>
      <w:rPr>
        <w:noProof/>
      </w:rPr>
    </w:sdtEndPr>
    <w:sdtContent>
      <w:p w14:paraId="34941BCE" w14:textId="77777777" w:rsidR="00D06845" w:rsidRDefault="00F72104">
        <w:pPr>
          <w:pStyle w:val="Header"/>
          <w:jc w:val="center"/>
        </w:pPr>
        <w:r w:rsidRPr="00D06845">
          <w:rPr>
            <w:rFonts w:ascii="Times New Roman" w:hAnsi="Times New Roman" w:cs="Times New Roman"/>
            <w:sz w:val="24"/>
          </w:rPr>
          <w:fldChar w:fldCharType="begin"/>
        </w:r>
        <w:r w:rsidRPr="00D06845">
          <w:rPr>
            <w:rFonts w:ascii="Times New Roman" w:hAnsi="Times New Roman" w:cs="Times New Roman"/>
            <w:sz w:val="24"/>
          </w:rPr>
          <w:instrText xml:space="preserve"> PAGE   \* MERGEFORMAT </w:instrText>
        </w:r>
        <w:r w:rsidRPr="00D06845">
          <w:rPr>
            <w:rFonts w:ascii="Times New Roman" w:hAnsi="Times New Roman" w:cs="Times New Roman"/>
            <w:sz w:val="24"/>
          </w:rPr>
          <w:fldChar w:fldCharType="separate"/>
        </w:r>
        <w:r w:rsidR="004C55FA">
          <w:rPr>
            <w:rFonts w:ascii="Times New Roman" w:hAnsi="Times New Roman" w:cs="Times New Roman"/>
            <w:noProof/>
            <w:sz w:val="24"/>
          </w:rPr>
          <w:t>8</w:t>
        </w:r>
        <w:r w:rsidRPr="00D06845">
          <w:rPr>
            <w:rFonts w:ascii="Times New Roman" w:hAnsi="Times New Roman" w:cs="Times New Roman"/>
            <w:noProof/>
            <w:sz w:val="24"/>
          </w:rPr>
          <w:fldChar w:fldCharType="end"/>
        </w:r>
      </w:p>
    </w:sdtContent>
  </w:sdt>
  <w:p w14:paraId="30FB717F" w14:textId="77777777" w:rsidR="00D06845" w:rsidRDefault="00555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375FB"/>
    <w:multiLevelType w:val="hybridMultilevel"/>
    <w:tmpl w:val="2E4477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6370812"/>
    <w:multiLevelType w:val="hybridMultilevel"/>
    <w:tmpl w:val="DCECC6B8"/>
    <w:lvl w:ilvl="0" w:tplc="1768594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67C1289A"/>
    <w:multiLevelType w:val="hybridMultilevel"/>
    <w:tmpl w:val="9D1A8A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183555"/>
    <w:multiLevelType w:val="hybridMultilevel"/>
    <w:tmpl w:val="6C42C206"/>
    <w:lvl w:ilvl="0" w:tplc="9E1AE9D8">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967F86"/>
    <w:multiLevelType w:val="hybridMultilevel"/>
    <w:tmpl w:val="D6562D64"/>
    <w:lvl w:ilvl="0" w:tplc="D020F7C2">
      <w:start w:val="1"/>
      <w:numFmt w:val="decimal"/>
      <w:lvlText w:val="%1)"/>
      <w:lvlJc w:val="left"/>
      <w:pPr>
        <w:ind w:left="1077" w:hanging="360"/>
      </w:pPr>
      <w:rPr>
        <w:rFonts w:hint="default"/>
        <w:b w:val="0"/>
        <w:i w:val="0"/>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71755D0A"/>
    <w:multiLevelType w:val="hybridMultilevel"/>
    <w:tmpl w:val="776280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1"/>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6"/>
    <w:rsid w:val="00000A48"/>
    <w:rsid w:val="00016836"/>
    <w:rsid w:val="000219D1"/>
    <w:rsid w:val="0002365E"/>
    <w:rsid w:val="0006747F"/>
    <w:rsid w:val="00076548"/>
    <w:rsid w:val="00081082"/>
    <w:rsid w:val="00093ABD"/>
    <w:rsid w:val="000B4306"/>
    <w:rsid w:val="000E1178"/>
    <w:rsid w:val="000F70CA"/>
    <w:rsid w:val="00153366"/>
    <w:rsid w:val="001A10A5"/>
    <w:rsid w:val="001A7E21"/>
    <w:rsid w:val="001D2573"/>
    <w:rsid w:val="0021726F"/>
    <w:rsid w:val="0023504F"/>
    <w:rsid w:val="00277E41"/>
    <w:rsid w:val="002A4B2D"/>
    <w:rsid w:val="002C7E8A"/>
    <w:rsid w:val="003116F8"/>
    <w:rsid w:val="00325034"/>
    <w:rsid w:val="00326EE8"/>
    <w:rsid w:val="003634CB"/>
    <w:rsid w:val="003828D9"/>
    <w:rsid w:val="003A2AD6"/>
    <w:rsid w:val="003B6AD9"/>
    <w:rsid w:val="00420888"/>
    <w:rsid w:val="0042594F"/>
    <w:rsid w:val="00480708"/>
    <w:rsid w:val="004C55FA"/>
    <w:rsid w:val="004D706B"/>
    <w:rsid w:val="004F33EB"/>
    <w:rsid w:val="005404E0"/>
    <w:rsid w:val="005411B8"/>
    <w:rsid w:val="00560F18"/>
    <w:rsid w:val="00586A22"/>
    <w:rsid w:val="005933A9"/>
    <w:rsid w:val="005A5A4F"/>
    <w:rsid w:val="00631CC3"/>
    <w:rsid w:val="006503F6"/>
    <w:rsid w:val="006735C7"/>
    <w:rsid w:val="006D293B"/>
    <w:rsid w:val="006F2520"/>
    <w:rsid w:val="0072069F"/>
    <w:rsid w:val="00721402"/>
    <w:rsid w:val="00792C38"/>
    <w:rsid w:val="007B068D"/>
    <w:rsid w:val="007D7BA9"/>
    <w:rsid w:val="007F2768"/>
    <w:rsid w:val="007F7DDF"/>
    <w:rsid w:val="008601FA"/>
    <w:rsid w:val="008603EF"/>
    <w:rsid w:val="008A64B5"/>
    <w:rsid w:val="008D6934"/>
    <w:rsid w:val="008F4D46"/>
    <w:rsid w:val="009022BA"/>
    <w:rsid w:val="0090244C"/>
    <w:rsid w:val="009A3050"/>
    <w:rsid w:val="009B033F"/>
    <w:rsid w:val="009C3F56"/>
    <w:rsid w:val="00A24A30"/>
    <w:rsid w:val="00A90D40"/>
    <w:rsid w:val="00A95E3D"/>
    <w:rsid w:val="00AA29BA"/>
    <w:rsid w:val="00AA4F86"/>
    <w:rsid w:val="00AB01F6"/>
    <w:rsid w:val="00AC7C53"/>
    <w:rsid w:val="00AD5075"/>
    <w:rsid w:val="00AE3A8D"/>
    <w:rsid w:val="00AF1B59"/>
    <w:rsid w:val="00B0607F"/>
    <w:rsid w:val="00B12894"/>
    <w:rsid w:val="00B5075D"/>
    <w:rsid w:val="00B67EF4"/>
    <w:rsid w:val="00B87DCA"/>
    <w:rsid w:val="00BB0DBE"/>
    <w:rsid w:val="00BD2C87"/>
    <w:rsid w:val="00BD3E9A"/>
    <w:rsid w:val="00BF3E68"/>
    <w:rsid w:val="00C24BCF"/>
    <w:rsid w:val="00C3524D"/>
    <w:rsid w:val="00C502EF"/>
    <w:rsid w:val="00CB478E"/>
    <w:rsid w:val="00CC07BF"/>
    <w:rsid w:val="00CD25FF"/>
    <w:rsid w:val="00CE2E6E"/>
    <w:rsid w:val="00D632CD"/>
    <w:rsid w:val="00D77F40"/>
    <w:rsid w:val="00DE43DD"/>
    <w:rsid w:val="00E41C6F"/>
    <w:rsid w:val="00E47026"/>
    <w:rsid w:val="00E53059"/>
    <w:rsid w:val="00E90916"/>
    <w:rsid w:val="00E918E7"/>
    <w:rsid w:val="00E962F1"/>
    <w:rsid w:val="00EB04C8"/>
    <w:rsid w:val="00EC0035"/>
    <w:rsid w:val="00EC4754"/>
    <w:rsid w:val="00EE278C"/>
    <w:rsid w:val="00F03B4D"/>
    <w:rsid w:val="00F04996"/>
    <w:rsid w:val="00F06181"/>
    <w:rsid w:val="00F3565D"/>
    <w:rsid w:val="00F36943"/>
    <w:rsid w:val="00F417C1"/>
    <w:rsid w:val="00F7120F"/>
    <w:rsid w:val="00F72104"/>
    <w:rsid w:val="00F94CE4"/>
    <w:rsid w:val="00F96AF5"/>
    <w:rsid w:val="00FA4E60"/>
    <w:rsid w:val="00FC7104"/>
    <w:rsid w:val="00FC7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8A4A"/>
  <w15:chartTrackingRefBased/>
  <w15:docId w15:val="{892634CB-261A-4050-A174-8C5B38E7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2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26"/>
    <w:pPr>
      <w:ind w:left="720"/>
      <w:contextualSpacing/>
    </w:pPr>
  </w:style>
  <w:style w:type="character" w:styleId="CommentReference">
    <w:name w:val="annotation reference"/>
    <w:basedOn w:val="DefaultParagraphFont"/>
    <w:uiPriority w:val="99"/>
    <w:semiHidden/>
    <w:unhideWhenUsed/>
    <w:rsid w:val="00E47026"/>
    <w:rPr>
      <w:sz w:val="16"/>
      <w:szCs w:val="16"/>
    </w:rPr>
  </w:style>
  <w:style w:type="paragraph" w:styleId="CommentText">
    <w:name w:val="annotation text"/>
    <w:basedOn w:val="Normal"/>
    <w:link w:val="CommentTextChar"/>
    <w:uiPriority w:val="99"/>
    <w:semiHidden/>
    <w:unhideWhenUsed/>
    <w:rsid w:val="00E47026"/>
    <w:pPr>
      <w:spacing w:line="240" w:lineRule="auto"/>
    </w:pPr>
    <w:rPr>
      <w:sz w:val="20"/>
      <w:szCs w:val="20"/>
    </w:rPr>
  </w:style>
  <w:style w:type="character" w:customStyle="1" w:styleId="CommentTextChar">
    <w:name w:val="Comment Text Char"/>
    <w:basedOn w:val="DefaultParagraphFont"/>
    <w:link w:val="CommentText"/>
    <w:uiPriority w:val="99"/>
    <w:semiHidden/>
    <w:rsid w:val="00E47026"/>
    <w:rPr>
      <w:rFonts w:asciiTheme="minorHAnsi" w:hAnsiTheme="minorHAnsi" w:cstheme="minorBidi"/>
      <w:sz w:val="20"/>
      <w:szCs w:val="20"/>
    </w:rPr>
  </w:style>
  <w:style w:type="paragraph" w:styleId="FootnoteText">
    <w:name w:val="footnote text"/>
    <w:basedOn w:val="Normal"/>
    <w:link w:val="FootnoteTextChar"/>
    <w:uiPriority w:val="99"/>
    <w:semiHidden/>
    <w:unhideWhenUsed/>
    <w:rsid w:val="00E47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02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47026"/>
    <w:rPr>
      <w:vertAlign w:val="superscript"/>
    </w:rPr>
  </w:style>
  <w:style w:type="table" w:styleId="TableGrid">
    <w:name w:val="Table Grid"/>
    <w:basedOn w:val="TableNormal"/>
    <w:rsid w:val="00E4702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Teksts,No Spacing1"/>
    <w:link w:val="NoSpacingChar"/>
    <w:uiPriority w:val="1"/>
    <w:qFormat/>
    <w:rsid w:val="00E47026"/>
    <w:pPr>
      <w:spacing w:after="0" w:line="240" w:lineRule="auto"/>
    </w:pPr>
    <w:rPr>
      <w:rFonts w:asciiTheme="minorHAnsi" w:hAnsiTheme="minorHAnsi" w:cstheme="minorBidi"/>
      <w:sz w:val="22"/>
      <w:szCs w:val="22"/>
    </w:rPr>
  </w:style>
  <w:style w:type="character" w:customStyle="1" w:styleId="NoSpacingChar">
    <w:name w:val="No Spacing Char"/>
    <w:aliases w:val="TabTeksts Char,No Spacing1 Char"/>
    <w:link w:val="NoSpacing"/>
    <w:uiPriority w:val="1"/>
    <w:locked/>
    <w:rsid w:val="00E47026"/>
    <w:rPr>
      <w:rFonts w:asciiTheme="minorHAnsi" w:hAnsiTheme="minorHAnsi" w:cstheme="minorBidi"/>
      <w:sz w:val="22"/>
      <w:szCs w:val="22"/>
    </w:rPr>
  </w:style>
  <w:style w:type="paragraph" w:styleId="Header">
    <w:name w:val="header"/>
    <w:basedOn w:val="Normal"/>
    <w:link w:val="HeaderChar"/>
    <w:uiPriority w:val="99"/>
    <w:unhideWhenUsed/>
    <w:rsid w:val="00E470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02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47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04C8"/>
    <w:rPr>
      <w:b/>
      <w:bCs/>
    </w:rPr>
  </w:style>
  <w:style w:type="character" w:customStyle="1" w:styleId="CommentSubjectChar">
    <w:name w:val="Comment Subject Char"/>
    <w:basedOn w:val="CommentTextChar"/>
    <w:link w:val="CommentSubject"/>
    <w:uiPriority w:val="99"/>
    <w:semiHidden/>
    <w:rsid w:val="00EB04C8"/>
    <w:rPr>
      <w:rFonts w:asciiTheme="minorHAnsi" w:hAnsiTheme="minorHAnsi" w:cstheme="minorBidi"/>
      <w:b/>
      <w:bCs/>
      <w:sz w:val="20"/>
      <w:szCs w:val="20"/>
    </w:rPr>
  </w:style>
  <w:style w:type="paragraph" w:styleId="Revision">
    <w:name w:val="Revision"/>
    <w:hidden/>
    <w:uiPriority w:val="99"/>
    <w:semiHidden/>
    <w:rsid w:val="0006747F"/>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62E9-47AE-4B0D-8203-99B0C160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16263</Words>
  <Characters>9270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Lukšo</dc:creator>
  <cp:keywords/>
  <dc:description/>
  <cp:lastModifiedBy>Jana Salmiņa</cp:lastModifiedBy>
  <cp:revision>8</cp:revision>
  <dcterms:created xsi:type="dcterms:W3CDTF">2021-01-11T11:39:00Z</dcterms:created>
  <dcterms:modified xsi:type="dcterms:W3CDTF">2021-01-12T06:23:00Z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