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E63B" w14:textId="77777777" w:rsidR="00FA4C80" w:rsidRDefault="00B46BFD" w:rsidP="00370B0F">
      <w:pPr>
        <w:pStyle w:val="BodyText"/>
        <w:spacing w:before="0" w:after="0"/>
        <w:ind w:firstLineChars="265" w:firstLine="742"/>
        <w:jc w:val="center"/>
        <w:rPr>
          <w:rFonts w:eastAsiaTheme="minorHAnsi" w:cstheme="minorBidi"/>
          <w:bCs w:val="0"/>
          <w:sz w:val="28"/>
          <w:szCs w:val="28"/>
          <w:lang w:val="lv-LV"/>
        </w:rPr>
      </w:pPr>
      <w:r>
        <w:rPr>
          <w:rFonts w:eastAsiaTheme="minorHAnsi" w:cstheme="minorBidi"/>
          <w:bCs w:val="0"/>
          <w:sz w:val="28"/>
          <w:szCs w:val="28"/>
          <w:lang w:val="lv-LV"/>
        </w:rPr>
        <w:t>Informatīvais ziņojums</w:t>
      </w:r>
      <w:r w:rsidRPr="004601EF">
        <w:rPr>
          <w:rFonts w:eastAsiaTheme="minorHAnsi" w:cstheme="minorBidi"/>
          <w:bCs w:val="0"/>
          <w:sz w:val="28"/>
          <w:szCs w:val="28"/>
          <w:lang w:val="lv-LV"/>
        </w:rPr>
        <w:t xml:space="preserve"> </w:t>
      </w:r>
      <w:r w:rsidR="00FA4C80">
        <w:rPr>
          <w:rFonts w:eastAsiaTheme="minorHAnsi" w:cstheme="minorBidi"/>
          <w:bCs w:val="0"/>
          <w:sz w:val="28"/>
          <w:szCs w:val="28"/>
          <w:lang w:val="lv-LV"/>
        </w:rPr>
        <w:t xml:space="preserve">par </w:t>
      </w:r>
      <w:r>
        <w:rPr>
          <w:rFonts w:eastAsiaTheme="minorHAnsi" w:cstheme="minorBidi"/>
          <w:bCs w:val="0"/>
          <w:sz w:val="28"/>
          <w:szCs w:val="28"/>
          <w:lang w:val="lv-LV"/>
        </w:rPr>
        <w:t>Eiropas</w:t>
      </w:r>
      <w:r w:rsidR="00FA4C80">
        <w:rPr>
          <w:rFonts w:eastAsiaTheme="minorHAnsi" w:cstheme="minorBidi"/>
          <w:bCs w:val="0"/>
          <w:sz w:val="28"/>
          <w:szCs w:val="28"/>
          <w:lang w:val="lv-LV"/>
        </w:rPr>
        <w:t xml:space="preserve"> Savienības</w:t>
      </w:r>
      <w:r>
        <w:rPr>
          <w:rFonts w:eastAsiaTheme="minorHAnsi" w:cstheme="minorBidi"/>
          <w:bCs w:val="0"/>
          <w:sz w:val="28"/>
          <w:szCs w:val="28"/>
          <w:lang w:val="lv-LV"/>
        </w:rPr>
        <w:t xml:space="preserve"> </w:t>
      </w:r>
    </w:p>
    <w:p w14:paraId="3D402E57" w14:textId="57449595" w:rsidR="00B46BFD" w:rsidRDefault="00B46BFD" w:rsidP="00370B0F">
      <w:pPr>
        <w:pStyle w:val="BodyText"/>
        <w:spacing w:before="0" w:after="0"/>
        <w:ind w:firstLineChars="265" w:firstLine="742"/>
        <w:jc w:val="center"/>
        <w:rPr>
          <w:rFonts w:eastAsiaTheme="minorHAnsi" w:cstheme="minorBidi"/>
          <w:bCs w:val="0"/>
          <w:sz w:val="28"/>
          <w:szCs w:val="28"/>
          <w:lang w:val="lv-LV"/>
        </w:rPr>
      </w:pPr>
      <w:r>
        <w:rPr>
          <w:rFonts w:eastAsiaTheme="minorHAnsi" w:cstheme="minorBidi"/>
          <w:bCs w:val="0"/>
          <w:sz w:val="28"/>
          <w:szCs w:val="28"/>
          <w:lang w:val="lv-LV"/>
        </w:rPr>
        <w:t>At</w:t>
      </w:r>
      <w:r w:rsidR="00843AE0">
        <w:rPr>
          <w:rFonts w:eastAsiaTheme="minorHAnsi" w:cstheme="minorBidi"/>
          <w:bCs w:val="0"/>
          <w:sz w:val="28"/>
          <w:szCs w:val="28"/>
          <w:lang w:val="lv-LV"/>
        </w:rPr>
        <w:t>veseļo</w:t>
      </w:r>
      <w:r>
        <w:rPr>
          <w:rFonts w:eastAsiaTheme="minorHAnsi" w:cstheme="minorBidi"/>
          <w:bCs w:val="0"/>
          <w:sz w:val="28"/>
          <w:szCs w:val="28"/>
          <w:lang w:val="lv-LV"/>
        </w:rPr>
        <w:t>ša</w:t>
      </w:r>
      <w:r w:rsidR="00FA4C80">
        <w:rPr>
          <w:rFonts w:eastAsiaTheme="minorHAnsi" w:cstheme="minorBidi"/>
          <w:bCs w:val="0"/>
          <w:sz w:val="28"/>
          <w:szCs w:val="28"/>
          <w:lang w:val="lv-LV"/>
        </w:rPr>
        <w:t>nas un noturības mehānisma plān</w:t>
      </w:r>
      <w:r w:rsidR="007B6172">
        <w:rPr>
          <w:rFonts w:eastAsiaTheme="minorHAnsi" w:cstheme="minorBidi"/>
          <w:bCs w:val="0"/>
          <w:sz w:val="28"/>
          <w:szCs w:val="28"/>
          <w:lang w:val="lv-LV"/>
        </w:rPr>
        <w:t>a projektu</w:t>
      </w:r>
    </w:p>
    <w:p w14:paraId="623E8F54" w14:textId="77777777" w:rsidR="00B46BFD" w:rsidRDefault="00B46BFD" w:rsidP="00370B0F">
      <w:pPr>
        <w:pStyle w:val="BodyText"/>
        <w:spacing w:before="0" w:after="0"/>
        <w:ind w:firstLineChars="265" w:firstLine="742"/>
        <w:jc w:val="center"/>
        <w:rPr>
          <w:rFonts w:eastAsiaTheme="minorHAnsi" w:cstheme="minorBidi"/>
          <w:bCs w:val="0"/>
          <w:sz w:val="28"/>
          <w:szCs w:val="28"/>
          <w:lang w:val="lv-LV"/>
        </w:rPr>
      </w:pPr>
    </w:p>
    <w:p w14:paraId="150D6D8C" w14:textId="607639A7" w:rsidR="00FA4C80" w:rsidRDefault="00FA4C80" w:rsidP="00EA27CB">
      <w:pPr>
        <w:pStyle w:val="ListParagraph"/>
        <w:tabs>
          <w:tab w:val="left" w:pos="993"/>
        </w:tabs>
        <w:spacing w:after="160" w:line="259" w:lineRule="auto"/>
        <w:ind w:left="567"/>
        <w:jc w:val="both"/>
        <w:rPr>
          <w:rFonts w:cs="Times New Roman"/>
          <w:szCs w:val="24"/>
        </w:rPr>
      </w:pPr>
      <w:r w:rsidRPr="00FA4C80">
        <w:rPr>
          <w:rFonts w:cs="Times New Roman"/>
          <w:szCs w:val="24"/>
        </w:rPr>
        <w:t>Informatīvā</w:t>
      </w:r>
      <w:r>
        <w:rPr>
          <w:rFonts w:cs="Times New Roman"/>
          <w:szCs w:val="24"/>
        </w:rPr>
        <w:t xml:space="preserve"> ziņojuma mērķis ir informēt par Eiropas Savienības At</w:t>
      </w:r>
      <w:r w:rsidR="00843AE0">
        <w:rPr>
          <w:rFonts w:cs="Times New Roman"/>
          <w:szCs w:val="24"/>
        </w:rPr>
        <w:t>veseļo</w:t>
      </w:r>
      <w:r>
        <w:rPr>
          <w:rFonts w:cs="Times New Roman"/>
          <w:szCs w:val="24"/>
        </w:rPr>
        <w:t>šanas un noturības mehānisma (</w:t>
      </w:r>
      <w:r w:rsidR="004B435C">
        <w:rPr>
          <w:rFonts w:cs="Times New Roman"/>
          <w:szCs w:val="24"/>
        </w:rPr>
        <w:t xml:space="preserve">turpmāk </w:t>
      </w:r>
      <w:r w:rsidR="00F934FA">
        <w:rPr>
          <w:rFonts w:cs="Times New Roman"/>
          <w:szCs w:val="24"/>
        </w:rPr>
        <w:t>–</w:t>
      </w:r>
      <w:r w:rsidR="004B435C">
        <w:rPr>
          <w:rFonts w:cs="Times New Roman"/>
          <w:szCs w:val="24"/>
        </w:rPr>
        <w:t xml:space="preserve"> </w:t>
      </w:r>
      <w:r>
        <w:rPr>
          <w:rFonts w:cs="Times New Roman"/>
          <w:szCs w:val="24"/>
        </w:rPr>
        <w:t>ANM) plān</w:t>
      </w:r>
      <w:r w:rsidR="007B6172">
        <w:rPr>
          <w:rFonts w:cs="Times New Roman"/>
          <w:szCs w:val="24"/>
        </w:rPr>
        <w:t>a projektu</w:t>
      </w:r>
      <w:r>
        <w:rPr>
          <w:rFonts w:cs="Times New Roman"/>
          <w:szCs w:val="24"/>
        </w:rPr>
        <w:t xml:space="preserve">, </w:t>
      </w:r>
      <w:r w:rsidR="003D1139">
        <w:rPr>
          <w:rFonts w:cs="Times New Roman"/>
          <w:szCs w:val="24"/>
        </w:rPr>
        <w:t xml:space="preserve">tā saturu, </w:t>
      </w:r>
      <w:r>
        <w:rPr>
          <w:rFonts w:cs="Times New Roman"/>
          <w:szCs w:val="24"/>
        </w:rPr>
        <w:t>tā līdzšinējo sagatavoša</w:t>
      </w:r>
      <w:r w:rsidR="003D1139">
        <w:rPr>
          <w:rFonts w:cs="Times New Roman"/>
          <w:szCs w:val="24"/>
        </w:rPr>
        <w:t>nas procesu un panākto progresu</w:t>
      </w:r>
      <w:r w:rsidR="00653346">
        <w:rPr>
          <w:rFonts w:cs="Times New Roman"/>
          <w:szCs w:val="24"/>
        </w:rPr>
        <w:t>.</w:t>
      </w:r>
    </w:p>
    <w:p w14:paraId="3F305A24" w14:textId="77777777" w:rsidR="00653346" w:rsidRDefault="00653346" w:rsidP="00653346">
      <w:pPr>
        <w:tabs>
          <w:tab w:val="left" w:pos="3417"/>
        </w:tabs>
        <w:jc w:val="both"/>
        <w:rPr>
          <w:rFonts w:cs="Times New Roman"/>
          <w:szCs w:val="24"/>
        </w:rPr>
      </w:pPr>
    </w:p>
    <w:p w14:paraId="3CFEFF74" w14:textId="419D462F" w:rsidR="00653346" w:rsidRPr="00653346" w:rsidRDefault="00653346" w:rsidP="00653346">
      <w:pPr>
        <w:pStyle w:val="ListParagraph"/>
        <w:numPr>
          <w:ilvl w:val="0"/>
          <w:numId w:val="5"/>
        </w:numPr>
        <w:tabs>
          <w:tab w:val="left" w:pos="3417"/>
        </w:tabs>
        <w:jc w:val="center"/>
        <w:rPr>
          <w:rFonts w:cs="Times New Roman"/>
          <w:b/>
          <w:szCs w:val="24"/>
        </w:rPr>
      </w:pPr>
      <w:r w:rsidRPr="00653346">
        <w:rPr>
          <w:rFonts w:cs="Times New Roman"/>
          <w:b/>
          <w:szCs w:val="24"/>
        </w:rPr>
        <w:t>At</w:t>
      </w:r>
      <w:r w:rsidR="00843AE0">
        <w:rPr>
          <w:rFonts w:cs="Times New Roman"/>
          <w:b/>
          <w:szCs w:val="24"/>
        </w:rPr>
        <w:t>veseļo</w:t>
      </w:r>
      <w:r w:rsidRPr="00653346">
        <w:rPr>
          <w:rFonts w:cs="Times New Roman"/>
          <w:b/>
          <w:szCs w:val="24"/>
        </w:rPr>
        <w:t>šanas un noturības mehānisma būtība</w:t>
      </w:r>
    </w:p>
    <w:p w14:paraId="1D9ADFF5" w14:textId="77777777" w:rsidR="00653346" w:rsidRPr="00653346" w:rsidRDefault="00653346" w:rsidP="00653346">
      <w:pPr>
        <w:pStyle w:val="ListParagraph"/>
        <w:tabs>
          <w:tab w:val="left" w:pos="3417"/>
        </w:tabs>
        <w:rPr>
          <w:rFonts w:cs="Times New Roman"/>
          <w:szCs w:val="24"/>
        </w:rPr>
      </w:pPr>
    </w:p>
    <w:p w14:paraId="598E732C" w14:textId="6B6B240C" w:rsidR="00B46BFD" w:rsidRPr="000C6E07" w:rsidRDefault="00B46BFD" w:rsidP="000C6E07">
      <w:pPr>
        <w:tabs>
          <w:tab w:val="left" w:pos="1134"/>
          <w:tab w:val="left" w:pos="3417"/>
        </w:tabs>
        <w:ind w:left="66" w:firstLine="501"/>
        <w:jc w:val="both"/>
        <w:rPr>
          <w:rFonts w:ascii="Times New Roman" w:hAnsi="Times New Roman" w:cs="Times New Roman"/>
          <w:b/>
          <w:sz w:val="24"/>
          <w:szCs w:val="24"/>
        </w:rPr>
      </w:pPr>
      <w:r w:rsidRPr="000C6E07">
        <w:rPr>
          <w:rFonts w:ascii="Times New Roman" w:hAnsi="Times New Roman" w:cs="Times New Roman"/>
          <w:sz w:val="24"/>
          <w:szCs w:val="24"/>
        </w:rPr>
        <w:t xml:space="preserve">2020.gada 21.jūlijā </w:t>
      </w:r>
      <w:r w:rsidR="00653346" w:rsidRPr="000C6E07">
        <w:rPr>
          <w:rFonts w:ascii="Times New Roman" w:hAnsi="Times New Roman" w:cs="Times New Roman"/>
          <w:sz w:val="24"/>
          <w:szCs w:val="24"/>
        </w:rPr>
        <w:t>Eiropas Savienības (</w:t>
      </w:r>
      <w:r w:rsidR="004B435C" w:rsidRPr="000C6E07">
        <w:rPr>
          <w:rFonts w:ascii="Times New Roman" w:hAnsi="Times New Roman" w:cs="Times New Roman"/>
          <w:sz w:val="24"/>
          <w:szCs w:val="24"/>
        </w:rPr>
        <w:t xml:space="preserve">turpmāk </w:t>
      </w:r>
      <w:r w:rsidR="00F934FA" w:rsidRPr="000C6E07">
        <w:rPr>
          <w:rFonts w:ascii="Times New Roman" w:hAnsi="Times New Roman" w:cs="Times New Roman"/>
          <w:sz w:val="24"/>
          <w:szCs w:val="24"/>
        </w:rPr>
        <w:t>–</w:t>
      </w:r>
      <w:r w:rsidR="004B435C" w:rsidRPr="000C6E07">
        <w:rPr>
          <w:rFonts w:ascii="Times New Roman" w:hAnsi="Times New Roman" w:cs="Times New Roman"/>
          <w:sz w:val="24"/>
          <w:szCs w:val="24"/>
        </w:rPr>
        <w:t xml:space="preserve"> </w:t>
      </w:r>
      <w:r w:rsidRPr="000C6E07">
        <w:rPr>
          <w:rFonts w:ascii="Times New Roman" w:hAnsi="Times New Roman" w:cs="Times New Roman"/>
          <w:sz w:val="24"/>
          <w:szCs w:val="24"/>
        </w:rPr>
        <w:t>ES</w:t>
      </w:r>
      <w:r w:rsidR="00653346" w:rsidRPr="000C6E07">
        <w:rPr>
          <w:rFonts w:ascii="Times New Roman" w:hAnsi="Times New Roman" w:cs="Times New Roman"/>
          <w:sz w:val="24"/>
          <w:szCs w:val="24"/>
        </w:rPr>
        <w:t>)</w:t>
      </w:r>
      <w:r w:rsidRPr="000C6E07">
        <w:rPr>
          <w:rFonts w:ascii="Times New Roman" w:hAnsi="Times New Roman" w:cs="Times New Roman"/>
          <w:sz w:val="24"/>
          <w:szCs w:val="24"/>
        </w:rPr>
        <w:t xml:space="preserve"> dalībvalstis Eiropadomes ārkārtas sanāksmē ir vienojušās par ES daud</w:t>
      </w:r>
      <w:r w:rsidR="00653346" w:rsidRPr="000C6E07">
        <w:rPr>
          <w:rFonts w:ascii="Times New Roman" w:hAnsi="Times New Roman" w:cs="Times New Roman"/>
          <w:sz w:val="24"/>
          <w:szCs w:val="24"/>
        </w:rPr>
        <w:t>zgadu budžetu 2021. – 2027.gada</w:t>
      </w:r>
      <w:r w:rsidRPr="000C6E07">
        <w:rPr>
          <w:rFonts w:ascii="Times New Roman" w:hAnsi="Times New Roman" w:cs="Times New Roman"/>
          <w:sz w:val="24"/>
          <w:szCs w:val="24"/>
        </w:rPr>
        <w:t xml:space="preserve">m un  ES Atveseļošanas instrumentu ES ekonomikas atbalstam izejai no COVID-19 krīzes elementiem. ES līmeņa Parāda vērtspapīru emisijas rezultātā iegūtie 750 mljrd.  </w:t>
      </w:r>
      <w:proofErr w:type="spellStart"/>
      <w:r w:rsidRPr="000C6E07">
        <w:rPr>
          <w:rFonts w:ascii="Times New Roman" w:hAnsi="Times New Roman" w:cs="Times New Roman"/>
          <w:i/>
          <w:sz w:val="24"/>
          <w:szCs w:val="24"/>
        </w:rPr>
        <w:t>euro</w:t>
      </w:r>
      <w:proofErr w:type="spellEnd"/>
      <w:r w:rsidR="00653346" w:rsidRPr="000C6E07">
        <w:rPr>
          <w:rFonts w:ascii="Times New Roman" w:hAnsi="Times New Roman" w:cs="Times New Roman"/>
          <w:i/>
          <w:sz w:val="24"/>
          <w:szCs w:val="24"/>
        </w:rPr>
        <w:t xml:space="preserve"> </w:t>
      </w:r>
      <w:r w:rsidR="00653346" w:rsidRPr="000C6E07">
        <w:rPr>
          <w:rFonts w:ascii="Times New Roman" w:hAnsi="Times New Roman" w:cs="Times New Roman"/>
          <w:sz w:val="24"/>
          <w:szCs w:val="24"/>
        </w:rPr>
        <w:t>apmērā</w:t>
      </w:r>
      <w:r w:rsidRPr="000C6E07">
        <w:rPr>
          <w:rFonts w:ascii="Times New Roman" w:hAnsi="Times New Roman" w:cs="Times New Roman"/>
          <w:sz w:val="24"/>
          <w:szCs w:val="24"/>
        </w:rPr>
        <w:t xml:space="preserve"> (390 mljrd. </w:t>
      </w:r>
      <w:proofErr w:type="spellStart"/>
      <w:r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tiks piešķirti kā granti un 360 mljrd. </w:t>
      </w:r>
      <w:proofErr w:type="spellStart"/>
      <w:r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tiks izsniegti tālāk dalībvalstīm aizdevumu formā). Šie līdzekļi tiks integrēti ES budžetā un  izmantoti ES budžeta  programmām un fondiem. </w:t>
      </w:r>
    </w:p>
    <w:p w14:paraId="48E54F87" w14:textId="0852D600" w:rsidR="00B46BFD" w:rsidRPr="000C6E07" w:rsidRDefault="00B46BFD"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4"/>
        </w:rPr>
        <w:t xml:space="preserve">Būtiska daļa no 750 mljrd. </w:t>
      </w:r>
      <w:proofErr w:type="spellStart"/>
      <w:r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tiks novirzīti </w:t>
      </w:r>
      <w:r w:rsidRPr="000C6E07">
        <w:rPr>
          <w:rFonts w:ascii="Times New Roman" w:hAnsi="Times New Roman" w:cs="Times New Roman"/>
          <w:b/>
          <w:sz w:val="24"/>
          <w:szCs w:val="24"/>
        </w:rPr>
        <w:t>At</w:t>
      </w:r>
      <w:r w:rsidR="00843AE0" w:rsidRPr="000C6E07">
        <w:rPr>
          <w:rFonts w:ascii="Times New Roman" w:hAnsi="Times New Roman" w:cs="Times New Roman"/>
          <w:b/>
          <w:sz w:val="24"/>
          <w:szCs w:val="24"/>
        </w:rPr>
        <w:t>veseļo</w:t>
      </w:r>
      <w:r w:rsidRPr="000C6E07">
        <w:rPr>
          <w:rFonts w:ascii="Times New Roman" w:hAnsi="Times New Roman" w:cs="Times New Roman"/>
          <w:b/>
          <w:sz w:val="24"/>
          <w:szCs w:val="24"/>
        </w:rPr>
        <w:t xml:space="preserve">šanas un noturības mehānismam </w:t>
      </w:r>
      <w:r w:rsidR="00787FE3" w:rsidRPr="000C6E07">
        <w:rPr>
          <w:rFonts w:ascii="Times New Roman" w:hAnsi="Times New Roman" w:cs="Times New Roman"/>
          <w:b/>
          <w:sz w:val="24"/>
          <w:szCs w:val="24"/>
        </w:rPr>
        <w:t>(</w:t>
      </w:r>
      <w:proofErr w:type="spellStart"/>
      <w:r w:rsidRPr="000C6E07">
        <w:rPr>
          <w:rFonts w:ascii="Times New Roman" w:hAnsi="Times New Roman" w:cs="Times New Roman"/>
          <w:b/>
          <w:i/>
          <w:sz w:val="24"/>
          <w:szCs w:val="24"/>
        </w:rPr>
        <w:t>Recovery</w:t>
      </w:r>
      <w:proofErr w:type="spellEnd"/>
      <w:r w:rsidRPr="000C6E07">
        <w:rPr>
          <w:rFonts w:ascii="Times New Roman" w:hAnsi="Times New Roman" w:cs="Times New Roman"/>
          <w:b/>
          <w:i/>
          <w:sz w:val="24"/>
          <w:szCs w:val="24"/>
        </w:rPr>
        <w:t xml:space="preserve"> </w:t>
      </w:r>
      <w:proofErr w:type="spellStart"/>
      <w:r w:rsidRPr="000C6E07">
        <w:rPr>
          <w:rFonts w:ascii="Times New Roman" w:hAnsi="Times New Roman" w:cs="Times New Roman"/>
          <w:b/>
          <w:i/>
          <w:sz w:val="24"/>
          <w:szCs w:val="24"/>
        </w:rPr>
        <w:t>and</w:t>
      </w:r>
      <w:proofErr w:type="spellEnd"/>
      <w:r w:rsidRPr="000C6E07">
        <w:rPr>
          <w:rFonts w:ascii="Times New Roman" w:hAnsi="Times New Roman" w:cs="Times New Roman"/>
          <w:b/>
          <w:i/>
          <w:sz w:val="24"/>
          <w:szCs w:val="24"/>
        </w:rPr>
        <w:t xml:space="preserve"> </w:t>
      </w:r>
      <w:proofErr w:type="spellStart"/>
      <w:r w:rsidRPr="000C6E07">
        <w:rPr>
          <w:rFonts w:ascii="Times New Roman" w:hAnsi="Times New Roman" w:cs="Times New Roman"/>
          <w:b/>
          <w:i/>
          <w:sz w:val="24"/>
          <w:szCs w:val="24"/>
        </w:rPr>
        <w:t>Re</w:t>
      </w:r>
      <w:r w:rsidR="00787FE3" w:rsidRPr="000C6E07">
        <w:rPr>
          <w:rFonts w:ascii="Times New Roman" w:hAnsi="Times New Roman" w:cs="Times New Roman"/>
          <w:b/>
          <w:i/>
          <w:sz w:val="24"/>
          <w:szCs w:val="24"/>
        </w:rPr>
        <w:t>silience</w:t>
      </w:r>
      <w:proofErr w:type="spellEnd"/>
      <w:r w:rsidR="00787FE3" w:rsidRPr="000C6E07">
        <w:rPr>
          <w:rFonts w:ascii="Times New Roman" w:hAnsi="Times New Roman" w:cs="Times New Roman"/>
          <w:b/>
          <w:i/>
          <w:sz w:val="24"/>
          <w:szCs w:val="24"/>
        </w:rPr>
        <w:t xml:space="preserve"> </w:t>
      </w:r>
      <w:proofErr w:type="spellStart"/>
      <w:r w:rsidR="00787FE3" w:rsidRPr="000C6E07">
        <w:rPr>
          <w:rFonts w:ascii="Times New Roman" w:hAnsi="Times New Roman" w:cs="Times New Roman"/>
          <w:b/>
          <w:i/>
          <w:sz w:val="24"/>
          <w:szCs w:val="24"/>
        </w:rPr>
        <w:t>Facility</w:t>
      </w:r>
      <w:proofErr w:type="spellEnd"/>
      <w:r w:rsidR="00787FE3" w:rsidRPr="000C6E07">
        <w:rPr>
          <w:rFonts w:ascii="Times New Roman" w:hAnsi="Times New Roman" w:cs="Times New Roman"/>
          <w:b/>
          <w:i/>
          <w:sz w:val="24"/>
          <w:szCs w:val="24"/>
        </w:rPr>
        <w:t>)</w:t>
      </w:r>
      <w:r w:rsidRPr="000C6E07">
        <w:rPr>
          <w:rFonts w:ascii="Times New Roman" w:hAnsi="Times New Roman" w:cs="Times New Roman"/>
          <w:sz w:val="24"/>
          <w:szCs w:val="24"/>
        </w:rPr>
        <w:t xml:space="preserve">, kas </w:t>
      </w:r>
      <w:r w:rsidR="00952769" w:rsidRPr="000C6E07">
        <w:rPr>
          <w:rFonts w:ascii="Times New Roman" w:hAnsi="Times New Roman" w:cs="Times New Roman"/>
          <w:sz w:val="24"/>
          <w:szCs w:val="24"/>
        </w:rPr>
        <w:t xml:space="preserve">ir </w:t>
      </w:r>
      <w:r w:rsidRPr="000C6E07">
        <w:rPr>
          <w:rFonts w:ascii="Times New Roman" w:hAnsi="Times New Roman" w:cs="Times New Roman"/>
          <w:sz w:val="24"/>
          <w:szCs w:val="24"/>
        </w:rPr>
        <w:t>jauna Eiropas Komisijas</w:t>
      </w:r>
      <w:r w:rsidR="00787FE3" w:rsidRPr="000C6E07">
        <w:rPr>
          <w:rFonts w:ascii="Times New Roman" w:hAnsi="Times New Roman" w:cs="Times New Roman"/>
          <w:sz w:val="24"/>
          <w:szCs w:val="24"/>
        </w:rPr>
        <w:t xml:space="preserve"> (</w:t>
      </w:r>
      <w:r w:rsidR="004B435C" w:rsidRPr="000C6E07">
        <w:rPr>
          <w:rFonts w:ascii="Times New Roman" w:hAnsi="Times New Roman" w:cs="Times New Roman"/>
          <w:sz w:val="24"/>
          <w:szCs w:val="24"/>
        </w:rPr>
        <w:t xml:space="preserve">turpmāk </w:t>
      </w:r>
      <w:r w:rsidR="00F934FA" w:rsidRPr="000C6E07">
        <w:rPr>
          <w:rFonts w:ascii="Times New Roman" w:hAnsi="Times New Roman" w:cs="Times New Roman"/>
          <w:sz w:val="24"/>
          <w:szCs w:val="24"/>
        </w:rPr>
        <w:t>–</w:t>
      </w:r>
      <w:r w:rsidR="004B435C" w:rsidRPr="000C6E07">
        <w:rPr>
          <w:rFonts w:ascii="Times New Roman" w:hAnsi="Times New Roman" w:cs="Times New Roman"/>
          <w:sz w:val="24"/>
          <w:szCs w:val="24"/>
        </w:rPr>
        <w:t xml:space="preserve"> </w:t>
      </w:r>
      <w:r w:rsidR="00787FE3" w:rsidRPr="000C6E07">
        <w:rPr>
          <w:rFonts w:ascii="Times New Roman" w:hAnsi="Times New Roman" w:cs="Times New Roman"/>
          <w:sz w:val="24"/>
          <w:szCs w:val="24"/>
        </w:rPr>
        <w:t>EK)</w:t>
      </w:r>
      <w:r w:rsidRPr="000C6E07">
        <w:rPr>
          <w:rFonts w:ascii="Times New Roman" w:hAnsi="Times New Roman" w:cs="Times New Roman"/>
          <w:sz w:val="24"/>
          <w:szCs w:val="24"/>
        </w:rPr>
        <w:t xml:space="preserve"> centralizēti pārvaldīta budžeta programma. </w:t>
      </w:r>
    </w:p>
    <w:p w14:paraId="2028C124" w14:textId="18D6E093" w:rsidR="00D52B09" w:rsidRPr="000C6E07" w:rsidRDefault="00697278"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4"/>
        </w:rPr>
        <w:t xml:space="preserve">Plānots, ka </w:t>
      </w:r>
      <w:r w:rsidR="00D52B09" w:rsidRPr="000C6E07">
        <w:rPr>
          <w:rFonts w:ascii="Times New Roman" w:hAnsi="Times New Roman" w:cs="Times New Roman"/>
          <w:sz w:val="24"/>
          <w:szCs w:val="24"/>
        </w:rPr>
        <w:t xml:space="preserve">2021.gada </w:t>
      </w:r>
      <w:r w:rsidR="00370B0F" w:rsidRPr="000C6E07">
        <w:rPr>
          <w:rFonts w:ascii="Times New Roman" w:hAnsi="Times New Roman" w:cs="Times New Roman"/>
          <w:sz w:val="24"/>
          <w:szCs w:val="24"/>
        </w:rPr>
        <w:t>februārī stāsies spēkā</w:t>
      </w:r>
      <w:r w:rsidRPr="000C6E07">
        <w:rPr>
          <w:rFonts w:ascii="Times New Roman" w:hAnsi="Times New Roman" w:cs="Times New Roman"/>
          <w:sz w:val="24"/>
          <w:szCs w:val="24"/>
        </w:rPr>
        <w:t xml:space="preserve"> ES likumdevēju</w:t>
      </w:r>
      <w:r w:rsidR="00D52B09" w:rsidRPr="000C6E07">
        <w:rPr>
          <w:rFonts w:ascii="Times New Roman" w:hAnsi="Times New Roman" w:cs="Times New Roman"/>
          <w:sz w:val="24"/>
          <w:szCs w:val="24"/>
        </w:rPr>
        <w:t xml:space="preserve"> </w:t>
      </w:r>
      <w:r w:rsidRPr="000C6E07">
        <w:rPr>
          <w:rFonts w:ascii="Times New Roman" w:hAnsi="Times New Roman" w:cs="Times New Roman"/>
          <w:sz w:val="24"/>
          <w:szCs w:val="24"/>
        </w:rPr>
        <w:t>saskaņotais</w:t>
      </w:r>
      <w:r w:rsidR="00D52B09" w:rsidRPr="000C6E07">
        <w:rPr>
          <w:rFonts w:ascii="Times New Roman" w:hAnsi="Times New Roman" w:cs="Times New Roman"/>
          <w:sz w:val="24"/>
          <w:szCs w:val="24"/>
        </w:rPr>
        <w:t xml:space="preserve"> ANM Regul</w:t>
      </w:r>
      <w:r w:rsidR="00370B0F" w:rsidRPr="000C6E07">
        <w:rPr>
          <w:rFonts w:ascii="Times New Roman" w:hAnsi="Times New Roman" w:cs="Times New Roman"/>
          <w:sz w:val="24"/>
          <w:szCs w:val="24"/>
        </w:rPr>
        <w:t>as projekts</w:t>
      </w:r>
      <w:r w:rsidR="00D52B09" w:rsidRPr="000C6E07">
        <w:rPr>
          <w:rFonts w:ascii="Times New Roman" w:hAnsi="Times New Roman" w:cs="Times New Roman"/>
          <w:sz w:val="24"/>
          <w:szCs w:val="24"/>
        </w:rPr>
        <w:t xml:space="preserve"> (turpmāk – Regula), ar kuru izveido At</w:t>
      </w:r>
      <w:r w:rsidR="00843AE0" w:rsidRPr="000C6E07">
        <w:rPr>
          <w:rFonts w:ascii="Times New Roman" w:hAnsi="Times New Roman" w:cs="Times New Roman"/>
          <w:sz w:val="24"/>
          <w:szCs w:val="24"/>
        </w:rPr>
        <w:t>veseļo</w:t>
      </w:r>
      <w:r w:rsidR="00D52B09" w:rsidRPr="000C6E07">
        <w:rPr>
          <w:rFonts w:ascii="Times New Roman" w:hAnsi="Times New Roman" w:cs="Times New Roman"/>
          <w:sz w:val="24"/>
          <w:szCs w:val="24"/>
        </w:rPr>
        <w:t>šanas un noturības mehānismu.</w:t>
      </w:r>
    </w:p>
    <w:p w14:paraId="56864669" w14:textId="77777777" w:rsidR="00B46BFD" w:rsidRPr="000C6E07" w:rsidRDefault="00B46BFD"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b/>
          <w:sz w:val="24"/>
          <w:szCs w:val="24"/>
        </w:rPr>
        <w:t>ANM mērķis</w:t>
      </w:r>
      <w:r w:rsidRPr="000C6E07">
        <w:rPr>
          <w:rFonts w:ascii="Times New Roman" w:hAnsi="Times New Roman" w:cs="Times New Roman"/>
          <w:sz w:val="24"/>
          <w:szCs w:val="24"/>
        </w:rPr>
        <w:t xml:space="preserve"> ir veicināt ES ekonomisko, sociālo un teritoriālo kohēziju, stiprinot dalībvalstu noturības un pielāgošanas spējas ar mērķi mazināt krīzes radīto sociālo un ekonomisko ietekmi un atbalstīt pāreju uz zaļo un digitālo ekonomiku, lai tādējādi veicinātu ES ekonomikas izaugsmes potenciālu un darba vietu radīšanu, veicināt ES klimata mērķu 2030.gadam sasniegšanu un klimata neitralitātes 2050.gadam mērķu sasniegšanu.</w:t>
      </w:r>
    </w:p>
    <w:p w14:paraId="78481D28" w14:textId="1D4B444F" w:rsidR="00B42215" w:rsidRPr="000C6E07" w:rsidRDefault="00B46BFD"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4"/>
        </w:rPr>
        <w:t>Finansējuma</w:t>
      </w:r>
      <w:r w:rsidR="007E232C" w:rsidRPr="000C6E07">
        <w:rPr>
          <w:rFonts w:ascii="Times New Roman" w:hAnsi="Times New Roman" w:cs="Times New Roman"/>
          <w:sz w:val="24"/>
          <w:szCs w:val="24"/>
        </w:rPr>
        <w:t xml:space="preserve"> maksimālais piešķīrum</w:t>
      </w:r>
      <w:r w:rsidR="00B42215" w:rsidRPr="000C6E07">
        <w:rPr>
          <w:rFonts w:ascii="Times New Roman" w:hAnsi="Times New Roman" w:cs="Times New Roman"/>
          <w:sz w:val="24"/>
          <w:szCs w:val="24"/>
        </w:rPr>
        <w:t>s</w:t>
      </w:r>
      <w:r w:rsidRPr="000C6E07">
        <w:rPr>
          <w:rFonts w:ascii="Times New Roman" w:hAnsi="Times New Roman" w:cs="Times New Roman"/>
          <w:sz w:val="24"/>
          <w:szCs w:val="24"/>
        </w:rPr>
        <w:t xml:space="preserve"> tiek </w:t>
      </w:r>
      <w:r w:rsidR="00B42215" w:rsidRPr="000C6E07">
        <w:rPr>
          <w:rFonts w:ascii="Times New Roman" w:hAnsi="Times New Roman" w:cs="Times New Roman"/>
          <w:sz w:val="24"/>
          <w:szCs w:val="24"/>
        </w:rPr>
        <w:t>aprēķināts divos piegājienos</w:t>
      </w:r>
      <w:r w:rsidRPr="000C6E07">
        <w:rPr>
          <w:rFonts w:ascii="Times New Roman" w:hAnsi="Times New Roman" w:cs="Times New Roman"/>
          <w:sz w:val="24"/>
          <w:szCs w:val="24"/>
        </w:rPr>
        <w:t xml:space="preserve"> – par periodu līdz 2022.gada 31.decembrim tiek </w:t>
      </w:r>
      <w:r w:rsidR="00B42215" w:rsidRPr="000C6E07">
        <w:rPr>
          <w:rFonts w:ascii="Times New Roman" w:hAnsi="Times New Roman" w:cs="Times New Roman"/>
          <w:sz w:val="24"/>
          <w:szCs w:val="24"/>
        </w:rPr>
        <w:t xml:space="preserve">aprēķināts sadalījums </w:t>
      </w:r>
      <w:r w:rsidRPr="000C6E07">
        <w:rPr>
          <w:rFonts w:ascii="Times New Roman" w:hAnsi="Times New Roman" w:cs="Times New Roman"/>
          <w:sz w:val="24"/>
          <w:szCs w:val="24"/>
        </w:rPr>
        <w:t>70 % no kopējā piešķīruma ņemot vērā  iedzīvotāju skait</w:t>
      </w:r>
      <w:r w:rsidR="00740967" w:rsidRPr="000C6E07">
        <w:rPr>
          <w:rFonts w:ascii="Times New Roman" w:hAnsi="Times New Roman" w:cs="Times New Roman"/>
          <w:sz w:val="24"/>
          <w:szCs w:val="24"/>
        </w:rPr>
        <w:t>u</w:t>
      </w:r>
      <w:r w:rsidRPr="000C6E07">
        <w:rPr>
          <w:rFonts w:ascii="Times New Roman" w:hAnsi="Times New Roman" w:cs="Times New Roman"/>
          <w:sz w:val="24"/>
          <w:szCs w:val="24"/>
        </w:rPr>
        <w:t>, IK</w:t>
      </w:r>
      <w:r w:rsidR="009A7F0B" w:rsidRPr="000C6E07">
        <w:rPr>
          <w:rFonts w:ascii="Times New Roman" w:hAnsi="Times New Roman" w:cs="Times New Roman"/>
          <w:sz w:val="24"/>
          <w:szCs w:val="24"/>
        </w:rPr>
        <w:t>P uz vienu iedzīvotāju un vidēj</w:t>
      </w:r>
      <w:r w:rsidR="00824E02" w:rsidRPr="000C6E07">
        <w:rPr>
          <w:rFonts w:ascii="Times New Roman" w:hAnsi="Times New Roman" w:cs="Times New Roman"/>
          <w:sz w:val="24"/>
          <w:szCs w:val="24"/>
        </w:rPr>
        <w:t>o</w:t>
      </w:r>
      <w:r w:rsidRPr="000C6E07">
        <w:rPr>
          <w:rFonts w:ascii="Times New Roman" w:hAnsi="Times New Roman" w:cs="Times New Roman"/>
          <w:sz w:val="24"/>
          <w:szCs w:val="24"/>
        </w:rPr>
        <w:t xml:space="preserve"> bezdarba līmeni pēdējo 5 gadu laikā, salīdzinot ar ES vidējo rādītāju laika posmā no 2015. līdz 2019.gadam.</w:t>
      </w:r>
      <w:r w:rsidR="007E232C" w:rsidRPr="000C6E07">
        <w:rPr>
          <w:rFonts w:ascii="Times New Roman" w:hAnsi="Times New Roman" w:cs="Times New Roman"/>
          <w:sz w:val="24"/>
          <w:szCs w:val="24"/>
        </w:rPr>
        <w:t xml:space="preserve"> </w:t>
      </w:r>
      <w:r w:rsidR="00B42215" w:rsidRPr="000C6E07">
        <w:rPr>
          <w:rFonts w:ascii="Times New Roman" w:hAnsi="Times New Roman" w:cs="Times New Roman"/>
          <w:sz w:val="24"/>
          <w:szCs w:val="24"/>
        </w:rPr>
        <w:t xml:space="preserve">2022.gada 30.jūnijā tiks aprēķināts galīgais sadalījums atlikušajiem </w:t>
      </w:r>
      <w:r w:rsidR="007E232C" w:rsidRPr="000C6E07">
        <w:rPr>
          <w:rFonts w:ascii="Times New Roman" w:hAnsi="Times New Roman" w:cs="Times New Roman"/>
          <w:sz w:val="24"/>
          <w:szCs w:val="24"/>
        </w:rPr>
        <w:t>30 %</w:t>
      </w:r>
      <w:r w:rsidR="00B42215" w:rsidRPr="000C6E07">
        <w:rPr>
          <w:rFonts w:ascii="Times New Roman" w:hAnsi="Times New Roman" w:cs="Times New Roman"/>
          <w:sz w:val="24"/>
          <w:szCs w:val="24"/>
        </w:rPr>
        <w:t>, ņemot vērā  sākotnējo formulu un to papildinot ar dalībvalsts faktisko atveseļošanās tempu 2021.gadā</w:t>
      </w:r>
      <w:r w:rsidR="007E232C" w:rsidRPr="000C6E07">
        <w:rPr>
          <w:rFonts w:ascii="Times New Roman" w:hAnsi="Times New Roman" w:cs="Times New Roman"/>
          <w:sz w:val="24"/>
          <w:szCs w:val="24"/>
        </w:rPr>
        <w:t xml:space="preserve">. </w:t>
      </w:r>
    </w:p>
    <w:p w14:paraId="12BFB526" w14:textId="7879E27B" w:rsidR="00B46BFD" w:rsidRPr="000C6E07" w:rsidRDefault="00B42215" w:rsidP="000C6E07">
      <w:pPr>
        <w:tabs>
          <w:tab w:val="left" w:pos="1134"/>
          <w:tab w:val="left" w:pos="3417"/>
        </w:tabs>
        <w:ind w:left="66" w:firstLine="501"/>
        <w:jc w:val="both"/>
        <w:rPr>
          <w:rFonts w:ascii="Times New Roman" w:hAnsi="Times New Roman" w:cs="Times New Roman"/>
          <w:b/>
          <w:sz w:val="24"/>
          <w:szCs w:val="24"/>
        </w:rPr>
      </w:pPr>
      <w:r w:rsidRPr="000C6E07">
        <w:rPr>
          <w:rFonts w:ascii="Times New Roman" w:hAnsi="Times New Roman" w:cs="Times New Roman"/>
          <w:sz w:val="24"/>
          <w:szCs w:val="24"/>
        </w:rPr>
        <w:t xml:space="preserve">Plāna iesniegšanai tiek izmantots maksimālais piešķīrums, kur iekļauta </w:t>
      </w:r>
      <w:r w:rsidR="00740967" w:rsidRPr="000C6E07">
        <w:rPr>
          <w:rFonts w:ascii="Times New Roman" w:hAnsi="Times New Roman" w:cs="Times New Roman"/>
          <w:sz w:val="24"/>
          <w:szCs w:val="24"/>
        </w:rPr>
        <w:t>prognoze</w:t>
      </w:r>
      <w:r w:rsidRPr="000C6E07">
        <w:rPr>
          <w:rFonts w:ascii="Times New Roman" w:hAnsi="Times New Roman" w:cs="Times New Roman"/>
          <w:sz w:val="24"/>
          <w:szCs w:val="24"/>
        </w:rPr>
        <w:t xml:space="preserve"> par 30</w:t>
      </w:r>
      <w:r w:rsidR="004B435C" w:rsidRPr="000C6E07">
        <w:rPr>
          <w:rFonts w:ascii="Times New Roman" w:hAnsi="Times New Roman" w:cs="Times New Roman"/>
          <w:sz w:val="24"/>
          <w:szCs w:val="24"/>
        </w:rPr>
        <w:t> </w:t>
      </w:r>
      <w:r w:rsidRPr="000C6E07">
        <w:rPr>
          <w:rFonts w:ascii="Times New Roman" w:hAnsi="Times New Roman" w:cs="Times New Roman"/>
          <w:sz w:val="24"/>
          <w:szCs w:val="24"/>
        </w:rPr>
        <w:t xml:space="preserve">% resursu sadalījumu. </w:t>
      </w:r>
      <w:r w:rsidR="00B46BFD" w:rsidRPr="000C6E07">
        <w:rPr>
          <w:rFonts w:ascii="Times New Roman" w:hAnsi="Times New Roman" w:cs="Times New Roman"/>
          <w:sz w:val="24"/>
          <w:szCs w:val="24"/>
        </w:rPr>
        <w:t>Galīg</w:t>
      </w:r>
      <w:r w:rsidR="007E232C" w:rsidRPr="000C6E07">
        <w:rPr>
          <w:rFonts w:ascii="Times New Roman" w:hAnsi="Times New Roman" w:cs="Times New Roman"/>
          <w:sz w:val="24"/>
          <w:szCs w:val="24"/>
        </w:rPr>
        <w:t>ais maksimālais piešķīrums</w:t>
      </w:r>
      <w:r w:rsidR="00B46BFD" w:rsidRPr="000C6E07">
        <w:rPr>
          <w:rFonts w:ascii="Times New Roman" w:hAnsi="Times New Roman" w:cs="Times New Roman"/>
          <w:sz w:val="24"/>
          <w:szCs w:val="24"/>
        </w:rPr>
        <w:t xml:space="preserve"> tiks aprēķināta līdz 2022.gada 30.jūnijam</w:t>
      </w:r>
      <w:r w:rsidRPr="000C6E07">
        <w:rPr>
          <w:rFonts w:ascii="Times New Roman" w:hAnsi="Times New Roman" w:cs="Times New Roman"/>
          <w:sz w:val="24"/>
          <w:szCs w:val="24"/>
        </w:rPr>
        <w:t>. Līdz ar</w:t>
      </w:r>
      <w:r w:rsidR="00740967" w:rsidRPr="000C6E07">
        <w:rPr>
          <w:rFonts w:ascii="Times New Roman" w:hAnsi="Times New Roman" w:cs="Times New Roman"/>
          <w:sz w:val="24"/>
          <w:szCs w:val="24"/>
        </w:rPr>
        <w:t xml:space="preserve"> šo</w:t>
      </w:r>
      <w:r w:rsidRPr="000C6E07">
        <w:rPr>
          <w:rFonts w:ascii="Times New Roman" w:hAnsi="Times New Roman" w:cs="Times New Roman"/>
          <w:sz w:val="24"/>
          <w:szCs w:val="24"/>
        </w:rPr>
        <w:t xml:space="preserve"> tiks precizēts katras dalībvalsts </w:t>
      </w:r>
      <w:r w:rsidR="00EE2E7C" w:rsidRPr="000C6E07">
        <w:rPr>
          <w:rFonts w:ascii="Times New Roman" w:hAnsi="Times New Roman" w:cs="Times New Roman"/>
          <w:sz w:val="24"/>
          <w:szCs w:val="24"/>
        </w:rPr>
        <w:t>maksimālais</w:t>
      </w:r>
      <w:r w:rsidRPr="000C6E07">
        <w:rPr>
          <w:rFonts w:ascii="Times New Roman" w:hAnsi="Times New Roman" w:cs="Times New Roman"/>
          <w:sz w:val="24"/>
          <w:szCs w:val="24"/>
        </w:rPr>
        <w:t xml:space="preserve"> piešķīrum</w:t>
      </w:r>
      <w:r w:rsidR="00824E02" w:rsidRPr="000C6E07">
        <w:rPr>
          <w:rFonts w:ascii="Times New Roman" w:hAnsi="Times New Roman" w:cs="Times New Roman"/>
          <w:sz w:val="24"/>
          <w:szCs w:val="24"/>
        </w:rPr>
        <w:t>s</w:t>
      </w:r>
      <w:r w:rsidRPr="000C6E07">
        <w:rPr>
          <w:rFonts w:ascii="Times New Roman" w:hAnsi="Times New Roman" w:cs="Times New Roman"/>
          <w:sz w:val="24"/>
          <w:szCs w:val="24"/>
        </w:rPr>
        <w:t xml:space="preserve"> un dal</w:t>
      </w:r>
      <w:r w:rsidR="00EE2E7C" w:rsidRPr="000C6E07">
        <w:rPr>
          <w:rFonts w:ascii="Times New Roman" w:hAnsi="Times New Roman" w:cs="Times New Roman"/>
          <w:sz w:val="24"/>
          <w:szCs w:val="24"/>
        </w:rPr>
        <w:t>ībvalsts</w:t>
      </w:r>
      <w:r w:rsidRPr="000C6E07">
        <w:rPr>
          <w:rFonts w:ascii="Times New Roman" w:hAnsi="Times New Roman" w:cs="Times New Roman"/>
          <w:sz w:val="24"/>
          <w:szCs w:val="24"/>
        </w:rPr>
        <w:t xml:space="preserve"> </w:t>
      </w:r>
      <w:r w:rsidR="00EE2E7C" w:rsidRPr="000C6E07">
        <w:rPr>
          <w:rFonts w:ascii="Times New Roman" w:hAnsi="Times New Roman" w:cs="Times New Roman"/>
          <w:sz w:val="24"/>
          <w:szCs w:val="24"/>
        </w:rPr>
        <w:t>varēs precizēt</w:t>
      </w:r>
      <w:r w:rsidRPr="000C6E07">
        <w:rPr>
          <w:rFonts w:ascii="Times New Roman" w:hAnsi="Times New Roman" w:cs="Times New Roman"/>
          <w:sz w:val="24"/>
          <w:szCs w:val="24"/>
        </w:rPr>
        <w:t xml:space="preserve"> sav</w:t>
      </w:r>
      <w:r w:rsidR="00EE2E7C" w:rsidRPr="000C6E07">
        <w:rPr>
          <w:rFonts w:ascii="Times New Roman" w:hAnsi="Times New Roman" w:cs="Times New Roman"/>
          <w:sz w:val="24"/>
          <w:szCs w:val="24"/>
        </w:rPr>
        <w:t>u</w:t>
      </w:r>
      <w:r w:rsidRPr="000C6E07">
        <w:rPr>
          <w:rFonts w:ascii="Times New Roman" w:hAnsi="Times New Roman" w:cs="Times New Roman"/>
          <w:sz w:val="24"/>
          <w:szCs w:val="24"/>
        </w:rPr>
        <w:t xml:space="preserve"> pl</w:t>
      </w:r>
      <w:r w:rsidR="00EE2E7C" w:rsidRPr="000C6E07">
        <w:rPr>
          <w:rFonts w:ascii="Times New Roman" w:hAnsi="Times New Roman" w:cs="Times New Roman"/>
          <w:sz w:val="24"/>
          <w:szCs w:val="24"/>
        </w:rPr>
        <w:t>ānu</w:t>
      </w:r>
      <w:r w:rsidRPr="000C6E07">
        <w:rPr>
          <w:rFonts w:ascii="Times New Roman" w:hAnsi="Times New Roman" w:cs="Times New Roman"/>
          <w:sz w:val="24"/>
          <w:szCs w:val="24"/>
        </w:rPr>
        <w:t xml:space="preserve"> atbilstoši galīgajam maksimālajam piešķīrumam.</w:t>
      </w:r>
    </w:p>
    <w:p w14:paraId="5F953364" w14:textId="475DBA94" w:rsidR="00B46BFD" w:rsidRPr="000C6E07" w:rsidRDefault="00B46BFD" w:rsidP="000C6E07">
      <w:pPr>
        <w:tabs>
          <w:tab w:val="left" w:pos="1134"/>
          <w:tab w:val="left" w:pos="3417"/>
        </w:tabs>
        <w:ind w:left="66" w:firstLine="501"/>
        <w:jc w:val="both"/>
        <w:rPr>
          <w:rFonts w:cs="Times New Roman"/>
          <w:b/>
          <w:sz w:val="28"/>
          <w:szCs w:val="28"/>
        </w:rPr>
      </w:pPr>
      <w:r w:rsidRPr="000C6E07">
        <w:rPr>
          <w:rFonts w:ascii="Times New Roman" w:hAnsi="Times New Roman" w:cs="Times New Roman"/>
          <w:sz w:val="24"/>
          <w:szCs w:val="24"/>
        </w:rPr>
        <w:t>Latvijas  aploksnes garantētā daļa ES At</w:t>
      </w:r>
      <w:r w:rsidR="00843AE0" w:rsidRPr="000C6E07">
        <w:rPr>
          <w:rFonts w:ascii="Times New Roman" w:hAnsi="Times New Roman" w:cs="Times New Roman"/>
          <w:sz w:val="24"/>
          <w:szCs w:val="24"/>
        </w:rPr>
        <w:t>veseļo</w:t>
      </w:r>
      <w:r w:rsidRPr="000C6E07">
        <w:rPr>
          <w:rFonts w:ascii="Times New Roman" w:hAnsi="Times New Roman" w:cs="Times New Roman"/>
          <w:sz w:val="24"/>
          <w:szCs w:val="24"/>
        </w:rPr>
        <w:t xml:space="preserve">šanas un noturības mehānismā </w:t>
      </w:r>
      <w:r w:rsidRPr="000C6E07">
        <w:rPr>
          <w:rFonts w:ascii="Times New Roman" w:hAnsi="Times New Roman" w:cs="Times New Roman"/>
          <w:b/>
          <w:sz w:val="24"/>
          <w:szCs w:val="24"/>
        </w:rPr>
        <w:t>dotāciju/</w:t>
      </w:r>
      <w:proofErr w:type="spellStart"/>
      <w:r w:rsidRPr="000C6E07">
        <w:rPr>
          <w:rFonts w:ascii="Times New Roman" w:hAnsi="Times New Roman" w:cs="Times New Roman"/>
          <w:b/>
          <w:sz w:val="24"/>
          <w:szCs w:val="24"/>
        </w:rPr>
        <w:t>grantu</w:t>
      </w:r>
      <w:proofErr w:type="spellEnd"/>
      <w:r w:rsidRPr="000C6E07">
        <w:rPr>
          <w:rFonts w:ascii="Times New Roman" w:hAnsi="Times New Roman" w:cs="Times New Roman"/>
          <w:b/>
          <w:sz w:val="24"/>
          <w:szCs w:val="24"/>
        </w:rPr>
        <w:t xml:space="preserve"> veidā</w:t>
      </w:r>
      <w:r w:rsidRPr="000C6E07">
        <w:rPr>
          <w:rFonts w:ascii="Times New Roman" w:hAnsi="Times New Roman" w:cs="Times New Roman"/>
          <w:sz w:val="24"/>
          <w:szCs w:val="24"/>
        </w:rPr>
        <w:t xml:space="preserve"> </w:t>
      </w:r>
      <w:r w:rsidR="00B42215" w:rsidRPr="000C6E07">
        <w:rPr>
          <w:rFonts w:ascii="Times New Roman" w:hAnsi="Times New Roman" w:cs="Times New Roman"/>
          <w:sz w:val="24"/>
          <w:szCs w:val="24"/>
        </w:rPr>
        <w:t xml:space="preserve">ir </w:t>
      </w:r>
      <w:r w:rsidRPr="000C6E07">
        <w:rPr>
          <w:rFonts w:ascii="Times New Roman" w:hAnsi="Times New Roman" w:cs="Times New Roman"/>
          <w:sz w:val="24"/>
          <w:szCs w:val="24"/>
        </w:rPr>
        <w:t>1,6</w:t>
      </w:r>
      <w:r w:rsidR="002172A1" w:rsidRPr="000C6E07">
        <w:rPr>
          <w:rFonts w:ascii="Times New Roman" w:hAnsi="Times New Roman" w:cs="Times New Roman"/>
          <w:sz w:val="24"/>
          <w:szCs w:val="24"/>
        </w:rPr>
        <w:t>5</w:t>
      </w:r>
      <w:r w:rsidRPr="000C6E07">
        <w:rPr>
          <w:rFonts w:ascii="Times New Roman" w:hAnsi="Times New Roman" w:cs="Times New Roman"/>
          <w:sz w:val="24"/>
          <w:szCs w:val="24"/>
        </w:rPr>
        <w:t xml:space="preserve"> mljrd. </w:t>
      </w:r>
      <w:proofErr w:type="spellStart"/>
      <w:r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un mainīgā daļa</w:t>
      </w:r>
      <w:r w:rsidR="00740967" w:rsidRPr="000C6E07">
        <w:rPr>
          <w:rFonts w:ascii="Times New Roman" w:hAnsi="Times New Roman" w:cs="Times New Roman"/>
          <w:sz w:val="24"/>
          <w:szCs w:val="24"/>
        </w:rPr>
        <w:t xml:space="preserve"> tiek prognozēta</w:t>
      </w:r>
      <w:r w:rsidR="00370B0F" w:rsidRPr="000C6E07">
        <w:rPr>
          <w:rFonts w:ascii="Times New Roman" w:hAnsi="Times New Roman" w:cs="Times New Roman"/>
          <w:sz w:val="24"/>
          <w:szCs w:val="24"/>
        </w:rPr>
        <w:t xml:space="preserve"> </w:t>
      </w:r>
      <w:r w:rsidR="00B42215" w:rsidRPr="000C6E07">
        <w:rPr>
          <w:rFonts w:ascii="Times New Roman" w:hAnsi="Times New Roman" w:cs="Times New Roman"/>
          <w:sz w:val="24"/>
          <w:szCs w:val="24"/>
        </w:rPr>
        <w:t>0,3</w:t>
      </w:r>
      <w:r w:rsidR="002172A1" w:rsidRPr="000C6E07">
        <w:rPr>
          <w:rFonts w:ascii="Times New Roman" w:hAnsi="Times New Roman" w:cs="Times New Roman"/>
          <w:sz w:val="24"/>
          <w:szCs w:val="24"/>
        </w:rPr>
        <w:t>7</w:t>
      </w:r>
      <w:r w:rsidR="00740967" w:rsidRPr="000C6E07">
        <w:rPr>
          <w:rFonts w:ascii="Times New Roman" w:hAnsi="Times New Roman" w:cs="Times New Roman"/>
          <w:sz w:val="24"/>
          <w:szCs w:val="24"/>
        </w:rPr>
        <w:t xml:space="preserve"> mljrd.</w:t>
      </w:r>
      <w:r w:rsidR="00740967" w:rsidRPr="000C6E07">
        <w:rPr>
          <w:rFonts w:ascii="Times New Roman" w:hAnsi="Times New Roman" w:cs="Times New Roman"/>
          <w:i/>
          <w:sz w:val="24"/>
          <w:szCs w:val="24"/>
        </w:rPr>
        <w:t xml:space="preserve"> </w:t>
      </w:r>
      <w:proofErr w:type="spellStart"/>
      <w:r w:rsidR="00740967" w:rsidRPr="000C6E07">
        <w:rPr>
          <w:rFonts w:ascii="Times New Roman" w:hAnsi="Times New Roman" w:cs="Times New Roman"/>
          <w:i/>
          <w:sz w:val="24"/>
          <w:szCs w:val="24"/>
        </w:rPr>
        <w:lastRenderedPageBreak/>
        <w:t>euro</w:t>
      </w:r>
      <w:proofErr w:type="spellEnd"/>
      <w:r w:rsidR="00740967" w:rsidRPr="000C6E07">
        <w:rPr>
          <w:rFonts w:ascii="Times New Roman" w:hAnsi="Times New Roman" w:cs="Times New Roman"/>
          <w:i/>
          <w:sz w:val="24"/>
          <w:szCs w:val="24"/>
        </w:rPr>
        <w:t xml:space="preserve"> </w:t>
      </w:r>
      <w:r w:rsidR="00740967" w:rsidRPr="000C6E07">
        <w:rPr>
          <w:rFonts w:ascii="Times New Roman" w:hAnsi="Times New Roman" w:cs="Times New Roman"/>
          <w:sz w:val="24"/>
          <w:szCs w:val="24"/>
        </w:rPr>
        <w:t>(šis apjoms tiks precizēts līdz 2022.gada jūnijam)</w:t>
      </w:r>
      <w:r w:rsidRPr="000C6E07">
        <w:rPr>
          <w:rFonts w:ascii="Times New Roman" w:hAnsi="Times New Roman" w:cs="Times New Roman"/>
          <w:sz w:val="24"/>
          <w:szCs w:val="24"/>
        </w:rPr>
        <w:t xml:space="preserve">. </w:t>
      </w:r>
      <w:r w:rsidR="00740967" w:rsidRPr="000C6E07">
        <w:rPr>
          <w:rFonts w:ascii="Times New Roman" w:hAnsi="Times New Roman" w:cs="Times New Roman"/>
          <w:sz w:val="24"/>
          <w:szCs w:val="24"/>
        </w:rPr>
        <w:t>Līdz ar to m</w:t>
      </w:r>
      <w:r w:rsidRPr="000C6E07">
        <w:rPr>
          <w:rFonts w:ascii="Times New Roman" w:hAnsi="Times New Roman" w:cs="Times New Roman"/>
          <w:sz w:val="24"/>
          <w:szCs w:val="24"/>
        </w:rPr>
        <w:t xml:space="preserve">aksimālais Latvijai pieejamais finansējums tiek </w:t>
      </w:r>
      <w:r w:rsidR="00740967" w:rsidRPr="000C6E07">
        <w:rPr>
          <w:rFonts w:ascii="Times New Roman" w:hAnsi="Times New Roman" w:cs="Times New Roman"/>
          <w:sz w:val="24"/>
          <w:szCs w:val="24"/>
        </w:rPr>
        <w:t xml:space="preserve">prognozēts </w:t>
      </w:r>
      <w:r w:rsidR="002172A1" w:rsidRPr="000C6E07">
        <w:rPr>
          <w:rFonts w:ascii="Times New Roman" w:hAnsi="Times New Roman" w:cs="Times New Roman"/>
          <w:sz w:val="24"/>
          <w:szCs w:val="24"/>
        </w:rPr>
        <w:t>2,02</w:t>
      </w:r>
      <w:r w:rsidRPr="000C6E07">
        <w:rPr>
          <w:rFonts w:ascii="Times New Roman" w:hAnsi="Times New Roman" w:cs="Times New Roman"/>
          <w:sz w:val="24"/>
          <w:szCs w:val="24"/>
        </w:rPr>
        <w:t xml:space="preserve"> mljrd. </w:t>
      </w:r>
      <w:proofErr w:type="spellStart"/>
      <w:r w:rsidRPr="000C6E07">
        <w:rPr>
          <w:rFonts w:ascii="Times New Roman" w:hAnsi="Times New Roman" w:cs="Times New Roman"/>
          <w:i/>
          <w:sz w:val="24"/>
          <w:szCs w:val="24"/>
        </w:rPr>
        <w:t>euro</w:t>
      </w:r>
      <w:proofErr w:type="spellEnd"/>
      <w:r w:rsidR="00787FE3" w:rsidRPr="000C6E07">
        <w:rPr>
          <w:rFonts w:ascii="Times New Roman" w:hAnsi="Times New Roman" w:cs="Times New Roman"/>
          <w:sz w:val="24"/>
          <w:szCs w:val="24"/>
        </w:rPr>
        <w:t xml:space="preserve"> apmērā</w:t>
      </w:r>
      <w:r w:rsidR="008F5307" w:rsidRPr="000C6E07">
        <w:rPr>
          <w:rFonts w:ascii="Times New Roman" w:hAnsi="Times New Roman" w:cs="Times New Roman"/>
          <w:sz w:val="24"/>
          <w:szCs w:val="24"/>
        </w:rPr>
        <w:t xml:space="preserve"> (indikatīvi)</w:t>
      </w:r>
      <w:r w:rsidR="00787FE3" w:rsidRPr="000C6E07">
        <w:rPr>
          <w:rFonts w:ascii="Times New Roman" w:hAnsi="Times New Roman" w:cs="Times New Roman"/>
          <w:sz w:val="24"/>
          <w:szCs w:val="24"/>
        </w:rPr>
        <w:t>.</w:t>
      </w:r>
    </w:p>
    <w:p w14:paraId="79E17EB2" w14:textId="77777777" w:rsidR="00D52B09" w:rsidRDefault="00D52B09" w:rsidP="00EA27CB">
      <w:pPr>
        <w:pStyle w:val="ListParagraph"/>
        <w:tabs>
          <w:tab w:val="left" w:pos="1134"/>
          <w:tab w:val="left" w:pos="3417"/>
        </w:tabs>
        <w:spacing w:after="160" w:line="259" w:lineRule="auto"/>
        <w:ind w:left="567"/>
        <w:jc w:val="both"/>
        <w:rPr>
          <w:rFonts w:cs="Times New Roman"/>
          <w:szCs w:val="24"/>
        </w:rPr>
      </w:pPr>
    </w:p>
    <w:p w14:paraId="5AC66275" w14:textId="7C1FBD97" w:rsidR="00D52B09" w:rsidRPr="00787FE3" w:rsidRDefault="00D52B09" w:rsidP="00EA27CB">
      <w:pPr>
        <w:pStyle w:val="ListParagraph"/>
        <w:numPr>
          <w:ilvl w:val="0"/>
          <w:numId w:val="5"/>
        </w:numPr>
        <w:tabs>
          <w:tab w:val="left" w:pos="1134"/>
          <w:tab w:val="left" w:pos="3417"/>
        </w:tabs>
        <w:spacing w:after="160" w:line="259" w:lineRule="auto"/>
        <w:jc w:val="center"/>
        <w:rPr>
          <w:rFonts w:cs="Times New Roman"/>
          <w:b/>
          <w:sz w:val="28"/>
          <w:szCs w:val="28"/>
        </w:rPr>
      </w:pPr>
      <w:r w:rsidRPr="00787FE3">
        <w:rPr>
          <w:rFonts w:cs="Times New Roman"/>
          <w:b/>
          <w:szCs w:val="24"/>
        </w:rPr>
        <w:t>At</w:t>
      </w:r>
      <w:r w:rsidR="00843AE0">
        <w:rPr>
          <w:rFonts w:cs="Times New Roman"/>
          <w:b/>
          <w:szCs w:val="24"/>
        </w:rPr>
        <w:t>veseļo</w:t>
      </w:r>
      <w:r w:rsidRPr="00787FE3">
        <w:rPr>
          <w:rFonts w:cs="Times New Roman"/>
          <w:b/>
          <w:szCs w:val="24"/>
        </w:rPr>
        <w:t>šanas un noturības mehānisma plān</w:t>
      </w:r>
      <w:r w:rsidR="007B6172">
        <w:rPr>
          <w:rFonts w:cs="Times New Roman"/>
          <w:b/>
          <w:szCs w:val="24"/>
        </w:rPr>
        <w:t>a projekts</w:t>
      </w:r>
    </w:p>
    <w:p w14:paraId="07BBFCA5" w14:textId="77777777" w:rsidR="00D52B09" w:rsidRPr="006436E0" w:rsidRDefault="00D52B09" w:rsidP="00EA27CB">
      <w:pPr>
        <w:pStyle w:val="ListParagraph"/>
        <w:tabs>
          <w:tab w:val="left" w:pos="1134"/>
          <w:tab w:val="left" w:pos="3417"/>
        </w:tabs>
        <w:spacing w:after="160" w:line="259" w:lineRule="auto"/>
        <w:ind w:left="927"/>
        <w:rPr>
          <w:rFonts w:cs="Times New Roman"/>
          <w:b/>
          <w:sz w:val="28"/>
          <w:szCs w:val="28"/>
        </w:rPr>
      </w:pPr>
    </w:p>
    <w:p w14:paraId="51D80D1F" w14:textId="5409BFE8" w:rsidR="00740967" w:rsidRPr="000C6E07" w:rsidRDefault="006436E0"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4"/>
        </w:rPr>
        <w:t xml:space="preserve">Lai saņemtu </w:t>
      </w:r>
      <w:r w:rsidR="00787FE3" w:rsidRPr="000C6E07">
        <w:rPr>
          <w:rFonts w:ascii="Times New Roman" w:hAnsi="Times New Roman" w:cs="Times New Roman"/>
          <w:sz w:val="24"/>
          <w:szCs w:val="24"/>
        </w:rPr>
        <w:t>ANM</w:t>
      </w:r>
      <w:r w:rsidRPr="000C6E07">
        <w:rPr>
          <w:rFonts w:ascii="Times New Roman" w:hAnsi="Times New Roman" w:cs="Times New Roman"/>
          <w:sz w:val="24"/>
          <w:szCs w:val="24"/>
        </w:rPr>
        <w:t xml:space="preserve"> finansējumu</w:t>
      </w:r>
      <w:r w:rsidR="00952769" w:rsidRPr="000C6E07">
        <w:rPr>
          <w:rFonts w:ascii="Times New Roman" w:hAnsi="Times New Roman" w:cs="Times New Roman"/>
          <w:sz w:val="24"/>
          <w:szCs w:val="24"/>
        </w:rPr>
        <w:t>,</w:t>
      </w:r>
      <w:r w:rsidR="00787FE3" w:rsidRPr="000C6E07">
        <w:rPr>
          <w:rFonts w:ascii="Times New Roman" w:hAnsi="Times New Roman" w:cs="Times New Roman"/>
          <w:sz w:val="24"/>
          <w:szCs w:val="24"/>
        </w:rPr>
        <w:t xml:space="preserve"> dalībvalstij ir jāizstrādā</w:t>
      </w:r>
      <w:r w:rsidRPr="000C6E07">
        <w:rPr>
          <w:rFonts w:ascii="Times New Roman" w:hAnsi="Times New Roman" w:cs="Times New Roman"/>
          <w:sz w:val="24"/>
          <w:szCs w:val="24"/>
        </w:rPr>
        <w:t xml:space="preserve"> </w:t>
      </w:r>
      <w:r w:rsidRPr="000C6E07">
        <w:rPr>
          <w:rFonts w:ascii="Times New Roman" w:hAnsi="Times New Roman" w:cs="Times New Roman"/>
          <w:b/>
          <w:sz w:val="24"/>
          <w:szCs w:val="24"/>
        </w:rPr>
        <w:t>ekonomikas A</w:t>
      </w:r>
      <w:r w:rsidR="00843AE0" w:rsidRPr="000C6E07">
        <w:rPr>
          <w:rFonts w:ascii="Times New Roman" w:hAnsi="Times New Roman" w:cs="Times New Roman"/>
          <w:b/>
          <w:sz w:val="24"/>
          <w:szCs w:val="24"/>
        </w:rPr>
        <w:t>tveseļo</w:t>
      </w:r>
      <w:r w:rsidRPr="000C6E07">
        <w:rPr>
          <w:rFonts w:ascii="Times New Roman" w:hAnsi="Times New Roman" w:cs="Times New Roman"/>
          <w:b/>
          <w:sz w:val="24"/>
          <w:szCs w:val="24"/>
        </w:rPr>
        <w:t>šanas un noturības</w:t>
      </w:r>
      <w:r w:rsidR="00D52B09" w:rsidRPr="000C6E07">
        <w:rPr>
          <w:rFonts w:ascii="Times New Roman" w:hAnsi="Times New Roman" w:cs="Times New Roman"/>
          <w:b/>
          <w:sz w:val="24"/>
          <w:szCs w:val="24"/>
        </w:rPr>
        <w:t xml:space="preserve"> mehānisma</w:t>
      </w:r>
      <w:r w:rsidRPr="000C6E07">
        <w:rPr>
          <w:rFonts w:ascii="Times New Roman" w:hAnsi="Times New Roman" w:cs="Times New Roman"/>
          <w:b/>
          <w:sz w:val="24"/>
          <w:szCs w:val="24"/>
        </w:rPr>
        <w:t xml:space="preserve"> plāns</w:t>
      </w:r>
      <w:r w:rsidR="00787FE3" w:rsidRPr="000C6E07">
        <w:rPr>
          <w:rFonts w:ascii="Times New Roman" w:hAnsi="Times New Roman" w:cs="Times New Roman"/>
          <w:sz w:val="24"/>
          <w:szCs w:val="24"/>
        </w:rPr>
        <w:t>, saskaņojot to ar EK. Plānu apstiprina ES Padome.</w:t>
      </w:r>
    </w:p>
    <w:p w14:paraId="687C4D87" w14:textId="67AD50D4" w:rsidR="007E232C" w:rsidRPr="000C6E07" w:rsidRDefault="00740967"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4"/>
        </w:rPr>
        <w:t xml:space="preserve">Minimālās prasības plāna apstiprināšanai ir saņemt visaugstāko novērtējumu par sekojošiem plāna elementiem: Eiropas Semestra ietvaros izteikto ikgadējo rekomendāciju īstenošana; iekļaujošas ekonomiskas izaugsmes veicināšana, kas stiprina dalībvalsts noturību pret dažādiem šokiem; </w:t>
      </w:r>
      <w:r w:rsidR="00F176BD" w:rsidRPr="000C6E07">
        <w:rPr>
          <w:rFonts w:ascii="Times New Roman" w:hAnsi="Times New Roman" w:cs="Times New Roman"/>
          <w:sz w:val="24"/>
          <w:szCs w:val="24"/>
        </w:rPr>
        <w:t>ieguldījums 2030 klimata mērķu sasniegšanai; ieguldījums ekonomikas un sabiedrība</w:t>
      </w:r>
      <w:r w:rsidR="00BF3800" w:rsidRPr="000C6E07">
        <w:rPr>
          <w:rFonts w:ascii="Times New Roman" w:hAnsi="Times New Roman" w:cs="Times New Roman"/>
          <w:sz w:val="24"/>
          <w:szCs w:val="24"/>
        </w:rPr>
        <w:t>s</w:t>
      </w:r>
      <w:r w:rsidR="00F176BD" w:rsidRPr="000C6E07">
        <w:rPr>
          <w:rFonts w:ascii="Times New Roman" w:hAnsi="Times New Roman" w:cs="Times New Roman"/>
          <w:sz w:val="24"/>
          <w:szCs w:val="24"/>
        </w:rPr>
        <w:t xml:space="preserve"> digitālajā pārejā.</w:t>
      </w:r>
    </w:p>
    <w:p w14:paraId="03B72A22" w14:textId="1AA36F7E" w:rsidR="006436E0" w:rsidRPr="000C6E07" w:rsidRDefault="007E232C" w:rsidP="000C6E07">
      <w:pPr>
        <w:tabs>
          <w:tab w:val="left" w:pos="1134"/>
          <w:tab w:val="left" w:pos="3417"/>
        </w:tabs>
        <w:ind w:left="66" w:firstLine="501"/>
        <w:jc w:val="both"/>
        <w:rPr>
          <w:rFonts w:ascii="Times New Roman" w:hAnsi="Times New Roman" w:cs="Times New Roman"/>
          <w:sz w:val="24"/>
          <w:szCs w:val="24"/>
        </w:rPr>
      </w:pPr>
      <w:r w:rsidRPr="000C6E07">
        <w:rPr>
          <w:rFonts w:ascii="Times New Roman" w:hAnsi="Times New Roman" w:cs="Times New Roman"/>
          <w:sz w:val="24"/>
          <w:szCs w:val="24"/>
        </w:rPr>
        <w:t xml:space="preserve">Pēc plāna apstiprināšanas dalībvalstij ir tiesības saņemt </w:t>
      </w:r>
      <w:proofErr w:type="spellStart"/>
      <w:r w:rsidRPr="000C6E07">
        <w:rPr>
          <w:rFonts w:ascii="Times New Roman" w:hAnsi="Times New Roman" w:cs="Times New Roman"/>
          <w:sz w:val="24"/>
          <w:szCs w:val="24"/>
        </w:rPr>
        <w:t>priekšfinansējumu</w:t>
      </w:r>
      <w:proofErr w:type="spellEnd"/>
      <w:r w:rsidRPr="000C6E07">
        <w:rPr>
          <w:rFonts w:ascii="Times New Roman" w:hAnsi="Times New Roman" w:cs="Times New Roman"/>
          <w:sz w:val="24"/>
          <w:szCs w:val="24"/>
        </w:rPr>
        <w:t xml:space="preserve"> 13% no maksimālā piešķīruma. </w:t>
      </w:r>
      <w:r w:rsidR="006436E0" w:rsidRPr="000C6E07">
        <w:rPr>
          <w:rFonts w:ascii="Times New Roman" w:hAnsi="Times New Roman" w:cs="Times New Roman"/>
          <w:sz w:val="24"/>
          <w:szCs w:val="24"/>
        </w:rPr>
        <w:t xml:space="preserve">Atbilstoši </w:t>
      </w:r>
      <w:r w:rsidR="007B6172" w:rsidRPr="000C6E07">
        <w:rPr>
          <w:rFonts w:ascii="Times New Roman" w:hAnsi="Times New Roman" w:cs="Times New Roman"/>
          <w:sz w:val="24"/>
          <w:szCs w:val="24"/>
        </w:rPr>
        <w:t>r</w:t>
      </w:r>
      <w:r w:rsidR="00D52B09" w:rsidRPr="000C6E07">
        <w:rPr>
          <w:rFonts w:ascii="Times New Roman" w:hAnsi="Times New Roman" w:cs="Times New Roman"/>
          <w:sz w:val="24"/>
          <w:szCs w:val="24"/>
        </w:rPr>
        <w:t>egula</w:t>
      </w:r>
      <w:r w:rsidR="007B6172" w:rsidRPr="000C6E07">
        <w:rPr>
          <w:rFonts w:ascii="Times New Roman" w:hAnsi="Times New Roman" w:cs="Times New Roman"/>
          <w:sz w:val="24"/>
          <w:szCs w:val="24"/>
        </w:rPr>
        <w:t>s projektam</w:t>
      </w:r>
      <w:r w:rsidR="00D52B09" w:rsidRPr="000C6E07">
        <w:rPr>
          <w:rFonts w:ascii="Times New Roman" w:hAnsi="Times New Roman" w:cs="Times New Roman"/>
          <w:sz w:val="24"/>
          <w:szCs w:val="24"/>
        </w:rPr>
        <w:t>,</w:t>
      </w:r>
      <w:r w:rsidR="006436E0" w:rsidRPr="000C6E07">
        <w:rPr>
          <w:rFonts w:ascii="Times New Roman" w:hAnsi="Times New Roman" w:cs="Times New Roman"/>
          <w:sz w:val="24"/>
          <w:szCs w:val="24"/>
        </w:rPr>
        <w:t xml:space="preserve"> plānā iekļauto </w:t>
      </w:r>
      <w:r w:rsidR="00261BA4" w:rsidRPr="000C6E07">
        <w:rPr>
          <w:rFonts w:ascii="Times New Roman" w:hAnsi="Times New Roman" w:cs="Times New Roman"/>
          <w:sz w:val="24"/>
          <w:szCs w:val="24"/>
        </w:rPr>
        <w:t xml:space="preserve">pasākumu  </w:t>
      </w:r>
      <w:proofErr w:type="spellStart"/>
      <w:r w:rsidR="006436E0" w:rsidRPr="000C6E07">
        <w:rPr>
          <w:rFonts w:ascii="Times New Roman" w:hAnsi="Times New Roman" w:cs="Times New Roman"/>
          <w:sz w:val="24"/>
          <w:szCs w:val="24"/>
        </w:rPr>
        <w:t>attiecināmības</w:t>
      </w:r>
      <w:proofErr w:type="spellEnd"/>
      <w:r w:rsidR="006436E0" w:rsidRPr="000C6E07">
        <w:rPr>
          <w:rFonts w:ascii="Times New Roman" w:hAnsi="Times New Roman" w:cs="Times New Roman"/>
          <w:sz w:val="24"/>
          <w:szCs w:val="24"/>
        </w:rPr>
        <w:t xml:space="preserve"> periods </w:t>
      </w:r>
      <w:r w:rsidR="00261BA4" w:rsidRPr="000C6E07">
        <w:rPr>
          <w:rFonts w:ascii="Times New Roman" w:hAnsi="Times New Roman" w:cs="Times New Roman"/>
          <w:sz w:val="24"/>
          <w:szCs w:val="24"/>
        </w:rPr>
        <w:t xml:space="preserve">sākas </w:t>
      </w:r>
      <w:r w:rsidR="006436E0" w:rsidRPr="000C6E07">
        <w:rPr>
          <w:rFonts w:ascii="Times New Roman" w:hAnsi="Times New Roman" w:cs="Times New Roman"/>
          <w:sz w:val="24"/>
          <w:szCs w:val="24"/>
        </w:rPr>
        <w:t xml:space="preserve">no 2020.gada 1.februāra. </w:t>
      </w:r>
    </w:p>
    <w:p w14:paraId="111E3E1A" w14:textId="083F33F2" w:rsidR="00740967" w:rsidRPr="000C6E07" w:rsidRDefault="00D52B09"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8"/>
        </w:rPr>
        <w:t>P</w:t>
      </w:r>
      <w:r w:rsidR="006436E0" w:rsidRPr="000C6E07">
        <w:rPr>
          <w:rFonts w:ascii="Times New Roman" w:hAnsi="Times New Roman" w:cs="Times New Roman"/>
          <w:sz w:val="24"/>
          <w:szCs w:val="28"/>
        </w:rPr>
        <w:t xml:space="preserve">lānā </w:t>
      </w:r>
      <w:r w:rsidR="006436E0" w:rsidRPr="000C6E07">
        <w:rPr>
          <w:rFonts w:ascii="Times New Roman" w:hAnsi="Times New Roman" w:cs="Times New Roman"/>
          <w:b/>
          <w:sz w:val="24"/>
          <w:szCs w:val="28"/>
        </w:rPr>
        <w:t>iekļaujami konkrēti sasniedzamie reformu mērķi un investīciju mērķi</w:t>
      </w:r>
      <w:r w:rsidR="006436E0" w:rsidRPr="000C6E07">
        <w:rPr>
          <w:rFonts w:ascii="Times New Roman" w:hAnsi="Times New Roman" w:cs="Times New Roman"/>
          <w:sz w:val="24"/>
          <w:szCs w:val="28"/>
        </w:rPr>
        <w:t xml:space="preserve">, nosakot konkrētus sasniedzamos rādītājus, kā arī laika grafiku, par kuru sasniegšanas progresu dalībvalstis sniedz regulāru informāciju </w:t>
      </w:r>
      <w:r w:rsidR="00787FE3" w:rsidRPr="000C6E07">
        <w:rPr>
          <w:rFonts w:ascii="Times New Roman" w:hAnsi="Times New Roman" w:cs="Times New Roman"/>
          <w:sz w:val="24"/>
          <w:szCs w:val="28"/>
        </w:rPr>
        <w:t>EK</w:t>
      </w:r>
      <w:r w:rsidR="006436E0" w:rsidRPr="000C6E07">
        <w:rPr>
          <w:rFonts w:ascii="Times New Roman" w:hAnsi="Times New Roman" w:cs="Times New Roman"/>
          <w:sz w:val="24"/>
          <w:szCs w:val="28"/>
        </w:rPr>
        <w:t xml:space="preserve">. </w:t>
      </w:r>
      <w:r w:rsidR="00787FE3" w:rsidRPr="000C6E07">
        <w:rPr>
          <w:rFonts w:ascii="Times New Roman" w:hAnsi="Times New Roman" w:cs="Times New Roman"/>
          <w:sz w:val="24"/>
          <w:szCs w:val="28"/>
        </w:rPr>
        <w:t xml:space="preserve">EK </w:t>
      </w:r>
      <w:r w:rsidR="006436E0" w:rsidRPr="000C6E07">
        <w:rPr>
          <w:rFonts w:ascii="Times New Roman" w:hAnsi="Times New Roman" w:cs="Times New Roman"/>
          <w:sz w:val="24"/>
          <w:szCs w:val="28"/>
        </w:rPr>
        <w:t>pieņem lēmumu par maksājuma veikšan</w:t>
      </w:r>
      <w:r w:rsidR="00740967" w:rsidRPr="000C6E07">
        <w:rPr>
          <w:rFonts w:ascii="Times New Roman" w:hAnsi="Times New Roman" w:cs="Times New Roman"/>
          <w:sz w:val="24"/>
          <w:szCs w:val="28"/>
        </w:rPr>
        <w:t>u</w:t>
      </w:r>
      <w:r w:rsidR="006436E0" w:rsidRPr="000C6E07">
        <w:rPr>
          <w:rFonts w:ascii="Times New Roman" w:hAnsi="Times New Roman" w:cs="Times New Roman"/>
          <w:sz w:val="24"/>
          <w:szCs w:val="28"/>
        </w:rPr>
        <w:t xml:space="preserve"> dalībvalstij</w:t>
      </w:r>
      <w:r w:rsidR="00824E02" w:rsidRPr="000C6E07">
        <w:rPr>
          <w:rFonts w:ascii="Times New Roman" w:hAnsi="Times New Roman" w:cs="Times New Roman"/>
          <w:sz w:val="24"/>
          <w:szCs w:val="28"/>
        </w:rPr>
        <w:t>,</w:t>
      </w:r>
      <w:r w:rsidR="00740967" w:rsidRPr="000C6E07">
        <w:rPr>
          <w:rFonts w:ascii="Times New Roman" w:hAnsi="Times New Roman" w:cs="Times New Roman"/>
          <w:sz w:val="24"/>
          <w:szCs w:val="28"/>
        </w:rPr>
        <w:t xml:space="preserve"> konsultējoties ar Ekonomikas un finanšu komiteju</w:t>
      </w:r>
      <w:r w:rsidR="006436E0" w:rsidRPr="000C6E07">
        <w:rPr>
          <w:rFonts w:ascii="Times New Roman" w:hAnsi="Times New Roman" w:cs="Times New Roman"/>
          <w:sz w:val="24"/>
          <w:szCs w:val="28"/>
        </w:rPr>
        <w:t xml:space="preserve">, ja starpposma mērķi ir sasniegti apmierinošā līmenī. Citas dalībvalstis var prasīt noturēt diskusiju </w:t>
      </w:r>
      <w:r w:rsidR="00787FE3" w:rsidRPr="000C6E07">
        <w:rPr>
          <w:rFonts w:ascii="Times New Roman" w:hAnsi="Times New Roman" w:cs="Times New Roman"/>
          <w:sz w:val="24"/>
          <w:szCs w:val="28"/>
        </w:rPr>
        <w:t xml:space="preserve">ES </w:t>
      </w:r>
      <w:r w:rsidR="006436E0" w:rsidRPr="000C6E07">
        <w:rPr>
          <w:rFonts w:ascii="Times New Roman" w:hAnsi="Times New Roman" w:cs="Times New Roman"/>
          <w:sz w:val="24"/>
          <w:szCs w:val="28"/>
        </w:rPr>
        <w:t xml:space="preserve">Padomē, ja tās uzskata, ka kādas dalībvalsts starpposma mērķi nav sasniegti.  </w:t>
      </w:r>
      <w:r w:rsidR="00787FE3" w:rsidRPr="000C6E07">
        <w:rPr>
          <w:rFonts w:ascii="Times New Roman" w:hAnsi="Times New Roman" w:cs="Times New Roman"/>
          <w:b/>
          <w:sz w:val="24"/>
          <w:szCs w:val="28"/>
        </w:rPr>
        <w:t>Visiem ANM m</w:t>
      </w:r>
      <w:r w:rsidR="006436E0" w:rsidRPr="000C6E07">
        <w:rPr>
          <w:rFonts w:ascii="Times New Roman" w:hAnsi="Times New Roman" w:cs="Times New Roman"/>
          <w:b/>
          <w:sz w:val="24"/>
          <w:szCs w:val="28"/>
        </w:rPr>
        <w:t>ērķiem jābūt sasniegtiem</w:t>
      </w:r>
      <w:r w:rsidR="00261BA4" w:rsidRPr="000C6E07">
        <w:rPr>
          <w:rFonts w:ascii="Times New Roman" w:hAnsi="Times New Roman" w:cs="Times New Roman"/>
          <w:b/>
          <w:sz w:val="24"/>
          <w:szCs w:val="28"/>
        </w:rPr>
        <w:t xml:space="preserve"> un investīcijām veiktām</w:t>
      </w:r>
      <w:r w:rsidR="006436E0" w:rsidRPr="000C6E07">
        <w:rPr>
          <w:rFonts w:ascii="Times New Roman" w:hAnsi="Times New Roman" w:cs="Times New Roman"/>
          <w:b/>
          <w:sz w:val="24"/>
          <w:szCs w:val="28"/>
        </w:rPr>
        <w:t xml:space="preserve"> līdz 2026.gada </w:t>
      </w:r>
      <w:r w:rsidR="00261BA4" w:rsidRPr="000C6E07">
        <w:rPr>
          <w:rFonts w:ascii="Times New Roman" w:hAnsi="Times New Roman" w:cs="Times New Roman"/>
          <w:b/>
          <w:sz w:val="24"/>
          <w:szCs w:val="28"/>
        </w:rPr>
        <w:t>31.augustam</w:t>
      </w:r>
      <w:r w:rsidR="00787FE3" w:rsidRPr="000C6E07">
        <w:rPr>
          <w:rFonts w:ascii="Times New Roman" w:hAnsi="Times New Roman" w:cs="Times New Roman"/>
          <w:sz w:val="24"/>
          <w:szCs w:val="28"/>
        </w:rPr>
        <w:t>. ANM p</w:t>
      </w:r>
      <w:r w:rsidR="006436E0" w:rsidRPr="000C6E07">
        <w:rPr>
          <w:rFonts w:ascii="Times New Roman" w:hAnsi="Times New Roman" w:cs="Times New Roman"/>
          <w:sz w:val="24"/>
          <w:szCs w:val="28"/>
        </w:rPr>
        <w:t xml:space="preserve">lānā jāiekļauj konkrēti investīciju projekti un investīciju periods. </w:t>
      </w:r>
    </w:p>
    <w:p w14:paraId="50412D75" w14:textId="7114A5A4" w:rsidR="00740967" w:rsidRPr="000C6E07" w:rsidRDefault="00D52B09" w:rsidP="000C6E07">
      <w:pPr>
        <w:tabs>
          <w:tab w:val="left" w:pos="1134"/>
          <w:tab w:val="left" w:pos="3417"/>
        </w:tabs>
        <w:ind w:left="66" w:firstLine="501"/>
        <w:jc w:val="both"/>
        <w:rPr>
          <w:rFonts w:ascii="Times New Roman" w:hAnsi="Times New Roman" w:cs="Times New Roman"/>
          <w:b/>
          <w:sz w:val="32"/>
          <w:szCs w:val="28"/>
        </w:rPr>
      </w:pPr>
      <w:r w:rsidRPr="000C6E07">
        <w:rPr>
          <w:rFonts w:ascii="Times New Roman" w:hAnsi="Times New Roman" w:cs="Times New Roman"/>
          <w:sz w:val="24"/>
          <w:szCs w:val="28"/>
        </w:rPr>
        <w:t>Regul</w:t>
      </w:r>
      <w:r w:rsidR="007B6172" w:rsidRPr="000C6E07">
        <w:rPr>
          <w:rFonts w:ascii="Times New Roman" w:hAnsi="Times New Roman" w:cs="Times New Roman"/>
          <w:sz w:val="24"/>
          <w:szCs w:val="28"/>
        </w:rPr>
        <w:t>as projektā ietvertās normas</w:t>
      </w:r>
      <w:r w:rsidR="004B435C" w:rsidRPr="000C6E07">
        <w:rPr>
          <w:rFonts w:ascii="Times New Roman" w:hAnsi="Times New Roman" w:cs="Times New Roman"/>
          <w:sz w:val="24"/>
          <w:szCs w:val="28"/>
        </w:rPr>
        <w:t xml:space="preserve"> </w:t>
      </w:r>
      <w:r w:rsidR="00370B0F" w:rsidRPr="000C6E07">
        <w:rPr>
          <w:rFonts w:ascii="Times New Roman" w:hAnsi="Times New Roman" w:cs="Times New Roman"/>
          <w:sz w:val="24"/>
          <w:szCs w:val="28"/>
        </w:rPr>
        <w:t>aicina</w:t>
      </w:r>
      <w:r w:rsidR="006436E0" w:rsidRPr="000C6E07">
        <w:rPr>
          <w:rFonts w:ascii="Times New Roman" w:hAnsi="Times New Roman" w:cs="Times New Roman"/>
          <w:sz w:val="24"/>
          <w:szCs w:val="28"/>
        </w:rPr>
        <w:t xml:space="preserve"> </w:t>
      </w:r>
      <w:r w:rsidR="00787FE3" w:rsidRPr="000C6E07">
        <w:rPr>
          <w:rFonts w:ascii="Times New Roman" w:hAnsi="Times New Roman" w:cs="Times New Roman"/>
          <w:sz w:val="24"/>
          <w:szCs w:val="28"/>
        </w:rPr>
        <w:t>ANM</w:t>
      </w:r>
      <w:r w:rsidR="006436E0" w:rsidRPr="000C6E07">
        <w:rPr>
          <w:rFonts w:ascii="Times New Roman" w:hAnsi="Times New Roman" w:cs="Times New Roman"/>
          <w:sz w:val="24"/>
          <w:szCs w:val="28"/>
        </w:rPr>
        <w:t xml:space="preserve"> plān</w:t>
      </w:r>
      <w:r w:rsidR="00370B0F" w:rsidRPr="000C6E07">
        <w:rPr>
          <w:rFonts w:ascii="Times New Roman" w:hAnsi="Times New Roman" w:cs="Times New Roman"/>
          <w:sz w:val="24"/>
          <w:szCs w:val="28"/>
        </w:rPr>
        <w:t xml:space="preserve">u apstiprināšanai iesniegt </w:t>
      </w:r>
      <w:r w:rsidR="006436E0" w:rsidRPr="000C6E07">
        <w:rPr>
          <w:rFonts w:ascii="Times New Roman" w:hAnsi="Times New Roman" w:cs="Times New Roman"/>
          <w:sz w:val="24"/>
          <w:szCs w:val="28"/>
        </w:rPr>
        <w:t xml:space="preserve"> EK līdz 2021.gada </w:t>
      </w:r>
      <w:r w:rsidR="00DB7EF8" w:rsidRPr="000C6E07">
        <w:rPr>
          <w:rFonts w:ascii="Times New Roman" w:hAnsi="Times New Roman" w:cs="Times New Roman"/>
          <w:sz w:val="24"/>
          <w:szCs w:val="28"/>
        </w:rPr>
        <w:t>30.</w:t>
      </w:r>
      <w:r w:rsidR="006436E0" w:rsidRPr="000C6E07">
        <w:rPr>
          <w:rFonts w:ascii="Times New Roman" w:hAnsi="Times New Roman" w:cs="Times New Roman"/>
          <w:sz w:val="24"/>
          <w:szCs w:val="28"/>
        </w:rPr>
        <w:t>aprīlim</w:t>
      </w:r>
      <w:r w:rsidR="007B6172" w:rsidRPr="000C6E07">
        <w:rPr>
          <w:rFonts w:ascii="Times New Roman" w:hAnsi="Times New Roman" w:cs="Times New Roman"/>
          <w:sz w:val="24"/>
          <w:szCs w:val="28"/>
        </w:rPr>
        <w:t>,</w:t>
      </w:r>
      <w:r w:rsidR="00740967" w:rsidRPr="000C6E07">
        <w:rPr>
          <w:rFonts w:ascii="Times New Roman" w:hAnsi="Times New Roman" w:cs="Times New Roman"/>
          <w:sz w:val="24"/>
          <w:szCs w:val="28"/>
        </w:rPr>
        <w:t xml:space="preserve"> nosedzot prognozēto maksimālo piešķīrumu.</w:t>
      </w:r>
    </w:p>
    <w:p w14:paraId="2C3A4EF6" w14:textId="4AD2F9E7" w:rsidR="00D52B09" w:rsidRPr="00824E02" w:rsidRDefault="006436E0" w:rsidP="00EA27CB">
      <w:pPr>
        <w:pStyle w:val="ListParagraph"/>
        <w:tabs>
          <w:tab w:val="left" w:pos="1134"/>
          <w:tab w:val="left" w:pos="3417"/>
        </w:tabs>
        <w:spacing w:after="160" w:line="259" w:lineRule="auto"/>
        <w:ind w:left="567"/>
        <w:jc w:val="both"/>
        <w:rPr>
          <w:b/>
          <w:sz w:val="28"/>
        </w:rPr>
      </w:pPr>
      <w:r w:rsidRPr="00261BA4">
        <w:rPr>
          <w:rFonts w:cs="Times New Roman"/>
          <w:szCs w:val="28"/>
        </w:rPr>
        <w:t xml:space="preserve"> </w:t>
      </w:r>
    </w:p>
    <w:p w14:paraId="53F3FD9F" w14:textId="77777777" w:rsidR="00D52B09" w:rsidRPr="00787FE3" w:rsidRDefault="005A09A2" w:rsidP="00EA27CB">
      <w:pPr>
        <w:pStyle w:val="ListParagraph"/>
        <w:numPr>
          <w:ilvl w:val="0"/>
          <w:numId w:val="5"/>
        </w:numPr>
        <w:tabs>
          <w:tab w:val="left" w:pos="1134"/>
          <w:tab w:val="left" w:pos="3417"/>
        </w:tabs>
        <w:jc w:val="center"/>
        <w:rPr>
          <w:rFonts w:cs="Times New Roman"/>
          <w:b/>
          <w:szCs w:val="28"/>
        </w:rPr>
      </w:pPr>
      <w:r w:rsidRPr="00787FE3">
        <w:rPr>
          <w:rFonts w:cs="Times New Roman"/>
          <w:b/>
          <w:szCs w:val="28"/>
        </w:rPr>
        <w:t>ANM</w:t>
      </w:r>
      <w:r w:rsidR="00787FE3">
        <w:rPr>
          <w:rFonts w:cs="Times New Roman"/>
          <w:b/>
          <w:szCs w:val="28"/>
        </w:rPr>
        <w:t xml:space="preserve"> līdzšinējais</w:t>
      </w:r>
      <w:r w:rsidRPr="00787FE3">
        <w:rPr>
          <w:rFonts w:cs="Times New Roman"/>
          <w:b/>
          <w:szCs w:val="28"/>
        </w:rPr>
        <w:t xml:space="preserve"> plānošana</w:t>
      </w:r>
      <w:r w:rsidR="00787FE3">
        <w:rPr>
          <w:rFonts w:cs="Times New Roman"/>
          <w:b/>
          <w:szCs w:val="28"/>
        </w:rPr>
        <w:t>s process</w:t>
      </w:r>
    </w:p>
    <w:p w14:paraId="525596D3" w14:textId="77777777" w:rsidR="00D52B09" w:rsidRPr="00D52B09" w:rsidRDefault="00D52B09" w:rsidP="00EA27CB">
      <w:pPr>
        <w:pStyle w:val="ListParagraph"/>
        <w:tabs>
          <w:tab w:val="left" w:pos="1134"/>
          <w:tab w:val="left" w:pos="3417"/>
        </w:tabs>
        <w:ind w:left="927"/>
        <w:rPr>
          <w:rFonts w:cs="Times New Roman"/>
          <w:b/>
          <w:sz w:val="28"/>
          <w:szCs w:val="28"/>
        </w:rPr>
      </w:pPr>
    </w:p>
    <w:p w14:paraId="3888033B" w14:textId="71168B12" w:rsidR="005A09A2" w:rsidRPr="005A09A2" w:rsidRDefault="005A09A2" w:rsidP="000C6E07">
      <w:pPr>
        <w:pStyle w:val="BodyText"/>
        <w:tabs>
          <w:tab w:val="left" w:pos="1134"/>
        </w:tabs>
        <w:spacing w:before="0" w:after="0"/>
        <w:ind w:firstLine="567"/>
        <w:jc w:val="both"/>
        <w:rPr>
          <w:rFonts w:eastAsiaTheme="minorHAnsi" w:cstheme="minorBidi"/>
          <w:b w:val="0"/>
          <w:bCs w:val="0"/>
          <w:szCs w:val="22"/>
          <w:lang w:val="lv-LV"/>
        </w:rPr>
      </w:pPr>
      <w:r w:rsidRPr="005A09A2">
        <w:rPr>
          <w:rFonts w:eastAsiaTheme="minorHAnsi" w:cstheme="minorBidi"/>
          <w:b w:val="0"/>
          <w:bCs w:val="0"/>
          <w:szCs w:val="22"/>
          <w:lang w:val="lv-LV"/>
        </w:rPr>
        <w:t xml:space="preserve">Ministru </w:t>
      </w:r>
      <w:r w:rsidR="004B435C">
        <w:rPr>
          <w:rFonts w:eastAsiaTheme="minorHAnsi" w:cstheme="minorBidi"/>
          <w:b w:val="0"/>
          <w:bCs w:val="0"/>
          <w:szCs w:val="22"/>
          <w:lang w:val="lv-LV"/>
        </w:rPr>
        <w:t>k</w:t>
      </w:r>
      <w:r w:rsidRPr="005A09A2">
        <w:rPr>
          <w:rFonts w:eastAsiaTheme="minorHAnsi" w:cstheme="minorBidi"/>
          <w:b w:val="0"/>
          <w:bCs w:val="0"/>
          <w:szCs w:val="22"/>
          <w:lang w:val="lv-LV"/>
        </w:rPr>
        <w:t>abineta</w:t>
      </w:r>
      <w:r w:rsidR="00787FE3">
        <w:rPr>
          <w:rFonts w:eastAsiaTheme="minorHAnsi" w:cstheme="minorBidi"/>
          <w:b w:val="0"/>
          <w:bCs w:val="0"/>
          <w:szCs w:val="22"/>
          <w:lang w:val="lv-LV"/>
        </w:rPr>
        <w:t xml:space="preserve"> (</w:t>
      </w:r>
      <w:r w:rsidR="004B435C">
        <w:rPr>
          <w:rFonts w:eastAsiaTheme="minorHAnsi" w:cstheme="minorBidi"/>
          <w:b w:val="0"/>
          <w:bCs w:val="0"/>
          <w:szCs w:val="22"/>
          <w:lang w:val="lv-LV"/>
        </w:rPr>
        <w:t xml:space="preserve">turpmāk </w:t>
      </w:r>
      <w:r w:rsidR="00F934FA">
        <w:rPr>
          <w:rFonts w:eastAsiaTheme="minorHAnsi" w:cstheme="minorBidi"/>
          <w:b w:val="0"/>
          <w:bCs w:val="0"/>
          <w:szCs w:val="22"/>
          <w:lang w:val="lv-LV"/>
        </w:rPr>
        <w:t>–</w:t>
      </w:r>
      <w:r w:rsidR="004B435C">
        <w:rPr>
          <w:rFonts w:eastAsiaTheme="minorHAnsi" w:cstheme="minorBidi"/>
          <w:b w:val="0"/>
          <w:bCs w:val="0"/>
          <w:szCs w:val="22"/>
          <w:lang w:val="lv-LV"/>
        </w:rPr>
        <w:t xml:space="preserve"> </w:t>
      </w:r>
      <w:r w:rsidR="00787FE3">
        <w:rPr>
          <w:rFonts w:eastAsiaTheme="minorHAnsi" w:cstheme="minorBidi"/>
          <w:b w:val="0"/>
          <w:bCs w:val="0"/>
          <w:szCs w:val="22"/>
          <w:lang w:val="lv-LV"/>
        </w:rPr>
        <w:t>MK)</w:t>
      </w:r>
      <w:r w:rsidRPr="005A09A2">
        <w:rPr>
          <w:rFonts w:eastAsiaTheme="minorHAnsi" w:cstheme="minorBidi"/>
          <w:b w:val="0"/>
          <w:bCs w:val="0"/>
          <w:szCs w:val="22"/>
          <w:lang w:val="lv-LV"/>
        </w:rPr>
        <w:t xml:space="preserve"> </w:t>
      </w:r>
      <w:r w:rsidR="004B435C" w:rsidRPr="005A09A2">
        <w:rPr>
          <w:rFonts w:eastAsiaTheme="minorHAnsi" w:cstheme="minorBidi"/>
          <w:b w:val="0"/>
          <w:bCs w:val="0"/>
          <w:szCs w:val="22"/>
          <w:lang w:val="lv-LV"/>
        </w:rPr>
        <w:t xml:space="preserve">2020.gada 18.augusta </w:t>
      </w:r>
      <w:r w:rsidRPr="005A09A2">
        <w:rPr>
          <w:rFonts w:eastAsiaTheme="minorHAnsi" w:cstheme="minorBidi"/>
          <w:b w:val="0"/>
          <w:bCs w:val="0"/>
          <w:szCs w:val="22"/>
          <w:lang w:val="lv-LV"/>
        </w:rPr>
        <w:t>sēdē Finanšu ministrija</w:t>
      </w:r>
      <w:r w:rsidR="00787FE3">
        <w:rPr>
          <w:rFonts w:eastAsiaTheme="minorHAnsi" w:cstheme="minorBidi"/>
          <w:b w:val="0"/>
          <w:bCs w:val="0"/>
          <w:szCs w:val="22"/>
          <w:lang w:val="lv-LV"/>
        </w:rPr>
        <w:t xml:space="preserve"> </w:t>
      </w:r>
      <w:r w:rsidRPr="005A09A2">
        <w:rPr>
          <w:rFonts w:eastAsiaTheme="minorHAnsi" w:cstheme="minorBidi"/>
          <w:b w:val="0"/>
          <w:bCs w:val="0"/>
          <w:szCs w:val="22"/>
          <w:lang w:val="lv-LV"/>
        </w:rPr>
        <w:t xml:space="preserve">prezentēja informatīvo ziņojumu “Informatīvais ziņojums par Eiropas Atveseļošanas un noturības </w:t>
      </w:r>
      <w:r w:rsidRPr="005A09A2">
        <w:rPr>
          <w:rFonts w:eastAsiaTheme="minorHAnsi"/>
          <w:b w:val="0"/>
          <w:bCs w:val="0"/>
          <w:szCs w:val="28"/>
          <w:lang w:val="lv-LV"/>
        </w:rPr>
        <w:t>mehānismu”</w:t>
      </w:r>
      <w:r>
        <w:rPr>
          <w:rFonts w:eastAsiaTheme="minorHAnsi"/>
          <w:b w:val="0"/>
          <w:bCs w:val="0"/>
          <w:szCs w:val="28"/>
          <w:lang w:val="lv-LV"/>
        </w:rPr>
        <w:t>, sniedzot vispārīgu informāciju par At</w:t>
      </w:r>
      <w:r w:rsidR="00843AE0">
        <w:rPr>
          <w:rFonts w:eastAsiaTheme="minorHAnsi"/>
          <w:b w:val="0"/>
          <w:bCs w:val="0"/>
          <w:szCs w:val="28"/>
          <w:lang w:val="lv-LV"/>
        </w:rPr>
        <w:t>veseļo</w:t>
      </w:r>
      <w:r>
        <w:rPr>
          <w:rFonts w:eastAsiaTheme="minorHAnsi"/>
          <w:b w:val="0"/>
          <w:bCs w:val="0"/>
          <w:szCs w:val="28"/>
          <w:lang w:val="lv-LV"/>
        </w:rPr>
        <w:t>šanas un noturības mehānismu un nepieciešamajiem uzdevumiem finansējuma saņemšanai.</w:t>
      </w:r>
    </w:p>
    <w:p w14:paraId="54F0BB75" w14:textId="6A43AC90" w:rsidR="00937E27" w:rsidRPr="00937E27" w:rsidRDefault="005A09A2" w:rsidP="000C6E07">
      <w:pPr>
        <w:pStyle w:val="BodyText"/>
        <w:tabs>
          <w:tab w:val="left" w:pos="1134"/>
        </w:tabs>
        <w:spacing w:before="0" w:after="0"/>
        <w:ind w:firstLine="567"/>
        <w:jc w:val="both"/>
        <w:rPr>
          <w:rFonts w:eastAsiaTheme="minorHAnsi" w:cstheme="minorBidi"/>
          <w:b w:val="0"/>
          <w:bCs w:val="0"/>
          <w:szCs w:val="22"/>
          <w:lang w:val="lv-LV"/>
        </w:rPr>
      </w:pPr>
      <w:r>
        <w:rPr>
          <w:rFonts w:eastAsiaTheme="minorHAnsi"/>
          <w:b w:val="0"/>
          <w:bCs w:val="0"/>
          <w:szCs w:val="28"/>
          <w:lang w:val="lv-LV"/>
        </w:rPr>
        <w:t>Atbilstoši minētās sēdes</w:t>
      </w:r>
      <w:r w:rsidRPr="005A09A2">
        <w:rPr>
          <w:rFonts w:eastAsiaTheme="minorHAnsi"/>
          <w:b w:val="0"/>
          <w:bCs w:val="0"/>
          <w:szCs w:val="28"/>
          <w:lang w:val="lv-LV"/>
        </w:rPr>
        <w:t xml:space="preserve"> protokola 39.</w:t>
      </w:r>
      <w:r w:rsidR="00F934FA">
        <w:rPr>
          <w:rFonts w:eastAsiaTheme="minorHAnsi"/>
          <w:b w:val="0"/>
          <w:bCs w:val="0"/>
          <w:szCs w:val="28"/>
          <w:lang w:val="lv-LV"/>
        </w:rPr>
        <w:t>§</w:t>
      </w:r>
      <w:r w:rsidR="007B6172">
        <w:rPr>
          <w:rFonts w:eastAsiaTheme="minorHAnsi"/>
          <w:b w:val="0"/>
          <w:bCs w:val="0"/>
          <w:szCs w:val="28"/>
          <w:lang w:val="lv-LV"/>
        </w:rPr>
        <w:t xml:space="preserve"> 2.punktam </w:t>
      </w:r>
      <w:r w:rsidRPr="005A09A2">
        <w:rPr>
          <w:rFonts w:eastAsiaTheme="minorHAnsi"/>
          <w:b w:val="0"/>
          <w:bCs w:val="0"/>
          <w:szCs w:val="28"/>
          <w:lang w:val="lv-LV"/>
        </w:rPr>
        <w:t xml:space="preserve"> Finanšu ministrija </w:t>
      </w:r>
      <w:r>
        <w:rPr>
          <w:rFonts w:eastAsiaTheme="minorHAnsi"/>
          <w:b w:val="0"/>
          <w:bCs w:val="0"/>
          <w:szCs w:val="28"/>
          <w:lang w:val="lv-LV"/>
        </w:rPr>
        <w:t>tika</w:t>
      </w:r>
      <w:r w:rsidRPr="005A09A2">
        <w:rPr>
          <w:rFonts w:eastAsiaTheme="minorHAnsi"/>
          <w:b w:val="0"/>
          <w:bCs w:val="0"/>
          <w:szCs w:val="28"/>
          <w:lang w:val="lv-LV"/>
        </w:rPr>
        <w:t xml:space="preserve"> noteikta kā koordinējošā institūcija Latvijas nacionālā At</w:t>
      </w:r>
      <w:r w:rsidR="00843AE0">
        <w:rPr>
          <w:rFonts w:eastAsiaTheme="minorHAnsi"/>
          <w:b w:val="0"/>
          <w:bCs w:val="0"/>
          <w:szCs w:val="28"/>
          <w:lang w:val="lv-LV"/>
        </w:rPr>
        <w:t>veseļoš</w:t>
      </w:r>
      <w:r w:rsidRPr="005A09A2">
        <w:rPr>
          <w:rFonts w:eastAsiaTheme="minorHAnsi"/>
          <w:b w:val="0"/>
          <w:bCs w:val="0"/>
          <w:szCs w:val="28"/>
          <w:lang w:val="lv-LV"/>
        </w:rPr>
        <w:t>anas un noturības plāna</w:t>
      </w:r>
      <w:r>
        <w:rPr>
          <w:rFonts w:eastAsiaTheme="minorHAnsi"/>
          <w:b w:val="0"/>
          <w:bCs w:val="0"/>
          <w:szCs w:val="28"/>
          <w:lang w:val="lv-LV"/>
        </w:rPr>
        <w:t xml:space="preserve"> </w:t>
      </w:r>
      <w:r w:rsidRPr="005A09A2">
        <w:rPr>
          <w:rFonts w:eastAsiaTheme="minorHAnsi"/>
          <w:b w:val="0"/>
          <w:bCs w:val="0"/>
          <w:szCs w:val="28"/>
          <w:lang w:val="lv-LV"/>
        </w:rPr>
        <w:t xml:space="preserve">izstrādei. </w:t>
      </w:r>
    </w:p>
    <w:p w14:paraId="32546D38" w14:textId="7FE67C58" w:rsidR="006436E0" w:rsidRPr="00937E27" w:rsidRDefault="005A09A2" w:rsidP="000C6E07">
      <w:pPr>
        <w:pStyle w:val="BodyText"/>
        <w:tabs>
          <w:tab w:val="left" w:pos="1134"/>
        </w:tabs>
        <w:spacing w:before="0" w:after="0"/>
        <w:ind w:firstLine="567"/>
        <w:jc w:val="both"/>
        <w:rPr>
          <w:rFonts w:eastAsiaTheme="minorHAnsi" w:cstheme="minorBidi"/>
          <w:b w:val="0"/>
          <w:bCs w:val="0"/>
          <w:szCs w:val="22"/>
          <w:lang w:val="lv-LV"/>
        </w:rPr>
      </w:pPr>
      <w:r w:rsidRPr="005A09A2">
        <w:rPr>
          <w:rFonts w:eastAsiaTheme="minorHAnsi"/>
          <w:b w:val="0"/>
          <w:bCs w:val="0"/>
          <w:szCs w:val="28"/>
          <w:lang w:val="lv-LV"/>
        </w:rPr>
        <w:t>Izrietoši no sākotnējā piedāvājuma, darbs valdības līmenī ir ticis organizēts sešās darba grupās, kuru uzdevums ir bijis izstrādāt valdības redzējumu par At</w:t>
      </w:r>
      <w:r w:rsidR="00843AE0">
        <w:rPr>
          <w:rFonts w:eastAsiaTheme="minorHAnsi"/>
          <w:b w:val="0"/>
          <w:bCs w:val="0"/>
          <w:szCs w:val="28"/>
          <w:lang w:val="lv-LV"/>
        </w:rPr>
        <w:t>veseļo</w:t>
      </w:r>
      <w:r w:rsidRPr="005A09A2">
        <w:rPr>
          <w:rFonts w:eastAsiaTheme="minorHAnsi"/>
          <w:b w:val="0"/>
          <w:bCs w:val="0"/>
          <w:szCs w:val="28"/>
          <w:lang w:val="lv-LV"/>
        </w:rPr>
        <w:t>šanas un noturības</w:t>
      </w:r>
      <w:r w:rsidR="00787FE3">
        <w:rPr>
          <w:rFonts w:eastAsiaTheme="minorHAnsi"/>
          <w:b w:val="0"/>
          <w:bCs w:val="0"/>
          <w:szCs w:val="28"/>
          <w:lang w:val="lv-LV"/>
        </w:rPr>
        <w:t xml:space="preserve"> mehānisma</w:t>
      </w:r>
      <w:r w:rsidRPr="005A09A2">
        <w:rPr>
          <w:rFonts w:eastAsiaTheme="minorHAnsi"/>
          <w:b w:val="0"/>
          <w:bCs w:val="0"/>
          <w:szCs w:val="28"/>
          <w:lang w:val="lv-LV"/>
        </w:rPr>
        <w:t xml:space="preserve"> plānā iekļaujamām reformām un saistītajām investīcijām. </w:t>
      </w:r>
      <w:r w:rsidRPr="00EB7F26">
        <w:rPr>
          <w:rFonts w:eastAsiaTheme="minorHAnsi"/>
          <w:bCs w:val="0"/>
          <w:szCs w:val="28"/>
          <w:lang w:val="lv-LV"/>
        </w:rPr>
        <w:t xml:space="preserve">Katra no darba grupām veidota atbilstoši sākotnēji identificētajām ANM plāna komponentēm – (1) Klimata pārmaiņas un ilgtspēja, (2) Digitālā transformācija, </w:t>
      </w:r>
      <w:r w:rsidRPr="00EB7F26">
        <w:rPr>
          <w:rFonts w:eastAsiaTheme="minorHAnsi"/>
          <w:bCs w:val="0"/>
          <w:szCs w:val="28"/>
          <w:lang w:val="lv-LV"/>
        </w:rPr>
        <w:lastRenderedPageBreak/>
        <w:t>(3) Ekonomikas transformācija un produktivitātes reforma, (4) Veselība, (5) nevienlīdzības mazināšana, (6) Likuma vara</w:t>
      </w:r>
      <w:r w:rsidRPr="005A09A2">
        <w:rPr>
          <w:rFonts w:eastAsiaTheme="minorHAnsi"/>
          <w:b w:val="0"/>
          <w:bCs w:val="0"/>
          <w:szCs w:val="28"/>
          <w:lang w:val="lv-LV"/>
        </w:rPr>
        <w:t>.</w:t>
      </w:r>
    </w:p>
    <w:p w14:paraId="6BEEBE87" w14:textId="656ABB2C" w:rsidR="00937E27" w:rsidRDefault="00937E27" w:rsidP="000C6E07">
      <w:pPr>
        <w:pStyle w:val="BodyText"/>
        <w:tabs>
          <w:tab w:val="left" w:pos="1134"/>
        </w:tabs>
        <w:spacing w:before="0" w:after="0"/>
        <w:ind w:firstLine="567"/>
        <w:jc w:val="both"/>
        <w:rPr>
          <w:rFonts w:eastAsiaTheme="minorHAnsi"/>
          <w:b w:val="0"/>
          <w:bCs w:val="0"/>
          <w:szCs w:val="28"/>
          <w:lang w:val="lv-LV"/>
        </w:rPr>
      </w:pPr>
      <w:r w:rsidRPr="00937E27">
        <w:rPr>
          <w:rFonts w:eastAsiaTheme="minorHAnsi"/>
          <w:b w:val="0"/>
          <w:bCs w:val="0"/>
          <w:szCs w:val="28"/>
          <w:lang w:val="lv-LV"/>
        </w:rPr>
        <w:t xml:space="preserve">Saskaņā ar </w:t>
      </w:r>
      <w:r w:rsidR="00EB7F26">
        <w:rPr>
          <w:rFonts w:eastAsiaTheme="minorHAnsi"/>
          <w:b w:val="0"/>
          <w:bCs w:val="0"/>
          <w:szCs w:val="28"/>
          <w:lang w:val="lv-LV"/>
        </w:rPr>
        <w:t>ANM</w:t>
      </w:r>
      <w:r w:rsidRPr="00937E27">
        <w:rPr>
          <w:rFonts w:eastAsiaTheme="minorHAnsi"/>
          <w:b w:val="0"/>
          <w:bCs w:val="0"/>
          <w:szCs w:val="28"/>
          <w:lang w:val="lv-LV"/>
        </w:rPr>
        <w:t xml:space="preserve"> regulējumu, ANM plānā primāri nepieciešams adresēt 2019</w:t>
      </w:r>
      <w:r w:rsidR="00EB7F26">
        <w:rPr>
          <w:rStyle w:val="FootnoteReference"/>
          <w:rFonts w:eastAsiaTheme="minorHAnsi"/>
          <w:b w:val="0"/>
          <w:bCs w:val="0"/>
          <w:szCs w:val="28"/>
          <w:lang w:val="lv-LV"/>
        </w:rPr>
        <w:footnoteReference w:id="1"/>
      </w:r>
      <w:r w:rsidRPr="00937E27">
        <w:rPr>
          <w:rFonts w:eastAsiaTheme="minorHAnsi"/>
          <w:b w:val="0"/>
          <w:bCs w:val="0"/>
          <w:szCs w:val="28"/>
          <w:lang w:val="lv-LV"/>
        </w:rPr>
        <w:t>. un 2020</w:t>
      </w:r>
      <w:r w:rsidR="00EB7F26">
        <w:rPr>
          <w:rStyle w:val="FootnoteReference"/>
          <w:rFonts w:eastAsiaTheme="minorHAnsi"/>
          <w:b w:val="0"/>
          <w:bCs w:val="0"/>
          <w:szCs w:val="28"/>
          <w:lang w:val="lv-LV"/>
        </w:rPr>
        <w:footnoteReference w:id="2"/>
      </w:r>
      <w:r w:rsidRPr="00937E27">
        <w:rPr>
          <w:rFonts w:eastAsiaTheme="minorHAnsi"/>
          <w:b w:val="0"/>
          <w:bCs w:val="0"/>
          <w:szCs w:val="28"/>
          <w:lang w:val="lv-LV"/>
        </w:rPr>
        <w:t>.gada ES Padomes rekomendācijas, kā arī izaicinājumus, kas saistīti ar pāreju uz klimata neitrālu ekonomiku un digitālo transformāciju.</w:t>
      </w:r>
      <w:r w:rsidRPr="00937E27">
        <w:rPr>
          <w:rFonts w:eastAsiaTheme="minorHAnsi"/>
          <w:b w:val="0"/>
          <w:bCs w:val="0"/>
          <w:szCs w:val="28"/>
          <w:vertAlign w:val="superscript"/>
          <w:lang w:val="lv-LV"/>
        </w:rPr>
        <w:footnoteReference w:id="3"/>
      </w:r>
      <w:r>
        <w:rPr>
          <w:rFonts w:eastAsiaTheme="minorHAnsi"/>
          <w:b w:val="0"/>
          <w:bCs w:val="0"/>
          <w:szCs w:val="28"/>
          <w:lang w:val="lv-LV"/>
        </w:rPr>
        <w:t xml:space="preserve"> </w:t>
      </w:r>
      <w:r w:rsidR="00370B0F">
        <w:rPr>
          <w:rFonts w:eastAsiaTheme="minorHAnsi"/>
          <w:b w:val="0"/>
          <w:bCs w:val="0"/>
          <w:szCs w:val="28"/>
          <w:lang w:val="lv-LV"/>
        </w:rPr>
        <w:t>R</w:t>
      </w:r>
      <w:r>
        <w:rPr>
          <w:rFonts w:eastAsiaTheme="minorHAnsi"/>
          <w:b w:val="0"/>
          <w:bCs w:val="0"/>
          <w:szCs w:val="28"/>
          <w:lang w:val="lv-LV"/>
        </w:rPr>
        <w:t xml:space="preserve">egulā iekļauta prasība </w:t>
      </w:r>
      <w:r w:rsidRPr="00EB7F26">
        <w:rPr>
          <w:rFonts w:eastAsiaTheme="minorHAnsi"/>
          <w:bCs w:val="0"/>
          <w:szCs w:val="28"/>
          <w:lang w:val="lv-LV"/>
        </w:rPr>
        <w:t>37% finansējuma koncentrēt priekšlikumiem klimata pārmaiņu mazināšanas jomā, savukārt 20% finansējuma – digitālās transformācijas mērķiem</w:t>
      </w:r>
      <w:r>
        <w:rPr>
          <w:rFonts w:eastAsiaTheme="minorHAnsi"/>
          <w:b w:val="0"/>
          <w:bCs w:val="0"/>
          <w:szCs w:val="28"/>
          <w:lang w:val="lv-LV"/>
        </w:rPr>
        <w:t>.</w:t>
      </w:r>
    </w:p>
    <w:p w14:paraId="4110424B" w14:textId="77777777" w:rsidR="00937E27" w:rsidRPr="00D4653E" w:rsidRDefault="00937E27" w:rsidP="000C6E07">
      <w:pPr>
        <w:pStyle w:val="BodyText"/>
        <w:tabs>
          <w:tab w:val="left" w:pos="1134"/>
        </w:tabs>
        <w:spacing w:before="0" w:after="0"/>
        <w:ind w:firstLine="567"/>
        <w:jc w:val="both"/>
        <w:rPr>
          <w:rFonts w:eastAsiaTheme="minorHAnsi"/>
          <w:b w:val="0"/>
          <w:bCs w:val="0"/>
          <w:szCs w:val="28"/>
          <w:lang w:val="lv-LV"/>
        </w:rPr>
      </w:pPr>
      <w:r w:rsidRPr="00937E27">
        <w:rPr>
          <w:rFonts w:eastAsiaTheme="minorHAnsi"/>
          <w:b w:val="0"/>
          <w:szCs w:val="28"/>
          <w:lang w:val="lv-LV"/>
        </w:rPr>
        <w:t>Ņemot vērā minētās izmaiņas,</w:t>
      </w:r>
      <w:r w:rsidR="00EB7F26">
        <w:rPr>
          <w:rFonts w:eastAsiaTheme="minorHAnsi"/>
          <w:b w:val="0"/>
          <w:szCs w:val="28"/>
          <w:lang w:val="lv-LV"/>
        </w:rPr>
        <w:t xml:space="preserve"> par ko ES līmenī tika panākta vienošanās 2020.</w:t>
      </w:r>
      <w:r w:rsidR="00EB7F26" w:rsidRPr="003D1139">
        <w:rPr>
          <w:rFonts w:eastAsiaTheme="minorHAnsi"/>
          <w:b w:val="0"/>
          <w:szCs w:val="28"/>
          <w:lang w:val="lv-LV"/>
        </w:rPr>
        <w:t>gada rudenī,</w:t>
      </w:r>
      <w:r w:rsidRPr="00937E27">
        <w:rPr>
          <w:rFonts w:eastAsiaTheme="minorHAnsi"/>
          <w:b w:val="0"/>
          <w:szCs w:val="28"/>
          <w:lang w:val="lv-LV"/>
        </w:rPr>
        <w:t xml:space="preserve"> </w:t>
      </w:r>
      <w:r w:rsidRPr="00937E27">
        <w:rPr>
          <w:b w:val="0"/>
          <w:lang w:val="lv-LV"/>
        </w:rPr>
        <w:t>nacionālā līmenī ir nācies būtiski pārskatīt ministriju sākotnējos priekšlikumus, kas ir ietekmējis kopējo ANM plāna projekta izstrādes laika grafiku.</w:t>
      </w:r>
    </w:p>
    <w:p w14:paraId="27CC1DD3" w14:textId="77777777" w:rsidR="00D4653E" w:rsidRPr="00952769" w:rsidRDefault="00D4653E" w:rsidP="000C6E07">
      <w:pPr>
        <w:pStyle w:val="BodyText"/>
        <w:tabs>
          <w:tab w:val="left" w:pos="1134"/>
        </w:tabs>
        <w:spacing w:before="0" w:after="0"/>
        <w:ind w:firstLine="567"/>
        <w:jc w:val="both"/>
        <w:rPr>
          <w:rFonts w:eastAsiaTheme="minorHAnsi"/>
          <w:b w:val="0"/>
          <w:bCs w:val="0"/>
          <w:szCs w:val="28"/>
          <w:lang w:val="lv-LV"/>
        </w:rPr>
      </w:pPr>
      <w:r>
        <w:rPr>
          <w:b w:val="0"/>
          <w:lang w:val="lv-LV"/>
        </w:rPr>
        <w:t>Paralēli nacionāla līmeņa diskusijām, Finanšu ministrija neformāli organizēja konsultācijas ar EK par ANM plāna vēlamo saturu un struktūru, nodrošinot arī atbildīgo nozaru ministriju un institūciju līdzdalību sarunās un saņemtās rekomendācijas attiecīgi integrējot ANM plāna projektā.</w:t>
      </w:r>
    </w:p>
    <w:p w14:paraId="5CA0F4AD" w14:textId="77777777" w:rsidR="00952769" w:rsidRPr="0087751F" w:rsidRDefault="00952769" w:rsidP="000C6E07">
      <w:pPr>
        <w:pStyle w:val="BodyText"/>
        <w:tabs>
          <w:tab w:val="left" w:pos="1134"/>
        </w:tabs>
        <w:spacing w:before="0" w:after="0"/>
        <w:ind w:firstLine="567"/>
        <w:jc w:val="both"/>
        <w:rPr>
          <w:b w:val="0"/>
          <w:sz w:val="28"/>
          <w:szCs w:val="28"/>
          <w:lang w:val="lv-LV"/>
        </w:rPr>
      </w:pPr>
      <w:r w:rsidRPr="0087751F">
        <w:rPr>
          <w:b w:val="0"/>
          <w:szCs w:val="28"/>
          <w:lang w:val="lv-LV"/>
        </w:rPr>
        <w:t xml:space="preserve">Paralēli sarunām darba grupā, Finanšu ministrijas pārstāvji regulāri piedalījās Saeimas komisiju, NVO Memoranda padomes, kā arī Nacionālās Trīspusējās sadarbības padomes sēdēs, sniedzot aktuālo informāciju par progresu attiecībā uz ANM plāna izstrādi. </w:t>
      </w:r>
    </w:p>
    <w:p w14:paraId="25D78690" w14:textId="6015F677" w:rsidR="00937E27" w:rsidRPr="0007310B" w:rsidRDefault="00425974" w:rsidP="000C6E07">
      <w:pPr>
        <w:pStyle w:val="BodyText"/>
        <w:tabs>
          <w:tab w:val="left" w:pos="1134"/>
        </w:tabs>
        <w:spacing w:before="0" w:after="0"/>
        <w:ind w:firstLine="567"/>
        <w:jc w:val="both"/>
        <w:rPr>
          <w:rFonts w:eastAsiaTheme="minorHAnsi"/>
          <w:b w:val="0"/>
          <w:bCs w:val="0"/>
          <w:szCs w:val="28"/>
          <w:lang w:val="lv-LV"/>
        </w:rPr>
      </w:pPr>
      <w:r w:rsidRPr="00425974">
        <w:rPr>
          <w:b w:val="0"/>
          <w:lang w:val="lv-LV"/>
        </w:rPr>
        <w:t>2021.g</w:t>
      </w:r>
      <w:r w:rsidR="004B435C">
        <w:rPr>
          <w:b w:val="0"/>
          <w:lang w:val="lv-LV"/>
        </w:rPr>
        <w:t>ada</w:t>
      </w:r>
      <w:r w:rsidRPr="00425974">
        <w:rPr>
          <w:b w:val="0"/>
          <w:lang w:val="lv-LV"/>
        </w:rPr>
        <w:t xml:space="preserve"> 15.j</w:t>
      </w:r>
      <w:r w:rsidR="00937E27" w:rsidRPr="00425974">
        <w:rPr>
          <w:b w:val="0"/>
          <w:lang w:val="lv-LV"/>
        </w:rPr>
        <w:t>anvārī</w:t>
      </w:r>
      <w:r w:rsidR="00937E27">
        <w:rPr>
          <w:b w:val="0"/>
          <w:lang w:val="lv-LV"/>
        </w:rPr>
        <w:t xml:space="preserve"> </w:t>
      </w:r>
      <w:r w:rsidR="00EB7F26">
        <w:rPr>
          <w:b w:val="0"/>
          <w:lang w:val="lv-LV"/>
        </w:rPr>
        <w:t xml:space="preserve">iesaistīto nozaru ministriju un atbildīgo institūciju starpā </w:t>
      </w:r>
      <w:r w:rsidR="00937E27">
        <w:rPr>
          <w:b w:val="0"/>
          <w:lang w:val="lv-LV"/>
        </w:rPr>
        <w:t>tika panākta konceptuāla vienošanās par reformu un investīciju jomām visu sešu komponenšu ie</w:t>
      </w:r>
      <w:r>
        <w:rPr>
          <w:b w:val="0"/>
          <w:lang w:val="lv-LV"/>
        </w:rPr>
        <w:t xml:space="preserve">tvaros un </w:t>
      </w:r>
      <w:r w:rsidR="003D1139">
        <w:rPr>
          <w:b w:val="0"/>
          <w:lang w:val="lv-LV"/>
        </w:rPr>
        <w:t xml:space="preserve">2021.gada </w:t>
      </w:r>
      <w:r>
        <w:rPr>
          <w:b w:val="0"/>
          <w:lang w:val="lv-LV"/>
        </w:rPr>
        <w:t>19.janvārī ANM plāna projekts tika nosūtīts partneriem.</w:t>
      </w:r>
    </w:p>
    <w:p w14:paraId="58520380" w14:textId="77777777" w:rsidR="0007310B" w:rsidRDefault="0007310B" w:rsidP="00380B33">
      <w:pPr>
        <w:pStyle w:val="BodyText"/>
        <w:spacing w:before="0" w:after="0"/>
        <w:ind w:left="567" w:hanging="567"/>
        <w:jc w:val="both"/>
        <w:rPr>
          <w:b w:val="0"/>
          <w:lang w:val="lv-LV"/>
        </w:rPr>
      </w:pPr>
    </w:p>
    <w:p w14:paraId="5D5D2063" w14:textId="77777777" w:rsidR="0007310B" w:rsidRPr="00EB7F26" w:rsidRDefault="0007310B" w:rsidP="00380B33">
      <w:pPr>
        <w:pStyle w:val="BodyText"/>
        <w:numPr>
          <w:ilvl w:val="0"/>
          <w:numId w:val="5"/>
        </w:numPr>
        <w:spacing w:before="0" w:after="0"/>
        <w:ind w:left="567" w:hanging="567"/>
        <w:jc w:val="center"/>
        <w:rPr>
          <w:rFonts w:eastAsiaTheme="minorHAnsi"/>
          <w:bCs w:val="0"/>
          <w:szCs w:val="28"/>
          <w:lang w:val="lv-LV"/>
        </w:rPr>
      </w:pPr>
      <w:r w:rsidRPr="00EB7F26">
        <w:rPr>
          <w:lang w:val="lv-LV"/>
        </w:rPr>
        <w:t>Sabiedrības līdzdalība</w:t>
      </w:r>
    </w:p>
    <w:p w14:paraId="58B05C77" w14:textId="77777777" w:rsidR="0007310B" w:rsidRPr="00937E27" w:rsidRDefault="0007310B" w:rsidP="00380B33">
      <w:pPr>
        <w:pStyle w:val="BodyText"/>
        <w:spacing w:before="0" w:after="0"/>
        <w:ind w:left="567" w:hanging="567"/>
        <w:jc w:val="both"/>
        <w:rPr>
          <w:rFonts w:eastAsiaTheme="minorHAnsi"/>
          <w:b w:val="0"/>
          <w:bCs w:val="0"/>
          <w:szCs w:val="28"/>
          <w:lang w:val="lv-LV"/>
        </w:rPr>
      </w:pPr>
    </w:p>
    <w:p w14:paraId="00D82DA8" w14:textId="0D02FA28" w:rsidR="00937E27" w:rsidRDefault="00937E27" w:rsidP="000C6E07">
      <w:pPr>
        <w:pStyle w:val="BodyText"/>
        <w:spacing w:before="0" w:after="0"/>
        <w:ind w:firstLine="567"/>
        <w:jc w:val="both"/>
        <w:rPr>
          <w:rFonts w:eastAsiaTheme="minorHAnsi"/>
          <w:b w:val="0"/>
          <w:bCs w:val="0"/>
          <w:szCs w:val="28"/>
          <w:lang w:val="lv-LV"/>
        </w:rPr>
      </w:pPr>
      <w:r>
        <w:rPr>
          <w:rFonts w:eastAsiaTheme="minorHAnsi"/>
          <w:b w:val="0"/>
          <w:bCs w:val="0"/>
          <w:szCs w:val="28"/>
          <w:lang w:val="lv-LV"/>
        </w:rPr>
        <w:t xml:space="preserve">Lai nodrošinātu sabiedrības līdzdalību, </w:t>
      </w:r>
      <w:r w:rsidR="00EB7F26">
        <w:rPr>
          <w:rFonts w:eastAsiaTheme="minorHAnsi"/>
          <w:b w:val="0"/>
          <w:bCs w:val="0"/>
          <w:szCs w:val="28"/>
          <w:lang w:val="lv-LV"/>
        </w:rPr>
        <w:t>Finanšu ministrija</w:t>
      </w:r>
      <w:r>
        <w:rPr>
          <w:rFonts w:eastAsiaTheme="minorHAnsi"/>
          <w:b w:val="0"/>
          <w:bCs w:val="0"/>
          <w:szCs w:val="28"/>
          <w:lang w:val="lv-LV"/>
        </w:rPr>
        <w:t xml:space="preserve"> 2020.gada 20.novembrī organizēja informatīvu sanāksmi attālinātā režīm</w:t>
      </w:r>
      <w:r w:rsidR="00EB7F26">
        <w:rPr>
          <w:rFonts w:eastAsiaTheme="minorHAnsi"/>
          <w:b w:val="0"/>
          <w:bCs w:val="0"/>
          <w:szCs w:val="28"/>
          <w:lang w:val="lv-LV"/>
        </w:rPr>
        <w:t>ā ar sociālajiem partneriem. Tai</w:t>
      </w:r>
      <w:r>
        <w:rPr>
          <w:rFonts w:eastAsiaTheme="minorHAnsi"/>
          <w:b w:val="0"/>
          <w:bCs w:val="0"/>
          <w:szCs w:val="28"/>
          <w:lang w:val="lv-LV"/>
        </w:rPr>
        <w:t xml:space="preserve"> sekoja attālinātas diskusijas ar partne</w:t>
      </w:r>
      <w:r w:rsidR="00EB7F26">
        <w:rPr>
          <w:rFonts w:eastAsiaTheme="minorHAnsi"/>
          <w:b w:val="0"/>
          <w:bCs w:val="0"/>
          <w:szCs w:val="28"/>
          <w:lang w:val="lv-LV"/>
        </w:rPr>
        <w:t>riem par katru no komponentēm, kas</w:t>
      </w:r>
      <w:r>
        <w:rPr>
          <w:rFonts w:eastAsiaTheme="minorHAnsi"/>
          <w:b w:val="0"/>
          <w:bCs w:val="0"/>
          <w:szCs w:val="28"/>
          <w:lang w:val="lv-LV"/>
        </w:rPr>
        <w:t xml:space="preserve"> norisinājās no </w:t>
      </w:r>
      <w:r w:rsidR="003D1139">
        <w:rPr>
          <w:rFonts w:eastAsiaTheme="minorHAnsi"/>
          <w:b w:val="0"/>
          <w:bCs w:val="0"/>
          <w:szCs w:val="28"/>
          <w:lang w:val="lv-LV"/>
        </w:rPr>
        <w:t xml:space="preserve">2020.gada </w:t>
      </w:r>
      <w:r>
        <w:rPr>
          <w:rFonts w:eastAsiaTheme="minorHAnsi"/>
          <w:b w:val="0"/>
          <w:bCs w:val="0"/>
          <w:szCs w:val="28"/>
          <w:lang w:val="lv-LV"/>
        </w:rPr>
        <w:t>10.</w:t>
      </w:r>
      <w:r w:rsidR="003D1139">
        <w:rPr>
          <w:rFonts w:eastAsiaTheme="minorHAnsi"/>
          <w:b w:val="0"/>
          <w:bCs w:val="0"/>
          <w:szCs w:val="28"/>
          <w:lang w:val="lv-LV"/>
        </w:rPr>
        <w:t>decembra</w:t>
      </w:r>
      <w:r>
        <w:rPr>
          <w:rFonts w:eastAsiaTheme="minorHAnsi"/>
          <w:b w:val="0"/>
          <w:bCs w:val="0"/>
          <w:szCs w:val="28"/>
          <w:lang w:val="lv-LV"/>
        </w:rPr>
        <w:t xml:space="preserve"> līdz 14. decembrim un kurā nozaru ministrijas un atbildīgās institūcijas prezentēja savus piedāvājumus ANM plāna projektam. </w:t>
      </w:r>
      <w:r w:rsidR="0007310B">
        <w:rPr>
          <w:rFonts w:eastAsiaTheme="minorHAnsi"/>
          <w:b w:val="0"/>
          <w:bCs w:val="0"/>
          <w:szCs w:val="28"/>
          <w:lang w:val="lv-LV"/>
        </w:rPr>
        <w:t xml:space="preserve">Sabiedrisko organizāciju pārstāvji rakstiski (diskusiju sadaļā) un mutiski uzdeva jautājumus un sniedza ieteikumus, uz kuriem </w:t>
      </w:r>
      <w:r w:rsidR="0007310B" w:rsidRPr="00425974">
        <w:rPr>
          <w:rFonts w:eastAsiaTheme="minorHAnsi"/>
          <w:b w:val="0"/>
          <w:bCs w:val="0"/>
          <w:szCs w:val="28"/>
          <w:lang w:val="lv-LV"/>
        </w:rPr>
        <w:t>tika sagatavotas un izsūtītas rakstiska</w:t>
      </w:r>
      <w:r w:rsidR="0007310B">
        <w:rPr>
          <w:rFonts w:eastAsiaTheme="minorHAnsi"/>
          <w:b w:val="0"/>
          <w:bCs w:val="0"/>
          <w:szCs w:val="28"/>
          <w:lang w:val="lv-LV"/>
        </w:rPr>
        <w:t>s atbildes izziņas formā.</w:t>
      </w:r>
      <w:r w:rsidR="0087751F">
        <w:rPr>
          <w:rFonts w:eastAsiaTheme="minorHAnsi"/>
          <w:b w:val="0"/>
          <w:bCs w:val="0"/>
          <w:szCs w:val="28"/>
          <w:lang w:val="lv-LV"/>
        </w:rPr>
        <w:t xml:space="preserve"> 18.decembrī Finanšu ministrijas pārstāvji piedalījās Nacionālās trīspusējās sadarbības padomes sēdē, sniedzot informāciju par ANM plāna saturu un izstrādes progresu.</w:t>
      </w:r>
    </w:p>
    <w:p w14:paraId="6C22ACE4" w14:textId="459D0C52" w:rsidR="0007310B" w:rsidRPr="003D1139" w:rsidRDefault="0007310B" w:rsidP="000C6E07">
      <w:pPr>
        <w:pStyle w:val="BodyText"/>
        <w:spacing w:before="0" w:after="0"/>
        <w:ind w:firstLine="567"/>
        <w:jc w:val="both"/>
        <w:rPr>
          <w:rFonts w:eastAsiaTheme="minorHAnsi"/>
          <w:b w:val="0"/>
          <w:bCs w:val="0"/>
          <w:szCs w:val="28"/>
          <w:lang w:val="lv-LV"/>
        </w:rPr>
      </w:pPr>
      <w:r>
        <w:rPr>
          <w:rFonts w:eastAsiaTheme="minorHAnsi"/>
          <w:b w:val="0"/>
          <w:bCs w:val="0"/>
          <w:szCs w:val="28"/>
          <w:lang w:val="lv-LV"/>
        </w:rPr>
        <w:lastRenderedPageBreak/>
        <w:t xml:space="preserve">Ņemot vērā diskusijas koalīcijas padomē, kā arī ievērojot diskusijās ar partneriem saņemtos viedokļus, nozaru ministrijas un atbildīgās institūcijas </w:t>
      </w:r>
      <w:r w:rsidR="00EB7F26">
        <w:rPr>
          <w:rFonts w:eastAsiaTheme="minorHAnsi"/>
          <w:b w:val="0"/>
          <w:bCs w:val="0"/>
          <w:szCs w:val="28"/>
          <w:lang w:val="lv-LV"/>
        </w:rPr>
        <w:t>F</w:t>
      </w:r>
      <w:r w:rsidR="004B435C">
        <w:rPr>
          <w:rFonts w:eastAsiaTheme="minorHAnsi"/>
          <w:b w:val="0"/>
          <w:bCs w:val="0"/>
          <w:szCs w:val="28"/>
          <w:lang w:val="lv-LV"/>
        </w:rPr>
        <w:t>inanšu ministrijas</w:t>
      </w:r>
      <w:r>
        <w:rPr>
          <w:rFonts w:eastAsiaTheme="minorHAnsi"/>
          <w:b w:val="0"/>
          <w:bCs w:val="0"/>
          <w:szCs w:val="28"/>
          <w:lang w:val="lv-LV"/>
        </w:rPr>
        <w:t xml:space="preserve"> vadībā sagatavoja ANM plāna projektu.</w:t>
      </w:r>
    </w:p>
    <w:p w14:paraId="10D29E48" w14:textId="37CB037B" w:rsidR="0087751F" w:rsidRDefault="0087751F" w:rsidP="00A26B6B">
      <w:pPr>
        <w:pStyle w:val="BodyText"/>
        <w:spacing w:before="0" w:after="0"/>
        <w:jc w:val="both"/>
        <w:rPr>
          <w:rFonts w:eastAsiaTheme="minorHAnsi"/>
          <w:b w:val="0"/>
          <w:bCs w:val="0"/>
          <w:szCs w:val="28"/>
          <w:lang w:val="lv-LV"/>
        </w:rPr>
      </w:pPr>
    </w:p>
    <w:p w14:paraId="7B0EE4AD" w14:textId="77777777" w:rsidR="0087751F" w:rsidRDefault="0087751F" w:rsidP="00380B33">
      <w:pPr>
        <w:pStyle w:val="BodyText"/>
        <w:spacing w:before="0" w:after="0"/>
        <w:ind w:left="567" w:hanging="567"/>
        <w:jc w:val="both"/>
        <w:rPr>
          <w:rFonts w:eastAsiaTheme="minorHAnsi"/>
          <w:b w:val="0"/>
          <w:bCs w:val="0"/>
          <w:szCs w:val="28"/>
          <w:lang w:val="lv-LV"/>
        </w:rPr>
      </w:pPr>
    </w:p>
    <w:p w14:paraId="0567CDB7" w14:textId="5A7E2440" w:rsidR="00B11CD3" w:rsidRPr="00EB7F26" w:rsidRDefault="00B11CD3" w:rsidP="00380B33">
      <w:pPr>
        <w:pStyle w:val="BodyText"/>
        <w:numPr>
          <w:ilvl w:val="0"/>
          <w:numId w:val="5"/>
        </w:numPr>
        <w:spacing w:before="0" w:after="0"/>
        <w:ind w:left="567" w:hanging="567"/>
        <w:jc w:val="center"/>
        <w:rPr>
          <w:rFonts w:eastAsiaTheme="minorHAnsi"/>
          <w:bCs w:val="0"/>
          <w:szCs w:val="28"/>
          <w:lang w:val="lv-LV"/>
        </w:rPr>
      </w:pPr>
      <w:r w:rsidRPr="00EB7F26">
        <w:rPr>
          <w:rFonts w:eastAsiaTheme="minorHAnsi"/>
          <w:bCs w:val="0"/>
          <w:szCs w:val="28"/>
          <w:lang w:val="lv-LV"/>
        </w:rPr>
        <w:t>Plāna</w:t>
      </w:r>
      <w:r w:rsidR="009076B6">
        <w:rPr>
          <w:rFonts w:eastAsiaTheme="minorHAnsi"/>
          <w:bCs w:val="0"/>
          <w:szCs w:val="28"/>
          <w:lang w:val="lv-LV"/>
        </w:rPr>
        <w:t xml:space="preserve"> </w:t>
      </w:r>
      <w:r w:rsidR="007B6172">
        <w:rPr>
          <w:rFonts w:eastAsiaTheme="minorHAnsi"/>
          <w:bCs w:val="0"/>
          <w:szCs w:val="28"/>
          <w:lang w:val="lv-LV"/>
        </w:rPr>
        <w:t xml:space="preserve">projekta </w:t>
      </w:r>
      <w:r w:rsidR="009076B6">
        <w:rPr>
          <w:rFonts w:eastAsiaTheme="minorHAnsi"/>
          <w:bCs w:val="0"/>
          <w:szCs w:val="28"/>
          <w:lang w:val="lv-LV"/>
        </w:rPr>
        <w:t>struktūra un</w:t>
      </w:r>
      <w:r w:rsidRPr="00EB7F26">
        <w:rPr>
          <w:rFonts w:eastAsiaTheme="minorHAnsi"/>
          <w:bCs w:val="0"/>
          <w:szCs w:val="28"/>
          <w:lang w:val="lv-LV"/>
        </w:rPr>
        <w:t xml:space="preserve"> saturs</w:t>
      </w:r>
    </w:p>
    <w:p w14:paraId="7A4BAB89" w14:textId="77777777" w:rsidR="00B11CD3" w:rsidRPr="00B11CD3" w:rsidRDefault="00B11CD3" w:rsidP="00380B33">
      <w:pPr>
        <w:pStyle w:val="BodyText"/>
        <w:spacing w:before="0" w:after="0"/>
        <w:ind w:left="567" w:hanging="567"/>
        <w:rPr>
          <w:rFonts w:eastAsiaTheme="minorHAnsi"/>
          <w:bCs w:val="0"/>
          <w:sz w:val="28"/>
          <w:szCs w:val="28"/>
          <w:lang w:val="lv-LV"/>
        </w:rPr>
      </w:pPr>
    </w:p>
    <w:p w14:paraId="2615F0B9" w14:textId="37C6D36C" w:rsidR="003C34CF" w:rsidRPr="003C34CF" w:rsidRDefault="003D1139" w:rsidP="000C6E07">
      <w:pPr>
        <w:pStyle w:val="BodyText"/>
        <w:spacing w:before="0" w:after="0"/>
        <w:ind w:firstLine="567"/>
        <w:jc w:val="both"/>
        <w:rPr>
          <w:rFonts w:eastAsiaTheme="minorHAnsi"/>
          <w:b w:val="0"/>
          <w:bCs w:val="0"/>
          <w:szCs w:val="28"/>
          <w:lang w:val="lv-LV"/>
        </w:rPr>
      </w:pPr>
      <w:r>
        <w:rPr>
          <w:b w:val="0"/>
          <w:lang w:val="lv-LV"/>
        </w:rPr>
        <w:t>ANM plān</w:t>
      </w:r>
      <w:r w:rsidR="00664C42">
        <w:rPr>
          <w:b w:val="0"/>
          <w:lang w:val="lv-LV"/>
        </w:rPr>
        <w:t>a projekt</w:t>
      </w:r>
      <w:r>
        <w:rPr>
          <w:b w:val="0"/>
          <w:lang w:val="lv-LV"/>
        </w:rPr>
        <w:t>ā</w:t>
      </w:r>
      <w:r w:rsidR="00664C42">
        <w:rPr>
          <w:b w:val="0"/>
          <w:lang w:val="lv-LV"/>
        </w:rPr>
        <w:t xml:space="preserve"> (sk. pielikumu nr.1.)</w:t>
      </w:r>
      <w:r>
        <w:rPr>
          <w:b w:val="0"/>
          <w:lang w:val="lv-LV"/>
        </w:rPr>
        <w:t xml:space="preserve"> iekļautie</w:t>
      </w:r>
      <w:r w:rsidR="00B11CD3" w:rsidRPr="00B11CD3">
        <w:rPr>
          <w:b w:val="0"/>
          <w:lang w:val="lv-LV"/>
        </w:rPr>
        <w:t xml:space="preserve"> pasākumi tiks balstīti uz jau apstiprinātiem vai izstrādes stadijā esošiem plānošanas dokumentiem (piemēram,</w:t>
      </w:r>
      <w:r w:rsidR="00EB7F26">
        <w:rPr>
          <w:b w:val="0"/>
          <w:lang w:val="lv-LV"/>
        </w:rPr>
        <w:t xml:space="preserve"> Nacionālais attīstības plāns</w:t>
      </w:r>
      <w:r w:rsidR="00BD458B">
        <w:rPr>
          <w:b w:val="0"/>
          <w:lang w:val="lv-LV"/>
        </w:rPr>
        <w:t xml:space="preserve"> 2021.-2027.gadam</w:t>
      </w:r>
      <w:r w:rsidR="00EB7F26">
        <w:rPr>
          <w:b w:val="0"/>
          <w:lang w:val="lv-LV"/>
        </w:rPr>
        <w:t>,</w:t>
      </w:r>
      <w:r w:rsidR="00B11CD3" w:rsidRPr="00B11CD3">
        <w:rPr>
          <w:b w:val="0"/>
          <w:lang w:val="lv-LV"/>
        </w:rPr>
        <w:t xml:space="preserve"> Digitālās transformācijas pamatnostādnes</w:t>
      </w:r>
      <w:r w:rsidR="00BD458B">
        <w:rPr>
          <w:b w:val="0"/>
          <w:lang w:val="lv-LV"/>
        </w:rPr>
        <w:t xml:space="preserve"> 2021.-2027.gadam</w:t>
      </w:r>
      <w:r w:rsidR="00B11CD3" w:rsidRPr="00B11CD3">
        <w:rPr>
          <w:b w:val="0"/>
          <w:lang w:val="lv-LV"/>
        </w:rPr>
        <w:t>, Nacionālais klimata un enerģētikas plāns</w:t>
      </w:r>
      <w:r w:rsidR="0087751F">
        <w:rPr>
          <w:b w:val="0"/>
          <w:lang w:val="lv-LV"/>
        </w:rPr>
        <w:t xml:space="preserve"> 2021.-2027.gadam</w:t>
      </w:r>
      <w:r w:rsidR="00B11CD3" w:rsidRPr="00B11CD3">
        <w:rPr>
          <w:b w:val="0"/>
          <w:lang w:val="lv-LV"/>
        </w:rPr>
        <w:t>, Reģionālās attīstības pamatnostādnes</w:t>
      </w:r>
      <w:r w:rsidR="0087751F">
        <w:rPr>
          <w:b w:val="0"/>
          <w:lang w:val="lv-LV"/>
        </w:rPr>
        <w:t xml:space="preserve"> 2021.-2027.gadam</w:t>
      </w:r>
      <w:r w:rsidR="00B11CD3" w:rsidRPr="00B11CD3">
        <w:rPr>
          <w:b w:val="0"/>
          <w:lang w:val="lv-LV"/>
        </w:rPr>
        <w:t>, Nacionālās industriālās politikas pamatnostādnes</w:t>
      </w:r>
      <w:r w:rsidR="0087751F">
        <w:rPr>
          <w:b w:val="0"/>
          <w:lang w:val="lv-LV"/>
        </w:rPr>
        <w:t xml:space="preserve"> 2021.-2027.gadam</w:t>
      </w:r>
      <w:r w:rsidR="00B11CD3" w:rsidRPr="00B11CD3">
        <w:rPr>
          <w:b w:val="0"/>
          <w:lang w:val="lv-LV"/>
        </w:rPr>
        <w:t>, Sabiedrības veselības pamatnostādnes</w:t>
      </w:r>
      <w:r w:rsidR="0087751F">
        <w:rPr>
          <w:b w:val="0"/>
          <w:lang w:val="lv-LV"/>
        </w:rPr>
        <w:t xml:space="preserve"> 2021.-2027.gadam</w:t>
      </w:r>
      <w:r w:rsidR="00B11CD3" w:rsidRPr="00B11CD3">
        <w:rPr>
          <w:b w:val="0"/>
          <w:lang w:val="lv-LV"/>
        </w:rPr>
        <w:t>, Izglītības attīstības pamatnostādnes</w:t>
      </w:r>
      <w:r w:rsidR="0087751F">
        <w:rPr>
          <w:b w:val="0"/>
          <w:lang w:val="lv-LV"/>
        </w:rPr>
        <w:t xml:space="preserve"> 2021.-2027.gadam</w:t>
      </w:r>
      <w:r w:rsidR="00B11CD3" w:rsidRPr="00B11CD3">
        <w:rPr>
          <w:b w:val="0"/>
          <w:lang w:val="lv-LV"/>
        </w:rPr>
        <w:t>, Sociālās aizsardzības un darba tirgus politikas pamatnostādnes</w:t>
      </w:r>
      <w:r w:rsidR="0087751F">
        <w:rPr>
          <w:b w:val="0"/>
          <w:lang w:val="lv-LV"/>
        </w:rPr>
        <w:t xml:space="preserve"> 2021.-2027.gadam</w:t>
      </w:r>
      <w:r w:rsidR="00B11CD3" w:rsidRPr="00B11CD3">
        <w:rPr>
          <w:b w:val="0"/>
          <w:lang w:val="lv-LV"/>
        </w:rPr>
        <w:t xml:space="preserve"> u.c.)</w:t>
      </w:r>
      <w:r w:rsidR="009076B6">
        <w:rPr>
          <w:b w:val="0"/>
          <w:lang w:val="lv-LV"/>
        </w:rPr>
        <w:t>.</w:t>
      </w:r>
      <w:r w:rsidR="008E4193">
        <w:rPr>
          <w:b w:val="0"/>
          <w:lang w:val="lv-LV"/>
        </w:rPr>
        <w:t xml:space="preserve"> Ņemot vērā minēto, sabiedrības līdzdalība ANM plāna tapšanā iezīmējas arī caur līdzdalību norādīto plānošanas dokumentu izstrādes procesā.</w:t>
      </w:r>
      <w:r w:rsidR="0087751F">
        <w:rPr>
          <w:b w:val="0"/>
          <w:lang w:val="lv-LV"/>
        </w:rPr>
        <w:t xml:space="preserve"> </w:t>
      </w:r>
    </w:p>
    <w:p w14:paraId="671E1B45" w14:textId="3C77F71A" w:rsidR="009076B6" w:rsidRPr="003C34CF" w:rsidRDefault="009076B6" w:rsidP="000C6E07">
      <w:pPr>
        <w:pStyle w:val="BodyText"/>
        <w:spacing w:before="0" w:after="0"/>
        <w:ind w:firstLine="567"/>
        <w:jc w:val="both"/>
        <w:rPr>
          <w:rFonts w:eastAsiaTheme="minorHAnsi"/>
          <w:b w:val="0"/>
          <w:bCs w:val="0"/>
          <w:szCs w:val="28"/>
          <w:lang w:val="lv-LV"/>
        </w:rPr>
      </w:pPr>
      <w:r w:rsidRPr="003C34CF">
        <w:rPr>
          <w:rFonts w:eastAsiaTheme="minorHAnsi"/>
          <w:b w:val="0"/>
          <w:szCs w:val="28"/>
          <w:lang w:val="lv-LV"/>
        </w:rPr>
        <w:t xml:space="preserve">ANM plāna struktūra ir noteikta </w:t>
      </w:r>
      <w:r w:rsidR="004B435C">
        <w:rPr>
          <w:rFonts w:eastAsiaTheme="minorHAnsi"/>
          <w:b w:val="0"/>
          <w:szCs w:val="28"/>
          <w:lang w:val="lv-LV"/>
        </w:rPr>
        <w:t>r</w:t>
      </w:r>
      <w:r w:rsidRPr="003C34CF">
        <w:rPr>
          <w:rFonts w:eastAsiaTheme="minorHAnsi"/>
          <w:b w:val="0"/>
          <w:szCs w:val="28"/>
          <w:lang w:val="lv-LV"/>
        </w:rPr>
        <w:t>egul</w:t>
      </w:r>
      <w:r w:rsidR="007B6172">
        <w:rPr>
          <w:rFonts w:eastAsiaTheme="minorHAnsi"/>
          <w:b w:val="0"/>
          <w:szCs w:val="28"/>
          <w:lang w:val="lv-LV"/>
        </w:rPr>
        <w:t>as projektā</w:t>
      </w:r>
      <w:r w:rsidRPr="003C34CF">
        <w:rPr>
          <w:rFonts w:eastAsiaTheme="minorHAnsi"/>
          <w:b w:val="0"/>
          <w:szCs w:val="28"/>
          <w:lang w:val="lv-LV"/>
        </w:rPr>
        <w:t xml:space="preserve">, </w:t>
      </w:r>
      <w:r w:rsidRPr="003D1139">
        <w:rPr>
          <w:rFonts w:eastAsiaTheme="minorHAnsi"/>
          <w:b w:val="0"/>
          <w:szCs w:val="28"/>
          <w:lang w:val="lv-LV"/>
        </w:rPr>
        <w:t xml:space="preserve">savukārt detalizēta informācija par vēlamo saturu </w:t>
      </w:r>
      <w:r w:rsidRPr="00DD56DF">
        <w:rPr>
          <w:rFonts w:eastAsiaTheme="minorHAnsi"/>
          <w:b w:val="0"/>
          <w:szCs w:val="28"/>
          <w:lang w:val="lv-LV"/>
        </w:rPr>
        <w:t>ietverta EK vadlīnijās</w:t>
      </w:r>
      <w:r w:rsidRPr="00DD56DF">
        <w:rPr>
          <w:rStyle w:val="FootnoteReference"/>
          <w:rFonts w:eastAsiaTheme="minorHAnsi"/>
          <w:b w:val="0"/>
          <w:bCs w:val="0"/>
          <w:szCs w:val="28"/>
          <w:lang w:val="lv-LV"/>
        </w:rPr>
        <w:footnoteReference w:id="4"/>
      </w:r>
      <w:r w:rsidRPr="00DD56DF">
        <w:rPr>
          <w:rFonts w:eastAsiaTheme="minorHAnsi"/>
          <w:b w:val="0"/>
          <w:szCs w:val="28"/>
          <w:lang w:val="lv-LV"/>
        </w:rPr>
        <w:t xml:space="preserve"> un EK</w:t>
      </w:r>
      <w:r w:rsidRPr="003D1139">
        <w:rPr>
          <w:rFonts w:eastAsiaTheme="minorHAnsi"/>
          <w:b w:val="0"/>
          <w:szCs w:val="28"/>
          <w:lang w:val="lv-LV"/>
        </w:rPr>
        <w:t xml:space="preserve"> izplatītaj</w:t>
      </w:r>
      <w:r w:rsidR="003D1139" w:rsidRPr="003D1139">
        <w:rPr>
          <w:rFonts w:eastAsiaTheme="minorHAnsi"/>
          <w:b w:val="0"/>
          <w:szCs w:val="28"/>
          <w:lang w:val="lv-LV"/>
        </w:rPr>
        <w:t>ā</w:t>
      </w:r>
      <w:r w:rsidRPr="003D1139">
        <w:rPr>
          <w:rFonts w:eastAsiaTheme="minorHAnsi"/>
          <w:b w:val="0"/>
          <w:szCs w:val="28"/>
          <w:lang w:val="lv-LV"/>
        </w:rPr>
        <w:t xml:space="preserve"> ANM plāna </w:t>
      </w:r>
      <w:r w:rsidR="003D1139" w:rsidRPr="003D1139">
        <w:rPr>
          <w:rFonts w:eastAsiaTheme="minorHAnsi"/>
          <w:b w:val="0"/>
          <w:szCs w:val="28"/>
          <w:lang w:val="lv-LV"/>
        </w:rPr>
        <w:t>veidlapā</w:t>
      </w:r>
      <w:r w:rsidRPr="003D1139">
        <w:rPr>
          <w:rFonts w:eastAsiaTheme="minorHAnsi"/>
          <w:b w:val="0"/>
          <w:szCs w:val="28"/>
          <w:lang w:val="lv-LV"/>
        </w:rPr>
        <w:t xml:space="preserve">. </w:t>
      </w:r>
      <w:r w:rsidR="003C34CF" w:rsidRPr="003D1139">
        <w:rPr>
          <w:b w:val="0"/>
          <w:lang w:val="lv-LV"/>
        </w:rPr>
        <w:t xml:space="preserve">EK </w:t>
      </w:r>
      <w:r w:rsidR="003D1139" w:rsidRPr="003D1139">
        <w:rPr>
          <w:b w:val="0"/>
          <w:lang w:val="lv-LV"/>
        </w:rPr>
        <w:t>ir aktu</w:t>
      </w:r>
      <w:r w:rsidR="003D1139">
        <w:rPr>
          <w:b w:val="0"/>
          <w:lang w:val="lv-LV"/>
        </w:rPr>
        <w:t>a</w:t>
      </w:r>
      <w:r w:rsidR="003D1139" w:rsidRPr="003D1139">
        <w:rPr>
          <w:b w:val="0"/>
          <w:lang w:val="lv-LV"/>
        </w:rPr>
        <w:t xml:space="preserve">lizējusi </w:t>
      </w:r>
      <w:r w:rsidR="003C34CF" w:rsidRPr="003D1139">
        <w:rPr>
          <w:b w:val="0"/>
          <w:lang w:val="lv-LV"/>
        </w:rPr>
        <w:t>vadlīnijas, lai atspoguļotu izmaiņas regulā, kas izriet no 2020.gada decembrī panāktās vienošanās ar Eiropas Parlamentu un plāna projekts tiks attiecīgi precizēts, lai ņemtu vērā izmaiņas vadlīnijās</w:t>
      </w:r>
      <w:r w:rsidR="003D1139">
        <w:rPr>
          <w:b w:val="0"/>
          <w:lang w:val="lv-LV"/>
        </w:rPr>
        <w:t>, pēc sarunu uzsākšanas ar EK</w:t>
      </w:r>
      <w:r w:rsidR="003C34CF" w:rsidRPr="003D1139">
        <w:rPr>
          <w:b w:val="0"/>
          <w:lang w:val="lv-LV"/>
        </w:rPr>
        <w:t>.</w:t>
      </w:r>
    </w:p>
    <w:p w14:paraId="0909126B" w14:textId="77777777" w:rsidR="009076B6" w:rsidRDefault="009076B6" w:rsidP="000C6E07">
      <w:pPr>
        <w:pStyle w:val="BodyText"/>
        <w:spacing w:before="0" w:after="0"/>
        <w:ind w:firstLine="567"/>
        <w:jc w:val="both"/>
        <w:rPr>
          <w:rFonts w:eastAsiaTheme="minorHAnsi"/>
          <w:b w:val="0"/>
          <w:bCs w:val="0"/>
          <w:szCs w:val="28"/>
          <w:lang w:val="lv-LV"/>
        </w:rPr>
      </w:pPr>
      <w:r>
        <w:rPr>
          <w:rFonts w:eastAsiaTheme="minorHAnsi"/>
          <w:b w:val="0"/>
          <w:bCs w:val="0"/>
          <w:szCs w:val="28"/>
          <w:lang w:val="lv-LV"/>
        </w:rPr>
        <w:t>Saskaņā ar regulējumu, ANM plāns ietver šādas sadaļas:</w:t>
      </w:r>
    </w:p>
    <w:p w14:paraId="3C143903" w14:textId="77777777" w:rsidR="009076B6" w:rsidRDefault="00E96C8C" w:rsidP="000C6E07">
      <w:pPr>
        <w:pStyle w:val="BodyText"/>
        <w:numPr>
          <w:ilvl w:val="0"/>
          <w:numId w:val="6"/>
        </w:numPr>
        <w:spacing w:before="0" w:after="0"/>
        <w:ind w:left="1134" w:hanging="141"/>
        <w:jc w:val="both"/>
        <w:rPr>
          <w:rFonts w:eastAsiaTheme="minorHAnsi"/>
          <w:b w:val="0"/>
          <w:bCs w:val="0"/>
          <w:szCs w:val="28"/>
          <w:lang w:val="lv-LV"/>
        </w:rPr>
      </w:pPr>
      <w:r>
        <w:rPr>
          <w:rFonts w:eastAsiaTheme="minorHAnsi"/>
          <w:b w:val="0"/>
          <w:bCs w:val="0"/>
          <w:szCs w:val="28"/>
          <w:lang w:val="lv-LV"/>
        </w:rPr>
        <w:t xml:space="preserve">Sasaiste ar ES </w:t>
      </w:r>
      <w:proofErr w:type="spellStart"/>
      <w:r>
        <w:rPr>
          <w:rFonts w:eastAsiaTheme="minorHAnsi"/>
          <w:b w:val="0"/>
          <w:bCs w:val="0"/>
          <w:szCs w:val="28"/>
          <w:lang w:val="lv-LV"/>
        </w:rPr>
        <w:t>pamatiniciatīvām</w:t>
      </w:r>
      <w:proofErr w:type="spellEnd"/>
      <w:r>
        <w:rPr>
          <w:rStyle w:val="FootnoteReference"/>
          <w:rFonts w:eastAsiaTheme="minorHAnsi"/>
          <w:b w:val="0"/>
          <w:bCs w:val="0"/>
          <w:szCs w:val="28"/>
          <w:lang w:val="lv-LV"/>
        </w:rPr>
        <w:footnoteReference w:id="5"/>
      </w:r>
      <w:r>
        <w:rPr>
          <w:rFonts w:eastAsiaTheme="minorHAnsi"/>
          <w:b w:val="0"/>
          <w:bCs w:val="0"/>
          <w:szCs w:val="28"/>
          <w:lang w:val="lv-LV"/>
        </w:rPr>
        <w:t>;</w:t>
      </w:r>
    </w:p>
    <w:p w14:paraId="6EDBED05" w14:textId="77777777" w:rsidR="00E96C8C" w:rsidRDefault="00E96C8C" w:rsidP="000C6E07">
      <w:pPr>
        <w:pStyle w:val="BodyText"/>
        <w:numPr>
          <w:ilvl w:val="0"/>
          <w:numId w:val="6"/>
        </w:numPr>
        <w:spacing w:before="0" w:after="0"/>
        <w:ind w:left="1134" w:hanging="141"/>
        <w:jc w:val="both"/>
        <w:rPr>
          <w:rFonts w:eastAsiaTheme="minorHAnsi"/>
          <w:b w:val="0"/>
          <w:bCs w:val="0"/>
          <w:szCs w:val="28"/>
          <w:lang w:val="lv-LV"/>
        </w:rPr>
      </w:pPr>
      <w:r>
        <w:rPr>
          <w:rFonts w:eastAsiaTheme="minorHAnsi"/>
          <w:b w:val="0"/>
          <w:bCs w:val="0"/>
          <w:szCs w:val="28"/>
          <w:lang w:val="lv-LV"/>
        </w:rPr>
        <w:t>Sasaiste ar Eiropas Semestra rekomendācijām;</w:t>
      </w:r>
    </w:p>
    <w:p w14:paraId="0620DD38" w14:textId="77777777" w:rsidR="00E96C8C" w:rsidRDefault="00E96C8C" w:rsidP="000C6E07">
      <w:pPr>
        <w:pStyle w:val="BodyText"/>
        <w:numPr>
          <w:ilvl w:val="0"/>
          <w:numId w:val="6"/>
        </w:numPr>
        <w:spacing w:before="0" w:after="0"/>
        <w:ind w:left="1134" w:hanging="141"/>
        <w:jc w:val="both"/>
        <w:rPr>
          <w:rFonts w:eastAsiaTheme="minorHAnsi"/>
          <w:b w:val="0"/>
          <w:bCs w:val="0"/>
          <w:szCs w:val="28"/>
          <w:lang w:val="lv-LV"/>
        </w:rPr>
      </w:pPr>
      <w:r>
        <w:rPr>
          <w:rFonts w:eastAsiaTheme="minorHAnsi"/>
          <w:b w:val="0"/>
          <w:bCs w:val="0"/>
          <w:szCs w:val="28"/>
          <w:lang w:val="lv-LV"/>
        </w:rPr>
        <w:t>Sešu komponenšu apraksts (ietverot informāciju par reformām un investīcijām katras tematiskās komponentes ietvaros, t.sk. par izaicinājumiem un mērķiem, plānotajām aktivitātēm, ietekmi uz zaļo un digitālo pāreju, kā arī rādītājiem un finansējumu);</w:t>
      </w:r>
    </w:p>
    <w:p w14:paraId="35D35F52" w14:textId="77777777" w:rsidR="00E96C8C" w:rsidRDefault="008A520C" w:rsidP="000C6E07">
      <w:pPr>
        <w:pStyle w:val="BodyText"/>
        <w:numPr>
          <w:ilvl w:val="0"/>
          <w:numId w:val="6"/>
        </w:numPr>
        <w:spacing w:before="0" w:after="0"/>
        <w:ind w:left="1134" w:hanging="141"/>
        <w:jc w:val="both"/>
        <w:rPr>
          <w:rFonts w:eastAsiaTheme="minorHAnsi"/>
          <w:b w:val="0"/>
          <w:bCs w:val="0"/>
          <w:szCs w:val="28"/>
          <w:lang w:val="lv-LV"/>
        </w:rPr>
      </w:pPr>
      <w:r>
        <w:rPr>
          <w:rFonts w:eastAsiaTheme="minorHAnsi"/>
          <w:b w:val="0"/>
          <w:bCs w:val="0"/>
          <w:szCs w:val="28"/>
          <w:lang w:val="lv-LV"/>
        </w:rPr>
        <w:t xml:space="preserve">Plāna </w:t>
      </w:r>
      <w:proofErr w:type="spellStart"/>
      <w:r>
        <w:rPr>
          <w:rFonts w:eastAsiaTheme="minorHAnsi"/>
          <w:b w:val="0"/>
          <w:bCs w:val="0"/>
          <w:szCs w:val="28"/>
          <w:lang w:val="lv-LV"/>
        </w:rPr>
        <w:t>papildināmība</w:t>
      </w:r>
      <w:proofErr w:type="spellEnd"/>
      <w:r>
        <w:rPr>
          <w:rFonts w:eastAsiaTheme="minorHAnsi"/>
          <w:b w:val="0"/>
          <w:bCs w:val="0"/>
          <w:szCs w:val="28"/>
          <w:lang w:val="lv-LV"/>
        </w:rPr>
        <w:t xml:space="preserve"> ar citām investīcijām un ieviešana (t.sk. informācija par savienojamību ar citām ES iniciatīvām, ieviešanas mehānismu, ziņošanu un kontroles sistēmu);</w:t>
      </w:r>
    </w:p>
    <w:p w14:paraId="08FCAC8D" w14:textId="4CDC7B22" w:rsidR="008A520C" w:rsidRDefault="008A520C" w:rsidP="000C6E07">
      <w:pPr>
        <w:pStyle w:val="BodyText"/>
        <w:numPr>
          <w:ilvl w:val="0"/>
          <w:numId w:val="6"/>
        </w:numPr>
        <w:spacing w:before="0" w:after="0"/>
        <w:ind w:left="1134" w:hanging="141"/>
        <w:jc w:val="both"/>
        <w:rPr>
          <w:rFonts w:eastAsiaTheme="minorHAnsi"/>
          <w:b w:val="0"/>
          <w:bCs w:val="0"/>
          <w:szCs w:val="28"/>
          <w:lang w:val="lv-LV"/>
        </w:rPr>
      </w:pPr>
      <w:r>
        <w:rPr>
          <w:rFonts w:eastAsiaTheme="minorHAnsi"/>
          <w:b w:val="0"/>
          <w:bCs w:val="0"/>
          <w:szCs w:val="28"/>
          <w:lang w:val="lv-LV"/>
        </w:rPr>
        <w:t>Informācija par plāna makroekonomisko un sociālo ietekmi, kā arī salīdzinājums par plānotajām pārmaiņām, salīdzinot ar izejas pozīciju</w:t>
      </w:r>
      <w:r w:rsidR="00C811C1">
        <w:rPr>
          <w:rFonts w:eastAsiaTheme="minorHAnsi"/>
          <w:b w:val="0"/>
          <w:bCs w:val="0"/>
          <w:szCs w:val="28"/>
          <w:lang w:val="lv-LV"/>
        </w:rPr>
        <w:t xml:space="preserve"> (tiks izstrādāts, uzsākot sarunas ar EK)</w:t>
      </w:r>
      <w:r>
        <w:rPr>
          <w:rFonts w:eastAsiaTheme="minorHAnsi"/>
          <w:b w:val="0"/>
          <w:bCs w:val="0"/>
          <w:szCs w:val="28"/>
          <w:lang w:val="lv-LV"/>
        </w:rPr>
        <w:t>.</w:t>
      </w:r>
    </w:p>
    <w:p w14:paraId="607455F1" w14:textId="5389773B" w:rsidR="009076B6" w:rsidRPr="000C6E07" w:rsidRDefault="008A520C" w:rsidP="000C6E07">
      <w:pPr>
        <w:pStyle w:val="BodyText"/>
        <w:spacing w:before="0" w:after="0"/>
        <w:ind w:firstLine="567"/>
        <w:jc w:val="both"/>
        <w:rPr>
          <w:rFonts w:eastAsiaTheme="minorHAnsi"/>
          <w:b w:val="0"/>
          <w:bCs w:val="0"/>
          <w:lang w:val="lv-LV"/>
        </w:rPr>
      </w:pPr>
      <w:r w:rsidRPr="000C6E07">
        <w:rPr>
          <w:rFonts w:eastAsiaTheme="minorHAnsi"/>
          <w:b w:val="0"/>
          <w:bCs w:val="0"/>
          <w:lang w:val="lv-LV"/>
        </w:rPr>
        <w:t>Latvijas</w:t>
      </w:r>
      <w:r w:rsidR="009076B6" w:rsidRPr="000C6E07">
        <w:rPr>
          <w:rFonts w:eastAsiaTheme="minorHAnsi"/>
          <w:b w:val="0"/>
          <w:bCs w:val="0"/>
          <w:lang w:val="lv-LV"/>
        </w:rPr>
        <w:t xml:space="preserve"> ANM pl</w:t>
      </w:r>
      <w:r w:rsidRPr="000C6E07">
        <w:rPr>
          <w:rFonts w:eastAsiaTheme="minorHAnsi"/>
          <w:b w:val="0"/>
          <w:bCs w:val="0"/>
          <w:lang w:val="lv-LV"/>
        </w:rPr>
        <w:t>ānā ietverta</w:t>
      </w:r>
      <w:r w:rsidR="003D1139" w:rsidRPr="000C6E07">
        <w:rPr>
          <w:rFonts w:eastAsiaTheme="minorHAnsi"/>
          <w:b w:val="0"/>
          <w:bCs w:val="0"/>
          <w:lang w:val="lv-LV"/>
        </w:rPr>
        <w:t>s sešas tematiskās komponentes</w:t>
      </w:r>
      <w:r w:rsidRPr="000C6E07">
        <w:rPr>
          <w:rFonts w:eastAsiaTheme="minorHAnsi"/>
          <w:b w:val="0"/>
          <w:bCs w:val="0"/>
          <w:lang w:val="lv-LV"/>
        </w:rPr>
        <w:t>, kuru ietvaros tiek plānotas reformas un investīcijas, balstoties uz Eiropas Semestra rekomendācijās, kā arī nacionālajos plānošanas dokumentos identificētajiem izaicinājumiem un mērķiem.</w:t>
      </w:r>
    </w:p>
    <w:p w14:paraId="5BB0055F" w14:textId="6859AFF6" w:rsidR="002172A1" w:rsidRPr="000C6E07" w:rsidRDefault="002172A1" w:rsidP="000C6E07">
      <w:pPr>
        <w:pStyle w:val="BodyText"/>
        <w:spacing w:before="0" w:after="0"/>
        <w:ind w:firstLine="567"/>
        <w:jc w:val="both"/>
        <w:rPr>
          <w:rFonts w:eastAsiaTheme="minorHAnsi"/>
          <w:bCs w:val="0"/>
          <w:lang w:val="lv-LV"/>
        </w:rPr>
      </w:pPr>
      <w:r w:rsidRPr="000C6E07">
        <w:rPr>
          <w:rFonts w:eastAsiaTheme="minorHAnsi"/>
          <w:b w:val="0"/>
          <w:bCs w:val="0"/>
          <w:lang w:val="lv-LV"/>
        </w:rPr>
        <w:lastRenderedPageBreak/>
        <w:t xml:space="preserve">ANM plāns ietver reformas un investīcijas </w:t>
      </w:r>
      <w:r w:rsidRPr="000C6E07">
        <w:rPr>
          <w:rFonts w:eastAsiaTheme="minorHAnsi"/>
          <w:bCs w:val="0"/>
          <w:lang w:val="lv-LV"/>
        </w:rPr>
        <w:t xml:space="preserve">par finansējuma garantēto daļu, proti, 1,65 </w:t>
      </w:r>
      <w:proofErr w:type="spellStart"/>
      <w:r w:rsidRPr="000C6E07">
        <w:rPr>
          <w:rFonts w:eastAsiaTheme="minorHAnsi"/>
          <w:bCs w:val="0"/>
          <w:lang w:val="lv-LV"/>
        </w:rPr>
        <w:t>miljd</w:t>
      </w:r>
      <w:proofErr w:type="spellEnd"/>
      <w:r w:rsidRPr="000C6E07">
        <w:rPr>
          <w:rFonts w:eastAsiaTheme="minorHAnsi"/>
          <w:bCs w:val="0"/>
          <w:lang w:val="lv-LV"/>
        </w:rPr>
        <w:t xml:space="preserve">. </w:t>
      </w:r>
      <w:proofErr w:type="spellStart"/>
      <w:r w:rsidRPr="000C6E07">
        <w:rPr>
          <w:rFonts w:eastAsiaTheme="minorHAnsi"/>
          <w:bCs w:val="0"/>
          <w:i/>
          <w:lang w:val="lv-LV"/>
        </w:rPr>
        <w:t>euro</w:t>
      </w:r>
      <w:proofErr w:type="spellEnd"/>
      <w:r w:rsidRPr="000C6E07">
        <w:rPr>
          <w:rFonts w:eastAsiaTheme="minorHAnsi"/>
          <w:bCs w:val="0"/>
          <w:lang w:val="lv-LV"/>
        </w:rPr>
        <w:t xml:space="preserve">. </w:t>
      </w:r>
    </w:p>
    <w:p w14:paraId="6A11EBA5" w14:textId="32C71C72" w:rsidR="00EB7F26" w:rsidRPr="000C6E07" w:rsidRDefault="009A4029" w:rsidP="000C6E07">
      <w:pPr>
        <w:pStyle w:val="BodyText"/>
        <w:spacing w:before="0" w:after="0"/>
        <w:ind w:firstLine="567"/>
        <w:jc w:val="both"/>
        <w:rPr>
          <w:rFonts w:eastAsiaTheme="minorHAnsi"/>
          <w:b w:val="0"/>
          <w:bCs w:val="0"/>
          <w:u w:val="single"/>
          <w:lang w:val="lv-LV"/>
        </w:rPr>
      </w:pPr>
      <w:r>
        <w:rPr>
          <w:rFonts w:eastAsiaTheme="minorHAnsi"/>
          <w:bCs w:val="0"/>
          <w:szCs w:val="28"/>
          <w:lang w:val="lv-LV"/>
        </w:rPr>
        <w:t xml:space="preserve">ANM plānā </w:t>
      </w:r>
      <w:r w:rsidRPr="00EB7F26">
        <w:rPr>
          <w:rFonts w:eastAsiaTheme="minorHAnsi"/>
          <w:bCs w:val="0"/>
          <w:szCs w:val="28"/>
          <w:lang w:val="lv-LV"/>
        </w:rPr>
        <w:t>sākotnēji identificēta</w:t>
      </w:r>
      <w:r>
        <w:rPr>
          <w:rFonts w:eastAsiaTheme="minorHAnsi"/>
          <w:bCs w:val="0"/>
          <w:szCs w:val="28"/>
          <w:lang w:val="lv-LV"/>
        </w:rPr>
        <w:t>s</w:t>
      </w:r>
      <w:r w:rsidRPr="00EB7F26">
        <w:rPr>
          <w:rFonts w:eastAsiaTheme="minorHAnsi"/>
          <w:bCs w:val="0"/>
          <w:szCs w:val="28"/>
          <w:lang w:val="lv-LV"/>
        </w:rPr>
        <w:t xml:space="preserve"> </w:t>
      </w:r>
      <w:r>
        <w:rPr>
          <w:rFonts w:eastAsiaTheme="minorHAnsi"/>
          <w:bCs w:val="0"/>
          <w:szCs w:val="28"/>
          <w:lang w:val="lv-LV"/>
        </w:rPr>
        <w:t>6 komponentes.</w:t>
      </w:r>
      <w:r w:rsidRPr="000C6E07">
        <w:rPr>
          <w:b w:val="0"/>
          <w:u w:val="single"/>
          <w:lang w:val="lv-LV"/>
        </w:rPr>
        <w:t xml:space="preserve"> </w:t>
      </w:r>
    </w:p>
    <w:p w14:paraId="04D5D547" w14:textId="7D3835B7" w:rsidR="00A72BBF" w:rsidRPr="000C6E07" w:rsidRDefault="00A72BBF" w:rsidP="000C6E07">
      <w:pPr>
        <w:pStyle w:val="BodyText"/>
        <w:spacing w:before="0" w:after="0"/>
        <w:ind w:firstLine="567"/>
        <w:jc w:val="both"/>
        <w:rPr>
          <w:rFonts w:eastAsiaTheme="minorHAnsi"/>
          <w:bCs w:val="0"/>
          <w:lang w:val="lv-LV"/>
        </w:rPr>
      </w:pPr>
      <w:r w:rsidRPr="000C6E07">
        <w:rPr>
          <w:lang w:val="lv-LV"/>
        </w:rPr>
        <w:t xml:space="preserve">Klimata pārmaiņas un </w:t>
      </w:r>
      <w:r w:rsidR="005904AB" w:rsidRPr="000C6E07">
        <w:rPr>
          <w:lang w:val="lv-LV"/>
        </w:rPr>
        <w:t>vides ilgtspēja</w:t>
      </w:r>
      <w:r w:rsidR="00BE1D8C" w:rsidRPr="000C6E07">
        <w:rPr>
          <w:lang w:val="lv-LV"/>
        </w:rPr>
        <w:t>.</w:t>
      </w:r>
    </w:p>
    <w:p w14:paraId="118A0222" w14:textId="59A1BA40" w:rsidR="005904AB" w:rsidRPr="000C6E07" w:rsidRDefault="005904AB" w:rsidP="000C6E07">
      <w:pPr>
        <w:pStyle w:val="BodyText"/>
        <w:spacing w:before="0" w:after="0"/>
        <w:ind w:firstLine="567"/>
        <w:jc w:val="both"/>
        <w:rPr>
          <w:rFonts w:eastAsiaTheme="minorHAnsi"/>
          <w:b w:val="0"/>
          <w:bCs w:val="0"/>
          <w:lang w:val="lv-LV"/>
        </w:rPr>
      </w:pPr>
      <w:r w:rsidRPr="000C6E07">
        <w:rPr>
          <w:rFonts w:eastAsiaTheme="minorHAnsi"/>
          <w:b w:val="0"/>
          <w:bCs w:val="0"/>
          <w:lang w:val="lv-LV"/>
        </w:rPr>
        <w:t>Komponentes ietvaros paredzēts īstenot reformas šādās reformu</w:t>
      </w:r>
      <w:r w:rsidR="0046545A" w:rsidRPr="000C6E07">
        <w:rPr>
          <w:rFonts w:eastAsiaTheme="minorHAnsi"/>
          <w:b w:val="0"/>
          <w:bCs w:val="0"/>
          <w:lang w:val="lv-LV"/>
        </w:rPr>
        <w:t xml:space="preserve"> un investīciju</w:t>
      </w:r>
      <w:r w:rsidRPr="000C6E07">
        <w:rPr>
          <w:rFonts w:eastAsiaTheme="minorHAnsi"/>
          <w:b w:val="0"/>
          <w:bCs w:val="0"/>
          <w:lang w:val="lv-LV"/>
        </w:rPr>
        <w:t xml:space="preserve"> jomās: (1) Emisiju samazināšana transporta sektorā, ietverot Rīgas metropoles areāla transporta sistēmas </w:t>
      </w:r>
      <w:proofErr w:type="spellStart"/>
      <w:r w:rsidRPr="000C6E07">
        <w:rPr>
          <w:rFonts w:eastAsiaTheme="minorHAnsi"/>
          <w:b w:val="0"/>
          <w:bCs w:val="0"/>
          <w:lang w:val="lv-LV"/>
        </w:rPr>
        <w:t>zaļināšanas</w:t>
      </w:r>
      <w:proofErr w:type="spellEnd"/>
      <w:r w:rsidRPr="000C6E07">
        <w:rPr>
          <w:rFonts w:eastAsiaTheme="minorHAnsi"/>
          <w:b w:val="0"/>
          <w:bCs w:val="0"/>
          <w:lang w:val="lv-LV"/>
        </w:rPr>
        <w:t xml:space="preserve"> pasākumus, kā arī </w:t>
      </w:r>
      <w:proofErr w:type="spellStart"/>
      <w:r w:rsidRPr="000C6E07">
        <w:rPr>
          <w:rFonts w:eastAsiaTheme="minorHAnsi"/>
          <w:b w:val="0"/>
          <w:bCs w:val="0"/>
          <w:lang w:val="lv-LV"/>
        </w:rPr>
        <w:t>biometāna</w:t>
      </w:r>
      <w:proofErr w:type="spellEnd"/>
      <w:r w:rsidRPr="000C6E07">
        <w:rPr>
          <w:rFonts w:eastAsiaTheme="minorHAnsi"/>
          <w:b w:val="0"/>
          <w:bCs w:val="0"/>
          <w:lang w:val="lv-LV"/>
        </w:rPr>
        <w:t xml:space="preserve"> izcelsmes apliecinājumu sistēmas izveidi</w:t>
      </w:r>
      <w:r w:rsidR="0046545A" w:rsidRPr="000C6E07">
        <w:rPr>
          <w:rFonts w:eastAsiaTheme="minorHAnsi"/>
          <w:b w:val="0"/>
          <w:bCs w:val="0"/>
          <w:lang w:val="lv-LV"/>
        </w:rPr>
        <w:t xml:space="preserve"> (SM, ZM, VARAM)</w:t>
      </w:r>
      <w:r w:rsidRPr="000C6E07">
        <w:rPr>
          <w:rFonts w:eastAsiaTheme="minorHAnsi"/>
          <w:b w:val="0"/>
          <w:bCs w:val="0"/>
          <w:lang w:val="lv-LV"/>
        </w:rPr>
        <w:t>; (2) Energoefektivitātes uzlabošana</w:t>
      </w:r>
      <w:r w:rsidR="0046545A" w:rsidRPr="000C6E07">
        <w:rPr>
          <w:rFonts w:eastAsiaTheme="minorHAnsi"/>
          <w:b w:val="0"/>
          <w:bCs w:val="0"/>
          <w:lang w:val="lv-LV"/>
        </w:rPr>
        <w:t xml:space="preserve">, t.sk. daudzdzīvokļu mājās, uzņēmējdarbībā, pašvaldību ēkās un valsts sektorā (EM, VARAM); (3) Pielāgošanās klimata pārmaiņām, ietverot katastrofu pārvaldības sistēmas adaptāciju klimata pārmaiņām, kā arī glābšanas un ātrās reaģēšanas dienestu koordinācijas stiprināšanu (IeM, ZM). </w:t>
      </w:r>
    </w:p>
    <w:p w14:paraId="4D279028" w14:textId="4597A99B" w:rsidR="0046545A" w:rsidRPr="000C6E07" w:rsidRDefault="0046545A"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 xml:space="preserve">ANM ietvaros klimata pārmaiņu komponentei plānots novirzīt 37% no kopējā finansējuma, jeb 610,5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savukārt kopējais finansējuma apjoms Latvijas izvirzīto mērķu sasniegšanai ir 2,79 </w:t>
      </w:r>
      <w:proofErr w:type="spellStart"/>
      <w:r w:rsidRPr="000C6E07">
        <w:rPr>
          <w:rFonts w:ascii="Times New Roman" w:hAnsi="Times New Roman" w:cs="Times New Roman"/>
          <w:sz w:val="24"/>
          <w:szCs w:val="24"/>
        </w:rPr>
        <w:t>miljd</w:t>
      </w:r>
      <w:proofErr w:type="spellEnd"/>
      <w:r w:rsidRPr="000C6E07">
        <w:rPr>
          <w:rFonts w:ascii="Times New Roman" w:hAnsi="Times New Roman" w:cs="Times New Roman"/>
          <w:sz w:val="24"/>
          <w:szCs w:val="24"/>
        </w:rPr>
        <w:t xml:space="preserve">.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w:t>
      </w:r>
    </w:p>
    <w:p w14:paraId="1603BD24" w14:textId="445BEB66" w:rsidR="0046545A" w:rsidRPr="000C6E07" w:rsidRDefault="0046545A"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Digitālā transformācija</w:t>
      </w:r>
      <w:r w:rsidR="00BE1D8C" w:rsidRPr="000C6E07">
        <w:rPr>
          <w:rFonts w:ascii="Times New Roman" w:hAnsi="Times New Roman" w:cs="Times New Roman"/>
          <w:b/>
          <w:sz w:val="24"/>
          <w:szCs w:val="24"/>
        </w:rPr>
        <w:t>.</w:t>
      </w:r>
    </w:p>
    <w:p w14:paraId="303A85CC" w14:textId="48A0870F" w:rsidR="0046545A" w:rsidRPr="000C6E07" w:rsidRDefault="00973D2B"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 xml:space="preserve">Komponentes ietvaros paredzētas reformas šādās reformu un investīciju jomās: (1) Valsts pārvaldes digitālā transformācija, ietverot pakalpojumu uzlabošanu un valsts IKT resursu izmantošanas efektivitātes paaugstināšanu, kā arī tautsaimniecības datu un digitālo pakalpojumu ekonomikas attīstīšanu; (2) Uzņēmumu </w:t>
      </w:r>
      <w:proofErr w:type="spellStart"/>
      <w:r w:rsidRPr="000C6E07">
        <w:rPr>
          <w:rFonts w:ascii="Times New Roman" w:hAnsi="Times New Roman" w:cs="Times New Roman"/>
          <w:sz w:val="24"/>
          <w:szCs w:val="24"/>
        </w:rPr>
        <w:t>digitalizācija</w:t>
      </w:r>
      <w:proofErr w:type="spellEnd"/>
      <w:r w:rsidRPr="000C6E07">
        <w:rPr>
          <w:rFonts w:ascii="Times New Roman" w:hAnsi="Times New Roman" w:cs="Times New Roman"/>
          <w:sz w:val="24"/>
          <w:szCs w:val="24"/>
        </w:rPr>
        <w:t xml:space="preserve"> un inovācijas, t.sk. uzņēmējdarbības digitālās transformācijas pilna cikla atbalsta izveide ar reģionālo tvērumu; (3) Digitālās prasmes, t.sk. ietverot fokusu uz augsta līmeņa digitālo prasmju apguvi, kā arī sabiedrības un valsts pārvaldes digitālās prasmes; (4) Digitālās infrastruktūras transformācija, ietverot 5G infrastruktūras izbūvi </w:t>
      </w:r>
      <w:proofErr w:type="spellStart"/>
      <w:r w:rsidRPr="000C6E07">
        <w:rPr>
          <w:rFonts w:ascii="Times New Roman" w:hAnsi="Times New Roman" w:cs="Times New Roman"/>
          <w:sz w:val="24"/>
          <w:szCs w:val="24"/>
        </w:rPr>
        <w:t>Via</w:t>
      </w:r>
      <w:proofErr w:type="spellEnd"/>
      <w:r w:rsidRPr="000C6E07">
        <w:rPr>
          <w:rFonts w:ascii="Times New Roman" w:hAnsi="Times New Roman" w:cs="Times New Roman"/>
          <w:sz w:val="24"/>
          <w:szCs w:val="24"/>
        </w:rPr>
        <w:t xml:space="preserve"> </w:t>
      </w:r>
      <w:proofErr w:type="spellStart"/>
      <w:r w:rsidRPr="000C6E07">
        <w:rPr>
          <w:rFonts w:ascii="Times New Roman" w:hAnsi="Times New Roman" w:cs="Times New Roman"/>
          <w:sz w:val="24"/>
          <w:szCs w:val="24"/>
        </w:rPr>
        <w:t>Baltica</w:t>
      </w:r>
      <w:proofErr w:type="spellEnd"/>
      <w:r w:rsidRPr="000C6E07">
        <w:rPr>
          <w:rFonts w:ascii="Times New Roman" w:hAnsi="Times New Roman" w:cs="Times New Roman"/>
          <w:sz w:val="24"/>
          <w:szCs w:val="24"/>
        </w:rPr>
        <w:t xml:space="preserve"> koridorā, kā arī</w:t>
      </w:r>
      <w:r w:rsidR="00475A50" w:rsidRPr="000C6E07">
        <w:rPr>
          <w:rFonts w:ascii="Times New Roman" w:hAnsi="Times New Roman" w:cs="Times New Roman"/>
          <w:sz w:val="24"/>
          <w:szCs w:val="24"/>
        </w:rPr>
        <w:t xml:space="preserve"> platjoslas </w:t>
      </w:r>
      <w:proofErr w:type="spellStart"/>
      <w:r w:rsidR="00475A50" w:rsidRPr="000C6E07">
        <w:rPr>
          <w:rFonts w:ascii="Times New Roman" w:hAnsi="Times New Roman" w:cs="Times New Roman"/>
          <w:sz w:val="24"/>
          <w:szCs w:val="24"/>
        </w:rPr>
        <w:t>pieslēgumi</w:t>
      </w:r>
      <w:proofErr w:type="spellEnd"/>
      <w:r w:rsidRPr="000C6E07">
        <w:rPr>
          <w:rFonts w:ascii="Times New Roman" w:hAnsi="Times New Roman" w:cs="Times New Roman"/>
          <w:sz w:val="24"/>
          <w:szCs w:val="24"/>
        </w:rPr>
        <w:t xml:space="preserve"> </w:t>
      </w:r>
      <w:r w:rsidR="00475A50" w:rsidRPr="000C6E07">
        <w:rPr>
          <w:rFonts w:ascii="Times New Roman" w:hAnsi="Times New Roman" w:cs="Times New Roman"/>
          <w:sz w:val="24"/>
          <w:szCs w:val="24"/>
        </w:rPr>
        <w:t>“pēdējās jūdzes” infrastruktūras attīstībā.</w:t>
      </w:r>
    </w:p>
    <w:p w14:paraId="5A642E74" w14:textId="7E7832C3" w:rsidR="00475A50" w:rsidRPr="000C6E07" w:rsidRDefault="00475A50"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 xml:space="preserve">ANM ietvaros digitālās transformācijas komponentei plānots novirzīt 20% no kopējā finansējuma, jeb 330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Kopējais finansējuma apjoms Latvijas izvirzīto mērķu sasniegšanai ir 664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w:t>
      </w:r>
    </w:p>
    <w:p w14:paraId="516A14B4" w14:textId="1562753C" w:rsidR="00475A50" w:rsidRPr="000C6E07" w:rsidRDefault="00475A50"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Nevienlīdzības mazināšana</w:t>
      </w:r>
      <w:r w:rsidR="00BE1D8C" w:rsidRPr="000C6E07">
        <w:rPr>
          <w:rFonts w:ascii="Times New Roman" w:hAnsi="Times New Roman" w:cs="Times New Roman"/>
          <w:b/>
          <w:sz w:val="24"/>
          <w:szCs w:val="24"/>
        </w:rPr>
        <w:t>.</w:t>
      </w:r>
    </w:p>
    <w:p w14:paraId="037737B1" w14:textId="0689AF0C" w:rsidR="00581A9C" w:rsidRPr="000C6E07" w:rsidRDefault="00581A9C"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Komponenti</w:t>
      </w:r>
      <w:r w:rsidR="00475A50" w:rsidRPr="000C6E07">
        <w:rPr>
          <w:rFonts w:ascii="Times New Roman" w:hAnsi="Times New Roman" w:cs="Times New Roman"/>
          <w:sz w:val="24"/>
          <w:szCs w:val="24"/>
        </w:rPr>
        <w:t xml:space="preserve"> paredz</w:t>
      </w:r>
      <w:r w:rsidRPr="000C6E07">
        <w:rPr>
          <w:rFonts w:ascii="Times New Roman" w:hAnsi="Times New Roman" w:cs="Times New Roman"/>
          <w:sz w:val="24"/>
          <w:szCs w:val="24"/>
        </w:rPr>
        <w:t xml:space="preserve">ēts īstenot </w:t>
      </w:r>
      <w:r w:rsidR="00475A50" w:rsidRPr="000C6E07">
        <w:rPr>
          <w:rFonts w:ascii="Times New Roman" w:hAnsi="Times New Roman" w:cs="Times New Roman"/>
          <w:sz w:val="24"/>
          <w:szCs w:val="24"/>
        </w:rPr>
        <w:t>šād</w:t>
      </w:r>
      <w:r w:rsidRPr="000C6E07">
        <w:rPr>
          <w:rFonts w:ascii="Times New Roman" w:hAnsi="Times New Roman" w:cs="Times New Roman"/>
          <w:sz w:val="24"/>
          <w:szCs w:val="24"/>
        </w:rPr>
        <w:t>as</w:t>
      </w:r>
      <w:r w:rsidR="00475A50" w:rsidRPr="000C6E07">
        <w:rPr>
          <w:rFonts w:ascii="Times New Roman" w:hAnsi="Times New Roman" w:cs="Times New Roman"/>
          <w:sz w:val="24"/>
          <w:szCs w:val="24"/>
        </w:rPr>
        <w:t xml:space="preserve"> reformu un investīciju jom</w:t>
      </w:r>
      <w:r w:rsidRPr="000C6E07">
        <w:rPr>
          <w:rFonts w:ascii="Times New Roman" w:hAnsi="Times New Roman" w:cs="Times New Roman"/>
          <w:sz w:val="24"/>
          <w:szCs w:val="24"/>
        </w:rPr>
        <w:t>as ietvaros</w:t>
      </w:r>
      <w:r w:rsidR="00475A50" w:rsidRPr="000C6E07">
        <w:rPr>
          <w:rFonts w:ascii="Times New Roman" w:hAnsi="Times New Roman" w:cs="Times New Roman"/>
          <w:sz w:val="24"/>
          <w:szCs w:val="24"/>
        </w:rPr>
        <w:t xml:space="preserve">: (1) Reģionālā politika, ietverot pasākumus administratīvi teritoriālās reformas stiprināšanai, t.sk. valsts reģionālo un vietējo autoceļu tīkla sakārtošanu, investīcijas uzņēmējdarbības veicināšanai, mājokļu pieejamības uzlabošanu un izglītības iestāžu infrastruktūras pilnveidi, kā arī </w:t>
      </w:r>
      <w:r w:rsidR="00C811C1" w:rsidRPr="000C6E07">
        <w:rPr>
          <w:rFonts w:ascii="Times New Roman" w:hAnsi="Times New Roman" w:cs="Times New Roman"/>
          <w:sz w:val="24"/>
          <w:szCs w:val="24"/>
        </w:rPr>
        <w:t xml:space="preserve">(2) </w:t>
      </w:r>
      <w:r w:rsidR="00475A50" w:rsidRPr="000C6E07">
        <w:rPr>
          <w:rFonts w:ascii="Times New Roman" w:hAnsi="Times New Roman" w:cs="Times New Roman"/>
          <w:sz w:val="24"/>
          <w:szCs w:val="24"/>
        </w:rPr>
        <w:t>sociālo un nodarbinātības pakalpojumu pieejamības veicināšanas pasākumus minimālo ienākumu reformas atbalstam. Paredzētas investīcijas arī pieejamības veicināšanas pasākumi</w:t>
      </w:r>
      <w:r w:rsidR="00C811C1" w:rsidRPr="000C6E07">
        <w:rPr>
          <w:rFonts w:ascii="Times New Roman" w:hAnsi="Times New Roman" w:cs="Times New Roman"/>
          <w:sz w:val="24"/>
          <w:szCs w:val="24"/>
        </w:rPr>
        <w:t>em</w:t>
      </w:r>
      <w:r w:rsidR="00475A50" w:rsidRPr="000C6E07">
        <w:rPr>
          <w:rFonts w:ascii="Times New Roman" w:hAnsi="Times New Roman" w:cs="Times New Roman"/>
          <w:sz w:val="24"/>
          <w:szCs w:val="24"/>
        </w:rPr>
        <w:t xml:space="preserve"> cilvēkiem ar funkcionāliem traucējumiem, ilgstošas sociālās aprūpes pakalpojumu pieejamības uzlabošana, </w:t>
      </w:r>
      <w:r w:rsidRPr="000C6E07">
        <w:rPr>
          <w:rFonts w:ascii="Times New Roman" w:hAnsi="Times New Roman" w:cs="Times New Roman"/>
          <w:sz w:val="24"/>
          <w:szCs w:val="24"/>
        </w:rPr>
        <w:t xml:space="preserve">sociālās apdrošināšanas sistēmas </w:t>
      </w:r>
      <w:r w:rsidR="00475A50" w:rsidRPr="000C6E07">
        <w:rPr>
          <w:rFonts w:ascii="Times New Roman" w:hAnsi="Times New Roman" w:cs="Times New Roman"/>
          <w:sz w:val="24"/>
          <w:szCs w:val="24"/>
        </w:rPr>
        <w:t xml:space="preserve">prognozēšanas rīka </w:t>
      </w:r>
      <w:r w:rsidRPr="000C6E07">
        <w:rPr>
          <w:rFonts w:ascii="Times New Roman" w:hAnsi="Times New Roman" w:cs="Times New Roman"/>
          <w:sz w:val="24"/>
          <w:szCs w:val="24"/>
        </w:rPr>
        <w:t>izstrādei, kā arī Sociālās integrācijas kompetenču attīstības centra izveidei un nodarbinātības veicināšanas pasākumu īstenošanai.</w:t>
      </w:r>
    </w:p>
    <w:p w14:paraId="5DE948D1" w14:textId="0BA697F3" w:rsidR="00581A9C" w:rsidRPr="000C6E07" w:rsidRDefault="00581A9C"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lastRenderedPageBreak/>
        <w:t xml:space="preserve">ANM ietvaros nevienlīdzības mazināšanas komponentei plānots novirzīt 20% no kopējā finansējuma, jeb 330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Kopējais finansējuma apjoms mērķu sasniegšanai ir 1,47 </w:t>
      </w:r>
      <w:proofErr w:type="spellStart"/>
      <w:r w:rsidRPr="000C6E07">
        <w:rPr>
          <w:rFonts w:ascii="Times New Roman" w:hAnsi="Times New Roman" w:cs="Times New Roman"/>
          <w:sz w:val="24"/>
          <w:szCs w:val="24"/>
        </w:rPr>
        <w:t>miljd</w:t>
      </w:r>
      <w:proofErr w:type="spellEnd"/>
      <w:r w:rsidRPr="000C6E07">
        <w:rPr>
          <w:rFonts w:ascii="Times New Roman" w:hAnsi="Times New Roman" w:cs="Times New Roman"/>
          <w:sz w:val="24"/>
          <w:szCs w:val="24"/>
        </w:rPr>
        <w:t xml:space="preserve">.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w:t>
      </w:r>
    </w:p>
    <w:p w14:paraId="34205CD8" w14:textId="7071B326" w:rsidR="00475A50" w:rsidRPr="000C6E07" w:rsidRDefault="00581A9C"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Veselība</w:t>
      </w:r>
      <w:r w:rsidR="00BE1D8C" w:rsidRPr="000C6E07">
        <w:rPr>
          <w:rFonts w:ascii="Times New Roman" w:hAnsi="Times New Roman" w:cs="Times New Roman"/>
          <w:b/>
          <w:sz w:val="24"/>
          <w:szCs w:val="24"/>
        </w:rPr>
        <w:t>.</w:t>
      </w:r>
    </w:p>
    <w:p w14:paraId="2071302A" w14:textId="5061D117" w:rsidR="00581A9C" w:rsidRPr="000C6E07" w:rsidRDefault="00581A9C"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 xml:space="preserve">Komponenti paredzētas īstenot  šādas reformu un investīciju jomas ietvaros: (1) Kvalitatīvu pakalpojumu pieejamība un gatavība epidemioloģiskajām krīzēm, ietverot pasākumus integrētu veselības aprūpes pakalpojumu koncentrācijai cilvēkresursu pieejamības vietās, veselības aprūpes sistēmas noturības </w:t>
      </w:r>
      <w:r w:rsidR="00AC10B6" w:rsidRPr="000C6E07">
        <w:rPr>
          <w:rFonts w:ascii="Times New Roman" w:hAnsi="Times New Roman" w:cs="Times New Roman"/>
          <w:sz w:val="24"/>
          <w:szCs w:val="24"/>
        </w:rPr>
        <w:t>pret</w:t>
      </w:r>
      <w:r w:rsidRPr="000C6E07">
        <w:rPr>
          <w:rFonts w:ascii="Times New Roman" w:hAnsi="Times New Roman" w:cs="Times New Roman"/>
          <w:sz w:val="24"/>
          <w:szCs w:val="24"/>
        </w:rPr>
        <w:t xml:space="preserve"> epidemioloģiskajām krīzēm </w:t>
      </w:r>
      <w:r w:rsidR="00AC10B6" w:rsidRPr="000C6E07">
        <w:rPr>
          <w:rFonts w:ascii="Times New Roman" w:hAnsi="Times New Roman" w:cs="Times New Roman"/>
          <w:sz w:val="24"/>
          <w:szCs w:val="24"/>
        </w:rPr>
        <w:t>stiprināšanu, kā arī v</w:t>
      </w:r>
      <w:r w:rsidRPr="000C6E07">
        <w:rPr>
          <w:rFonts w:ascii="Times New Roman" w:hAnsi="Times New Roman" w:cs="Times New Roman"/>
          <w:sz w:val="24"/>
          <w:szCs w:val="24"/>
        </w:rPr>
        <w:t>eselības aprūpes pakalpo</w:t>
      </w:r>
      <w:r w:rsidR="00AC10B6" w:rsidRPr="000C6E07">
        <w:rPr>
          <w:rFonts w:ascii="Times New Roman" w:hAnsi="Times New Roman" w:cs="Times New Roman"/>
          <w:sz w:val="24"/>
          <w:szCs w:val="24"/>
        </w:rPr>
        <w:t>jumu sniegšanas modeļu attīstību.</w:t>
      </w:r>
    </w:p>
    <w:p w14:paraId="41DDAC75" w14:textId="1559F5F9" w:rsidR="00AC10B6" w:rsidRPr="000C6E07" w:rsidRDefault="00AC10B6" w:rsidP="000C6E07">
      <w:pPr>
        <w:ind w:firstLine="567"/>
        <w:jc w:val="both"/>
        <w:rPr>
          <w:rFonts w:ascii="Times New Roman" w:hAnsi="Times New Roman" w:cs="Times New Roman"/>
          <w:sz w:val="24"/>
          <w:szCs w:val="24"/>
        </w:rPr>
      </w:pPr>
      <w:r w:rsidRPr="000C6E07">
        <w:rPr>
          <w:rFonts w:ascii="Times New Roman" w:hAnsi="Times New Roman" w:cs="Times New Roman"/>
          <w:sz w:val="24"/>
          <w:szCs w:val="24"/>
        </w:rPr>
        <w:t xml:space="preserve">ANM ietvaros veselības komponentei plānots novirzīt 11% no kopējā finansējuma, jeb 181,5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Kopējais nepieciešamā finansējuma apjoms mērķu sasniegšanai ir 634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w:t>
      </w:r>
    </w:p>
    <w:p w14:paraId="5EE9504C" w14:textId="54F2BACE" w:rsidR="00AC10B6" w:rsidRPr="000C6E07" w:rsidRDefault="00AC10B6"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Ekonomikas transformācija un produktivitātes reforma</w:t>
      </w:r>
      <w:r w:rsidR="00BE1D8C" w:rsidRPr="000C6E07">
        <w:rPr>
          <w:rFonts w:ascii="Times New Roman" w:hAnsi="Times New Roman" w:cs="Times New Roman"/>
          <w:b/>
          <w:sz w:val="24"/>
          <w:szCs w:val="24"/>
        </w:rPr>
        <w:t>.</w:t>
      </w:r>
    </w:p>
    <w:p w14:paraId="3AB7DC13" w14:textId="4088E495" w:rsidR="00AC10B6" w:rsidRPr="000C6E07" w:rsidRDefault="00AC10B6" w:rsidP="000C6E07">
      <w:pPr>
        <w:spacing w:line="256" w:lineRule="auto"/>
        <w:ind w:firstLine="567"/>
        <w:jc w:val="both"/>
        <w:rPr>
          <w:rFonts w:ascii="Times New Roman" w:eastAsia="Times New Roman" w:hAnsi="Times New Roman" w:cs="Times New Roman"/>
          <w:sz w:val="24"/>
          <w:szCs w:val="24"/>
        </w:rPr>
      </w:pPr>
      <w:r w:rsidRPr="000C6E07">
        <w:rPr>
          <w:rFonts w:ascii="Times New Roman" w:hAnsi="Times New Roman" w:cs="Times New Roman"/>
          <w:sz w:val="24"/>
          <w:szCs w:val="24"/>
        </w:rPr>
        <w:t xml:space="preserve">Komponentes paredzēts īstenot reformas šādu reformu un investīciju jomu ietvaros: (1) </w:t>
      </w:r>
      <w:r w:rsidRPr="000C6E07">
        <w:rPr>
          <w:rFonts w:ascii="Times New Roman" w:hAnsi="Times New Roman" w:cs="Times New Roman"/>
          <w:bCs/>
          <w:sz w:val="24"/>
          <w:szCs w:val="24"/>
        </w:rPr>
        <w:t xml:space="preserve">Produktivitātes paaugstināšana caur </w:t>
      </w:r>
      <w:r w:rsidRPr="000C6E07">
        <w:rPr>
          <w:rFonts w:ascii="Times New Roman" w:hAnsi="Times New Roman" w:cs="Times New Roman"/>
          <w:sz w:val="24"/>
          <w:szCs w:val="24"/>
        </w:rPr>
        <w:t>investīciju apjoma palielināšanu pētniecībai un attīstībai, ietverot inovāciju pārvaldības sistēmas stiprināšanu; (2) Augstskolu pārvaldības modeļa maiņas nodrošināšana, īstenojot augstskolu pārvaldības sistēmas reformu, kā arī investējot pētniecības un attīstības sistēmas konsolidācijā.</w:t>
      </w:r>
    </w:p>
    <w:p w14:paraId="7F9FD5BF" w14:textId="648BF140" w:rsidR="00AC10B6" w:rsidRPr="000C6E07" w:rsidRDefault="00AC10B6" w:rsidP="000C6E07">
      <w:pPr>
        <w:spacing w:line="256" w:lineRule="auto"/>
        <w:ind w:firstLine="567"/>
        <w:jc w:val="both"/>
        <w:rPr>
          <w:rFonts w:ascii="Times New Roman" w:eastAsia="Times New Roman" w:hAnsi="Times New Roman" w:cs="Times New Roman"/>
          <w:sz w:val="24"/>
          <w:szCs w:val="24"/>
        </w:rPr>
      </w:pPr>
      <w:r w:rsidRPr="000C6E07">
        <w:rPr>
          <w:rFonts w:ascii="Times New Roman" w:hAnsi="Times New Roman" w:cs="Times New Roman"/>
          <w:sz w:val="24"/>
          <w:szCs w:val="24"/>
        </w:rPr>
        <w:t xml:space="preserve">ANM ietvaros ekonomikas transformācijas komponentei plānots novirzīt 10% no kopējā finansējuma, jeb 165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Kopējais finansējuma apjoms mērķu sasniegšanai ir 984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w:t>
      </w:r>
    </w:p>
    <w:p w14:paraId="0B253871" w14:textId="185715D3" w:rsidR="00AC10B6" w:rsidRPr="000C6E07" w:rsidRDefault="00AC10B6" w:rsidP="000C6E07">
      <w:pPr>
        <w:ind w:firstLine="567"/>
        <w:jc w:val="both"/>
        <w:rPr>
          <w:rFonts w:ascii="Times New Roman" w:hAnsi="Times New Roman" w:cs="Times New Roman"/>
          <w:b/>
          <w:sz w:val="24"/>
          <w:szCs w:val="24"/>
        </w:rPr>
      </w:pPr>
      <w:r w:rsidRPr="000C6E07">
        <w:rPr>
          <w:rFonts w:ascii="Times New Roman" w:hAnsi="Times New Roman" w:cs="Times New Roman"/>
          <w:b/>
          <w:sz w:val="24"/>
          <w:szCs w:val="24"/>
        </w:rPr>
        <w:t>Likuma vara</w:t>
      </w:r>
      <w:r w:rsidR="00EA27CB" w:rsidRPr="000C6E07">
        <w:rPr>
          <w:rFonts w:ascii="Times New Roman" w:hAnsi="Times New Roman" w:cs="Times New Roman"/>
          <w:b/>
          <w:sz w:val="24"/>
          <w:szCs w:val="24"/>
        </w:rPr>
        <w:t>.</w:t>
      </w:r>
    </w:p>
    <w:p w14:paraId="3C34EB6B" w14:textId="01A543F9" w:rsidR="00ED5028" w:rsidRPr="000C6E07" w:rsidRDefault="00AC10B6" w:rsidP="000C6E07">
      <w:pPr>
        <w:ind w:firstLine="567"/>
        <w:jc w:val="both"/>
        <w:rPr>
          <w:rFonts w:ascii="Times New Roman" w:eastAsia="Times New Roman" w:hAnsi="Times New Roman" w:cs="Times New Roman"/>
          <w:sz w:val="24"/>
          <w:szCs w:val="24"/>
        </w:rPr>
      </w:pPr>
      <w:r w:rsidRPr="000C6E07">
        <w:rPr>
          <w:rFonts w:ascii="Times New Roman" w:hAnsi="Times New Roman" w:cs="Times New Roman"/>
          <w:sz w:val="24"/>
          <w:szCs w:val="24"/>
        </w:rPr>
        <w:t>Komponentes ietvaros paredzētas investīcijas šādās reformu un investīciju jomās: (1) Ēnu ekonomikas mazināšana godīgas uzņēmējdarbības veicināšanai, paredzot investīcijas jau iesākto, uz analītiskās kapacitātes stiprināšanu un pakalpojumu pieejamības nodrošināšanu vērsto reformu pabeigšanai; (2) Noziedzīgi iegūtu līdzekļu legalizācijas identificēšana, ekonomisko noziegumu izmeklēšana, tiesvedības procesu modernizācija un preventīvo darbību īstenošana</w:t>
      </w:r>
      <w:r w:rsidR="00ED5028" w:rsidRPr="000C6E07">
        <w:rPr>
          <w:rFonts w:ascii="Times New Roman" w:hAnsi="Times New Roman" w:cs="Times New Roman"/>
          <w:sz w:val="24"/>
          <w:szCs w:val="24"/>
        </w:rPr>
        <w:t xml:space="preserve">, ietverot cilvēkresursu kapacitātes stiprināšanas pasākumus, </w:t>
      </w:r>
      <w:r w:rsidR="00ED5028" w:rsidRPr="000C6E07">
        <w:rPr>
          <w:rFonts w:ascii="Times New Roman" w:eastAsia="Times New Roman" w:hAnsi="Times New Roman" w:cs="Times New Roman"/>
          <w:sz w:val="24"/>
          <w:szCs w:val="24"/>
        </w:rPr>
        <w:t>nelikumīgi iegūtu līdzekļu identificēšanas</w:t>
      </w:r>
      <w:r w:rsidR="00ED5028" w:rsidRPr="000C6E07">
        <w:rPr>
          <w:rFonts w:ascii="Times New Roman" w:hAnsi="Times New Roman" w:cs="Times New Roman"/>
          <w:iCs/>
          <w:sz w:val="24"/>
          <w:szCs w:val="24"/>
        </w:rPr>
        <w:t xml:space="preserve"> inovāciju centra izveidi, kā arī </w:t>
      </w:r>
      <w:r w:rsidR="00ED5028" w:rsidRPr="000C6E07">
        <w:rPr>
          <w:rFonts w:ascii="Times New Roman" w:hAnsi="Times New Roman" w:cs="Times New Roman"/>
          <w:color w:val="000000"/>
          <w:sz w:val="24"/>
          <w:szCs w:val="24"/>
        </w:rPr>
        <w:t xml:space="preserve">vienotas sistēmas izveidi sabiedriskā labuma organizāciju finanšu caurskatāmībai; (3) </w:t>
      </w:r>
      <w:r w:rsidR="00ED5028" w:rsidRPr="000C6E07">
        <w:rPr>
          <w:rFonts w:ascii="Times New Roman" w:hAnsi="Times New Roman" w:cs="Times New Roman"/>
          <w:bCs/>
          <w:sz w:val="24"/>
          <w:szCs w:val="24"/>
        </w:rPr>
        <w:t xml:space="preserve">Vieda, laba un inovatīva pārvaldība, ietverot </w:t>
      </w:r>
      <w:r w:rsidR="00ED5028" w:rsidRPr="000C6E07">
        <w:rPr>
          <w:rFonts w:ascii="Times New Roman" w:hAnsi="Times New Roman" w:cs="Times New Roman"/>
          <w:sz w:val="24"/>
          <w:szCs w:val="24"/>
        </w:rPr>
        <w:t xml:space="preserve">publiskās pārvaldes nodarbināto, amatpersonu un politiķu kapacitātes pilnveidi, kā arī </w:t>
      </w:r>
      <w:r w:rsidR="00ED5028" w:rsidRPr="000C6E07">
        <w:rPr>
          <w:rFonts w:ascii="Times New Roman" w:eastAsia="Times New Roman" w:hAnsi="Times New Roman" w:cs="Times New Roman"/>
          <w:sz w:val="24"/>
          <w:szCs w:val="24"/>
        </w:rPr>
        <w:t xml:space="preserve">publiskās pārvaldes reformu veicināšanu un  </w:t>
      </w:r>
      <w:proofErr w:type="spellStart"/>
      <w:r w:rsidR="00ED5028" w:rsidRPr="000C6E07">
        <w:rPr>
          <w:rFonts w:ascii="Times New Roman" w:eastAsia="Times New Roman" w:hAnsi="Times New Roman" w:cs="Times New Roman"/>
          <w:sz w:val="24"/>
          <w:szCs w:val="24"/>
        </w:rPr>
        <w:t>profesionalizāciju</w:t>
      </w:r>
      <w:proofErr w:type="spellEnd"/>
      <w:r w:rsidR="00ED5028" w:rsidRPr="000C6E07">
        <w:rPr>
          <w:rFonts w:ascii="Times New Roman" w:eastAsia="Times New Roman" w:hAnsi="Times New Roman" w:cs="Times New Roman"/>
          <w:sz w:val="24"/>
          <w:szCs w:val="24"/>
        </w:rPr>
        <w:t>.</w:t>
      </w:r>
    </w:p>
    <w:p w14:paraId="4B4DBAE0" w14:textId="591546AA" w:rsidR="00AC10B6" w:rsidRPr="000C6E07" w:rsidRDefault="00ED5028" w:rsidP="000C6E07">
      <w:pPr>
        <w:ind w:firstLine="567"/>
        <w:jc w:val="both"/>
        <w:rPr>
          <w:rFonts w:ascii="Times New Roman" w:eastAsia="Times New Roman" w:hAnsi="Times New Roman" w:cs="Times New Roman"/>
          <w:sz w:val="24"/>
          <w:szCs w:val="24"/>
        </w:rPr>
      </w:pPr>
      <w:r w:rsidRPr="000C6E07">
        <w:rPr>
          <w:rFonts w:ascii="Times New Roman" w:hAnsi="Times New Roman" w:cs="Times New Roman"/>
          <w:sz w:val="24"/>
          <w:szCs w:val="24"/>
        </w:rPr>
        <w:t xml:space="preserve">ANM ietvaros likuma komponentei plānots novirzīt 2% no kopējā finansējuma, jeb 33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Kopējais finansējuma apjoms mērķu sasniegšanai ir 396 milj. </w:t>
      </w:r>
      <w:proofErr w:type="spellStart"/>
      <w:r w:rsidR="007569EA" w:rsidRPr="000C6E07">
        <w:rPr>
          <w:rFonts w:ascii="Times New Roman" w:hAnsi="Times New Roman" w:cs="Times New Roman"/>
          <w:i/>
          <w:sz w:val="24"/>
          <w:szCs w:val="24"/>
        </w:rPr>
        <w:t>euro</w:t>
      </w:r>
      <w:proofErr w:type="spellEnd"/>
      <w:r w:rsidRPr="000C6E07">
        <w:rPr>
          <w:rFonts w:ascii="Times New Roman" w:hAnsi="Times New Roman" w:cs="Times New Roman"/>
          <w:sz w:val="24"/>
          <w:szCs w:val="24"/>
        </w:rPr>
        <w:t xml:space="preserve">. </w:t>
      </w:r>
    </w:p>
    <w:p w14:paraId="4F4B7EB0" w14:textId="27C9D43A" w:rsidR="009A7F0B" w:rsidRPr="000C6E07" w:rsidRDefault="009A7F0B" w:rsidP="000C6E07">
      <w:pPr>
        <w:ind w:firstLine="567"/>
        <w:jc w:val="both"/>
        <w:rPr>
          <w:rFonts w:ascii="Times New Roman" w:eastAsia="Times New Roman" w:hAnsi="Times New Roman" w:cs="Times New Roman"/>
          <w:sz w:val="24"/>
          <w:szCs w:val="24"/>
        </w:rPr>
      </w:pPr>
      <w:r w:rsidRPr="000C6E07">
        <w:rPr>
          <w:rFonts w:ascii="Times New Roman" w:hAnsi="Times New Roman" w:cs="Times New Roman"/>
          <w:sz w:val="24"/>
          <w:szCs w:val="24"/>
        </w:rPr>
        <w:t xml:space="preserve">Turpmākajās diskusijās nepieciešams vienoties par koordinētu atbalstu  digitālajām prasmēm, atbalstu kultūras nozarei un NVO. </w:t>
      </w:r>
    </w:p>
    <w:p w14:paraId="4C8A04C3" w14:textId="1A54E3B2" w:rsidR="003F08E7" w:rsidRDefault="003F08E7" w:rsidP="00380B33">
      <w:pPr>
        <w:ind w:left="567" w:hanging="567"/>
      </w:pPr>
    </w:p>
    <w:p w14:paraId="45AFDFC2" w14:textId="0727E2E2" w:rsidR="00961BBF" w:rsidRDefault="00961BBF" w:rsidP="00380B33">
      <w:pPr>
        <w:ind w:left="567" w:hanging="567"/>
      </w:pPr>
    </w:p>
    <w:p w14:paraId="20379D91" w14:textId="77777777" w:rsidR="00961BBF" w:rsidRDefault="00961BBF" w:rsidP="00380B33">
      <w:pPr>
        <w:ind w:left="567" w:hanging="567"/>
      </w:pPr>
    </w:p>
    <w:p w14:paraId="65E5954A" w14:textId="1481D502" w:rsidR="009076B6" w:rsidRPr="009076B6" w:rsidRDefault="00BE1D8C" w:rsidP="00380B33">
      <w:pPr>
        <w:pStyle w:val="ListParagraph"/>
        <w:numPr>
          <w:ilvl w:val="0"/>
          <w:numId w:val="5"/>
        </w:numPr>
        <w:ind w:left="567" w:hanging="567"/>
        <w:jc w:val="center"/>
        <w:rPr>
          <w:b/>
        </w:rPr>
      </w:pPr>
      <w:r>
        <w:rPr>
          <w:b/>
        </w:rPr>
        <w:lastRenderedPageBreak/>
        <w:t>Secinājumi un t</w:t>
      </w:r>
      <w:r w:rsidR="009076B6" w:rsidRPr="009076B6">
        <w:rPr>
          <w:b/>
        </w:rPr>
        <w:t>urpmākie uzdevumi</w:t>
      </w:r>
      <w:r w:rsidR="00BD704C">
        <w:rPr>
          <w:b/>
        </w:rPr>
        <w:t xml:space="preserve"> </w:t>
      </w:r>
    </w:p>
    <w:p w14:paraId="3AD8D54F" w14:textId="1BF35C84" w:rsidR="00C811C1" w:rsidRPr="00C811C1" w:rsidRDefault="00C811C1" w:rsidP="00C811C1">
      <w:pPr>
        <w:tabs>
          <w:tab w:val="left" w:pos="3417"/>
        </w:tabs>
        <w:jc w:val="both"/>
        <w:rPr>
          <w:rFonts w:cs="Times New Roman"/>
          <w:szCs w:val="24"/>
        </w:rPr>
      </w:pPr>
      <w:r w:rsidRPr="00C811C1">
        <w:rPr>
          <w:rFonts w:cs="Times New Roman"/>
          <w:color w:val="000000"/>
          <w:szCs w:val="24"/>
        </w:rPr>
        <w:t xml:space="preserve"> </w:t>
      </w:r>
    </w:p>
    <w:p w14:paraId="2B7C00C2" w14:textId="0F47309C" w:rsidR="00C811C1" w:rsidRPr="000C6E07" w:rsidRDefault="00C811C1" w:rsidP="000C6E07">
      <w:pPr>
        <w:ind w:left="66" w:firstLine="501"/>
        <w:jc w:val="both"/>
        <w:rPr>
          <w:rFonts w:ascii="Times New Roman" w:hAnsi="Times New Roman" w:cs="Times New Roman"/>
          <w:sz w:val="24"/>
          <w:szCs w:val="24"/>
        </w:rPr>
      </w:pPr>
      <w:r w:rsidRPr="000C6E07">
        <w:rPr>
          <w:rFonts w:ascii="Times New Roman" w:hAnsi="Times New Roman" w:cs="Times New Roman"/>
          <w:sz w:val="24"/>
          <w:szCs w:val="24"/>
        </w:rPr>
        <w:t xml:space="preserve">ANM Regulas projekts nosaka, ka dalībvalstis var iesniegt plānu, kad regula par </w:t>
      </w:r>
      <w:r w:rsidR="00F60868" w:rsidRPr="000C6E07">
        <w:rPr>
          <w:rFonts w:ascii="Times New Roman" w:hAnsi="Times New Roman" w:cs="Times New Roman"/>
          <w:sz w:val="24"/>
          <w:szCs w:val="24"/>
        </w:rPr>
        <w:t>ANM</w:t>
      </w:r>
      <w:r w:rsidRPr="000C6E07">
        <w:rPr>
          <w:rFonts w:ascii="Times New Roman" w:hAnsi="Times New Roman" w:cs="Times New Roman"/>
          <w:sz w:val="24"/>
          <w:szCs w:val="24"/>
        </w:rPr>
        <w:t xml:space="preserve"> stājas spēkā. Plānots, ka regula stāsies spēkā 2021.gada februārī. </w:t>
      </w:r>
    </w:p>
    <w:p w14:paraId="586AFEB8" w14:textId="33DB3966" w:rsidR="00C811C1" w:rsidRPr="000C6E07" w:rsidRDefault="00C811C1" w:rsidP="000C6E07">
      <w:pPr>
        <w:ind w:left="66" w:firstLine="501"/>
        <w:jc w:val="both"/>
        <w:rPr>
          <w:rFonts w:ascii="Times New Roman" w:hAnsi="Times New Roman" w:cs="Times New Roman"/>
          <w:sz w:val="24"/>
          <w:szCs w:val="28"/>
        </w:rPr>
      </w:pPr>
      <w:r w:rsidRPr="000C6E07">
        <w:rPr>
          <w:rFonts w:ascii="Times New Roman" w:hAnsi="Times New Roman" w:cs="Times New Roman"/>
          <w:sz w:val="24"/>
          <w:szCs w:val="24"/>
        </w:rPr>
        <w:t>Vēlamais termiņš oficiālai ANM plāna iesniegšanai EK ir 2021.gada 30.aprīlis.</w:t>
      </w:r>
      <w:r w:rsidRPr="000C6E07">
        <w:rPr>
          <w:rFonts w:ascii="Times New Roman" w:hAnsi="Times New Roman" w:cs="Times New Roman"/>
          <w:sz w:val="24"/>
          <w:szCs w:val="28"/>
        </w:rPr>
        <w:t xml:space="preserve"> </w:t>
      </w:r>
    </w:p>
    <w:p w14:paraId="1787F3D0" w14:textId="1B9B12DD" w:rsidR="00DB308E" w:rsidRPr="000C6E07" w:rsidRDefault="00DB308E" w:rsidP="000C6E07">
      <w:pPr>
        <w:ind w:left="66" w:firstLine="501"/>
        <w:jc w:val="both"/>
        <w:rPr>
          <w:rFonts w:ascii="Times New Roman" w:hAnsi="Times New Roman" w:cs="Times New Roman"/>
          <w:sz w:val="24"/>
          <w:szCs w:val="28"/>
        </w:rPr>
      </w:pPr>
      <w:r w:rsidRPr="000C6E07">
        <w:rPr>
          <w:rFonts w:ascii="Times New Roman" w:hAnsi="Times New Roman" w:cs="Times New Roman"/>
          <w:color w:val="000000"/>
          <w:sz w:val="24"/>
          <w:szCs w:val="24"/>
        </w:rPr>
        <w:t xml:space="preserve">Lai nodrošinātu </w:t>
      </w:r>
      <w:r w:rsidR="00F60868" w:rsidRPr="000C6E07">
        <w:rPr>
          <w:rFonts w:ascii="Times New Roman" w:hAnsi="Times New Roman" w:cs="Times New Roman"/>
          <w:color w:val="000000"/>
          <w:sz w:val="24"/>
          <w:szCs w:val="24"/>
        </w:rPr>
        <w:t>ANM</w:t>
      </w:r>
      <w:r w:rsidRPr="000C6E07">
        <w:rPr>
          <w:rFonts w:ascii="Times New Roman" w:hAnsi="Times New Roman" w:cs="Times New Roman"/>
          <w:color w:val="000000"/>
          <w:sz w:val="24"/>
          <w:szCs w:val="24"/>
        </w:rPr>
        <w:t xml:space="preserve"> plāna efektīvu un savlaicīgu izstrādi un nodrošinātu tā atbilstību EK izvirzītajiem kritērijiem</w:t>
      </w:r>
      <w:r w:rsidR="000C54D5" w:rsidRPr="000C6E07">
        <w:rPr>
          <w:rFonts w:ascii="Times New Roman" w:hAnsi="Times New Roman" w:cs="Times New Roman"/>
          <w:color w:val="000000"/>
          <w:sz w:val="24"/>
          <w:szCs w:val="24"/>
        </w:rPr>
        <w:t>, Finanšu ministrija</w:t>
      </w:r>
      <w:r w:rsidR="006914E6" w:rsidRPr="000C6E07">
        <w:rPr>
          <w:rFonts w:ascii="Times New Roman" w:hAnsi="Times New Roman" w:cs="Times New Roman"/>
          <w:color w:val="000000"/>
          <w:sz w:val="24"/>
          <w:szCs w:val="24"/>
        </w:rPr>
        <w:t>i</w:t>
      </w:r>
      <w:r w:rsidR="000C54D5" w:rsidRPr="000C6E07">
        <w:rPr>
          <w:rFonts w:ascii="Times New Roman" w:hAnsi="Times New Roman" w:cs="Times New Roman"/>
          <w:color w:val="000000"/>
          <w:sz w:val="24"/>
          <w:szCs w:val="24"/>
        </w:rPr>
        <w:t xml:space="preserve"> nodrošin</w:t>
      </w:r>
      <w:r w:rsidR="006914E6" w:rsidRPr="000C6E07">
        <w:rPr>
          <w:rFonts w:ascii="Times New Roman" w:hAnsi="Times New Roman" w:cs="Times New Roman"/>
          <w:color w:val="000000"/>
          <w:sz w:val="24"/>
          <w:szCs w:val="24"/>
        </w:rPr>
        <w:t>āt</w:t>
      </w:r>
      <w:r w:rsidR="000C54D5" w:rsidRPr="000C6E07">
        <w:rPr>
          <w:rFonts w:ascii="Times New Roman" w:hAnsi="Times New Roman" w:cs="Times New Roman"/>
          <w:color w:val="000000"/>
          <w:sz w:val="24"/>
          <w:szCs w:val="24"/>
        </w:rPr>
        <w:t xml:space="preserve"> sarunu uzsākšanu ar Eiropas Komisiju par izstrādāto ANM </w:t>
      </w:r>
      <w:r w:rsidRPr="000C6E07">
        <w:rPr>
          <w:rFonts w:ascii="Times New Roman" w:hAnsi="Times New Roman" w:cs="Times New Roman"/>
          <w:sz w:val="24"/>
          <w:szCs w:val="24"/>
        </w:rPr>
        <w:t xml:space="preserve"> </w:t>
      </w:r>
      <w:r w:rsidR="000C54D5" w:rsidRPr="000C6E07">
        <w:rPr>
          <w:rFonts w:ascii="Times New Roman" w:hAnsi="Times New Roman" w:cs="Times New Roman"/>
          <w:sz w:val="24"/>
          <w:szCs w:val="24"/>
        </w:rPr>
        <w:t xml:space="preserve">plāna redakciju. </w:t>
      </w:r>
    </w:p>
    <w:p w14:paraId="18D487A6" w14:textId="3C249402" w:rsidR="002172A1" w:rsidRPr="000C6E07" w:rsidRDefault="000C54D5" w:rsidP="000C6E07">
      <w:pPr>
        <w:ind w:left="66" w:firstLine="501"/>
        <w:jc w:val="both"/>
        <w:rPr>
          <w:rFonts w:ascii="Times New Roman" w:hAnsi="Times New Roman" w:cs="Times New Roman"/>
          <w:sz w:val="24"/>
          <w:szCs w:val="24"/>
        </w:rPr>
      </w:pPr>
      <w:r w:rsidRPr="000C6E07">
        <w:rPr>
          <w:rFonts w:ascii="Times New Roman" w:hAnsi="Times New Roman" w:cs="Times New Roman"/>
          <w:sz w:val="24"/>
          <w:szCs w:val="24"/>
        </w:rPr>
        <w:t>Finanšu ministrija</w:t>
      </w:r>
      <w:r w:rsidR="006914E6" w:rsidRPr="000C6E07">
        <w:rPr>
          <w:rFonts w:ascii="Times New Roman" w:hAnsi="Times New Roman" w:cs="Times New Roman"/>
          <w:sz w:val="24"/>
          <w:szCs w:val="24"/>
        </w:rPr>
        <w:t>i</w:t>
      </w:r>
      <w:r w:rsidRPr="000C6E07">
        <w:rPr>
          <w:rFonts w:ascii="Times New Roman" w:hAnsi="Times New Roman" w:cs="Times New Roman"/>
          <w:sz w:val="24"/>
          <w:szCs w:val="24"/>
        </w:rPr>
        <w:t xml:space="preserve"> uzsāk</w:t>
      </w:r>
      <w:r w:rsidR="006914E6" w:rsidRPr="000C6E07">
        <w:rPr>
          <w:rFonts w:ascii="Times New Roman" w:hAnsi="Times New Roman" w:cs="Times New Roman"/>
          <w:sz w:val="24"/>
          <w:szCs w:val="24"/>
        </w:rPr>
        <w:t>t</w:t>
      </w:r>
      <w:r w:rsidRPr="000C6E07">
        <w:rPr>
          <w:rFonts w:ascii="Times New Roman" w:hAnsi="Times New Roman" w:cs="Times New Roman"/>
          <w:sz w:val="24"/>
          <w:szCs w:val="24"/>
        </w:rPr>
        <w:t xml:space="preserve"> ANM plāna saskaņošanas procesu</w:t>
      </w:r>
      <w:r w:rsidR="006914E6" w:rsidRPr="000C6E07">
        <w:rPr>
          <w:rFonts w:ascii="Times New Roman" w:hAnsi="Times New Roman" w:cs="Times New Roman"/>
          <w:sz w:val="24"/>
          <w:szCs w:val="24"/>
        </w:rPr>
        <w:t xml:space="preserve">, izsludinot to </w:t>
      </w:r>
      <w:r w:rsidRPr="000C6E07">
        <w:rPr>
          <w:rFonts w:ascii="Times New Roman" w:hAnsi="Times New Roman" w:cs="Times New Roman"/>
          <w:sz w:val="24"/>
          <w:szCs w:val="24"/>
        </w:rPr>
        <w:t xml:space="preserve"> Valsts sekretāru sanāksmē. </w:t>
      </w:r>
    </w:p>
    <w:p w14:paraId="7E2C1F0F" w14:textId="221AFE20" w:rsidR="00A03B7C" w:rsidRPr="000C6E07" w:rsidRDefault="00A03B7C" w:rsidP="000C6E07">
      <w:pPr>
        <w:ind w:left="66" w:firstLine="501"/>
        <w:jc w:val="both"/>
        <w:rPr>
          <w:rFonts w:ascii="Times New Roman" w:hAnsi="Times New Roman" w:cs="Times New Roman"/>
          <w:sz w:val="24"/>
          <w:szCs w:val="24"/>
        </w:rPr>
      </w:pPr>
      <w:r w:rsidRPr="000C6E07">
        <w:rPr>
          <w:rFonts w:ascii="Times New Roman" w:hAnsi="Times New Roman" w:cs="Times New Roman"/>
          <w:sz w:val="24"/>
          <w:szCs w:val="24"/>
        </w:rPr>
        <w:t>Finanšu ministrija</w:t>
      </w:r>
      <w:r w:rsidR="006914E6" w:rsidRPr="000C6E07">
        <w:rPr>
          <w:rFonts w:ascii="Times New Roman" w:hAnsi="Times New Roman" w:cs="Times New Roman"/>
          <w:sz w:val="24"/>
          <w:szCs w:val="24"/>
        </w:rPr>
        <w:t>i</w:t>
      </w:r>
      <w:r w:rsidRPr="000C6E07">
        <w:rPr>
          <w:rFonts w:ascii="Times New Roman" w:hAnsi="Times New Roman" w:cs="Times New Roman"/>
          <w:sz w:val="24"/>
          <w:szCs w:val="24"/>
        </w:rPr>
        <w:t xml:space="preserve"> konsultē</w:t>
      </w:r>
      <w:r w:rsidR="006914E6" w:rsidRPr="000C6E07">
        <w:rPr>
          <w:rFonts w:ascii="Times New Roman" w:hAnsi="Times New Roman" w:cs="Times New Roman"/>
          <w:sz w:val="24"/>
          <w:szCs w:val="24"/>
        </w:rPr>
        <w:t>ties</w:t>
      </w:r>
      <w:r w:rsidRPr="000C6E07">
        <w:rPr>
          <w:rFonts w:ascii="Times New Roman" w:hAnsi="Times New Roman" w:cs="Times New Roman"/>
          <w:sz w:val="24"/>
          <w:szCs w:val="24"/>
        </w:rPr>
        <w:t xml:space="preserve"> par ANM plānu ar Fiskālās disciplīnas padomi un </w:t>
      </w:r>
      <w:r w:rsidR="00DD56DF" w:rsidRPr="000C6E07">
        <w:rPr>
          <w:rFonts w:ascii="Times New Roman" w:hAnsi="Times New Roman" w:cs="Times New Roman"/>
          <w:sz w:val="24"/>
          <w:szCs w:val="24"/>
        </w:rPr>
        <w:t>Produktivitātes padomi</w:t>
      </w:r>
      <w:r w:rsidR="003F37D5">
        <w:rPr>
          <w:rStyle w:val="FootnoteReference"/>
          <w:rFonts w:ascii="Times New Roman" w:hAnsi="Times New Roman" w:cs="Times New Roman"/>
          <w:sz w:val="24"/>
          <w:szCs w:val="24"/>
        </w:rPr>
        <w:footnoteReference w:id="6"/>
      </w:r>
      <w:r w:rsidR="00DD56DF" w:rsidRPr="000C6E07">
        <w:rPr>
          <w:rFonts w:ascii="Times New Roman" w:hAnsi="Times New Roman" w:cs="Times New Roman"/>
          <w:sz w:val="24"/>
          <w:szCs w:val="24"/>
        </w:rPr>
        <w:t xml:space="preserve">. </w:t>
      </w:r>
    </w:p>
    <w:p w14:paraId="4516ADC8" w14:textId="44F08AEE" w:rsidR="000C54D5" w:rsidRPr="000C6E07" w:rsidRDefault="00B50CF3" w:rsidP="000C6E07">
      <w:pPr>
        <w:ind w:left="66" w:firstLine="501"/>
        <w:jc w:val="both"/>
        <w:rPr>
          <w:rFonts w:ascii="Times New Roman" w:hAnsi="Times New Roman" w:cs="Times New Roman"/>
          <w:sz w:val="24"/>
          <w:szCs w:val="24"/>
        </w:rPr>
      </w:pPr>
      <w:r w:rsidRPr="000C6E07">
        <w:rPr>
          <w:rFonts w:ascii="Times New Roman" w:hAnsi="Times New Roman" w:cs="Times New Roman"/>
          <w:sz w:val="24"/>
          <w:szCs w:val="24"/>
        </w:rPr>
        <w:t>Finanšu ministrija</w:t>
      </w:r>
      <w:r w:rsidR="006914E6" w:rsidRPr="000C6E07">
        <w:rPr>
          <w:rFonts w:ascii="Times New Roman" w:hAnsi="Times New Roman" w:cs="Times New Roman"/>
          <w:sz w:val="24"/>
          <w:szCs w:val="24"/>
        </w:rPr>
        <w:t>i</w:t>
      </w:r>
      <w:r w:rsidRPr="000C6E07">
        <w:rPr>
          <w:rFonts w:ascii="Times New Roman" w:hAnsi="Times New Roman" w:cs="Times New Roman"/>
          <w:sz w:val="24"/>
          <w:szCs w:val="24"/>
        </w:rPr>
        <w:t xml:space="preserve"> </w:t>
      </w:r>
      <w:r w:rsidR="00F960C5" w:rsidRPr="000C6E07">
        <w:rPr>
          <w:rFonts w:ascii="Times New Roman" w:hAnsi="Times New Roman" w:cs="Times New Roman"/>
          <w:sz w:val="24"/>
          <w:szCs w:val="24"/>
        </w:rPr>
        <w:t xml:space="preserve">noteiktā kārtībā </w:t>
      </w:r>
      <w:r w:rsidR="006914E6" w:rsidRPr="000C6E07">
        <w:rPr>
          <w:rFonts w:ascii="Times New Roman" w:hAnsi="Times New Roman" w:cs="Times New Roman"/>
          <w:sz w:val="24"/>
          <w:szCs w:val="24"/>
        </w:rPr>
        <w:t xml:space="preserve">iesniegt </w:t>
      </w:r>
      <w:r w:rsidRPr="000C6E07">
        <w:rPr>
          <w:rFonts w:ascii="Times New Roman" w:hAnsi="Times New Roman" w:cs="Times New Roman"/>
          <w:sz w:val="24"/>
          <w:szCs w:val="24"/>
        </w:rPr>
        <w:t xml:space="preserve">apstiprināšanai ANM plānu </w:t>
      </w:r>
      <w:r w:rsidR="009A7F0B" w:rsidRPr="000C6E07">
        <w:rPr>
          <w:rFonts w:ascii="Times New Roman" w:hAnsi="Times New Roman" w:cs="Times New Roman"/>
          <w:sz w:val="24"/>
          <w:szCs w:val="24"/>
        </w:rPr>
        <w:t>M</w:t>
      </w:r>
      <w:r w:rsidR="007569EA" w:rsidRPr="000C6E07">
        <w:rPr>
          <w:rFonts w:ascii="Times New Roman" w:hAnsi="Times New Roman" w:cs="Times New Roman"/>
          <w:sz w:val="24"/>
          <w:szCs w:val="24"/>
        </w:rPr>
        <w:t>K</w:t>
      </w:r>
      <w:r w:rsidR="009A7F0B" w:rsidRPr="000C6E07">
        <w:rPr>
          <w:rFonts w:ascii="Times New Roman" w:hAnsi="Times New Roman" w:cs="Times New Roman"/>
          <w:sz w:val="24"/>
          <w:szCs w:val="24"/>
        </w:rPr>
        <w:t xml:space="preserve"> </w:t>
      </w:r>
      <w:r w:rsidRPr="000C6E07">
        <w:rPr>
          <w:rFonts w:ascii="Times New Roman" w:hAnsi="Times New Roman" w:cs="Times New Roman"/>
          <w:sz w:val="24"/>
          <w:szCs w:val="24"/>
        </w:rPr>
        <w:t xml:space="preserve">līdz 2021.gada 30.aprīlim.  </w:t>
      </w:r>
    </w:p>
    <w:p w14:paraId="08791ED0" w14:textId="58C64F81" w:rsidR="00955CBD" w:rsidRDefault="00955CBD" w:rsidP="00955CBD">
      <w:pPr>
        <w:jc w:val="both"/>
        <w:rPr>
          <w:rFonts w:cs="Times New Roman"/>
          <w:szCs w:val="24"/>
        </w:rPr>
      </w:pPr>
    </w:p>
    <w:p w14:paraId="4AE4E3F3" w14:textId="0F128B2A" w:rsidR="00955CBD" w:rsidRDefault="00955CBD" w:rsidP="00955CBD">
      <w:pPr>
        <w:jc w:val="both"/>
        <w:rPr>
          <w:rFonts w:cs="Times New Roman"/>
          <w:szCs w:val="24"/>
        </w:rPr>
      </w:pPr>
    </w:p>
    <w:p w14:paraId="55718394" w14:textId="660B221F" w:rsidR="00955CBD" w:rsidRPr="0076574C" w:rsidRDefault="0076574C" w:rsidP="00955CBD">
      <w:pPr>
        <w:jc w:val="both"/>
        <w:rPr>
          <w:rFonts w:ascii="Times New Roman" w:hAnsi="Times New Roman" w:cs="Times New Roman"/>
          <w:sz w:val="24"/>
          <w:szCs w:val="24"/>
        </w:rPr>
      </w:pPr>
      <w:r w:rsidRPr="0076574C">
        <w:rPr>
          <w:rFonts w:ascii="Times New Roman" w:hAnsi="Times New Roman" w:cs="Times New Roman"/>
          <w:sz w:val="24"/>
          <w:szCs w:val="24"/>
        </w:rPr>
        <w:t>Pielikumā:</w:t>
      </w:r>
    </w:p>
    <w:p w14:paraId="5428DE6B" w14:textId="648D4795" w:rsidR="0076574C" w:rsidRDefault="0076574C" w:rsidP="0076574C">
      <w:pPr>
        <w:pStyle w:val="ListParagraph"/>
        <w:numPr>
          <w:ilvl w:val="0"/>
          <w:numId w:val="14"/>
        </w:numPr>
        <w:jc w:val="both"/>
        <w:rPr>
          <w:rFonts w:cs="Times New Roman"/>
          <w:szCs w:val="24"/>
        </w:rPr>
      </w:pPr>
      <w:r w:rsidRPr="0076574C">
        <w:rPr>
          <w:rFonts w:cs="Times New Roman"/>
          <w:szCs w:val="24"/>
        </w:rPr>
        <w:t>Eiropas Savienības Atveseļošanas un noturības mehānisma plāna projekts;</w:t>
      </w:r>
    </w:p>
    <w:p w14:paraId="1B000735" w14:textId="43EA32C7" w:rsidR="0076574C" w:rsidRDefault="0076574C" w:rsidP="0076574C">
      <w:pPr>
        <w:pStyle w:val="ListParagraph"/>
        <w:numPr>
          <w:ilvl w:val="0"/>
          <w:numId w:val="14"/>
        </w:numPr>
        <w:jc w:val="both"/>
        <w:rPr>
          <w:rFonts w:cs="Times New Roman"/>
          <w:szCs w:val="24"/>
        </w:rPr>
      </w:pPr>
      <w:r w:rsidRPr="0076574C">
        <w:rPr>
          <w:rFonts w:cs="Times New Roman"/>
          <w:szCs w:val="24"/>
        </w:rPr>
        <w:t>Eiropas Savienības Atveseļošanas un noturības mehānisma plāna</w:t>
      </w:r>
      <w:r w:rsidR="00C41F20">
        <w:rPr>
          <w:rFonts w:cs="Times New Roman"/>
          <w:szCs w:val="24"/>
        </w:rPr>
        <w:t xml:space="preserve"> pielikums Nr.1. </w:t>
      </w:r>
      <w:r w:rsidR="007D1BA9">
        <w:rPr>
          <w:rFonts w:cs="Times New Roman"/>
          <w:szCs w:val="24"/>
        </w:rPr>
        <w:t>“I</w:t>
      </w:r>
      <w:r>
        <w:rPr>
          <w:rFonts w:cs="Times New Roman"/>
          <w:szCs w:val="24"/>
        </w:rPr>
        <w:t>zmaksu apkopojums</w:t>
      </w:r>
      <w:r w:rsidR="007D1BA9">
        <w:rPr>
          <w:rFonts w:cs="Times New Roman"/>
          <w:szCs w:val="24"/>
        </w:rPr>
        <w:t>”;</w:t>
      </w:r>
    </w:p>
    <w:p w14:paraId="57D8E984" w14:textId="55AC561E" w:rsidR="0076574C" w:rsidRPr="0076574C" w:rsidRDefault="0076574C" w:rsidP="0076574C">
      <w:pPr>
        <w:pStyle w:val="ListParagraph"/>
        <w:numPr>
          <w:ilvl w:val="0"/>
          <w:numId w:val="14"/>
        </w:numPr>
        <w:jc w:val="both"/>
        <w:rPr>
          <w:rFonts w:cs="Times New Roman"/>
          <w:szCs w:val="24"/>
        </w:rPr>
      </w:pPr>
      <w:r w:rsidRPr="0076574C">
        <w:rPr>
          <w:rFonts w:cs="Times New Roman"/>
          <w:szCs w:val="24"/>
        </w:rPr>
        <w:t>Eiropas Savienības Atveseļošanas un noturības mehānisma plāna</w:t>
      </w:r>
      <w:r w:rsidR="00C41F20">
        <w:rPr>
          <w:rFonts w:cs="Times New Roman"/>
          <w:szCs w:val="24"/>
        </w:rPr>
        <w:t xml:space="preserve"> pielikums Nr.2.</w:t>
      </w:r>
      <w:r>
        <w:rPr>
          <w:rFonts w:cs="Times New Roman"/>
          <w:szCs w:val="24"/>
        </w:rPr>
        <w:t xml:space="preserve"> </w:t>
      </w:r>
      <w:r w:rsidR="007D1BA9">
        <w:rPr>
          <w:rFonts w:cs="Times New Roman"/>
          <w:szCs w:val="24"/>
        </w:rPr>
        <w:t>“R</w:t>
      </w:r>
      <w:r>
        <w:rPr>
          <w:rFonts w:cs="Times New Roman"/>
          <w:szCs w:val="24"/>
        </w:rPr>
        <w:t>ādītāju apkopojums</w:t>
      </w:r>
      <w:r w:rsidR="007D1BA9">
        <w:rPr>
          <w:rFonts w:cs="Times New Roman"/>
          <w:szCs w:val="24"/>
        </w:rPr>
        <w:t>”</w:t>
      </w:r>
      <w:r>
        <w:rPr>
          <w:rFonts w:cs="Times New Roman"/>
          <w:szCs w:val="24"/>
        </w:rPr>
        <w:t xml:space="preserve">. </w:t>
      </w:r>
    </w:p>
    <w:p w14:paraId="1B91BECC" w14:textId="75BF5202" w:rsidR="00955CBD" w:rsidRPr="0076574C" w:rsidRDefault="00955CBD" w:rsidP="00955CBD">
      <w:pPr>
        <w:jc w:val="both"/>
        <w:rPr>
          <w:rFonts w:ascii="Times New Roman" w:hAnsi="Times New Roman" w:cs="Times New Roman"/>
          <w:sz w:val="24"/>
          <w:szCs w:val="24"/>
        </w:rPr>
      </w:pPr>
    </w:p>
    <w:p w14:paraId="47BA083E" w14:textId="415BDC28" w:rsidR="00955CBD" w:rsidRPr="00955CBD" w:rsidRDefault="00955CBD" w:rsidP="00955CBD">
      <w:pPr>
        <w:jc w:val="both"/>
        <w:rPr>
          <w:rFonts w:ascii="Times New Roman" w:hAnsi="Times New Roman" w:cs="Times New Roman"/>
          <w:sz w:val="24"/>
          <w:szCs w:val="24"/>
        </w:rPr>
      </w:pPr>
    </w:p>
    <w:p w14:paraId="1E33CF27" w14:textId="77777777" w:rsidR="00955CBD" w:rsidRPr="00955CBD" w:rsidRDefault="00955CBD" w:rsidP="00955CBD">
      <w:pPr>
        <w:tabs>
          <w:tab w:val="right" w:pos="9072"/>
        </w:tabs>
        <w:suppressAutoHyphens/>
        <w:spacing w:line="276" w:lineRule="auto"/>
        <w:rPr>
          <w:rFonts w:ascii="Times New Roman" w:hAnsi="Times New Roman" w:cs="Times New Roman"/>
          <w:sz w:val="24"/>
          <w:szCs w:val="24"/>
        </w:rPr>
      </w:pPr>
      <w:r w:rsidRPr="00955CBD">
        <w:rPr>
          <w:rFonts w:ascii="Times New Roman" w:hAnsi="Times New Roman" w:cs="Times New Roman"/>
          <w:spacing w:val="6"/>
          <w:sz w:val="24"/>
          <w:szCs w:val="24"/>
        </w:rPr>
        <w:t>Finanšu ministrs</w:t>
      </w:r>
      <w:r w:rsidRPr="00955CBD">
        <w:rPr>
          <w:rFonts w:ascii="Times New Roman" w:hAnsi="Times New Roman" w:cs="Times New Roman"/>
          <w:spacing w:val="6"/>
          <w:sz w:val="24"/>
          <w:szCs w:val="24"/>
        </w:rPr>
        <w:tab/>
        <w:t>J. Reirs</w:t>
      </w:r>
    </w:p>
    <w:p w14:paraId="449ED99E" w14:textId="77777777" w:rsidR="00955CBD" w:rsidRPr="00955CBD" w:rsidRDefault="00955CBD" w:rsidP="00955CBD">
      <w:pPr>
        <w:pStyle w:val="NoSpacing"/>
        <w:spacing w:line="276" w:lineRule="auto"/>
        <w:ind w:firstLineChars="265" w:firstLine="636"/>
        <w:rPr>
          <w:rFonts w:cs="Times New Roman"/>
          <w:szCs w:val="24"/>
        </w:rPr>
      </w:pPr>
    </w:p>
    <w:p w14:paraId="1D0F630F" w14:textId="229BA7A7" w:rsidR="00955CBD" w:rsidRDefault="00955CBD" w:rsidP="00955CBD">
      <w:pPr>
        <w:pStyle w:val="NoSpacing"/>
        <w:spacing w:line="276" w:lineRule="auto"/>
        <w:rPr>
          <w:rStyle w:val="Hyperlink"/>
          <w:rFonts w:cs="Times New Roman"/>
          <w:szCs w:val="24"/>
        </w:rPr>
      </w:pPr>
    </w:p>
    <w:p w14:paraId="487B6777" w14:textId="76AEB500" w:rsidR="00955CBD" w:rsidRDefault="00955CBD" w:rsidP="00955CBD">
      <w:pPr>
        <w:pStyle w:val="NoSpacing"/>
        <w:spacing w:line="276" w:lineRule="auto"/>
        <w:rPr>
          <w:rStyle w:val="Hyperlink"/>
          <w:rFonts w:cs="Times New Roman"/>
          <w:szCs w:val="24"/>
        </w:rPr>
      </w:pPr>
    </w:p>
    <w:p w14:paraId="2762B644" w14:textId="77777777" w:rsidR="00955CBD" w:rsidRPr="007D1BA9" w:rsidRDefault="00955CBD" w:rsidP="00955CBD">
      <w:pPr>
        <w:pStyle w:val="NoSpacing"/>
        <w:spacing w:line="276" w:lineRule="auto"/>
        <w:rPr>
          <w:rStyle w:val="Hyperlink"/>
          <w:rFonts w:cs="Times New Roman"/>
          <w:sz w:val="20"/>
          <w:szCs w:val="20"/>
        </w:rPr>
      </w:pPr>
    </w:p>
    <w:p w14:paraId="7257F610" w14:textId="545997ED" w:rsidR="00955CBD" w:rsidRPr="007D1BA9" w:rsidRDefault="00955CBD" w:rsidP="00955CBD">
      <w:pPr>
        <w:pStyle w:val="NoSpacing"/>
        <w:rPr>
          <w:rFonts w:cs="Times New Roman"/>
          <w:sz w:val="20"/>
          <w:szCs w:val="20"/>
        </w:rPr>
      </w:pPr>
      <w:r w:rsidRPr="007D1BA9">
        <w:rPr>
          <w:rFonts w:cs="Times New Roman"/>
          <w:sz w:val="20"/>
          <w:szCs w:val="20"/>
        </w:rPr>
        <w:t xml:space="preserve">Otzule </w:t>
      </w:r>
      <w:r w:rsidR="005A348E" w:rsidRPr="00290DFE">
        <w:rPr>
          <w:rFonts w:cs="Times New Roman"/>
          <w:sz w:val="20"/>
          <w:szCs w:val="20"/>
        </w:rPr>
        <w:t>67083889</w:t>
      </w:r>
    </w:p>
    <w:p w14:paraId="3387A5D2" w14:textId="5FFE36BD" w:rsidR="00955CBD" w:rsidRPr="007D1BA9" w:rsidRDefault="00955CBD" w:rsidP="00955CBD">
      <w:pPr>
        <w:rPr>
          <w:rFonts w:ascii="Times New Roman" w:hAnsi="Times New Roman" w:cs="Times New Roman"/>
          <w:sz w:val="20"/>
          <w:szCs w:val="20"/>
        </w:rPr>
      </w:pPr>
      <w:r w:rsidRPr="007D1BA9">
        <w:rPr>
          <w:rFonts w:ascii="Times New Roman" w:hAnsi="Times New Roman" w:cs="Times New Roman"/>
          <w:sz w:val="20"/>
          <w:szCs w:val="20"/>
        </w:rPr>
        <w:t>Inese.Otzule@fm.gov.lv</w:t>
      </w:r>
    </w:p>
    <w:p w14:paraId="7C19BCB9" w14:textId="77777777" w:rsidR="00955CBD" w:rsidRPr="00955CBD" w:rsidRDefault="00955CBD" w:rsidP="00955CBD">
      <w:pPr>
        <w:jc w:val="both"/>
        <w:rPr>
          <w:rFonts w:ascii="Times New Roman" w:hAnsi="Times New Roman" w:cs="Times New Roman"/>
          <w:sz w:val="24"/>
          <w:szCs w:val="24"/>
        </w:rPr>
      </w:pPr>
    </w:p>
    <w:sectPr w:rsidR="00955CBD" w:rsidRPr="00955CBD" w:rsidSect="00AD061A">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1549" w14:textId="77777777" w:rsidR="00CA3866" w:rsidRDefault="00CA3866" w:rsidP="00B46BFD">
      <w:pPr>
        <w:spacing w:after="0" w:line="240" w:lineRule="auto"/>
      </w:pPr>
      <w:r>
        <w:separator/>
      </w:r>
    </w:p>
  </w:endnote>
  <w:endnote w:type="continuationSeparator" w:id="0">
    <w:p w14:paraId="7F8A21EC" w14:textId="77777777" w:rsidR="00CA3866" w:rsidRDefault="00CA3866" w:rsidP="00B4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0084" w14:textId="0EA52335" w:rsidR="00F60868" w:rsidRPr="00F60868" w:rsidRDefault="00F60868">
    <w:pPr>
      <w:pStyle w:val="Footer"/>
      <w:rPr>
        <w:rFonts w:ascii="Times New Roman" w:hAnsi="Times New Roman" w:cs="Times New Roman"/>
      </w:rPr>
    </w:pPr>
    <w:r w:rsidRPr="00F60868">
      <w:rPr>
        <w:rFonts w:ascii="Times New Roman" w:hAnsi="Times New Roman" w:cs="Times New Roman"/>
      </w:rPr>
      <w:t>FMzin</w:t>
    </w:r>
    <w:r w:rsidR="00664C42">
      <w:rPr>
        <w:rFonts w:ascii="Times New Roman" w:hAnsi="Times New Roman" w:cs="Times New Roman"/>
      </w:rPr>
      <w:t>_</w:t>
    </w:r>
    <w:r w:rsidRPr="00F60868">
      <w:rPr>
        <w:rFonts w:ascii="Times New Roman" w:hAnsi="Times New Roman" w:cs="Times New Roman"/>
      </w:rPr>
      <w:t>2</w:t>
    </w:r>
    <w:r w:rsidR="000C6E07">
      <w:rPr>
        <w:rFonts w:ascii="Times New Roman" w:hAnsi="Times New Roman" w:cs="Times New Roman"/>
      </w:rPr>
      <w:t>9</w:t>
    </w:r>
    <w:r w:rsidRPr="00F60868">
      <w:rPr>
        <w:rFonts w:ascii="Times New Roman" w:hAnsi="Times New Roman" w:cs="Times New Roman"/>
      </w:rPr>
      <w:t>0121_ANM</w:t>
    </w:r>
  </w:p>
  <w:p w14:paraId="1C19EA9D" w14:textId="77777777" w:rsidR="00FA4C80" w:rsidRDefault="00FA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9BED" w14:textId="77777777" w:rsidR="00CA3866" w:rsidRDefault="00CA3866" w:rsidP="00B46BFD">
      <w:pPr>
        <w:spacing w:after="0" w:line="240" w:lineRule="auto"/>
      </w:pPr>
      <w:r>
        <w:separator/>
      </w:r>
    </w:p>
  </w:footnote>
  <w:footnote w:type="continuationSeparator" w:id="0">
    <w:p w14:paraId="47FA9F0A" w14:textId="77777777" w:rsidR="00CA3866" w:rsidRDefault="00CA3866" w:rsidP="00B46BFD">
      <w:pPr>
        <w:spacing w:after="0" w:line="240" w:lineRule="auto"/>
      </w:pPr>
      <w:r>
        <w:continuationSeparator/>
      </w:r>
    </w:p>
  </w:footnote>
  <w:footnote w:id="1">
    <w:p w14:paraId="63122D25" w14:textId="354E75AA" w:rsidR="00EB7F26" w:rsidRPr="00A26B6B" w:rsidRDefault="00EB7F26" w:rsidP="00A26B6B">
      <w:pPr>
        <w:pStyle w:val="typedudocument"/>
        <w:shd w:val="clear" w:color="auto" w:fill="FFFFFF"/>
        <w:spacing w:before="0" w:beforeAutospacing="0" w:after="0" w:afterAutospacing="0"/>
        <w:jc w:val="both"/>
        <w:textAlignment w:val="baseline"/>
        <w:rPr>
          <w:rFonts w:eastAsiaTheme="minorHAnsi" w:cstheme="minorBidi"/>
          <w:sz w:val="20"/>
          <w:szCs w:val="20"/>
          <w:lang w:eastAsia="en-US"/>
        </w:rPr>
      </w:pPr>
      <w:r w:rsidRPr="00A26B6B">
        <w:rPr>
          <w:rFonts w:eastAsiaTheme="minorHAnsi" w:cstheme="minorBidi"/>
          <w:sz w:val="20"/>
          <w:szCs w:val="20"/>
          <w:vertAlign w:val="superscript"/>
          <w:lang w:eastAsia="en-US"/>
        </w:rPr>
        <w:footnoteRef/>
      </w:r>
      <w:r w:rsidRPr="00A26B6B">
        <w:rPr>
          <w:rFonts w:eastAsiaTheme="minorHAnsi" w:cstheme="minorBidi"/>
          <w:sz w:val="20"/>
          <w:szCs w:val="20"/>
          <w:lang w:eastAsia="en-US"/>
        </w:rPr>
        <w:t xml:space="preserve"> </w:t>
      </w:r>
      <w:r w:rsidR="00A26B6B" w:rsidRPr="00A26B6B">
        <w:rPr>
          <w:rFonts w:eastAsiaTheme="minorHAnsi" w:cstheme="minorBidi"/>
          <w:sz w:val="20"/>
          <w:szCs w:val="20"/>
          <w:lang w:eastAsia="en-US"/>
        </w:rPr>
        <w:t>PADOMES IETEIKUMS</w:t>
      </w:r>
      <w:r w:rsidR="00A26B6B">
        <w:rPr>
          <w:rFonts w:eastAsiaTheme="minorHAnsi" w:cstheme="minorBidi"/>
          <w:sz w:val="20"/>
          <w:szCs w:val="20"/>
          <w:lang w:eastAsia="en-US"/>
        </w:rPr>
        <w:t xml:space="preserve"> </w:t>
      </w:r>
      <w:r w:rsidR="00A26B6B" w:rsidRPr="00A26B6B">
        <w:rPr>
          <w:rFonts w:eastAsiaTheme="minorHAnsi" w:cstheme="minorBidi"/>
          <w:sz w:val="20"/>
          <w:szCs w:val="20"/>
          <w:lang w:eastAsia="en-US"/>
        </w:rPr>
        <w:t>par Latvijas 2019. gada valsts re</w:t>
      </w:r>
      <w:r w:rsidR="00A26B6B">
        <w:rPr>
          <w:rFonts w:eastAsiaTheme="minorHAnsi" w:cstheme="minorBidi"/>
          <w:sz w:val="20"/>
          <w:szCs w:val="20"/>
          <w:lang w:eastAsia="en-US"/>
        </w:rPr>
        <w:t xml:space="preserve">formu programmu un ar ko sniedz </w:t>
      </w:r>
      <w:r w:rsidR="00A26B6B" w:rsidRPr="00A26B6B">
        <w:rPr>
          <w:rFonts w:eastAsiaTheme="minorHAnsi" w:cstheme="minorBidi"/>
          <w:sz w:val="20"/>
          <w:szCs w:val="20"/>
          <w:lang w:eastAsia="en-US"/>
        </w:rPr>
        <w:t>Padomes atzinumu par Latvijas 2019. gada stabilitātes programmu</w:t>
      </w:r>
      <w:r w:rsidR="00A26B6B">
        <w:rPr>
          <w:rFonts w:eastAsiaTheme="minorHAnsi" w:cstheme="minorBidi"/>
          <w:sz w:val="20"/>
          <w:szCs w:val="20"/>
          <w:lang w:eastAsia="en-US"/>
        </w:rPr>
        <w:t xml:space="preserve">. Pieejams šeit: </w:t>
      </w:r>
      <w:hyperlink r:id="rId1" w:history="1">
        <w:r w:rsidR="00A26B6B" w:rsidRPr="00A26B6B">
          <w:rPr>
            <w:rStyle w:val="Hyperlink"/>
            <w:sz w:val="20"/>
          </w:rPr>
          <w:t>IMMC.COM_2019_0514_FIN.LAV.xhtml.1_LV_ACT_part1_v2.docx (europa.eu)</w:t>
        </w:r>
      </w:hyperlink>
    </w:p>
  </w:footnote>
  <w:footnote w:id="2">
    <w:p w14:paraId="4B5AC4E0" w14:textId="3A26E55B" w:rsidR="00EB7F26" w:rsidRPr="00A26B6B" w:rsidRDefault="00EB7F26" w:rsidP="00A26B6B">
      <w:pPr>
        <w:pStyle w:val="typedudocument"/>
        <w:shd w:val="clear" w:color="auto" w:fill="FFFFFF"/>
        <w:spacing w:before="0" w:beforeAutospacing="0" w:after="0" w:afterAutospacing="0"/>
        <w:jc w:val="both"/>
        <w:textAlignment w:val="baseline"/>
        <w:rPr>
          <w:rFonts w:eastAsiaTheme="minorHAnsi" w:cstheme="minorBidi"/>
          <w:sz w:val="20"/>
          <w:szCs w:val="20"/>
          <w:lang w:eastAsia="en-US"/>
        </w:rPr>
      </w:pPr>
      <w:r>
        <w:rPr>
          <w:rStyle w:val="FootnoteReference"/>
        </w:rPr>
        <w:footnoteRef/>
      </w:r>
      <w:r>
        <w:t xml:space="preserve"> </w:t>
      </w:r>
      <w:r w:rsidR="00A26B6B" w:rsidRPr="00A26B6B">
        <w:rPr>
          <w:rFonts w:eastAsiaTheme="minorHAnsi" w:cstheme="minorBidi"/>
          <w:sz w:val="20"/>
          <w:szCs w:val="20"/>
          <w:lang w:eastAsia="en-US"/>
        </w:rPr>
        <w:t>PADOMES IETEIKUMS</w:t>
      </w:r>
      <w:r w:rsidR="00A26B6B">
        <w:rPr>
          <w:rFonts w:eastAsiaTheme="minorHAnsi" w:cstheme="minorBidi"/>
          <w:sz w:val="20"/>
          <w:szCs w:val="20"/>
          <w:lang w:eastAsia="en-US"/>
        </w:rPr>
        <w:t xml:space="preserve"> </w:t>
      </w:r>
      <w:r w:rsidR="00A26B6B" w:rsidRPr="00A26B6B">
        <w:rPr>
          <w:rFonts w:eastAsiaTheme="minorHAnsi" w:cstheme="minorBidi"/>
          <w:sz w:val="20"/>
          <w:szCs w:val="20"/>
          <w:lang w:eastAsia="en-US"/>
        </w:rPr>
        <w:t>par Latvijas 2020. gada valsts re</w:t>
      </w:r>
      <w:r w:rsidR="00A26B6B">
        <w:rPr>
          <w:rFonts w:eastAsiaTheme="minorHAnsi" w:cstheme="minorBidi"/>
          <w:sz w:val="20"/>
          <w:szCs w:val="20"/>
          <w:lang w:eastAsia="en-US"/>
        </w:rPr>
        <w:t xml:space="preserve">formu programmu un ar ko sniedz </w:t>
      </w:r>
      <w:r w:rsidR="00A26B6B" w:rsidRPr="00A26B6B">
        <w:rPr>
          <w:rFonts w:eastAsiaTheme="minorHAnsi" w:cstheme="minorBidi"/>
          <w:sz w:val="20"/>
          <w:szCs w:val="20"/>
          <w:lang w:eastAsia="en-US"/>
        </w:rPr>
        <w:t>Padomes atzinumu par Latvijas 2020. gada stabilitātes programmu</w:t>
      </w:r>
      <w:r w:rsidR="00A26B6B">
        <w:rPr>
          <w:rFonts w:eastAsiaTheme="minorHAnsi" w:cstheme="minorBidi"/>
          <w:sz w:val="20"/>
          <w:szCs w:val="20"/>
          <w:lang w:eastAsia="en-US"/>
        </w:rPr>
        <w:t xml:space="preserve">. Pieejams šeit: </w:t>
      </w:r>
      <w:hyperlink r:id="rId2" w:history="1">
        <w:r w:rsidR="00A26B6B" w:rsidRPr="00A26B6B">
          <w:rPr>
            <w:rStyle w:val="Hyperlink"/>
            <w:sz w:val="20"/>
          </w:rPr>
          <w:t>IMMC.COM%282020%29514%20final.LAV.xhtml.1_LV_ACT_part1_v2.docx (europa.eu)</w:t>
        </w:r>
      </w:hyperlink>
    </w:p>
  </w:footnote>
  <w:footnote w:id="3">
    <w:p w14:paraId="743F9672" w14:textId="77777777" w:rsidR="00937E27" w:rsidRDefault="00937E27" w:rsidP="00937E27">
      <w:pPr>
        <w:pStyle w:val="FootnoteText"/>
        <w:jc w:val="both"/>
      </w:pPr>
      <w:r>
        <w:rPr>
          <w:rStyle w:val="FootnoteReference"/>
        </w:rPr>
        <w:footnoteRef/>
      </w:r>
      <w:r>
        <w:t xml:space="preserve"> Saskaņā ar regulējuma priekšlikumu Klimata mērķiem novirzāmi 37% plāna resursu, bet digitālajai transformācijai 20%.</w:t>
      </w:r>
    </w:p>
  </w:footnote>
  <w:footnote w:id="4">
    <w:p w14:paraId="467B81C9" w14:textId="0C2638DE" w:rsidR="009076B6" w:rsidRDefault="009076B6">
      <w:pPr>
        <w:pStyle w:val="FootnoteText"/>
      </w:pPr>
      <w:r>
        <w:rPr>
          <w:rStyle w:val="FootnoteReference"/>
        </w:rPr>
        <w:footnoteRef/>
      </w:r>
      <w:r>
        <w:t xml:space="preserve"> </w:t>
      </w:r>
      <w:r w:rsidR="0003554F">
        <w:t xml:space="preserve">Vadlīnijas pieejamas šeit: </w:t>
      </w:r>
      <w:r w:rsidR="00A26B6B">
        <w:t xml:space="preserve"> </w:t>
      </w:r>
    </w:p>
    <w:p w14:paraId="634A35BE" w14:textId="6AE7539D" w:rsidR="001B46FF" w:rsidRDefault="003F37D5">
      <w:pPr>
        <w:pStyle w:val="FootnoteText"/>
      </w:pPr>
      <w:hyperlink r:id="rId3" w:history="1">
        <w:r w:rsidR="001B46FF">
          <w:rPr>
            <w:rStyle w:val="Hyperlink"/>
          </w:rPr>
          <w:t>document_travail_service_part1_v2_en.pdf (europa.eu)</w:t>
        </w:r>
      </w:hyperlink>
      <w:r w:rsidR="001B46FF">
        <w:t xml:space="preserve"> un </w:t>
      </w:r>
      <w:hyperlink r:id="rId4" w:history="1">
        <w:r w:rsidR="001B46FF">
          <w:rPr>
            <w:rStyle w:val="Hyperlink"/>
          </w:rPr>
          <w:t>document_travail_service_part2_v3_en.pdf (europa.eu)</w:t>
        </w:r>
      </w:hyperlink>
      <w:r w:rsidR="001B46FF">
        <w:t xml:space="preserve"> </w:t>
      </w:r>
    </w:p>
    <w:p w14:paraId="477F9729" w14:textId="04F6D5C7" w:rsidR="001B46FF" w:rsidRDefault="001B46FF">
      <w:pPr>
        <w:pStyle w:val="FootnoteText"/>
      </w:pPr>
      <w:r>
        <w:t xml:space="preserve">Pielikums (tabulas): </w:t>
      </w:r>
      <w:hyperlink r:id="rId5" w:history="1">
        <w:proofErr w:type="spellStart"/>
        <w:r>
          <w:rPr>
            <w:rStyle w:val="Hyperlink"/>
          </w:rPr>
          <w:t>Annex</w:t>
        </w:r>
        <w:proofErr w:type="spellEnd"/>
        <w:r>
          <w:rPr>
            <w:rStyle w:val="Hyperlink"/>
          </w:rPr>
          <w:t xml:space="preserve"> to </w:t>
        </w:r>
        <w:proofErr w:type="spellStart"/>
        <w:r>
          <w:rPr>
            <w:rStyle w:val="Hyperlink"/>
          </w:rPr>
          <w:t>the</w:t>
        </w:r>
        <w:proofErr w:type="spellEnd"/>
        <w:r>
          <w:rPr>
            <w:rStyle w:val="Hyperlink"/>
          </w:rPr>
          <w:t xml:space="preserve"> </w:t>
        </w:r>
        <w:proofErr w:type="spellStart"/>
        <w:r>
          <w:rPr>
            <w:rStyle w:val="Hyperlink"/>
          </w:rPr>
          <w:t>Guidance</w:t>
        </w:r>
        <w:proofErr w:type="spellEnd"/>
        <w:r>
          <w:rPr>
            <w:rStyle w:val="Hyperlink"/>
          </w:rPr>
          <w:t xml:space="preserve"> to </w:t>
        </w:r>
        <w:proofErr w:type="spellStart"/>
        <w:r>
          <w:rPr>
            <w:rStyle w:val="Hyperlink"/>
          </w:rPr>
          <w:t>Member</w:t>
        </w:r>
        <w:proofErr w:type="spellEnd"/>
        <w:r>
          <w:rPr>
            <w:rStyle w:val="Hyperlink"/>
          </w:rPr>
          <w:t xml:space="preserve"> </w:t>
        </w:r>
        <w:proofErr w:type="spellStart"/>
        <w:r>
          <w:rPr>
            <w:rStyle w:val="Hyperlink"/>
          </w:rPr>
          <w:t>States</w:t>
        </w:r>
        <w:proofErr w:type="spellEnd"/>
        <w:r>
          <w:rPr>
            <w:rStyle w:val="Hyperlink"/>
          </w:rPr>
          <w:t xml:space="preserve"> </w:t>
        </w:r>
        <w:proofErr w:type="spellStart"/>
        <w:r>
          <w:rPr>
            <w:rStyle w:val="Hyperlink"/>
          </w:rPr>
          <w:t>on</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Recovery</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Resilience</w:t>
        </w:r>
        <w:proofErr w:type="spellEnd"/>
        <w:r>
          <w:rPr>
            <w:rStyle w:val="Hyperlink"/>
          </w:rPr>
          <w:t xml:space="preserve"> </w:t>
        </w:r>
        <w:proofErr w:type="spellStart"/>
        <w:r>
          <w:rPr>
            <w:rStyle w:val="Hyperlink"/>
          </w:rPr>
          <w:t>Plans</w:t>
        </w:r>
        <w:proofErr w:type="spellEnd"/>
        <w:r>
          <w:rPr>
            <w:rStyle w:val="Hyperlink"/>
          </w:rPr>
          <w:t xml:space="preserve">: </w:t>
        </w:r>
        <w:proofErr w:type="spellStart"/>
        <w:r>
          <w:rPr>
            <w:rStyle w:val="Hyperlink"/>
          </w:rPr>
          <w:t>Tables</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template</w:t>
        </w:r>
        <w:proofErr w:type="spellEnd"/>
        <w:r>
          <w:rPr>
            <w:rStyle w:val="Hyperlink"/>
          </w:rPr>
          <w:t xml:space="preserve"> | </w:t>
        </w:r>
        <w:proofErr w:type="spellStart"/>
        <w:r>
          <w:rPr>
            <w:rStyle w:val="Hyperlink"/>
          </w:rPr>
          <w:t>European</w:t>
        </w:r>
        <w:proofErr w:type="spellEnd"/>
        <w:r>
          <w:rPr>
            <w:rStyle w:val="Hyperlink"/>
          </w:rPr>
          <w:t xml:space="preserve"> </w:t>
        </w:r>
        <w:proofErr w:type="spellStart"/>
        <w:r>
          <w:rPr>
            <w:rStyle w:val="Hyperlink"/>
          </w:rPr>
          <w:t>Commission</w:t>
        </w:r>
        <w:proofErr w:type="spellEnd"/>
        <w:r>
          <w:rPr>
            <w:rStyle w:val="Hyperlink"/>
          </w:rPr>
          <w:t xml:space="preserve"> (europa.eu)</w:t>
        </w:r>
      </w:hyperlink>
      <w:r>
        <w:t xml:space="preserve"> </w:t>
      </w:r>
    </w:p>
  </w:footnote>
  <w:footnote w:id="5">
    <w:p w14:paraId="0B2EC4EE" w14:textId="50A53546" w:rsidR="00E96C8C" w:rsidRDefault="00E96C8C">
      <w:pPr>
        <w:pStyle w:val="FootnoteText"/>
      </w:pPr>
      <w:r>
        <w:rPr>
          <w:rStyle w:val="FootnoteReference"/>
        </w:rPr>
        <w:footnoteRef/>
      </w:r>
      <w:r>
        <w:t xml:space="preserve"> </w:t>
      </w:r>
      <w:hyperlink r:id="rId6" w:history="1">
        <w:proofErr w:type="spellStart"/>
        <w:r w:rsidR="00A72BBF">
          <w:rPr>
            <w:rStyle w:val="Hyperlink"/>
          </w:rPr>
          <w:t>Recovery</w:t>
        </w:r>
        <w:proofErr w:type="spellEnd"/>
        <w:r w:rsidR="00A72BBF">
          <w:rPr>
            <w:rStyle w:val="Hyperlink"/>
          </w:rPr>
          <w:t xml:space="preserve"> </w:t>
        </w:r>
        <w:proofErr w:type="spellStart"/>
        <w:r w:rsidR="00A72BBF">
          <w:rPr>
            <w:rStyle w:val="Hyperlink"/>
          </w:rPr>
          <w:t>and</w:t>
        </w:r>
        <w:proofErr w:type="spellEnd"/>
        <w:r w:rsidR="00A72BBF">
          <w:rPr>
            <w:rStyle w:val="Hyperlink"/>
          </w:rPr>
          <w:t xml:space="preserve"> </w:t>
        </w:r>
        <w:proofErr w:type="spellStart"/>
        <w:r w:rsidR="00A72BBF">
          <w:rPr>
            <w:rStyle w:val="Hyperlink"/>
          </w:rPr>
          <w:t>Resilience</w:t>
        </w:r>
        <w:proofErr w:type="spellEnd"/>
        <w:r w:rsidR="00A72BBF">
          <w:rPr>
            <w:rStyle w:val="Hyperlink"/>
          </w:rPr>
          <w:t xml:space="preserve"> </w:t>
        </w:r>
        <w:proofErr w:type="spellStart"/>
        <w:r w:rsidR="00A72BBF">
          <w:rPr>
            <w:rStyle w:val="Hyperlink"/>
          </w:rPr>
          <w:t>Facility</w:t>
        </w:r>
        <w:proofErr w:type="spellEnd"/>
        <w:r w:rsidR="00A72BBF">
          <w:rPr>
            <w:rStyle w:val="Hyperlink"/>
          </w:rPr>
          <w:t xml:space="preserve"> | </w:t>
        </w:r>
        <w:proofErr w:type="spellStart"/>
        <w:r w:rsidR="00A72BBF">
          <w:rPr>
            <w:rStyle w:val="Hyperlink"/>
          </w:rPr>
          <w:t>European</w:t>
        </w:r>
        <w:proofErr w:type="spellEnd"/>
        <w:r w:rsidR="00A72BBF">
          <w:rPr>
            <w:rStyle w:val="Hyperlink"/>
          </w:rPr>
          <w:t xml:space="preserve"> </w:t>
        </w:r>
        <w:proofErr w:type="spellStart"/>
        <w:r w:rsidR="00A72BBF">
          <w:rPr>
            <w:rStyle w:val="Hyperlink"/>
          </w:rPr>
          <w:t>Commission</w:t>
        </w:r>
        <w:proofErr w:type="spellEnd"/>
        <w:r w:rsidR="00A72BBF">
          <w:rPr>
            <w:rStyle w:val="Hyperlink"/>
          </w:rPr>
          <w:t xml:space="preserve"> (europa.eu)</w:t>
        </w:r>
      </w:hyperlink>
      <w:r w:rsidR="00A72BBF">
        <w:t xml:space="preserve"> </w:t>
      </w:r>
    </w:p>
  </w:footnote>
  <w:footnote w:id="6">
    <w:p w14:paraId="0093E73C" w14:textId="41B8E272" w:rsidR="003F37D5" w:rsidRDefault="003F37D5">
      <w:pPr>
        <w:pStyle w:val="FootnoteText"/>
      </w:pPr>
      <w:r>
        <w:rPr>
          <w:rStyle w:val="FootnoteReference"/>
        </w:rPr>
        <w:footnoteRef/>
      </w:r>
      <w:r>
        <w:t xml:space="preserve"> ANM regulas projekta preambulas 59.punkts</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61533"/>
      <w:docPartObj>
        <w:docPartGallery w:val="Page Numbers (Top of Page)"/>
        <w:docPartUnique/>
      </w:docPartObj>
    </w:sdtPr>
    <w:sdtEndPr>
      <w:rPr>
        <w:noProof/>
      </w:rPr>
    </w:sdtEndPr>
    <w:sdtContent>
      <w:p w14:paraId="3A364E07" w14:textId="0726F723" w:rsidR="00F60868" w:rsidRDefault="00F60868">
        <w:pPr>
          <w:pStyle w:val="Header"/>
          <w:jc w:val="center"/>
        </w:pPr>
        <w:r>
          <w:fldChar w:fldCharType="begin"/>
        </w:r>
        <w:r>
          <w:instrText xml:space="preserve"> PAGE   \* MERGEFORMAT </w:instrText>
        </w:r>
        <w:r>
          <w:fldChar w:fldCharType="separate"/>
        </w:r>
        <w:r w:rsidR="003F37D5">
          <w:rPr>
            <w:noProof/>
          </w:rPr>
          <w:t>7</w:t>
        </w:r>
        <w:r>
          <w:rPr>
            <w:noProof/>
          </w:rPr>
          <w:fldChar w:fldCharType="end"/>
        </w:r>
      </w:p>
    </w:sdtContent>
  </w:sdt>
  <w:p w14:paraId="04ACA432" w14:textId="77777777" w:rsidR="00F60868" w:rsidRDefault="00F6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0C5EDE"/>
    <w:multiLevelType w:val="hybridMultilevel"/>
    <w:tmpl w:val="DA28B170"/>
    <w:lvl w:ilvl="0" w:tplc="466E77D0">
      <w:start w:val="1"/>
      <w:numFmt w:val="lowerLetter"/>
      <w:lvlText w:val="%1)"/>
      <w:lvlJc w:val="left"/>
      <w:pPr>
        <w:ind w:left="28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2" w15:restartNumberingAfterBreak="0">
    <w:nsid w:val="2479696B"/>
    <w:multiLevelType w:val="hybridMultilevel"/>
    <w:tmpl w:val="850EE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905859"/>
    <w:multiLevelType w:val="hybridMultilevel"/>
    <w:tmpl w:val="DC7C136A"/>
    <w:lvl w:ilvl="0" w:tplc="0426001B">
      <w:start w:val="1"/>
      <w:numFmt w:val="low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0240EB1"/>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A42F6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FC719B"/>
    <w:multiLevelType w:val="hybridMultilevel"/>
    <w:tmpl w:val="9FD4EF90"/>
    <w:lvl w:ilvl="0" w:tplc="7F8814B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1F713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504570"/>
    <w:multiLevelType w:val="hybridMultilevel"/>
    <w:tmpl w:val="E262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A40EF0"/>
    <w:multiLevelType w:val="hybridMultilevel"/>
    <w:tmpl w:val="A16E9BFE"/>
    <w:lvl w:ilvl="0" w:tplc="C43CBEA8">
      <w:start w:val="1"/>
      <w:numFmt w:val="decimal"/>
      <w:lvlText w:val="(%1)"/>
      <w:lvlJc w:val="left"/>
      <w:pPr>
        <w:ind w:left="1462" w:hanging="360"/>
      </w:pPr>
      <w:rPr>
        <w:rFonts w:hint="default"/>
        <w:b w:val="0"/>
        <w:sz w:val="24"/>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12" w15:restartNumberingAfterBreak="0">
    <w:nsid w:val="7A433BDD"/>
    <w:multiLevelType w:val="hybridMultilevel"/>
    <w:tmpl w:val="A16E9BFE"/>
    <w:lvl w:ilvl="0" w:tplc="C43CBEA8">
      <w:start w:val="1"/>
      <w:numFmt w:val="decimal"/>
      <w:lvlText w:val="(%1)"/>
      <w:lvlJc w:val="left"/>
      <w:pPr>
        <w:ind w:left="1462" w:hanging="360"/>
      </w:pPr>
      <w:rPr>
        <w:rFonts w:hint="default"/>
        <w:b w:val="0"/>
        <w:sz w:val="24"/>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13" w15:restartNumberingAfterBreak="0">
    <w:nsid w:val="7F4E2B00"/>
    <w:multiLevelType w:val="hybridMultilevel"/>
    <w:tmpl w:val="D15C717C"/>
    <w:lvl w:ilvl="0" w:tplc="37AE9A94">
      <w:start w:val="1"/>
      <w:numFmt w:val="decimal"/>
      <w:lvlText w:val="%1."/>
      <w:lvlJc w:val="left"/>
      <w:pPr>
        <w:ind w:left="927" w:hanging="360"/>
      </w:pPr>
      <w:rPr>
        <w:rFonts w:hint="default"/>
        <w:b/>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6"/>
  </w:num>
  <w:num w:numId="3">
    <w:abstractNumId w:val="13"/>
  </w:num>
  <w:num w:numId="4">
    <w:abstractNumId w:val="2"/>
  </w:num>
  <w:num w:numId="5">
    <w:abstractNumId w:val="7"/>
  </w:num>
  <w:num w:numId="6">
    <w:abstractNumId w:val="3"/>
  </w:num>
  <w:num w:numId="7">
    <w:abstractNumId w:val="11"/>
  </w:num>
  <w:num w:numId="8">
    <w:abstractNumId w:val="8"/>
  </w:num>
  <w:num w:numId="9">
    <w:abstractNumId w:val="5"/>
  </w:num>
  <w:num w:numId="10">
    <w:abstractNumId w:val="0"/>
  </w:num>
  <w:num w:numId="11">
    <w:abstractNumId w:val="1"/>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FD"/>
    <w:rsid w:val="00034EF3"/>
    <w:rsid w:val="0003554F"/>
    <w:rsid w:val="0007310B"/>
    <w:rsid w:val="000C54D5"/>
    <w:rsid w:val="000C6E07"/>
    <w:rsid w:val="001B46FF"/>
    <w:rsid w:val="002172A1"/>
    <w:rsid w:val="00261BA4"/>
    <w:rsid w:val="00275236"/>
    <w:rsid w:val="00280B0E"/>
    <w:rsid w:val="00290DFE"/>
    <w:rsid w:val="0034053B"/>
    <w:rsid w:val="00370B0F"/>
    <w:rsid w:val="00380B33"/>
    <w:rsid w:val="003C34CF"/>
    <w:rsid w:val="003D1139"/>
    <w:rsid w:val="003F08E7"/>
    <w:rsid w:val="003F37D5"/>
    <w:rsid w:val="00425974"/>
    <w:rsid w:val="00433B9E"/>
    <w:rsid w:val="00454C5F"/>
    <w:rsid w:val="0046545A"/>
    <w:rsid w:val="00475A50"/>
    <w:rsid w:val="004B435C"/>
    <w:rsid w:val="00581A9C"/>
    <w:rsid w:val="005904AB"/>
    <w:rsid w:val="00595EF2"/>
    <w:rsid w:val="005A09A2"/>
    <w:rsid w:val="005A348E"/>
    <w:rsid w:val="006436E0"/>
    <w:rsid w:val="00653346"/>
    <w:rsid w:val="00664C42"/>
    <w:rsid w:val="00690C1C"/>
    <w:rsid w:val="006914E6"/>
    <w:rsid w:val="00697278"/>
    <w:rsid w:val="00710B40"/>
    <w:rsid w:val="00740967"/>
    <w:rsid w:val="00746E80"/>
    <w:rsid w:val="007569EA"/>
    <w:rsid w:val="0076574C"/>
    <w:rsid w:val="00775001"/>
    <w:rsid w:val="00787FE3"/>
    <w:rsid w:val="007B6172"/>
    <w:rsid w:val="007D1BA9"/>
    <w:rsid w:val="007E232C"/>
    <w:rsid w:val="00824E02"/>
    <w:rsid w:val="00835A52"/>
    <w:rsid w:val="00843AE0"/>
    <w:rsid w:val="00860353"/>
    <w:rsid w:val="0087751F"/>
    <w:rsid w:val="008A520C"/>
    <w:rsid w:val="008E4193"/>
    <w:rsid w:val="008F5307"/>
    <w:rsid w:val="009076B6"/>
    <w:rsid w:val="0093644D"/>
    <w:rsid w:val="00937E27"/>
    <w:rsid w:val="00952769"/>
    <w:rsid w:val="00955CBD"/>
    <w:rsid w:val="00961BBF"/>
    <w:rsid w:val="009655D5"/>
    <w:rsid w:val="00973D2B"/>
    <w:rsid w:val="009A4029"/>
    <w:rsid w:val="009A7F0B"/>
    <w:rsid w:val="00A03B7C"/>
    <w:rsid w:val="00A26B6B"/>
    <w:rsid w:val="00A42598"/>
    <w:rsid w:val="00A72BBF"/>
    <w:rsid w:val="00AC10B6"/>
    <w:rsid w:val="00AD061A"/>
    <w:rsid w:val="00B11CD3"/>
    <w:rsid w:val="00B42215"/>
    <w:rsid w:val="00B46BFD"/>
    <w:rsid w:val="00B50CF3"/>
    <w:rsid w:val="00BC510E"/>
    <w:rsid w:val="00BD458B"/>
    <w:rsid w:val="00BD704C"/>
    <w:rsid w:val="00BE1D8C"/>
    <w:rsid w:val="00BF3800"/>
    <w:rsid w:val="00C41F20"/>
    <w:rsid w:val="00C811C1"/>
    <w:rsid w:val="00C87DE6"/>
    <w:rsid w:val="00CA3866"/>
    <w:rsid w:val="00D4653E"/>
    <w:rsid w:val="00D52B09"/>
    <w:rsid w:val="00DB308E"/>
    <w:rsid w:val="00DB7EF8"/>
    <w:rsid w:val="00DD56DF"/>
    <w:rsid w:val="00DE5662"/>
    <w:rsid w:val="00E96C8C"/>
    <w:rsid w:val="00EA27CB"/>
    <w:rsid w:val="00EB7F26"/>
    <w:rsid w:val="00ED5028"/>
    <w:rsid w:val="00EE2E7C"/>
    <w:rsid w:val="00EE65AE"/>
    <w:rsid w:val="00F10DED"/>
    <w:rsid w:val="00F176BD"/>
    <w:rsid w:val="00F60868"/>
    <w:rsid w:val="00F9228D"/>
    <w:rsid w:val="00F934FA"/>
    <w:rsid w:val="00F960C5"/>
    <w:rsid w:val="00FA4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07B12"/>
  <w15:docId w15:val="{E3886A39-C871-4E9D-8B35-C83F443E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6BFD"/>
    <w:pPr>
      <w:spacing w:before="120" w:after="120" w:line="276"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46BFD"/>
    <w:rPr>
      <w:rFonts w:ascii="Times New Roman" w:eastAsia="Times New Roman" w:hAnsi="Times New Roman" w:cs="Times New Roman"/>
      <w:b/>
      <w:bCs/>
      <w:sz w:val="24"/>
      <w:szCs w:val="24"/>
      <w:lang w:val="en-GB"/>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B46BFD"/>
    <w:pPr>
      <w:spacing w:after="0" w:line="240" w:lineRule="auto"/>
      <w:ind w:left="720"/>
      <w:contextualSpacing/>
    </w:pPr>
    <w:rPr>
      <w:rFonts w:ascii="Times New Roman" w:hAnsi="Times New Roman"/>
      <w:sz w:val="24"/>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B46BFD"/>
    <w:rPr>
      <w:rFonts w:ascii="Times New Roman" w:hAnsi="Times New Roman"/>
      <w:sz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B46BFD"/>
    <w:pPr>
      <w:spacing w:after="0" w:line="240" w:lineRule="auto"/>
    </w:pPr>
    <w:rPr>
      <w:rFonts w:ascii="Times New Roman" w:hAnsi="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B46BFD"/>
    <w:rPr>
      <w:rFonts w:ascii="Times New Roman" w:hAnsi="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B46BFD"/>
    <w:rPr>
      <w:vertAlign w:val="superscript"/>
    </w:rPr>
  </w:style>
  <w:style w:type="paragraph" w:customStyle="1" w:styleId="CharCharCharChar">
    <w:name w:val="Char Char Char Char"/>
    <w:aliases w:val="Char2"/>
    <w:basedOn w:val="Normal"/>
    <w:next w:val="Normal"/>
    <w:link w:val="FootnoteReference"/>
    <w:uiPriority w:val="99"/>
    <w:rsid w:val="00B46BFD"/>
    <w:pPr>
      <w:spacing w:line="240" w:lineRule="exact"/>
      <w:jc w:val="both"/>
      <w:textAlignment w:val="baseline"/>
    </w:pPr>
    <w:rPr>
      <w:vertAlign w:val="superscript"/>
    </w:rPr>
  </w:style>
  <w:style w:type="paragraph" w:styleId="Header">
    <w:name w:val="header"/>
    <w:basedOn w:val="Normal"/>
    <w:link w:val="HeaderChar"/>
    <w:uiPriority w:val="99"/>
    <w:unhideWhenUsed/>
    <w:rsid w:val="00FA4C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C80"/>
  </w:style>
  <w:style w:type="paragraph" w:styleId="Footer">
    <w:name w:val="footer"/>
    <w:basedOn w:val="Normal"/>
    <w:link w:val="FooterChar"/>
    <w:uiPriority w:val="99"/>
    <w:unhideWhenUsed/>
    <w:rsid w:val="00FA4C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C80"/>
  </w:style>
  <w:style w:type="character" w:styleId="CommentReference">
    <w:name w:val="annotation reference"/>
    <w:basedOn w:val="DefaultParagraphFont"/>
    <w:uiPriority w:val="99"/>
    <w:semiHidden/>
    <w:unhideWhenUsed/>
    <w:rsid w:val="00787FE3"/>
    <w:rPr>
      <w:sz w:val="16"/>
      <w:szCs w:val="16"/>
    </w:rPr>
  </w:style>
  <w:style w:type="paragraph" w:styleId="CommentText">
    <w:name w:val="annotation text"/>
    <w:basedOn w:val="Normal"/>
    <w:link w:val="CommentTextChar"/>
    <w:uiPriority w:val="99"/>
    <w:unhideWhenUsed/>
    <w:rsid w:val="00787FE3"/>
    <w:pPr>
      <w:spacing w:line="240" w:lineRule="auto"/>
    </w:pPr>
    <w:rPr>
      <w:sz w:val="20"/>
      <w:szCs w:val="20"/>
    </w:rPr>
  </w:style>
  <w:style w:type="character" w:customStyle="1" w:styleId="CommentTextChar">
    <w:name w:val="Comment Text Char"/>
    <w:basedOn w:val="DefaultParagraphFont"/>
    <w:link w:val="CommentText"/>
    <w:uiPriority w:val="99"/>
    <w:rsid w:val="00787FE3"/>
    <w:rPr>
      <w:sz w:val="20"/>
      <w:szCs w:val="20"/>
    </w:rPr>
  </w:style>
  <w:style w:type="paragraph" w:styleId="CommentSubject">
    <w:name w:val="annotation subject"/>
    <w:basedOn w:val="CommentText"/>
    <w:next w:val="CommentText"/>
    <w:link w:val="CommentSubjectChar"/>
    <w:uiPriority w:val="99"/>
    <w:semiHidden/>
    <w:unhideWhenUsed/>
    <w:rsid w:val="00787FE3"/>
    <w:rPr>
      <w:b/>
      <w:bCs/>
    </w:rPr>
  </w:style>
  <w:style w:type="character" w:customStyle="1" w:styleId="CommentSubjectChar">
    <w:name w:val="Comment Subject Char"/>
    <w:basedOn w:val="CommentTextChar"/>
    <w:link w:val="CommentSubject"/>
    <w:uiPriority w:val="99"/>
    <w:semiHidden/>
    <w:rsid w:val="00787FE3"/>
    <w:rPr>
      <w:b/>
      <w:bCs/>
      <w:sz w:val="20"/>
      <w:szCs w:val="20"/>
    </w:rPr>
  </w:style>
  <w:style w:type="paragraph" w:styleId="BalloonText">
    <w:name w:val="Balloon Text"/>
    <w:basedOn w:val="Normal"/>
    <w:link w:val="BalloonTextChar"/>
    <w:uiPriority w:val="99"/>
    <w:semiHidden/>
    <w:unhideWhenUsed/>
    <w:rsid w:val="0078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E3"/>
    <w:rPr>
      <w:rFonts w:ascii="Segoe UI" w:hAnsi="Segoe UI" w:cs="Segoe UI"/>
      <w:sz w:val="18"/>
      <w:szCs w:val="18"/>
    </w:rPr>
  </w:style>
  <w:style w:type="character" w:styleId="Hyperlink">
    <w:name w:val="Hyperlink"/>
    <w:basedOn w:val="DefaultParagraphFont"/>
    <w:uiPriority w:val="99"/>
    <w:unhideWhenUsed/>
    <w:rsid w:val="00787FE3"/>
    <w:rPr>
      <w:color w:val="0563C1" w:themeColor="hyperlink"/>
      <w:u w:val="single"/>
    </w:rPr>
  </w:style>
  <w:style w:type="character" w:styleId="FollowedHyperlink">
    <w:name w:val="FollowedHyperlink"/>
    <w:basedOn w:val="DefaultParagraphFont"/>
    <w:uiPriority w:val="99"/>
    <w:semiHidden/>
    <w:unhideWhenUsed/>
    <w:rsid w:val="00787FE3"/>
    <w:rPr>
      <w:color w:val="954F72" w:themeColor="followedHyperlink"/>
      <w:u w:val="single"/>
    </w:rPr>
  </w:style>
  <w:style w:type="paragraph" w:customStyle="1" w:styleId="typedudocument">
    <w:name w:val="typedudocument"/>
    <w:basedOn w:val="Normal"/>
    <w:rsid w:val="00A2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reobjet">
    <w:name w:val="titreobjet"/>
    <w:basedOn w:val="Normal"/>
    <w:rsid w:val="00A2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55C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94002">
      <w:bodyDiv w:val="1"/>
      <w:marLeft w:val="0"/>
      <w:marRight w:val="0"/>
      <w:marTop w:val="0"/>
      <w:marBottom w:val="0"/>
      <w:divBdr>
        <w:top w:val="none" w:sz="0" w:space="0" w:color="auto"/>
        <w:left w:val="none" w:sz="0" w:space="0" w:color="auto"/>
        <w:bottom w:val="none" w:sz="0" w:space="0" w:color="auto"/>
        <w:right w:val="none" w:sz="0" w:space="0" w:color="auto"/>
      </w:divBdr>
    </w:div>
    <w:div w:id="1852717438">
      <w:bodyDiv w:val="1"/>
      <w:marLeft w:val="0"/>
      <w:marRight w:val="0"/>
      <w:marTop w:val="0"/>
      <w:marBottom w:val="0"/>
      <w:divBdr>
        <w:top w:val="none" w:sz="0" w:space="0" w:color="auto"/>
        <w:left w:val="none" w:sz="0" w:space="0" w:color="auto"/>
        <w:bottom w:val="none" w:sz="0" w:space="0" w:color="auto"/>
        <w:right w:val="none" w:sz="0" w:space="0" w:color="auto"/>
      </w:divBdr>
    </w:div>
    <w:div w:id="21089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document_travail_service_part1_v2_en.pdf" TargetMode="External"/><Relationship Id="rId2" Type="http://schemas.openxmlformats.org/officeDocument/2006/relationships/hyperlink" Target="https://eur-lex.europa.eu/legal-content/LV/TXT/HTML/?uri=CELEX:52020DC0514&amp;from=EN" TargetMode="External"/><Relationship Id="rId1" Type="http://schemas.openxmlformats.org/officeDocument/2006/relationships/hyperlink" Target="https://eur-lex.europa.eu/legal-content/LV/TXT/HTML/?uri=CELEX:52019DC0514&amp;from=EN" TargetMode="External"/><Relationship Id="rId6" Type="http://schemas.openxmlformats.org/officeDocument/2006/relationships/hyperlink" Target="https://ec.europa.eu/info/business-economy-euro/recovery-coronavirus/recovery-and-resilience-facility_en" TargetMode="External"/><Relationship Id="rId5" Type="http://schemas.openxmlformats.org/officeDocument/2006/relationships/hyperlink" Target="https://ec.europa.eu/info/files/annex-guidance-member-states-recovery-and-resilience-plans-tables-template-0_en" TargetMode="External"/><Relationship Id="rId4" Type="http://schemas.openxmlformats.org/officeDocument/2006/relationships/hyperlink" Target="https://ec.europa.eu/info/sites/info/files/document_travail_service_part2_v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5D24-4870-4952-8EEA-6B42FADE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10668</Words>
  <Characters>6082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Informatīvais ziņojums par Eiropas Savienības Atveseļošanas un noturības mehānisma plānu</vt:lpstr>
    </vt:vector>
  </TitlesOfParts>
  <Company>Finanšu ministrija</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Atveseļošanas un noturības mehānisma plānu</dc:title>
  <dc:subject>Informatīvais ziņojums</dc:subject>
  <dc:creator>Inese Otzule</dc:creator>
  <dc:description>Tālr.: 67083889, E-pasts: 
Inese.Otzule@fm.gov.lv</dc:description>
  <cp:lastModifiedBy>FM</cp:lastModifiedBy>
  <cp:revision>16</cp:revision>
  <dcterms:created xsi:type="dcterms:W3CDTF">2021-01-27T08:22:00Z</dcterms:created>
  <dcterms:modified xsi:type="dcterms:W3CDTF">2021-01-29T07:02:00Z</dcterms:modified>
  <cp:category>Informatīvais ziņojums</cp:category>
</cp:coreProperties>
</file>