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0D" w:rsidRDefault="00D72D6A">
      <w:pPr>
        <w:pStyle w:val="Standard"/>
        <w:shd w:val="clear" w:color="auto" w:fill="FFFFFF"/>
        <w:spacing w:after="0" w:line="240" w:lineRule="auto"/>
        <w:jc w:val="center"/>
      </w:pPr>
      <w:bookmarkStart w:id="0" w:name="_GoBack"/>
      <w:bookmarkEnd w:id="0"/>
      <w:r>
        <w:rPr>
          <w:rStyle w:val="Noklusjumarindkopasfonts"/>
          <w:rFonts w:ascii="Times New Roman" w:eastAsia="Times New Roman" w:hAnsi="Times New Roman" w:cs="Times New Roman"/>
          <w:b/>
          <w:bCs/>
          <w:sz w:val="24"/>
          <w:szCs w:val="24"/>
          <w:lang w:eastAsia="lv-LV"/>
        </w:rPr>
        <w:t xml:space="preserve">Ministru  kabineta noteikumu projekta “Grozījumi Ministru kabineta 2004. gada 3. augusta noteikumos Nr. 674 “Noteikumi par sprādzienbīstamiem, ugunsbīstamiem un īpaši svarīgiem </w:t>
      </w:r>
      <w:r>
        <w:rPr>
          <w:rStyle w:val="Noklusjumarindkopasfonts"/>
          <w:rFonts w:ascii="Times New Roman" w:eastAsia="Times New Roman" w:hAnsi="Times New Roman" w:cs="Times New Roman"/>
          <w:b/>
          <w:bCs/>
          <w:sz w:val="24"/>
          <w:szCs w:val="24"/>
          <w:lang w:eastAsia="lv-LV"/>
        </w:rPr>
        <w:t>objektiem, kuros izveidojami ugunsdrošības, ugunsdzēsības un glābšanas dienesti”” sākotnējās ietekmes novērtējuma ziņojums (anotācija)</w:t>
      </w:r>
    </w:p>
    <w:p w:rsidR="009E2B0D" w:rsidRDefault="009E2B0D">
      <w:pPr>
        <w:pStyle w:val="Standard"/>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Layout w:type="fixed"/>
        <w:tblCellMar>
          <w:left w:w="10" w:type="dxa"/>
          <w:right w:w="10" w:type="dxa"/>
        </w:tblCellMar>
        <w:tblLook w:val="0000" w:firstRow="0" w:lastRow="0" w:firstColumn="0" w:lastColumn="0" w:noHBand="0" w:noVBand="0"/>
      </w:tblPr>
      <w:tblGrid>
        <w:gridCol w:w="3665"/>
        <w:gridCol w:w="5473"/>
      </w:tblGrid>
      <w:tr w:rsidR="009E2B0D">
        <w:tblPrEx>
          <w:tblCellMar>
            <w:top w:w="0" w:type="dxa"/>
            <w:bottom w:w="0" w:type="dxa"/>
          </w:tblCellMar>
        </w:tblPrEx>
        <w:tc>
          <w:tcPr>
            <w:tcW w:w="9138" w:type="dxa"/>
            <w:gridSpan w:val="2"/>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9E2B0D">
        <w:tblPrEx>
          <w:tblCellMar>
            <w:top w:w="0" w:type="dxa"/>
            <w:bottom w:w="0" w:type="dxa"/>
          </w:tblCellMar>
        </w:tblPrEx>
        <w:tc>
          <w:tcPr>
            <w:tcW w:w="3665"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w:t>
            </w:r>
            <w:r>
              <w:rPr>
                <w:rFonts w:ascii="Times New Roman" w:eastAsia="Times New Roman" w:hAnsi="Times New Roman" w:cs="Times New Roman"/>
                <w:iCs/>
                <w:sz w:val="24"/>
                <w:szCs w:val="24"/>
                <w:lang w:eastAsia="lv-LV"/>
              </w:rPr>
              <w:t>pēm)</w:t>
            </w:r>
          </w:p>
        </w:tc>
        <w:tc>
          <w:tcPr>
            <w:tcW w:w="5473"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Virsraksts3"/>
              <w:spacing w:before="0" w:after="0"/>
              <w:jc w:val="both"/>
            </w:pPr>
            <w:r>
              <w:rPr>
                <w:rStyle w:val="Noklusjumarindkopasfonts"/>
                <w:b w:val="0"/>
                <w:iCs/>
                <w:sz w:val="24"/>
                <w:szCs w:val="24"/>
              </w:rPr>
              <w:t>Atbilstoši Ministru kabineta 2009.gada 15.decembra instrukcijas Nr.19 „Tiesību akta projekta sākotnējās ietekmes izvērtēšanas kārtība” 5.</w:t>
            </w:r>
            <w:r>
              <w:rPr>
                <w:rStyle w:val="Noklusjumarindkopasfonts"/>
                <w:b w:val="0"/>
                <w:iCs/>
                <w:sz w:val="24"/>
                <w:szCs w:val="24"/>
                <w:vertAlign w:val="superscript"/>
              </w:rPr>
              <w:t>1</w:t>
            </w:r>
            <w:r>
              <w:rPr>
                <w:rStyle w:val="Noklusjumarindkopasfonts"/>
                <w:b w:val="0"/>
                <w:iCs/>
                <w:sz w:val="24"/>
                <w:szCs w:val="24"/>
              </w:rPr>
              <w:t>punktam kopsavilkums nav aizpildāms.</w:t>
            </w:r>
          </w:p>
        </w:tc>
      </w:tr>
    </w:tbl>
    <w:p w:rsidR="009E2B0D" w:rsidRDefault="00D72D6A">
      <w:pPr>
        <w:pStyle w:val="Standard"/>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w:t>
      </w:r>
    </w:p>
    <w:tbl>
      <w:tblPr>
        <w:tblW w:w="5000" w:type="pct"/>
        <w:tblLayout w:type="fixed"/>
        <w:tblCellMar>
          <w:left w:w="10" w:type="dxa"/>
          <w:right w:w="10" w:type="dxa"/>
        </w:tblCellMar>
        <w:tblLook w:val="0000" w:firstRow="0" w:lastRow="0" w:firstColumn="0" w:lastColumn="0" w:noHBand="0" w:noVBand="0"/>
      </w:tblPr>
      <w:tblGrid>
        <w:gridCol w:w="586"/>
        <w:gridCol w:w="3096"/>
        <w:gridCol w:w="5456"/>
      </w:tblGrid>
      <w:tr w:rsidR="009E2B0D">
        <w:tblPrEx>
          <w:tblCellMar>
            <w:top w:w="0" w:type="dxa"/>
            <w:bottom w:w="0" w:type="dxa"/>
          </w:tblCellMar>
        </w:tblPrEx>
        <w:tc>
          <w:tcPr>
            <w:tcW w:w="9138" w:type="dxa"/>
            <w:gridSpan w:val="3"/>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jc w:val="both"/>
            </w:pPr>
            <w:r>
              <w:rPr>
                <w:rStyle w:val="Noklusjumarindkopasfonts"/>
                <w:rFonts w:ascii="Times New Roman" w:eastAsia="Times New Roman" w:hAnsi="Times New Roman"/>
                <w:sz w:val="24"/>
                <w:szCs w:val="24"/>
                <w:lang w:eastAsia="lv-LV"/>
              </w:rPr>
              <w:t xml:space="preserve">2020. </w:t>
            </w:r>
            <w:r>
              <w:rPr>
                <w:rStyle w:val="Noklusjumarindkopasfonts"/>
                <w:rFonts w:ascii="Times New Roman" w:eastAsia="Times New Roman" w:hAnsi="Times New Roman"/>
                <w:sz w:val="24"/>
                <w:szCs w:val="24"/>
                <w:lang w:eastAsia="lv-LV"/>
              </w:rPr>
              <w:t>gada 10. jūnijā pieņemtais Administratīvo teritoriju un apdzīvoto vietu likums</w:t>
            </w:r>
            <w:r>
              <w:t xml:space="preserve"> </w:t>
            </w:r>
            <w:r>
              <w:rPr>
                <w:rStyle w:val="Noklusjumarindkopasfonts"/>
                <w:rFonts w:ascii="Times New Roman" w:eastAsia="Times New Roman" w:hAnsi="Times New Roman"/>
                <w:sz w:val="24"/>
                <w:szCs w:val="24"/>
                <w:lang w:eastAsia="lv-LV"/>
              </w:rPr>
              <w:t xml:space="preserve">kas stājās spēkā 2020.gada 23.jūnijā paredz jaunu </w:t>
            </w:r>
            <w:r>
              <w:rPr>
                <w:rStyle w:val="Noklusjumarindkopasfonts"/>
                <w:rFonts w:ascii="Times New Roman" w:eastAsia="Times New Roman" w:hAnsi="Times New Roman"/>
                <w:sz w:val="24"/>
                <w:szCs w:val="24"/>
                <w:shd w:val="clear" w:color="auto" w:fill="FFFFFF"/>
                <w:lang w:eastAsia="lv-LV"/>
              </w:rPr>
              <w:t xml:space="preserve">administratīvi teritoriālo iedalījumu. Ministru kabineta noteikumi Nr. 674 </w:t>
            </w:r>
            <w:r>
              <w:rPr>
                <w:rStyle w:val="Noklusjumarindkopasfonts"/>
                <w:rFonts w:ascii="Times New Roman" w:eastAsia="Times New Roman" w:hAnsi="Times New Roman" w:cs="Times New Roman"/>
                <w:sz w:val="24"/>
                <w:szCs w:val="24"/>
                <w:shd w:val="clear" w:color="auto" w:fill="FFFFFF"/>
                <w:lang w:eastAsia="lv-LV"/>
              </w:rPr>
              <w:t>“Noteikumi par sprādzienbīstamiem, ugunsbīstamiem un</w:t>
            </w:r>
            <w:r>
              <w:rPr>
                <w:rStyle w:val="Noklusjumarindkopasfonts"/>
                <w:rFonts w:ascii="Times New Roman" w:eastAsia="Times New Roman" w:hAnsi="Times New Roman" w:cs="Times New Roman"/>
                <w:sz w:val="24"/>
                <w:szCs w:val="24"/>
                <w:shd w:val="clear" w:color="auto" w:fill="FFFFFF"/>
                <w:lang w:eastAsia="lv-LV"/>
              </w:rPr>
              <w:t xml:space="preserve"> īpaši svarīgiem objektiem, kuros izveidojami ugunsdrošības, ugunsdzēsības un glābšanas dienesti”(turpmāk – Noteikumi) grozāmi, lai nodrošinātu atbilstību Administratīvo teritoriju un apdzīvoto vietu likumā noteiktajam jaunajam administratīvi teritoriālaja</w:t>
            </w:r>
            <w:r>
              <w:rPr>
                <w:rStyle w:val="Noklusjumarindkopasfonts"/>
                <w:rFonts w:ascii="Times New Roman" w:eastAsia="Times New Roman" w:hAnsi="Times New Roman" w:cs="Times New Roman"/>
                <w:sz w:val="24"/>
                <w:szCs w:val="24"/>
                <w:shd w:val="clear" w:color="auto" w:fill="FFFFFF"/>
                <w:lang w:eastAsia="lv-LV"/>
              </w:rPr>
              <w:t xml:space="preserve">m iedalījumam. </w:t>
            </w:r>
          </w:p>
        </w:tc>
      </w:tr>
      <w:tr w:rsidR="009E2B0D">
        <w:tblPrEx>
          <w:tblCellMar>
            <w:top w:w="0" w:type="dxa"/>
            <w:bottom w:w="0" w:type="dxa"/>
          </w:tblCellMar>
        </w:tblPrEx>
        <w:trPr>
          <w:trHeight w:val="1682"/>
        </w:trPr>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9E2B0D" w:rsidRDefault="009E2B0D">
            <w:pPr>
              <w:pStyle w:val="Standard"/>
              <w:jc w:val="center"/>
              <w:rPr>
                <w:rFonts w:ascii="Times New Roman" w:eastAsia="Times New Roman" w:hAnsi="Times New Roman" w:cs="Times New Roman"/>
                <w:sz w:val="24"/>
                <w:szCs w:val="24"/>
                <w:lang w:eastAsia="lv-LV"/>
              </w:rPr>
            </w:pP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jc w:val="both"/>
            </w:pPr>
            <w:r>
              <w:rPr>
                <w:rStyle w:val="Noklusjumarindkopasfonts"/>
                <w:rFonts w:ascii="Times New Roman" w:eastAsia="Times New Roman" w:hAnsi="Times New Roman" w:cs="Times New Roman"/>
                <w:sz w:val="24"/>
                <w:szCs w:val="24"/>
                <w:lang w:eastAsia="lv-LV"/>
              </w:rPr>
              <w:t xml:space="preserve">     Ministru kabineta noteikumu Nr. 674 “Noteikumi par sprādzienbīstamiem, ugunsbīstamiem un īpaši svarīgiem ob</w:t>
            </w:r>
            <w:r>
              <w:rPr>
                <w:rStyle w:val="Noklusjumarindkopasfonts"/>
                <w:rFonts w:ascii="Times New Roman" w:eastAsia="Times New Roman" w:hAnsi="Times New Roman" w:cs="Times New Roman"/>
                <w:sz w:val="24"/>
                <w:szCs w:val="24"/>
                <w:lang w:eastAsia="lv-LV"/>
              </w:rPr>
              <w:t>jektiem, kuros izveidojami ugunsdrošības, ugunsdzēsības un glābšanas dienesti” (turpmāk – Noteikumi) 1. pielikumā uzskaitīti sprādzienbīstami, ugunsbīstami un īpaši svarīgi objekti (turpmāk - Objekti), kuros izveidojami ugunsdrošības, ugunsdzēsības un glāb</w:t>
            </w:r>
            <w:r>
              <w:rPr>
                <w:rStyle w:val="Noklusjumarindkopasfonts"/>
                <w:rFonts w:ascii="Times New Roman" w:eastAsia="Times New Roman" w:hAnsi="Times New Roman" w:cs="Times New Roman"/>
                <w:sz w:val="24"/>
                <w:szCs w:val="24"/>
                <w:lang w:eastAsia="lv-LV"/>
              </w:rPr>
              <w:t>šanas dienesti. Noteikumu 1. pielikumā norādītas Objektu adreses, kā arī, Objekti sagrupēti 1. pielikuma sadaļās pēc teritorijām, kādās tie atrodas. Adreses un teritorijas  norādītas atbilstoši administratīvi teritoriālajam iedalījumam, kas noteikts ar 200</w:t>
            </w:r>
            <w:r>
              <w:rPr>
                <w:rStyle w:val="Noklusjumarindkopasfonts"/>
                <w:rFonts w:ascii="Times New Roman" w:eastAsia="Times New Roman" w:hAnsi="Times New Roman" w:cs="Times New Roman"/>
                <w:sz w:val="24"/>
                <w:szCs w:val="24"/>
                <w:lang w:eastAsia="lv-LV"/>
              </w:rPr>
              <w:t>8. gada 18. decembra Administratīvo teritoriju un apdzīvoto vietu likumu.</w:t>
            </w:r>
          </w:p>
          <w:p w:rsidR="009E2B0D" w:rsidRDefault="00D72D6A">
            <w:pPr>
              <w:pStyle w:val="Standard"/>
              <w:spacing w:after="0"/>
              <w:jc w:val="both"/>
            </w:pPr>
            <w:r>
              <w:rPr>
                <w:rStyle w:val="Noklusjumarindkopasfonts"/>
                <w:rFonts w:ascii="Times New Roman" w:eastAsia="Times New Roman" w:hAnsi="Times New Roman" w:cs="Times New Roman"/>
                <w:sz w:val="24"/>
                <w:szCs w:val="24"/>
                <w:lang w:eastAsia="lv-LV"/>
              </w:rPr>
              <w:t xml:space="preserve">      2020. gada 10. jūnijā pieņemts jauns Administratīvo teritoriju un apdzīvoto vietu likums, kas stājās spēkā 2020. gada 23. jūnijā, Pārejas noteikumu 2. punktā noteikts, ka: 1) </w:t>
            </w:r>
            <w:r>
              <w:rPr>
                <w:rStyle w:val="Noklusjumarindkopasfonts"/>
                <w:rFonts w:ascii="Times New Roman" w:eastAsia="Times New Roman" w:hAnsi="Times New Roman" w:cs="Times New Roman"/>
                <w:sz w:val="24"/>
                <w:szCs w:val="24"/>
                <w:shd w:val="clear" w:color="auto" w:fill="FFFFFF"/>
                <w:lang w:eastAsia="lv-LV"/>
              </w:rPr>
              <w:t>r</w:t>
            </w:r>
            <w:r>
              <w:rPr>
                <w:rStyle w:val="Noklusjumarindkopasfonts"/>
                <w:rFonts w:ascii="Times New Roman" w:eastAsia="Times New Roman" w:hAnsi="Times New Roman" w:cs="Times New Roman"/>
                <w:sz w:val="24"/>
                <w:szCs w:val="24"/>
                <w:shd w:val="clear" w:color="auto" w:fill="FFFFFF"/>
                <w:lang w:eastAsia="lv-LV"/>
              </w:rPr>
              <w:t xml:space="preserve">epublikas pilsētu un novadu pašvaldības turpina pildīt savas funkcijas un uzdevumus normatīvajos aktos noteiktajā kārtībā līdz 2021. gada </w:t>
            </w:r>
            <w:r>
              <w:rPr>
                <w:rStyle w:val="Noklusjumarindkopasfonts"/>
                <w:rFonts w:ascii="Times New Roman" w:eastAsia="Times New Roman" w:hAnsi="Times New Roman" w:cs="Times New Roman"/>
                <w:sz w:val="24"/>
                <w:szCs w:val="24"/>
                <w:shd w:val="clear" w:color="auto" w:fill="FFFFFF"/>
                <w:lang w:eastAsia="lv-LV"/>
              </w:rPr>
              <w:lastRenderedPageBreak/>
              <w:t>pašvaldību vēlēšanās ievēlētās pašvaldības domes pirmajai sēdei, kura tiek sasaukta šajā likumā noteiktajā kārtībā 202</w:t>
            </w:r>
            <w:r>
              <w:rPr>
                <w:rStyle w:val="Noklusjumarindkopasfonts"/>
                <w:rFonts w:ascii="Times New Roman" w:eastAsia="Times New Roman" w:hAnsi="Times New Roman" w:cs="Times New Roman"/>
                <w:sz w:val="24"/>
                <w:szCs w:val="24"/>
                <w:shd w:val="clear" w:color="auto" w:fill="FFFFFF"/>
                <w:lang w:eastAsia="lv-LV"/>
              </w:rPr>
              <w:t>1. gada 1. jūlijā. 2) Līdz 2021. gada 30. jūnijam pašvaldību darbībā ir piemērojami Ministru kabineta 2013. gada 19. marta noteikumi Nr. 154 "</w:t>
            </w:r>
            <w:hyperlink r:id="rId7" w:history="1">
              <w:r>
                <w:rPr>
                  <w:rStyle w:val="Noklusjumarindkopasfonts"/>
                  <w:rFonts w:ascii="Times New Roman" w:eastAsia="Times New Roman" w:hAnsi="Times New Roman" w:cs="Times New Roman"/>
                  <w:sz w:val="24"/>
                  <w:szCs w:val="24"/>
                  <w:lang w:eastAsia="lv-LV"/>
                </w:rPr>
                <w:t>Noteikumi par republikas pilsētu un novadu administratīvo teritoriju robežu aprakstu apstiprināšanu</w:t>
              </w:r>
            </w:hyperlink>
            <w:r>
              <w:rPr>
                <w:rStyle w:val="Noklusjumarindkopasfonts"/>
                <w:rFonts w:ascii="Times New Roman" w:eastAsia="Times New Roman" w:hAnsi="Times New Roman" w:cs="Times New Roman"/>
                <w:sz w:val="24"/>
                <w:szCs w:val="24"/>
                <w:shd w:val="clear" w:color="auto" w:fill="FFFFFF"/>
                <w:lang w:eastAsia="lv-LV"/>
              </w:rPr>
              <w:t>".</w:t>
            </w:r>
          </w:p>
          <w:p w:rsidR="009E2B0D" w:rsidRDefault="00D72D6A">
            <w:pPr>
              <w:pStyle w:val="Standard"/>
              <w:spacing w:after="0"/>
              <w:jc w:val="both"/>
            </w:pPr>
            <w:r>
              <w:rPr>
                <w:rStyle w:val="Noklusjumarindkopasfonts"/>
                <w:rFonts w:ascii="Times New Roman" w:eastAsia="Times New Roman" w:hAnsi="Times New Roman" w:cs="Times New Roman"/>
                <w:sz w:val="24"/>
                <w:szCs w:val="24"/>
                <w:shd w:val="clear" w:color="auto" w:fill="FFFFFF"/>
                <w:lang w:eastAsia="lv-LV"/>
              </w:rPr>
              <w:t xml:space="preserve">   Ministru kabineta 2013. gada 19. marta noteikumos Nr. 154 “Noteikumi par republikas pilsētu un novadu administratīvo </w:t>
            </w:r>
            <w:r>
              <w:rPr>
                <w:rStyle w:val="Noklusjumarindkopasfonts"/>
                <w:rFonts w:ascii="Times New Roman" w:eastAsia="Times New Roman" w:hAnsi="Times New Roman" w:cs="Times New Roman"/>
                <w:sz w:val="24"/>
                <w:szCs w:val="24"/>
                <w:shd w:val="clear" w:color="auto" w:fill="FFFFFF"/>
                <w:lang w:eastAsia="lv-LV"/>
              </w:rPr>
              <w:t>teritoriju robežu aprakstu apstiprināšanu”, kas piemērojami līdz 2021. gada 30. jūnijam, noteiktas Ilūkstes novada robežas. Atbilstoši 2020. gada 10. jūnija Administratīvo teritoriju un apdzīvoto vietu likuma pielikuma 10. punktam Augšdaugavas novadā ietil</w:t>
            </w:r>
            <w:r>
              <w:rPr>
                <w:rStyle w:val="Noklusjumarindkopasfonts"/>
                <w:rFonts w:ascii="Times New Roman" w:eastAsia="Times New Roman" w:hAnsi="Times New Roman" w:cs="Times New Roman"/>
                <w:sz w:val="24"/>
                <w:szCs w:val="24"/>
                <w:shd w:val="clear" w:color="auto" w:fill="FFFFFF"/>
                <w:lang w:eastAsia="lv-LV"/>
              </w:rPr>
              <w:t xml:space="preserve">pst Ilūkstes pilsēta un Šēderes pagasts. Savukārt Noteikumu 1. pielikuma III. sadaļā norādīti Objekti, kas atrodas Daugavpilī un šobrīd vēl pastāvošās Ilūkstes novada pašvaldības </w:t>
            </w:r>
            <w:r>
              <w:rPr>
                <w:rStyle w:val="Noklusjumarindkopasfonts"/>
                <w:rFonts w:ascii="Times New Roman" w:eastAsia="Times New Roman" w:hAnsi="Times New Roman" w:cs="Times New Roman"/>
                <w:sz w:val="24"/>
                <w:szCs w:val="24"/>
                <w:lang w:eastAsia="lv-LV"/>
              </w:rPr>
              <w:t xml:space="preserve">administratīvajā </w:t>
            </w:r>
            <w:r>
              <w:rPr>
                <w:rStyle w:val="Noklusjumarindkopasfonts"/>
                <w:rFonts w:ascii="Times New Roman" w:eastAsia="Times New Roman" w:hAnsi="Times New Roman" w:cs="Times New Roman"/>
                <w:sz w:val="24"/>
                <w:szCs w:val="24"/>
                <w:shd w:val="clear" w:color="auto" w:fill="FFFFFF"/>
                <w:lang w:eastAsia="lv-LV"/>
              </w:rPr>
              <w:t>teritorijā, tostarp Objekts, kas atrodas Ilūkstes novada Šēd</w:t>
            </w:r>
            <w:r>
              <w:rPr>
                <w:rStyle w:val="Noklusjumarindkopasfonts"/>
                <w:rFonts w:ascii="Times New Roman" w:eastAsia="Times New Roman" w:hAnsi="Times New Roman" w:cs="Times New Roman"/>
                <w:sz w:val="24"/>
                <w:szCs w:val="24"/>
                <w:shd w:val="clear" w:color="auto" w:fill="FFFFFF"/>
                <w:lang w:eastAsia="lv-LV"/>
              </w:rPr>
              <w:t xml:space="preserve">eres pagastā – Līnijas ražošanas dispečeru stacija “Ilūkste”. </w:t>
            </w:r>
          </w:p>
          <w:p w:rsidR="009E2B0D" w:rsidRDefault="00D72D6A">
            <w:pPr>
              <w:pStyle w:val="Standard"/>
              <w:spacing w:after="0"/>
              <w:jc w:val="both"/>
            </w:pPr>
            <w:r>
              <w:rPr>
                <w:rStyle w:val="Noklusjumarindkopasfonts"/>
                <w:rFonts w:ascii="Times New Roman" w:eastAsia="Times New Roman" w:hAnsi="Times New Roman" w:cs="Times New Roman"/>
                <w:sz w:val="24"/>
                <w:szCs w:val="24"/>
                <w:shd w:val="clear" w:color="auto" w:fill="FFFFFF"/>
                <w:lang w:eastAsia="lv-LV"/>
              </w:rPr>
              <w:t xml:space="preserve">  Tiesību akta projekts izstrādāts, lai saskaņotu Noteikumu 1. pielikuma III. sadaļā norādītās administratīvās teritorijas nosaukumu, kā arī III. sadaļā norādītā Objekta  adresi ar 2020. gada 1</w:t>
            </w:r>
            <w:r>
              <w:rPr>
                <w:rStyle w:val="Noklusjumarindkopasfonts"/>
                <w:rFonts w:ascii="Times New Roman" w:eastAsia="Times New Roman" w:hAnsi="Times New Roman" w:cs="Times New Roman"/>
                <w:sz w:val="24"/>
                <w:szCs w:val="24"/>
                <w:shd w:val="clear" w:color="auto" w:fill="FFFFFF"/>
                <w:lang w:eastAsia="lv-LV"/>
              </w:rPr>
              <w:t>0. jūnija Administratīvo teritoriju un apdzīvoto vietu likumu. Ievērojot 2020. gada 10. jūnija Administratīvo teritoriju un apdzīvoto vietu likuma Pārejas noteikumu 2. punkta noteikumus, tiesību akta projekts nosaka, ka grozījumi Noteikumu III. sadaļā stāj</w:t>
            </w:r>
            <w:r>
              <w:rPr>
                <w:rStyle w:val="Noklusjumarindkopasfonts"/>
                <w:rFonts w:ascii="Times New Roman" w:eastAsia="Times New Roman" w:hAnsi="Times New Roman" w:cs="Times New Roman"/>
                <w:sz w:val="24"/>
                <w:szCs w:val="24"/>
                <w:shd w:val="clear" w:color="auto" w:fill="FFFFFF"/>
                <w:lang w:eastAsia="lv-LV"/>
              </w:rPr>
              <w:t>as spēkā 2021. gada 1. jūlijā.</w:t>
            </w:r>
          </w:p>
          <w:p w:rsidR="009E2B0D" w:rsidRDefault="00D72D6A">
            <w:pPr>
              <w:pStyle w:val="Standard"/>
              <w:spacing w:after="0"/>
              <w:jc w:val="both"/>
            </w:pPr>
            <w:r>
              <w:rPr>
                <w:rStyle w:val="Noklusjumarindkopasfonts"/>
                <w:rFonts w:ascii="Times New Roman" w:eastAsia="Times New Roman" w:hAnsi="Times New Roman" w:cs="Times New Roman"/>
                <w:sz w:val="24"/>
                <w:szCs w:val="24"/>
                <w:shd w:val="clear" w:color="auto" w:fill="FFFFFF"/>
                <w:lang w:eastAsia="lv-LV"/>
              </w:rPr>
              <w:t xml:space="preserve">   Vienlaicīgi tiesību akta projekts paredz precizēt adreses Objektiem, kas atrodas Olaines un Saldus novados, norādot arī pagastus, kuros tie atrodas.</w:t>
            </w:r>
          </w:p>
          <w:p w:rsidR="009E2B0D" w:rsidRDefault="00D72D6A">
            <w:pPr>
              <w:pStyle w:val="Standard"/>
              <w:spacing w:after="0"/>
              <w:jc w:val="both"/>
            </w:pPr>
            <w:r>
              <w:rPr>
                <w:rStyle w:val="Noklusjumarindkopasfonts"/>
                <w:rFonts w:ascii="Times New Roman" w:eastAsia="Times New Roman" w:hAnsi="Times New Roman" w:cs="Times New Roman"/>
                <w:sz w:val="24"/>
                <w:szCs w:val="24"/>
                <w:lang w:eastAsia="lv-LV"/>
              </w:rPr>
              <w:t xml:space="preserve">      N</w:t>
            </w:r>
            <w:r>
              <w:rPr>
                <w:rStyle w:val="Noklusjumarindkopasfonts"/>
                <w:rFonts w:ascii="Times New Roman" w:eastAsia="Times New Roman" w:hAnsi="Times New Roman" w:cs="Times New Roman"/>
                <w:sz w:val="24"/>
                <w:szCs w:val="24"/>
                <w:shd w:val="clear" w:color="auto" w:fill="FFFFFF"/>
                <w:lang w:eastAsia="lv-LV"/>
              </w:rPr>
              <w:t>oteikumu projekts stājas spēkā nākamajā dienā pēc tā izsludināšana</w:t>
            </w:r>
            <w:r>
              <w:rPr>
                <w:rStyle w:val="Noklusjumarindkopasfonts"/>
                <w:rFonts w:ascii="Times New Roman" w:eastAsia="Times New Roman" w:hAnsi="Times New Roman" w:cs="Times New Roman"/>
                <w:sz w:val="24"/>
                <w:szCs w:val="24"/>
                <w:shd w:val="clear" w:color="auto" w:fill="FFFFFF"/>
                <w:lang w:eastAsia="lv-LV"/>
              </w:rPr>
              <w:t>s, izņemot noteikumu 1.2. un 1.3. punktu, kas stājas spēkā 2021. gada 1. jūlijā.</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3.</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28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p w:rsidR="009E2B0D" w:rsidRDefault="009E2B0D">
            <w:pPr>
              <w:pStyle w:val="Standard"/>
              <w:spacing w:after="0" w:line="240" w:lineRule="auto"/>
              <w:rPr>
                <w:rFonts w:ascii="Times New Roman" w:eastAsia="Times New Roman" w:hAnsi="Times New Roman" w:cs="Times New Roman"/>
                <w:iCs/>
                <w:sz w:val="24"/>
                <w:szCs w:val="24"/>
                <w:lang w:eastAsia="lv-LV"/>
              </w:rPr>
            </w:pP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9E2B0D" w:rsidRDefault="009E2B0D">
      <w:pPr>
        <w:pStyle w:val="Standard"/>
        <w:spacing w:after="0" w:line="240" w:lineRule="auto"/>
        <w:rPr>
          <w:rFonts w:ascii="Times New Roman" w:eastAsia="Times New Roman" w:hAnsi="Times New Roman" w:cs="Times New Roman"/>
          <w:iCs/>
          <w:sz w:val="20"/>
          <w:szCs w:val="20"/>
          <w:lang w:eastAsia="lv-LV"/>
        </w:rPr>
      </w:pPr>
    </w:p>
    <w:tbl>
      <w:tblPr>
        <w:tblW w:w="5000" w:type="pct"/>
        <w:tblLayout w:type="fixed"/>
        <w:tblCellMar>
          <w:left w:w="10" w:type="dxa"/>
          <w:right w:w="10" w:type="dxa"/>
        </w:tblCellMar>
        <w:tblLook w:val="0000" w:firstRow="0" w:lastRow="0" w:firstColumn="0" w:lastColumn="0" w:noHBand="0" w:noVBand="0"/>
      </w:tblPr>
      <w:tblGrid>
        <w:gridCol w:w="586"/>
        <w:gridCol w:w="3096"/>
        <w:gridCol w:w="5456"/>
      </w:tblGrid>
      <w:tr w:rsidR="009E2B0D">
        <w:tblPrEx>
          <w:tblCellMar>
            <w:top w:w="0" w:type="dxa"/>
            <w:bottom w:w="0" w:type="dxa"/>
          </w:tblCellMar>
        </w:tblPrEx>
        <w:tc>
          <w:tcPr>
            <w:tcW w:w="9138" w:type="dxa"/>
            <w:gridSpan w:val="3"/>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w:t>
            </w:r>
            <w:r>
              <w:rPr>
                <w:rFonts w:ascii="Times New Roman" w:eastAsia="Times New Roman" w:hAnsi="Times New Roman" w:cs="Times New Roman"/>
                <w:b/>
                <w:bCs/>
                <w:iCs/>
                <w:sz w:val="24"/>
                <w:szCs w:val="24"/>
                <w:lang w:eastAsia="lv-LV"/>
              </w:rPr>
              <w:t xml:space="preserve"> uz sabiedrību, tautsaimniecības attīstību un administratīvo slogu</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9E2B0D" w:rsidRDefault="00D72D6A">
      <w:pPr>
        <w:pStyle w:val="Standard"/>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 </w:t>
      </w:r>
    </w:p>
    <w:tbl>
      <w:tblPr>
        <w:tblW w:w="5000" w:type="pct"/>
        <w:tblLayout w:type="fixed"/>
        <w:tblCellMar>
          <w:left w:w="10" w:type="dxa"/>
          <w:right w:w="10" w:type="dxa"/>
        </w:tblCellMar>
        <w:tblLook w:val="0000" w:firstRow="0" w:lastRow="0" w:firstColumn="0" w:lastColumn="0" w:noHBand="0" w:noVBand="0"/>
      </w:tblPr>
      <w:tblGrid>
        <w:gridCol w:w="9138"/>
      </w:tblGrid>
      <w:tr w:rsidR="009E2B0D">
        <w:tblPrEx>
          <w:tblCellMar>
            <w:top w:w="0" w:type="dxa"/>
            <w:bottom w:w="0" w:type="dxa"/>
          </w:tblCellMar>
        </w:tblPrEx>
        <w:tc>
          <w:tcPr>
            <w:tcW w:w="9138"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III. Tiesību akta projekta ietekme uz valsts budžetu un </w:t>
            </w:r>
            <w:r>
              <w:rPr>
                <w:rFonts w:ascii="Times New Roman" w:eastAsia="Times New Roman" w:hAnsi="Times New Roman" w:cs="Times New Roman"/>
                <w:b/>
                <w:bCs/>
                <w:iCs/>
                <w:sz w:val="24"/>
                <w:szCs w:val="24"/>
                <w:lang w:eastAsia="lv-LV"/>
              </w:rPr>
              <w:t>pašvaldību budžetiem</w:t>
            </w:r>
          </w:p>
        </w:tc>
      </w:tr>
      <w:tr w:rsidR="009E2B0D">
        <w:tblPrEx>
          <w:tblCellMar>
            <w:top w:w="0" w:type="dxa"/>
            <w:bottom w:w="0" w:type="dxa"/>
          </w:tblCellMar>
        </w:tblPrEx>
        <w:tc>
          <w:tcPr>
            <w:tcW w:w="9138"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9E2B0D" w:rsidRDefault="00D72D6A">
      <w:pPr>
        <w:pStyle w:val="Standard"/>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 </w:t>
      </w:r>
    </w:p>
    <w:tbl>
      <w:tblPr>
        <w:tblW w:w="5000" w:type="pct"/>
        <w:tblLayout w:type="fixed"/>
        <w:tblCellMar>
          <w:left w:w="10" w:type="dxa"/>
          <w:right w:w="10" w:type="dxa"/>
        </w:tblCellMar>
        <w:tblLook w:val="0000" w:firstRow="0" w:lastRow="0" w:firstColumn="0" w:lastColumn="0" w:noHBand="0" w:noVBand="0"/>
      </w:tblPr>
      <w:tblGrid>
        <w:gridCol w:w="9138"/>
      </w:tblGrid>
      <w:tr w:rsidR="009E2B0D">
        <w:tblPrEx>
          <w:tblCellMar>
            <w:top w:w="0" w:type="dxa"/>
            <w:bottom w:w="0" w:type="dxa"/>
          </w:tblCellMar>
        </w:tblPrEx>
        <w:tc>
          <w:tcPr>
            <w:tcW w:w="9138"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9E2B0D">
        <w:tblPrEx>
          <w:tblCellMar>
            <w:top w:w="0" w:type="dxa"/>
            <w:bottom w:w="0" w:type="dxa"/>
          </w:tblCellMar>
        </w:tblPrEx>
        <w:tc>
          <w:tcPr>
            <w:tcW w:w="9138"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Layout w:type="fixed"/>
        <w:tblCellMar>
          <w:left w:w="10" w:type="dxa"/>
          <w:right w:w="10" w:type="dxa"/>
        </w:tblCellMar>
        <w:tblLook w:val="0000" w:firstRow="0" w:lastRow="0" w:firstColumn="0" w:lastColumn="0" w:noHBand="0" w:noVBand="0"/>
      </w:tblPr>
      <w:tblGrid>
        <w:gridCol w:w="9138"/>
      </w:tblGrid>
      <w:tr w:rsidR="009E2B0D">
        <w:tblPrEx>
          <w:tblCellMar>
            <w:top w:w="0" w:type="dxa"/>
            <w:bottom w:w="0" w:type="dxa"/>
          </w:tblCellMar>
        </w:tblPrEx>
        <w:tc>
          <w:tcPr>
            <w:tcW w:w="9138"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E2B0D">
        <w:tblPrEx>
          <w:tblCellMar>
            <w:top w:w="0" w:type="dxa"/>
            <w:bottom w:w="0" w:type="dxa"/>
          </w:tblCellMar>
        </w:tblPrEx>
        <w:tc>
          <w:tcPr>
            <w:tcW w:w="9138"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9E2B0D" w:rsidRDefault="00D72D6A">
      <w:pPr>
        <w:pStyle w:val="Standard"/>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 </w:t>
      </w:r>
    </w:p>
    <w:tbl>
      <w:tblPr>
        <w:tblW w:w="5000" w:type="pct"/>
        <w:tblLayout w:type="fixed"/>
        <w:tblCellMar>
          <w:left w:w="10" w:type="dxa"/>
          <w:right w:w="10" w:type="dxa"/>
        </w:tblCellMar>
        <w:tblLook w:val="0000" w:firstRow="0" w:lastRow="0" w:firstColumn="0" w:lastColumn="0" w:noHBand="0" w:noVBand="0"/>
      </w:tblPr>
      <w:tblGrid>
        <w:gridCol w:w="586"/>
        <w:gridCol w:w="3096"/>
        <w:gridCol w:w="5456"/>
      </w:tblGrid>
      <w:tr w:rsidR="009E2B0D">
        <w:tblPrEx>
          <w:tblCellMar>
            <w:top w:w="0" w:type="dxa"/>
            <w:bottom w:w="0" w:type="dxa"/>
          </w:tblCellMar>
        </w:tblPrEx>
        <w:tc>
          <w:tcPr>
            <w:tcW w:w="9138" w:type="dxa"/>
            <w:gridSpan w:val="3"/>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jc w:val="both"/>
              <w:rPr>
                <w:rFonts w:ascii="Times New Roman" w:hAnsi="Times New Roman"/>
                <w:sz w:val="24"/>
                <w:szCs w:val="24"/>
              </w:rPr>
            </w:pPr>
            <w:r>
              <w:rPr>
                <w:rFonts w:ascii="Times New Roman" w:hAnsi="Times New Roman"/>
                <w:sz w:val="24"/>
                <w:szCs w:val="24"/>
              </w:rPr>
              <w:t xml:space="preserve">Noteikumu projekts kvantitatīvi un kvalitatīvi nepasliktina sabiedrības iespēju saņemt pakalpojumus. Tādejādi </w:t>
            </w:r>
            <w:r>
              <w:rPr>
                <w:rFonts w:ascii="Times New Roman" w:hAnsi="Times New Roman"/>
                <w:sz w:val="24"/>
                <w:szCs w:val="24"/>
              </w:rPr>
              <w:t>sabiedrības līdzdalības un komunikācijas aktivitātes netiks veiktas.</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jc w:val="both"/>
              <w:rPr>
                <w:rFonts w:ascii="Times New Roman" w:hAnsi="Times New Roman"/>
                <w:sz w:val="24"/>
                <w:szCs w:val="24"/>
              </w:rPr>
            </w:pPr>
            <w:r>
              <w:rPr>
                <w:rFonts w:ascii="Times New Roman" w:hAnsi="Times New Roman"/>
                <w:sz w:val="24"/>
                <w:szCs w:val="24"/>
              </w:rPr>
              <w:t>Nav</w:t>
            </w:r>
          </w:p>
        </w:tc>
      </w:tr>
    </w:tbl>
    <w:p w:rsidR="009E2B0D" w:rsidRDefault="00D72D6A">
      <w:pPr>
        <w:pStyle w:val="Standard"/>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 </w:t>
      </w:r>
    </w:p>
    <w:tbl>
      <w:tblPr>
        <w:tblW w:w="5000" w:type="pct"/>
        <w:tblLayout w:type="fixed"/>
        <w:tblCellMar>
          <w:left w:w="10" w:type="dxa"/>
          <w:right w:w="10" w:type="dxa"/>
        </w:tblCellMar>
        <w:tblLook w:val="0000" w:firstRow="0" w:lastRow="0" w:firstColumn="0" w:lastColumn="0" w:noHBand="0" w:noVBand="0"/>
      </w:tblPr>
      <w:tblGrid>
        <w:gridCol w:w="586"/>
        <w:gridCol w:w="3096"/>
        <w:gridCol w:w="5456"/>
      </w:tblGrid>
      <w:tr w:rsidR="009E2B0D">
        <w:tblPrEx>
          <w:tblCellMar>
            <w:top w:w="0" w:type="dxa"/>
            <w:bottom w:w="0" w:type="dxa"/>
          </w:tblCellMar>
        </w:tblPrEx>
        <w:tc>
          <w:tcPr>
            <w:tcW w:w="9138" w:type="dxa"/>
            <w:gridSpan w:val="3"/>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vAlign w:val="center"/>
          </w:tcPr>
          <w:p w:rsidR="009E2B0D" w:rsidRDefault="00D72D6A">
            <w:pPr>
              <w:pStyle w:val="Standard"/>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VII. Tiesību akta projekta izpildes nodrošināšana un tās ietekme uz </w:t>
            </w:r>
            <w:r>
              <w:rPr>
                <w:rFonts w:ascii="Times New Roman" w:eastAsia="Times New Roman" w:hAnsi="Times New Roman" w:cs="Times New Roman"/>
                <w:b/>
                <w:bCs/>
                <w:iCs/>
                <w:sz w:val="24"/>
                <w:szCs w:val="24"/>
                <w:lang w:eastAsia="lv-LV"/>
              </w:rPr>
              <w:t>institūcijām</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rPr>
            </w:pPr>
            <w:r>
              <w:rPr>
                <w:rFonts w:ascii="Times New Roman" w:hAnsi="Times New Roman"/>
                <w:sz w:val="24"/>
                <w:szCs w:val="24"/>
              </w:rPr>
              <w:t>Valsts ugunsdzēsības un glābšanas dienests</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r>
            <w:r>
              <w:rPr>
                <w:rFonts w:ascii="Times New Roman" w:eastAsia="Times New Roman" w:hAnsi="Times New Roman" w:cs="Times New Roman"/>
                <w:iCs/>
                <w:sz w:val="24"/>
                <w:szCs w:val="24"/>
                <w:lang w:eastAsia="lv-LV"/>
              </w:rPr>
              <w:t xml:space="preserve">Jaunu institūciju izveide, esošu institūciju likvidācija vai </w:t>
            </w:r>
            <w:r>
              <w:rPr>
                <w:rFonts w:ascii="Times New Roman" w:eastAsia="Times New Roman" w:hAnsi="Times New Roman" w:cs="Times New Roman"/>
                <w:iCs/>
                <w:sz w:val="24"/>
                <w:szCs w:val="24"/>
                <w:lang w:eastAsia="lv-LV"/>
              </w:rPr>
              <w:lastRenderedPageBreak/>
              <w:t>reorganizāc</w:t>
            </w:r>
            <w:r>
              <w:rPr>
                <w:rFonts w:ascii="Times New Roman" w:eastAsia="Times New Roman" w:hAnsi="Times New Roman" w:cs="Times New Roman"/>
                <w:iCs/>
                <w:sz w:val="24"/>
                <w:szCs w:val="24"/>
                <w:lang w:eastAsia="lv-LV"/>
              </w:rPr>
              <w:t>ija, to ietekme uz institūcijas cilvēkresursiem</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rPr>
            </w:pPr>
            <w:r>
              <w:rPr>
                <w:rFonts w:ascii="Times New Roman" w:hAnsi="Times New Roman"/>
                <w:sz w:val="24"/>
                <w:szCs w:val="24"/>
              </w:rPr>
              <w:lastRenderedPageBreak/>
              <w:t>Noteikumu projekts nemaina iesaistīto institūciju kompetenci.</w:t>
            </w:r>
          </w:p>
        </w:tc>
      </w:tr>
      <w:tr w:rsidR="009E2B0D">
        <w:tblPrEx>
          <w:tblCellMar>
            <w:top w:w="0" w:type="dxa"/>
            <w:bottom w:w="0" w:type="dxa"/>
          </w:tblCellMar>
        </w:tblPrEx>
        <w:tc>
          <w:tcPr>
            <w:tcW w:w="58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9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rPr>
            </w:pPr>
            <w:r>
              <w:rPr>
                <w:rFonts w:ascii="Times New Roman" w:hAnsi="Times New Roman"/>
                <w:sz w:val="24"/>
                <w:szCs w:val="24"/>
              </w:rPr>
              <w:t>Cita informācija</w:t>
            </w:r>
          </w:p>
        </w:tc>
        <w:tc>
          <w:tcPr>
            <w:tcW w:w="5456" w:type="dxa"/>
            <w:tcBorders>
              <w:top w:val="outset" w:sz="18" w:space="0" w:color="000000"/>
              <w:left w:val="outset" w:sz="18" w:space="0" w:color="000000"/>
              <w:bottom w:val="outset" w:sz="18" w:space="0" w:color="000000"/>
              <w:right w:val="outset" w:sz="18" w:space="0" w:color="000000"/>
            </w:tcBorders>
            <w:shd w:val="clear" w:color="auto" w:fill="auto"/>
            <w:tcMar>
              <w:top w:w="30" w:type="dxa"/>
              <w:left w:w="30" w:type="dxa"/>
              <w:bottom w:w="30" w:type="dxa"/>
              <w:right w:w="30" w:type="dxa"/>
            </w:tcMar>
          </w:tcPr>
          <w:p w:rsidR="009E2B0D" w:rsidRDefault="00D72D6A">
            <w:pPr>
              <w:pStyle w:val="Standard"/>
              <w:spacing w:after="0" w:line="240" w:lineRule="auto"/>
              <w:rPr>
                <w:rFonts w:ascii="Times New Roman" w:hAnsi="Times New Roman"/>
                <w:sz w:val="24"/>
                <w:szCs w:val="24"/>
              </w:rPr>
            </w:pPr>
            <w:r>
              <w:rPr>
                <w:rFonts w:ascii="Times New Roman" w:hAnsi="Times New Roman"/>
                <w:sz w:val="24"/>
                <w:szCs w:val="24"/>
              </w:rPr>
              <w:t>Nav</w:t>
            </w:r>
          </w:p>
        </w:tc>
      </w:tr>
    </w:tbl>
    <w:p w:rsidR="009E2B0D" w:rsidRDefault="009E2B0D">
      <w:pPr>
        <w:pStyle w:val="Standard"/>
        <w:spacing w:after="0" w:line="240" w:lineRule="auto"/>
        <w:rPr>
          <w:rFonts w:ascii="Times New Roman" w:hAnsi="Times New Roman" w:cs="Times New Roman"/>
          <w:sz w:val="24"/>
          <w:szCs w:val="24"/>
        </w:rPr>
      </w:pPr>
    </w:p>
    <w:p w:rsidR="009E2B0D" w:rsidRDefault="00D72D6A">
      <w:pPr>
        <w:pStyle w:val="naisf"/>
        <w:spacing w:before="0" w:after="0"/>
        <w:ind w:firstLine="0"/>
      </w:pPr>
      <w:r>
        <w:t>Iekšlietu ministrs</w:t>
      </w:r>
      <w:r>
        <w:tab/>
      </w:r>
      <w:r>
        <w:tab/>
      </w:r>
      <w:r>
        <w:tab/>
      </w:r>
      <w:r>
        <w:tab/>
      </w:r>
      <w:r>
        <w:tab/>
        <w:t xml:space="preserve">         </w:t>
      </w:r>
      <w:r>
        <w:tab/>
        <w:t xml:space="preserve"> S. Ģirģens</w:t>
      </w:r>
    </w:p>
    <w:p w:rsidR="009E2B0D" w:rsidRDefault="009E2B0D">
      <w:pPr>
        <w:pStyle w:val="naisf"/>
        <w:spacing w:before="0" w:after="0"/>
        <w:ind w:firstLine="0"/>
      </w:pPr>
    </w:p>
    <w:p w:rsidR="009E2B0D" w:rsidRDefault="00D72D6A">
      <w:pPr>
        <w:pStyle w:val="naisf"/>
        <w:spacing w:before="0" w:after="0"/>
        <w:ind w:firstLine="0"/>
      </w:pPr>
      <w:r>
        <w:t xml:space="preserve">Vīza: Iekšlietu ministrijas valsts sekretārs </w:t>
      </w:r>
      <w:r>
        <w:tab/>
      </w:r>
      <w:r>
        <w:tab/>
      </w:r>
      <w:r>
        <w:tab/>
        <w:t>D. Trofimovs</w:t>
      </w:r>
    </w:p>
    <w:p w:rsidR="009E2B0D" w:rsidRDefault="009E2B0D">
      <w:pPr>
        <w:pStyle w:val="Standard"/>
        <w:tabs>
          <w:tab w:val="left" w:pos="6237"/>
        </w:tabs>
        <w:spacing w:after="0" w:line="240" w:lineRule="auto"/>
        <w:rPr>
          <w:sz w:val="20"/>
        </w:rPr>
      </w:pPr>
    </w:p>
    <w:p w:rsidR="009E2B0D" w:rsidRDefault="00D72D6A">
      <w:pPr>
        <w:pStyle w:val="Nosaukums"/>
        <w:jc w:val="left"/>
        <w:rPr>
          <w:b w:val="0"/>
          <w:sz w:val="20"/>
        </w:rPr>
      </w:pPr>
      <w:r>
        <w:rPr>
          <w:b w:val="0"/>
          <w:sz w:val="20"/>
        </w:rPr>
        <w:t>13.08.2020.</w:t>
      </w:r>
      <w:r>
        <w:rPr>
          <w:b w:val="0"/>
          <w:sz w:val="20"/>
        </w:rPr>
        <w:t xml:space="preserve"> 15:19</w:t>
      </w:r>
    </w:p>
    <w:p w:rsidR="009E2B0D" w:rsidRDefault="00D72D6A">
      <w:pPr>
        <w:pStyle w:val="Nosaukums"/>
        <w:jc w:val="left"/>
        <w:rPr>
          <w:b w:val="0"/>
          <w:sz w:val="20"/>
        </w:rPr>
      </w:pPr>
      <w:r>
        <w:rPr>
          <w:b w:val="0"/>
          <w:sz w:val="20"/>
        </w:rPr>
        <w:t>754</w:t>
      </w: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9E2B0D">
      <w:pPr>
        <w:pStyle w:val="Nosaukums"/>
        <w:jc w:val="left"/>
        <w:rPr>
          <w:b w:val="0"/>
          <w:sz w:val="20"/>
        </w:rPr>
      </w:pPr>
    </w:p>
    <w:p w:rsidR="009E2B0D" w:rsidRDefault="00D72D6A">
      <w:pPr>
        <w:pStyle w:val="Nosaukums"/>
        <w:jc w:val="left"/>
        <w:rPr>
          <w:b w:val="0"/>
          <w:sz w:val="20"/>
        </w:rPr>
      </w:pPr>
      <w:r>
        <w:rPr>
          <w:b w:val="0"/>
          <w:sz w:val="20"/>
        </w:rPr>
        <w:t>Ilsters 67075931</w:t>
      </w:r>
    </w:p>
    <w:p w:rsidR="009E2B0D" w:rsidRDefault="00D72D6A">
      <w:pPr>
        <w:pStyle w:val="Nosaukums"/>
        <w:jc w:val="left"/>
      </w:pPr>
      <w:r>
        <w:rPr>
          <w:rStyle w:val="Noklusjumarindkopasfonts"/>
          <w:b w:val="0"/>
          <w:sz w:val="20"/>
        </w:rPr>
        <w:t>zanis.ilsters@vugd.gov.lv</w:t>
      </w:r>
    </w:p>
    <w:sectPr w:rsidR="009E2B0D">
      <w:headerReference w:type="default" r:id="rId8"/>
      <w:footerReference w:type="default" r:id="rId9"/>
      <w:footerReference w:type="first" r:id="rId10"/>
      <w:pgSz w:w="11906" w:h="16838"/>
      <w:pgMar w:top="1134" w:right="1021" w:bottom="2389" w:left="170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2D6A">
      <w:r>
        <w:separator/>
      </w:r>
    </w:p>
  </w:endnote>
  <w:endnote w:type="continuationSeparator" w:id="0">
    <w:p w:rsidR="00000000" w:rsidRDefault="00D7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32" w:rsidRDefault="00D72D6A">
    <w:pPr>
      <w:pStyle w:val="Kjene"/>
      <w:jc w:val="both"/>
      <w:rPr>
        <w:rFonts w:ascii="Times New Roman" w:hAnsi="Times New Roman"/>
        <w:sz w:val="20"/>
      </w:rPr>
    </w:pPr>
    <w:r>
      <w:rPr>
        <w:rFonts w:ascii="Times New Roman" w:hAnsi="Times New Roman"/>
        <w:sz w:val="20"/>
      </w:rPr>
      <w:t>Anot_MK_Not_674_groz_130820</w:t>
    </w:r>
  </w:p>
  <w:p w:rsidR="00714832" w:rsidRDefault="00D72D6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32" w:rsidRDefault="00D72D6A">
    <w:pPr>
      <w:pStyle w:val="Galvene"/>
      <w:rPr>
        <w:rFonts w:ascii="Times New Roman" w:hAnsi="Times New Roman"/>
        <w:sz w:val="24"/>
        <w:szCs w:val="24"/>
      </w:rPr>
    </w:pPr>
  </w:p>
  <w:p w:rsidR="00714832" w:rsidRDefault="00D72D6A">
    <w:pPr>
      <w:pStyle w:val="Standard"/>
    </w:pPr>
  </w:p>
  <w:p w:rsidR="00714832" w:rsidRDefault="00D72D6A">
    <w:pPr>
      <w:pStyle w:val="Kjene"/>
    </w:pPr>
  </w:p>
  <w:p w:rsidR="00714832" w:rsidRDefault="00D72D6A">
    <w:pPr>
      <w:pStyle w:val="Standard"/>
    </w:pPr>
  </w:p>
  <w:p w:rsidR="00714832" w:rsidRDefault="00D72D6A">
    <w:pPr>
      <w:pStyle w:val="Kjene"/>
      <w:jc w:val="both"/>
      <w:rPr>
        <w:rFonts w:ascii="Times New Roman" w:hAnsi="Times New Roman"/>
        <w:sz w:val="20"/>
      </w:rPr>
    </w:pPr>
    <w:r>
      <w:rPr>
        <w:rFonts w:ascii="Times New Roman" w:hAnsi="Times New Roman"/>
        <w:sz w:val="20"/>
      </w:rPr>
      <w:t>Anot_MK_Not_674_groz_130820</w:t>
    </w:r>
  </w:p>
  <w:p w:rsidR="00714832" w:rsidRDefault="00D72D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2D6A">
      <w:r>
        <w:rPr>
          <w:color w:val="000000"/>
        </w:rPr>
        <w:separator/>
      </w:r>
    </w:p>
  </w:footnote>
  <w:footnote w:type="continuationSeparator" w:id="0">
    <w:p w:rsidR="00000000" w:rsidRDefault="00D7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32" w:rsidRDefault="00D72D6A">
    <w:pPr>
      <w:pStyle w:val="Galvene"/>
      <w:jc w:val="center"/>
    </w:pPr>
    <w:r>
      <w:rPr>
        <w:rStyle w:val="Noklusjumarindkopasfonts"/>
        <w:rFonts w:ascii="Times New Roman" w:hAnsi="Times New Roman" w:cs="Times New Roman"/>
        <w:sz w:val="24"/>
        <w:szCs w:val="20"/>
      </w:rPr>
      <w:fldChar w:fldCharType="begin"/>
    </w:r>
    <w:r>
      <w:rPr>
        <w:rStyle w:val="Noklusjumarindkopasfonts"/>
        <w:rFonts w:ascii="Times New Roman" w:hAnsi="Times New Roman" w:cs="Times New Roman"/>
        <w:sz w:val="24"/>
        <w:szCs w:val="20"/>
      </w:rPr>
      <w:instrText xml:space="preserve"> PAGE </w:instrText>
    </w:r>
    <w:r>
      <w:rPr>
        <w:rStyle w:val="Noklusjumarindkopasfonts"/>
        <w:rFonts w:ascii="Times New Roman" w:hAnsi="Times New Roman" w:cs="Times New Roman"/>
        <w:sz w:val="24"/>
        <w:szCs w:val="20"/>
      </w:rPr>
      <w:fldChar w:fldCharType="separate"/>
    </w:r>
    <w:r>
      <w:rPr>
        <w:rStyle w:val="Noklusjumarindkopasfonts"/>
        <w:rFonts w:ascii="Times New Roman" w:hAnsi="Times New Roman" w:cs="Times New Roman"/>
        <w:noProof/>
        <w:sz w:val="24"/>
        <w:szCs w:val="20"/>
      </w:rPr>
      <w:t>2</w:t>
    </w:r>
    <w:r>
      <w:rPr>
        <w:rStyle w:val="Noklusjumarindkopasfonts"/>
        <w:rFonts w:ascii="Times New Roman" w:hAnsi="Times New Roman" w:cs="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52A9F"/>
    <w:multiLevelType w:val="multilevel"/>
    <w:tmpl w:val="80A25A6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E2B0D"/>
    <w:rsid w:val="009E2B0D"/>
    <w:rsid w:val="00D72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972EF-B7D3-4FA7-8391-B6134E39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lv-LV"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3">
    <w:name w:val="Virsraksts 3"/>
    <w:basedOn w:val="Standard"/>
    <w:pPr>
      <w:spacing w:before="280" w:after="280" w:line="240" w:lineRule="auto"/>
      <w:outlineLvl w:val="2"/>
    </w:pPr>
    <w:rPr>
      <w:rFonts w:ascii="Times New Roman" w:eastAsia="Times New Roman" w:hAnsi="Times New Roman" w:cs="Times New Roman"/>
      <w:b/>
      <w:bCs/>
      <w:sz w:val="27"/>
      <w:szCs w:val="27"/>
      <w:lang w:eastAsia="lv-LV"/>
    </w:rPr>
  </w:style>
  <w:style w:type="paragraph" w:customStyle="1" w:styleId="Parasts">
    <w:name w:val="Parasts"/>
    <w:pPr>
      <w:suppressAutoHyphens/>
    </w:pPr>
  </w:style>
  <w:style w:type="character" w:customStyle="1" w:styleId="Noklusjumarindkopasfonts">
    <w:name w:val="Noklusējuma rindkopas fonts"/>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customStyle="1" w:styleId="Saraksts">
    <w:name w:val="Saraksts"/>
    <w:basedOn w:val="Textbody"/>
    <w:rPr>
      <w:rFonts w:cs="Lucida Sans"/>
      <w:sz w:val="24"/>
    </w:rPr>
  </w:style>
  <w:style w:type="paragraph" w:customStyle="1" w:styleId="Parakstszemobjekta">
    <w:name w:val="Paraksts zem objekta"/>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labojumupamats">
    <w:name w:val="labojumu_pamats"/>
    <w:basedOn w:val="Standard"/>
    <w:pPr>
      <w:spacing w:before="280" w:after="280" w:line="240" w:lineRule="auto"/>
    </w:pPr>
    <w:rPr>
      <w:rFonts w:ascii="Times New Roman" w:eastAsia="Times New Roman" w:hAnsi="Times New Roman" w:cs="Times New Roman"/>
      <w:sz w:val="24"/>
      <w:szCs w:val="24"/>
      <w:lang w:eastAsia="lv-LV"/>
    </w:rPr>
  </w:style>
  <w:style w:type="paragraph" w:customStyle="1" w:styleId="tvhtml">
    <w:name w:val="tv_html"/>
    <w:basedOn w:val="Standard"/>
    <w:pPr>
      <w:spacing w:before="280" w:after="280" w:line="240" w:lineRule="auto"/>
    </w:pPr>
    <w:rPr>
      <w:rFonts w:ascii="Times New Roman" w:eastAsia="Times New Roman" w:hAnsi="Times New Roman" w:cs="Times New Roman"/>
      <w:sz w:val="24"/>
      <w:szCs w:val="24"/>
      <w:lang w:eastAsia="lv-LV"/>
    </w:rPr>
  </w:style>
  <w:style w:type="paragraph" w:customStyle="1" w:styleId="HeaderandFooter">
    <w:name w:val="Header and Footer"/>
    <w:basedOn w:val="Standard"/>
  </w:style>
  <w:style w:type="paragraph" w:customStyle="1" w:styleId="Galvene">
    <w:name w:val="Galvene"/>
    <w:basedOn w:val="Standard"/>
    <w:pPr>
      <w:tabs>
        <w:tab w:val="center" w:pos="4153"/>
        <w:tab w:val="right" w:pos="8306"/>
      </w:tabs>
      <w:spacing w:after="0" w:line="240" w:lineRule="auto"/>
    </w:pPr>
  </w:style>
  <w:style w:type="paragraph" w:customStyle="1" w:styleId="Kjene">
    <w:name w:val="Kājene"/>
    <w:basedOn w:val="Standard"/>
    <w:pPr>
      <w:tabs>
        <w:tab w:val="center" w:pos="4153"/>
        <w:tab w:val="right" w:pos="8306"/>
      </w:tabs>
      <w:spacing w:after="0" w:line="240" w:lineRule="auto"/>
    </w:pPr>
  </w:style>
  <w:style w:type="paragraph" w:customStyle="1" w:styleId="Balonteksts">
    <w:name w:val="Balonteksts"/>
    <w:basedOn w:val="Standard"/>
    <w:pPr>
      <w:spacing w:after="0" w:line="240" w:lineRule="auto"/>
    </w:pPr>
    <w:rPr>
      <w:rFonts w:ascii="Tahoma" w:eastAsia="Tahoma" w:hAnsi="Tahoma"/>
      <w:sz w:val="16"/>
      <w:szCs w:val="16"/>
    </w:rPr>
  </w:style>
  <w:style w:type="paragraph" w:customStyle="1" w:styleId="naisf">
    <w:name w:val="naisf"/>
    <w:basedOn w:val="Standard"/>
    <w:pPr>
      <w:spacing w:before="75" w:after="75" w:line="240" w:lineRule="auto"/>
      <w:ind w:firstLine="375"/>
      <w:jc w:val="both"/>
    </w:pPr>
    <w:rPr>
      <w:rFonts w:ascii="Times New Roman" w:hAnsi="Times New Roman" w:cs="Times New Roman"/>
      <w:sz w:val="24"/>
      <w:szCs w:val="24"/>
      <w:lang w:eastAsia="lv-LV"/>
    </w:rPr>
  </w:style>
  <w:style w:type="paragraph" w:customStyle="1" w:styleId="Komentrateksts">
    <w:name w:val="Komentāra teksts"/>
    <w:basedOn w:val="Standard"/>
    <w:pPr>
      <w:spacing w:line="240" w:lineRule="auto"/>
    </w:pPr>
    <w:rPr>
      <w:sz w:val="20"/>
      <w:szCs w:val="20"/>
    </w:rPr>
  </w:style>
  <w:style w:type="paragraph" w:customStyle="1" w:styleId="Komentratma">
    <w:name w:val="Komentāra tēma"/>
    <w:basedOn w:val="Komentrateksts"/>
    <w:next w:val="Komentrateksts"/>
    <w:rPr>
      <w:b/>
      <w:bCs/>
    </w:rPr>
  </w:style>
  <w:style w:type="paragraph" w:customStyle="1" w:styleId="Sarakstarindkopa">
    <w:name w:val="Saraksta rindkopa"/>
    <w:basedOn w:val="Standard"/>
    <w:pPr>
      <w:ind w:left="720"/>
    </w:pPr>
  </w:style>
  <w:style w:type="paragraph" w:customStyle="1" w:styleId="Nosaukums">
    <w:name w:val="Nosaukums"/>
    <w:basedOn w:val="Standard"/>
    <w:pPr>
      <w:spacing w:after="0" w:line="240" w:lineRule="auto"/>
      <w:jc w:val="center"/>
    </w:pPr>
    <w:rPr>
      <w:rFonts w:ascii="Times New Roman" w:eastAsia="Times New Roman" w:hAnsi="Times New Roman" w:cs="Times New Roman"/>
      <w:b/>
      <w:sz w:val="28"/>
      <w:szCs w:val="20"/>
    </w:rPr>
  </w:style>
  <w:style w:type="paragraph" w:customStyle="1" w:styleId="liknoteik">
    <w:name w:val="lik_noteik"/>
    <w:basedOn w:val="Standard"/>
    <w:pPr>
      <w:spacing w:before="280" w:after="280" w:line="240" w:lineRule="auto"/>
    </w:pPr>
    <w:rPr>
      <w:rFonts w:ascii="Times New Roman" w:eastAsia="Times New Roman" w:hAnsi="Times New Roman" w:cs="Times New Roman"/>
      <w:sz w:val="24"/>
      <w:szCs w:val="24"/>
      <w:lang w:eastAsia="lv-LV"/>
    </w:rPr>
  </w:style>
  <w:style w:type="paragraph" w:customStyle="1" w:styleId="likdat">
    <w:name w:val="lik_dat"/>
    <w:basedOn w:val="Standard"/>
    <w:pPr>
      <w:spacing w:before="280" w:after="280" w:line="240" w:lineRule="auto"/>
    </w:pPr>
    <w:rPr>
      <w:rFonts w:ascii="Times New Roman" w:eastAsia="Times New Roman" w:hAnsi="Times New Roman" w:cs="Times New Roman"/>
      <w:sz w:val="24"/>
      <w:szCs w:val="24"/>
      <w:lang w:eastAsia="lv-LV"/>
    </w:rPr>
  </w:style>
  <w:style w:type="paragraph" w:customStyle="1" w:styleId="likizd">
    <w:name w:val="lik_izd"/>
    <w:basedOn w:val="Standard"/>
    <w:pPr>
      <w:spacing w:before="280" w:after="280" w:line="240" w:lineRule="auto"/>
    </w:pPr>
    <w:rPr>
      <w:rFonts w:ascii="Times New Roman" w:eastAsia="Times New Roman" w:hAnsi="Times New Roman" w:cs="Times New Roman"/>
      <w:sz w:val="24"/>
      <w:szCs w:val="24"/>
      <w:lang w:eastAsia="lv-LV"/>
    </w:rPr>
  </w:style>
  <w:style w:type="paragraph" w:customStyle="1" w:styleId="Paraststmeklis">
    <w:name w:val="Parasts (tīmeklis)"/>
    <w:basedOn w:val="Standard"/>
    <w:pPr>
      <w:spacing w:before="280" w:after="280" w:line="240" w:lineRule="auto"/>
    </w:pPr>
    <w:rPr>
      <w:rFonts w:ascii="Times New Roman" w:eastAsia="Times New Roman" w:hAnsi="Times New Roman" w:cs="Times New Roman"/>
      <w:sz w:val="24"/>
      <w:szCs w:val="24"/>
      <w:lang w:eastAsia="lv-LV"/>
    </w:rPr>
  </w:style>
  <w:style w:type="paragraph" w:customStyle="1" w:styleId="TableContents">
    <w:name w:val="Table Contents"/>
    <w:basedOn w:val="Standard"/>
    <w:pPr>
      <w:suppressLineNumbers/>
    </w:pPr>
  </w:style>
  <w:style w:type="character" w:customStyle="1" w:styleId="apple-converted-space">
    <w:name w:val="apple-converted-space"/>
    <w:basedOn w:val="Noklusjumarindkopasfonts"/>
  </w:style>
  <w:style w:type="character" w:customStyle="1" w:styleId="Internetlink">
    <w:name w:val="Internet link"/>
    <w:basedOn w:val="Noklusjumarindkopasfonts"/>
    <w:rPr>
      <w:color w:val="0000FF"/>
      <w:u w:val="single"/>
    </w:rPr>
  </w:style>
  <w:style w:type="character" w:customStyle="1" w:styleId="GalveneRakstz">
    <w:name w:val="Galvene Rakstz."/>
    <w:basedOn w:val="Noklusjumarindkopasfonts"/>
  </w:style>
  <w:style w:type="character" w:customStyle="1" w:styleId="KjeneRakstz">
    <w:name w:val="Kājene Rakstz."/>
    <w:basedOn w:val="Noklusjumarindkopasfonts"/>
  </w:style>
  <w:style w:type="character" w:customStyle="1" w:styleId="Vietturateksts">
    <w:name w:val="Viettura teksts"/>
    <w:basedOn w:val="Noklusjumarindkopasfonts"/>
    <w:rPr>
      <w:color w:val="808080"/>
    </w:rPr>
  </w:style>
  <w:style w:type="character" w:customStyle="1" w:styleId="VisitedInternetLink">
    <w:name w:val="Visited Internet Link"/>
    <w:basedOn w:val="Noklusjumarindkopasfonts"/>
    <w:rPr>
      <w:color w:val="954F72"/>
      <w:u w:val="single"/>
    </w:rPr>
  </w:style>
  <w:style w:type="character" w:customStyle="1" w:styleId="BalontekstsRakstz">
    <w:name w:val="Balonteksts Rakstz."/>
    <w:basedOn w:val="Noklusjumarindkopasfonts"/>
    <w:rPr>
      <w:rFonts w:ascii="Tahoma" w:eastAsia="Tahoma" w:hAnsi="Tahoma" w:cs="Tahoma"/>
      <w:sz w:val="16"/>
      <w:szCs w:val="16"/>
    </w:rPr>
  </w:style>
  <w:style w:type="character" w:customStyle="1" w:styleId="Komentraatsauce">
    <w:name w:val="Komentāra atsauce"/>
    <w:basedOn w:val="Noklusjumarindkopasfonts"/>
    <w:rPr>
      <w:sz w:val="16"/>
      <w:szCs w:val="16"/>
    </w:rPr>
  </w:style>
  <w:style w:type="character" w:customStyle="1" w:styleId="KomentratekstsRakstz">
    <w:name w:val="Komentāra teksts Rakstz."/>
    <w:basedOn w:val="Noklusjumarindkopasfonts"/>
    <w:rPr>
      <w:sz w:val="20"/>
      <w:szCs w:val="20"/>
    </w:rPr>
  </w:style>
  <w:style w:type="character" w:customStyle="1" w:styleId="KomentratmaRakstz">
    <w:name w:val="Komentāra tēma Rakstz."/>
    <w:basedOn w:val="KomentratekstsRakstz"/>
    <w:rPr>
      <w:b/>
      <w:bCs/>
      <w:sz w:val="20"/>
      <w:szCs w:val="20"/>
    </w:rPr>
  </w:style>
  <w:style w:type="character" w:customStyle="1" w:styleId="NosaukumsRakstz">
    <w:name w:val="Nosaukums Rakstz."/>
    <w:basedOn w:val="Noklusjumarindkopasfonts"/>
    <w:rPr>
      <w:rFonts w:ascii="Times New Roman" w:eastAsia="Times New Roman" w:hAnsi="Times New Roman" w:cs="Times New Roman"/>
      <w:b/>
      <w:sz w:val="28"/>
      <w:szCs w:val="20"/>
    </w:rPr>
  </w:style>
  <w:style w:type="character" w:customStyle="1" w:styleId="Virsraksts3Rakstz">
    <w:name w:val="Virsraksts 3 Rakstz."/>
    <w:basedOn w:val="Noklusjumarindkopasfonts"/>
    <w:rPr>
      <w:rFonts w:ascii="Times New Roman" w:eastAsia="Times New Roman" w:hAnsi="Times New Roman" w:cs="Times New Roman"/>
      <w:b/>
      <w:bCs/>
      <w:sz w:val="27"/>
      <w:szCs w:val="27"/>
      <w:lang w:eastAsia="lv-LV"/>
    </w:rPr>
  </w:style>
  <w:style w:type="numbering" w:customStyle="1" w:styleId="NoList1">
    <w:name w:val="No List_1"/>
    <w:basedOn w:val="NoList"/>
    <w:pPr>
      <w:numPr>
        <w:numId w:val="1"/>
      </w:numPr>
    </w:p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55698-noteikumi-par-republikas-pilsetu-un-novadu-administrativo-teritoriju-robezu-aprakstu-apstiprinasa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4078</Words>
  <Characters>2325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K.Zāģeris</dc:creator>
  <cp:lastModifiedBy>Kristaps Sproģis</cp:lastModifiedBy>
  <cp:revision>2</cp:revision>
  <cp:lastPrinted>2019-03-15T06:21:00Z</cp:lastPrinted>
  <dcterms:created xsi:type="dcterms:W3CDTF">2020-08-18T08:15:00Z</dcterms:created>
  <dcterms:modified xsi:type="dcterms:W3CDTF">2020-08-18T08:15:00Z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Iestādes nosaukums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