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074F45" w:rsidRDefault="007116C7" w:rsidP="00EE0ED0">
      <w:pPr>
        <w:pStyle w:val="naisnod"/>
        <w:spacing w:before="0" w:after="0"/>
        <w:ind w:firstLine="720"/>
      </w:pPr>
      <w:r w:rsidRPr="00074F45">
        <w:t>Izziņa par atzinumos sniegtajiem iebildumiem</w:t>
      </w:r>
    </w:p>
    <w:tbl>
      <w:tblPr>
        <w:tblW w:w="0" w:type="auto"/>
        <w:jc w:val="center"/>
        <w:tblLook w:val="00A0" w:firstRow="1" w:lastRow="0" w:firstColumn="1" w:lastColumn="0" w:noHBand="0" w:noVBand="0"/>
      </w:tblPr>
      <w:tblGrid>
        <w:gridCol w:w="10188"/>
      </w:tblGrid>
      <w:tr w:rsidR="007116C7" w:rsidRPr="00074F45">
        <w:trPr>
          <w:jc w:val="center"/>
        </w:trPr>
        <w:tc>
          <w:tcPr>
            <w:tcW w:w="10188" w:type="dxa"/>
            <w:tcBorders>
              <w:bottom w:val="single" w:sz="6" w:space="0" w:color="000000"/>
            </w:tcBorders>
          </w:tcPr>
          <w:p w:rsidR="00427CB1" w:rsidRPr="00074F45" w:rsidRDefault="00976D17" w:rsidP="00976D17">
            <w:pPr>
              <w:jc w:val="center"/>
              <w:rPr>
                <w:b/>
              </w:rPr>
            </w:pPr>
            <w:r>
              <w:rPr>
                <w:b/>
              </w:rPr>
              <w:t>Likumprojektam “Grozījumi Imigrācijas likumā</w:t>
            </w:r>
            <w:r w:rsidR="0052398E">
              <w:rPr>
                <w:b/>
              </w:rPr>
              <w:t>”</w:t>
            </w:r>
            <w:r>
              <w:rPr>
                <w:b/>
              </w:rPr>
              <w:t xml:space="preserve"> </w:t>
            </w:r>
          </w:p>
        </w:tc>
      </w:tr>
    </w:tbl>
    <w:p w:rsidR="007B4C0F" w:rsidRPr="00074F45" w:rsidRDefault="007B4C0F" w:rsidP="00EE0ED0">
      <w:pPr>
        <w:pStyle w:val="naisf"/>
        <w:spacing w:before="0" w:after="0"/>
        <w:ind w:firstLine="720"/>
      </w:pPr>
    </w:p>
    <w:p w:rsidR="00264F45" w:rsidRPr="00074F45" w:rsidRDefault="00264F45" w:rsidP="00EE0ED0">
      <w:pPr>
        <w:pStyle w:val="naisf"/>
        <w:spacing w:before="0" w:after="0"/>
        <w:ind w:firstLine="0"/>
        <w:jc w:val="center"/>
        <w:rPr>
          <w:b/>
        </w:rPr>
      </w:pPr>
      <w:r w:rsidRPr="00074F45">
        <w:rPr>
          <w:b/>
        </w:rPr>
        <w:t>I. Jautājumi, par kuriem saskaņošanā vienošanās nav panākta</w:t>
      </w:r>
    </w:p>
    <w:p w:rsidR="00264F45" w:rsidRPr="00074F45" w:rsidRDefault="00264F45" w:rsidP="00EE0ED0">
      <w:pPr>
        <w:pStyle w:val="naisf"/>
        <w:spacing w:before="0" w:after="0"/>
        <w:ind w:firstLine="720"/>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000"/>
        <w:gridCol w:w="3480"/>
        <w:gridCol w:w="2515"/>
        <w:gridCol w:w="2285"/>
        <w:gridCol w:w="2640"/>
      </w:tblGrid>
      <w:tr w:rsidR="004D04C9" w:rsidRPr="00074F45" w:rsidTr="003B1C25">
        <w:tc>
          <w:tcPr>
            <w:tcW w:w="588" w:type="dxa"/>
            <w:shd w:val="clear" w:color="auto" w:fill="auto"/>
          </w:tcPr>
          <w:p w:rsidR="004D04C9" w:rsidRPr="00074F45" w:rsidRDefault="004D04C9" w:rsidP="00EE0ED0">
            <w:pPr>
              <w:pStyle w:val="naisf"/>
              <w:spacing w:before="0" w:after="0"/>
              <w:ind w:firstLine="0"/>
              <w:jc w:val="center"/>
            </w:pPr>
            <w:proofErr w:type="spellStart"/>
            <w:r w:rsidRPr="00074F45">
              <w:t>Nr.p.k</w:t>
            </w:r>
            <w:proofErr w:type="spellEnd"/>
            <w:r w:rsidRPr="00074F45">
              <w:t>.</w:t>
            </w:r>
          </w:p>
        </w:tc>
        <w:tc>
          <w:tcPr>
            <w:tcW w:w="3000" w:type="dxa"/>
            <w:shd w:val="clear" w:color="auto" w:fill="auto"/>
          </w:tcPr>
          <w:p w:rsidR="004D04C9" w:rsidRPr="00074F45" w:rsidRDefault="004D04C9" w:rsidP="00EE0ED0">
            <w:pPr>
              <w:pStyle w:val="naisf"/>
              <w:spacing w:before="0" w:after="0"/>
              <w:ind w:firstLine="0"/>
              <w:jc w:val="center"/>
            </w:pPr>
            <w:r w:rsidRPr="00074F45">
              <w:t>Saskaņošanai nosūtītā projekta redakcija (konkrēta punkta (panta) redakcija)</w:t>
            </w:r>
          </w:p>
        </w:tc>
        <w:tc>
          <w:tcPr>
            <w:tcW w:w="3480" w:type="dxa"/>
            <w:shd w:val="clear" w:color="auto" w:fill="auto"/>
          </w:tcPr>
          <w:p w:rsidR="004D04C9" w:rsidRPr="00074F45" w:rsidRDefault="004D04C9" w:rsidP="00EE0ED0">
            <w:pPr>
              <w:pStyle w:val="naisf"/>
              <w:spacing w:before="0" w:after="0"/>
              <w:ind w:firstLine="0"/>
              <w:jc w:val="center"/>
            </w:pPr>
            <w:r w:rsidRPr="00074F45">
              <w:t>Atzinumā norādītais ministrijas (citas institūcijas) iebildums, kā arī saskaņošanā papildus izteiktais iebildums par projekta konkrēto punktu (pantu)</w:t>
            </w:r>
          </w:p>
        </w:tc>
        <w:tc>
          <w:tcPr>
            <w:tcW w:w="2515" w:type="dxa"/>
            <w:shd w:val="clear" w:color="auto" w:fill="auto"/>
          </w:tcPr>
          <w:p w:rsidR="004D04C9" w:rsidRPr="00074F45" w:rsidRDefault="004D04C9" w:rsidP="00EE0ED0">
            <w:pPr>
              <w:pStyle w:val="naisf"/>
              <w:spacing w:before="0" w:after="0"/>
              <w:ind w:firstLine="0"/>
              <w:jc w:val="center"/>
            </w:pPr>
            <w:r w:rsidRPr="00074F45">
              <w:t>Atbildīgās ministrijas pamatojums iebilduma noraidījumam</w:t>
            </w:r>
          </w:p>
        </w:tc>
        <w:tc>
          <w:tcPr>
            <w:tcW w:w="2285" w:type="dxa"/>
            <w:shd w:val="clear" w:color="auto" w:fill="auto"/>
          </w:tcPr>
          <w:p w:rsidR="004D04C9" w:rsidRPr="00074F45" w:rsidRDefault="004D04C9" w:rsidP="00EE0ED0">
            <w:pPr>
              <w:pStyle w:val="naisf"/>
              <w:spacing w:before="0" w:after="0"/>
              <w:ind w:firstLine="0"/>
              <w:jc w:val="center"/>
            </w:pPr>
            <w:r w:rsidRPr="00074F45">
              <w:t>Atzinuma sniedzēja uzturētais iebildums, ja tas atšķiras no atzinumā norādītā iebilduma pamatojuma</w:t>
            </w:r>
          </w:p>
        </w:tc>
        <w:tc>
          <w:tcPr>
            <w:tcW w:w="2640" w:type="dxa"/>
            <w:shd w:val="clear" w:color="auto" w:fill="auto"/>
          </w:tcPr>
          <w:p w:rsidR="004D04C9" w:rsidRPr="00074F45" w:rsidRDefault="004D04C9" w:rsidP="00EE0ED0">
            <w:pPr>
              <w:pStyle w:val="naisf"/>
              <w:spacing w:before="0" w:after="0"/>
              <w:ind w:firstLine="0"/>
              <w:jc w:val="center"/>
            </w:pPr>
            <w:r w:rsidRPr="00074F45">
              <w:t>Projekta attiecīgā punkta (panta) galīgā redakcija</w:t>
            </w:r>
          </w:p>
        </w:tc>
      </w:tr>
      <w:tr w:rsidR="00200959" w:rsidRPr="00074F45" w:rsidTr="003B1C25">
        <w:tc>
          <w:tcPr>
            <w:tcW w:w="588" w:type="dxa"/>
            <w:shd w:val="clear" w:color="auto" w:fill="auto"/>
          </w:tcPr>
          <w:p w:rsidR="00200959" w:rsidRPr="00074F45" w:rsidRDefault="00200959" w:rsidP="00EE0ED0">
            <w:pPr>
              <w:pStyle w:val="naisf"/>
              <w:spacing w:before="0" w:after="0"/>
              <w:ind w:firstLine="0"/>
              <w:jc w:val="center"/>
            </w:pPr>
          </w:p>
        </w:tc>
        <w:tc>
          <w:tcPr>
            <w:tcW w:w="3000" w:type="dxa"/>
            <w:shd w:val="clear" w:color="auto" w:fill="auto"/>
          </w:tcPr>
          <w:p w:rsidR="00200959" w:rsidRPr="00074F45" w:rsidRDefault="00200959" w:rsidP="00EE0ED0">
            <w:pPr>
              <w:pStyle w:val="naisf"/>
              <w:spacing w:before="0" w:after="0"/>
              <w:ind w:firstLine="0"/>
              <w:jc w:val="center"/>
            </w:pPr>
          </w:p>
        </w:tc>
        <w:tc>
          <w:tcPr>
            <w:tcW w:w="3480" w:type="dxa"/>
            <w:shd w:val="clear" w:color="auto" w:fill="auto"/>
          </w:tcPr>
          <w:p w:rsidR="00200959" w:rsidRPr="00074F45" w:rsidRDefault="00200959" w:rsidP="00EE0ED0">
            <w:pPr>
              <w:pStyle w:val="naisf"/>
              <w:spacing w:before="0" w:after="0"/>
              <w:ind w:firstLine="0"/>
              <w:jc w:val="center"/>
            </w:pPr>
          </w:p>
        </w:tc>
        <w:tc>
          <w:tcPr>
            <w:tcW w:w="2515" w:type="dxa"/>
            <w:shd w:val="clear" w:color="auto" w:fill="auto"/>
          </w:tcPr>
          <w:p w:rsidR="00200959" w:rsidRPr="00074F45" w:rsidRDefault="00200959" w:rsidP="00EE0ED0">
            <w:pPr>
              <w:pStyle w:val="naisf"/>
              <w:spacing w:before="0" w:after="0"/>
              <w:ind w:firstLine="0"/>
              <w:jc w:val="center"/>
            </w:pPr>
          </w:p>
        </w:tc>
        <w:tc>
          <w:tcPr>
            <w:tcW w:w="2285" w:type="dxa"/>
            <w:shd w:val="clear" w:color="auto" w:fill="auto"/>
          </w:tcPr>
          <w:p w:rsidR="00200959" w:rsidRPr="00074F45" w:rsidRDefault="00200959" w:rsidP="00EE0ED0">
            <w:pPr>
              <w:pStyle w:val="naisf"/>
              <w:spacing w:before="0" w:after="0"/>
              <w:ind w:firstLine="0"/>
              <w:jc w:val="center"/>
            </w:pPr>
          </w:p>
        </w:tc>
        <w:tc>
          <w:tcPr>
            <w:tcW w:w="2640" w:type="dxa"/>
            <w:shd w:val="clear" w:color="auto" w:fill="auto"/>
          </w:tcPr>
          <w:p w:rsidR="00200959" w:rsidRPr="00074F45" w:rsidRDefault="00200959" w:rsidP="00EE0ED0">
            <w:pPr>
              <w:pStyle w:val="naisf"/>
              <w:spacing w:before="0" w:after="0"/>
              <w:ind w:firstLine="0"/>
              <w:jc w:val="center"/>
            </w:pPr>
          </w:p>
        </w:tc>
      </w:tr>
      <w:tr w:rsidR="00B63E07" w:rsidRPr="00074F45" w:rsidTr="003B1C25">
        <w:tc>
          <w:tcPr>
            <w:tcW w:w="588" w:type="dxa"/>
            <w:shd w:val="clear" w:color="auto" w:fill="auto"/>
          </w:tcPr>
          <w:p w:rsidR="00B63E07" w:rsidRPr="00074F45" w:rsidRDefault="00B63E07" w:rsidP="00EE0ED0">
            <w:pPr>
              <w:pStyle w:val="naisf"/>
              <w:spacing w:before="0" w:after="0"/>
              <w:ind w:firstLine="0"/>
              <w:jc w:val="center"/>
            </w:pPr>
          </w:p>
        </w:tc>
        <w:tc>
          <w:tcPr>
            <w:tcW w:w="3000" w:type="dxa"/>
            <w:shd w:val="clear" w:color="auto" w:fill="auto"/>
          </w:tcPr>
          <w:p w:rsidR="00B63E07" w:rsidRPr="00074F45" w:rsidRDefault="00B63E07" w:rsidP="00EE0ED0">
            <w:pPr>
              <w:pStyle w:val="naisf"/>
              <w:spacing w:before="0" w:after="0"/>
              <w:ind w:firstLine="0"/>
              <w:jc w:val="center"/>
            </w:pPr>
          </w:p>
        </w:tc>
        <w:tc>
          <w:tcPr>
            <w:tcW w:w="3480" w:type="dxa"/>
            <w:shd w:val="clear" w:color="auto" w:fill="auto"/>
          </w:tcPr>
          <w:p w:rsidR="00B63E07" w:rsidRPr="00074F45" w:rsidRDefault="00B63E07" w:rsidP="00EE0ED0">
            <w:pPr>
              <w:pStyle w:val="naisf"/>
              <w:spacing w:before="0" w:after="0"/>
              <w:ind w:firstLine="0"/>
              <w:jc w:val="center"/>
            </w:pPr>
          </w:p>
        </w:tc>
        <w:tc>
          <w:tcPr>
            <w:tcW w:w="2515" w:type="dxa"/>
            <w:shd w:val="clear" w:color="auto" w:fill="auto"/>
          </w:tcPr>
          <w:p w:rsidR="00B63E07" w:rsidRPr="00074F45" w:rsidRDefault="00B63E07" w:rsidP="00EE0ED0">
            <w:pPr>
              <w:pStyle w:val="naisf"/>
              <w:spacing w:before="0" w:after="0"/>
              <w:ind w:firstLine="0"/>
              <w:jc w:val="center"/>
            </w:pPr>
          </w:p>
        </w:tc>
        <w:tc>
          <w:tcPr>
            <w:tcW w:w="2285" w:type="dxa"/>
            <w:shd w:val="clear" w:color="auto" w:fill="auto"/>
          </w:tcPr>
          <w:p w:rsidR="00B63E07" w:rsidRPr="00074F45" w:rsidRDefault="00B63E07" w:rsidP="00EE0ED0">
            <w:pPr>
              <w:pStyle w:val="naisf"/>
              <w:spacing w:before="0" w:after="0"/>
              <w:ind w:firstLine="0"/>
              <w:jc w:val="center"/>
            </w:pPr>
          </w:p>
        </w:tc>
        <w:tc>
          <w:tcPr>
            <w:tcW w:w="2640" w:type="dxa"/>
            <w:shd w:val="clear" w:color="auto" w:fill="auto"/>
          </w:tcPr>
          <w:p w:rsidR="00B63E07" w:rsidRPr="00074F45" w:rsidRDefault="00B63E07" w:rsidP="00EE0ED0">
            <w:pPr>
              <w:pStyle w:val="naisf"/>
              <w:spacing w:before="0" w:after="0"/>
              <w:ind w:firstLine="0"/>
              <w:jc w:val="center"/>
            </w:pPr>
          </w:p>
        </w:tc>
      </w:tr>
      <w:tr w:rsidR="00B63E07" w:rsidRPr="00074F45" w:rsidTr="003B1C25">
        <w:tc>
          <w:tcPr>
            <w:tcW w:w="588" w:type="dxa"/>
            <w:shd w:val="clear" w:color="auto" w:fill="auto"/>
          </w:tcPr>
          <w:p w:rsidR="00B63E07" w:rsidRPr="00074F45" w:rsidRDefault="00B63E07" w:rsidP="00EE0ED0">
            <w:pPr>
              <w:pStyle w:val="naisf"/>
              <w:spacing w:before="0" w:after="0"/>
              <w:ind w:firstLine="0"/>
              <w:jc w:val="center"/>
            </w:pPr>
          </w:p>
        </w:tc>
        <w:tc>
          <w:tcPr>
            <w:tcW w:w="3000" w:type="dxa"/>
            <w:shd w:val="clear" w:color="auto" w:fill="auto"/>
          </w:tcPr>
          <w:p w:rsidR="00B63E07" w:rsidRPr="00074F45" w:rsidRDefault="00B63E07" w:rsidP="00EE0ED0">
            <w:pPr>
              <w:pStyle w:val="naisf"/>
              <w:spacing w:before="0" w:after="0"/>
              <w:ind w:firstLine="0"/>
              <w:jc w:val="center"/>
            </w:pPr>
          </w:p>
        </w:tc>
        <w:tc>
          <w:tcPr>
            <w:tcW w:w="3480" w:type="dxa"/>
            <w:shd w:val="clear" w:color="auto" w:fill="auto"/>
          </w:tcPr>
          <w:p w:rsidR="00B63E07" w:rsidRPr="00074F45" w:rsidRDefault="00B63E07" w:rsidP="00EE0ED0">
            <w:pPr>
              <w:pStyle w:val="naisf"/>
              <w:spacing w:before="0" w:after="0"/>
              <w:ind w:firstLine="0"/>
              <w:jc w:val="center"/>
            </w:pPr>
          </w:p>
        </w:tc>
        <w:tc>
          <w:tcPr>
            <w:tcW w:w="2515" w:type="dxa"/>
            <w:shd w:val="clear" w:color="auto" w:fill="auto"/>
          </w:tcPr>
          <w:p w:rsidR="00B63E07" w:rsidRPr="00074F45" w:rsidRDefault="00B63E07" w:rsidP="00EE0ED0">
            <w:pPr>
              <w:pStyle w:val="naisf"/>
              <w:spacing w:before="0" w:after="0"/>
              <w:ind w:firstLine="0"/>
              <w:jc w:val="center"/>
            </w:pPr>
          </w:p>
        </w:tc>
        <w:tc>
          <w:tcPr>
            <w:tcW w:w="2285" w:type="dxa"/>
            <w:shd w:val="clear" w:color="auto" w:fill="auto"/>
          </w:tcPr>
          <w:p w:rsidR="00B63E07" w:rsidRPr="00074F45" w:rsidRDefault="00B63E07" w:rsidP="00EE0ED0">
            <w:pPr>
              <w:pStyle w:val="naisf"/>
              <w:spacing w:before="0" w:after="0"/>
              <w:ind w:firstLine="0"/>
              <w:jc w:val="center"/>
            </w:pPr>
          </w:p>
        </w:tc>
        <w:tc>
          <w:tcPr>
            <w:tcW w:w="2640" w:type="dxa"/>
            <w:shd w:val="clear" w:color="auto" w:fill="auto"/>
          </w:tcPr>
          <w:p w:rsidR="00B63E07" w:rsidRPr="00074F45" w:rsidRDefault="00B63E07" w:rsidP="00EE0ED0">
            <w:pPr>
              <w:pStyle w:val="naisf"/>
              <w:spacing w:before="0" w:after="0"/>
              <w:ind w:firstLine="0"/>
              <w:jc w:val="center"/>
            </w:pPr>
          </w:p>
        </w:tc>
      </w:tr>
    </w:tbl>
    <w:p w:rsidR="00DF42B4" w:rsidRPr="00074F45" w:rsidRDefault="00DF42B4" w:rsidP="00EE0ED0">
      <w:pPr>
        <w:spacing w:before="100" w:beforeAutospacing="1" w:after="100" w:afterAutospacing="1"/>
      </w:pPr>
      <w:r w:rsidRPr="00074F45">
        <w:rPr>
          <w:b/>
          <w:bCs/>
        </w:rPr>
        <w:t xml:space="preserve">Informācija par </w:t>
      </w:r>
      <w:proofErr w:type="spellStart"/>
      <w:r w:rsidRPr="00074F45">
        <w:rPr>
          <w:b/>
          <w:bCs/>
        </w:rPr>
        <w:t>starpministriju</w:t>
      </w:r>
      <w:proofErr w:type="spellEnd"/>
      <w:r w:rsidRPr="00074F45">
        <w:rPr>
          <w:b/>
          <w:bCs/>
        </w:rPr>
        <w:t xml:space="preserve"> (starpinstitūciju) sanāksmi vai elektronisko saskaņošanu</w:t>
      </w:r>
    </w:p>
    <w:tbl>
      <w:tblPr>
        <w:tblW w:w="13920" w:type="dxa"/>
        <w:tblCellSpacing w:w="0" w:type="dxa"/>
        <w:tblCellMar>
          <w:left w:w="0" w:type="dxa"/>
          <w:right w:w="0" w:type="dxa"/>
        </w:tblCellMar>
        <w:tblLook w:val="0000" w:firstRow="0" w:lastRow="0" w:firstColumn="0" w:lastColumn="0" w:noHBand="0" w:noVBand="0"/>
      </w:tblPr>
      <w:tblGrid>
        <w:gridCol w:w="2694"/>
        <w:gridCol w:w="6763"/>
        <w:gridCol w:w="4463"/>
      </w:tblGrid>
      <w:tr w:rsidR="00DF42B4" w:rsidRPr="00074F45" w:rsidTr="00D84ACC">
        <w:trPr>
          <w:tblCellSpacing w:w="0" w:type="dxa"/>
        </w:trPr>
        <w:tc>
          <w:tcPr>
            <w:tcW w:w="2694" w:type="dxa"/>
          </w:tcPr>
          <w:p w:rsidR="00C1637E" w:rsidRPr="00074F45" w:rsidRDefault="00DF42B4" w:rsidP="00EE0ED0">
            <w:pPr>
              <w:spacing w:before="100" w:beforeAutospacing="1" w:after="100" w:afterAutospacing="1"/>
            </w:pPr>
            <w:r w:rsidRPr="00074F45">
              <w:t>Datums</w:t>
            </w:r>
            <w:r w:rsidR="00C1637E" w:rsidRPr="00074F45">
              <w:t xml:space="preserve"> </w:t>
            </w:r>
          </w:p>
        </w:tc>
        <w:tc>
          <w:tcPr>
            <w:tcW w:w="11226" w:type="dxa"/>
            <w:gridSpan w:val="2"/>
            <w:tcBorders>
              <w:top w:val="nil"/>
              <w:left w:val="nil"/>
              <w:bottom w:val="single" w:sz="8" w:space="0" w:color="000000"/>
              <w:right w:val="nil"/>
            </w:tcBorders>
          </w:tcPr>
          <w:p w:rsidR="00D504CD" w:rsidRPr="00760613" w:rsidRDefault="007D398E" w:rsidP="007D398E">
            <w:pPr>
              <w:spacing w:before="100" w:beforeAutospacing="1" w:after="100" w:afterAutospacing="1"/>
              <w:jc w:val="center"/>
            </w:pPr>
            <w:r>
              <w:t>01.12.2020.</w:t>
            </w:r>
          </w:p>
        </w:tc>
      </w:tr>
      <w:tr w:rsidR="00DF42B4" w:rsidRPr="00074F45" w:rsidTr="00D84ACC">
        <w:trPr>
          <w:tblCellSpacing w:w="0" w:type="dxa"/>
        </w:trPr>
        <w:tc>
          <w:tcPr>
            <w:tcW w:w="2694" w:type="dxa"/>
          </w:tcPr>
          <w:p w:rsidR="00D504CD" w:rsidRPr="00074F45" w:rsidRDefault="00DF42B4" w:rsidP="00EE0ED0">
            <w:pPr>
              <w:spacing w:before="100" w:beforeAutospacing="1" w:after="100" w:afterAutospacing="1"/>
            </w:pPr>
            <w:r w:rsidRPr="00074F45">
              <w:t> </w:t>
            </w:r>
          </w:p>
        </w:tc>
        <w:tc>
          <w:tcPr>
            <w:tcW w:w="11226" w:type="dxa"/>
            <w:gridSpan w:val="2"/>
            <w:tcBorders>
              <w:top w:val="nil"/>
              <w:left w:val="nil"/>
              <w:bottom w:val="nil"/>
              <w:right w:val="nil"/>
            </w:tcBorders>
          </w:tcPr>
          <w:p w:rsidR="00D504CD" w:rsidRPr="00074F45" w:rsidRDefault="00DF42B4" w:rsidP="00EE0ED0">
            <w:pPr>
              <w:spacing w:before="100" w:beforeAutospacing="1" w:after="100" w:afterAutospacing="1"/>
            </w:pPr>
            <w:r w:rsidRPr="00074F45">
              <w:t> </w:t>
            </w:r>
          </w:p>
        </w:tc>
      </w:tr>
      <w:tr w:rsidR="00DF42B4" w:rsidRPr="00074F45" w:rsidTr="00D84ACC">
        <w:trPr>
          <w:tblCellSpacing w:w="0" w:type="dxa"/>
        </w:trPr>
        <w:tc>
          <w:tcPr>
            <w:tcW w:w="2694" w:type="dxa"/>
            <w:vAlign w:val="center"/>
          </w:tcPr>
          <w:p w:rsidR="00D504CD" w:rsidRPr="00074F45" w:rsidRDefault="00DF42B4" w:rsidP="00EE0ED0">
            <w:pPr>
              <w:spacing w:before="100" w:beforeAutospacing="1" w:after="100" w:afterAutospacing="1"/>
            </w:pPr>
            <w:r w:rsidRPr="00074F45">
              <w:t>Saskaņošanas dalībnieki</w:t>
            </w:r>
          </w:p>
        </w:tc>
        <w:tc>
          <w:tcPr>
            <w:tcW w:w="11226" w:type="dxa"/>
            <w:gridSpan w:val="2"/>
            <w:vAlign w:val="center"/>
          </w:tcPr>
          <w:p w:rsidR="00C57D05" w:rsidRPr="004B1309" w:rsidRDefault="00F171E0" w:rsidP="0062692C">
            <w:r w:rsidRPr="004B1309">
              <w:t>Tieslietu ministrija</w:t>
            </w:r>
            <w:r w:rsidR="00AA59E9">
              <w:t xml:space="preserve">, </w:t>
            </w:r>
            <w:r w:rsidR="00EE0ED0">
              <w:t xml:space="preserve">Aizsardzības </w:t>
            </w:r>
            <w:r w:rsidR="00B55F1B">
              <w:t xml:space="preserve">ministrija, </w:t>
            </w:r>
            <w:r w:rsidR="00F0012B">
              <w:t>Ģenerālprokuratūra, Finanšu ministrija, Ārlietu ministrija</w:t>
            </w:r>
          </w:p>
        </w:tc>
      </w:tr>
      <w:tr w:rsidR="00DF42B4" w:rsidRPr="00074F45" w:rsidTr="00D84ACC">
        <w:trPr>
          <w:tblCellSpacing w:w="0" w:type="dxa"/>
        </w:trPr>
        <w:tc>
          <w:tcPr>
            <w:tcW w:w="2694" w:type="dxa"/>
            <w:vAlign w:val="center"/>
          </w:tcPr>
          <w:p w:rsidR="00D504CD" w:rsidRPr="00074F45" w:rsidRDefault="00DF42B4" w:rsidP="00EE0ED0">
            <w:pPr>
              <w:spacing w:before="100" w:beforeAutospacing="1" w:after="100" w:afterAutospacing="1"/>
            </w:pPr>
            <w:r w:rsidRPr="00074F45">
              <w:t>  </w:t>
            </w:r>
          </w:p>
        </w:tc>
        <w:tc>
          <w:tcPr>
            <w:tcW w:w="11226" w:type="dxa"/>
            <w:gridSpan w:val="2"/>
            <w:tcBorders>
              <w:top w:val="single" w:sz="8" w:space="0" w:color="000000"/>
              <w:left w:val="nil"/>
              <w:bottom w:val="single" w:sz="8" w:space="0" w:color="000000"/>
              <w:right w:val="nil"/>
            </w:tcBorders>
            <w:vAlign w:val="center"/>
          </w:tcPr>
          <w:p w:rsidR="00D504CD" w:rsidRPr="00074F45" w:rsidRDefault="00D504CD" w:rsidP="00EE0ED0">
            <w:pPr>
              <w:spacing w:before="100" w:beforeAutospacing="1" w:after="100" w:afterAutospacing="1"/>
            </w:pPr>
          </w:p>
        </w:tc>
      </w:tr>
      <w:tr w:rsidR="00DF42B4" w:rsidRPr="00074F45" w:rsidTr="00D84ACC">
        <w:trPr>
          <w:tblCellSpacing w:w="0" w:type="dxa"/>
        </w:trPr>
        <w:tc>
          <w:tcPr>
            <w:tcW w:w="2694" w:type="dxa"/>
            <w:vAlign w:val="center"/>
          </w:tcPr>
          <w:p w:rsidR="00D504CD" w:rsidRPr="00074F45" w:rsidRDefault="00DF42B4" w:rsidP="00EE0ED0">
            <w:pPr>
              <w:spacing w:before="100" w:beforeAutospacing="1" w:after="100" w:afterAutospacing="1"/>
            </w:pPr>
            <w:r w:rsidRPr="00074F45">
              <w:t> </w:t>
            </w:r>
          </w:p>
        </w:tc>
        <w:tc>
          <w:tcPr>
            <w:tcW w:w="6763" w:type="dxa"/>
            <w:vAlign w:val="center"/>
          </w:tcPr>
          <w:p w:rsidR="00D504CD" w:rsidRPr="00074F45" w:rsidRDefault="00DF42B4" w:rsidP="00EE0ED0">
            <w:pPr>
              <w:spacing w:before="100" w:beforeAutospacing="1" w:after="100" w:afterAutospacing="1"/>
            </w:pPr>
            <w:r w:rsidRPr="00074F45">
              <w:t> </w:t>
            </w:r>
          </w:p>
        </w:tc>
        <w:tc>
          <w:tcPr>
            <w:tcW w:w="4463" w:type="dxa"/>
            <w:vAlign w:val="center"/>
          </w:tcPr>
          <w:p w:rsidR="00D504CD" w:rsidRPr="00074F45" w:rsidRDefault="00DF42B4" w:rsidP="00EE0ED0">
            <w:pPr>
              <w:spacing w:before="100" w:beforeAutospacing="1" w:after="100" w:afterAutospacing="1"/>
            </w:pPr>
            <w:r w:rsidRPr="00074F45">
              <w:t> </w:t>
            </w:r>
          </w:p>
        </w:tc>
      </w:tr>
    </w:tbl>
    <w:p w:rsidR="00DF42B4" w:rsidRPr="00074F45" w:rsidRDefault="00DF42B4" w:rsidP="00EE0ED0">
      <w:pPr>
        <w:rPr>
          <w:vanish/>
        </w:rPr>
      </w:pPr>
    </w:p>
    <w:tbl>
      <w:tblPr>
        <w:tblW w:w="13940" w:type="dxa"/>
        <w:tblCellSpacing w:w="0" w:type="dxa"/>
        <w:tblCellMar>
          <w:left w:w="0" w:type="dxa"/>
          <w:right w:w="0" w:type="dxa"/>
        </w:tblCellMar>
        <w:tblLook w:val="0000" w:firstRow="0" w:lastRow="0" w:firstColumn="0" w:lastColumn="0" w:noHBand="0" w:noVBand="0"/>
      </w:tblPr>
      <w:tblGrid>
        <w:gridCol w:w="2694"/>
        <w:gridCol w:w="4110"/>
        <w:gridCol w:w="2653"/>
        <w:gridCol w:w="4423"/>
        <w:gridCol w:w="40"/>
        <w:gridCol w:w="20"/>
      </w:tblGrid>
      <w:tr w:rsidR="00DF42B4" w:rsidRPr="00074F45" w:rsidTr="006739A5">
        <w:trPr>
          <w:tblCellSpacing w:w="0" w:type="dxa"/>
        </w:trPr>
        <w:tc>
          <w:tcPr>
            <w:tcW w:w="6804" w:type="dxa"/>
            <w:gridSpan w:val="2"/>
          </w:tcPr>
          <w:p w:rsidR="00D504CD" w:rsidRPr="00074F45" w:rsidRDefault="00DF42B4" w:rsidP="00EE0ED0">
            <w:pPr>
              <w:spacing w:before="100" w:beforeAutospacing="1" w:after="100" w:afterAutospacing="1"/>
            </w:pPr>
            <w:r w:rsidRPr="00074F45">
              <w:t>Saskaņošanas dalībnieki izskatīja šādu ministriju (citu institūciju) iebildumus</w:t>
            </w:r>
          </w:p>
        </w:tc>
        <w:tc>
          <w:tcPr>
            <w:tcW w:w="7076" w:type="dxa"/>
            <w:gridSpan w:val="2"/>
          </w:tcPr>
          <w:p w:rsidR="00D504CD" w:rsidRPr="00074F45" w:rsidRDefault="0062692C" w:rsidP="0062692C">
            <w:pPr>
              <w:spacing w:before="100" w:beforeAutospacing="1" w:after="100" w:afterAutospacing="1"/>
            </w:pPr>
            <w:r w:rsidRPr="004B1309">
              <w:t>Tieslietu ministrija</w:t>
            </w:r>
            <w:r w:rsidR="00F0012B">
              <w:t>, Ģenerālprokuratūra</w:t>
            </w:r>
          </w:p>
        </w:tc>
        <w:tc>
          <w:tcPr>
            <w:tcW w:w="60" w:type="dxa"/>
            <w:gridSpan w:val="2"/>
          </w:tcPr>
          <w:p w:rsidR="00D504CD" w:rsidRPr="00074F45" w:rsidRDefault="00DF42B4" w:rsidP="00EE0ED0">
            <w:pPr>
              <w:spacing w:before="100" w:beforeAutospacing="1" w:after="100" w:afterAutospacing="1"/>
            </w:pPr>
            <w:r w:rsidRPr="00074F45">
              <w:t> </w:t>
            </w:r>
          </w:p>
        </w:tc>
      </w:tr>
      <w:tr w:rsidR="00DF42B4" w:rsidRPr="00074F45" w:rsidTr="006739A5">
        <w:trPr>
          <w:gridAfter w:val="2"/>
          <w:wAfter w:w="60" w:type="dxa"/>
          <w:tblCellSpacing w:w="0" w:type="dxa"/>
        </w:trPr>
        <w:tc>
          <w:tcPr>
            <w:tcW w:w="6804" w:type="dxa"/>
            <w:gridSpan w:val="2"/>
          </w:tcPr>
          <w:p w:rsidR="00D504CD" w:rsidRPr="00074F45" w:rsidRDefault="00DF42B4" w:rsidP="00EE0ED0">
            <w:pPr>
              <w:spacing w:before="100" w:beforeAutospacing="1" w:after="100" w:afterAutospacing="1"/>
            </w:pPr>
            <w:r w:rsidRPr="00074F45">
              <w:t>  </w:t>
            </w:r>
          </w:p>
        </w:tc>
        <w:tc>
          <w:tcPr>
            <w:tcW w:w="7076" w:type="dxa"/>
            <w:gridSpan w:val="2"/>
            <w:tcBorders>
              <w:top w:val="single" w:sz="8" w:space="0" w:color="000000"/>
              <w:left w:val="nil"/>
              <w:bottom w:val="single" w:sz="8" w:space="0" w:color="000000"/>
              <w:right w:val="nil"/>
            </w:tcBorders>
          </w:tcPr>
          <w:p w:rsidR="00D504CD" w:rsidRPr="00074F45" w:rsidRDefault="00DF42B4" w:rsidP="00EE0ED0">
            <w:pPr>
              <w:spacing w:before="100" w:beforeAutospacing="1" w:after="100" w:afterAutospacing="1"/>
            </w:pPr>
            <w:r w:rsidRPr="00074F45">
              <w:t> </w:t>
            </w:r>
          </w:p>
        </w:tc>
      </w:tr>
      <w:tr w:rsidR="00DF42B4" w:rsidRPr="00074F45" w:rsidTr="006739A5">
        <w:trPr>
          <w:gridAfter w:val="2"/>
          <w:wAfter w:w="60" w:type="dxa"/>
          <w:tblCellSpacing w:w="0" w:type="dxa"/>
        </w:trPr>
        <w:tc>
          <w:tcPr>
            <w:tcW w:w="13880" w:type="dxa"/>
            <w:gridSpan w:val="4"/>
            <w:vAlign w:val="center"/>
          </w:tcPr>
          <w:p w:rsidR="00D504CD" w:rsidRPr="00074F45" w:rsidRDefault="00DF42B4" w:rsidP="00EE0ED0">
            <w:pPr>
              <w:spacing w:before="100" w:beforeAutospacing="1" w:after="100" w:afterAutospacing="1"/>
            </w:pPr>
            <w:r w:rsidRPr="00074F45">
              <w:t> </w:t>
            </w:r>
          </w:p>
        </w:tc>
      </w:tr>
      <w:tr w:rsidR="00DF42B4" w:rsidRPr="00074F45" w:rsidTr="006739A5">
        <w:trPr>
          <w:gridAfter w:val="2"/>
          <w:wAfter w:w="60" w:type="dxa"/>
          <w:tblCellSpacing w:w="0" w:type="dxa"/>
        </w:trPr>
        <w:tc>
          <w:tcPr>
            <w:tcW w:w="6804" w:type="dxa"/>
            <w:gridSpan w:val="2"/>
            <w:vAlign w:val="center"/>
          </w:tcPr>
          <w:p w:rsidR="009D6C19" w:rsidRDefault="00DF42B4" w:rsidP="00EE0ED0">
            <w:pPr>
              <w:spacing w:before="100" w:beforeAutospacing="1" w:after="100" w:afterAutospacing="1"/>
            </w:pPr>
            <w:r w:rsidRPr="00074F45">
              <w:t>Ministrijas (citas institūcijas), kuras nav ieradušās uz sanāksmi vai kuras nav atbildējušas uz uzaicinājumu piedalīties elektroniskajā saskaņošanā</w:t>
            </w:r>
          </w:p>
          <w:p w:rsidR="006739A5" w:rsidRDefault="006739A5" w:rsidP="00EE0ED0">
            <w:pPr>
              <w:spacing w:before="100" w:beforeAutospacing="1" w:after="100" w:afterAutospacing="1"/>
            </w:pPr>
          </w:p>
          <w:p w:rsidR="006739A5" w:rsidRPr="00074F45" w:rsidRDefault="006739A5" w:rsidP="00EE0ED0">
            <w:pPr>
              <w:spacing w:before="100" w:beforeAutospacing="1" w:after="100" w:afterAutospacing="1"/>
            </w:pPr>
          </w:p>
        </w:tc>
        <w:tc>
          <w:tcPr>
            <w:tcW w:w="7076" w:type="dxa"/>
            <w:gridSpan w:val="2"/>
            <w:vAlign w:val="center"/>
          </w:tcPr>
          <w:p w:rsidR="00D504CD" w:rsidRPr="00074F45" w:rsidRDefault="00DF42B4" w:rsidP="00EE0ED0">
            <w:r w:rsidRPr="00074F45">
              <w:t> </w:t>
            </w:r>
          </w:p>
        </w:tc>
      </w:tr>
      <w:tr w:rsidR="006739A5" w:rsidRPr="00074F45" w:rsidTr="006739A5">
        <w:trPr>
          <w:gridAfter w:val="1"/>
          <w:wAfter w:w="20" w:type="dxa"/>
          <w:tblCellSpacing w:w="0" w:type="dxa"/>
        </w:trPr>
        <w:tc>
          <w:tcPr>
            <w:tcW w:w="2694" w:type="dxa"/>
          </w:tcPr>
          <w:p w:rsidR="006739A5" w:rsidRPr="00074F45" w:rsidRDefault="006739A5" w:rsidP="00163398">
            <w:pPr>
              <w:spacing w:before="100" w:beforeAutospacing="1" w:after="100" w:afterAutospacing="1"/>
            </w:pPr>
            <w:r w:rsidRPr="00074F45">
              <w:lastRenderedPageBreak/>
              <w:t xml:space="preserve">Datums </w:t>
            </w:r>
          </w:p>
        </w:tc>
        <w:tc>
          <w:tcPr>
            <w:tcW w:w="11226" w:type="dxa"/>
            <w:gridSpan w:val="4"/>
            <w:tcBorders>
              <w:top w:val="nil"/>
              <w:left w:val="nil"/>
              <w:bottom w:val="single" w:sz="8" w:space="0" w:color="000000"/>
              <w:right w:val="nil"/>
            </w:tcBorders>
          </w:tcPr>
          <w:p w:rsidR="006739A5" w:rsidRPr="00760613" w:rsidRDefault="005C7369" w:rsidP="00163398">
            <w:pPr>
              <w:spacing w:before="100" w:beforeAutospacing="1" w:after="100" w:afterAutospacing="1"/>
              <w:jc w:val="center"/>
            </w:pPr>
            <w:r>
              <w:t>04</w:t>
            </w:r>
            <w:bookmarkStart w:id="0" w:name="_GoBack"/>
            <w:bookmarkEnd w:id="0"/>
            <w:r w:rsidR="006739A5">
              <w:t>.12.2020.</w:t>
            </w:r>
          </w:p>
        </w:tc>
      </w:tr>
      <w:tr w:rsidR="006739A5" w:rsidRPr="00074F45" w:rsidTr="006739A5">
        <w:trPr>
          <w:gridAfter w:val="1"/>
          <w:wAfter w:w="20" w:type="dxa"/>
          <w:tblCellSpacing w:w="0" w:type="dxa"/>
        </w:trPr>
        <w:tc>
          <w:tcPr>
            <w:tcW w:w="2694" w:type="dxa"/>
          </w:tcPr>
          <w:p w:rsidR="006739A5" w:rsidRPr="00074F45" w:rsidRDefault="006739A5" w:rsidP="00163398">
            <w:pPr>
              <w:spacing w:before="100" w:beforeAutospacing="1" w:after="100" w:afterAutospacing="1"/>
            </w:pPr>
            <w:r w:rsidRPr="00074F45">
              <w:t> </w:t>
            </w:r>
          </w:p>
        </w:tc>
        <w:tc>
          <w:tcPr>
            <w:tcW w:w="11226" w:type="dxa"/>
            <w:gridSpan w:val="4"/>
            <w:tcBorders>
              <w:top w:val="nil"/>
              <w:left w:val="nil"/>
              <w:bottom w:val="nil"/>
              <w:right w:val="nil"/>
            </w:tcBorders>
          </w:tcPr>
          <w:p w:rsidR="006739A5" w:rsidRPr="00074F45" w:rsidRDefault="006739A5" w:rsidP="00163398">
            <w:pPr>
              <w:spacing w:before="100" w:beforeAutospacing="1" w:after="100" w:afterAutospacing="1"/>
            </w:pPr>
            <w:r w:rsidRPr="00074F45">
              <w:t> </w:t>
            </w:r>
          </w:p>
        </w:tc>
      </w:tr>
      <w:tr w:rsidR="006739A5" w:rsidRPr="00074F45" w:rsidTr="006739A5">
        <w:trPr>
          <w:gridAfter w:val="1"/>
          <w:wAfter w:w="20" w:type="dxa"/>
          <w:tblCellSpacing w:w="0" w:type="dxa"/>
        </w:trPr>
        <w:tc>
          <w:tcPr>
            <w:tcW w:w="2694" w:type="dxa"/>
            <w:vAlign w:val="center"/>
          </w:tcPr>
          <w:p w:rsidR="006739A5" w:rsidRPr="00074F45" w:rsidRDefault="006739A5" w:rsidP="00163398">
            <w:pPr>
              <w:spacing w:before="100" w:beforeAutospacing="1" w:after="100" w:afterAutospacing="1"/>
            </w:pPr>
            <w:r w:rsidRPr="00074F45">
              <w:t>Saskaņošanas dalībnieki</w:t>
            </w:r>
          </w:p>
        </w:tc>
        <w:tc>
          <w:tcPr>
            <w:tcW w:w="11226" w:type="dxa"/>
            <w:gridSpan w:val="4"/>
            <w:vAlign w:val="center"/>
          </w:tcPr>
          <w:p w:rsidR="006739A5" w:rsidRPr="004B1309" w:rsidRDefault="006739A5" w:rsidP="00163398">
            <w:r w:rsidRPr="004B1309">
              <w:t>Tieslietu ministrija</w:t>
            </w:r>
            <w:r>
              <w:t>, Aizsardzības ministrija, Ģenerālprokuratūra, Finanšu ministrija, Ārlietu ministrija</w:t>
            </w:r>
          </w:p>
        </w:tc>
      </w:tr>
      <w:tr w:rsidR="006739A5" w:rsidRPr="00074F45" w:rsidTr="006739A5">
        <w:trPr>
          <w:gridAfter w:val="1"/>
          <w:wAfter w:w="20" w:type="dxa"/>
          <w:tblCellSpacing w:w="0" w:type="dxa"/>
        </w:trPr>
        <w:tc>
          <w:tcPr>
            <w:tcW w:w="2694" w:type="dxa"/>
            <w:vAlign w:val="center"/>
          </w:tcPr>
          <w:p w:rsidR="006739A5" w:rsidRPr="00074F45" w:rsidRDefault="006739A5" w:rsidP="00163398">
            <w:pPr>
              <w:spacing w:before="100" w:beforeAutospacing="1" w:after="100" w:afterAutospacing="1"/>
            </w:pPr>
            <w:r w:rsidRPr="00074F45">
              <w:t>  </w:t>
            </w:r>
          </w:p>
        </w:tc>
        <w:tc>
          <w:tcPr>
            <w:tcW w:w="11226" w:type="dxa"/>
            <w:gridSpan w:val="4"/>
            <w:tcBorders>
              <w:top w:val="single" w:sz="8" w:space="0" w:color="000000"/>
              <w:left w:val="nil"/>
              <w:bottom w:val="single" w:sz="8" w:space="0" w:color="000000"/>
              <w:right w:val="nil"/>
            </w:tcBorders>
            <w:vAlign w:val="center"/>
          </w:tcPr>
          <w:p w:rsidR="006739A5" w:rsidRPr="00074F45" w:rsidRDefault="006739A5" w:rsidP="00163398">
            <w:pPr>
              <w:spacing w:before="100" w:beforeAutospacing="1" w:after="100" w:afterAutospacing="1"/>
            </w:pPr>
          </w:p>
        </w:tc>
      </w:tr>
      <w:tr w:rsidR="006739A5" w:rsidRPr="00074F45" w:rsidTr="006739A5">
        <w:trPr>
          <w:gridAfter w:val="1"/>
          <w:wAfter w:w="20" w:type="dxa"/>
          <w:tblCellSpacing w:w="0" w:type="dxa"/>
        </w:trPr>
        <w:tc>
          <w:tcPr>
            <w:tcW w:w="2694" w:type="dxa"/>
            <w:vAlign w:val="center"/>
          </w:tcPr>
          <w:p w:rsidR="006739A5" w:rsidRPr="00074F45" w:rsidRDefault="006739A5" w:rsidP="00163398">
            <w:pPr>
              <w:spacing w:before="100" w:beforeAutospacing="1" w:after="100" w:afterAutospacing="1"/>
            </w:pPr>
            <w:r w:rsidRPr="00074F45">
              <w:t> </w:t>
            </w:r>
          </w:p>
        </w:tc>
        <w:tc>
          <w:tcPr>
            <w:tcW w:w="6763" w:type="dxa"/>
            <w:gridSpan w:val="2"/>
            <w:vAlign w:val="center"/>
          </w:tcPr>
          <w:p w:rsidR="006739A5" w:rsidRPr="00074F45" w:rsidRDefault="006739A5" w:rsidP="00163398">
            <w:pPr>
              <w:spacing w:before="100" w:beforeAutospacing="1" w:after="100" w:afterAutospacing="1"/>
            </w:pPr>
            <w:r w:rsidRPr="00074F45">
              <w:t> </w:t>
            </w:r>
          </w:p>
        </w:tc>
        <w:tc>
          <w:tcPr>
            <w:tcW w:w="4463" w:type="dxa"/>
            <w:gridSpan w:val="2"/>
            <w:vAlign w:val="center"/>
          </w:tcPr>
          <w:p w:rsidR="006739A5" w:rsidRPr="00074F45" w:rsidRDefault="006739A5" w:rsidP="00163398">
            <w:pPr>
              <w:spacing w:before="100" w:beforeAutospacing="1" w:after="100" w:afterAutospacing="1"/>
            </w:pPr>
            <w:r w:rsidRPr="00074F45">
              <w:t> </w:t>
            </w:r>
          </w:p>
        </w:tc>
      </w:tr>
    </w:tbl>
    <w:p w:rsidR="006739A5" w:rsidRPr="00074F45" w:rsidRDefault="006739A5" w:rsidP="006739A5">
      <w:pPr>
        <w:rPr>
          <w:vanish/>
        </w:rPr>
      </w:pPr>
    </w:p>
    <w:tbl>
      <w:tblPr>
        <w:tblW w:w="13940" w:type="dxa"/>
        <w:tblCellSpacing w:w="0" w:type="dxa"/>
        <w:tblCellMar>
          <w:left w:w="0" w:type="dxa"/>
          <w:right w:w="0" w:type="dxa"/>
        </w:tblCellMar>
        <w:tblLook w:val="0000" w:firstRow="0" w:lastRow="0" w:firstColumn="0" w:lastColumn="0" w:noHBand="0" w:noVBand="0"/>
      </w:tblPr>
      <w:tblGrid>
        <w:gridCol w:w="6804"/>
        <w:gridCol w:w="7076"/>
        <w:gridCol w:w="60"/>
      </w:tblGrid>
      <w:tr w:rsidR="006739A5" w:rsidRPr="00074F45" w:rsidTr="00163398">
        <w:trPr>
          <w:tblCellSpacing w:w="0" w:type="dxa"/>
        </w:trPr>
        <w:tc>
          <w:tcPr>
            <w:tcW w:w="6804" w:type="dxa"/>
          </w:tcPr>
          <w:p w:rsidR="006739A5" w:rsidRPr="00074F45" w:rsidRDefault="006739A5" w:rsidP="00163398">
            <w:pPr>
              <w:spacing w:before="100" w:beforeAutospacing="1" w:after="100" w:afterAutospacing="1"/>
            </w:pPr>
            <w:r w:rsidRPr="00074F45">
              <w:t>Saskaņošanas dalībnieki izskatīja šādu ministriju (citu institūciju) iebildumus</w:t>
            </w:r>
          </w:p>
        </w:tc>
        <w:tc>
          <w:tcPr>
            <w:tcW w:w="7076" w:type="dxa"/>
          </w:tcPr>
          <w:p w:rsidR="006739A5" w:rsidRPr="00074F45" w:rsidRDefault="006739A5" w:rsidP="006739A5">
            <w:pPr>
              <w:spacing w:before="100" w:beforeAutospacing="1" w:after="100" w:afterAutospacing="1"/>
              <w:jc w:val="center"/>
            </w:pPr>
            <w:r>
              <w:t>Ģenerālprokuratūra</w:t>
            </w:r>
          </w:p>
        </w:tc>
        <w:tc>
          <w:tcPr>
            <w:tcW w:w="60" w:type="dxa"/>
          </w:tcPr>
          <w:p w:rsidR="006739A5" w:rsidRPr="00074F45" w:rsidRDefault="006739A5" w:rsidP="00163398">
            <w:pPr>
              <w:spacing w:before="100" w:beforeAutospacing="1" w:after="100" w:afterAutospacing="1"/>
            </w:pPr>
            <w:r w:rsidRPr="00074F45">
              <w:t> </w:t>
            </w:r>
          </w:p>
        </w:tc>
      </w:tr>
      <w:tr w:rsidR="006739A5" w:rsidRPr="00074F45" w:rsidTr="00163398">
        <w:trPr>
          <w:gridAfter w:val="1"/>
          <w:wAfter w:w="60" w:type="dxa"/>
          <w:tblCellSpacing w:w="0" w:type="dxa"/>
        </w:trPr>
        <w:tc>
          <w:tcPr>
            <w:tcW w:w="6804" w:type="dxa"/>
          </w:tcPr>
          <w:p w:rsidR="006739A5" w:rsidRPr="00074F45" w:rsidRDefault="006739A5" w:rsidP="00163398">
            <w:pPr>
              <w:spacing w:before="100" w:beforeAutospacing="1" w:after="100" w:afterAutospacing="1"/>
            </w:pPr>
            <w:r w:rsidRPr="00074F45">
              <w:t>  </w:t>
            </w:r>
          </w:p>
        </w:tc>
        <w:tc>
          <w:tcPr>
            <w:tcW w:w="7076" w:type="dxa"/>
            <w:tcBorders>
              <w:top w:val="single" w:sz="8" w:space="0" w:color="000000"/>
              <w:left w:val="nil"/>
              <w:bottom w:val="single" w:sz="8" w:space="0" w:color="000000"/>
              <w:right w:val="nil"/>
            </w:tcBorders>
          </w:tcPr>
          <w:p w:rsidR="006739A5" w:rsidRPr="00074F45" w:rsidRDefault="006739A5" w:rsidP="00163398">
            <w:pPr>
              <w:spacing w:before="100" w:beforeAutospacing="1" w:after="100" w:afterAutospacing="1"/>
            </w:pPr>
            <w:r w:rsidRPr="00074F45">
              <w:t> </w:t>
            </w:r>
          </w:p>
        </w:tc>
      </w:tr>
      <w:tr w:rsidR="006739A5" w:rsidRPr="00074F45" w:rsidTr="00163398">
        <w:trPr>
          <w:gridAfter w:val="1"/>
          <w:wAfter w:w="60" w:type="dxa"/>
          <w:tblCellSpacing w:w="0" w:type="dxa"/>
        </w:trPr>
        <w:tc>
          <w:tcPr>
            <w:tcW w:w="13880" w:type="dxa"/>
            <w:gridSpan w:val="2"/>
            <w:vAlign w:val="center"/>
          </w:tcPr>
          <w:p w:rsidR="006739A5" w:rsidRPr="00074F45" w:rsidRDefault="006739A5" w:rsidP="00163398">
            <w:pPr>
              <w:spacing w:before="100" w:beforeAutospacing="1" w:after="100" w:afterAutospacing="1"/>
            </w:pPr>
            <w:r w:rsidRPr="00074F45">
              <w:t> </w:t>
            </w:r>
          </w:p>
        </w:tc>
      </w:tr>
      <w:tr w:rsidR="006739A5" w:rsidRPr="00074F45" w:rsidTr="00163398">
        <w:trPr>
          <w:gridAfter w:val="1"/>
          <w:wAfter w:w="60" w:type="dxa"/>
          <w:tblCellSpacing w:w="0" w:type="dxa"/>
        </w:trPr>
        <w:tc>
          <w:tcPr>
            <w:tcW w:w="6804" w:type="dxa"/>
            <w:vAlign w:val="center"/>
          </w:tcPr>
          <w:p w:rsidR="006739A5" w:rsidRDefault="006739A5" w:rsidP="00163398">
            <w:pPr>
              <w:spacing w:before="100" w:beforeAutospacing="1" w:after="100" w:afterAutospacing="1"/>
            </w:pPr>
            <w:r w:rsidRPr="00074F45">
              <w:t>Ministrijas (citas institūcijas), kuras nav ieradušās uz sanāksmi vai kuras nav atbildējušas uz uzaicinājumu piedalīties elektroniskajā saskaņošanā</w:t>
            </w:r>
          </w:p>
          <w:p w:rsidR="006739A5" w:rsidRPr="00074F45" w:rsidRDefault="006739A5" w:rsidP="00163398">
            <w:pPr>
              <w:spacing w:before="100" w:beforeAutospacing="1" w:after="100" w:afterAutospacing="1"/>
            </w:pPr>
          </w:p>
        </w:tc>
        <w:tc>
          <w:tcPr>
            <w:tcW w:w="7076" w:type="dxa"/>
            <w:vAlign w:val="center"/>
          </w:tcPr>
          <w:p w:rsidR="006739A5" w:rsidRPr="00074F45" w:rsidRDefault="006739A5" w:rsidP="00163398"/>
        </w:tc>
      </w:tr>
    </w:tbl>
    <w:p w:rsidR="00F171E0" w:rsidRPr="00074F45" w:rsidRDefault="00F171E0" w:rsidP="00EE0ED0">
      <w:pPr>
        <w:pStyle w:val="naisf"/>
        <w:spacing w:before="0" w:after="0"/>
        <w:ind w:firstLine="0"/>
        <w:jc w:val="center"/>
        <w:rPr>
          <w:b/>
        </w:rPr>
      </w:pPr>
    </w:p>
    <w:p w:rsidR="00427CB1" w:rsidRDefault="00427CB1" w:rsidP="00EE0ED0">
      <w:pPr>
        <w:pStyle w:val="naisf"/>
        <w:spacing w:before="0" w:after="0"/>
        <w:ind w:firstLine="0"/>
        <w:jc w:val="center"/>
        <w:rPr>
          <w:b/>
        </w:rPr>
      </w:pPr>
    </w:p>
    <w:p w:rsidR="0062692C" w:rsidRDefault="0062692C" w:rsidP="00EE0ED0">
      <w:pPr>
        <w:pStyle w:val="naisf"/>
        <w:spacing w:before="0" w:after="0"/>
        <w:ind w:firstLine="0"/>
        <w:jc w:val="center"/>
        <w:rPr>
          <w:b/>
        </w:rPr>
      </w:pPr>
    </w:p>
    <w:p w:rsidR="0062692C" w:rsidRDefault="0062692C"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Default="006739A5" w:rsidP="00EE0ED0">
      <w:pPr>
        <w:pStyle w:val="naisf"/>
        <w:spacing w:before="0" w:after="0"/>
        <w:ind w:firstLine="0"/>
        <w:jc w:val="center"/>
        <w:rPr>
          <w:b/>
        </w:rPr>
      </w:pPr>
    </w:p>
    <w:p w:rsidR="006739A5" w:rsidRPr="00074F45" w:rsidRDefault="006739A5" w:rsidP="00EE0ED0">
      <w:pPr>
        <w:pStyle w:val="naisf"/>
        <w:spacing w:before="0" w:after="0"/>
        <w:ind w:firstLine="0"/>
        <w:jc w:val="center"/>
        <w:rPr>
          <w:b/>
        </w:rPr>
      </w:pPr>
    </w:p>
    <w:p w:rsidR="00334E4A" w:rsidRPr="00074F45" w:rsidRDefault="00334E4A" w:rsidP="00EE0ED0">
      <w:pPr>
        <w:pStyle w:val="naisf"/>
        <w:spacing w:before="0" w:after="0"/>
        <w:ind w:firstLine="0"/>
        <w:jc w:val="center"/>
        <w:rPr>
          <w:b/>
        </w:rPr>
      </w:pPr>
      <w:r w:rsidRPr="00074F45">
        <w:rPr>
          <w:b/>
        </w:rPr>
        <w:lastRenderedPageBreak/>
        <w:t>II. Jautājumi, par kuriem saskaņošanā vienošanās ir panākta</w:t>
      </w:r>
    </w:p>
    <w:p w:rsidR="00334E4A" w:rsidRPr="00074F45" w:rsidRDefault="00334E4A" w:rsidP="00EE0ED0">
      <w:pPr>
        <w:pStyle w:val="naisf"/>
        <w:spacing w:before="0" w:after="0"/>
        <w:ind w:firstLine="720"/>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526"/>
        <w:gridCol w:w="5670"/>
        <w:gridCol w:w="2977"/>
        <w:gridCol w:w="2747"/>
      </w:tblGrid>
      <w:tr w:rsidR="00F10C50" w:rsidRPr="00074F45" w:rsidTr="00AE3EB1">
        <w:tc>
          <w:tcPr>
            <w:tcW w:w="588" w:type="dxa"/>
          </w:tcPr>
          <w:p w:rsidR="00F10C50" w:rsidRPr="00074F45" w:rsidRDefault="00F10C50" w:rsidP="00EE0ED0">
            <w:pPr>
              <w:pStyle w:val="naisf"/>
              <w:spacing w:before="0" w:after="0"/>
              <w:ind w:firstLine="0"/>
            </w:pPr>
            <w:proofErr w:type="spellStart"/>
            <w:r w:rsidRPr="00074F45">
              <w:t>Nr.p.k</w:t>
            </w:r>
            <w:proofErr w:type="spellEnd"/>
            <w:r w:rsidRPr="00074F45">
              <w:t>.</w:t>
            </w:r>
          </w:p>
        </w:tc>
        <w:tc>
          <w:tcPr>
            <w:tcW w:w="2526" w:type="dxa"/>
          </w:tcPr>
          <w:p w:rsidR="00F10C50" w:rsidRPr="00074F45" w:rsidRDefault="00F10C50" w:rsidP="00EE0ED0">
            <w:pPr>
              <w:pStyle w:val="naisf"/>
              <w:spacing w:before="120" w:after="0"/>
              <w:ind w:firstLine="0"/>
              <w:jc w:val="center"/>
            </w:pPr>
            <w:r w:rsidRPr="00074F45">
              <w:t>Saskaņošanai nosūtītā projekta redakcija (konkrēta punkta (panta) redakcija)</w:t>
            </w:r>
          </w:p>
        </w:tc>
        <w:tc>
          <w:tcPr>
            <w:tcW w:w="5670" w:type="dxa"/>
          </w:tcPr>
          <w:p w:rsidR="00F10C50" w:rsidRPr="00074F45" w:rsidRDefault="00F10C50" w:rsidP="00EE0ED0">
            <w:pPr>
              <w:pStyle w:val="naisf"/>
              <w:spacing w:before="120" w:after="0"/>
              <w:ind w:firstLine="0"/>
              <w:jc w:val="center"/>
            </w:pPr>
            <w:r w:rsidRPr="00074F45">
              <w:t>Atzinumā norādītais ministrijas (citas institūcijas) iebildums, kā arī saskaņošanā papildus izteiktais iebildums par projekta konkrēto punktu (pantu)</w:t>
            </w:r>
          </w:p>
        </w:tc>
        <w:tc>
          <w:tcPr>
            <w:tcW w:w="2977" w:type="dxa"/>
          </w:tcPr>
          <w:p w:rsidR="00F10C50" w:rsidRPr="00074F45" w:rsidRDefault="00F10C50" w:rsidP="00EE0ED0">
            <w:pPr>
              <w:pStyle w:val="naisf"/>
              <w:spacing w:before="120" w:after="0"/>
              <w:ind w:firstLine="0"/>
              <w:jc w:val="center"/>
            </w:pPr>
            <w:r w:rsidRPr="00074F45">
              <w:t>Atbildīgās ministrijas norāde par to, ka iebildums ir ņemts vērā, vai informācija par saskaņošanā panākto alternatīvo risinājumu</w:t>
            </w:r>
          </w:p>
        </w:tc>
        <w:tc>
          <w:tcPr>
            <w:tcW w:w="2747" w:type="dxa"/>
          </w:tcPr>
          <w:p w:rsidR="00F10C50" w:rsidRPr="00074F45" w:rsidRDefault="00F10C50" w:rsidP="00EE0ED0">
            <w:pPr>
              <w:pStyle w:val="naisf"/>
              <w:spacing w:before="120" w:after="0"/>
              <w:ind w:firstLine="0"/>
              <w:jc w:val="center"/>
            </w:pPr>
            <w:r w:rsidRPr="00074F45">
              <w:t>Projekta attiecīgā punkta (panta) galīgā redakcija</w:t>
            </w:r>
          </w:p>
        </w:tc>
      </w:tr>
      <w:tr w:rsidR="00F56BF9" w:rsidRPr="00074F45" w:rsidTr="00AE3EB1">
        <w:trPr>
          <w:trHeight w:val="664"/>
        </w:trPr>
        <w:tc>
          <w:tcPr>
            <w:tcW w:w="588" w:type="dxa"/>
          </w:tcPr>
          <w:p w:rsidR="00963B58" w:rsidRDefault="00963B58" w:rsidP="007919D9">
            <w:pPr>
              <w:pStyle w:val="naisf"/>
              <w:spacing w:before="0" w:after="0"/>
              <w:ind w:firstLine="0"/>
            </w:pPr>
            <w:r>
              <w:t xml:space="preserve">  </w:t>
            </w:r>
          </w:p>
          <w:p w:rsidR="00963B58" w:rsidRDefault="00963B58" w:rsidP="007919D9">
            <w:pPr>
              <w:pStyle w:val="naisf"/>
              <w:spacing w:before="0" w:after="0"/>
              <w:ind w:firstLine="0"/>
            </w:pPr>
          </w:p>
          <w:p w:rsidR="00963B58" w:rsidRDefault="00963B58" w:rsidP="007919D9">
            <w:pPr>
              <w:pStyle w:val="naisf"/>
              <w:spacing w:before="0" w:after="0"/>
              <w:ind w:firstLine="0"/>
            </w:pPr>
          </w:p>
          <w:p w:rsidR="00963B58" w:rsidRDefault="00963B58" w:rsidP="007919D9">
            <w:pPr>
              <w:pStyle w:val="naisf"/>
              <w:spacing w:before="0" w:after="0"/>
              <w:ind w:firstLine="0"/>
            </w:pPr>
          </w:p>
          <w:p w:rsidR="00963B58" w:rsidRDefault="00963B58" w:rsidP="007919D9">
            <w:pPr>
              <w:pStyle w:val="naisf"/>
              <w:spacing w:before="0" w:after="0"/>
              <w:ind w:firstLine="0"/>
            </w:pPr>
          </w:p>
          <w:p w:rsidR="00963B58" w:rsidRDefault="00963B58" w:rsidP="007919D9">
            <w:pPr>
              <w:pStyle w:val="naisf"/>
              <w:spacing w:before="0" w:after="0"/>
              <w:ind w:firstLine="0"/>
            </w:pPr>
          </w:p>
          <w:p w:rsidR="00963B58" w:rsidRDefault="00963B58" w:rsidP="007919D9">
            <w:pPr>
              <w:pStyle w:val="naisf"/>
              <w:spacing w:before="0" w:after="0"/>
              <w:ind w:firstLine="0"/>
            </w:pPr>
          </w:p>
          <w:p w:rsidR="00963B58" w:rsidRDefault="00963B58" w:rsidP="007919D9">
            <w:pPr>
              <w:pStyle w:val="naisf"/>
              <w:spacing w:before="0" w:after="0"/>
              <w:ind w:firstLine="0"/>
            </w:pPr>
          </w:p>
          <w:p w:rsidR="00963B58" w:rsidRDefault="00963B58" w:rsidP="007919D9">
            <w:pPr>
              <w:pStyle w:val="naisf"/>
              <w:spacing w:before="0" w:after="0"/>
              <w:ind w:firstLine="0"/>
            </w:pPr>
          </w:p>
          <w:p w:rsidR="00963B58" w:rsidRDefault="00963B58" w:rsidP="007919D9">
            <w:pPr>
              <w:pStyle w:val="naisf"/>
              <w:spacing w:before="0" w:after="0"/>
              <w:ind w:firstLine="0"/>
            </w:pPr>
          </w:p>
          <w:p w:rsidR="00963B58" w:rsidRDefault="00963B58" w:rsidP="007919D9">
            <w:pPr>
              <w:pStyle w:val="naisf"/>
              <w:spacing w:before="0" w:after="0"/>
              <w:ind w:firstLine="0"/>
            </w:pPr>
          </w:p>
          <w:p w:rsidR="00F56BF9" w:rsidRPr="00074F45" w:rsidRDefault="00F56BF9" w:rsidP="00963B58">
            <w:pPr>
              <w:pStyle w:val="naisf"/>
              <w:spacing w:before="0" w:after="0"/>
              <w:ind w:firstLine="0"/>
              <w:jc w:val="center"/>
            </w:pPr>
            <w:r>
              <w:t>1.</w:t>
            </w:r>
          </w:p>
        </w:tc>
        <w:tc>
          <w:tcPr>
            <w:tcW w:w="2526" w:type="dxa"/>
          </w:tcPr>
          <w:p w:rsidR="00A60832" w:rsidRDefault="00A60832" w:rsidP="001753B5">
            <w:pPr>
              <w:jc w:val="center"/>
            </w:pPr>
          </w:p>
          <w:p w:rsidR="00A60832" w:rsidRDefault="00A60832" w:rsidP="001753B5">
            <w:pPr>
              <w:jc w:val="center"/>
            </w:pPr>
          </w:p>
          <w:p w:rsidR="00A60832" w:rsidRDefault="00A60832" w:rsidP="001753B5">
            <w:pPr>
              <w:jc w:val="center"/>
            </w:pPr>
          </w:p>
          <w:p w:rsidR="00A60832" w:rsidRDefault="00A60832" w:rsidP="001753B5">
            <w:pPr>
              <w:jc w:val="center"/>
            </w:pPr>
          </w:p>
          <w:p w:rsidR="00A60832" w:rsidRDefault="00A60832" w:rsidP="001753B5">
            <w:pPr>
              <w:jc w:val="center"/>
            </w:pPr>
          </w:p>
          <w:p w:rsidR="00A60832" w:rsidRDefault="00A60832" w:rsidP="001753B5">
            <w:pPr>
              <w:jc w:val="center"/>
            </w:pPr>
          </w:p>
          <w:p w:rsidR="00A60832" w:rsidRDefault="00A60832" w:rsidP="001753B5">
            <w:pPr>
              <w:jc w:val="center"/>
            </w:pPr>
          </w:p>
          <w:p w:rsidR="00A60832" w:rsidRDefault="00A60832" w:rsidP="001753B5">
            <w:pPr>
              <w:jc w:val="center"/>
            </w:pPr>
          </w:p>
          <w:p w:rsidR="00A60832" w:rsidRDefault="00A60832" w:rsidP="001753B5">
            <w:pPr>
              <w:jc w:val="center"/>
            </w:pPr>
          </w:p>
          <w:p w:rsidR="00A60832" w:rsidRDefault="00A60832" w:rsidP="001753B5">
            <w:pPr>
              <w:jc w:val="center"/>
            </w:pPr>
          </w:p>
          <w:p w:rsidR="001753B5" w:rsidRDefault="001753B5" w:rsidP="001753B5">
            <w:pPr>
              <w:jc w:val="center"/>
            </w:pPr>
            <w:r>
              <w:t>Projekta 1. pants:</w:t>
            </w:r>
          </w:p>
          <w:p w:rsidR="007919D9" w:rsidRDefault="001753B5" w:rsidP="007919D9">
            <w:pPr>
              <w:jc w:val="both"/>
            </w:pPr>
            <w:r>
              <w:t>“</w:t>
            </w:r>
            <w:r w:rsidR="007919D9" w:rsidRPr="007919D9">
              <w:t>Izslēgt 61. panta astoto daļu.</w:t>
            </w:r>
            <w:r>
              <w:t>”</w:t>
            </w:r>
          </w:p>
          <w:p w:rsidR="007919D9" w:rsidRDefault="007919D9" w:rsidP="007919D9">
            <w:pPr>
              <w:jc w:val="both"/>
            </w:pPr>
          </w:p>
          <w:p w:rsidR="00F56BF9" w:rsidRPr="00074F45" w:rsidRDefault="00F56BF9" w:rsidP="007919D9">
            <w:pPr>
              <w:jc w:val="both"/>
            </w:pPr>
          </w:p>
        </w:tc>
        <w:tc>
          <w:tcPr>
            <w:tcW w:w="5670" w:type="dxa"/>
          </w:tcPr>
          <w:p w:rsidR="00F56BF9" w:rsidRPr="0062692C" w:rsidRDefault="0062692C" w:rsidP="0062692C">
            <w:pPr>
              <w:pStyle w:val="Bodytext21"/>
              <w:spacing w:before="0" w:after="0" w:line="240" w:lineRule="auto"/>
              <w:jc w:val="center"/>
              <w:rPr>
                <w:b/>
                <w:sz w:val="24"/>
                <w:szCs w:val="24"/>
              </w:rPr>
            </w:pPr>
            <w:r w:rsidRPr="0062692C">
              <w:rPr>
                <w:b/>
                <w:sz w:val="24"/>
                <w:szCs w:val="24"/>
              </w:rPr>
              <w:t>Tieslietu ministrija</w:t>
            </w:r>
          </w:p>
          <w:p w:rsidR="0062692C" w:rsidRPr="0062692C" w:rsidRDefault="0062692C" w:rsidP="0062692C">
            <w:pPr>
              <w:pStyle w:val="Bodytext21"/>
              <w:spacing w:before="0" w:after="0" w:line="240" w:lineRule="auto"/>
              <w:ind w:firstLine="720"/>
              <w:rPr>
                <w:sz w:val="24"/>
                <w:szCs w:val="24"/>
              </w:rPr>
            </w:pPr>
            <w:r w:rsidRPr="0062692C">
              <w:rPr>
                <w:sz w:val="24"/>
                <w:szCs w:val="24"/>
              </w:rPr>
              <w:t>Projekta 1. pants paredz izslēgt Imigrācijas likuma 61. panta astoto daļu. Savukārt projekta 3. pantā ietvertais Imigrācijas likuma pārejas noteikumu 50. punkts paredz, ka grozījumi par Imigrācijas likuma 61. panta astotās daļas izslēgšanu stājas spēkā 2021. gada 1. martā. Satversmes tiesas likuma 32. panta trešā daļa paredz, ka tiesību norma (akts), kuru Satversmes tiesa atzinusi par neatbilstošu augstāka juridiska spēka tiesību normai, uzskatāma par spēkā neesošu no Satversmes tiesas sprieduma publicēšanas dienas, ja Satversmes tiesa nav noteikusi citādi. Satversmes tiesas 2020. gada 25. septembra sprieduma lietā Nr. 2019-35-01 nolēmumu daļas 1. punkts paredz atzīt Imigrācijas likuma 61. panta astoto daļu par neatbilstošu Latvijas Republikas Satversmes 92. panta pirmajam teikumam un spēkā neesošu no 2021. gada 1. marta. Imigrācijas likuma 61. panta astotā daļa zaudēs spēku saskaņā ar minēto Satversmes spriedumu, līdz ar to nav nepieciešams to izslēgt. Ņemot vērā minēto, lūdzam izslēgt projekta 1. pantu un 3. pantā ietverto Imigrācijas likuma pārejas noteikumu 50. punktu. Vienlaikus lūdzam attiecīgi precizēt projekta sākotnējās ietekmes novērtējuma ziņojumā (turpmāk – anotācija) ietverto informāciju.</w:t>
            </w:r>
          </w:p>
        </w:tc>
        <w:tc>
          <w:tcPr>
            <w:tcW w:w="2977" w:type="dxa"/>
          </w:tcPr>
          <w:p w:rsidR="00A60832" w:rsidRDefault="00A60832" w:rsidP="0021239F">
            <w:pPr>
              <w:pStyle w:val="naisf"/>
              <w:spacing w:before="0" w:after="0"/>
              <w:ind w:firstLine="374"/>
              <w:jc w:val="center"/>
              <w:rPr>
                <w:b/>
              </w:rPr>
            </w:pPr>
          </w:p>
          <w:p w:rsidR="00C26218" w:rsidRDefault="0021239F" w:rsidP="006739A5">
            <w:pPr>
              <w:pStyle w:val="naisf"/>
              <w:spacing w:before="0" w:after="0"/>
              <w:ind w:firstLine="0"/>
              <w:jc w:val="center"/>
              <w:rPr>
                <w:b/>
              </w:rPr>
            </w:pPr>
            <w:r w:rsidRPr="0021239F">
              <w:rPr>
                <w:b/>
              </w:rPr>
              <w:t>Iebildums ņemts vērā</w:t>
            </w:r>
          </w:p>
          <w:p w:rsidR="00A60832" w:rsidRDefault="00A60832" w:rsidP="0021239F">
            <w:pPr>
              <w:pStyle w:val="naisf"/>
              <w:spacing w:before="0" w:after="0"/>
              <w:ind w:firstLine="374"/>
              <w:jc w:val="center"/>
              <w:rPr>
                <w:b/>
              </w:rPr>
            </w:pPr>
          </w:p>
          <w:p w:rsidR="00165BAE" w:rsidRDefault="00165BAE" w:rsidP="00165BAE">
            <w:pPr>
              <w:jc w:val="both"/>
            </w:pPr>
            <w:r w:rsidRPr="0062692C">
              <w:t>Satversmes tiesas 2020. gada 25. septembra spriedum</w:t>
            </w:r>
            <w:r>
              <w:t>s</w:t>
            </w:r>
            <w:r w:rsidRPr="0062692C">
              <w:t xml:space="preserve"> lietā Nr. 2019-35-01</w:t>
            </w:r>
            <w:r>
              <w:t xml:space="preserve"> neliedz Satversmes 92.panta </w:t>
            </w:r>
            <w:r w:rsidRPr="0062692C">
              <w:t>pirmajam teikumam</w:t>
            </w:r>
            <w:r>
              <w:t xml:space="preserve"> neatbilstošu Imigrācijas likuma 61.panta astoto daļu izslēgt no Imigrācijas likuma pirms šī tiesību normas tiek atzīta par spēkā neesošu ar spriedumu (t.i. no 2021.gada 1.marta). Turklāt </w:t>
            </w:r>
            <w:proofErr w:type="spellStart"/>
            <w:r>
              <w:t>Iekšlietu</w:t>
            </w:r>
            <w:proofErr w:type="spellEnd"/>
            <w:r>
              <w:t xml:space="preserve"> ministrija virzīs šo projektu steidzamības kārtā. </w:t>
            </w:r>
          </w:p>
          <w:p w:rsidR="00165BAE" w:rsidRPr="0021239F" w:rsidRDefault="00165BAE" w:rsidP="00165BAE">
            <w:pPr>
              <w:pStyle w:val="naisf"/>
              <w:spacing w:before="0" w:after="0"/>
              <w:ind w:firstLine="374"/>
              <w:rPr>
                <w:b/>
              </w:rPr>
            </w:pPr>
            <w:r>
              <w:t>Līdz ar to no projekta ir izslēgts 50.punkts un noteikums par likuma spēkā stāšanās datumu un ir atbilstoši precizēta anotācija.</w:t>
            </w:r>
          </w:p>
        </w:tc>
        <w:tc>
          <w:tcPr>
            <w:tcW w:w="2747" w:type="dxa"/>
          </w:tcPr>
          <w:p w:rsidR="00A60832" w:rsidRDefault="00A60832" w:rsidP="001753B5">
            <w:pPr>
              <w:jc w:val="center"/>
            </w:pPr>
          </w:p>
          <w:p w:rsidR="00A60832" w:rsidRDefault="00A60832" w:rsidP="001753B5">
            <w:pPr>
              <w:jc w:val="center"/>
            </w:pPr>
          </w:p>
          <w:p w:rsidR="00A60832" w:rsidRDefault="00A60832" w:rsidP="001753B5">
            <w:pPr>
              <w:jc w:val="center"/>
            </w:pPr>
          </w:p>
          <w:p w:rsidR="00A60832" w:rsidRDefault="00A60832" w:rsidP="001753B5">
            <w:pPr>
              <w:jc w:val="center"/>
            </w:pPr>
          </w:p>
          <w:p w:rsidR="00A60832" w:rsidRDefault="00A60832" w:rsidP="001753B5">
            <w:pPr>
              <w:jc w:val="center"/>
            </w:pPr>
          </w:p>
          <w:p w:rsidR="00A60832" w:rsidRDefault="00A60832" w:rsidP="001753B5">
            <w:pPr>
              <w:jc w:val="center"/>
            </w:pPr>
          </w:p>
          <w:p w:rsidR="00A60832" w:rsidRDefault="00A60832" w:rsidP="001753B5">
            <w:pPr>
              <w:jc w:val="center"/>
            </w:pPr>
          </w:p>
          <w:p w:rsidR="00A60832" w:rsidRDefault="00A60832" w:rsidP="001753B5">
            <w:pPr>
              <w:jc w:val="center"/>
            </w:pPr>
          </w:p>
          <w:p w:rsidR="00A60832" w:rsidRDefault="00A60832" w:rsidP="00A60832">
            <w:pPr>
              <w:jc w:val="center"/>
            </w:pPr>
          </w:p>
          <w:p w:rsidR="001753B5" w:rsidRDefault="001753B5" w:rsidP="00A60832">
            <w:pPr>
              <w:jc w:val="center"/>
            </w:pPr>
            <w:r>
              <w:t>Projekta 1. pants:</w:t>
            </w:r>
          </w:p>
          <w:p w:rsidR="001753B5" w:rsidRDefault="001753B5" w:rsidP="001753B5">
            <w:pPr>
              <w:jc w:val="both"/>
            </w:pPr>
            <w:r>
              <w:t>“</w:t>
            </w:r>
            <w:r w:rsidRPr="007919D9">
              <w:t>Izslēgt 61. panta astoto daļu.</w:t>
            </w:r>
            <w:r>
              <w:t>”</w:t>
            </w:r>
          </w:p>
          <w:p w:rsidR="0021239F" w:rsidRPr="00074F45" w:rsidRDefault="00E0331A" w:rsidP="00F03764">
            <w:pPr>
              <w:ind w:firstLine="720"/>
              <w:jc w:val="both"/>
            </w:pPr>
            <w:r>
              <w:t xml:space="preserve"> </w:t>
            </w:r>
          </w:p>
        </w:tc>
      </w:tr>
      <w:tr w:rsidR="00F56BF9" w:rsidRPr="00074F45" w:rsidTr="00AE3EB1">
        <w:trPr>
          <w:trHeight w:val="664"/>
        </w:trPr>
        <w:tc>
          <w:tcPr>
            <w:tcW w:w="588" w:type="dxa"/>
          </w:tcPr>
          <w:p w:rsidR="00963B58" w:rsidRDefault="00963B58" w:rsidP="00EE0ED0">
            <w:pPr>
              <w:pStyle w:val="naisf"/>
              <w:spacing w:before="120" w:after="0"/>
              <w:ind w:firstLine="0"/>
              <w:jc w:val="center"/>
            </w:pPr>
          </w:p>
          <w:p w:rsidR="00963B58" w:rsidRDefault="00963B58" w:rsidP="00EE0ED0">
            <w:pPr>
              <w:pStyle w:val="naisf"/>
              <w:spacing w:before="120" w:after="0"/>
              <w:ind w:firstLine="0"/>
              <w:jc w:val="center"/>
            </w:pPr>
          </w:p>
          <w:p w:rsidR="00963B58" w:rsidRDefault="00963B58" w:rsidP="00EE0ED0">
            <w:pPr>
              <w:pStyle w:val="naisf"/>
              <w:spacing w:before="120" w:after="0"/>
              <w:ind w:firstLine="0"/>
              <w:jc w:val="center"/>
            </w:pPr>
          </w:p>
          <w:p w:rsidR="00963B58" w:rsidRDefault="00963B58" w:rsidP="00EE0ED0">
            <w:pPr>
              <w:pStyle w:val="naisf"/>
              <w:spacing w:before="120" w:after="0"/>
              <w:ind w:firstLine="0"/>
              <w:jc w:val="center"/>
            </w:pPr>
          </w:p>
          <w:p w:rsidR="00963B58" w:rsidRDefault="00963B58" w:rsidP="00EE0ED0">
            <w:pPr>
              <w:pStyle w:val="naisf"/>
              <w:spacing w:before="120" w:after="0"/>
              <w:ind w:firstLine="0"/>
              <w:jc w:val="center"/>
            </w:pPr>
          </w:p>
          <w:p w:rsidR="00963B58" w:rsidRDefault="00963B58" w:rsidP="00EE0ED0">
            <w:pPr>
              <w:pStyle w:val="naisf"/>
              <w:spacing w:before="120" w:after="0"/>
              <w:ind w:firstLine="0"/>
              <w:jc w:val="center"/>
            </w:pPr>
          </w:p>
          <w:p w:rsidR="00963B58" w:rsidRDefault="00963B58" w:rsidP="00EE0ED0">
            <w:pPr>
              <w:pStyle w:val="naisf"/>
              <w:spacing w:before="120" w:after="0"/>
              <w:ind w:firstLine="0"/>
              <w:jc w:val="center"/>
            </w:pPr>
          </w:p>
          <w:p w:rsidR="00963B58" w:rsidRDefault="00963B58" w:rsidP="00EE0ED0">
            <w:pPr>
              <w:pStyle w:val="naisf"/>
              <w:spacing w:before="120" w:after="0"/>
              <w:ind w:firstLine="0"/>
              <w:jc w:val="center"/>
            </w:pPr>
          </w:p>
          <w:p w:rsidR="00963B58" w:rsidRDefault="00963B58" w:rsidP="00EE0ED0">
            <w:pPr>
              <w:pStyle w:val="naisf"/>
              <w:spacing w:before="120" w:after="0"/>
              <w:ind w:firstLine="0"/>
              <w:jc w:val="center"/>
            </w:pPr>
          </w:p>
          <w:p w:rsidR="00963B58" w:rsidRDefault="00963B58" w:rsidP="00EE0ED0">
            <w:pPr>
              <w:pStyle w:val="naisf"/>
              <w:spacing w:before="120" w:after="0"/>
              <w:ind w:firstLine="0"/>
              <w:jc w:val="center"/>
            </w:pPr>
          </w:p>
          <w:p w:rsidR="00F56BF9" w:rsidRDefault="00963B58" w:rsidP="00963B58">
            <w:pPr>
              <w:pStyle w:val="naisf"/>
              <w:spacing w:before="120" w:after="0"/>
              <w:ind w:firstLine="0"/>
            </w:pPr>
            <w:r>
              <w:t xml:space="preserve"> </w:t>
            </w:r>
            <w:r w:rsidR="00F56BF9">
              <w:t>2.</w:t>
            </w:r>
          </w:p>
        </w:tc>
        <w:tc>
          <w:tcPr>
            <w:tcW w:w="2526" w:type="dxa"/>
          </w:tcPr>
          <w:p w:rsidR="00A60832" w:rsidRDefault="00A60832" w:rsidP="00A60832">
            <w:pPr>
              <w:jc w:val="center"/>
            </w:pPr>
          </w:p>
          <w:p w:rsidR="00A60832" w:rsidRDefault="00A60832" w:rsidP="00A60832">
            <w:pPr>
              <w:jc w:val="center"/>
            </w:pPr>
          </w:p>
          <w:p w:rsidR="00A60832" w:rsidRDefault="00A60832" w:rsidP="00A60832">
            <w:pPr>
              <w:jc w:val="center"/>
            </w:pPr>
          </w:p>
          <w:p w:rsidR="00A60832" w:rsidRDefault="00A60832" w:rsidP="00A60832">
            <w:pPr>
              <w:jc w:val="center"/>
            </w:pPr>
          </w:p>
          <w:p w:rsidR="00A60832" w:rsidRDefault="00A60832" w:rsidP="00A60832">
            <w:pPr>
              <w:jc w:val="center"/>
            </w:pPr>
          </w:p>
          <w:p w:rsidR="00A60832" w:rsidRDefault="00A60832" w:rsidP="00A60832">
            <w:pPr>
              <w:jc w:val="center"/>
            </w:pPr>
          </w:p>
          <w:p w:rsidR="00A60832" w:rsidRDefault="00A60832" w:rsidP="00A60832">
            <w:pPr>
              <w:jc w:val="center"/>
            </w:pPr>
          </w:p>
          <w:p w:rsidR="00A60832" w:rsidRDefault="00A60832" w:rsidP="00A60832">
            <w:pPr>
              <w:jc w:val="center"/>
            </w:pPr>
          </w:p>
          <w:p w:rsidR="00A60832" w:rsidRDefault="00A60832" w:rsidP="00A60832">
            <w:pPr>
              <w:jc w:val="center"/>
            </w:pPr>
          </w:p>
          <w:p w:rsidR="00A60832" w:rsidRDefault="00A60832" w:rsidP="00A60832">
            <w:pPr>
              <w:jc w:val="center"/>
            </w:pPr>
          </w:p>
          <w:p w:rsidR="00A60832" w:rsidRDefault="00A60832" w:rsidP="00A60832">
            <w:pPr>
              <w:jc w:val="center"/>
            </w:pPr>
          </w:p>
          <w:p w:rsidR="007919D9" w:rsidRDefault="007919D9" w:rsidP="00A60832">
            <w:pPr>
              <w:jc w:val="center"/>
            </w:pPr>
            <w:r>
              <w:t>Papildināt pārejas noteikumus ar 50., 51. punktu šādā redakcijā:</w:t>
            </w:r>
          </w:p>
          <w:p w:rsidR="00A60832" w:rsidRDefault="00A60832" w:rsidP="00A60832">
            <w:pPr>
              <w:jc w:val="center"/>
            </w:pPr>
          </w:p>
          <w:p w:rsidR="00F56BF9" w:rsidRPr="00074F45" w:rsidRDefault="007919D9" w:rsidP="00A60832">
            <w:pPr>
              <w:ind w:firstLine="121"/>
              <w:jc w:val="both"/>
            </w:pPr>
            <w:r>
              <w:t>“50. Šā likuma grozījumi par 61. panta astotās daļas izslēgšanu stājas spēkā 2021.gada 1. martā.”</w:t>
            </w:r>
          </w:p>
        </w:tc>
        <w:tc>
          <w:tcPr>
            <w:tcW w:w="5670" w:type="dxa"/>
          </w:tcPr>
          <w:p w:rsidR="0062692C" w:rsidRPr="0062692C" w:rsidRDefault="0062692C" w:rsidP="0062692C">
            <w:pPr>
              <w:pStyle w:val="Bodytext21"/>
              <w:spacing w:before="0" w:after="0" w:line="240" w:lineRule="auto"/>
              <w:jc w:val="center"/>
              <w:rPr>
                <w:b/>
                <w:sz w:val="24"/>
                <w:szCs w:val="24"/>
              </w:rPr>
            </w:pPr>
            <w:r w:rsidRPr="0062692C">
              <w:rPr>
                <w:b/>
                <w:sz w:val="24"/>
                <w:szCs w:val="24"/>
              </w:rPr>
              <w:t>Tieslietu ministrija</w:t>
            </w:r>
          </w:p>
          <w:p w:rsidR="0062692C" w:rsidRDefault="0062692C" w:rsidP="0062692C">
            <w:pPr>
              <w:ind w:firstLine="720"/>
              <w:jc w:val="both"/>
            </w:pPr>
            <w:r>
              <w:t xml:space="preserve">Projekta 3. pantā ietvertais Imigrācijas likuma pārejas noteikumu 51. punkts paredz, ka </w:t>
            </w:r>
            <w:r w:rsidRPr="00961761">
              <w:t>Ģenerālprokuratūras</w:t>
            </w:r>
            <w:r>
              <w:t xml:space="preserve"> lēmumu, kas pieņemts pēc 2021. gada 1. marta,</w:t>
            </w:r>
            <w:r w:rsidRPr="00961761">
              <w:t xml:space="preserve"> viena mēneša laikā no tā paziņošanas dienas persona var pārsūdzēt Latvijas Republikas Augstākās tiesas Administratīvo lietu departamentā.</w:t>
            </w:r>
            <w:r>
              <w:t xml:space="preserve"> Anotācijā norādīts, ka </w:t>
            </w:r>
            <w:r w:rsidRPr="00A73FE1">
              <w:t xml:space="preserve">projekts paredz veikt grozījumus Imigrācijas likumā, nosakot, ka lēmuma </w:t>
            </w:r>
            <w:r>
              <w:t>par personas iekļaušanu to ārzemnieku sarakstā, kuriem ieceļošana Latvijas Republikā ir aizliegta,</w:t>
            </w:r>
            <w:r w:rsidRPr="00A73FE1">
              <w:t xml:space="preserve"> pārsūdzības izskatīšana pēc būtības būs piekritīga tiesai</w:t>
            </w:r>
            <w:r>
              <w:t xml:space="preserve">. Ņemot vērā minēto, secinām, ka projekta 3. pantā ietvertā Imigrācijas likuma pārejas noteikumu 51. punkta mērķis ir bijis noteikt pāreju no regulējuma, kas paredz, ka </w:t>
            </w:r>
            <w:proofErr w:type="spellStart"/>
            <w:r>
              <w:t>iekšlietu</w:t>
            </w:r>
            <w:proofErr w:type="spellEnd"/>
            <w:r>
              <w:t xml:space="preserve"> ministra lēmumus, kas pieņemti, pamatojoties uz </w:t>
            </w:r>
            <w:r w:rsidRPr="00632A9E">
              <w:t>valsts drošības iestādes izlūkošanas vai pretizlūkošanas darbību rezultātā iegūto informāciju</w:t>
            </w:r>
            <w:r>
              <w:t>, var pārsūdzēt ģenerālprokuroram, uz regulējumu, kas paredz, ka šos lēmumus var pārsūdzēt Latvijas Republikas Augstākās tiesas Administratīvo lietu departamentā. Nosakot pārejas regulējumu, jāņem vērā divas iespējamās situācijas. Pirmkārt, var būt situācijas, kad persona iesniegusi sūdzību ģenerālprokuroram saskaņā ar Imigrācijas likuma 61. panta astotajā daļā noteikto līdz 2021. gada 1. martam. Nepieciešams paredzēt, vai šādā gadījumā ģenerālprokurors sūdzību izskata, proti, vai visas sūdzības, kas iesniegtas ģenerālprokuroram līdz 2021. gada 1. martam, pabeidz izskatīt ģenerālprokurors. Vienlaikus, ņemot vērā to, ka Satversmes tiesa atzinusi, ka pārsūdzības ģenerālprokuroram procesā personai</w:t>
            </w:r>
            <w:r w:rsidRPr="004357A3">
              <w:t xml:space="preserve"> nav nodrošināta pieeja tādai institūcijai, kas būtu objektīva</w:t>
            </w:r>
            <w:r>
              <w:t xml:space="preserve">, nepieciešams izvērtēt iespēju noteikt gadījumus, kādos </w:t>
            </w:r>
            <w:r>
              <w:lastRenderedPageBreak/>
              <w:t>šādu sūdzību ģenerālprokurors varētu nosūtīt Latvijas Republikas Augstākās tiesas Administratīvo lietu departamentam, piemēram, ja ģenerālprokurors sūdzību vēl nav izskatījis pēc būtības.</w:t>
            </w:r>
          </w:p>
          <w:p w:rsidR="0062692C" w:rsidRDefault="0062692C" w:rsidP="0062692C">
            <w:pPr>
              <w:ind w:firstLine="720"/>
              <w:jc w:val="both"/>
            </w:pPr>
            <w:r>
              <w:t xml:space="preserve">Otrkārt, ir iespējamas situācijas, kad </w:t>
            </w:r>
            <w:proofErr w:type="spellStart"/>
            <w:r>
              <w:t>iekšlietu</w:t>
            </w:r>
            <w:proofErr w:type="spellEnd"/>
            <w:r>
              <w:t xml:space="preserve"> ministrs lēmumu, kurš saskaņā ar Imigrācijas likuma 61. panta astoto daļu jāpārsūdz ģenerālprokuroram, pieņēmis neilgi pirms 2021. gada 1. marta, piemēram, 2021. gada 20. februārī. Proti, šādā lēmumā būs norādīts, ka tas saskaņā ar Imigrācijas likuma 61. panta astoto daļu pārsūdzams ģenerālprokuroram. Ņemot vērā to, ka lēmumu var pārsūdzēt viena mēneša laikā, persona var iesniegt sūdzību gan pirms 2021. gada 1. marta, gan arī pēc 2021. gada 1. marta. Līdz ar to nepieciešams paredzēt šādu situāciju regulējumu, piemēram, nosakot, ka sūdzības, kas tiks iesniegtas pēc 2021. gada 1. marta, iesniedzamas Latvijas Republikas Augstākās tiesas Administratīvo lietu departamentā.</w:t>
            </w:r>
          </w:p>
          <w:p w:rsidR="0062692C" w:rsidRDefault="0062692C" w:rsidP="0062692C">
            <w:pPr>
              <w:ind w:firstLine="720"/>
              <w:jc w:val="both"/>
            </w:pPr>
            <w:r>
              <w:t>Vienlaikus vēršam uzmanību, ka nebūtu lietderīgi paredzēt, ka sūdzības, kuras izskatījis ģenerālprokurors un pieņēmis par tām lēmumu jau pēc 2021. gada 1. marta, var pārsūdzēt Latvijas Republikas Augstākās tiesas Administratīvo lietu departamentā.</w:t>
            </w:r>
          </w:p>
          <w:p w:rsidR="00F56BF9" w:rsidRPr="0062692C" w:rsidRDefault="0062692C" w:rsidP="0062692C">
            <w:pPr>
              <w:ind w:firstLine="720"/>
              <w:jc w:val="both"/>
            </w:pPr>
            <w:r>
              <w:t>Ņemot vērā visu minēto, lūdzam precizēt projekta 3. pantā ietverto Imigrācijas likuma pārejas noteikumu 51. punktu un attiecīgi precizēt anotācijā ietverto informāciju.</w:t>
            </w:r>
          </w:p>
        </w:tc>
        <w:tc>
          <w:tcPr>
            <w:tcW w:w="2977" w:type="dxa"/>
          </w:tcPr>
          <w:p w:rsidR="00A60832" w:rsidRDefault="00A60832" w:rsidP="00A11984">
            <w:pPr>
              <w:pStyle w:val="naisf"/>
              <w:spacing w:before="0" w:after="0"/>
              <w:ind w:firstLine="0"/>
              <w:jc w:val="center"/>
              <w:rPr>
                <w:b/>
              </w:rPr>
            </w:pPr>
          </w:p>
          <w:p w:rsidR="00165BAE" w:rsidRDefault="001972D7" w:rsidP="00A11984">
            <w:pPr>
              <w:pStyle w:val="naisf"/>
              <w:spacing w:before="0" w:after="0"/>
              <w:ind w:firstLine="0"/>
              <w:jc w:val="center"/>
              <w:rPr>
                <w:b/>
              </w:rPr>
            </w:pPr>
            <w:r w:rsidRPr="0021239F">
              <w:rPr>
                <w:b/>
              </w:rPr>
              <w:t>Iebildums ņemts vērā</w:t>
            </w:r>
          </w:p>
          <w:p w:rsidR="00A60832" w:rsidRDefault="00A60832" w:rsidP="00A11984">
            <w:pPr>
              <w:pStyle w:val="naisf"/>
              <w:spacing w:before="0" w:after="0"/>
              <w:ind w:firstLine="0"/>
              <w:jc w:val="center"/>
              <w:rPr>
                <w:b/>
              </w:rPr>
            </w:pPr>
          </w:p>
          <w:p w:rsidR="001972D7" w:rsidRPr="001972D7" w:rsidRDefault="001972D7" w:rsidP="001972D7">
            <w:pPr>
              <w:pStyle w:val="naisf"/>
              <w:spacing w:before="0" w:after="0"/>
              <w:ind w:firstLine="0"/>
            </w:pPr>
            <w:r w:rsidRPr="001972D7">
              <w:t xml:space="preserve">Projekta pārejas noteikums atkarībā no tā virzības tiks nepieciešamības gadījumā precizēts, proti, ja būs paredzama projekta </w:t>
            </w:r>
            <w:proofErr w:type="spellStart"/>
            <w:r w:rsidRPr="001972D7">
              <w:t>spēķā</w:t>
            </w:r>
            <w:proofErr w:type="spellEnd"/>
            <w:r w:rsidRPr="001972D7">
              <w:t xml:space="preserve"> stāšanās pirms 2021. gada 1.marta, projekta izskatīšanas ietvaros Latvijas Republikas Saeimas Komisijā pirms trešā lasījuma tiks iesniegts priekšlikums par attiecīgā datuma precizēšanu.</w:t>
            </w:r>
            <w:r>
              <w:t xml:space="preserve"> Tādējādi tiks nodrošināta to lietu pārsūdzība</w:t>
            </w:r>
            <w:r w:rsidR="00A60832">
              <w:t xml:space="preserve"> tiesā</w:t>
            </w:r>
            <w:r>
              <w:t>, kuras atradīsies ģenerālprokurora lietvedībā</w:t>
            </w:r>
            <w:r w:rsidR="00A60832">
              <w:t xml:space="preserve"> un par kurām tiks pieņemts minētais lēmums</w:t>
            </w:r>
            <w:r>
              <w:t xml:space="preserve"> attiecīgajā pārejas periodā.</w:t>
            </w:r>
          </w:p>
        </w:tc>
        <w:tc>
          <w:tcPr>
            <w:tcW w:w="2747" w:type="dxa"/>
          </w:tcPr>
          <w:p w:rsidR="00654767" w:rsidRDefault="00654767" w:rsidP="00963B58">
            <w:pPr>
              <w:spacing w:before="120"/>
              <w:jc w:val="center"/>
            </w:pPr>
            <w:r>
              <w:t>Papildināt pārejas noteikumus ar 50.</w:t>
            </w:r>
            <w:r w:rsidR="00AC5C71">
              <w:t xml:space="preserve"> </w:t>
            </w:r>
            <w:r w:rsidR="001972D7">
              <w:t>punktu</w:t>
            </w:r>
            <w:r>
              <w:t xml:space="preserve"> šādā redakcijā:</w:t>
            </w:r>
          </w:p>
          <w:p w:rsidR="00654767" w:rsidRDefault="00527BD4" w:rsidP="00AC5C71">
            <w:pPr>
              <w:spacing w:before="120"/>
              <w:ind w:firstLine="121"/>
              <w:jc w:val="both"/>
            </w:pPr>
            <w:r>
              <w:t>“50</w:t>
            </w:r>
            <w:r w:rsidR="00654767">
              <w:t>.</w:t>
            </w:r>
            <w:r w:rsidR="001972D7">
              <w:t xml:space="preserve"> Ģenerālprokurors pēc 2021. gada 1. marta pabeidz izskatīt tā lietvedībā esošās lietas</w:t>
            </w:r>
            <w:r w:rsidR="00A12F1B">
              <w:t xml:space="preserve"> par pārsūdzētajiem </w:t>
            </w:r>
            <w:proofErr w:type="spellStart"/>
            <w:r w:rsidR="00A12F1B">
              <w:t>iekšlietu</w:t>
            </w:r>
            <w:proofErr w:type="spellEnd"/>
            <w:r w:rsidR="00A12F1B">
              <w:t xml:space="preserve"> ministra lēmumiem </w:t>
            </w:r>
            <w:r w:rsidR="00C25DC1">
              <w:t>par ārzemnieka</w:t>
            </w:r>
            <w:r w:rsidR="00A12F1B">
              <w:t xml:space="preserve"> iekļaušanu to personu sarakstā, kam ieceļošana Latvijas Republikā ir aizliegta.</w:t>
            </w:r>
            <w:r w:rsidR="00AC5C71">
              <w:t xml:space="preserve"> Ģenerālprokurora lēmumu </w:t>
            </w:r>
            <w:r w:rsidR="00654767" w:rsidRPr="00654767">
              <w:t>viena mēneša laikā no tā paziņošanas dienas persona var pārsūdzēt Latvijas Republikas Augstākās tiesas Administratīvo lietu departamentā.”.</w:t>
            </w:r>
          </w:p>
          <w:p w:rsidR="00F56BF9" w:rsidRPr="00074F45" w:rsidRDefault="00F56BF9" w:rsidP="00EE0ED0">
            <w:pPr>
              <w:spacing w:before="120"/>
              <w:ind w:firstLine="159"/>
              <w:jc w:val="both"/>
            </w:pPr>
          </w:p>
        </w:tc>
      </w:tr>
      <w:tr w:rsidR="00F56BF9" w:rsidRPr="00074F45" w:rsidTr="00AE3EB1">
        <w:trPr>
          <w:trHeight w:val="664"/>
        </w:trPr>
        <w:tc>
          <w:tcPr>
            <w:tcW w:w="588" w:type="dxa"/>
          </w:tcPr>
          <w:p w:rsidR="00963B58" w:rsidRDefault="00963B58" w:rsidP="00EE0ED0">
            <w:pPr>
              <w:pStyle w:val="naisf"/>
              <w:spacing w:before="120" w:after="0"/>
              <w:ind w:firstLine="0"/>
              <w:jc w:val="center"/>
            </w:pPr>
          </w:p>
          <w:p w:rsidR="00F56BF9" w:rsidRPr="00074F45" w:rsidRDefault="00F56BF9" w:rsidP="00963B58">
            <w:pPr>
              <w:pStyle w:val="naisf"/>
              <w:spacing w:before="120" w:after="0"/>
              <w:ind w:firstLine="0"/>
              <w:jc w:val="center"/>
            </w:pPr>
            <w:r>
              <w:t>3.</w:t>
            </w:r>
          </w:p>
        </w:tc>
        <w:tc>
          <w:tcPr>
            <w:tcW w:w="2526" w:type="dxa"/>
          </w:tcPr>
          <w:p w:rsidR="00F56BF9" w:rsidRDefault="001753B5" w:rsidP="00060C60">
            <w:pPr>
              <w:ind w:firstLine="121"/>
              <w:jc w:val="center"/>
            </w:pPr>
            <w:r>
              <w:t>Projekta spēkā stāšanās</w:t>
            </w:r>
            <w:r w:rsidR="00060C60">
              <w:t xml:space="preserve"> nosacījums:</w:t>
            </w:r>
          </w:p>
          <w:p w:rsidR="001753B5" w:rsidRDefault="001753B5" w:rsidP="00060C60">
            <w:pPr>
              <w:pStyle w:val="NormalWeb"/>
              <w:shd w:val="clear" w:color="auto" w:fill="FFFFFF"/>
              <w:spacing w:before="0" w:beforeAutospacing="0" w:after="0" w:afterAutospacing="0"/>
              <w:jc w:val="both"/>
            </w:pPr>
            <w:r>
              <w:t>“</w:t>
            </w:r>
            <w:r w:rsidRPr="001753B5">
              <w:t>Likums stājas spēkā 2021. gada 1. martā”</w:t>
            </w:r>
          </w:p>
          <w:p w:rsidR="001753B5" w:rsidRPr="001753B5" w:rsidRDefault="001753B5" w:rsidP="001753B5">
            <w:pPr>
              <w:pStyle w:val="NormalWeb"/>
              <w:shd w:val="clear" w:color="auto" w:fill="FFFFFF"/>
              <w:spacing w:line="293" w:lineRule="atLeast"/>
              <w:jc w:val="center"/>
            </w:pPr>
            <w:r>
              <w:lastRenderedPageBreak/>
              <w:t>Projekta sākotnējās ietekmes novērtējuma ziņojums (anotācija)</w:t>
            </w:r>
          </w:p>
          <w:p w:rsidR="001753B5" w:rsidRPr="00074F45" w:rsidRDefault="001753B5" w:rsidP="00EE0ED0">
            <w:pPr>
              <w:spacing w:before="120"/>
              <w:ind w:firstLine="121"/>
              <w:jc w:val="both"/>
            </w:pPr>
          </w:p>
        </w:tc>
        <w:tc>
          <w:tcPr>
            <w:tcW w:w="5670" w:type="dxa"/>
          </w:tcPr>
          <w:p w:rsidR="00F56BF9" w:rsidRDefault="0062692C" w:rsidP="0062692C">
            <w:pPr>
              <w:pStyle w:val="Bodytext21"/>
              <w:shd w:val="clear" w:color="auto" w:fill="auto"/>
              <w:spacing w:before="0" w:after="0" w:line="281" w:lineRule="exact"/>
              <w:jc w:val="center"/>
              <w:rPr>
                <w:b/>
                <w:sz w:val="24"/>
                <w:szCs w:val="24"/>
              </w:rPr>
            </w:pPr>
            <w:r w:rsidRPr="0062692C">
              <w:rPr>
                <w:b/>
                <w:sz w:val="24"/>
                <w:szCs w:val="24"/>
              </w:rPr>
              <w:lastRenderedPageBreak/>
              <w:t>Tieslietu ministrija</w:t>
            </w:r>
          </w:p>
          <w:p w:rsidR="0062692C" w:rsidRPr="0062692C" w:rsidRDefault="0062692C" w:rsidP="0062692C">
            <w:pPr>
              <w:ind w:firstLine="720"/>
              <w:jc w:val="both"/>
            </w:pPr>
            <w:r>
              <w:t xml:space="preserve">Projektā ietvertajā spēkā stāšanās noteikumā paredzēts, ka tas stāsies spēkā 2021. gada 1. martā. Vienlaikus anotācijas kopsavilkumā norādīts, ka projekts stāsies spēkā vispārīgajā kārtībā, savukārt regulējumam par Imigrācijas likuma 61. panta izslēgšanu paredzēta </w:t>
            </w:r>
            <w:r>
              <w:lastRenderedPageBreak/>
              <w:t>noteikta spēkā stāšanās. Projekta 3. pantā ietvertajā Imigrācijas likuma pārejas noteikumu 50. punktā noteikts, ka projekta 1. pantā ietvertais regulējums stāsies spēkā 2021. gada 1. martā. Ņemot vērā to, ka projekta 1. pantā noteiktajam ir noteikta īpaša spēkā stāšanās ar projekta 3. pantā ietverto regulējumu un projekta 2. pantā ietvertais regulējums var stāties spēkā vispārīgajā kārtībā, lūdzam izvērtēt nepieciešamību projektā ietvert spēkā stāšanās noteikumu, kā arī precizēt anotācijas kopsavilkumā ietverto informāciju.</w:t>
            </w:r>
          </w:p>
        </w:tc>
        <w:tc>
          <w:tcPr>
            <w:tcW w:w="2977" w:type="dxa"/>
          </w:tcPr>
          <w:p w:rsidR="00963B58" w:rsidRDefault="00963B58" w:rsidP="00F03764">
            <w:pPr>
              <w:pStyle w:val="naisf"/>
              <w:spacing w:before="0" w:after="0"/>
              <w:ind w:firstLine="0"/>
              <w:jc w:val="center"/>
              <w:rPr>
                <w:b/>
              </w:rPr>
            </w:pPr>
          </w:p>
          <w:p w:rsidR="00963B58" w:rsidRDefault="00963B58" w:rsidP="00F03764">
            <w:pPr>
              <w:pStyle w:val="naisf"/>
              <w:spacing w:before="0" w:after="0"/>
              <w:ind w:firstLine="0"/>
              <w:jc w:val="center"/>
              <w:rPr>
                <w:b/>
              </w:rPr>
            </w:pPr>
          </w:p>
          <w:p w:rsidR="005D322C" w:rsidRDefault="00F03764" w:rsidP="00963B58">
            <w:pPr>
              <w:pStyle w:val="naisf"/>
              <w:spacing w:before="0" w:after="0"/>
              <w:ind w:firstLine="0"/>
              <w:jc w:val="center"/>
              <w:rPr>
                <w:b/>
              </w:rPr>
            </w:pPr>
            <w:r w:rsidRPr="0021239F">
              <w:rPr>
                <w:b/>
              </w:rPr>
              <w:t>Iebildums ņemts vērā</w:t>
            </w:r>
          </w:p>
          <w:p w:rsidR="00060C60" w:rsidRDefault="00060C60" w:rsidP="00963B58">
            <w:pPr>
              <w:pStyle w:val="naisf"/>
              <w:spacing w:before="0" w:after="0"/>
              <w:ind w:firstLine="0"/>
              <w:jc w:val="center"/>
              <w:rPr>
                <w:b/>
              </w:rPr>
            </w:pPr>
          </w:p>
          <w:p w:rsidR="001753B5" w:rsidRPr="00232371" w:rsidRDefault="001753B5" w:rsidP="00A60832">
            <w:pPr>
              <w:pStyle w:val="naisf"/>
              <w:spacing w:before="0" w:after="0"/>
              <w:ind w:firstLine="0"/>
              <w:jc w:val="center"/>
            </w:pPr>
          </w:p>
        </w:tc>
        <w:tc>
          <w:tcPr>
            <w:tcW w:w="2747" w:type="dxa"/>
          </w:tcPr>
          <w:p w:rsidR="00F0012B" w:rsidRDefault="00A60832" w:rsidP="00A60832">
            <w:pPr>
              <w:ind w:firstLine="323"/>
              <w:jc w:val="center"/>
            </w:pPr>
            <w:r>
              <w:t>Projekts</w:t>
            </w:r>
          </w:p>
          <w:p w:rsidR="00A60832" w:rsidRDefault="00A60832" w:rsidP="00A60832">
            <w:pPr>
              <w:ind w:firstLine="323"/>
              <w:jc w:val="center"/>
            </w:pPr>
          </w:p>
          <w:p w:rsidR="00A60832" w:rsidRPr="00F0012B" w:rsidRDefault="00A60832" w:rsidP="00A60832">
            <w:pPr>
              <w:ind w:firstLine="323"/>
              <w:jc w:val="center"/>
            </w:pPr>
            <w:r>
              <w:t>Projekta sākotnējās ietekmes novērtējuma ziņojums (anotācija)</w:t>
            </w:r>
          </w:p>
        </w:tc>
      </w:tr>
      <w:tr w:rsidR="008B0D03" w:rsidRPr="00074F45" w:rsidTr="00AE3EB1">
        <w:trPr>
          <w:trHeight w:val="664"/>
        </w:trPr>
        <w:tc>
          <w:tcPr>
            <w:tcW w:w="588" w:type="dxa"/>
          </w:tcPr>
          <w:p w:rsidR="00963B58" w:rsidRDefault="00963B58" w:rsidP="008B0D03">
            <w:pPr>
              <w:pStyle w:val="naisf"/>
              <w:spacing w:before="120" w:after="0"/>
              <w:ind w:firstLine="0"/>
              <w:jc w:val="center"/>
            </w:pPr>
          </w:p>
          <w:p w:rsidR="00963B58" w:rsidRDefault="00963B58" w:rsidP="008B0D03">
            <w:pPr>
              <w:pStyle w:val="naisf"/>
              <w:spacing w:before="120" w:after="0"/>
              <w:ind w:firstLine="0"/>
              <w:jc w:val="center"/>
            </w:pPr>
          </w:p>
          <w:p w:rsidR="00963B58" w:rsidRDefault="00963B58" w:rsidP="008B0D03">
            <w:pPr>
              <w:pStyle w:val="naisf"/>
              <w:spacing w:before="120" w:after="0"/>
              <w:ind w:firstLine="0"/>
              <w:jc w:val="center"/>
            </w:pPr>
          </w:p>
          <w:p w:rsidR="00963B58" w:rsidRDefault="00963B58" w:rsidP="008B0D03">
            <w:pPr>
              <w:pStyle w:val="naisf"/>
              <w:spacing w:before="120" w:after="0"/>
              <w:ind w:firstLine="0"/>
              <w:jc w:val="center"/>
            </w:pPr>
          </w:p>
          <w:p w:rsidR="00963B58" w:rsidRDefault="00963B58" w:rsidP="008B0D03">
            <w:pPr>
              <w:pStyle w:val="naisf"/>
              <w:spacing w:before="120" w:after="0"/>
              <w:ind w:firstLine="0"/>
              <w:jc w:val="center"/>
            </w:pPr>
          </w:p>
          <w:p w:rsidR="00963B58" w:rsidRDefault="00963B58" w:rsidP="008B0D03">
            <w:pPr>
              <w:pStyle w:val="naisf"/>
              <w:spacing w:before="120" w:after="0"/>
              <w:ind w:firstLine="0"/>
              <w:jc w:val="center"/>
            </w:pPr>
          </w:p>
          <w:p w:rsidR="008B0D03" w:rsidRPr="00074F45" w:rsidRDefault="008B0D03" w:rsidP="008B0D03">
            <w:pPr>
              <w:pStyle w:val="naisf"/>
              <w:spacing w:before="120" w:after="0"/>
              <w:ind w:firstLine="0"/>
              <w:jc w:val="center"/>
            </w:pPr>
            <w:r>
              <w:t>4.</w:t>
            </w:r>
          </w:p>
        </w:tc>
        <w:tc>
          <w:tcPr>
            <w:tcW w:w="2526" w:type="dxa"/>
          </w:tcPr>
          <w:p w:rsidR="00963B58" w:rsidRDefault="00963B58" w:rsidP="001753B5">
            <w:pPr>
              <w:pStyle w:val="NormalWeb"/>
              <w:shd w:val="clear" w:color="auto" w:fill="FFFFFF"/>
              <w:spacing w:line="293" w:lineRule="atLeast"/>
              <w:jc w:val="center"/>
            </w:pPr>
          </w:p>
          <w:p w:rsidR="00963B58" w:rsidRDefault="00963B58" w:rsidP="001753B5">
            <w:pPr>
              <w:pStyle w:val="NormalWeb"/>
              <w:shd w:val="clear" w:color="auto" w:fill="FFFFFF"/>
              <w:spacing w:line="293" w:lineRule="atLeast"/>
              <w:jc w:val="center"/>
            </w:pPr>
          </w:p>
          <w:p w:rsidR="00963B58" w:rsidRDefault="00963B58" w:rsidP="001753B5">
            <w:pPr>
              <w:pStyle w:val="NormalWeb"/>
              <w:shd w:val="clear" w:color="auto" w:fill="FFFFFF"/>
              <w:spacing w:line="293" w:lineRule="atLeast"/>
              <w:jc w:val="center"/>
            </w:pPr>
          </w:p>
          <w:p w:rsidR="00963B58" w:rsidRDefault="00963B58" w:rsidP="001753B5">
            <w:pPr>
              <w:pStyle w:val="NormalWeb"/>
              <w:shd w:val="clear" w:color="auto" w:fill="FFFFFF"/>
              <w:spacing w:line="293" w:lineRule="atLeast"/>
              <w:jc w:val="center"/>
            </w:pPr>
          </w:p>
          <w:p w:rsidR="001753B5" w:rsidRPr="001753B5" w:rsidRDefault="001753B5" w:rsidP="001753B5">
            <w:pPr>
              <w:pStyle w:val="NormalWeb"/>
              <w:shd w:val="clear" w:color="auto" w:fill="FFFFFF"/>
              <w:spacing w:line="293" w:lineRule="atLeast"/>
              <w:jc w:val="center"/>
            </w:pPr>
            <w:r>
              <w:t>Projekta sākotnējās ietekmes novērtējuma ziņojums (anotācija)</w:t>
            </w:r>
          </w:p>
          <w:p w:rsidR="008B0D03" w:rsidRPr="00074F45" w:rsidRDefault="008B0D03" w:rsidP="008B0D03">
            <w:pPr>
              <w:spacing w:before="120"/>
              <w:ind w:firstLine="121"/>
              <w:jc w:val="both"/>
            </w:pPr>
          </w:p>
        </w:tc>
        <w:tc>
          <w:tcPr>
            <w:tcW w:w="5670" w:type="dxa"/>
          </w:tcPr>
          <w:p w:rsidR="0062692C" w:rsidRDefault="0062692C" w:rsidP="0062692C">
            <w:pPr>
              <w:pStyle w:val="Bodytext21"/>
              <w:shd w:val="clear" w:color="auto" w:fill="auto"/>
              <w:spacing w:before="0" w:after="0" w:line="281" w:lineRule="exact"/>
              <w:jc w:val="center"/>
              <w:rPr>
                <w:b/>
                <w:sz w:val="24"/>
                <w:szCs w:val="24"/>
              </w:rPr>
            </w:pPr>
            <w:r w:rsidRPr="0062692C">
              <w:rPr>
                <w:b/>
                <w:sz w:val="24"/>
                <w:szCs w:val="24"/>
              </w:rPr>
              <w:t>Tieslietu ministrija</w:t>
            </w:r>
          </w:p>
          <w:p w:rsidR="008B0D03" w:rsidRPr="0062692C" w:rsidRDefault="0062692C" w:rsidP="0062692C">
            <w:pPr>
              <w:ind w:firstLine="720"/>
              <w:jc w:val="both"/>
            </w:pPr>
            <w:r>
              <w:t>Satversmes tiesas 2020. gada 25. septembra sprieduma lietā Nr. </w:t>
            </w:r>
            <w:r w:rsidRPr="005548F3">
              <w:t>2019-35-01</w:t>
            </w:r>
            <w:r>
              <w:t xml:space="preserve"> 17.1. apakšpunktā minēts, ka "i</w:t>
            </w:r>
            <w:r w:rsidRPr="00A73FE1">
              <w:t>zskatāmajā lietā jāņem vērā tas, ka apstrīdētā norma skar valsts drošības iestādes izlūkošanas vai pretizlūkošanas darbību rezultātā iegūto informāciju. Ievērojot nepieciešamību nodrošināt šādas informācijas aizsa</w:t>
            </w:r>
            <w:r>
              <w:t>rdzību, Imigrācijas likuma VIII</w:t>
            </w:r>
            <w:r>
              <w:rPr>
                <w:vertAlign w:val="superscript"/>
              </w:rPr>
              <w:t>1</w:t>
            </w:r>
            <w:r>
              <w:t> </w:t>
            </w:r>
            <w:r w:rsidRPr="00A73FE1">
              <w:t xml:space="preserve">nodaļā noteiktā kārtība, kādā izskatāmi tie </w:t>
            </w:r>
            <w:proofErr w:type="spellStart"/>
            <w:r w:rsidRPr="00A73FE1">
              <w:t>iekšlietu</w:t>
            </w:r>
            <w:proofErr w:type="spellEnd"/>
            <w:r w:rsidRPr="00A73FE1">
              <w:t xml:space="preserve"> ministra lēmumi, kas nav pieņemti, pamatojoties uz valsts drošības iestādes izlūkošanas vai pretizlūkošanas darbību rezultātā iegūto informāciju, nevar tikt pilnībā attiecināta uz apstrīdētajā normā noteikto lēmumu pārsūdzības procesu. Šādā gadījumā ir nepieciešams un pieļaujams tas, ka Satversmei neatbilstošā norma vēl kādu laiku paliek spēkā, lai dotu likumdevējam iespēju pieņemt jaunu tiesisko regulējumu </w:t>
            </w:r>
            <w:r>
              <w:t>–</w:t>
            </w:r>
            <w:r w:rsidRPr="00A73FE1">
              <w:t xml:space="preserve"> izdarīt attiecīgus grozījumus Imigrācijas likumā un, ja nepieciešams, arī citos normatīvajos aktos. Ievērojot to, ka likumdevējam jaunā tiesiskā regulējuma pieņemšanai nepieciešams saprātīgs laika posms, apstrīdētā norma atzīs</w:t>
            </w:r>
            <w:r>
              <w:t>tama par spēkā neesošu no 2021. gada 1. </w:t>
            </w:r>
            <w:r w:rsidRPr="00A73FE1">
              <w:t>marta.</w:t>
            </w:r>
            <w:r>
              <w:t xml:space="preserve">" Anotācijā nav vērtēta minētā Satversmes tiesas atziņa, un projektā nav ietverts </w:t>
            </w:r>
            <w:r>
              <w:lastRenderedPageBreak/>
              <w:t xml:space="preserve">regulējums, kas paredzētu īpašu kārtību, </w:t>
            </w:r>
            <w:r w:rsidRPr="00A73FE1">
              <w:t xml:space="preserve">kādā izskatāmi tie </w:t>
            </w:r>
            <w:proofErr w:type="spellStart"/>
            <w:r w:rsidRPr="00A73FE1">
              <w:t>ie</w:t>
            </w:r>
            <w:r>
              <w:t>kšlietu</w:t>
            </w:r>
            <w:proofErr w:type="spellEnd"/>
            <w:r>
              <w:t xml:space="preserve"> ministra lēmumi, kas ir</w:t>
            </w:r>
            <w:r w:rsidRPr="00A73FE1">
              <w:t xml:space="preserve"> pieņemti, pamatojoties uz valsts drošības iestādes izlūkošanas vai pretizlūkošanas darbību rezultātā iegūto informāciju</w:t>
            </w:r>
            <w:r>
              <w:t xml:space="preserve">. Līdz ar to nav secināms, vai </w:t>
            </w:r>
            <w:proofErr w:type="spellStart"/>
            <w:r>
              <w:t>Iekšlietu</w:t>
            </w:r>
            <w:proofErr w:type="spellEnd"/>
            <w:r>
              <w:t xml:space="preserve"> ministrija ir veikusi </w:t>
            </w:r>
            <w:proofErr w:type="spellStart"/>
            <w:r>
              <w:t>izvērtējumu</w:t>
            </w:r>
            <w:proofErr w:type="spellEnd"/>
            <w:r>
              <w:t xml:space="preserve"> par to, ka attiecībā uz tiem </w:t>
            </w:r>
            <w:proofErr w:type="spellStart"/>
            <w:r>
              <w:t>iekšlietu</w:t>
            </w:r>
            <w:proofErr w:type="spellEnd"/>
            <w:r>
              <w:t xml:space="preserve"> ministra lēmumiem, kas pieņemti, </w:t>
            </w:r>
            <w:r w:rsidRPr="006C0858">
              <w:t>pamatojoties uz valsts drošības iestādes izlūkošanas vai pretizlūkošanas darbību rezultātā iegūto informāciju</w:t>
            </w:r>
            <w:r>
              <w:t>, būtu piemērojama Imigrācijas likuma VIII</w:t>
            </w:r>
            <w:r>
              <w:rPr>
                <w:vertAlign w:val="superscript"/>
              </w:rPr>
              <w:t>1</w:t>
            </w:r>
            <w:r>
              <w:t xml:space="preserve"> nodaļā noteiktā vispārīgā </w:t>
            </w:r>
            <w:proofErr w:type="spellStart"/>
            <w:r>
              <w:t>iekšlietu</w:t>
            </w:r>
            <w:proofErr w:type="spellEnd"/>
            <w:r>
              <w:t xml:space="preserve"> ministra lēmumu pārsūdzēšanas kārtība. Ņemot vērā minēto, lūdzam attiecīgu </w:t>
            </w:r>
            <w:proofErr w:type="spellStart"/>
            <w:r>
              <w:t>izvērtējumu</w:t>
            </w:r>
            <w:proofErr w:type="spellEnd"/>
            <w:r>
              <w:t xml:space="preserve"> ietvert anotācijā un nepieciešamības gadījumā precizēt projektu.</w:t>
            </w:r>
          </w:p>
        </w:tc>
        <w:tc>
          <w:tcPr>
            <w:tcW w:w="2977" w:type="dxa"/>
          </w:tcPr>
          <w:p w:rsidR="00963B58" w:rsidRDefault="00963B58" w:rsidP="00C51A75">
            <w:pPr>
              <w:pStyle w:val="naisf"/>
              <w:spacing w:before="0" w:after="0"/>
              <w:ind w:firstLine="0"/>
              <w:jc w:val="center"/>
              <w:rPr>
                <w:b/>
              </w:rPr>
            </w:pPr>
          </w:p>
          <w:p w:rsidR="00963B58" w:rsidRDefault="00963B58" w:rsidP="00C51A75">
            <w:pPr>
              <w:pStyle w:val="naisf"/>
              <w:spacing w:before="0" w:after="0"/>
              <w:ind w:firstLine="0"/>
              <w:jc w:val="center"/>
              <w:rPr>
                <w:b/>
              </w:rPr>
            </w:pPr>
          </w:p>
          <w:p w:rsidR="00963B58" w:rsidRDefault="00963B58" w:rsidP="00C51A75">
            <w:pPr>
              <w:pStyle w:val="naisf"/>
              <w:spacing w:before="0" w:after="0"/>
              <w:ind w:firstLine="0"/>
              <w:jc w:val="center"/>
              <w:rPr>
                <w:b/>
              </w:rPr>
            </w:pPr>
          </w:p>
          <w:p w:rsidR="00963B58" w:rsidRDefault="00963B58" w:rsidP="00C51A75">
            <w:pPr>
              <w:pStyle w:val="naisf"/>
              <w:spacing w:before="0" w:after="0"/>
              <w:ind w:firstLine="0"/>
              <w:jc w:val="center"/>
              <w:rPr>
                <w:b/>
              </w:rPr>
            </w:pPr>
          </w:p>
          <w:p w:rsidR="00963B58" w:rsidRDefault="00963B58" w:rsidP="00C51A75">
            <w:pPr>
              <w:pStyle w:val="naisf"/>
              <w:spacing w:before="0" w:after="0"/>
              <w:ind w:firstLine="0"/>
              <w:jc w:val="center"/>
              <w:rPr>
                <w:b/>
              </w:rPr>
            </w:pPr>
          </w:p>
          <w:p w:rsidR="00963B58" w:rsidRDefault="00963B58" w:rsidP="00C51A75">
            <w:pPr>
              <w:pStyle w:val="naisf"/>
              <w:spacing w:before="0" w:after="0"/>
              <w:ind w:firstLine="0"/>
              <w:jc w:val="center"/>
              <w:rPr>
                <w:b/>
              </w:rPr>
            </w:pPr>
          </w:p>
          <w:p w:rsidR="00963B58" w:rsidRDefault="00963B58" w:rsidP="00C51A75">
            <w:pPr>
              <w:pStyle w:val="naisf"/>
              <w:spacing w:before="0" w:after="0"/>
              <w:ind w:firstLine="0"/>
              <w:jc w:val="center"/>
              <w:rPr>
                <w:b/>
              </w:rPr>
            </w:pPr>
          </w:p>
          <w:p w:rsidR="00963B58" w:rsidRDefault="00963B58" w:rsidP="00C51A75">
            <w:pPr>
              <w:pStyle w:val="naisf"/>
              <w:spacing w:before="0" w:after="0"/>
              <w:ind w:firstLine="0"/>
              <w:jc w:val="center"/>
              <w:rPr>
                <w:b/>
              </w:rPr>
            </w:pPr>
          </w:p>
          <w:p w:rsidR="00963B58" w:rsidRDefault="00963B58" w:rsidP="00C51A75">
            <w:pPr>
              <w:pStyle w:val="naisf"/>
              <w:spacing w:before="0" w:after="0"/>
              <w:ind w:firstLine="0"/>
              <w:jc w:val="center"/>
              <w:rPr>
                <w:b/>
              </w:rPr>
            </w:pPr>
          </w:p>
          <w:p w:rsidR="008B0D03" w:rsidRPr="00232371" w:rsidRDefault="00C51A75" w:rsidP="00C51A75">
            <w:pPr>
              <w:pStyle w:val="naisf"/>
              <w:spacing w:before="0" w:after="0"/>
              <w:ind w:firstLine="0"/>
              <w:jc w:val="center"/>
            </w:pPr>
            <w:r w:rsidRPr="0021239F">
              <w:rPr>
                <w:b/>
              </w:rPr>
              <w:t>Iebildums ņemts vērā</w:t>
            </w:r>
          </w:p>
        </w:tc>
        <w:tc>
          <w:tcPr>
            <w:tcW w:w="2747" w:type="dxa"/>
          </w:tcPr>
          <w:p w:rsidR="00F0012B" w:rsidRPr="001753B5" w:rsidRDefault="00F0012B" w:rsidP="00F0012B">
            <w:pPr>
              <w:pStyle w:val="NormalWeb"/>
              <w:shd w:val="clear" w:color="auto" w:fill="FFFFFF"/>
              <w:spacing w:line="293" w:lineRule="atLeast"/>
              <w:jc w:val="center"/>
            </w:pPr>
            <w:r>
              <w:t xml:space="preserve">Projekta sākotnējās ietekmes novērtējuma ziņojuma (anotācijas) </w:t>
            </w:r>
            <w:proofErr w:type="spellStart"/>
            <w:r>
              <w:t>I.sadaļas</w:t>
            </w:r>
            <w:proofErr w:type="spellEnd"/>
            <w:r>
              <w:t xml:space="preserve"> 2. punkts:</w:t>
            </w:r>
          </w:p>
          <w:p w:rsidR="00EA2B1B" w:rsidRPr="007B4C56" w:rsidRDefault="00EA2B1B" w:rsidP="00EA2B1B">
            <w:pPr>
              <w:ind w:firstLine="289"/>
              <w:jc w:val="both"/>
            </w:pPr>
            <w:r w:rsidRPr="007B4C56">
              <w:t xml:space="preserve">“Vienlaikus vēršama uzmanība, ka jaunā Imigrācijas likuma </w:t>
            </w:r>
            <w:r w:rsidR="00300CEE" w:rsidRPr="007B4C56">
              <w:t>(izsludināts Valsts sekretāru sanāksmē 2020.gada 2.jūlijā - VSS-545</w:t>
            </w:r>
            <w:r w:rsidRPr="007B4C56">
              <w:t xml:space="preserve">) 94.panta pirmās daļas 1.punkts nosaka, ka ārzemnieku iekļauj sarakstā, ja kompetentām valsts iestādēm ir pamats uzskatīt, ka ārzemnieks rada draudus valsts drošībai vai sabiedriskajai kārtībai vai drošībai. Minētā norma neparedz sniegtas informācijas detalizētāku klasifikāciju, </w:t>
            </w:r>
            <w:r w:rsidRPr="007B4C56">
              <w:lastRenderedPageBreak/>
              <w:t xml:space="preserve">kas bija par pamatu valsts drošības iestāžu lēmuma pieņemšanai. </w:t>
            </w:r>
          </w:p>
          <w:p w:rsidR="00EA2B1B" w:rsidRDefault="00EA2B1B" w:rsidP="00EA2B1B">
            <w:pPr>
              <w:ind w:firstLine="289"/>
              <w:jc w:val="both"/>
            </w:pPr>
            <w:r w:rsidRPr="007B4C56">
              <w:t xml:space="preserve">Ņemot vērā minēto, ar projekta spēkā stāšanos arī tiem </w:t>
            </w:r>
            <w:proofErr w:type="spellStart"/>
            <w:r w:rsidRPr="007B4C56">
              <w:t>iekšlietu</w:t>
            </w:r>
            <w:proofErr w:type="spellEnd"/>
            <w:r w:rsidRPr="007B4C56">
              <w:t xml:space="preserve"> ministra lēmumiem, kas ir pieņemti, pamatojoties uz valsts drošības iestādes izlūkošanas vai pretizlūkošanas darbību rezultātā iegūto informāciju, būs piemērojama Imigrācijas likuma VIII</w:t>
            </w:r>
            <w:r w:rsidRPr="007B4C56">
              <w:rPr>
                <w:vertAlign w:val="superscript"/>
              </w:rPr>
              <w:t>1</w:t>
            </w:r>
            <w:r w:rsidRPr="007B4C56">
              <w:t xml:space="preserve"> nodaļā noteiktā vispārīgā </w:t>
            </w:r>
            <w:proofErr w:type="spellStart"/>
            <w:r w:rsidRPr="007B4C56">
              <w:t>iekšlietu</w:t>
            </w:r>
            <w:proofErr w:type="spellEnd"/>
            <w:r w:rsidRPr="007B4C56">
              <w:t xml:space="preserve"> ministra lēmumu pārsūdzēšanas kārtība.”</w:t>
            </w:r>
          </w:p>
          <w:p w:rsidR="00EA2B1B" w:rsidRPr="00074F45" w:rsidRDefault="00EA2B1B" w:rsidP="00C51A75">
            <w:pPr>
              <w:ind w:firstLine="720"/>
              <w:jc w:val="both"/>
            </w:pPr>
          </w:p>
        </w:tc>
      </w:tr>
      <w:tr w:rsidR="008B0D03" w:rsidRPr="00074F45" w:rsidTr="00AE3EB1">
        <w:trPr>
          <w:trHeight w:val="664"/>
        </w:trPr>
        <w:tc>
          <w:tcPr>
            <w:tcW w:w="588" w:type="dxa"/>
          </w:tcPr>
          <w:p w:rsidR="00963B58" w:rsidRDefault="00963B58" w:rsidP="008B0D03">
            <w:pPr>
              <w:pStyle w:val="naisf"/>
              <w:spacing w:before="120" w:after="0"/>
              <w:ind w:firstLine="0"/>
              <w:jc w:val="center"/>
            </w:pPr>
          </w:p>
          <w:p w:rsidR="00963B58" w:rsidRDefault="00963B58" w:rsidP="008B0D03">
            <w:pPr>
              <w:pStyle w:val="naisf"/>
              <w:spacing w:before="120" w:after="0"/>
              <w:ind w:firstLine="0"/>
              <w:jc w:val="center"/>
            </w:pPr>
          </w:p>
          <w:p w:rsidR="00963B58" w:rsidRDefault="00963B58" w:rsidP="008B0D03">
            <w:pPr>
              <w:pStyle w:val="naisf"/>
              <w:spacing w:before="120" w:after="0"/>
              <w:ind w:firstLine="0"/>
              <w:jc w:val="center"/>
            </w:pPr>
          </w:p>
          <w:p w:rsidR="006739A5" w:rsidRDefault="006739A5" w:rsidP="008B0D03">
            <w:pPr>
              <w:pStyle w:val="naisf"/>
              <w:spacing w:before="120" w:after="0"/>
              <w:ind w:firstLine="0"/>
              <w:jc w:val="center"/>
            </w:pPr>
          </w:p>
          <w:p w:rsidR="008B0D03" w:rsidRPr="00074F45" w:rsidRDefault="008B0D03" w:rsidP="008B0D03">
            <w:pPr>
              <w:pStyle w:val="naisf"/>
              <w:spacing w:before="120" w:after="0"/>
              <w:ind w:firstLine="0"/>
              <w:jc w:val="center"/>
            </w:pPr>
            <w:r>
              <w:t>5.</w:t>
            </w:r>
          </w:p>
        </w:tc>
        <w:tc>
          <w:tcPr>
            <w:tcW w:w="2526" w:type="dxa"/>
          </w:tcPr>
          <w:p w:rsidR="00060C60" w:rsidRDefault="00060C60" w:rsidP="00060C60">
            <w:pPr>
              <w:ind w:firstLine="121"/>
              <w:jc w:val="center"/>
            </w:pPr>
          </w:p>
          <w:p w:rsidR="00060C60" w:rsidRDefault="00060C60" w:rsidP="00060C60">
            <w:pPr>
              <w:ind w:firstLine="121"/>
              <w:jc w:val="center"/>
            </w:pPr>
          </w:p>
          <w:p w:rsidR="00060C60" w:rsidRDefault="00060C60" w:rsidP="00060C60">
            <w:pPr>
              <w:ind w:firstLine="121"/>
              <w:jc w:val="center"/>
            </w:pPr>
          </w:p>
          <w:p w:rsidR="00060C60" w:rsidRDefault="00060C60" w:rsidP="00060C60">
            <w:pPr>
              <w:ind w:firstLine="121"/>
              <w:jc w:val="center"/>
            </w:pPr>
          </w:p>
          <w:p w:rsidR="006739A5" w:rsidRDefault="006739A5" w:rsidP="00060C60">
            <w:pPr>
              <w:ind w:firstLine="121"/>
              <w:jc w:val="center"/>
            </w:pPr>
          </w:p>
          <w:p w:rsidR="001753B5" w:rsidRDefault="001753B5" w:rsidP="00060C60">
            <w:pPr>
              <w:ind w:firstLine="121"/>
              <w:jc w:val="center"/>
            </w:pPr>
            <w:r>
              <w:t>Projekta 1. pants:</w:t>
            </w:r>
          </w:p>
          <w:p w:rsidR="008B0D03" w:rsidRPr="00074F45" w:rsidRDefault="001753B5" w:rsidP="00060C60">
            <w:pPr>
              <w:jc w:val="both"/>
            </w:pPr>
            <w:r>
              <w:t>“</w:t>
            </w:r>
            <w:r w:rsidR="007919D9" w:rsidRPr="007919D9">
              <w:t>Izslēgt 61. panta astoto daļu.</w:t>
            </w:r>
            <w:r>
              <w:t>”</w:t>
            </w:r>
          </w:p>
        </w:tc>
        <w:tc>
          <w:tcPr>
            <w:tcW w:w="5670" w:type="dxa"/>
          </w:tcPr>
          <w:p w:rsidR="008B0D03" w:rsidRDefault="0062692C" w:rsidP="0062692C">
            <w:pPr>
              <w:pStyle w:val="Bodytext21"/>
              <w:shd w:val="clear" w:color="auto" w:fill="auto"/>
              <w:spacing w:before="0" w:after="0" w:line="281" w:lineRule="exact"/>
              <w:jc w:val="center"/>
              <w:rPr>
                <w:b/>
                <w:sz w:val="24"/>
                <w:szCs w:val="24"/>
              </w:rPr>
            </w:pPr>
            <w:r>
              <w:rPr>
                <w:b/>
                <w:sz w:val="24"/>
                <w:szCs w:val="24"/>
              </w:rPr>
              <w:t>Ģenerālprokuratūra</w:t>
            </w:r>
          </w:p>
          <w:p w:rsidR="0062692C" w:rsidRPr="00123F5C" w:rsidRDefault="0062692C" w:rsidP="0062692C">
            <w:pPr>
              <w:ind w:firstLine="567"/>
              <w:jc w:val="both"/>
            </w:pPr>
            <w:r w:rsidRPr="00BD6B23">
              <w:t>Likumprojekt</w:t>
            </w:r>
            <w:r>
              <w:t>a 1.pants paredz izslēgt no Imigrācijas likuma 61.panta astoto daļu.</w:t>
            </w:r>
            <w:r w:rsidRPr="001468A7">
              <w:t xml:space="preserve"> </w:t>
            </w:r>
            <w:r>
              <w:t xml:space="preserve">Tādējādi </w:t>
            </w:r>
            <w:proofErr w:type="spellStart"/>
            <w:r>
              <w:t>iekšlietu</w:t>
            </w:r>
            <w:proofErr w:type="spellEnd"/>
            <w:r>
              <w:t xml:space="preserve"> ministra lēmums, kas </w:t>
            </w:r>
            <w:r w:rsidRPr="00BD6B23">
              <w:t xml:space="preserve">pieņemts, </w:t>
            </w:r>
            <w:r w:rsidRPr="00123F5C">
              <w:t>pamatojoties uz valsts drošības iestādes izlūkošanas vai pretizlūkošanas darbību rezultātā iegūto informāciju</w:t>
            </w:r>
            <w:r w:rsidRPr="00BD6B23">
              <w:t xml:space="preserve"> par ārzemnieka iekļaušanu to </w:t>
            </w:r>
            <w:r>
              <w:t>personu s</w:t>
            </w:r>
            <w:r w:rsidRPr="00BD6B23">
              <w:t>arakstā, kuriem ieceļošana Latvijas Republikā ir aizliegta</w:t>
            </w:r>
            <w:r>
              <w:t>, turpmāk būs pārsūdzams tiesai, nevis ģenerālprokuroram. Š</w:t>
            </w:r>
            <w:r w:rsidRPr="00903CC6">
              <w:t xml:space="preserve">obrīd, pārsūdzot iepriekš minēto lēmumu ģenerālprokuroram, personas netiek iepazīstinātas ar </w:t>
            </w:r>
            <w:r w:rsidRPr="00123F5C">
              <w:t>izlūkošanas vai pretizlūkošanas darbību rezultātā iegūto informāciju.</w:t>
            </w:r>
          </w:p>
          <w:p w:rsidR="0062692C" w:rsidRDefault="0062692C" w:rsidP="0062692C">
            <w:pPr>
              <w:ind w:firstLine="567"/>
              <w:jc w:val="both"/>
              <w:rPr>
                <w:u w:val="single"/>
              </w:rPr>
            </w:pPr>
            <w:r w:rsidRPr="00903CC6">
              <w:t xml:space="preserve">Vēršam uzmanību, ka </w:t>
            </w:r>
            <w:r>
              <w:t>s</w:t>
            </w:r>
            <w:r w:rsidRPr="00903CC6">
              <w:t>pēkā esoša</w:t>
            </w:r>
            <w:r>
              <w:t>jā</w:t>
            </w:r>
            <w:r w:rsidRPr="00903CC6">
              <w:t xml:space="preserve"> Imigrācijas likum</w:t>
            </w:r>
            <w:r>
              <w:t>ā ir noteikta</w:t>
            </w:r>
            <w:r w:rsidRPr="00903CC6">
              <w:t xml:space="preserve"> kārtīb</w:t>
            </w:r>
            <w:r>
              <w:t>a</w:t>
            </w:r>
            <w:r w:rsidRPr="00903CC6">
              <w:t xml:space="preserve">, kādā tiek izskatīti pieteikumi </w:t>
            </w:r>
            <w:r w:rsidRPr="00903CC6">
              <w:lastRenderedPageBreak/>
              <w:t>tiesā, kas saistīti ar valsts noslēpumu saturošu informāciju.</w:t>
            </w:r>
            <w:r>
              <w:t xml:space="preserve"> </w:t>
            </w:r>
            <w:r w:rsidRPr="00520929">
              <w:t>Imigrācijas likuma 65.</w:t>
            </w:r>
            <w:r w:rsidRPr="00520929">
              <w:rPr>
                <w:vertAlign w:val="superscript"/>
              </w:rPr>
              <w:t>3</w:t>
            </w:r>
            <w:r w:rsidRPr="00520929">
              <w:t>panta trešā daļ</w:t>
            </w:r>
            <w:r>
              <w:t xml:space="preserve">a </w:t>
            </w:r>
            <w:r w:rsidRPr="00903CC6">
              <w:t>no</w:t>
            </w:r>
            <w:r>
              <w:t>saka</w:t>
            </w:r>
            <w:r w:rsidRPr="00903CC6">
              <w:t xml:space="preserve">, ka, ja pieteicēja pārstāvim nav speciālās atļaujas pieejai valsts noslēpumam, tad tiesa par pieteicēja pārstāvi šajā procesa daļā ieceļ Latvijā praktizējošu advokātu, kuram ir izsniegta speciālā atļauja pieejai valsts noslēpumam. Ja pieteicējs šādai pārstāvībai nepiekrīt, tiesa pārbauda ar valsts noslēpumu saistīto informāciju, nepiedaloties pieteicējam un viņa pārstāvim. </w:t>
            </w:r>
          </w:p>
          <w:p w:rsidR="0062692C" w:rsidRDefault="0062692C" w:rsidP="0062692C">
            <w:pPr>
              <w:pStyle w:val="tv213"/>
              <w:spacing w:before="0" w:beforeAutospacing="0" w:after="0" w:afterAutospacing="0"/>
              <w:ind w:firstLine="567"/>
              <w:jc w:val="both"/>
              <w:rPr>
                <w:lang w:val="lv-LV"/>
              </w:rPr>
            </w:pPr>
            <w:r>
              <w:rPr>
                <w:lang w:val="lv-LV"/>
              </w:rPr>
              <w:t xml:space="preserve">Tādējādi turpmāk izlūkošanas un pretizlūkošanas darbību rezultātā iegūto informāciju paredzēts pārbaudīt tieši tāpat kā jebkuru operatīvās darbības procesā iegūto informāciju, jo tās abas satur valsts noslēpumu. Proti, zvērināts advokāts var tikt iepazīstināts ar izlūkošanas un pretizlūkošanas darbību rezultātā iegūto informāciju. </w:t>
            </w:r>
          </w:p>
          <w:p w:rsidR="0062692C" w:rsidRPr="001D1101" w:rsidRDefault="0062692C" w:rsidP="0062692C">
            <w:pPr>
              <w:pStyle w:val="tv213"/>
              <w:spacing w:before="0" w:beforeAutospacing="0" w:after="0" w:afterAutospacing="0"/>
              <w:ind w:firstLine="567"/>
              <w:jc w:val="both"/>
              <w:rPr>
                <w:lang w:val="lv-LV"/>
              </w:rPr>
            </w:pPr>
            <w:r>
              <w:rPr>
                <w:lang w:val="lv-LV"/>
              </w:rPr>
              <w:t xml:space="preserve">Uzskatām, ka šāda kārtība nav atbalstāma, jo izlūkošanas un pretizlūkošanas darbību rezultātā iegūtā informācija uzskatāma par </w:t>
            </w:r>
            <w:proofErr w:type="spellStart"/>
            <w:r>
              <w:rPr>
                <w:lang w:val="lv-LV"/>
              </w:rPr>
              <w:t>sensitīvāku</w:t>
            </w:r>
            <w:proofErr w:type="spellEnd"/>
            <w:r>
              <w:rPr>
                <w:lang w:val="lv-LV"/>
              </w:rPr>
              <w:t xml:space="preserve"> un aizsargājamāku šādu apsvērumu dēļ:</w:t>
            </w:r>
          </w:p>
          <w:p w:rsidR="0062692C" w:rsidRDefault="0062692C" w:rsidP="0062692C">
            <w:pPr>
              <w:ind w:firstLine="567"/>
              <w:jc w:val="both"/>
            </w:pPr>
            <w:r>
              <w:t>V</w:t>
            </w:r>
            <w:r w:rsidRPr="001E70C3">
              <w:t xml:space="preserve">alsts drošības iestāžu likuma 26.panta pirmā daļa nosaka, ka ģenerālprokurors un viņa īpaši pilnvaroti prokurori veic uzraudzību pār valsts drošības iestāžu operatīvās darbības, izlūkošanas un pretizlūkošanas procesiem un valsts noslēpuma aizsardzības sistēmu. Veicot uzraudzību, viņi ir tiesīgi iepazīties ar valsts drošības iestāžu rīcībā esošajiem dokumentiem, materiāliem un informāciju. Informācijas avotu identitāte atklājama tikai tādos gadījumos, kad tie ir tieši iesaistīti noziedzīga nodarījuma izdarīšanā, turklāt vienīgi ģenerālprokuroram, bet viņa īpaši pilnvarotiem prokuroriem </w:t>
            </w:r>
            <w:r>
              <w:t>–</w:t>
            </w:r>
            <w:r w:rsidRPr="001E70C3">
              <w:t xml:space="preserve"> tikai ar valsts drošības iestādes vadītāja atļauju</w:t>
            </w:r>
            <w:r>
              <w:t>.</w:t>
            </w:r>
            <w:r w:rsidRPr="001E70C3">
              <w:t xml:space="preserve"> </w:t>
            </w:r>
            <w:r>
              <w:t>I</w:t>
            </w:r>
            <w:r w:rsidRPr="001E70C3">
              <w:t>nformācijas avotu identitāti atklāt uzraudzības kārtībā ir aizliegts.</w:t>
            </w:r>
          </w:p>
          <w:p w:rsidR="0062692C" w:rsidRDefault="0062692C" w:rsidP="0062692C">
            <w:pPr>
              <w:ind w:firstLine="720"/>
              <w:jc w:val="both"/>
            </w:pPr>
            <w:r>
              <w:lastRenderedPageBreak/>
              <w:t>Operatīvās darbības likuma 35.panta pirmā daļa nosaka, ka u</w:t>
            </w:r>
            <w:r w:rsidRPr="001E70C3">
              <w:t xml:space="preserve">zraudzību pār operatīvās darbības atbilstību likumiem veic ģenerālprokurors un viņa īpaši pilnvaroti prokurori. Veicot uzraudzību, </w:t>
            </w:r>
            <w:r>
              <w:t>prokurors</w:t>
            </w:r>
            <w:r w:rsidRPr="001E70C3">
              <w:t xml:space="preserve"> ir tiesīg</w:t>
            </w:r>
            <w:r>
              <w:t>s</w:t>
            </w:r>
            <w:r w:rsidRPr="001E70C3">
              <w:t xml:space="preserve"> iepazīties ar operatīvās darbības subjekta rīcībā esošajiem dokumentiem, materiāliem un informāciju jebkurā operatīvās darbības stadijā. Informācijas</w:t>
            </w:r>
            <w:r w:rsidRPr="00B04AEC">
              <w:t xml:space="preserve"> </w:t>
            </w:r>
            <w:r w:rsidRPr="001E70C3">
              <w:t xml:space="preserve">avotu identitāte atklājama vienīgi ģenerālprokuroram, bet viņa īpaši pilnvarotiem prokuroriem </w:t>
            </w:r>
            <w:r>
              <w:t>-</w:t>
            </w:r>
            <w:r w:rsidRPr="001E70C3">
              <w:t xml:space="preserve"> tikai ar operatīvās darbības subjekta vadītāja atļauju.</w:t>
            </w:r>
          </w:p>
          <w:p w:rsidR="0062692C" w:rsidRDefault="0062692C" w:rsidP="0062692C">
            <w:pPr>
              <w:ind w:firstLine="720"/>
              <w:jc w:val="both"/>
            </w:pPr>
            <w:r>
              <w:t xml:space="preserve">No minēto likuma normu izklāsta redzams, ka pretizlūkošanas procesa ietvaros ģenerālprokurora un viņa īpaši pilnvarotu prokuroru uzraudzības tiesības ir ierobežotākas nekā tas ir operatīvās darbības procesā. Pretizlūkošanas procesā uzraudzības kārtībā ir aizliegts atklāt informācijas avotu identitāti, turpretī operatīvās darbības procesā to ir iespējams atklāt ģenerālprokuroram, bet viņa </w:t>
            </w:r>
            <w:r w:rsidRPr="001E70C3">
              <w:t>īpaši pilnvarotiem prokuroriem</w:t>
            </w:r>
            <w:r>
              <w:t xml:space="preserve"> - </w:t>
            </w:r>
            <w:r w:rsidRPr="001E70C3">
              <w:t>ar valsts drošības iestādes vadītāja atļauju</w:t>
            </w:r>
            <w:r>
              <w:t xml:space="preserve">. </w:t>
            </w:r>
          </w:p>
          <w:p w:rsidR="0062692C" w:rsidRDefault="0062692C" w:rsidP="0062692C">
            <w:pPr>
              <w:ind w:firstLine="720"/>
              <w:jc w:val="both"/>
            </w:pPr>
            <w:r w:rsidRPr="001E70C3">
              <w:t xml:space="preserve">Valsts drošības iestāžu likuma </w:t>
            </w:r>
            <w:r>
              <w:t xml:space="preserve">3.panta ceturtā un piektā daļa nosaka, ka </w:t>
            </w:r>
            <w:r w:rsidRPr="009904D1">
              <w:t xml:space="preserve">pretizlūkošanas darbības veicamas saskaņā ar katrai valsts drošības iestādei likumā noteikto kompetenci un pamatojoties uz valsts drošības iestādes amatpersonas lēmumu. </w:t>
            </w:r>
            <w:r>
              <w:t>P</w:t>
            </w:r>
            <w:r w:rsidRPr="009904D1">
              <w:t>retizlūkošanas darbību saturu nosaka attiecīgās valsts drošības iestādes izlūkošanas, pretizlūkošanas darbību nolikums, kuru pēc saskaņošanas ar Valsts drošības iestāžu padomi apstiprina attiecīgās valsts drošības iestādes vadītājs.</w:t>
            </w:r>
          </w:p>
          <w:p w:rsidR="0062692C" w:rsidRPr="0099562E" w:rsidRDefault="0062692C" w:rsidP="0062692C">
            <w:pPr>
              <w:ind w:firstLine="720"/>
              <w:jc w:val="both"/>
            </w:pPr>
            <w:r>
              <w:t>Operatīvās darbības likuma 3.panta otrā daļa nosaka, ka v</w:t>
            </w:r>
            <w:r w:rsidRPr="0099562E">
              <w:t xml:space="preserve">alsts institūcijas, kurām ar likumu ir noteiktas tiesības veikt operatīvo darbību, savas kompetences ietvaros un atbilstoši šim likumam izdod iekšējos normatīvos aktus par šīs darbības organizāciju, metodēm, </w:t>
            </w:r>
            <w:r w:rsidRPr="0099562E">
              <w:lastRenderedPageBreak/>
              <w:t xml:space="preserve">taktiku, līdzekļiem un uzskaiti. Šie normatīvie akti stājas spēkā tikai pēc tam, kad tos akceptējis ģenerālprokurors. </w:t>
            </w:r>
          </w:p>
          <w:p w:rsidR="0062692C" w:rsidRDefault="0062692C" w:rsidP="0062692C">
            <w:pPr>
              <w:ind w:firstLine="720"/>
              <w:jc w:val="both"/>
            </w:pPr>
            <w:r>
              <w:t xml:space="preserve">Tādējādi Valsts drošības iestāžu likums pretēji Operatīvās darbības likumam neparedz, ka, izdodot </w:t>
            </w:r>
            <w:r w:rsidRPr="009904D1">
              <w:t>valsts drošības iestādes izlūkošanas, pretizlūkošanas darbību nolikum</w:t>
            </w:r>
            <w:r>
              <w:t>u, nepieciešams saskaņojums no ģenerālprokurora. Tādējādi arī šajā jomā valsts drošības iestādēm dota patstāvība lēmumu pieņemšanā attiecībā uz to, kādā veidā tiek organizēta izlūkošanas un pretizlūkošanas darbību veikšana.</w:t>
            </w:r>
          </w:p>
          <w:p w:rsidR="0062692C" w:rsidRDefault="0062692C" w:rsidP="0062692C">
            <w:pPr>
              <w:ind w:firstLine="720"/>
              <w:jc w:val="both"/>
            </w:pPr>
            <w:r>
              <w:t>Atbilstoši Valsts drošības iestāžu likuma 26.panta trešajai daļai v</w:t>
            </w:r>
            <w:r w:rsidRPr="00DA44CC">
              <w:t>alsts drošības iestāžu pārbaudes un šo pārbaužu apjoms jāsaskaņo ar Saeimas Nacionālās drošības komisiju un jāziņo tai par pārbaužu rezultātiem.</w:t>
            </w:r>
          </w:p>
          <w:p w:rsidR="0062692C" w:rsidRDefault="0062692C" w:rsidP="0062692C">
            <w:pPr>
              <w:ind w:firstLine="720"/>
              <w:jc w:val="both"/>
            </w:pPr>
            <w:r>
              <w:t xml:space="preserve">Tādējādi ģenerālprokurora un viņa </w:t>
            </w:r>
            <w:r w:rsidRPr="001E70C3">
              <w:t>īpaši pilnvarot</w:t>
            </w:r>
            <w:r>
              <w:t>u</w:t>
            </w:r>
            <w:r w:rsidRPr="001E70C3">
              <w:t xml:space="preserve"> prokuror</w:t>
            </w:r>
            <w:r>
              <w:t xml:space="preserve">u uzraudzības tiesības pār valsts drošības iestādēm ir ierobežotas ar šādu nosacījumu: pārbaudes un pārbaužu apjomu nepieciešams saskaņot ar </w:t>
            </w:r>
            <w:r w:rsidRPr="00DA44CC">
              <w:t>Saeimas Nacionālās drošības komisiju</w:t>
            </w:r>
            <w:r>
              <w:t>.</w:t>
            </w:r>
          </w:p>
          <w:p w:rsidR="0062692C" w:rsidRDefault="0062692C" w:rsidP="0062692C">
            <w:pPr>
              <w:ind w:firstLine="720"/>
              <w:jc w:val="both"/>
            </w:pPr>
            <w:r>
              <w:t xml:space="preserve">No minēto normu izklāsta secināms, ka valsts drošības iestādēm valsts drošības interešu aizsardzības nodrošināšanai, veicot izlūkošanas un pretizlūkošanas procesu, normatīvajos aktos ir noteikta lielākā patstāvība nekā tas ir operatīvās darbības procesā. Arī ģenerālprokurora un viņa īpaši pilnvarotu prokuroru uzraudzības tiesības nav tik plašas, kādas tās ir operatīvās darbības procesā. Līdz ar to ne visos gadījumos būtu pieļaujama zvērināta advokāta, kuram, lai arī ir uz laiku izsniegta speciālā atļauja pieejai valsts noslēpumam, </w:t>
            </w:r>
            <w:r w:rsidRPr="000A6498">
              <w:t>iepazīstināšana ar izlūkošanas un pretizlūkošanas darbību rezultātā iegūt</w:t>
            </w:r>
            <w:r>
              <w:t>u</w:t>
            </w:r>
            <w:r w:rsidRPr="000A6498">
              <w:t xml:space="preserve"> informācij</w:t>
            </w:r>
            <w:r>
              <w:t>u.</w:t>
            </w:r>
          </w:p>
          <w:p w:rsidR="0062692C" w:rsidRPr="000A6498" w:rsidRDefault="0062692C" w:rsidP="0062692C">
            <w:pPr>
              <w:ind w:firstLine="720"/>
              <w:jc w:val="both"/>
            </w:pPr>
            <w:r>
              <w:t xml:space="preserve">Atbilstoši likuma ,,Par valsts noslēpumu’’ 17.panta ceturtajai daļai, izskatot tiesā  pieteikumus par </w:t>
            </w:r>
            <w:r>
              <w:lastRenderedPageBreak/>
              <w:t xml:space="preserve">ģenerālprokurora lēmumu par speciālās atļaujas pieejai valsts noslēpuma objektiem atteikumu, anulēšanu vai kategorija pazemināšanu, </w:t>
            </w:r>
            <w:r w:rsidRPr="006D371C">
              <w:t xml:space="preserve">personai izpaužamo valsts noslēpumu saturošas informācijas apjomu nosaka valsts drošības iestāde. </w:t>
            </w:r>
            <w:r>
              <w:t xml:space="preserve">Uzskatām, ka šāda pati kārtība būtu nosakāma arī attiecībā uz pieteikuma izskatīšanu tiesā, ar kuru tiek pārsūdzēts </w:t>
            </w:r>
            <w:proofErr w:type="spellStart"/>
            <w:r w:rsidRPr="0096056E">
              <w:t>iekšlietu</w:t>
            </w:r>
            <w:proofErr w:type="spellEnd"/>
            <w:r w:rsidRPr="0096056E">
              <w:t xml:space="preserve"> ministra lēmums par ārzemnieka iekļaušanu to </w:t>
            </w:r>
            <w:r>
              <w:t xml:space="preserve">personu </w:t>
            </w:r>
            <w:r w:rsidRPr="0096056E">
              <w:t>sarakstā, kur</w:t>
            </w:r>
            <w:r>
              <w:t>ā</w:t>
            </w:r>
            <w:r w:rsidRPr="0096056E">
              <w:t xml:space="preserve">m ieceļošana Latvijas Republikā ir aizliegta, </w:t>
            </w:r>
            <w:r>
              <w:t xml:space="preserve">un kas </w:t>
            </w:r>
            <w:r w:rsidRPr="0096056E">
              <w:t>pamato</w:t>
            </w:r>
            <w:r>
              <w:t>ts</w:t>
            </w:r>
            <w:r w:rsidRPr="0096056E">
              <w:t xml:space="preserve"> </w:t>
            </w:r>
            <w:r>
              <w:t xml:space="preserve">ar </w:t>
            </w:r>
            <w:r w:rsidRPr="0096056E">
              <w:t>valsts drošības iestādes izlūkošanas vai pretizlūkošanas darbību rezultātā iegūto informāciju</w:t>
            </w:r>
            <w:r>
              <w:t>.</w:t>
            </w:r>
          </w:p>
          <w:p w:rsidR="0062692C" w:rsidRDefault="0062692C" w:rsidP="0062692C">
            <w:pPr>
              <w:ind w:firstLine="720"/>
              <w:jc w:val="both"/>
            </w:pPr>
            <w:r>
              <w:t xml:space="preserve">Ievērojot minēto, ierosinām papildināt Imigrācijas likuma </w:t>
            </w:r>
            <w:r w:rsidRPr="00E07C48">
              <w:t>65.</w:t>
            </w:r>
            <w:r w:rsidRPr="00E07C48">
              <w:rPr>
                <w:vertAlign w:val="superscript"/>
              </w:rPr>
              <w:t>3</w:t>
            </w:r>
            <w:r w:rsidRPr="00E07C48">
              <w:t>panta</w:t>
            </w:r>
            <w:r w:rsidRPr="00D41808">
              <w:t xml:space="preserve"> </w:t>
            </w:r>
            <w:r>
              <w:t>trešo daļu ar jaunu teikumu šādā redakcijā:</w:t>
            </w:r>
          </w:p>
          <w:p w:rsidR="0062692C" w:rsidRPr="0062692C" w:rsidRDefault="0062692C" w:rsidP="0062692C">
            <w:pPr>
              <w:ind w:firstLine="720"/>
              <w:jc w:val="both"/>
              <w:rPr>
                <w:i/>
                <w:iCs/>
              </w:rPr>
            </w:pPr>
            <w:r>
              <w:t xml:space="preserve"> </w:t>
            </w:r>
            <w:r w:rsidRPr="00874DFC">
              <w:rPr>
                <w:u w:val="single"/>
              </w:rPr>
              <w:t xml:space="preserve">,,Ja </w:t>
            </w:r>
            <w:proofErr w:type="spellStart"/>
            <w:r w:rsidRPr="00874DFC">
              <w:rPr>
                <w:u w:val="single"/>
              </w:rPr>
              <w:t>iekšlietu</w:t>
            </w:r>
            <w:proofErr w:type="spellEnd"/>
            <w:r w:rsidRPr="00874DFC">
              <w:rPr>
                <w:u w:val="single"/>
              </w:rPr>
              <w:t xml:space="preserve"> ministra lēmums par ārzemnieka iekļaušanu to ārzemnieku sarakstā, kuriem ieceļošana Latvijas Republikā ir aizliegta, pieņemts, pamatojoties uz valsts drošības iestādes izlūkošanas vai pretizlūkošanas darbību rezultātā iegūto informāciju, tad pieteicēja pārstāvim izpaužamo valsts noslēpumu saturošas informācijas apjomu nosaka valsts drošības iestāde”.</w:t>
            </w:r>
          </w:p>
        </w:tc>
        <w:tc>
          <w:tcPr>
            <w:tcW w:w="2977" w:type="dxa"/>
          </w:tcPr>
          <w:p w:rsidR="00A60832" w:rsidRDefault="00A60832" w:rsidP="002C5D2E">
            <w:pPr>
              <w:pStyle w:val="naisf"/>
              <w:spacing w:before="0" w:after="0"/>
              <w:ind w:firstLine="0"/>
              <w:jc w:val="center"/>
              <w:rPr>
                <w:b/>
              </w:rPr>
            </w:pPr>
          </w:p>
          <w:p w:rsidR="008B0D03" w:rsidRDefault="002C5D2E" w:rsidP="002C5D2E">
            <w:pPr>
              <w:pStyle w:val="naisf"/>
              <w:spacing w:before="0" w:after="0"/>
              <w:ind w:firstLine="0"/>
              <w:jc w:val="center"/>
              <w:rPr>
                <w:b/>
              </w:rPr>
            </w:pPr>
            <w:r w:rsidRPr="0021239F">
              <w:rPr>
                <w:b/>
              </w:rPr>
              <w:t>Iebildums ņemts vērā</w:t>
            </w:r>
          </w:p>
          <w:p w:rsidR="00A60832" w:rsidRDefault="00A60832" w:rsidP="002C5D2E">
            <w:pPr>
              <w:pStyle w:val="naisf"/>
              <w:spacing w:before="0" w:after="0"/>
              <w:ind w:firstLine="0"/>
              <w:jc w:val="center"/>
              <w:rPr>
                <w:b/>
              </w:rPr>
            </w:pPr>
          </w:p>
          <w:p w:rsidR="001753B5" w:rsidRPr="00232371" w:rsidRDefault="001753B5" w:rsidP="001753B5">
            <w:pPr>
              <w:pStyle w:val="naisf"/>
              <w:spacing w:before="0" w:after="0"/>
              <w:ind w:firstLine="0"/>
            </w:pPr>
            <w:r>
              <w:t xml:space="preserve">Saskaņā ar </w:t>
            </w:r>
            <w:r w:rsidRPr="00F04A59">
              <w:t xml:space="preserve">Valsts drošības iestāžu likuma </w:t>
            </w:r>
            <w:r>
              <w:t>3.panta septīto daļu i</w:t>
            </w:r>
            <w:r w:rsidRPr="00F04A59">
              <w:t xml:space="preserve">zlūkošanas, pretizlūkošanas darbību ietvaros veikto operatīvās darbības pasākumu rezultātus var izmantot kā procesuālos pierādījumus tikai ar attiecīgās valsts drošības iestādes vadītāja atļauju un likumā noteiktajā </w:t>
            </w:r>
            <w:r w:rsidRPr="00F04A59">
              <w:lastRenderedPageBreak/>
              <w:t>kārtībā</w:t>
            </w:r>
            <w:r>
              <w:t xml:space="preserve">. Līdz ar to ir secināms, ka jau tagad tai skaitā personas </w:t>
            </w:r>
            <w:r w:rsidRPr="000B1255">
              <w:t>pārstāvim izpaužamo valsts noslēpumu saturošas informācijas apjomu nosaka valsts drošības iestāde</w:t>
            </w:r>
            <w:r>
              <w:t>s vadītājs.</w:t>
            </w:r>
          </w:p>
        </w:tc>
        <w:tc>
          <w:tcPr>
            <w:tcW w:w="2747" w:type="dxa"/>
          </w:tcPr>
          <w:p w:rsidR="00060C60" w:rsidRDefault="00060C60" w:rsidP="00060C60">
            <w:pPr>
              <w:ind w:firstLine="121"/>
              <w:jc w:val="center"/>
            </w:pPr>
          </w:p>
          <w:p w:rsidR="00060C60" w:rsidRDefault="00060C60" w:rsidP="00060C60">
            <w:pPr>
              <w:ind w:firstLine="121"/>
              <w:jc w:val="center"/>
            </w:pPr>
          </w:p>
          <w:p w:rsidR="00060C60" w:rsidRDefault="00060C60" w:rsidP="00060C60">
            <w:pPr>
              <w:ind w:firstLine="121"/>
              <w:jc w:val="center"/>
            </w:pPr>
          </w:p>
          <w:p w:rsidR="00060C60" w:rsidRDefault="00060C60" w:rsidP="00060C60">
            <w:pPr>
              <w:ind w:firstLine="121"/>
              <w:jc w:val="center"/>
            </w:pPr>
          </w:p>
          <w:p w:rsidR="006739A5" w:rsidRDefault="006739A5" w:rsidP="00060C60">
            <w:pPr>
              <w:ind w:firstLine="121"/>
              <w:jc w:val="center"/>
            </w:pPr>
          </w:p>
          <w:p w:rsidR="001753B5" w:rsidRDefault="001753B5" w:rsidP="00060C60">
            <w:pPr>
              <w:ind w:firstLine="121"/>
              <w:jc w:val="center"/>
            </w:pPr>
            <w:r>
              <w:t>Projekta 1. pants:</w:t>
            </w:r>
          </w:p>
          <w:p w:rsidR="00AC034D" w:rsidRPr="00074F45" w:rsidRDefault="001753B5" w:rsidP="00060C60">
            <w:pPr>
              <w:jc w:val="both"/>
            </w:pPr>
            <w:r>
              <w:t>“</w:t>
            </w:r>
            <w:r w:rsidRPr="007919D9">
              <w:t>Izslēgt 61. panta astoto daļu.</w:t>
            </w:r>
            <w:r>
              <w:t>”</w:t>
            </w:r>
          </w:p>
        </w:tc>
      </w:tr>
      <w:tr w:rsidR="006739A5" w:rsidRPr="00074F45" w:rsidTr="00573FD5">
        <w:trPr>
          <w:trHeight w:val="664"/>
        </w:trPr>
        <w:tc>
          <w:tcPr>
            <w:tcW w:w="588" w:type="dxa"/>
            <w:vAlign w:val="center"/>
          </w:tcPr>
          <w:p w:rsidR="006739A5" w:rsidRDefault="006739A5" w:rsidP="006739A5">
            <w:pPr>
              <w:pStyle w:val="naisf"/>
              <w:spacing w:before="120" w:after="0"/>
              <w:ind w:firstLine="0"/>
              <w:jc w:val="center"/>
            </w:pPr>
            <w:r>
              <w:lastRenderedPageBreak/>
              <w:t>6.</w:t>
            </w:r>
          </w:p>
        </w:tc>
        <w:tc>
          <w:tcPr>
            <w:tcW w:w="2526" w:type="dxa"/>
            <w:vAlign w:val="center"/>
          </w:tcPr>
          <w:p w:rsidR="006739A5" w:rsidRDefault="006739A5" w:rsidP="006739A5">
            <w:pPr>
              <w:ind w:firstLine="121"/>
              <w:jc w:val="center"/>
            </w:pPr>
            <w:r>
              <w:t>Projekta sākotnējās ietekmes novērtējuma ziņojums (anotācija)</w:t>
            </w:r>
          </w:p>
        </w:tc>
        <w:tc>
          <w:tcPr>
            <w:tcW w:w="5670" w:type="dxa"/>
          </w:tcPr>
          <w:p w:rsidR="006739A5" w:rsidRDefault="006739A5" w:rsidP="006739A5">
            <w:pPr>
              <w:pStyle w:val="Bodytext21"/>
              <w:shd w:val="clear" w:color="auto" w:fill="auto"/>
              <w:spacing w:before="0" w:after="0" w:line="240" w:lineRule="auto"/>
              <w:jc w:val="center"/>
              <w:rPr>
                <w:b/>
                <w:sz w:val="24"/>
                <w:szCs w:val="24"/>
              </w:rPr>
            </w:pPr>
            <w:r>
              <w:rPr>
                <w:b/>
                <w:sz w:val="24"/>
                <w:szCs w:val="24"/>
              </w:rPr>
              <w:t>Ģenerālprokuratūra</w:t>
            </w:r>
          </w:p>
          <w:p w:rsidR="006739A5" w:rsidRPr="00290370" w:rsidRDefault="006739A5" w:rsidP="006739A5">
            <w:pPr>
              <w:ind w:firstLine="720"/>
              <w:jc w:val="both"/>
              <w:rPr>
                <w:szCs w:val="22"/>
              </w:rPr>
            </w:pPr>
            <w:r w:rsidRPr="00290370">
              <w:rPr>
                <w:szCs w:val="22"/>
              </w:rPr>
              <w:t>Joprojām uzskatām, ka saskaņā ar spēkā esošā Imigrācijas likuma 65.</w:t>
            </w:r>
            <w:r w:rsidRPr="00290370">
              <w:rPr>
                <w:szCs w:val="22"/>
                <w:vertAlign w:val="superscript"/>
              </w:rPr>
              <w:t xml:space="preserve">3 </w:t>
            </w:r>
            <w:r w:rsidRPr="00290370">
              <w:rPr>
                <w:szCs w:val="22"/>
              </w:rPr>
              <w:t>panta trešo daļu tiesas ieceltais pieteicēja pārstāvis, t.i. zvērināts advokāts, kuram uz laiku izsniegta speciālā atļauja pieejai valsts noslēpumam, var iepazīties ar izlūkošanas un pretizlūkošanas darbību rezultātā iegūt</w:t>
            </w:r>
            <w:r>
              <w:rPr>
                <w:szCs w:val="22"/>
              </w:rPr>
              <w:t>o</w:t>
            </w:r>
            <w:r w:rsidRPr="00290370">
              <w:rPr>
                <w:szCs w:val="22"/>
              </w:rPr>
              <w:t xml:space="preserve"> informāciju. Vēršam uzmanību, ka tiesas sēdē tiks izvērtēts ne tikai pārsūdzētais lēmums, bet arī visi lietas materiāli kopumā, tajā skaitā </w:t>
            </w:r>
            <w:r w:rsidRPr="00290370">
              <w:rPr>
                <w:szCs w:val="22"/>
                <w:u w:val="single"/>
              </w:rPr>
              <w:t>izlūkošanas un pretizlūkošanas darbību rezultātā iegūtā informācija</w:t>
            </w:r>
            <w:r w:rsidRPr="00290370">
              <w:rPr>
                <w:szCs w:val="22"/>
              </w:rPr>
              <w:t>. Arī Imigrācijas likuma 65.</w:t>
            </w:r>
            <w:r w:rsidRPr="00290370">
              <w:rPr>
                <w:szCs w:val="22"/>
                <w:vertAlign w:val="superscript"/>
              </w:rPr>
              <w:t>3</w:t>
            </w:r>
            <w:r w:rsidRPr="00290370">
              <w:rPr>
                <w:szCs w:val="22"/>
              </w:rPr>
              <w:t xml:space="preserve">panta otrās daļas noteikumi paredz pieteicēja </w:t>
            </w:r>
            <w:r w:rsidRPr="00290370">
              <w:rPr>
                <w:szCs w:val="22"/>
              </w:rPr>
              <w:lastRenderedPageBreak/>
              <w:t xml:space="preserve">pārstāvim, kuram ir speciālā atļauja pieejai valsts noslēpumam, tiesības iepazīties ar lietas materiāliem. </w:t>
            </w:r>
          </w:p>
          <w:p w:rsidR="006739A5" w:rsidRPr="00290370" w:rsidRDefault="006739A5" w:rsidP="006739A5">
            <w:pPr>
              <w:ind w:firstLine="567"/>
              <w:jc w:val="both"/>
              <w:rPr>
                <w:szCs w:val="22"/>
              </w:rPr>
            </w:pPr>
            <w:r w:rsidRPr="00290370">
              <w:rPr>
                <w:szCs w:val="22"/>
              </w:rPr>
              <w:t xml:space="preserve">Šobrīd, pārsūdzot ģenerālprokuroram </w:t>
            </w:r>
            <w:proofErr w:type="spellStart"/>
            <w:r w:rsidRPr="00290370">
              <w:rPr>
                <w:szCs w:val="22"/>
              </w:rPr>
              <w:t>iekšlietu</w:t>
            </w:r>
            <w:proofErr w:type="spellEnd"/>
            <w:r w:rsidRPr="00290370">
              <w:rPr>
                <w:szCs w:val="22"/>
              </w:rPr>
              <w:t xml:space="preserve"> ministra lēmumu, kas pieņemts, pamatojoties uz valsts drošības iestādes izlūkošanas vai pretizlūkošanas darbību rezultātā iegūto informāciju, personas nevar iepazīties </w:t>
            </w:r>
            <w:r w:rsidRPr="00290370">
              <w:rPr>
                <w:szCs w:val="22"/>
                <w:u w:val="single"/>
              </w:rPr>
              <w:t>ar izlūkošanas vai pretizlūkošanas darbību rezultātā iegūto informāciju</w:t>
            </w:r>
            <w:r w:rsidRPr="00290370">
              <w:rPr>
                <w:szCs w:val="22"/>
              </w:rPr>
              <w:t>, jo pārsūdzības (apstrīdēšanas) procesā ar to iepazīstas un izvērtē ģenerālprokurors.</w:t>
            </w:r>
          </w:p>
          <w:p w:rsidR="006739A5" w:rsidRPr="00290370" w:rsidRDefault="006739A5" w:rsidP="006739A5">
            <w:pPr>
              <w:ind w:firstLine="567"/>
              <w:jc w:val="both"/>
              <w:rPr>
                <w:szCs w:val="22"/>
              </w:rPr>
            </w:pPr>
            <w:r w:rsidRPr="00290370">
              <w:t>Tādējādi</w:t>
            </w:r>
            <w:r w:rsidRPr="00290370">
              <w:rPr>
                <w:szCs w:val="22"/>
              </w:rPr>
              <w:t xml:space="preserve"> tajos gadījumos, kad persona būs tiesā pārsūdzējusi </w:t>
            </w:r>
            <w:proofErr w:type="spellStart"/>
            <w:r w:rsidRPr="00290370">
              <w:rPr>
                <w:szCs w:val="22"/>
              </w:rPr>
              <w:t>iekšlietu</w:t>
            </w:r>
            <w:proofErr w:type="spellEnd"/>
            <w:r w:rsidRPr="00290370">
              <w:rPr>
                <w:szCs w:val="22"/>
              </w:rPr>
              <w:t xml:space="preserve"> ministra lēmumu, kas pieņemts, pamatojoties uz valsts drošības iestādes izlūkošanas vai pretizlūkošanas darbību rezultātā iegūto informāciju, tad, mūsuprāt, spēkā esošā Imigrācijas likuma 65.</w:t>
            </w:r>
            <w:r w:rsidRPr="00290370">
              <w:rPr>
                <w:szCs w:val="22"/>
                <w:vertAlign w:val="superscript"/>
              </w:rPr>
              <w:t xml:space="preserve">3 </w:t>
            </w:r>
            <w:r w:rsidRPr="00290370">
              <w:rPr>
                <w:szCs w:val="22"/>
              </w:rPr>
              <w:t>panta trešā daļa pieteicēja pārstāvim, t.i. zvērinātam advokātam neliedz iepazīties ar visu izlūkošanas vai pretizlūkošanas darbību rezultātā iegūto informāciju. Vēl jo vairāk šādas tiesības viņam paredz arī Imigrācijas likuma 65.</w:t>
            </w:r>
            <w:r w:rsidRPr="00290370">
              <w:rPr>
                <w:szCs w:val="22"/>
                <w:vertAlign w:val="superscript"/>
              </w:rPr>
              <w:t xml:space="preserve">3 </w:t>
            </w:r>
            <w:r w:rsidRPr="00290370">
              <w:rPr>
                <w:szCs w:val="22"/>
              </w:rPr>
              <w:t xml:space="preserve">panta otrā daļa. </w:t>
            </w:r>
          </w:p>
          <w:p w:rsidR="006739A5" w:rsidRPr="00290370" w:rsidRDefault="006739A5" w:rsidP="006739A5">
            <w:pPr>
              <w:ind w:firstLine="567"/>
              <w:jc w:val="both"/>
              <w:rPr>
                <w:szCs w:val="22"/>
              </w:rPr>
            </w:pPr>
            <w:r w:rsidRPr="00290370">
              <w:rPr>
                <w:szCs w:val="22"/>
              </w:rPr>
              <w:t>Uzskatām, ka spēkā esošā Imigrācijas  likumā VIII</w:t>
            </w:r>
            <w:r w:rsidRPr="00290370">
              <w:rPr>
                <w:szCs w:val="22"/>
                <w:vertAlign w:val="superscript"/>
              </w:rPr>
              <w:t>1</w:t>
            </w:r>
            <w:r w:rsidRPr="00290370">
              <w:rPr>
                <w:szCs w:val="22"/>
              </w:rPr>
              <w:t xml:space="preserve"> nodaļā “Pieteikuma par </w:t>
            </w:r>
            <w:proofErr w:type="spellStart"/>
            <w:r w:rsidRPr="00290370">
              <w:rPr>
                <w:szCs w:val="22"/>
              </w:rPr>
              <w:t>iekšlietu</w:t>
            </w:r>
            <w:proofErr w:type="spellEnd"/>
            <w:r w:rsidRPr="00290370">
              <w:rPr>
                <w:szCs w:val="22"/>
              </w:rPr>
              <w:t xml:space="preserve"> ministra lēmumu par personas iekļaušanu sarakstā izskatīšana tiesā” ietvertais regulējums ir speciālais regulējums, kas izslēdz Valsts drošības iestāžu likuma 3.panta septītās daļas piemērošanu, kas nosaka, ka izlūkošanas, pretizlūkošanas darbību ietvaros veikto operatīvās darbības pasākumu rezultātus var izmantot kā procesuālos pierādījumus tikai ar attiecīgās valsts drošības iestādes vadītāja atļauju un likumā noteiktajā kārtībā.</w:t>
            </w:r>
          </w:p>
          <w:p w:rsidR="006739A5" w:rsidRPr="006739A5" w:rsidRDefault="006739A5" w:rsidP="006739A5">
            <w:pPr>
              <w:ind w:firstLine="720"/>
              <w:jc w:val="both"/>
              <w:rPr>
                <w:szCs w:val="22"/>
              </w:rPr>
            </w:pPr>
            <w:r w:rsidRPr="00290370">
              <w:rPr>
                <w:szCs w:val="22"/>
              </w:rPr>
              <w:t xml:space="preserve">Ievērojot, ka </w:t>
            </w:r>
            <w:proofErr w:type="spellStart"/>
            <w:r w:rsidRPr="00290370">
              <w:rPr>
                <w:szCs w:val="22"/>
              </w:rPr>
              <w:t>Iekšlietu</w:t>
            </w:r>
            <w:proofErr w:type="spellEnd"/>
            <w:r w:rsidRPr="00290370">
              <w:rPr>
                <w:szCs w:val="22"/>
              </w:rPr>
              <w:t xml:space="preserve"> ministrija neplāno papildināt Imigrācijas likuma 65.</w:t>
            </w:r>
            <w:r w:rsidRPr="00290370">
              <w:rPr>
                <w:szCs w:val="22"/>
                <w:vertAlign w:val="superscript"/>
              </w:rPr>
              <w:t>3</w:t>
            </w:r>
            <w:r w:rsidRPr="00290370">
              <w:rPr>
                <w:szCs w:val="22"/>
              </w:rPr>
              <w:t xml:space="preserve">panta trešo daļu ar jaunu teikumu šādā redakcijā: ,,Ja </w:t>
            </w:r>
            <w:proofErr w:type="spellStart"/>
            <w:r w:rsidRPr="00290370">
              <w:rPr>
                <w:szCs w:val="22"/>
              </w:rPr>
              <w:t>iekšlietu</w:t>
            </w:r>
            <w:proofErr w:type="spellEnd"/>
            <w:r w:rsidRPr="00290370">
              <w:rPr>
                <w:szCs w:val="22"/>
              </w:rPr>
              <w:t xml:space="preserve"> ministra </w:t>
            </w:r>
            <w:r w:rsidRPr="00290370">
              <w:rPr>
                <w:szCs w:val="22"/>
              </w:rPr>
              <w:lastRenderedPageBreak/>
              <w:t xml:space="preserve">lēmums par ārzemnieka iekļaušanu to ārzemnieku sarakstā, kuriem ieceļošana Latvijas Republikā ir aizliegta, pieņemts, pamatojoties uz valsts drošības iestādes izlūkošanas vai pretizlūkošanas darbību rezultātā iegūto informāciju, tad pieteicēja pārstāvim izpaužamo valsts noslēpumu saturošas informācijas apjomu nosaka valsts drošības iestāde”, lūdzam papildināt ar atbilstošu informāciju anotāciju, lai viennozīmīgi būtu skaidrs, ka, pārsūdzot Imigrācijas likumā noteiktajā kārtībā </w:t>
            </w:r>
            <w:proofErr w:type="spellStart"/>
            <w:r w:rsidRPr="00290370">
              <w:rPr>
                <w:szCs w:val="22"/>
              </w:rPr>
              <w:t>iekšlietu</w:t>
            </w:r>
            <w:proofErr w:type="spellEnd"/>
            <w:r w:rsidRPr="00290370">
              <w:rPr>
                <w:szCs w:val="22"/>
              </w:rPr>
              <w:t xml:space="preserve"> ministra lēmumu, kas pieņemts, pamatojoties uz valsts drošības iestādes </w:t>
            </w:r>
            <w:r w:rsidRPr="00290370">
              <w:rPr>
                <w:szCs w:val="22"/>
                <w:u w:val="single"/>
              </w:rPr>
              <w:t>izlūkošanas vai pretizlūkošanas darbību rezultātā iegūto informāciju</w:t>
            </w:r>
            <w:r w:rsidRPr="00290370">
              <w:rPr>
                <w:szCs w:val="22"/>
              </w:rPr>
              <w:t>, Valsts drošības iestāžu likuma 3.panta septītās daļas normai ir prioritāra piemērojamība.</w:t>
            </w:r>
          </w:p>
        </w:tc>
        <w:tc>
          <w:tcPr>
            <w:tcW w:w="2977" w:type="dxa"/>
            <w:vAlign w:val="center"/>
          </w:tcPr>
          <w:p w:rsidR="006739A5" w:rsidRDefault="006739A5" w:rsidP="006739A5">
            <w:pPr>
              <w:pStyle w:val="naisf"/>
              <w:spacing w:before="0" w:after="0"/>
              <w:ind w:firstLine="0"/>
              <w:jc w:val="center"/>
              <w:rPr>
                <w:b/>
              </w:rPr>
            </w:pPr>
          </w:p>
          <w:p w:rsidR="006739A5" w:rsidRDefault="006739A5" w:rsidP="006739A5">
            <w:pPr>
              <w:pStyle w:val="naisf"/>
              <w:spacing w:before="0" w:after="0"/>
              <w:ind w:firstLine="0"/>
              <w:jc w:val="center"/>
              <w:rPr>
                <w:b/>
              </w:rPr>
            </w:pPr>
            <w:r>
              <w:rPr>
                <w:b/>
              </w:rPr>
              <w:t>Iebildums ņemts vērā</w:t>
            </w:r>
          </w:p>
        </w:tc>
        <w:tc>
          <w:tcPr>
            <w:tcW w:w="2747" w:type="dxa"/>
            <w:vAlign w:val="center"/>
          </w:tcPr>
          <w:p w:rsidR="006739A5" w:rsidRDefault="006739A5" w:rsidP="006739A5">
            <w:pPr>
              <w:ind w:firstLine="121"/>
              <w:jc w:val="center"/>
            </w:pPr>
            <w:r>
              <w:t>Projekta sākotnējās ietekmes novērtējuma ziņojums (anotācija)</w:t>
            </w:r>
          </w:p>
        </w:tc>
      </w:tr>
      <w:tr w:rsidR="006739A5" w:rsidRPr="00074F45" w:rsidTr="00AE3EB1">
        <w:trPr>
          <w:trHeight w:val="664"/>
        </w:trPr>
        <w:tc>
          <w:tcPr>
            <w:tcW w:w="588" w:type="dxa"/>
          </w:tcPr>
          <w:p w:rsidR="006739A5" w:rsidRDefault="006739A5" w:rsidP="006739A5">
            <w:pPr>
              <w:pStyle w:val="naisf"/>
              <w:spacing w:before="120" w:after="0"/>
              <w:ind w:firstLine="0"/>
              <w:jc w:val="center"/>
            </w:pPr>
          </w:p>
          <w:p w:rsidR="006739A5" w:rsidRDefault="006739A5" w:rsidP="006739A5">
            <w:pPr>
              <w:pStyle w:val="naisf"/>
              <w:spacing w:before="120" w:after="0"/>
              <w:ind w:firstLine="0"/>
              <w:jc w:val="center"/>
            </w:pPr>
          </w:p>
          <w:p w:rsidR="006739A5" w:rsidRDefault="006739A5" w:rsidP="006739A5">
            <w:pPr>
              <w:pStyle w:val="naisf"/>
              <w:spacing w:before="120" w:after="0"/>
              <w:ind w:firstLine="0"/>
              <w:jc w:val="center"/>
            </w:pPr>
          </w:p>
          <w:p w:rsidR="006739A5" w:rsidRDefault="006739A5" w:rsidP="006739A5">
            <w:pPr>
              <w:pStyle w:val="naisf"/>
              <w:spacing w:before="120" w:after="0"/>
              <w:ind w:firstLine="0"/>
              <w:jc w:val="center"/>
            </w:pPr>
          </w:p>
          <w:p w:rsidR="006739A5" w:rsidRDefault="006739A5" w:rsidP="006739A5">
            <w:pPr>
              <w:pStyle w:val="naisf"/>
              <w:spacing w:before="120" w:after="0"/>
              <w:ind w:firstLine="0"/>
              <w:jc w:val="center"/>
            </w:pPr>
          </w:p>
          <w:p w:rsidR="006739A5" w:rsidRDefault="006739A5" w:rsidP="006739A5">
            <w:pPr>
              <w:pStyle w:val="naisf"/>
              <w:spacing w:before="120" w:after="0"/>
              <w:ind w:firstLine="0"/>
              <w:jc w:val="center"/>
            </w:pPr>
          </w:p>
          <w:p w:rsidR="006739A5" w:rsidRPr="00074F45" w:rsidRDefault="006739A5" w:rsidP="006739A5">
            <w:pPr>
              <w:pStyle w:val="naisf"/>
              <w:spacing w:before="120" w:after="0"/>
              <w:ind w:firstLine="0"/>
              <w:jc w:val="center"/>
            </w:pPr>
            <w:r>
              <w:t>7.</w:t>
            </w:r>
          </w:p>
        </w:tc>
        <w:tc>
          <w:tcPr>
            <w:tcW w:w="2526" w:type="dxa"/>
          </w:tcPr>
          <w:p w:rsidR="006739A5" w:rsidRDefault="006739A5" w:rsidP="006739A5">
            <w:pPr>
              <w:spacing w:before="120"/>
              <w:ind w:firstLine="121"/>
              <w:jc w:val="center"/>
            </w:pPr>
          </w:p>
          <w:p w:rsidR="006739A5" w:rsidRDefault="006739A5" w:rsidP="006739A5">
            <w:pPr>
              <w:spacing w:before="120"/>
              <w:ind w:firstLine="121"/>
              <w:jc w:val="center"/>
            </w:pPr>
          </w:p>
          <w:p w:rsidR="006739A5" w:rsidRDefault="006739A5" w:rsidP="006739A5">
            <w:pPr>
              <w:spacing w:before="120"/>
              <w:ind w:firstLine="121"/>
              <w:jc w:val="center"/>
            </w:pPr>
          </w:p>
          <w:p w:rsidR="006739A5" w:rsidRDefault="006739A5" w:rsidP="006739A5">
            <w:pPr>
              <w:spacing w:before="120"/>
              <w:ind w:firstLine="121"/>
              <w:jc w:val="center"/>
            </w:pPr>
          </w:p>
          <w:p w:rsidR="006739A5" w:rsidRDefault="006739A5" w:rsidP="006739A5">
            <w:pPr>
              <w:spacing w:before="120"/>
              <w:ind w:firstLine="121"/>
              <w:jc w:val="center"/>
            </w:pPr>
          </w:p>
          <w:p w:rsidR="006739A5" w:rsidRDefault="006739A5" w:rsidP="006739A5">
            <w:pPr>
              <w:spacing w:before="120"/>
              <w:ind w:firstLine="121"/>
              <w:jc w:val="center"/>
            </w:pPr>
          </w:p>
          <w:p w:rsidR="006739A5" w:rsidRPr="006962DA" w:rsidRDefault="006739A5" w:rsidP="006739A5">
            <w:pPr>
              <w:spacing w:before="120"/>
              <w:jc w:val="center"/>
              <w:rPr>
                <w:highlight w:val="yellow"/>
              </w:rPr>
            </w:pPr>
            <w:r w:rsidRPr="00963B58">
              <w:t>Projekts</w:t>
            </w:r>
          </w:p>
        </w:tc>
        <w:tc>
          <w:tcPr>
            <w:tcW w:w="5670" w:type="dxa"/>
          </w:tcPr>
          <w:p w:rsidR="006739A5" w:rsidRPr="00AE3EB1" w:rsidRDefault="006739A5" w:rsidP="006739A5">
            <w:pPr>
              <w:pStyle w:val="Bodytext21"/>
              <w:shd w:val="clear" w:color="auto" w:fill="auto"/>
              <w:spacing w:before="0" w:after="0" w:line="240" w:lineRule="auto"/>
              <w:jc w:val="center"/>
              <w:rPr>
                <w:b/>
                <w:sz w:val="24"/>
                <w:szCs w:val="24"/>
              </w:rPr>
            </w:pPr>
            <w:r w:rsidRPr="00AE3EB1">
              <w:rPr>
                <w:b/>
                <w:sz w:val="24"/>
                <w:szCs w:val="24"/>
              </w:rPr>
              <w:t>Ģenerālprokuratūra</w:t>
            </w:r>
          </w:p>
          <w:p w:rsidR="006739A5" w:rsidRPr="00AE3EB1" w:rsidRDefault="006739A5" w:rsidP="006739A5">
            <w:pPr>
              <w:pStyle w:val="tv213"/>
              <w:spacing w:before="0" w:beforeAutospacing="0" w:after="0" w:afterAutospacing="0"/>
              <w:ind w:firstLine="567"/>
              <w:jc w:val="both"/>
              <w:rPr>
                <w:lang w:val="lv-LV"/>
              </w:rPr>
            </w:pPr>
            <w:r w:rsidRPr="00AE3EB1">
              <w:rPr>
                <w:lang w:val="lv-LV"/>
              </w:rPr>
              <w:t>Imigrācijas likuma 65.</w:t>
            </w:r>
            <w:r w:rsidRPr="00AE3EB1">
              <w:rPr>
                <w:vertAlign w:val="superscript"/>
                <w:lang w:val="lv-LV"/>
              </w:rPr>
              <w:t>1</w:t>
            </w:r>
            <w:r w:rsidRPr="00AE3EB1">
              <w:rPr>
                <w:lang w:val="lv-LV"/>
              </w:rPr>
              <w:t xml:space="preserve">panta otrajā daļā noteikts, ka tiesa lietu </w:t>
            </w:r>
            <w:r w:rsidRPr="00AE3EB1">
              <w:rPr>
                <w:u w:val="single"/>
                <w:lang w:val="lv-LV"/>
              </w:rPr>
              <w:t>izskata</w:t>
            </w:r>
            <w:r w:rsidRPr="00AE3EB1">
              <w:rPr>
                <w:lang w:val="lv-LV"/>
              </w:rPr>
              <w:t xml:space="preserve"> koleģiālā sastāvā </w:t>
            </w:r>
            <w:r w:rsidRPr="00AE3EB1">
              <w:rPr>
                <w:u w:val="single"/>
                <w:lang w:val="lv-LV"/>
              </w:rPr>
              <w:t>mutvārdu procesā</w:t>
            </w:r>
            <w:r w:rsidRPr="00AE3EB1">
              <w:rPr>
                <w:lang w:val="lv-LV"/>
              </w:rPr>
              <w:t xml:space="preserve">. </w:t>
            </w:r>
          </w:p>
          <w:p w:rsidR="006739A5" w:rsidRPr="00AE3EB1" w:rsidRDefault="006739A5" w:rsidP="006739A5">
            <w:pPr>
              <w:ind w:firstLine="720"/>
              <w:jc w:val="both"/>
            </w:pPr>
            <w:r w:rsidRPr="00AE3EB1">
              <w:t xml:space="preserve">Vēlamies vērst uzmanību uz to, ka tajā gadījumā, ja sarakstā iekļauts ārzemnieks, kurš Latvijas Republikā neuzturas, tad personu vispār nav iespējams uzklausīt klātienē Latvijas Republikas teritorijā, jo personai vienlaicīgi ar iekļaušanu sarakstā tiek noteikts ieceļošanas aizliegums uz noteiktu vai nenoteiktu laiku. Savukārt, ja ārzemnieks ir uzturējies Latvijas Republikā, jāņem vērā, ka </w:t>
            </w:r>
            <w:proofErr w:type="spellStart"/>
            <w:r w:rsidRPr="00AE3EB1">
              <w:t>iekšlietu</w:t>
            </w:r>
            <w:proofErr w:type="spellEnd"/>
            <w:r w:rsidRPr="00AE3EB1">
              <w:t xml:space="preserve"> ministra lēmums tiek pārsūdzēts jau pēc ārzemnieka izraidīšanas no Latvijas Republikas. Arī šajā gadījumā tiesai, izvērtējot pieteikumu, šo personu nav iespējams uzklausīt klātienē Latvijas Republikas teritorijā. </w:t>
            </w:r>
          </w:p>
          <w:p w:rsidR="006739A5" w:rsidRPr="00AE3EB1" w:rsidRDefault="006739A5" w:rsidP="006739A5">
            <w:pPr>
              <w:ind w:firstLine="720"/>
              <w:jc w:val="both"/>
            </w:pPr>
            <w:r w:rsidRPr="00AE3EB1">
              <w:t xml:space="preserve">Tāpat jāņem vērā arī Administratīvā procesa likuma 62.panta otrās daļas 3.punktā noteiktais, proti, personas viedokļa un argumentu noskaidrošana nav </w:t>
            </w:r>
            <w:r w:rsidRPr="00AE3EB1">
              <w:lastRenderedPageBreak/>
              <w:t xml:space="preserve">nepieciešama, ja no gadījuma būtības izriet, ka personas viedokļa noskaidrošana nav iespējama. </w:t>
            </w:r>
          </w:p>
          <w:p w:rsidR="006739A5" w:rsidRPr="006962DA" w:rsidRDefault="006739A5" w:rsidP="006739A5">
            <w:pPr>
              <w:ind w:firstLine="720"/>
              <w:jc w:val="both"/>
              <w:rPr>
                <w:highlight w:val="yellow"/>
                <w:u w:val="single"/>
              </w:rPr>
            </w:pPr>
            <w:r w:rsidRPr="00AE3EB1">
              <w:rPr>
                <w:u w:val="single"/>
              </w:rPr>
              <w:t>Ievērojot minēto, ierosinām paredzēt iespēju minētās lietas tiesā izskatīt rakstveida procesā</w:t>
            </w:r>
            <w:r w:rsidRPr="00AE3EB1">
              <w:t>, ja lēmumu iespējams pieņemt pēc lietā esošajiem materiāliem.</w:t>
            </w:r>
          </w:p>
        </w:tc>
        <w:tc>
          <w:tcPr>
            <w:tcW w:w="2977" w:type="dxa"/>
          </w:tcPr>
          <w:p w:rsidR="006739A5" w:rsidRPr="00657D91" w:rsidRDefault="006739A5" w:rsidP="006739A5">
            <w:pPr>
              <w:pStyle w:val="tv213"/>
              <w:spacing w:before="0" w:beforeAutospacing="0" w:after="120" w:afterAutospacing="0"/>
              <w:jc w:val="center"/>
              <w:rPr>
                <w:b/>
              </w:rPr>
            </w:pPr>
            <w:proofErr w:type="spellStart"/>
            <w:r w:rsidRPr="00657D91">
              <w:rPr>
                <w:b/>
              </w:rPr>
              <w:lastRenderedPageBreak/>
              <w:t>Iebildums</w:t>
            </w:r>
            <w:proofErr w:type="spellEnd"/>
            <w:r w:rsidRPr="00657D91">
              <w:rPr>
                <w:b/>
              </w:rPr>
              <w:t xml:space="preserve"> </w:t>
            </w:r>
            <w:proofErr w:type="spellStart"/>
            <w:r w:rsidRPr="00657D91">
              <w:rPr>
                <w:b/>
              </w:rPr>
              <w:t>ņemts</w:t>
            </w:r>
            <w:proofErr w:type="spellEnd"/>
            <w:r w:rsidRPr="00657D91">
              <w:rPr>
                <w:b/>
              </w:rPr>
              <w:t xml:space="preserve"> </w:t>
            </w:r>
            <w:proofErr w:type="spellStart"/>
            <w:r w:rsidRPr="00657D91">
              <w:rPr>
                <w:b/>
              </w:rPr>
              <w:t>vērā</w:t>
            </w:r>
            <w:proofErr w:type="spellEnd"/>
          </w:p>
          <w:p w:rsidR="006739A5" w:rsidRDefault="006739A5" w:rsidP="006739A5">
            <w:pPr>
              <w:pStyle w:val="tv213"/>
              <w:spacing w:before="0" w:beforeAutospacing="0" w:after="120" w:afterAutospacing="0"/>
              <w:jc w:val="both"/>
            </w:pPr>
            <w:proofErr w:type="spellStart"/>
            <w:r>
              <w:t>Ievērojot</w:t>
            </w:r>
            <w:proofErr w:type="spellEnd"/>
            <w:r>
              <w:t xml:space="preserve">, </w:t>
            </w:r>
            <w:proofErr w:type="spellStart"/>
            <w:r>
              <w:t>ka</w:t>
            </w:r>
            <w:proofErr w:type="spellEnd"/>
            <w:r>
              <w:t xml:space="preserve"> </w:t>
            </w:r>
            <w:proofErr w:type="spellStart"/>
            <w:r>
              <w:t>normas</w:t>
            </w:r>
            <w:proofErr w:type="spellEnd"/>
            <w:r>
              <w:t xml:space="preserve"> par </w:t>
            </w:r>
            <w:proofErr w:type="spellStart"/>
            <w:r>
              <w:t>nolēmumu</w:t>
            </w:r>
            <w:proofErr w:type="spellEnd"/>
            <w:r>
              <w:t xml:space="preserve"> </w:t>
            </w:r>
            <w:proofErr w:type="spellStart"/>
            <w:r>
              <w:t>pārsūdzību</w:t>
            </w:r>
            <w:proofErr w:type="spellEnd"/>
            <w:r>
              <w:t xml:space="preserve"> </w:t>
            </w:r>
            <w:proofErr w:type="spellStart"/>
            <w:r>
              <w:t>skatāmas</w:t>
            </w:r>
            <w:proofErr w:type="spellEnd"/>
            <w:r>
              <w:t xml:space="preserve"> </w:t>
            </w:r>
            <w:proofErr w:type="spellStart"/>
            <w:r>
              <w:t>sistēmiski</w:t>
            </w:r>
            <w:proofErr w:type="spellEnd"/>
            <w:r>
              <w:t xml:space="preserve">, </w:t>
            </w:r>
            <w:proofErr w:type="spellStart"/>
            <w:r>
              <w:t>proti</w:t>
            </w:r>
            <w:proofErr w:type="spellEnd"/>
            <w:r>
              <w:t xml:space="preserve">, </w:t>
            </w:r>
            <w:proofErr w:type="spellStart"/>
            <w:r>
              <w:t>vairākas</w:t>
            </w:r>
            <w:proofErr w:type="spellEnd"/>
            <w:r>
              <w:t xml:space="preserve"> </w:t>
            </w:r>
            <w:proofErr w:type="spellStart"/>
            <w:r>
              <w:t>Imigrācijas</w:t>
            </w:r>
            <w:proofErr w:type="spellEnd"/>
            <w:r>
              <w:t xml:space="preserve"> </w:t>
            </w:r>
            <w:proofErr w:type="spellStart"/>
            <w:r>
              <w:t>likuma</w:t>
            </w:r>
            <w:proofErr w:type="spellEnd"/>
            <w:r>
              <w:t xml:space="preserve"> </w:t>
            </w:r>
            <w:proofErr w:type="spellStart"/>
            <w:r>
              <w:t>normas</w:t>
            </w:r>
            <w:proofErr w:type="spellEnd"/>
            <w:r>
              <w:t xml:space="preserve"> </w:t>
            </w:r>
            <w:proofErr w:type="spellStart"/>
            <w:r>
              <w:t>skar</w:t>
            </w:r>
            <w:proofErr w:type="spellEnd"/>
            <w:r>
              <w:t xml:space="preserve"> </w:t>
            </w:r>
            <w:proofErr w:type="spellStart"/>
            <w:r>
              <w:t>nosacījumus</w:t>
            </w:r>
            <w:proofErr w:type="spellEnd"/>
            <w:r>
              <w:t xml:space="preserve"> par </w:t>
            </w:r>
            <w:proofErr w:type="spellStart"/>
            <w:r>
              <w:t>tiesvedības</w:t>
            </w:r>
            <w:proofErr w:type="spellEnd"/>
            <w:r>
              <w:t xml:space="preserve"> </w:t>
            </w:r>
            <w:proofErr w:type="spellStart"/>
            <w:r>
              <w:t>procesu</w:t>
            </w:r>
            <w:proofErr w:type="spellEnd"/>
            <w:r>
              <w:t xml:space="preserve">, </w:t>
            </w:r>
            <w:proofErr w:type="spellStart"/>
            <w:r>
              <w:t>tādējādi</w:t>
            </w:r>
            <w:proofErr w:type="spellEnd"/>
            <w:r>
              <w:t xml:space="preserve"> </w:t>
            </w:r>
            <w:proofErr w:type="spellStart"/>
            <w:r>
              <w:t>grozījumu</w:t>
            </w:r>
            <w:proofErr w:type="spellEnd"/>
            <w:r>
              <w:t xml:space="preserve"> </w:t>
            </w:r>
            <w:proofErr w:type="spellStart"/>
            <w:r>
              <w:t>veikšanai</w:t>
            </w:r>
            <w:proofErr w:type="spellEnd"/>
            <w:r>
              <w:t xml:space="preserve"> </w:t>
            </w:r>
            <w:proofErr w:type="spellStart"/>
            <w:r>
              <w:t>nepieciešams</w:t>
            </w:r>
            <w:proofErr w:type="spellEnd"/>
            <w:r>
              <w:t xml:space="preserve"> </w:t>
            </w:r>
            <w:proofErr w:type="spellStart"/>
            <w:r>
              <w:t>aptvert</w:t>
            </w:r>
            <w:proofErr w:type="spellEnd"/>
            <w:r>
              <w:t xml:space="preserve"> </w:t>
            </w:r>
            <w:proofErr w:type="spellStart"/>
            <w:r>
              <w:t>visu</w:t>
            </w:r>
            <w:proofErr w:type="spellEnd"/>
            <w:r>
              <w:t xml:space="preserve"> </w:t>
            </w:r>
            <w:proofErr w:type="spellStart"/>
            <w:r>
              <w:t>attiecīgo</w:t>
            </w:r>
            <w:proofErr w:type="spellEnd"/>
            <w:r>
              <w:t xml:space="preserve"> </w:t>
            </w:r>
            <w:proofErr w:type="spellStart"/>
            <w:r>
              <w:t>normu</w:t>
            </w:r>
            <w:proofErr w:type="spellEnd"/>
            <w:r>
              <w:t xml:space="preserve"> </w:t>
            </w:r>
            <w:proofErr w:type="spellStart"/>
            <w:r>
              <w:t>kopumu</w:t>
            </w:r>
            <w:proofErr w:type="spellEnd"/>
            <w:r>
              <w:t xml:space="preserve">, </w:t>
            </w:r>
            <w:proofErr w:type="spellStart"/>
            <w:r>
              <w:t>līdz</w:t>
            </w:r>
            <w:proofErr w:type="spellEnd"/>
            <w:r>
              <w:t xml:space="preserve"> </w:t>
            </w:r>
            <w:proofErr w:type="spellStart"/>
            <w:r>
              <w:t>ar</w:t>
            </w:r>
            <w:proofErr w:type="spellEnd"/>
            <w:r>
              <w:t xml:space="preserve"> to, </w:t>
            </w:r>
            <w:proofErr w:type="spellStart"/>
            <w:r>
              <w:t>ņemot</w:t>
            </w:r>
            <w:proofErr w:type="spellEnd"/>
            <w:r>
              <w:t xml:space="preserve"> </w:t>
            </w:r>
            <w:proofErr w:type="spellStart"/>
            <w:r>
              <w:t>vērā</w:t>
            </w:r>
            <w:proofErr w:type="spellEnd"/>
            <w:r>
              <w:t xml:space="preserve"> </w:t>
            </w:r>
            <w:proofErr w:type="spellStart"/>
            <w:r>
              <w:t>Ģenerālprokuratūras</w:t>
            </w:r>
            <w:proofErr w:type="spellEnd"/>
            <w:r>
              <w:t xml:space="preserve"> </w:t>
            </w:r>
            <w:proofErr w:type="spellStart"/>
            <w:r>
              <w:t>iebildumu</w:t>
            </w:r>
            <w:proofErr w:type="spellEnd"/>
            <w:r>
              <w:t xml:space="preserve"> par </w:t>
            </w:r>
            <w:proofErr w:type="spellStart"/>
            <w:r>
              <w:t>nepieciešamību</w:t>
            </w:r>
            <w:proofErr w:type="spellEnd"/>
            <w:r>
              <w:t xml:space="preserve"> </w:t>
            </w:r>
            <w:proofErr w:type="spellStart"/>
            <w:r>
              <w:t>izslēgt</w:t>
            </w:r>
            <w:proofErr w:type="spellEnd"/>
            <w:r>
              <w:t xml:space="preserve"> </w:t>
            </w:r>
            <w:proofErr w:type="spellStart"/>
            <w:r>
              <w:t>nosacījumus</w:t>
            </w:r>
            <w:proofErr w:type="spellEnd"/>
            <w:r>
              <w:t xml:space="preserve"> par </w:t>
            </w:r>
            <w:proofErr w:type="spellStart"/>
            <w:r>
              <w:t>noteikta</w:t>
            </w:r>
            <w:proofErr w:type="spellEnd"/>
            <w:r>
              <w:t xml:space="preserve"> </w:t>
            </w:r>
            <w:proofErr w:type="spellStart"/>
            <w:r>
              <w:t>procesa</w:t>
            </w:r>
            <w:proofErr w:type="spellEnd"/>
            <w:r>
              <w:t xml:space="preserve"> </w:t>
            </w:r>
            <w:proofErr w:type="spellStart"/>
            <w:r>
              <w:t>veidu</w:t>
            </w:r>
            <w:proofErr w:type="spellEnd"/>
            <w:r>
              <w:t xml:space="preserve">, </w:t>
            </w:r>
            <w:proofErr w:type="spellStart"/>
            <w:r>
              <w:t>kā</w:t>
            </w:r>
            <w:proofErr w:type="spellEnd"/>
            <w:r>
              <w:t xml:space="preserve"> </w:t>
            </w:r>
            <w:proofErr w:type="spellStart"/>
            <w:r>
              <w:t>arī</w:t>
            </w:r>
            <w:proofErr w:type="spellEnd"/>
            <w:r>
              <w:t xml:space="preserve">  </w:t>
            </w:r>
            <w:proofErr w:type="spellStart"/>
            <w:r>
              <w:t>projekta</w:t>
            </w:r>
            <w:proofErr w:type="spellEnd"/>
            <w:r>
              <w:t xml:space="preserve"> par </w:t>
            </w:r>
            <w:proofErr w:type="spellStart"/>
            <w:r>
              <w:t>grozījumu</w:t>
            </w:r>
            <w:proofErr w:type="spellEnd"/>
            <w:r>
              <w:t xml:space="preserve"> </w:t>
            </w:r>
            <w:proofErr w:type="spellStart"/>
            <w:r>
              <w:t>veikšanas</w:t>
            </w:r>
            <w:proofErr w:type="spellEnd"/>
            <w:r>
              <w:t xml:space="preserve"> </w:t>
            </w:r>
            <w:proofErr w:type="spellStart"/>
            <w:r>
              <w:t>Imigrācijas</w:t>
            </w:r>
            <w:proofErr w:type="spellEnd"/>
            <w:r>
              <w:t xml:space="preserve"> </w:t>
            </w:r>
            <w:proofErr w:type="spellStart"/>
            <w:r>
              <w:t>likumā</w:t>
            </w:r>
            <w:proofErr w:type="spellEnd"/>
            <w:r>
              <w:t xml:space="preserve"> </w:t>
            </w:r>
            <w:proofErr w:type="spellStart"/>
            <w:r>
              <w:t>saistībā</w:t>
            </w:r>
            <w:proofErr w:type="spellEnd"/>
            <w:r>
              <w:t xml:space="preserve"> </w:t>
            </w:r>
            <w:proofErr w:type="spellStart"/>
            <w:r>
              <w:t>ar</w:t>
            </w:r>
            <w:proofErr w:type="spellEnd"/>
            <w:r>
              <w:t xml:space="preserve"> </w:t>
            </w:r>
            <w:proofErr w:type="spellStart"/>
            <w:r>
              <w:t>minēto</w:t>
            </w:r>
            <w:proofErr w:type="spellEnd"/>
            <w:r>
              <w:t xml:space="preserve"> </w:t>
            </w:r>
            <w:proofErr w:type="spellStart"/>
            <w:r>
              <w:lastRenderedPageBreak/>
              <w:t>Satversmes</w:t>
            </w:r>
            <w:proofErr w:type="spellEnd"/>
            <w:r>
              <w:t xml:space="preserve"> </w:t>
            </w:r>
            <w:proofErr w:type="spellStart"/>
            <w:r>
              <w:t>tiesas</w:t>
            </w:r>
            <w:proofErr w:type="spellEnd"/>
            <w:r>
              <w:t xml:space="preserve"> </w:t>
            </w:r>
            <w:proofErr w:type="spellStart"/>
            <w:r>
              <w:t>spriedumu</w:t>
            </w:r>
            <w:proofErr w:type="spellEnd"/>
            <w:r>
              <w:t xml:space="preserve"> </w:t>
            </w:r>
            <w:proofErr w:type="spellStart"/>
            <w:r>
              <w:t>steidzamību</w:t>
            </w:r>
            <w:proofErr w:type="spellEnd"/>
            <w:r>
              <w:t xml:space="preserve">, </w:t>
            </w:r>
            <w:proofErr w:type="spellStart"/>
            <w:r>
              <w:t>attiecīgie</w:t>
            </w:r>
            <w:proofErr w:type="spellEnd"/>
            <w:r>
              <w:t xml:space="preserve"> </w:t>
            </w:r>
            <w:proofErr w:type="spellStart"/>
            <w:r>
              <w:t>grozījumi</w:t>
            </w:r>
            <w:proofErr w:type="spellEnd"/>
            <w:r>
              <w:t xml:space="preserve"> </w:t>
            </w:r>
            <w:proofErr w:type="spellStart"/>
            <w:r>
              <w:t>ir</w:t>
            </w:r>
            <w:proofErr w:type="spellEnd"/>
            <w:r>
              <w:t xml:space="preserve"> </w:t>
            </w:r>
            <w:proofErr w:type="spellStart"/>
            <w:r>
              <w:t>ietverti</w:t>
            </w:r>
            <w:proofErr w:type="spellEnd"/>
            <w:r>
              <w:t xml:space="preserve"> </w:t>
            </w:r>
            <w:proofErr w:type="spellStart"/>
            <w:r>
              <w:t>likumprojektā</w:t>
            </w:r>
            <w:proofErr w:type="spellEnd"/>
            <w:r>
              <w:t xml:space="preserve"> “</w:t>
            </w:r>
            <w:proofErr w:type="spellStart"/>
            <w:r>
              <w:t>Imigrācijas</w:t>
            </w:r>
            <w:proofErr w:type="spellEnd"/>
            <w:r>
              <w:t xml:space="preserve"> </w:t>
            </w:r>
            <w:proofErr w:type="spellStart"/>
            <w:r>
              <w:t>likums</w:t>
            </w:r>
            <w:proofErr w:type="spellEnd"/>
            <w:r>
              <w:t>” (</w:t>
            </w:r>
            <w:proofErr w:type="spellStart"/>
            <w:r>
              <w:t>izsludināts</w:t>
            </w:r>
            <w:proofErr w:type="spellEnd"/>
            <w:r>
              <w:t xml:space="preserve"> </w:t>
            </w:r>
            <w:proofErr w:type="spellStart"/>
            <w:r>
              <w:t>Valsts</w:t>
            </w:r>
            <w:proofErr w:type="spellEnd"/>
            <w:r>
              <w:t xml:space="preserve"> </w:t>
            </w:r>
            <w:proofErr w:type="spellStart"/>
            <w:r>
              <w:t>sekretāru</w:t>
            </w:r>
            <w:proofErr w:type="spellEnd"/>
            <w:r>
              <w:t xml:space="preserve"> </w:t>
            </w:r>
            <w:proofErr w:type="spellStart"/>
            <w:r>
              <w:t>sanāksmē</w:t>
            </w:r>
            <w:proofErr w:type="spellEnd"/>
            <w:r>
              <w:t xml:space="preserve"> 2020.gada 2. </w:t>
            </w:r>
            <w:proofErr w:type="spellStart"/>
            <w:r>
              <w:t>jūlijā</w:t>
            </w:r>
            <w:proofErr w:type="spellEnd"/>
            <w:r>
              <w:t xml:space="preserve"> - VSS-545), jo </w:t>
            </w:r>
            <w:proofErr w:type="spellStart"/>
            <w:r>
              <w:t>minētais</w:t>
            </w:r>
            <w:proofErr w:type="spellEnd"/>
            <w:r>
              <w:t xml:space="preserve"> </w:t>
            </w:r>
            <w:proofErr w:type="spellStart"/>
            <w:r>
              <w:t>likumprojekts</w:t>
            </w:r>
            <w:proofErr w:type="spellEnd"/>
            <w:r>
              <w:t xml:space="preserve"> </w:t>
            </w:r>
            <w:proofErr w:type="spellStart"/>
            <w:r>
              <w:t>aptver</w:t>
            </w:r>
            <w:proofErr w:type="spellEnd"/>
            <w:r>
              <w:t xml:space="preserve"> </w:t>
            </w:r>
            <w:proofErr w:type="spellStart"/>
            <w:r>
              <w:t>visu</w:t>
            </w:r>
            <w:proofErr w:type="spellEnd"/>
            <w:r>
              <w:t xml:space="preserve"> </w:t>
            </w:r>
            <w:proofErr w:type="spellStart"/>
            <w:r>
              <w:t>attiecīgo</w:t>
            </w:r>
            <w:proofErr w:type="spellEnd"/>
            <w:r>
              <w:t xml:space="preserve"> </w:t>
            </w:r>
            <w:proofErr w:type="spellStart"/>
            <w:r>
              <w:t>normu</w:t>
            </w:r>
            <w:proofErr w:type="spellEnd"/>
            <w:r>
              <w:t xml:space="preserve"> </w:t>
            </w:r>
            <w:proofErr w:type="spellStart"/>
            <w:r>
              <w:t>kopumu</w:t>
            </w:r>
            <w:proofErr w:type="spellEnd"/>
            <w:r>
              <w:t xml:space="preserve">. </w:t>
            </w:r>
            <w:proofErr w:type="spellStart"/>
            <w:r>
              <w:t>Proti</w:t>
            </w:r>
            <w:proofErr w:type="spellEnd"/>
            <w:r>
              <w:t xml:space="preserve">, </w:t>
            </w:r>
            <w:proofErr w:type="spellStart"/>
            <w:r>
              <w:t>iekšlietu</w:t>
            </w:r>
            <w:proofErr w:type="spellEnd"/>
            <w:r>
              <w:t xml:space="preserve"> </w:t>
            </w:r>
            <w:proofErr w:type="spellStart"/>
            <w:r>
              <w:t>ministra</w:t>
            </w:r>
            <w:proofErr w:type="spellEnd"/>
            <w:r>
              <w:t xml:space="preserve"> </w:t>
            </w:r>
            <w:proofErr w:type="spellStart"/>
            <w:r>
              <w:t>pieņemtie</w:t>
            </w:r>
            <w:proofErr w:type="spellEnd"/>
            <w:r>
              <w:t xml:space="preserve"> </w:t>
            </w:r>
            <w:proofErr w:type="spellStart"/>
            <w:r>
              <w:t>lēmumi</w:t>
            </w:r>
            <w:proofErr w:type="spellEnd"/>
            <w:r>
              <w:t xml:space="preserve"> </w:t>
            </w:r>
            <w:proofErr w:type="spellStart"/>
            <w:r>
              <w:t>ir</w:t>
            </w:r>
            <w:proofErr w:type="spellEnd"/>
            <w:r>
              <w:t xml:space="preserve"> </w:t>
            </w:r>
            <w:proofErr w:type="spellStart"/>
            <w:r>
              <w:t>pārsūdzami</w:t>
            </w:r>
            <w:proofErr w:type="spellEnd"/>
            <w:r>
              <w:t xml:space="preserve"> </w:t>
            </w:r>
            <w:proofErr w:type="spellStart"/>
            <w:r>
              <w:t>tiesā</w:t>
            </w:r>
            <w:proofErr w:type="spellEnd"/>
            <w:r>
              <w:t xml:space="preserve"> ne </w:t>
            </w:r>
            <w:proofErr w:type="spellStart"/>
            <w:r>
              <w:t>tikai</w:t>
            </w:r>
            <w:proofErr w:type="spellEnd"/>
            <w:r>
              <w:t xml:space="preserve"> </w:t>
            </w:r>
            <w:proofErr w:type="spellStart"/>
            <w:r>
              <w:t>gadījumos</w:t>
            </w:r>
            <w:proofErr w:type="spellEnd"/>
            <w:r>
              <w:t xml:space="preserve">, </w:t>
            </w:r>
            <w:proofErr w:type="spellStart"/>
            <w:r>
              <w:t>kad</w:t>
            </w:r>
            <w:proofErr w:type="spellEnd"/>
            <w:r>
              <w:t xml:space="preserve"> to </w:t>
            </w:r>
            <w:proofErr w:type="spellStart"/>
            <w:r>
              <w:t>pamatā</w:t>
            </w:r>
            <w:proofErr w:type="spellEnd"/>
            <w:r>
              <w:t xml:space="preserve"> </w:t>
            </w:r>
            <w:proofErr w:type="spellStart"/>
            <w:r>
              <w:t>ir</w:t>
            </w:r>
            <w:proofErr w:type="spellEnd"/>
            <w:r>
              <w:t xml:space="preserve"> </w:t>
            </w:r>
            <w:proofErr w:type="spellStart"/>
            <w:r>
              <w:t>valsts</w:t>
            </w:r>
            <w:proofErr w:type="spellEnd"/>
            <w:r>
              <w:t xml:space="preserve"> </w:t>
            </w:r>
            <w:proofErr w:type="spellStart"/>
            <w:r>
              <w:t>drošības</w:t>
            </w:r>
            <w:proofErr w:type="spellEnd"/>
            <w:r>
              <w:t xml:space="preserve"> </w:t>
            </w:r>
            <w:proofErr w:type="spellStart"/>
            <w:r>
              <w:t>iestāžu</w:t>
            </w:r>
            <w:proofErr w:type="spellEnd"/>
            <w:r>
              <w:t xml:space="preserve"> </w:t>
            </w:r>
            <w:proofErr w:type="spellStart"/>
            <w:r>
              <w:t>sniegtā</w:t>
            </w:r>
            <w:proofErr w:type="spellEnd"/>
            <w:r>
              <w:t xml:space="preserve"> </w:t>
            </w:r>
            <w:proofErr w:type="spellStart"/>
            <w:r>
              <w:t>informācija</w:t>
            </w:r>
            <w:proofErr w:type="spellEnd"/>
            <w:r>
              <w:t xml:space="preserve">, </w:t>
            </w:r>
            <w:proofErr w:type="spellStart"/>
            <w:r>
              <w:t>kas</w:t>
            </w:r>
            <w:proofErr w:type="spellEnd"/>
            <w:r>
              <w:t xml:space="preserve"> </w:t>
            </w:r>
            <w:proofErr w:type="spellStart"/>
            <w:r>
              <w:t>iegūta</w:t>
            </w:r>
            <w:proofErr w:type="spellEnd"/>
            <w:r>
              <w:t xml:space="preserve"> </w:t>
            </w:r>
            <w:proofErr w:type="spellStart"/>
            <w:r>
              <w:t>izlūkošanas</w:t>
            </w:r>
            <w:proofErr w:type="spellEnd"/>
            <w:r>
              <w:t xml:space="preserve"> </w:t>
            </w:r>
            <w:proofErr w:type="spellStart"/>
            <w:r>
              <w:t>vai</w:t>
            </w:r>
            <w:proofErr w:type="spellEnd"/>
            <w:r>
              <w:t xml:space="preserve"> </w:t>
            </w:r>
            <w:proofErr w:type="spellStart"/>
            <w:r>
              <w:t>pretīzlukošas</w:t>
            </w:r>
            <w:proofErr w:type="spellEnd"/>
            <w:r>
              <w:t xml:space="preserve"> </w:t>
            </w:r>
            <w:proofErr w:type="spellStart"/>
            <w:r>
              <w:t>ceļā</w:t>
            </w:r>
            <w:proofErr w:type="spellEnd"/>
            <w:r>
              <w:t xml:space="preserve">, bet </w:t>
            </w:r>
            <w:proofErr w:type="spellStart"/>
            <w:r>
              <w:t>arī</w:t>
            </w:r>
            <w:proofErr w:type="spellEnd"/>
            <w:r>
              <w:t xml:space="preserve"> tad, </w:t>
            </w:r>
            <w:proofErr w:type="spellStart"/>
            <w:r>
              <w:t>kad</w:t>
            </w:r>
            <w:proofErr w:type="spellEnd"/>
            <w:r>
              <w:t xml:space="preserve"> </w:t>
            </w:r>
            <w:proofErr w:type="spellStart"/>
            <w:r>
              <w:t>minēto</w:t>
            </w:r>
            <w:proofErr w:type="spellEnd"/>
            <w:r>
              <w:t xml:space="preserve"> </w:t>
            </w:r>
            <w:proofErr w:type="spellStart"/>
            <w:r>
              <w:t>lēmumu</w:t>
            </w:r>
            <w:proofErr w:type="spellEnd"/>
            <w:r>
              <w:t xml:space="preserve"> </w:t>
            </w:r>
            <w:proofErr w:type="spellStart"/>
            <w:r>
              <w:t>pamatā</w:t>
            </w:r>
            <w:proofErr w:type="spellEnd"/>
            <w:r>
              <w:t xml:space="preserve">, </w:t>
            </w:r>
            <w:proofErr w:type="spellStart"/>
            <w:r>
              <w:t>nav</w:t>
            </w:r>
            <w:proofErr w:type="spellEnd"/>
            <w:r>
              <w:t xml:space="preserve"> </w:t>
            </w:r>
            <w:proofErr w:type="spellStart"/>
            <w:r>
              <w:t>attiecīgas</w:t>
            </w:r>
            <w:proofErr w:type="spellEnd"/>
            <w:r>
              <w:t xml:space="preserve"> </w:t>
            </w:r>
            <w:proofErr w:type="spellStart"/>
            <w:r>
              <w:t>informācijas</w:t>
            </w:r>
            <w:proofErr w:type="spellEnd"/>
            <w:r>
              <w:t xml:space="preserve">. </w:t>
            </w:r>
            <w:proofErr w:type="spellStart"/>
            <w:r>
              <w:t>Līdz</w:t>
            </w:r>
            <w:proofErr w:type="spellEnd"/>
            <w:r>
              <w:t xml:space="preserve"> </w:t>
            </w:r>
            <w:proofErr w:type="spellStart"/>
            <w:r>
              <w:t>ar</w:t>
            </w:r>
            <w:proofErr w:type="spellEnd"/>
            <w:r>
              <w:t xml:space="preserve"> to </w:t>
            </w:r>
            <w:proofErr w:type="spellStart"/>
            <w:r>
              <w:t>visi</w:t>
            </w:r>
            <w:proofErr w:type="spellEnd"/>
            <w:r>
              <w:t xml:space="preserve"> </w:t>
            </w:r>
            <w:proofErr w:type="spellStart"/>
            <w:r>
              <w:t>tiesvedības</w:t>
            </w:r>
            <w:proofErr w:type="spellEnd"/>
            <w:r>
              <w:t xml:space="preserve"> </w:t>
            </w:r>
            <w:proofErr w:type="spellStart"/>
            <w:r>
              <w:t>procesi</w:t>
            </w:r>
            <w:proofErr w:type="spellEnd"/>
            <w:r>
              <w:t xml:space="preserve"> </w:t>
            </w:r>
            <w:proofErr w:type="spellStart"/>
            <w:r>
              <w:t>skatāmi</w:t>
            </w:r>
            <w:proofErr w:type="spellEnd"/>
            <w:r>
              <w:t xml:space="preserve"> to </w:t>
            </w:r>
            <w:proofErr w:type="spellStart"/>
            <w:r>
              <w:t>kopumā</w:t>
            </w:r>
            <w:proofErr w:type="spellEnd"/>
            <w:r>
              <w:t>.</w:t>
            </w:r>
          </w:p>
          <w:p w:rsidR="006739A5" w:rsidRPr="00836724" w:rsidRDefault="006739A5" w:rsidP="006739A5">
            <w:pPr>
              <w:pStyle w:val="tv213"/>
              <w:spacing w:before="0" w:beforeAutospacing="0" w:after="120" w:afterAutospacing="0"/>
              <w:jc w:val="both"/>
            </w:pPr>
            <w:proofErr w:type="spellStart"/>
            <w:r>
              <w:t>Attiecīgi</w:t>
            </w:r>
            <w:proofErr w:type="spellEnd"/>
            <w:r>
              <w:t xml:space="preserve"> </w:t>
            </w:r>
            <w:proofErr w:type="spellStart"/>
            <w:r>
              <w:t>likumprojekta</w:t>
            </w:r>
            <w:proofErr w:type="spellEnd"/>
            <w:r>
              <w:t xml:space="preserve"> “</w:t>
            </w:r>
            <w:proofErr w:type="spellStart"/>
            <w:r>
              <w:t>Imigrācijas</w:t>
            </w:r>
            <w:proofErr w:type="spellEnd"/>
            <w:r>
              <w:t xml:space="preserve"> </w:t>
            </w:r>
            <w:proofErr w:type="spellStart"/>
            <w:r>
              <w:t>likums</w:t>
            </w:r>
            <w:proofErr w:type="spellEnd"/>
            <w:r>
              <w:t>” (</w:t>
            </w:r>
            <w:proofErr w:type="spellStart"/>
            <w:r>
              <w:t>izsludināts</w:t>
            </w:r>
            <w:proofErr w:type="spellEnd"/>
            <w:r>
              <w:t xml:space="preserve"> </w:t>
            </w:r>
            <w:proofErr w:type="spellStart"/>
            <w:r>
              <w:t>Valsts</w:t>
            </w:r>
            <w:proofErr w:type="spellEnd"/>
            <w:r>
              <w:t xml:space="preserve"> </w:t>
            </w:r>
            <w:proofErr w:type="spellStart"/>
            <w:r>
              <w:t>sekretāru</w:t>
            </w:r>
            <w:proofErr w:type="spellEnd"/>
            <w:r>
              <w:t xml:space="preserve"> </w:t>
            </w:r>
            <w:proofErr w:type="spellStart"/>
            <w:r>
              <w:t>sanāksmē</w:t>
            </w:r>
            <w:proofErr w:type="spellEnd"/>
            <w:r>
              <w:t xml:space="preserve"> 2020.gada 2.jūlijā- VSS-545) X </w:t>
            </w:r>
            <w:proofErr w:type="spellStart"/>
            <w:r>
              <w:t>nodaļa</w:t>
            </w:r>
            <w:proofErr w:type="spellEnd"/>
            <w:r>
              <w:t xml:space="preserve"> </w:t>
            </w:r>
            <w:proofErr w:type="spellStart"/>
            <w:r>
              <w:t>nosaka</w:t>
            </w:r>
            <w:proofErr w:type="spellEnd"/>
            <w:r>
              <w:t>:</w:t>
            </w:r>
          </w:p>
          <w:p w:rsidR="006739A5" w:rsidRPr="00836724" w:rsidRDefault="006739A5" w:rsidP="006739A5">
            <w:pPr>
              <w:pStyle w:val="tv213"/>
              <w:spacing w:before="0" w:beforeAutospacing="0" w:after="120" w:afterAutospacing="0"/>
              <w:jc w:val="both"/>
            </w:pPr>
            <w:r>
              <w:rPr>
                <w:b/>
              </w:rPr>
              <w:t>“</w:t>
            </w:r>
            <w:r w:rsidRPr="00836724">
              <w:rPr>
                <w:b/>
              </w:rPr>
              <w:t>98.pants.</w:t>
            </w:r>
            <w:r w:rsidRPr="00836724">
              <w:t xml:space="preserve"> (1) </w:t>
            </w:r>
            <w:proofErr w:type="spellStart"/>
            <w:r w:rsidRPr="00836724">
              <w:t>Augstākās</w:t>
            </w:r>
            <w:proofErr w:type="spellEnd"/>
            <w:r w:rsidRPr="00836724">
              <w:t xml:space="preserve"> </w:t>
            </w:r>
            <w:proofErr w:type="spellStart"/>
            <w:r w:rsidRPr="00836724">
              <w:t>tiesas</w:t>
            </w:r>
            <w:proofErr w:type="spellEnd"/>
            <w:r w:rsidRPr="00836724">
              <w:t xml:space="preserve"> </w:t>
            </w:r>
            <w:proofErr w:type="spellStart"/>
            <w:r w:rsidRPr="00836724">
              <w:t>Administratīvo</w:t>
            </w:r>
            <w:proofErr w:type="spellEnd"/>
            <w:r w:rsidRPr="00836724">
              <w:t xml:space="preserve"> </w:t>
            </w:r>
            <w:proofErr w:type="spellStart"/>
            <w:r w:rsidRPr="00836724">
              <w:t>lietu</w:t>
            </w:r>
            <w:proofErr w:type="spellEnd"/>
            <w:r w:rsidRPr="00836724">
              <w:t xml:space="preserve"> </w:t>
            </w:r>
            <w:proofErr w:type="spellStart"/>
            <w:r w:rsidRPr="00836724">
              <w:t>departaments</w:t>
            </w:r>
            <w:proofErr w:type="spellEnd"/>
            <w:r w:rsidRPr="00836724">
              <w:t xml:space="preserve"> </w:t>
            </w:r>
            <w:proofErr w:type="spellStart"/>
            <w:r w:rsidRPr="00836724">
              <w:t>lietu</w:t>
            </w:r>
            <w:proofErr w:type="spellEnd"/>
            <w:r w:rsidRPr="00836724">
              <w:t xml:space="preserve">, </w:t>
            </w:r>
            <w:proofErr w:type="spellStart"/>
            <w:r w:rsidRPr="00836724">
              <w:t>kas</w:t>
            </w:r>
            <w:proofErr w:type="spellEnd"/>
            <w:r w:rsidRPr="00836724">
              <w:t xml:space="preserve"> </w:t>
            </w:r>
            <w:proofErr w:type="spellStart"/>
            <w:r w:rsidRPr="00836724">
              <w:lastRenderedPageBreak/>
              <w:t>ierosināta</w:t>
            </w:r>
            <w:proofErr w:type="spellEnd"/>
            <w:r w:rsidRPr="00836724">
              <w:t xml:space="preserve">, </w:t>
            </w:r>
            <w:proofErr w:type="spellStart"/>
            <w:r w:rsidRPr="00836724">
              <w:t>pamatojoties</w:t>
            </w:r>
            <w:proofErr w:type="spellEnd"/>
            <w:r w:rsidRPr="00836724">
              <w:t xml:space="preserve"> </w:t>
            </w:r>
            <w:proofErr w:type="spellStart"/>
            <w:r w:rsidRPr="00836724">
              <w:t>uz</w:t>
            </w:r>
            <w:proofErr w:type="spellEnd"/>
            <w:r w:rsidRPr="00836724">
              <w:t xml:space="preserve"> </w:t>
            </w:r>
            <w:proofErr w:type="spellStart"/>
            <w:r w:rsidRPr="00836724">
              <w:t>pieteikumu</w:t>
            </w:r>
            <w:proofErr w:type="spellEnd"/>
            <w:r w:rsidRPr="00836724">
              <w:t xml:space="preserve"> par </w:t>
            </w:r>
            <w:proofErr w:type="spellStart"/>
            <w:r w:rsidRPr="00836724">
              <w:t>saskaņā</w:t>
            </w:r>
            <w:proofErr w:type="spellEnd"/>
            <w:r w:rsidRPr="00836724">
              <w:t xml:space="preserve"> </w:t>
            </w:r>
            <w:proofErr w:type="spellStart"/>
            <w:r w:rsidRPr="00836724">
              <w:t>ar</w:t>
            </w:r>
            <w:proofErr w:type="spellEnd"/>
            <w:r w:rsidRPr="00836724">
              <w:t xml:space="preserve"> </w:t>
            </w:r>
            <w:proofErr w:type="spellStart"/>
            <w:r w:rsidRPr="00836724">
              <w:t>šo</w:t>
            </w:r>
            <w:proofErr w:type="spellEnd"/>
            <w:r w:rsidRPr="00836724">
              <w:t xml:space="preserve"> </w:t>
            </w:r>
            <w:proofErr w:type="spellStart"/>
            <w:r w:rsidRPr="00836724">
              <w:t>likumu</w:t>
            </w:r>
            <w:proofErr w:type="spellEnd"/>
            <w:r w:rsidRPr="00836724">
              <w:t xml:space="preserve"> </w:t>
            </w:r>
            <w:proofErr w:type="spellStart"/>
            <w:r w:rsidRPr="00836724">
              <w:t>pieņemtu</w:t>
            </w:r>
            <w:proofErr w:type="spellEnd"/>
            <w:r w:rsidRPr="00836724">
              <w:t xml:space="preserve"> </w:t>
            </w:r>
            <w:proofErr w:type="spellStart"/>
            <w:r w:rsidRPr="00836724">
              <w:t>lēmumu</w:t>
            </w:r>
            <w:proofErr w:type="spellEnd"/>
            <w:r w:rsidRPr="00836724">
              <w:t xml:space="preserve">, </w:t>
            </w:r>
            <w:proofErr w:type="spellStart"/>
            <w:r w:rsidRPr="00836724">
              <w:t>kas</w:t>
            </w:r>
            <w:proofErr w:type="spellEnd"/>
            <w:r w:rsidRPr="00836724">
              <w:t xml:space="preserve"> </w:t>
            </w:r>
            <w:proofErr w:type="spellStart"/>
            <w:r w:rsidRPr="00836724">
              <w:t>pamatots</w:t>
            </w:r>
            <w:proofErr w:type="spellEnd"/>
            <w:r w:rsidRPr="00836724">
              <w:t xml:space="preserve"> </w:t>
            </w:r>
            <w:proofErr w:type="spellStart"/>
            <w:r w:rsidRPr="00836724">
              <w:t>ar</w:t>
            </w:r>
            <w:proofErr w:type="spellEnd"/>
            <w:r w:rsidRPr="00836724">
              <w:t xml:space="preserve"> </w:t>
            </w:r>
            <w:proofErr w:type="spellStart"/>
            <w:r w:rsidRPr="00836724">
              <w:t>kompetentas</w:t>
            </w:r>
            <w:proofErr w:type="spellEnd"/>
            <w:r w:rsidRPr="00836724">
              <w:t xml:space="preserve"> </w:t>
            </w:r>
            <w:proofErr w:type="spellStart"/>
            <w:r w:rsidRPr="00836724">
              <w:t>valsts</w:t>
            </w:r>
            <w:proofErr w:type="spellEnd"/>
            <w:r w:rsidRPr="00836724">
              <w:t xml:space="preserve"> </w:t>
            </w:r>
            <w:proofErr w:type="spellStart"/>
            <w:r w:rsidRPr="00836724">
              <w:t>iestādes</w:t>
            </w:r>
            <w:proofErr w:type="spellEnd"/>
            <w:r w:rsidRPr="00836724">
              <w:t xml:space="preserve"> </w:t>
            </w:r>
            <w:proofErr w:type="spellStart"/>
            <w:r w:rsidRPr="00836724">
              <w:t>sniegto</w:t>
            </w:r>
            <w:proofErr w:type="spellEnd"/>
            <w:r w:rsidRPr="00836724">
              <w:t xml:space="preserve"> </w:t>
            </w:r>
            <w:proofErr w:type="spellStart"/>
            <w:r w:rsidRPr="00836724">
              <w:t>atzinumu</w:t>
            </w:r>
            <w:proofErr w:type="spellEnd"/>
            <w:r w:rsidRPr="00836724">
              <w:t xml:space="preserve"> par </w:t>
            </w:r>
            <w:proofErr w:type="spellStart"/>
            <w:r w:rsidRPr="00836724">
              <w:t>iespējamiem</w:t>
            </w:r>
            <w:proofErr w:type="spellEnd"/>
            <w:r w:rsidRPr="00836724">
              <w:t xml:space="preserve"> </w:t>
            </w:r>
            <w:proofErr w:type="spellStart"/>
            <w:r w:rsidRPr="00836724">
              <w:t>draudiem</w:t>
            </w:r>
            <w:proofErr w:type="spellEnd"/>
            <w:r w:rsidRPr="00836724">
              <w:t xml:space="preserve"> </w:t>
            </w:r>
            <w:proofErr w:type="spellStart"/>
            <w:r w:rsidRPr="00836724">
              <w:t>valsts</w:t>
            </w:r>
            <w:proofErr w:type="spellEnd"/>
            <w:r w:rsidRPr="00836724">
              <w:t xml:space="preserve"> </w:t>
            </w:r>
            <w:proofErr w:type="spellStart"/>
            <w:r w:rsidRPr="00836724">
              <w:t>drošībai</w:t>
            </w:r>
            <w:proofErr w:type="spellEnd"/>
            <w:r w:rsidRPr="00836724">
              <w:t xml:space="preserve"> </w:t>
            </w:r>
            <w:proofErr w:type="spellStart"/>
            <w:r w:rsidRPr="00836724">
              <w:t>vai</w:t>
            </w:r>
            <w:proofErr w:type="spellEnd"/>
            <w:r w:rsidRPr="00836724">
              <w:t xml:space="preserve"> </w:t>
            </w:r>
            <w:proofErr w:type="spellStart"/>
            <w:r w:rsidRPr="00836724">
              <w:t>sabiedriskajai</w:t>
            </w:r>
            <w:proofErr w:type="spellEnd"/>
            <w:r w:rsidRPr="00836724">
              <w:t xml:space="preserve"> </w:t>
            </w:r>
            <w:proofErr w:type="spellStart"/>
            <w:r w:rsidRPr="00836724">
              <w:t>kārtībai</w:t>
            </w:r>
            <w:proofErr w:type="spellEnd"/>
            <w:r w:rsidRPr="00836724">
              <w:t xml:space="preserve"> </w:t>
            </w:r>
            <w:proofErr w:type="spellStart"/>
            <w:r w:rsidRPr="00836724">
              <w:t>vai</w:t>
            </w:r>
            <w:proofErr w:type="spellEnd"/>
            <w:r w:rsidRPr="00836724">
              <w:t xml:space="preserve"> </w:t>
            </w:r>
            <w:proofErr w:type="spellStart"/>
            <w:r w:rsidRPr="00836724">
              <w:t>drošībai</w:t>
            </w:r>
            <w:proofErr w:type="spellEnd"/>
            <w:r w:rsidRPr="00836724">
              <w:t xml:space="preserve"> un </w:t>
            </w:r>
            <w:proofErr w:type="spellStart"/>
            <w:r w:rsidRPr="00836724">
              <w:t>kas</w:t>
            </w:r>
            <w:proofErr w:type="spellEnd"/>
            <w:r w:rsidRPr="00836724">
              <w:t xml:space="preserve"> </w:t>
            </w:r>
            <w:proofErr w:type="spellStart"/>
            <w:r w:rsidRPr="00836724">
              <w:t>satur</w:t>
            </w:r>
            <w:proofErr w:type="spellEnd"/>
            <w:r w:rsidRPr="00836724">
              <w:t xml:space="preserve"> </w:t>
            </w:r>
            <w:proofErr w:type="spellStart"/>
            <w:r w:rsidRPr="00836724">
              <w:t>informāciju</w:t>
            </w:r>
            <w:proofErr w:type="spellEnd"/>
            <w:r w:rsidRPr="00836724">
              <w:t xml:space="preserve">, </w:t>
            </w:r>
            <w:proofErr w:type="spellStart"/>
            <w:r w:rsidRPr="00836724">
              <w:t>kas</w:t>
            </w:r>
            <w:proofErr w:type="spellEnd"/>
            <w:r w:rsidRPr="00836724">
              <w:t xml:space="preserve"> </w:t>
            </w:r>
            <w:proofErr w:type="spellStart"/>
            <w:r w:rsidRPr="00836724">
              <w:t>saistīta</w:t>
            </w:r>
            <w:proofErr w:type="spellEnd"/>
            <w:r w:rsidRPr="00836724">
              <w:t xml:space="preserve"> </w:t>
            </w:r>
            <w:proofErr w:type="spellStart"/>
            <w:r w:rsidRPr="00836724">
              <w:t>ar</w:t>
            </w:r>
            <w:proofErr w:type="spellEnd"/>
            <w:r w:rsidRPr="00836724">
              <w:t xml:space="preserve"> </w:t>
            </w:r>
            <w:proofErr w:type="spellStart"/>
            <w:r w:rsidRPr="00836724">
              <w:t>valsts</w:t>
            </w:r>
            <w:proofErr w:type="spellEnd"/>
            <w:r w:rsidRPr="00836724">
              <w:t xml:space="preserve"> </w:t>
            </w:r>
            <w:proofErr w:type="spellStart"/>
            <w:r w:rsidRPr="00836724">
              <w:t>noslēpumu</w:t>
            </w:r>
            <w:proofErr w:type="spellEnd"/>
            <w:r w:rsidRPr="00836724">
              <w:t xml:space="preserve">, </w:t>
            </w:r>
            <w:proofErr w:type="spellStart"/>
            <w:r w:rsidRPr="00836724">
              <w:t>izskata</w:t>
            </w:r>
            <w:proofErr w:type="spellEnd"/>
            <w:r w:rsidRPr="00836724">
              <w:t xml:space="preserve"> </w:t>
            </w:r>
            <w:proofErr w:type="spellStart"/>
            <w:r w:rsidRPr="00836724">
              <w:t>divu</w:t>
            </w:r>
            <w:proofErr w:type="spellEnd"/>
            <w:r w:rsidRPr="00836724">
              <w:t xml:space="preserve"> </w:t>
            </w:r>
            <w:proofErr w:type="spellStart"/>
            <w:r w:rsidRPr="00836724">
              <w:t>mēnešu</w:t>
            </w:r>
            <w:proofErr w:type="spellEnd"/>
            <w:r w:rsidRPr="00836724">
              <w:t xml:space="preserve"> </w:t>
            </w:r>
            <w:proofErr w:type="spellStart"/>
            <w:r w:rsidRPr="00836724">
              <w:t>laikā</w:t>
            </w:r>
            <w:proofErr w:type="spellEnd"/>
            <w:r w:rsidRPr="00836724">
              <w:t xml:space="preserve"> no </w:t>
            </w:r>
            <w:proofErr w:type="spellStart"/>
            <w:r w:rsidRPr="00836724">
              <w:t>dienas</w:t>
            </w:r>
            <w:proofErr w:type="spellEnd"/>
            <w:r w:rsidRPr="00836724">
              <w:t xml:space="preserve">, </w:t>
            </w:r>
            <w:proofErr w:type="spellStart"/>
            <w:r w:rsidRPr="00836724">
              <w:t>kad</w:t>
            </w:r>
            <w:proofErr w:type="spellEnd"/>
            <w:r w:rsidRPr="00836724">
              <w:t xml:space="preserve"> </w:t>
            </w:r>
            <w:proofErr w:type="spellStart"/>
            <w:r w:rsidRPr="00836724">
              <w:t>pieņemts</w:t>
            </w:r>
            <w:proofErr w:type="spellEnd"/>
            <w:r w:rsidRPr="00836724">
              <w:t xml:space="preserve"> </w:t>
            </w:r>
            <w:proofErr w:type="spellStart"/>
            <w:r w:rsidRPr="00836724">
              <w:t>lēmums</w:t>
            </w:r>
            <w:proofErr w:type="spellEnd"/>
            <w:r w:rsidRPr="00836724">
              <w:t xml:space="preserve"> par </w:t>
            </w:r>
            <w:proofErr w:type="spellStart"/>
            <w:r w:rsidRPr="00836724">
              <w:t>pieteikuma</w:t>
            </w:r>
            <w:proofErr w:type="spellEnd"/>
            <w:r w:rsidRPr="00836724">
              <w:t xml:space="preserve"> </w:t>
            </w:r>
            <w:proofErr w:type="spellStart"/>
            <w:r w:rsidRPr="00836724">
              <w:t>pieņemšanu</w:t>
            </w:r>
            <w:proofErr w:type="spellEnd"/>
            <w:r w:rsidRPr="00836724">
              <w:t xml:space="preserve"> un </w:t>
            </w:r>
            <w:proofErr w:type="spellStart"/>
            <w:r w:rsidRPr="00836724">
              <w:t>lietas</w:t>
            </w:r>
            <w:proofErr w:type="spellEnd"/>
            <w:r w:rsidRPr="00836724">
              <w:t xml:space="preserve"> </w:t>
            </w:r>
            <w:proofErr w:type="spellStart"/>
            <w:r w:rsidRPr="00836724">
              <w:t>ierosināšanu</w:t>
            </w:r>
            <w:proofErr w:type="spellEnd"/>
            <w:r w:rsidRPr="00836724">
              <w:t>.</w:t>
            </w:r>
          </w:p>
          <w:p w:rsidR="006739A5" w:rsidRPr="00836724" w:rsidRDefault="006739A5" w:rsidP="006739A5">
            <w:pPr>
              <w:pStyle w:val="tv213"/>
              <w:spacing w:before="0" w:beforeAutospacing="0" w:after="120" w:afterAutospacing="0"/>
              <w:jc w:val="both"/>
            </w:pPr>
            <w:r w:rsidRPr="00836724">
              <w:t xml:space="preserve">(2) </w:t>
            </w:r>
            <w:proofErr w:type="spellStart"/>
            <w:r w:rsidRPr="00836724">
              <w:t>Tiesa</w:t>
            </w:r>
            <w:proofErr w:type="spellEnd"/>
            <w:r w:rsidRPr="00836724">
              <w:t xml:space="preserve"> </w:t>
            </w:r>
            <w:proofErr w:type="spellStart"/>
            <w:r w:rsidRPr="00836724">
              <w:t>lietu</w:t>
            </w:r>
            <w:proofErr w:type="spellEnd"/>
            <w:r w:rsidRPr="00836724">
              <w:t xml:space="preserve"> </w:t>
            </w:r>
            <w:proofErr w:type="spellStart"/>
            <w:r w:rsidRPr="00836724">
              <w:t>izskata</w:t>
            </w:r>
            <w:proofErr w:type="spellEnd"/>
            <w:r w:rsidRPr="00836724">
              <w:t xml:space="preserve"> </w:t>
            </w:r>
            <w:proofErr w:type="spellStart"/>
            <w:r w:rsidRPr="00836724">
              <w:t>kā</w:t>
            </w:r>
            <w:proofErr w:type="spellEnd"/>
            <w:r w:rsidRPr="00836724">
              <w:t xml:space="preserve"> </w:t>
            </w:r>
            <w:proofErr w:type="spellStart"/>
            <w:r w:rsidRPr="00836724">
              <w:t>pirmās</w:t>
            </w:r>
            <w:proofErr w:type="spellEnd"/>
            <w:r w:rsidRPr="00836724">
              <w:t xml:space="preserve"> instances </w:t>
            </w:r>
            <w:proofErr w:type="spellStart"/>
            <w:r w:rsidRPr="00836724">
              <w:t>tiesa</w:t>
            </w:r>
            <w:proofErr w:type="spellEnd"/>
            <w:r w:rsidRPr="00836724">
              <w:t xml:space="preserve">. </w:t>
            </w:r>
          </w:p>
          <w:p w:rsidR="006739A5" w:rsidRPr="00836724" w:rsidRDefault="006739A5" w:rsidP="006739A5">
            <w:pPr>
              <w:pStyle w:val="tv213"/>
              <w:spacing w:before="0" w:beforeAutospacing="0" w:after="120" w:afterAutospacing="0"/>
              <w:jc w:val="both"/>
            </w:pPr>
            <w:r w:rsidRPr="00836724">
              <w:t xml:space="preserve">(3) </w:t>
            </w:r>
            <w:proofErr w:type="spellStart"/>
            <w:r w:rsidRPr="00836724">
              <w:t>Pēc</w:t>
            </w:r>
            <w:proofErr w:type="spellEnd"/>
            <w:r w:rsidRPr="00836724">
              <w:t xml:space="preserve"> </w:t>
            </w:r>
            <w:proofErr w:type="spellStart"/>
            <w:r w:rsidRPr="00836724">
              <w:t>tiesas</w:t>
            </w:r>
            <w:proofErr w:type="spellEnd"/>
            <w:r w:rsidRPr="00836724">
              <w:t xml:space="preserve"> </w:t>
            </w:r>
            <w:proofErr w:type="spellStart"/>
            <w:r w:rsidRPr="00836724">
              <w:t>lēmuma</w:t>
            </w:r>
            <w:proofErr w:type="spellEnd"/>
            <w:r w:rsidRPr="00836724">
              <w:t xml:space="preserve"> </w:t>
            </w:r>
            <w:proofErr w:type="spellStart"/>
            <w:r w:rsidRPr="00836724">
              <w:t>lietu</w:t>
            </w:r>
            <w:proofErr w:type="spellEnd"/>
            <w:r w:rsidRPr="00836724">
              <w:t xml:space="preserve"> </w:t>
            </w:r>
            <w:proofErr w:type="spellStart"/>
            <w:r w:rsidRPr="00836724">
              <w:t>var</w:t>
            </w:r>
            <w:proofErr w:type="spellEnd"/>
            <w:r w:rsidRPr="00836724">
              <w:t xml:space="preserve"> </w:t>
            </w:r>
            <w:proofErr w:type="spellStart"/>
            <w:r w:rsidRPr="00836724">
              <w:t>izskatīt</w:t>
            </w:r>
            <w:proofErr w:type="spellEnd"/>
            <w:r w:rsidRPr="00836724">
              <w:t xml:space="preserve"> </w:t>
            </w:r>
            <w:proofErr w:type="spellStart"/>
            <w:r w:rsidRPr="00836724">
              <w:t>slēgtā</w:t>
            </w:r>
            <w:proofErr w:type="spellEnd"/>
            <w:r w:rsidRPr="00836724">
              <w:t xml:space="preserve"> </w:t>
            </w:r>
            <w:proofErr w:type="spellStart"/>
            <w:r w:rsidRPr="00836724">
              <w:t>tiesas</w:t>
            </w:r>
            <w:proofErr w:type="spellEnd"/>
            <w:r w:rsidRPr="00836724">
              <w:t xml:space="preserve"> </w:t>
            </w:r>
            <w:proofErr w:type="spellStart"/>
            <w:r w:rsidRPr="00836724">
              <w:t>sēdē</w:t>
            </w:r>
            <w:proofErr w:type="spellEnd"/>
            <w:r w:rsidRPr="00836724">
              <w:t xml:space="preserve">, </w:t>
            </w:r>
            <w:proofErr w:type="spellStart"/>
            <w:r w:rsidRPr="00836724">
              <w:t>lai</w:t>
            </w:r>
            <w:proofErr w:type="spellEnd"/>
            <w:r w:rsidRPr="00836724">
              <w:t xml:space="preserve"> </w:t>
            </w:r>
            <w:proofErr w:type="spellStart"/>
            <w:r w:rsidRPr="00836724">
              <w:t>aizsargātu</w:t>
            </w:r>
            <w:proofErr w:type="spellEnd"/>
            <w:r w:rsidRPr="00836724">
              <w:t xml:space="preserve"> </w:t>
            </w:r>
            <w:proofErr w:type="spellStart"/>
            <w:r w:rsidRPr="00836724">
              <w:t>valsts</w:t>
            </w:r>
            <w:proofErr w:type="spellEnd"/>
            <w:r w:rsidRPr="00836724">
              <w:t xml:space="preserve"> </w:t>
            </w:r>
            <w:proofErr w:type="spellStart"/>
            <w:r w:rsidRPr="00836724">
              <w:t>noslēpumu</w:t>
            </w:r>
            <w:proofErr w:type="spellEnd"/>
            <w:r w:rsidRPr="00836724">
              <w:t xml:space="preserve"> </w:t>
            </w:r>
            <w:proofErr w:type="spellStart"/>
            <w:r w:rsidRPr="00836724">
              <w:t>vai</w:t>
            </w:r>
            <w:proofErr w:type="spellEnd"/>
            <w:r w:rsidRPr="00836724">
              <w:t xml:space="preserve"> </w:t>
            </w:r>
            <w:proofErr w:type="spellStart"/>
            <w:r w:rsidRPr="00836724">
              <w:t>citu</w:t>
            </w:r>
            <w:proofErr w:type="spellEnd"/>
            <w:r w:rsidRPr="00836724">
              <w:t xml:space="preserve"> </w:t>
            </w:r>
            <w:proofErr w:type="spellStart"/>
            <w:r w:rsidRPr="00836724">
              <w:t>ierobežotas</w:t>
            </w:r>
            <w:proofErr w:type="spellEnd"/>
            <w:r w:rsidRPr="00836724">
              <w:t xml:space="preserve"> </w:t>
            </w:r>
            <w:proofErr w:type="spellStart"/>
            <w:r w:rsidRPr="00836724">
              <w:t>pieejamības</w:t>
            </w:r>
            <w:proofErr w:type="spellEnd"/>
            <w:r w:rsidRPr="00836724">
              <w:t xml:space="preserve"> </w:t>
            </w:r>
            <w:proofErr w:type="spellStart"/>
            <w:r w:rsidRPr="00836724">
              <w:t>informāciju</w:t>
            </w:r>
            <w:proofErr w:type="spellEnd"/>
            <w:r w:rsidRPr="00836724">
              <w:t xml:space="preserve">, </w:t>
            </w:r>
            <w:proofErr w:type="spellStart"/>
            <w:r w:rsidRPr="00836724">
              <w:t>kas</w:t>
            </w:r>
            <w:proofErr w:type="spellEnd"/>
            <w:r w:rsidRPr="00836724">
              <w:t xml:space="preserve"> </w:t>
            </w:r>
            <w:proofErr w:type="spellStart"/>
            <w:r w:rsidRPr="00836724">
              <w:t>saistīta</w:t>
            </w:r>
            <w:proofErr w:type="spellEnd"/>
            <w:r w:rsidRPr="00836724">
              <w:t xml:space="preserve"> </w:t>
            </w:r>
            <w:proofErr w:type="spellStart"/>
            <w:r w:rsidRPr="00836724">
              <w:t>ar</w:t>
            </w:r>
            <w:proofErr w:type="spellEnd"/>
            <w:r w:rsidRPr="00836724">
              <w:t xml:space="preserve"> </w:t>
            </w:r>
            <w:proofErr w:type="spellStart"/>
            <w:r w:rsidRPr="00836724">
              <w:t>valsts</w:t>
            </w:r>
            <w:proofErr w:type="spellEnd"/>
            <w:r w:rsidRPr="00836724">
              <w:t xml:space="preserve"> </w:t>
            </w:r>
            <w:proofErr w:type="spellStart"/>
            <w:r w:rsidRPr="00836724">
              <w:t>drošību</w:t>
            </w:r>
            <w:proofErr w:type="spellEnd"/>
            <w:r w:rsidRPr="00836724">
              <w:t xml:space="preserve">, </w:t>
            </w:r>
            <w:proofErr w:type="spellStart"/>
            <w:r w:rsidRPr="00836724">
              <w:t>kā</w:t>
            </w:r>
            <w:proofErr w:type="spellEnd"/>
            <w:r w:rsidRPr="00836724">
              <w:t xml:space="preserve"> </w:t>
            </w:r>
            <w:proofErr w:type="spellStart"/>
            <w:r w:rsidRPr="00836724">
              <w:t>arī</w:t>
            </w:r>
            <w:proofErr w:type="spellEnd"/>
            <w:r w:rsidRPr="00836724">
              <w:t xml:space="preserve"> </w:t>
            </w:r>
            <w:proofErr w:type="spellStart"/>
            <w:r w:rsidRPr="00836724">
              <w:t>personu</w:t>
            </w:r>
            <w:proofErr w:type="spellEnd"/>
            <w:r w:rsidRPr="00836724">
              <w:t xml:space="preserve"> </w:t>
            </w:r>
            <w:proofErr w:type="spellStart"/>
            <w:r w:rsidRPr="00836724">
              <w:t>privātās</w:t>
            </w:r>
            <w:proofErr w:type="spellEnd"/>
            <w:r w:rsidRPr="00836724">
              <w:t xml:space="preserve"> </w:t>
            </w:r>
            <w:proofErr w:type="spellStart"/>
            <w:r w:rsidRPr="00836724">
              <w:t>dzīves</w:t>
            </w:r>
            <w:proofErr w:type="spellEnd"/>
            <w:r w:rsidRPr="00836724">
              <w:t xml:space="preserve"> </w:t>
            </w:r>
            <w:proofErr w:type="spellStart"/>
            <w:r w:rsidRPr="00836724">
              <w:t>apstākļus</w:t>
            </w:r>
            <w:proofErr w:type="spellEnd"/>
            <w:r w:rsidRPr="00836724">
              <w:t xml:space="preserve">, </w:t>
            </w:r>
            <w:proofErr w:type="spellStart"/>
            <w:r w:rsidRPr="00836724">
              <w:t>komerciālo</w:t>
            </w:r>
            <w:proofErr w:type="spellEnd"/>
            <w:r w:rsidRPr="00836724">
              <w:t xml:space="preserve"> </w:t>
            </w:r>
            <w:proofErr w:type="spellStart"/>
            <w:r w:rsidRPr="00836724">
              <w:t>vai</w:t>
            </w:r>
            <w:proofErr w:type="spellEnd"/>
            <w:r w:rsidRPr="00836724">
              <w:t xml:space="preserve"> </w:t>
            </w:r>
            <w:proofErr w:type="spellStart"/>
            <w:r w:rsidRPr="00836724">
              <w:t>profesionālo</w:t>
            </w:r>
            <w:proofErr w:type="spellEnd"/>
            <w:r w:rsidRPr="00836724">
              <w:t xml:space="preserve"> </w:t>
            </w:r>
            <w:proofErr w:type="spellStart"/>
            <w:r w:rsidRPr="00836724">
              <w:t>noslēpumu</w:t>
            </w:r>
            <w:proofErr w:type="spellEnd"/>
            <w:r w:rsidRPr="00836724">
              <w:t>.</w:t>
            </w:r>
          </w:p>
          <w:p w:rsidR="006739A5" w:rsidRPr="00836724" w:rsidRDefault="006739A5" w:rsidP="006739A5">
            <w:pPr>
              <w:pStyle w:val="tv213"/>
              <w:spacing w:before="0" w:beforeAutospacing="0" w:after="120" w:afterAutospacing="0"/>
              <w:jc w:val="both"/>
            </w:pPr>
            <w:r>
              <w:t xml:space="preserve">(4) </w:t>
            </w:r>
            <w:proofErr w:type="spellStart"/>
            <w:r>
              <w:t>Ja</w:t>
            </w:r>
            <w:proofErr w:type="spellEnd"/>
            <w:r>
              <w:t xml:space="preserve"> </w:t>
            </w:r>
            <w:proofErr w:type="spellStart"/>
            <w:r>
              <w:t>lietas</w:t>
            </w:r>
            <w:proofErr w:type="spellEnd"/>
            <w:r>
              <w:t xml:space="preserve"> </w:t>
            </w:r>
            <w:proofErr w:type="spellStart"/>
            <w:r>
              <w:t>apstākļu</w:t>
            </w:r>
            <w:proofErr w:type="spellEnd"/>
            <w:r>
              <w:t xml:space="preserve"> </w:t>
            </w:r>
            <w:proofErr w:type="spellStart"/>
            <w:r>
              <w:t>objekt</w:t>
            </w:r>
            <w:r w:rsidRPr="00836724">
              <w:t>īvai</w:t>
            </w:r>
            <w:proofErr w:type="spellEnd"/>
            <w:r w:rsidRPr="00836724">
              <w:t xml:space="preserve"> </w:t>
            </w:r>
            <w:proofErr w:type="spellStart"/>
            <w:r w:rsidRPr="00836724">
              <w:t>noskaidrošanai</w:t>
            </w:r>
            <w:proofErr w:type="spellEnd"/>
            <w:r w:rsidRPr="00836724">
              <w:t xml:space="preserve"> </w:t>
            </w:r>
            <w:proofErr w:type="spellStart"/>
            <w:r w:rsidRPr="00836724">
              <w:t>tiesai</w:t>
            </w:r>
            <w:proofErr w:type="spellEnd"/>
            <w:r w:rsidRPr="00836724">
              <w:t xml:space="preserve"> </w:t>
            </w:r>
            <w:proofErr w:type="spellStart"/>
            <w:r w:rsidRPr="00836724">
              <w:t>ir</w:t>
            </w:r>
            <w:proofErr w:type="spellEnd"/>
            <w:r w:rsidRPr="00836724">
              <w:t xml:space="preserve"> </w:t>
            </w:r>
            <w:proofErr w:type="spellStart"/>
            <w:r w:rsidRPr="00836724">
              <w:t>nepieciešams</w:t>
            </w:r>
            <w:proofErr w:type="spellEnd"/>
            <w:r w:rsidRPr="00836724">
              <w:t xml:space="preserve"> </w:t>
            </w:r>
            <w:proofErr w:type="spellStart"/>
            <w:r w:rsidRPr="00836724">
              <w:t>pārbaudīt</w:t>
            </w:r>
            <w:proofErr w:type="spellEnd"/>
            <w:r w:rsidRPr="00836724">
              <w:t xml:space="preserve"> </w:t>
            </w:r>
            <w:proofErr w:type="spellStart"/>
            <w:r w:rsidRPr="00836724">
              <w:t>valsts</w:t>
            </w:r>
            <w:proofErr w:type="spellEnd"/>
            <w:r w:rsidRPr="00836724">
              <w:t xml:space="preserve"> </w:t>
            </w:r>
            <w:proofErr w:type="spellStart"/>
            <w:r w:rsidRPr="00836724">
              <w:t>noslēpumu</w:t>
            </w:r>
            <w:proofErr w:type="spellEnd"/>
            <w:r w:rsidRPr="00836724">
              <w:t xml:space="preserve"> </w:t>
            </w:r>
            <w:proofErr w:type="spellStart"/>
            <w:r w:rsidRPr="00836724">
              <w:t>saturošu</w:t>
            </w:r>
            <w:proofErr w:type="spellEnd"/>
            <w:r w:rsidRPr="00836724">
              <w:t xml:space="preserve"> </w:t>
            </w:r>
            <w:proofErr w:type="spellStart"/>
            <w:r w:rsidRPr="00836724">
              <w:t>informāciju</w:t>
            </w:r>
            <w:proofErr w:type="spellEnd"/>
            <w:r w:rsidRPr="00836724">
              <w:t xml:space="preserve">, </w:t>
            </w:r>
            <w:proofErr w:type="spellStart"/>
            <w:r w:rsidRPr="00836724">
              <w:t>lietu</w:t>
            </w:r>
            <w:proofErr w:type="spellEnd"/>
            <w:r w:rsidRPr="00836724">
              <w:t xml:space="preserve"> </w:t>
            </w:r>
            <w:proofErr w:type="spellStart"/>
            <w:r w:rsidRPr="00836724">
              <w:lastRenderedPageBreak/>
              <w:t>sagatavo</w:t>
            </w:r>
            <w:proofErr w:type="spellEnd"/>
            <w:r w:rsidRPr="00836724">
              <w:t xml:space="preserve"> un </w:t>
            </w:r>
            <w:proofErr w:type="spellStart"/>
            <w:r w:rsidRPr="00836724">
              <w:t>izskata</w:t>
            </w:r>
            <w:proofErr w:type="spellEnd"/>
            <w:r w:rsidRPr="00836724">
              <w:t xml:space="preserve"> </w:t>
            </w:r>
            <w:proofErr w:type="spellStart"/>
            <w:r w:rsidRPr="00836724">
              <w:t>tiesneši</w:t>
            </w:r>
            <w:proofErr w:type="spellEnd"/>
            <w:r w:rsidRPr="00836724">
              <w:t xml:space="preserve">, </w:t>
            </w:r>
            <w:proofErr w:type="spellStart"/>
            <w:r w:rsidRPr="00836724">
              <w:t>kuriem</w:t>
            </w:r>
            <w:proofErr w:type="spellEnd"/>
            <w:r w:rsidRPr="00836724">
              <w:t xml:space="preserve"> </w:t>
            </w:r>
            <w:proofErr w:type="spellStart"/>
            <w:r w:rsidRPr="00836724">
              <w:t>ir</w:t>
            </w:r>
            <w:proofErr w:type="spellEnd"/>
            <w:r w:rsidRPr="00836724">
              <w:t xml:space="preserve"> </w:t>
            </w:r>
            <w:proofErr w:type="spellStart"/>
            <w:r w:rsidRPr="00836724">
              <w:t>speciālā</w:t>
            </w:r>
            <w:proofErr w:type="spellEnd"/>
            <w:r w:rsidRPr="00836724">
              <w:t xml:space="preserve"> </w:t>
            </w:r>
            <w:proofErr w:type="spellStart"/>
            <w:r w:rsidRPr="00836724">
              <w:t>atļauja</w:t>
            </w:r>
            <w:proofErr w:type="spellEnd"/>
            <w:r w:rsidRPr="00836724">
              <w:t xml:space="preserve"> </w:t>
            </w:r>
            <w:proofErr w:type="spellStart"/>
            <w:r w:rsidRPr="00836724">
              <w:t>pieejai</w:t>
            </w:r>
            <w:proofErr w:type="spellEnd"/>
            <w:r w:rsidRPr="00836724">
              <w:t xml:space="preserve"> </w:t>
            </w:r>
            <w:proofErr w:type="spellStart"/>
            <w:r w:rsidRPr="00836724">
              <w:t>valsts</w:t>
            </w:r>
            <w:proofErr w:type="spellEnd"/>
            <w:r w:rsidRPr="00836724">
              <w:t xml:space="preserve"> </w:t>
            </w:r>
            <w:proofErr w:type="spellStart"/>
            <w:r w:rsidRPr="00836724">
              <w:t>noslēpumam</w:t>
            </w:r>
            <w:proofErr w:type="spellEnd"/>
            <w:r w:rsidRPr="00836724">
              <w:t xml:space="preserve">. </w:t>
            </w:r>
            <w:proofErr w:type="spellStart"/>
            <w:r w:rsidRPr="00836724">
              <w:t>Speciālā</w:t>
            </w:r>
            <w:proofErr w:type="spellEnd"/>
            <w:r w:rsidRPr="00836724">
              <w:t xml:space="preserve"> </w:t>
            </w:r>
            <w:proofErr w:type="spellStart"/>
            <w:r w:rsidRPr="00836724">
              <w:t>atļauja</w:t>
            </w:r>
            <w:proofErr w:type="spellEnd"/>
            <w:r w:rsidRPr="00836724">
              <w:t xml:space="preserve"> </w:t>
            </w:r>
            <w:proofErr w:type="spellStart"/>
            <w:r w:rsidRPr="00836724">
              <w:t>nepieciešama</w:t>
            </w:r>
            <w:proofErr w:type="spellEnd"/>
            <w:r w:rsidRPr="00836724">
              <w:t xml:space="preserve"> </w:t>
            </w:r>
            <w:proofErr w:type="spellStart"/>
            <w:r w:rsidRPr="00836724">
              <w:t>arī</w:t>
            </w:r>
            <w:proofErr w:type="spellEnd"/>
            <w:r w:rsidRPr="00836724">
              <w:t xml:space="preserve"> </w:t>
            </w:r>
            <w:proofErr w:type="spellStart"/>
            <w:r w:rsidRPr="00836724">
              <w:t>tiesas</w:t>
            </w:r>
            <w:proofErr w:type="spellEnd"/>
            <w:r w:rsidRPr="00836724">
              <w:t xml:space="preserve"> </w:t>
            </w:r>
            <w:proofErr w:type="spellStart"/>
            <w:r w:rsidRPr="00836724">
              <w:t>sēdes</w:t>
            </w:r>
            <w:proofErr w:type="spellEnd"/>
            <w:r w:rsidRPr="00836724">
              <w:t xml:space="preserve"> </w:t>
            </w:r>
            <w:proofErr w:type="spellStart"/>
            <w:r w:rsidRPr="00836724">
              <w:t>sekretāram</w:t>
            </w:r>
            <w:proofErr w:type="spellEnd"/>
            <w:r w:rsidRPr="00836724">
              <w:t xml:space="preserve">, </w:t>
            </w:r>
            <w:proofErr w:type="spellStart"/>
            <w:r w:rsidRPr="00836724">
              <w:t>kā</w:t>
            </w:r>
            <w:proofErr w:type="spellEnd"/>
            <w:r w:rsidRPr="00836724">
              <w:t xml:space="preserve"> </w:t>
            </w:r>
            <w:proofErr w:type="spellStart"/>
            <w:r w:rsidRPr="00836724">
              <w:t>arī</w:t>
            </w:r>
            <w:proofErr w:type="spellEnd"/>
            <w:r w:rsidRPr="00836724">
              <w:t xml:space="preserve"> </w:t>
            </w:r>
            <w:proofErr w:type="spellStart"/>
            <w:r w:rsidRPr="00836724">
              <w:t>tiesas</w:t>
            </w:r>
            <w:proofErr w:type="spellEnd"/>
            <w:r w:rsidRPr="00836724">
              <w:t xml:space="preserve"> </w:t>
            </w:r>
            <w:proofErr w:type="spellStart"/>
            <w:r w:rsidRPr="00836724">
              <w:t>tulkam</w:t>
            </w:r>
            <w:proofErr w:type="spellEnd"/>
            <w:r w:rsidRPr="00836724">
              <w:t xml:space="preserve"> un </w:t>
            </w:r>
            <w:proofErr w:type="spellStart"/>
            <w:r w:rsidRPr="00836724">
              <w:t>citiem</w:t>
            </w:r>
            <w:proofErr w:type="spellEnd"/>
            <w:r w:rsidRPr="00836724">
              <w:t xml:space="preserve"> </w:t>
            </w:r>
            <w:proofErr w:type="spellStart"/>
            <w:r w:rsidRPr="00836724">
              <w:t>tiesas</w:t>
            </w:r>
            <w:proofErr w:type="spellEnd"/>
            <w:r w:rsidRPr="00836724">
              <w:t xml:space="preserve"> </w:t>
            </w:r>
            <w:proofErr w:type="spellStart"/>
            <w:r w:rsidRPr="00836724">
              <w:t>darbiniekiem</w:t>
            </w:r>
            <w:proofErr w:type="spellEnd"/>
            <w:r w:rsidRPr="00836724">
              <w:t xml:space="preserve">, </w:t>
            </w:r>
            <w:proofErr w:type="spellStart"/>
            <w:r w:rsidRPr="00836724">
              <w:t>ja</w:t>
            </w:r>
            <w:proofErr w:type="spellEnd"/>
            <w:r w:rsidRPr="00836724">
              <w:t xml:space="preserve"> </w:t>
            </w:r>
            <w:proofErr w:type="spellStart"/>
            <w:r w:rsidRPr="00836724">
              <w:t>viņi</w:t>
            </w:r>
            <w:proofErr w:type="spellEnd"/>
            <w:r w:rsidRPr="00836724">
              <w:t xml:space="preserve"> </w:t>
            </w:r>
            <w:proofErr w:type="spellStart"/>
            <w:r w:rsidRPr="00836724">
              <w:t>piedalās</w:t>
            </w:r>
            <w:proofErr w:type="spellEnd"/>
            <w:r w:rsidRPr="00836724">
              <w:t xml:space="preserve"> </w:t>
            </w:r>
            <w:proofErr w:type="spellStart"/>
            <w:r w:rsidRPr="00836724">
              <w:t>lietas</w:t>
            </w:r>
            <w:proofErr w:type="spellEnd"/>
            <w:r w:rsidRPr="00836724">
              <w:t xml:space="preserve"> </w:t>
            </w:r>
            <w:proofErr w:type="spellStart"/>
            <w:r w:rsidRPr="00836724">
              <w:t>sagatavošanā</w:t>
            </w:r>
            <w:proofErr w:type="spellEnd"/>
            <w:r w:rsidRPr="00836724">
              <w:t xml:space="preserve"> </w:t>
            </w:r>
            <w:proofErr w:type="spellStart"/>
            <w:r w:rsidRPr="00836724">
              <w:t>vai</w:t>
            </w:r>
            <w:proofErr w:type="spellEnd"/>
            <w:r w:rsidRPr="00836724">
              <w:t xml:space="preserve"> </w:t>
            </w:r>
            <w:proofErr w:type="spellStart"/>
            <w:r w:rsidRPr="00836724">
              <w:t>izskatīšanā</w:t>
            </w:r>
            <w:proofErr w:type="spellEnd"/>
            <w:r w:rsidRPr="00836724">
              <w:t>.</w:t>
            </w:r>
          </w:p>
          <w:p w:rsidR="006739A5" w:rsidRPr="00836724" w:rsidRDefault="006739A5" w:rsidP="006739A5">
            <w:pPr>
              <w:pStyle w:val="tv213"/>
              <w:spacing w:before="0" w:beforeAutospacing="0" w:after="120" w:afterAutospacing="0"/>
              <w:jc w:val="both"/>
            </w:pPr>
            <w:r w:rsidRPr="00836724">
              <w:rPr>
                <w:b/>
              </w:rPr>
              <w:t>99.pants.</w:t>
            </w:r>
            <w:r w:rsidRPr="00836724">
              <w:t xml:space="preserve"> (1) </w:t>
            </w:r>
            <w:proofErr w:type="spellStart"/>
            <w:r w:rsidRPr="00836724">
              <w:t>Pēc</w:t>
            </w:r>
            <w:proofErr w:type="spellEnd"/>
            <w:r w:rsidRPr="00836724">
              <w:t xml:space="preserve"> tam, </w:t>
            </w:r>
            <w:proofErr w:type="spellStart"/>
            <w:r w:rsidRPr="00836724">
              <w:t>kad</w:t>
            </w:r>
            <w:proofErr w:type="spellEnd"/>
            <w:r w:rsidRPr="00836724">
              <w:t xml:space="preserve"> </w:t>
            </w:r>
            <w:proofErr w:type="spellStart"/>
            <w:r w:rsidRPr="00836724">
              <w:t>pieņemts</w:t>
            </w:r>
            <w:proofErr w:type="spellEnd"/>
            <w:r w:rsidRPr="00836724">
              <w:t xml:space="preserve"> </w:t>
            </w:r>
            <w:proofErr w:type="spellStart"/>
            <w:r w:rsidRPr="00836724">
              <w:t>lēmums</w:t>
            </w:r>
            <w:proofErr w:type="spellEnd"/>
            <w:r w:rsidRPr="00836724">
              <w:t xml:space="preserve"> par </w:t>
            </w:r>
            <w:proofErr w:type="spellStart"/>
            <w:r w:rsidRPr="00836724">
              <w:t>pieteikuma</w:t>
            </w:r>
            <w:proofErr w:type="spellEnd"/>
            <w:r w:rsidRPr="00836724">
              <w:t xml:space="preserve"> </w:t>
            </w:r>
            <w:proofErr w:type="spellStart"/>
            <w:r w:rsidRPr="00836724">
              <w:t>pieņemšanu</w:t>
            </w:r>
            <w:proofErr w:type="spellEnd"/>
            <w:r w:rsidRPr="00836724">
              <w:t xml:space="preserve"> un </w:t>
            </w:r>
            <w:proofErr w:type="spellStart"/>
            <w:r w:rsidRPr="00836724">
              <w:t>lietas</w:t>
            </w:r>
            <w:proofErr w:type="spellEnd"/>
            <w:r w:rsidRPr="00836724">
              <w:t xml:space="preserve"> </w:t>
            </w:r>
            <w:proofErr w:type="spellStart"/>
            <w:r w:rsidRPr="00836724">
              <w:t>ierosināšanu</w:t>
            </w:r>
            <w:proofErr w:type="spellEnd"/>
            <w:r w:rsidRPr="00836724">
              <w:t xml:space="preserve">, </w:t>
            </w:r>
            <w:proofErr w:type="spellStart"/>
            <w:r w:rsidRPr="00836724">
              <w:t>tiesa</w:t>
            </w:r>
            <w:proofErr w:type="spellEnd"/>
            <w:r w:rsidRPr="00836724">
              <w:t xml:space="preserve"> </w:t>
            </w:r>
            <w:proofErr w:type="spellStart"/>
            <w:r w:rsidRPr="00836724">
              <w:t>nosaka</w:t>
            </w:r>
            <w:proofErr w:type="spellEnd"/>
            <w:r w:rsidRPr="00836724">
              <w:t xml:space="preserve"> </w:t>
            </w:r>
            <w:proofErr w:type="spellStart"/>
            <w:r w:rsidRPr="00836724">
              <w:t>tiesas</w:t>
            </w:r>
            <w:proofErr w:type="spellEnd"/>
            <w:r w:rsidRPr="00836724">
              <w:t xml:space="preserve"> </w:t>
            </w:r>
            <w:proofErr w:type="spellStart"/>
            <w:r w:rsidRPr="00836724">
              <w:t>sēdes</w:t>
            </w:r>
            <w:proofErr w:type="spellEnd"/>
            <w:r w:rsidRPr="00836724">
              <w:t xml:space="preserve"> </w:t>
            </w:r>
            <w:proofErr w:type="spellStart"/>
            <w:r w:rsidRPr="00836724">
              <w:t>laiku</w:t>
            </w:r>
            <w:proofErr w:type="spellEnd"/>
            <w:r w:rsidRPr="00836724">
              <w:t xml:space="preserve"> un </w:t>
            </w:r>
            <w:proofErr w:type="spellStart"/>
            <w:r w:rsidRPr="00836724">
              <w:t>vietu</w:t>
            </w:r>
            <w:proofErr w:type="spellEnd"/>
            <w:r w:rsidRPr="00836724">
              <w:t xml:space="preserve">, </w:t>
            </w:r>
            <w:proofErr w:type="spellStart"/>
            <w:r w:rsidRPr="00836724">
              <w:t>kā</w:t>
            </w:r>
            <w:proofErr w:type="spellEnd"/>
            <w:r w:rsidRPr="00836724">
              <w:t xml:space="preserve"> </w:t>
            </w:r>
            <w:proofErr w:type="spellStart"/>
            <w:r w:rsidRPr="00836724">
              <w:t>arī</w:t>
            </w:r>
            <w:proofErr w:type="spellEnd"/>
            <w:r w:rsidRPr="00836724">
              <w:t xml:space="preserve"> </w:t>
            </w:r>
            <w:proofErr w:type="spellStart"/>
            <w:r w:rsidRPr="00836724">
              <w:t>uz</w:t>
            </w:r>
            <w:proofErr w:type="spellEnd"/>
            <w:r w:rsidRPr="00836724">
              <w:t xml:space="preserve"> </w:t>
            </w:r>
            <w:proofErr w:type="spellStart"/>
            <w:r w:rsidRPr="00836724">
              <w:t>tiesu</w:t>
            </w:r>
            <w:proofErr w:type="spellEnd"/>
            <w:r w:rsidRPr="00836724">
              <w:t xml:space="preserve"> </w:t>
            </w:r>
            <w:proofErr w:type="spellStart"/>
            <w:r w:rsidRPr="00836724">
              <w:t>aicināmās</w:t>
            </w:r>
            <w:proofErr w:type="spellEnd"/>
            <w:r w:rsidRPr="00836724">
              <w:t xml:space="preserve"> un </w:t>
            </w:r>
            <w:proofErr w:type="spellStart"/>
            <w:r w:rsidRPr="00836724">
              <w:t>izsaucamās</w:t>
            </w:r>
            <w:proofErr w:type="spellEnd"/>
            <w:r w:rsidRPr="00836724">
              <w:t xml:space="preserve"> personas.</w:t>
            </w:r>
          </w:p>
          <w:p w:rsidR="006739A5" w:rsidRPr="00836724" w:rsidRDefault="006739A5" w:rsidP="006739A5">
            <w:pPr>
              <w:pStyle w:val="tv213"/>
              <w:spacing w:before="0" w:beforeAutospacing="0" w:after="120" w:afterAutospacing="0"/>
              <w:jc w:val="both"/>
            </w:pPr>
            <w:r w:rsidRPr="00836724">
              <w:t xml:space="preserve">(2) </w:t>
            </w:r>
            <w:proofErr w:type="spellStart"/>
            <w:r w:rsidRPr="00836724">
              <w:t>Pieteicēju</w:t>
            </w:r>
            <w:proofErr w:type="spellEnd"/>
            <w:r w:rsidRPr="00836724">
              <w:t xml:space="preserve"> </w:t>
            </w:r>
            <w:proofErr w:type="spellStart"/>
            <w:r w:rsidRPr="00836724">
              <w:t>uz</w:t>
            </w:r>
            <w:proofErr w:type="spellEnd"/>
            <w:r w:rsidRPr="00836724">
              <w:t xml:space="preserve"> </w:t>
            </w:r>
            <w:proofErr w:type="spellStart"/>
            <w:r w:rsidRPr="00836724">
              <w:t>tiesas</w:t>
            </w:r>
            <w:proofErr w:type="spellEnd"/>
            <w:r w:rsidRPr="00836724">
              <w:t xml:space="preserve"> </w:t>
            </w:r>
            <w:proofErr w:type="spellStart"/>
            <w:r w:rsidRPr="00836724">
              <w:t>sēdi</w:t>
            </w:r>
            <w:proofErr w:type="spellEnd"/>
            <w:r w:rsidRPr="00836724">
              <w:t xml:space="preserve"> </w:t>
            </w:r>
            <w:proofErr w:type="spellStart"/>
            <w:r w:rsidRPr="00836724">
              <w:t>aicina</w:t>
            </w:r>
            <w:proofErr w:type="spellEnd"/>
            <w:r w:rsidRPr="00836724">
              <w:t xml:space="preserve"> tad, </w:t>
            </w:r>
            <w:proofErr w:type="spellStart"/>
            <w:r w:rsidRPr="00836724">
              <w:t>ja</w:t>
            </w:r>
            <w:proofErr w:type="spellEnd"/>
            <w:r w:rsidRPr="00836724">
              <w:t xml:space="preserve"> </w:t>
            </w:r>
            <w:proofErr w:type="spellStart"/>
            <w:r w:rsidRPr="00836724">
              <w:t>lietas</w:t>
            </w:r>
            <w:proofErr w:type="spellEnd"/>
            <w:r w:rsidRPr="00836724">
              <w:t xml:space="preserve"> </w:t>
            </w:r>
            <w:proofErr w:type="spellStart"/>
            <w:r w:rsidRPr="00836724">
              <w:t>izskatīšanas</w:t>
            </w:r>
            <w:proofErr w:type="spellEnd"/>
            <w:r w:rsidRPr="00836724">
              <w:t xml:space="preserve"> </w:t>
            </w:r>
            <w:proofErr w:type="spellStart"/>
            <w:r w:rsidRPr="00836724">
              <w:t>laikā</w:t>
            </w:r>
            <w:proofErr w:type="spellEnd"/>
            <w:r w:rsidRPr="00836724">
              <w:t xml:space="preserve"> </w:t>
            </w:r>
            <w:proofErr w:type="spellStart"/>
            <w:r w:rsidRPr="00836724">
              <w:t>viņš</w:t>
            </w:r>
            <w:proofErr w:type="spellEnd"/>
            <w:r w:rsidRPr="00836724">
              <w:t xml:space="preserve"> </w:t>
            </w:r>
            <w:proofErr w:type="spellStart"/>
            <w:r w:rsidRPr="00836724">
              <w:t>likumīgi</w:t>
            </w:r>
            <w:proofErr w:type="spellEnd"/>
            <w:r w:rsidRPr="00836724">
              <w:t xml:space="preserve"> </w:t>
            </w:r>
            <w:proofErr w:type="spellStart"/>
            <w:r w:rsidRPr="00836724">
              <w:t>uzturas</w:t>
            </w:r>
            <w:proofErr w:type="spellEnd"/>
            <w:r w:rsidRPr="00836724">
              <w:t xml:space="preserve"> </w:t>
            </w:r>
            <w:proofErr w:type="spellStart"/>
            <w:r w:rsidRPr="00836724">
              <w:t>Latvijas</w:t>
            </w:r>
            <w:proofErr w:type="spellEnd"/>
            <w:r w:rsidRPr="00836724">
              <w:t xml:space="preserve"> </w:t>
            </w:r>
            <w:proofErr w:type="spellStart"/>
            <w:r w:rsidRPr="00836724">
              <w:t>Republikā</w:t>
            </w:r>
            <w:proofErr w:type="spellEnd"/>
            <w:r w:rsidRPr="00836724">
              <w:t>.</w:t>
            </w:r>
          </w:p>
          <w:p w:rsidR="006739A5" w:rsidRPr="00836724" w:rsidRDefault="006739A5" w:rsidP="006739A5">
            <w:pPr>
              <w:pStyle w:val="tv213"/>
              <w:spacing w:before="0" w:beforeAutospacing="0" w:after="120" w:afterAutospacing="0"/>
              <w:jc w:val="both"/>
            </w:pPr>
            <w:r w:rsidRPr="00836724">
              <w:t>(3)</w:t>
            </w:r>
            <w:proofErr w:type="spellStart"/>
            <w:r w:rsidRPr="00836724">
              <w:t>Atbildētāja</w:t>
            </w:r>
            <w:proofErr w:type="spellEnd"/>
            <w:r w:rsidRPr="00836724">
              <w:t xml:space="preserve"> </w:t>
            </w:r>
            <w:proofErr w:type="spellStart"/>
            <w:r w:rsidRPr="00836724">
              <w:t>pusē</w:t>
            </w:r>
            <w:proofErr w:type="spellEnd"/>
            <w:r w:rsidRPr="00836724">
              <w:t xml:space="preserve"> </w:t>
            </w:r>
            <w:proofErr w:type="spellStart"/>
            <w:r w:rsidRPr="00836724">
              <w:t>tiesa</w:t>
            </w:r>
            <w:proofErr w:type="spellEnd"/>
            <w:r w:rsidRPr="00836724">
              <w:t xml:space="preserve"> </w:t>
            </w:r>
            <w:proofErr w:type="spellStart"/>
            <w:r w:rsidRPr="00836724">
              <w:t>papildus</w:t>
            </w:r>
            <w:proofErr w:type="spellEnd"/>
            <w:r w:rsidRPr="00836724">
              <w:t xml:space="preserve"> </w:t>
            </w:r>
            <w:proofErr w:type="spellStart"/>
            <w:r w:rsidRPr="00836724">
              <w:t>var</w:t>
            </w:r>
            <w:proofErr w:type="spellEnd"/>
            <w:r w:rsidRPr="00836724">
              <w:t xml:space="preserve"> </w:t>
            </w:r>
            <w:proofErr w:type="spellStart"/>
            <w:r w:rsidRPr="00836724">
              <w:t>pieaicināt</w:t>
            </w:r>
            <w:proofErr w:type="spellEnd"/>
            <w:r w:rsidRPr="00836724">
              <w:t xml:space="preserve"> </w:t>
            </w:r>
            <w:proofErr w:type="spellStart"/>
            <w:r w:rsidRPr="00836724">
              <w:t>tās</w:t>
            </w:r>
            <w:proofErr w:type="spellEnd"/>
            <w:r w:rsidRPr="00836724">
              <w:t xml:space="preserve"> </w:t>
            </w:r>
            <w:proofErr w:type="spellStart"/>
            <w:r w:rsidRPr="00836724">
              <w:t>iestādes</w:t>
            </w:r>
            <w:proofErr w:type="spellEnd"/>
            <w:r w:rsidRPr="00836724">
              <w:t xml:space="preserve"> </w:t>
            </w:r>
            <w:proofErr w:type="spellStart"/>
            <w:r w:rsidRPr="00836724">
              <w:t>pārstāvi</w:t>
            </w:r>
            <w:proofErr w:type="spellEnd"/>
            <w:r w:rsidRPr="00836724">
              <w:t xml:space="preserve">, </w:t>
            </w:r>
            <w:proofErr w:type="spellStart"/>
            <w:r w:rsidRPr="00836724">
              <w:t>kura</w:t>
            </w:r>
            <w:proofErr w:type="spellEnd"/>
            <w:r w:rsidRPr="00836724">
              <w:t xml:space="preserve"> </w:t>
            </w:r>
            <w:proofErr w:type="spellStart"/>
            <w:r w:rsidRPr="00836724">
              <w:t>sniegusi</w:t>
            </w:r>
            <w:proofErr w:type="spellEnd"/>
            <w:r w:rsidRPr="00836724">
              <w:t xml:space="preserve"> </w:t>
            </w:r>
            <w:proofErr w:type="spellStart"/>
            <w:r w:rsidRPr="00836724">
              <w:t>šā</w:t>
            </w:r>
            <w:proofErr w:type="spellEnd"/>
            <w:r w:rsidRPr="00836724">
              <w:t xml:space="preserve"> </w:t>
            </w:r>
            <w:proofErr w:type="spellStart"/>
            <w:r w:rsidRPr="00836724">
              <w:t>likuma</w:t>
            </w:r>
            <w:proofErr w:type="spellEnd"/>
            <w:r w:rsidRPr="00836724">
              <w:t xml:space="preserve"> 95.panta </w:t>
            </w:r>
            <w:proofErr w:type="spellStart"/>
            <w:r w:rsidRPr="00836724">
              <w:t>pirmajā</w:t>
            </w:r>
            <w:proofErr w:type="spellEnd"/>
            <w:r w:rsidRPr="00836724">
              <w:t xml:space="preserve"> </w:t>
            </w:r>
            <w:proofErr w:type="spellStart"/>
            <w:r w:rsidRPr="00836724">
              <w:t>daļā</w:t>
            </w:r>
            <w:proofErr w:type="spellEnd"/>
            <w:r w:rsidRPr="00836724">
              <w:t xml:space="preserve"> </w:t>
            </w:r>
            <w:proofErr w:type="spellStart"/>
            <w:r w:rsidRPr="00836724">
              <w:t>minēto</w:t>
            </w:r>
            <w:proofErr w:type="spellEnd"/>
            <w:r w:rsidRPr="00836724">
              <w:t xml:space="preserve"> </w:t>
            </w:r>
            <w:proofErr w:type="spellStart"/>
            <w:r w:rsidRPr="00836724">
              <w:t>atzinumu</w:t>
            </w:r>
            <w:proofErr w:type="spellEnd"/>
            <w:r w:rsidRPr="00836724">
              <w:t>.</w:t>
            </w:r>
          </w:p>
          <w:p w:rsidR="006739A5" w:rsidRPr="00836724" w:rsidRDefault="006739A5" w:rsidP="006739A5">
            <w:pPr>
              <w:pStyle w:val="tv213"/>
              <w:spacing w:before="0" w:beforeAutospacing="0" w:after="120" w:afterAutospacing="0"/>
              <w:jc w:val="both"/>
            </w:pPr>
            <w:r w:rsidRPr="00836724">
              <w:t xml:space="preserve">(4) </w:t>
            </w:r>
            <w:proofErr w:type="spellStart"/>
            <w:r w:rsidRPr="00836724">
              <w:t>Ja</w:t>
            </w:r>
            <w:proofErr w:type="spellEnd"/>
            <w:r w:rsidRPr="00836724">
              <w:t xml:space="preserve"> </w:t>
            </w:r>
            <w:proofErr w:type="spellStart"/>
            <w:r w:rsidRPr="00836724">
              <w:t>uzaicinātās</w:t>
            </w:r>
            <w:proofErr w:type="spellEnd"/>
            <w:r w:rsidRPr="00836724">
              <w:t xml:space="preserve"> personas </w:t>
            </w:r>
            <w:proofErr w:type="spellStart"/>
            <w:r w:rsidRPr="00836724">
              <w:t>nav</w:t>
            </w:r>
            <w:proofErr w:type="spellEnd"/>
            <w:r w:rsidRPr="00836724">
              <w:t xml:space="preserve"> </w:t>
            </w:r>
            <w:proofErr w:type="spellStart"/>
            <w:r w:rsidRPr="00836724">
              <w:t>ieradušās</w:t>
            </w:r>
            <w:proofErr w:type="spellEnd"/>
            <w:r w:rsidRPr="00836724">
              <w:t xml:space="preserve">, </w:t>
            </w:r>
            <w:proofErr w:type="spellStart"/>
            <w:r w:rsidRPr="00836724">
              <w:t>tiesa</w:t>
            </w:r>
            <w:proofErr w:type="spellEnd"/>
            <w:r w:rsidRPr="00836724">
              <w:t xml:space="preserve"> </w:t>
            </w:r>
            <w:proofErr w:type="spellStart"/>
            <w:r w:rsidRPr="00836724">
              <w:t>var</w:t>
            </w:r>
            <w:proofErr w:type="spellEnd"/>
            <w:r w:rsidRPr="00836724">
              <w:t xml:space="preserve"> </w:t>
            </w:r>
            <w:proofErr w:type="spellStart"/>
            <w:r w:rsidRPr="00836724">
              <w:t>lemt</w:t>
            </w:r>
            <w:proofErr w:type="spellEnd"/>
            <w:r w:rsidRPr="00836724">
              <w:t xml:space="preserve"> par </w:t>
            </w:r>
            <w:proofErr w:type="spellStart"/>
            <w:r w:rsidRPr="00836724">
              <w:t>lietas</w:t>
            </w:r>
            <w:proofErr w:type="spellEnd"/>
            <w:r w:rsidRPr="00836724">
              <w:t xml:space="preserve"> </w:t>
            </w:r>
            <w:proofErr w:type="spellStart"/>
            <w:r w:rsidRPr="00836724">
              <w:t>izskatīšanu</w:t>
            </w:r>
            <w:proofErr w:type="spellEnd"/>
            <w:r w:rsidRPr="00836724">
              <w:t xml:space="preserve"> bez </w:t>
            </w:r>
            <w:proofErr w:type="spellStart"/>
            <w:r w:rsidRPr="00836724">
              <w:lastRenderedPageBreak/>
              <w:t>uzaicināto</w:t>
            </w:r>
            <w:proofErr w:type="spellEnd"/>
            <w:r w:rsidRPr="00836724">
              <w:t xml:space="preserve"> </w:t>
            </w:r>
            <w:proofErr w:type="spellStart"/>
            <w:r w:rsidRPr="00836724">
              <w:t>personu</w:t>
            </w:r>
            <w:proofErr w:type="spellEnd"/>
            <w:r w:rsidRPr="00836724">
              <w:t xml:space="preserve"> </w:t>
            </w:r>
            <w:proofErr w:type="spellStart"/>
            <w:r w:rsidRPr="00836724">
              <w:t>klātbūtnes</w:t>
            </w:r>
            <w:proofErr w:type="spellEnd"/>
            <w:r w:rsidRPr="00836724">
              <w:t>.</w:t>
            </w:r>
          </w:p>
          <w:p w:rsidR="006739A5" w:rsidRPr="00836724" w:rsidRDefault="006739A5" w:rsidP="006739A5">
            <w:pPr>
              <w:pStyle w:val="tv213"/>
              <w:spacing w:before="0" w:beforeAutospacing="0" w:after="120" w:afterAutospacing="0"/>
              <w:jc w:val="both"/>
            </w:pPr>
            <w:r w:rsidRPr="00836724">
              <w:rPr>
                <w:b/>
              </w:rPr>
              <w:t>100.pants.</w:t>
            </w:r>
            <w:r w:rsidRPr="00836724">
              <w:t xml:space="preserve"> (1) </w:t>
            </w:r>
            <w:proofErr w:type="spellStart"/>
            <w:r w:rsidRPr="00836724">
              <w:t>Pieteicējam</w:t>
            </w:r>
            <w:proofErr w:type="spellEnd"/>
            <w:r w:rsidRPr="00836724">
              <w:t xml:space="preserve"> </w:t>
            </w:r>
            <w:proofErr w:type="spellStart"/>
            <w:r w:rsidRPr="00836724">
              <w:t>ir</w:t>
            </w:r>
            <w:proofErr w:type="spellEnd"/>
            <w:r w:rsidRPr="00836724">
              <w:t xml:space="preserve"> </w:t>
            </w:r>
            <w:proofErr w:type="spellStart"/>
            <w:r w:rsidRPr="00836724">
              <w:t>pienākums</w:t>
            </w:r>
            <w:proofErr w:type="spellEnd"/>
            <w:r w:rsidRPr="00836724">
              <w:t xml:space="preserve"> </w:t>
            </w:r>
            <w:proofErr w:type="spellStart"/>
            <w:r w:rsidRPr="00836724">
              <w:t>iesniegt</w:t>
            </w:r>
            <w:proofErr w:type="spellEnd"/>
            <w:r w:rsidRPr="00836724">
              <w:t xml:space="preserve"> </w:t>
            </w:r>
            <w:proofErr w:type="spellStart"/>
            <w:r w:rsidRPr="00836724">
              <w:t>viņa</w:t>
            </w:r>
            <w:proofErr w:type="spellEnd"/>
            <w:r w:rsidRPr="00836724">
              <w:t xml:space="preserve"> </w:t>
            </w:r>
            <w:proofErr w:type="spellStart"/>
            <w:r w:rsidRPr="00836724">
              <w:t>rīcībā</w:t>
            </w:r>
            <w:proofErr w:type="spellEnd"/>
            <w:r w:rsidRPr="00836724">
              <w:t xml:space="preserve"> </w:t>
            </w:r>
            <w:proofErr w:type="spellStart"/>
            <w:r w:rsidRPr="00836724">
              <w:t>esošos</w:t>
            </w:r>
            <w:proofErr w:type="spellEnd"/>
            <w:r w:rsidRPr="00836724">
              <w:t xml:space="preserve"> </w:t>
            </w:r>
            <w:proofErr w:type="spellStart"/>
            <w:r w:rsidRPr="00836724">
              <w:t>pierādījumus</w:t>
            </w:r>
            <w:proofErr w:type="spellEnd"/>
            <w:r w:rsidRPr="00836724">
              <w:t xml:space="preserve">, </w:t>
            </w:r>
            <w:proofErr w:type="spellStart"/>
            <w:r w:rsidRPr="00836724">
              <w:t>kas</w:t>
            </w:r>
            <w:proofErr w:type="spellEnd"/>
            <w:r w:rsidRPr="00836724">
              <w:t xml:space="preserve"> </w:t>
            </w:r>
            <w:proofErr w:type="spellStart"/>
            <w:r w:rsidRPr="00836724">
              <w:t>apliecina</w:t>
            </w:r>
            <w:proofErr w:type="spellEnd"/>
            <w:r w:rsidRPr="00836724">
              <w:t xml:space="preserve"> </w:t>
            </w:r>
            <w:proofErr w:type="spellStart"/>
            <w:r w:rsidRPr="00836724">
              <w:t>lietas</w:t>
            </w:r>
            <w:proofErr w:type="spellEnd"/>
            <w:r w:rsidRPr="00836724">
              <w:t xml:space="preserve"> </w:t>
            </w:r>
            <w:proofErr w:type="spellStart"/>
            <w:r w:rsidRPr="00836724">
              <w:t>izspriešanai</w:t>
            </w:r>
            <w:proofErr w:type="spellEnd"/>
            <w:r w:rsidRPr="00836724">
              <w:t xml:space="preserve"> </w:t>
            </w:r>
            <w:proofErr w:type="spellStart"/>
            <w:r w:rsidRPr="00836724">
              <w:t>būtiskus</w:t>
            </w:r>
            <w:proofErr w:type="spellEnd"/>
            <w:r w:rsidRPr="00836724">
              <w:t xml:space="preserve"> </w:t>
            </w:r>
            <w:proofErr w:type="spellStart"/>
            <w:r w:rsidRPr="00836724">
              <w:t>apstākļus</w:t>
            </w:r>
            <w:proofErr w:type="spellEnd"/>
            <w:r w:rsidRPr="00836724">
              <w:t xml:space="preserve">. </w:t>
            </w:r>
            <w:proofErr w:type="spellStart"/>
            <w:r w:rsidRPr="00836724">
              <w:t>Atbildētājam</w:t>
            </w:r>
            <w:proofErr w:type="spellEnd"/>
            <w:r w:rsidRPr="00836724">
              <w:t xml:space="preserve"> </w:t>
            </w:r>
            <w:proofErr w:type="spellStart"/>
            <w:r w:rsidRPr="00836724">
              <w:t>ir</w:t>
            </w:r>
            <w:proofErr w:type="spellEnd"/>
            <w:r w:rsidRPr="00836724">
              <w:t xml:space="preserve"> </w:t>
            </w:r>
            <w:proofErr w:type="spellStart"/>
            <w:r w:rsidRPr="00836724">
              <w:t>pienākums</w:t>
            </w:r>
            <w:proofErr w:type="spellEnd"/>
            <w:r w:rsidRPr="00836724">
              <w:t xml:space="preserve"> </w:t>
            </w:r>
            <w:proofErr w:type="spellStart"/>
            <w:r w:rsidRPr="00836724">
              <w:t>pamatot</w:t>
            </w:r>
            <w:proofErr w:type="spellEnd"/>
            <w:r w:rsidRPr="00836724">
              <w:t xml:space="preserve"> </w:t>
            </w:r>
            <w:proofErr w:type="spellStart"/>
            <w:r w:rsidRPr="00836724">
              <w:t>pārsūdzētā</w:t>
            </w:r>
            <w:proofErr w:type="spellEnd"/>
            <w:r w:rsidRPr="00836724">
              <w:t xml:space="preserve"> </w:t>
            </w:r>
            <w:proofErr w:type="spellStart"/>
            <w:r w:rsidRPr="00836724">
              <w:t>lēmuma</w:t>
            </w:r>
            <w:proofErr w:type="spellEnd"/>
            <w:r w:rsidRPr="00836724">
              <w:t xml:space="preserve"> </w:t>
            </w:r>
            <w:proofErr w:type="spellStart"/>
            <w:r w:rsidRPr="00836724">
              <w:t>tiesiskumu</w:t>
            </w:r>
            <w:proofErr w:type="spellEnd"/>
            <w:r w:rsidRPr="00836724">
              <w:t>.</w:t>
            </w:r>
          </w:p>
          <w:p w:rsidR="006739A5" w:rsidRPr="00836724" w:rsidRDefault="006739A5" w:rsidP="006739A5">
            <w:pPr>
              <w:pStyle w:val="tv213"/>
              <w:spacing w:before="0" w:beforeAutospacing="0" w:after="120" w:afterAutospacing="0"/>
              <w:jc w:val="both"/>
            </w:pPr>
            <w:r w:rsidRPr="00836724">
              <w:t xml:space="preserve">(2) </w:t>
            </w:r>
            <w:proofErr w:type="spellStart"/>
            <w:r w:rsidRPr="00836724">
              <w:t>Ja</w:t>
            </w:r>
            <w:proofErr w:type="spellEnd"/>
            <w:r w:rsidRPr="00836724">
              <w:t xml:space="preserve"> </w:t>
            </w:r>
            <w:proofErr w:type="spellStart"/>
            <w:r w:rsidRPr="00836724">
              <w:t>lietas</w:t>
            </w:r>
            <w:proofErr w:type="spellEnd"/>
            <w:r w:rsidRPr="00836724">
              <w:t xml:space="preserve"> </w:t>
            </w:r>
            <w:proofErr w:type="spellStart"/>
            <w:r w:rsidRPr="00836724">
              <w:t>apstākļu</w:t>
            </w:r>
            <w:proofErr w:type="spellEnd"/>
            <w:r w:rsidRPr="00836724">
              <w:t xml:space="preserve"> </w:t>
            </w:r>
            <w:proofErr w:type="spellStart"/>
            <w:r w:rsidRPr="00836724">
              <w:t>objektīvai</w:t>
            </w:r>
            <w:proofErr w:type="spellEnd"/>
            <w:r w:rsidRPr="00836724">
              <w:t xml:space="preserve"> </w:t>
            </w:r>
            <w:proofErr w:type="spellStart"/>
            <w:r w:rsidRPr="00836724">
              <w:t>noskaidrošanai</w:t>
            </w:r>
            <w:proofErr w:type="spellEnd"/>
            <w:r w:rsidRPr="00836724">
              <w:t xml:space="preserve"> </w:t>
            </w:r>
            <w:proofErr w:type="spellStart"/>
            <w:r w:rsidRPr="00836724">
              <w:t>tiesai</w:t>
            </w:r>
            <w:proofErr w:type="spellEnd"/>
            <w:r w:rsidRPr="00836724">
              <w:t xml:space="preserve"> </w:t>
            </w:r>
            <w:proofErr w:type="spellStart"/>
            <w:r w:rsidRPr="00836724">
              <w:t>ir</w:t>
            </w:r>
            <w:proofErr w:type="spellEnd"/>
            <w:r w:rsidRPr="00836724">
              <w:t xml:space="preserve"> </w:t>
            </w:r>
            <w:proofErr w:type="spellStart"/>
            <w:r w:rsidRPr="00836724">
              <w:t>nepieciešams</w:t>
            </w:r>
            <w:proofErr w:type="spellEnd"/>
            <w:r w:rsidRPr="00836724">
              <w:t xml:space="preserve"> </w:t>
            </w:r>
            <w:proofErr w:type="spellStart"/>
            <w:r w:rsidRPr="00836724">
              <w:t>pārbaudīt</w:t>
            </w:r>
            <w:proofErr w:type="spellEnd"/>
            <w:r w:rsidRPr="00836724">
              <w:t xml:space="preserve"> </w:t>
            </w:r>
            <w:proofErr w:type="spellStart"/>
            <w:r w:rsidRPr="00836724">
              <w:t>valsts</w:t>
            </w:r>
            <w:proofErr w:type="spellEnd"/>
            <w:r w:rsidRPr="00836724">
              <w:t xml:space="preserve"> </w:t>
            </w:r>
            <w:proofErr w:type="spellStart"/>
            <w:r w:rsidRPr="00836724">
              <w:t>noslēpumu</w:t>
            </w:r>
            <w:proofErr w:type="spellEnd"/>
            <w:r w:rsidRPr="00836724">
              <w:t xml:space="preserve"> </w:t>
            </w:r>
            <w:proofErr w:type="spellStart"/>
            <w:r w:rsidRPr="00836724">
              <w:t>saturošus</w:t>
            </w:r>
            <w:proofErr w:type="spellEnd"/>
            <w:r w:rsidRPr="00836724">
              <w:t xml:space="preserve"> </w:t>
            </w:r>
            <w:proofErr w:type="spellStart"/>
            <w:r w:rsidRPr="00836724">
              <w:t>pierādījumus</w:t>
            </w:r>
            <w:proofErr w:type="spellEnd"/>
            <w:r w:rsidRPr="00836724">
              <w:t xml:space="preserve">, </w:t>
            </w:r>
            <w:proofErr w:type="spellStart"/>
            <w:r w:rsidRPr="00836724">
              <w:t>šo</w:t>
            </w:r>
            <w:proofErr w:type="spellEnd"/>
            <w:r w:rsidRPr="00836724">
              <w:t xml:space="preserve"> </w:t>
            </w:r>
            <w:proofErr w:type="spellStart"/>
            <w:r w:rsidRPr="00836724">
              <w:t>pierādījumu</w:t>
            </w:r>
            <w:proofErr w:type="spellEnd"/>
            <w:r w:rsidRPr="00836724">
              <w:t xml:space="preserve"> </w:t>
            </w:r>
            <w:proofErr w:type="spellStart"/>
            <w:r w:rsidRPr="00836724">
              <w:t>pārbaudē</w:t>
            </w:r>
            <w:proofErr w:type="spellEnd"/>
            <w:r w:rsidRPr="00836724">
              <w:t xml:space="preserve"> </w:t>
            </w:r>
            <w:proofErr w:type="spellStart"/>
            <w:r w:rsidRPr="00836724">
              <w:t>piedalās</w:t>
            </w:r>
            <w:proofErr w:type="spellEnd"/>
            <w:r w:rsidRPr="00836724">
              <w:t xml:space="preserve"> </w:t>
            </w:r>
            <w:proofErr w:type="spellStart"/>
            <w:r w:rsidRPr="00836724">
              <w:t>lietas</w:t>
            </w:r>
            <w:proofErr w:type="spellEnd"/>
            <w:r w:rsidRPr="00836724">
              <w:t xml:space="preserve"> </w:t>
            </w:r>
            <w:proofErr w:type="spellStart"/>
            <w:r w:rsidRPr="00836724">
              <w:t>dalībnieki</w:t>
            </w:r>
            <w:proofErr w:type="spellEnd"/>
            <w:r w:rsidRPr="00836724">
              <w:t xml:space="preserve">, </w:t>
            </w:r>
            <w:proofErr w:type="spellStart"/>
            <w:r w:rsidRPr="00836724">
              <w:t>kā</w:t>
            </w:r>
            <w:proofErr w:type="spellEnd"/>
            <w:r w:rsidRPr="00836724">
              <w:t xml:space="preserve"> </w:t>
            </w:r>
            <w:proofErr w:type="spellStart"/>
            <w:r w:rsidRPr="00836724">
              <w:t>arī</w:t>
            </w:r>
            <w:proofErr w:type="spellEnd"/>
            <w:r w:rsidRPr="00836724">
              <w:t xml:space="preserve">, </w:t>
            </w:r>
            <w:proofErr w:type="spellStart"/>
            <w:r w:rsidRPr="00836724">
              <w:t>ja</w:t>
            </w:r>
            <w:proofErr w:type="spellEnd"/>
            <w:r w:rsidRPr="00836724">
              <w:t xml:space="preserve"> </w:t>
            </w:r>
            <w:proofErr w:type="spellStart"/>
            <w:r w:rsidRPr="00836724">
              <w:t>nepieciešams</w:t>
            </w:r>
            <w:proofErr w:type="spellEnd"/>
            <w:r w:rsidRPr="00836724">
              <w:t xml:space="preserve">, </w:t>
            </w:r>
            <w:proofErr w:type="spellStart"/>
            <w:r w:rsidRPr="00836724">
              <w:t>citas</w:t>
            </w:r>
            <w:proofErr w:type="spellEnd"/>
            <w:r w:rsidRPr="00836724">
              <w:t xml:space="preserve"> personas, </w:t>
            </w:r>
            <w:proofErr w:type="spellStart"/>
            <w:r w:rsidRPr="00836724">
              <w:t>kurām</w:t>
            </w:r>
            <w:proofErr w:type="spellEnd"/>
            <w:r w:rsidRPr="00836724">
              <w:t xml:space="preserve"> </w:t>
            </w:r>
            <w:proofErr w:type="spellStart"/>
            <w:r w:rsidRPr="00836724">
              <w:t>ir</w:t>
            </w:r>
            <w:proofErr w:type="spellEnd"/>
            <w:r w:rsidRPr="00836724">
              <w:t xml:space="preserve"> </w:t>
            </w:r>
            <w:proofErr w:type="spellStart"/>
            <w:r w:rsidRPr="00836724">
              <w:t>speciālā</w:t>
            </w:r>
            <w:proofErr w:type="spellEnd"/>
            <w:r w:rsidRPr="00836724">
              <w:t xml:space="preserve"> </w:t>
            </w:r>
            <w:proofErr w:type="spellStart"/>
            <w:r w:rsidRPr="00836724">
              <w:t>atļauja</w:t>
            </w:r>
            <w:proofErr w:type="spellEnd"/>
            <w:r w:rsidRPr="00836724">
              <w:t xml:space="preserve"> </w:t>
            </w:r>
            <w:proofErr w:type="spellStart"/>
            <w:r w:rsidRPr="00836724">
              <w:t>pieejai</w:t>
            </w:r>
            <w:proofErr w:type="spellEnd"/>
            <w:r w:rsidRPr="00836724">
              <w:t xml:space="preserve"> </w:t>
            </w:r>
            <w:proofErr w:type="spellStart"/>
            <w:r w:rsidRPr="00836724">
              <w:t>valsts</w:t>
            </w:r>
            <w:proofErr w:type="spellEnd"/>
            <w:r w:rsidRPr="00836724">
              <w:t xml:space="preserve"> </w:t>
            </w:r>
            <w:proofErr w:type="spellStart"/>
            <w:r w:rsidRPr="00836724">
              <w:t>noslēpumam</w:t>
            </w:r>
            <w:proofErr w:type="spellEnd"/>
            <w:r w:rsidRPr="00836724">
              <w:t>.</w:t>
            </w:r>
          </w:p>
          <w:p w:rsidR="006739A5" w:rsidRPr="00836724" w:rsidRDefault="006739A5" w:rsidP="006739A5">
            <w:pPr>
              <w:spacing w:after="120"/>
              <w:jc w:val="both"/>
              <w:rPr>
                <w:lang w:val="en-GB" w:eastAsia="en-GB"/>
              </w:rPr>
            </w:pPr>
            <w:r w:rsidRPr="00836724">
              <w:rPr>
                <w:lang w:val="en-GB" w:eastAsia="en-GB"/>
              </w:rPr>
              <w:t xml:space="preserve">(3) </w:t>
            </w:r>
            <w:proofErr w:type="spellStart"/>
            <w:r w:rsidRPr="00836724">
              <w:rPr>
                <w:lang w:val="en-GB" w:eastAsia="en-GB"/>
              </w:rPr>
              <w:t>Ja</w:t>
            </w:r>
            <w:proofErr w:type="spellEnd"/>
            <w:r w:rsidRPr="00836724">
              <w:rPr>
                <w:lang w:val="en-GB" w:eastAsia="en-GB"/>
              </w:rPr>
              <w:t xml:space="preserve"> </w:t>
            </w:r>
            <w:proofErr w:type="spellStart"/>
            <w:r w:rsidRPr="00836724">
              <w:rPr>
                <w:lang w:val="en-GB" w:eastAsia="en-GB"/>
              </w:rPr>
              <w:t>pieteicēja</w:t>
            </w:r>
            <w:proofErr w:type="spellEnd"/>
            <w:r w:rsidRPr="00836724">
              <w:rPr>
                <w:lang w:val="en-GB" w:eastAsia="en-GB"/>
              </w:rPr>
              <w:t xml:space="preserve"> </w:t>
            </w:r>
            <w:proofErr w:type="spellStart"/>
            <w:r w:rsidRPr="00836724">
              <w:rPr>
                <w:lang w:val="en-GB" w:eastAsia="en-GB"/>
              </w:rPr>
              <w:t>pārstāvim</w:t>
            </w:r>
            <w:proofErr w:type="spellEnd"/>
            <w:r w:rsidRPr="00836724">
              <w:rPr>
                <w:lang w:val="en-GB" w:eastAsia="en-GB"/>
              </w:rPr>
              <w:t xml:space="preserve"> </w:t>
            </w:r>
            <w:proofErr w:type="spellStart"/>
            <w:r w:rsidRPr="00836724">
              <w:rPr>
                <w:lang w:val="en-GB" w:eastAsia="en-GB"/>
              </w:rPr>
              <w:t>nav</w:t>
            </w:r>
            <w:proofErr w:type="spellEnd"/>
            <w:r w:rsidRPr="00836724">
              <w:rPr>
                <w:lang w:val="en-GB" w:eastAsia="en-GB"/>
              </w:rPr>
              <w:t xml:space="preserve"> </w:t>
            </w:r>
            <w:proofErr w:type="spellStart"/>
            <w:r w:rsidRPr="00836724">
              <w:rPr>
                <w:lang w:val="en-GB" w:eastAsia="en-GB"/>
              </w:rPr>
              <w:t>speciālās</w:t>
            </w:r>
            <w:proofErr w:type="spellEnd"/>
            <w:r w:rsidRPr="00836724">
              <w:rPr>
                <w:lang w:val="en-GB" w:eastAsia="en-GB"/>
              </w:rPr>
              <w:t xml:space="preserve"> </w:t>
            </w:r>
            <w:proofErr w:type="spellStart"/>
            <w:r w:rsidRPr="00836724">
              <w:rPr>
                <w:lang w:val="en-GB" w:eastAsia="en-GB"/>
              </w:rPr>
              <w:t>atļaujas</w:t>
            </w:r>
            <w:proofErr w:type="spellEnd"/>
            <w:r w:rsidRPr="00836724">
              <w:rPr>
                <w:lang w:val="en-GB" w:eastAsia="en-GB"/>
              </w:rPr>
              <w:t xml:space="preserve"> </w:t>
            </w:r>
            <w:proofErr w:type="spellStart"/>
            <w:r w:rsidRPr="00836724">
              <w:rPr>
                <w:lang w:val="en-GB" w:eastAsia="en-GB"/>
              </w:rPr>
              <w:t>pieejai</w:t>
            </w:r>
            <w:proofErr w:type="spellEnd"/>
            <w:r w:rsidRPr="00836724">
              <w:rPr>
                <w:lang w:val="en-GB" w:eastAsia="en-GB"/>
              </w:rPr>
              <w:t xml:space="preserve"> </w:t>
            </w:r>
            <w:proofErr w:type="spellStart"/>
            <w:r w:rsidRPr="00836724">
              <w:rPr>
                <w:lang w:val="en-GB" w:eastAsia="en-GB"/>
              </w:rPr>
              <w:t>valsts</w:t>
            </w:r>
            <w:proofErr w:type="spellEnd"/>
            <w:r w:rsidRPr="00836724">
              <w:rPr>
                <w:lang w:val="en-GB" w:eastAsia="en-GB"/>
              </w:rPr>
              <w:t xml:space="preserve"> </w:t>
            </w:r>
            <w:proofErr w:type="spellStart"/>
            <w:r w:rsidRPr="00836724">
              <w:rPr>
                <w:lang w:val="en-GB" w:eastAsia="en-GB"/>
              </w:rPr>
              <w:t>noslēpumam</w:t>
            </w:r>
            <w:proofErr w:type="spellEnd"/>
            <w:r w:rsidRPr="00836724">
              <w:rPr>
                <w:lang w:val="en-GB" w:eastAsia="en-GB"/>
              </w:rPr>
              <w:t xml:space="preserve">, </w:t>
            </w:r>
            <w:proofErr w:type="spellStart"/>
            <w:r w:rsidRPr="00836724">
              <w:rPr>
                <w:lang w:val="en-GB" w:eastAsia="en-GB"/>
              </w:rPr>
              <w:t>tiesa</w:t>
            </w:r>
            <w:proofErr w:type="spellEnd"/>
            <w:r w:rsidRPr="00836724">
              <w:rPr>
                <w:lang w:val="en-GB" w:eastAsia="en-GB"/>
              </w:rPr>
              <w:t xml:space="preserve"> </w:t>
            </w:r>
            <w:proofErr w:type="spellStart"/>
            <w:r w:rsidRPr="00836724">
              <w:rPr>
                <w:lang w:val="en-GB" w:eastAsia="en-GB"/>
              </w:rPr>
              <w:t>ieceļ</w:t>
            </w:r>
            <w:proofErr w:type="spellEnd"/>
            <w:r w:rsidRPr="00836724">
              <w:rPr>
                <w:lang w:val="en-GB" w:eastAsia="en-GB"/>
              </w:rPr>
              <w:t xml:space="preserve"> par </w:t>
            </w:r>
            <w:proofErr w:type="spellStart"/>
            <w:r w:rsidRPr="00836724">
              <w:rPr>
                <w:lang w:val="en-GB" w:eastAsia="en-GB"/>
              </w:rPr>
              <w:t>pieteicēja</w:t>
            </w:r>
            <w:proofErr w:type="spellEnd"/>
            <w:r w:rsidRPr="00836724">
              <w:rPr>
                <w:lang w:val="en-GB" w:eastAsia="en-GB"/>
              </w:rPr>
              <w:t xml:space="preserve"> </w:t>
            </w:r>
            <w:proofErr w:type="spellStart"/>
            <w:r w:rsidRPr="00836724">
              <w:rPr>
                <w:lang w:val="en-GB" w:eastAsia="en-GB"/>
              </w:rPr>
              <w:t>pārstāvi</w:t>
            </w:r>
            <w:proofErr w:type="spellEnd"/>
            <w:r w:rsidRPr="00836724">
              <w:rPr>
                <w:lang w:val="en-GB" w:eastAsia="en-GB"/>
              </w:rPr>
              <w:t xml:space="preserve"> </w:t>
            </w:r>
            <w:proofErr w:type="spellStart"/>
            <w:r w:rsidRPr="00836724">
              <w:rPr>
                <w:lang w:val="en-GB" w:eastAsia="en-GB"/>
              </w:rPr>
              <w:t>šajā</w:t>
            </w:r>
            <w:proofErr w:type="spellEnd"/>
            <w:r w:rsidRPr="00836724">
              <w:rPr>
                <w:lang w:val="en-GB" w:eastAsia="en-GB"/>
              </w:rPr>
              <w:t xml:space="preserve"> </w:t>
            </w:r>
            <w:proofErr w:type="spellStart"/>
            <w:r w:rsidRPr="00836724">
              <w:rPr>
                <w:lang w:val="en-GB" w:eastAsia="en-GB"/>
              </w:rPr>
              <w:t>procesa</w:t>
            </w:r>
            <w:proofErr w:type="spellEnd"/>
            <w:r w:rsidRPr="00836724">
              <w:rPr>
                <w:lang w:val="en-GB" w:eastAsia="en-GB"/>
              </w:rPr>
              <w:t xml:space="preserve"> </w:t>
            </w:r>
            <w:proofErr w:type="spellStart"/>
            <w:r w:rsidRPr="00836724">
              <w:rPr>
                <w:lang w:val="en-GB" w:eastAsia="en-GB"/>
              </w:rPr>
              <w:t>daļā</w:t>
            </w:r>
            <w:proofErr w:type="spellEnd"/>
            <w:r w:rsidRPr="00836724">
              <w:rPr>
                <w:lang w:val="en-GB" w:eastAsia="en-GB"/>
              </w:rPr>
              <w:t xml:space="preserve"> </w:t>
            </w:r>
            <w:proofErr w:type="spellStart"/>
            <w:r w:rsidRPr="00836724">
              <w:rPr>
                <w:lang w:val="en-GB" w:eastAsia="en-GB"/>
              </w:rPr>
              <w:t>Latvijā</w:t>
            </w:r>
            <w:proofErr w:type="spellEnd"/>
            <w:r w:rsidRPr="00836724">
              <w:rPr>
                <w:lang w:val="en-GB" w:eastAsia="en-GB"/>
              </w:rPr>
              <w:t xml:space="preserve"> </w:t>
            </w:r>
            <w:proofErr w:type="spellStart"/>
            <w:r w:rsidRPr="00836724">
              <w:rPr>
                <w:lang w:val="en-GB" w:eastAsia="en-GB"/>
              </w:rPr>
              <w:t>praktizējošu</w:t>
            </w:r>
            <w:proofErr w:type="spellEnd"/>
            <w:r w:rsidRPr="00836724">
              <w:rPr>
                <w:lang w:val="en-GB" w:eastAsia="en-GB"/>
              </w:rPr>
              <w:t xml:space="preserve"> </w:t>
            </w:r>
            <w:proofErr w:type="spellStart"/>
            <w:r w:rsidRPr="00836724">
              <w:rPr>
                <w:lang w:val="en-GB" w:eastAsia="en-GB"/>
              </w:rPr>
              <w:t>advokātu</w:t>
            </w:r>
            <w:proofErr w:type="spellEnd"/>
            <w:r w:rsidRPr="00836724">
              <w:rPr>
                <w:lang w:val="en-GB" w:eastAsia="en-GB"/>
              </w:rPr>
              <w:t xml:space="preserve">, </w:t>
            </w:r>
            <w:proofErr w:type="spellStart"/>
            <w:r w:rsidRPr="00836724">
              <w:rPr>
                <w:lang w:val="en-GB" w:eastAsia="en-GB"/>
              </w:rPr>
              <w:t>kuram</w:t>
            </w:r>
            <w:proofErr w:type="spellEnd"/>
            <w:r w:rsidRPr="00836724">
              <w:rPr>
                <w:lang w:val="en-GB" w:eastAsia="en-GB"/>
              </w:rPr>
              <w:t xml:space="preserve"> </w:t>
            </w:r>
            <w:proofErr w:type="spellStart"/>
            <w:r w:rsidRPr="00836724">
              <w:rPr>
                <w:lang w:val="en-GB" w:eastAsia="en-GB"/>
              </w:rPr>
              <w:t>ir</w:t>
            </w:r>
            <w:proofErr w:type="spellEnd"/>
            <w:r w:rsidRPr="00836724">
              <w:rPr>
                <w:lang w:val="en-GB" w:eastAsia="en-GB"/>
              </w:rPr>
              <w:t xml:space="preserve"> </w:t>
            </w:r>
            <w:proofErr w:type="spellStart"/>
            <w:r w:rsidRPr="00836724">
              <w:rPr>
                <w:lang w:val="en-GB" w:eastAsia="en-GB"/>
              </w:rPr>
              <w:t>izsniegta</w:t>
            </w:r>
            <w:proofErr w:type="spellEnd"/>
            <w:r w:rsidRPr="00836724">
              <w:rPr>
                <w:lang w:val="en-GB" w:eastAsia="en-GB"/>
              </w:rPr>
              <w:t xml:space="preserve"> </w:t>
            </w:r>
            <w:proofErr w:type="spellStart"/>
            <w:r w:rsidRPr="00836724">
              <w:rPr>
                <w:lang w:val="en-GB" w:eastAsia="en-GB"/>
              </w:rPr>
              <w:t>speciālā</w:t>
            </w:r>
            <w:proofErr w:type="spellEnd"/>
            <w:r w:rsidRPr="00836724">
              <w:rPr>
                <w:lang w:val="en-GB" w:eastAsia="en-GB"/>
              </w:rPr>
              <w:t xml:space="preserve"> </w:t>
            </w:r>
            <w:proofErr w:type="spellStart"/>
            <w:r w:rsidRPr="00836724">
              <w:rPr>
                <w:lang w:val="en-GB" w:eastAsia="en-GB"/>
              </w:rPr>
              <w:t>atļauja</w:t>
            </w:r>
            <w:proofErr w:type="spellEnd"/>
            <w:r w:rsidRPr="00836724">
              <w:rPr>
                <w:lang w:val="en-GB" w:eastAsia="en-GB"/>
              </w:rPr>
              <w:t xml:space="preserve"> </w:t>
            </w:r>
            <w:proofErr w:type="spellStart"/>
            <w:r w:rsidRPr="00836724">
              <w:rPr>
                <w:lang w:val="en-GB" w:eastAsia="en-GB"/>
              </w:rPr>
              <w:t>pieejai</w:t>
            </w:r>
            <w:proofErr w:type="spellEnd"/>
            <w:r w:rsidRPr="00836724">
              <w:rPr>
                <w:lang w:val="en-GB" w:eastAsia="en-GB"/>
              </w:rPr>
              <w:t xml:space="preserve"> </w:t>
            </w:r>
            <w:proofErr w:type="spellStart"/>
            <w:r w:rsidRPr="00836724">
              <w:rPr>
                <w:lang w:val="en-GB" w:eastAsia="en-GB"/>
              </w:rPr>
              <w:t>valsts</w:t>
            </w:r>
            <w:proofErr w:type="spellEnd"/>
            <w:r w:rsidRPr="00836724">
              <w:rPr>
                <w:lang w:val="en-GB" w:eastAsia="en-GB"/>
              </w:rPr>
              <w:t xml:space="preserve"> </w:t>
            </w:r>
            <w:proofErr w:type="spellStart"/>
            <w:r w:rsidRPr="00836724">
              <w:rPr>
                <w:lang w:val="en-GB" w:eastAsia="en-GB"/>
              </w:rPr>
              <w:t>noslēpumam</w:t>
            </w:r>
            <w:proofErr w:type="spellEnd"/>
            <w:r w:rsidRPr="00836724">
              <w:rPr>
                <w:lang w:val="en-GB" w:eastAsia="en-GB"/>
              </w:rPr>
              <w:t xml:space="preserve">. </w:t>
            </w:r>
            <w:proofErr w:type="spellStart"/>
            <w:r w:rsidRPr="00836724">
              <w:rPr>
                <w:lang w:val="en-GB" w:eastAsia="en-GB"/>
              </w:rPr>
              <w:t>Ja</w:t>
            </w:r>
            <w:proofErr w:type="spellEnd"/>
            <w:r w:rsidRPr="00836724">
              <w:rPr>
                <w:lang w:val="en-GB" w:eastAsia="en-GB"/>
              </w:rPr>
              <w:t xml:space="preserve"> </w:t>
            </w:r>
            <w:proofErr w:type="spellStart"/>
            <w:r w:rsidRPr="00836724">
              <w:rPr>
                <w:lang w:val="en-GB" w:eastAsia="en-GB"/>
              </w:rPr>
              <w:t>pieteicējs</w:t>
            </w:r>
            <w:proofErr w:type="spellEnd"/>
            <w:r w:rsidRPr="00836724">
              <w:rPr>
                <w:lang w:val="en-GB" w:eastAsia="en-GB"/>
              </w:rPr>
              <w:t xml:space="preserve"> </w:t>
            </w:r>
            <w:proofErr w:type="spellStart"/>
            <w:r w:rsidRPr="00836724">
              <w:rPr>
                <w:lang w:val="en-GB" w:eastAsia="en-GB"/>
              </w:rPr>
              <w:t>šādai</w:t>
            </w:r>
            <w:proofErr w:type="spellEnd"/>
            <w:r w:rsidRPr="00836724">
              <w:rPr>
                <w:lang w:val="en-GB" w:eastAsia="en-GB"/>
              </w:rPr>
              <w:t xml:space="preserve"> </w:t>
            </w:r>
            <w:proofErr w:type="spellStart"/>
            <w:r w:rsidRPr="00836724">
              <w:rPr>
                <w:lang w:val="en-GB" w:eastAsia="en-GB"/>
              </w:rPr>
              <w:t>pārstāvībai</w:t>
            </w:r>
            <w:proofErr w:type="spellEnd"/>
            <w:r w:rsidRPr="00836724">
              <w:rPr>
                <w:lang w:val="en-GB" w:eastAsia="en-GB"/>
              </w:rPr>
              <w:t xml:space="preserve"> </w:t>
            </w:r>
            <w:proofErr w:type="spellStart"/>
            <w:r w:rsidRPr="00836724">
              <w:rPr>
                <w:lang w:val="en-GB" w:eastAsia="en-GB"/>
              </w:rPr>
              <w:t>nepiekrīt</w:t>
            </w:r>
            <w:proofErr w:type="spellEnd"/>
            <w:r w:rsidRPr="00836724">
              <w:rPr>
                <w:lang w:val="en-GB" w:eastAsia="en-GB"/>
              </w:rPr>
              <w:t xml:space="preserve">, </w:t>
            </w:r>
            <w:proofErr w:type="spellStart"/>
            <w:r w:rsidRPr="00836724">
              <w:rPr>
                <w:lang w:val="en-GB" w:eastAsia="en-GB"/>
              </w:rPr>
              <w:lastRenderedPageBreak/>
              <w:t>tiesa</w:t>
            </w:r>
            <w:proofErr w:type="spellEnd"/>
            <w:r w:rsidRPr="00836724">
              <w:rPr>
                <w:lang w:val="en-GB" w:eastAsia="en-GB"/>
              </w:rPr>
              <w:t xml:space="preserve"> </w:t>
            </w:r>
            <w:proofErr w:type="spellStart"/>
            <w:r w:rsidRPr="00836724">
              <w:rPr>
                <w:lang w:val="en-GB" w:eastAsia="en-GB"/>
              </w:rPr>
              <w:t>pārbauda</w:t>
            </w:r>
            <w:proofErr w:type="spellEnd"/>
            <w:r w:rsidRPr="00836724">
              <w:rPr>
                <w:lang w:val="en-GB" w:eastAsia="en-GB"/>
              </w:rPr>
              <w:t xml:space="preserve"> </w:t>
            </w:r>
            <w:proofErr w:type="spellStart"/>
            <w:r w:rsidRPr="00836724">
              <w:rPr>
                <w:lang w:val="en-GB" w:eastAsia="en-GB"/>
              </w:rPr>
              <w:t>ar</w:t>
            </w:r>
            <w:proofErr w:type="spellEnd"/>
            <w:r w:rsidRPr="00836724">
              <w:rPr>
                <w:lang w:val="en-GB" w:eastAsia="en-GB"/>
              </w:rPr>
              <w:t xml:space="preserve"> </w:t>
            </w:r>
            <w:proofErr w:type="spellStart"/>
            <w:r w:rsidRPr="00836724">
              <w:rPr>
                <w:lang w:val="en-GB" w:eastAsia="en-GB"/>
              </w:rPr>
              <w:t>valsts</w:t>
            </w:r>
            <w:proofErr w:type="spellEnd"/>
            <w:r w:rsidRPr="00836724">
              <w:rPr>
                <w:lang w:val="en-GB" w:eastAsia="en-GB"/>
              </w:rPr>
              <w:t xml:space="preserve"> </w:t>
            </w:r>
            <w:proofErr w:type="spellStart"/>
            <w:r w:rsidRPr="00836724">
              <w:rPr>
                <w:lang w:val="en-GB" w:eastAsia="en-GB"/>
              </w:rPr>
              <w:t>noslēpumu</w:t>
            </w:r>
            <w:proofErr w:type="spellEnd"/>
            <w:r w:rsidRPr="00836724">
              <w:rPr>
                <w:lang w:val="en-GB" w:eastAsia="en-GB"/>
              </w:rPr>
              <w:t xml:space="preserve"> </w:t>
            </w:r>
            <w:proofErr w:type="spellStart"/>
            <w:r w:rsidRPr="00836724">
              <w:rPr>
                <w:lang w:val="en-GB" w:eastAsia="en-GB"/>
              </w:rPr>
              <w:t>saistīto</w:t>
            </w:r>
            <w:proofErr w:type="spellEnd"/>
            <w:r w:rsidRPr="00836724">
              <w:rPr>
                <w:lang w:val="en-GB" w:eastAsia="en-GB"/>
              </w:rPr>
              <w:t xml:space="preserve"> </w:t>
            </w:r>
            <w:proofErr w:type="spellStart"/>
            <w:r w:rsidRPr="00836724">
              <w:rPr>
                <w:lang w:val="en-GB" w:eastAsia="en-GB"/>
              </w:rPr>
              <w:t>informāciju</w:t>
            </w:r>
            <w:proofErr w:type="spellEnd"/>
            <w:r w:rsidRPr="00836724">
              <w:rPr>
                <w:lang w:val="en-GB" w:eastAsia="en-GB"/>
              </w:rPr>
              <w:t xml:space="preserve">, </w:t>
            </w:r>
            <w:proofErr w:type="spellStart"/>
            <w:r w:rsidRPr="00836724">
              <w:rPr>
                <w:lang w:val="en-GB" w:eastAsia="en-GB"/>
              </w:rPr>
              <w:t>nepiedaloties</w:t>
            </w:r>
            <w:proofErr w:type="spellEnd"/>
            <w:r w:rsidRPr="00836724">
              <w:rPr>
                <w:lang w:val="en-GB" w:eastAsia="en-GB"/>
              </w:rPr>
              <w:t xml:space="preserve"> </w:t>
            </w:r>
            <w:proofErr w:type="spellStart"/>
            <w:r w:rsidRPr="00836724">
              <w:rPr>
                <w:lang w:val="en-GB" w:eastAsia="en-GB"/>
              </w:rPr>
              <w:t>pieteicējam</w:t>
            </w:r>
            <w:proofErr w:type="spellEnd"/>
            <w:r w:rsidRPr="00836724">
              <w:rPr>
                <w:lang w:val="en-GB" w:eastAsia="en-GB"/>
              </w:rPr>
              <w:t xml:space="preserve"> un </w:t>
            </w:r>
            <w:proofErr w:type="spellStart"/>
            <w:r w:rsidRPr="00836724">
              <w:rPr>
                <w:lang w:val="en-GB" w:eastAsia="en-GB"/>
              </w:rPr>
              <w:t>viņa</w:t>
            </w:r>
            <w:proofErr w:type="spellEnd"/>
            <w:r w:rsidRPr="00836724">
              <w:rPr>
                <w:lang w:val="en-GB" w:eastAsia="en-GB"/>
              </w:rPr>
              <w:t xml:space="preserve"> </w:t>
            </w:r>
            <w:proofErr w:type="spellStart"/>
            <w:r w:rsidRPr="00836724">
              <w:rPr>
                <w:lang w:val="en-GB" w:eastAsia="en-GB"/>
              </w:rPr>
              <w:t>pārstāvim</w:t>
            </w:r>
            <w:proofErr w:type="spellEnd"/>
            <w:r w:rsidRPr="00836724">
              <w:rPr>
                <w:lang w:val="en-GB" w:eastAsia="en-GB"/>
              </w:rPr>
              <w:t xml:space="preserve">. </w:t>
            </w:r>
            <w:proofErr w:type="spellStart"/>
            <w:r w:rsidRPr="00836724">
              <w:rPr>
                <w:lang w:val="en-GB" w:eastAsia="en-GB"/>
              </w:rPr>
              <w:t>Ja</w:t>
            </w:r>
            <w:proofErr w:type="spellEnd"/>
            <w:r w:rsidRPr="00836724">
              <w:rPr>
                <w:lang w:val="en-GB" w:eastAsia="en-GB"/>
              </w:rPr>
              <w:t xml:space="preserve"> </w:t>
            </w:r>
            <w:proofErr w:type="spellStart"/>
            <w:r w:rsidRPr="00836724">
              <w:rPr>
                <w:lang w:val="en-GB" w:eastAsia="en-GB"/>
              </w:rPr>
              <w:t>iekšlietu</w:t>
            </w:r>
            <w:proofErr w:type="spellEnd"/>
            <w:r w:rsidRPr="00836724">
              <w:rPr>
                <w:lang w:val="en-GB" w:eastAsia="en-GB"/>
              </w:rPr>
              <w:t xml:space="preserve"> </w:t>
            </w:r>
            <w:proofErr w:type="spellStart"/>
            <w:r w:rsidRPr="00836724">
              <w:rPr>
                <w:lang w:val="en-GB" w:eastAsia="en-GB"/>
              </w:rPr>
              <w:t>ministra</w:t>
            </w:r>
            <w:proofErr w:type="spellEnd"/>
            <w:r w:rsidRPr="00836724">
              <w:rPr>
                <w:lang w:val="en-GB" w:eastAsia="en-GB"/>
              </w:rPr>
              <w:t xml:space="preserve"> </w:t>
            </w:r>
            <w:proofErr w:type="spellStart"/>
            <w:r w:rsidRPr="00836724">
              <w:rPr>
                <w:lang w:val="en-GB" w:eastAsia="en-GB"/>
              </w:rPr>
              <w:t>lēmums</w:t>
            </w:r>
            <w:proofErr w:type="spellEnd"/>
            <w:r w:rsidRPr="00836724">
              <w:rPr>
                <w:lang w:val="en-GB" w:eastAsia="en-GB"/>
              </w:rPr>
              <w:t xml:space="preserve"> par </w:t>
            </w:r>
            <w:proofErr w:type="spellStart"/>
            <w:r w:rsidRPr="00836724">
              <w:rPr>
                <w:lang w:val="en-GB" w:eastAsia="en-GB"/>
              </w:rPr>
              <w:t>ārzemnieka</w:t>
            </w:r>
            <w:proofErr w:type="spellEnd"/>
            <w:r w:rsidRPr="00836724">
              <w:rPr>
                <w:lang w:val="en-GB" w:eastAsia="en-GB"/>
              </w:rPr>
              <w:t xml:space="preserve"> </w:t>
            </w:r>
            <w:proofErr w:type="spellStart"/>
            <w:r w:rsidRPr="00836724">
              <w:rPr>
                <w:lang w:val="en-GB" w:eastAsia="en-GB"/>
              </w:rPr>
              <w:t>iekļaušanu</w:t>
            </w:r>
            <w:proofErr w:type="spellEnd"/>
            <w:r w:rsidRPr="00836724">
              <w:rPr>
                <w:lang w:val="en-GB" w:eastAsia="en-GB"/>
              </w:rPr>
              <w:t xml:space="preserve"> to </w:t>
            </w:r>
            <w:proofErr w:type="spellStart"/>
            <w:r w:rsidRPr="00836724">
              <w:rPr>
                <w:lang w:val="en-GB" w:eastAsia="en-GB"/>
              </w:rPr>
              <w:t>ārzemnieku</w:t>
            </w:r>
            <w:proofErr w:type="spellEnd"/>
            <w:r w:rsidRPr="00836724">
              <w:rPr>
                <w:lang w:val="en-GB" w:eastAsia="en-GB"/>
              </w:rPr>
              <w:t xml:space="preserve"> </w:t>
            </w:r>
            <w:proofErr w:type="spellStart"/>
            <w:r w:rsidRPr="00836724">
              <w:rPr>
                <w:lang w:val="en-GB" w:eastAsia="en-GB"/>
              </w:rPr>
              <w:t>sarakstā</w:t>
            </w:r>
            <w:proofErr w:type="spellEnd"/>
            <w:r w:rsidRPr="00836724">
              <w:rPr>
                <w:lang w:val="en-GB" w:eastAsia="en-GB"/>
              </w:rPr>
              <w:t xml:space="preserve">, </w:t>
            </w:r>
            <w:proofErr w:type="spellStart"/>
            <w:r w:rsidRPr="00836724">
              <w:rPr>
                <w:lang w:val="en-GB" w:eastAsia="en-GB"/>
              </w:rPr>
              <w:t>kuriem</w:t>
            </w:r>
            <w:proofErr w:type="spellEnd"/>
            <w:r w:rsidRPr="00836724">
              <w:rPr>
                <w:lang w:val="en-GB" w:eastAsia="en-GB"/>
              </w:rPr>
              <w:t xml:space="preserve"> </w:t>
            </w:r>
            <w:proofErr w:type="spellStart"/>
            <w:r w:rsidRPr="00836724">
              <w:rPr>
                <w:lang w:val="en-GB" w:eastAsia="en-GB"/>
              </w:rPr>
              <w:t>ieceļošana</w:t>
            </w:r>
            <w:proofErr w:type="spellEnd"/>
            <w:r w:rsidRPr="00836724">
              <w:rPr>
                <w:lang w:val="en-GB" w:eastAsia="en-GB"/>
              </w:rPr>
              <w:t xml:space="preserve"> </w:t>
            </w:r>
            <w:proofErr w:type="spellStart"/>
            <w:r w:rsidRPr="00836724">
              <w:rPr>
                <w:lang w:val="en-GB" w:eastAsia="en-GB"/>
              </w:rPr>
              <w:t>Latvijas</w:t>
            </w:r>
            <w:proofErr w:type="spellEnd"/>
            <w:r w:rsidRPr="00836724">
              <w:rPr>
                <w:lang w:val="en-GB" w:eastAsia="en-GB"/>
              </w:rPr>
              <w:t xml:space="preserve"> </w:t>
            </w:r>
            <w:proofErr w:type="spellStart"/>
            <w:r w:rsidRPr="00836724">
              <w:rPr>
                <w:lang w:val="en-GB" w:eastAsia="en-GB"/>
              </w:rPr>
              <w:t>Republikā</w:t>
            </w:r>
            <w:proofErr w:type="spellEnd"/>
            <w:r w:rsidRPr="00836724">
              <w:rPr>
                <w:lang w:val="en-GB" w:eastAsia="en-GB"/>
              </w:rPr>
              <w:t xml:space="preserve"> </w:t>
            </w:r>
            <w:proofErr w:type="spellStart"/>
            <w:r w:rsidRPr="00836724">
              <w:rPr>
                <w:lang w:val="en-GB" w:eastAsia="en-GB"/>
              </w:rPr>
              <w:t>ir</w:t>
            </w:r>
            <w:proofErr w:type="spellEnd"/>
            <w:r w:rsidRPr="00836724">
              <w:rPr>
                <w:lang w:val="en-GB" w:eastAsia="en-GB"/>
              </w:rPr>
              <w:t xml:space="preserve"> </w:t>
            </w:r>
            <w:proofErr w:type="spellStart"/>
            <w:r w:rsidRPr="00836724">
              <w:rPr>
                <w:lang w:val="en-GB" w:eastAsia="en-GB"/>
              </w:rPr>
              <w:t>aizliegta</w:t>
            </w:r>
            <w:proofErr w:type="spellEnd"/>
            <w:r w:rsidRPr="00836724">
              <w:rPr>
                <w:lang w:val="en-GB" w:eastAsia="en-GB"/>
              </w:rPr>
              <w:t xml:space="preserve">, </w:t>
            </w:r>
            <w:proofErr w:type="spellStart"/>
            <w:r w:rsidRPr="00836724">
              <w:rPr>
                <w:lang w:val="en-GB" w:eastAsia="en-GB"/>
              </w:rPr>
              <w:t>pieņemts</w:t>
            </w:r>
            <w:proofErr w:type="spellEnd"/>
            <w:r w:rsidRPr="00836724">
              <w:rPr>
                <w:lang w:val="en-GB" w:eastAsia="en-GB"/>
              </w:rPr>
              <w:t xml:space="preserve">, </w:t>
            </w:r>
            <w:proofErr w:type="spellStart"/>
            <w:r w:rsidRPr="00836724">
              <w:rPr>
                <w:lang w:val="en-GB" w:eastAsia="en-GB"/>
              </w:rPr>
              <w:t>pamatojoties</w:t>
            </w:r>
            <w:proofErr w:type="spellEnd"/>
            <w:r w:rsidRPr="00836724">
              <w:rPr>
                <w:lang w:val="en-GB" w:eastAsia="en-GB"/>
              </w:rPr>
              <w:t xml:space="preserve"> </w:t>
            </w:r>
            <w:proofErr w:type="spellStart"/>
            <w:r w:rsidRPr="00836724">
              <w:rPr>
                <w:lang w:val="en-GB" w:eastAsia="en-GB"/>
              </w:rPr>
              <w:t>uz</w:t>
            </w:r>
            <w:proofErr w:type="spellEnd"/>
            <w:r w:rsidRPr="00836724">
              <w:rPr>
                <w:lang w:val="en-GB" w:eastAsia="en-GB"/>
              </w:rPr>
              <w:t xml:space="preserve"> </w:t>
            </w:r>
            <w:proofErr w:type="spellStart"/>
            <w:r w:rsidRPr="00836724">
              <w:rPr>
                <w:lang w:val="en-GB" w:eastAsia="en-GB"/>
              </w:rPr>
              <w:t>valsts</w:t>
            </w:r>
            <w:proofErr w:type="spellEnd"/>
            <w:r w:rsidRPr="00836724">
              <w:rPr>
                <w:lang w:val="en-GB" w:eastAsia="en-GB"/>
              </w:rPr>
              <w:t xml:space="preserve"> </w:t>
            </w:r>
            <w:proofErr w:type="spellStart"/>
            <w:r w:rsidRPr="00836724">
              <w:rPr>
                <w:lang w:val="en-GB" w:eastAsia="en-GB"/>
              </w:rPr>
              <w:t>drošības</w:t>
            </w:r>
            <w:proofErr w:type="spellEnd"/>
            <w:r w:rsidRPr="00836724">
              <w:rPr>
                <w:lang w:val="en-GB" w:eastAsia="en-GB"/>
              </w:rPr>
              <w:t xml:space="preserve"> </w:t>
            </w:r>
            <w:proofErr w:type="spellStart"/>
            <w:r w:rsidRPr="00836724">
              <w:rPr>
                <w:lang w:val="en-GB" w:eastAsia="en-GB"/>
              </w:rPr>
              <w:t>iestādes</w:t>
            </w:r>
            <w:proofErr w:type="spellEnd"/>
            <w:r w:rsidRPr="00836724">
              <w:rPr>
                <w:lang w:val="en-GB" w:eastAsia="en-GB"/>
              </w:rPr>
              <w:t xml:space="preserve"> </w:t>
            </w:r>
            <w:proofErr w:type="spellStart"/>
            <w:r w:rsidRPr="00836724">
              <w:rPr>
                <w:lang w:val="en-GB" w:eastAsia="en-GB"/>
              </w:rPr>
              <w:t>izlūkošanas</w:t>
            </w:r>
            <w:proofErr w:type="spellEnd"/>
            <w:r w:rsidRPr="00836724">
              <w:rPr>
                <w:lang w:val="en-GB" w:eastAsia="en-GB"/>
              </w:rPr>
              <w:t xml:space="preserve"> </w:t>
            </w:r>
            <w:proofErr w:type="spellStart"/>
            <w:r w:rsidRPr="00836724">
              <w:rPr>
                <w:lang w:val="en-GB" w:eastAsia="en-GB"/>
              </w:rPr>
              <w:t>vai</w:t>
            </w:r>
            <w:proofErr w:type="spellEnd"/>
            <w:r w:rsidRPr="00836724">
              <w:rPr>
                <w:lang w:val="en-GB" w:eastAsia="en-GB"/>
              </w:rPr>
              <w:t xml:space="preserve"> </w:t>
            </w:r>
            <w:proofErr w:type="spellStart"/>
            <w:r w:rsidRPr="00836724">
              <w:rPr>
                <w:lang w:val="en-GB" w:eastAsia="en-GB"/>
              </w:rPr>
              <w:t>pretizlūkošanas</w:t>
            </w:r>
            <w:proofErr w:type="spellEnd"/>
            <w:r w:rsidRPr="00836724">
              <w:rPr>
                <w:lang w:val="en-GB" w:eastAsia="en-GB"/>
              </w:rPr>
              <w:t xml:space="preserve"> </w:t>
            </w:r>
            <w:proofErr w:type="spellStart"/>
            <w:r w:rsidRPr="00836724">
              <w:rPr>
                <w:lang w:val="en-GB" w:eastAsia="en-GB"/>
              </w:rPr>
              <w:t>darbību</w:t>
            </w:r>
            <w:proofErr w:type="spellEnd"/>
            <w:r w:rsidRPr="00836724">
              <w:rPr>
                <w:lang w:val="en-GB" w:eastAsia="en-GB"/>
              </w:rPr>
              <w:t xml:space="preserve"> </w:t>
            </w:r>
            <w:proofErr w:type="spellStart"/>
            <w:r w:rsidRPr="00836724">
              <w:rPr>
                <w:lang w:val="en-GB" w:eastAsia="en-GB"/>
              </w:rPr>
              <w:t>rezultātā</w:t>
            </w:r>
            <w:proofErr w:type="spellEnd"/>
            <w:r w:rsidRPr="00836724">
              <w:rPr>
                <w:lang w:val="en-GB" w:eastAsia="en-GB"/>
              </w:rPr>
              <w:t xml:space="preserve"> </w:t>
            </w:r>
            <w:proofErr w:type="spellStart"/>
            <w:r w:rsidRPr="00836724">
              <w:rPr>
                <w:lang w:val="en-GB" w:eastAsia="en-GB"/>
              </w:rPr>
              <w:t>iegūto</w:t>
            </w:r>
            <w:proofErr w:type="spellEnd"/>
            <w:r w:rsidRPr="00836724">
              <w:rPr>
                <w:lang w:val="en-GB" w:eastAsia="en-GB"/>
              </w:rPr>
              <w:t xml:space="preserve"> </w:t>
            </w:r>
            <w:proofErr w:type="spellStart"/>
            <w:r w:rsidRPr="00836724">
              <w:rPr>
                <w:lang w:val="en-GB" w:eastAsia="en-GB"/>
              </w:rPr>
              <w:t>informāciju</w:t>
            </w:r>
            <w:proofErr w:type="spellEnd"/>
            <w:r w:rsidRPr="00836724">
              <w:rPr>
                <w:lang w:val="en-GB" w:eastAsia="en-GB"/>
              </w:rPr>
              <w:t xml:space="preserve">, tad </w:t>
            </w:r>
            <w:proofErr w:type="spellStart"/>
            <w:r w:rsidRPr="00836724">
              <w:rPr>
                <w:lang w:val="en-GB" w:eastAsia="en-GB"/>
              </w:rPr>
              <w:t>pieteicēja</w:t>
            </w:r>
            <w:proofErr w:type="spellEnd"/>
            <w:r w:rsidRPr="00836724">
              <w:rPr>
                <w:lang w:val="en-GB" w:eastAsia="en-GB"/>
              </w:rPr>
              <w:t xml:space="preserve"> </w:t>
            </w:r>
            <w:proofErr w:type="spellStart"/>
            <w:r w:rsidRPr="00836724">
              <w:rPr>
                <w:lang w:val="en-GB" w:eastAsia="en-GB"/>
              </w:rPr>
              <w:t>pārstāvim</w:t>
            </w:r>
            <w:proofErr w:type="spellEnd"/>
            <w:r w:rsidRPr="00836724">
              <w:rPr>
                <w:lang w:val="en-GB" w:eastAsia="en-GB"/>
              </w:rPr>
              <w:t xml:space="preserve"> </w:t>
            </w:r>
            <w:proofErr w:type="spellStart"/>
            <w:r w:rsidRPr="00836724">
              <w:rPr>
                <w:lang w:val="en-GB" w:eastAsia="en-GB"/>
              </w:rPr>
              <w:t>izpaužamo</w:t>
            </w:r>
            <w:proofErr w:type="spellEnd"/>
            <w:r w:rsidRPr="00836724">
              <w:rPr>
                <w:lang w:val="en-GB" w:eastAsia="en-GB"/>
              </w:rPr>
              <w:t xml:space="preserve"> </w:t>
            </w:r>
            <w:proofErr w:type="spellStart"/>
            <w:r w:rsidRPr="00836724">
              <w:rPr>
                <w:lang w:val="en-GB" w:eastAsia="en-GB"/>
              </w:rPr>
              <w:t>valsts</w:t>
            </w:r>
            <w:proofErr w:type="spellEnd"/>
            <w:r w:rsidRPr="00836724">
              <w:rPr>
                <w:lang w:val="en-GB" w:eastAsia="en-GB"/>
              </w:rPr>
              <w:t xml:space="preserve"> </w:t>
            </w:r>
            <w:proofErr w:type="spellStart"/>
            <w:r w:rsidRPr="00836724">
              <w:rPr>
                <w:lang w:val="en-GB" w:eastAsia="en-GB"/>
              </w:rPr>
              <w:t>noslēpumu</w:t>
            </w:r>
            <w:proofErr w:type="spellEnd"/>
            <w:r w:rsidRPr="00836724">
              <w:rPr>
                <w:lang w:val="en-GB" w:eastAsia="en-GB"/>
              </w:rPr>
              <w:t xml:space="preserve"> </w:t>
            </w:r>
            <w:proofErr w:type="spellStart"/>
            <w:r w:rsidRPr="00836724">
              <w:rPr>
                <w:lang w:val="en-GB" w:eastAsia="en-GB"/>
              </w:rPr>
              <w:t>saturošas</w:t>
            </w:r>
            <w:proofErr w:type="spellEnd"/>
            <w:r w:rsidRPr="00836724">
              <w:rPr>
                <w:lang w:val="en-GB" w:eastAsia="en-GB"/>
              </w:rPr>
              <w:t xml:space="preserve"> </w:t>
            </w:r>
            <w:proofErr w:type="spellStart"/>
            <w:r w:rsidRPr="00836724">
              <w:rPr>
                <w:lang w:val="en-GB" w:eastAsia="en-GB"/>
              </w:rPr>
              <w:t>informācijas</w:t>
            </w:r>
            <w:proofErr w:type="spellEnd"/>
            <w:r w:rsidRPr="00836724">
              <w:rPr>
                <w:lang w:val="en-GB" w:eastAsia="en-GB"/>
              </w:rPr>
              <w:t xml:space="preserve"> </w:t>
            </w:r>
            <w:proofErr w:type="spellStart"/>
            <w:r w:rsidRPr="00836724">
              <w:rPr>
                <w:lang w:val="en-GB" w:eastAsia="en-GB"/>
              </w:rPr>
              <w:t>apjomu</w:t>
            </w:r>
            <w:proofErr w:type="spellEnd"/>
            <w:r w:rsidRPr="00836724">
              <w:rPr>
                <w:lang w:val="en-GB" w:eastAsia="en-GB"/>
              </w:rPr>
              <w:t xml:space="preserve"> </w:t>
            </w:r>
            <w:proofErr w:type="spellStart"/>
            <w:r w:rsidRPr="00836724">
              <w:rPr>
                <w:lang w:val="en-GB" w:eastAsia="en-GB"/>
              </w:rPr>
              <w:t>nosaka</w:t>
            </w:r>
            <w:proofErr w:type="spellEnd"/>
            <w:r w:rsidRPr="00836724">
              <w:rPr>
                <w:lang w:val="en-GB" w:eastAsia="en-GB"/>
              </w:rPr>
              <w:t xml:space="preserve"> </w:t>
            </w:r>
            <w:proofErr w:type="spellStart"/>
            <w:r w:rsidRPr="00836724">
              <w:rPr>
                <w:lang w:val="en-GB" w:eastAsia="en-GB"/>
              </w:rPr>
              <w:t>valsts</w:t>
            </w:r>
            <w:proofErr w:type="spellEnd"/>
            <w:r w:rsidRPr="00836724">
              <w:rPr>
                <w:lang w:val="en-GB" w:eastAsia="en-GB"/>
              </w:rPr>
              <w:t xml:space="preserve"> </w:t>
            </w:r>
            <w:proofErr w:type="spellStart"/>
            <w:r w:rsidRPr="00836724">
              <w:rPr>
                <w:lang w:val="en-GB" w:eastAsia="en-GB"/>
              </w:rPr>
              <w:t>drošības</w:t>
            </w:r>
            <w:proofErr w:type="spellEnd"/>
            <w:r w:rsidRPr="00836724">
              <w:rPr>
                <w:lang w:val="en-GB" w:eastAsia="en-GB"/>
              </w:rPr>
              <w:t xml:space="preserve"> </w:t>
            </w:r>
            <w:proofErr w:type="spellStart"/>
            <w:r w:rsidRPr="00836724">
              <w:rPr>
                <w:lang w:val="en-GB" w:eastAsia="en-GB"/>
              </w:rPr>
              <w:t>iestāde</w:t>
            </w:r>
            <w:proofErr w:type="spellEnd"/>
            <w:r w:rsidRPr="00836724">
              <w:rPr>
                <w:lang w:val="en-GB" w:eastAsia="en-GB"/>
              </w:rPr>
              <w:t>.</w:t>
            </w:r>
          </w:p>
          <w:p w:rsidR="006739A5" w:rsidRPr="00836724" w:rsidRDefault="006739A5" w:rsidP="006739A5">
            <w:pPr>
              <w:pStyle w:val="tv213"/>
              <w:spacing w:before="0" w:beforeAutospacing="0" w:after="120" w:afterAutospacing="0"/>
              <w:jc w:val="both"/>
            </w:pPr>
            <w:r w:rsidRPr="00836724">
              <w:t xml:space="preserve">(4) </w:t>
            </w:r>
            <w:proofErr w:type="spellStart"/>
            <w:r w:rsidRPr="00836724">
              <w:t>Tiesas</w:t>
            </w:r>
            <w:proofErr w:type="spellEnd"/>
            <w:r w:rsidRPr="00836724">
              <w:t xml:space="preserve"> </w:t>
            </w:r>
            <w:proofErr w:type="spellStart"/>
            <w:r w:rsidRPr="00836724">
              <w:t>sēde</w:t>
            </w:r>
            <w:proofErr w:type="spellEnd"/>
            <w:r w:rsidRPr="00836724">
              <w:t xml:space="preserve"> </w:t>
            </w:r>
            <w:proofErr w:type="spellStart"/>
            <w:r w:rsidRPr="00836724">
              <w:t>tiek</w:t>
            </w:r>
            <w:proofErr w:type="spellEnd"/>
            <w:r w:rsidRPr="00836724">
              <w:t xml:space="preserve"> </w:t>
            </w:r>
            <w:proofErr w:type="spellStart"/>
            <w:r w:rsidRPr="00836724">
              <w:t>protokolēta</w:t>
            </w:r>
            <w:proofErr w:type="spellEnd"/>
            <w:r w:rsidRPr="00836724">
              <w:t xml:space="preserve">. </w:t>
            </w:r>
            <w:proofErr w:type="spellStart"/>
            <w:r w:rsidRPr="00836724">
              <w:t>Tiesas</w:t>
            </w:r>
            <w:proofErr w:type="spellEnd"/>
            <w:r w:rsidRPr="00836724">
              <w:t xml:space="preserve"> </w:t>
            </w:r>
            <w:proofErr w:type="spellStart"/>
            <w:r w:rsidRPr="00836724">
              <w:t>sēdes</w:t>
            </w:r>
            <w:proofErr w:type="spellEnd"/>
            <w:r w:rsidRPr="00836724">
              <w:t xml:space="preserve"> </w:t>
            </w:r>
            <w:proofErr w:type="spellStart"/>
            <w:r w:rsidRPr="00836724">
              <w:t>protokolā</w:t>
            </w:r>
            <w:proofErr w:type="spellEnd"/>
            <w:r w:rsidRPr="00836724">
              <w:t xml:space="preserve"> </w:t>
            </w:r>
            <w:proofErr w:type="spellStart"/>
            <w:r w:rsidRPr="00836724">
              <w:t>izdara</w:t>
            </w:r>
            <w:proofErr w:type="spellEnd"/>
            <w:r w:rsidRPr="00836724">
              <w:t xml:space="preserve"> </w:t>
            </w:r>
            <w:proofErr w:type="spellStart"/>
            <w:r w:rsidRPr="00836724">
              <w:t>atzīmi</w:t>
            </w:r>
            <w:proofErr w:type="spellEnd"/>
            <w:r w:rsidRPr="00836724">
              <w:t xml:space="preserve"> par </w:t>
            </w:r>
            <w:proofErr w:type="spellStart"/>
            <w:r w:rsidRPr="00836724">
              <w:t>laiku</w:t>
            </w:r>
            <w:proofErr w:type="spellEnd"/>
            <w:r w:rsidRPr="00836724">
              <w:t xml:space="preserve">, </w:t>
            </w:r>
            <w:proofErr w:type="spellStart"/>
            <w:r w:rsidRPr="00836724">
              <w:t>kad</w:t>
            </w:r>
            <w:proofErr w:type="spellEnd"/>
            <w:r w:rsidRPr="00836724">
              <w:t xml:space="preserve"> </w:t>
            </w:r>
            <w:proofErr w:type="spellStart"/>
            <w:r w:rsidRPr="00836724">
              <w:t>tiesa</w:t>
            </w:r>
            <w:proofErr w:type="spellEnd"/>
            <w:r w:rsidRPr="00836724">
              <w:t xml:space="preserve"> </w:t>
            </w:r>
            <w:proofErr w:type="spellStart"/>
            <w:r w:rsidRPr="00836724">
              <w:t>uzsāka</w:t>
            </w:r>
            <w:proofErr w:type="spellEnd"/>
            <w:r w:rsidRPr="00836724">
              <w:t xml:space="preserve"> un </w:t>
            </w:r>
            <w:proofErr w:type="spellStart"/>
            <w:r w:rsidRPr="00836724">
              <w:t>pabeidza</w:t>
            </w:r>
            <w:proofErr w:type="spellEnd"/>
            <w:r w:rsidRPr="00836724">
              <w:t xml:space="preserve"> </w:t>
            </w:r>
            <w:proofErr w:type="spellStart"/>
            <w:r w:rsidRPr="00836724">
              <w:t>pārbaudīt</w:t>
            </w:r>
            <w:proofErr w:type="spellEnd"/>
            <w:r w:rsidRPr="00836724">
              <w:t xml:space="preserve"> </w:t>
            </w:r>
            <w:proofErr w:type="spellStart"/>
            <w:r w:rsidRPr="00836724">
              <w:t>valsts</w:t>
            </w:r>
            <w:proofErr w:type="spellEnd"/>
            <w:r w:rsidRPr="00836724">
              <w:t xml:space="preserve"> </w:t>
            </w:r>
            <w:proofErr w:type="spellStart"/>
            <w:r w:rsidRPr="00836724">
              <w:t>noslēpumu</w:t>
            </w:r>
            <w:proofErr w:type="spellEnd"/>
            <w:r w:rsidRPr="00836724">
              <w:t xml:space="preserve"> </w:t>
            </w:r>
            <w:proofErr w:type="spellStart"/>
            <w:r w:rsidRPr="00836724">
              <w:t>saturošus</w:t>
            </w:r>
            <w:proofErr w:type="spellEnd"/>
            <w:r w:rsidRPr="00836724">
              <w:t xml:space="preserve"> </w:t>
            </w:r>
            <w:proofErr w:type="spellStart"/>
            <w:r w:rsidRPr="00836724">
              <w:t>pierādījumus</w:t>
            </w:r>
            <w:proofErr w:type="spellEnd"/>
            <w:r w:rsidRPr="00836724">
              <w:t xml:space="preserve">, </w:t>
            </w:r>
            <w:proofErr w:type="spellStart"/>
            <w:r w:rsidRPr="00836724">
              <w:t>kā</w:t>
            </w:r>
            <w:proofErr w:type="spellEnd"/>
            <w:r w:rsidRPr="00836724">
              <w:t xml:space="preserve"> </w:t>
            </w:r>
            <w:proofErr w:type="spellStart"/>
            <w:r w:rsidRPr="00836724">
              <w:t>arī</w:t>
            </w:r>
            <w:proofErr w:type="spellEnd"/>
            <w:r w:rsidRPr="00836724">
              <w:t xml:space="preserve"> </w:t>
            </w:r>
            <w:proofErr w:type="spellStart"/>
            <w:r w:rsidRPr="00836724">
              <w:t>fiksē</w:t>
            </w:r>
            <w:proofErr w:type="spellEnd"/>
            <w:r w:rsidRPr="00836724">
              <w:t xml:space="preserve"> </w:t>
            </w:r>
            <w:proofErr w:type="spellStart"/>
            <w:r w:rsidRPr="00836724">
              <w:t>attiecīgo</w:t>
            </w:r>
            <w:proofErr w:type="spellEnd"/>
            <w:r w:rsidRPr="00836724">
              <w:t xml:space="preserve"> </w:t>
            </w:r>
            <w:proofErr w:type="spellStart"/>
            <w:r w:rsidRPr="00836724">
              <w:t>pierādījumu</w:t>
            </w:r>
            <w:proofErr w:type="spellEnd"/>
            <w:r w:rsidRPr="00836724">
              <w:t xml:space="preserve"> </w:t>
            </w:r>
            <w:proofErr w:type="spellStart"/>
            <w:r w:rsidRPr="00836724">
              <w:t>pārbaudi</w:t>
            </w:r>
            <w:proofErr w:type="spellEnd"/>
            <w:r w:rsidRPr="00836724">
              <w:t>.</w:t>
            </w:r>
          </w:p>
          <w:p w:rsidR="006739A5" w:rsidRPr="00836724" w:rsidRDefault="006739A5" w:rsidP="006739A5">
            <w:pPr>
              <w:pStyle w:val="tv213"/>
              <w:spacing w:before="0" w:beforeAutospacing="0" w:after="120" w:afterAutospacing="0"/>
              <w:jc w:val="both"/>
            </w:pPr>
            <w:r w:rsidRPr="00836724">
              <w:t xml:space="preserve">(5) </w:t>
            </w:r>
            <w:proofErr w:type="spellStart"/>
            <w:r w:rsidRPr="00836724">
              <w:t>Ja</w:t>
            </w:r>
            <w:proofErr w:type="spellEnd"/>
            <w:r w:rsidRPr="00836724">
              <w:t xml:space="preserve"> </w:t>
            </w:r>
            <w:proofErr w:type="spellStart"/>
            <w:r w:rsidRPr="00836724">
              <w:t>tiesas</w:t>
            </w:r>
            <w:proofErr w:type="spellEnd"/>
            <w:r w:rsidRPr="00836724">
              <w:t xml:space="preserve"> </w:t>
            </w:r>
            <w:proofErr w:type="spellStart"/>
            <w:r w:rsidRPr="00836724">
              <w:t>sēdē</w:t>
            </w:r>
            <w:proofErr w:type="spellEnd"/>
            <w:r w:rsidRPr="00836724">
              <w:t xml:space="preserve"> </w:t>
            </w:r>
            <w:proofErr w:type="spellStart"/>
            <w:r w:rsidRPr="00836724">
              <w:t>tika</w:t>
            </w:r>
            <w:proofErr w:type="spellEnd"/>
            <w:r w:rsidRPr="00836724">
              <w:t xml:space="preserve"> </w:t>
            </w:r>
            <w:proofErr w:type="spellStart"/>
            <w:r w:rsidRPr="00836724">
              <w:t>pārbaudīti</w:t>
            </w:r>
            <w:proofErr w:type="spellEnd"/>
            <w:r w:rsidRPr="00836724">
              <w:t xml:space="preserve"> </w:t>
            </w:r>
            <w:proofErr w:type="spellStart"/>
            <w:r w:rsidRPr="00836724">
              <w:t>valsts</w:t>
            </w:r>
            <w:proofErr w:type="spellEnd"/>
            <w:r w:rsidRPr="00836724">
              <w:t xml:space="preserve"> </w:t>
            </w:r>
            <w:proofErr w:type="spellStart"/>
            <w:r w:rsidRPr="00836724">
              <w:t>noslēpumu</w:t>
            </w:r>
            <w:proofErr w:type="spellEnd"/>
            <w:r w:rsidRPr="00836724">
              <w:t xml:space="preserve"> </w:t>
            </w:r>
            <w:proofErr w:type="spellStart"/>
            <w:r w:rsidRPr="00836724">
              <w:t>saturoši</w:t>
            </w:r>
            <w:proofErr w:type="spellEnd"/>
            <w:r w:rsidRPr="00836724">
              <w:t xml:space="preserve"> </w:t>
            </w:r>
            <w:proofErr w:type="spellStart"/>
            <w:r w:rsidRPr="00836724">
              <w:t>pierādījumi</w:t>
            </w:r>
            <w:proofErr w:type="spellEnd"/>
            <w:r w:rsidRPr="00836724">
              <w:t xml:space="preserve">, </w:t>
            </w:r>
            <w:proofErr w:type="spellStart"/>
            <w:r w:rsidRPr="00836724">
              <w:t>tiesas</w:t>
            </w:r>
            <w:proofErr w:type="spellEnd"/>
            <w:r w:rsidRPr="00836724">
              <w:t xml:space="preserve"> </w:t>
            </w:r>
            <w:proofErr w:type="spellStart"/>
            <w:r w:rsidRPr="00836724">
              <w:lastRenderedPageBreak/>
              <w:t>sēdes</w:t>
            </w:r>
            <w:proofErr w:type="spellEnd"/>
            <w:r w:rsidRPr="00836724">
              <w:t xml:space="preserve"> </w:t>
            </w:r>
            <w:proofErr w:type="spellStart"/>
            <w:r w:rsidRPr="00836724">
              <w:t>protokols</w:t>
            </w:r>
            <w:proofErr w:type="spellEnd"/>
            <w:r w:rsidRPr="00836724">
              <w:t xml:space="preserve"> </w:t>
            </w:r>
            <w:proofErr w:type="spellStart"/>
            <w:r w:rsidRPr="00836724">
              <w:t>klasificējams</w:t>
            </w:r>
            <w:proofErr w:type="spellEnd"/>
            <w:r w:rsidRPr="00836724">
              <w:t xml:space="preserve"> </w:t>
            </w:r>
            <w:proofErr w:type="spellStart"/>
            <w:r w:rsidRPr="00836724">
              <w:t>kā</w:t>
            </w:r>
            <w:proofErr w:type="spellEnd"/>
            <w:r w:rsidRPr="00836724">
              <w:t xml:space="preserve"> </w:t>
            </w:r>
            <w:proofErr w:type="spellStart"/>
            <w:r w:rsidRPr="00836724">
              <w:t>valsts</w:t>
            </w:r>
            <w:proofErr w:type="spellEnd"/>
            <w:r w:rsidRPr="00836724">
              <w:t xml:space="preserve"> </w:t>
            </w:r>
            <w:proofErr w:type="spellStart"/>
            <w:r w:rsidRPr="00836724">
              <w:t>noslēpuma</w:t>
            </w:r>
            <w:proofErr w:type="spellEnd"/>
            <w:r w:rsidRPr="00836724">
              <w:t xml:space="preserve"> </w:t>
            </w:r>
            <w:proofErr w:type="spellStart"/>
            <w:r w:rsidRPr="00836724">
              <w:t>objekts</w:t>
            </w:r>
            <w:proofErr w:type="spellEnd"/>
            <w:r w:rsidRPr="00836724">
              <w:t xml:space="preserve">. No </w:t>
            </w:r>
            <w:proofErr w:type="spellStart"/>
            <w:r w:rsidRPr="00836724">
              <w:t>tiesas</w:t>
            </w:r>
            <w:proofErr w:type="spellEnd"/>
            <w:r w:rsidRPr="00836724">
              <w:t xml:space="preserve"> </w:t>
            </w:r>
            <w:proofErr w:type="spellStart"/>
            <w:r w:rsidRPr="00836724">
              <w:t>sēdes</w:t>
            </w:r>
            <w:proofErr w:type="spellEnd"/>
            <w:r w:rsidRPr="00836724">
              <w:t xml:space="preserve"> </w:t>
            </w:r>
            <w:proofErr w:type="spellStart"/>
            <w:r w:rsidRPr="00836724">
              <w:t>protokola</w:t>
            </w:r>
            <w:proofErr w:type="spellEnd"/>
            <w:r w:rsidRPr="00836724">
              <w:t xml:space="preserve"> </w:t>
            </w:r>
            <w:proofErr w:type="spellStart"/>
            <w:r w:rsidRPr="00836724">
              <w:t>sagatavo</w:t>
            </w:r>
            <w:proofErr w:type="spellEnd"/>
            <w:r w:rsidRPr="00836724">
              <w:t xml:space="preserve"> </w:t>
            </w:r>
            <w:proofErr w:type="spellStart"/>
            <w:r w:rsidRPr="00836724">
              <w:t>izrakstu</w:t>
            </w:r>
            <w:proofErr w:type="spellEnd"/>
            <w:r w:rsidRPr="00836724">
              <w:t xml:space="preserve"> par to </w:t>
            </w:r>
            <w:proofErr w:type="spellStart"/>
            <w:r w:rsidRPr="00836724">
              <w:t>tiesas</w:t>
            </w:r>
            <w:proofErr w:type="spellEnd"/>
            <w:r w:rsidRPr="00836724">
              <w:t xml:space="preserve"> </w:t>
            </w:r>
            <w:proofErr w:type="spellStart"/>
            <w:r w:rsidRPr="00836724">
              <w:t>sēdes</w:t>
            </w:r>
            <w:proofErr w:type="spellEnd"/>
            <w:r w:rsidRPr="00836724">
              <w:t xml:space="preserve"> </w:t>
            </w:r>
            <w:proofErr w:type="spellStart"/>
            <w:r w:rsidRPr="00836724">
              <w:t>posmu</w:t>
            </w:r>
            <w:proofErr w:type="spellEnd"/>
            <w:r w:rsidRPr="00836724">
              <w:t xml:space="preserve">, </w:t>
            </w:r>
            <w:proofErr w:type="spellStart"/>
            <w:r w:rsidRPr="00836724">
              <w:t>kurā</w:t>
            </w:r>
            <w:proofErr w:type="spellEnd"/>
            <w:r w:rsidRPr="00836724">
              <w:t xml:space="preserve"> </w:t>
            </w:r>
            <w:proofErr w:type="spellStart"/>
            <w:r w:rsidRPr="00836724">
              <w:t>tiesa</w:t>
            </w:r>
            <w:proofErr w:type="spellEnd"/>
            <w:r w:rsidRPr="00836724">
              <w:t xml:space="preserve"> </w:t>
            </w:r>
            <w:proofErr w:type="spellStart"/>
            <w:r w:rsidRPr="00836724">
              <w:t>nepārbaudīja</w:t>
            </w:r>
            <w:proofErr w:type="spellEnd"/>
            <w:r w:rsidRPr="00836724">
              <w:t xml:space="preserve"> </w:t>
            </w:r>
            <w:proofErr w:type="spellStart"/>
            <w:r w:rsidRPr="00836724">
              <w:t>valsts</w:t>
            </w:r>
            <w:proofErr w:type="spellEnd"/>
            <w:r w:rsidRPr="00836724">
              <w:t xml:space="preserve"> </w:t>
            </w:r>
            <w:proofErr w:type="spellStart"/>
            <w:r w:rsidRPr="00836724">
              <w:t>noslēpumu</w:t>
            </w:r>
            <w:proofErr w:type="spellEnd"/>
            <w:r w:rsidRPr="00836724">
              <w:t xml:space="preserve"> </w:t>
            </w:r>
            <w:proofErr w:type="spellStart"/>
            <w:r w:rsidRPr="00836724">
              <w:t>saturošus</w:t>
            </w:r>
            <w:proofErr w:type="spellEnd"/>
            <w:r w:rsidRPr="00836724">
              <w:t xml:space="preserve"> </w:t>
            </w:r>
            <w:proofErr w:type="spellStart"/>
            <w:r w:rsidRPr="00836724">
              <w:t>pierādījumus</w:t>
            </w:r>
            <w:proofErr w:type="spellEnd"/>
            <w:r w:rsidRPr="00836724">
              <w:t>.</w:t>
            </w:r>
          </w:p>
          <w:p w:rsidR="006739A5" w:rsidRPr="00836724" w:rsidRDefault="006739A5" w:rsidP="006739A5">
            <w:pPr>
              <w:pStyle w:val="tv213"/>
              <w:spacing w:before="0" w:beforeAutospacing="0" w:after="120" w:afterAutospacing="0"/>
              <w:jc w:val="both"/>
            </w:pPr>
            <w:r w:rsidRPr="00836724">
              <w:t xml:space="preserve">(6) </w:t>
            </w:r>
            <w:proofErr w:type="spellStart"/>
            <w:r w:rsidRPr="00836724">
              <w:t>Lietas</w:t>
            </w:r>
            <w:proofErr w:type="spellEnd"/>
            <w:r w:rsidRPr="00836724">
              <w:t xml:space="preserve"> </w:t>
            </w:r>
            <w:proofErr w:type="spellStart"/>
            <w:r w:rsidRPr="00836724">
              <w:t>materiāliem</w:t>
            </w:r>
            <w:proofErr w:type="spellEnd"/>
            <w:r w:rsidRPr="00836724">
              <w:t xml:space="preserve"> </w:t>
            </w:r>
            <w:proofErr w:type="spellStart"/>
            <w:r w:rsidRPr="00836724">
              <w:t>valsts</w:t>
            </w:r>
            <w:proofErr w:type="spellEnd"/>
            <w:r w:rsidRPr="00836724">
              <w:t xml:space="preserve"> </w:t>
            </w:r>
            <w:proofErr w:type="spellStart"/>
            <w:r w:rsidRPr="00836724">
              <w:t>noslēpumu</w:t>
            </w:r>
            <w:proofErr w:type="spellEnd"/>
            <w:r w:rsidRPr="00836724">
              <w:t xml:space="preserve"> </w:t>
            </w:r>
            <w:proofErr w:type="spellStart"/>
            <w:r w:rsidRPr="00836724">
              <w:t>saturošos</w:t>
            </w:r>
            <w:proofErr w:type="spellEnd"/>
            <w:r w:rsidRPr="00836724">
              <w:t xml:space="preserve"> </w:t>
            </w:r>
            <w:proofErr w:type="spellStart"/>
            <w:r w:rsidRPr="00836724">
              <w:t>pierādījumus</w:t>
            </w:r>
            <w:proofErr w:type="spellEnd"/>
            <w:r w:rsidRPr="00836724">
              <w:t xml:space="preserve"> </w:t>
            </w:r>
            <w:proofErr w:type="spellStart"/>
            <w:r w:rsidRPr="00836724">
              <w:t>nepievieno</w:t>
            </w:r>
            <w:proofErr w:type="spellEnd"/>
            <w:r w:rsidRPr="00836724">
              <w:t>.</w:t>
            </w:r>
          </w:p>
          <w:p w:rsidR="006739A5" w:rsidRPr="00836724" w:rsidRDefault="006739A5" w:rsidP="006739A5">
            <w:pPr>
              <w:pStyle w:val="tv213"/>
              <w:spacing w:before="0" w:beforeAutospacing="0" w:after="120" w:afterAutospacing="0"/>
              <w:jc w:val="both"/>
            </w:pPr>
            <w:r w:rsidRPr="00836724">
              <w:t xml:space="preserve">(7) </w:t>
            </w:r>
            <w:proofErr w:type="spellStart"/>
            <w:r w:rsidRPr="00836724">
              <w:t>Tiesas</w:t>
            </w:r>
            <w:proofErr w:type="spellEnd"/>
            <w:r w:rsidRPr="00836724">
              <w:t xml:space="preserve"> </w:t>
            </w:r>
            <w:proofErr w:type="spellStart"/>
            <w:r w:rsidRPr="00836724">
              <w:t>sēdē</w:t>
            </w:r>
            <w:proofErr w:type="spellEnd"/>
            <w:r w:rsidRPr="00836724">
              <w:t xml:space="preserve"> </w:t>
            </w:r>
            <w:proofErr w:type="spellStart"/>
            <w:r w:rsidRPr="00836724">
              <w:t>nedrīkst</w:t>
            </w:r>
            <w:proofErr w:type="spellEnd"/>
            <w:r w:rsidRPr="00836724">
              <w:t xml:space="preserve"> </w:t>
            </w:r>
            <w:proofErr w:type="spellStart"/>
            <w:r w:rsidRPr="00836724">
              <w:t>izmantot</w:t>
            </w:r>
            <w:proofErr w:type="spellEnd"/>
            <w:r w:rsidRPr="00836724">
              <w:t xml:space="preserve"> </w:t>
            </w:r>
            <w:proofErr w:type="spellStart"/>
            <w:r w:rsidRPr="00836724">
              <w:t>informāciju</w:t>
            </w:r>
            <w:proofErr w:type="spellEnd"/>
            <w:r w:rsidRPr="00836724">
              <w:t xml:space="preserve">, </w:t>
            </w:r>
            <w:proofErr w:type="spellStart"/>
            <w:r w:rsidRPr="00836724">
              <w:t>kas</w:t>
            </w:r>
            <w:proofErr w:type="spellEnd"/>
            <w:r w:rsidRPr="00836724">
              <w:t xml:space="preserve"> </w:t>
            </w:r>
            <w:proofErr w:type="spellStart"/>
            <w:r w:rsidRPr="00836724">
              <w:t>var</w:t>
            </w:r>
            <w:proofErr w:type="spellEnd"/>
            <w:r w:rsidRPr="00836724">
              <w:t xml:space="preserve"> </w:t>
            </w:r>
            <w:proofErr w:type="spellStart"/>
            <w:r w:rsidRPr="00836724">
              <w:t>atklāt</w:t>
            </w:r>
            <w:proofErr w:type="spellEnd"/>
            <w:r w:rsidRPr="00836724">
              <w:t xml:space="preserve"> </w:t>
            </w:r>
            <w:proofErr w:type="spellStart"/>
            <w:r w:rsidRPr="00836724">
              <w:t>slepeno</w:t>
            </w:r>
            <w:proofErr w:type="spellEnd"/>
            <w:r w:rsidRPr="00836724">
              <w:t xml:space="preserve"> </w:t>
            </w:r>
            <w:proofErr w:type="spellStart"/>
            <w:r w:rsidRPr="00836724">
              <w:t>palīgu</w:t>
            </w:r>
            <w:proofErr w:type="spellEnd"/>
            <w:r w:rsidRPr="00836724">
              <w:t xml:space="preserve"> </w:t>
            </w:r>
            <w:proofErr w:type="spellStart"/>
            <w:r w:rsidRPr="00836724">
              <w:t>identitāti</w:t>
            </w:r>
            <w:proofErr w:type="spellEnd"/>
            <w:r w:rsidRPr="00836724">
              <w:t>.</w:t>
            </w:r>
          </w:p>
          <w:p w:rsidR="006739A5" w:rsidRPr="00836724" w:rsidRDefault="006739A5" w:rsidP="006739A5">
            <w:pPr>
              <w:pStyle w:val="tv213"/>
              <w:spacing w:before="0" w:beforeAutospacing="0" w:after="120" w:afterAutospacing="0"/>
              <w:jc w:val="both"/>
            </w:pPr>
            <w:r w:rsidRPr="00836724">
              <w:rPr>
                <w:b/>
              </w:rPr>
              <w:t>101.pants.</w:t>
            </w:r>
            <w:r w:rsidRPr="00836724">
              <w:t xml:space="preserve"> (1) </w:t>
            </w:r>
            <w:proofErr w:type="spellStart"/>
            <w:r w:rsidRPr="00836724">
              <w:t>Tiesa</w:t>
            </w:r>
            <w:proofErr w:type="spellEnd"/>
            <w:r w:rsidRPr="00836724">
              <w:t xml:space="preserve"> </w:t>
            </w:r>
            <w:proofErr w:type="spellStart"/>
            <w:r w:rsidRPr="00836724">
              <w:t>spriedumā</w:t>
            </w:r>
            <w:proofErr w:type="spellEnd"/>
            <w:r w:rsidRPr="00836724">
              <w:t xml:space="preserve"> </w:t>
            </w:r>
            <w:proofErr w:type="spellStart"/>
            <w:r w:rsidRPr="00836724">
              <w:t>neatspoguļo</w:t>
            </w:r>
            <w:proofErr w:type="spellEnd"/>
            <w:r w:rsidRPr="00836724">
              <w:t xml:space="preserve"> </w:t>
            </w:r>
            <w:proofErr w:type="spellStart"/>
            <w:r w:rsidRPr="00836724">
              <w:t>informāciju</w:t>
            </w:r>
            <w:proofErr w:type="spellEnd"/>
            <w:r w:rsidRPr="00836724">
              <w:t xml:space="preserve">, </w:t>
            </w:r>
            <w:proofErr w:type="spellStart"/>
            <w:r w:rsidRPr="00836724">
              <w:t>kas</w:t>
            </w:r>
            <w:proofErr w:type="spellEnd"/>
            <w:r w:rsidRPr="00836724">
              <w:t xml:space="preserve"> </w:t>
            </w:r>
            <w:proofErr w:type="spellStart"/>
            <w:r w:rsidRPr="00836724">
              <w:t>ir</w:t>
            </w:r>
            <w:proofErr w:type="spellEnd"/>
            <w:r w:rsidRPr="00836724">
              <w:t xml:space="preserve"> </w:t>
            </w:r>
            <w:proofErr w:type="spellStart"/>
            <w:r w:rsidRPr="00836724">
              <w:t>valsts</w:t>
            </w:r>
            <w:proofErr w:type="spellEnd"/>
            <w:r w:rsidRPr="00836724">
              <w:t xml:space="preserve"> </w:t>
            </w:r>
            <w:proofErr w:type="spellStart"/>
            <w:r w:rsidRPr="00836724">
              <w:t>noslēpuma</w:t>
            </w:r>
            <w:proofErr w:type="spellEnd"/>
            <w:r w:rsidRPr="00836724">
              <w:t xml:space="preserve"> </w:t>
            </w:r>
            <w:proofErr w:type="spellStart"/>
            <w:r w:rsidRPr="00836724">
              <w:t>objekts</w:t>
            </w:r>
            <w:proofErr w:type="spellEnd"/>
            <w:r w:rsidRPr="00836724">
              <w:t xml:space="preserve">, bet </w:t>
            </w:r>
            <w:proofErr w:type="spellStart"/>
            <w:r w:rsidRPr="00836724">
              <w:t>norāda</w:t>
            </w:r>
            <w:proofErr w:type="spellEnd"/>
            <w:r w:rsidRPr="00836724">
              <w:t xml:space="preserve">, </w:t>
            </w:r>
            <w:proofErr w:type="spellStart"/>
            <w:r w:rsidRPr="00836724">
              <w:t>ka</w:t>
            </w:r>
            <w:proofErr w:type="spellEnd"/>
            <w:r w:rsidRPr="00836724">
              <w:t xml:space="preserve"> </w:t>
            </w:r>
            <w:proofErr w:type="spellStart"/>
            <w:r w:rsidRPr="00836724">
              <w:t>ar</w:t>
            </w:r>
            <w:proofErr w:type="spellEnd"/>
            <w:r w:rsidRPr="00836724">
              <w:t xml:space="preserve"> </w:t>
            </w:r>
            <w:proofErr w:type="spellStart"/>
            <w:r w:rsidRPr="00836724">
              <w:t>šo</w:t>
            </w:r>
            <w:proofErr w:type="spellEnd"/>
            <w:r w:rsidRPr="00836724">
              <w:t xml:space="preserve"> </w:t>
            </w:r>
            <w:proofErr w:type="spellStart"/>
            <w:r w:rsidRPr="00836724">
              <w:t>informāciju</w:t>
            </w:r>
            <w:proofErr w:type="spellEnd"/>
            <w:r w:rsidRPr="00836724">
              <w:t xml:space="preserve"> </w:t>
            </w:r>
            <w:proofErr w:type="spellStart"/>
            <w:r w:rsidRPr="00836724">
              <w:t>ir</w:t>
            </w:r>
            <w:proofErr w:type="spellEnd"/>
            <w:r w:rsidRPr="00836724">
              <w:t xml:space="preserve"> </w:t>
            </w:r>
            <w:proofErr w:type="spellStart"/>
            <w:r w:rsidRPr="00836724">
              <w:t>iepazinusies</w:t>
            </w:r>
            <w:proofErr w:type="spellEnd"/>
            <w:r w:rsidRPr="00836724">
              <w:t xml:space="preserve"> un to </w:t>
            </w:r>
            <w:proofErr w:type="spellStart"/>
            <w:r w:rsidRPr="00836724">
              <w:t>izvērtējusi</w:t>
            </w:r>
            <w:proofErr w:type="spellEnd"/>
            <w:r w:rsidRPr="00836724">
              <w:t>.</w:t>
            </w:r>
          </w:p>
          <w:p w:rsidR="006739A5" w:rsidRPr="00836724" w:rsidRDefault="006739A5" w:rsidP="006739A5">
            <w:pPr>
              <w:pStyle w:val="tv213"/>
              <w:spacing w:before="0" w:beforeAutospacing="0" w:after="120" w:afterAutospacing="0"/>
              <w:jc w:val="both"/>
            </w:pPr>
            <w:r w:rsidRPr="00836724">
              <w:t xml:space="preserve">(2) </w:t>
            </w:r>
            <w:proofErr w:type="spellStart"/>
            <w:r w:rsidRPr="00836724">
              <w:t>Tiesas</w:t>
            </w:r>
            <w:proofErr w:type="spellEnd"/>
            <w:r w:rsidRPr="00836724">
              <w:t xml:space="preserve"> </w:t>
            </w:r>
            <w:proofErr w:type="spellStart"/>
            <w:r w:rsidRPr="00836724">
              <w:t>nolēmums</w:t>
            </w:r>
            <w:proofErr w:type="spellEnd"/>
            <w:r w:rsidRPr="00836724">
              <w:t xml:space="preserve"> </w:t>
            </w:r>
            <w:proofErr w:type="spellStart"/>
            <w:r w:rsidRPr="00836724">
              <w:t>ir</w:t>
            </w:r>
            <w:proofErr w:type="spellEnd"/>
            <w:r w:rsidRPr="00836724">
              <w:t xml:space="preserve"> </w:t>
            </w:r>
            <w:proofErr w:type="spellStart"/>
            <w:r w:rsidRPr="00836724">
              <w:t>galīgs</w:t>
            </w:r>
            <w:proofErr w:type="spellEnd"/>
            <w:r w:rsidRPr="00836724">
              <w:t xml:space="preserve"> un </w:t>
            </w:r>
            <w:proofErr w:type="spellStart"/>
            <w:r w:rsidRPr="00836724">
              <w:t>nepārsūdzams</w:t>
            </w:r>
            <w:proofErr w:type="spellEnd"/>
            <w:r w:rsidRPr="00836724">
              <w:t xml:space="preserve"> un </w:t>
            </w:r>
            <w:proofErr w:type="spellStart"/>
            <w:r w:rsidRPr="00836724">
              <w:t>stājas</w:t>
            </w:r>
            <w:proofErr w:type="spellEnd"/>
            <w:r w:rsidRPr="00836724">
              <w:t xml:space="preserve"> </w:t>
            </w:r>
            <w:proofErr w:type="spellStart"/>
            <w:r w:rsidRPr="00836724">
              <w:t>spēkā</w:t>
            </w:r>
            <w:proofErr w:type="spellEnd"/>
            <w:r w:rsidRPr="00836724">
              <w:t xml:space="preserve"> </w:t>
            </w:r>
            <w:proofErr w:type="spellStart"/>
            <w:r w:rsidRPr="00836724">
              <w:t>pasludināšanas</w:t>
            </w:r>
            <w:proofErr w:type="spellEnd"/>
            <w:r w:rsidRPr="00836724">
              <w:t xml:space="preserve"> </w:t>
            </w:r>
            <w:proofErr w:type="spellStart"/>
            <w:r w:rsidRPr="00836724">
              <w:t>brīdī</w:t>
            </w:r>
            <w:proofErr w:type="spellEnd"/>
            <w:r w:rsidRPr="00836724">
              <w:t>.</w:t>
            </w:r>
          </w:p>
          <w:p w:rsidR="006739A5" w:rsidRPr="00836724" w:rsidRDefault="006739A5" w:rsidP="006739A5">
            <w:pPr>
              <w:pStyle w:val="tv213"/>
              <w:spacing w:before="0" w:beforeAutospacing="0" w:after="120" w:afterAutospacing="0"/>
              <w:jc w:val="both"/>
            </w:pPr>
            <w:r w:rsidRPr="00836724">
              <w:t xml:space="preserve">(3) </w:t>
            </w:r>
            <w:proofErr w:type="spellStart"/>
            <w:r w:rsidRPr="00836724">
              <w:t>Tiesa</w:t>
            </w:r>
            <w:proofErr w:type="spellEnd"/>
            <w:r w:rsidRPr="00836724">
              <w:t xml:space="preserve">, </w:t>
            </w:r>
            <w:proofErr w:type="spellStart"/>
            <w:r w:rsidRPr="00836724">
              <w:t>izskatot</w:t>
            </w:r>
            <w:proofErr w:type="spellEnd"/>
            <w:r w:rsidRPr="00836724">
              <w:t xml:space="preserve"> </w:t>
            </w:r>
            <w:proofErr w:type="spellStart"/>
            <w:r w:rsidRPr="00836724">
              <w:t>lietu</w:t>
            </w:r>
            <w:proofErr w:type="spellEnd"/>
            <w:r w:rsidRPr="00836724">
              <w:t xml:space="preserve"> un </w:t>
            </w:r>
            <w:proofErr w:type="spellStart"/>
            <w:r w:rsidRPr="00836724">
              <w:t>pieņemot</w:t>
            </w:r>
            <w:proofErr w:type="spellEnd"/>
            <w:r w:rsidRPr="00836724">
              <w:t xml:space="preserve"> </w:t>
            </w:r>
            <w:proofErr w:type="spellStart"/>
            <w:r w:rsidRPr="00836724">
              <w:t>spriedumu</w:t>
            </w:r>
            <w:proofErr w:type="spellEnd"/>
            <w:r w:rsidRPr="00836724">
              <w:t xml:space="preserve">, </w:t>
            </w:r>
            <w:proofErr w:type="spellStart"/>
            <w:r w:rsidRPr="00836724">
              <w:t>nelemj</w:t>
            </w:r>
            <w:proofErr w:type="spellEnd"/>
            <w:r w:rsidRPr="00836724">
              <w:t xml:space="preserve"> par </w:t>
            </w:r>
            <w:proofErr w:type="spellStart"/>
            <w:r w:rsidRPr="00836724">
              <w:t>valsts</w:t>
            </w:r>
            <w:proofErr w:type="spellEnd"/>
            <w:r w:rsidRPr="00836724">
              <w:t xml:space="preserve"> </w:t>
            </w:r>
            <w:proofErr w:type="spellStart"/>
            <w:r w:rsidRPr="00836724">
              <w:t>noslēpuma</w:t>
            </w:r>
            <w:proofErr w:type="spellEnd"/>
            <w:r w:rsidRPr="00836724">
              <w:t xml:space="preserve"> </w:t>
            </w:r>
            <w:proofErr w:type="spellStart"/>
            <w:r w:rsidRPr="00836724">
              <w:t>subjekta</w:t>
            </w:r>
            <w:proofErr w:type="spellEnd"/>
            <w:r w:rsidRPr="00836724">
              <w:t xml:space="preserve"> </w:t>
            </w:r>
            <w:proofErr w:type="spellStart"/>
            <w:r w:rsidRPr="00836724">
              <w:t>iesniegtās</w:t>
            </w:r>
            <w:proofErr w:type="spellEnd"/>
            <w:r w:rsidRPr="00836724">
              <w:t xml:space="preserve"> </w:t>
            </w:r>
            <w:proofErr w:type="spellStart"/>
            <w:r w:rsidRPr="00836724">
              <w:lastRenderedPageBreak/>
              <w:t>klasificētās</w:t>
            </w:r>
            <w:proofErr w:type="spellEnd"/>
            <w:r w:rsidRPr="00836724">
              <w:t xml:space="preserve"> </w:t>
            </w:r>
            <w:proofErr w:type="spellStart"/>
            <w:r w:rsidRPr="00836724">
              <w:t>informācijas</w:t>
            </w:r>
            <w:proofErr w:type="spellEnd"/>
            <w:r w:rsidRPr="00836724">
              <w:t xml:space="preserve"> </w:t>
            </w:r>
            <w:proofErr w:type="spellStart"/>
            <w:r w:rsidRPr="00836724">
              <w:t>atbilstību</w:t>
            </w:r>
            <w:proofErr w:type="spellEnd"/>
            <w:r w:rsidRPr="00836724">
              <w:t xml:space="preserve"> </w:t>
            </w:r>
            <w:proofErr w:type="spellStart"/>
            <w:r w:rsidRPr="00836724">
              <w:t>valsts</w:t>
            </w:r>
            <w:proofErr w:type="spellEnd"/>
            <w:r w:rsidRPr="00836724">
              <w:t xml:space="preserve"> </w:t>
            </w:r>
            <w:proofErr w:type="spellStart"/>
            <w:r w:rsidRPr="00836724">
              <w:t>noslēpuma</w:t>
            </w:r>
            <w:proofErr w:type="spellEnd"/>
            <w:r w:rsidRPr="00836724">
              <w:t xml:space="preserve"> </w:t>
            </w:r>
            <w:proofErr w:type="spellStart"/>
            <w:r w:rsidRPr="00836724">
              <w:t>objekta</w:t>
            </w:r>
            <w:proofErr w:type="spellEnd"/>
            <w:r w:rsidRPr="00836724">
              <w:t xml:space="preserve"> </w:t>
            </w:r>
            <w:proofErr w:type="spellStart"/>
            <w:r w:rsidRPr="00836724">
              <w:t>statusam</w:t>
            </w:r>
            <w:proofErr w:type="spellEnd"/>
            <w:r w:rsidRPr="00836724">
              <w:t>.</w:t>
            </w:r>
          </w:p>
          <w:p w:rsidR="006739A5" w:rsidRPr="00836724" w:rsidRDefault="006739A5" w:rsidP="006739A5">
            <w:pPr>
              <w:pStyle w:val="labojumupamats"/>
              <w:spacing w:before="0" w:beforeAutospacing="0" w:after="120" w:afterAutospacing="0"/>
              <w:jc w:val="both"/>
            </w:pPr>
            <w:r w:rsidRPr="00836724">
              <w:rPr>
                <w:b/>
              </w:rPr>
              <w:t>102.pants.</w:t>
            </w:r>
            <w:r w:rsidRPr="00836724">
              <w:t xml:space="preserve"> </w:t>
            </w:r>
            <w:proofErr w:type="spellStart"/>
            <w:r w:rsidRPr="00836724">
              <w:t>Šajā</w:t>
            </w:r>
            <w:proofErr w:type="spellEnd"/>
            <w:r w:rsidRPr="00836724">
              <w:t xml:space="preserve"> </w:t>
            </w:r>
            <w:proofErr w:type="spellStart"/>
            <w:r w:rsidRPr="00836724">
              <w:t>likumā</w:t>
            </w:r>
            <w:proofErr w:type="spellEnd"/>
            <w:r w:rsidRPr="00836724">
              <w:t xml:space="preserve"> </w:t>
            </w:r>
            <w:proofErr w:type="spellStart"/>
            <w:r w:rsidRPr="00836724">
              <w:t>neregulētajos</w:t>
            </w:r>
            <w:proofErr w:type="spellEnd"/>
            <w:r w:rsidRPr="00836724">
              <w:t xml:space="preserve"> </w:t>
            </w:r>
            <w:proofErr w:type="spellStart"/>
            <w:r w:rsidRPr="00836724">
              <w:t>ar</w:t>
            </w:r>
            <w:proofErr w:type="spellEnd"/>
            <w:r w:rsidRPr="00836724">
              <w:t xml:space="preserve"> </w:t>
            </w:r>
            <w:proofErr w:type="spellStart"/>
            <w:r w:rsidRPr="00836724">
              <w:t>pieteikuma</w:t>
            </w:r>
            <w:proofErr w:type="spellEnd"/>
            <w:r w:rsidRPr="00836724">
              <w:t xml:space="preserve"> </w:t>
            </w:r>
            <w:proofErr w:type="spellStart"/>
            <w:r w:rsidRPr="00836724">
              <w:t>vai</w:t>
            </w:r>
            <w:proofErr w:type="spellEnd"/>
            <w:r w:rsidRPr="00836724">
              <w:t xml:space="preserve"> </w:t>
            </w:r>
            <w:proofErr w:type="spellStart"/>
            <w:r w:rsidRPr="00836724">
              <w:t>lietas</w:t>
            </w:r>
            <w:proofErr w:type="spellEnd"/>
            <w:r w:rsidRPr="00836724">
              <w:t xml:space="preserve"> </w:t>
            </w:r>
            <w:proofErr w:type="spellStart"/>
            <w:r w:rsidRPr="00836724">
              <w:t>izskatīšanu</w:t>
            </w:r>
            <w:proofErr w:type="spellEnd"/>
            <w:r w:rsidRPr="00836724">
              <w:t xml:space="preserve"> </w:t>
            </w:r>
            <w:proofErr w:type="spellStart"/>
            <w:r w:rsidRPr="00836724">
              <w:t>saistītajos</w:t>
            </w:r>
            <w:proofErr w:type="spellEnd"/>
            <w:r w:rsidRPr="00836724">
              <w:t xml:space="preserve"> </w:t>
            </w:r>
            <w:proofErr w:type="spellStart"/>
            <w:r w:rsidRPr="00836724">
              <w:t>jautājumos</w:t>
            </w:r>
            <w:proofErr w:type="spellEnd"/>
            <w:r w:rsidRPr="00836724">
              <w:t xml:space="preserve"> </w:t>
            </w:r>
            <w:proofErr w:type="spellStart"/>
            <w:r w:rsidRPr="00836724">
              <w:t>tiesa</w:t>
            </w:r>
            <w:proofErr w:type="spellEnd"/>
            <w:r w:rsidRPr="00836724">
              <w:t xml:space="preserve"> </w:t>
            </w:r>
            <w:proofErr w:type="spellStart"/>
            <w:r w:rsidRPr="00836724">
              <w:t>piemēro</w:t>
            </w:r>
            <w:proofErr w:type="spellEnd"/>
            <w:r w:rsidRPr="00836724">
              <w:t xml:space="preserve"> </w:t>
            </w:r>
            <w:hyperlink r:id="rId8" w:tgtFrame="_blank" w:history="1">
              <w:proofErr w:type="spellStart"/>
              <w:r w:rsidRPr="00836724">
                <w:t>Administratīvā</w:t>
              </w:r>
              <w:proofErr w:type="spellEnd"/>
              <w:r w:rsidRPr="00836724">
                <w:t xml:space="preserve"> </w:t>
              </w:r>
              <w:proofErr w:type="spellStart"/>
              <w:r w:rsidRPr="00836724">
                <w:t>procesa</w:t>
              </w:r>
              <w:proofErr w:type="spellEnd"/>
              <w:r w:rsidRPr="00836724">
                <w:t xml:space="preserve"> </w:t>
              </w:r>
              <w:proofErr w:type="spellStart"/>
              <w:r w:rsidRPr="00836724">
                <w:t>likuma</w:t>
              </w:r>
              <w:proofErr w:type="spellEnd"/>
            </w:hyperlink>
            <w:r w:rsidRPr="00836724">
              <w:t xml:space="preserve"> </w:t>
            </w:r>
            <w:proofErr w:type="spellStart"/>
            <w:r w:rsidRPr="00836724">
              <w:t>nosacījumus</w:t>
            </w:r>
            <w:proofErr w:type="spellEnd"/>
            <w:r w:rsidRPr="00836724">
              <w:t>.</w:t>
            </w:r>
            <w:r>
              <w:t>”.</w:t>
            </w:r>
          </w:p>
        </w:tc>
        <w:tc>
          <w:tcPr>
            <w:tcW w:w="2747" w:type="dxa"/>
          </w:tcPr>
          <w:p w:rsidR="006739A5" w:rsidRDefault="006739A5" w:rsidP="006739A5">
            <w:pPr>
              <w:pStyle w:val="labojumupamats"/>
              <w:spacing w:before="0" w:beforeAutospacing="0" w:after="120" w:afterAutospacing="0"/>
              <w:jc w:val="center"/>
            </w:pPr>
          </w:p>
          <w:p w:rsidR="006739A5" w:rsidRDefault="006739A5" w:rsidP="006739A5">
            <w:pPr>
              <w:pStyle w:val="labojumupamats"/>
              <w:spacing w:before="0" w:beforeAutospacing="0" w:after="120" w:afterAutospacing="0"/>
              <w:jc w:val="center"/>
            </w:pPr>
          </w:p>
          <w:p w:rsidR="006739A5" w:rsidRDefault="006739A5" w:rsidP="006739A5">
            <w:pPr>
              <w:pStyle w:val="labojumupamats"/>
              <w:spacing w:before="0" w:beforeAutospacing="0" w:after="120" w:afterAutospacing="0"/>
              <w:jc w:val="center"/>
            </w:pPr>
          </w:p>
          <w:p w:rsidR="006739A5" w:rsidRDefault="006739A5" w:rsidP="006739A5">
            <w:pPr>
              <w:pStyle w:val="labojumupamats"/>
              <w:spacing w:before="0" w:beforeAutospacing="0" w:after="120" w:afterAutospacing="0"/>
              <w:jc w:val="center"/>
            </w:pPr>
          </w:p>
          <w:p w:rsidR="006739A5" w:rsidRDefault="006739A5" w:rsidP="006739A5">
            <w:pPr>
              <w:pStyle w:val="labojumupamats"/>
              <w:spacing w:before="0" w:beforeAutospacing="0" w:after="120" w:afterAutospacing="0"/>
              <w:jc w:val="center"/>
            </w:pPr>
          </w:p>
          <w:p w:rsidR="006739A5" w:rsidRDefault="006739A5" w:rsidP="006739A5">
            <w:pPr>
              <w:pStyle w:val="labojumupamats"/>
              <w:spacing w:before="0" w:beforeAutospacing="0" w:after="120" w:afterAutospacing="0"/>
              <w:jc w:val="center"/>
            </w:pPr>
          </w:p>
          <w:p w:rsidR="006739A5" w:rsidRPr="00836724" w:rsidRDefault="006739A5" w:rsidP="006739A5">
            <w:pPr>
              <w:pStyle w:val="labojumupamats"/>
              <w:spacing w:before="0" w:beforeAutospacing="0" w:after="120" w:afterAutospacing="0"/>
              <w:jc w:val="center"/>
            </w:pPr>
            <w:proofErr w:type="spellStart"/>
            <w:r w:rsidRPr="00963B58">
              <w:t>Projekts</w:t>
            </w:r>
            <w:proofErr w:type="spellEnd"/>
          </w:p>
        </w:tc>
      </w:tr>
      <w:tr w:rsidR="006739A5" w:rsidRPr="00074F45" w:rsidTr="00AE3EB1">
        <w:trPr>
          <w:trHeight w:val="664"/>
        </w:trPr>
        <w:tc>
          <w:tcPr>
            <w:tcW w:w="588" w:type="dxa"/>
          </w:tcPr>
          <w:p w:rsidR="006739A5" w:rsidRDefault="006739A5" w:rsidP="006739A5">
            <w:pPr>
              <w:pStyle w:val="naisf"/>
              <w:spacing w:before="120" w:after="0"/>
              <w:ind w:firstLine="0"/>
              <w:jc w:val="center"/>
            </w:pPr>
          </w:p>
          <w:p w:rsidR="006739A5" w:rsidRDefault="006739A5" w:rsidP="006739A5">
            <w:pPr>
              <w:pStyle w:val="naisf"/>
              <w:spacing w:before="120" w:after="0"/>
              <w:ind w:firstLine="0"/>
              <w:jc w:val="center"/>
            </w:pPr>
          </w:p>
          <w:p w:rsidR="006739A5" w:rsidRDefault="006739A5" w:rsidP="006739A5">
            <w:pPr>
              <w:pStyle w:val="naisf"/>
              <w:spacing w:before="120" w:after="0"/>
              <w:ind w:firstLine="0"/>
              <w:jc w:val="center"/>
            </w:pPr>
          </w:p>
          <w:p w:rsidR="006739A5" w:rsidRDefault="006739A5" w:rsidP="006739A5">
            <w:pPr>
              <w:pStyle w:val="naisf"/>
              <w:spacing w:before="120" w:after="0"/>
              <w:ind w:firstLine="0"/>
              <w:jc w:val="center"/>
            </w:pPr>
            <w:r>
              <w:t xml:space="preserve"> </w:t>
            </w:r>
          </w:p>
          <w:p w:rsidR="006739A5" w:rsidRDefault="006739A5" w:rsidP="006739A5">
            <w:pPr>
              <w:pStyle w:val="naisf"/>
              <w:spacing w:before="120" w:after="0"/>
              <w:ind w:firstLine="0"/>
              <w:jc w:val="center"/>
            </w:pPr>
          </w:p>
          <w:p w:rsidR="006739A5" w:rsidRDefault="006739A5" w:rsidP="006739A5">
            <w:pPr>
              <w:pStyle w:val="naisf"/>
              <w:spacing w:before="120" w:after="0"/>
              <w:ind w:firstLine="0"/>
              <w:jc w:val="center"/>
            </w:pPr>
          </w:p>
          <w:p w:rsidR="006739A5" w:rsidRPr="00074F45" w:rsidRDefault="006739A5" w:rsidP="006739A5">
            <w:pPr>
              <w:pStyle w:val="naisf"/>
              <w:spacing w:before="120" w:after="0"/>
              <w:ind w:firstLine="0"/>
              <w:jc w:val="center"/>
            </w:pPr>
            <w:r>
              <w:t>8.</w:t>
            </w:r>
          </w:p>
        </w:tc>
        <w:tc>
          <w:tcPr>
            <w:tcW w:w="2526" w:type="dxa"/>
          </w:tcPr>
          <w:p w:rsidR="006739A5" w:rsidRDefault="006739A5" w:rsidP="006739A5">
            <w:pPr>
              <w:spacing w:before="120"/>
              <w:ind w:firstLine="121"/>
            </w:pPr>
          </w:p>
          <w:p w:rsidR="006739A5" w:rsidRDefault="006739A5" w:rsidP="006739A5">
            <w:pPr>
              <w:spacing w:before="120"/>
              <w:ind w:firstLine="121"/>
            </w:pPr>
          </w:p>
          <w:p w:rsidR="006739A5" w:rsidRDefault="006739A5" w:rsidP="006739A5">
            <w:pPr>
              <w:spacing w:before="120"/>
              <w:ind w:firstLine="121"/>
            </w:pPr>
          </w:p>
          <w:p w:rsidR="006739A5" w:rsidRDefault="006739A5" w:rsidP="006739A5">
            <w:pPr>
              <w:spacing w:before="120"/>
              <w:ind w:firstLine="121"/>
              <w:jc w:val="center"/>
            </w:pPr>
          </w:p>
          <w:p w:rsidR="006739A5" w:rsidRDefault="006739A5" w:rsidP="006739A5">
            <w:pPr>
              <w:spacing w:before="120"/>
              <w:ind w:firstLine="121"/>
              <w:jc w:val="center"/>
            </w:pPr>
          </w:p>
          <w:p w:rsidR="006739A5" w:rsidRDefault="006739A5" w:rsidP="006739A5">
            <w:pPr>
              <w:spacing w:before="120"/>
              <w:ind w:firstLine="5"/>
              <w:jc w:val="center"/>
            </w:pPr>
          </w:p>
          <w:p w:rsidR="006739A5" w:rsidRPr="00074F45" w:rsidRDefault="006739A5" w:rsidP="006739A5">
            <w:pPr>
              <w:spacing w:before="120"/>
              <w:ind w:firstLine="5"/>
              <w:jc w:val="center"/>
            </w:pPr>
            <w:r>
              <w:t>Projekts</w:t>
            </w:r>
          </w:p>
        </w:tc>
        <w:tc>
          <w:tcPr>
            <w:tcW w:w="5670" w:type="dxa"/>
          </w:tcPr>
          <w:p w:rsidR="006739A5" w:rsidRPr="0062692C" w:rsidRDefault="006739A5" w:rsidP="006739A5">
            <w:pPr>
              <w:pStyle w:val="Bodytext21"/>
              <w:shd w:val="clear" w:color="auto" w:fill="auto"/>
              <w:spacing w:before="0" w:after="0" w:line="240" w:lineRule="auto"/>
              <w:jc w:val="center"/>
              <w:rPr>
                <w:b/>
                <w:sz w:val="24"/>
                <w:szCs w:val="24"/>
              </w:rPr>
            </w:pPr>
            <w:r>
              <w:rPr>
                <w:b/>
                <w:sz w:val="24"/>
                <w:szCs w:val="24"/>
              </w:rPr>
              <w:t>Ģenerālprokuratūra</w:t>
            </w:r>
          </w:p>
          <w:p w:rsidR="006739A5" w:rsidRDefault="006739A5" w:rsidP="006739A5">
            <w:pPr>
              <w:ind w:firstLine="720"/>
              <w:jc w:val="both"/>
            </w:pPr>
            <w:r>
              <w:t>A</w:t>
            </w:r>
            <w:r w:rsidRPr="006301B9">
              <w:t>tbilstoši šobrīd spēkā esošā Imigrācijas likuma 65.</w:t>
            </w:r>
            <w:r w:rsidRPr="006301B9">
              <w:rPr>
                <w:vertAlign w:val="superscript"/>
              </w:rPr>
              <w:t>2</w:t>
            </w:r>
            <w:r w:rsidRPr="006301B9">
              <w:t xml:space="preserve"> panta ceturtajā daļā noteiktajam tiesa lietas izskatīšanā var pieaicināt Ģenerālprokuratūru, lai tā atbilstoši kompetencei sniegtu atzinumu.</w:t>
            </w:r>
          </w:p>
          <w:p w:rsidR="006739A5" w:rsidRPr="006301B9" w:rsidRDefault="006739A5" w:rsidP="006739A5">
            <w:pPr>
              <w:ind w:firstLine="720"/>
              <w:jc w:val="both"/>
            </w:pPr>
            <w:r>
              <w:t xml:space="preserve">Vēršam uzmanību, ka </w:t>
            </w:r>
            <w:r w:rsidRPr="006301B9">
              <w:t xml:space="preserve">Satversmes tiesa </w:t>
            </w:r>
            <w:r w:rsidRPr="00CD0332">
              <w:t xml:space="preserve">2020.gada 25.septembra spriedumā lietā Nr.2019-35-01 </w:t>
            </w:r>
            <w:r>
              <w:t xml:space="preserve">ir </w:t>
            </w:r>
            <w:r w:rsidRPr="006301B9">
              <w:t>secināj</w:t>
            </w:r>
            <w:r>
              <w:t>usi</w:t>
            </w:r>
            <w:r w:rsidRPr="006301B9">
              <w:t xml:space="preserve">, ka ,,ģenerālprokurors </w:t>
            </w:r>
            <w:proofErr w:type="spellStart"/>
            <w:r w:rsidRPr="006301B9">
              <w:t>iekšlietu</w:t>
            </w:r>
            <w:proofErr w:type="spellEnd"/>
            <w:r w:rsidRPr="006301B9">
              <w:t xml:space="preserve"> ministra lēmuma pārsūdzības procesā pārbauda arī tādu informāciju, kas viņam iepriekš var būt bijusi pieejama, īstenojot uzraudzību pār valsts drošības iestāžu operatīvās darbības, izlūkošanas un pretizlūkošanas procesiem un valsts noslēpuma aizsardzības sistēmu. Tādā gadījumā, kad ģenerālprokurors, īstenojot uzraudzību, ir atzinis valsts drošības iestāžu darbības atbilstību likumiem, viņš pēc būtības ir uzskatījis par tiesisku arī tādu informāciju, kas ir par pamatu ārzemnieka iekļaušanai to personu sarakstā, kurām ieceļošana Latvijā ir aizliegta’’ (</w:t>
            </w:r>
            <w:r w:rsidRPr="006301B9">
              <w:rPr>
                <w:i/>
                <w:iCs/>
              </w:rPr>
              <w:t>skat.</w:t>
            </w:r>
            <w:r>
              <w:rPr>
                <w:i/>
                <w:iCs/>
              </w:rPr>
              <w:t xml:space="preserve"> </w:t>
            </w:r>
            <w:r w:rsidRPr="006301B9">
              <w:rPr>
                <w:i/>
                <w:iCs/>
              </w:rPr>
              <w:t>14.3.punktu 2020.gada 25.septembra Satversmes tiesa</w:t>
            </w:r>
            <w:r>
              <w:rPr>
                <w:i/>
                <w:iCs/>
              </w:rPr>
              <w:t>s</w:t>
            </w:r>
            <w:r w:rsidRPr="006301B9">
              <w:rPr>
                <w:i/>
                <w:iCs/>
              </w:rPr>
              <w:t xml:space="preserve"> spriedumā lietā Nr.2019-35-01). </w:t>
            </w:r>
            <w:r w:rsidRPr="006301B9">
              <w:t>Minētais bija par pamatu Satversmes tiesas secinājumam</w:t>
            </w:r>
            <w:r>
              <w:t>,</w:t>
            </w:r>
            <w:r w:rsidRPr="006301B9">
              <w:t xml:space="preserve"> ka</w:t>
            </w:r>
            <w:r>
              <w:t xml:space="preserve"> </w:t>
            </w:r>
            <w:proofErr w:type="spellStart"/>
            <w:r w:rsidRPr="006301B9">
              <w:t>iekšlietu</w:t>
            </w:r>
            <w:proofErr w:type="spellEnd"/>
            <w:r w:rsidRPr="006301B9">
              <w:t xml:space="preserve"> ministra </w:t>
            </w:r>
            <w:r w:rsidRPr="006301B9">
              <w:lastRenderedPageBreak/>
              <w:t>lēmum</w:t>
            </w:r>
            <w:r>
              <w:t>a</w:t>
            </w:r>
            <w:r w:rsidRPr="006301B9">
              <w:t xml:space="preserve"> </w:t>
            </w:r>
            <w:r>
              <w:t xml:space="preserve">pārsūdzības procesā </w:t>
            </w:r>
            <w:r w:rsidRPr="006301B9">
              <w:t>ārzemniekam nav nodrošināta pieeja tādai institūcijai, kas būtu objektīva.</w:t>
            </w:r>
          </w:p>
          <w:p w:rsidR="006739A5" w:rsidRDefault="006739A5" w:rsidP="006739A5">
            <w:pPr>
              <w:pStyle w:val="tv213"/>
              <w:spacing w:before="0" w:beforeAutospacing="0" w:after="0" w:afterAutospacing="0"/>
              <w:ind w:firstLine="720"/>
              <w:jc w:val="both"/>
              <w:rPr>
                <w:lang w:val="lv-LV"/>
              </w:rPr>
            </w:pPr>
            <w:r>
              <w:rPr>
                <w:lang w:val="lv-LV"/>
              </w:rPr>
              <w:t>Ievērojot</w:t>
            </w:r>
            <w:r w:rsidRPr="006301B9">
              <w:rPr>
                <w:lang w:val="lv-LV"/>
              </w:rPr>
              <w:t xml:space="preserve"> Satversmes tiesas secinājumus, uzskatām, ka </w:t>
            </w:r>
            <w:r w:rsidRPr="00874DFC">
              <w:rPr>
                <w:lang w:val="lv-LV"/>
              </w:rPr>
              <w:t xml:space="preserve">Imigrācijas likumā ar atsevišķu normu nav nepieciešams </w:t>
            </w:r>
            <w:r>
              <w:rPr>
                <w:lang w:val="lv-LV"/>
              </w:rPr>
              <w:t xml:space="preserve">paredzēt, ka </w:t>
            </w:r>
            <w:r w:rsidRPr="00874DFC">
              <w:rPr>
                <w:lang w:val="lv-LV"/>
              </w:rPr>
              <w:t>tiesa</w:t>
            </w:r>
            <w:r>
              <w:rPr>
                <w:lang w:val="lv-LV"/>
              </w:rPr>
              <w:t xml:space="preserve"> </w:t>
            </w:r>
            <w:r w:rsidRPr="00874DFC">
              <w:rPr>
                <w:lang w:val="lv-LV"/>
              </w:rPr>
              <w:t xml:space="preserve">lietas izskatīšanā </w:t>
            </w:r>
            <w:r>
              <w:rPr>
                <w:lang w:val="lv-LV"/>
              </w:rPr>
              <w:t>var</w:t>
            </w:r>
            <w:r w:rsidRPr="00874DFC">
              <w:rPr>
                <w:lang w:val="lv-LV"/>
              </w:rPr>
              <w:t xml:space="preserve"> pieaicināt Ģenerālprokuratūru, lai tā atbilstoši kompetencei sniegtu atzinumu.</w:t>
            </w:r>
          </w:p>
          <w:p w:rsidR="006739A5" w:rsidRPr="00E93134" w:rsidRDefault="006739A5" w:rsidP="006739A5">
            <w:pPr>
              <w:pStyle w:val="tv213"/>
              <w:spacing w:before="0" w:beforeAutospacing="0" w:after="0" w:afterAutospacing="0"/>
              <w:ind w:firstLine="720"/>
              <w:jc w:val="both"/>
              <w:rPr>
                <w:lang w:val="lv-LV"/>
              </w:rPr>
            </w:pPr>
            <w:r w:rsidRPr="00E93134">
              <w:rPr>
                <w:lang w:val="lv-LV"/>
              </w:rPr>
              <w:t xml:space="preserve">Jāņem vērā, ka ārzemnieka iekļaušana to personu sarakstā, kurām ieceļošana Latvijā ir aizliegta, var būt pamatota ar kompetentas valsts iestādes atzinumu. Līdz ar to vairākumā gadījumos šāds Ģenerālprokuratūras atzinums nav nepieciešams, jo tas būs balstīts uz to pašu informāciju, ko būs ieguvusi un savā atzinumā apkopojusi kompetentā iestāde, un, ar kuru pārsūdzības procesā var iepazīties tiesa. </w:t>
            </w:r>
          </w:p>
          <w:p w:rsidR="006739A5" w:rsidRPr="00E93134" w:rsidRDefault="006739A5" w:rsidP="006739A5">
            <w:pPr>
              <w:pStyle w:val="tv213"/>
              <w:spacing w:before="0" w:beforeAutospacing="0" w:after="0" w:afterAutospacing="0"/>
              <w:ind w:firstLine="567"/>
              <w:jc w:val="both"/>
              <w:rPr>
                <w:lang w:val="lv-LV"/>
              </w:rPr>
            </w:pPr>
            <w:r w:rsidRPr="00E93134">
              <w:rPr>
                <w:lang w:val="lv-LV"/>
              </w:rPr>
              <w:t xml:space="preserve">Savukārt gadījumos, kad Ģenerālprokuratūras atzinums tomēr būs nepieciešams, tad, pamatojoties uz Administratīvā procesa likuma 30.panta trešo daļu, tiesa varēs pieaicināt Ģenerālprokuratūru atzinuma sniegšanai. </w:t>
            </w:r>
          </w:p>
          <w:p w:rsidR="006739A5" w:rsidRPr="003A0C15" w:rsidRDefault="006739A5" w:rsidP="006739A5">
            <w:pPr>
              <w:pStyle w:val="tv213"/>
              <w:spacing w:before="0" w:beforeAutospacing="0" w:after="0" w:afterAutospacing="0"/>
              <w:ind w:firstLine="567"/>
              <w:jc w:val="both"/>
              <w:rPr>
                <w:u w:val="single"/>
                <w:lang w:val="lv-LV"/>
              </w:rPr>
            </w:pPr>
            <w:r>
              <w:rPr>
                <w:u w:val="single"/>
                <w:lang w:val="lv-LV"/>
              </w:rPr>
              <w:t>Ievērojot</w:t>
            </w:r>
            <w:r w:rsidRPr="006301B9">
              <w:rPr>
                <w:u w:val="single"/>
                <w:lang w:val="lv-LV"/>
              </w:rPr>
              <w:t xml:space="preserve"> minēto, ierosinām papildināt </w:t>
            </w:r>
            <w:r>
              <w:rPr>
                <w:u w:val="single"/>
                <w:lang w:val="lv-LV"/>
              </w:rPr>
              <w:t>L</w:t>
            </w:r>
            <w:r w:rsidRPr="006301B9">
              <w:rPr>
                <w:u w:val="single"/>
                <w:lang w:val="lv-LV"/>
              </w:rPr>
              <w:t>ikumprojektu ar jaunu pantu, kas paredz izslēgt no Imigrācijas likuma 65.</w:t>
            </w:r>
            <w:r w:rsidRPr="006301B9">
              <w:rPr>
                <w:u w:val="single"/>
                <w:vertAlign w:val="superscript"/>
                <w:lang w:val="lv-LV"/>
              </w:rPr>
              <w:t>2</w:t>
            </w:r>
            <w:r>
              <w:rPr>
                <w:u w:val="single"/>
                <w:vertAlign w:val="superscript"/>
                <w:lang w:val="lv-LV"/>
              </w:rPr>
              <w:t xml:space="preserve"> </w:t>
            </w:r>
            <w:r w:rsidRPr="006301B9">
              <w:rPr>
                <w:u w:val="single"/>
                <w:lang w:val="lv-LV"/>
              </w:rPr>
              <w:t xml:space="preserve">panta ceturto daļu, </w:t>
            </w:r>
            <w:r>
              <w:rPr>
                <w:u w:val="single"/>
                <w:lang w:val="lv-LV"/>
              </w:rPr>
              <w:t xml:space="preserve">attiecīgi mainot turpmāko Likumprojekta pantu numerāciju, </w:t>
            </w:r>
            <w:r w:rsidRPr="006301B9">
              <w:rPr>
                <w:u w:val="single"/>
                <w:lang w:val="lv-LV"/>
              </w:rPr>
              <w:t>kā arī pārejas noteikumu 50.punktu pēc vārdiem “61.pan</w:t>
            </w:r>
            <w:r>
              <w:rPr>
                <w:u w:val="single"/>
                <w:lang w:val="lv-LV"/>
              </w:rPr>
              <w:t xml:space="preserve">ta </w:t>
            </w:r>
            <w:r w:rsidRPr="006301B9">
              <w:rPr>
                <w:u w:val="single"/>
                <w:lang w:val="lv-LV"/>
              </w:rPr>
              <w:t>astotās daļas” ar vārdiem “</w:t>
            </w:r>
            <w:r>
              <w:rPr>
                <w:u w:val="single"/>
                <w:lang w:val="lv-LV"/>
              </w:rPr>
              <w:t xml:space="preserve"> </w:t>
            </w:r>
            <w:r w:rsidRPr="006301B9">
              <w:rPr>
                <w:u w:val="single"/>
                <w:lang w:val="lv-LV"/>
              </w:rPr>
              <w:t>un 65.</w:t>
            </w:r>
            <w:r w:rsidRPr="006301B9">
              <w:rPr>
                <w:u w:val="single"/>
                <w:vertAlign w:val="superscript"/>
                <w:lang w:val="lv-LV"/>
              </w:rPr>
              <w:t>2</w:t>
            </w:r>
            <w:r w:rsidRPr="006301B9">
              <w:rPr>
                <w:u w:val="single"/>
                <w:lang w:val="lv-LV"/>
              </w:rPr>
              <w:t>panta ceturtās daļas”.</w:t>
            </w:r>
          </w:p>
        </w:tc>
        <w:tc>
          <w:tcPr>
            <w:tcW w:w="2977" w:type="dxa"/>
          </w:tcPr>
          <w:p w:rsidR="006739A5" w:rsidRDefault="006739A5" w:rsidP="006739A5">
            <w:pPr>
              <w:pStyle w:val="naisf"/>
              <w:spacing w:before="0" w:after="0"/>
              <w:ind w:firstLine="0"/>
              <w:jc w:val="center"/>
              <w:rPr>
                <w:b/>
              </w:rPr>
            </w:pPr>
          </w:p>
          <w:p w:rsidR="006739A5" w:rsidRDefault="006739A5" w:rsidP="006739A5">
            <w:pPr>
              <w:pStyle w:val="naisf"/>
              <w:spacing w:before="0" w:after="0"/>
              <w:ind w:firstLine="0"/>
              <w:jc w:val="center"/>
              <w:rPr>
                <w:b/>
              </w:rPr>
            </w:pPr>
            <w:r w:rsidRPr="000515CD">
              <w:rPr>
                <w:b/>
              </w:rPr>
              <w:t>Iebildums ņemts vērā</w:t>
            </w:r>
          </w:p>
          <w:p w:rsidR="006739A5" w:rsidRDefault="006739A5" w:rsidP="006739A5">
            <w:pPr>
              <w:jc w:val="both"/>
            </w:pPr>
          </w:p>
          <w:p w:rsidR="006739A5" w:rsidRDefault="006739A5" w:rsidP="006739A5">
            <w:pPr>
              <w:jc w:val="both"/>
            </w:pPr>
            <w:r w:rsidRPr="00C25DC1">
              <w:t>Vēršama uzmanība, ka arī</w:t>
            </w:r>
            <w:r>
              <w:rPr>
                <w:b/>
              </w:rPr>
              <w:t xml:space="preserve"> </w:t>
            </w:r>
            <w:r>
              <w:t>likumprojekta “Imigrācijas likums” (izsludināts Valsts sekretāru sanāksmē 2020.gada 2.jūlijā - VSS-545) X nodaļā iespēja t</w:t>
            </w:r>
            <w:r w:rsidRPr="00300CEE">
              <w:t>iesa</w:t>
            </w:r>
            <w:r>
              <w:t xml:space="preserve">i lietas izskatīšanā pieaicināt </w:t>
            </w:r>
            <w:r w:rsidRPr="00300CEE">
              <w:t>Ģenerālprokuratūru, lai tā atbilstoši kompetencei sniegtu atzinumu</w:t>
            </w:r>
            <w:r>
              <w:t>, nav paredzēta</w:t>
            </w:r>
            <w:r w:rsidRPr="00300CEE">
              <w:t>.</w:t>
            </w:r>
          </w:p>
          <w:p w:rsidR="006739A5" w:rsidRPr="00232371" w:rsidRDefault="006739A5" w:rsidP="006739A5">
            <w:pPr>
              <w:pStyle w:val="naisf"/>
              <w:spacing w:before="120" w:after="0"/>
              <w:ind w:firstLine="0"/>
              <w:jc w:val="center"/>
            </w:pPr>
          </w:p>
        </w:tc>
        <w:tc>
          <w:tcPr>
            <w:tcW w:w="2747" w:type="dxa"/>
          </w:tcPr>
          <w:p w:rsidR="006739A5" w:rsidRDefault="006739A5" w:rsidP="006739A5">
            <w:pPr>
              <w:jc w:val="center"/>
            </w:pPr>
          </w:p>
          <w:p w:rsidR="006739A5" w:rsidRDefault="006739A5" w:rsidP="006739A5">
            <w:pPr>
              <w:jc w:val="center"/>
            </w:pPr>
          </w:p>
          <w:p w:rsidR="006739A5" w:rsidRDefault="006739A5" w:rsidP="006739A5">
            <w:pPr>
              <w:jc w:val="center"/>
            </w:pPr>
          </w:p>
          <w:p w:rsidR="006739A5" w:rsidRDefault="006739A5" w:rsidP="006739A5">
            <w:pPr>
              <w:jc w:val="center"/>
            </w:pPr>
          </w:p>
          <w:p w:rsidR="006739A5" w:rsidRDefault="006739A5" w:rsidP="006739A5">
            <w:pPr>
              <w:jc w:val="center"/>
            </w:pPr>
          </w:p>
          <w:p w:rsidR="006739A5" w:rsidRDefault="006739A5" w:rsidP="006739A5">
            <w:pPr>
              <w:jc w:val="center"/>
            </w:pPr>
          </w:p>
          <w:p w:rsidR="006739A5" w:rsidRDefault="006739A5" w:rsidP="006739A5">
            <w:pPr>
              <w:jc w:val="center"/>
            </w:pPr>
          </w:p>
          <w:p w:rsidR="006739A5" w:rsidRDefault="006739A5" w:rsidP="006739A5">
            <w:pPr>
              <w:jc w:val="center"/>
            </w:pPr>
          </w:p>
          <w:p w:rsidR="006739A5" w:rsidRDefault="006739A5" w:rsidP="006739A5">
            <w:pPr>
              <w:jc w:val="center"/>
            </w:pPr>
            <w:r>
              <w:t>Projekta 2. pants:</w:t>
            </w:r>
          </w:p>
          <w:p w:rsidR="006739A5" w:rsidRDefault="006739A5" w:rsidP="006739A5">
            <w:pPr>
              <w:jc w:val="both"/>
            </w:pPr>
            <w:r>
              <w:t>“Izslēgt 65.</w:t>
            </w:r>
            <w:r w:rsidRPr="00060C60">
              <w:rPr>
                <w:vertAlign w:val="superscript"/>
              </w:rPr>
              <w:t>.2</w:t>
            </w:r>
            <w:r>
              <w:t xml:space="preserve"> panta ceturto daļu”.</w:t>
            </w:r>
          </w:p>
          <w:p w:rsidR="006739A5" w:rsidRDefault="006739A5" w:rsidP="006739A5">
            <w:pPr>
              <w:jc w:val="both"/>
            </w:pPr>
          </w:p>
          <w:p w:rsidR="006739A5" w:rsidRDefault="006739A5" w:rsidP="006739A5">
            <w:pPr>
              <w:jc w:val="both"/>
            </w:pPr>
          </w:p>
          <w:p w:rsidR="006739A5" w:rsidRDefault="006739A5" w:rsidP="006739A5">
            <w:pPr>
              <w:jc w:val="both"/>
            </w:pPr>
          </w:p>
          <w:p w:rsidR="006739A5" w:rsidRPr="00D35E90" w:rsidRDefault="006739A5" w:rsidP="006739A5">
            <w:pPr>
              <w:jc w:val="both"/>
            </w:pPr>
          </w:p>
        </w:tc>
      </w:tr>
      <w:tr w:rsidR="00C130EF" w:rsidRPr="00074F45" w:rsidTr="00C130EF">
        <w:trPr>
          <w:trHeight w:val="664"/>
        </w:trPr>
        <w:tc>
          <w:tcPr>
            <w:tcW w:w="588" w:type="dxa"/>
          </w:tcPr>
          <w:p w:rsidR="00C130EF" w:rsidRDefault="00C130EF" w:rsidP="00C130EF">
            <w:pPr>
              <w:pStyle w:val="naisf"/>
              <w:spacing w:before="0" w:after="0"/>
              <w:ind w:firstLine="0"/>
              <w:jc w:val="center"/>
            </w:pPr>
          </w:p>
          <w:p w:rsidR="00C130EF" w:rsidRDefault="00C130EF" w:rsidP="00C130EF">
            <w:pPr>
              <w:pStyle w:val="naisf"/>
              <w:spacing w:before="0" w:after="0"/>
              <w:ind w:firstLine="0"/>
              <w:jc w:val="center"/>
            </w:pPr>
          </w:p>
          <w:p w:rsidR="00C130EF" w:rsidRDefault="00C130EF" w:rsidP="00C130EF">
            <w:pPr>
              <w:pStyle w:val="naisf"/>
              <w:spacing w:before="0" w:after="0"/>
              <w:ind w:firstLine="0"/>
              <w:jc w:val="center"/>
            </w:pPr>
          </w:p>
          <w:p w:rsidR="00C130EF" w:rsidRDefault="00C130EF" w:rsidP="00C130EF">
            <w:pPr>
              <w:pStyle w:val="naisf"/>
              <w:spacing w:before="0" w:after="0"/>
              <w:ind w:firstLine="0"/>
              <w:jc w:val="center"/>
            </w:pPr>
          </w:p>
          <w:p w:rsidR="00C130EF" w:rsidRPr="00074F45" w:rsidRDefault="00C130EF" w:rsidP="00C130EF">
            <w:pPr>
              <w:pStyle w:val="naisf"/>
              <w:spacing w:before="0" w:after="0"/>
              <w:ind w:firstLine="0"/>
              <w:jc w:val="center"/>
            </w:pPr>
            <w:r>
              <w:t>9.</w:t>
            </w:r>
          </w:p>
        </w:tc>
        <w:tc>
          <w:tcPr>
            <w:tcW w:w="2526" w:type="dxa"/>
          </w:tcPr>
          <w:p w:rsidR="00C130EF" w:rsidRDefault="00C130EF" w:rsidP="00C130EF">
            <w:pPr>
              <w:ind w:firstLine="119"/>
              <w:jc w:val="both"/>
            </w:pPr>
            <w:r>
              <w:t>Papildināt pārejas noteikumus ar 51.punktu šādā redakcijā:</w:t>
            </w:r>
          </w:p>
          <w:p w:rsidR="00C130EF" w:rsidRDefault="00C130EF" w:rsidP="00C130EF">
            <w:pPr>
              <w:ind w:firstLine="119"/>
              <w:jc w:val="both"/>
            </w:pPr>
            <w:r>
              <w:t>“51.</w:t>
            </w:r>
          </w:p>
          <w:p w:rsidR="00C130EF" w:rsidRPr="00074F45" w:rsidRDefault="00C130EF" w:rsidP="006739A5">
            <w:pPr>
              <w:spacing w:before="120"/>
              <w:ind w:firstLine="121"/>
              <w:jc w:val="both"/>
            </w:pPr>
            <w:r w:rsidRPr="007919D9">
              <w:t xml:space="preserve">Ģenerālprokuratūras lēmumu, kas pieņemts pēc 2021. gada 1. marta </w:t>
            </w:r>
            <w:r w:rsidRPr="007919D9">
              <w:lastRenderedPageBreak/>
              <w:t>viena mēneša laikā no tā paziņošanas dienas persona var pārsūdzēt Latvijas Republikas Augstākās tiesas Administratīvo lietu departamentā.”.</w:t>
            </w:r>
          </w:p>
        </w:tc>
        <w:tc>
          <w:tcPr>
            <w:tcW w:w="5670" w:type="dxa"/>
          </w:tcPr>
          <w:p w:rsidR="00C130EF" w:rsidRDefault="00C130EF" w:rsidP="006739A5">
            <w:pPr>
              <w:pStyle w:val="Bodytext21"/>
              <w:shd w:val="clear" w:color="auto" w:fill="auto"/>
              <w:spacing w:before="0" w:after="0" w:line="281" w:lineRule="exact"/>
              <w:jc w:val="center"/>
              <w:rPr>
                <w:b/>
                <w:sz w:val="24"/>
                <w:szCs w:val="24"/>
              </w:rPr>
            </w:pPr>
            <w:r>
              <w:rPr>
                <w:b/>
                <w:sz w:val="24"/>
                <w:szCs w:val="24"/>
              </w:rPr>
              <w:lastRenderedPageBreak/>
              <w:t>Ģenerālprokuratūra</w:t>
            </w:r>
          </w:p>
          <w:p w:rsidR="00C130EF" w:rsidRPr="0062692C" w:rsidRDefault="00C130EF" w:rsidP="006739A5">
            <w:pPr>
              <w:pStyle w:val="Bodytext21"/>
              <w:shd w:val="clear" w:color="auto" w:fill="auto"/>
              <w:spacing w:before="0" w:after="0" w:line="240" w:lineRule="auto"/>
              <w:ind w:firstLine="720"/>
              <w:rPr>
                <w:sz w:val="24"/>
                <w:szCs w:val="24"/>
              </w:rPr>
            </w:pPr>
            <w:r w:rsidRPr="0062692C">
              <w:rPr>
                <w:sz w:val="24"/>
                <w:szCs w:val="24"/>
              </w:rPr>
              <w:t>Likumprojekta 3.pantā ietvertajā 51.punktā nepieciešams aizstāt vārdu “</w:t>
            </w:r>
            <w:proofErr w:type="spellStart"/>
            <w:r w:rsidRPr="0062692C">
              <w:rPr>
                <w:sz w:val="24"/>
                <w:szCs w:val="24"/>
              </w:rPr>
              <w:t>Generālprokuratūras</w:t>
            </w:r>
            <w:proofErr w:type="spellEnd"/>
            <w:r w:rsidRPr="0062692C">
              <w:rPr>
                <w:sz w:val="24"/>
                <w:szCs w:val="24"/>
              </w:rPr>
              <w:t>” ar vārdu ģenerālprokurora”, jo galīgo lēmumu (izskatot sūdzību) par ārzemnieka iekļaušanu to personu sarakstā, kurām ieceļošana Latvijā ir aizliegta, pieņem ģenerālprokurors.</w:t>
            </w:r>
          </w:p>
        </w:tc>
        <w:tc>
          <w:tcPr>
            <w:tcW w:w="2977" w:type="dxa"/>
            <w:vAlign w:val="center"/>
          </w:tcPr>
          <w:p w:rsidR="00C130EF" w:rsidRPr="000515CD" w:rsidRDefault="00C130EF" w:rsidP="00C130EF">
            <w:pPr>
              <w:pStyle w:val="naisf"/>
              <w:spacing w:before="0" w:after="0"/>
              <w:ind w:firstLine="0"/>
              <w:jc w:val="center"/>
              <w:rPr>
                <w:b/>
              </w:rPr>
            </w:pPr>
            <w:r>
              <w:rPr>
                <w:b/>
              </w:rPr>
              <w:t>Iebildums ņemts vērā</w:t>
            </w:r>
          </w:p>
        </w:tc>
        <w:tc>
          <w:tcPr>
            <w:tcW w:w="2747" w:type="dxa"/>
          </w:tcPr>
          <w:p w:rsidR="00C130EF" w:rsidRDefault="00C130EF" w:rsidP="00C130EF">
            <w:pPr>
              <w:ind w:firstLine="119"/>
              <w:jc w:val="center"/>
            </w:pPr>
            <w:r>
              <w:t>Papildināt pārejas noteikumus ar 50. punktu šādā redakcijā:</w:t>
            </w:r>
          </w:p>
          <w:p w:rsidR="00C130EF" w:rsidRPr="00D35E90" w:rsidRDefault="00C130EF" w:rsidP="006739A5">
            <w:pPr>
              <w:ind w:firstLine="159"/>
              <w:jc w:val="both"/>
            </w:pPr>
            <w:r>
              <w:t>“</w:t>
            </w:r>
            <w:r w:rsidRPr="007919D9">
              <w:t>5</w:t>
            </w:r>
            <w:r>
              <w:t>0</w:t>
            </w:r>
            <w:r w:rsidRPr="007919D9">
              <w:t xml:space="preserve">. </w:t>
            </w:r>
            <w:r>
              <w:t xml:space="preserve">Ģenerālprokurors pēc 2021. gada 1. marta pabeidz izskatīt tā lietvedībā esošās lietas par pārsūdzētajiem </w:t>
            </w:r>
            <w:proofErr w:type="spellStart"/>
            <w:r>
              <w:t>iekšlietu</w:t>
            </w:r>
            <w:proofErr w:type="spellEnd"/>
            <w:r>
              <w:t xml:space="preserve"> </w:t>
            </w:r>
            <w:r>
              <w:lastRenderedPageBreak/>
              <w:t xml:space="preserve">ministra lēmumiem par ārzemnieka iekļaušanu to personu sarakstā, kam ieceļošana Latvijas Republikā ir aizliegta. Ģenerālprokurora lēmumu </w:t>
            </w:r>
            <w:r w:rsidRPr="00654767">
              <w:t>viena mēneša laikā no tā paziņošanas dienas persona var pārsūdzēt Latvijas Republikas Augstākās tiesas Admi</w:t>
            </w:r>
            <w:r>
              <w:t>nistratīvo lietu departamentā.”.</w:t>
            </w:r>
          </w:p>
        </w:tc>
      </w:tr>
    </w:tbl>
    <w:p w:rsidR="002D3C12" w:rsidRPr="00074F45" w:rsidRDefault="002D3C12" w:rsidP="00EE0ED0">
      <w:pPr>
        <w:pStyle w:val="naisf"/>
        <w:tabs>
          <w:tab w:val="left" w:pos="11400"/>
        </w:tabs>
        <w:spacing w:before="0" w:after="0"/>
        <w:ind w:firstLine="720"/>
      </w:pPr>
    </w:p>
    <w:tbl>
      <w:tblPr>
        <w:tblW w:w="13399" w:type="dxa"/>
        <w:tblInd w:w="-96" w:type="dxa"/>
        <w:tblLayout w:type="fixed"/>
        <w:tblLook w:val="00A0" w:firstRow="1" w:lastRow="0" w:firstColumn="1" w:lastColumn="0" w:noHBand="0" w:noVBand="0"/>
      </w:tblPr>
      <w:tblGrid>
        <w:gridCol w:w="3108"/>
        <w:gridCol w:w="5160"/>
        <w:gridCol w:w="5131"/>
      </w:tblGrid>
      <w:tr w:rsidR="00BA40C0" w:rsidRPr="00A76F07" w:rsidTr="00BA40C0">
        <w:tc>
          <w:tcPr>
            <w:tcW w:w="3108" w:type="dxa"/>
          </w:tcPr>
          <w:p w:rsidR="00BA40C0" w:rsidRPr="00A76F07" w:rsidRDefault="00BA40C0" w:rsidP="00255A0A">
            <w:pPr>
              <w:pStyle w:val="naiskr"/>
              <w:spacing w:before="0" w:after="0"/>
            </w:pPr>
            <w:r w:rsidRPr="00A76F07">
              <w:t>Atbildīgā amatpersona</w:t>
            </w:r>
          </w:p>
        </w:tc>
        <w:tc>
          <w:tcPr>
            <w:tcW w:w="10291" w:type="dxa"/>
            <w:gridSpan w:val="2"/>
          </w:tcPr>
          <w:p w:rsidR="00BA40C0" w:rsidRPr="00A76F07" w:rsidRDefault="00BA40C0" w:rsidP="00AE3EB1">
            <w:pPr>
              <w:pStyle w:val="naiskr"/>
              <w:spacing w:before="0" w:after="0"/>
            </w:pPr>
            <w:r w:rsidRPr="00A76F07">
              <w:t xml:space="preserve">                                          L. Rudzīte</w:t>
            </w:r>
          </w:p>
        </w:tc>
      </w:tr>
      <w:tr w:rsidR="00BA40C0" w:rsidRPr="00A76F07" w:rsidTr="00BA40C0">
        <w:tc>
          <w:tcPr>
            <w:tcW w:w="3108" w:type="dxa"/>
          </w:tcPr>
          <w:p w:rsidR="00BA40C0" w:rsidRPr="00A76F07" w:rsidRDefault="00BA40C0" w:rsidP="00255A0A">
            <w:pPr>
              <w:pStyle w:val="naiskr"/>
              <w:spacing w:before="0" w:after="0"/>
              <w:ind w:firstLine="720"/>
            </w:pPr>
          </w:p>
        </w:tc>
        <w:tc>
          <w:tcPr>
            <w:tcW w:w="10291" w:type="dxa"/>
            <w:gridSpan w:val="2"/>
            <w:tcBorders>
              <w:top w:val="single" w:sz="6" w:space="0" w:color="000000"/>
            </w:tcBorders>
          </w:tcPr>
          <w:p w:rsidR="00BA40C0" w:rsidRPr="00A76F07" w:rsidRDefault="00BA40C0" w:rsidP="00255A0A">
            <w:pPr>
              <w:pStyle w:val="naisc"/>
              <w:spacing w:before="0" w:after="0"/>
              <w:ind w:firstLine="720"/>
            </w:pPr>
          </w:p>
        </w:tc>
      </w:tr>
      <w:tr w:rsidR="00BA40C0" w:rsidRPr="00A76F07" w:rsidTr="00BA40C0">
        <w:tc>
          <w:tcPr>
            <w:tcW w:w="3108" w:type="dxa"/>
          </w:tcPr>
          <w:p w:rsidR="00BA40C0" w:rsidRPr="00A76F07" w:rsidRDefault="00BA40C0" w:rsidP="00255A0A">
            <w:pPr>
              <w:pStyle w:val="naiskr"/>
              <w:spacing w:before="0" w:after="0"/>
            </w:pPr>
          </w:p>
        </w:tc>
        <w:tc>
          <w:tcPr>
            <w:tcW w:w="10291" w:type="dxa"/>
            <w:gridSpan w:val="2"/>
            <w:tcBorders>
              <w:top w:val="single" w:sz="6" w:space="0" w:color="000000"/>
            </w:tcBorders>
          </w:tcPr>
          <w:p w:rsidR="00BA40C0" w:rsidRPr="00A76F07" w:rsidRDefault="00BA40C0" w:rsidP="00255A0A">
            <w:pPr>
              <w:pStyle w:val="naisc"/>
              <w:spacing w:before="0" w:after="0"/>
              <w:jc w:val="left"/>
            </w:pPr>
          </w:p>
        </w:tc>
      </w:tr>
      <w:tr w:rsidR="00BA40C0" w:rsidRPr="00533A38" w:rsidTr="00255A0A">
        <w:trPr>
          <w:gridAfter w:val="1"/>
          <w:wAfter w:w="5131" w:type="dxa"/>
          <w:trHeight w:val="1130"/>
        </w:trPr>
        <w:tc>
          <w:tcPr>
            <w:tcW w:w="8268" w:type="dxa"/>
            <w:gridSpan w:val="2"/>
          </w:tcPr>
          <w:p w:rsidR="00A60832" w:rsidRDefault="00A60832" w:rsidP="00255A0A">
            <w:pPr>
              <w:rPr>
                <w:sz w:val="20"/>
                <w:szCs w:val="20"/>
              </w:rPr>
            </w:pPr>
          </w:p>
          <w:p w:rsidR="00A60832" w:rsidRDefault="00A60832" w:rsidP="00255A0A">
            <w:pPr>
              <w:rPr>
                <w:sz w:val="20"/>
                <w:szCs w:val="20"/>
              </w:rPr>
            </w:pPr>
          </w:p>
          <w:p w:rsidR="00A60832" w:rsidRDefault="00A60832" w:rsidP="00255A0A">
            <w:pPr>
              <w:rPr>
                <w:sz w:val="20"/>
                <w:szCs w:val="20"/>
              </w:rPr>
            </w:pPr>
          </w:p>
          <w:p w:rsidR="00A60832" w:rsidRDefault="00A60832" w:rsidP="00255A0A">
            <w:pPr>
              <w:rPr>
                <w:sz w:val="20"/>
                <w:szCs w:val="20"/>
              </w:rPr>
            </w:pPr>
          </w:p>
          <w:p w:rsidR="00C130EF" w:rsidRDefault="00C130EF" w:rsidP="00255A0A">
            <w:pPr>
              <w:rPr>
                <w:sz w:val="20"/>
                <w:szCs w:val="20"/>
              </w:rPr>
            </w:pPr>
          </w:p>
          <w:p w:rsidR="00C130EF" w:rsidRDefault="00C130EF" w:rsidP="00255A0A">
            <w:pPr>
              <w:rPr>
                <w:sz w:val="20"/>
                <w:szCs w:val="20"/>
              </w:rPr>
            </w:pPr>
          </w:p>
          <w:p w:rsidR="00C130EF" w:rsidRDefault="00C130EF" w:rsidP="00255A0A">
            <w:pPr>
              <w:rPr>
                <w:sz w:val="20"/>
                <w:szCs w:val="20"/>
              </w:rPr>
            </w:pPr>
          </w:p>
          <w:p w:rsidR="00C130EF" w:rsidRDefault="00C130EF" w:rsidP="00255A0A">
            <w:pPr>
              <w:rPr>
                <w:sz w:val="20"/>
                <w:szCs w:val="20"/>
              </w:rPr>
            </w:pPr>
          </w:p>
          <w:p w:rsidR="00C130EF" w:rsidRDefault="00C130EF" w:rsidP="00255A0A">
            <w:pPr>
              <w:rPr>
                <w:sz w:val="20"/>
                <w:szCs w:val="20"/>
              </w:rPr>
            </w:pPr>
          </w:p>
          <w:p w:rsidR="00C130EF" w:rsidRDefault="00C130EF" w:rsidP="00255A0A">
            <w:pPr>
              <w:rPr>
                <w:sz w:val="20"/>
                <w:szCs w:val="20"/>
              </w:rPr>
            </w:pPr>
          </w:p>
          <w:p w:rsidR="00C130EF" w:rsidRDefault="00C130EF" w:rsidP="00255A0A">
            <w:pPr>
              <w:rPr>
                <w:sz w:val="20"/>
                <w:szCs w:val="20"/>
              </w:rPr>
            </w:pPr>
          </w:p>
          <w:p w:rsidR="00C130EF" w:rsidRDefault="00C130EF" w:rsidP="00255A0A">
            <w:pPr>
              <w:rPr>
                <w:sz w:val="20"/>
                <w:szCs w:val="20"/>
              </w:rPr>
            </w:pPr>
          </w:p>
          <w:p w:rsidR="00BA40C0" w:rsidRPr="00AE3EB1" w:rsidRDefault="00BA40C0" w:rsidP="00255A0A">
            <w:pPr>
              <w:rPr>
                <w:sz w:val="20"/>
                <w:szCs w:val="20"/>
              </w:rPr>
            </w:pPr>
            <w:r w:rsidRPr="00AE3EB1">
              <w:rPr>
                <w:sz w:val="20"/>
                <w:szCs w:val="20"/>
              </w:rPr>
              <w:t>Līva Rudzīte</w:t>
            </w:r>
          </w:p>
          <w:p w:rsidR="00BA40C0" w:rsidRPr="00AE3EB1" w:rsidRDefault="00BA40C0" w:rsidP="00255A0A">
            <w:pPr>
              <w:rPr>
                <w:sz w:val="20"/>
                <w:szCs w:val="20"/>
              </w:rPr>
            </w:pPr>
            <w:proofErr w:type="spellStart"/>
            <w:r w:rsidRPr="00AE3EB1">
              <w:rPr>
                <w:sz w:val="20"/>
                <w:szCs w:val="20"/>
              </w:rPr>
              <w:t>Iekšlietu</w:t>
            </w:r>
            <w:proofErr w:type="spellEnd"/>
            <w:r w:rsidRPr="00AE3EB1">
              <w:rPr>
                <w:sz w:val="20"/>
                <w:szCs w:val="20"/>
              </w:rPr>
              <w:t xml:space="preserve"> ministrijas Juridiskā departamenta </w:t>
            </w:r>
          </w:p>
          <w:p w:rsidR="00BA40C0" w:rsidRPr="00AE3EB1" w:rsidRDefault="00BA40C0" w:rsidP="00255A0A">
            <w:pPr>
              <w:rPr>
                <w:sz w:val="20"/>
                <w:szCs w:val="20"/>
              </w:rPr>
            </w:pPr>
            <w:r w:rsidRPr="00AE3EB1">
              <w:rPr>
                <w:sz w:val="20"/>
                <w:szCs w:val="20"/>
              </w:rPr>
              <w:t>Starptautisko tiesību nodaļas juriskonsulte</w:t>
            </w:r>
          </w:p>
          <w:p w:rsidR="00BA40C0" w:rsidRPr="00AE3EB1" w:rsidRDefault="00BA40C0" w:rsidP="00255A0A">
            <w:pPr>
              <w:rPr>
                <w:sz w:val="20"/>
                <w:szCs w:val="20"/>
              </w:rPr>
            </w:pPr>
            <w:r w:rsidRPr="00AE3EB1">
              <w:rPr>
                <w:sz w:val="20"/>
                <w:szCs w:val="20"/>
              </w:rPr>
              <w:t xml:space="preserve">67219003; </w:t>
            </w:r>
            <w:smartTag w:uri="schemas-tilde-lv/tildestengine" w:element="veidnes">
              <w:smartTagPr>
                <w:attr w:name="id" w:val="-1"/>
                <w:attr w:name="baseform" w:val="fakss"/>
                <w:attr w:name="text" w:val="fakss"/>
              </w:smartTagPr>
              <w:r w:rsidRPr="00AE3EB1">
                <w:rPr>
                  <w:sz w:val="20"/>
                  <w:szCs w:val="20"/>
                </w:rPr>
                <w:t>fakss</w:t>
              </w:r>
            </w:smartTag>
            <w:r w:rsidRPr="00AE3EB1">
              <w:rPr>
                <w:sz w:val="20"/>
                <w:szCs w:val="20"/>
              </w:rPr>
              <w:t>: 67219135</w:t>
            </w:r>
          </w:p>
          <w:p w:rsidR="00BA40C0" w:rsidRPr="00AE3EB1" w:rsidRDefault="00497CF1" w:rsidP="00060C60">
            <w:pPr>
              <w:rPr>
                <w:sz w:val="20"/>
                <w:szCs w:val="20"/>
                <w:u w:val="single"/>
              </w:rPr>
            </w:pPr>
            <w:hyperlink r:id="rId9" w:history="1">
              <w:r w:rsidR="00BA40C0" w:rsidRPr="00AE3EB1">
                <w:rPr>
                  <w:rStyle w:val="Hyperlink"/>
                  <w:color w:val="auto"/>
                  <w:sz w:val="20"/>
                  <w:szCs w:val="20"/>
                </w:rPr>
                <w:t>liva.rudzite@iem.gov.lv</w:t>
              </w:r>
            </w:hyperlink>
          </w:p>
        </w:tc>
      </w:tr>
    </w:tbl>
    <w:p w:rsidR="00837AC0" w:rsidRPr="00074F45" w:rsidRDefault="00837AC0" w:rsidP="00EE0ED0"/>
    <w:sectPr w:rsidR="00837AC0" w:rsidRPr="00074F45" w:rsidSect="00777693">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F1" w:rsidRDefault="00497CF1">
      <w:r>
        <w:separator/>
      </w:r>
    </w:p>
  </w:endnote>
  <w:endnote w:type="continuationSeparator" w:id="0">
    <w:p w:rsidR="00497CF1" w:rsidRDefault="0049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22" w:rsidRPr="00BA40C0" w:rsidRDefault="00C130EF" w:rsidP="00BA40C0">
    <w:pPr>
      <w:pStyle w:val="Footer"/>
    </w:pPr>
    <w:r>
      <w:rPr>
        <w:sz w:val="20"/>
        <w:szCs w:val="20"/>
      </w:rPr>
      <w:t>IEMIzz_0712</w:t>
    </w:r>
    <w:r w:rsidR="00AA58A2">
      <w:rPr>
        <w:sz w:val="20"/>
        <w:szCs w:val="20"/>
      </w:rPr>
      <w:t>20;</w:t>
    </w:r>
    <w:r w:rsidR="00BA40C0">
      <w:rPr>
        <w:sz w:val="20"/>
        <w:szCs w:val="20"/>
      </w:rPr>
      <w:t xml:space="preserve"> Izziņa par atzinumos izteiktajiem iebildumiem par</w:t>
    </w:r>
    <w:r w:rsidR="00AA58A2">
      <w:rPr>
        <w:sz w:val="20"/>
        <w:szCs w:val="20"/>
      </w:rPr>
      <w:t xml:space="preserve"> likumprojektu “Grozījumi Imigrācijas likumā”</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63E" w:rsidRPr="00AA58A2" w:rsidRDefault="007D398E" w:rsidP="00AA58A2">
    <w:pPr>
      <w:pStyle w:val="Footer"/>
    </w:pPr>
    <w:r>
      <w:rPr>
        <w:sz w:val="20"/>
        <w:szCs w:val="20"/>
      </w:rPr>
      <w:t>IEMIzz_0112</w:t>
    </w:r>
    <w:r w:rsidR="00AA58A2">
      <w:rPr>
        <w:sz w:val="20"/>
        <w:szCs w:val="20"/>
      </w:rPr>
      <w:t>20; Izziņa par atzinumos izteiktajiem iebildumiem par likumprojektu “Grozījumi Imigrācijas likumā”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F1" w:rsidRDefault="00497CF1">
      <w:r>
        <w:separator/>
      </w:r>
    </w:p>
  </w:footnote>
  <w:footnote w:type="continuationSeparator" w:id="0">
    <w:p w:rsidR="00497CF1" w:rsidRDefault="00497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12" w:rsidRDefault="002D3C1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C12" w:rsidRDefault="002D3C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12" w:rsidRDefault="002D3C1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369">
      <w:rPr>
        <w:rStyle w:val="PageNumber"/>
        <w:noProof/>
      </w:rPr>
      <w:t>3</w:t>
    </w:r>
    <w:r>
      <w:rPr>
        <w:rStyle w:val="PageNumber"/>
      </w:rPr>
      <w:fldChar w:fldCharType="end"/>
    </w:r>
  </w:p>
  <w:p w:rsidR="002D3C12" w:rsidRDefault="002D3C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15518"/>
    <w:multiLevelType w:val="hybridMultilevel"/>
    <w:tmpl w:val="8F925BD0"/>
    <w:lvl w:ilvl="0" w:tplc="B5D668DE">
      <w:start w:val="1"/>
      <w:numFmt w:val="bullet"/>
      <w:lvlText w:val=""/>
      <w:lvlJc w:val="left"/>
      <w:pPr>
        <w:tabs>
          <w:tab w:val="num" w:pos="720"/>
        </w:tabs>
        <w:ind w:left="720" w:hanging="360"/>
      </w:pPr>
      <w:rPr>
        <w:rFonts w:ascii="Wingdings" w:hAnsi="Wingdings" w:hint="default"/>
      </w:rPr>
    </w:lvl>
    <w:lvl w:ilvl="1" w:tplc="851E7246">
      <w:start w:val="1"/>
      <w:numFmt w:val="bullet"/>
      <w:lvlText w:val=""/>
      <w:lvlJc w:val="left"/>
      <w:pPr>
        <w:tabs>
          <w:tab w:val="num" w:pos="1440"/>
        </w:tabs>
        <w:ind w:left="1440" w:hanging="360"/>
      </w:pPr>
      <w:rPr>
        <w:rFonts w:ascii="Wingdings" w:hAnsi="Wingdings" w:hint="default"/>
      </w:rPr>
    </w:lvl>
    <w:lvl w:ilvl="2" w:tplc="6818C61A">
      <w:start w:val="1"/>
      <w:numFmt w:val="bullet"/>
      <w:lvlText w:val=""/>
      <w:lvlJc w:val="left"/>
      <w:pPr>
        <w:tabs>
          <w:tab w:val="num" w:pos="2160"/>
        </w:tabs>
        <w:ind w:left="2160" w:hanging="360"/>
      </w:pPr>
      <w:rPr>
        <w:rFonts w:ascii="Wingdings" w:hAnsi="Wingdings" w:hint="default"/>
      </w:rPr>
    </w:lvl>
    <w:lvl w:ilvl="3" w:tplc="7E867144">
      <w:start w:val="1"/>
      <w:numFmt w:val="bullet"/>
      <w:lvlText w:val=""/>
      <w:lvlJc w:val="left"/>
      <w:pPr>
        <w:tabs>
          <w:tab w:val="num" w:pos="2880"/>
        </w:tabs>
        <w:ind w:left="2880" w:hanging="360"/>
      </w:pPr>
      <w:rPr>
        <w:rFonts w:ascii="Wingdings" w:hAnsi="Wingdings" w:hint="default"/>
      </w:rPr>
    </w:lvl>
    <w:lvl w:ilvl="4" w:tplc="AC8863A4">
      <w:start w:val="1"/>
      <w:numFmt w:val="bullet"/>
      <w:lvlText w:val=""/>
      <w:lvlJc w:val="left"/>
      <w:pPr>
        <w:tabs>
          <w:tab w:val="num" w:pos="3600"/>
        </w:tabs>
        <w:ind w:left="3600" w:hanging="360"/>
      </w:pPr>
      <w:rPr>
        <w:rFonts w:ascii="Wingdings" w:hAnsi="Wingdings" w:hint="default"/>
      </w:rPr>
    </w:lvl>
    <w:lvl w:ilvl="5" w:tplc="F8EC109C">
      <w:start w:val="1"/>
      <w:numFmt w:val="bullet"/>
      <w:lvlText w:val=""/>
      <w:lvlJc w:val="left"/>
      <w:pPr>
        <w:tabs>
          <w:tab w:val="num" w:pos="4320"/>
        </w:tabs>
        <w:ind w:left="4320" w:hanging="360"/>
      </w:pPr>
      <w:rPr>
        <w:rFonts w:ascii="Wingdings" w:hAnsi="Wingdings" w:hint="default"/>
      </w:rPr>
    </w:lvl>
    <w:lvl w:ilvl="6" w:tplc="B5D42CFA">
      <w:start w:val="1"/>
      <w:numFmt w:val="bullet"/>
      <w:lvlText w:val=""/>
      <w:lvlJc w:val="left"/>
      <w:pPr>
        <w:tabs>
          <w:tab w:val="num" w:pos="5040"/>
        </w:tabs>
        <w:ind w:left="5040" w:hanging="360"/>
      </w:pPr>
      <w:rPr>
        <w:rFonts w:ascii="Wingdings" w:hAnsi="Wingdings" w:hint="default"/>
      </w:rPr>
    </w:lvl>
    <w:lvl w:ilvl="7" w:tplc="CD8ACB60">
      <w:start w:val="1"/>
      <w:numFmt w:val="bullet"/>
      <w:lvlText w:val=""/>
      <w:lvlJc w:val="left"/>
      <w:pPr>
        <w:tabs>
          <w:tab w:val="num" w:pos="5760"/>
        </w:tabs>
        <w:ind w:left="5760" w:hanging="360"/>
      </w:pPr>
      <w:rPr>
        <w:rFonts w:ascii="Wingdings" w:hAnsi="Wingdings" w:hint="default"/>
      </w:rPr>
    </w:lvl>
    <w:lvl w:ilvl="8" w:tplc="9CA4CAE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34011D"/>
    <w:multiLevelType w:val="hybridMultilevel"/>
    <w:tmpl w:val="A5DC55DE"/>
    <w:lvl w:ilvl="0" w:tplc="97BA5F9E">
      <w:start w:val="1"/>
      <w:numFmt w:val="bullet"/>
      <w:lvlText w:val=""/>
      <w:lvlJc w:val="left"/>
      <w:pPr>
        <w:tabs>
          <w:tab w:val="num" w:pos="720"/>
        </w:tabs>
        <w:ind w:left="720" w:hanging="360"/>
      </w:pPr>
      <w:rPr>
        <w:rFonts w:ascii="Wingdings" w:hAnsi="Wingdings" w:hint="default"/>
      </w:rPr>
    </w:lvl>
    <w:lvl w:ilvl="1" w:tplc="C862F188">
      <w:start w:val="1"/>
      <w:numFmt w:val="bullet"/>
      <w:lvlText w:val=""/>
      <w:lvlJc w:val="left"/>
      <w:pPr>
        <w:tabs>
          <w:tab w:val="num" w:pos="1440"/>
        </w:tabs>
        <w:ind w:left="1440" w:hanging="360"/>
      </w:pPr>
      <w:rPr>
        <w:rFonts w:ascii="Wingdings" w:hAnsi="Wingdings" w:hint="default"/>
      </w:rPr>
    </w:lvl>
    <w:lvl w:ilvl="2" w:tplc="AA82D960">
      <w:start w:val="1"/>
      <w:numFmt w:val="bullet"/>
      <w:lvlText w:val=""/>
      <w:lvlJc w:val="left"/>
      <w:pPr>
        <w:tabs>
          <w:tab w:val="num" w:pos="2160"/>
        </w:tabs>
        <w:ind w:left="2160" w:hanging="360"/>
      </w:pPr>
      <w:rPr>
        <w:rFonts w:ascii="Wingdings" w:hAnsi="Wingdings" w:hint="default"/>
      </w:rPr>
    </w:lvl>
    <w:lvl w:ilvl="3" w:tplc="C7D02A90">
      <w:start w:val="1"/>
      <w:numFmt w:val="bullet"/>
      <w:lvlText w:val=""/>
      <w:lvlJc w:val="left"/>
      <w:pPr>
        <w:tabs>
          <w:tab w:val="num" w:pos="2880"/>
        </w:tabs>
        <w:ind w:left="2880" w:hanging="360"/>
      </w:pPr>
      <w:rPr>
        <w:rFonts w:ascii="Wingdings" w:hAnsi="Wingdings" w:hint="default"/>
      </w:rPr>
    </w:lvl>
    <w:lvl w:ilvl="4" w:tplc="1AB271B0">
      <w:start w:val="1"/>
      <w:numFmt w:val="bullet"/>
      <w:lvlText w:val=""/>
      <w:lvlJc w:val="left"/>
      <w:pPr>
        <w:tabs>
          <w:tab w:val="num" w:pos="3600"/>
        </w:tabs>
        <w:ind w:left="3600" w:hanging="360"/>
      </w:pPr>
      <w:rPr>
        <w:rFonts w:ascii="Wingdings" w:hAnsi="Wingdings" w:hint="default"/>
      </w:rPr>
    </w:lvl>
    <w:lvl w:ilvl="5" w:tplc="ED464412">
      <w:start w:val="1"/>
      <w:numFmt w:val="bullet"/>
      <w:lvlText w:val=""/>
      <w:lvlJc w:val="left"/>
      <w:pPr>
        <w:tabs>
          <w:tab w:val="num" w:pos="4320"/>
        </w:tabs>
        <w:ind w:left="4320" w:hanging="360"/>
      </w:pPr>
      <w:rPr>
        <w:rFonts w:ascii="Wingdings" w:hAnsi="Wingdings" w:hint="default"/>
      </w:rPr>
    </w:lvl>
    <w:lvl w:ilvl="6" w:tplc="BAA61A3A">
      <w:start w:val="1"/>
      <w:numFmt w:val="bullet"/>
      <w:lvlText w:val=""/>
      <w:lvlJc w:val="left"/>
      <w:pPr>
        <w:tabs>
          <w:tab w:val="num" w:pos="5040"/>
        </w:tabs>
        <w:ind w:left="5040" w:hanging="360"/>
      </w:pPr>
      <w:rPr>
        <w:rFonts w:ascii="Wingdings" w:hAnsi="Wingdings" w:hint="default"/>
      </w:rPr>
    </w:lvl>
    <w:lvl w:ilvl="7" w:tplc="A638338A">
      <w:start w:val="1"/>
      <w:numFmt w:val="bullet"/>
      <w:lvlText w:val=""/>
      <w:lvlJc w:val="left"/>
      <w:pPr>
        <w:tabs>
          <w:tab w:val="num" w:pos="5760"/>
        </w:tabs>
        <w:ind w:left="5760" w:hanging="360"/>
      </w:pPr>
      <w:rPr>
        <w:rFonts w:ascii="Wingdings" w:hAnsi="Wingdings" w:hint="default"/>
      </w:rPr>
    </w:lvl>
    <w:lvl w:ilvl="8" w:tplc="8A8247B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F011E"/>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569259C3"/>
    <w:multiLevelType w:val="multilevel"/>
    <w:tmpl w:val="A7169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EE0BA6"/>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6F4B6629"/>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15:restartNumberingAfterBreak="0">
    <w:nsid w:val="6FB66273"/>
    <w:multiLevelType w:val="hybridMultilevel"/>
    <w:tmpl w:val="2E0255D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771"/>
    <w:rsid w:val="00001F89"/>
    <w:rsid w:val="0000208A"/>
    <w:rsid w:val="00002208"/>
    <w:rsid w:val="000028AD"/>
    <w:rsid w:val="00002D33"/>
    <w:rsid w:val="000035BF"/>
    <w:rsid w:val="00003C53"/>
    <w:rsid w:val="00003CEB"/>
    <w:rsid w:val="0000456E"/>
    <w:rsid w:val="000055EA"/>
    <w:rsid w:val="00006268"/>
    <w:rsid w:val="00006317"/>
    <w:rsid w:val="00006BF1"/>
    <w:rsid w:val="00010051"/>
    <w:rsid w:val="00010BE8"/>
    <w:rsid w:val="0001118D"/>
    <w:rsid w:val="0001131F"/>
    <w:rsid w:val="00011663"/>
    <w:rsid w:val="0001249F"/>
    <w:rsid w:val="000125C0"/>
    <w:rsid w:val="0001270C"/>
    <w:rsid w:val="0001301C"/>
    <w:rsid w:val="000136AA"/>
    <w:rsid w:val="00013B4C"/>
    <w:rsid w:val="00013BF6"/>
    <w:rsid w:val="0001554C"/>
    <w:rsid w:val="00015B94"/>
    <w:rsid w:val="00015C28"/>
    <w:rsid w:val="00015C69"/>
    <w:rsid w:val="00015DE5"/>
    <w:rsid w:val="0001612E"/>
    <w:rsid w:val="000172E2"/>
    <w:rsid w:val="00017449"/>
    <w:rsid w:val="00017719"/>
    <w:rsid w:val="00017DAE"/>
    <w:rsid w:val="00020249"/>
    <w:rsid w:val="00022338"/>
    <w:rsid w:val="000227ED"/>
    <w:rsid w:val="00022874"/>
    <w:rsid w:val="0002296A"/>
    <w:rsid w:val="00022B0F"/>
    <w:rsid w:val="00022B9A"/>
    <w:rsid w:val="00022DA1"/>
    <w:rsid w:val="00022FC7"/>
    <w:rsid w:val="00023FD6"/>
    <w:rsid w:val="0002416A"/>
    <w:rsid w:val="00024BE2"/>
    <w:rsid w:val="00024CCD"/>
    <w:rsid w:val="00024D20"/>
    <w:rsid w:val="000253DB"/>
    <w:rsid w:val="0002600A"/>
    <w:rsid w:val="00026487"/>
    <w:rsid w:val="000278E7"/>
    <w:rsid w:val="00027A63"/>
    <w:rsid w:val="00027F9D"/>
    <w:rsid w:val="000307B5"/>
    <w:rsid w:val="00030C39"/>
    <w:rsid w:val="00032457"/>
    <w:rsid w:val="000325AD"/>
    <w:rsid w:val="00032E86"/>
    <w:rsid w:val="0003413A"/>
    <w:rsid w:val="000343BE"/>
    <w:rsid w:val="000349CA"/>
    <w:rsid w:val="0003557A"/>
    <w:rsid w:val="00035659"/>
    <w:rsid w:val="00035C06"/>
    <w:rsid w:val="000366DF"/>
    <w:rsid w:val="00036B61"/>
    <w:rsid w:val="000376CD"/>
    <w:rsid w:val="000403F0"/>
    <w:rsid w:val="00040735"/>
    <w:rsid w:val="00040A5C"/>
    <w:rsid w:val="000420E3"/>
    <w:rsid w:val="00042829"/>
    <w:rsid w:val="00042DBF"/>
    <w:rsid w:val="00042E72"/>
    <w:rsid w:val="00043005"/>
    <w:rsid w:val="0004345F"/>
    <w:rsid w:val="00044026"/>
    <w:rsid w:val="00044EC3"/>
    <w:rsid w:val="00045726"/>
    <w:rsid w:val="00045E5C"/>
    <w:rsid w:val="00046075"/>
    <w:rsid w:val="00046CAD"/>
    <w:rsid w:val="00046E5C"/>
    <w:rsid w:val="00046F5C"/>
    <w:rsid w:val="00047385"/>
    <w:rsid w:val="00047BB2"/>
    <w:rsid w:val="000502F7"/>
    <w:rsid w:val="00050554"/>
    <w:rsid w:val="000515CD"/>
    <w:rsid w:val="00051B65"/>
    <w:rsid w:val="00051B8E"/>
    <w:rsid w:val="000536CE"/>
    <w:rsid w:val="00053706"/>
    <w:rsid w:val="00053E04"/>
    <w:rsid w:val="00054C89"/>
    <w:rsid w:val="00056F3E"/>
    <w:rsid w:val="000579B7"/>
    <w:rsid w:val="000579E6"/>
    <w:rsid w:val="00060B9D"/>
    <w:rsid w:val="00060C60"/>
    <w:rsid w:val="00060E03"/>
    <w:rsid w:val="00061B33"/>
    <w:rsid w:val="000641CE"/>
    <w:rsid w:val="000643FA"/>
    <w:rsid w:val="00064ADA"/>
    <w:rsid w:val="00065271"/>
    <w:rsid w:val="00066176"/>
    <w:rsid w:val="0006618D"/>
    <w:rsid w:val="00066885"/>
    <w:rsid w:val="0006694E"/>
    <w:rsid w:val="00066A37"/>
    <w:rsid w:val="00066F05"/>
    <w:rsid w:val="0006772B"/>
    <w:rsid w:val="0007171F"/>
    <w:rsid w:val="00072044"/>
    <w:rsid w:val="0007206C"/>
    <w:rsid w:val="00072628"/>
    <w:rsid w:val="000728ED"/>
    <w:rsid w:val="00072ADB"/>
    <w:rsid w:val="000733F5"/>
    <w:rsid w:val="000733FF"/>
    <w:rsid w:val="00074035"/>
    <w:rsid w:val="000744CE"/>
    <w:rsid w:val="00074910"/>
    <w:rsid w:val="00074F45"/>
    <w:rsid w:val="0007577A"/>
    <w:rsid w:val="000761B7"/>
    <w:rsid w:val="00076382"/>
    <w:rsid w:val="00076D67"/>
    <w:rsid w:val="000775D0"/>
    <w:rsid w:val="00077C49"/>
    <w:rsid w:val="00081164"/>
    <w:rsid w:val="00081B0F"/>
    <w:rsid w:val="0008283D"/>
    <w:rsid w:val="00082A1F"/>
    <w:rsid w:val="00083090"/>
    <w:rsid w:val="00083214"/>
    <w:rsid w:val="0008327A"/>
    <w:rsid w:val="00083B8F"/>
    <w:rsid w:val="0008495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77D"/>
    <w:rsid w:val="00091F10"/>
    <w:rsid w:val="0009302B"/>
    <w:rsid w:val="00093268"/>
    <w:rsid w:val="0009352E"/>
    <w:rsid w:val="00093EC2"/>
    <w:rsid w:val="00095134"/>
    <w:rsid w:val="000958A2"/>
    <w:rsid w:val="00096334"/>
    <w:rsid w:val="00096381"/>
    <w:rsid w:val="000965E7"/>
    <w:rsid w:val="000976D5"/>
    <w:rsid w:val="000A0041"/>
    <w:rsid w:val="000A06FC"/>
    <w:rsid w:val="000A1A02"/>
    <w:rsid w:val="000A1B42"/>
    <w:rsid w:val="000A1BD0"/>
    <w:rsid w:val="000A3009"/>
    <w:rsid w:val="000A3C9F"/>
    <w:rsid w:val="000A4035"/>
    <w:rsid w:val="000A440C"/>
    <w:rsid w:val="000A45E6"/>
    <w:rsid w:val="000A483A"/>
    <w:rsid w:val="000A55D2"/>
    <w:rsid w:val="000A64D3"/>
    <w:rsid w:val="000A77B9"/>
    <w:rsid w:val="000A7EA7"/>
    <w:rsid w:val="000B0403"/>
    <w:rsid w:val="000B057B"/>
    <w:rsid w:val="000B06E7"/>
    <w:rsid w:val="000B0C94"/>
    <w:rsid w:val="000B1255"/>
    <w:rsid w:val="000B15E5"/>
    <w:rsid w:val="000B2382"/>
    <w:rsid w:val="000B3171"/>
    <w:rsid w:val="000B34A5"/>
    <w:rsid w:val="000B36A1"/>
    <w:rsid w:val="000B3EB4"/>
    <w:rsid w:val="000B4327"/>
    <w:rsid w:val="000B4746"/>
    <w:rsid w:val="000B653E"/>
    <w:rsid w:val="000B7966"/>
    <w:rsid w:val="000B7C0F"/>
    <w:rsid w:val="000B7CB1"/>
    <w:rsid w:val="000C07F8"/>
    <w:rsid w:val="000C0ABC"/>
    <w:rsid w:val="000C0AE6"/>
    <w:rsid w:val="000C0D0D"/>
    <w:rsid w:val="000C2555"/>
    <w:rsid w:val="000C2F9E"/>
    <w:rsid w:val="000C3545"/>
    <w:rsid w:val="000C498A"/>
    <w:rsid w:val="000C4C16"/>
    <w:rsid w:val="000C56FC"/>
    <w:rsid w:val="000C6764"/>
    <w:rsid w:val="000C7305"/>
    <w:rsid w:val="000C7907"/>
    <w:rsid w:val="000C7A11"/>
    <w:rsid w:val="000C7F5E"/>
    <w:rsid w:val="000D00AC"/>
    <w:rsid w:val="000D0845"/>
    <w:rsid w:val="000D0847"/>
    <w:rsid w:val="000D0AED"/>
    <w:rsid w:val="000D1F1A"/>
    <w:rsid w:val="000D3602"/>
    <w:rsid w:val="000D4C63"/>
    <w:rsid w:val="000D4D89"/>
    <w:rsid w:val="000D56E9"/>
    <w:rsid w:val="000D6339"/>
    <w:rsid w:val="000D6BBD"/>
    <w:rsid w:val="000D6C0B"/>
    <w:rsid w:val="000D7751"/>
    <w:rsid w:val="000D7C23"/>
    <w:rsid w:val="000D7D73"/>
    <w:rsid w:val="000E09E9"/>
    <w:rsid w:val="000E0A16"/>
    <w:rsid w:val="000E0D08"/>
    <w:rsid w:val="000E1627"/>
    <w:rsid w:val="000E1BFA"/>
    <w:rsid w:val="000E2142"/>
    <w:rsid w:val="000E21D0"/>
    <w:rsid w:val="000E2539"/>
    <w:rsid w:val="000E2A38"/>
    <w:rsid w:val="000E2ACC"/>
    <w:rsid w:val="000E5465"/>
    <w:rsid w:val="000E5509"/>
    <w:rsid w:val="000E585F"/>
    <w:rsid w:val="000E59F7"/>
    <w:rsid w:val="000E5E4C"/>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3B07"/>
    <w:rsid w:val="000F4124"/>
    <w:rsid w:val="000F4AEB"/>
    <w:rsid w:val="000F4B40"/>
    <w:rsid w:val="000F4C3B"/>
    <w:rsid w:val="000F4E7B"/>
    <w:rsid w:val="000F57C3"/>
    <w:rsid w:val="000F5C37"/>
    <w:rsid w:val="000F5DF0"/>
    <w:rsid w:val="000F6A0B"/>
    <w:rsid w:val="000F7695"/>
    <w:rsid w:val="00100C9B"/>
    <w:rsid w:val="001012E3"/>
    <w:rsid w:val="00101EEB"/>
    <w:rsid w:val="001022DF"/>
    <w:rsid w:val="0010340D"/>
    <w:rsid w:val="0010375A"/>
    <w:rsid w:val="001038ED"/>
    <w:rsid w:val="00103FB2"/>
    <w:rsid w:val="001042B0"/>
    <w:rsid w:val="00106F4F"/>
    <w:rsid w:val="001071D3"/>
    <w:rsid w:val="00107510"/>
    <w:rsid w:val="001075A8"/>
    <w:rsid w:val="00110029"/>
    <w:rsid w:val="00110259"/>
    <w:rsid w:val="0011083E"/>
    <w:rsid w:val="00110AA9"/>
    <w:rsid w:val="0011254D"/>
    <w:rsid w:val="00112694"/>
    <w:rsid w:val="0011302B"/>
    <w:rsid w:val="001139C2"/>
    <w:rsid w:val="00114324"/>
    <w:rsid w:val="00114559"/>
    <w:rsid w:val="00114EA9"/>
    <w:rsid w:val="00115442"/>
    <w:rsid w:val="00115ED0"/>
    <w:rsid w:val="00116345"/>
    <w:rsid w:val="00116816"/>
    <w:rsid w:val="0011683C"/>
    <w:rsid w:val="0011744E"/>
    <w:rsid w:val="00117648"/>
    <w:rsid w:val="0011781E"/>
    <w:rsid w:val="001179E8"/>
    <w:rsid w:val="00117F9A"/>
    <w:rsid w:val="00117FCC"/>
    <w:rsid w:val="0012021B"/>
    <w:rsid w:val="00120924"/>
    <w:rsid w:val="0012142E"/>
    <w:rsid w:val="0012222D"/>
    <w:rsid w:val="001255E6"/>
    <w:rsid w:val="001259E6"/>
    <w:rsid w:val="00125B7C"/>
    <w:rsid w:val="00125CBD"/>
    <w:rsid w:val="00125DAF"/>
    <w:rsid w:val="00126992"/>
    <w:rsid w:val="0012769A"/>
    <w:rsid w:val="00130508"/>
    <w:rsid w:val="0013053A"/>
    <w:rsid w:val="0013066A"/>
    <w:rsid w:val="001315EF"/>
    <w:rsid w:val="00131775"/>
    <w:rsid w:val="00131820"/>
    <w:rsid w:val="00131F39"/>
    <w:rsid w:val="0013221B"/>
    <w:rsid w:val="00132375"/>
    <w:rsid w:val="00132B1B"/>
    <w:rsid w:val="00132B5F"/>
    <w:rsid w:val="00132E73"/>
    <w:rsid w:val="00132F10"/>
    <w:rsid w:val="00133505"/>
    <w:rsid w:val="00134188"/>
    <w:rsid w:val="00134267"/>
    <w:rsid w:val="00135981"/>
    <w:rsid w:val="00136A29"/>
    <w:rsid w:val="00136DC9"/>
    <w:rsid w:val="00137403"/>
    <w:rsid w:val="00140706"/>
    <w:rsid w:val="00140AB5"/>
    <w:rsid w:val="0014122A"/>
    <w:rsid w:val="00141E85"/>
    <w:rsid w:val="00142170"/>
    <w:rsid w:val="0014319C"/>
    <w:rsid w:val="001436B3"/>
    <w:rsid w:val="00143976"/>
    <w:rsid w:val="00143DAC"/>
    <w:rsid w:val="00144622"/>
    <w:rsid w:val="0014468A"/>
    <w:rsid w:val="00144781"/>
    <w:rsid w:val="00144917"/>
    <w:rsid w:val="00144A67"/>
    <w:rsid w:val="00146114"/>
    <w:rsid w:val="001461A6"/>
    <w:rsid w:val="00147015"/>
    <w:rsid w:val="0014702D"/>
    <w:rsid w:val="00147596"/>
    <w:rsid w:val="00151010"/>
    <w:rsid w:val="001513BF"/>
    <w:rsid w:val="00151760"/>
    <w:rsid w:val="00152718"/>
    <w:rsid w:val="001530CF"/>
    <w:rsid w:val="0015370C"/>
    <w:rsid w:val="00153980"/>
    <w:rsid w:val="00153F12"/>
    <w:rsid w:val="001543DB"/>
    <w:rsid w:val="00155473"/>
    <w:rsid w:val="0015588A"/>
    <w:rsid w:val="00155DC2"/>
    <w:rsid w:val="00156A74"/>
    <w:rsid w:val="00156D90"/>
    <w:rsid w:val="00156E9F"/>
    <w:rsid w:val="00157A57"/>
    <w:rsid w:val="00157A95"/>
    <w:rsid w:val="00157DB6"/>
    <w:rsid w:val="00157EC2"/>
    <w:rsid w:val="001610E0"/>
    <w:rsid w:val="00161230"/>
    <w:rsid w:val="00161583"/>
    <w:rsid w:val="00162A68"/>
    <w:rsid w:val="00162E08"/>
    <w:rsid w:val="001633F1"/>
    <w:rsid w:val="001640C1"/>
    <w:rsid w:val="0016531E"/>
    <w:rsid w:val="0016565C"/>
    <w:rsid w:val="00165BAE"/>
    <w:rsid w:val="00166314"/>
    <w:rsid w:val="00166746"/>
    <w:rsid w:val="0016718C"/>
    <w:rsid w:val="00167590"/>
    <w:rsid w:val="00167918"/>
    <w:rsid w:val="00167C1E"/>
    <w:rsid w:val="00167CD3"/>
    <w:rsid w:val="0017043B"/>
    <w:rsid w:val="001706A1"/>
    <w:rsid w:val="00170914"/>
    <w:rsid w:val="00170DF2"/>
    <w:rsid w:val="00172245"/>
    <w:rsid w:val="00172BE4"/>
    <w:rsid w:val="00173086"/>
    <w:rsid w:val="0017324C"/>
    <w:rsid w:val="00173755"/>
    <w:rsid w:val="00173906"/>
    <w:rsid w:val="00173C93"/>
    <w:rsid w:val="0017448E"/>
    <w:rsid w:val="001745AA"/>
    <w:rsid w:val="00174841"/>
    <w:rsid w:val="00174D46"/>
    <w:rsid w:val="001753B5"/>
    <w:rsid w:val="001761FD"/>
    <w:rsid w:val="00176B35"/>
    <w:rsid w:val="0017765A"/>
    <w:rsid w:val="00177D61"/>
    <w:rsid w:val="00180125"/>
    <w:rsid w:val="001808CA"/>
    <w:rsid w:val="00180923"/>
    <w:rsid w:val="00180A3D"/>
    <w:rsid w:val="00180CE5"/>
    <w:rsid w:val="00181182"/>
    <w:rsid w:val="00181BAA"/>
    <w:rsid w:val="00181D2D"/>
    <w:rsid w:val="0018210A"/>
    <w:rsid w:val="0018219F"/>
    <w:rsid w:val="00182224"/>
    <w:rsid w:val="00182692"/>
    <w:rsid w:val="00182DE0"/>
    <w:rsid w:val="00182F03"/>
    <w:rsid w:val="0018386C"/>
    <w:rsid w:val="00183D51"/>
    <w:rsid w:val="00184479"/>
    <w:rsid w:val="0018472C"/>
    <w:rsid w:val="00184838"/>
    <w:rsid w:val="00184C09"/>
    <w:rsid w:val="00185755"/>
    <w:rsid w:val="00185B26"/>
    <w:rsid w:val="00187398"/>
    <w:rsid w:val="00187F73"/>
    <w:rsid w:val="00187FB0"/>
    <w:rsid w:val="001902E9"/>
    <w:rsid w:val="00190327"/>
    <w:rsid w:val="00190914"/>
    <w:rsid w:val="00190A0A"/>
    <w:rsid w:val="001910E3"/>
    <w:rsid w:val="001926D8"/>
    <w:rsid w:val="001926F2"/>
    <w:rsid w:val="00193829"/>
    <w:rsid w:val="00193BCE"/>
    <w:rsid w:val="00194B87"/>
    <w:rsid w:val="001951E6"/>
    <w:rsid w:val="001953D4"/>
    <w:rsid w:val="0019569A"/>
    <w:rsid w:val="0019584D"/>
    <w:rsid w:val="00195962"/>
    <w:rsid w:val="00196AAE"/>
    <w:rsid w:val="001972D7"/>
    <w:rsid w:val="00197533"/>
    <w:rsid w:val="001977E7"/>
    <w:rsid w:val="00197CCA"/>
    <w:rsid w:val="001A0D8A"/>
    <w:rsid w:val="001A17B0"/>
    <w:rsid w:val="001A192D"/>
    <w:rsid w:val="001A38FB"/>
    <w:rsid w:val="001A3FB1"/>
    <w:rsid w:val="001A40EA"/>
    <w:rsid w:val="001A7C72"/>
    <w:rsid w:val="001B084B"/>
    <w:rsid w:val="001B08D3"/>
    <w:rsid w:val="001B0CEC"/>
    <w:rsid w:val="001B0FFC"/>
    <w:rsid w:val="001B11CF"/>
    <w:rsid w:val="001B1CF2"/>
    <w:rsid w:val="001B1FD3"/>
    <w:rsid w:val="001B3788"/>
    <w:rsid w:val="001B3E06"/>
    <w:rsid w:val="001B4388"/>
    <w:rsid w:val="001B463E"/>
    <w:rsid w:val="001B4871"/>
    <w:rsid w:val="001B49E0"/>
    <w:rsid w:val="001B4A48"/>
    <w:rsid w:val="001B5377"/>
    <w:rsid w:val="001B6553"/>
    <w:rsid w:val="001B6647"/>
    <w:rsid w:val="001B6652"/>
    <w:rsid w:val="001B6A47"/>
    <w:rsid w:val="001B6B0A"/>
    <w:rsid w:val="001B6C3C"/>
    <w:rsid w:val="001B6CB2"/>
    <w:rsid w:val="001B7834"/>
    <w:rsid w:val="001C0824"/>
    <w:rsid w:val="001C0B83"/>
    <w:rsid w:val="001C1510"/>
    <w:rsid w:val="001C1989"/>
    <w:rsid w:val="001C20EB"/>
    <w:rsid w:val="001C28FD"/>
    <w:rsid w:val="001C2A91"/>
    <w:rsid w:val="001C2C3A"/>
    <w:rsid w:val="001C31DC"/>
    <w:rsid w:val="001C3349"/>
    <w:rsid w:val="001C336E"/>
    <w:rsid w:val="001C33B3"/>
    <w:rsid w:val="001C373E"/>
    <w:rsid w:val="001C3AE5"/>
    <w:rsid w:val="001C4ABA"/>
    <w:rsid w:val="001C546B"/>
    <w:rsid w:val="001C5EA2"/>
    <w:rsid w:val="001C6608"/>
    <w:rsid w:val="001C6AEB"/>
    <w:rsid w:val="001C6C7D"/>
    <w:rsid w:val="001C730B"/>
    <w:rsid w:val="001D102D"/>
    <w:rsid w:val="001D1CB1"/>
    <w:rsid w:val="001D2AC0"/>
    <w:rsid w:val="001D2DBA"/>
    <w:rsid w:val="001D2FD0"/>
    <w:rsid w:val="001D3830"/>
    <w:rsid w:val="001D3BA6"/>
    <w:rsid w:val="001D5564"/>
    <w:rsid w:val="001D6FAA"/>
    <w:rsid w:val="001D70FA"/>
    <w:rsid w:val="001D7447"/>
    <w:rsid w:val="001D7604"/>
    <w:rsid w:val="001D7BA9"/>
    <w:rsid w:val="001E0139"/>
    <w:rsid w:val="001E039D"/>
    <w:rsid w:val="001E0501"/>
    <w:rsid w:val="001E10D7"/>
    <w:rsid w:val="001E22E7"/>
    <w:rsid w:val="001E23C1"/>
    <w:rsid w:val="001E2714"/>
    <w:rsid w:val="001E398C"/>
    <w:rsid w:val="001E43E2"/>
    <w:rsid w:val="001E4456"/>
    <w:rsid w:val="001E4DDC"/>
    <w:rsid w:val="001E60B1"/>
    <w:rsid w:val="001E6D2A"/>
    <w:rsid w:val="001E7692"/>
    <w:rsid w:val="001E774F"/>
    <w:rsid w:val="001E7B2D"/>
    <w:rsid w:val="001E7C1D"/>
    <w:rsid w:val="001E7D7B"/>
    <w:rsid w:val="001F073F"/>
    <w:rsid w:val="001F0C9F"/>
    <w:rsid w:val="001F0CD6"/>
    <w:rsid w:val="001F159B"/>
    <w:rsid w:val="001F3009"/>
    <w:rsid w:val="001F3358"/>
    <w:rsid w:val="001F35CB"/>
    <w:rsid w:val="001F390F"/>
    <w:rsid w:val="001F51D6"/>
    <w:rsid w:val="001F5CD1"/>
    <w:rsid w:val="001F7171"/>
    <w:rsid w:val="001F7257"/>
    <w:rsid w:val="001F7739"/>
    <w:rsid w:val="0020011B"/>
    <w:rsid w:val="00200558"/>
    <w:rsid w:val="00200959"/>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DD9"/>
    <w:rsid w:val="002056ED"/>
    <w:rsid w:val="002056FB"/>
    <w:rsid w:val="002059FE"/>
    <w:rsid w:val="00205C3A"/>
    <w:rsid w:val="00207642"/>
    <w:rsid w:val="00210CA0"/>
    <w:rsid w:val="00211793"/>
    <w:rsid w:val="00211C11"/>
    <w:rsid w:val="00212345"/>
    <w:rsid w:val="0021239F"/>
    <w:rsid w:val="00214809"/>
    <w:rsid w:val="002149A1"/>
    <w:rsid w:val="00214E2A"/>
    <w:rsid w:val="00214E7A"/>
    <w:rsid w:val="00215BFE"/>
    <w:rsid w:val="00215C44"/>
    <w:rsid w:val="0021668F"/>
    <w:rsid w:val="002168B7"/>
    <w:rsid w:val="00216E73"/>
    <w:rsid w:val="0021752B"/>
    <w:rsid w:val="0021774C"/>
    <w:rsid w:val="00217FF6"/>
    <w:rsid w:val="002208F4"/>
    <w:rsid w:val="00220A0E"/>
    <w:rsid w:val="002210F5"/>
    <w:rsid w:val="00222386"/>
    <w:rsid w:val="00222F51"/>
    <w:rsid w:val="002230E1"/>
    <w:rsid w:val="00223361"/>
    <w:rsid w:val="002244BA"/>
    <w:rsid w:val="002247AA"/>
    <w:rsid w:val="00224DA7"/>
    <w:rsid w:val="002261CB"/>
    <w:rsid w:val="002268BF"/>
    <w:rsid w:val="00227A7B"/>
    <w:rsid w:val="00227BDE"/>
    <w:rsid w:val="00230045"/>
    <w:rsid w:val="0023014E"/>
    <w:rsid w:val="002308FA"/>
    <w:rsid w:val="0023132F"/>
    <w:rsid w:val="00231AA5"/>
    <w:rsid w:val="00232371"/>
    <w:rsid w:val="00232810"/>
    <w:rsid w:val="00232F90"/>
    <w:rsid w:val="002330D7"/>
    <w:rsid w:val="0023339B"/>
    <w:rsid w:val="0023469C"/>
    <w:rsid w:val="00234C71"/>
    <w:rsid w:val="00235511"/>
    <w:rsid w:val="00235A0E"/>
    <w:rsid w:val="0023603C"/>
    <w:rsid w:val="002366E0"/>
    <w:rsid w:val="00236D5C"/>
    <w:rsid w:val="00236DE1"/>
    <w:rsid w:val="002372EE"/>
    <w:rsid w:val="002372FD"/>
    <w:rsid w:val="0023764D"/>
    <w:rsid w:val="002404A9"/>
    <w:rsid w:val="00240EA8"/>
    <w:rsid w:val="002415BC"/>
    <w:rsid w:val="002430EF"/>
    <w:rsid w:val="002434B2"/>
    <w:rsid w:val="00243D8D"/>
    <w:rsid w:val="002442F4"/>
    <w:rsid w:val="002445EA"/>
    <w:rsid w:val="0024498D"/>
    <w:rsid w:val="00244ECE"/>
    <w:rsid w:val="00244FC5"/>
    <w:rsid w:val="0024587E"/>
    <w:rsid w:val="00245D1D"/>
    <w:rsid w:val="00247991"/>
    <w:rsid w:val="0025066A"/>
    <w:rsid w:val="00250EDA"/>
    <w:rsid w:val="00251502"/>
    <w:rsid w:val="002518E8"/>
    <w:rsid w:val="00251B48"/>
    <w:rsid w:val="00251B9E"/>
    <w:rsid w:val="00251C10"/>
    <w:rsid w:val="00252058"/>
    <w:rsid w:val="00252E1E"/>
    <w:rsid w:val="002538BA"/>
    <w:rsid w:val="0025469D"/>
    <w:rsid w:val="002552B1"/>
    <w:rsid w:val="00255D01"/>
    <w:rsid w:val="0025620B"/>
    <w:rsid w:val="00256E55"/>
    <w:rsid w:val="002573DA"/>
    <w:rsid w:val="00257E0E"/>
    <w:rsid w:val="00257FF4"/>
    <w:rsid w:val="00260751"/>
    <w:rsid w:val="00260D27"/>
    <w:rsid w:val="00260FCB"/>
    <w:rsid w:val="002612C5"/>
    <w:rsid w:val="002615F5"/>
    <w:rsid w:val="002616B9"/>
    <w:rsid w:val="002617C9"/>
    <w:rsid w:val="0026217B"/>
    <w:rsid w:val="00262890"/>
    <w:rsid w:val="002629E4"/>
    <w:rsid w:val="002639DD"/>
    <w:rsid w:val="00263FE3"/>
    <w:rsid w:val="00264F22"/>
    <w:rsid w:val="00264F45"/>
    <w:rsid w:val="00265593"/>
    <w:rsid w:val="002661F2"/>
    <w:rsid w:val="002670AF"/>
    <w:rsid w:val="00267149"/>
    <w:rsid w:val="002672BD"/>
    <w:rsid w:val="002675EA"/>
    <w:rsid w:val="00267BC5"/>
    <w:rsid w:val="00267CBE"/>
    <w:rsid w:val="00267E0B"/>
    <w:rsid w:val="00267FB5"/>
    <w:rsid w:val="00270680"/>
    <w:rsid w:val="00271103"/>
    <w:rsid w:val="00271406"/>
    <w:rsid w:val="00271B75"/>
    <w:rsid w:val="00271CEF"/>
    <w:rsid w:val="002721FA"/>
    <w:rsid w:val="0027230C"/>
    <w:rsid w:val="00272580"/>
    <w:rsid w:val="002727C2"/>
    <w:rsid w:val="00272B47"/>
    <w:rsid w:val="00272B99"/>
    <w:rsid w:val="0027380D"/>
    <w:rsid w:val="00273B47"/>
    <w:rsid w:val="0027468E"/>
    <w:rsid w:val="00274826"/>
    <w:rsid w:val="00274E24"/>
    <w:rsid w:val="00275005"/>
    <w:rsid w:val="002752AB"/>
    <w:rsid w:val="002756D6"/>
    <w:rsid w:val="0027573C"/>
    <w:rsid w:val="00275B17"/>
    <w:rsid w:val="00277FA8"/>
    <w:rsid w:val="002815D0"/>
    <w:rsid w:val="002820A7"/>
    <w:rsid w:val="002835D3"/>
    <w:rsid w:val="00283B82"/>
    <w:rsid w:val="00283E13"/>
    <w:rsid w:val="002851BF"/>
    <w:rsid w:val="00286478"/>
    <w:rsid w:val="00287EDD"/>
    <w:rsid w:val="002900C1"/>
    <w:rsid w:val="002900E4"/>
    <w:rsid w:val="00290730"/>
    <w:rsid w:val="0029088F"/>
    <w:rsid w:val="00290D7C"/>
    <w:rsid w:val="0029141B"/>
    <w:rsid w:val="00291C3F"/>
    <w:rsid w:val="002927D3"/>
    <w:rsid w:val="00292B79"/>
    <w:rsid w:val="00292BF2"/>
    <w:rsid w:val="00293375"/>
    <w:rsid w:val="00293DC5"/>
    <w:rsid w:val="00293E24"/>
    <w:rsid w:val="00294922"/>
    <w:rsid w:val="00294BDE"/>
    <w:rsid w:val="00295DB6"/>
    <w:rsid w:val="00296053"/>
    <w:rsid w:val="0029788B"/>
    <w:rsid w:val="00297D1B"/>
    <w:rsid w:val="00297F4D"/>
    <w:rsid w:val="002A0226"/>
    <w:rsid w:val="002A0427"/>
    <w:rsid w:val="002A0661"/>
    <w:rsid w:val="002A103F"/>
    <w:rsid w:val="002A1CF2"/>
    <w:rsid w:val="002A2ED0"/>
    <w:rsid w:val="002A3A84"/>
    <w:rsid w:val="002A3B1C"/>
    <w:rsid w:val="002A4879"/>
    <w:rsid w:val="002A4BBA"/>
    <w:rsid w:val="002A4C3E"/>
    <w:rsid w:val="002A5387"/>
    <w:rsid w:val="002A56BC"/>
    <w:rsid w:val="002A5C53"/>
    <w:rsid w:val="002A6AD6"/>
    <w:rsid w:val="002A7221"/>
    <w:rsid w:val="002A72CC"/>
    <w:rsid w:val="002A76AB"/>
    <w:rsid w:val="002A7A4F"/>
    <w:rsid w:val="002A7AFE"/>
    <w:rsid w:val="002A7D14"/>
    <w:rsid w:val="002B01DB"/>
    <w:rsid w:val="002B0290"/>
    <w:rsid w:val="002B09C0"/>
    <w:rsid w:val="002B13B3"/>
    <w:rsid w:val="002B183D"/>
    <w:rsid w:val="002B1DBF"/>
    <w:rsid w:val="002B1DD5"/>
    <w:rsid w:val="002B207F"/>
    <w:rsid w:val="002B25F0"/>
    <w:rsid w:val="002B29DC"/>
    <w:rsid w:val="002B2A48"/>
    <w:rsid w:val="002B2BEE"/>
    <w:rsid w:val="002B31AD"/>
    <w:rsid w:val="002B362D"/>
    <w:rsid w:val="002B3AB2"/>
    <w:rsid w:val="002B3EA7"/>
    <w:rsid w:val="002B43BA"/>
    <w:rsid w:val="002B4BAE"/>
    <w:rsid w:val="002B538B"/>
    <w:rsid w:val="002B581B"/>
    <w:rsid w:val="002B6C7E"/>
    <w:rsid w:val="002B724B"/>
    <w:rsid w:val="002B79BE"/>
    <w:rsid w:val="002C05F1"/>
    <w:rsid w:val="002C076B"/>
    <w:rsid w:val="002C1449"/>
    <w:rsid w:val="002C1968"/>
    <w:rsid w:val="002C20E5"/>
    <w:rsid w:val="002C2892"/>
    <w:rsid w:val="002C2BC2"/>
    <w:rsid w:val="002C2CF9"/>
    <w:rsid w:val="002C3487"/>
    <w:rsid w:val="002C58AB"/>
    <w:rsid w:val="002C5D2E"/>
    <w:rsid w:val="002C62D3"/>
    <w:rsid w:val="002C6A47"/>
    <w:rsid w:val="002C6D84"/>
    <w:rsid w:val="002C7638"/>
    <w:rsid w:val="002C7D21"/>
    <w:rsid w:val="002C7D5B"/>
    <w:rsid w:val="002D096D"/>
    <w:rsid w:val="002D09BC"/>
    <w:rsid w:val="002D1564"/>
    <w:rsid w:val="002D1CA4"/>
    <w:rsid w:val="002D2C09"/>
    <w:rsid w:val="002D2C45"/>
    <w:rsid w:val="002D3202"/>
    <w:rsid w:val="002D3C12"/>
    <w:rsid w:val="002D4969"/>
    <w:rsid w:val="002D4EE1"/>
    <w:rsid w:val="002D4F49"/>
    <w:rsid w:val="002D6F3D"/>
    <w:rsid w:val="002D778E"/>
    <w:rsid w:val="002D7997"/>
    <w:rsid w:val="002E04D7"/>
    <w:rsid w:val="002E06DD"/>
    <w:rsid w:val="002E171A"/>
    <w:rsid w:val="002E1F0E"/>
    <w:rsid w:val="002E1F3F"/>
    <w:rsid w:val="002E22F5"/>
    <w:rsid w:val="002E2A24"/>
    <w:rsid w:val="002E2EA5"/>
    <w:rsid w:val="002E3D66"/>
    <w:rsid w:val="002E3F11"/>
    <w:rsid w:val="002E45A3"/>
    <w:rsid w:val="002E4B11"/>
    <w:rsid w:val="002E4F70"/>
    <w:rsid w:val="002E5886"/>
    <w:rsid w:val="002E5AD3"/>
    <w:rsid w:val="002E5B9F"/>
    <w:rsid w:val="002E635D"/>
    <w:rsid w:val="002E6515"/>
    <w:rsid w:val="002E7562"/>
    <w:rsid w:val="002E77BE"/>
    <w:rsid w:val="002F071F"/>
    <w:rsid w:val="002F16D5"/>
    <w:rsid w:val="002F1A90"/>
    <w:rsid w:val="002F1C2F"/>
    <w:rsid w:val="002F2B99"/>
    <w:rsid w:val="002F2BEE"/>
    <w:rsid w:val="002F3D1C"/>
    <w:rsid w:val="002F4753"/>
    <w:rsid w:val="002F4EA1"/>
    <w:rsid w:val="002F503B"/>
    <w:rsid w:val="002F52DE"/>
    <w:rsid w:val="002F55C1"/>
    <w:rsid w:val="002F71F4"/>
    <w:rsid w:val="002F797A"/>
    <w:rsid w:val="002F7BF9"/>
    <w:rsid w:val="00300483"/>
    <w:rsid w:val="00300CEE"/>
    <w:rsid w:val="00301C91"/>
    <w:rsid w:val="00301D9B"/>
    <w:rsid w:val="0030227E"/>
    <w:rsid w:val="0030274D"/>
    <w:rsid w:val="00302A45"/>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8E1"/>
    <w:rsid w:val="00310E8B"/>
    <w:rsid w:val="003112B5"/>
    <w:rsid w:val="0031146F"/>
    <w:rsid w:val="003115BD"/>
    <w:rsid w:val="00311795"/>
    <w:rsid w:val="003117B1"/>
    <w:rsid w:val="00311B70"/>
    <w:rsid w:val="00311B8B"/>
    <w:rsid w:val="00311CBE"/>
    <w:rsid w:val="003120A4"/>
    <w:rsid w:val="00312280"/>
    <w:rsid w:val="00312322"/>
    <w:rsid w:val="00312896"/>
    <w:rsid w:val="0031297C"/>
    <w:rsid w:val="00312CD0"/>
    <w:rsid w:val="0031449F"/>
    <w:rsid w:val="003145A5"/>
    <w:rsid w:val="003148B9"/>
    <w:rsid w:val="00314A2E"/>
    <w:rsid w:val="00315266"/>
    <w:rsid w:val="003155C2"/>
    <w:rsid w:val="0031693B"/>
    <w:rsid w:val="00316954"/>
    <w:rsid w:val="003169CE"/>
    <w:rsid w:val="00316F0A"/>
    <w:rsid w:val="00316F99"/>
    <w:rsid w:val="00317AB8"/>
    <w:rsid w:val="00317DC7"/>
    <w:rsid w:val="003200F9"/>
    <w:rsid w:val="00320F38"/>
    <w:rsid w:val="00321183"/>
    <w:rsid w:val="00321694"/>
    <w:rsid w:val="00321984"/>
    <w:rsid w:val="00321F0A"/>
    <w:rsid w:val="003223CE"/>
    <w:rsid w:val="003227C9"/>
    <w:rsid w:val="00322A2D"/>
    <w:rsid w:val="00322E80"/>
    <w:rsid w:val="00323F6C"/>
    <w:rsid w:val="00324D5B"/>
    <w:rsid w:val="00325045"/>
    <w:rsid w:val="00325668"/>
    <w:rsid w:val="00325D91"/>
    <w:rsid w:val="00326214"/>
    <w:rsid w:val="003267B4"/>
    <w:rsid w:val="00330DF8"/>
    <w:rsid w:val="00331193"/>
    <w:rsid w:val="003327B9"/>
    <w:rsid w:val="003333D4"/>
    <w:rsid w:val="00334951"/>
    <w:rsid w:val="00334E4A"/>
    <w:rsid w:val="00336411"/>
    <w:rsid w:val="0033678D"/>
    <w:rsid w:val="0033720D"/>
    <w:rsid w:val="003373E8"/>
    <w:rsid w:val="00337E47"/>
    <w:rsid w:val="003414A6"/>
    <w:rsid w:val="003443DD"/>
    <w:rsid w:val="0034447F"/>
    <w:rsid w:val="003449C2"/>
    <w:rsid w:val="00344C4B"/>
    <w:rsid w:val="00344D5A"/>
    <w:rsid w:val="00344D8E"/>
    <w:rsid w:val="00344EFF"/>
    <w:rsid w:val="00346EB6"/>
    <w:rsid w:val="00347EDB"/>
    <w:rsid w:val="00350797"/>
    <w:rsid w:val="00350B8E"/>
    <w:rsid w:val="00351A15"/>
    <w:rsid w:val="00351A85"/>
    <w:rsid w:val="003522E8"/>
    <w:rsid w:val="00352EE3"/>
    <w:rsid w:val="00353989"/>
    <w:rsid w:val="00353CD5"/>
    <w:rsid w:val="00354A14"/>
    <w:rsid w:val="00355B7A"/>
    <w:rsid w:val="0035617C"/>
    <w:rsid w:val="00356B52"/>
    <w:rsid w:val="00356E7E"/>
    <w:rsid w:val="00356EB8"/>
    <w:rsid w:val="00357B83"/>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618C"/>
    <w:rsid w:val="00366326"/>
    <w:rsid w:val="003668AC"/>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C7E"/>
    <w:rsid w:val="0037583D"/>
    <w:rsid w:val="00375BD7"/>
    <w:rsid w:val="00375DEF"/>
    <w:rsid w:val="00375FCD"/>
    <w:rsid w:val="00377353"/>
    <w:rsid w:val="0037736B"/>
    <w:rsid w:val="00377821"/>
    <w:rsid w:val="003815C0"/>
    <w:rsid w:val="003818D9"/>
    <w:rsid w:val="00381F57"/>
    <w:rsid w:val="00381FE2"/>
    <w:rsid w:val="0038216E"/>
    <w:rsid w:val="00382222"/>
    <w:rsid w:val="003822E5"/>
    <w:rsid w:val="00382F60"/>
    <w:rsid w:val="003830B8"/>
    <w:rsid w:val="00383174"/>
    <w:rsid w:val="00383262"/>
    <w:rsid w:val="003834A7"/>
    <w:rsid w:val="003843C8"/>
    <w:rsid w:val="00384885"/>
    <w:rsid w:val="00386D53"/>
    <w:rsid w:val="00386DDE"/>
    <w:rsid w:val="00390550"/>
    <w:rsid w:val="00390BD2"/>
    <w:rsid w:val="00391493"/>
    <w:rsid w:val="00394197"/>
    <w:rsid w:val="00394A43"/>
    <w:rsid w:val="003A014A"/>
    <w:rsid w:val="003A0C15"/>
    <w:rsid w:val="003A157A"/>
    <w:rsid w:val="003A283F"/>
    <w:rsid w:val="003A2A16"/>
    <w:rsid w:val="003A2FDD"/>
    <w:rsid w:val="003A3C43"/>
    <w:rsid w:val="003A496C"/>
    <w:rsid w:val="003A5BCA"/>
    <w:rsid w:val="003A5CCC"/>
    <w:rsid w:val="003A6C82"/>
    <w:rsid w:val="003A70FF"/>
    <w:rsid w:val="003A74D2"/>
    <w:rsid w:val="003A756B"/>
    <w:rsid w:val="003A7902"/>
    <w:rsid w:val="003A7AD4"/>
    <w:rsid w:val="003B0779"/>
    <w:rsid w:val="003B0E0E"/>
    <w:rsid w:val="003B11DB"/>
    <w:rsid w:val="003B1C25"/>
    <w:rsid w:val="003B23D7"/>
    <w:rsid w:val="003B34CB"/>
    <w:rsid w:val="003B3AB4"/>
    <w:rsid w:val="003B3CA8"/>
    <w:rsid w:val="003B45D5"/>
    <w:rsid w:val="003B4823"/>
    <w:rsid w:val="003B52FE"/>
    <w:rsid w:val="003B572A"/>
    <w:rsid w:val="003B5B42"/>
    <w:rsid w:val="003B6325"/>
    <w:rsid w:val="003B71E0"/>
    <w:rsid w:val="003B78A4"/>
    <w:rsid w:val="003C144E"/>
    <w:rsid w:val="003C1A07"/>
    <w:rsid w:val="003C1E74"/>
    <w:rsid w:val="003C20A2"/>
    <w:rsid w:val="003C20FC"/>
    <w:rsid w:val="003C2601"/>
    <w:rsid w:val="003C2673"/>
    <w:rsid w:val="003C27A2"/>
    <w:rsid w:val="003C379F"/>
    <w:rsid w:val="003C3863"/>
    <w:rsid w:val="003C567C"/>
    <w:rsid w:val="003C59B8"/>
    <w:rsid w:val="003C5CDF"/>
    <w:rsid w:val="003C5DCE"/>
    <w:rsid w:val="003C6809"/>
    <w:rsid w:val="003C7897"/>
    <w:rsid w:val="003D0937"/>
    <w:rsid w:val="003D17E6"/>
    <w:rsid w:val="003D1A20"/>
    <w:rsid w:val="003D1A74"/>
    <w:rsid w:val="003D1AAF"/>
    <w:rsid w:val="003D1AC9"/>
    <w:rsid w:val="003D2565"/>
    <w:rsid w:val="003D2AC9"/>
    <w:rsid w:val="003D2CD8"/>
    <w:rsid w:val="003D368B"/>
    <w:rsid w:val="003D3724"/>
    <w:rsid w:val="003D38EB"/>
    <w:rsid w:val="003D46A7"/>
    <w:rsid w:val="003D4B5F"/>
    <w:rsid w:val="003D517A"/>
    <w:rsid w:val="003D5227"/>
    <w:rsid w:val="003D5A9B"/>
    <w:rsid w:val="003D5FFE"/>
    <w:rsid w:val="003D6376"/>
    <w:rsid w:val="003D6D6A"/>
    <w:rsid w:val="003E1235"/>
    <w:rsid w:val="003E16C7"/>
    <w:rsid w:val="003E2A35"/>
    <w:rsid w:val="003E2B56"/>
    <w:rsid w:val="003E2CE1"/>
    <w:rsid w:val="003E2DCB"/>
    <w:rsid w:val="003E2DFF"/>
    <w:rsid w:val="003E32A1"/>
    <w:rsid w:val="003E3F7D"/>
    <w:rsid w:val="003E4642"/>
    <w:rsid w:val="003E4A50"/>
    <w:rsid w:val="003E4C3F"/>
    <w:rsid w:val="003E4D7C"/>
    <w:rsid w:val="003E4EE9"/>
    <w:rsid w:val="003E507A"/>
    <w:rsid w:val="003E5774"/>
    <w:rsid w:val="003E5887"/>
    <w:rsid w:val="003E5B48"/>
    <w:rsid w:val="003E5FA8"/>
    <w:rsid w:val="003E6252"/>
    <w:rsid w:val="003E6F7A"/>
    <w:rsid w:val="003F06C7"/>
    <w:rsid w:val="003F1200"/>
    <w:rsid w:val="003F1421"/>
    <w:rsid w:val="003F1844"/>
    <w:rsid w:val="003F241E"/>
    <w:rsid w:val="003F2696"/>
    <w:rsid w:val="003F28C0"/>
    <w:rsid w:val="003F290F"/>
    <w:rsid w:val="003F32B9"/>
    <w:rsid w:val="003F3377"/>
    <w:rsid w:val="003F36A3"/>
    <w:rsid w:val="003F3C1E"/>
    <w:rsid w:val="003F4846"/>
    <w:rsid w:val="003F5288"/>
    <w:rsid w:val="003F52B2"/>
    <w:rsid w:val="003F6027"/>
    <w:rsid w:val="003F68BE"/>
    <w:rsid w:val="003F716E"/>
    <w:rsid w:val="003F7906"/>
    <w:rsid w:val="00400061"/>
    <w:rsid w:val="0040068A"/>
    <w:rsid w:val="00400813"/>
    <w:rsid w:val="00400BC8"/>
    <w:rsid w:val="00400D0D"/>
    <w:rsid w:val="00400D1A"/>
    <w:rsid w:val="004013AD"/>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B02"/>
    <w:rsid w:val="00404DAA"/>
    <w:rsid w:val="00404DDD"/>
    <w:rsid w:val="00405139"/>
    <w:rsid w:val="0040552F"/>
    <w:rsid w:val="0040578B"/>
    <w:rsid w:val="004065D6"/>
    <w:rsid w:val="00406860"/>
    <w:rsid w:val="0040687D"/>
    <w:rsid w:val="0040709D"/>
    <w:rsid w:val="0040713F"/>
    <w:rsid w:val="0040726E"/>
    <w:rsid w:val="004075A3"/>
    <w:rsid w:val="004109AE"/>
    <w:rsid w:val="00410C48"/>
    <w:rsid w:val="00411744"/>
    <w:rsid w:val="0041286C"/>
    <w:rsid w:val="00412D9B"/>
    <w:rsid w:val="00413326"/>
    <w:rsid w:val="00413887"/>
    <w:rsid w:val="004138BD"/>
    <w:rsid w:val="004146F0"/>
    <w:rsid w:val="00414A0D"/>
    <w:rsid w:val="00414D58"/>
    <w:rsid w:val="00416277"/>
    <w:rsid w:val="00416E24"/>
    <w:rsid w:val="0041789E"/>
    <w:rsid w:val="00420523"/>
    <w:rsid w:val="0042063D"/>
    <w:rsid w:val="00422B23"/>
    <w:rsid w:val="004236F6"/>
    <w:rsid w:val="00423A60"/>
    <w:rsid w:val="00424945"/>
    <w:rsid w:val="00424C30"/>
    <w:rsid w:val="0042651C"/>
    <w:rsid w:val="004266C0"/>
    <w:rsid w:val="00426CCF"/>
    <w:rsid w:val="00426E9B"/>
    <w:rsid w:val="00427CB1"/>
    <w:rsid w:val="00427D55"/>
    <w:rsid w:val="00427D84"/>
    <w:rsid w:val="0043135F"/>
    <w:rsid w:val="00431995"/>
    <w:rsid w:val="00431A12"/>
    <w:rsid w:val="00431A71"/>
    <w:rsid w:val="0043233C"/>
    <w:rsid w:val="0043241D"/>
    <w:rsid w:val="00432CA2"/>
    <w:rsid w:val="00432D8C"/>
    <w:rsid w:val="004341F0"/>
    <w:rsid w:val="00434205"/>
    <w:rsid w:val="004345A6"/>
    <w:rsid w:val="004345D3"/>
    <w:rsid w:val="00434FAC"/>
    <w:rsid w:val="00435B2F"/>
    <w:rsid w:val="00435E03"/>
    <w:rsid w:val="004360DE"/>
    <w:rsid w:val="004362B7"/>
    <w:rsid w:val="00436BA3"/>
    <w:rsid w:val="004373E1"/>
    <w:rsid w:val="004374A3"/>
    <w:rsid w:val="00437A7E"/>
    <w:rsid w:val="00437B6C"/>
    <w:rsid w:val="00440144"/>
    <w:rsid w:val="0044064E"/>
    <w:rsid w:val="00440805"/>
    <w:rsid w:val="00441269"/>
    <w:rsid w:val="004412E1"/>
    <w:rsid w:val="00441554"/>
    <w:rsid w:val="00441820"/>
    <w:rsid w:val="00441A18"/>
    <w:rsid w:val="00442E48"/>
    <w:rsid w:val="00443445"/>
    <w:rsid w:val="004434E6"/>
    <w:rsid w:val="004438DE"/>
    <w:rsid w:val="00443DCD"/>
    <w:rsid w:val="00443E7E"/>
    <w:rsid w:val="00444C06"/>
    <w:rsid w:val="00444FDD"/>
    <w:rsid w:val="004454DF"/>
    <w:rsid w:val="00446804"/>
    <w:rsid w:val="004474F7"/>
    <w:rsid w:val="004478D4"/>
    <w:rsid w:val="00450380"/>
    <w:rsid w:val="004505C6"/>
    <w:rsid w:val="00451E9B"/>
    <w:rsid w:val="00451FB2"/>
    <w:rsid w:val="004520CD"/>
    <w:rsid w:val="00452765"/>
    <w:rsid w:val="00452DF3"/>
    <w:rsid w:val="0045303B"/>
    <w:rsid w:val="004530F0"/>
    <w:rsid w:val="004534F5"/>
    <w:rsid w:val="00453765"/>
    <w:rsid w:val="00454EC3"/>
    <w:rsid w:val="00454F4D"/>
    <w:rsid w:val="0045530A"/>
    <w:rsid w:val="0045537B"/>
    <w:rsid w:val="004554AE"/>
    <w:rsid w:val="004554C3"/>
    <w:rsid w:val="00455D42"/>
    <w:rsid w:val="00455FB6"/>
    <w:rsid w:val="004564E5"/>
    <w:rsid w:val="00457197"/>
    <w:rsid w:val="004572E8"/>
    <w:rsid w:val="00457555"/>
    <w:rsid w:val="00457971"/>
    <w:rsid w:val="00457DD8"/>
    <w:rsid w:val="004603D0"/>
    <w:rsid w:val="0046191E"/>
    <w:rsid w:val="00461EDF"/>
    <w:rsid w:val="004624AE"/>
    <w:rsid w:val="0046250E"/>
    <w:rsid w:val="00462E9C"/>
    <w:rsid w:val="00463652"/>
    <w:rsid w:val="00464B48"/>
    <w:rsid w:val="00465193"/>
    <w:rsid w:val="00465231"/>
    <w:rsid w:val="0046617B"/>
    <w:rsid w:val="004662AD"/>
    <w:rsid w:val="00466425"/>
    <w:rsid w:val="00466516"/>
    <w:rsid w:val="00467B65"/>
    <w:rsid w:val="0047035B"/>
    <w:rsid w:val="00470752"/>
    <w:rsid w:val="004711C4"/>
    <w:rsid w:val="00471700"/>
    <w:rsid w:val="00471EA5"/>
    <w:rsid w:val="004720C9"/>
    <w:rsid w:val="00472202"/>
    <w:rsid w:val="00472257"/>
    <w:rsid w:val="00472DFB"/>
    <w:rsid w:val="00472E49"/>
    <w:rsid w:val="004732BB"/>
    <w:rsid w:val="004733E3"/>
    <w:rsid w:val="00474C60"/>
    <w:rsid w:val="00475944"/>
    <w:rsid w:val="00475CF1"/>
    <w:rsid w:val="00475DF0"/>
    <w:rsid w:val="00475FA6"/>
    <w:rsid w:val="00476525"/>
    <w:rsid w:val="004766E7"/>
    <w:rsid w:val="00476857"/>
    <w:rsid w:val="00476F1B"/>
    <w:rsid w:val="004772E2"/>
    <w:rsid w:val="0047739F"/>
    <w:rsid w:val="00477F97"/>
    <w:rsid w:val="00480A2D"/>
    <w:rsid w:val="00480AFB"/>
    <w:rsid w:val="00481247"/>
    <w:rsid w:val="0048213C"/>
    <w:rsid w:val="0048246C"/>
    <w:rsid w:val="004828DC"/>
    <w:rsid w:val="00482FF7"/>
    <w:rsid w:val="00483098"/>
    <w:rsid w:val="00483AFB"/>
    <w:rsid w:val="00483F7E"/>
    <w:rsid w:val="0048402B"/>
    <w:rsid w:val="0048414A"/>
    <w:rsid w:val="004849D6"/>
    <w:rsid w:val="00485474"/>
    <w:rsid w:val="00485C56"/>
    <w:rsid w:val="00486AD9"/>
    <w:rsid w:val="00486B79"/>
    <w:rsid w:val="00486CA2"/>
    <w:rsid w:val="00486E99"/>
    <w:rsid w:val="00487511"/>
    <w:rsid w:val="004908E0"/>
    <w:rsid w:val="00490B25"/>
    <w:rsid w:val="00490FD6"/>
    <w:rsid w:val="004910C1"/>
    <w:rsid w:val="004911C4"/>
    <w:rsid w:val="004920BC"/>
    <w:rsid w:val="00494865"/>
    <w:rsid w:val="00494CC8"/>
    <w:rsid w:val="00495071"/>
    <w:rsid w:val="004955E7"/>
    <w:rsid w:val="0049589C"/>
    <w:rsid w:val="00495EF1"/>
    <w:rsid w:val="004962E2"/>
    <w:rsid w:val="00496ED4"/>
    <w:rsid w:val="00497268"/>
    <w:rsid w:val="004976AF"/>
    <w:rsid w:val="00497CAF"/>
    <w:rsid w:val="00497CF1"/>
    <w:rsid w:val="00497D4A"/>
    <w:rsid w:val="004A010F"/>
    <w:rsid w:val="004A0441"/>
    <w:rsid w:val="004A084C"/>
    <w:rsid w:val="004A15B3"/>
    <w:rsid w:val="004A1D01"/>
    <w:rsid w:val="004A2A54"/>
    <w:rsid w:val="004A2DC9"/>
    <w:rsid w:val="004A2EF3"/>
    <w:rsid w:val="004A3B03"/>
    <w:rsid w:val="004A3B0D"/>
    <w:rsid w:val="004A3C7C"/>
    <w:rsid w:val="004A40DE"/>
    <w:rsid w:val="004A52F5"/>
    <w:rsid w:val="004A5D3A"/>
    <w:rsid w:val="004A6897"/>
    <w:rsid w:val="004A692B"/>
    <w:rsid w:val="004A6EB6"/>
    <w:rsid w:val="004A7027"/>
    <w:rsid w:val="004A70E1"/>
    <w:rsid w:val="004A794C"/>
    <w:rsid w:val="004B1309"/>
    <w:rsid w:val="004B145B"/>
    <w:rsid w:val="004B1695"/>
    <w:rsid w:val="004B169B"/>
    <w:rsid w:val="004B2663"/>
    <w:rsid w:val="004B3A1B"/>
    <w:rsid w:val="004B3EC7"/>
    <w:rsid w:val="004B411D"/>
    <w:rsid w:val="004B4C73"/>
    <w:rsid w:val="004B5664"/>
    <w:rsid w:val="004C0661"/>
    <w:rsid w:val="004C09C3"/>
    <w:rsid w:val="004C0DB4"/>
    <w:rsid w:val="004C2025"/>
    <w:rsid w:val="004C2107"/>
    <w:rsid w:val="004C2AE5"/>
    <w:rsid w:val="004C5FC6"/>
    <w:rsid w:val="004C6435"/>
    <w:rsid w:val="004C643C"/>
    <w:rsid w:val="004C649B"/>
    <w:rsid w:val="004C6762"/>
    <w:rsid w:val="004C7B9C"/>
    <w:rsid w:val="004C7D55"/>
    <w:rsid w:val="004D01A5"/>
    <w:rsid w:val="004D04C9"/>
    <w:rsid w:val="004D0655"/>
    <w:rsid w:val="004D089A"/>
    <w:rsid w:val="004D1C07"/>
    <w:rsid w:val="004D2484"/>
    <w:rsid w:val="004D302A"/>
    <w:rsid w:val="004D3184"/>
    <w:rsid w:val="004D3766"/>
    <w:rsid w:val="004D43CE"/>
    <w:rsid w:val="004D45F2"/>
    <w:rsid w:val="004D5030"/>
    <w:rsid w:val="004D5F6C"/>
    <w:rsid w:val="004D6045"/>
    <w:rsid w:val="004D6673"/>
    <w:rsid w:val="004D6D93"/>
    <w:rsid w:val="004D7546"/>
    <w:rsid w:val="004D7EC5"/>
    <w:rsid w:val="004E02B0"/>
    <w:rsid w:val="004E0B29"/>
    <w:rsid w:val="004E0CD2"/>
    <w:rsid w:val="004E0E11"/>
    <w:rsid w:val="004E0F08"/>
    <w:rsid w:val="004E1546"/>
    <w:rsid w:val="004E173F"/>
    <w:rsid w:val="004E19DC"/>
    <w:rsid w:val="004E24D6"/>
    <w:rsid w:val="004E34F7"/>
    <w:rsid w:val="004E35E8"/>
    <w:rsid w:val="004E47F6"/>
    <w:rsid w:val="004E50F0"/>
    <w:rsid w:val="004E6A03"/>
    <w:rsid w:val="004E77AF"/>
    <w:rsid w:val="004F0070"/>
    <w:rsid w:val="004F0468"/>
    <w:rsid w:val="004F0C51"/>
    <w:rsid w:val="004F1CC0"/>
    <w:rsid w:val="004F263C"/>
    <w:rsid w:val="004F2BB1"/>
    <w:rsid w:val="004F2EC7"/>
    <w:rsid w:val="004F3CE8"/>
    <w:rsid w:val="004F3F09"/>
    <w:rsid w:val="004F6BFB"/>
    <w:rsid w:val="004F7E4A"/>
    <w:rsid w:val="0050147C"/>
    <w:rsid w:val="0050182B"/>
    <w:rsid w:val="00502579"/>
    <w:rsid w:val="00502767"/>
    <w:rsid w:val="005029F7"/>
    <w:rsid w:val="00503D4C"/>
    <w:rsid w:val="00503FCC"/>
    <w:rsid w:val="00504C0C"/>
    <w:rsid w:val="00504E48"/>
    <w:rsid w:val="00505589"/>
    <w:rsid w:val="0050642F"/>
    <w:rsid w:val="005070FF"/>
    <w:rsid w:val="00510E50"/>
    <w:rsid w:val="005114ED"/>
    <w:rsid w:val="00511975"/>
    <w:rsid w:val="00512ABA"/>
    <w:rsid w:val="00512BBC"/>
    <w:rsid w:val="005134FB"/>
    <w:rsid w:val="005135FD"/>
    <w:rsid w:val="0051366C"/>
    <w:rsid w:val="0051684F"/>
    <w:rsid w:val="00516A92"/>
    <w:rsid w:val="00516B9F"/>
    <w:rsid w:val="00516E60"/>
    <w:rsid w:val="00517693"/>
    <w:rsid w:val="005205AB"/>
    <w:rsid w:val="00520B4A"/>
    <w:rsid w:val="005216D7"/>
    <w:rsid w:val="005218E1"/>
    <w:rsid w:val="00523378"/>
    <w:rsid w:val="0052398E"/>
    <w:rsid w:val="00523AC1"/>
    <w:rsid w:val="0052550F"/>
    <w:rsid w:val="00526C0F"/>
    <w:rsid w:val="0052702A"/>
    <w:rsid w:val="00527BD4"/>
    <w:rsid w:val="00530397"/>
    <w:rsid w:val="005309AA"/>
    <w:rsid w:val="00530F73"/>
    <w:rsid w:val="00531034"/>
    <w:rsid w:val="0053242C"/>
    <w:rsid w:val="00532874"/>
    <w:rsid w:val="00533B8E"/>
    <w:rsid w:val="005352F6"/>
    <w:rsid w:val="00535417"/>
    <w:rsid w:val="00535833"/>
    <w:rsid w:val="00535ECA"/>
    <w:rsid w:val="0053649B"/>
    <w:rsid w:val="00536D28"/>
    <w:rsid w:val="005372C5"/>
    <w:rsid w:val="005372D9"/>
    <w:rsid w:val="00537A26"/>
    <w:rsid w:val="0054097A"/>
    <w:rsid w:val="005409E2"/>
    <w:rsid w:val="00540E47"/>
    <w:rsid w:val="00541AA3"/>
    <w:rsid w:val="005423C7"/>
    <w:rsid w:val="00543283"/>
    <w:rsid w:val="0054364C"/>
    <w:rsid w:val="0054465F"/>
    <w:rsid w:val="005447D5"/>
    <w:rsid w:val="005455B4"/>
    <w:rsid w:val="005462FA"/>
    <w:rsid w:val="00546747"/>
    <w:rsid w:val="005473CA"/>
    <w:rsid w:val="00547510"/>
    <w:rsid w:val="005475C9"/>
    <w:rsid w:val="00547ECC"/>
    <w:rsid w:val="00551D5A"/>
    <w:rsid w:val="00551EC3"/>
    <w:rsid w:val="00554A44"/>
    <w:rsid w:val="00554C53"/>
    <w:rsid w:val="00554F18"/>
    <w:rsid w:val="00555220"/>
    <w:rsid w:val="005555F0"/>
    <w:rsid w:val="00555739"/>
    <w:rsid w:val="0055648F"/>
    <w:rsid w:val="00556E75"/>
    <w:rsid w:val="00557966"/>
    <w:rsid w:val="0056069A"/>
    <w:rsid w:val="00560C3B"/>
    <w:rsid w:val="00560DA3"/>
    <w:rsid w:val="00561EA1"/>
    <w:rsid w:val="00562799"/>
    <w:rsid w:val="00562F73"/>
    <w:rsid w:val="00564804"/>
    <w:rsid w:val="005649B0"/>
    <w:rsid w:val="0056523B"/>
    <w:rsid w:val="00565598"/>
    <w:rsid w:val="00565A08"/>
    <w:rsid w:val="00565B5A"/>
    <w:rsid w:val="00566374"/>
    <w:rsid w:val="00566857"/>
    <w:rsid w:val="00567E8F"/>
    <w:rsid w:val="005702D6"/>
    <w:rsid w:val="005724BD"/>
    <w:rsid w:val="00572588"/>
    <w:rsid w:val="00573855"/>
    <w:rsid w:val="00573A4A"/>
    <w:rsid w:val="00573A50"/>
    <w:rsid w:val="005746D2"/>
    <w:rsid w:val="00574E8A"/>
    <w:rsid w:val="0057513A"/>
    <w:rsid w:val="005757B5"/>
    <w:rsid w:val="0057765C"/>
    <w:rsid w:val="00577775"/>
    <w:rsid w:val="00580141"/>
    <w:rsid w:val="00580FD9"/>
    <w:rsid w:val="0058121A"/>
    <w:rsid w:val="00581863"/>
    <w:rsid w:val="00581904"/>
    <w:rsid w:val="00581EA3"/>
    <w:rsid w:val="0058205A"/>
    <w:rsid w:val="0058260B"/>
    <w:rsid w:val="00584D1E"/>
    <w:rsid w:val="00585658"/>
    <w:rsid w:val="00586795"/>
    <w:rsid w:val="00586B82"/>
    <w:rsid w:val="00587E13"/>
    <w:rsid w:val="00591281"/>
    <w:rsid w:val="005933AA"/>
    <w:rsid w:val="005934F2"/>
    <w:rsid w:val="005935AA"/>
    <w:rsid w:val="005940AA"/>
    <w:rsid w:val="00594614"/>
    <w:rsid w:val="00594749"/>
    <w:rsid w:val="00594E10"/>
    <w:rsid w:val="005961CE"/>
    <w:rsid w:val="00596306"/>
    <w:rsid w:val="00596487"/>
    <w:rsid w:val="005A0809"/>
    <w:rsid w:val="005A0B91"/>
    <w:rsid w:val="005A0F40"/>
    <w:rsid w:val="005A12EE"/>
    <w:rsid w:val="005A1494"/>
    <w:rsid w:val="005A1532"/>
    <w:rsid w:val="005A2175"/>
    <w:rsid w:val="005A29BB"/>
    <w:rsid w:val="005A3590"/>
    <w:rsid w:val="005A44FA"/>
    <w:rsid w:val="005A4A1C"/>
    <w:rsid w:val="005A5BD8"/>
    <w:rsid w:val="005A692A"/>
    <w:rsid w:val="005A6AB8"/>
    <w:rsid w:val="005A7360"/>
    <w:rsid w:val="005A7AA3"/>
    <w:rsid w:val="005B0199"/>
    <w:rsid w:val="005B11C2"/>
    <w:rsid w:val="005B180A"/>
    <w:rsid w:val="005B189D"/>
    <w:rsid w:val="005B1C7E"/>
    <w:rsid w:val="005B2093"/>
    <w:rsid w:val="005B22CC"/>
    <w:rsid w:val="005B382C"/>
    <w:rsid w:val="005B3B53"/>
    <w:rsid w:val="005B3C11"/>
    <w:rsid w:val="005B40DA"/>
    <w:rsid w:val="005B4226"/>
    <w:rsid w:val="005B4482"/>
    <w:rsid w:val="005B4746"/>
    <w:rsid w:val="005B5992"/>
    <w:rsid w:val="005B5AA4"/>
    <w:rsid w:val="005B656B"/>
    <w:rsid w:val="005B6E76"/>
    <w:rsid w:val="005B705A"/>
    <w:rsid w:val="005B71B3"/>
    <w:rsid w:val="005B76A4"/>
    <w:rsid w:val="005B7933"/>
    <w:rsid w:val="005C04A7"/>
    <w:rsid w:val="005C1198"/>
    <w:rsid w:val="005C17A4"/>
    <w:rsid w:val="005C1F7F"/>
    <w:rsid w:val="005C27CC"/>
    <w:rsid w:val="005C28CA"/>
    <w:rsid w:val="005C2E7E"/>
    <w:rsid w:val="005C370D"/>
    <w:rsid w:val="005C37F4"/>
    <w:rsid w:val="005C3C07"/>
    <w:rsid w:val="005C4A02"/>
    <w:rsid w:val="005C504E"/>
    <w:rsid w:val="005C52A0"/>
    <w:rsid w:val="005C6153"/>
    <w:rsid w:val="005C6D4B"/>
    <w:rsid w:val="005C7369"/>
    <w:rsid w:val="005C73FF"/>
    <w:rsid w:val="005C78B0"/>
    <w:rsid w:val="005C7B95"/>
    <w:rsid w:val="005D01EB"/>
    <w:rsid w:val="005D0DFB"/>
    <w:rsid w:val="005D1112"/>
    <w:rsid w:val="005D12E0"/>
    <w:rsid w:val="005D1D7E"/>
    <w:rsid w:val="005D1EDA"/>
    <w:rsid w:val="005D237C"/>
    <w:rsid w:val="005D25E2"/>
    <w:rsid w:val="005D25FF"/>
    <w:rsid w:val="005D2632"/>
    <w:rsid w:val="005D2670"/>
    <w:rsid w:val="005D322C"/>
    <w:rsid w:val="005D38E0"/>
    <w:rsid w:val="005D3F32"/>
    <w:rsid w:val="005D4E3E"/>
    <w:rsid w:val="005D570A"/>
    <w:rsid w:val="005D59A0"/>
    <w:rsid w:val="005D67F7"/>
    <w:rsid w:val="005D69FA"/>
    <w:rsid w:val="005D6F9A"/>
    <w:rsid w:val="005D7D7E"/>
    <w:rsid w:val="005D7EA9"/>
    <w:rsid w:val="005E0AC8"/>
    <w:rsid w:val="005E0B59"/>
    <w:rsid w:val="005E1105"/>
    <w:rsid w:val="005E162F"/>
    <w:rsid w:val="005E2C60"/>
    <w:rsid w:val="005E31F6"/>
    <w:rsid w:val="005E3622"/>
    <w:rsid w:val="005E37BC"/>
    <w:rsid w:val="005E3CDB"/>
    <w:rsid w:val="005E5D41"/>
    <w:rsid w:val="005E6047"/>
    <w:rsid w:val="005E60B3"/>
    <w:rsid w:val="005E676C"/>
    <w:rsid w:val="005E6CB9"/>
    <w:rsid w:val="005E75E3"/>
    <w:rsid w:val="005E7F14"/>
    <w:rsid w:val="005F0154"/>
    <w:rsid w:val="005F0176"/>
    <w:rsid w:val="005F021D"/>
    <w:rsid w:val="005F1756"/>
    <w:rsid w:val="005F1EAC"/>
    <w:rsid w:val="005F308F"/>
    <w:rsid w:val="005F46E4"/>
    <w:rsid w:val="005F4869"/>
    <w:rsid w:val="005F4BFD"/>
    <w:rsid w:val="005F4C21"/>
    <w:rsid w:val="005F5748"/>
    <w:rsid w:val="005F5834"/>
    <w:rsid w:val="005F5E11"/>
    <w:rsid w:val="006003E5"/>
    <w:rsid w:val="0060081F"/>
    <w:rsid w:val="00600D0D"/>
    <w:rsid w:val="00600E63"/>
    <w:rsid w:val="006011DC"/>
    <w:rsid w:val="00601561"/>
    <w:rsid w:val="00601C0B"/>
    <w:rsid w:val="00601E55"/>
    <w:rsid w:val="00602037"/>
    <w:rsid w:val="006029DD"/>
    <w:rsid w:val="00602C6A"/>
    <w:rsid w:val="00603AF5"/>
    <w:rsid w:val="00604CE7"/>
    <w:rsid w:val="006057CE"/>
    <w:rsid w:val="006058A9"/>
    <w:rsid w:val="00606788"/>
    <w:rsid w:val="00606C66"/>
    <w:rsid w:val="00606CCC"/>
    <w:rsid w:val="0060729A"/>
    <w:rsid w:val="00607988"/>
    <w:rsid w:val="00610145"/>
    <w:rsid w:val="00610D1F"/>
    <w:rsid w:val="006123C6"/>
    <w:rsid w:val="00612C02"/>
    <w:rsid w:val="00612CDD"/>
    <w:rsid w:val="00612FD8"/>
    <w:rsid w:val="00612FD9"/>
    <w:rsid w:val="00613F1B"/>
    <w:rsid w:val="00614439"/>
    <w:rsid w:val="00614B1C"/>
    <w:rsid w:val="00614DB1"/>
    <w:rsid w:val="00615263"/>
    <w:rsid w:val="0061562E"/>
    <w:rsid w:val="00615B96"/>
    <w:rsid w:val="00616D41"/>
    <w:rsid w:val="00617292"/>
    <w:rsid w:val="00617F4E"/>
    <w:rsid w:val="006200A9"/>
    <w:rsid w:val="00622225"/>
    <w:rsid w:val="00622D03"/>
    <w:rsid w:val="00622DCD"/>
    <w:rsid w:val="00622E03"/>
    <w:rsid w:val="00622F57"/>
    <w:rsid w:val="0062394E"/>
    <w:rsid w:val="00623DD5"/>
    <w:rsid w:val="00624269"/>
    <w:rsid w:val="00624945"/>
    <w:rsid w:val="00624A34"/>
    <w:rsid w:val="0062568D"/>
    <w:rsid w:val="006256D3"/>
    <w:rsid w:val="00625911"/>
    <w:rsid w:val="00626666"/>
    <w:rsid w:val="006267F5"/>
    <w:rsid w:val="0062692C"/>
    <w:rsid w:val="00626B70"/>
    <w:rsid w:val="00627337"/>
    <w:rsid w:val="00630069"/>
    <w:rsid w:val="00630583"/>
    <w:rsid w:val="0063088B"/>
    <w:rsid w:val="00630D2E"/>
    <w:rsid w:val="00630D39"/>
    <w:rsid w:val="006314EA"/>
    <w:rsid w:val="006317B5"/>
    <w:rsid w:val="00631E19"/>
    <w:rsid w:val="006320F1"/>
    <w:rsid w:val="00632310"/>
    <w:rsid w:val="00632A72"/>
    <w:rsid w:val="00632A74"/>
    <w:rsid w:val="00633E76"/>
    <w:rsid w:val="00633EC9"/>
    <w:rsid w:val="006340F5"/>
    <w:rsid w:val="00634542"/>
    <w:rsid w:val="00635E4D"/>
    <w:rsid w:val="0063620C"/>
    <w:rsid w:val="0063644F"/>
    <w:rsid w:val="00637D35"/>
    <w:rsid w:val="00637E18"/>
    <w:rsid w:val="0064032E"/>
    <w:rsid w:val="0064038D"/>
    <w:rsid w:val="00640B88"/>
    <w:rsid w:val="00640D65"/>
    <w:rsid w:val="00641258"/>
    <w:rsid w:val="00641A0B"/>
    <w:rsid w:val="00641CB3"/>
    <w:rsid w:val="00641D5A"/>
    <w:rsid w:val="00641E06"/>
    <w:rsid w:val="00643007"/>
    <w:rsid w:val="006431D0"/>
    <w:rsid w:val="006432C5"/>
    <w:rsid w:val="006436FA"/>
    <w:rsid w:val="00643852"/>
    <w:rsid w:val="00643C27"/>
    <w:rsid w:val="00644C19"/>
    <w:rsid w:val="006455E7"/>
    <w:rsid w:val="00645758"/>
    <w:rsid w:val="00645E1B"/>
    <w:rsid w:val="0064607D"/>
    <w:rsid w:val="006461A1"/>
    <w:rsid w:val="006465AE"/>
    <w:rsid w:val="00647119"/>
    <w:rsid w:val="00647422"/>
    <w:rsid w:val="00647E6B"/>
    <w:rsid w:val="006508AA"/>
    <w:rsid w:val="00650B5D"/>
    <w:rsid w:val="00650E84"/>
    <w:rsid w:val="0065134C"/>
    <w:rsid w:val="0065198B"/>
    <w:rsid w:val="00651DAC"/>
    <w:rsid w:val="006525AF"/>
    <w:rsid w:val="0065266A"/>
    <w:rsid w:val="00652DFF"/>
    <w:rsid w:val="00653F9C"/>
    <w:rsid w:val="006541B3"/>
    <w:rsid w:val="00654767"/>
    <w:rsid w:val="00654988"/>
    <w:rsid w:val="00655470"/>
    <w:rsid w:val="00655CCC"/>
    <w:rsid w:val="00656FEE"/>
    <w:rsid w:val="0065758F"/>
    <w:rsid w:val="00657D91"/>
    <w:rsid w:val="00660897"/>
    <w:rsid w:val="00661028"/>
    <w:rsid w:val="006617BD"/>
    <w:rsid w:val="0066194D"/>
    <w:rsid w:val="00662417"/>
    <w:rsid w:val="00662548"/>
    <w:rsid w:val="00662E38"/>
    <w:rsid w:val="006632F3"/>
    <w:rsid w:val="00664695"/>
    <w:rsid w:val="00664840"/>
    <w:rsid w:val="00664B44"/>
    <w:rsid w:val="006652BF"/>
    <w:rsid w:val="00665704"/>
    <w:rsid w:val="00665EB6"/>
    <w:rsid w:val="00665FF3"/>
    <w:rsid w:val="00666171"/>
    <w:rsid w:val="0066630C"/>
    <w:rsid w:val="00667A36"/>
    <w:rsid w:val="00667BBD"/>
    <w:rsid w:val="00671149"/>
    <w:rsid w:val="00671331"/>
    <w:rsid w:val="00671615"/>
    <w:rsid w:val="00671741"/>
    <w:rsid w:val="00671766"/>
    <w:rsid w:val="006719D3"/>
    <w:rsid w:val="00671D1D"/>
    <w:rsid w:val="0067200D"/>
    <w:rsid w:val="00672914"/>
    <w:rsid w:val="006739A5"/>
    <w:rsid w:val="0067405E"/>
    <w:rsid w:val="006744C3"/>
    <w:rsid w:val="0067537F"/>
    <w:rsid w:val="00675434"/>
    <w:rsid w:val="006763CF"/>
    <w:rsid w:val="00676410"/>
    <w:rsid w:val="00677663"/>
    <w:rsid w:val="00680509"/>
    <w:rsid w:val="00680533"/>
    <w:rsid w:val="006805CB"/>
    <w:rsid w:val="006805FF"/>
    <w:rsid w:val="006806DD"/>
    <w:rsid w:val="00680C64"/>
    <w:rsid w:val="00681CC1"/>
    <w:rsid w:val="0068233B"/>
    <w:rsid w:val="006827DC"/>
    <w:rsid w:val="00682E11"/>
    <w:rsid w:val="00683081"/>
    <w:rsid w:val="00684136"/>
    <w:rsid w:val="00684C95"/>
    <w:rsid w:val="00684EF1"/>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510D"/>
    <w:rsid w:val="006958D5"/>
    <w:rsid w:val="006962DA"/>
    <w:rsid w:val="006963BE"/>
    <w:rsid w:val="00696566"/>
    <w:rsid w:val="006966BA"/>
    <w:rsid w:val="00696877"/>
    <w:rsid w:val="0069693F"/>
    <w:rsid w:val="0069722D"/>
    <w:rsid w:val="00697957"/>
    <w:rsid w:val="006A0052"/>
    <w:rsid w:val="006A0387"/>
    <w:rsid w:val="006A0A80"/>
    <w:rsid w:val="006A0A9E"/>
    <w:rsid w:val="006A139A"/>
    <w:rsid w:val="006A1967"/>
    <w:rsid w:val="006A1F1C"/>
    <w:rsid w:val="006A3836"/>
    <w:rsid w:val="006A3DD3"/>
    <w:rsid w:val="006A4625"/>
    <w:rsid w:val="006A47AE"/>
    <w:rsid w:val="006A5393"/>
    <w:rsid w:val="006A5B5E"/>
    <w:rsid w:val="006A60CB"/>
    <w:rsid w:val="006A6418"/>
    <w:rsid w:val="006A67CB"/>
    <w:rsid w:val="006B0368"/>
    <w:rsid w:val="006B0F6E"/>
    <w:rsid w:val="006B145C"/>
    <w:rsid w:val="006B1C3F"/>
    <w:rsid w:val="006B1D7B"/>
    <w:rsid w:val="006B201D"/>
    <w:rsid w:val="006B27D4"/>
    <w:rsid w:val="006B2C9C"/>
    <w:rsid w:val="006B3D2A"/>
    <w:rsid w:val="006B4772"/>
    <w:rsid w:val="006B48EB"/>
    <w:rsid w:val="006B4C00"/>
    <w:rsid w:val="006B5268"/>
    <w:rsid w:val="006B56FC"/>
    <w:rsid w:val="006B5D03"/>
    <w:rsid w:val="006B5F90"/>
    <w:rsid w:val="006B61CB"/>
    <w:rsid w:val="006B65EB"/>
    <w:rsid w:val="006B6DDA"/>
    <w:rsid w:val="006B73D9"/>
    <w:rsid w:val="006B7DF0"/>
    <w:rsid w:val="006B7E74"/>
    <w:rsid w:val="006C0D75"/>
    <w:rsid w:val="006C12E3"/>
    <w:rsid w:val="006C1C48"/>
    <w:rsid w:val="006C394A"/>
    <w:rsid w:val="006C3C1D"/>
    <w:rsid w:val="006C41FF"/>
    <w:rsid w:val="006C510A"/>
    <w:rsid w:val="006C5145"/>
    <w:rsid w:val="006C55A2"/>
    <w:rsid w:val="006C5948"/>
    <w:rsid w:val="006C65A8"/>
    <w:rsid w:val="006D049A"/>
    <w:rsid w:val="006D058F"/>
    <w:rsid w:val="006D05AD"/>
    <w:rsid w:val="006D070A"/>
    <w:rsid w:val="006D0DCA"/>
    <w:rsid w:val="006D0EC1"/>
    <w:rsid w:val="006D1281"/>
    <w:rsid w:val="006D16F8"/>
    <w:rsid w:val="006D1813"/>
    <w:rsid w:val="006D1CD4"/>
    <w:rsid w:val="006D22E3"/>
    <w:rsid w:val="006D24A9"/>
    <w:rsid w:val="006D2AF3"/>
    <w:rsid w:val="006D48BC"/>
    <w:rsid w:val="006D4D79"/>
    <w:rsid w:val="006D4FBD"/>
    <w:rsid w:val="006D5879"/>
    <w:rsid w:val="006D63FD"/>
    <w:rsid w:val="006D65B4"/>
    <w:rsid w:val="006D6DF7"/>
    <w:rsid w:val="006D754A"/>
    <w:rsid w:val="006D756C"/>
    <w:rsid w:val="006D7B9C"/>
    <w:rsid w:val="006E04C6"/>
    <w:rsid w:val="006E0A65"/>
    <w:rsid w:val="006E1642"/>
    <w:rsid w:val="006E1B01"/>
    <w:rsid w:val="006E2265"/>
    <w:rsid w:val="006E3E3D"/>
    <w:rsid w:val="006E4821"/>
    <w:rsid w:val="006E4836"/>
    <w:rsid w:val="006E5DDD"/>
    <w:rsid w:val="006E6F18"/>
    <w:rsid w:val="006E6FA5"/>
    <w:rsid w:val="006E7811"/>
    <w:rsid w:val="006F04DA"/>
    <w:rsid w:val="006F0557"/>
    <w:rsid w:val="006F06E5"/>
    <w:rsid w:val="006F0EA3"/>
    <w:rsid w:val="006F1547"/>
    <w:rsid w:val="006F1B5D"/>
    <w:rsid w:val="006F212B"/>
    <w:rsid w:val="006F2BB1"/>
    <w:rsid w:val="006F37F7"/>
    <w:rsid w:val="006F4A61"/>
    <w:rsid w:val="006F4ADC"/>
    <w:rsid w:val="006F4E2E"/>
    <w:rsid w:val="006F643D"/>
    <w:rsid w:val="006F655A"/>
    <w:rsid w:val="006F675C"/>
    <w:rsid w:val="006F6D13"/>
    <w:rsid w:val="006F71DB"/>
    <w:rsid w:val="006F7759"/>
    <w:rsid w:val="006F79D7"/>
    <w:rsid w:val="006F7D95"/>
    <w:rsid w:val="00700D41"/>
    <w:rsid w:val="007013EF"/>
    <w:rsid w:val="00701B21"/>
    <w:rsid w:val="00702062"/>
    <w:rsid w:val="00702384"/>
    <w:rsid w:val="007037B9"/>
    <w:rsid w:val="00704667"/>
    <w:rsid w:val="00704BAE"/>
    <w:rsid w:val="007056D7"/>
    <w:rsid w:val="00705807"/>
    <w:rsid w:val="00705C74"/>
    <w:rsid w:val="00705C78"/>
    <w:rsid w:val="00705F84"/>
    <w:rsid w:val="007060E1"/>
    <w:rsid w:val="00706824"/>
    <w:rsid w:val="00706B85"/>
    <w:rsid w:val="007071FC"/>
    <w:rsid w:val="00707386"/>
    <w:rsid w:val="00707C84"/>
    <w:rsid w:val="00710A59"/>
    <w:rsid w:val="00710FDE"/>
    <w:rsid w:val="00710FE5"/>
    <w:rsid w:val="007116C7"/>
    <w:rsid w:val="00711C5A"/>
    <w:rsid w:val="00711E8B"/>
    <w:rsid w:val="007129C5"/>
    <w:rsid w:val="00712B60"/>
    <w:rsid w:val="00712B66"/>
    <w:rsid w:val="00712BCC"/>
    <w:rsid w:val="00712C4E"/>
    <w:rsid w:val="00713C31"/>
    <w:rsid w:val="0071428D"/>
    <w:rsid w:val="0071444C"/>
    <w:rsid w:val="007144C9"/>
    <w:rsid w:val="00714ABF"/>
    <w:rsid w:val="00714D3C"/>
    <w:rsid w:val="007155CB"/>
    <w:rsid w:val="00715BD9"/>
    <w:rsid w:val="00716B3C"/>
    <w:rsid w:val="00716EAD"/>
    <w:rsid w:val="00716F03"/>
    <w:rsid w:val="007170C2"/>
    <w:rsid w:val="007176C0"/>
    <w:rsid w:val="00717970"/>
    <w:rsid w:val="00717EE4"/>
    <w:rsid w:val="00717F2D"/>
    <w:rsid w:val="00720453"/>
    <w:rsid w:val="007205E0"/>
    <w:rsid w:val="00720853"/>
    <w:rsid w:val="00720A86"/>
    <w:rsid w:val="00720E9A"/>
    <w:rsid w:val="00721279"/>
    <w:rsid w:val="00722129"/>
    <w:rsid w:val="00722A1A"/>
    <w:rsid w:val="00724173"/>
    <w:rsid w:val="007251C6"/>
    <w:rsid w:val="00726012"/>
    <w:rsid w:val="0072672A"/>
    <w:rsid w:val="00726730"/>
    <w:rsid w:val="00727424"/>
    <w:rsid w:val="0073010F"/>
    <w:rsid w:val="007302E5"/>
    <w:rsid w:val="00730598"/>
    <w:rsid w:val="007312EC"/>
    <w:rsid w:val="00731B14"/>
    <w:rsid w:val="00731C24"/>
    <w:rsid w:val="0073257E"/>
    <w:rsid w:val="00732A32"/>
    <w:rsid w:val="00733066"/>
    <w:rsid w:val="00733469"/>
    <w:rsid w:val="00733539"/>
    <w:rsid w:val="00735557"/>
    <w:rsid w:val="00736F90"/>
    <w:rsid w:val="00737108"/>
    <w:rsid w:val="007379CE"/>
    <w:rsid w:val="00737D19"/>
    <w:rsid w:val="00740C7C"/>
    <w:rsid w:val="007413B3"/>
    <w:rsid w:val="007417CC"/>
    <w:rsid w:val="007418EF"/>
    <w:rsid w:val="007419A7"/>
    <w:rsid w:val="00741B21"/>
    <w:rsid w:val="00741DD8"/>
    <w:rsid w:val="00741E49"/>
    <w:rsid w:val="0074250D"/>
    <w:rsid w:val="00742897"/>
    <w:rsid w:val="0074372C"/>
    <w:rsid w:val="007444F1"/>
    <w:rsid w:val="007445E2"/>
    <w:rsid w:val="00744791"/>
    <w:rsid w:val="00745496"/>
    <w:rsid w:val="00745604"/>
    <w:rsid w:val="007460DA"/>
    <w:rsid w:val="0074705B"/>
    <w:rsid w:val="007470EC"/>
    <w:rsid w:val="0075020B"/>
    <w:rsid w:val="00751017"/>
    <w:rsid w:val="00751960"/>
    <w:rsid w:val="00751FA9"/>
    <w:rsid w:val="007535C7"/>
    <w:rsid w:val="00754275"/>
    <w:rsid w:val="00754368"/>
    <w:rsid w:val="0075561F"/>
    <w:rsid w:val="00756551"/>
    <w:rsid w:val="007575A3"/>
    <w:rsid w:val="00757769"/>
    <w:rsid w:val="00760302"/>
    <w:rsid w:val="00760613"/>
    <w:rsid w:val="0076067E"/>
    <w:rsid w:val="0076077D"/>
    <w:rsid w:val="00761BFD"/>
    <w:rsid w:val="00761D5C"/>
    <w:rsid w:val="00761FE5"/>
    <w:rsid w:val="00762476"/>
    <w:rsid w:val="007627AD"/>
    <w:rsid w:val="00762A18"/>
    <w:rsid w:val="007633D7"/>
    <w:rsid w:val="00763AE2"/>
    <w:rsid w:val="00764081"/>
    <w:rsid w:val="0076460C"/>
    <w:rsid w:val="0076467D"/>
    <w:rsid w:val="00764DA3"/>
    <w:rsid w:val="00764ECE"/>
    <w:rsid w:val="00764FFC"/>
    <w:rsid w:val="00766D90"/>
    <w:rsid w:val="00767C19"/>
    <w:rsid w:val="00767D4E"/>
    <w:rsid w:val="00767F5E"/>
    <w:rsid w:val="00767FCF"/>
    <w:rsid w:val="00771067"/>
    <w:rsid w:val="007722ED"/>
    <w:rsid w:val="00773A97"/>
    <w:rsid w:val="0077408B"/>
    <w:rsid w:val="00774AF6"/>
    <w:rsid w:val="00774EC8"/>
    <w:rsid w:val="00776781"/>
    <w:rsid w:val="00777693"/>
    <w:rsid w:val="007776CC"/>
    <w:rsid w:val="00777CE9"/>
    <w:rsid w:val="007801E7"/>
    <w:rsid w:val="00780D05"/>
    <w:rsid w:val="00783235"/>
    <w:rsid w:val="00783C7B"/>
    <w:rsid w:val="00783C7C"/>
    <w:rsid w:val="00783D0B"/>
    <w:rsid w:val="00783EE0"/>
    <w:rsid w:val="0078499F"/>
    <w:rsid w:val="007851F7"/>
    <w:rsid w:val="0078556C"/>
    <w:rsid w:val="007855C5"/>
    <w:rsid w:val="007856D3"/>
    <w:rsid w:val="00785ABD"/>
    <w:rsid w:val="007860C6"/>
    <w:rsid w:val="00786254"/>
    <w:rsid w:val="007865EF"/>
    <w:rsid w:val="00786C9B"/>
    <w:rsid w:val="00786DB0"/>
    <w:rsid w:val="007870F5"/>
    <w:rsid w:val="007877E5"/>
    <w:rsid w:val="00787D3C"/>
    <w:rsid w:val="00787D47"/>
    <w:rsid w:val="0079014E"/>
    <w:rsid w:val="0079148B"/>
    <w:rsid w:val="007919D9"/>
    <w:rsid w:val="0079234D"/>
    <w:rsid w:val="00792971"/>
    <w:rsid w:val="007935C6"/>
    <w:rsid w:val="00793AAB"/>
    <w:rsid w:val="00793C36"/>
    <w:rsid w:val="00793D53"/>
    <w:rsid w:val="00794129"/>
    <w:rsid w:val="007941C8"/>
    <w:rsid w:val="00794516"/>
    <w:rsid w:val="00794878"/>
    <w:rsid w:val="00795512"/>
    <w:rsid w:val="00795AB7"/>
    <w:rsid w:val="00795E37"/>
    <w:rsid w:val="007967CB"/>
    <w:rsid w:val="0079694C"/>
    <w:rsid w:val="00796D89"/>
    <w:rsid w:val="00796DA2"/>
    <w:rsid w:val="00797140"/>
    <w:rsid w:val="007977C3"/>
    <w:rsid w:val="007A027F"/>
    <w:rsid w:val="007A0415"/>
    <w:rsid w:val="007A06BA"/>
    <w:rsid w:val="007A1D8B"/>
    <w:rsid w:val="007A2484"/>
    <w:rsid w:val="007A27BD"/>
    <w:rsid w:val="007A294A"/>
    <w:rsid w:val="007A38FD"/>
    <w:rsid w:val="007A3B82"/>
    <w:rsid w:val="007A4C96"/>
    <w:rsid w:val="007A51A6"/>
    <w:rsid w:val="007A523D"/>
    <w:rsid w:val="007A5547"/>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1000"/>
    <w:rsid w:val="007B1924"/>
    <w:rsid w:val="007B26E1"/>
    <w:rsid w:val="007B2DCF"/>
    <w:rsid w:val="007B3045"/>
    <w:rsid w:val="007B3CDD"/>
    <w:rsid w:val="007B430F"/>
    <w:rsid w:val="007B4C0F"/>
    <w:rsid w:val="007B4C56"/>
    <w:rsid w:val="007B5E25"/>
    <w:rsid w:val="007B6CB8"/>
    <w:rsid w:val="007B6E0E"/>
    <w:rsid w:val="007C27FB"/>
    <w:rsid w:val="007C29AF"/>
    <w:rsid w:val="007C2CBB"/>
    <w:rsid w:val="007C309C"/>
    <w:rsid w:val="007C3F22"/>
    <w:rsid w:val="007C40EE"/>
    <w:rsid w:val="007C4209"/>
    <w:rsid w:val="007C516B"/>
    <w:rsid w:val="007C5EB9"/>
    <w:rsid w:val="007C631F"/>
    <w:rsid w:val="007C7449"/>
    <w:rsid w:val="007C7EA5"/>
    <w:rsid w:val="007D1A95"/>
    <w:rsid w:val="007D245E"/>
    <w:rsid w:val="007D2A1D"/>
    <w:rsid w:val="007D3764"/>
    <w:rsid w:val="007D398E"/>
    <w:rsid w:val="007D427D"/>
    <w:rsid w:val="007D4422"/>
    <w:rsid w:val="007D4631"/>
    <w:rsid w:val="007D485A"/>
    <w:rsid w:val="007D4898"/>
    <w:rsid w:val="007D54FF"/>
    <w:rsid w:val="007D57D4"/>
    <w:rsid w:val="007D6116"/>
    <w:rsid w:val="007D6315"/>
    <w:rsid w:val="007D6EAA"/>
    <w:rsid w:val="007D6F13"/>
    <w:rsid w:val="007D724A"/>
    <w:rsid w:val="007D75A3"/>
    <w:rsid w:val="007E0A86"/>
    <w:rsid w:val="007E16E2"/>
    <w:rsid w:val="007E1786"/>
    <w:rsid w:val="007E19FE"/>
    <w:rsid w:val="007E1AAC"/>
    <w:rsid w:val="007E368F"/>
    <w:rsid w:val="007E3B9C"/>
    <w:rsid w:val="007E4A2F"/>
    <w:rsid w:val="007E533E"/>
    <w:rsid w:val="007E5C4A"/>
    <w:rsid w:val="007E6493"/>
    <w:rsid w:val="007E6915"/>
    <w:rsid w:val="007E7243"/>
    <w:rsid w:val="007E73D0"/>
    <w:rsid w:val="007E74CA"/>
    <w:rsid w:val="007E7AD3"/>
    <w:rsid w:val="007F0070"/>
    <w:rsid w:val="007F0441"/>
    <w:rsid w:val="007F0E99"/>
    <w:rsid w:val="007F1150"/>
    <w:rsid w:val="007F20F1"/>
    <w:rsid w:val="007F3574"/>
    <w:rsid w:val="007F4224"/>
    <w:rsid w:val="007F4DAA"/>
    <w:rsid w:val="007F4DD2"/>
    <w:rsid w:val="007F4FB9"/>
    <w:rsid w:val="007F674C"/>
    <w:rsid w:val="007F6D34"/>
    <w:rsid w:val="007F6F16"/>
    <w:rsid w:val="007F7022"/>
    <w:rsid w:val="007F7690"/>
    <w:rsid w:val="0080063E"/>
    <w:rsid w:val="00800ACE"/>
    <w:rsid w:val="00801166"/>
    <w:rsid w:val="008011CC"/>
    <w:rsid w:val="00801404"/>
    <w:rsid w:val="008017AA"/>
    <w:rsid w:val="00801CBA"/>
    <w:rsid w:val="00801D92"/>
    <w:rsid w:val="0080262B"/>
    <w:rsid w:val="00803164"/>
    <w:rsid w:val="00804BCF"/>
    <w:rsid w:val="00804FA4"/>
    <w:rsid w:val="00805275"/>
    <w:rsid w:val="008065A2"/>
    <w:rsid w:val="00806A62"/>
    <w:rsid w:val="00806E55"/>
    <w:rsid w:val="008071F6"/>
    <w:rsid w:val="008075CE"/>
    <w:rsid w:val="0081118E"/>
    <w:rsid w:val="008113A5"/>
    <w:rsid w:val="0081140C"/>
    <w:rsid w:val="00812179"/>
    <w:rsid w:val="008122B7"/>
    <w:rsid w:val="008124E2"/>
    <w:rsid w:val="00812D33"/>
    <w:rsid w:val="00813106"/>
    <w:rsid w:val="00813906"/>
    <w:rsid w:val="00813928"/>
    <w:rsid w:val="00814670"/>
    <w:rsid w:val="0081525D"/>
    <w:rsid w:val="00815321"/>
    <w:rsid w:val="0081557D"/>
    <w:rsid w:val="008166DB"/>
    <w:rsid w:val="008173E0"/>
    <w:rsid w:val="008175C1"/>
    <w:rsid w:val="008176A9"/>
    <w:rsid w:val="00817EC7"/>
    <w:rsid w:val="008200D4"/>
    <w:rsid w:val="00820370"/>
    <w:rsid w:val="008209AC"/>
    <w:rsid w:val="00820CC6"/>
    <w:rsid w:val="00821C0C"/>
    <w:rsid w:val="00822363"/>
    <w:rsid w:val="00822706"/>
    <w:rsid w:val="0082285D"/>
    <w:rsid w:val="00822C41"/>
    <w:rsid w:val="00825043"/>
    <w:rsid w:val="00825267"/>
    <w:rsid w:val="00826238"/>
    <w:rsid w:val="008264EC"/>
    <w:rsid w:val="0082779E"/>
    <w:rsid w:val="00827ADD"/>
    <w:rsid w:val="00827C0D"/>
    <w:rsid w:val="00830642"/>
    <w:rsid w:val="00831250"/>
    <w:rsid w:val="00831D8D"/>
    <w:rsid w:val="00831FEC"/>
    <w:rsid w:val="008323E0"/>
    <w:rsid w:val="008333B7"/>
    <w:rsid w:val="008336EC"/>
    <w:rsid w:val="008337B9"/>
    <w:rsid w:val="00833E46"/>
    <w:rsid w:val="00834D56"/>
    <w:rsid w:val="00834FD2"/>
    <w:rsid w:val="00835084"/>
    <w:rsid w:val="00835131"/>
    <w:rsid w:val="00835184"/>
    <w:rsid w:val="00835569"/>
    <w:rsid w:val="00835802"/>
    <w:rsid w:val="00835EF0"/>
    <w:rsid w:val="00836295"/>
    <w:rsid w:val="00836724"/>
    <w:rsid w:val="008370EE"/>
    <w:rsid w:val="008375BC"/>
    <w:rsid w:val="00837AC0"/>
    <w:rsid w:val="00837C27"/>
    <w:rsid w:val="0084093F"/>
    <w:rsid w:val="0084098A"/>
    <w:rsid w:val="00840DB0"/>
    <w:rsid w:val="00840EDE"/>
    <w:rsid w:val="008411F5"/>
    <w:rsid w:val="008418A5"/>
    <w:rsid w:val="00841BDE"/>
    <w:rsid w:val="00842465"/>
    <w:rsid w:val="00843548"/>
    <w:rsid w:val="0084383C"/>
    <w:rsid w:val="00843CC0"/>
    <w:rsid w:val="00844ADD"/>
    <w:rsid w:val="00844CCE"/>
    <w:rsid w:val="00845058"/>
    <w:rsid w:val="0084534E"/>
    <w:rsid w:val="00846062"/>
    <w:rsid w:val="008474C1"/>
    <w:rsid w:val="00847C1C"/>
    <w:rsid w:val="00850321"/>
    <w:rsid w:val="0085055E"/>
    <w:rsid w:val="00850C3B"/>
    <w:rsid w:val="00851605"/>
    <w:rsid w:val="008520AF"/>
    <w:rsid w:val="00852CA0"/>
    <w:rsid w:val="00852D85"/>
    <w:rsid w:val="00852F6C"/>
    <w:rsid w:val="00853472"/>
    <w:rsid w:val="00853B42"/>
    <w:rsid w:val="0085465C"/>
    <w:rsid w:val="0085490E"/>
    <w:rsid w:val="00854967"/>
    <w:rsid w:val="0085540B"/>
    <w:rsid w:val="00855511"/>
    <w:rsid w:val="0085582C"/>
    <w:rsid w:val="00855B83"/>
    <w:rsid w:val="00855C01"/>
    <w:rsid w:val="00855FD3"/>
    <w:rsid w:val="00857086"/>
    <w:rsid w:val="0085712F"/>
    <w:rsid w:val="00857572"/>
    <w:rsid w:val="00860D0A"/>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84C"/>
    <w:rsid w:val="00864D7A"/>
    <w:rsid w:val="00865353"/>
    <w:rsid w:val="0086552B"/>
    <w:rsid w:val="008655A2"/>
    <w:rsid w:val="0086584F"/>
    <w:rsid w:val="00865D1B"/>
    <w:rsid w:val="008671C7"/>
    <w:rsid w:val="00867EB8"/>
    <w:rsid w:val="00870126"/>
    <w:rsid w:val="00870335"/>
    <w:rsid w:val="00870AA2"/>
    <w:rsid w:val="00872142"/>
    <w:rsid w:val="008722E7"/>
    <w:rsid w:val="0087310A"/>
    <w:rsid w:val="00873D88"/>
    <w:rsid w:val="0087433B"/>
    <w:rsid w:val="008752C5"/>
    <w:rsid w:val="0087621E"/>
    <w:rsid w:val="008767B2"/>
    <w:rsid w:val="00876E09"/>
    <w:rsid w:val="00877328"/>
    <w:rsid w:val="0087787A"/>
    <w:rsid w:val="008802F0"/>
    <w:rsid w:val="008808DF"/>
    <w:rsid w:val="00880992"/>
    <w:rsid w:val="00881692"/>
    <w:rsid w:val="008820F5"/>
    <w:rsid w:val="00883143"/>
    <w:rsid w:val="00883E69"/>
    <w:rsid w:val="00883F7A"/>
    <w:rsid w:val="00884322"/>
    <w:rsid w:val="008846AD"/>
    <w:rsid w:val="0088487B"/>
    <w:rsid w:val="00885825"/>
    <w:rsid w:val="00886154"/>
    <w:rsid w:val="00886705"/>
    <w:rsid w:val="00886718"/>
    <w:rsid w:val="00886CD5"/>
    <w:rsid w:val="0088724E"/>
    <w:rsid w:val="00887738"/>
    <w:rsid w:val="00890277"/>
    <w:rsid w:val="0089061A"/>
    <w:rsid w:val="00890FAE"/>
    <w:rsid w:val="00891077"/>
    <w:rsid w:val="008915C6"/>
    <w:rsid w:val="00891677"/>
    <w:rsid w:val="00892DB5"/>
    <w:rsid w:val="00893DA4"/>
    <w:rsid w:val="008940DA"/>
    <w:rsid w:val="00894B61"/>
    <w:rsid w:val="00895255"/>
    <w:rsid w:val="00895681"/>
    <w:rsid w:val="0089593D"/>
    <w:rsid w:val="00895B59"/>
    <w:rsid w:val="00895DF1"/>
    <w:rsid w:val="00896645"/>
    <w:rsid w:val="00896AAE"/>
    <w:rsid w:val="00897364"/>
    <w:rsid w:val="0089745D"/>
    <w:rsid w:val="008974E4"/>
    <w:rsid w:val="008975D2"/>
    <w:rsid w:val="00897857"/>
    <w:rsid w:val="008A035B"/>
    <w:rsid w:val="008A0459"/>
    <w:rsid w:val="008A1143"/>
    <w:rsid w:val="008A1218"/>
    <w:rsid w:val="008A15B6"/>
    <w:rsid w:val="008A1A6E"/>
    <w:rsid w:val="008A202A"/>
    <w:rsid w:val="008A36C9"/>
    <w:rsid w:val="008A3818"/>
    <w:rsid w:val="008A52F5"/>
    <w:rsid w:val="008A5AF9"/>
    <w:rsid w:val="008B0D03"/>
    <w:rsid w:val="008B0E58"/>
    <w:rsid w:val="008B16DE"/>
    <w:rsid w:val="008B1F7C"/>
    <w:rsid w:val="008B251F"/>
    <w:rsid w:val="008B2602"/>
    <w:rsid w:val="008B2727"/>
    <w:rsid w:val="008B316B"/>
    <w:rsid w:val="008B3DE6"/>
    <w:rsid w:val="008B5059"/>
    <w:rsid w:val="008B5BF2"/>
    <w:rsid w:val="008B639C"/>
    <w:rsid w:val="008B6934"/>
    <w:rsid w:val="008B6CF8"/>
    <w:rsid w:val="008B72F6"/>
    <w:rsid w:val="008C119E"/>
    <w:rsid w:val="008C1E24"/>
    <w:rsid w:val="008C25F7"/>
    <w:rsid w:val="008C26C9"/>
    <w:rsid w:val="008C296B"/>
    <w:rsid w:val="008C2A46"/>
    <w:rsid w:val="008C382F"/>
    <w:rsid w:val="008C3D1F"/>
    <w:rsid w:val="008C4278"/>
    <w:rsid w:val="008C4953"/>
    <w:rsid w:val="008C520E"/>
    <w:rsid w:val="008C563B"/>
    <w:rsid w:val="008C567E"/>
    <w:rsid w:val="008C5A74"/>
    <w:rsid w:val="008C5DEE"/>
    <w:rsid w:val="008C6285"/>
    <w:rsid w:val="008C6B70"/>
    <w:rsid w:val="008C7182"/>
    <w:rsid w:val="008C7268"/>
    <w:rsid w:val="008C7CA5"/>
    <w:rsid w:val="008C7D9D"/>
    <w:rsid w:val="008D02D9"/>
    <w:rsid w:val="008D0416"/>
    <w:rsid w:val="008D0C9B"/>
    <w:rsid w:val="008D13C6"/>
    <w:rsid w:val="008D1B04"/>
    <w:rsid w:val="008D1B8E"/>
    <w:rsid w:val="008D1C62"/>
    <w:rsid w:val="008D3235"/>
    <w:rsid w:val="008D33C8"/>
    <w:rsid w:val="008D3478"/>
    <w:rsid w:val="008D3893"/>
    <w:rsid w:val="008D45CD"/>
    <w:rsid w:val="008D4A34"/>
    <w:rsid w:val="008D55F1"/>
    <w:rsid w:val="008D5CD7"/>
    <w:rsid w:val="008D6521"/>
    <w:rsid w:val="008D718E"/>
    <w:rsid w:val="008D7867"/>
    <w:rsid w:val="008E06FB"/>
    <w:rsid w:val="008E09C5"/>
    <w:rsid w:val="008E0AA7"/>
    <w:rsid w:val="008E226B"/>
    <w:rsid w:val="008E2355"/>
    <w:rsid w:val="008E3151"/>
    <w:rsid w:val="008E3386"/>
    <w:rsid w:val="008E5410"/>
    <w:rsid w:val="008E5A3F"/>
    <w:rsid w:val="008E61AF"/>
    <w:rsid w:val="008E6C17"/>
    <w:rsid w:val="008E7209"/>
    <w:rsid w:val="008E7448"/>
    <w:rsid w:val="008E7BF4"/>
    <w:rsid w:val="008E7E8B"/>
    <w:rsid w:val="008F11BB"/>
    <w:rsid w:val="008F16FF"/>
    <w:rsid w:val="008F182F"/>
    <w:rsid w:val="008F1E95"/>
    <w:rsid w:val="008F2304"/>
    <w:rsid w:val="008F2E6E"/>
    <w:rsid w:val="008F39F7"/>
    <w:rsid w:val="008F4C4F"/>
    <w:rsid w:val="008F4D30"/>
    <w:rsid w:val="008F57DD"/>
    <w:rsid w:val="008F5AEE"/>
    <w:rsid w:val="008F63B8"/>
    <w:rsid w:val="008F6989"/>
    <w:rsid w:val="008F6EAA"/>
    <w:rsid w:val="008F7800"/>
    <w:rsid w:val="008F7BCA"/>
    <w:rsid w:val="009005B7"/>
    <w:rsid w:val="00900F4D"/>
    <w:rsid w:val="0090110D"/>
    <w:rsid w:val="0090167B"/>
    <w:rsid w:val="00902DEC"/>
    <w:rsid w:val="0090342E"/>
    <w:rsid w:val="00903D3A"/>
    <w:rsid w:val="009044B9"/>
    <w:rsid w:val="009046F5"/>
    <w:rsid w:val="009047B1"/>
    <w:rsid w:val="00904C86"/>
    <w:rsid w:val="00904F2C"/>
    <w:rsid w:val="009054BE"/>
    <w:rsid w:val="00905C1F"/>
    <w:rsid w:val="00905D9C"/>
    <w:rsid w:val="0090680D"/>
    <w:rsid w:val="00907CD7"/>
    <w:rsid w:val="009101AA"/>
    <w:rsid w:val="0091045D"/>
    <w:rsid w:val="00912161"/>
    <w:rsid w:val="0091281A"/>
    <w:rsid w:val="00912B24"/>
    <w:rsid w:val="009132A3"/>
    <w:rsid w:val="009139B5"/>
    <w:rsid w:val="00914514"/>
    <w:rsid w:val="00914534"/>
    <w:rsid w:val="00914549"/>
    <w:rsid w:val="009148A5"/>
    <w:rsid w:val="00914C08"/>
    <w:rsid w:val="00914F2F"/>
    <w:rsid w:val="00916057"/>
    <w:rsid w:val="009161A9"/>
    <w:rsid w:val="00916685"/>
    <w:rsid w:val="00916AD1"/>
    <w:rsid w:val="00916B65"/>
    <w:rsid w:val="00917637"/>
    <w:rsid w:val="00917EEE"/>
    <w:rsid w:val="00917FEE"/>
    <w:rsid w:val="0092023D"/>
    <w:rsid w:val="00920472"/>
    <w:rsid w:val="00920599"/>
    <w:rsid w:val="0092091E"/>
    <w:rsid w:val="00921149"/>
    <w:rsid w:val="00921251"/>
    <w:rsid w:val="009212AF"/>
    <w:rsid w:val="00921454"/>
    <w:rsid w:val="00921861"/>
    <w:rsid w:val="00921893"/>
    <w:rsid w:val="0092189E"/>
    <w:rsid w:val="009219FD"/>
    <w:rsid w:val="00921DF7"/>
    <w:rsid w:val="00922AB3"/>
    <w:rsid w:val="0092332C"/>
    <w:rsid w:val="009257B0"/>
    <w:rsid w:val="009258BD"/>
    <w:rsid w:val="00925DEB"/>
    <w:rsid w:val="009263C0"/>
    <w:rsid w:val="00926CE7"/>
    <w:rsid w:val="00926EED"/>
    <w:rsid w:val="009276F5"/>
    <w:rsid w:val="009302D4"/>
    <w:rsid w:val="009307F2"/>
    <w:rsid w:val="00930CEC"/>
    <w:rsid w:val="00930F4A"/>
    <w:rsid w:val="00933301"/>
    <w:rsid w:val="0093375E"/>
    <w:rsid w:val="009339CD"/>
    <w:rsid w:val="00933BEF"/>
    <w:rsid w:val="00934A85"/>
    <w:rsid w:val="00936492"/>
    <w:rsid w:val="00936651"/>
    <w:rsid w:val="00936819"/>
    <w:rsid w:val="009372FD"/>
    <w:rsid w:val="0093787E"/>
    <w:rsid w:val="009379F6"/>
    <w:rsid w:val="00937FDB"/>
    <w:rsid w:val="00940212"/>
    <w:rsid w:val="009412CC"/>
    <w:rsid w:val="00942237"/>
    <w:rsid w:val="0094388B"/>
    <w:rsid w:val="00943D09"/>
    <w:rsid w:val="009445A2"/>
    <w:rsid w:val="00944826"/>
    <w:rsid w:val="00944C84"/>
    <w:rsid w:val="009455D3"/>
    <w:rsid w:val="009457A1"/>
    <w:rsid w:val="00945E77"/>
    <w:rsid w:val="00945F75"/>
    <w:rsid w:val="00946083"/>
    <w:rsid w:val="00946664"/>
    <w:rsid w:val="009473BC"/>
    <w:rsid w:val="00947C5D"/>
    <w:rsid w:val="00947CA9"/>
    <w:rsid w:val="00950478"/>
    <w:rsid w:val="00950547"/>
    <w:rsid w:val="00950888"/>
    <w:rsid w:val="00950AF9"/>
    <w:rsid w:val="00950B5F"/>
    <w:rsid w:val="00950D35"/>
    <w:rsid w:val="0095144C"/>
    <w:rsid w:val="0095165B"/>
    <w:rsid w:val="009516B2"/>
    <w:rsid w:val="00951B17"/>
    <w:rsid w:val="00951B8D"/>
    <w:rsid w:val="00951D43"/>
    <w:rsid w:val="009536A8"/>
    <w:rsid w:val="00953E2E"/>
    <w:rsid w:val="00954596"/>
    <w:rsid w:val="00954749"/>
    <w:rsid w:val="00955851"/>
    <w:rsid w:val="00957E23"/>
    <w:rsid w:val="00960305"/>
    <w:rsid w:val="00960764"/>
    <w:rsid w:val="00961487"/>
    <w:rsid w:val="00961BA7"/>
    <w:rsid w:val="00961F01"/>
    <w:rsid w:val="00962162"/>
    <w:rsid w:val="009623BC"/>
    <w:rsid w:val="00962438"/>
    <w:rsid w:val="009628BE"/>
    <w:rsid w:val="009631C8"/>
    <w:rsid w:val="009632C0"/>
    <w:rsid w:val="00963A82"/>
    <w:rsid w:val="00963AE4"/>
    <w:rsid w:val="00963B58"/>
    <w:rsid w:val="00963C14"/>
    <w:rsid w:val="009645CD"/>
    <w:rsid w:val="00965940"/>
    <w:rsid w:val="00965A4E"/>
    <w:rsid w:val="00965BCF"/>
    <w:rsid w:val="00965C8F"/>
    <w:rsid w:val="00965D13"/>
    <w:rsid w:val="009661D8"/>
    <w:rsid w:val="00966A81"/>
    <w:rsid w:val="00966BE5"/>
    <w:rsid w:val="00966EB0"/>
    <w:rsid w:val="00967BFD"/>
    <w:rsid w:val="00967D19"/>
    <w:rsid w:val="00967DB0"/>
    <w:rsid w:val="00971028"/>
    <w:rsid w:val="00971116"/>
    <w:rsid w:val="00971A16"/>
    <w:rsid w:val="00972722"/>
    <w:rsid w:val="00972E28"/>
    <w:rsid w:val="00973030"/>
    <w:rsid w:val="00973358"/>
    <w:rsid w:val="009733F3"/>
    <w:rsid w:val="009744D0"/>
    <w:rsid w:val="0097451D"/>
    <w:rsid w:val="009746E8"/>
    <w:rsid w:val="009748E4"/>
    <w:rsid w:val="00975D8E"/>
    <w:rsid w:val="00975EC7"/>
    <w:rsid w:val="00975FAD"/>
    <w:rsid w:val="00976D17"/>
    <w:rsid w:val="00976D65"/>
    <w:rsid w:val="00977120"/>
    <w:rsid w:val="00977CE6"/>
    <w:rsid w:val="009807AC"/>
    <w:rsid w:val="0098086B"/>
    <w:rsid w:val="00980C18"/>
    <w:rsid w:val="009810E9"/>
    <w:rsid w:val="009811A6"/>
    <w:rsid w:val="0098141C"/>
    <w:rsid w:val="00981AA9"/>
    <w:rsid w:val="00981C91"/>
    <w:rsid w:val="009827CB"/>
    <w:rsid w:val="00982E21"/>
    <w:rsid w:val="00982F2B"/>
    <w:rsid w:val="00983132"/>
    <w:rsid w:val="00983314"/>
    <w:rsid w:val="00983C8A"/>
    <w:rsid w:val="00983DF2"/>
    <w:rsid w:val="00984281"/>
    <w:rsid w:val="0098433A"/>
    <w:rsid w:val="00984D73"/>
    <w:rsid w:val="0098536E"/>
    <w:rsid w:val="00985675"/>
    <w:rsid w:val="00985939"/>
    <w:rsid w:val="00985E34"/>
    <w:rsid w:val="0098637F"/>
    <w:rsid w:val="009867FE"/>
    <w:rsid w:val="00986A9B"/>
    <w:rsid w:val="00986B9C"/>
    <w:rsid w:val="009875E3"/>
    <w:rsid w:val="00987BAB"/>
    <w:rsid w:val="009901EE"/>
    <w:rsid w:val="009906BF"/>
    <w:rsid w:val="009909F7"/>
    <w:rsid w:val="009913F3"/>
    <w:rsid w:val="00991816"/>
    <w:rsid w:val="00991DA1"/>
    <w:rsid w:val="009927F1"/>
    <w:rsid w:val="009930C4"/>
    <w:rsid w:val="009936C4"/>
    <w:rsid w:val="009937AB"/>
    <w:rsid w:val="009948ED"/>
    <w:rsid w:val="00995781"/>
    <w:rsid w:val="00995ADA"/>
    <w:rsid w:val="00995CBC"/>
    <w:rsid w:val="00995D03"/>
    <w:rsid w:val="00995D6E"/>
    <w:rsid w:val="0099643A"/>
    <w:rsid w:val="00997959"/>
    <w:rsid w:val="009A06B3"/>
    <w:rsid w:val="009A0B72"/>
    <w:rsid w:val="009A0BAF"/>
    <w:rsid w:val="009A0D4B"/>
    <w:rsid w:val="009A1431"/>
    <w:rsid w:val="009A153D"/>
    <w:rsid w:val="009A1634"/>
    <w:rsid w:val="009A1B5A"/>
    <w:rsid w:val="009A1FDE"/>
    <w:rsid w:val="009A2043"/>
    <w:rsid w:val="009A27C2"/>
    <w:rsid w:val="009A315B"/>
    <w:rsid w:val="009A3901"/>
    <w:rsid w:val="009A3A34"/>
    <w:rsid w:val="009A3FE2"/>
    <w:rsid w:val="009A400C"/>
    <w:rsid w:val="009A4B2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3E7E"/>
    <w:rsid w:val="009B4027"/>
    <w:rsid w:val="009B4975"/>
    <w:rsid w:val="009B4CE9"/>
    <w:rsid w:val="009B51A4"/>
    <w:rsid w:val="009B561F"/>
    <w:rsid w:val="009B5773"/>
    <w:rsid w:val="009B5D2D"/>
    <w:rsid w:val="009B5D84"/>
    <w:rsid w:val="009C047F"/>
    <w:rsid w:val="009C058F"/>
    <w:rsid w:val="009C088E"/>
    <w:rsid w:val="009C0A88"/>
    <w:rsid w:val="009C0FA6"/>
    <w:rsid w:val="009C17F6"/>
    <w:rsid w:val="009C19DE"/>
    <w:rsid w:val="009C1DBF"/>
    <w:rsid w:val="009C1ED0"/>
    <w:rsid w:val="009C20D1"/>
    <w:rsid w:val="009C2B3E"/>
    <w:rsid w:val="009C2C99"/>
    <w:rsid w:val="009C2EA2"/>
    <w:rsid w:val="009C3721"/>
    <w:rsid w:val="009C3C37"/>
    <w:rsid w:val="009C4141"/>
    <w:rsid w:val="009C4B55"/>
    <w:rsid w:val="009C5723"/>
    <w:rsid w:val="009C5C9C"/>
    <w:rsid w:val="009C5FCC"/>
    <w:rsid w:val="009C61A2"/>
    <w:rsid w:val="009C6DF6"/>
    <w:rsid w:val="009C6E92"/>
    <w:rsid w:val="009C712B"/>
    <w:rsid w:val="009C7D4E"/>
    <w:rsid w:val="009D04F7"/>
    <w:rsid w:val="009D136E"/>
    <w:rsid w:val="009D14F0"/>
    <w:rsid w:val="009D1589"/>
    <w:rsid w:val="009D17EE"/>
    <w:rsid w:val="009D1820"/>
    <w:rsid w:val="009D1C7D"/>
    <w:rsid w:val="009D2003"/>
    <w:rsid w:val="009D225A"/>
    <w:rsid w:val="009D3597"/>
    <w:rsid w:val="009D38C2"/>
    <w:rsid w:val="009D3FC3"/>
    <w:rsid w:val="009D403D"/>
    <w:rsid w:val="009D417F"/>
    <w:rsid w:val="009D45E5"/>
    <w:rsid w:val="009D4981"/>
    <w:rsid w:val="009D4A4F"/>
    <w:rsid w:val="009D4B85"/>
    <w:rsid w:val="009D4C26"/>
    <w:rsid w:val="009D50A2"/>
    <w:rsid w:val="009D535B"/>
    <w:rsid w:val="009D5A85"/>
    <w:rsid w:val="009D6043"/>
    <w:rsid w:val="009D630B"/>
    <w:rsid w:val="009D6C19"/>
    <w:rsid w:val="009D6CAA"/>
    <w:rsid w:val="009D6CF6"/>
    <w:rsid w:val="009D6D0E"/>
    <w:rsid w:val="009D6E69"/>
    <w:rsid w:val="009E02DC"/>
    <w:rsid w:val="009E10B5"/>
    <w:rsid w:val="009E19C3"/>
    <w:rsid w:val="009E2040"/>
    <w:rsid w:val="009E2429"/>
    <w:rsid w:val="009E422F"/>
    <w:rsid w:val="009E436E"/>
    <w:rsid w:val="009E49AE"/>
    <w:rsid w:val="009E4B8F"/>
    <w:rsid w:val="009E4DC7"/>
    <w:rsid w:val="009E5603"/>
    <w:rsid w:val="009E57A5"/>
    <w:rsid w:val="009E5D55"/>
    <w:rsid w:val="009E660A"/>
    <w:rsid w:val="009E6AD1"/>
    <w:rsid w:val="009E6B64"/>
    <w:rsid w:val="009E72E5"/>
    <w:rsid w:val="009E795D"/>
    <w:rsid w:val="009F1330"/>
    <w:rsid w:val="009F1BC5"/>
    <w:rsid w:val="009F3EEF"/>
    <w:rsid w:val="009F46C8"/>
    <w:rsid w:val="009F46FD"/>
    <w:rsid w:val="009F4F2A"/>
    <w:rsid w:val="009F56CE"/>
    <w:rsid w:val="009F600E"/>
    <w:rsid w:val="009F660B"/>
    <w:rsid w:val="009F671E"/>
    <w:rsid w:val="009F73D3"/>
    <w:rsid w:val="009F7772"/>
    <w:rsid w:val="009F7ED1"/>
    <w:rsid w:val="00A0149B"/>
    <w:rsid w:val="00A01536"/>
    <w:rsid w:val="00A015EF"/>
    <w:rsid w:val="00A01607"/>
    <w:rsid w:val="00A018D4"/>
    <w:rsid w:val="00A01DB2"/>
    <w:rsid w:val="00A02F9D"/>
    <w:rsid w:val="00A03767"/>
    <w:rsid w:val="00A04834"/>
    <w:rsid w:val="00A04B70"/>
    <w:rsid w:val="00A05171"/>
    <w:rsid w:val="00A05628"/>
    <w:rsid w:val="00A05FAA"/>
    <w:rsid w:val="00A07540"/>
    <w:rsid w:val="00A07DCF"/>
    <w:rsid w:val="00A11984"/>
    <w:rsid w:val="00A1239F"/>
    <w:rsid w:val="00A12979"/>
    <w:rsid w:val="00A12F1B"/>
    <w:rsid w:val="00A131A9"/>
    <w:rsid w:val="00A134E6"/>
    <w:rsid w:val="00A135A2"/>
    <w:rsid w:val="00A140CE"/>
    <w:rsid w:val="00A1441C"/>
    <w:rsid w:val="00A1496E"/>
    <w:rsid w:val="00A14A51"/>
    <w:rsid w:val="00A14B77"/>
    <w:rsid w:val="00A14F84"/>
    <w:rsid w:val="00A159E0"/>
    <w:rsid w:val="00A161EB"/>
    <w:rsid w:val="00A1629B"/>
    <w:rsid w:val="00A16D6D"/>
    <w:rsid w:val="00A17BF8"/>
    <w:rsid w:val="00A17C75"/>
    <w:rsid w:val="00A209D0"/>
    <w:rsid w:val="00A211C8"/>
    <w:rsid w:val="00A2121E"/>
    <w:rsid w:val="00A21EAC"/>
    <w:rsid w:val="00A221DE"/>
    <w:rsid w:val="00A22541"/>
    <w:rsid w:val="00A2271A"/>
    <w:rsid w:val="00A22CB2"/>
    <w:rsid w:val="00A23138"/>
    <w:rsid w:val="00A23940"/>
    <w:rsid w:val="00A23ECC"/>
    <w:rsid w:val="00A247D2"/>
    <w:rsid w:val="00A24CD3"/>
    <w:rsid w:val="00A24F4F"/>
    <w:rsid w:val="00A24FB6"/>
    <w:rsid w:val="00A2514A"/>
    <w:rsid w:val="00A25461"/>
    <w:rsid w:val="00A25C52"/>
    <w:rsid w:val="00A26040"/>
    <w:rsid w:val="00A26367"/>
    <w:rsid w:val="00A2678A"/>
    <w:rsid w:val="00A269E1"/>
    <w:rsid w:val="00A26E90"/>
    <w:rsid w:val="00A27C1C"/>
    <w:rsid w:val="00A30F6A"/>
    <w:rsid w:val="00A317DB"/>
    <w:rsid w:val="00A31D45"/>
    <w:rsid w:val="00A321B4"/>
    <w:rsid w:val="00A32919"/>
    <w:rsid w:val="00A32A3A"/>
    <w:rsid w:val="00A32AEA"/>
    <w:rsid w:val="00A32F32"/>
    <w:rsid w:val="00A33E80"/>
    <w:rsid w:val="00A33EFE"/>
    <w:rsid w:val="00A370E9"/>
    <w:rsid w:val="00A409A6"/>
    <w:rsid w:val="00A4148D"/>
    <w:rsid w:val="00A414F5"/>
    <w:rsid w:val="00A42692"/>
    <w:rsid w:val="00A430F2"/>
    <w:rsid w:val="00A43872"/>
    <w:rsid w:val="00A44108"/>
    <w:rsid w:val="00A44B4E"/>
    <w:rsid w:val="00A44D0E"/>
    <w:rsid w:val="00A4621D"/>
    <w:rsid w:val="00A46864"/>
    <w:rsid w:val="00A500FB"/>
    <w:rsid w:val="00A509FB"/>
    <w:rsid w:val="00A518C2"/>
    <w:rsid w:val="00A51C19"/>
    <w:rsid w:val="00A51DCF"/>
    <w:rsid w:val="00A51E04"/>
    <w:rsid w:val="00A522B5"/>
    <w:rsid w:val="00A52C31"/>
    <w:rsid w:val="00A52D38"/>
    <w:rsid w:val="00A52F37"/>
    <w:rsid w:val="00A5304D"/>
    <w:rsid w:val="00A532AA"/>
    <w:rsid w:val="00A533C5"/>
    <w:rsid w:val="00A5388C"/>
    <w:rsid w:val="00A5397B"/>
    <w:rsid w:val="00A53BE1"/>
    <w:rsid w:val="00A54644"/>
    <w:rsid w:val="00A54F8F"/>
    <w:rsid w:val="00A55921"/>
    <w:rsid w:val="00A55955"/>
    <w:rsid w:val="00A5609A"/>
    <w:rsid w:val="00A560E3"/>
    <w:rsid w:val="00A5628F"/>
    <w:rsid w:val="00A564AF"/>
    <w:rsid w:val="00A566A8"/>
    <w:rsid w:val="00A56D0B"/>
    <w:rsid w:val="00A5775C"/>
    <w:rsid w:val="00A57C1E"/>
    <w:rsid w:val="00A57D74"/>
    <w:rsid w:val="00A60832"/>
    <w:rsid w:val="00A60E3E"/>
    <w:rsid w:val="00A60E72"/>
    <w:rsid w:val="00A61F0C"/>
    <w:rsid w:val="00A61FF0"/>
    <w:rsid w:val="00A620A1"/>
    <w:rsid w:val="00A62580"/>
    <w:rsid w:val="00A62C33"/>
    <w:rsid w:val="00A633A6"/>
    <w:rsid w:val="00A63AC9"/>
    <w:rsid w:val="00A64502"/>
    <w:rsid w:val="00A64B5F"/>
    <w:rsid w:val="00A64DF0"/>
    <w:rsid w:val="00A65EA0"/>
    <w:rsid w:val="00A66517"/>
    <w:rsid w:val="00A67B0E"/>
    <w:rsid w:val="00A704B3"/>
    <w:rsid w:val="00A718EF"/>
    <w:rsid w:val="00A72134"/>
    <w:rsid w:val="00A7228B"/>
    <w:rsid w:val="00A726A8"/>
    <w:rsid w:val="00A72951"/>
    <w:rsid w:val="00A73505"/>
    <w:rsid w:val="00A73FCD"/>
    <w:rsid w:val="00A74B45"/>
    <w:rsid w:val="00A74C34"/>
    <w:rsid w:val="00A75E02"/>
    <w:rsid w:val="00A76E79"/>
    <w:rsid w:val="00A7771B"/>
    <w:rsid w:val="00A7785D"/>
    <w:rsid w:val="00A77B53"/>
    <w:rsid w:val="00A811F1"/>
    <w:rsid w:val="00A82887"/>
    <w:rsid w:val="00A83010"/>
    <w:rsid w:val="00A830A8"/>
    <w:rsid w:val="00A83559"/>
    <w:rsid w:val="00A83A4A"/>
    <w:rsid w:val="00A83BF5"/>
    <w:rsid w:val="00A84CD1"/>
    <w:rsid w:val="00A85E2E"/>
    <w:rsid w:val="00A861F3"/>
    <w:rsid w:val="00A8728F"/>
    <w:rsid w:val="00A8756A"/>
    <w:rsid w:val="00A87F7D"/>
    <w:rsid w:val="00A906B7"/>
    <w:rsid w:val="00A9070E"/>
    <w:rsid w:val="00A91B28"/>
    <w:rsid w:val="00A920AD"/>
    <w:rsid w:val="00A92DD4"/>
    <w:rsid w:val="00A93A69"/>
    <w:rsid w:val="00A9460B"/>
    <w:rsid w:val="00A948D0"/>
    <w:rsid w:val="00A94D0F"/>
    <w:rsid w:val="00A94F13"/>
    <w:rsid w:val="00A9568C"/>
    <w:rsid w:val="00A95BED"/>
    <w:rsid w:val="00A95EA2"/>
    <w:rsid w:val="00A97297"/>
    <w:rsid w:val="00A9787E"/>
    <w:rsid w:val="00A97AF9"/>
    <w:rsid w:val="00AA08E8"/>
    <w:rsid w:val="00AA0DB4"/>
    <w:rsid w:val="00AA11C5"/>
    <w:rsid w:val="00AA17E2"/>
    <w:rsid w:val="00AA21B7"/>
    <w:rsid w:val="00AA2F7A"/>
    <w:rsid w:val="00AA3827"/>
    <w:rsid w:val="00AA382D"/>
    <w:rsid w:val="00AA4A2C"/>
    <w:rsid w:val="00AA549F"/>
    <w:rsid w:val="00AA58A2"/>
    <w:rsid w:val="00AA59A6"/>
    <w:rsid w:val="00AA59E9"/>
    <w:rsid w:val="00AA5CA3"/>
    <w:rsid w:val="00AA5FED"/>
    <w:rsid w:val="00AA6299"/>
    <w:rsid w:val="00AA6E05"/>
    <w:rsid w:val="00AB0262"/>
    <w:rsid w:val="00AB14A1"/>
    <w:rsid w:val="00AB202A"/>
    <w:rsid w:val="00AB3852"/>
    <w:rsid w:val="00AB45B5"/>
    <w:rsid w:val="00AB52E6"/>
    <w:rsid w:val="00AB5555"/>
    <w:rsid w:val="00AB55AD"/>
    <w:rsid w:val="00AB5947"/>
    <w:rsid w:val="00AB5D1B"/>
    <w:rsid w:val="00AB5F2F"/>
    <w:rsid w:val="00AB6127"/>
    <w:rsid w:val="00AB6918"/>
    <w:rsid w:val="00AB6B40"/>
    <w:rsid w:val="00AB740A"/>
    <w:rsid w:val="00AB76C3"/>
    <w:rsid w:val="00AB797C"/>
    <w:rsid w:val="00AC034D"/>
    <w:rsid w:val="00AC1DA5"/>
    <w:rsid w:val="00AC1F21"/>
    <w:rsid w:val="00AC216B"/>
    <w:rsid w:val="00AC236F"/>
    <w:rsid w:val="00AC26B1"/>
    <w:rsid w:val="00AC42B8"/>
    <w:rsid w:val="00AC437C"/>
    <w:rsid w:val="00AC45C5"/>
    <w:rsid w:val="00AC4673"/>
    <w:rsid w:val="00AC4791"/>
    <w:rsid w:val="00AC4ECD"/>
    <w:rsid w:val="00AC4FB6"/>
    <w:rsid w:val="00AC4FD1"/>
    <w:rsid w:val="00AC586B"/>
    <w:rsid w:val="00AC5C71"/>
    <w:rsid w:val="00AC5FEF"/>
    <w:rsid w:val="00AC6036"/>
    <w:rsid w:val="00AC68DC"/>
    <w:rsid w:val="00AC6EC6"/>
    <w:rsid w:val="00AC7B0B"/>
    <w:rsid w:val="00AD0328"/>
    <w:rsid w:val="00AD11DC"/>
    <w:rsid w:val="00AD1966"/>
    <w:rsid w:val="00AD19E8"/>
    <w:rsid w:val="00AD2B03"/>
    <w:rsid w:val="00AD2E07"/>
    <w:rsid w:val="00AD37AF"/>
    <w:rsid w:val="00AD38A9"/>
    <w:rsid w:val="00AD4071"/>
    <w:rsid w:val="00AD4317"/>
    <w:rsid w:val="00AD44EA"/>
    <w:rsid w:val="00AD4782"/>
    <w:rsid w:val="00AD4C24"/>
    <w:rsid w:val="00AD5236"/>
    <w:rsid w:val="00AD527D"/>
    <w:rsid w:val="00AD54E0"/>
    <w:rsid w:val="00AD758E"/>
    <w:rsid w:val="00AD7AB5"/>
    <w:rsid w:val="00AE08B7"/>
    <w:rsid w:val="00AE0DBA"/>
    <w:rsid w:val="00AE160F"/>
    <w:rsid w:val="00AE21DC"/>
    <w:rsid w:val="00AE239B"/>
    <w:rsid w:val="00AE25D2"/>
    <w:rsid w:val="00AE28E1"/>
    <w:rsid w:val="00AE2B47"/>
    <w:rsid w:val="00AE2CAD"/>
    <w:rsid w:val="00AE3090"/>
    <w:rsid w:val="00AE3182"/>
    <w:rsid w:val="00AE380E"/>
    <w:rsid w:val="00AE3AAD"/>
    <w:rsid w:val="00AE3EB1"/>
    <w:rsid w:val="00AE4189"/>
    <w:rsid w:val="00AE41A4"/>
    <w:rsid w:val="00AE503A"/>
    <w:rsid w:val="00AE5A9A"/>
    <w:rsid w:val="00AE68E2"/>
    <w:rsid w:val="00AE6C75"/>
    <w:rsid w:val="00AE74D5"/>
    <w:rsid w:val="00AE7AB1"/>
    <w:rsid w:val="00AE7D6A"/>
    <w:rsid w:val="00AF0157"/>
    <w:rsid w:val="00AF1206"/>
    <w:rsid w:val="00AF1FC6"/>
    <w:rsid w:val="00AF2D5B"/>
    <w:rsid w:val="00AF2EC7"/>
    <w:rsid w:val="00AF3AC0"/>
    <w:rsid w:val="00AF4750"/>
    <w:rsid w:val="00AF4F4A"/>
    <w:rsid w:val="00AF6CEC"/>
    <w:rsid w:val="00AF6D53"/>
    <w:rsid w:val="00AF7078"/>
    <w:rsid w:val="00AF7389"/>
    <w:rsid w:val="00B00C24"/>
    <w:rsid w:val="00B00F93"/>
    <w:rsid w:val="00B01BBE"/>
    <w:rsid w:val="00B03F92"/>
    <w:rsid w:val="00B04648"/>
    <w:rsid w:val="00B055D8"/>
    <w:rsid w:val="00B06CD6"/>
    <w:rsid w:val="00B06EBC"/>
    <w:rsid w:val="00B1064A"/>
    <w:rsid w:val="00B10A12"/>
    <w:rsid w:val="00B11D2D"/>
    <w:rsid w:val="00B123F0"/>
    <w:rsid w:val="00B12891"/>
    <w:rsid w:val="00B143B9"/>
    <w:rsid w:val="00B146C1"/>
    <w:rsid w:val="00B146E7"/>
    <w:rsid w:val="00B149D6"/>
    <w:rsid w:val="00B14F69"/>
    <w:rsid w:val="00B156DF"/>
    <w:rsid w:val="00B15ABB"/>
    <w:rsid w:val="00B15EC5"/>
    <w:rsid w:val="00B16629"/>
    <w:rsid w:val="00B16973"/>
    <w:rsid w:val="00B2036A"/>
    <w:rsid w:val="00B21057"/>
    <w:rsid w:val="00B210AB"/>
    <w:rsid w:val="00B21279"/>
    <w:rsid w:val="00B2202B"/>
    <w:rsid w:val="00B23422"/>
    <w:rsid w:val="00B23D37"/>
    <w:rsid w:val="00B24948"/>
    <w:rsid w:val="00B24B25"/>
    <w:rsid w:val="00B24CBD"/>
    <w:rsid w:val="00B25CA3"/>
    <w:rsid w:val="00B25E38"/>
    <w:rsid w:val="00B30028"/>
    <w:rsid w:val="00B3074F"/>
    <w:rsid w:val="00B31753"/>
    <w:rsid w:val="00B31E8D"/>
    <w:rsid w:val="00B32021"/>
    <w:rsid w:val="00B3313B"/>
    <w:rsid w:val="00B331E8"/>
    <w:rsid w:val="00B331EA"/>
    <w:rsid w:val="00B34732"/>
    <w:rsid w:val="00B353B8"/>
    <w:rsid w:val="00B35C56"/>
    <w:rsid w:val="00B36F17"/>
    <w:rsid w:val="00B372ED"/>
    <w:rsid w:val="00B374E3"/>
    <w:rsid w:val="00B37951"/>
    <w:rsid w:val="00B37A41"/>
    <w:rsid w:val="00B4042A"/>
    <w:rsid w:val="00B40603"/>
    <w:rsid w:val="00B406E8"/>
    <w:rsid w:val="00B40A46"/>
    <w:rsid w:val="00B40AF6"/>
    <w:rsid w:val="00B41071"/>
    <w:rsid w:val="00B41466"/>
    <w:rsid w:val="00B420C6"/>
    <w:rsid w:val="00B425C0"/>
    <w:rsid w:val="00B42DB6"/>
    <w:rsid w:val="00B42F75"/>
    <w:rsid w:val="00B435F4"/>
    <w:rsid w:val="00B43615"/>
    <w:rsid w:val="00B438EC"/>
    <w:rsid w:val="00B44576"/>
    <w:rsid w:val="00B450FD"/>
    <w:rsid w:val="00B4562D"/>
    <w:rsid w:val="00B4619B"/>
    <w:rsid w:val="00B46957"/>
    <w:rsid w:val="00B46C66"/>
    <w:rsid w:val="00B471F7"/>
    <w:rsid w:val="00B47925"/>
    <w:rsid w:val="00B47B54"/>
    <w:rsid w:val="00B47D67"/>
    <w:rsid w:val="00B50E99"/>
    <w:rsid w:val="00B51620"/>
    <w:rsid w:val="00B51926"/>
    <w:rsid w:val="00B51CFA"/>
    <w:rsid w:val="00B51F9A"/>
    <w:rsid w:val="00B5203B"/>
    <w:rsid w:val="00B5213E"/>
    <w:rsid w:val="00B52506"/>
    <w:rsid w:val="00B54DA7"/>
    <w:rsid w:val="00B55556"/>
    <w:rsid w:val="00B55775"/>
    <w:rsid w:val="00B55F1B"/>
    <w:rsid w:val="00B56A36"/>
    <w:rsid w:val="00B574CE"/>
    <w:rsid w:val="00B579B5"/>
    <w:rsid w:val="00B600C6"/>
    <w:rsid w:val="00B60167"/>
    <w:rsid w:val="00B60FC0"/>
    <w:rsid w:val="00B61665"/>
    <w:rsid w:val="00B6294B"/>
    <w:rsid w:val="00B62ADA"/>
    <w:rsid w:val="00B63528"/>
    <w:rsid w:val="00B63C91"/>
    <w:rsid w:val="00B63DAF"/>
    <w:rsid w:val="00B63E07"/>
    <w:rsid w:val="00B63E98"/>
    <w:rsid w:val="00B64311"/>
    <w:rsid w:val="00B65754"/>
    <w:rsid w:val="00B6612C"/>
    <w:rsid w:val="00B661AA"/>
    <w:rsid w:val="00B66242"/>
    <w:rsid w:val="00B670D3"/>
    <w:rsid w:val="00B6783F"/>
    <w:rsid w:val="00B67958"/>
    <w:rsid w:val="00B67B02"/>
    <w:rsid w:val="00B700BE"/>
    <w:rsid w:val="00B701D1"/>
    <w:rsid w:val="00B70E32"/>
    <w:rsid w:val="00B70ECB"/>
    <w:rsid w:val="00B716BB"/>
    <w:rsid w:val="00B716FD"/>
    <w:rsid w:val="00B72931"/>
    <w:rsid w:val="00B734C2"/>
    <w:rsid w:val="00B73683"/>
    <w:rsid w:val="00B73BDA"/>
    <w:rsid w:val="00B74053"/>
    <w:rsid w:val="00B74B16"/>
    <w:rsid w:val="00B74DF7"/>
    <w:rsid w:val="00B7587B"/>
    <w:rsid w:val="00B765A0"/>
    <w:rsid w:val="00B7694C"/>
    <w:rsid w:val="00B76C02"/>
    <w:rsid w:val="00B7750B"/>
    <w:rsid w:val="00B77BD2"/>
    <w:rsid w:val="00B77DC1"/>
    <w:rsid w:val="00B8013A"/>
    <w:rsid w:val="00B814CB"/>
    <w:rsid w:val="00B81B6A"/>
    <w:rsid w:val="00B820F4"/>
    <w:rsid w:val="00B835E0"/>
    <w:rsid w:val="00B8396D"/>
    <w:rsid w:val="00B84AE5"/>
    <w:rsid w:val="00B84D78"/>
    <w:rsid w:val="00B85652"/>
    <w:rsid w:val="00B86ABE"/>
    <w:rsid w:val="00B87A62"/>
    <w:rsid w:val="00B87D72"/>
    <w:rsid w:val="00B90331"/>
    <w:rsid w:val="00B903ED"/>
    <w:rsid w:val="00B904A6"/>
    <w:rsid w:val="00B909AE"/>
    <w:rsid w:val="00B90B2D"/>
    <w:rsid w:val="00B9132F"/>
    <w:rsid w:val="00B91C57"/>
    <w:rsid w:val="00B91DEE"/>
    <w:rsid w:val="00B924F3"/>
    <w:rsid w:val="00B929C3"/>
    <w:rsid w:val="00B935A1"/>
    <w:rsid w:val="00B95DAD"/>
    <w:rsid w:val="00B965A5"/>
    <w:rsid w:val="00B96C0C"/>
    <w:rsid w:val="00B9734D"/>
    <w:rsid w:val="00B97732"/>
    <w:rsid w:val="00B97D39"/>
    <w:rsid w:val="00BA27F4"/>
    <w:rsid w:val="00BA2E40"/>
    <w:rsid w:val="00BA30AE"/>
    <w:rsid w:val="00BA3CB7"/>
    <w:rsid w:val="00BA3EA4"/>
    <w:rsid w:val="00BA40C0"/>
    <w:rsid w:val="00BA41DE"/>
    <w:rsid w:val="00BA556C"/>
    <w:rsid w:val="00BA56BD"/>
    <w:rsid w:val="00BA5717"/>
    <w:rsid w:val="00BA58B7"/>
    <w:rsid w:val="00BA738F"/>
    <w:rsid w:val="00BB0F31"/>
    <w:rsid w:val="00BB15AB"/>
    <w:rsid w:val="00BB189B"/>
    <w:rsid w:val="00BB1D21"/>
    <w:rsid w:val="00BB1FA5"/>
    <w:rsid w:val="00BB2E51"/>
    <w:rsid w:val="00BB31F9"/>
    <w:rsid w:val="00BB348C"/>
    <w:rsid w:val="00BB4282"/>
    <w:rsid w:val="00BB4BEA"/>
    <w:rsid w:val="00BB4C1A"/>
    <w:rsid w:val="00BB4E33"/>
    <w:rsid w:val="00BB50AB"/>
    <w:rsid w:val="00BB6664"/>
    <w:rsid w:val="00BB6E47"/>
    <w:rsid w:val="00BB6EF0"/>
    <w:rsid w:val="00BB726E"/>
    <w:rsid w:val="00BB75F5"/>
    <w:rsid w:val="00BB7673"/>
    <w:rsid w:val="00BB79E7"/>
    <w:rsid w:val="00BB7AB5"/>
    <w:rsid w:val="00BC01FC"/>
    <w:rsid w:val="00BC03ED"/>
    <w:rsid w:val="00BC0656"/>
    <w:rsid w:val="00BC1088"/>
    <w:rsid w:val="00BC1F79"/>
    <w:rsid w:val="00BC2201"/>
    <w:rsid w:val="00BC232F"/>
    <w:rsid w:val="00BC3C7A"/>
    <w:rsid w:val="00BC7DC6"/>
    <w:rsid w:val="00BC7E56"/>
    <w:rsid w:val="00BD0216"/>
    <w:rsid w:val="00BD033C"/>
    <w:rsid w:val="00BD0DAA"/>
    <w:rsid w:val="00BD0DB2"/>
    <w:rsid w:val="00BD1039"/>
    <w:rsid w:val="00BD13B5"/>
    <w:rsid w:val="00BD2458"/>
    <w:rsid w:val="00BD24B3"/>
    <w:rsid w:val="00BD2EFC"/>
    <w:rsid w:val="00BD340E"/>
    <w:rsid w:val="00BD348E"/>
    <w:rsid w:val="00BD3742"/>
    <w:rsid w:val="00BD41EC"/>
    <w:rsid w:val="00BD5A22"/>
    <w:rsid w:val="00BD60AD"/>
    <w:rsid w:val="00BD640D"/>
    <w:rsid w:val="00BD6742"/>
    <w:rsid w:val="00BD6C02"/>
    <w:rsid w:val="00BE1244"/>
    <w:rsid w:val="00BE165A"/>
    <w:rsid w:val="00BE165D"/>
    <w:rsid w:val="00BE17F7"/>
    <w:rsid w:val="00BE2131"/>
    <w:rsid w:val="00BE2394"/>
    <w:rsid w:val="00BE2702"/>
    <w:rsid w:val="00BE2B0C"/>
    <w:rsid w:val="00BE4187"/>
    <w:rsid w:val="00BE4326"/>
    <w:rsid w:val="00BE45C4"/>
    <w:rsid w:val="00BE4A7B"/>
    <w:rsid w:val="00BE56FC"/>
    <w:rsid w:val="00BE5F4F"/>
    <w:rsid w:val="00BE60DB"/>
    <w:rsid w:val="00BE6274"/>
    <w:rsid w:val="00BE69EF"/>
    <w:rsid w:val="00BF0191"/>
    <w:rsid w:val="00BF13AF"/>
    <w:rsid w:val="00BF13EC"/>
    <w:rsid w:val="00BF1C07"/>
    <w:rsid w:val="00BF1D8A"/>
    <w:rsid w:val="00BF1D8E"/>
    <w:rsid w:val="00BF26CD"/>
    <w:rsid w:val="00BF26FC"/>
    <w:rsid w:val="00BF3807"/>
    <w:rsid w:val="00BF3DEE"/>
    <w:rsid w:val="00BF40DB"/>
    <w:rsid w:val="00BF54AC"/>
    <w:rsid w:val="00BF54BD"/>
    <w:rsid w:val="00BF6939"/>
    <w:rsid w:val="00BF6996"/>
    <w:rsid w:val="00BF6B8E"/>
    <w:rsid w:val="00C01137"/>
    <w:rsid w:val="00C025A5"/>
    <w:rsid w:val="00C02923"/>
    <w:rsid w:val="00C02C78"/>
    <w:rsid w:val="00C03C78"/>
    <w:rsid w:val="00C04DED"/>
    <w:rsid w:val="00C04FD3"/>
    <w:rsid w:val="00C0634F"/>
    <w:rsid w:val="00C065A2"/>
    <w:rsid w:val="00C06A6F"/>
    <w:rsid w:val="00C07919"/>
    <w:rsid w:val="00C103F9"/>
    <w:rsid w:val="00C104AC"/>
    <w:rsid w:val="00C105F8"/>
    <w:rsid w:val="00C107E1"/>
    <w:rsid w:val="00C110DB"/>
    <w:rsid w:val="00C110E1"/>
    <w:rsid w:val="00C1131D"/>
    <w:rsid w:val="00C11345"/>
    <w:rsid w:val="00C11680"/>
    <w:rsid w:val="00C1198F"/>
    <w:rsid w:val="00C11BFE"/>
    <w:rsid w:val="00C11FA1"/>
    <w:rsid w:val="00C12E21"/>
    <w:rsid w:val="00C12E65"/>
    <w:rsid w:val="00C130EF"/>
    <w:rsid w:val="00C13C20"/>
    <w:rsid w:val="00C13F74"/>
    <w:rsid w:val="00C146D3"/>
    <w:rsid w:val="00C14928"/>
    <w:rsid w:val="00C14934"/>
    <w:rsid w:val="00C14B84"/>
    <w:rsid w:val="00C1637E"/>
    <w:rsid w:val="00C16BE0"/>
    <w:rsid w:val="00C17D1F"/>
    <w:rsid w:val="00C21C39"/>
    <w:rsid w:val="00C21EEF"/>
    <w:rsid w:val="00C22C3D"/>
    <w:rsid w:val="00C2325C"/>
    <w:rsid w:val="00C23729"/>
    <w:rsid w:val="00C239ED"/>
    <w:rsid w:val="00C24D9D"/>
    <w:rsid w:val="00C25CF3"/>
    <w:rsid w:val="00C25DC1"/>
    <w:rsid w:val="00C26218"/>
    <w:rsid w:val="00C263E9"/>
    <w:rsid w:val="00C2775A"/>
    <w:rsid w:val="00C278F1"/>
    <w:rsid w:val="00C27DE4"/>
    <w:rsid w:val="00C3063A"/>
    <w:rsid w:val="00C307C7"/>
    <w:rsid w:val="00C30BAD"/>
    <w:rsid w:val="00C31521"/>
    <w:rsid w:val="00C31E8F"/>
    <w:rsid w:val="00C335DA"/>
    <w:rsid w:val="00C33D3E"/>
    <w:rsid w:val="00C362E0"/>
    <w:rsid w:val="00C36ED4"/>
    <w:rsid w:val="00C376CC"/>
    <w:rsid w:val="00C400F7"/>
    <w:rsid w:val="00C40C40"/>
    <w:rsid w:val="00C40EC6"/>
    <w:rsid w:val="00C4166F"/>
    <w:rsid w:val="00C419AD"/>
    <w:rsid w:val="00C41B5F"/>
    <w:rsid w:val="00C437BA"/>
    <w:rsid w:val="00C44395"/>
    <w:rsid w:val="00C443B3"/>
    <w:rsid w:val="00C4493E"/>
    <w:rsid w:val="00C44944"/>
    <w:rsid w:val="00C45961"/>
    <w:rsid w:val="00C459D0"/>
    <w:rsid w:val="00C459FC"/>
    <w:rsid w:val="00C45CE8"/>
    <w:rsid w:val="00C46F06"/>
    <w:rsid w:val="00C47DA4"/>
    <w:rsid w:val="00C47DA6"/>
    <w:rsid w:val="00C5085F"/>
    <w:rsid w:val="00C50986"/>
    <w:rsid w:val="00C50ABF"/>
    <w:rsid w:val="00C50EF2"/>
    <w:rsid w:val="00C51256"/>
    <w:rsid w:val="00C51566"/>
    <w:rsid w:val="00C516B7"/>
    <w:rsid w:val="00C516C4"/>
    <w:rsid w:val="00C51A75"/>
    <w:rsid w:val="00C51C1F"/>
    <w:rsid w:val="00C51DB0"/>
    <w:rsid w:val="00C51E9C"/>
    <w:rsid w:val="00C52433"/>
    <w:rsid w:val="00C52D62"/>
    <w:rsid w:val="00C52EF3"/>
    <w:rsid w:val="00C530F0"/>
    <w:rsid w:val="00C5329D"/>
    <w:rsid w:val="00C533D4"/>
    <w:rsid w:val="00C53A4C"/>
    <w:rsid w:val="00C54446"/>
    <w:rsid w:val="00C5448D"/>
    <w:rsid w:val="00C54664"/>
    <w:rsid w:val="00C5477F"/>
    <w:rsid w:val="00C547B7"/>
    <w:rsid w:val="00C54FB6"/>
    <w:rsid w:val="00C5503B"/>
    <w:rsid w:val="00C5568F"/>
    <w:rsid w:val="00C55A32"/>
    <w:rsid w:val="00C564F2"/>
    <w:rsid w:val="00C567AE"/>
    <w:rsid w:val="00C56B14"/>
    <w:rsid w:val="00C56F11"/>
    <w:rsid w:val="00C56F53"/>
    <w:rsid w:val="00C57319"/>
    <w:rsid w:val="00C57D05"/>
    <w:rsid w:val="00C60950"/>
    <w:rsid w:val="00C613D7"/>
    <w:rsid w:val="00C61D44"/>
    <w:rsid w:val="00C61F3A"/>
    <w:rsid w:val="00C62326"/>
    <w:rsid w:val="00C629CB"/>
    <w:rsid w:val="00C62B75"/>
    <w:rsid w:val="00C6386C"/>
    <w:rsid w:val="00C64B46"/>
    <w:rsid w:val="00C65461"/>
    <w:rsid w:val="00C657B5"/>
    <w:rsid w:val="00C661E1"/>
    <w:rsid w:val="00C66686"/>
    <w:rsid w:val="00C67428"/>
    <w:rsid w:val="00C678C4"/>
    <w:rsid w:val="00C71215"/>
    <w:rsid w:val="00C718F2"/>
    <w:rsid w:val="00C71AE4"/>
    <w:rsid w:val="00C71E0A"/>
    <w:rsid w:val="00C7216B"/>
    <w:rsid w:val="00C727BE"/>
    <w:rsid w:val="00C732A9"/>
    <w:rsid w:val="00C73448"/>
    <w:rsid w:val="00C73E2E"/>
    <w:rsid w:val="00C74269"/>
    <w:rsid w:val="00C74546"/>
    <w:rsid w:val="00C748E2"/>
    <w:rsid w:val="00C75A0F"/>
    <w:rsid w:val="00C765DB"/>
    <w:rsid w:val="00C7776C"/>
    <w:rsid w:val="00C77888"/>
    <w:rsid w:val="00C77D36"/>
    <w:rsid w:val="00C8369C"/>
    <w:rsid w:val="00C8398D"/>
    <w:rsid w:val="00C845DE"/>
    <w:rsid w:val="00C84BC2"/>
    <w:rsid w:val="00C85139"/>
    <w:rsid w:val="00C8548E"/>
    <w:rsid w:val="00C85657"/>
    <w:rsid w:val="00C876C9"/>
    <w:rsid w:val="00C877A3"/>
    <w:rsid w:val="00C877E3"/>
    <w:rsid w:val="00C911BD"/>
    <w:rsid w:val="00C91C88"/>
    <w:rsid w:val="00C925C2"/>
    <w:rsid w:val="00C9330D"/>
    <w:rsid w:val="00C939C3"/>
    <w:rsid w:val="00C93E9B"/>
    <w:rsid w:val="00C94009"/>
    <w:rsid w:val="00C94228"/>
    <w:rsid w:val="00C9477A"/>
    <w:rsid w:val="00C966C5"/>
    <w:rsid w:val="00C96D56"/>
    <w:rsid w:val="00C977E6"/>
    <w:rsid w:val="00C97943"/>
    <w:rsid w:val="00CA0020"/>
    <w:rsid w:val="00CA0B2E"/>
    <w:rsid w:val="00CA18CA"/>
    <w:rsid w:val="00CA1AD6"/>
    <w:rsid w:val="00CA1BDF"/>
    <w:rsid w:val="00CA2557"/>
    <w:rsid w:val="00CA37C9"/>
    <w:rsid w:val="00CA4673"/>
    <w:rsid w:val="00CA5413"/>
    <w:rsid w:val="00CA5674"/>
    <w:rsid w:val="00CA5BDA"/>
    <w:rsid w:val="00CA5C1A"/>
    <w:rsid w:val="00CA633F"/>
    <w:rsid w:val="00CA641E"/>
    <w:rsid w:val="00CA6486"/>
    <w:rsid w:val="00CA6C77"/>
    <w:rsid w:val="00CA7558"/>
    <w:rsid w:val="00CA785F"/>
    <w:rsid w:val="00CA792A"/>
    <w:rsid w:val="00CA7949"/>
    <w:rsid w:val="00CB0C6E"/>
    <w:rsid w:val="00CB0C89"/>
    <w:rsid w:val="00CB1617"/>
    <w:rsid w:val="00CB226B"/>
    <w:rsid w:val="00CB229B"/>
    <w:rsid w:val="00CB2E1A"/>
    <w:rsid w:val="00CB33B4"/>
    <w:rsid w:val="00CB3D93"/>
    <w:rsid w:val="00CB4441"/>
    <w:rsid w:val="00CB4B1A"/>
    <w:rsid w:val="00CB4E1F"/>
    <w:rsid w:val="00CB5E15"/>
    <w:rsid w:val="00CB5F17"/>
    <w:rsid w:val="00CB766B"/>
    <w:rsid w:val="00CB792A"/>
    <w:rsid w:val="00CC102B"/>
    <w:rsid w:val="00CC152E"/>
    <w:rsid w:val="00CC161C"/>
    <w:rsid w:val="00CC2493"/>
    <w:rsid w:val="00CC3222"/>
    <w:rsid w:val="00CC35F1"/>
    <w:rsid w:val="00CC35FF"/>
    <w:rsid w:val="00CC59D0"/>
    <w:rsid w:val="00CC62D9"/>
    <w:rsid w:val="00CC6F94"/>
    <w:rsid w:val="00CD046B"/>
    <w:rsid w:val="00CD0E6E"/>
    <w:rsid w:val="00CD1F9B"/>
    <w:rsid w:val="00CD23AE"/>
    <w:rsid w:val="00CD27DF"/>
    <w:rsid w:val="00CD2D8A"/>
    <w:rsid w:val="00CD2FEA"/>
    <w:rsid w:val="00CD3BAC"/>
    <w:rsid w:val="00CD3C0F"/>
    <w:rsid w:val="00CD3FF2"/>
    <w:rsid w:val="00CD4A65"/>
    <w:rsid w:val="00CD531F"/>
    <w:rsid w:val="00CD6FA3"/>
    <w:rsid w:val="00CE2184"/>
    <w:rsid w:val="00CE38EA"/>
    <w:rsid w:val="00CE3A0D"/>
    <w:rsid w:val="00CE3B7F"/>
    <w:rsid w:val="00CE3FA2"/>
    <w:rsid w:val="00CE41A0"/>
    <w:rsid w:val="00CE4958"/>
    <w:rsid w:val="00CE640E"/>
    <w:rsid w:val="00CE68B0"/>
    <w:rsid w:val="00CE68E2"/>
    <w:rsid w:val="00CE6D39"/>
    <w:rsid w:val="00CE706E"/>
    <w:rsid w:val="00CE70B1"/>
    <w:rsid w:val="00CE7AE4"/>
    <w:rsid w:val="00CE7E61"/>
    <w:rsid w:val="00CF034F"/>
    <w:rsid w:val="00CF0A4C"/>
    <w:rsid w:val="00CF150A"/>
    <w:rsid w:val="00CF2225"/>
    <w:rsid w:val="00CF25E7"/>
    <w:rsid w:val="00CF28FC"/>
    <w:rsid w:val="00CF3212"/>
    <w:rsid w:val="00CF3C77"/>
    <w:rsid w:val="00CF45A2"/>
    <w:rsid w:val="00CF4F60"/>
    <w:rsid w:val="00CF52E7"/>
    <w:rsid w:val="00CF64B5"/>
    <w:rsid w:val="00CF6DDC"/>
    <w:rsid w:val="00CF7853"/>
    <w:rsid w:val="00D000CE"/>
    <w:rsid w:val="00D004ED"/>
    <w:rsid w:val="00D0260F"/>
    <w:rsid w:val="00D03671"/>
    <w:rsid w:val="00D03708"/>
    <w:rsid w:val="00D03862"/>
    <w:rsid w:val="00D038A6"/>
    <w:rsid w:val="00D03B61"/>
    <w:rsid w:val="00D06776"/>
    <w:rsid w:val="00D0685F"/>
    <w:rsid w:val="00D06E46"/>
    <w:rsid w:val="00D06F95"/>
    <w:rsid w:val="00D07F3D"/>
    <w:rsid w:val="00D1003B"/>
    <w:rsid w:val="00D10EF9"/>
    <w:rsid w:val="00D1158C"/>
    <w:rsid w:val="00D11600"/>
    <w:rsid w:val="00D118A5"/>
    <w:rsid w:val="00D119A2"/>
    <w:rsid w:val="00D12E31"/>
    <w:rsid w:val="00D137F9"/>
    <w:rsid w:val="00D13CA3"/>
    <w:rsid w:val="00D1458C"/>
    <w:rsid w:val="00D14790"/>
    <w:rsid w:val="00D1620E"/>
    <w:rsid w:val="00D162C6"/>
    <w:rsid w:val="00D16867"/>
    <w:rsid w:val="00D16BAD"/>
    <w:rsid w:val="00D16EEC"/>
    <w:rsid w:val="00D2047A"/>
    <w:rsid w:val="00D20631"/>
    <w:rsid w:val="00D207FC"/>
    <w:rsid w:val="00D21047"/>
    <w:rsid w:val="00D21BB2"/>
    <w:rsid w:val="00D221F1"/>
    <w:rsid w:val="00D2260B"/>
    <w:rsid w:val="00D22D49"/>
    <w:rsid w:val="00D23708"/>
    <w:rsid w:val="00D23930"/>
    <w:rsid w:val="00D23A23"/>
    <w:rsid w:val="00D240B8"/>
    <w:rsid w:val="00D2421B"/>
    <w:rsid w:val="00D245BB"/>
    <w:rsid w:val="00D24D8A"/>
    <w:rsid w:val="00D24DA4"/>
    <w:rsid w:val="00D24F7B"/>
    <w:rsid w:val="00D25235"/>
    <w:rsid w:val="00D25383"/>
    <w:rsid w:val="00D255F3"/>
    <w:rsid w:val="00D25670"/>
    <w:rsid w:val="00D256D6"/>
    <w:rsid w:val="00D301FF"/>
    <w:rsid w:val="00D3047B"/>
    <w:rsid w:val="00D309CB"/>
    <w:rsid w:val="00D3257F"/>
    <w:rsid w:val="00D32F0B"/>
    <w:rsid w:val="00D32F87"/>
    <w:rsid w:val="00D340E2"/>
    <w:rsid w:val="00D34105"/>
    <w:rsid w:val="00D35A7F"/>
    <w:rsid w:val="00D35E90"/>
    <w:rsid w:val="00D36148"/>
    <w:rsid w:val="00D3664E"/>
    <w:rsid w:val="00D36887"/>
    <w:rsid w:val="00D36B30"/>
    <w:rsid w:val="00D36BC8"/>
    <w:rsid w:val="00D372A8"/>
    <w:rsid w:val="00D37563"/>
    <w:rsid w:val="00D379EB"/>
    <w:rsid w:val="00D400B8"/>
    <w:rsid w:val="00D4022C"/>
    <w:rsid w:val="00D41023"/>
    <w:rsid w:val="00D4172F"/>
    <w:rsid w:val="00D41815"/>
    <w:rsid w:val="00D41C6C"/>
    <w:rsid w:val="00D42465"/>
    <w:rsid w:val="00D42E5B"/>
    <w:rsid w:val="00D4373C"/>
    <w:rsid w:val="00D439D1"/>
    <w:rsid w:val="00D43C05"/>
    <w:rsid w:val="00D43C68"/>
    <w:rsid w:val="00D444B2"/>
    <w:rsid w:val="00D4498B"/>
    <w:rsid w:val="00D44BB0"/>
    <w:rsid w:val="00D4519D"/>
    <w:rsid w:val="00D453E4"/>
    <w:rsid w:val="00D456F6"/>
    <w:rsid w:val="00D4667F"/>
    <w:rsid w:val="00D47226"/>
    <w:rsid w:val="00D5014C"/>
    <w:rsid w:val="00D504CD"/>
    <w:rsid w:val="00D50604"/>
    <w:rsid w:val="00D50B21"/>
    <w:rsid w:val="00D50EE5"/>
    <w:rsid w:val="00D51349"/>
    <w:rsid w:val="00D5157E"/>
    <w:rsid w:val="00D527AF"/>
    <w:rsid w:val="00D5290A"/>
    <w:rsid w:val="00D529E1"/>
    <w:rsid w:val="00D534C2"/>
    <w:rsid w:val="00D5410F"/>
    <w:rsid w:val="00D55336"/>
    <w:rsid w:val="00D55878"/>
    <w:rsid w:val="00D564DF"/>
    <w:rsid w:val="00D571BA"/>
    <w:rsid w:val="00D576DD"/>
    <w:rsid w:val="00D57CB4"/>
    <w:rsid w:val="00D6135C"/>
    <w:rsid w:val="00D613D7"/>
    <w:rsid w:val="00D61477"/>
    <w:rsid w:val="00D619E2"/>
    <w:rsid w:val="00D62036"/>
    <w:rsid w:val="00D620CC"/>
    <w:rsid w:val="00D634B8"/>
    <w:rsid w:val="00D63C67"/>
    <w:rsid w:val="00D63EF3"/>
    <w:rsid w:val="00D64263"/>
    <w:rsid w:val="00D64441"/>
    <w:rsid w:val="00D64A19"/>
    <w:rsid w:val="00D64AC9"/>
    <w:rsid w:val="00D65497"/>
    <w:rsid w:val="00D654DA"/>
    <w:rsid w:val="00D6609E"/>
    <w:rsid w:val="00D664C5"/>
    <w:rsid w:val="00D66830"/>
    <w:rsid w:val="00D677DD"/>
    <w:rsid w:val="00D67A9F"/>
    <w:rsid w:val="00D67C20"/>
    <w:rsid w:val="00D67DEA"/>
    <w:rsid w:val="00D70C1B"/>
    <w:rsid w:val="00D70E5C"/>
    <w:rsid w:val="00D710DF"/>
    <w:rsid w:val="00D7146C"/>
    <w:rsid w:val="00D718CD"/>
    <w:rsid w:val="00D71929"/>
    <w:rsid w:val="00D719C0"/>
    <w:rsid w:val="00D71BD8"/>
    <w:rsid w:val="00D72C7A"/>
    <w:rsid w:val="00D732C3"/>
    <w:rsid w:val="00D73DB0"/>
    <w:rsid w:val="00D7416F"/>
    <w:rsid w:val="00D7428D"/>
    <w:rsid w:val="00D74539"/>
    <w:rsid w:val="00D746F4"/>
    <w:rsid w:val="00D74DC5"/>
    <w:rsid w:val="00D755F2"/>
    <w:rsid w:val="00D76010"/>
    <w:rsid w:val="00D762AC"/>
    <w:rsid w:val="00D775E7"/>
    <w:rsid w:val="00D77B9E"/>
    <w:rsid w:val="00D810BA"/>
    <w:rsid w:val="00D81ACA"/>
    <w:rsid w:val="00D81AEA"/>
    <w:rsid w:val="00D81CA9"/>
    <w:rsid w:val="00D824FC"/>
    <w:rsid w:val="00D82CCB"/>
    <w:rsid w:val="00D839D8"/>
    <w:rsid w:val="00D83A3A"/>
    <w:rsid w:val="00D83F9E"/>
    <w:rsid w:val="00D840C2"/>
    <w:rsid w:val="00D84562"/>
    <w:rsid w:val="00D84ACC"/>
    <w:rsid w:val="00D85C16"/>
    <w:rsid w:val="00D86169"/>
    <w:rsid w:val="00D86B92"/>
    <w:rsid w:val="00D8732E"/>
    <w:rsid w:val="00D910AF"/>
    <w:rsid w:val="00D91294"/>
    <w:rsid w:val="00D917E7"/>
    <w:rsid w:val="00D9186A"/>
    <w:rsid w:val="00D91949"/>
    <w:rsid w:val="00D91E26"/>
    <w:rsid w:val="00D924FD"/>
    <w:rsid w:val="00D92C0A"/>
    <w:rsid w:val="00D92D47"/>
    <w:rsid w:val="00D9335A"/>
    <w:rsid w:val="00D93C6E"/>
    <w:rsid w:val="00D94213"/>
    <w:rsid w:val="00D94710"/>
    <w:rsid w:val="00D94BEB"/>
    <w:rsid w:val="00D94EA5"/>
    <w:rsid w:val="00D954EB"/>
    <w:rsid w:val="00D95F32"/>
    <w:rsid w:val="00D97022"/>
    <w:rsid w:val="00D97A74"/>
    <w:rsid w:val="00DA024A"/>
    <w:rsid w:val="00DA07EE"/>
    <w:rsid w:val="00DA0A58"/>
    <w:rsid w:val="00DA0A7D"/>
    <w:rsid w:val="00DA1C85"/>
    <w:rsid w:val="00DA1CC9"/>
    <w:rsid w:val="00DA2E58"/>
    <w:rsid w:val="00DA328E"/>
    <w:rsid w:val="00DA3AA6"/>
    <w:rsid w:val="00DA3BCB"/>
    <w:rsid w:val="00DA46C1"/>
    <w:rsid w:val="00DA4E05"/>
    <w:rsid w:val="00DA5748"/>
    <w:rsid w:val="00DA6596"/>
    <w:rsid w:val="00DA70DD"/>
    <w:rsid w:val="00DA71C5"/>
    <w:rsid w:val="00DA7420"/>
    <w:rsid w:val="00DA7A26"/>
    <w:rsid w:val="00DB088F"/>
    <w:rsid w:val="00DB09BD"/>
    <w:rsid w:val="00DB0B4A"/>
    <w:rsid w:val="00DB1487"/>
    <w:rsid w:val="00DB19B4"/>
    <w:rsid w:val="00DB19F1"/>
    <w:rsid w:val="00DB23A3"/>
    <w:rsid w:val="00DB26AE"/>
    <w:rsid w:val="00DB42E2"/>
    <w:rsid w:val="00DB4411"/>
    <w:rsid w:val="00DB466D"/>
    <w:rsid w:val="00DB5477"/>
    <w:rsid w:val="00DB5800"/>
    <w:rsid w:val="00DB598A"/>
    <w:rsid w:val="00DB5B6F"/>
    <w:rsid w:val="00DB5FD0"/>
    <w:rsid w:val="00DB6639"/>
    <w:rsid w:val="00DB7395"/>
    <w:rsid w:val="00DB75C2"/>
    <w:rsid w:val="00DB7E2C"/>
    <w:rsid w:val="00DC027B"/>
    <w:rsid w:val="00DC0A64"/>
    <w:rsid w:val="00DC0DD6"/>
    <w:rsid w:val="00DC0EBE"/>
    <w:rsid w:val="00DC0FC4"/>
    <w:rsid w:val="00DC17B3"/>
    <w:rsid w:val="00DC1B9A"/>
    <w:rsid w:val="00DC2344"/>
    <w:rsid w:val="00DC2C46"/>
    <w:rsid w:val="00DC2E4F"/>
    <w:rsid w:val="00DC3368"/>
    <w:rsid w:val="00DC384C"/>
    <w:rsid w:val="00DC3AD4"/>
    <w:rsid w:val="00DC40C4"/>
    <w:rsid w:val="00DC458C"/>
    <w:rsid w:val="00DC4AFD"/>
    <w:rsid w:val="00DC4D87"/>
    <w:rsid w:val="00DC4D8A"/>
    <w:rsid w:val="00DC6AA9"/>
    <w:rsid w:val="00DC6DF6"/>
    <w:rsid w:val="00DC7BFE"/>
    <w:rsid w:val="00DC7C4E"/>
    <w:rsid w:val="00DD0726"/>
    <w:rsid w:val="00DD08C7"/>
    <w:rsid w:val="00DD0D5C"/>
    <w:rsid w:val="00DD18BC"/>
    <w:rsid w:val="00DD1A10"/>
    <w:rsid w:val="00DD200D"/>
    <w:rsid w:val="00DD2990"/>
    <w:rsid w:val="00DD2FE9"/>
    <w:rsid w:val="00DD3A7E"/>
    <w:rsid w:val="00DD434E"/>
    <w:rsid w:val="00DD4402"/>
    <w:rsid w:val="00DD458F"/>
    <w:rsid w:val="00DD5887"/>
    <w:rsid w:val="00DD60D0"/>
    <w:rsid w:val="00DD6200"/>
    <w:rsid w:val="00DD6699"/>
    <w:rsid w:val="00DD686C"/>
    <w:rsid w:val="00DD6E86"/>
    <w:rsid w:val="00DE0E5D"/>
    <w:rsid w:val="00DE15FA"/>
    <w:rsid w:val="00DE308F"/>
    <w:rsid w:val="00DE34E1"/>
    <w:rsid w:val="00DE447F"/>
    <w:rsid w:val="00DE44D2"/>
    <w:rsid w:val="00DE48F0"/>
    <w:rsid w:val="00DE4A77"/>
    <w:rsid w:val="00DE5769"/>
    <w:rsid w:val="00DE68EE"/>
    <w:rsid w:val="00DE6D24"/>
    <w:rsid w:val="00DE7285"/>
    <w:rsid w:val="00DE751E"/>
    <w:rsid w:val="00DE7C40"/>
    <w:rsid w:val="00DE7D4F"/>
    <w:rsid w:val="00DF085A"/>
    <w:rsid w:val="00DF0EA5"/>
    <w:rsid w:val="00DF10CE"/>
    <w:rsid w:val="00DF1F1D"/>
    <w:rsid w:val="00DF23A5"/>
    <w:rsid w:val="00DF42B4"/>
    <w:rsid w:val="00DF4C6E"/>
    <w:rsid w:val="00DF5034"/>
    <w:rsid w:val="00DF51EE"/>
    <w:rsid w:val="00DF5A9F"/>
    <w:rsid w:val="00DF5D91"/>
    <w:rsid w:val="00DF61DE"/>
    <w:rsid w:val="00DF6666"/>
    <w:rsid w:val="00DF745E"/>
    <w:rsid w:val="00DF762E"/>
    <w:rsid w:val="00DF799D"/>
    <w:rsid w:val="00E0044E"/>
    <w:rsid w:val="00E00816"/>
    <w:rsid w:val="00E00D26"/>
    <w:rsid w:val="00E011DE"/>
    <w:rsid w:val="00E020C8"/>
    <w:rsid w:val="00E0239F"/>
    <w:rsid w:val="00E0267B"/>
    <w:rsid w:val="00E0331A"/>
    <w:rsid w:val="00E03991"/>
    <w:rsid w:val="00E0405A"/>
    <w:rsid w:val="00E04441"/>
    <w:rsid w:val="00E0448A"/>
    <w:rsid w:val="00E05910"/>
    <w:rsid w:val="00E05F03"/>
    <w:rsid w:val="00E06370"/>
    <w:rsid w:val="00E0672E"/>
    <w:rsid w:val="00E06B7B"/>
    <w:rsid w:val="00E06E04"/>
    <w:rsid w:val="00E06E20"/>
    <w:rsid w:val="00E07DD9"/>
    <w:rsid w:val="00E102F8"/>
    <w:rsid w:val="00E12FCF"/>
    <w:rsid w:val="00E13273"/>
    <w:rsid w:val="00E13379"/>
    <w:rsid w:val="00E139EE"/>
    <w:rsid w:val="00E13B0D"/>
    <w:rsid w:val="00E14862"/>
    <w:rsid w:val="00E14D42"/>
    <w:rsid w:val="00E14D83"/>
    <w:rsid w:val="00E14FA6"/>
    <w:rsid w:val="00E15008"/>
    <w:rsid w:val="00E15A0D"/>
    <w:rsid w:val="00E15E85"/>
    <w:rsid w:val="00E16640"/>
    <w:rsid w:val="00E1740F"/>
    <w:rsid w:val="00E200CF"/>
    <w:rsid w:val="00E21E9B"/>
    <w:rsid w:val="00E236E7"/>
    <w:rsid w:val="00E23B16"/>
    <w:rsid w:val="00E24287"/>
    <w:rsid w:val="00E263E1"/>
    <w:rsid w:val="00E31367"/>
    <w:rsid w:val="00E3181C"/>
    <w:rsid w:val="00E32EF3"/>
    <w:rsid w:val="00E336E7"/>
    <w:rsid w:val="00E339D0"/>
    <w:rsid w:val="00E33E21"/>
    <w:rsid w:val="00E34BC4"/>
    <w:rsid w:val="00E34D2D"/>
    <w:rsid w:val="00E3540C"/>
    <w:rsid w:val="00E35C4D"/>
    <w:rsid w:val="00E35ED9"/>
    <w:rsid w:val="00E36187"/>
    <w:rsid w:val="00E36332"/>
    <w:rsid w:val="00E36C9B"/>
    <w:rsid w:val="00E36F20"/>
    <w:rsid w:val="00E37638"/>
    <w:rsid w:val="00E37E9D"/>
    <w:rsid w:val="00E40226"/>
    <w:rsid w:val="00E41B71"/>
    <w:rsid w:val="00E42569"/>
    <w:rsid w:val="00E434A0"/>
    <w:rsid w:val="00E434EA"/>
    <w:rsid w:val="00E44162"/>
    <w:rsid w:val="00E44D30"/>
    <w:rsid w:val="00E4597F"/>
    <w:rsid w:val="00E46CB7"/>
    <w:rsid w:val="00E46EE4"/>
    <w:rsid w:val="00E4723D"/>
    <w:rsid w:val="00E5077C"/>
    <w:rsid w:val="00E50EC8"/>
    <w:rsid w:val="00E513C3"/>
    <w:rsid w:val="00E5159B"/>
    <w:rsid w:val="00E515C6"/>
    <w:rsid w:val="00E51695"/>
    <w:rsid w:val="00E516B2"/>
    <w:rsid w:val="00E522CB"/>
    <w:rsid w:val="00E52E0D"/>
    <w:rsid w:val="00E52FE2"/>
    <w:rsid w:val="00E535F6"/>
    <w:rsid w:val="00E544DC"/>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425"/>
    <w:rsid w:val="00E65FF5"/>
    <w:rsid w:val="00E6632A"/>
    <w:rsid w:val="00E66857"/>
    <w:rsid w:val="00E66DDF"/>
    <w:rsid w:val="00E674B3"/>
    <w:rsid w:val="00E67556"/>
    <w:rsid w:val="00E702F8"/>
    <w:rsid w:val="00E7252F"/>
    <w:rsid w:val="00E726B6"/>
    <w:rsid w:val="00E72BEB"/>
    <w:rsid w:val="00E73635"/>
    <w:rsid w:val="00E73FC2"/>
    <w:rsid w:val="00E74481"/>
    <w:rsid w:val="00E74517"/>
    <w:rsid w:val="00E755D7"/>
    <w:rsid w:val="00E7566D"/>
    <w:rsid w:val="00E76E91"/>
    <w:rsid w:val="00E7723E"/>
    <w:rsid w:val="00E774B4"/>
    <w:rsid w:val="00E7786D"/>
    <w:rsid w:val="00E778F5"/>
    <w:rsid w:val="00E77E73"/>
    <w:rsid w:val="00E80E7C"/>
    <w:rsid w:val="00E812CA"/>
    <w:rsid w:val="00E81779"/>
    <w:rsid w:val="00E8205B"/>
    <w:rsid w:val="00E82444"/>
    <w:rsid w:val="00E829AB"/>
    <w:rsid w:val="00E82B5B"/>
    <w:rsid w:val="00E8341C"/>
    <w:rsid w:val="00E83885"/>
    <w:rsid w:val="00E8602B"/>
    <w:rsid w:val="00E860DD"/>
    <w:rsid w:val="00E86B5F"/>
    <w:rsid w:val="00E86DAC"/>
    <w:rsid w:val="00E86DBB"/>
    <w:rsid w:val="00E87D05"/>
    <w:rsid w:val="00E9058E"/>
    <w:rsid w:val="00E91F96"/>
    <w:rsid w:val="00E92E99"/>
    <w:rsid w:val="00E934EB"/>
    <w:rsid w:val="00E94276"/>
    <w:rsid w:val="00E9461F"/>
    <w:rsid w:val="00E968FD"/>
    <w:rsid w:val="00E96D55"/>
    <w:rsid w:val="00E97993"/>
    <w:rsid w:val="00EA01E0"/>
    <w:rsid w:val="00EA0B87"/>
    <w:rsid w:val="00EA0D5D"/>
    <w:rsid w:val="00EA1192"/>
    <w:rsid w:val="00EA153F"/>
    <w:rsid w:val="00EA1B7F"/>
    <w:rsid w:val="00EA2788"/>
    <w:rsid w:val="00EA2B1B"/>
    <w:rsid w:val="00EA2C6E"/>
    <w:rsid w:val="00EA3137"/>
    <w:rsid w:val="00EA350C"/>
    <w:rsid w:val="00EA3C96"/>
    <w:rsid w:val="00EA3FBD"/>
    <w:rsid w:val="00EA4168"/>
    <w:rsid w:val="00EA4964"/>
    <w:rsid w:val="00EA4F1A"/>
    <w:rsid w:val="00EA5803"/>
    <w:rsid w:val="00EA6D22"/>
    <w:rsid w:val="00EA7DB0"/>
    <w:rsid w:val="00EB02DE"/>
    <w:rsid w:val="00EB0A07"/>
    <w:rsid w:val="00EB1B69"/>
    <w:rsid w:val="00EB1C78"/>
    <w:rsid w:val="00EB2F3D"/>
    <w:rsid w:val="00EB2F8B"/>
    <w:rsid w:val="00EB34E9"/>
    <w:rsid w:val="00EB38A5"/>
    <w:rsid w:val="00EB3B46"/>
    <w:rsid w:val="00EB470C"/>
    <w:rsid w:val="00EB4E0C"/>
    <w:rsid w:val="00EB4F08"/>
    <w:rsid w:val="00EC1B2D"/>
    <w:rsid w:val="00EC2E07"/>
    <w:rsid w:val="00EC43C7"/>
    <w:rsid w:val="00EC465D"/>
    <w:rsid w:val="00EC54BE"/>
    <w:rsid w:val="00EC5C89"/>
    <w:rsid w:val="00EC66D2"/>
    <w:rsid w:val="00EC67E7"/>
    <w:rsid w:val="00EC68F7"/>
    <w:rsid w:val="00ED0A1B"/>
    <w:rsid w:val="00ED1EB2"/>
    <w:rsid w:val="00ED21BC"/>
    <w:rsid w:val="00ED2785"/>
    <w:rsid w:val="00ED2FEC"/>
    <w:rsid w:val="00ED3A4C"/>
    <w:rsid w:val="00ED3B14"/>
    <w:rsid w:val="00ED3F67"/>
    <w:rsid w:val="00ED440A"/>
    <w:rsid w:val="00ED48F9"/>
    <w:rsid w:val="00ED5137"/>
    <w:rsid w:val="00ED5914"/>
    <w:rsid w:val="00ED68C7"/>
    <w:rsid w:val="00ED75EE"/>
    <w:rsid w:val="00ED7971"/>
    <w:rsid w:val="00EE0748"/>
    <w:rsid w:val="00EE0B82"/>
    <w:rsid w:val="00EE0ED0"/>
    <w:rsid w:val="00EE1A9E"/>
    <w:rsid w:val="00EE2556"/>
    <w:rsid w:val="00EE29A0"/>
    <w:rsid w:val="00EE29A2"/>
    <w:rsid w:val="00EE2CEA"/>
    <w:rsid w:val="00EE3365"/>
    <w:rsid w:val="00EE48DF"/>
    <w:rsid w:val="00EE4AB3"/>
    <w:rsid w:val="00EE5D87"/>
    <w:rsid w:val="00EE6BCD"/>
    <w:rsid w:val="00EE7405"/>
    <w:rsid w:val="00EF033E"/>
    <w:rsid w:val="00EF06EC"/>
    <w:rsid w:val="00EF09E6"/>
    <w:rsid w:val="00EF14FF"/>
    <w:rsid w:val="00EF2767"/>
    <w:rsid w:val="00EF283E"/>
    <w:rsid w:val="00EF2BFE"/>
    <w:rsid w:val="00EF2D85"/>
    <w:rsid w:val="00EF402C"/>
    <w:rsid w:val="00EF45E0"/>
    <w:rsid w:val="00EF49EB"/>
    <w:rsid w:val="00EF4A56"/>
    <w:rsid w:val="00EF4E6F"/>
    <w:rsid w:val="00EF52E4"/>
    <w:rsid w:val="00EF5C26"/>
    <w:rsid w:val="00EF5C82"/>
    <w:rsid w:val="00EF796F"/>
    <w:rsid w:val="00EF7A15"/>
    <w:rsid w:val="00EF7BD2"/>
    <w:rsid w:val="00F0012B"/>
    <w:rsid w:val="00F01F34"/>
    <w:rsid w:val="00F01F8C"/>
    <w:rsid w:val="00F035A6"/>
    <w:rsid w:val="00F03764"/>
    <w:rsid w:val="00F04A59"/>
    <w:rsid w:val="00F04AD0"/>
    <w:rsid w:val="00F05662"/>
    <w:rsid w:val="00F05C18"/>
    <w:rsid w:val="00F06341"/>
    <w:rsid w:val="00F06A43"/>
    <w:rsid w:val="00F06C37"/>
    <w:rsid w:val="00F075B8"/>
    <w:rsid w:val="00F10033"/>
    <w:rsid w:val="00F104D3"/>
    <w:rsid w:val="00F10848"/>
    <w:rsid w:val="00F10B68"/>
    <w:rsid w:val="00F10C50"/>
    <w:rsid w:val="00F11F55"/>
    <w:rsid w:val="00F12DEC"/>
    <w:rsid w:val="00F13151"/>
    <w:rsid w:val="00F145B8"/>
    <w:rsid w:val="00F149D5"/>
    <w:rsid w:val="00F15523"/>
    <w:rsid w:val="00F1618E"/>
    <w:rsid w:val="00F16391"/>
    <w:rsid w:val="00F16545"/>
    <w:rsid w:val="00F171E0"/>
    <w:rsid w:val="00F173F8"/>
    <w:rsid w:val="00F174B8"/>
    <w:rsid w:val="00F2062B"/>
    <w:rsid w:val="00F213B3"/>
    <w:rsid w:val="00F21A18"/>
    <w:rsid w:val="00F21E61"/>
    <w:rsid w:val="00F220EA"/>
    <w:rsid w:val="00F222CD"/>
    <w:rsid w:val="00F2375F"/>
    <w:rsid w:val="00F23C6B"/>
    <w:rsid w:val="00F241D0"/>
    <w:rsid w:val="00F24B5B"/>
    <w:rsid w:val="00F24EA4"/>
    <w:rsid w:val="00F2582B"/>
    <w:rsid w:val="00F2625A"/>
    <w:rsid w:val="00F263A6"/>
    <w:rsid w:val="00F266C0"/>
    <w:rsid w:val="00F27243"/>
    <w:rsid w:val="00F274D7"/>
    <w:rsid w:val="00F30093"/>
    <w:rsid w:val="00F31A03"/>
    <w:rsid w:val="00F31B94"/>
    <w:rsid w:val="00F327D5"/>
    <w:rsid w:val="00F3283C"/>
    <w:rsid w:val="00F32D0F"/>
    <w:rsid w:val="00F33EE7"/>
    <w:rsid w:val="00F33FA2"/>
    <w:rsid w:val="00F3414C"/>
    <w:rsid w:val="00F343F0"/>
    <w:rsid w:val="00F34620"/>
    <w:rsid w:val="00F34803"/>
    <w:rsid w:val="00F34AAB"/>
    <w:rsid w:val="00F34C4D"/>
    <w:rsid w:val="00F350CF"/>
    <w:rsid w:val="00F351B1"/>
    <w:rsid w:val="00F35582"/>
    <w:rsid w:val="00F36B8F"/>
    <w:rsid w:val="00F36E46"/>
    <w:rsid w:val="00F37004"/>
    <w:rsid w:val="00F376A1"/>
    <w:rsid w:val="00F37B8E"/>
    <w:rsid w:val="00F407BC"/>
    <w:rsid w:val="00F407F4"/>
    <w:rsid w:val="00F41746"/>
    <w:rsid w:val="00F41E79"/>
    <w:rsid w:val="00F4228D"/>
    <w:rsid w:val="00F4315F"/>
    <w:rsid w:val="00F445F6"/>
    <w:rsid w:val="00F44879"/>
    <w:rsid w:val="00F4512F"/>
    <w:rsid w:val="00F45763"/>
    <w:rsid w:val="00F45BCF"/>
    <w:rsid w:val="00F45BEA"/>
    <w:rsid w:val="00F45CFE"/>
    <w:rsid w:val="00F46877"/>
    <w:rsid w:val="00F47F3E"/>
    <w:rsid w:val="00F530E6"/>
    <w:rsid w:val="00F532C7"/>
    <w:rsid w:val="00F533C2"/>
    <w:rsid w:val="00F53F95"/>
    <w:rsid w:val="00F54139"/>
    <w:rsid w:val="00F54EE5"/>
    <w:rsid w:val="00F55010"/>
    <w:rsid w:val="00F55078"/>
    <w:rsid w:val="00F55358"/>
    <w:rsid w:val="00F5603C"/>
    <w:rsid w:val="00F5605C"/>
    <w:rsid w:val="00F564B9"/>
    <w:rsid w:val="00F56BF9"/>
    <w:rsid w:val="00F57909"/>
    <w:rsid w:val="00F57ACE"/>
    <w:rsid w:val="00F600B0"/>
    <w:rsid w:val="00F612D6"/>
    <w:rsid w:val="00F626D0"/>
    <w:rsid w:val="00F62E12"/>
    <w:rsid w:val="00F63400"/>
    <w:rsid w:val="00F636C6"/>
    <w:rsid w:val="00F63AC5"/>
    <w:rsid w:val="00F6433D"/>
    <w:rsid w:val="00F6573E"/>
    <w:rsid w:val="00F66075"/>
    <w:rsid w:val="00F662E1"/>
    <w:rsid w:val="00F662EB"/>
    <w:rsid w:val="00F66C15"/>
    <w:rsid w:val="00F67606"/>
    <w:rsid w:val="00F6784F"/>
    <w:rsid w:val="00F7029B"/>
    <w:rsid w:val="00F70327"/>
    <w:rsid w:val="00F70903"/>
    <w:rsid w:val="00F70FEF"/>
    <w:rsid w:val="00F712B3"/>
    <w:rsid w:val="00F72FA8"/>
    <w:rsid w:val="00F73AF2"/>
    <w:rsid w:val="00F73B55"/>
    <w:rsid w:val="00F74A76"/>
    <w:rsid w:val="00F75415"/>
    <w:rsid w:val="00F7599C"/>
    <w:rsid w:val="00F7615B"/>
    <w:rsid w:val="00F76E23"/>
    <w:rsid w:val="00F773F9"/>
    <w:rsid w:val="00F774BD"/>
    <w:rsid w:val="00F77652"/>
    <w:rsid w:val="00F809B5"/>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5AB5"/>
    <w:rsid w:val="00F8659E"/>
    <w:rsid w:val="00F86CE4"/>
    <w:rsid w:val="00F86F42"/>
    <w:rsid w:val="00F91941"/>
    <w:rsid w:val="00F92E3F"/>
    <w:rsid w:val="00F938D2"/>
    <w:rsid w:val="00F946A9"/>
    <w:rsid w:val="00F94AE5"/>
    <w:rsid w:val="00F96128"/>
    <w:rsid w:val="00F96389"/>
    <w:rsid w:val="00F9650E"/>
    <w:rsid w:val="00F96B73"/>
    <w:rsid w:val="00F96DF9"/>
    <w:rsid w:val="00F9762C"/>
    <w:rsid w:val="00F977C7"/>
    <w:rsid w:val="00F97816"/>
    <w:rsid w:val="00F97C36"/>
    <w:rsid w:val="00FA0890"/>
    <w:rsid w:val="00FA164A"/>
    <w:rsid w:val="00FA18CB"/>
    <w:rsid w:val="00FA315A"/>
    <w:rsid w:val="00FA345D"/>
    <w:rsid w:val="00FA3F0C"/>
    <w:rsid w:val="00FA3F3E"/>
    <w:rsid w:val="00FA40AC"/>
    <w:rsid w:val="00FA4272"/>
    <w:rsid w:val="00FA4855"/>
    <w:rsid w:val="00FA4ACD"/>
    <w:rsid w:val="00FA6428"/>
    <w:rsid w:val="00FA65A5"/>
    <w:rsid w:val="00FA7144"/>
    <w:rsid w:val="00FA7184"/>
    <w:rsid w:val="00FA76F1"/>
    <w:rsid w:val="00FB0A54"/>
    <w:rsid w:val="00FB0D91"/>
    <w:rsid w:val="00FB1393"/>
    <w:rsid w:val="00FB1D9D"/>
    <w:rsid w:val="00FB213B"/>
    <w:rsid w:val="00FB30B8"/>
    <w:rsid w:val="00FB3304"/>
    <w:rsid w:val="00FB4472"/>
    <w:rsid w:val="00FB46B8"/>
    <w:rsid w:val="00FB4B38"/>
    <w:rsid w:val="00FB54BB"/>
    <w:rsid w:val="00FB5541"/>
    <w:rsid w:val="00FB5AC0"/>
    <w:rsid w:val="00FB618C"/>
    <w:rsid w:val="00FB6C91"/>
    <w:rsid w:val="00FB73CB"/>
    <w:rsid w:val="00FB74E8"/>
    <w:rsid w:val="00FB7E43"/>
    <w:rsid w:val="00FB7FB3"/>
    <w:rsid w:val="00FB7FCC"/>
    <w:rsid w:val="00FC0263"/>
    <w:rsid w:val="00FC0348"/>
    <w:rsid w:val="00FC0AFA"/>
    <w:rsid w:val="00FC0FB5"/>
    <w:rsid w:val="00FC102A"/>
    <w:rsid w:val="00FC154C"/>
    <w:rsid w:val="00FC162D"/>
    <w:rsid w:val="00FC1745"/>
    <w:rsid w:val="00FC1D28"/>
    <w:rsid w:val="00FC1DBC"/>
    <w:rsid w:val="00FC2572"/>
    <w:rsid w:val="00FC2637"/>
    <w:rsid w:val="00FC2993"/>
    <w:rsid w:val="00FC393B"/>
    <w:rsid w:val="00FC39A8"/>
    <w:rsid w:val="00FC4052"/>
    <w:rsid w:val="00FC5252"/>
    <w:rsid w:val="00FC59B8"/>
    <w:rsid w:val="00FC6356"/>
    <w:rsid w:val="00FC7D01"/>
    <w:rsid w:val="00FD0130"/>
    <w:rsid w:val="00FD0373"/>
    <w:rsid w:val="00FD0582"/>
    <w:rsid w:val="00FD0C93"/>
    <w:rsid w:val="00FD1062"/>
    <w:rsid w:val="00FD2589"/>
    <w:rsid w:val="00FD4876"/>
    <w:rsid w:val="00FD52A3"/>
    <w:rsid w:val="00FD64F8"/>
    <w:rsid w:val="00FD68D4"/>
    <w:rsid w:val="00FE0046"/>
    <w:rsid w:val="00FE00D9"/>
    <w:rsid w:val="00FE1186"/>
    <w:rsid w:val="00FE15FE"/>
    <w:rsid w:val="00FE177A"/>
    <w:rsid w:val="00FE23B1"/>
    <w:rsid w:val="00FE240A"/>
    <w:rsid w:val="00FE25F6"/>
    <w:rsid w:val="00FE28C1"/>
    <w:rsid w:val="00FE2A71"/>
    <w:rsid w:val="00FE357A"/>
    <w:rsid w:val="00FE3D27"/>
    <w:rsid w:val="00FE3E3C"/>
    <w:rsid w:val="00FE3EF6"/>
    <w:rsid w:val="00FE4380"/>
    <w:rsid w:val="00FE43E7"/>
    <w:rsid w:val="00FE4B66"/>
    <w:rsid w:val="00FE4C39"/>
    <w:rsid w:val="00FE4C4E"/>
    <w:rsid w:val="00FE4F6E"/>
    <w:rsid w:val="00FE5351"/>
    <w:rsid w:val="00FE55F3"/>
    <w:rsid w:val="00FE583F"/>
    <w:rsid w:val="00FE5CC4"/>
    <w:rsid w:val="00FE6B13"/>
    <w:rsid w:val="00FE7575"/>
    <w:rsid w:val="00FF08AC"/>
    <w:rsid w:val="00FF0E31"/>
    <w:rsid w:val="00FF0F13"/>
    <w:rsid w:val="00FF1070"/>
    <w:rsid w:val="00FF13E2"/>
    <w:rsid w:val="00FF2237"/>
    <w:rsid w:val="00FF30EA"/>
    <w:rsid w:val="00FF377A"/>
    <w:rsid w:val="00FF4953"/>
    <w:rsid w:val="00FF4B4F"/>
    <w:rsid w:val="00FF5FA3"/>
    <w:rsid w:val="00FF5FCE"/>
    <w:rsid w:val="00FF6177"/>
    <w:rsid w:val="00FF6425"/>
    <w:rsid w:val="00FF6AD9"/>
    <w:rsid w:val="00FF74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338134D"/>
  <w15:chartTrackingRefBased/>
  <w15:docId w15:val="{F7EA158F-1BE5-406B-9B63-2EA645BF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5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jc w:val="both"/>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html">
    <w:name w:val="tv_html"/>
    <w:basedOn w:val="Normal"/>
    <w:rsid w:val="002B6C7E"/>
    <w:pPr>
      <w:spacing w:before="100" w:beforeAutospacing="1" w:after="100" w:afterAutospacing="1"/>
    </w:pPr>
  </w:style>
  <w:style w:type="character" w:customStyle="1" w:styleId="Bodytext20">
    <w:name w:val="Body text (2)_"/>
    <w:link w:val="Bodytext21"/>
    <w:rsid w:val="00D719C0"/>
    <w:rPr>
      <w:shd w:val="clear" w:color="auto" w:fill="FFFFFF"/>
    </w:rPr>
  </w:style>
  <w:style w:type="paragraph" w:customStyle="1" w:styleId="Bodytext21">
    <w:name w:val="Body text (2)"/>
    <w:basedOn w:val="Normal"/>
    <w:link w:val="Bodytext20"/>
    <w:rsid w:val="00D719C0"/>
    <w:pPr>
      <w:widowControl w:val="0"/>
      <w:shd w:val="clear" w:color="auto" w:fill="FFFFFF"/>
      <w:spacing w:before="300" w:after="60" w:line="0" w:lineRule="atLeast"/>
      <w:jc w:val="both"/>
    </w:pPr>
    <w:rPr>
      <w:sz w:val="20"/>
      <w:szCs w:val="20"/>
    </w:rPr>
  </w:style>
  <w:style w:type="paragraph" w:styleId="NoSpacing">
    <w:name w:val="No Spacing"/>
    <w:uiPriority w:val="1"/>
    <w:qFormat/>
    <w:rsid w:val="00833E46"/>
    <w:rPr>
      <w:sz w:val="28"/>
      <w:lang w:eastAsia="en-US"/>
    </w:rPr>
  </w:style>
  <w:style w:type="paragraph" w:customStyle="1" w:styleId="tv213">
    <w:name w:val="tv213"/>
    <w:basedOn w:val="Normal"/>
    <w:rsid w:val="0062692C"/>
    <w:pPr>
      <w:spacing w:before="100" w:beforeAutospacing="1" w:after="100" w:afterAutospacing="1"/>
    </w:pPr>
    <w:rPr>
      <w:lang w:val="en-GB" w:eastAsia="en-GB"/>
    </w:rPr>
  </w:style>
  <w:style w:type="paragraph" w:customStyle="1" w:styleId="labojumupamats">
    <w:name w:val="labojumu_pamats"/>
    <w:basedOn w:val="Normal"/>
    <w:rsid w:val="0083672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145510068">
      <w:bodyDiv w:val="1"/>
      <w:marLeft w:val="0"/>
      <w:marRight w:val="0"/>
      <w:marTop w:val="0"/>
      <w:marBottom w:val="0"/>
      <w:divBdr>
        <w:top w:val="none" w:sz="0" w:space="0" w:color="auto"/>
        <w:left w:val="none" w:sz="0" w:space="0" w:color="auto"/>
        <w:bottom w:val="none" w:sz="0" w:space="0" w:color="auto"/>
        <w:right w:val="none" w:sz="0" w:space="0" w:color="auto"/>
      </w:divBdr>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3350617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 w:id="19244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va.rudzite@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1E1D-954C-4265-A8F2-8F831807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4973</Words>
  <Characters>28351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 “Kārtība, kādā civilās aviācijas lidlauku izmanto valsts gaisa kuģi” (VSS-1212)</vt:lpstr>
    </vt:vector>
  </TitlesOfParts>
  <Company>Satiksmes ministrija</Company>
  <LinksUpToDate>false</LinksUpToDate>
  <CharactersWithSpaces>33258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“Kārtība, kādā civilās aviācijas lidlauku izmanto valsts gaisa kuģi” (VSS-1212)</dc:title>
  <dc:subject>Izziņa par atzinumos sniegtajiem iebildumiem</dc:subject>
  <dc:creator>Viesturs.Gertners@caa.gov.lv</dc:creator>
  <cp:keywords>Projekts</cp:keywords>
  <dc:description>67830961, Viesturs.Gertners@caa.gov.lv</dc:description>
  <cp:lastModifiedBy>Liva Rudzite</cp:lastModifiedBy>
  <cp:revision>3</cp:revision>
  <cp:lastPrinted>2020-11-24T14:00:00Z</cp:lastPrinted>
  <dcterms:created xsi:type="dcterms:W3CDTF">2020-12-07T06:48:00Z</dcterms:created>
  <dcterms:modified xsi:type="dcterms:W3CDTF">2020-12-07T09:25:00Z</dcterms:modified>
</cp:coreProperties>
</file>