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34" w:rsidRPr="00196BB4" w:rsidRDefault="00F07F34" w:rsidP="00F07F34">
      <w:pPr>
        <w:jc w:val="center"/>
        <w:outlineLvl w:val="2"/>
        <w:rPr>
          <w:b/>
          <w:bCs/>
          <w:szCs w:val="28"/>
        </w:rPr>
      </w:pPr>
      <w:r w:rsidRPr="00196BB4">
        <w:rPr>
          <w:b/>
        </w:rPr>
        <w:t>Izziņa par atzinumos sniegtajiem iebildumiem par Ministru kabineta noteikumu projektu “</w:t>
      </w:r>
      <w:bookmarkStart w:id="0" w:name="OLE_LINK1"/>
      <w:bookmarkStart w:id="1" w:name="OLE_LINK2"/>
      <w:r w:rsidRPr="00196BB4">
        <w:rPr>
          <w:b/>
          <w:bCs/>
          <w:szCs w:val="28"/>
        </w:rPr>
        <w:t>Kārtība, kādā ziņo par sprāgstvielu prekursoriem”</w:t>
      </w:r>
      <w:bookmarkEnd w:id="0"/>
      <w:bookmarkEnd w:id="1"/>
      <w:r w:rsidRPr="00196BB4">
        <w:rPr>
          <w:b/>
          <w:bCs/>
          <w:szCs w:val="28"/>
        </w:rPr>
        <w:t xml:space="preserve"> </w:t>
      </w:r>
      <w:r w:rsidRPr="00196BB4">
        <w:rPr>
          <w:b/>
          <w:bCs/>
          <w:szCs w:val="28"/>
        </w:rPr>
        <w:br/>
      </w:r>
      <w:r w:rsidRPr="00196BB4">
        <w:rPr>
          <w:b/>
        </w:rPr>
        <w:t>(VSS-587)</w:t>
      </w:r>
    </w:p>
    <w:tbl>
      <w:tblPr>
        <w:tblW w:w="0" w:type="auto"/>
        <w:jc w:val="center"/>
        <w:tblLook w:val="00A0" w:firstRow="1" w:lastRow="0" w:firstColumn="1" w:lastColumn="0" w:noHBand="0" w:noVBand="0"/>
      </w:tblPr>
      <w:tblGrid>
        <w:gridCol w:w="10188"/>
      </w:tblGrid>
      <w:tr w:rsidR="00196BB4" w:rsidRPr="00196BB4" w:rsidTr="00B2562A">
        <w:trPr>
          <w:jc w:val="center"/>
        </w:trPr>
        <w:tc>
          <w:tcPr>
            <w:tcW w:w="10188" w:type="dxa"/>
            <w:tcBorders>
              <w:bottom w:val="single" w:sz="6" w:space="0" w:color="000000"/>
            </w:tcBorders>
          </w:tcPr>
          <w:p w:rsidR="00F07F34" w:rsidRPr="00196BB4" w:rsidRDefault="00F07F34" w:rsidP="00B2562A">
            <w:pPr>
              <w:ind w:firstLine="720"/>
            </w:pPr>
          </w:p>
        </w:tc>
      </w:tr>
    </w:tbl>
    <w:p w:rsidR="00F07F34" w:rsidRPr="00196BB4" w:rsidRDefault="00F07F34" w:rsidP="00F07F34">
      <w:pPr>
        <w:pStyle w:val="naisc"/>
        <w:spacing w:before="0" w:after="0"/>
      </w:pPr>
      <w:r w:rsidRPr="00196BB4">
        <w:t>(dokumenta veids un nosaukums)</w:t>
      </w:r>
    </w:p>
    <w:p w:rsidR="00F07F34" w:rsidRPr="00196BB4" w:rsidRDefault="00F07F34" w:rsidP="00F07F34">
      <w:pPr>
        <w:pStyle w:val="naisf"/>
        <w:spacing w:before="0" w:after="0"/>
        <w:ind w:firstLine="720"/>
      </w:pPr>
    </w:p>
    <w:p w:rsidR="00F07F34" w:rsidRPr="00196BB4" w:rsidRDefault="00F07F34" w:rsidP="00F07F34">
      <w:pPr>
        <w:pStyle w:val="naisf"/>
        <w:spacing w:before="0" w:after="0"/>
        <w:ind w:firstLine="0"/>
        <w:jc w:val="center"/>
        <w:rPr>
          <w:b/>
        </w:rPr>
      </w:pPr>
      <w:r w:rsidRPr="00196BB4">
        <w:rPr>
          <w:b/>
        </w:rPr>
        <w:t>I. Jautājumi, par kuriem saskaņošanā vienošanās nav panākta</w:t>
      </w:r>
    </w:p>
    <w:p w:rsidR="00F07F34" w:rsidRPr="00196BB4" w:rsidRDefault="00F07F34" w:rsidP="00F07F34">
      <w:pPr>
        <w:pStyle w:val="naisf"/>
        <w:spacing w:before="0" w:after="0"/>
        <w:ind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19"/>
        <w:gridCol w:w="2976"/>
        <w:gridCol w:w="3119"/>
        <w:gridCol w:w="2317"/>
        <w:gridCol w:w="1920"/>
      </w:tblGrid>
      <w:tr w:rsidR="00196BB4" w:rsidRPr="00196BB4" w:rsidTr="00B2562A">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pamatojums iebilduma noraidījumam</w:t>
            </w:r>
          </w:p>
        </w:tc>
        <w:tc>
          <w:tcPr>
            <w:tcW w:w="2317" w:type="dxa"/>
            <w:tcBorders>
              <w:top w:val="single" w:sz="4" w:space="0" w:color="auto"/>
              <w:left w:val="single" w:sz="4" w:space="0" w:color="auto"/>
              <w:bottom w:val="single" w:sz="4" w:space="0" w:color="auto"/>
              <w:right w:val="single" w:sz="4" w:space="0" w:color="auto"/>
            </w:tcBorders>
            <w:vAlign w:val="center"/>
          </w:tcPr>
          <w:p w:rsidR="00F07F34" w:rsidRPr="00196BB4" w:rsidRDefault="00F07F34" w:rsidP="00B2562A">
            <w:pPr>
              <w:jc w:val="center"/>
            </w:pPr>
            <w:r w:rsidRPr="00196BB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B2562A">
        <w:trPr>
          <w:trHeight w:val="20"/>
        </w:trPr>
        <w:tc>
          <w:tcPr>
            <w:tcW w:w="70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11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2976"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p>
        </w:tc>
        <w:tc>
          <w:tcPr>
            <w:tcW w:w="311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2317"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center"/>
            </w:pPr>
            <w:r w:rsidRPr="00196BB4">
              <w:t>5</w:t>
            </w:r>
          </w:p>
        </w:tc>
        <w:tc>
          <w:tcPr>
            <w:tcW w:w="1920"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6</w:t>
            </w:r>
          </w:p>
        </w:tc>
      </w:tr>
      <w:tr w:rsidR="00F07F34" w:rsidRPr="00196BB4" w:rsidTr="00B2562A">
        <w:trPr>
          <w:trHeight w:val="20"/>
        </w:trPr>
        <w:tc>
          <w:tcPr>
            <w:tcW w:w="709"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center"/>
            </w:pPr>
          </w:p>
        </w:tc>
        <w:tc>
          <w:tcPr>
            <w:tcW w:w="3119" w:type="dxa"/>
            <w:tcBorders>
              <w:top w:val="single" w:sz="4" w:space="0" w:color="auto"/>
              <w:left w:val="single" w:sz="4" w:space="0" w:color="auto"/>
              <w:bottom w:val="single" w:sz="4" w:space="0" w:color="auto"/>
              <w:right w:val="single" w:sz="4" w:space="0" w:color="auto"/>
            </w:tcBorders>
          </w:tcPr>
          <w:p w:rsidR="00F07F34" w:rsidRPr="00196BB4" w:rsidRDefault="00F07F34" w:rsidP="00B2562A"/>
        </w:tc>
        <w:tc>
          <w:tcPr>
            <w:tcW w:w="2976"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pStyle w:val="naisc"/>
              <w:spacing w:before="0" w:after="0"/>
              <w:jc w:val="both"/>
              <w:rPr>
                <w:b/>
              </w:rPr>
            </w:pPr>
          </w:p>
        </w:tc>
        <w:tc>
          <w:tcPr>
            <w:tcW w:w="3119"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pStyle w:val="naisc"/>
              <w:spacing w:before="0" w:after="0"/>
              <w:jc w:val="both"/>
            </w:pPr>
          </w:p>
        </w:tc>
        <w:tc>
          <w:tcPr>
            <w:tcW w:w="2317"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both"/>
            </w:pPr>
          </w:p>
        </w:tc>
        <w:tc>
          <w:tcPr>
            <w:tcW w:w="1920" w:type="dxa"/>
            <w:tcBorders>
              <w:top w:val="single" w:sz="4" w:space="0" w:color="auto"/>
              <w:left w:val="single" w:sz="4" w:space="0" w:color="auto"/>
              <w:bottom w:val="single" w:sz="4" w:space="0" w:color="auto"/>
            </w:tcBorders>
          </w:tcPr>
          <w:p w:rsidR="00F07F34" w:rsidRPr="00196BB4" w:rsidRDefault="00F07F34" w:rsidP="00B2562A">
            <w:pPr>
              <w:jc w:val="both"/>
            </w:pPr>
          </w:p>
        </w:tc>
      </w:tr>
    </w:tbl>
    <w:p w:rsidR="00F07F34" w:rsidRPr="00196BB4" w:rsidRDefault="00F07F34" w:rsidP="00F07F34">
      <w:pPr>
        <w:pStyle w:val="naisf"/>
        <w:spacing w:before="0" w:after="0"/>
        <w:ind w:firstLine="0"/>
      </w:pPr>
    </w:p>
    <w:p w:rsidR="00F07F34" w:rsidRPr="00196BB4" w:rsidRDefault="00F07F34" w:rsidP="00F07F34">
      <w:pPr>
        <w:pStyle w:val="naisf"/>
        <w:spacing w:before="0" w:after="0"/>
        <w:ind w:firstLine="0"/>
        <w:rPr>
          <w:b/>
        </w:rPr>
      </w:pPr>
      <w:r w:rsidRPr="00196BB4">
        <w:rPr>
          <w:b/>
        </w:rPr>
        <w:t>Informācija par starpministriju (starpinstitūciju) sanāksmi vai elektronisko saskaņošanu</w:t>
      </w:r>
    </w:p>
    <w:p w:rsidR="00F07F34" w:rsidRPr="00196BB4" w:rsidRDefault="00F07F34" w:rsidP="00F07F34">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196BB4" w:rsidRPr="00196BB4" w:rsidTr="00B2562A">
        <w:tc>
          <w:tcPr>
            <w:tcW w:w="6345" w:type="dxa"/>
          </w:tcPr>
          <w:p w:rsidR="00F07F34" w:rsidRPr="00196BB4" w:rsidRDefault="00F07F34" w:rsidP="00B2562A">
            <w:pPr>
              <w:pStyle w:val="naisf"/>
              <w:spacing w:before="0" w:after="0"/>
              <w:ind w:firstLine="0"/>
            </w:pPr>
            <w:r w:rsidRPr="00196BB4">
              <w:t>Datums</w:t>
            </w:r>
          </w:p>
        </w:tc>
        <w:tc>
          <w:tcPr>
            <w:tcW w:w="6237" w:type="dxa"/>
            <w:gridSpan w:val="3"/>
            <w:tcBorders>
              <w:bottom w:val="single" w:sz="4" w:space="0" w:color="auto"/>
            </w:tcBorders>
          </w:tcPr>
          <w:p w:rsidR="00F07F34" w:rsidRPr="00196BB4" w:rsidRDefault="00F07F34" w:rsidP="00B2562A">
            <w:pPr>
              <w:pStyle w:val="NormalWeb"/>
              <w:spacing w:before="0" w:beforeAutospacing="0" w:after="0" w:afterAutospacing="0"/>
            </w:pPr>
            <w:r w:rsidRPr="00196BB4">
              <w:t xml:space="preserve">Projekts 16.07.2020. izsludināts VSS </w:t>
            </w:r>
          </w:p>
        </w:tc>
      </w:tr>
      <w:tr w:rsidR="00196BB4" w:rsidRPr="00196BB4" w:rsidTr="00B2562A">
        <w:tc>
          <w:tcPr>
            <w:tcW w:w="6345" w:type="dxa"/>
          </w:tcPr>
          <w:p w:rsidR="00F07F34" w:rsidRPr="00196BB4" w:rsidRDefault="00F07F34" w:rsidP="00B2562A">
            <w:pPr>
              <w:pStyle w:val="naisf"/>
              <w:spacing w:before="0" w:after="0"/>
              <w:ind w:firstLine="0"/>
            </w:pPr>
          </w:p>
        </w:tc>
        <w:tc>
          <w:tcPr>
            <w:tcW w:w="6237" w:type="dxa"/>
            <w:gridSpan w:val="3"/>
            <w:tcBorders>
              <w:top w:val="single" w:sz="4" w:space="0" w:color="auto"/>
            </w:tcBorders>
          </w:tcPr>
          <w:p w:rsidR="00F07F34" w:rsidRPr="00196BB4" w:rsidRDefault="00F07F34" w:rsidP="00B2562A">
            <w:pPr>
              <w:pStyle w:val="NormalWeb"/>
              <w:spacing w:before="0" w:beforeAutospacing="0" w:after="0" w:afterAutospacing="0"/>
              <w:ind w:firstLine="720"/>
            </w:pPr>
          </w:p>
        </w:tc>
      </w:tr>
      <w:tr w:rsidR="00196BB4" w:rsidRPr="00196BB4" w:rsidTr="00B2562A">
        <w:tc>
          <w:tcPr>
            <w:tcW w:w="6345" w:type="dxa"/>
          </w:tcPr>
          <w:p w:rsidR="00F07F34" w:rsidRPr="00196BB4" w:rsidRDefault="00F07F34" w:rsidP="00B2562A">
            <w:pPr>
              <w:pStyle w:val="naiskr"/>
              <w:spacing w:before="0" w:after="0"/>
            </w:pPr>
            <w:r w:rsidRPr="00196BB4">
              <w:t>Saskaņošanas dalībnieki</w:t>
            </w:r>
          </w:p>
        </w:tc>
        <w:tc>
          <w:tcPr>
            <w:tcW w:w="6237" w:type="dxa"/>
            <w:gridSpan w:val="3"/>
          </w:tcPr>
          <w:p w:rsidR="00F07F34" w:rsidRPr="00196BB4" w:rsidRDefault="00F07F34" w:rsidP="00B2562A">
            <w:pPr>
              <w:pStyle w:val="NormalWeb"/>
              <w:spacing w:before="0" w:beforeAutospacing="0" w:after="0" w:afterAutospacing="0"/>
            </w:pPr>
            <w:r w:rsidRPr="00196BB4">
              <w:t>Tieslietu ministrija, Finanšu ministrija, Vides aizsardzības un reģionālās attīstības ministrija.</w:t>
            </w:r>
          </w:p>
        </w:tc>
      </w:tr>
      <w:tr w:rsidR="00196BB4" w:rsidRPr="00196BB4" w:rsidTr="00B2562A">
        <w:tc>
          <w:tcPr>
            <w:tcW w:w="6345" w:type="dxa"/>
          </w:tcPr>
          <w:p w:rsidR="00F07F34" w:rsidRPr="00196BB4" w:rsidRDefault="00F07F34" w:rsidP="00B2562A">
            <w:pPr>
              <w:pStyle w:val="naiskr"/>
              <w:spacing w:before="0" w:after="0"/>
              <w:ind w:firstLine="720"/>
            </w:pPr>
          </w:p>
        </w:tc>
        <w:tc>
          <w:tcPr>
            <w:tcW w:w="6237" w:type="dxa"/>
            <w:gridSpan w:val="3"/>
            <w:tcBorders>
              <w:top w:val="single" w:sz="6" w:space="0" w:color="000000"/>
              <w:bottom w:val="single" w:sz="6" w:space="0" w:color="000000"/>
            </w:tcBorders>
          </w:tcPr>
          <w:p w:rsidR="00F07F34" w:rsidRPr="00196BB4" w:rsidRDefault="00F07F34" w:rsidP="00B2562A">
            <w:pPr>
              <w:pStyle w:val="naiskr"/>
              <w:spacing w:before="0" w:after="0"/>
              <w:ind w:firstLine="720"/>
            </w:pPr>
          </w:p>
        </w:tc>
      </w:tr>
      <w:tr w:rsidR="00196BB4" w:rsidRPr="00196BB4" w:rsidTr="00B2562A">
        <w:trPr>
          <w:trHeight w:val="285"/>
        </w:trPr>
        <w:tc>
          <w:tcPr>
            <w:tcW w:w="6345" w:type="dxa"/>
          </w:tcPr>
          <w:p w:rsidR="00F07F34" w:rsidRPr="00196BB4" w:rsidRDefault="00F07F34" w:rsidP="00B2562A">
            <w:pPr>
              <w:pStyle w:val="naiskr"/>
              <w:spacing w:before="0" w:after="0"/>
            </w:pPr>
          </w:p>
        </w:tc>
        <w:tc>
          <w:tcPr>
            <w:tcW w:w="1203" w:type="dxa"/>
            <w:gridSpan w:val="2"/>
          </w:tcPr>
          <w:p w:rsidR="00F07F34" w:rsidRPr="00196BB4" w:rsidRDefault="00F07F34" w:rsidP="00B2562A">
            <w:pPr>
              <w:pStyle w:val="naiskr"/>
              <w:spacing w:before="0" w:after="0"/>
              <w:ind w:firstLine="720"/>
            </w:pPr>
          </w:p>
        </w:tc>
        <w:tc>
          <w:tcPr>
            <w:tcW w:w="5034" w:type="dxa"/>
          </w:tcPr>
          <w:p w:rsidR="00F07F34" w:rsidRPr="00196BB4" w:rsidRDefault="00F07F34" w:rsidP="00B2562A">
            <w:pPr>
              <w:pStyle w:val="naiskr"/>
              <w:spacing w:before="0" w:after="0"/>
              <w:ind w:firstLine="12"/>
            </w:pPr>
          </w:p>
        </w:tc>
      </w:tr>
      <w:tr w:rsidR="00196BB4" w:rsidRPr="00196BB4" w:rsidTr="00B2562A">
        <w:trPr>
          <w:trHeight w:val="285"/>
        </w:trPr>
        <w:tc>
          <w:tcPr>
            <w:tcW w:w="6708" w:type="dxa"/>
            <w:gridSpan w:val="2"/>
          </w:tcPr>
          <w:p w:rsidR="00F07F34" w:rsidRPr="00196BB4" w:rsidRDefault="00F07F34" w:rsidP="00B2562A">
            <w:pPr>
              <w:pStyle w:val="naiskr"/>
              <w:spacing w:before="0" w:after="0"/>
            </w:pPr>
            <w:r w:rsidRPr="00196BB4">
              <w:t>Saskaņošanas dalībnieki izskatīja šādu ministriju (citu institūciju) iebildumus</w:t>
            </w:r>
          </w:p>
        </w:tc>
        <w:tc>
          <w:tcPr>
            <w:tcW w:w="840" w:type="dxa"/>
          </w:tcPr>
          <w:p w:rsidR="00F07F34" w:rsidRPr="00196BB4" w:rsidRDefault="00F07F34" w:rsidP="00B2562A">
            <w:pPr>
              <w:pStyle w:val="naiskr"/>
              <w:spacing w:before="0" w:after="0"/>
              <w:ind w:firstLine="720"/>
            </w:pPr>
          </w:p>
        </w:tc>
        <w:tc>
          <w:tcPr>
            <w:tcW w:w="5034" w:type="dxa"/>
          </w:tcPr>
          <w:p w:rsidR="00F07F34" w:rsidRPr="00196BB4" w:rsidRDefault="00F07F34" w:rsidP="00B2562A">
            <w:pPr>
              <w:pStyle w:val="naiskr"/>
              <w:spacing w:before="0" w:after="0"/>
            </w:pPr>
            <w:r w:rsidRPr="00196BB4">
              <w:t>Vides aizsardzības un reģionālās attīstības ministrija, Tieslietu ministrija.</w:t>
            </w:r>
          </w:p>
        </w:tc>
      </w:tr>
      <w:tr w:rsidR="00196BB4" w:rsidRPr="00196BB4" w:rsidTr="00B2562A">
        <w:trPr>
          <w:trHeight w:val="359"/>
        </w:trPr>
        <w:tc>
          <w:tcPr>
            <w:tcW w:w="6708" w:type="dxa"/>
            <w:gridSpan w:val="2"/>
          </w:tcPr>
          <w:p w:rsidR="00F07F34" w:rsidRPr="00196BB4" w:rsidRDefault="00F07F34" w:rsidP="00B2562A">
            <w:pPr>
              <w:pStyle w:val="naiskr"/>
              <w:spacing w:before="0" w:after="0"/>
              <w:ind w:firstLine="720"/>
            </w:pPr>
            <w:r w:rsidRPr="00196BB4">
              <w:t>  </w:t>
            </w:r>
          </w:p>
        </w:tc>
        <w:tc>
          <w:tcPr>
            <w:tcW w:w="5874" w:type="dxa"/>
            <w:gridSpan w:val="2"/>
            <w:tcBorders>
              <w:top w:val="single" w:sz="6" w:space="0" w:color="000000"/>
              <w:bottom w:val="single" w:sz="6" w:space="0" w:color="000000"/>
            </w:tcBorders>
          </w:tcPr>
          <w:p w:rsidR="00F07F34" w:rsidRPr="00196BB4" w:rsidRDefault="00F07F34" w:rsidP="00B2562A">
            <w:pPr>
              <w:pStyle w:val="NormalWeb"/>
              <w:spacing w:before="0" w:beforeAutospacing="0" w:after="0" w:afterAutospacing="0"/>
            </w:pPr>
          </w:p>
        </w:tc>
      </w:tr>
      <w:tr w:rsidR="00196BB4" w:rsidRPr="00196BB4" w:rsidTr="00B2562A">
        <w:trPr>
          <w:trHeight w:val="465"/>
        </w:trPr>
        <w:tc>
          <w:tcPr>
            <w:tcW w:w="12582" w:type="dxa"/>
            <w:gridSpan w:val="4"/>
          </w:tcPr>
          <w:p w:rsidR="00F07F34" w:rsidRPr="00196BB4" w:rsidRDefault="00F07F34" w:rsidP="00B2562A">
            <w:pPr>
              <w:pStyle w:val="naisc"/>
              <w:spacing w:before="0" w:after="0"/>
              <w:jc w:val="left"/>
            </w:pPr>
          </w:p>
        </w:tc>
      </w:tr>
      <w:tr w:rsidR="00196BB4" w:rsidRPr="00196BB4" w:rsidTr="00B2562A">
        <w:tc>
          <w:tcPr>
            <w:tcW w:w="6708" w:type="dxa"/>
            <w:gridSpan w:val="2"/>
          </w:tcPr>
          <w:p w:rsidR="00F07F34" w:rsidRPr="00196BB4" w:rsidRDefault="00F07F34" w:rsidP="00B2562A">
            <w:pPr>
              <w:pStyle w:val="naiskr"/>
              <w:spacing w:before="0" w:after="0"/>
            </w:pPr>
            <w:r w:rsidRPr="00196BB4">
              <w:lastRenderedPageBreak/>
              <w:t>Ministrijas (citas institūcijas), kuras nav ieradušās uz sanāksmi vai kuras nav atbildējušas uz uzaicinājumu piedalīties elektroniskajā saskaņošanā</w:t>
            </w:r>
          </w:p>
        </w:tc>
        <w:tc>
          <w:tcPr>
            <w:tcW w:w="5874" w:type="dxa"/>
            <w:gridSpan w:val="2"/>
          </w:tcPr>
          <w:p w:rsidR="00F07F34" w:rsidRPr="00196BB4" w:rsidRDefault="00F07F34" w:rsidP="00B2562A">
            <w:pPr>
              <w:pStyle w:val="naiskr"/>
              <w:spacing w:before="0" w:after="0"/>
              <w:ind w:firstLine="720"/>
            </w:pPr>
          </w:p>
        </w:tc>
      </w:tr>
      <w:tr w:rsidR="00F07F34" w:rsidRPr="00196BB4" w:rsidTr="00B2562A">
        <w:tc>
          <w:tcPr>
            <w:tcW w:w="6708" w:type="dxa"/>
            <w:gridSpan w:val="2"/>
          </w:tcPr>
          <w:p w:rsidR="00F07F34" w:rsidRPr="00196BB4" w:rsidRDefault="00F07F34" w:rsidP="00B2562A">
            <w:pPr>
              <w:pStyle w:val="naiskr"/>
              <w:spacing w:before="0" w:after="0"/>
              <w:ind w:firstLine="720"/>
            </w:pPr>
            <w:r w:rsidRPr="00196BB4">
              <w:t>  </w:t>
            </w:r>
          </w:p>
        </w:tc>
        <w:tc>
          <w:tcPr>
            <w:tcW w:w="5874" w:type="dxa"/>
            <w:gridSpan w:val="2"/>
            <w:tcBorders>
              <w:top w:val="single" w:sz="6" w:space="0" w:color="000000"/>
              <w:bottom w:val="single" w:sz="6" w:space="0" w:color="000000"/>
            </w:tcBorders>
          </w:tcPr>
          <w:p w:rsidR="00F07F34" w:rsidRPr="00196BB4" w:rsidRDefault="00F07F34" w:rsidP="00B2562A">
            <w:pPr>
              <w:pStyle w:val="naiskr"/>
              <w:spacing w:before="0" w:after="0"/>
              <w:ind w:firstLine="720"/>
            </w:pPr>
          </w:p>
        </w:tc>
      </w:tr>
    </w:tbl>
    <w:p w:rsidR="00F07F34" w:rsidRPr="00196BB4" w:rsidRDefault="00F07F34" w:rsidP="00F07F34">
      <w:pPr>
        <w:pStyle w:val="naisf"/>
        <w:spacing w:before="0" w:after="0"/>
        <w:ind w:firstLine="0"/>
        <w:jc w:val="center"/>
        <w:rPr>
          <w:b/>
        </w:rPr>
      </w:pPr>
    </w:p>
    <w:p w:rsidR="00F07F34" w:rsidRPr="00196BB4" w:rsidRDefault="00F07F34" w:rsidP="00F07F34">
      <w:pPr>
        <w:pStyle w:val="naisf"/>
        <w:spacing w:before="0" w:after="0"/>
        <w:ind w:firstLine="0"/>
        <w:jc w:val="center"/>
        <w:rPr>
          <w:b/>
        </w:rPr>
      </w:pPr>
      <w:r w:rsidRPr="00196BB4">
        <w:rPr>
          <w:b/>
        </w:rPr>
        <w:t>II. Jautājumi, par kuriem saskaņošanā vienošanās ir panākta</w:t>
      </w:r>
    </w:p>
    <w:p w:rsidR="00F07F34" w:rsidRPr="00196BB4" w:rsidRDefault="00F07F34" w:rsidP="00F07F34">
      <w:pPr>
        <w:pStyle w:val="naisf"/>
        <w:spacing w:before="0" w:after="0"/>
        <w:ind w:firstLine="0"/>
        <w:jc w:val="center"/>
        <w:rPr>
          <w:b/>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2410"/>
      </w:tblGrid>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norāde par to, ka iebildums ir ņemts vērā, vai informācija par saskaņošanā panākto alternatīvo risinājumu</w:t>
            </w:r>
          </w:p>
        </w:tc>
        <w:tc>
          <w:tcPr>
            <w:tcW w:w="2410"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2410"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5</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8"/>
              </w:rPr>
              <w:t>Ministru kabineta noteikumu projekta nosaukums -  “Kārtība, kādā ziņo par sprāgstvielu prekursoriem”</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rPr>
                <w:b/>
              </w:rPr>
            </w:pPr>
            <w:r w:rsidRPr="00196BB4">
              <w:rPr>
                <w:b/>
              </w:rPr>
              <w:t>Tieslietu ministrija</w:t>
            </w:r>
          </w:p>
          <w:p w:rsidR="00F07F34" w:rsidRPr="00196BB4" w:rsidRDefault="00F07F34" w:rsidP="00B2562A">
            <w:pPr>
              <w:pStyle w:val="naisc"/>
              <w:spacing w:before="0" w:after="0"/>
              <w:rPr>
                <w:b/>
              </w:rPr>
            </w:pPr>
            <w:r w:rsidRPr="00196BB4">
              <w:rPr>
                <w:b/>
              </w:rPr>
              <w:t>(29.07.2020. atzinums)</w:t>
            </w:r>
          </w:p>
          <w:p w:rsidR="00F07F34" w:rsidRPr="00196BB4" w:rsidRDefault="00F07F34" w:rsidP="00B2562A">
            <w:pPr>
              <w:pStyle w:val="naisc"/>
              <w:spacing w:before="0" w:after="0"/>
              <w:jc w:val="both"/>
              <w:rPr>
                <w:b/>
              </w:rPr>
            </w:pPr>
            <w:r w:rsidRPr="00196BB4">
              <w:t xml:space="preserve">Vēršam uzmanību, ka projekta nosaukums neatbilst Ministru kabineta 2009. gada 3. februāra noteikumu Nr. 108 “Normatīvo aktu projektu sagatavošanas noteikumi” 90. un 91. punktam, kas noteic, ka noteikumu projekta nosaukumu veido iespējami īsu un atbilstošu likumā noteiktajam pilnvarojumam Ministru kabinetam un noteikumu saturam, vārdus “kārtība”, “noteikumi” </w:t>
            </w:r>
            <w:proofErr w:type="spellStart"/>
            <w:r w:rsidRPr="00196BB4">
              <w:t>v.tml</w:t>
            </w:r>
            <w:proofErr w:type="spellEnd"/>
            <w:r w:rsidRPr="00196BB4">
              <w:t>. rakstot kā nosaukuma pēdējo vārdu. Ievērojot minēto, lūdzam precizēt projekta nosaukumu.</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pPr>
            <w:r w:rsidRPr="00196BB4">
              <w:rPr>
                <w:b/>
              </w:rPr>
              <w:t>Panākta vienošanās</w:t>
            </w:r>
            <w:r w:rsidRPr="00196BB4">
              <w:t>.</w:t>
            </w:r>
          </w:p>
          <w:p w:rsidR="00F07F34" w:rsidRPr="00196BB4" w:rsidRDefault="00F07F34" w:rsidP="00B2562A">
            <w:pPr>
              <w:pStyle w:val="naisc"/>
              <w:spacing w:before="0" w:after="0"/>
              <w:jc w:val="both"/>
              <w:rPr>
                <w:b/>
              </w:rPr>
            </w:pPr>
          </w:p>
        </w:tc>
        <w:tc>
          <w:tcPr>
            <w:tcW w:w="2410" w:type="dxa"/>
            <w:tcBorders>
              <w:top w:val="single" w:sz="4" w:space="0" w:color="auto"/>
              <w:left w:val="single" w:sz="4" w:space="0" w:color="auto"/>
              <w:bottom w:val="single" w:sz="4" w:space="0" w:color="auto"/>
            </w:tcBorders>
          </w:tcPr>
          <w:p w:rsidR="00F07F34" w:rsidRPr="00196BB4" w:rsidRDefault="00F07F34" w:rsidP="00F07F34">
            <w:pPr>
              <w:pStyle w:val="ListParagraph"/>
              <w:numPr>
                <w:ilvl w:val="0"/>
                <w:numId w:val="2"/>
              </w:numPr>
              <w:suppressAutoHyphens/>
              <w:autoSpaceDN w:val="0"/>
              <w:spacing w:after="0" w:line="240" w:lineRule="auto"/>
              <w:ind w:left="0" w:hanging="260"/>
              <w:contextualSpacing w:val="0"/>
              <w:jc w:val="both"/>
              <w:textAlignment w:val="baseline"/>
              <w:rPr>
                <w:rFonts w:ascii="Times New Roman" w:hAnsi="Times New Roman"/>
                <w:sz w:val="24"/>
                <w:szCs w:val="24"/>
              </w:rPr>
            </w:pPr>
            <w:r w:rsidRPr="00196BB4">
              <w:rPr>
                <w:rFonts w:ascii="Times New Roman" w:hAnsi="Times New Roman"/>
                <w:sz w:val="24"/>
                <w:szCs w:val="28"/>
              </w:rPr>
              <w:t>Ministru kabineta noteikumu projekta nosaukums -  “Kārtība, kādā ziņo par sprāgstvielu prekursoriem”</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F07F34">
            <w:pPr>
              <w:pStyle w:val="ListParagraph"/>
              <w:numPr>
                <w:ilvl w:val="0"/>
                <w:numId w:val="4"/>
              </w:numPr>
              <w:suppressAutoHyphens/>
              <w:autoSpaceDN w:val="0"/>
              <w:spacing w:after="0" w:line="240" w:lineRule="auto"/>
              <w:ind w:left="1" w:hanging="9"/>
              <w:contextualSpacing w:val="0"/>
              <w:jc w:val="both"/>
              <w:textAlignment w:val="baseline"/>
              <w:rPr>
                <w:rFonts w:ascii="Times New Roman" w:hAnsi="Times New Roman"/>
                <w:sz w:val="24"/>
                <w:szCs w:val="24"/>
              </w:rPr>
            </w:pPr>
            <w:r w:rsidRPr="00196BB4">
              <w:rPr>
                <w:rFonts w:ascii="Times New Roman" w:hAnsi="Times New Roman"/>
                <w:sz w:val="24"/>
                <w:szCs w:val="24"/>
              </w:rPr>
              <w:t>Noteikumos lietotie termini:</w:t>
            </w:r>
          </w:p>
          <w:p w:rsidR="00F07F34" w:rsidRPr="00196BB4" w:rsidRDefault="00F07F34" w:rsidP="00F07F34">
            <w:pPr>
              <w:numPr>
                <w:ilvl w:val="1"/>
                <w:numId w:val="2"/>
              </w:numPr>
              <w:ind w:left="1" w:hanging="9"/>
            </w:pPr>
            <w:r w:rsidRPr="00196BB4">
              <w:t xml:space="preserve">aizdomīgs darījums – darījums, kas noteikts kā </w:t>
            </w:r>
            <w:r w:rsidRPr="00196BB4">
              <w:lastRenderedPageBreak/>
              <w:t xml:space="preserve">aizdomīgs saskaņā ar regulu Nr. </w:t>
            </w:r>
            <w:hyperlink r:id="rId7" w:tgtFrame="_blank" w:history="1">
              <w:r w:rsidRPr="00196BB4">
                <w:rPr>
                  <w:rStyle w:val="Hyperlink"/>
                  <w:color w:val="auto"/>
                </w:rPr>
                <w:t>2019/1148</w:t>
              </w:r>
            </w:hyperlink>
            <w:r w:rsidRPr="00196BB4">
              <w:t>;</w:t>
            </w:r>
          </w:p>
          <w:p w:rsidR="00F07F34" w:rsidRPr="00196BB4" w:rsidRDefault="00F07F34" w:rsidP="00F07F34">
            <w:pPr>
              <w:numPr>
                <w:ilvl w:val="1"/>
                <w:numId w:val="2"/>
              </w:numPr>
              <w:ind w:left="1" w:hanging="9"/>
            </w:pPr>
            <w:r w:rsidRPr="00196BB4">
              <w:t xml:space="preserve">ekonomikas dalībnieks – fiziska vai juridiska persona, kas noteikta kā ekonomikas dalībnieks saskaņā ar regulu Nr. </w:t>
            </w:r>
            <w:hyperlink r:id="rId8" w:tgtFrame="_blank" w:history="1">
              <w:r w:rsidRPr="00196BB4">
                <w:rPr>
                  <w:rStyle w:val="Hyperlink"/>
                  <w:color w:val="auto"/>
                </w:rPr>
                <w:t>2019/1148</w:t>
              </w:r>
            </w:hyperlink>
            <w:r w:rsidRPr="00196BB4">
              <w:t>.</w:t>
            </w:r>
          </w:p>
          <w:p w:rsidR="00F07F34" w:rsidRPr="00196BB4" w:rsidRDefault="00F07F34" w:rsidP="00F07F34">
            <w:pPr>
              <w:numPr>
                <w:ilvl w:val="1"/>
                <w:numId w:val="2"/>
              </w:numPr>
              <w:ind w:left="1" w:hanging="9"/>
              <w:rPr>
                <w:rStyle w:val="Hyperlink"/>
                <w:color w:val="auto"/>
              </w:rPr>
            </w:pPr>
            <w:r w:rsidRPr="00196BB4">
              <w:t xml:space="preserve">tiešsaistes tirdzniecības vieta – juridiska persona, kas noteikta kā  pakalpojumu sniedzējs saskaņā ar regulu Nr. </w:t>
            </w:r>
            <w:hyperlink r:id="rId9" w:tgtFrame="_blank" w:history="1">
              <w:r w:rsidRPr="00196BB4">
                <w:rPr>
                  <w:rStyle w:val="Hyperlink"/>
                  <w:color w:val="auto"/>
                </w:rPr>
                <w:t>2019/1148</w:t>
              </w:r>
            </w:hyperlink>
            <w:r w:rsidRPr="00196BB4">
              <w:rPr>
                <w:rStyle w:val="Hyperlink"/>
                <w:color w:val="auto"/>
              </w:rPr>
              <w:t>.</w:t>
            </w:r>
          </w:p>
          <w:p w:rsidR="00F07F34" w:rsidRPr="00196BB4" w:rsidRDefault="00F07F34" w:rsidP="00F07F34">
            <w:pPr>
              <w:numPr>
                <w:ilvl w:val="1"/>
                <w:numId w:val="2"/>
              </w:numPr>
              <w:ind w:left="1" w:hanging="9"/>
            </w:pPr>
            <w:r w:rsidRPr="00196BB4">
              <w:rPr>
                <w:shd w:val="clear" w:color="auto" w:fill="FFFFFF"/>
              </w:rPr>
              <w:t>profesionāli lietotāji –</w:t>
            </w:r>
            <w:r w:rsidRPr="00196BB4">
              <w:t xml:space="preserve"> fiziska vai juridiska persona vai publisko tiesību subjekts, kuram  ir vajadzība pēc sprāgstvielu prekursoriem saskaņā ar regulu Nr. </w:t>
            </w:r>
            <w:hyperlink r:id="rId10" w:tgtFrame="_blank" w:history="1">
              <w:r w:rsidRPr="00196BB4">
                <w:rPr>
                  <w:rStyle w:val="Hyperlink"/>
                  <w:color w:val="auto"/>
                </w:rPr>
                <w:t>2019/1148</w:t>
              </w:r>
            </w:hyperlink>
            <w:r w:rsidRPr="00196BB4">
              <w:t>.</w:t>
            </w:r>
          </w:p>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8"/>
              </w:rPr>
            </w:pP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rPr>
                <w:b/>
              </w:rPr>
            </w:pPr>
            <w:r w:rsidRPr="00196BB4">
              <w:rPr>
                <w:b/>
              </w:rPr>
              <w:lastRenderedPageBreak/>
              <w:t>Tieslietu ministrija</w:t>
            </w:r>
          </w:p>
          <w:p w:rsidR="00F07F34" w:rsidRPr="00196BB4" w:rsidRDefault="00F07F34" w:rsidP="00B2562A">
            <w:pPr>
              <w:pStyle w:val="naisc"/>
              <w:spacing w:before="0" w:after="0"/>
              <w:rPr>
                <w:b/>
              </w:rPr>
            </w:pPr>
            <w:r w:rsidRPr="00196BB4">
              <w:rPr>
                <w:b/>
              </w:rPr>
              <w:t>(29.07.2020. atzinums)</w:t>
            </w:r>
          </w:p>
          <w:p w:rsidR="00F07F34" w:rsidRPr="00196BB4" w:rsidRDefault="00F07F34" w:rsidP="00B2562A">
            <w:pPr>
              <w:pStyle w:val="naisc"/>
              <w:spacing w:before="0" w:after="0"/>
              <w:jc w:val="both"/>
              <w:rPr>
                <w:b/>
              </w:rPr>
            </w:pPr>
            <w:r w:rsidRPr="00196BB4">
              <w:t xml:space="preserve">Lai atvieglotu projekta uztveramību, lūdzam projekta 2. punktā norādīt konkrētas atsauces uz Eiropas Parlamenta un Padomes </w:t>
            </w:r>
            <w:r w:rsidRPr="00196BB4">
              <w:lastRenderedPageBreak/>
              <w:t>2019. gada 20. jūnija Regulas (ES) Nr. 2019/1148 par sprāgstvielu prekursoru tirdzniecību un lietošanu vienībām. Vienlaikus saistībā ar projekta 2. punkta regulējumu lūdzam papildināt projekta anotācijas V sadaļas 1. tabulu atbilstoši Ministru kabineta 2009. gada 15. decembra instrukcijas Nr.19 “Tiesību akta projekta sākotnējās ietekmes izvērtēšanas kārtība” 56. punktam</w:t>
            </w:r>
            <w:r w:rsidRPr="00196BB4">
              <w:rPr>
                <w:b/>
              </w:rPr>
              <w:t>.</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jc w:val="both"/>
              <w:rPr>
                <w:b/>
              </w:rP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F07F34" w:rsidRPr="00196BB4" w:rsidRDefault="00F07F34" w:rsidP="00F07F34">
            <w:pPr>
              <w:pStyle w:val="ListParagraph"/>
              <w:numPr>
                <w:ilvl w:val="0"/>
                <w:numId w:val="1"/>
              </w:numPr>
              <w:suppressAutoHyphens/>
              <w:autoSpaceDN w:val="0"/>
              <w:spacing w:after="0" w:line="240" w:lineRule="auto"/>
              <w:ind w:left="-108" w:firstLine="23"/>
              <w:contextualSpacing w:val="0"/>
              <w:jc w:val="both"/>
              <w:textAlignment w:val="baseline"/>
              <w:rPr>
                <w:rFonts w:ascii="Times New Roman" w:hAnsi="Times New Roman"/>
                <w:sz w:val="24"/>
                <w:szCs w:val="28"/>
              </w:rPr>
            </w:pPr>
            <w:r w:rsidRPr="00196BB4">
              <w:rPr>
                <w:rFonts w:ascii="Times New Roman" w:hAnsi="Times New Roman"/>
                <w:sz w:val="24"/>
                <w:szCs w:val="28"/>
              </w:rPr>
              <w:t>Noteikumos lietotie termini:</w:t>
            </w:r>
          </w:p>
          <w:p w:rsidR="00F07F34" w:rsidRPr="00196BB4" w:rsidRDefault="00F07F34" w:rsidP="00B2562A">
            <w:pPr>
              <w:ind w:left="-108" w:firstLine="23"/>
              <w:rPr>
                <w:szCs w:val="28"/>
              </w:rPr>
            </w:pPr>
            <w:r w:rsidRPr="00196BB4">
              <w:rPr>
                <w:szCs w:val="28"/>
              </w:rPr>
              <w:t xml:space="preserve">2.1. aizdomīgs darījums – darījums, kas noteikts kā </w:t>
            </w:r>
            <w:r w:rsidRPr="00196BB4">
              <w:rPr>
                <w:szCs w:val="28"/>
              </w:rPr>
              <w:lastRenderedPageBreak/>
              <w:t xml:space="preserve">aizdomīgs saskaņā ar regulas Nr. </w:t>
            </w:r>
            <w:hyperlink r:id="rId11" w:tgtFrame="_blank" w:history="1">
              <w:r w:rsidRPr="00196BB4">
                <w:rPr>
                  <w:rStyle w:val="Hyperlink"/>
                  <w:color w:val="auto"/>
                  <w:szCs w:val="28"/>
                </w:rPr>
                <w:t>2019/1148</w:t>
              </w:r>
            </w:hyperlink>
            <w:r w:rsidRPr="00196BB4">
              <w:rPr>
                <w:szCs w:val="28"/>
              </w:rPr>
              <w:t xml:space="preserve"> 3. panta 7. punktu;</w:t>
            </w:r>
          </w:p>
          <w:p w:rsidR="00F07F34" w:rsidRPr="00196BB4" w:rsidRDefault="00F07F34" w:rsidP="00B2562A">
            <w:pPr>
              <w:ind w:left="-108" w:firstLine="23"/>
              <w:rPr>
                <w:szCs w:val="28"/>
              </w:rPr>
            </w:pPr>
            <w:r w:rsidRPr="00196BB4">
              <w:rPr>
                <w:szCs w:val="28"/>
              </w:rPr>
              <w:t>2.2. ekonomikas dalībnieks – fiziska vai juridiska persona, kas noteikta kā ekonomikas dalībnieks saskaņā ar regulas Nr. </w:t>
            </w:r>
            <w:hyperlink r:id="rId12" w:tgtFrame="_blank" w:history="1">
              <w:r w:rsidRPr="00196BB4">
                <w:rPr>
                  <w:rStyle w:val="Hyperlink"/>
                  <w:color w:val="auto"/>
                  <w:szCs w:val="28"/>
                </w:rPr>
                <w:t>2019/1148</w:t>
              </w:r>
            </w:hyperlink>
            <w:r w:rsidRPr="00196BB4">
              <w:rPr>
                <w:szCs w:val="28"/>
              </w:rPr>
              <w:t xml:space="preserve"> 3. panta 10. punktu;</w:t>
            </w:r>
          </w:p>
          <w:p w:rsidR="00F07F34" w:rsidRPr="00196BB4" w:rsidRDefault="00F07F34" w:rsidP="00B2562A">
            <w:pPr>
              <w:ind w:left="-108" w:firstLine="23"/>
              <w:rPr>
                <w:rStyle w:val="Hyperlink"/>
                <w:color w:val="auto"/>
                <w:szCs w:val="28"/>
              </w:rPr>
            </w:pPr>
            <w:r w:rsidRPr="00196BB4">
              <w:rPr>
                <w:szCs w:val="28"/>
              </w:rPr>
              <w:t xml:space="preserve">2.3. tiešsaistes tirdzniecības vieta – juridiska persona, kas noteikta kā  pakalpojumu sniedzējs saskaņā ar regulas Nr. </w:t>
            </w:r>
            <w:hyperlink r:id="rId13" w:tgtFrame="_blank" w:history="1">
              <w:r w:rsidRPr="00196BB4">
                <w:rPr>
                  <w:rStyle w:val="Hyperlink"/>
                  <w:color w:val="auto"/>
                  <w:szCs w:val="28"/>
                </w:rPr>
                <w:t>2019/1148</w:t>
              </w:r>
            </w:hyperlink>
            <w:r w:rsidRPr="00196BB4">
              <w:rPr>
                <w:rStyle w:val="Hyperlink"/>
                <w:color w:val="auto"/>
                <w:szCs w:val="28"/>
              </w:rPr>
              <w:t xml:space="preserve">  </w:t>
            </w:r>
            <w:r w:rsidRPr="00196BB4">
              <w:rPr>
                <w:szCs w:val="28"/>
              </w:rPr>
              <w:t>3. panta 11. punktu;</w:t>
            </w:r>
          </w:p>
          <w:p w:rsidR="00F07F34" w:rsidRPr="00196BB4" w:rsidRDefault="00F07F34" w:rsidP="00B2562A">
            <w:pPr>
              <w:ind w:left="-108" w:firstLine="23"/>
              <w:rPr>
                <w:szCs w:val="28"/>
              </w:rPr>
            </w:pPr>
            <w:r w:rsidRPr="00196BB4">
              <w:rPr>
                <w:rStyle w:val="Hyperlink"/>
                <w:color w:val="auto"/>
                <w:szCs w:val="28"/>
              </w:rPr>
              <w:t xml:space="preserve">2.4. </w:t>
            </w:r>
            <w:r w:rsidRPr="00196BB4">
              <w:rPr>
                <w:szCs w:val="28"/>
                <w:shd w:val="clear" w:color="auto" w:fill="FFFFFF"/>
              </w:rPr>
              <w:t>profesionāli lietotāji –</w:t>
            </w:r>
            <w:r w:rsidRPr="00196BB4">
              <w:rPr>
                <w:szCs w:val="28"/>
              </w:rPr>
              <w:t xml:space="preserve"> fiziska vai juridiska persona vai publisko tiesību subjekts, kuram  ir vajadzība pēc sprāgstvielu prekursoriem saskaņā ar regulas Nr. </w:t>
            </w:r>
            <w:hyperlink r:id="rId14" w:tgtFrame="_blank" w:history="1">
              <w:r w:rsidRPr="00196BB4">
                <w:rPr>
                  <w:rStyle w:val="Hyperlink"/>
                  <w:color w:val="auto"/>
                  <w:szCs w:val="28"/>
                </w:rPr>
                <w:t>2019/1148</w:t>
              </w:r>
            </w:hyperlink>
            <w:r w:rsidRPr="00196BB4">
              <w:rPr>
                <w:szCs w:val="28"/>
              </w:rPr>
              <w:t xml:space="preserve"> 3. panta 9. punktu.</w:t>
            </w:r>
          </w:p>
          <w:p w:rsidR="00F07F34" w:rsidRPr="00196BB4" w:rsidRDefault="00F07F34" w:rsidP="00B2562A">
            <w:pPr>
              <w:pStyle w:val="ListParagraph"/>
              <w:suppressAutoHyphens/>
              <w:autoSpaceDN w:val="0"/>
              <w:spacing w:after="0" w:line="240" w:lineRule="auto"/>
              <w:ind w:left="-108" w:firstLine="23"/>
              <w:contextualSpacing w:val="0"/>
              <w:jc w:val="both"/>
              <w:textAlignment w:val="baseline"/>
              <w:rPr>
                <w:rFonts w:ascii="Times New Roman" w:hAnsi="Times New Roman"/>
                <w:sz w:val="24"/>
                <w:szCs w:val="28"/>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F07F34">
            <w:pPr>
              <w:pStyle w:val="ListParagraph"/>
              <w:numPr>
                <w:ilvl w:val="0"/>
                <w:numId w:val="5"/>
              </w:numPr>
              <w:suppressAutoHyphens/>
              <w:autoSpaceDN w:val="0"/>
              <w:spacing w:after="0" w:line="240" w:lineRule="auto"/>
              <w:ind w:left="1" w:firstLine="0"/>
              <w:contextualSpacing w:val="0"/>
              <w:jc w:val="both"/>
              <w:textAlignment w:val="baseline"/>
              <w:rPr>
                <w:rFonts w:ascii="Times New Roman" w:hAnsi="Times New Roman"/>
                <w:sz w:val="24"/>
                <w:szCs w:val="28"/>
              </w:rPr>
            </w:pPr>
            <w:r w:rsidRPr="00196BB4">
              <w:rPr>
                <w:rFonts w:ascii="Times New Roman" w:hAnsi="Times New Roman"/>
                <w:sz w:val="24"/>
                <w:szCs w:val="28"/>
              </w:rPr>
              <w:t xml:space="preserve">Saskaņā ar regulas Nr. </w:t>
            </w:r>
            <w:hyperlink r:id="rId15" w:tgtFrame="_blank" w:history="1">
              <w:r w:rsidRPr="00196BB4">
                <w:rPr>
                  <w:rStyle w:val="Hyperlink"/>
                  <w:rFonts w:ascii="Times New Roman" w:hAnsi="Times New Roman"/>
                  <w:color w:val="auto"/>
                  <w:sz w:val="24"/>
                  <w:szCs w:val="28"/>
                </w:rPr>
                <w:t>2019/1148</w:t>
              </w:r>
            </w:hyperlink>
            <w:r w:rsidRPr="00196BB4">
              <w:rPr>
                <w:rFonts w:ascii="Times New Roman" w:hAnsi="Times New Roman"/>
                <w:sz w:val="24"/>
                <w:szCs w:val="28"/>
                <w:u w:val="single"/>
              </w:rPr>
              <w:t>.</w:t>
            </w:r>
            <w:r w:rsidRPr="00196BB4">
              <w:rPr>
                <w:rFonts w:ascii="Times New Roman" w:hAnsi="Times New Roman"/>
                <w:sz w:val="24"/>
                <w:szCs w:val="28"/>
              </w:rPr>
              <w:t xml:space="preserve"> 9. pantu </w:t>
            </w:r>
            <w:r w:rsidRPr="00196BB4">
              <w:rPr>
                <w:rFonts w:ascii="Times New Roman" w:hAnsi="Times New Roman"/>
                <w:sz w:val="24"/>
                <w:szCs w:val="28"/>
              </w:rPr>
              <w:lastRenderedPageBreak/>
              <w:t>pienākums ziņot Valsts drošības dienestam pa tālruni (+371 67208964) vai elektroniski (</w:t>
            </w:r>
            <w:hyperlink r:id="rId16" w:history="1">
              <w:r w:rsidRPr="00196BB4">
                <w:rPr>
                  <w:rStyle w:val="Hyperlink"/>
                  <w:rFonts w:ascii="Times New Roman" w:hAnsi="Times New Roman"/>
                  <w:color w:val="auto"/>
                  <w:sz w:val="24"/>
                  <w:szCs w:val="28"/>
                </w:rPr>
                <w:t>kontaktpunkts@vdd.gov.lv</w:t>
              </w:r>
            </w:hyperlink>
            <w:r w:rsidRPr="00196BB4">
              <w:rPr>
                <w:rFonts w:ascii="Times New Roman" w:hAnsi="Times New Roman"/>
                <w:sz w:val="24"/>
                <w:szCs w:val="28"/>
              </w:rPr>
              <w:t>) ir:</w:t>
            </w:r>
          </w:p>
          <w:p w:rsidR="00F07F34" w:rsidRPr="00196BB4" w:rsidRDefault="00F07F34" w:rsidP="00F07F34">
            <w:pPr>
              <w:pStyle w:val="ListParagraph"/>
              <w:numPr>
                <w:ilvl w:val="1"/>
                <w:numId w:val="5"/>
              </w:numPr>
              <w:tabs>
                <w:tab w:val="left" w:pos="426"/>
              </w:tabs>
              <w:suppressAutoHyphens/>
              <w:autoSpaceDN w:val="0"/>
              <w:spacing w:after="0" w:line="240" w:lineRule="auto"/>
              <w:ind w:left="1" w:firstLine="0"/>
              <w:contextualSpacing w:val="0"/>
              <w:jc w:val="both"/>
              <w:textAlignment w:val="baseline"/>
              <w:rPr>
                <w:rFonts w:ascii="Times New Roman" w:hAnsi="Times New Roman"/>
                <w:sz w:val="24"/>
                <w:szCs w:val="28"/>
              </w:rPr>
            </w:pPr>
            <w:r w:rsidRPr="00196BB4">
              <w:rPr>
                <w:rFonts w:ascii="Times New Roman" w:hAnsi="Times New Roman"/>
                <w:sz w:val="24"/>
                <w:szCs w:val="28"/>
              </w:rPr>
              <w:t xml:space="preserve">ekonomikas dalībniekam un tiešsaistes tirdzniecības vietai par aizdomīgiem darījumiem vai aizdomīga darījuma mēģinājumiem ar regulas Nr. </w:t>
            </w:r>
            <w:hyperlink r:id="rId17" w:tgtFrame="_blank" w:history="1">
              <w:r w:rsidRPr="00196BB4">
                <w:rPr>
                  <w:rStyle w:val="Hyperlink"/>
                  <w:rFonts w:ascii="Times New Roman" w:hAnsi="Times New Roman"/>
                  <w:color w:val="auto"/>
                  <w:sz w:val="24"/>
                  <w:szCs w:val="28"/>
                </w:rPr>
                <w:t>2019/1148</w:t>
              </w:r>
            </w:hyperlink>
            <w:r w:rsidRPr="00196BB4">
              <w:rPr>
                <w:rFonts w:ascii="Times New Roman" w:hAnsi="Times New Roman"/>
                <w:sz w:val="24"/>
                <w:szCs w:val="28"/>
              </w:rPr>
              <w:t xml:space="preserve"> I un II pielikumā uzskaitītajām vielām un tās saturošiem maisījumiem vai vielām;</w:t>
            </w:r>
          </w:p>
          <w:p w:rsidR="00F07F34" w:rsidRPr="00196BB4" w:rsidRDefault="00F07F34" w:rsidP="00F07F34">
            <w:pPr>
              <w:pStyle w:val="ListParagraph"/>
              <w:numPr>
                <w:ilvl w:val="1"/>
                <w:numId w:val="5"/>
              </w:numPr>
              <w:tabs>
                <w:tab w:val="left" w:pos="426"/>
              </w:tabs>
              <w:suppressAutoHyphens/>
              <w:autoSpaceDN w:val="0"/>
              <w:spacing w:after="0" w:line="240" w:lineRule="auto"/>
              <w:ind w:left="1" w:firstLine="0"/>
              <w:contextualSpacing w:val="0"/>
              <w:jc w:val="both"/>
              <w:textAlignment w:val="baseline"/>
              <w:rPr>
                <w:rFonts w:ascii="Times New Roman" w:hAnsi="Times New Roman"/>
                <w:sz w:val="24"/>
                <w:szCs w:val="24"/>
              </w:rPr>
            </w:pPr>
            <w:r w:rsidRPr="00196BB4">
              <w:rPr>
                <w:rFonts w:ascii="Times New Roman" w:hAnsi="Times New Roman"/>
                <w:sz w:val="24"/>
                <w:szCs w:val="28"/>
              </w:rPr>
              <w:t xml:space="preserve">ekonomikas dalībniekam un profesionāliem lietotājiem par regulas Nr. </w:t>
            </w:r>
            <w:hyperlink r:id="rId18" w:tgtFrame="_blank" w:history="1">
              <w:r w:rsidRPr="00196BB4">
                <w:rPr>
                  <w:sz w:val="24"/>
                </w:rPr>
                <w:t>2019/1148</w:t>
              </w:r>
            </w:hyperlink>
            <w:r w:rsidRPr="00196BB4">
              <w:rPr>
                <w:rFonts w:ascii="Times New Roman" w:hAnsi="Times New Roman"/>
                <w:sz w:val="24"/>
                <w:szCs w:val="28"/>
              </w:rPr>
              <w:t xml:space="preserve"> I un II pielikumā uzskaitīto vielu un to saturošu maisījumu vai vielu būtiskiem pazušanas gadījumiem un zādzībām.</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rPr>
                <w:b/>
              </w:rPr>
            </w:pPr>
            <w:r w:rsidRPr="00196BB4">
              <w:rPr>
                <w:b/>
              </w:rPr>
              <w:lastRenderedPageBreak/>
              <w:t>Vides aizsardzības un reģionālās attīstības ministrija</w:t>
            </w:r>
          </w:p>
          <w:p w:rsidR="00F07F34" w:rsidRPr="00196BB4" w:rsidRDefault="00F07F34" w:rsidP="00B2562A">
            <w:pPr>
              <w:pStyle w:val="naisc"/>
              <w:spacing w:before="0" w:after="0"/>
              <w:rPr>
                <w:b/>
              </w:rPr>
            </w:pPr>
            <w:r w:rsidRPr="00196BB4">
              <w:rPr>
                <w:b/>
              </w:rPr>
              <w:lastRenderedPageBreak/>
              <w:t>(28.07.2020. atzinums)</w:t>
            </w:r>
          </w:p>
          <w:p w:rsidR="00F07F34" w:rsidRPr="00196BB4" w:rsidRDefault="00F07F34" w:rsidP="00B2562A">
            <w:pPr>
              <w:pStyle w:val="ListParagraph"/>
              <w:widowControl w:val="0"/>
              <w:spacing w:after="0" w:line="240" w:lineRule="auto"/>
              <w:ind w:left="0"/>
              <w:jc w:val="both"/>
              <w:rPr>
                <w:rFonts w:ascii="Times New Roman" w:hAnsi="Times New Roman"/>
                <w:sz w:val="24"/>
                <w:szCs w:val="24"/>
              </w:rPr>
            </w:pPr>
            <w:r w:rsidRPr="00196BB4">
              <w:rPr>
                <w:rFonts w:ascii="Times New Roman" w:hAnsi="Times New Roman"/>
                <w:sz w:val="24"/>
                <w:szCs w:val="24"/>
              </w:rPr>
              <w:t>Noteikumu projekta 4. punktā ir noteikts, ka:</w:t>
            </w:r>
          </w:p>
          <w:p w:rsidR="00F07F34" w:rsidRPr="00196BB4" w:rsidRDefault="00F07F34" w:rsidP="00B2562A">
            <w:pPr>
              <w:pStyle w:val="ListParagraph"/>
              <w:spacing w:after="0" w:line="240" w:lineRule="auto"/>
              <w:ind w:left="0"/>
              <w:jc w:val="both"/>
              <w:rPr>
                <w:rFonts w:ascii="Times New Roman" w:hAnsi="Times New Roman"/>
                <w:sz w:val="24"/>
                <w:szCs w:val="24"/>
              </w:rPr>
            </w:pPr>
            <w:r w:rsidRPr="00196BB4">
              <w:rPr>
                <w:rFonts w:ascii="Times New Roman" w:hAnsi="Times New Roman"/>
                <w:sz w:val="24"/>
                <w:szCs w:val="24"/>
              </w:rPr>
              <w:t xml:space="preserve">“4. Saskaņā ar regulas Nr. 2019/1148. 9. pantu pienākums ziņot Valsts drošības dienestam </w:t>
            </w:r>
            <w:r w:rsidRPr="00196BB4">
              <w:rPr>
                <w:rFonts w:ascii="Times New Roman" w:hAnsi="Times New Roman"/>
                <w:sz w:val="24"/>
                <w:szCs w:val="24"/>
                <w:u w:val="single"/>
              </w:rPr>
              <w:t>pa tālruni (+371 67208964) vai elektroniski (</w:t>
            </w:r>
            <w:proofErr w:type="spellStart"/>
            <w:r w:rsidRPr="00196BB4">
              <w:rPr>
                <w:rFonts w:ascii="Times New Roman" w:hAnsi="Times New Roman"/>
                <w:sz w:val="24"/>
                <w:szCs w:val="24"/>
                <w:u w:val="single"/>
              </w:rPr>
              <w:t>kontaktpunkts@vdd.gov.lv</w:t>
            </w:r>
            <w:proofErr w:type="spellEnd"/>
            <w:r w:rsidRPr="00196BB4">
              <w:rPr>
                <w:rFonts w:ascii="Times New Roman" w:hAnsi="Times New Roman"/>
                <w:sz w:val="24"/>
                <w:szCs w:val="24"/>
                <w:u w:val="single"/>
              </w:rPr>
              <w:t>)</w:t>
            </w:r>
            <w:r w:rsidRPr="00196BB4">
              <w:rPr>
                <w:rFonts w:ascii="Times New Roman" w:hAnsi="Times New Roman"/>
                <w:sz w:val="24"/>
                <w:szCs w:val="24"/>
              </w:rPr>
              <w:t xml:space="preserve"> ir:</w:t>
            </w:r>
          </w:p>
          <w:p w:rsidR="00F07F34" w:rsidRPr="00196BB4" w:rsidRDefault="00F07F34" w:rsidP="00B2562A">
            <w:pPr>
              <w:pStyle w:val="ListParagraph"/>
              <w:spacing w:after="0" w:line="240" w:lineRule="auto"/>
              <w:ind w:left="0"/>
              <w:jc w:val="both"/>
              <w:rPr>
                <w:rFonts w:ascii="Times New Roman" w:hAnsi="Times New Roman"/>
                <w:sz w:val="24"/>
                <w:szCs w:val="24"/>
              </w:rPr>
            </w:pPr>
            <w:r w:rsidRPr="00196BB4">
              <w:rPr>
                <w:rFonts w:ascii="Times New Roman" w:hAnsi="Times New Roman"/>
                <w:sz w:val="24"/>
                <w:szCs w:val="24"/>
              </w:rPr>
              <w:t>4.1. ekonomikas dalībniekam un tiešsaistes tirdzniecības vietai par aizdomīgiem darījumiem vai aizdomīga darījuma mēģinājumiem ar regulas Nr. 2019/1148 I un II pielikumā uzskaitītajām vielām un tās saturošiem maisījumiem vai vielām;</w:t>
            </w:r>
          </w:p>
          <w:p w:rsidR="00F07F34" w:rsidRPr="00196BB4" w:rsidRDefault="00F07F34" w:rsidP="00B2562A">
            <w:pPr>
              <w:pStyle w:val="ListParagraph"/>
              <w:spacing w:after="0" w:line="240" w:lineRule="auto"/>
              <w:ind w:left="0"/>
              <w:jc w:val="both"/>
              <w:rPr>
                <w:rFonts w:ascii="Times New Roman" w:hAnsi="Times New Roman"/>
                <w:sz w:val="24"/>
                <w:szCs w:val="24"/>
              </w:rPr>
            </w:pPr>
            <w:r w:rsidRPr="00196BB4">
              <w:rPr>
                <w:rFonts w:ascii="Times New Roman" w:hAnsi="Times New Roman"/>
                <w:sz w:val="24"/>
                <w:szCs w:val="24"/>
              </w:rPr>
              <w:t xml:space="preserve">4.2. ekonomikas dalībniekam un profesionāliem lietotājiem par regulas Nr. 2019/1148 I un II pielikumā uzskaitīto vielu un to saturošu maisījumu vai vielu būtiskiem pazušanas gadījumiem un zādzībām.”. </w:t>
            </w:r>
          </w:p>
          <w:p w:rsidR="00F07F34" w:rsidRPr="00196BB4" w:rsidRDefault="00F07F34" w:rsidP="00B2562A">
            <w:pPr>
              <w:pStyle w:val="ListParagraph"/>
              <w:spacing w:after="0" w:line="240" w:lineRule="auto"/>
              <w:ind w:left="0" w:firstLine="425"/>
              <w:jc w:val="both"/>
              <w:rPr>
                <w:rFonts w:ascii="Times New Roman" w:hAnsi="Times New Roman"/>
                <w:sz w:val="24"/>
                <w:szCs w:val="24"/>
              </w:rPr>
            </w:pPr>
            <w:r w:rsidRPr="00196BB4">
              <w:rPr>
                <w:rFonts w:ascii="Times New Roman" w:hAnsi="Times New Roman"/>
                <w:sz w:val="24"/>
                <w:szCs w:val="24"/>
              </w:rPr>
              <w:t xml:space="preserve">Lūdzam noteikumu projekta 4. punktā minētos saziņas kanālus norādīt anotācijas I sadaļas 2. punktā, vienlaikus svītrojot minētās norādes par saziņas kanāliem no noteikumu projekta 4. punkta. </w:t>
            </w:r>
          </w:p>
          <w:p w:rsidR="00F07F34" w:rsidRPr="00196BB4" w:rsidRDefault="00F07F34" w:rsidP="00B2562A">
            <w:pPr>
              <w:pStyle w:val="naisc"/>
              <w:spacing w:before="0" w:after="0"/>
              <w:rPr>
                <w:b/>
              </w:rPr>
            </w:pP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pPr>
            <w:r w:rsidRPr="00196BB4">
              <w:rPr>
                <w:b/>
              </w:rPr>
              <w:lastRenderedPageBreak/>
              <w:t>Panākta vienošanās</w:t>
            </w:r>
            <w:r w:rsidRPr="00196BB4">
              <w:t>.</w:t>
            </w:r>
          </w:p>
          <w:p w:rsidR="00F07F34" w:rsidRPr="00196BB4" w:rsidRDefault="00F07F34" w:rsidP="00B2562A">
            <w:pPr>
              <w:pStyle w:val="naisc"/>
              <w:spacing w:before="0" w:after="0"/>
              <w:jc w:val="both"/>
              <w:rPr>
                <w:b/>
              </w:rPr>
            </w:pPr>
          </w:p>
        </w:tc>
        <w:tc>
          <w:tcPr>
            <w:tcW w:w="2410" w:type="dxa"/>
            <w:tcBorders>
              <w:top w:val="single" w:sz="4" w:space="0" w:color="auto"/>
              <w:left w:val="single" w:sz="4" w:space="0" w:color="auto"/>
              <w:bottom w:val="single" w:sz="4" w:space="0" w:color="auto"/>
            </w:tcBorders>
          </w:tcPr>
          <w:p w:rsidR="00F07F34" w:rsidRPr="00196BB4" w:rsidRDefault="00F07F34" w:rsidP="00F07F34">
            <w:pPr>
              <w:pStyle w:val="ListParagraph"/>
              <w:numPr>
                <w:ilvl w:val="0"/>
                <w:numId w:val="3"/>
              </w:numPr>
              <w:suppressAutoHyphens/>
              <w:autoSpaceDN w:val="0"/>
              <w:spacing w:after="0" w:line="240" w:lineRule="auto"/>
              <w:ind w:left="0" w:firstLine="23"/>
              <w:contextualSpacing w:val="0"/>
              <w:jc w:val="both"/>
              <w:textAlignment w:val="baseline"/>
              <w:rPr>
                <w:rFonts w:ascii="Times New Roman" w:hAnsi="Times New Roman"/>
                <w:sz w:val="24"/>
                <w:szCs w:val="28"/>
              </w:rPr>
            </w:pPr>
            <w:r w:rsidRPr="00196BB4">
              <w:rPr>
                <w:rFonts w:ascii="Times New Roman" w:hAnsi="Times New Roman"/>
                <w:sz w:val="24"/>
                <w:szCs w:val="28"/>
              </w:rPr>
              <w:t xml:space="preserve">Saskaņā ar regulas Nr. </w:t>
            </w:r>
            <w:hyperlink r:id="rId19" w:tgtFrame="_blank" w:history="1">
              <w:r w:rsidRPr="00196BB4">
                <w:rPr>
                  <w:rStyle w:val="Hyperlink"/>
                  <w:rFonts w:ascii="Times New Roman" w:hAnsi="Times New Roman"/>
                  <w:color w:val="auto"/>
                  <w:sz w:val="24"/>
                  <w:szCs w:val="28"/>
                </w:rPr>
                <w:t>2019/1148</w:t>
              </w:r>
            </w:hyperlink>
            <w:r w:rsidRPr="00196BB4">
              <w:rPr>
                <w:rFonts w:ascii="Times New Roman" w:hAnsi="Times New Roman"/>
                <w:sz w:val="24"/>
                <w:szCs w:val="28"/>
                <w:u w:val="single"/>
              </w:rPr>
              <w:t>.</w:t>
            </w:r>
            <w:r w:rsidRPr="00196BB4">
              <w:rPr>
                <w:rFonts w:ascii="Times New Roman" w:hAnsi="Times New Roman"/>
                <w:sz w:val="24"/>
                <w:szCs w:val="28"/>
              </w:rPr>
              <w:t xml:space="preserve"> </w:t>
            </w:r>
            <w:r w:rsidRPr="00196BB4">
              <w:rPr>
                <w:rFonts w:ascii="Times New Roman" w:hAnsi="Times New Roman"/>
                <w:sz w:val="24"/>
                <w:szCs w:val="28"/>
              </w:rPr>
              <w:lastRenderedPageBreak/>
              <w:t>9. pantu pienākums ziņot Valsts drošības dienestam pa tālruni (+371 67208964) vai elektroniski (</w:t>
            </w:r>
            <w:hyperlink r:id="rId20" w:history="1">
              <w:r w:rsidRPr="00196BB4">
                <w:rPr>
                  <w:rStyle w:val="Hyperlink"/>
                  <w:rFonts w:ascii="Times New Roman" w:hAnsi="Times New Roman"/>
                  <w:color w:val="auto"/>
                  <w:sz w:val="24"/>
                  <w:szCs w:val="28"/>
                </w:rPr>
                <w:t>kontaktpunkts@vdd.gov.lv</w:t>
              </w:r>
            </w:hyperlink>
            <w:r w:rsidRPr="00196BB4">
              <w:rPr>
                <w:rFonts w:ascii="Times New Roman" w:hAnsi="Times New Roman"/>
                <w:sz w:val="24"/>
                <w:szCs w:val="28"/>
              </w:rPr>
              <w:t>) ir:</w:t>
            </w:r>
          </w:p>
          <w:p w:rsidR="00F07F34" w:rsidRPr="00196BB4" w:rsidRDefault="00F07F34" w:rsidP="00F07F34">
            <w:pPr>
              <w:pStyle w:val="ListParagraph"/>
              <w:numPr>
                <w:ilvl w:val="1"/>
                <w:numId w:val="3"/>
              </w:numPr>
              <w:tabs>
                <w:tab w:val="left" w:pos="426"/>
              </w:tabs>
              <w:suppressAutoHyphens/>
              <w:autoSpaceDN w:val="0"/>
              <w:spacing w:after="0" w:line="240" w:lineRule="auto"/>
              <w:ind w:left="1" w:firstLine="0"/>
              <w:contextualSpacing w:val="0"/>
              <w:jc w:val="both"/>
              <w:textAlignment w:val="baseline"/>
              <w:rPr>
                <w:rFonts w:ascii="Times New Roman" w:hAnsi="Times New Roman"/>
                <w:sz w:val="24"/>
                <w:szCs w:val="28"/>
              </w:rPr>
            </w:pPr>
            <w:r w:rsidRPr="00196BB4">
              <w:rPr>
                <w:rFonts w:ascii="Times New Roman" w:hAnsi="Times New Roman"/>
                <w:sz w:val="24"/>
                <w:szCs w:val="28"/>
              </w:rPr>
              <w:t xml:space="preserve">ekonomikas dalībniekam un tiešsaistes tirdzniecības vietai par aizdomīgiem darījumiem vai aizdomīga darījuma mēģinājumiem ar regulas Nr. </w:t>
            </w:r>
            <w:hyperlink r:id="rId21" w:tgtFrame="_blank" w:history="1">
              <w:r w:rsidRPr="00196BB4">
                <w:rPr>
                  <w:rStyle w:val="Hyperlink"/>
                  <w:rFonts w:ascii="Times New Roman" w:hAnsi="Times New Roman"/>
                  <w:color w:val="auto"/>
                  <w:sz w:val="24"/>
                  <w:szCs w:val="28"/>
                </w:rPr>
                <w:t>2019/1148</w:t>
              </w:r>
            </w:hyperlink>
            <w:r w:rsidRPr="00196BB4">
              <w:rPr>
                <w:rFonts w:ascii="Times New Roman" w:hAnsi="Times New Roman"/>
                <w:sz w:val="24"/>
                <w:szCs w:val="28"/>
              </w:rPr>
              <w:t xml:space="preserve"> I un II pielikumā uzskaitītajām vielām un tās saturošiem maisījumiem vai vielām;</w:t>
            </w:r>
          </w:p>
          <w:p w:rsidR="00F07F34" w:rsidRPr="00196BB4" w:rsidRDefault="00F07F34" w:rsidP="00F07F34">
            <w:pPr>
              <w:pStyle w:val="ListParagraph"/>
              <w:numPr>
                <w:ilvl w:val="1"/>
                <w:numId w:val="3"/>
              </w:numPr>
              <w:tabs>
                <w:tab w:val="left" w:pos="426"/>
              </w:tabs>
              <w:suppressAutoHyphens/>
              <w:autoSpaceDN w:val="0"/>
              <w:spacing w:after="0" w:line="240" w:lineRule="auto"/>
              <w:ind w:left="1" w:firstLine="0"/>
              <w:contextualSpacing w:val="0"/>
              <w:jc w:val="both"/>
              <w:textAlignment w:val="baseline"/>
              <w:rPr>
                <w:rFonts w:ascii="Times New Roman" w:hAnsi="Times New Roman"/>
                <w:sz w:val="24"/>
                <w:szCs w:val="24"/>
              </w:rPr>
            </w:pPr>
            <w:r w:rsidRPr="00196BB4">
              <w:rPr>
                <w:rFonts w:ascii="Times New Roman" w:hAnsi="Times New Roman"/>
                <w:sz w:val="24"/>
                <w:szCs w:val="28"/>
              </w:rPr>
              <w:t xml:space="preserve">ekonomikas dalībniekam un profesionāliem lietotājiem par regulas Nr. </w:t>
            </w:r>
            <w:hyperlink r:id="rId22" w:tgtFrame="_blank" w:history="1">
              <w:r w:rsidRPr="00196BB4">
                <w:rPr>
                  <w:sz w:val="24"/>
                </w:rPr>
                <w:t>2019/1148</w:t>
              </w:r>
            </w:hyperlink>
            <w:r w:rsidRPr="00196BB4">
              <w:rPr>
                <w:rFonts w:ascii="Times New Roman" w:hAnsi="Times New Roman"/>
                <w:sz w:val="24"/>
                <w:szCs w:val="28"/>
              </w:rPr>
              <w:t xml:space="preserve"> I un II pielikumā uzskaitīto vielu un to saturošu maisījumu vai vielu būtiskiem pazušanas gadījumiem un zādzībām.</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4.</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4"/>
              </w:rPr>
              <w:t>Ministru kabineta noteikumu projekts.</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rPr>
                <w:b/>
              </w:rPr>
            </w:pPr>
            <w:r w:rsidRPr="00196BB4">
              <w:rPr>
                <w:b/>
              </w:rPr>
              <w:t>Vides aizsardzības un reģionālās attīstības ministrija</w:t>
            </w:r>
          </w:p>
          <w:p w:rsidR="00F07F34" w:rsidRPr="00196BB4" w:rsidRDefault="00F07F34" w:rsidP="00B2562A">
            <w:pPr>
              <w:pStyle w:val="naisc"/>
              <w:spacing w:before="0" w:after="0"/>
              <w:rPr>
                <w:b/>
              </w:rPr>
            </w:pPr>
            <w:r w:rsidRPr="00196BB4">
              <w:rPr>
                <w:b/>
              </w:rPr>
              <w:t>(28.07.2020. atzinums)</w:t>
            </w:r>
          </w:p>
          <w:p w:rsidR="00F07F34" w:rsidRPr="00196BB4" w:rsidRDefault="00F07F34" w:rsidP="00B2562A">
            <w:pPr>
              <w:pStyle w:val="NormalWeb"/>
              <w:spacing w:before="0" w:beforeAutospacing="0" w:after="0" w:afterAutospacing="0"/>
              <w:jc w:val="both"/>
            </w:pPr>
            <w:r w:rsidRPr="00196BB4">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Saskaņā ar Ministru kabineta 2017. gada 4. jūlija noteikumu Nr.399 “Valsts pārvaldes pakalpojumu uzskaites, kvalitātes kontroles un sniegšanas kārtība” 2.1. apakšpunktu valsts pārvaldes pakalpojums ir secīgu darbību kopums, kas dod guvumu vai ir obligāts privātpersonai un ko sniedz valsts pārvaldes pakalpojuma turētājs, īstenojot valsts pārvaldes funkcijas saskaņā ar ārējiem normatīvajiem aktiem vai saskaņā ar deleģētiem valsts pārvaldes uzdevumiem. </w:t>
            </w:r>
          </w:p>
          <w:p w:rsidR="00F07F34" w:rsidRPr="00196BB4" w:rsidRDefault="00F07F34" w:rsidP="00B2562A">
            <w:pPr>
              <w:pStyle w:val="NormalWeb"/>
              <w:spacing w:before="0" w:beforeAutospacing="0" w:after="0" w:afterAutospacing="0"/>
              <w:jc w:val="both"/>
            </w:pPr>
            <w:r w:rsidRPr="00196BB4">
              <w:t xml:space="preserve">Ņemot vērā minēto, lūdzam izvērtēt, vai minētā ziņošana par aizdomīgiem darījumiem ar Eiropas Parlamenta un Padomes 2019. gada 20. jūnija Regulas (ES) Nr. 2019/1148 par sprāgstvielu prekursoru tirdzniecību un lietošanu </w:t>
            </w:r>
            <w:r w:rsidRPr="00196BB4">
              <w:lastRenderedPageBreak/>
              <w:t>(turpmāk – regula Nr. 2019/1148) I un II pielikumā uzskaitītajām vielām un tās saturošiem maisījumiem vai vielām, kā arī par minēto maisījumu un vielu būtiskiem pazušanas gadījumiem un zādzībām ir klasificējama kā valsts pārvaldes pakalpojums.</w:t>
            </w:r>
          </w:p>
          <w:p w:rsidR="00F07F34" w:rsidRPr="00196BB4" w:rsidRDefault="00F07F34" w:rsidP="00B2562A">
            <w:pPr>
              <w:pStyle w:val="naisc"/>
              <w:spacing w:before="0" w:after="0"/>
              <w:jc w:val="both"/>
              <w:rPr>
                <w:b/>
              </w:rPr>
            </w:pPr>
            <w:r w:rsidRPr="00196BB4">
              <w:t>Gadījumā, ja institūcija identificē, ka ar minēto noteikumu projektu tiek ieviests jauns valsts pārvaldes pakalpojums, lūdzam saskaņā ar MK instrukcijas Nr.19 14.4. apakšpunktu anotācijas I sadaļas 2. punktā norādīt jaunā pakalpojuma nosaukumu, tā nosaukumu veidojot atbilstoši VARAM izstrādātajiem un 2019. gada 10. aprīlī apstiprinātajiem metodiskajiem ieteikumiem “Metodiskie ieteikumi valsts pārvaldes pakalpojumu pārvaldībai”.</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pPr>
            <w:r w:rsidRPr="00196BB4">
              <w:rPr>
                <w:b/>
              </w:rPr>
              <w:lastRenderedPageBreak/>
              <w:t>Panākta vienošanās</w:t>
            </w:r>
            <w:r w:rsidRPr="00196BB4">
              <w:t>.</w:t>
            </w:r>
          </w:p>
          <w:p w:rsidR="00F07F34" w:rsidRPr="00196BB4" w:rsidRDefault="00F07F34" w:rsidP="00B2562A">
            <w:pPr>
              <w:pStyle w:val="naisc"/>
              <w:spacing w:before="0" w:after="0"/>
              <w:jc w:val="both"/>
            </w:pPr>
          </w:p>
        </w:tc>
        <w:tc>
          <w:tcPr>
            <w:tcW w:w="2410" w:type="dxa"/>
            <w:tcBorders>
              <w:top w:val="single" w:sz="4" w:space="0" w:color="auto"/>
              <w:left w:val="single" w:sz="4" w:space="0" w:color="auto"/>
              <w:bottom w:val="single" w:sz="4" w:space="0" w:color="auto"/>
            </w:tcBorders>
          </w:tcPr>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szCs w:val="28"/>
              </w:rPr>
            </w:pPr>
            <w:r w:rsidRPr="00196BB4">
              <w:rPr>
                <w:rFonts w:ascii="Times New Roman" w:hAnsi="Times New Roman"/>
                <w:sz w:val="24"/>
              </w:rPr>
              <w:t>Ministru kabineta noteikumu projekts.</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5.</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4"/>
              </w:rPr>
              <w:t>Ministru kabineta noteikumu projekts.</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jc w:val="both"/>
              <w:rPr>
                <w:b/>
              </w:rPr>
            </w:pPr>
            <w:r w:rsidRPr="00196BB4">
              <w:rPr>
                <w:b/>
              </w:rPr>
              <w:t>Tieslietu ministrija</w:t>
            </w:r>
          </w:p>
          <w:p w:rsidR="00F07F34" w:rsidRPr="00196BB4" w:rsidRDefault="00F07F34" w:rsidP="00B2562A">
            <w:pPr>
              <w:pStyle w:val="naisc"/>
              <w:spacing w:before="0" w:after="0"/>
              <w:jc w:val="both"/>
              <w:rPr>
                <w:b/>
              </w:rPr>
            </w:pPr>
            <w:r w:rsidRPr="00196BB4">
              <w:rPr>
                <w:b/>
              </w:rPr>
              <w:t>(29.07.2020. atzinums)</w:t>
            </w:r>
          </w:p>
          <w:p w:rsidR="00F07F34" w:rsidRPr="00196BB4" w:rsidRDefault="00F07F34" w:rsidP="00B2562A">
            <w:pPr>
              <w:pStyle w:val="naisc"/>
              <w:spacing w:before="0" w:after="0"/>
              <w:jc w:val="both"/>
            </w:pPr>
            <w:r w:rsidRPr="00196BB4">
              <w:t xml:space="preserve">Kā projekta izdošanas tiesiskais pamatojums norādīts Ministru kabineta iekārtas likuma 31. panta pirmās daļas 3. punkts. Vēršam uzmanību, ka minētais pilnvarojums tika izstrādāts, lai paspētu ieviest steidzamo Eiropas Savienības tiesību aktu prasības, kamēr attiecīgais pilnvarojums Ministru kabinetam nav ietverts attiecīgo jomu regulējošā likumā. Tāpat jāuzsver, ka Ministru kabineta iekārtas likuma 31. panta pirmās daļas 3. punktā ietvertajam pilnvarojumam Ministru </w:t>
            </w:r>
            <w:r w:rsidRPr="00196BB4">
              <w:lastRenderedPageBreak/>
              <w:t>kabinetam ir izņēmuma raksturs. Ņemot vērā, ka kopš Ministru kabineta 2015. gadā 3. marta noteikumu Nr. 110 “Kārtība, kādā ziņo par sprāgstvielu prekursoriem” spēkā stāšanās ir pagājuši vairāk nekā pieci gadi, tad var secināt, ka attiecīga pilnvarojuma noregulēšana likuma līmenī nav notikusi korekti. Ievērojot minēto, lūdzam projektam pievienot Ministru kabineta sēdes protokollēmuma projektu, ar kuru Iekšlietu ministrijai uzdots līdz noteiktam termiņam izstrādāt attiecīgus grozījumus attiecīgo jomu regulējošā likumā, lai ilgtermiņā novērstu Ministru kabineta iekārtas likuma 31. panta pirmās daļas 3. punkta izmantošanu kā pastāvīgu projekta pilnvarojumu.</w:t>
            </w:r>
          </w:p>
          <w:p w:rsidR="00F07F34" w:rsidRPr="00196BB4" w:rsidRDefault="00F07F34" w:rsidP="00B2562A">
            <w:pPr>
              <w:pStyle w:val="naisc"/>
              <w:spacing w:before="0" w:after="0"/>
              <w:jc w:val="both"/>
            </w:pPr>
          </w:p>
          <w:p w:rsidR="00F07F34" w:rsidRPr="00196BB4" w:rsidRDefault="00F07F34" w:rsidP="00B2562A">
            <w:pPr>
              <w:pStyle w:val="naisc"/>
              <w:jc w:val="both"/>
              <w:rPr>
                <w:b/>
              </w:rPr>
            </w:pPr>
            <w:r w:rsidRPr="00196BB4">
              <w:rPr>
                <w:b/>
              </w:rPr>
              <w:t>Tieslietu ministrija</w:t>
            </w:r>
          </w:p>
          <w:p w:rsidR="00F07F34" w:rsidRPr="00196BB4" w:rsidRDefault="00F07F34" w:rsidP="00B2562A">
            <w:pPr>
              <w:pStyle w:val="naisc"/>
              <w:jc w:val="both"/>
              <w:rPr>
                <w:b/>
              </w:rPr>
            </w:pPr>
            <w:r w:rsidRPr="00196BB4">
              <w:rPr>
                <w:b/>
              </w:rPr>
              <w:t>(05.10.2020. atzinums)</w:t>
            </w:r>
          </w:p>
          <w:p w:rsidR="00F07F34" w:rsidRPr="00196BB4" w:rsidRDefault="00F07F34" w:rsidP="00B2562A">
            <w:pPr>
              <w:pStyle w:val="naisc"/>
              <w:spacing w:before="0" w:after="0"/>
              <w:jc w:val="both"/>
              <w:rPr>
                <w:bCs/>
              </w:rPr>
            </w:pPr>
            <w:r w:rsidRPr="00196BB4">
              <w:rPr>
                <w:bCs/>
              </w:rPr>
              <w:t>Uzsveram, ka minētais pilnvarojums tika vēsturiski izstrādāts saistībā ar Latvijas Republikas iestāšanos Eiropas Savienībā, lai paspētu pārņemt visus Eiropas Savienības tiesību aktus. Lai arī no attiecīgas normas tas attiecīgi neizriet, Tieslietu ministrijas, Valsts kancelejas un Saeimas juridiskā biroja līmenī par tās izņēmuma izmantošanu nepastāv diskusijas.</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rPr>
                <w:b/>
              </w:rPr>
            </w:pPr>
            <w:r w:rsidRPr="00196BB4">
              <w:rPr>
                <w:b/>
              </w:rPr>
              <w:lastRenderedPageBreak/>
              <w:t>Panākta vienošanās.</w:t>
            </w:r>
          </w:p>
          <w:p w:rsidR="00F07F34" w:rsidRPr="00196BB4" w:rsidRDefault="00F07F34" w:rsidP="00B2562A">
            <w:pPr>
              <w:jc w:val="both"/>
              <w:rPr>
                <w:bCs/>
              </w:rPr>
            </w:pPr>
          </w:p>
          <w:p w:rsidR="00F07F34" w:rsidRPr="00196BB4" w:rsidRDefault="00F07F34" w:rsidP="00B2562A">
            <w:pPr>
              <w:jc w:val="both"/>
              <w:rPr>
                <w:bCs/>
              </w:rPr>
            </w:pPr>
            <w:r w:rsidRPr="00196BB4">
              <w:rPr>
                <w:bCs/>
              </w:rPr>
              <w:t xml:space="preserve">Ministru kabineta iekārtas likuma 31. panta pirmās daļas 3. punkts paredz tiesības Ministru kabinetam izdot ārējus normatīvos aktus (noteikumus), ja tas nepieciešams Eiropas Savienības tiesību aktu piemērošanai un ja attiecīgais jautājums ar likumu nav noregulēts. Šādi noteikumi nevar ierobežot privātpersonas pamattiesības. </w:t>
            </w:r>
          </w:p>
          <w:p w:rsidR="00F07F34" w:rsidRPr="00196BB4" w:rsidRDefault="00F07F34" w:rsidP="00B2562A">
            <w:pPr>
              <w:jc w:val="both"/>
              <w:rPr>
                <w:bCs/>
              </w:rPr>
            </w:pPr>
            <w:r w:rsidRPr="00196BB4">
              <w:rPr>
                <w:bCs/>
              </w:rPr>
              <w:lastRenderedPageBreak/>
              <w:t xml:space="preserve"> Regula Nr.2019/1148 paredz, ka plašas sabiedrības locekļiem nevajadzētu būt atļautam iegādāties, ievest, turēt īpašumā vai lietot konkrētus sprāgstvielu prekursorus koncentrācijā, kas pārsniedz konkrētas robežvērtības masas procentos (masas %) saskaņā ar šīs regulas I pielikumu. Tātad Regula Nr.2019/1148 neaizliedz kādu konkrēto preču (vai preču grupu) apriti, bet gan nosaka tirdzniecības ierobežojumus noteiktajiem sprāgstvielu prekursoriem, kuri savukārt tiek izmantoti dažādās jomās (piemērām, lauksaimniecībā, medicīnā, ražošanā utt.) un tikai noteiktajā koncentrācijā. Ņemot vērā minēto, nepastāv nozares likums, kurā varētu paredzēt regulējumu šīs regulas īstenošanai. </w:t>
            </w:r>
          </w:p>
          <w:p w:rsidR="00F07F34" w:rsidRPr="00196BB4" w:rsidRDefault="00F07F34" w:rsidP="00B2562A">
            <w:pPr>
              <w:jc w:val="both"/>
              <w:rPr>
                <w:bCs/>
              </w:rPr>
            </w:pPr>
            <w:r w:rsidRPr="00196BB4">
              <w:rPr>
                <w:bCs/>
              </w:rPr>
              <w:t xml:space="preserve">Ņemot vērā minēto, kā arī to, ka nepastāv tāds nozares likums, kurā varētu iestrādāt Regulas Nr.2019/1148 prasību īstenošanai nepieciešamu regulējumu, ir izstrādāts Ministru kabineta noteikumu projekts, lai nodrošinātu Regulas Nr.2019/1148 prasību attiecībā uz </w:t>
            </w:r>
            <w:r w:rsidRPr="00196BB4">
              <w:rPr>
                <w:bCs/>
              </w:rPr>
              <w:lastRenderedPageBreak/>
              <w:t xml:space="preserve">kontaktpunkta ziņošanai par aizdomīgiem darījumiem ar sprāgstvielu prekursoriem un to pazušanas vai zādzības gadījumiem izveidošanu izpildi. </w:t>
            </w:r>
          </w:p>
        </w:tc>
        <w:tc>
          <w:tcPr>
            <w:tcW w:w="2410" w:type="dxa"/>
            <w:tcBorders>
              <w:top w:val="single" w:sz="4" w:space="0" w:color="auto"/>
              <w:left w:val="single" w:sz="4" w:space="0" w:color="auto"/>
              <w:bottom w:val="single" w:sz="4" w:space="0" w:color="auto"/>
            </w:tcBorders>
          </w:tcPr>
          <w:p w:rsidR="00F07F34" w:rsidRPr="00196BB4" w:rsidRDefault="00F07F34" w:rsidP="00B2562A">
            <w:pPr>
              <w:pStyle w:val="ListParagraph"/>
              <w:suppressAutoHyphens/>
              <w:autoSpaceDN w:val="0"/>
              <w:ind w:left="23"/>
              <w:jc w:val="both"/>
              <w:textAlignment w:val="baseline"/>
              <w:rPr>
                <w:rFonts w:ascii="Times New Roman" w:hAnsi="Times New Roman"/>
                <w:sz w:val="24"/>
              </w:rPr>
            </w:pPr>
            <w:r w:rsidRPr="00196BB4">
              <w:rPr>
                <w:rFonts w:ascii="Times New Roman" w:hAnsi="Times New Roman"/>
                <w:sz w:val="24"/>
              </w:rPr>
              <w:lastRenderedPageBreak/>
              <w:t xml:space="preserve"> Attiecīgi papildināts anotācijas </w:t>
            </w:r>
            <w:proofErr w:type="spellStart"/>
            <w:r w:rsidRPr="00196BB4">
              <w:rPr>
                <w:rFonts w:ascii="Times New Roman" w:hAnsi="Times New Roman"/>
                <w:sz w:val="24"/>
              </w:rPr>
              <w:t>I.sadaļas</w:t>
            </w:r>
            <w:proofErr w:type="spellEnd"/>
            <w:r w:rsidRPr="00196BB4">
              <w:rPr>
                <w:rFonts w:ascii="Times New Roman" w:hAnsi="Times New Roman"/>
                <w:sz w:val="24"/>
              </w:rPr>
              <w:t xml:space="preserve"> 2.punkts.</w:t>
            </w:r>
          </w:p>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6.</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4"/>
              </w:rPr>
              <w:t>Ministru kabineta noteikumu projekts.</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jc w:val="both"/>
              <w:rPr>
                <w:b/>
              </w:rPr>
            </w:pPr>
            <w:r w:rsidRPr="00196BB4">
              <w:rPr>
                <w:b/>
              </w:rPr>
              <w:t>Vides aizsardzības un reģionālās attīstības ministrija</w:t>
            </w:r>
          </w:p>
          <w:p w:rsidR="00F07F34" w:rsidRPr="00196BB4" w:rsidRDefault="00F07F34" w:rsidP="00B2562A">
            <w:pPr>
              <w:pStyle w:val="naisc"/>
              <w:spacing w:before="0" w:after="0"/>
              <w:jc w:val="both"/>
              <w:rPr>
                <w:b/>
              </w:rPr>
            </w:pPr>
            <w:r w:rsidRPr="00196BB4">
              <w:rPr>
                <w:b/>
              </w:rPr>
              <w:t>(28.07.2020. atzinums)</w:t>
            </w:r>
          </w:p>
          <w:p w:rsidR="00F07F34" w:rsidRPr="00196BB4" w:rsidRDefault="00F07F34" w:rsidP="00B2562A">
            <w:pPr>
              <w:pStyle w:val="naisc"/>
              <w:spacing w:before="0" w:after="0"/>
              <w:jc w:val="both"/>
            </w:pPr>
            <w:r w:rsidRPr="00196BB4">
              <w:t>Papildus minētajam, vēršam uzmanību, ka Oficiālās elektroniskās adreses likuma 12. pants paredz, ka oficiālā elektroniskā adrese tiek izmantota kā prioritārais saziņas kanāls, ja tā ir aktivizēta (attiecībā uz fizisko personu), savukārt valsts iestādei oficiālās elektroniskās adreses izmantošana ir obligāta. Ņemot vēra iepriekš minēto, lūdzam precizēt iespējamos saziņas kanālus, ar kuru starpniecību ekonomikas dalībnieks, tiešsaistes tirdzniecības vieta un profesionāli lietotāji ziņo Valsts drošības dienestam attiecīgi par aizdomīgiem darījumiem ar Eiropas Parlamenta un Padomes 2019. gada 20. jūnija Regulas (ES) Nr. 2019/1148 par sprāgstvielu prekursoru tirdzniecību un lietošanu (turpmāk – regula Nr. 2019/1148) I un II pielikumā uzskaitītajām vielām un tās saturošiem maisījumiem vai vielām, kā arī par minēto maisījumu un vielu būtiskiem pazušanas gadījumiem un zādzībām.</w:t>
            </w:r>
          </w:p>
          <w:p w:rsidR="00F07F34" w:rsidRPr="00196BB4" w:rsidRDefault="00F07F34" w:rsidP="00B2562A">
            <w:pPr>
              <w:pStyle w:val="naisc"/>
              <w:spacing w:before="0" w:after="0"/>
              <w:jc w:val="both"/>
            </w:pPr>
          </w:p>
          <w:p w:rsidR="00F07F34" w:rsidRPr="00196BB4" w:rsidRDefault="00F07F34" w:rsidP="00B2562A">
            <w:pPr>
              <w:pStyle w:val="naisc"/>
              <w:spacing w:before="0" w:after="0"/>
              <w:jc w:val="both"/>
            </w:pPr>
          </w:p>
          <w:p w:rsidR="00F07F34" w:rsidRPr="00196BB4" w:rsidRDefault="00F07F34" w:rsidP="00B2562A">
            <w:pPr>
              <w:pStyle w:val="naisc"/>
              <w:spacing w:before="0" w:after="0"/>
              <w:jc w:val="both"/>
              <w:rPr>
                <w:bCs/>
              </w:rPr>
            </w:pP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rPr>
                <w:b/>
              </w:rPr>
            </w:pPr>
            <w:r w:rsidRPr="00196BB4">
              <w:rPr>
                <w:b/>
              </w:rPr>
              <w:lastRenderedPageBreak/>
              <w:t>Panākta vienošanās</w:t>
            </w:r>
          </w:p>
          <w:p w:rsidR="00F07F34" w:rsidRPr="00196BB4" w:rsidRDefault="00F07F34" w:rsidP="00B2562A">
            <w:pPr>
              <w:pStyle w:val="naisc"/>
              <w:spacing w:before="0" w:after="0"/>
              <w:jc w:val="both"/>
              <w:rPr>
                <w:b/>
              </w:rPr>
            </w:pPr>
            <w:r w:rsidRPr="00196BB4">
              <w:t>Jau vairāk kā 5 gadus VDD (iepriekš DP) izmanto tieši šāda nosaukuma e-pasta adresi ziņošanai, turklāt tā ir specializēta, kuru izmanto attiecīgas amatpersonas. Tādējādi informācija tiek saņemta uzreiz, turklāt pieejama tieši amatpersonai, kura ar šādiem jautājumiem strādā. Oficiālās e-pasta adreses izmantošana var izrādīties neefektīvāks saziņas veids. Izstrādājot projektu, VDD ir apsvēris oficiālās elektroniskās adreses izmantošanu, tomēr secināts, ka šādas izmaiņas nav atbalstāmas un e-pasta saziņas adrese jautājumiem saistībā ar ziņošanu par sprāgstvielu prekursoru aizdomīgiem darījumiem, to mēģinājumiem vai būtiskiem pazušanas gadījumiem mainīta netiks.</w:t>
            </w:r>
          </w:p>
          <w:p w:rsidR="00F07F34" w:rsidRPr="00196BB4" w:rsidRDefault="00F07F34" w:rsidP="00B2562A">
            <w:pPr>
              <w:jc w:val="both"/>
              <w:rPr>
                <w:b/>
              </w:rPr>
            </w:pPr>
          </w:p>
        </w:tc>
        <w:tc>
          <w:tcPr>
            <w:tcW w:w="2410" w:type="dxa"/>
            <w:tcBorders>
              <w:top w:val="single" w:sz="4" w:space="0" w:color="auto"/>
              <w:left w:val="single" w:sz="4" w:space="0" w:color="auto"/>
              <w:bottom w:val="single" w:sz="4" w:space="0" w:color="auto"/>
            </w:tcBorders>
          </w:tcPr>
          <w:p w:rsidR="00F07F34" w:rsidRPr="00196BB4" w:rsidRDefault="00F07F34" w:rsidP="00B2562A">
            <w:pPr>
              <w:pStyle w:val="ListParagraph"/>
              <w:suppressAutoHyphens/>
              <w:autoSpaceDN w:val="0"/>
              <w:ind w:left="23"/>
              <w:jc w:val="both"/>
              <w:textAlignment w:val="baseline"/>
              <w:rPr>
                <w:rFonts w:ascii="Times New Roman" w:hAnsi="Times New Roman"/>
                <w:sz w:val="24"/>
              </w:rPr>
            </w:pPr>
            <w:r w:rsidRPr="00196BB4">
              <w:rPr>
                <w:rFonts w:ascii="Times New Roman" w:hAnsi="Times New Roman"/>
                <w:sz w:val="24"/>
                <w:szCs w:val="24"/>
              </w:rPr>
              <w:t>Ministru kabineta noteikumu projekts.</w:t>
            </w:r>
          </w:p>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7.</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4"/>
              </w:rPr>
              <w:t>Ministru kabineta 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jc w:val="both"/>
              <w:rPr>
                <w:b/>
              </w:rPr>
            </w:pPr>
            <w:r w:rsidRPr="00196BB4">
              <w:rPr>
                <w:b/>
              </w:rPr>
              <w:t>Tieslietu ministrija</w:t>
            </w:r>
          </w:p>
          <w:p w:rsidR="00F07F34" w:rsidRPr="00196BB4" w:rsidRDefault="00F07F34" w:rsidP="00B2562A">
            <w:pPr>
              <w:pStyle w:val="naisc"/>
              <w:spacing w:before="0" w:after="0"/>
              <w:jc w:val="both"/>
              <w:rPr>
                <w:b/>
              </w:rPr>
            </w:pPr>
            <w:r w:rsidRPr="00196BB4">
              <w:rPr>
                <w:b/>
              </w:rPr>
              <w:t>(29.07.2020. atzinums)</w:t>
            </w:r>
          </w:p>
          <w:p w:rsidR="00F07F34" w:rsidRPr="00196BB4" w:rsidRDefault="00F07F34" w:rsidP="00B2562A">
            <w:pPr>
              <w:pStyle w:val="naisc"/>
              <w:spacing w:before="0" w:after="0"/>
              <w:jc w:val="both"/>
              <w:rPr>
                <w:b/>
              </w:rPr>
            </w:pPr>
            <w:r w:rsidRPr="00196BB4">
              <w:t>Lūdzam projekta 4. punktā izvairīties no konkrētu e-pasta adrešu un telefona numura norādīšanas, jo šī informācija ir mainīga. Uzsveram, kā ārējais normatīvais akts ir piemērojams vairākkārtīgi un šī informācija var zaudēt aktualitāti projekta piemērošanas laikā. Ierosinām projektā norādīt, ka attiecīgā informācija pieejama Valsts drošības dienesta tīmekļa vietnē.</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rPr>
                <w:b/>
              </w:rPr>
            </w:pPr>
            <w:r w:rsidRPr="00196BB4">
              <w:rPr>
                <w:b/>
              </w:rPr>
              <w:t xml:space="preserve">Panākta vienošanās </w:t>
            </w:r>
          </w:p>
          <w:p w:rsidR="00F07F34" w:rsidRPr="00196BB4" w:rsidRDefault="00F07F34" w:rsidP="00B2562A">
            <w:pPr>
              <w:pStyle w:val="naisc"/>
              <w:spacing w:before="0" w:after="0"/>
              <w:jc w:val="both"/>
              <w:rPr>
                <w:b/>
              </w:rPr>
            </w:pPr>
            <w:r w:rsidRPr="00196BB4">
              <w:t>Jau vairāk kā 5 gadus VDD (iepriekš DP) izmanto tieši šāda nosaukuma e-pasta adresi ziņošanai, turklāt tā ir specializēta, kuru izmanto attiecīgas amatpersonas. Tādējādi informācija tiek saņemta uzreiz, turklāt pieejama tieši amatpersonai, kura ar šādiem jautājumiem strādā. Oficiālās e-pasta adreses izmantošana var izrādīties neefektīvāks saziņas veids. Izstrādājot projektu, VDD ir apsvēris oficiālās elektroniskās adreses izmantošanu, tomēr secināts, ka šādas izmaiņas nav atbalstāmas un e-pasta saziņas adrese jautājumiem saistībā ar ziņošanu par sprāgstvielu prekursoru aizdomīgiem darījumiem, to mēģinājumiem vai būtiskiem pazušanas gadījumiem mainīta netiks.</w:t>
            </w:r>
          </w:p>
          <w:p w:rsidR="00F07F34" w:rsidRPr="00196BB4" w:rsidRDefault="00F07F34" w:rsidP="00B2562A">
            <w:pPr>
              <w:pStyle w:val="naisc"/>
              <w:spacing w:before="0" w:after="0"/>
              <w:jc w:val="left"/>
              <w:rPr>
                <w:b/>
              </w:rPr>
            </w:pPr>
          </w:p>
        </w:tc>
        <w:tc>
          <w:tcPr>
            <w:tcW w:w="2410" w:type="dxa"/>
            <w:tcBorders>
              <w:top w:val="single" w:sz="4" w:space="0" w:color="auto"/>
              <w:left w:val="single" w:sz="4" w:space="0" w:color="auto"/>
              <w:bottom w:val="single" w:sz="4" w:space="0" w:color="auto"/>
            </w:tcBorders>
          </w:tcPr>
          <w:p w:rsidR="00F07F34" w:rsidRPr="00196BB4" w:rsidRDefault="00F07F34" w:rsidP="00B2562A">
            <w:pPr>
              <w:pStyle w:val="ListParagraph"/>
              <w:suppressAutoHyphens/>
              <w:autoSpaceDN w:val="0"/>
              <w:ind w:left="23"/>
              <w:jc w:val="both"/>
              <w:textAlignment w:val="baseline"/>
              <w:rPr>
                <w:rFonts w:ascii="Times New Roman" w:hAnsi="Times New Roman"/>
                <w:sz w:val="24"/>
              </w:rPr>
            </w:pPr>
            <w:r w:rsidRPr="00196BB4">
              <w:rPr>
                <w:rFonts w:ascii="Times New Roman" w:hAnsi="Times New Roman"/>
                <w:sz w:val="24"/>
              </w:rPr>
              <w:t xml:space="preserve">Attiecīgi papildināts anotācijas </w:t>
            </w:r>
            <w:proofErr w:type="spellStart"/>
            <w:r w:rsidRPr="00196BB4">
              <w:rPr>
                <w:rFonts w:ascii="Times New Roman" w:hAnsi="Times New Roman"/>
                <w:sz w:val="24"/>
              </w:rPr>
              <w:t>I.sadaļas</w:t>
            </w:r>
            <w:proofErr w:type="spellEnd"/>
            <w:r w:rsidRPr="00196BB4">
              <w:rPr>
                <w:rFonts w:ascii="Times New Roman" w:hAnsi="Times New Roman"/>
                <w:sz w:val="24"/>
              </w:rPr>
              <w:t xml:space="preserve"> 2.punkts.</w:t>
            </w:r>
          </w:p>
          <w:p w:rsidR="00F07F34" w:rsidRPr="00196BB4" w:rsidRDefault="00F07F34" w:rsidP="00B2562A">
            <w:pPr>
              <w:pStyle w:val="ListParagraph"/>
              <w:suppressAutoHyphens/>
              <w:autoSpaceDN w:val="0"/>
              <w:ind w:left="23"/>
              <w:jc w:val="both"/>
              <w:textAlignment w:val="baseline"/>
              <w:rPr>
                <w:rFonts w:ascii="Times New Roman" w:hAnsi="Times New Roman"/>
                <w:sz w:val="24"/>
              </w:rPr>
            </w:pPr>
          </w:p>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8.</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196BB4">
              <w:rPr>
                <w:rFonts w:ascii="Times New Roman" w:hAnsi="Times New Roman"/>
                <w:sz w:val="24"/>
                <w:szCs w:val="24"/>
              </w:rPr>
              <w:t>Ministru kabineta 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jc w:val="both"/>
              <w:rPr>
                <w:b/>
              </w:rPr>
            </w:pPr>
            <w:r w:rsidRPr="00196BB4">
              <w:rPr>
                <w:b/>
              </w:rPr>
              <w:t>Vides aizsardzības un reģionālās attīstības ministrija</w:t>
            </w:r>
          </w:p>
          <w:p w:rsidR="00F07F34" w:rsidRPr="00196BB4" w:rsidRDefault="00F07F34" w:rsidP="00B2562A">
            <w:pPr>
              <w:pStyle w:val="naisc"/>
              <w:jc w:val="both"/>
              <w:rPr>
                <w:b/>
              </w:rPr>
            </w:pPr>
            <w:r w:rsidRPr="00196BB4">
              <w:rPr>
                <w:b/>
              </w:rPr>
              <w:t>(06.10.2020. atzinums)</w:t>
            </w:r>
          </w:p>
          <w:p w:rsidR="00F07F34" w:rsidRPr="00196BB4" w:rsidRDefault="00F07F34" w:rsidP="00B2562A">
            <w:pPr>
              <w:pStyle w:val="naisc"/>
              <w:spacing w:before="0" w:after="0"/>
              <w:jc w:val="both"/>
              <w:rPr>
                <w:b/>
              </w:rPr>
            </w:pPr>
            <w:r w:rsidRPr="00196BB4">
              <w:rPr>
                <w:bCs/>
              </w:rPr>
              <w:t xml:space="preserve">Vēršam uzmanību, ka Eiropas Parlamenta un Padomes regulas (ES) 2019/1148 9. </w:t>
            </w:r>
            <w:r w:rsidRPr="00196BB4">
              <w:rPr>
                <w:bCs/>
              </w:rPr>
              <w:lastRenderedPageBreak/>
              <w:t>panta 3. punktā ir norādīts, ka “Katra dalībvalsts izveido vienu vai vairākus valsts kontaktpunktus ziņošanai par aizdomīgiem darījumiem un būtiskiem pazušanas gadījumiem un zādzībām, precīzi norādot to tālruņa numuru un e-pasta adresi, kā arī tīmekļa veidlapu vai jebkuru citu efektīvu rīku. Valsts kontaktpunkti ir pieejami 24 stundas diennaktī, septiņas dienas nedēļā” Ņemot vērā iepriekš minēto, lūdzam precizēt noteikumu projekta anotāciju, norādot oficiālo elektronisko adresi kā prioritāro saziņas kanālu, ja tā ir aktivizēta. Oficiālā elektroniskā adrese nodrošina drošu saziņu ar valsti vienuviet, spēju aizstāt ierakstītu vēstuli, kā arī nodrošina personas datu drošību.</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jc w:val="both"/>
              <w:rPr>
                <w:b/>
              </w:rPr>
            </w:pPr>
            <w:r w:rsidRPr="00196BB4">
              <w:rPr>
                <w:b/>
              </w:rPr>
              <w:lastRenderedPageBreak/>
              <w:t>Iebildums ņemts vērā.</w:t>
            </w:r>
          </w:p>
          <w:p w:rsidR="00F07F34" w:rsidRPr="00196BB4" w:rsidDel="0062567B" w:rsidRDefault="00F07F34" w:rsidP="00B2562A">
            <w:pPr>
              <w:jc w:val="both"/>
              <w:rPr>
                <w:b/>
              </w:rPr>
            </w:pPr>
          </w:p>
        </w:tc>
        <w:tc>
          <w:tcPr>
            <w:tcW w:w="2410" w:type="dxa"/>
            <w:tcBorders>
              <w:top w:val="single" w:sz="4" w:space="0" w:color="auto"/>
              <w:left w:val="single" w:sz="4" w:space="0" w:color="auto"/>
              <w:bottom w:val="single" w:sz="4" w:space="0" w:color="auto"/>
            </w:tcBorders>
          </w:tcPr>
          <w:p w:rsidR="00F07F34" w:rsidRPr="00196BB4" w:rsidRDefault="00F07F34" w:rsidP="00B2562A">
            <w:pPr>
              <w:pStyle w:val="ListParagraph"/>
              <w:suppressAutoHyphens/>
              <w:autoSpaceDN w:val="0"/>
              <w:ind w:left="23"/>
              <w:jc w:val="both"/>
              <w:textAlignment w:val="baseline"/>
              <w:rPr>
                <w:rFonts w:ascii="Times New Roman" w:hAnsi="Times New Roman"/>
                <w:sz w:val="24"/>
              </w:rPr>
            </w:pPr>
            <w:r w:rsidRPr="00196BB4">
              <w:rPr>
                <w:rFonts w:ascii="Times New Roman" w:hAnsi="Times New Roman"/>
                <w:sz w:val="24"/>
              </w:rPr>
              <w:t xml:space="preserve">Attiecīgi papildināts anotācijas </w:t>
            </w:r>
            <w:proofErr w:type="spellStart"/>
            <w:r w:rsidRPr="00196BB4">
              <w:rPr>
                <w:rFonts w:ascii="Times New Roman" w:hAnsi="Times New Roman"/>
                <w:sz w:val="24"/>
              </w:rPr>
              <w:t>I.sadaļas</w:t>
            </w:r>
            <w:proofErr w:type="spellEnd"/>
            <w:r w:rsidRPr="00196BB4">
              <w:rPr>
                <w:rFonts w:ascii="Times New Roman" w:hAnsi="Times New Roman"/>
                <w:sz w:val="24"/>
              </w:rPr>
              <w:t xml:space="preserve"> 2.punkts.</w:t>
            </w:r>
          </w:p>
          <w:p w:rsidR="00F07F34" w:rsidRPr="00196BB4" w:rsidRDefault="00F07F34" w:rsidP="00B2562A">
            <w:pPr>
              <w:pStyle w:val="ListParagraph"/>
              <w:suppressAutoHyphens/>
              <w:autoSpaceDN w:val="0"/>
              <w:ind w:left="23"/>
              <w:jc w:val="both"/>
              <w:textAlignment w:val="baseline"/>
              <w:rPr>
                <w:rFonts w:ascii="Times New Roman" w:hAnsi="Times New Roman"/>
                <w:sz w:val="24"/>
              </w:rPr>
            </w:pPr>
          </w:p>
        </w:tc>
      </w:tr>
      <w:tr w:rsidR="00196BB4" w:rsidRPr="00196BB4" w:rsidTr="00B2562A">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07F34" w:rsidRPr="00196BB4" w:rsidRDefault="00F07F34" w:rsidP="00B2562A">
            <w:pPr>
              <w:pStyle w:val="naiskr"/>
              <w:spacing w:before="0" w:after="0"/>
            </w:pPr>
          </w:p>
          <w:p w:rsidR="00F07F34" w:rsidRPr="00196BB4" w:rsidRDefault="00F07F34" w:rsidP="00B2562A">
            <w:pPr>
              <w:pStyle w:val="naiskr"/>
              <w:spacing w:before="0" w:after="0"/>
            </w:pPr>
          </w:p>
          <w:p w:rsidR="00F07F34" w:rsidRPr="00196BB4" w:rsidRDefault="00F07F34" w:rsidP="00B2562A">
            <w:pPr>
              <w:pStyle w:val="naiskr"/>
              <w:spacing w:before="0" w:after="0"/>
            </w:pPr>
            <w:r w:rsidRPr="00196BB4">
              <w:t>Atbildīgā amatpersona</w:t>
            </w:r>
          </w:p>
        </w:tc>
        <w:tc>
          <w:tcPr>
            <w:tcW w:w="6179" w:type="dxa"/>
            <w:gridSpan w:val="3"/>
          </w:tcPr>
          <w:p w:rsidR="00F07F34" w:rsidRPr="00196BB4" w:rsidRDefault="00F07F34" w:rsidP="00B2562A">
            <w:pPr>
              <w:pStyle w:val="naiskr"/>
              <w:spacing w:before="0" w:after="0"/>
            </w:pPr>
          </w:p>
        </w:tc>
      </w:tr>
      <w:tr w:rsidR="00F07F34" w:rsidRPr="00196BB4" w:rsidTr="00B2562A">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07F34" w:rsidRPr="00196BB4" w:rsidRDefault="00F07F34" w:rsidP="00B2562A">
            <w:pPr>
              <w:pStyle w:val="naiskr"/>
              <w:spacing w:before="0" w:after="0"/>
              <w:ind w:firstLine="720"/>
            </w:pPr>
          </w:p>
        </w:tc>
        <w:tc>
          <w:tcPr>
            <w:tcW w:w="6179" w:type="dxa"/>
            <w:gridSpan w:val="3"/>
            <w:tcBorders>
              <w:top w:val="single" w:sz="6" w:space="0" w:color="000000"/>
            </w:tcBorders>
          </w:tcPr>
          <w:p w:rsidR="00F07F34" w:rsidRPr="00196BB4" w:rsidRDefault="00F07F34" w:rsidP="00B2562A">
            <w:pPr>
              <w:pStyle w:val="naisc"/>
              <w:spacing w:before="0" w:after="0"/>
              <w:ind w:firstLine="720"/>
            </w:pPr>
            <w:r w:rsidRPr="00196BB4">
              <w:t>(paraksts)</w:t>
            </w:r>
          </w:p>
        </w:tc>
      </w:tr>
    </w:tbl>
    <w:p w:rsidR="00F07F34" w:rsidRPr="00196BB4" w:rsidRDefault="00F07F34" w:rsidP="00F07F34">
      <w:pPr>
        <w:pStyle w:val="naisf"/>
        <w:spacing w:before="0" w:after="0"/>
        <w:ind w:firstLine="720"/>
      </w:pPr>
    </w:p>
    <w:p w:rsidR="00F07F34" w:rsidRPr="00196BB4" w:rsidRDefault="00F07F34" w:rsidP="00F07F34">
      <w:pPr>
        <w:pStyle w:val="naisf"/>
        <w:spacing w:before="0" w:after="0"/>
        <w:ind w:firstLine="720"/>
      </w:pPr>
      <w:r w:rsidRPr="00196BB4">
        <w:t xml:space="preserve">                          Oļesja </w:t>
      </w:r>
      <w:proofErr w:type="spellStart"/>
      <w:r w:rsidRPr="00196BB4">
        <w:t>Pavļuka</w:t>
      </w:r>
      <w:proofErr w:type="spellEnd"/>
    </w:p>
    <w:tbl>
      <w:tblPr>
        <w:tblW w:w="0" w:type="auto"/>
        <w:tblLook w:val="00A0" w:firstRow="1" w:lastRow="0" w:firstColumn="1" w:lastColumn="0" w:noHBand="0" w:noVBand="0"/>
      </w:tblPr>
      <w:tblGrid>
        <w:gridCol w:w="8268"/>
      </w:tblGrid>
      <w:tr w:rsidR="00196BB4" w:rsidRPr="00196BB4" w:rsidTr="00B2562A">
        <w:tc>
          <w:tcPr>
            <w:tcW w:w="8268" w:type="dxa"/>
            <w:tcBorders>
              <w:top w:val="single" w:sz="4" w:space="0" w:color="000000"/>
            </w:tcBorders>
          </w:tcPr>
          <w:p w:rsidR="00F07F34" w:rsidRPr="00196BB4" w:rsidRDefault="00F07F34" w:rsidP="00B2562A">
            <w:pPr>
              <w:jc w:val="center"/>
            </w:pPr>
            <w:r w:rsidRPr="00196BB4">
              <w:t>(par projektu atbildīgās amatpersonas vārds un uzvārds)</w:t>
            </w:r>
          </w:p>
        </w:tc>
      </w:tr>
      <w:tr w:rsidR="00196BB4" w:rsidRPr="00196BB4" w:rsidTr="00B2562A">
        <w:tc>
          <w:tcPr>
            <w:tcW w:w="8268" w:type="dxa"/>
            <w:tcBorders>
              <w:bottom w:val="single" w:sz="4" w:space="0" w:color="000000"/>
            </w:tcBorders>
          </w:tcPr>
          <w:p w:rsidR="00F07F34" w:rsidRPr="00196BB4" w:rsidRDefault="00F07F34" w:rsidP="00B2562A"/>
        </w:tc>
      </w:tr>
      <w:tr w:rsidR="00196BB4" w:rsidRPr="00196BB4" w:rsidTr="00B2562A">
        <w:tc>
          <w:tcPr>
            <w:tcW w:w="8268" w:type="dxa"/>
            <w:tcBorders>
              <w:top w:val="single" w:sz="4" w:space="0" w:color="000000"/>
            </w:tcBorders>
          </w:tcPr>
          <w:p w:rsidR="00F07F34" w:rsidRPr="00196BB4" w:rsidRDefault="00F07F34" w:rsidP="00B2562A">
            <w:pPr>
              <w:jc w:val="center"/>
            </w:pPr>
          </w:p>
        </w:tc>
      </w:tr>
      <w:tr w:rsidR="00196BB4" w:rsidRPr="00196BB4" w:rsidTr="00B2562A">
        <w:tc>
          <w:tcPr>
            <w:tcW w:w="8268" w:type="dxa"/>
            <w:tcBorders>
              <w:bottom w:val="single" w:sz="4" w:space="0" w:color="000000"/>
            </w:tcBorders>
          </w:tcPr>
          <w:p w:rsidR="00F07F34" w:rsidRPr="00196BB4" w:rsidRDefault="00F07F34" w:rsidP="00B2562A">
            <w:pPr>
              <w:jc w:val="center"/>
            </w:pPr>
          </w:p>
        </w:tc>
      </w:tr>
      <w:tr w:rsidR="00196BB4" w:rsidRPr="00196BB4" w:rsidTr="00B2562A">
        <w:tc>
          <w:tcPr>
            <w:tcW w:w="8268" w:type="dxa"/>
            <w:tcBorders>
              <w:top w:val="single" w:sz="4" w:space="0" w:color="000000"/>
            </w:tcBorders>
          </w:tcPr>
          <w:p w:rsidR="00F07F34" w:rsidRPr="00196BB4" w:rsidRDefault="00F07F34" w:rsidP="00B2562A">
            <w:pPr>
              <w:jc w:val="center"/>
            </w:pPr>
          </w:p>
        </w:tc>
      </w:tr>
      <w:tr w:rsidR="00196BB4" w:rsidRPr="00196BB4" w:rsidTr="00B2562A">
        <w:tc>
          <w:tcPr>
            <w:tcW w:w="8268" w:type="dxa"/>
            <w:tcBorders>
              <w:top w:val="single" w:sz="4" w:space="0" w:color="000000"/>
              <w:bottom w:val="single" w:sz="4" w:space="0" w:color="000000"/>
            </w:tcBorders>
          </w:tcPr>
          <w:p w:rsidR="00F07F34" w:rsidRPr="00196BB4" w:rsidRDefault="00F07F34" w:rsidP="00B2562A">
            <w:pPr>
              <w:jc w:val="center"/>
            </w:pPr>
            <w:bookmarkStart w:id="2" w:name="_GoBack"/>
            <w:bookmarkEnd w:id="2"/>
          </w:p>
        </w:tc>
      </w:tr>
    </w:tbl>
    <w:p w:rsidR="00F07F34" w:rsidRPr="00196BB4" w:rsidRDefault="00F07F34" w:rsidP="00F07F34">
      <w:pPr>
        <w:pStyle w:val="naisf"/>
        <w:tabs>
          <w:tab w:val="left" w:pos="6840"/>
        </w:tabs>
        <w:spacing w:before="0" w:after="0"/>
        <w:ind w:firstLine="0"/>
      </w:pPr>
    </w:p>
    <w:p w:rsidR="000D1D83" w:rsidRPr="00196BB4" w:rsidRDefault="000D1D83"/>
    <w:sectPr w:rsidR="000D1D83" w:rsidRPr="00196BB4" w:rsidSect="00251D25">
      <w:headerReference w:type="even" r:id="rId23"/>
      <w:headerReference w:type="default" r:id="rId24"/>
      <w:footerReference w:type="default" r:id="rId25"/>
      <w:footerReference w:type="first" r:id="rId2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05" w:rsidRDefault="00E95005" w:rsidP="00E95005">
      <w:r>
        <w:separator/>
      </w:r>
    </w:p>
  </w:endnote>
  <w:endnote w:type="continuationSeparator" w:id="0">
    <w:p w:rsidR="00E95005" w:rsidRDefault="00E95005" w:rsidP="00E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8B" w:rsidRPr="00AF63C1" w:rsidRDefault="00E95005" w:rsidP="00AF63C1">
    <w:pPr>
      <w:pStyle w:val="naisnod"/>
      <w:spacing w:before="120" w:after="0"/>
      <w:jc w:val="both"/>
      <w:rPr>
        <w:b w:val="0"/>
        <w:sz w:val="20"/>
        <w:szCs w:val="20"/>
      </w:rPr>
    </w:pPr>
    <w:r>
      <w:rPr>
        <w:b w:val="0"/>
        <w:sz w:val="20"/>
        <w:szCs w:val="20"/>
      </w:rPr>
      <w:t>IEMIzz_15122020</w:t>
    </w:r>
    <w:r w:rsidR="00196BB4">
      <w:rPr>
        <w:b w:val="0"/>
        <w:sz w:val="20"/>
        <w:szCs w:val="20"/>
      </w:rPr>
      <w:t>_prekursori</w:t>
    </w:r>
    <w:r w:rsidRPr="0049709C">
      <w:rPr>
        <w:b w:val="0"/>
        <w:sz w:val="20"/>
        <w:szCs w:val="20"/>
      </w:rPr>
      <w:t xml:space="preserve">; Izziņa par atzinumos sniegtajiem iebildumiem par Ministru kabineta noteikumu projektu </w:t>
    </w:r>
    <w:r w:rsidRPr="004D538B">
      <w:rPr>
        <w:b w:val="0"/>
        <w:sz w:val="20"/>
        <w:szCs w:val="20"/>
      </w:rPr>
      <w:t>“</w:t>
    </w:r>
    <w:r>
      <w:rPr>
        <w:b w:val="0"/>
        <w:sz w:val="20"/>
        <w:szCs w:val="20"/>
      </w:rPr>
      <w:t>Kārtība, kādā ziņo par sprāgstvielu prekursoriem” (VSS-587)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Pr="00186965" w:rsidRDefault="00E95005" w:rsidP="00186965">
    <w:pPr>
      <w:pStyle w:val="naisnod"/>
      <w:spacing w:before="120" w:after="0"/>
      <w:jc w:val="both"/>
      <w:rPr>
        <w:b w:val="0"/>
        <w:sz w:val="20"/>
        <w:szCs w:val="20"/>
      </w:rPr>
    </w:pPr>
    <w:r>
      <w:rPr>
        <w:b w:val="0"/>
        <w:sz w:val="20"/>
        <w:szCs w:val="20"/>
      </w:rPr>
      <w:t>IEMIzz_15122020</w:t>
    </w:r>
    <w:r w:rsidR="00196BB4">
      <w:rPr>
        <w:b w:val="0"/>
        <w:sz w:val="20"/>
        <w:szCs w:val="20"/>
      </w:rPr>
      <w:t>_prekursori</w:t>
    </w:r>
    <w:r w:rsidRPr="0049709C">
      <w:rPr>
        <w:b w:val="0"/>
        <w:sz w:val="20"/>
        <w:szCs w:val="20"/>
      </w:rPr>
      <w:t xml:space="preserve">; Izziņa par atzinumos sniegtajiem iebildumiem par Ministru kabineta noteikumu projektu </w:t>
    </w:r>
    <w:r w:rsidRPr="004D538B">
      <w:rPr>
        <w:b w:val="0"/>
        <w:sz w:val="20"/>
        <w:szCs w:val="20"/>
      </w:rPr>
      <w:t>“</w:t>
    </w:r>
    <w:r>
      <w:rPr>
        <w:b w:val="0"/>
        <w:sz w:val="20"/>
        <w:szCs w:val="20"/>
      </w:rPr>
      <w:t>Kārtība, kādā ziņo par sprāgstvielu prekursoriem” (VSS-587)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05" w:rsidRDefault="00E95005" w:rsidP="00E95005">
      <w:r>
        <w:separator/>
      </w:r>
    </w:p>
  </w:footnote>
  <w:footnote w:type="continuationSeparator" w:id="0">
    <w:p w:rsidR="00E95005" w:rsidRDefault="00E95005" w:rsidP="00E9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1BD" w:rsidRDefault="0019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BB4">
      <w:rPr>
        <w:rStyle w:val="PageNumber"/>
        <w:noProof/>
      </w:rPr>
      <w:t>10</w:t>
    </w:r>
    <w:r>
      <w:rPr>
        <w:rStyle w:val="PageNumber"/>
      </w:rPr>
      <w:fldChar w:fldCharType="end"/>
    </w:r>
  </w:p>
  <w:p w:rsidR="00E921BD" w:rsidRDefault="00196BB4" w:rsidP="00E8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332"/>
    <w:multiLevelType w:val="multilevel"/>
    <w:tmpl w:val="E44011B2"/>
    <w:lvl w:ilvl="0">
      <w:start w:val="4"/>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 w15:restartNumberingAfterBreak="0">
    <w:nsid w:val="3548521E"/>
    <w:multiLevelType w:val="multilevel"/>
    <w:tmpl w:val="A7F4B0D2"/>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 w15:restartNumberingAfterBreak="0">
    <w:nsid w:val="4F896EAD"/>
    <w:multiLevelType w:val="multilevel"/>
    <w:tmpl w:val="E1BCAEDE"/>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 w15:restartNumberingAfterBreak="0">
    <w:nsid w:val="522A6D8B"/>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 w15:restartNumberingAfterBreak="0">
    <w:nsid w:val="5A250F37"/>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4"/>
    <w:rsid w:val="000D1D83"/>
    <w:rsid w:val="00196BB4"/>
    <w:rsid w:val="004B74EE"/>
    <w:rsid w:val="006356EA"/>
    <w:rsid w:val="00BE620A"/>
    <w:rsid w:val="00E95005"/>
    <w:rsid w:val="00F07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011"/>
  <w15:chartTrackingRefBased/>
  <w15:docId w15:val="{EAD1255D-1F06-44CE-86E0-EA442DC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07F34"/>
    <w:rPr>
      <w:rFonts w:cs="Times New Roman"/>
      <w:color w:val="0000FF"/>
      <w:u w:val="single"/>
    </w:rPr>
  </w:style>
  <w:style w:type="paragraph" w:styleId="NormalWeb">
    <w:name w:val="Normal (Web)"/>
    <w:basedOn w:val="Normal"/>
    <w:uiPriority w:val="99"/>
    <w:rsid w:val="00F07F34"/>
    <w:pPr>
      <w:spacing w:before="100" w:beforeAutospacing="1" w:after="100" w:afterAutospacing="1"/>
    </w:pPr>
  </w:style>
  <w:style w:type="paragraph" w:customStyle="1" w:styleId="naisf">
    <w:name w:val="naisf"/>
    <w:basedOn w:val="Normal"/>
    <w:rsid w:val="00F07F34"/>
    <w:pPr>
      <w:spacing w:before="75" w:after="75"/>
      <w:ind w:firstLine="375"/>
      <w:jc w:val="both"/>
    </w:pPr>
  </w:style>
  <w:style w:type="paragraph" w:customStyle="1" w:styleId="naisnod">
    <w:name w:val="naisnod"/>
    <w:basedOn w:val="Normal"/>
    <w:uiPriority w:val="99"/>
    <w:rsid w:val="00F07F34"/>
    <w:pPr>
      <w:spacing w:before="150" w:after="150"/>
      <w:jc w:val="center"/>
    </w:pPr>
    <w:rPr>
      <w:b/>
      <w:bCs/>
    </w:rPr>
  </w:style>
  <w:style w:type="paragraph" w:customStyle="1" w:styleId="naiskr">
    <w:name w:val="naiskr"/>
    <w:basedOn w:val="Normal"/>
    <w:rsid w:val="00F07F34"/>
    <w:pPr>
      <w:spacing w:before="75" w:after="75"/>
    </w:pPr>
  </w:style>
  <w:style w:type="paragraph" w:customStyle="1" w:styleId="naisc">
    <w:name w:val="naisc"/>
    <w:basedOn w:val="Normal"/>
    <w:rsid w:val="00F07F34"/>
    <w:pPr>
      <w:spacing w:before="75" w:after="75"/>
      <w:jc w:val="center"/>
    </w:pPr>
  </w:style>
  <w:style w:type="paragraph" w:styleId="Header">
    <w:name w:val="header"/>
    <w:basedOn w:val="Normal"/>
    <w:link w:val="HeaderChar"/>
    <w:uiPriority w:val="99"/>
    <w:rsid w:val="00F07F34"/>
    <w:pPr>
      <w:tabs>
        <w:tab w:val="center" w:pos="4153"/>
        <w:tab w:val="right" w:pos="8306"/>
      </w:tabs>
    </w:pPr>
  </w:style>
  <w:style w:type="character" w:customStyle="1" w:styleId="HeaderChar">
    <w:name w:val="Header Char"/>
    <w:basedOn w:val="DefaultParagraphFont"/>
    <w:link w:val="Header"/>
    <w:uiPriority w:val="99"/>
    <w:rsid w:val="00F07F34"/>
    <w:rPr>
      <w:rFonts w:ascii="Times New Roman" w:eastAsia="Times New Roman" w:hAnsi="Times New Roman" w:cs="Times New Roman"/>
      <w:sz w:val="24"/>
      <w:szCs w:val="24"/>
      <w:lang w:eastAsia="lv-LV"/>
    </w:rPr>
  </w:style>
  <w:style w:type="character" w:styleId="PageNumber">
    <w:name w:val="page number"/>
    <w:uiPriority w:val="99"/>
    <w:rsid w:val="00F07F34"/>
    <w:rPr>
      <w:rFonts w:cs="Times New Roman"/>
    </w:rPr>
  </w:style>
  <w:style w:type="paragraph" w:styleId="Footer">
    <w:name w:val="footer"/>
    <w:basedOn w:val="Normal"/>
    <w:link w:val="FooterChar"/>
    <w:uiPriority w:val="99"/>
    <w:rsid w:val="00F07F34"/>
    <w:pPr>
      <w:tabs>
        <w:tab w:val="center" w:pos="4153"/>
        <w:tab w:val="right" w:pos="8306"/>
      </w:tabs>
    </w:pPr>
  </w:style>
  <w:style w:type="character" w:customStyle="1" w:styleId="FooterChar">
    <w:name w:val="Footer Char"/>
    <w:basedOn w:val="DefaultParagraphFont"/>
    <w:link w:val="Footer"/>
    <w:uiPriority w:val="99"/>
    <w:rsid w:val="00F07F3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F07F3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F07F34"/>
    <w:rPr>
      <w:rFonts w:ascii="Calibri" w:eastAsia="Calibri" w:hAnsi="Calibri" w:cs="Times New Roman"/>
    </w:rPr>
  </w:style>
  <w:style w:type="paragraph" w:styleId="BalloonText">
    <w:name w:val="Balloon Text"/>
    <w:basedOn w:val="Normal"/>
    <w:link w:val="BalloonTextChar"/>
    <w:uiPriority w:val="99"/>
    <w:semiHidden/>
    <w:unhideWhenUsed/>
    <w:rsid w:val="0019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B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98/oj/?locale=LV" TargetMode="External"/><Relationship Id="rId13" Type="http://schemas.openxmlformats.org/officeDocument/2006/relationships/hyperlink" Target="https://eur-lex.europa.eu/legal-content/LV/TXT/?uri=CELEX:32019R1148" TargetMode="External"/><Relationship Id="rId18" Type="http://schemas.openxmlformats.org/officeDocument/2006/relationships/hyperlink" Target="http://eur-lex.europa.eu/eli/reg/2013/98/oj/?locale=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ur-lex.europa.eu/eli/reg/2013/98/oj/?locale=LV" TargetMode="External"/><Relationship Id="rId7" Type="http://schemas.openxmlformats.org/officeDocument/2006/relationships/hyperlink" Target="http://eur-lex.europa.eu/eli/reg/2013/98/oj/?locale=LV" TargetMode="External"/><Relationship Id="rId12" Type="http://schemas.openxmlformats.org/officeDocument/2006/relationships/hyperlink" Target="https://eur-lex.europa.eu/legal-content/LV/TXT/?uri=CELEX:32019R1148" TargetMode="External"/><Relationship Id="rId17" Type="http://schemas.openxmlformats.org/officeDocument/2006/relationships/hyperlink" Target="http://eur-lex.europa.eu/eli/reg/2013/98/oj/?locale=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ontaktpunkts@vdd.gov.lv" TargetMode="External"/><Relationship Id="rId20" Type="http://schemas.openxmlformats.org/officeDocument/2006/relationships/hyperlink" Target="mailto:kontaktpunkts@vd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LV/TXT/?uri=CELEX:32019R114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ur-lex.europa.eu/eli/reg/2013/98/oj/?locale=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ur-lex.europa.eu/eli/reg/2013/98/oj/?locale=LV" TargetMode="External"/><Relationship Id="rId19" Type="http://schemas.openxmlformats.org/officeDocument/2006/relationships/hyperlink" Target="http://eur-lex.europa.eu/eli/reg/2013/98/oj/?locale=LV" TargetMode="External"/><Relationship Id="rId4" Type="http://schemas.openxmlformats.org/officeDocument/2006/relationships/webSettings" Target="webSettings.xml"/><Relationship Id="rId9" Type="http://schemas.openxmlformats.org/officeDocument/2006/relationships/hyperlink" Target="http://eur-lex.europa.eu/eli/reg/2013/98/oj/?locale=LV" TargetMode="External"/><Relationship Id="rId14" Type="http://schemas.openxmlformats.org/officeDocument/2006/relationships/hyperlink" Target="https://eur-lex.europa.eu/legal-content/LV/TXT/?uri=CELEX:32019R1148" TargetMode="External"/><Relationship Id="rId22" Type="http://schemas.openxmlformats.org/officeDocument/2006/relationships/hyperlink" Target="http://eur-lex.europa.eu/eli/reg/2013/98/oj/?local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10730</Words>
  <Characters>6117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3</cp:revision>
  <cp:lastPrinted>2020-12-28T12:59:00Z</cp:lastPrinted>
  <dcterms:created xsi:type="dcterms:W3CDTF">2020-12-15T08:42:00Z</dcterms:created>
  <dcterms:modified xsi:type="dcterms:W3CDTF">2020-12-28T12:59:00Z</dcterms:modified>
</cp:coreProperties>
</file>