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CF" w:rsidRPr="005D10D8" w:rsidRDefault="00C555B5" w:rsidP="00C555B5">
      <w:pPr>
        <w:pStyle w:val="naisnod"/>
        <w:spacing w:before="0" w:after="0"/>
      </w:pPr>
      <w:r w:rsidRPr="005D10D8">
        <w:t xml:space="preserve">Izziņa par </w:t>
      </w:r>
      <w:r w:rsidR="00C273FD">
        <w:t>atzinumos</w:t>
      </w:r>
      <w:r w:rsidR="001406C1">
        <w:t xml:space="preserve"> </w:t>
      </w:r>
      <w:r w:rsidRPr="005D10D8">
        <w:t>sniegtajiem iebildumiem</w:t>
      </w:r>
    </w:p>
    <w:tbl>
      <w:tblPr>
        <w:tblW w:w="0" w:type="auto"/>
        <w:jc w:val="center"/>
        <w:tblLook w:val="00A0" w:firstRow="1" w:lastRow="0" w:firstColumn="1" w:lastColumn="0" w:noHBand="0" w:noVBand="0"/>
      </w:tblPr>
      <w:tblGrid>
        <w:gridCol w:w="10188"/>
      </w:tblGrid>
      <w:tr w:rsidR="00C555B5" w:rsidRPr="005D10D8" w:rsidTr="00EA2B49">
        <w:trPr>
          <w:jc w:val="center"/>
        </w:trPr>
        <w:tc>
          <w:tcPr>
            <w:tcW w:w="10188" w:type="dxa"/>
          </w:tcPr>
          <w:p w:rsidR="00C555B5" w:rsidRDefault="00C555B5" w:rsidP="00C2590F">
            <w:pPr>
              <w:jc w:val="center"/>
              <w:rPr>
                <w:b/>
                <w:bCs/>
              </w:rPr>
            </w:pPr>
            <w:r w:rsidRPr="005D10D8">
              <w:rPr>
                <w:b/>
              </w:rPr>
              <w:t xml:space="preserve">par </w:t>
            </w:r>
            <w:r w:rsidR="00034648" w:rsidRPr="007967FC">
              <w:rPr>
                <w:b/>
                <w:bCs/>
              </w:rPr>
              <w:t>Ministru kabineta noteikumu projekta “Grozījum</w:t>
            </w:r>
            <w:r w:rsidR="00C2590F">
              <w:rPr>
                <w:b/>
                <w:bCs/>
              </w:rPr>
              <w:t>i</w:t>
            </w:r>
            <w:r w:rsidR="00034648" w:rsidRPr="007967FC">
              <w:rPr>
                <w:b/>
                <w:bCs/>
              </w:rPr>
              <w:t xml:space="preserve"> Ministru kabineta 2012.gada 21.februāra noteikumos Nr.13</w:t>
            </w:r>
            <w:r w:rsidR="00396BFC">
              <w:rPr>
                <w:b/>
                <w:bCs/>
              </w:rPr>
              <w:t>4</w:t>
            </w:r>
            <w:r w:rsidR="00034648" w:rsidRPr="007967FC">
              <w:rPr>
                <w:b/>
                <w:bCs/>
              </w:rPr>
              <w:t xml:space="preserve"> "</w:t>
            </w:r>
            <w:hyperlink r:id="rId8" w:tgtFrame="_blank" w:history="1">
              <w:r w:rsidR="00396BFC">
                <w:rPr>
                  <w:b/>
                  <w:bCs/>
                </w:rPr>
                <w:t>Personu</w:t>
              </w:r>
            </w:hyperlink>
            <w:r w:rsidR="00396BFC">
              <w:rPr>
                <w:b/>
                <w:bCs/>
              </w:rPr>
              <w:t xml:space="preserve"> apliecinošu dokumentu noteikumi</w:t>
            </w:r>
            <w:r w:rsidR="00034648" w:rsidRPr="007967FC">
              <w:rPr>
                <w:b/>
                <w:bCs/>
              </w:rPr>
              <w:t>”</w:t>
            </w:r>
            <w:r w:rsidRPr="005D10D8">
              <w:rPr>
                <w:b/>
                <w:bCs/>
              </w:rPr>
              <w:t xml:space="preserve">” </w:t>
            </w:r>
          </w:p>
          <w:p w:rsidR="00BB1BCF" w:rsidRPr="005D10D8" w:rsidRDefault="00BB1BCF" w:rsidP="00C2590F">
            <w:pPr>
              <w:jc w:val="center"/>
              <w:rPr>
                <w:b/>
              </w:rPr>
            </w:pPr>
          </w:p>
        </w:tc>
      </w:tr>
    </w:tbl>
    <w:p w:rsidR="00C555B5" w:rsidRPr="005D10D8" w:rsidRDefault="00C555B5" w:rsidP="00C555B5">
      <w:pPr>
        <w:pStyle w:val="naisf"/>
        <w:spacing w:before="0" w:after="0"/>
        <w:ind w:firstLine="0"/>
        <w:jc w:val="center"/>
        <w:rPr>
          <w:b/>
        </w:rPr>
      </w:pPr>
      <w:r w:rsidRPr="005D10D8">
        <w:rPr>
          <w:b/>
        </w:rPr>
        <w:t>I. Jautājumi, par kuriem saskaņošanā vienošanās nav panākta</w:t>
      </w:r>
    </w:p>
    <w:p w:rsidR="00C555B5" w:rsidRPr="005D10D8" w:rsidRDefault="00C555B5" w:rsidP="00C555B5">
      <w:pPr>
        <w:pStyle w:val="naisf"/>
        <w:spacing w:before="0" w:after="0"/>
        <w:ind w:firstLine="0"/>
        <w:jc w:val="center"/>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51"/>
        <w:gridCol w:w="3118"/>
        <w:gridCol w:w="2977"/>
        <w:gridCol w:w="2459"/>
        <w:gridCol w:w="1920"/>
      </w:tblGrid>
      <w:tr w:rsidR="00C555B5" w:rsidRPr="005D10D8" w:rsidTr="00EA2B49">
        <w:tc>
          <w:tcPr>
            <w:tcW w:w="735"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pPr>
            <w:r w:rsidRPr="005D10D8">
              <w:t>Nr. p.k.</w:t>
            </w:r>
          </w:p>
        </w:tc>
        <w:tc>
          <w:tcPr>
            <w:tcW w:w="2951"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12"/>
            </w:pPr>
            <w:r w:rsidRPr="005D10D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right="3"/>
            </w:pPr>
            <w:r w:rsidRPr="005D1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21"/>
            </w:pPr>
            <w:r w:rsidRPr="005D10D8">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C555B5" w:rsidRPr="005D10D8" w:rsidRDefault="00C555B5" w:rsidP="00EA2B49">
            <w:pPr>
              <w:jc w:val="center"/>
            </w:pPr>
            <w:r w:rsidRPr="005D10D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C555B5" w:rsidRPr="005D10D8" w:rsidRDefault="00C555B5" w:rsidP="00EA2B49">
            <w:pPr>
              <w:jc w:val="center"/>
            </w:pPr>
            <w:r w:rsidRPr="005D10D8">
              <w:t>Projekta attiecīgā punkta (panta) galīgā redakcija</w:t>
            </w:r>
          </w:p>
        </w:tc>
      </w:tr>
      <w:tr w:rsidR="00C555B5" w:rsidRPr="005D10D8" w:rsidTr="00EA2B49">
        <w:tc>
          <w:tcPr>
            <w:tcW w:w="735"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1</w:t>
            </w:r>
          </w:p>
        </w:tc>
        <w:tc>
          <w:tcPr>
            <w:tcW w:w="2951"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2</w:t>
            </w:r>
          </w:p>
        </w:tc>
        <w:tc>
          <w:tcPr>
            <w:tcW w:w="3118"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3</w:t>
            </w:r>
          </w:p>
        </w:tc>
        <w:tc>
          <w:tcPr>
            <w:tcW w:w="2977"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4</w:t>
            </w:r>
          </w:p>
        </w:tc>
        <w:tc>
          <w:tcPr>
            <w:tcW w:w="2459" w:type="dxa"/>
            <w:tcBorders>
              <w:top w:val="single" w:sz="4" w:space="0" w:color="auto"/>
              <w:left w:val="single" w:sz="4" w:space="0" w:color="auto"/>
              <w:bottom w:val="single" w:sz="4" w:space="0" w:color="auto"/>
              <w:right w:val="single" w:sz="4" w:space="0" w:color="auto"/>
            </w:tcBorders>
          </w:tcPr>
          <w:p w:rsidR="00C555B5" w:rsidRPr="005D10D8" w:rsidRDefault="00C555B5" w:rsidP="00EA2B49">
            <w:pPr>
              <w:jc w:val="center"/>
            </w:pPr>
            <w:r w:rsidRPr="005D10D8">
              <w:t>5</w:t>
            </w:r>
          </w:p>
        </w:tc>
        <w:tc>
          <w:tcPr>
            <w:tcW w:w="1920" w:type="dxa"/>
            <w:tcBorders>
              <w:top w:val="single" w:sz="4" w:space="0" w:color="auto"/>
              <w:left w:val="single" w:sz="4" w:space="0" w:color="auto"/>
              <w:bottom w:val="single" w:sz="4" w:space="0" w:color="auto"/>
            </w:tcBorders>
          </w:tcPr>
          <w:p w:rsidR="00C555B5" w:rsidRPr="005D10D8" w:rsidRDefault="00C555B5" w:rsidP="00EA2B49">
            <w:pPr>
              <w:jc w:val="center"/>
            </w:pPr>
            <w:r w:rsidRPr="005D10D8">
              <w:t>6</w:t>
            </w:r>
          </w:p>
        </w:tc>
      </w:tr>
      <w:tr w:rsidR="00C555B5" w:rsidRPr="005D10D8" w:rsidTr="00C555B5">
        <w:tc>
          <w:tcPr>
            <w:tcW w:w="735" w:type="dxa"/>
            <w:tcBorders>
              <w:left w:val="single" w:sz="6" w:space="0" w:color="000000"/>
              <w:bottom w:val="single" w:sz="4" w:space="0" w:color="auto"/>
              <w:right w:val="single" w:sz="6" w:space="0" w:color="000000"/>
            </w:tcBorders>
          </w:tcPr>
          <w:p w:rsidR="00C555B5" w:rsidRPr="005D10D8" w:rsidRDefault="00C555B5" w:rsidP="00EA2B49">
            <w:pPr>
              <w:jc w:val="center"/>
            </w:pPr>
          </w:p>
        </w:tc>
        <w:tc>
          <w:tcPr>
            <w:tcW w:w="2951" w:type="dxa"/>
            <w:tcBorders>
              <w:left w:val="single" w:sz="6" w:space="0" w:color="000000"/>
              <w:bottom w:val="single" w:sz="4" w:space="0" w:color="auto"/>
              <w:right w:val="single" w:sz="6" w:space="0" w:color="000000"/>
            </w:tcBorders>
          </w:tcPr>
          <w:p w:rsidR="00C555B5" w:rsidRPr="005D10D8" w:rsidRDefault="00C555B5" w:rsidP="00240CB3">
            <w:pPr>
              <w:pStyle w:val="ListParagraph"/>
              <w:ind w:left="0"/>
              <w:jc w:val="both"/>
              <w:rPr>
                <w:lang w:val="lv-LV"/>
              </w:rPr>
            </w:pPr>
          </w:p>
        </w:tc>
        <w:tc>
          <w:tcPr>
            <w:tcW w:w="3118" w:type="dxa"/>
            <w:tcBorders>
              <w:left w:val="single" w:sz="6" w:space="0" w:color="000000"/>
              <w:bottom w:val="single" w:sz="4" w:space="0" w:color="auto"/>
              <w:right w:val="single" w:sz="6" w:space="0" w:color="000000"/>
            </w:tcBorders>
          </w:tcPr>
          <w:p w:rsidR="00C555B5" w:rsidRPr="005D10D8" w:rsidRDefault="00C555B5" w:rsidP="005D10D8">
            <w:pPr>
              <w:jc w:val="both"/>
            </w:pPr>
          </w:p>
        </w:tc>
        <w:tc>
          <w:tcPr>
            <w:tcW w:w="2977" w:type="dxa"/>
            <w:tcBorders>
              <w:left w:val="single" w:sz="6" w:space="0" w:color="000000"/>
              <w:bottom w:val="single" w:sz="4" w:space="0" w:color="auto"/>
              <w:right w:val="single" w:sz="6" w:space="0" w:color="000000"/>
            </w:tcBorders>
          </w:tcPr>
          <w:p w:rsidR="00256207" w:rsidRPr="005D10D8" w:rsidRDefault="00256207" w:rsidP="00256207">
            <w:pPr>
              <w:jc w:val="both"/>
            </w:pPr>
          </w:p>
        </w:tc>
        <w:tc>
          <w:tcPr>
            <w:tcW w:w="2459" w:type="dxa"/>
            <w:tcBorders>
              <w:top w:val="single" w:sz="4" w:space="0" w:color="auto"/>
              <w:left w:val="single" w:sz="4" w:space="0" w:color="auto"/>
              <w:bottom w:val="single" w:sz="4" w:space="0" w:color="auto"/>
              <w:right w:val="single" w:sz="4" w:space="0" w:color="auto"/>
            </w:tcBorders>
          </w:tcPr>
          <w:p w:rsidR="001B4E7E" w:rsidRPr="005D10D8" w:rsidRDefault="001B4E7E" w:rsidP="001B4E7E">
            <w:pPr>
              <w:jc w:val="both"/>
              <w:rPr>
                <w:b/>
              </w:rPr>
            </w:pPr>
          </w:p>
        </w:tc>
        <w:tc>
          <w:tcPr>
            <w:tcW w:w="1920" w:type="dxa"/>
            <w:tcBorders>
              <w:top w:val="single" w:sz="4" w:space="0" w:color="auto"/>
              <w:left w:val="single" w:sz="4" w:space="0" w:color="auto"/>
              <w:bottom w:val="single" w:sz="4" w:space="0" w:color="auto"/>
            </w:tcBorders>
          </w:tcPr>
          <w:p w:rsidR="00C555B5" w:rsidRPr="005D10D8" w:rsidRDefault="00C555B5" w:rsidP="001B4E7E">
            <w:pPr>
              <w:jc w:val="both"/>
            </w:pPr>
          </w:p>
        </w:tc>
      </w:tr>
    </w:tbl>
    <w:p w:rsidR="00C555B5" w:rsidRPr="005D10D8" w:rsidRDefault="00C555B5" w:rsidP="00C555B5">
      <w:pPr>
        <w:pStyle w:val="naisf"/>
        <w:spacing w:before="0" w:after="0"/>
        <w:ind w:firstLine="0"/>
      </w:pPr>
    </w:p>
    <w:tbl>
      <w:tblPr>
        <w:tblW w:w="12582" w:type="dxa"/>
        <w:tblLook w:val="00A0" w:firstRow="1" w:lastRow="0" w:firstColumn="1" w:lastColumn="0" w:noHBand="0" w:noVBand="0"/>
      </w:tblPr>
      <w:tblGrid>
        <w:gridCol w:w="222"/>
        <w:gridCol w:w="14348"/>
      </w:tblGrid>
      <w:tr w:rsidR="00C555B5" w:rsidRPr="005D10D8" w:rsidTr="00EA2B49">
        <w:tc>
          <w:tcPr>
            <w:tcW w:w="6157" w:type="dxa"/>
          </w:tcPr>
          <w:p w:rsidR="00C555B5" w:rsidRPr="005D10D8" w:rsidRDefault="00C555B5" w:rsidP="00EA2B49">
            <w:pPr>
              <w:pStyle w:val="naisf"/>
              <w:spacing w:before="0" w:after="0"/>
              <w:ind w:firstLine="0"/>
            </w:pPr>
          </w:p>
        </w:tc>
        <w:tc>
          <w:tcPr>
            <w:tcW w:w="6425" w:type="dxa"/>
          </w:tcPr>
          <w:tbl>
            <w:tblPr>
              <w:tblW w:w="14748" w:type="dxa"/>
              <w:tblLook w:val="0000" w:firstRow="0" w:lastRow="0" w:firstColumn="0" w:lastColumn="0" w:noHBand="0" w:noVBand="0"/>
            </w:tblPr>
            <w:tblGrid>
              <w:gridCol w:w="2628"/>
              <w:gridCol w:w="12120"/>
            </w:tblGrid>
            <w:tr w:rsidR="00565AE5" w:rsidRPr="00351BCA" w:rsidTr="00D45DBE">
              <w:tc>
                <w:tcPr>
                  <w:tcW w:w="2628" w:type="dxa"/>
                </w:tcPr>
                <w:p w:rsidR="00565AE5" w:rsidRPr="00351BCA" w:rsidRDefault="00565AE5" w:rsidP="00565AE5"/>
              </w:tc>
              <w:tc>
                <w:tcPr>
                  <w:tcW w:w="12120" w:type="dxa"/>
                  <w:tcBorders>
                    <w:left w:val="nil"/>
                    <w:right w:val="nil"/>
                  </w:tcBorders>
                </w:tcPr>
                <w:p w:rsidR="00565AE5" w:rsidRPr="00351BCA" w:rsidRDefault="00565AE5" w:rsidP="00565AE5">
                  <w:pPr>
                    <w:pStyle w:val="NormalWebCharChar"/>
                    <w:ind w:firstLine="720"/>
                  </w:pPr>
                </w:p>
                <w:p w:rsidR="00565AE5" w:rsidRPr="00351BCA" w:rsidRDefault="00565AE5" w:rsidP="00565AE5">
                  <w:pPr>
                    <w:pStyle w:val="NormalWebCharChar"/>
                    <w:spacing w:before="0" w:beforeAutospacing="0" w:after="0" w:afterAutospacing="0"/>
                    <w:ind w:firstLine="720"/>
                  </w:pPr>
                  <w:r w:rsidRPr="00351BCA">
                    <w:t xml:space="preserve"> </w:t>
                  </w:r>
                  <w:r w:rsidRPr="00351BCA">
                    <w:rPr>
                      <w:b/>
                      <w:bCs/>
                    </w:rPr>
                    <w:t xml:space="preserve">Informācija par </w:t>
                  </w:r>
                  <w:proofErr w:type="spellStart"/>
                  <w:r w:rsidRPr="00351BCA">
                    <w:rPr>
                      <w:b/>
                      <w:bCs/>
                    </w:rPr>
                    <w:t>starpministriju</w:t>
                  </w:r>
                  <w:proofErr w:type="spellEnd"/>
                  <w:r w:rsidRPr="00351BCA">
                    <w:rPr>
                      <w:b/>
                      <w:bCs/>
                    </w:rPr>
                    <w:t xml:space="preserve"> (starpinstitūciju) sanāksmi vai elektronisko saskaņošanu</w:t>
                  </w:r>
                </w:p>
              </w:tc>
            </w:tr>
          </w:tbl>
          <w:p w:rsidR="00565AE5" w:rsidRPr="00351BCA" w:rsidRDefault="00565AE5" w:rsidP="00565AE5">
            <w:pPr>
              <w:pStyle w:val="naisf"/>
              <w:spacing w:before="0" w:after="0"/>
              <w:ind w:firstLine="0"/>
              <w:jc w:val="center"/>
              <w:rPr>
                <w:b/>
              </w:rPr>
            </w:pPr>
          </w:p>
          <w:p w:rsidR="00565AE5" w:rsidRPr="00351BCA" w:rsidRDefault="00565AE5" w:rsidP="00565AE5">
            <w:pPr>
              <w:pStyle w:val="Default"/>
            </w:pPr>
          </w:p>
          <w:tbl>
            <w:tblPr>
              <w:tblW w:w="0" w:type="auto"/>
              <w:tblBorders>
                <w:top w:val="nil"/>
                <w:left w:val="nil"/>
                <w:bottom w:val="nil"/>
                <w:right w:val="nil"/>
              </w:tblBorders>
              <w:tblLook w:val="0000" w:firstRow="0" w:lastRow="0" w:firstColumn="0" w:lastColumn="0" w:noHBand="0" w:noVBand="0"/>
            </w:tblPr>
            <w:tblGrid>
              <w:gridCol w:w="6828"/>
              <w:gridCol w:w="6828"/>
            </w:tblGrid>
            <w:tr w:rsidR="00565AE5" w:rsidRPr="00351BCA" w:rsidTr="00D45DBE">
              <w:trPr>
                <w:trHeight w:val="100"/>
              </w:trPr>
              <w:tc>
                <w:tcPr>
                  <w:tcW w:w="6828" w:type="dxa"/>
                </w:tcPr>
                <w:p w:rsidR="00565AE5" w:rsidRPr="00351BCA" w:rsidRDefault="00565AE5" w:rsidP="00565AE5">
                  <w:pPr>
                    <w:pStyle w:val="Default"/>
                    <w:rPr>
                      <w:sz w:val="22"/>
                      <w:szCs w:val="22"/>
                    </w:rPr>
                  </w:pPr>
                  <w:r>
                    <w:rPr>
                      <w:sz w:val="22"/>
                      <w:szCs w:val="22"/>
                    </w:rPr>
                    <w:t>Datumi</w:t>
                  </w:r>
                  <w:r w:rsidRPr="00351BCA">
                    <w:rPr>
                      <w:sz w:val="22"/>
                      <w:szCs w:val="22"/>
                    </w:rPr>
                    <w:t xml:space="preserve"> </w:t>
                  </w:r>
                </w:p>
                <w:p w:rsidR="00565AE5" w:rsidRPr="00351BCA" w:rsidRDefault="00565AE5" w:rsidP="00565AE5">
                  <w:pPr>
                    <w:pStyle w:val="Default"/>
                    <w:rPr>
                      <w:sz w:val="22"/>
                      <w:szCs w:val="22"/>
                    </w:rPr>
                  </w:pPr>
                </w:p>
              </w:tc>
              <w:tc>
                <w:tcPr>
                  <w:tcW w:w="6828" w:type="dxa"/>
                </w:tcPr>
                <w:p w:rsidR="00565AE5" w:rsidRPr="00351BCA" w:rsidRDefault="00565AE5" w:rsidP="00565AE5">
                  <w:pPr>
                    <w:pStyle w:val="Default"/>
                    <w:rPr>
                      <w:sz w:val="22"/>
                      <w:szCs w:val="22"/>
                    </w:rPr>
                  </w:pPr>
                  <w:r>
                    <w:rPr>
                      <w:sz w:val="22"/>
                      <w:szCs w:val="22"/>
                    </w:rPr>
                    <w:t>11.12.2020 un 14.12.2020</w:t>
                  </w:r>
                </w:p>
              </w:tc>
            </w:tr>
            <w:tr w:rsidR="00565AE5" w:rsidRPr="00351BCA" w:rsidTr="00D45DBE">
              <w:trPr>
                <w:trHeight w:val="537"/>
              </w:trPr>
              <w:tc>
                <w:tcPr>
                  <w:tcW w:w="6828" w:type="dxa"/>
                </w:tcPr>
                <w:p w:rsidR="00565AE5" w:rsidRPr="00351BCA" w:rsidRDefault="00565AE5" w:rsidP="00565AE5">
                  <w:pPr>
                    <w:pStyle w:val="Default"/>
                    <w:rPr>
                      <w:sz w:val="22"/>
                      <w:szCs w:val="22"/>
                    </w:rPr>
                  </w:pPr>
                  <w:r w:rsidRPr="00351BCA">
                    <w:rPr>
                      <w:sz w:val="22"/>
                      <w:szCs w:val="22"/>
                    </w:rPr>
                    <w:t xml:space="preserve">Saskaņošanas dalībnieki </w:t>
                  </w:r>
                </w:p>
              </w:tc>
              <w:tc>
                <w:tcPr>
                  <w:tcW w:w="6828" w:type="dxa"/>
                </w:tcPr>
                <w:p w:rsidR="00565AE5" w:rsidRPr="00351BCA" w:rsidRDefault="00565AE5" w:rsidP="00565AE5">
                  <w:pPr>
                    <w:pStyle w:val="Default"/>
                    <w:rPr>
                      <w:sz w:val="22"/>
                      <w:szCs w:val="22"/>
                    </w:rPr>
                  </w:pPr>
                  <w:r w:rsidRPr="00351BCA">
                    <w:rPr>
                      <w:sz w:val="22"/>
                      <w:szCs w:val="22"/>
                    </w:rPr>
                    <w:t xml:space="preserve">Tieslietu ministrija, Ārlietu ministrija, </w:t>
                  </w:r>
                  <w:r>
                    <w:rPr>
                      <w:sz w:val="22"/>
                      <w:szCs w:val="22"/>
                    </w:rPr>
                    <w:t>Finanšu ministrija</w:t>
                  </w:r>
                </w:p>
              </w:tc>
            </w:tr>
          </w:tbl>
          <w:p w:rsidR="00565AE5" w:rsidRPr="00351BCA" w:rsidRDefault="00565AE5" w:rsidP="00565AE5">
            <w:pPr>
              <w:pStyle w:val="naisf"/>
              <w:spacing w:before="0" w:after="0"/>
              <w:ind w:firstLine="0"/>
              <w:jc w:val="center"/>
              <w:rPr>
                <w:b/>
              </w:rPr>
            </w:pPr>
          </w:p>
          <w:p w:rsidR="00565AE5" w:rsidRPr="00351BCA" w:rsidRDefault="00565AE5" w:rsidP="00565AE5">
            <w:pPr>
              <w:pStyle w:val="naisf"/>
              <w:jc w:val="center"/>
              <w:rPr>
                <w:b/>
              </w:rPr>
            </w:pPr>
          </w:p>
          <w:tbl>
            <w:tblPr>
              <w:tblW w:w="0" w:type="auto"/>
              <w:tblBorders>
                <w:top w:val="nil"/>
                <w:left w:val="nil"/>
                <w:bottom w:val="nil"/>
                <w:right w:val="nil"/>
              </w:tblBorders>
              <w:tblLook w:val="0000" w:firstRow="0" w:lastRow="0" w:firstColumn="0" w:lastColumn="0" w:noHBand="0" w:noVBand="0"/>
            </w:tblPr>
            <w:tblGrid>
              <w:gridCol w:w="6828"/>
              <w:gridCol w:w="6828"/>
            </w:tblGrid>
            <w:tr w:rsidR="00565AE5" w:rsidRPr="00351BCA" w:rsidTr="00D45DBE">
              <w:trPr>
                <w:trHeight w:val="1211"/>
              </w:trPr>
              <w:tc>
                <w:tcPr>
                  <w:tcW w:w="6828" w:type="dxa"/>
                </w:tcPr>
                <w:p w:rsidR="00565AE5" w:rsidRPr="00351BCA" w:rsidRDefault="00565AE5" w:rsidP="00565AE5">
                  <w:pPr>
                    <w:pStyle w:val="Default"/>
                    <w:rPr>
                      <w:sz w:val="22"/>
                      <w:szCs w:val="22"/>
                    </w:rPr>
                  </w:pPr>
                  <w:r w:rsidRPr="00351BCA">
                    <w:rPr>
                      <w:sz w:val="22"/>
                      <w:szCs w:val="22"/>
                    </w:rPr>
                    <w:t xml:space="preserve">Saskaņošanas dalībnieki izskatīja šādu ministriju (citu institūciju) iebildumus </w:t>
                  </w:r>
                </w:p>
                <w:p w:rsidR="00565AE5" w:rsidRPr="00351BCA" w:rsidRDefault="00565AE5" w:rsidP="00565AE5">
                  <w:pPr>
                    <w:pStyle w:val="Default"/>
                    <w:rPr>
                      <w:sz w:val="22"/>
                      <w:szCs w:val="22"/>
                    </w:rPr>
                  </w:pPr>
                  <w:r w:rsidRPr="00351BCA">
                    <w:rPr>
                      <w:sz w:val="22"/>
                      <w:szCs w:val="22"/>
                    </w:rPr>
                    <w:t xml:space="preserve"> </w:t>
                  </w:r>
                </w:p>
                <w:p w:rsidR="00565AE5" w:rsidRPr="00351BCA" w:rsidRDefault="00565AE5" w:rsidP="00565AE5">
                  <w:pPr>
                    <w:pStyle w:val="Default"/>
                    <w:rPr>
                      <w:sz w:val="22"/>
                      <w:szCs w:val="22"/>
                    </w:rPr>
                  </w:pPr>
                </w:p>
              </w:tc>
              <w:tc>
                <w:tcPr>
                  <w:tcW w:w="6828" w:type="dxa"/>
                </w:tcPr>
                <w:p w:rsidR="00565AE5" w:rsidRPr="00351BCA" w:rsidRDefault="00565AE5" w:rsidP="00565AE5">
                  <w:pPr>
                    <w:pStyle w:val="Default"/>
                    <w:rPr>
                      <w:sz w:val="22"/>
                      <w:szCs w:val="22"/>
                    </w:rPr>
                  </w:pPr>
                  <w:r w:rsidRPr="00351BCA">
                    <w:rPr>
                      <w:sz w:val="22"/>
                      <w:szCs w:val="22"/>
                    </w:rPr>
                    <w:t>Tieslietu ministrija</w:t>
                  </w:r>
                </w:p>
              </w:tc>
            </w:tr>
            <w:tr w:rsidR="00565AE5" w:rsidRPr="00351BCA" w:rsidTr="00D45DBE">
              <w:trPr>
                <w:trHeight w:val="537"/>
              </w:trPr>
              <w:tc>
                <w:tcPr>
                  <w:tcW w:w="6828" w:type="dxa"/>
                </w:tcPr>
                <w:p w:rsidR="00565AE5" w:rsidRPr="00351BCA" w:rsidRDefault="00565AE5" w:rsidP="00565AE5">
                  <w:pPr>
                    <w:pStyle w:val="Default"/>
                    <w:rPr>
                      <w:sz w:val="22"/>
                      <w:szCs w:val="22"/>
                    </w:rPr>
                  </w:pPr>
                  <w:r w:rsidRPr="00351BCA">
                    <w:rPr>
                      <w:sz w:val="22"/>
                      <w:szCs w:val="22"/>
                    </w:rPr>
                    <w:t>Ministrijas (citas institūcijas), kuras nav ieradušās uz sanāksmi vai kuras nav atbildējušas uz uzaicinājumu piedalīties elektroniskajā saskaņošanā</w:t>
                  </w:r>
                </w:p>
                <w:p w:rsidR="00565AE5" w:rsidRPr="00351BCA" w:rsidRDefault="00565AE5" w:rsidP="00565AE5">
                  <w:pPr>
                    <w:pStyle w:val="Default"/>
                    <w:rPr>
                      <w:sz w:val="22"/>
                      <w:szCs w:val="22"/>
                    </w:rPr>
                  </w:pPr>
                </w:p>
              </w:tc>
              <w:tc>
                <w:tcPr>
                  <w:tcW w:w="6828" w:type="dxa"/>
                </w:tcPr>
                <w:p w:rsidR="00565AE5" w:rsidRPr="00351BCA" w:rsidRDefault="00565AE5" w:rsidP="00565AE5">
                  <w:pPr>
                    <w:pStyle w:val="Default"/>
                    <w:rPr>
                      <w:sz w:val="22"/>
                      <w:szCs w:val="22"/>
                    </w:rPr>
                  </w:pPr>
                </w:p>
              </w:tc>
            </w:tr>
          </w:tbl>
          <w:p w:rsidR="00565AE5" w:rsidRPr="00351BCA" w:rsidRDefault="00565AE5" w:rsidP="00565AE5">
            <w:pPr>
              <w:pStyle w:val="naisf"/>
              <w:spacing w:before="0" w:after="0"/>
              <w:ind w:firstLine="0"/>
              <w:jc w:val="center"/>
              <w:rPr>
                <w:b/>
              </w:rPr>
            </w:pPr>
          </w:p>
          <w:p w:rsidR="00C555B5" w:rsidRPr="003D4DD3" w:rsidRDefault="00C555B5" w:rsidP="00240CB3">
            <w:pPr>
              <w:pStyle w:val="NormalWeb"/>
              <w:spacing w:before="0" w:beforeAutospacing="0" w:after="0" w:afterAutospacing="0"/>
              <w:ind w:left="114"/>
              <w:rPr>
                <w:highlight w:val="yellow"/>
              </w:rPr>
            </w:pPr>
          </w:p>
        </w:tc>
      </w:tr>
    </w:tbl>
    <w:p w:rsidR="00034648" w:rsidRPr="005D10D8" w:rsidRDefault="00034648" w:rsidP="00C555B5">
      <w:pPr>
        <w:pStyle w:val="naisf"/>
        <w:spacing w:before="0" w:after="0"/>
        <w:ind w:firstLine="0"/>
        <w:jc w:val="center"/>
        <w:rPr>
          <w:b/>
        </w:rPr>
      </w:pPr>
    </w:p>
    <w:p w:rsidR="00C555B5" w:rsidRPr="005D10D8" w:rsidRDefault="00C555B5" w:rsidP="00C555B5">
      <w:pPr>
        <w:pStyle w:val="naisf"/>
        <w:spacing w:before="0" w:after="0"/>
        <w:ind w:firstLine="0"/>
        <w:jc w:val="center"/>
        <w:rPr>
          <w:b/>
        </w:rPr>
      </w:pPr>
      <w:r w:rsidRPr="005D10D8">
        <w:rPr>
          <w:b/>
        </w:rPr>
        <w:t>II. Jautājumi, par kuriem saskaņošanā vienošanās ir panākta</w:t>
      </w:r>
    </w:p>
    <w:p w:rsidR="00C555B5" w:rsidRPr="005D10D8" w:rsidRDefault="00C555B5" w:rsidP="00C555B5">
      <w:pPr>
        <w:pStyle w:val="naisf"/>
        <w:spacing w:before="0" w:after="0"/>
        <w:ind w:firstLine="0"/>
        <w:jc w:val="center"/>
        <w:rPr>
          <w:b/>
        </w:rP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2977"/>
        <w:gridCol w:w="3118"/>
      </w:tblGrid>
      <w:tr w:rsidR="00C555B5" w:rsidRPr="005D10D8" w:rsidTr="00EA2B49">
        <w:tc>
          <w:tcPr>
            <w:tcW w:w="708"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pPr>
            <w:r w:rsidRPr="005D10D8">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12"/>
            </w:pPr>
            <w:r w:rsidRPr="005D10D8">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right="3"/>
            </w:pPr>
            <w:r w:rsidRPr="005D1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21"/>
            </w:pPr>
            <w:r w:rsidRPr="005D10D8">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rsidR="00C555B5" w:rsidRPr="005D10D8" w:rsidRDefault="00C555B5" w:rsidP="00EA2B49">
            <w:pPr>
              <w:jc w:val="center"/>
            </w:pPr>
            <w:r w:rsidRPr="005D10D8">
              <w:t>Projekta attiecīgā punkta (panta) galīgā redakcija</w:t>
            </w:r>
          </w:p>
        </w:tc>
      </w:tr>
      <w:tr w:rsidR="00C555B5" w:rsidRPr="005D10D8" w:rsidTr="00EA2B49">
        <w:tc>
          <w:tcPr>
            <w:tcW w:w="708"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1</w:t>
            </w:r>
          </w:p>
        </w:tc>
        <w:tc>
          <w:tcPr>
            <w:tcW w:w="3086"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2</w:t>
            </w:r>
          </w:p>
        </w:tc>
        <w:tc>
          <w:tcPr>
            <w:tcW w:w="4394"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3</w:t>
            </w:r>
          </w:p>
        </w:tc>
        <w:tc>
          <w:tcPr>
            <w:tcW w:w="2977"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4</w:t>
            </w:r>
          </w:p>
        </w:tc>
        <w:tc>
          <w:tcPr>
            <w:tcW w:w="3118" w:type="dxa"/>
            <w:tcBorders>
              <w:top w:val="single" w:sz="4" w:space="0" w:color="auto"/>
              <w:left w:val="single" w:sz="4" w:space="0" w:color="auto"/>
              <w:bottom w:val="single" w:sz="4" w:space="0" w:color="auto"/>
            </w:tcBorders>
          </w:tcPr>
          <w:p w:rsidR="00C555B5" w:rsidRPr="005D10D8" w:rsidRDefault="00C555B5" w:rsidP="00EA2B49">
            <w:pPr>
              <w:jc w:val="center"/>
            </w:pPr>
            <w:r w:rsidRPr="005D10D8">
              <w:t>5</w:t>
            </w:r>
          </w:p>
        </w:tc>
      </w:tr>
      <w:tr w:rsidR="003D4DD3" w:rsidRPr="005D10D8" w:rsidTr="00EA2B49">
        <w:tc>
          <w:tcPr>
            <w:tcW w:w="708" w:type="dxa"/>
            <w:tcBorders>
              <w:top w:val="single" w:sz="6" w:space="0" w:color="000000"/>
              <w:left w:val="single" w:sz="6" w:space="0" w:color="000000"/>
              <w:bottom w:val="single" w:sz="6" w:space="0" w:color="000000"/>
              <w:right w:val="single" w:sz="6" w:space="0" w:color="000000"/>
            </w:tcBorders>
          </w:tcPr>
          <w:p w:rsidR="003D4DD3" w:rsidRPr="005D10D8" w:rsidRDefault="003D4DD3" w:rsidP="00EA2B49">
            <w:pPr>
              <w:pStyle w:val="naisc"/>
              <w:spacing w:before="0" w:after="0"/>
            </w:pPr>
          </w:p>
        </w:tc>
        <w:tc>
          <w:tcPr>
            <w:tcW w:w="3086" w:type="dxa"/>
            <w:tcBorders>
              <w:top w:val="single" w:sz="6" w:space="0" w:color="000000"/>
              <w:left w:val="single" w:sz="6" w:space="0" w:color="000000"/>
              <w:bottom w:val="single" w:sz="6" w:space="0" w:color="000000"/>
              <w:right w:val="single" w:sz="6" w:space="0" w:color="000000"/>
            </w:tcBorders>
          </w:tcPr>
          <w:p w:rsidR="003D4DD3" w:rsidRPr="005D10D8" w:rsidRDefault="003D4DD3" w:rsidP="003D4DD3">
            <w:pPr>
              <w:pStyle w:val="naisc"/>
              <w:spacing w:before="0" w:after="0"/>
              <w:jc w:val="both"/>
            </w:pPr>
          </w:p>
        </w:tc>
        <w:tc>
          <w:tcPr>
            <w:tcW w:w="4394" w:type="dxa"/>
            <w:tcBorders>
              <w:top w:val="single" w:sz="6" w:space="0" w:color="000000"/>
              <w:left w:val="single" w:sz="6" w:space="0" w:color="000000"/>
              <w:bottom w:val="single" w:sz="6" w:space="0" w:color="000000"/>
              <w:right w:val="single" w:sz="6" w:space="0" w:color="000000"/>
            </w:tcBorders>
          </w:tcPr>
          <w:p w:rsidR="003D4DD3" w:rsidRPr="003D4DD3" w:rsidRDefault="00B833BD" w:rsidP="00470B7D">
            <w:pPr>
              <w:pStyle w:val="naisc"/>
              <w:spacing w:before="0" w:after="0"/>
              <w:jc w:val="left"/>
            </w:pPr>
            <w:r>
              <w:rPr>
                <w:b/>
              </w:rPr>
              <w:t>Tieslietu ministrija</w:t>
            </w:r>
          </w:p>
        </w:tc>
        <w:tc>
          <w:tcPr>
            <w:tcW w:w="2977" w:type="dxa"/>
            <w:tcBorders>
              <w:top w:val="single" w:sz="6" w:space="0" w:color="000000"/>
              <w:left w:val="single" w:sz="6" w:space="0" w:color="000000"/>
              <w:bottom w:val="single" w:sz="6" w:space="0" w:color="000000"/>
              <w:right w:val="single" w:sz="6" w:space="0" w:color="000000"/>
            </w:tcBorders>
          </w:tcPr>
          <w:p w:rsidR="003D4DD3" w:rsidRPr="003D4DD3" w:rsidRDefault="003D4DD3" w:rsidP="00B833BD">
            <w:pPr>
              <w:pStyle w:val="naisc"/>
              <w:spacing w:before="0" w:after="0"/>
              <w:jc w:val="left"/>
              <w:rPr>
                <w:b/>
              </w:rPr>
            </w:pPr>
          </w:p>
        </w:tc>
        <w:tc>
          <w:tcPr>
            <w:tcW w:w="3118" w:type="dxa"/>
            <w:tcBorders>
              <w:top w:val="single" w:sz="4" w:space="0" w:color="auto"/>
              <w:left w:val="single" w:sz="4" w:space="0" w:color="auto"/>
              <w:bottom w:val="single" w:sz="4" w:space="0" w:color="auto"/>
            </w:tcBorders>
          </w:tcPr>
          <w:p w:rsidR="00925B44" w:rsidRPr="005D10D8" w:rsidRDefault="00925B44" w:rsidP="00B833BD">
            <w:pPr>
              <w:jc w:val="both"/>
            </w:pPr>
          </w:p>
        </w:tc>
      </w:tr>
      <w:tr w:rsidR="007F40D3" w:rsidRPr="005D10D8" w:rsidTr="00EA2B49">
        <w:tc>
          <w:tcPr>
            <w:tcW w:w="708" w:type="dxa"/>
            <w:tcBorders>
              <w:top w:val="single" w:sz="6" w:space="0" w:color="000000"/>
              <w:left w:val="single" w:sz="6" w:space="0" w:color="000000"/>
              <w:bottom w:val="single" w:sz="6" w:space="0" w:color="000000"/>
              <w:right w:val="single" w:sz="6" w:space="0" w:color="000000"/>
            </w:tcBorders>
          </w:tcPr>
          <w:p w:rsidR="007F40D3" w:rsidRPr="005D10D8" w:rsidRDefault="00B833BD" w:rsidP="007F40D3">
            <w:pPr>
              <w:pStyle w:val="naisc"/>
              <w:spacing w:before="0" w:after="0"/>
            </w:pPr>
            <w:r>
              <w:t>1.</w:t>
            </w:r>
          </w:p>
        </w:tc>
        <w:tc>
          <w:tcPr>
            <w:tcW w:w="3086" w:type="dxa"/>
            <w:tcBorders>
              <w:top w:val="single" w:sz="6" w:space="0" w:color="000000"/>
              <w:left w:val="single" w:sz="6" w:space="0" w:color="000000"/>
              <w:bottom w:val="single" w:sz="6" w:space="0" w:color="000000"/>
              <w:right w:val="single" w:sz="6" w:space="0" w:color="000000"/>
            </w:tcBorders>
          </w:tcPr>
          <w:p w:rsidR="007F40D3" w:rsidRPr="00925B44" w:rsidRDefault="00613975" w:rsidP="00B833BD">
            <w:pPr>
              <w:pStyle w:val="NoSpacing"/>
              <w:ind w:left="27"/>
              <w:jc w:val="both"/>
            </w:pPr>
            <w:r w:rsidRPr="00613975">
              <w:rPr>
                <w:rFonts w:ascii="Times New Roman" w:eastAsia="Times New Roman" w:hAnsi="Times New Roman" w:cs="Times New Roman"/>
                <w:sz w:val="24"/>
                <w:szCs w:val="24"/>
                <w:lang w:eastAsia="lv-LV"/>
              </w:rPr>
              <w:t>Noteikumu projekta 2.punkts - 10.pielikums</w:t>
            </w:r>
          </w:p>
        </w:tc>
        <w:tc>
          <w:tcPr>
            <w:tcW w:w="4394" w:type="dxa"/>
            <w:tcBorders>
              <w:top w:val="single" w:sz="6" w:space="0" w:color="000000"/>
              <w:left w:val="single" w:sz="6" w:space="0" w:color="000000"/>
              <w:bottom w:val="single" w:sz="6" w:space="0" w:color="000000"/>
              <w:right w:val="single" w:sz="6" w:space="0" w:color="000000"/>
            </w:tcBorders>
          </w:tcPr>
          <w:p w:rsidR="006D4701" w:rsidRPr="003D4DD3" w:rsidRDefault="00B833BD" w:rsidP="00C916FE">
            <w:pPr>
              <w:pStyle w:val="BodyText"/>
              <w:spacing w:after="0" w:line="240" w:lineRule="auto"/>
              <w:contextualSpacing/>
              <w:jc w:val="both"/>
            </w:pPr>
            <w:r>
              <w:rPr>
                <w:rFonts w:ascii="Times New Roman" w:eastAsia="Times New Roman" w:hAnsi="Times New Roman"/>
                <w:sz w:val="24"/>
                <w:szCs w:val="24"/>
                <w:lang w:eastAsia="lv-LV"/>
              </w:rPr>
              <w:t>P</w:t>
            </w:r>
            <w:r w:rsidRPr="00B833BD">
              <w:rPr>
                <w:rFonts w:ascii="Times New Roman" w:eastAsia="Times New Roman" w:hAnsi="Times New Roman"/>
                <w:sz w:val="24"/>
                <w:szCs w:val="24"/>
                <w:lang w:eastAsia="lv-LV"/>
              </w:rPr>
              <w:t>recizēt noteikumu projektu, paredzot noteikumu projektā izteiktajam Ministru kabineta 2012. gada 21. februāra noteikumu Nr. 134 "Personu apliecinošu dokumentu noteikumi" (turpmāk – noteikumi Nr. 134) 10. pielikumam atbilstošu nosaukumu, līdzīgi kā citos noteikumos Nr. 134 ietvertajos pielikumos</w:t>
            </w:r>
          </w:p>
        </w:tc>
        <w:tc>
          <w:tcPr>
            <w:tcW w:w="2977" w:type="dxa"/>
            <w:tcBorders>
              <w:top w:val="single" w:sz="6" w:space="0" w:color="000000"/>
              <w:left w:val="single" w:sz="6" w:space="0" w:color="000000"/>
              <w:bottom w:val="single" w:sz="6" w:space="0" w:color="000000"/>
              <w:right w:val="single" w:sz="6" w:space="0" w:color="000000"/>
            </w:tcBorders>
          </w:tcPr>
          <w:p w:rsidR="007F40D3" w:rsidRPr="007F40D3" w:rsidRDefault="00B839C6" w:rsidP="00B839C6">
            <w:pPr>
              <w:pStyle w:val="naisc"/>
              <w:spacing w:before="0" w:after="0"/>
              <w:rPr>
                <w:b/>
              </w:rPr>
            </w:pPr>
            <w:r>
              <w:rPr>
                <w:b/>
              </w:rPr>
              <w:t>Ņ</w:t>
            </w:r>
            <w:r w:rsidR="007F40D3" w:rsidRPr="007F40D3">
              <w:rPr>
                <w:b/>
              </w:rPr>
              <w:t>emts vērā</w:t>
            </w:r>
          </w:p>
        </w:tc>
        <w:tc>
          <w:tcPr>
            <w:tcW w:w="3118" w:type="dxa"/>
            <w:tcBorders>
              <w:top w:val="single" w:sz="4" w:space="0" w:color="auto"/>
              <w:left w:val="single" w:sz="4" w:space="0" w:color="auto"/>
              <w:bottom w:val="single" w:sz="4" w:space="0" w:color="auto"/>
            </w:tcBorders>
          </w:tcPr>
          <w:p w:rsidR="00613975" w:rsidRDefault="00613975" w:rsidP="00613975">
            <w:pPr>
              <w:pStyle w:val="naisc"/>
              <w:jc w:val="both"/>
            </w:pPr>
            <w:r>
              <w:t>“10.pielikums</w:t>
            </w:r>
          </w:p>
          <w:p w:rsidR="00613975" w:rsidRDefault="00613975" w:rsidP="00613975">
            <w:pPr>
              <w:pStyle w:val="naisc"/>
              <w:jc w:val="both"/>
            </w:pPr>
            <w:r>
              <w:t>Ministru kabineta</w:t>
            </w:r>
          </w:p>
          <w:p w:rsidR="00613975" w:rsidRDefault="00613975" w:rsidP="00613975">
            <w:pPr>
              <w:pStyle w:val="naisc"/>
              <w:jc w:val="both"/>
            </w:pPr>
            <w:r>
              <w:t xml:space="preserve">2012.gada 21.februāra </w:t>
            </w:r>
          </w:p>
          <w:p w:rsidR="00613975" w:rsidRDefault="00613975" w:rsidP="00613975">
            <w:pPr>
              <w:pStyle w:val="naisc"/>
              <w:jc w:val="both"/>
            </w:pPr>
            <w:r>
              <w:t>noteikumiem Nr.134</w:t>
            </w:r>
          </w:p>
          <w:p w:rsidR="00613975" w:rsidRDefault="00613975" w:rsidP="00613975">
            <w:pPr>
              <w:pStyle w:val="naisc"/>
              <w:jc w:val="both"/>
            </w:pPr>
            <w:r w:rsidRPr="00B839C6">
              <w:t>Uzturēšanās atļaujas paraugs</w:t>
            </w:r>
          </w:p>
          <w:p w:rsidR="00B833BD" w:rsidRPr="005D10D8" w:rsidRDefault="00613975" w:rsidP="00613975">
            <w:pPr>
              <w:pStyle w:val="naisc"/>
              <w:spacing w:before="0" w:after="0"/>
              <w:jc w:val="both"/>
            </w:pPr>
            <w:r>
              <w:t xml:space="preserve">I. Personas apliecības averss </w:t>
            </w:r>
            <w:r w:rsidDel="00460CA8">
              <w:t xml:space="preserve"> </w:t>
            </w:r>
            <w:r>
              <w:t>[..]”</w:t>
            </w:r>
            <w:bookmarkStart w:id="0" w:name="_GoBack"/>
            <w:bookmarkEnd w:id="0"/>
          </w:p>
        </w:tc>
      </w:tr>
      <w:tr w:rsidR="009B6FA6" w:rsidRPr="005D10D8" w:rsidTr="00EA2B49">
        <w:tc>
          <w:tcPr>
            <w:tcW w:w="708" w:type="dxa"/>
            <w:tcBorders>
              <w:top w:val="single" w:sz="6" w:space="0" w:color="000000"/>
              <w:left w:val="single" w:sz="6" w:space="0" w:color="000000"/>
              <w:bottom w:val="single" w:sz="6" w:space="0" w:color="000000"/>
              <w:right w:val="single" w:sz="6" w:space="0" w:color="000000"/>
            </w:tcBorders>
          </w:tcPr>
          <w:p w:rsidR="009B6FA6" w:rsidRDefault="00B833BD" w:rsidP="007F40D3">
            <w:pPr>
              <w:pStyle w:val="naisc"/>
              <w:spacing w:before="0" w:after="0"/>
            </w:pPr>
            <w:r>
              <w:t>2.</w:t>
            </w:r>
          </w:p>
        </w:tc>
        <w:tc>
          <w:tcPr>
            <w:tcW w:w="3086" w:type="dxa"/>
            <w:tcBorders>
              <w:top w:val="single" w:sz="6" w:space="0" w:color="000000"/>
              <w:left w:val="single" w:sz="6" w:space="0" w:color="000000"/>
              <w:bottom w:val="single" w:sz="6" w:space="0" w:color="000000"/>
              <w:right w:val="single" w:sz="6" w:space="0" w:color="000000"/>
            </w:tcBorders>
          </w:tcPr>
          <w:p w:rsidR="009B6FA6" w:rsidRPr="00B833BD" w:rsidRDefault="00697D84" w:rsidP="006D4701">
            <w:pPr>
              <w:pStyle w:val="ListParagraph"/>
              <w:ind w:left="0"/>
              <w:jc w:val="both"/>
              <w:rPr>
                <w:lang w:val="lv-LV"/>
              </w:rPr>
            </w:pPr>
            <w:r>
              <w:rPr>
                <w:lang w:val="lv-LV"/>
              </w:rPr>
              <w:t>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rsidR="00B833BD" w:rsidRPr="00B833BD" w:rsidRDefault="00B94666" w:rsidP="00C916FE">
            <w:pPr>
              <w:ind w:right="12"/>
              <w:jc w:val="both"/>
            </w:pPr>
            <w:r>
              <w:t>N</w:t>
            </w:r>
            <w:r w:rsidR="00697D84" w:rsidRPr="00697D84">
              <w:t>av skaidri saprotams noteikumu projektā lietotā termina "uzturēšanās atļauja" saturs un tvērums, ciktāl šis termins tiek lietots līdztekus terminam – "pastāvīgās uzturēšanās atļauja". Attiecīgi lūdzam atbilstoši precizēt noteikumu projektu, skaidri norādot uzturēšanās atļauju veidus vai sniegt atbilstošu un pamatotu skaidrojumu par noteikumu projektā lietoto terminoloģiju noteikumu projekta anotācijā.</w:t>
            </w:r>
          </w:p>
          <w:p w:rsidR="009B6FA6" w:rsidRPr="00B833BD" w:rsidRDefault="009B6FA6" w:rsidP="00C916FE">
            <w:pPr>
              <w:pStyle w:val="naisc"/>
              <w:spacing w:before="0" w:after="0"/>
              <w:jc w:val="both"/>
            </w:pPr>
          </w:p>
        </w:tc>
        <w:tc>
          <w:tcPr>
            <w:tcW w:w="2977" w:type="dxa"/>
            <w:tcBorders>
              <w:top w:val="single" w:sz="6" w:space="0" w:color="000000"/>
              <w:left w:val="single" w:sz="6" w:space="0" w:color="000000"/>
              <w:bottom w:val="single" w:sz="6" w:space="0" w:color="000000"/>
              <w:right w:val="single" w:sz="6" w:space="0" w:color="000000"/>
            </w:tcBorders>
          </w:tcPr>
          <w:p w:rsidR="009B6FA6" w:rsidRPr="00A46A85" w:rsidRDefault="00B839C6" w:rsidP="00B839C6">
            <w:pPr>
              <w:pStyle w:val="ListParagraph"/>
              <w:ind w:left="0"/>
              <w:jc w:val="center"/>
              <w:rPr>
                <w:b/>
                <w:lang w:val="lv-LV"/>
              </w:rPr>
            </w:pPr>
            <w:r w:rsidRPr="00A46A85">
              <w:rPr>
                <w:b/>
                <w:lang w:val="lv-LV"/>
              </w:rPr>
              <w:t>Ņemts vērā</w:t>
            </w:r>
          </w:p>
        </w:tc>
        <w:tc>
          <w:tcPr>
            <w:tcW w:w="3118" w:type="dxa"/>
            <w:tcBorders>
              <w:top w:val="single" w:sz="4" w:space="0" w:color="auto"/>
              <w:left w:val="single" w:sz="4" w:space="0" w:color="auto"/>
              <w:bottom w:val="single" w:sz="4" w:space="0" w:color="auto"/>
            </w:tcBorders>
          </w:tcPr>
          <w:p w:rsidR="00E32F15" w:rsidRPr="00B833BD" w:rsidRDefault="00697D84" w:rsidP="00697D84">
            <w:pPr>
              <w:pStyle w:val="ListParagraph"/>
              <w:ind w:left="0"/>
              <w:jc w:val="both"/>
              <w:rPr>
                <w:lang w:val="lv-LV"/>
              </w:rPr>
            </w:pPr>
            <w:r>
              <w:rPr>
                <w:lang w:val="lv-LV"/>
              </w:rPr>
              <w:t>Anotācijas I sadaļas 2.punkts</w:t>
            </w:r>
            <w:r w:rsidRPr="00697D84">
              <w:rPr>
                <w:lang w:val="lv-LV"/>
              </w:rPr>
              <w:t xml:space="preserve"> </w:t>
            </w:r>
            <w:r>
              <w:rPr>
                <w:lang w:val="lv-LV"/>
              </w:rPr>
              <w:t>papildināts ar skaidrojumu: “</w:t>
            </w:r>
            <w:r w:rsidRPr="00697D84">
              <w:rPr>
                <w:lang w:val="lv-LV"/>
              </w:rPr>
              <w:t xml:space="preserve">Atbilstoši Eiropas Parlamenta un Padomes 2019.gada 20.jūnija Regulas Nr. 2019/1157/ES par Savienības pilsoņu personas apliecību un Savienības pilsoņiem un viņu ģimenes locekļiem, kuri izmanto tiesības brīvi pārvietoties, izsniegto uzturēšanās dokumentu drošības uzlabošanu (Dokuments </w:t>
            </w:r>
            <w:r w:rsidRPr="00697D84">
              <w:rPr>
                <w:lang w:val="lv-LV"/>
              </w:rPr>
              <w:lastRenderedPageBreak/>
              <w:t xml:space="preserve">attiecas uz EEZ) 7.pantam, izsniedzot uzturēšanās atļaujas Savienības pilsoņu ģimenes locekļiem, kas nav nevienas dalībvalsts </w:t>
            </w:r>
            <w:proofErr w:type="spellStart"/>
            <w:r w:rsidRPr="00697D84">
              <w:rPr>
                <w:lang w:val="lv-LV"/>
              </w:rPr>
              <w:t>valstspiederīgie</w:t>
            </w:r>
            <w:proofErr w:type="spellEnd"/>
            <w:r w:rsidRPr="00697D84">
              <w:rPr>
                <w:lang w:val="lv-LV"/>
              </w:rPr>
              <w:t>, dalībvalstis izmanto to pašu formu, kas noteikta Regulā 1030/2002, kas grozīta ar Regulu (ES) 2017/1954 un īstenota ar Īstenošanas lēmumu C(2018) 7767. Regulas 2019/1157 7.panta otrajā daļā noteikts, ka atļaujas nosaukums ir attiecīgi “Uzturēšanās atļauja” vai “Pastāvīgās uzturēšanās atļauja”.</w:t>
            </w:r>
          </w:p>
        </w:tc>
      </w:tr>
      <w:tr w:rsidR="00B94666" w:rsidRPr="005D10D8" w:rsidTr="00B94666">
        <w:trPr>
          <w:trHeight w:val="830"/>
        </w:trPr>
        <w:tc>
          <w:tcPr>
            <w:tcW w:w="708" w:type="dxa"/>
            <w:tcBorders>
              <w:top w:val="single" w:sz="6" w:space="0" w:color="000000"/>
              <w:left w:val="single" w:sz="6" w:space="0" w:color="000000"/>
              <w:bottom w:val="single" w:sz="6" w:space="0" w:color="000000"/>
              <w:right w:val="single" w:sz="6" w:space="0" w:color="000000"/>
            </w:tcBorders>
          </w:tcPr>
          <w:p w:rsidR="00B94666" w:rsidRDefault="00B94666" w:rsidP="00B94666">
            <w:pPr>
              <w:pStyle w:val="naisc"/>
              <w:spacing w:before="0" w:after="0"/>
            </w:pPr>
            <w:r>
              <w:lastRenderedPageBreak/>
              <w:t>3.</w:t>
            </w:r>
          </w:p>
        </w:tc>
        <w:tc>
          <w:tcPr>
            <w:tcW w:w="3086" w:type="dxa"/>
            <w:tcBorders>
              <w:top w:val="single" w:sz="6" w:space="0" w:color="000000"/>
              <w:left w:val="single" w:sz="6" w:space="0" w:color="000000"/>
              <w:bottom w:val="single" w:sz="6" w:space="0" w:color="000000"/>
              <w:right w:val="single" w:sz="6" w:space="0" w:color="000000"/>
            </w:tcBorders>
          </w:tcPr>
          <w:p w:rsidR="00B94666" w:rsidRPr="00883C54" w:rsidRDefault="00B94666" w:rsidP="00B94666">
            <w:pPr>
              <w:pStyle w:val="NoSpacing"/>
              <w:ind w:firstLine="37"/>
              <w:jc w:val="both"/>
              <w:rPr>
                <w:rFonts w:ascii="Times New Roman" w:hAnsi="Times New Roman" w:cs="Times New Roman"/>
                <w:sz w:val="24"/>
                <w:szCs w:val="24"/>
              </w:rPr>
            </w:pPr>
            <w:r>
              <w:rPr>
                <w:rFonts w:ascii="Times New Roman" w:hAnsi="Times New Roman" w:cs="Times New Roman"/>
                <w:sz w:val="24"/>
                <w:szCs w:val="24"/>
              </w:rPr>
              <w:t>Noteikumu projekta 10.pielikuma I sadaļa</w:t>
            </w:r>
          </w:p>
        </w:tc>
        <w:tc>
          <w:tcPr>
            <w:tcW w:w="4394" w:type="dxa"/>
            <w:tcBorders>
              <w:top w:val="single" w:sz="6" w:space="0" w:color="000000"/>
              <w:left w:val="single" w:sz="6" w:space="0" w:color="000000"/>
              <w:bottom w:val="single" w:sz="6" w:space="0" w:color="000000"/>
              <w:right w:val="single" w:sz="6" w:space="0" w:color="000000"/>
            </w:tcBorders>
          </w:tcPr>
          <w:p w:rsidR="00B94666" w:rsidRPr="00C916FE" w:rsidRDefault="00B94666" w:rsidP="00B94666">
            <w:pPr>
              <w:pStyle w:val="naisc"/>
              <w:spacing w:before="0" w:after="0"/>
              <w:jc w:val="both"/>
              <w:rPr>
                <w:highlight w:val="yellow"/>
              </w:rPr>
            </w:pPr>
            <w:r w:rsidRPr="00B94666">
              <w:t>Izvērtēt, vai noteikumu projektā termina "pilsonība" lietojums ir korekts un vai tā vietā nebūtu lietojams termins "valstspiederība". Nepieciešamības gadījumā lūdzam atbilstoši precizēt noteikumu projektu</w:t>
            </w:r>
            <w:r>
              <w:t>.</w:t>
            </w:r>
          </w:p>
        </w:tc>
        <w:tc>
          <w:tcPr>
            <w:tcW w:w="2977" w:type="dxa"/>
            <w:tcBorders>
              <w:top w:val="single" w:sz="6" w:space="0" w:color="000000"/>
              <w:left w:val="single" w:sz="6" w:space="0" w:color="000000"/>
              <w:bottom w:val="single" w:sz="6" w:space="0" w:color="000000"/>
              <w:right w:val="single" w:sz="6" w:space="0" w:color="000000"/>
            </w:tcBorders>
          </w:tcPr>
          <w:p w:rsidR="00B94666" w:rsidRPr="00C916FE" w:rsidRDefault="00B839C6" w:rsidP="00B94666">
            <w:pPr>
              <w:pStyle w:val="naisc"/>
              <w:spacing w:before="0" w:after="0"/>
              <w:rPr>
                <w:b/>
                <w:highlight w:val="yellow"/>
              </w:rPr>
            </w:pPr>
            <w:r>
              <w:rPr>
                <w:b/>
              </w:rPr>
              <w:t>Ņ</w:t>
            </w:r>
            <w:r w:rsidRPr="007F40D3">
              <w:rPr>
                <w:b/>
              </w:rPr>
              <w:t>emts vērā</w:t>
            </w:r>
          </w:p>
        </w:tc>
        <w:tc>
          <w:tcPr>
            <w:tcW w:w="3118" w:type="dxa"/>
            <w:tcBorders>
              <w:top w:val="single" w:sz="4" w:space="0" w:color="auto"/>
              <w:left w:val="single" w:sz="4" w:space="0" w:color="auto"/>
              <w:bottom w:val="single" w:sz="4" w:space="0" w:color="auto"/>
            </w:tcBorders>
          </w:tcPr>
          <w:p w:rsidR="00B94666" w:rsidRPr="00883C54" w:rsidRDefault="00B94666" w:rsidP="00B94666">
            <w:pPr>
              <w:pStyle w:val="NoSpacing"/>
              <w:ind w:firstLine="37"/>
              <w:jc w:val="both"/>
              <w:rPr>
                <w:rFonts w:ascii="Times New Roman" w:hAnsi="Times New Roman" w:cs="Times New Roman"/>
                <w:sz w:val="24"/>
                <w:szCs w:val="24"/>
              </w:rPr>
            </w:pPr>
            <w:r>
              <w:rPr>
                <w:rFonts w:ascii="Times New Roman" w:hAnsi="Times New Roman" w:cs="Times New Roman"/>
                <w:sz w:val="24"/>
                <w:szCs w:val="24"/>
              </w:rPr>
              <w:t>Noteikumu projekta 10.pielikuma I sadaļa precizēta</w:t>
            </w:r>
            <w:r w:rsidR="008461FC">
              <w:rPr>
                <w:rFonts w:ascii="Times New Roman" w:hAnsi="Times New Roman" w:cs="Times New Roman"/>
                <w:sz w:val="24"/>
                <w:szCs w:val="24"/>
              </w:rPr>
              <w:t>,</w:t>
            </w:r>
            <w:r>
              <w:rPr>
                <w:rFonts w:ascii="Times New Roman" w:hAnsi="Times New Roman" w:cs="Times New Roman"/>
                <w:sz w:val="24"/>
                <w:szCs w:val="24"/>
              </w:rPr>
              <w:t xml:space="preserve"> norādot terminu “valstspiederība”                                                                                                                                                                                                                                                                                                                                                                                                                                                                                                                                                                                            </w:t>
            </w:r>
          </w:p>
        </w:tc>
      </w:tr>
      <w:tr w:rsidR="00B94666" w:rsidRPr="005D10D8" w:rsidTr="00EA2B49">
        <w:tc>
          <w:tcPr>
            <w:tcW w:w="708" w:type="dxa"/>
            <w:tcBorders>
              <w:top w:val="single" w:sz="6" w:space="0" w:color="000000"/>
              <w:left w:val="single" w:sz="6" w:space="0" w:color="000000"/>
              <w:bottom w:val="single" w:sz="6" w:space="0" w:color="000000"/>
              <w:right w:val="single" w:sz="6" w:space="0" w:color="000000"/>
            </w:tcBorders>
          </w:tcPr>
          <w:p w:rsidR="00B94666" w:rsidRDefault="00B94666" w:rsidP="00B94666">
            <w:pPr>
              <w:pStyle w:val="naisc"/>
              <w:spacing w:before="0" w:after="0"/>
            </w:pPr>
            <w:r>
              <w:t>4.</w:t>
            </w:r>
          </w:p>
        </w:tc>
        <w:tc>
          <w:tcPr>
            <w:tcW w:w="3086" w:type="dxa"/>
            <w:tcBorders>
              <w:top w:val="single" w:sz="6" w:space="0" w:color="000000"/>
              <w:left w:val="single" w:sz="6" w:space="0" w:color="000000"/>
              <w:bottom w:val="single" w:sz="6" w:space="0" w:color="000000"/>
              <w:right w:val="single" w:sz="6" w:space="0" w:color="000000"/>
            </w:tcBorders>
          </w:tcPr>
          <w:p w:rsidR="00B94666" w:rsidRPr="00C916FE" w:rsidRDefault="00B839C6" w:rsidP="00B94666">
            <w:pPr>
              <w:pStyle w:val="ListParagraph"/>
              <w:ind w:left="0"/>
              <w:jc w:val="both"/>
              <w:rPr>
                <w:lang w:val="lv-LV"/>
              </w:rPr>
            </w:pPr>
            <w:r>
              <w:rPr>
                <w:lang w:val="lv-LV"/>
              </w:rPr>
              <w:t>Noteikumu projekta 1.punkts</w:t>
            </w:r>
          </w:p>
        </w:tc>
        <w:tc>
          <w:tcPr>
            <w:tcW w:w="4394" w:type="dxa"/>
            <w:tcBorders>
              <w:top w:val="single" w:sz="6" w:space="0" w:color="000000"/>
              <w:left w:val="single" w:sz="6" w:space="0" w:color="000000"/>
              <w:bottom w:val="single" w:sz="6" w:space="0" w:color="000000"/>
              <w:right w:val="single" w:sz="6" w:space="0" w:color="000000"/>
            </w:tcBorders>
          </w:tcPr>
          <w:p w:rsidR="00B94666" w:rsidRDefault="00B839C6" w:rsidP="00B94666">
            <w:pPr>
              <w:pStyle w:val="naisc"/>
              <w:spacing w:before="0" w:after="0"/>
              <w:jc w:val="both"/>
              <w:rPr>
                <w:b/>
              </w:rPr>
            </w:pPr>
            <w:r>
              <w:t>N</w:t>
            </w:r>
            <w:r w:rsidR="00B94666" w:rsidRPr="00C916FE">
              <w:t xml:space="preserve">oteikumu projektu papildināt, ietverot noteikumos Nr. 134 </w:t>
            </w:r>
            <w:r w:rsidR="00B94666">
              <w:t>atsauci uz regulu Nr. 1030/2002</w:t>
            </w:r>
          </w:p>
        </w:tc>
        <w:tc>
          <w:tcPr>
            <w:tcW w:w="2977" w:type="dxa"/>
            <w:tcBorders>
              <w:top w:val="single" w:sz="6" w:space="0" w:color="000000"/>
              <w:left w:val="single" w:sz="6" w:space="0" w:color="000000"/>
              <w:bottom w:val="single" w:sz="6" w:space="0" w:color="000000"/>
              <w:right w:val="single" w:sz="6" w:space="0" w:color="000000"/>
            </w:tcBorders>
          </w:tcPr>
          <w:p w:rsidR="00B94666" w:rsidRPr="007F40D3" w:rsidRDefault="00B839C6" w:rsidP="00B94666">
            <w:pPr>
              <w:pStyle w:val="naisc"/>
              <w:spacing w:before="0" w:after="0"/>
              <w:rPr>
                <w:b/>
              </w:rPr>
            </w:pPr>
            <w:r>
              <w:rPr>
                <w:b/>
              </w:rPr>
              <w:t>Ņ</w:t>
            </w:r>
            <w:r w:rsidRPr="007F40D3">
              <w:rPr>
                <w:b/>
              </w:rPr>
              <w:t>emts vērā</w:t>
            </w:r>
          </w:p>
        </w:tc>
        <w:tc>
          <w:tcPr>
            <w:tcW w:w="3118" w:type="dxa"/>
            <w:tcBorders>
              <w:top w:val="single" w:sz="4" w:space="0" w:color="auto"/>
              <w:left w:val="single" w:sz="4" w:space="0" w:color="auto"/>
              <w:bottom w:val="single" w:sz="4" w:space="0" w:color="auto"/>
            </w:tcBorders>
          </w:tcPr>
          <w:p w:rsidR="00B94666" w:rsidRDefault="00B839C6" w:rsidP="00B94666">
            <w:pPr>
              <w:pStyle w:val="naisc"/>
              <w:spacing w:before="0" w:after="0"/>
              <w:jc w:val="both"/>
            </w:pPr>
            <w:r w:rsidRPr="00B839C6">
              <w:t xml:space="preserve">Noteikumu projekta 1.punkts </w:t>
            </w:r>
            <w:r>
              <w:t xml:space="preserve">“15.¹ </w:t>
            </w:r>
            <w:r w:rsidR="00B94666" w:rsidRPr="00C916FE">
              <w:t>Šo noteikumu 15.9. apakšpunktā minētās atļaujas vienotu formu nosaka Padomes 2002. gada 13. jūnija Regulas (EK) Nr. 1030/2002, ar ko nosaka vienotu uzturēšanās atļauju formu trešo valstu pilsoņiem, pielikums.</w:t>
            </w:r>
            <w:r>
              <w:t>”</w:t>
            </w:r>
          </w:p>
        </w:tc>
      </w:tr>
      <w:tr w:rsidR="00B94666" w:rsidRPr="005D10D8" w:rsidTr="00EA2B49">
        <w:tc>
          <w:tcPr>
            <w:tcW w:w="708" w:type="dxa"/>
            <w:tcBorders>
              <w:top w:val="single" w:sz="6" w:space="0" w:color="000000"/>
              <w:left w:val="single" w:sz="6" w:space="0" w:color="000000"/>
              <w:bottom w:val="single" w:sz="6" w:space="0" w:color="000000"/>
              <w:right w:val="single" w:sz="6" w:space="0" w:color="000000"/>
            </w:tcBorders>
          </w:tcPr>
          <w:p w:rsidR="00B94666" w:rsidRDefault="00B94666" w:rsidP="00B94666">
            <w:pPr>
              <w:pStyle w:val="naisc"/>
              <w:spacing w:before="0" w:after="0"/>
            </w:pPr>
            <w:r>
              <w:t>5.</w:t>
            </w:r>
          </w:p>
        </w:tc>
        <w:tc>
          <w:tcPr>
            <w:tcW w:w="3086" w:type="dxa"/>
            <w:tcBorders>
              <w:top w:val="single" w:sz="6" w:space="0" w:color="000000"/>
              <w:left w:val="single" w:sz="6" w:space="0" w:color="000000"/>
              <w:bottom w:val="single" w:sz="6" w:space="0" w:color="000000"/>
              <w:right w:val="single" w:sz="6" w:space="0" w:color="000000"/>
            </w:tcBorders>
          </w:tcPr>
          <w:p w:rsidR="00B94666" w:rsidRPr="00C916FE" w:rsidRDefault="00475E5C" w:rsidP="00B94666">
            <w:pPr>
              <w:pStyle w:val="ListParagraph"/>
              <w:ind w:left="0"/>
              <w:jc w:val="both"/>
              <w:rPr>
                <w:lang w:val="lv-LV"/>
              </w:rPr>
            </w:pPr>
            <w:r w:rsidRPr="00475E5C">
              <w:rPr>
                <w:lang w:val="lv-LV"/>
              </w:rPr>
              <w:t>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rsidR="00B94666" w:rsidRPr="00C916FE" w:rsidRDefault="00475E5C" w:rsidP="00B94666">
            <w:pPr>
              <w:pStyle w:val="naisc"/>
              <w:spacing w:before="0" w:after="0"/>
              <w:jc w:val="both"/>
            </w:pPr>
            <w:r>
              <w:t>N</w:t>
            </w:r>
            <w:r w:rsidR="00B94666" w:rsidRPr="00C916FE">
              <w:t xml:space="preserve">oteikumu projekta anotāciju papildināt ar skaidrojumu par visām ar noteikumu </w:t>
            </w:r>
            <w:r w:rsidR="00B94666" w:rsidRPr="00C916FE">
              <w:lastRenderedPageBreak/>
              <w:t>projektu paredzētajām būtiskajām izmaiņām noteikumos Nr. 134, noteikumu projekta anotācijas I sadaļas 2. punktā skaidri un nepārprotami arī identificējot, kuri konkrēti jaunie nosacījumi un kādā apmērā izriet no Eiropas Parlamenta un Padomes 2017. gada 25. oktobra regulas (ES) 2017/1954, ar kuru groza Padomes Regulu (EK) Nr. 1030/2002 (turpmāk – regula Nr. 2017/1954), ieviešanas</w:t>
            </w:r>
          </w:p>
        </w:tc>
        <w:tc>
          <w:tcPr>
            <w:tcW w:w="2977" w:type="dxa"/>
            <w:tcBorders>
              <w:top w:val="single" w:sz="6" w:space="0" w:color="000000"/>
              <w:left w:val="single" w:sz="6" w:space="0" w:color="000000"/>
              <w:bottom w:val="single" w:sz="6" w:space="0" w:color="000000"/>
              <w:right w:val="single" w:sz="6" w:space="0" w:color="000000"/>
            </w:tcBorders>
          </w:tcPr>
          <w:p w:rsidR="00B94666" w:rsidRDefault="00B839C6" w:rsidP="00B94666">
            <w:pPr>
              <w:pStyle w:val="naisc"/>
              <w:spacing w:before="0" w:after="0"/>
              <w:rPr>
                <w:b/>
              </w:rPr>
            </w:pPr>
            <w:r>
              <w:rPr>
                <w:b/>
              </w:rPr>
              <w:lastRenderedPageBreak/>
              <w:t>Ņ</w:t>
            </w:r>
            <w:r w:rsidRPr="007F40D3">
              <w:rPr>
                <w:b/>
              </w:rPr>
              <w:t>emts vērā</w:t>
            </w:r>
          </w:p>
        </w:tc>
        <w:tc>
          <w:tcPr>
            <w:tcW w:w="3118" w:type="dxa"/>
            <w:tcBorders>
              <w:top w:val="single" w:sz="4" w:space="0" w:color="auto"/>
              <w:left w:val="single" w:sz="4" w:space="0" w:color="auto"/>
              <w:bottom w:val="single" w:sz="4" w:space="0" w:color="auto"/>
            </w:tcBorders>
          </w:tcPr>
          <w:p w:rsidR="00475E5C" w:rsidRDefault="00475E5C" w:rsidP="00475E5C">
            <w:pPr>
              <w:pStyle w:val="naisc"/>
              <w:spacing w:before="0" w:after="0"/>
              <w:jc w:val="both"/>
            </w:pPr>
            <w:r>
              <w:t>Precizēts anotācijas</w:t>
            </w:r>
            <w:r w:rsidRPr="00475E5C">
              <w:t xml:space="preserve"> I sadaļas 2.punkts</w:t>
            </w:r>
          </w:p>
          <w:p w:rsidR="00B94666" w:rsidRPr="00C916FE" w:rsidRDefault="00B94666" w:rsidP="00B94666">
            <w:pPr>
              <w:pStyle w:val="naisc"/>
              <w:spacing w:before="0" w:after="0"/>
              <w:jc w:val="both"/>
            </w:pPr>
          </w:p>
        </w:tc>
      </w:tr>
      <w:tr w:rsidR="00B94666" w:rsidRPr="005D10D8" w:rsidTr="00EA2B49">
        <w:tc>
          <w:tcPr>
            <w:tcW w:w="708" w:type="dxa"/>
            <w:tcBorders>
              <w:top w:val="single" w:sz="6" w:space="0" w:color="000000"/>
              <w:left w:val="single" w:sz="6" w:space="0" w:color="000000"/>
              <w:bottom w:val="single" w:sz="6" w:space="0" w:color="000000"/>
              <w:right w:val="single" w:sz="6" w:space="0" w:color="000000"/>
            </w:tcBorders>
          </w:tcPr>
          <w:p w:rsidR="00B94666" w:rsidRDefault="00B94666" w:rsidP="00B94666">
            <w:pPr>
              <w:pStyle w:val="naisc"/>
              <w:spacing w:before="0" w:after="0"/>
              <w:jc w:val="left"/>
            </w:pPr>
            <w:r>
              <w:lastRenderedPageBreak/>
              <w:t>6.</w:t>
            </w:r>
          </w:p>
        </w:tc>
        <w:tc>
          <w:tcPr>
            <w:tcW w:w="3086" w:type="dxa"/>
            <w:tcBorders>
              <w:top w:val="single" w:sz="6" w:space="0" w:color="000000"/>
              <w:left w:val="single" w:sz="6" w:space="0" w:color="000000"/>
              <w:bottom w:val="single" w:sz="6" w:space="0" w:color="000000"/>
              <w:right w:val="single" w:sz="6" w:space="0" w:color="000000"/>
            </w:tcBorders>
          </w:tcPr>
          <w:p w:rsidR="00B94666" w:rsidRPr="00C916FE" w:rsidRDefault="00475E5C" w:rsidP="00B94666">
            <w:pPr>
              <w:pStyle w:val="ListParagraph"/>
              <w:ind w:left="0"/>
              <w:jc w:val="both"/>
              <w:rPr>
                <w:lang w:val="lv-LV"/>
              </w:rPr>
            </w:pPr>
            <w:r w:rsidRPr="00475E5C">
              <w:rPr>
                <w:lang w:val="lv-LV"/>
              </w:rPr>
              <w:t>Anotācijas I sadaļas 2.punkts</w:t>
            </w:r>
          </w:p>
        </w:tc>
        <w:tc>
          <w:tcPr>
            <w:tcW w:w="4394" w:type="dxa"/>
            <w:tcBorders>
              <w:top w:val="single" w:sz="6" w:space="0" w:color="000000"/>
              <w:left w:val="single" w:sz="6" w:space="0" w:color="000000"/>
              <w:bottom w:val="single" w:sz="6" w:space="0" w:color="000000"/>
              <w:right w:val="single" w:sz="6" w:space="0" w:color="000000"/>
            </w:tcBorders>
          </w:tcPr>
          <w:p w:rsidR="00B94666" w:rsidRPr="00C916FE" w:rsidRDefault="00B94666" w:rsidP="00B94666">
            <w:pPr>
              <w:pStyle w:val="naisc"/>
              <w:spacing w:before="0" w:after="0"/>
              <w:jc w:val="both"/>
            </w:pPr>
            <w:r w:rsidRPr="00264F02">
              <w:t>sniegt atbilstošu skaidrojumu par minēto, nepieciešamības gadījumā precizējot noteikumu projekta anotācijā sniegto informāciju</w:t>
            </w:r>
          </w:p>
        </w:tc>
        <w:tc>
          <w:tcPr>
            <w:tcW w:w="2977" w:type="dxa"/>
            <w:tcBorders>
              <w:top w:val="single" w:sz="6" w:space="0" w:color="000000"/>
              <w:left w:val="single" w:sz="6" w:space="0" w:color="000000"/>
              <w:bottom w:val="single" w:sz="6" w:space="0" w:color="000000"/>
              <w:right w:val="single" w:sz="6" w:space="0" w:color="000000"/>
            </w:tcBorders>
          </w:tcPr>
          <w:p w:rsidR="00B94666" w:rsidRDefault="00B839C6" w:rsidP="00B94666">
            <w:pPr>
              <w:pStyle w:val="naisc"/>
              <w:spacing w:before="0" w:after="0"/>
              <w:rPr>
                <w:b/>
              </w:rPr>
            </w:pPr>
            <w:r>
              <w:rPr>
                <w:b/>
              </w:rPr>
              <w:t>Ņ</w:t>
            </w:r>
            <w:r w:rsidRPr="007F40D3">
              <w:rPr>
                <w:b/>
              </w:rPr>
              <w:t>emts vērā</w:t>
            </w:r>
          </w:p>
        </w:tc>
        <w:tc>
          <w:tcPr>
            <w:tcW w:w="3118" w:type="dxa"/>
            <w:tcBorders>
              <w:top w:val="single" w:sz="4" w:space="0" w:color="auto"/>
              <w:left w:val="single" w:sz="4" w:space="0" w:color="auto"/>
              <w:bottom w:val="single" w:sz="4" w:space="0" w:color="auto"/>
            </w:tcBorders>
          </w:tcPr>
          <w:p w:rsidR="00B94666" w:rsidRPr="00C916FE" w:rsidRDefault="00475E5C" w:rsidP="00613975">
            <w:pPr>
              <w:pStyle w:val="naisc"/>
              <w:spacing w:before="0" w:after="0"/>
              <w:jc w:val="both"/>
            </w:pPr>
            <w:r>
              <w:t>Precizēts anotācijas</w:t>
            </w:r>
            <w:r w:rsidRPr="00475E5C">
              <w:t xml:space="preserve"> I sadaļas 2.punkts</w:t>
            </w:r>
            <w:r w:rsidR="00970103">
              <w:t>, norādot, ka s</w:t>
            </w:r>
            <w:r w:rsidR="00970103" w:rsidRPr="00970103">
              <w:t xml:space="preserve">askaņā ar Regulas 2017/1954 3.panta otrajā daļā noteikto, jaunie nosacījumi vienota parauga uzturēšanās atļaujām jāsāk piemērot vēlākais 15 mēnešus pēc tam, kad ir pieņemti papildu tehniskie priekšraksti, kas minēti Regulas 1030/2002 2.pantā. Ievērojot, ka Komisijas Īstenošanas lēmums C(2018) 7767 (2018. gada 30. novembris), ar ko nosaka tehniskās specifikācijas trešo valstu </w:t>
            </w:r>
            <w:proofErr w:type="spellStart"/>
            <w:r w:rsidR="00970103" w:rsidRPr="00970103">
              <w:t>valstspiederīgo</w:t>
            </w:r>
            <w:proofErr w:type="spellEnd"/>
            <w:r w:rsidR="00970103" w:rsidRPr="00970103">
              <w:t xml:space="preserve"> uzturēšanās atļauju vienotai formai un atceļ Lēmumu C(2002) 3069, tika pieņemts 2018.gada 30.novembrī, secināms, ka 15 mēnešu termiņš pagāja 2020.gada 28.februārī. Savukārt, tā kā Regulas 1030/2002 3.pantā noteikts, </w:t>
            </w:r>
            <w:r w:rsidR="00970103" w:rsidRPr="00970103">
              <w:lastRenderedPageBreak/>
              <w:t xml:space="preserve">ka Regulas 1030/2002 2.pantā minētie priekšraksti ir </w:t>
            </w:r>
            <w:r w:rsidR="00613975">
              <w:t>klasificēta informācija</w:t>
            </w:r>
            <w:r w:rsidR="00970103" w:rsidRPr="00970103">
              <w:t xml:space="preserve"> un netiek publicēti, un, ievērojot Regulas 1030/2002 3.pantā noteikto šo priekšrakstu paziņošanas kārtību, Regulas 2017/1954 3.panta otrajā daļā noteikto 15 mēnešu periodu Pilsonības un migrācijas lietu pārvalde rēķina no brīža, kad atbilstošās  Eiropas Komisija tehniskās specifikācijas tika nosūtītas, pēc tam precizētas, atkārtoti nosūtītas un saņemtas Latvijas institūcijās, un līdz ar to Regulas 2017/1954 3.panta otrajā daļā minētais termiņš pagāja 2020.gada 30.jūnijā.</w:t>
            </w:r>
          </w:p>
        </w:tc>
      </w:tr>
      <w:tr w:rsidR="00B94666" w:rsidRPr="005D10D8" w:rsidTr="00EA2B49">
        <w:tc>
          <w:tcPr>
            <w:tcW w:w="708" w:type="dxa"/>
            <w:tcBorders>
              <w:top w:val="single" w:sz="6" w:space="0" w:color="000000"/>
              <w:left w:val="single" w:sz="6" w:space="0" w:color="000000"/>
              <w:bottom w:val="single" w:sz="6" w:space="0" w:color="000000"/>
              <w:right w:val="single" w:sz="6" w:space="0" w:color="000000"/>
            </w:tcBorders>
          </w:tcPr>
          <w:p w:rsidR="00B94666" w:rsidRDefault="00B94666" w:rsidP="00B94666">
            <w:pPr>
              <w:pStyle w:val="naisc"/>
              <w:spacing w:before="0" w:after="0"/>
              <w:jc w:val="left"/>
            </w:pPr>
            <w:r>
              <w:lastRenderedPageBreak/>
              <w:t>7.</w:t>
            </w:r>
          </w:p>
        </w:tc>
        <w:tc>
          <w:tcPr>
            <w:tcW w:w="3086" w:type="dxa"/>
            <w:tcBorders>
              <w:top w:val="single" w:sz="6" w:space="0" w:color="000000"/>
              <w:left w:val="single" w:sz="6" w:space="0" w:color="000000"/>
              <w:bottom w:val="single" w:sz="6" w:space="0" w:color="000000"/>
              <w:right w:val="single" w:sz="6" w:space="0" w:color="000000"/>
            </w:tcBorders>
          </w:tcPr>
          <w:p w:rsidR="00B94666" w:rsidRPr="00C916FE" w:rsidRDefault="00475E5C" w:rsidP="00475E5C">
            <w:pPr>
              <w:pStyle w:val="ListParagraph"/>
              <w:ind w:left="0"/>
              <w:jc w:val="both"/>
              <w:rPr>
                <w:lang w:val="lv-LV"/>
              </w:rPr>
            </w:pPr>
            <w:r w:rsidRPr="00475E5C">
              <w:rPr>
                <w:lang w:val="lv-LV"/>
              </w:rPr>
              <w:t xml:space="preserve">Anotācijas </w:t>
            </w:r>
            <w:r>
              <w:rPr>
                <w:lang w:val="lv-LV"/>
              </w:rPr>
              <w:t>V</w:t>
            </w:r>
            <w:r w:rsidRPr="00475E5C">
              <w:rPr>
                <w:lang w:val="lv-LV"/>
              </w:rPr>
              <w:t xml:space="preserve"> sadaļas</w:t>
            </w:r>
            <w:r>
              <w:rPr>
                <w:lang w:val="lv-LV"/>
              </w:rPr>
              <w:t xml:space="preserve"> 1.punkts</w:t>
            </w:r>
          </w:p>
        </w:tc>
        <w:tc>
          <w:tcPr>
            <w:tcW w:w="4394" w:type="dxa"/>
            <w:tcBorders>
              <w:top w:val="single" w:sz="6" w:space="0" w:color="000000"/>
              <w:left w:val="single" w:sz="6" w:space="0" w:color="000000"/>
              <w:bottom w:val="single" w:sz="6" w:space="0" w:color="000000"/>
              <w:right w:val="single" w:sz="6" w:space="0" w:color="000000"/>
            </w:tcBorders>
          </w:tcPr>
          <w:p w:rsidR="00B94666" w:rsidRPr="00264F02" w:rsidRDefault="00B94666" w:rsidP="00B94666">
            <w:pPr>
              <w:pStyle w:val="naisc"/>
              <w:spacing w:before="0" w:after="0"/>
              <w:jc w:val="both"/>
            </w:pPr>
            <w:r w:rsidRPr="00264F02">
              <w:t>Ņemot vērā, ka noteikumu projekta V sadaļas 1. punktā norādīts uz regulu Nr. 2017/1954, lūdzam detalizēti aizpildīt arī noteikumu projekta</w:t>
            </w:r>
            <w:r>
              <w:t xml:space="preserve"> anotācijas V sadaļas 1. tabulu</w:t>
            </w:r>
            <w:r w:rsidR="00C50E58">
              <w:t>.</w:t>
            </w:r>
          </w:p>
        </w:tc>
        <w:tc>
          <w:tcPr>
            <w:tcW w:w="2977" w:type="dxa"/>
            <w:tcBorders>
              <w:top w:val="single" w:sz="6" w:space="0" w:color="000000"/>
              <w:left w:val="single" w:sz="6" w:space="0" w:color="000000"/>
              <w:bottom w:val="single" w:sz="6" w:space="0" w:color="000000"/>
              <w:right w:val="single" w:sz="6" w:space="0" w:color="000000"/>
            </w:tcBorders>
          </w:tcPr>
          <w:p w:rsidR="00B94666" w:rsidRDefault="00B839C6" w:rsidP="00B94666">
            <w:pPr>
              <w:pStyle w:val="naisc"/>
              <w:spacing w:before="0" w:after="0"/>
              <w:rPr>
                <w:b/>
              </w:rPr>
            </w:pPr>
            <w:r>
              <w:rPr>
                <w:b/>
              </w:rPr>
              <w:t>Ņ</w:t>
            </w:r>
            <w:r w:rsidRPr="007F40D3">
              <w:rPr>
                <w:b/>
              </w:rPr>
              <w:t>emts vērā</w:t>
            </w:r>
          </w:p>
        </w:tc>
        <w:tc>
          <w:tcPr>
            <w:tcW w:w="3118" w:type="dxa"/>
            <w:tcBorders>
              <w:top w:val="single" w:sz="4" w:space="0" w:color="auto"/>
              <w:left w:val="single" w:sz="4" w:space="0" w:color="auto"/>
              <w:bottom w:val="single" w:sz="4" w:space="0" w:color="auto"/>
            </w:tcBorders>
          </w:tcPr>
          <w:p w:rsidR="00475E5C" w:rsidRDefault="00475E5C" w:rsidP="00475E5C">
            <w:pPr>
              <w:pStyle w:val="naisc"/>
              <w:spacing w:before="0" w:after="0"/>
              <w:jc w:val="both"/>
            </w:pPr>
            <w:r>
              <w:t>Precizēts anotācijas</w:t>
            </w:r>
            <w:r w:rsidRPr="00475E5C">
              <w:t xml:space="preserve"> </w:t>
            </w:r>
            <w:r>
              <w:t>V</w:t>
            </w:r>
            <w:r w:rsidRPr="00475E5C">
              <w:t xml:space="preserve"> sadaļas </w:t>
            </w:r>
            <w:r>
              <w:t>1</w:t>
            </w:r>
            <w:r w:rsidRPr="00475E5C">
              <w:t>.punkts</w:t>
            </w:r>
            <w:r w:rsidR="00C50E58">
              <w:t>, pievienota 1.tabula.</w:t>
            </w:r>
          </w:p>
          <w:p w:rsidR="00B94666" w:rsidRPr="00C916FE" w:rsidRDefault="00B94666" w:rsidP="00B94666">
            <w:pPr>
              <w:pStyle w:val="naisc"/>
              <w:spacing w:before="0" w:after="0"/>
              <w:jc w:val="both"/>
            </w:pPr>
          </w:p>
        </w:tc>
      </w:tr>
    </w:tbl>
    <w:p w:rsidR="00256207" w:rsidRPr="005D10D8" w:rsidRDefault="00256207" w:rsidP="00C555B5">
      <w:pPr>
        <w:pStyle w:val="naisf"/>
        <w:spacing w:before="0" w:after="0"/>
        <w:ind w:firstLine="0"/>
        <w:jc w:val="left"/>
      </w:pPr>
    </w:p>
    <w:p w:rsidR="00C555B5" w:rsidRPr="005D10D8" w:rsidRDefault="00C555B5" w:rsidP="00C555B5">
      <w:pPr>
        <w:pStyle w:val="naisf"/>
        <w:spacing w:before="0" w:after="0"/>
        <w:ind w:firstLine="0"/>
        <w:jc w:val="left"/>
      </w:pPr>
      <w:r w:rsidRPr="005D10D8">
        <w:t>Atbildīgā amatpersona</w:t>
      </w:r>
      <w:r w:rsidRPr="005D10D8">
        <w:tab/>
      </w:r>
      <w:r w:rsidRPr="005D10D8">
        <w:tab/>
      </w:r>
      <w:r w:rsidRPr="005D10D8">
        <w:tab/>
      </w:r>
      <w:r w:rsidRPr="005D10D8">
        <w:tab/>
      </w:r>
      <w:r w:rsidRPr="005D10D8">
        <w:tab/>
      </w:r>
      <w:r w:rsidRPr="005D10D8">
        <w:tab/>
      </w:r>
      <w:r w:rsidRPr="005D10D8">
        <w:tab/>
      </w:r>
      <w:r w:rsidRPr="005D10D8">
        <w:tab/>
      </w:r>
      <w:r w:rsidRPr="005D10D8">
        <w:tab/>
      </w:r>
      <w:r w:rsidRPr="005D10D8">
        <w:tab/>
      </w:r>
      <w:r w:rsidRPr="005D10D8">
        <w:tab/>
      </w:r>
      <w:proofErr w:type="spellStart"/>
      <w:r w:rsidR="00B833BD">
        <w:t>D.Kupče</w:t>
      </w:r>
      <w:proofErr w:type="spellEnd"/>
    </w:p>
    <w:p w:rsidR="00C555B5" w:rsidRDefault="00C555B5" w:rsidP="00C555B5">
      <w:pPr>
        <w:pStyle w:val="naisf"/>
        <w:spacing w:before="0" w:after="0"/>
        <w:ind w:firstLine="0"/>
        <w:jc w:val="left"/>
      </w:pPr>
    </w:p>
    <w:p w:rsidR="00B833BD" w:rsidRPr="005D10D8" w:rsidRDefault="00B833BD" w:rsidP="00C555B5">
      <w:pPr>
        <w:pStyle w:val="naisf"/>
        <w:spacing w:before="0" w:after="0"/>
        <w:ind w:firstLine="0"/>
        <w:jc w:val="left"/>
      </w:pPr>
    </w:p>
    <w:p w:rsidR="00C555B5" w:rsidRPr="006D4701" w:rsidRDefault="00B833BD"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Dace </w:t>
      </w:r>
      <w:proofErr w:type="spellStart"/>
      <w:r>
        <w:rPr>
          <w:sz w:val="18"/>
          <w:szCs w:val="18"/>
        </w:rPr>
        <w:t>Kupče</w:t>
      </w:r>
      <w:proofErr w:type="spellEnd"/>
    </w:p>
    <w:p w:rsidR="00C555B5" w:rsidRPr="006D4701"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6D4701">
        <w:rPr>
          <w:sz w:val="18"/>
          <w:szCs w:val="18"/>
        </w:rPr>
        <w:t>Pilsonības un migrācijas lietu pārvaldes</w:t>
      </w:r>
    </w:p>
    <w:p w:rsidR="00C555B5" w:rsidRPr="006D4701" w:rsidRDefault="00690308"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6D4701">
        <w:rPr>
          <w:sz w:val="18"/>
          <w:szCs w:val="18"/>
        </w:rPr>
        <w:t xml:space="preserve">Personu apliecinošu dokumentu departamenta </w:t>
      </w:r>
    </w:p>
    <w:p w:rsidR="00690308" w:rsidRPr="006D4701" w:rsidRDefault="00690308"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6D4701">
        <w:rPr>
          <w:sz w:val="18"/>
          <w:szCs w:val="18"/>
        </w:rPr>
        <w:t>Metodiskās vadības nodaļas vadītāja</w:t>
      </w:r>
      <w:r w:rsidR="00B833BD">
        <w:rPr>
          <w:sz w:val="18"/>
          <w:szCs w:val="18"/>
        </w:rPr>
        <w:t xml:space="preserve"> vietniece</w:t>
      </w:r>
    </w:p>
    <w:p w:rsidR="006A6743" w:rsidRPr="005D10D8" w:rsidRDefault="00C555B5">
      <w:r w:rsidRPr="006D4701">
        <w:rPr>
          <w:sz w:val="18"/>
          <w:szCs w:val="18"/>
        </w:rPr>
        <w:t>tālr. 6721</w:t>
      </w:r>
      <w:r w:rsidR="008F2449" w:rsidRPr="006D4701">
        <w:rPr>
          <w:sz w:val="18"/>
          <w:szCs w:val="18"/>
        </w:rPr>
        <w:t>9</w:t>
      </w:r>
      <w:r w:rsidR="00B833BD">
        <w:rPr>
          <w:sz w:val="18"/>
          <w:szCs w:val="18"/>
        </w:rPr>
        <w:t>543</w:t>
      </w:r>
      <w:r w:rsidR="008F2449" w:rsidRPr="006D4701">
        <w:rPr>
          <w:sz w:val="18"/>
          <w:szCs w:val="18"/>
        </w:rPr>
        <w:t xml:space="preserve">, </w:t>
      </w:r>
      <w:hyperlink r:id="rId9" w:history="1">
        <w:r w:rsidR="00B833BD" w:rsidRPr="007C3308">
          <w:rPr>
            <w:rStyle w:val="Hyperlink"/>
            <w:sz w:val="18"/>
            <w:szCs w:val="18"/>
          </w:rPr>
          <w:t>dace.kupce@pmlp.gov.lv</w:t>
        </w:r>
      </w:hyperlink>
    </w:p>
    <w:sectPr w:rsidR="006A6743" w:rsidRPr="005D10D8" w:rsidSect="00A84F6D">
      <w:headerReference w:type="even" r:id="rId10"/>
      <w:headerReference w:type="default" r:id="rId11"/>
      <w:footerReference w:type="default" r:id="rId12"/>
      <w:footerReference w:type="first" r:id="rId13"/>
      <w:pgSz w:w="16838" w:h="11906" w:orient="landscape"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85" w:rsidRDefault="00D6564D">
      <w:r>
        <w:separator/>
      </w:r>
    </w:p>
  </w:endnote>
  <w:endnote w:type="continuationSeparator" w:id="0">
    <w:p w:rsidR="00824085" w:rsidRDefault="00D6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Pr="002C48E9" w:rsidRDefault="001B4E7E" w:rsidP="004D141E">
    <w:pPr>
      <w:pStyle w:val="Footer"/>
      <w:jc w:val="both"/>
      <w:rPr>
        <w:noProof/>
        <w:color w:val="000000"/>
        <w:sz w:val="20"/>
        <w:szCs w:val="20"/>
      </w:rPr>
    </w:pPr>
    <w:r>
      <w:rPr>
        <w:color w:val="000000"/>
        <w:sz w:val="20"/>
        <w:szCs w:val="20"/>
      </w:rPr>
      <w:t>IEMIzz_</w:t>
    </w:r>
    <w:r w:rsidR="00882279">
      <w:rPr>
        <w:color w:val="000000"/>
        <w:sz w:val="20"/>
        <w:szCs w:val="20"/>
      </w:rPr>
      <w:t>151220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08" w:rsidRPr="002C48E9" w:rsidRDefault="00E32F15" w:rsidP="00690308">
    <w:pPr>
      <w:pStyle w:val="Footer"/>
      <w:jc w:val="both"/>
      <w:rPr>
        <w:noProof/>
        <w:color w:val="000000"/>
        <w:sz w:val="20"/>
        <w:szCs w:val="20"/>
      </w:rPr>
    </w:pPr>
    <w:r>
      <w:rPr>
        <w:color w:val="000000"/>
        <w:sz w:val="20"/>
        <w:szCs w:val="20"/>
      </w:rPr>
      <w:t>IEMIzz_</w:t>
    </w:r>
    <w:r w:rsidR="00882279">
      <w:rPr>
        <w:color w:val="000000"/>
        <w:sz w:val="20"/>
        <w:szCs w:val="20"/>
      </w:rPr>
      <w:t>151220</w:t>
    </w:r>
  </w:p>
  <w:p w:rsidR="004A0829" w:rsidRPr="00690308" w:rsidRDefault="00613975" w:rsidP="0069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85" w:rsidRDefault="00D6564D">
      <w:r>
        <w:separator/>
      </w:r>
    </w:p>
  </w:footnote>
  <w:footnote w:type="continuationSeparator" w:id="0">
    <w:p w:rsidR="00824085" w:rsidRDefault="00D6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74555C" w:rsidP="004D1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829" w:rsidRDefault="00613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74555C" w:rsidP="004D1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3975">
      <w:rPr>
        <w:rStyle w:val="PageNumber"/>
        <w:noProof/>
      </w:rPr>
      <w:t>5</w:t>
    </w:r>
    <w:r>
      <w:rPr>
        <w:rStyle w:val="PageNumber"/>
      </w:rPr>
      <w:fldChar w:fldCharType="end"/>
    </w:r>
  </w:p>
  <w:p w:rsidR="004A0829" w:rsidRDefault="00613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4BB8"/>
    <w:multiLevelType w:val="multilevel"/>
    <w:tmpl w:val="4D3ED878"/>
    <w:lvl w:ilvl="0">
      <w:start w:val="1"/>
      <w:numFmt w:val="decimal"/>
      <w:lvlText w:val="%1."/>
      <w:lvlJc w:val="left"/>
      <w:pPr>
        <w:ind w:left="480" w:hanging="480"/>
      </w:pPr>
      <w:rPr>
        <w:rFonts w:hint="default"/>
      </w:rPr>
    </w:lvl>
    <w:lvl w:ilvl="1">
      <w:start w:val="10"/>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0C791E78"/>
    <w:multiLevelType w:val="hybridMultilevel"/>
    <w:tmpl w:val="3558C9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5F4B3D"/>
    <w:multiLevelType w:val="hybridMultilevel"/>
    <w:tmpl w:val="91169E90"/>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248B1C95"/>
    <w:multiLevelType w:val="hybridMultilevel"/>
    <w:tmpl w:val="851C0FA4"/>
    <w:lvl w:ilvl="0" w:tplc="16D6684E">
      <w:start w:val="1"/>
      <w:numFmt w:val="decimal"/>
      <w:lvlText w:val="%1."/>
      <w:lvlJc w:val="left"/>
      <w:pPr>
        <w:ind w:left="1080" w:hanging="360"/>
      </w:pPr>
      <w:rPr>
        <w:rFonts w:hint="default"/>
        <w:b/>
      </w:rPr>
    </w:lvl>
    <w:lvl w:ilvl="1" w:tplc="FBC8BE3A" w:tentative="1">
      <w:start w:val="1"/>
      <w:numFmt w:val="lowerLetter"/>
      <w:lvlText w:val="%2."/>
      <w:lvlJc w:val="left"/>
      <w:pPr>
        <w:ind w:left="1800" w:hanging="360"/>
      </w:pPr>
    </w:lvl>
    <w:lvl w:ilvl="2" w:tplc="5D7CE096" w:tentative="1">
      <w:start w:val="1"/>
      <w:numFmt w:val="lowerRoman"/>
      <w:lvlText w:val="%3."/>
      <w:lvlJc w:val="right"/>
      <w:pPr>
        <w:ind w:left="2520" w:hanging="180"/>
      </w:pPr>
    </w:lvl>
    <w:lvl w:ilvl="3" w:tplc="5C22D92A" w:tentative="1">
      <w:start w:val="1"/>
      <w:numFmt w:val="decimal"/>
      <w:lvlText w:val="%4."/>
      <w:lvlJc w:val="left"/>
      <w:pPr>
        <w:ind w:left="3240" w:hanging="360"/>
      </w:pPr>
    </w:lvl>
    <w:lvl w:ilvl="4" w:tplc="A4E0B838" w:tentative="1">
      <w:start w:val="1"/>
      <w:numFmt w:val="lowerLetter"/>
      <w:lvlText w:val="%5."/>
      <w:lvlJc w:val="left"/>
      <w:pPr>
        <w:ind w:left="3960" w:hanging="360"/>
      </w:pPr>
    </w:lvl>
    <w:lvl w:ilvl="5" w:tplc="CA8E4682" w:tentative="1">
      <w:start w:val="1"/>
      <w:numFmt w:val="lowerRoman"/>
      <w:lvlText w:val="%6."/>
      <w:lvlJc w:val="right"/>
      <w:pPr>
        <w:ind w:left="4680" w:hanging="180"/>
      </w:pPr>
    </w:lvl>
    <w:lvl w:ilvl="6" w:tplc="7786B050" w:tentative="1">
      <w:start w:val="1"/>
      <w:numFmt w:val="decimal"/>
      <w:lvlText w:val="%7."/>
      <w:lvlJc w:val="left"/>
      <w:pPr>
        <w:ind w:left="5400" w:hanging="360"/>
      </w:pPr>
    </w:lvl>
    <w:lvl w:ilvl="7" w:tplc="8496D2D4" w:tentative="1">
      <w:start w:val="1"/>
      <w:numFmt w:val="lowerLetter"/>
      <w:lvlText w:val="%8."/>
      <w:lvlJc w:val="left"/>
      <w:pPr>
        <w:ind w:left="6120" w:hanging="360"/>
      </w:pPr>
    </w:lvl>
    <w:lvl w:ilvl="8" w:tplc="BAF6E0A8" w:tentative="1">
      <w:start w:val="1"/>
      <w:numFmt w:val="lowerRoman"/>
      <w:lvlText w:val="%9."/>
      <w:lvlJc w:val="right"/>
      <w:pPr>
        <w:ind w:left="6840" w:hanging="180"/>
      </w:pPr>
    </w:lvl>
  </w:abstractNum>
  <w:abstractNum w:abstractNumId="4" w15:restartNumberingAfterBreak="0">
    <w:nsid w:val="27AA6C59"/>
    <w:multiLevelType w:val="multilevel"/>
    <w:tmpl w:val="4D3ED878"/>
    <w:lvl w:ilvl="0">
      <w:start w:val="1"/>
      <w:numFmt w:val="decimal"/>
      <w:lvlText w:val="%1."/>
      <w:lvlJc w:val="left"/>
      <w:pPr>
        <w:ind w:left="480" w:hanging="480"/>
      </w:pPr>
      <w:rPr>
        <w:rFonts w:hint="default"/>
      </w:rPr>
    </w:lvl>
    <w:lvl w:ilvl="1">
      <w:start w:val="10"/>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286017CB"/>
    <w:multiLevelType w:val="multilevel"/>
    <w:tmpl w:val="1062F3AC"/>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FF2531"/>
    <w:multiLevelType w:val="multilevel"/>
    <w:tmpl w:val="4D3ED878"/>
    <w:lvl w:ilvl="0">
      <w:start w:val="1"/>
      <w:numFmt w:val="decimal"/>
      <w:lvlText w:val="%1."/>
      <w:lvlJc w:val="left"/>
      <w:pPr>
        <w:ind w:left="480" w:hanging="480"/>
      </w:pPr>
      <w:rPr>
        <w:rFonts w:hint="default"/>
      </w:rPr>
    </w:lvl>
    <w:lvl w:ilvl="1">
      <w:start w:val="10"/>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3A175424"/>
    <w:multiLevelType w:val="hybridMultilevel"/>
    <w:tmpl w:val="3EB62E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8B3A40"/>
    <w:multiLevelType w:val="multilevel"/>
    <w:tmpl w:val="E38ABF4E"/>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F0276DF"/>
    <w:multiLevelType w:val="multilevel"/>
    <w:tmpl w:val="4D3ED878"/>
    <w:lvl w:ilvl="0">
      <w:start w:val="1"/>
      <w:numFmt w:val="decimal"/>
      <w:lvlText w:val="%1."/>
      <w:lvlJc w:val="left"/>
      <w:pPr>
        <w:ind w:left="480" w:hanging="480"/>
      </w:pPr>
      <w:rPr>
        <w:rFonts w:hint="default"/>
      </w:rPr>
    </w:lvl>
    <w:lvl w:ilvl="1">
      <w:start w:val="10"/>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61997960"/>
    <w:multiLevelType w:val="multilevel"/>
    <w:tmpl w:val="4D3ED878"/>
    <w:lvl w:ilvl="0">
      <w:start w:val="1"/>
      <w:numFmt w:val="decimal"/>
      <w:lvlText w:val="%1."/>
      <w:lvlJc w:val="left"/>
      <w:pPr>
        <w:ind w:left="480" w:hanging="480"/>
      </w:pPr>
      <w:rPr>
        <w:rFonts w:hint="default"/>
      </w:rPr>
    </w:lvl>
    <w:lvl w:ilvl="1">
      <w:start w:val="10"/>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6F1253C3"/>
    <w:multiLevelType w:val="multilevel"/>
    <w:tmpl w:val="3DD20D64"/>
    <w:lvl w:ilvl="0">
      <w:start w:val="1"/>
      <w:numFmt w:val="decimal"/>
      <w:lvlText w:val="%1."/>
      <w:lvlJc w:val="left"/>
      <w:pPr>
        <w:ind w:left="492" w:hanging="49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2"/>
  </w:num>
  <w:num w:numId="4">
    <w:abstractNumId w:val="11"/>
  </w:num>
  <w:num w:numId="5">
    <w:abstractNumId w:val="8"/>
  </w:num>
  <w:num w:numId="6">
    <w:abstractNumId w:val="0"/>
  </w:num>
  <w:num w:numId="7">
    <w:abstractNumId w:val="3"/>
  </w:num>
  <w:num w:numId="8">
    <w:abstractNumId w:val="5"/>
  </w:num>
  <w:num w:numId="9">
    <w:abstractNumId w:val="10"/>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B5"/>
    <w:rsid w:val="00034648"/>
    <w:rsid w:val="000A2717"/>
    <w:rsid w:val="001406C1"/>
    <w:rsid w:val="00184E82"/>
    <w:rsid w:val="001B4E7E"/>
    <w:rsid w:val="00240CB3"/>
    <w:rsid w:val="00256207"/>
    <w:rsid w:val="00264F02"/>
    <w:rsid w:val="002D08DE"/>
    <w:rsid w:val="002D2AEC"/>
    <w:rsid w:val="00330784"/>
    <w:rsid w:val="003602C8"/>
    <w:rsid w:val="00396BFC"/>
    <w:rsid w:val="003A4D75"/>
    <w:rsid w:val="003C32A7"/>
    <w:rsid w:val="003D4DD3"/>
    <w:rsid w:val="003F5D8A"/>
    <w:rsid w:val="004104CC"/>
    <w:rsid w:val="00470B7D"/>
    <w:rsid w:val="00475E5C"/>
    <w:rsid w:val="005569F5"/>
    <w:rsid w:val="00565AE5"/>
    <w:rsid w:val="005D10D8"/>
    <w:rsid w:val="00613975"/>
    <w:rsid w:val="00643E1C"/>
    <w:rsid w:val="00690308"/>
    <w:rsid w:val="00697D84"/>
    <w:rsid w:val="006A6743"/>
    <w:rsid w:val="006C5EA1"/>
    <w:rsid w:val="006D0F87"/>
    <w:rsid w:val="006D4701"/>
    <w:rsid w:val="006D75F5"/>
    <w:rsid w:val="00712208"/>
    <w:rsid w:val="0074555C"/>
    <w:rsid w:val="007F40D3"/>
    <w:rsid w:val="00824085"/>
    <w:rsid w:val="008461FC"/>
    <w:rsid w:val="0087205A"/>
    <w:rsid w:val="00882279"/>
    <w:rsid w:val="008E1505"/>
    <w:rsid w:val="008E608E"/>
    <w:rsid w:val="008E7F6C"/>
    <w:rsid w:val="008F2449"/>
    <w:rsid w:val="00925B44"/>
    <w:rsid w:val="00970103"/>
    <w:rsid w:val="0098266D"/>
    <w:rsid w:val="009B6FA6"/>
    <w:rsid w:val="00A46A85"/>
    <w:rsid w:val="00B10641"/>
    <w:rsid w:val="00B833BD"/>
    <w:rsid w:val="00B839C6"/>
    <w:rsid w:val="00B94666"/>
    <w:rsid w:val="00BB1BCF"/>
    <w:rsid w:val="00C01230"/>
    <w:rsid w:val="00C2590F"/>
    <w:rsid w:val="00C26EAD"/>
    <w:rsid w:val="00C273FD"/>
    <w:rsid w:val="00C50E58"/>
    <w:rsid w:val="00C555B5"/>
    <w:rsid w:val="00C916FE"/>
    <w:rsid w:val="00D6564D"/>
    <w:rsid w:val="00D77A8D"/>
    <w:rsid w:val="00D913D6"/>
    <w:rsid w:val="00E0412D"/>
    <w:rsid w:val="00E32F15"/>
    <w:rsid w:val="00E811C9"/>
    <w:rsid w:val="00EE6909"/>
    <w:rsid w:val="00F61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5E268-C2E1-4688-BBA7-B2DCD556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B5"/>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55B5"/>
    <w:pPr>
      <w:spacing w:before="100" w:beforeAutospacing="1" w:after="100" w:afterAutospacing="1"/>
    </w:pPr>
  </w:style>
  <w:style w:type="paragraph" w:customStyle="1" w:styleId="naisf">
    <w:name w:val="naisf"/>
    <w:basedOn w:val="Normal"/>
    <w:rsid w:val="00C555B5"/>
    <w:pPr>
      <w:spacing w:before="75" w:after="75"/>
      <w:ind w:firstLine="375"/>
      <w:jc w:val="both"/>
    </w:pPr>
  </w:style>
  <w:style w:type="paragraph" w:customStyle="1" w:styleId="naisnod">
    <w:name w:val="naisnod"/>
    <w:basedOn w:val="Normal"/>
    <w:uiPriority w:val="99"/>
    <w:rsid w:val="00C555B5"/>
    <w:pPr>
      <w:spacing w:before="150" w:after="150"/>
      <w:jc w:val="center"/>
    </w:pPr>
    <w:rPr>
      <w:b/>
      <w:bCs/>
    </w:rPr>
  </w:style>
  <w:style w:type="paragraph" w:customStyle="1" w:styleId="naiskr">
    <w:name w:val="naiskr"/>
    <w:basedOn w:val="Normal"/>
    <w:uiPriority w:val="99"/>
    <w:rsid w:val="00C555B5"/>
    <w:pPr>
      <w:spacing w:before="75" w:after="75"/>
    </w:pPr>
  </w:style>
  <w:style w:type="paragraph" w:customStyle="1" w:styleId="naisc">
    <w:name w:val="naisc"/>
    <w:basedOn w:val="Normal"/>
    <w:rsid w:val="00C555B5"/>
    <w:pPr>
      <w:spacing w:before="75" w:after="75"/>
      <w:jc w:val="center"/>
    </w:pPr>
  </w:style>
  <w:style w:type="paragraph" w:styleId="Header">
    <w:name w:val="header"/>
    <w:basedOn w:val="Normal"/>
    <w:link w:val="HeaderChar"/>
    <w:rsid w:val="00C555B5"/>
    <w:pPr>
      <w:tabs>
        <w:tab w:val="center" w:pos="4153"/>
        <w:tab w:val="right" w:pos="8306"/>
      </w:tabs>
    </w:pPr>
  </w:style>
  <w:style w:type="character" w:customStyle="1" w:styleId="HeaderChar">
    <w:name w:val="Header Char"/>
    <w:basedOn w:val="DefaultParagraphFont"/>
    <w:link w:val="Header"/>
    <w:uiPriority w:val="99"/>
    <w:rsid w:val="00C555B5"/>
    <w:rPr>
      <w:rFonts w:eastAsia="Times New Roman"/>
      <w:sz w:val="24"/>
      <w:szCs w:val="24"/>
      <w:lang w:eastAsia="lv-LV"/>
    </w:rPr>
  </w:style>
  <w:style w:type="character" w:styleId="PageNumber">
    <w:name w:val="page number"/>
    <w:uiPriority w:val="99"/>
    <w:rsid w:val="00C555B5"/>
    <w:rPr>
      <w:rFonts w:cs="Times New Roman"/>
    </w:rPr>
  </w:style>
  <w:style w:type="paragraph" w:styleId="Footer">
    <w:name w:val="footer"/>
    <w:basedOn w:val="Normal"/>
    <w:link w:val="FooterChar"/>
    <w:uiPriority w:val="99"/>
    <w:rsid w:val="00C555B5"/>
    <w:pPr>
      <w:tabs>
        <w:tab w:val="center" w:pos="4153"/>
        <w:tab w:val="right" w:pos="8306"/>
      </w:tabs>
    </w:pPr>
  </w:style>
  <w:style w:type="character" w:customStyle="1" w:styleId="FooterChar">
    <w:name w:val="Footer Char"/>
    <w:basedOn w:val="DefaultParagraphFont"/>
    <w:link w:val="Footer"/>
    <w:uiPriority w:val="99"/>
    <w:rsid w:val="00C555B5"/>
    <w:rPr>
      <w:rFonts w:eastAsia="Times New Roman"/>
      <w:sz w:val="24"/>
      <w:szCs w:val="24"/>
      <w:lang w:eastAsia="lv-LV"/>
    </w:rPr>
  </w:style>
  <w:style w:type="paragraph" w:styleId="ListParagraph">
    <w:name w:val="List Paragraph"/>
    <w:basedOn w:val="Normal"/>
    <w:qFormat/>
    <w:rsid w:val="00C555B5"/>
    <w:pPr>
      <w:ind w:left="720"/>
      <w:contextualSpacing/>
    </w:pPr>
    <w:rPr>
      <w:lang w:val="en-US" w:eastAsia="en-US"/>
    </w:rPr>
  </w:style>
  <w:style w:type="paragraph" w:styleId="BalloonText">
    <w:name w:val="Balloon Text"/>
    <w:basedOn w:val="Normal"/>
    <w:link w:val="BalloonTextChar"/>
    <w:uiPriority w:val="99"/>
    <w:semiHidden/>
    <w:unhideWhenUsed/>
    <w:rsid w:val="00643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1C"/>
    <w:rPr>
      <w:rFonts w:ascii="Segoe UI" w:eastAsia="Times New Roman" w:hAnsi="Segoe UI" w:cs="Segoe UI"/>
      <w:sz w:val="18"/>
      <w:szCs w:val="18"/>
      <w:lang w:eastAsia="lv-LV"/>
    </w:rPr>
  </w:style>
  <w:style w:type="character" w:customStyle="1" w:styleId="tvhtmlmktable">
    <w:name w:val="tv_html mk_table"/>
    <w:basedOn w:val="DefaultParagraphFont"/>
    <w:rsid w:val="007F40D3"/>
  </w:style>
  <w:style w:type="paragraph" w:styleId="NoSpacing">
    <w:name w:val="No Spacing"/>
    <w:uiPriority w:val="1"/>
    <w:qFormat/>
    <w:rsid w:val="007F40D3"/>
    <w:pPr>
      <w:spacing w:after="0" w:line="240" w:lineRule="auto"/>
    </w:pPr>
    <w:rPr>
      <w:rFonts w:asciiTheme="minorHAnsi" w:hAnsiTheme="minorHAnsi" w:cstheme="minorBidi"/>
      <w:sz w:val="22"/>
      <w:szCs w:val="22"/>
    </w:rPr>
  </w:style>
  <w:style w:type="paragraph" w:styleId="BodyText">
    <w:name w:val="Body Text"/>
    <w:basedOn w:val="Normal"/>
    <w:link w:val="BodyTextChar"/>
    <w:uiPriority w:val="99"/>
    <w:unhideWhenUsed/>
    <w:rsid w:val="00925B44"/>
    <w:pPr>
      <w:widowControl w:val="0"/>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rsid w:val="00925B44"/>
    <w:rPr>
      <w:rFonts w:ascii="Calibri" w:eastAsia="Calibri" w:hAnsi="Calibri"/>
      <w:sz w:val="22"/>
      <w:szCs w:val="22"/>
    </w:rPr>
  </w:style>
  <w:style w:type="paragraph" w:styleId="FootnoteText">
    <w:name w:val="footnote text"/>
    <w:basedOn w:val="Normal"/>
    <w:link w:val="FootnoteTextChar"/>
    <w:uiPriority w:val="99"/>
    <w:semiHidden/>
    <w:unhideWhenUsed/>
    <w:rsid w:val="005569F5"/>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5569F5"/>
    <w:rPr>
      <w:rFonts w:ascii="Calibri" w:eastAsia="Calibri" w:hAnsi="Calibri"/>
      <w:sz w:val="20"/>
      <w:szCs w:val="20"/>
    </w:rPr>
  </w:style>
  <w:style w:type="character" w:styleId="FootnoteReference">
    <w:name w:val="footnote reference"/>
    <w:basedOn w:val="DefaultParagraphFont"/>
    <w:uiPriority w:val="99"/>
    <w:semiHidden/>
    <w:unhideWhenUsed/>
    <w:rsid w:val="005569F5"/>
    <w:rPr>
      <w:vertAlign w:val="superscript"/>
    </w:rPr>
  </w:style>
  <w:style w:type="character" w:customStyle="1" w:styleId="body1">
    <w:name w:val="body1"/>
    <w:rsid w:val="00E32F15"/>
    <w:rPr>
      <w:rFonts w:ascii="Verdana" w:hAnsi="Verdana" w:hint="default"/>
      <w:color w:val="000000"/>
      <w:sz w:val="14"/>
      <w:szCs w:val="14"/>
    </w:rPr>
  </w:style>
  <w:style w:type="character" w:styleId="Hyperlink">
    <w:name w:val="Hyperlink"/>
    <w:basedOn w:val="DefaultParagraphFont"/>
    <w:uiPriority w:val="99"/>
    <w:unhideWhenUsed/>
    <w:rsid w:val="006A6743"/>
    <w:rPr>
      <w:color w:val="0563C1" w:themeColor="hyperlink"/>
      <w:u w:val="single"/>
    </w:rPr>
  </w:style>
  <w:style w:type="paragraph" w:customStyle="1" w:styleId="NormalWebCharChar">
    <w:name w:val="Normal (Web) Char Char"/>
    <w:basedOn w:val="Normal"/>
    <w:rsid w:val="00565AE5"/>
    <w:pPr>
      <w:spacing w:before="100" w:beforeAutospacing="1" w:after="100" w:afterAutospacing="1"/>
    </w:pPr>
  </w:style>
  <w:style w:type="paragraph" w:customStyle="1" w:styleId="Default">
    <w:name w:val="Default"/>
    <w:rsid w:val="00565AE5"/>
    <w:pPr>
      <w:autoSpaceDE w:val="0"/>
      <w:autoSpaceDN w:val="0"/>
      <w:adjustRightInd w:val="0"/>
      <w:spacing w:after="0" w:line="240" w:lineRule="auto"/>
    </w:pPr>
    <w:rPr>
      <w:rFonts w:eastAsia="SimSu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4579-noteikumi-par-valsts-nodevu-par-personu-apliecinosu-dokumentu-izsnieg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kupce@pml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3215-3727-4E50-BD5B-F73EF5DB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4692</Words>
  <Characters>2675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Dace Kupce</cp:lastModifiedBy>
  <cp:revision>23</cp:revision>
  <cp:lastPrinted>2020-12-15T13:33:00Z</cp:lastPrinted>
  <dcterms:created xsi:type="dcterms:W3CDTF">2020-12-15T07:48:00Z</dcterms:created>
  <dcterms:modified xsi:type="dcterms:W3CDTF">2020-12-16T06:37:00Z</dcterms:modified>
</cp:coreProperties>
</file>