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BE" w:rsidRDefault="00F07F34" w:rsidP="006E65BE">
      <w:pPr>
        <w:jc w:val="center"/>
        <w:outlineLvl w:val="2"/>
        <w:rPr>
          <w:b/>
        </w:rPr>
      </w:pPr>
      <w:r w:rsidRPr="00196BB4">
        <w:rPr>
          <w:b/>
        </w:rPr>
        <w:t>Izziņa par atzinumos sniegtajiem iebildumiem par</w:t>
      </w:r>
    </w:p>
    <w:p w:rsidR="006E65BE" w:rsidRPr="006E65BE" w:rsidRDefault="00F07F34" w:rsidP="006E65BE">
      <w:pPr>
        <w:jc w:val="center"/>
        <w:outlineLvl w:val="2"/>
        <w:rPr>
          <w:b/>
        </w:rPr>
      </w:pPr>
      <w:r w:rsidRPr="00196BB4">
        <w:rPr>
          <w:b/>
        </w:rPr>
        <w:t xml:space="preserve"> Ministru kabineta noteikumu projektu </w:t>
      </w:r>
      <w:r w:rsidR="006E65BE">
        <w:rPr>
          <w:b/>
        </w:rPr>
        <w:t>“</w:t>
      </w:r>
      <w:r w:rsidR="006E65BE" w:rsidRPr="006E65BE">
        <w:rPr>
          <w:b/>
        </w:rPr>
        <w:t xml:space="preserve">Grozījums Ministru kabineta </w:t>
      </w:r>
    </w:p>
    <w:p w:rsidR="006E65BE" w:rsidRDefault="006E65BE" w:rsidP="006E65BE">
      <w:pPr>
        <w:jc w:val="center"/>
        <w:outlineLvl w:val="2"/>
        <w:rPr>
          <w:b/>
        </w:rPr>
      </w:pPr>
      <w:r w:rsidRPr="006E65BE">
        <w:rPr>
          <w:b/>
        </w:rPr>
        <w:t>2020.gada 9.jūnija noteikumos Nr.360</w:t>
      </w:r>
    </w:p>
    <w:p w:rsidR="00F07F34" w:rsidRPr="006E65BE" w:rsidRDefault="006E65BE" w:rsidP="006E65BE">
      <w:pPr>
        <w:jc w:val="center"/>
        <w:outlineLvl w:val="2"/>
        <w:rPr>
          <w:b/>
        </w:rPr>
      </w:pPr>
      <w:r>
        <w:rPr>
          <w:b/>
        </w:rPr>
        <w:t xml:space="preserve"> </w:t>
      </w:r>
      <w:r w:rsidRPr="006E65BE">
        <w:rPr>
          <w:b/>
        </w:rPr>
        <w:t>“Epidemioloģiskās drošības pasākumi Covid-19 infekcijas izplatības ierobežošanai”</w:t>
      </w:r>
      <w:r>
        <w:rPr>
          <w:b/>
        </w:rPr>
        <w:t>”</w:t>
      </w:r>
    </w:p>
    <w:p w:rsidR="00F07F34" w:rsidRPr="00196BB4" w:rsidRDefault="00F07F34" w:rsidP="00F07F34">
      <w:pPr>
        <w:pStyle w:val="naisf"/>
        <w:spacing w:before="0" w:after="0"/>
        <w:ind w:firstLine="720"/>
      </w:pPr>
    </w:p>
    <w:p w:rsidR="00F07F34" w:rsidRPr="00196BB4" w:rsidRDefault="00F07F34" w:rsidP="00F07F34">
      <w:pPr>
        <w:pStyle w:val="naisf"/>
        <w:spacing w:before="0" w:after="0"/>
        <w:ind w:firstLine="0"/>
        <w:jc w:val="center"/>
        <w:rPr>
          <w:b/>
        </w:rPr>
      </w:pPr>
      <w:r w:rsidRPr="00196BB4">
        <w:rPr>
          <w:b/>
        </w:rPr>
        <w:t>I. Jautājumi, par kuriem saskaņošanā vienošanās nav panākta</w:t>
      </w:r>
    </w:p>
    <w:p w:rsidR="00F07F34" w:rsidRPr="00196BB4" w:rsidRDefault="00F07F34" w:rsidP="00F07F34">
      <w:pPr>
        <w:pStyle w:val="naisf"/>
        <w:spacing w:before="0" w:after="0"/>
        <w:ind w:firstLine="0"/>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1585"/>
        <w:gridCol w:w="4510"/>
        <w:gridCol w:w="4137"/>
        <w:gridCol w:w="1843"/>
        <w:gridCol w:w="1376"/>
      </w:tblGrid>
      <w:tr w:rsidR="00196BB4" w:rsidRPr="00196BB4" w:rsidTr="00627006">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Nr. p.k.</w:t>
            </w:r>
          </w:p>
        </w:tc>
        <w:tc>
          <w:tcPr>
            <w:tcW w:w="1585"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12"/>
            </w:pPr>
            <w:r w:rsidRPr="00196BB4">
              <w:t>Saskaņošanai nosūtītā projekta redakcija (konkrēta punkta (panta) redakcija)</w:t>
            </w:r>
          </w:p>
        </w:tc>
        <w:tc>
          <w:tcPr>
            <w:tcW w:w="4510"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Atzinumā norādītais ministrijas (citas institūcijas) iebildums, kā arī saskaņošanā papildus izteiktais iebildums par projekta konkrēto punktu (pantu)</w:t>
            </w:r>
          </w:p>
        </w:tc>
        <w:tc>
          <w:tcPr>
            <w:tcW w:w="4137"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21"/>
            </w:pPr>
            <w:r w:rsidRPr="00196BB4">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rsidR="00F07F34" w:rsidRPr="00196BB4" w:rsidRDefault="00F07F34" w:rsidP="00B2562A">
            <w:pPr>
              <w:jc w:val="center"/>
            </w:pPr>
            <w:r w:rsidRPr="00196BB4">
              <w:t>Atzinuma sniedzēja uzturētais iebildums, ja tas atšķiras no atzinumā norādītā iebilduma pamatojuma</w:t>
            </w:r>
          </w:p>
        </w:tc>
        <w:tc>
          <w:tcPr>
            <w:tcW w:w="1376" w:type="dxa"/>
            <w:tcBorders>
              <w:top w:val="single" w:sz="4" w:space="0" w:color="auto"/>
              <w:left w:val="single" w:sz="4" w:space="0" w:color="auto"/>
              <w:bottom w:val="single" w:sz="4" w:space="0" w:color="auto"/>
            </w:tcBorders>
            <w:vAlign w:val="center"/>
          </w:tcPr>
          <w:p w:rsidR="00F07F34" w:rsidRPr="00196BB4" w:rsidRDefault="00F07F34" w:rsidP="00B2562A">
            <w:pPr>
              <w:jc w:val="center"/>
            </w:pPr>
            <w:r w:rsidRPr="00196BB4">
              <w:t>Projekta attiecīgā punkta (panta) galīgā redakcija</w:t>
            </w:r>
          </w:p>
        </w:tc>
      </w:tr>
      <w:tr w:rsidR="00196BB4" w:rsidRPr="00196BB4" w:rsidTr="00627006">
        <w:trPr>
          <w:trHeight w:val="20"/>
        </w:trPr>
        <w:tc>
          <w:tcPr>
            <w:tcW w:w="709"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1</w:t>
            </w:r>
          </w:p>
        </w:tc>
        <w:tc>
          <w:tcPr>
            <w:tcW w:w="1585"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2</w:t>
            </w:r>
          </w:p>
        </w:tc>
        <w:tc>
          <w:tcPr>
            <w:tcW w:w="4510"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3</w:t>
            </w:r>
          </w:p>
        </w:tc>
        <w:tc>
          <w:tcPr>
            <w:tcW w:w="4137"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4</w:t>
            </w:r>
          </w:p>
        </w:tc>
        <w:tc>
          <w:tcPr>
            <w:tcW w:w="1843" w:type="dxa"/>
            <w:tcBorders>
              <w:top w:val="single" w:sz="4" w:space="0" w:color="auto"/>
              <w:left w:val="single" w:sz="4" w:space="0" w:color="auto"/>
              <w:bottom w:val="single" w:sz="4" w:space="0" w:color="auto"/>
              <w:right w:val="single" w:sz="4" w:space="0" w:color="auto"/>
            </w:tcBorders>
          </w:tcPr>
          <w:p w:rsidR="00F07F34" w:rsidRPr="00196BB4" w:rsidRDefault="00F07F34" w:rsidP="00B2562A">
            <w:pPr>
              <w:jc w:val="center"/>
            </w:pPr>
            <w:r w:rsidRPr="00196BB4">
              <w:t>5</w:t>
            </w:r>
          </w:p>
        </w:tc>
        <w:tc>
          <w:tcPr>
            <w:tcW w:w="1376" w:type="dxa"/>
            <w:tcBorders>
              <w:top w:val="single" w:sz="4" w:space="0" w:color="auto"/>
              <w:left w:val="single" w:sz="4" w:space="0" w:color="auto"/>
              <w:bottom w:val="single" w:sz="4" w:space="0" w:color="auto"/>
            </w:tcBorders>
          </w:tcPr>
          <w:p w:rsidR="00F07F34" w:rsidRPr="00196BB4" w:rsidRDefault="00F07F34" w:rsidP="00B2562A">
            <w:pPr>
              <w:jc w:val="center"/>
            </w:pPr>
            <w:r w:rsidRPr="00196BB4">
              <w:t>6</w:t>
            </w:r>
          </w:p>
        </w:tc>
      </w:tr>
    </w:tbl>
    <w:p w:rsidR="00F07F34" w:rsidRPr="00196BB4" w:rsidRDefault="00F07F34" w:rsidP="00F07F34">
      <w:pPr>
        <w:pStyle w:val="naisf"/>
        <w:spacing w:before="0" w:after="0"/>
        <w:ind w:firstLine="0"/>
      </w:pPr>
    </w:p>
    <w:p w:rsidR="00F07F34" w:rsidRPr="00196BB4" w:rsidRDefault="00F07F34" w:rsidP="00F07F34">
      <w:pPr>
        <w:pStyle w:val="naisf"/>
        <w:spacing w:before="0" w:after="0"/>
        <w:ind w:firstLine="0"/>
        <w:rPr>
          <w:b/>
        </w:rPr>
      </w:pPr>
      <w:r w:rsidRPr="00196BB4">
        <w:rPr>
          <w:b/>
        </w:rPr>
        <w:t>Informācija par starpministriju (starpinstitūciju) sanāksmi vai elektronisko saskaņošanu</w:t>
      </w:r>
    </w:p>
    <w:p w:rsidR="00F07F34" w:rsidRPr="00196BB4" w:rsidRDefault="00F07F34" w:rsidP="00F07F34">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196BB4" w:rsidRPr="00196BB4" w:rsidTr="00B2562A">
        <w:tc>
          <w:tcPr>
            <w:tcW w:w="6345" w:type="dxa"/>
          </w:tcPr>
          <w:p w:rsidR="00F07F34" w:rsidRPr="00196BB4" w:rsidRDefault="00F07F34" w:rsidP="00B2562A">
            <w:pPr>
              <w:pStyle w:val="naisf"/>
              <w:spacing w:before="0" w:after="0"/>
              <w:ind w:firstLine="0"/>
            </w:pPr>
          </w:p>
        </w:tc>
        <w:tc>
          <w:tcPr>
            <w:tcW w:w="6237" w:type="dxa"/>
            <w:gridSpan w:val="3"/>
            <w:tcBorders>
              <w:bottom w:val="single" w:sz="4" w:space="0" w:color="auto"/>
            </w:tcBorders>
          </w:tcPr>
          <w:p w:rsidR="00F07F34" w:rsidRPr="00196BB4" w:rsidRDefault="00F07F34" w:rsidP="00B2562A">
            <w:pPr>
              <w:pStyle w:val="NormalWeb"/>
              <w:spacing w:before="0" w:beforeAutospacing="0" w:after="0" w:afterAutospacing="0"/>
            </w:pPr>
          </w:p>
        </w:tc>
      </w:tr>
      <w:tr w:rsidR="00196BB4" w:rsidRPr="00196BB4" w:rsidTr="00B2562A">
        <w:tc>
          <w:tcPr>
            <w:tcW w:w="6345" w:type="dxa"/>
          </w:tcPr>
          <w:p w:rsidR="00F07F34" w:rsidRPr="00196BB4" w:rsidRDefault="00F07F34" w:rsidP="00B2562A">
            <w:pPr>
              <w:pStyle w:val="naisf"/>
              <w:spacing w:before="0" w:after="0"/>
              <w:ind w:firstLine="0"/>
            </w:pPr>
          </w:p>
        </w:tc>
        <w:tc>
          <w:tcPr>
            <w:tcW w:w="6237" w:type="dxa"/>
            <w:gridSpan w:val="3"/>
            <w:tcBorders>
              <w:top w:val="single" w:sz="4" w:space="0" w:color="auto"/>
            </w:tcBorders>
          </w:tcPr>
          <w:p w:rsidR="00F07F34" w:rsidRPr="00196BB4" w:rsidRDefault="00F07F34" w:rsidP="00B2562A">
            <w:pPr>
              <w:pStyle w:val="NormalWeb"/>
              <w:spacing w:before="0" w:beforeAutospacing="0" w:after="0" w:afterAutospacing="0"/>
              <w:ind w:firstLine="720"/>
            </w:pPr>
          </w:p>
        </w:tc>
      </w:tr>
      <w:tr w:rsidR="00196BB4" w:rsidRPr="00196BB4" w:rsidTr="00B2562A">
        <w:tc>
          <w:tcPr>
            <w:tcW w:w="6345" w:type="dxa"/>
          </w:tcPr>
          <w:p w:rsidR="00F07F34" w:rsidRPr="00196BB4" w:rsidRDefault="00F07F34" w:rsidP="005235F1">
            <w:pPr>
              <w:pStyle w:val="naiskr"/>
              <w:tabs>
                <w:tab w:val="center" w:pos="3064"/>
              </w:tabs>
              <w:spacing w:before="0" w:after="0"/>
            </w:pPr>
            <w:r w:rsidRPr="00196BB4">
              <w:t>Saskaņošanas dalībnieki</w:t>
            </w:r>
            <w:r w:rsidR="005235F1">
              <w:tab/>
            </w:r>
          </w:p>
        </w:tc>
        <w:tc>
          <w:tcPr>
            <w:tcW w:w="6237" w:type="dxa"/>
            <w:gridSpan w:val="3"/>
          </w:tcPr>
          <w:p w:rsidR="00F07F34" w:rsidRPr="00196BB4" w:rsidRDefault="00F07F34" w:rsidP="00935B75">
            <w:pPr>
              <w:pStyle w:val="NormalWeb"/>
              <w:spacing w:before="0" w:beforeAutospacing="0" w:after="0" w:afterAutospacing="0"/>
            </w:pPr>
          </w:p>
        </w:tc>
      </w:tr>
      <w:tr w:rsidR="00196BB4" w:rsidRPr="00196BB4" w:rsidTr="00B2562A">
        <w:tc>
          <w:tcPr>
            <w:tcW w:w="6345" w:type="dxa"/>
          </w:tcPr>
          <w:p w:rsidR="00F07F34" w:rsidRPr="00196BB4" w:rsidRDefault="00F07F34" w:rsidP="00B2562A">
            <w:pPr>
              <w:pStyle w:val="naiskr"/>
              <w:spacing w:before="0" w:after="0"/>
              <w:ind w:firstLine="720"/>
            </w:pPr>
          </w:p>
        </w:tc>
        <w:tc>
          <w:tcPr>
            <w:tcW w:w="6237" w:type="dxa"/>
            <w:gridSpan w:val="3"/>
            <w:tcBorders>
              <w:top w:val="single" w:sz="6" w:space="0" w:color="000000"/>
              <w:bottom w:val="single" w:sz="6" w:space="0" w:color="000000"/>
            </w:tcBorders>
          </w:tcPr>
          <w:p w:rsidR="00F07F34" w:rsidRPr="00196BB4" w:rsidRDefault="00F07F34" w:rsidP="00B2562A">
            <w:pPr>
              <w:pStyle w:val="naiskr"/>
              <w:spacing w:before="0" w:after="0"/>
              <w:ind w:firstLine="720"/>
            </w:pPr>
          </w:p>
        </w:tc>
      </w:tr>
      <w:tr w:rsidR="00196BB4" w:rsidRPr="00196BB4" w:rsidTr="00B2562A">
        <w:trPr>
          <w:trHeight w:val="285"/>
        </w:trPr>
        <w:tc>
          <w:tcPr>
            <w:tcW w:w="6345" w:type="dxa"/>
          </w:tcPr>
          <w:p w:rsidR="00F07F34" w:rsidRPr="00196BB4" w:rsidRDefault="00F07F34" w:rsidP="00B2562A">
            <w:pPr>
              <w:pStyle w:val="naiskr"/>
              <w:spacing w:before="0" w:after="0"/>
            </w:pPr>
          </w:p>
        </w:tc>
        <w:tc>
          <w:tcPr>
            <w:tcW w:w="1203" w:type="dxa"/>
            <w:gridSpan w:val="2"/>
          </w:tcPr>
          <w:p w:rsidR="00F07F34" w:rsidRPr="00196BB4" w:rsidRDefault="00F07F34" w:rsidP="00B2562A">
            <w:pPr>
              <w:pStyle w:val="naiskr"/>
              <w:spacing w:before="0" w:after="0"/>
              <w:ind w:firstLine="720"/>
            </w:pPr>
          </w:p>
        </w:tc>
        <w:tc>
          <w:tcPr>
            <w:tcW w:w="5034" w:type="dxa"/>
          </w:tcPr>
          <w:p w:rsidR="00F07F34" w:rsidRPr="00196BB4" w:rsidRDefault="00F07F34" w:rsidP="00B2562A">
            <w:pPr>
              <w:pStyle w:val="naiskr"/>
              <w:spacing w:before="0" w:after="0"/>
              <w:ind w:firstLine="12"/>
            </w:pPr>
          </w:p>
        </w:tc>
      </w:tr>
      <w:tr w:rsidR="00196BB4" w:rsidRPr="00196BB4" w:rsidTr="00B2562A">
        <w:trPr>
          <w:trHeight w:val="285"/>
        </w:trPr>
        <w:tc>
          <w:tcPr>
            <w:tcW w:w="6708" w:type="dxa"/>
            <w:gridSpan w:val="2"/>
          </w:tcPr>
          <w:p w:rsidR="00F07F34" w:rsidRPr="00196BB4" w:rsidRDefault="00F07F34" w:rsidP="00B2562A">
            <w:pPr>
              <w:pStyle w:val="naiskr"/>
              <w:spacing w:before="0" w:after="0"/>
            </w:pPr>
            <w:r w:rsidRPr="00196BB4">
              <w:t>Saskaņošanas dalībnieki izskatīja šādu ministriju (citu institūciju) iebildumus</w:t>
            </w:r>
          </w:p>
        </w:tc>
        <w:tc>
          <w:tcPr>
            <w:tcW w:w="840" w:type="dxa"/>
          </w:tcPr>
          <w:p w:rsidR="00F07F34" w:rsidRPr="00196BB4" w:rsidRDefault="00F07F34" w:rsidP="00B2562A">
            <w:pPr>
              <w:pStyle w:val="naiskr"/>
              <w:spacing w:before="0" w:after="0"/>
              <w:ind w:firstLine="720"/>
            </w:pPr>
          </w:p>
        </w:tc>
        <w:tc>
          <w:tcPr>
            <w:tcW w:w="5034" w:type="dxa"/>
          </w:tcPr>
          <w:p w:rsidR="00F07F34" w:rsidRPr="00196BB4" w:rsidRDefault="00F07F34" w:rsidP="00B2562A">
            <w:pPr>
              <w:pStyle w:val="naiskr"/>
              <w:spacing w:before="0" w:after="0"/>
            </w:pPr>
          </w:p>
        </w:tc>
      </w:tr>
      <w:tr w:rsidR="00196BB4" w:rsidRPr="00196BB4" w:rsidTr="00B2562A">
        <w:trPr>
          <w:trHeight w:val="359"/>
        </w:trPr>
        <w:tc>
          <w:tcPr>
            <w:tcW w:w="6708" w:type="dxa"/>
            <w:gridSpan w:val="2"/>
          </w:tcPr>
          <w:p w:rsidR="00F07F34" w:rsidRPr="00196BB4" w:rsidRDefault="00F07F34" w:rsidP="00B2562A">
            <w:pPr>
              <w:pStyle w:val="naiskr"/>
              <w:spacing w:before="0" w:after="0"/>
              <w:ind w:firstLine="720"/>
            </w:pPr>
            <w:r w:rsidRPr="00196BB4">
              <w:t>  </w:t>
            </w:r>
          </w:p>
        </w:tc>
        <w:tc>
          <w:tcPr>
            <w:tcW w:w="5874" w:type="dxa"/>
            <w:gridSpan w:val="2"/>
            <w:tcBorders>
              <w:top w:val="single" w:sz="6" w:space="0" w:color="000000"/>
              <w:bottom w:val="single" w:sz="6" w:space="0" w:color="000000"/>
            </w:tcBorders>
          </w:tcPr>
          <w:p w:rsidR="00F07F34" w:rsidRPr="00196BB4" w:rsidRDefault="00F07F34" w:rsidP="00B2562A">
            <w:pPr>
              <w:pStyle w:val="NormalWeb"/>
              <w:spacing w:before="0" w:beforeAutospacing="0" w:after="0" w:afterAutospacing="0"/>
            </w:pPr>
          </w:p>
        </w:tc>
      </w:tr>
      <w:tr w:rsidR="00196BB4" w:rsidRPr="00196BB4" w:rsidTr="00B2562A">
        <w:trPr>
          <w:trHeight w:val="465"/>
        </w:trPr>
        <w:tc>
          <w:tcPr>
            <w:tcW w:w="12582" w:type="dxa"/>
            <w:gridSpan w:val="4"/>
          </w:tcPr>
          <w:p w:rsidR="00F07F34" w:rsidRPr="00196BB4" w:rsidRDefault="00F07F34" w:rsidP="00B2562A">
            <w:pPr>
              <w:pStyle w:val="naisc"/>
              <w:spacing w:before="0" w:after="0"/>
              <w:jc w:val="left"/>
            </w:pPr>
          </w:p>
        </w:tc>
      </w:tr>
      <w:tr w:rsidR="00196BB4" w:rsidRPr="00196BB4" w:rsidTr="00B2562A">
        <w:tc>
          <w:tcPr>
            <w:tcW w:w="6708" w:type="dxa"/>
            <w:gridSpan w:val="2"/>
          </w:tcPr>
          <w:p w:rsidR="00F07F34" w:rsidRPr="00196BB4" w:rsidRDefault="00F07F34" w:rsidP="00B2562A">
            <w:pPr>
              <w:pStyle w:val="naiskr"/>
              <w:spacing w:before="0" w:after="0"/>
            </w:pPr>
            <w:r w:rsidRPr="00196BB4">
              <w:t>Ministrijas (citas institūcijas), kuras nav ieradušās uz sanāksmi vai kuras nav atbildējušas uz uzaicinājumu piedalīties elektroniskajā saskaņošanā</w:t>
            </w:r>
          </w:p>
        </w:tc>
        <w:tc>
          <w:tcPr>
            <w:tcW w:w="5874" w:type="dxa"/>
            <w:gridSpan w:val="2"/>
          </w:tcPr>
          <w:p w:rsidR="00F07F34" w:rsidRPr="00196BB4" w:rsidRDefault="00F07F34" w:rsidP="00B2562A">
            <w:pPr>
              <w:pStyle w:val="naiskr"/>
              <w:spacing w:before="0" w:after="0"/>
              <w:ind w:firstLine="720"/>
            </w:pPr>
          </w:p>
        </w:tc>
      </w:tr>
      <w:tr w:rsidR="00F07F34" w:rsidRPr="00196BB4" w:rsidTr="00B2562A">
        <w:tc>
          <w:tcPr>
            <w:tcW w:w="6708" w:type="dxa"/>
            <w:gridSpan w:val="2"/>
          </w:tcPr>
          <w:p w:rsidR="00F07F34" w:rsidRPr="00196BB4" w:rsidRDefault="00F07F34" w:rsidP="00B2562A">
            <w:pPr>
              <w:pStyle w:val="naiskr"/>
              <w:spacing w:before="0" w:after="0"/>
              <w:ind w:firstLine="720"/>
            </w:pPr>
            <w:r w:rsidRPr="00196BB4">
              <w:lastRenderedPageBreak/>
              <w:t>  </w:t>
            </w:r>
          </w:p>
        </w:tc>
        <w:tc>
          <w:tcPr>
            <w:tcW w:w="5874" w:type="dxa"/>
            <w:gridSpan w:val="2"/>
            <w:tcBorders>
              <w:top w:val="single" w:sz="6" w:space="0" w:color="000000"/>
              <w:bottom w:val="single" w:sz="6" w:space="0" w:color="000000"/>
            </w:tcBorders>
          </w:tcPr>
          <w:p w:rsidR="00F07F34" w:rsidRPr="00196BB4" w:rsidRDefault="00F07F34" w:rsidP="00B2562A">
            <w:pPr>
              <w:pStyle w:val="naiskr"/>
              <w:spacing w:before="0" w:after="0"/>
              <w:ind w:firstLine="720"/>
            </w:pPr>
          </w:p>
        </w:tc>
      </w:tr>
    </w:tbl>
    <w:p w:rsidR="00F07F34" w:rsidRPr="00196BB4" w:rsidRDefault="00F07F34" w:rsidP="00F07F34">
      <w:pPr>
        <w:pStyle w:val="naisf"/>
        <w:spacing w:before="0" w:after="0"/>
        <w:ind w:firstLine="0"/>
        <w:jc w:val="center"/>
        <w:rPr>
          <w:b/>
        </w:rPr>
      </w:pPr>
    </w:p>
    <w:p w:rsidR="00F07F34" w:rsidRPr="00196BB4" w:rsidRDefault="00F07F34" w:rsidP="00F07F34">
      <w:pPr>
        <w:pStyle w:val="naisf"/>
        <w:spacing w:before="0" w:after="0"/>
        <w:ind w:firstLine="0"/>
        <w:jc w:val="center"/>
        <w:rPr>
          <w:b/>
        </w:rPr>
      </w:pPr>
      <w:r w:rsidRPr="00196BB4">
        <w:rPr>
          <w:b/>
        </w:rPr>
        <w:t>II. Jautājumi, par kuriem saskaņošanā vienošanās ir panākta</w:t>
      </w:r>
    </w:p>
    <w:p w:rsidR="00F07F34" w:rsidRPr="00196BB4" w:rsidRDefault="00F07F34" w:rsidP="00F07F34">
      <w:pPr>
        <w:pStyle w:val="naisf"/>
        <w:spacing w:before="0" w:after="0"/>
        <w:ind w:firstLine="0"/>
        <w:jc w:val="center"/>
        <w:rPr>
          <w:b/>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2294"/>
        <w:gridCol w:w="3660"/>
      </w:tblGrid>
      <w:tr w:rsidR="00196BB4" w:rsidRPr="00196BB4" w:rsidTr="00904E99">
        <w:tc>
          <w:tcPr>
            <w:tcW w:w="708"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12"/>
            </w:pPr>
            <w:r w:rsidRPr="00196BB4">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Atzinumā norādītais ministrijas (citas institūcijas) iebildums, kā arī saskaņošanā papildus izteiktais iebildums par projekta konkrēto punktu (pantu)</w:t>
            </w:r>
          </w:p>
        </w:tc>
        <w:tc>
          <w:tcPr>
            <w:tcW w:w="2294"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21"/>
            </w:pPr>
            <w:r w:rsidRPr="00196BB4">
              <w:t>Atbildīgās ministrijas norāde par to, ka iebildums ir ņemts vērā, vai informācija par saskaņošanā panākto alternatīvo risinājumu</w:t>
            </w:r>
          </w:p>
        </w:tc>
        <w:tc>
          <w:tcPr>
            <w:tcW w:w="3660" w:type="dxa"/>
            <w:tcBorders>
              <w:top w:val="single" w:sz="4" w:space="0" w:color="auto"/>
              <w:left w:val="single" w:sz="4" w:space="0" w:color="auto"/>
              <w:bottom w:val="single" w:sz="4" w:space="0" w:color="auto"/>
            </w:tcBorders>
            <w:vAlign w:val="center"/>
          </w:tcPr>
          <w:p w:rsidR="00F07F34" w:rsidRPr="00196BB4" w:rsidRDefault="00F07F34" w:rsidP="00B2562A">
            <w:pPr>
              <w:jc w:val="center"/>
            </w:pPr>
            <w:r w:rsidRPr="00196BB4">
              <w:t>Projekta attiecīgā punkta (panta) galīgā redakcija</w:t>
            </w:r>
          </w:p>
        </w:tc>
      </w:tr>
      <w:tr w:rsidR="00196BB4" w:rsidRPr="00196BB4" w:rsidTr="00904E99">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1</w:t>
            </w:r>
          </w:p>
        </w:tc>
        <w:tc>
          <w:tcPr>
            <w:tcW w:w="3086"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2</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3</w:t>
            </w:r>
            <w:bookmarkStart w:id="0" w:name="_GoBack"/>
            <w:bookmarkEnd w:id="0"/>
          </w:p>
        </w:tc>
        <w:tc>
          <w:tcPr>
            <w:tcW w:w="22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4</w:t>
            </w:r>
          </w:p>
        </w:tc>
        <w:tc>
          <w:tcPr>
            <w:tcW w:w="3660" w:type="dxa"/>
            <w:tcBorders>
              <w:top w:val="single" w:sz="4" w:space="0" w:color="auto"/>
              <w:left w:val="single" w:sz="4" w:space="0" w:color="auto"/>
              <w:bottom w:val="single" w:sz="4" w:space="0" w:color="auto"/>
            </w:tcBorders>
          </w:tcPr>
          <w:p w:rsidR="00F07F34" w:rsidRPr="00196BB4" w:rsidRDefault="00F07F34" w:rsidP="00B2562A">
            <w:pPr>
              <w:jc w:val="center"/>
            </w:pPr>
            <w:r w:rsidRPr="00196BB4">
              <w:t>5</w:t>
            </w:r>
          </w:p>
        </w:tc>
      </w:tr>
      <w:tr w:rsidR="00935B75" w:rsidRPr="00196BB4" w:rsidTr="00904E99">
        <w:tc>
          <w:tcPr>
            <w:tcW w:w="708" w:type="dxa"/>
            <w:tcBorders>
              <w:top w:val="single" w:sz="6" w:space="0" w:color="000000"/>
              <w:left w:val="single" w:sz="6" w:space="0" w:color="000000"/>
              <w:bottom w:val="single" w:sz="6" w:space="0" w:color="000000"/>
              <w:right w:val="single" w:sz="6" w:space="0" w:color="000000"/>
            </w:tcBorders>
          </w:tcPr>
          <w:p w:rsidR="00935B75" w:rsidRPr="00196BB4" w:rsidRDefault="00935B75" w:rsidP="00B2562A">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rsidR="0012433F" w:rsidRPr="0012433F" w:rsidRDefault="0012433F" w:rsidP="0012433F">
            <w:pPr>
              <w:pStyle w:val="naisc"/>
              <w:jc w:val="both"/>
            </w:pPr>
            <w:r w:rsidRPr="0012433F">
              <w:t>13.</w:t>
            </w:r>
            <w:r w:rsidRPr="0012433F">
              <w:rPr>
                <w:vertAlign w:val="superscript"/>
              </w:rPr>
              <w:t>1</w:t>
            </w:r>
            <w:r w:rsidRPr="0012433F">
              <w:t xml:space="preserve"> Ja persona vēlas pagarināt ieroča atļauju, saņemt dublikātu vai atkārtotu atļauju, izmantojot pasta pakalpojumus, tā Valsts policijas struktūrvienībai vienlaikus ar iesniegumu nosūta pa pastu vienu fotogrāfiju (3 x 4 cm). Iesniegums par ieroča atļaujas pagarināšanu iesniedzams vismaz mēnesi pirms ieroču atļaujas derīguma termiņa beigām. Valsts policijas struktūrvienība pēc iesnieguma saņemšanas izvērtē normatīvajos aktos par ieroču apriti noteiktos </w:t>
            </w:r>
            <w:r w:rsidRPr="0012433F">
              <w:lastRenderedPageBreak/>
              <w:t>attiecīgās ieroča atļaujas izsniegšanas kritērijus un attiecīgi pēc izvērtējuma sagatavoto ieroča atļauju vai atteikumu pagarināt ieroča atļauju kopā ar fotogrāfiju nosūta uz personas iesniegumā norādīto adresi, deklarēto dzīvesvietas adresi vai juridisko adresi</w:t>
            </w:r>
            <w:r w:rsidRPr="0012433F">
              <w:rPr>
                <w:i/>
              </w:rPr>
              <w:t xml:space="preserve">. </w:t>
            </w:r>
            <w:r w:rsidRPr="0012433F">
              <w:t>Valsts policijas struktūrvienība pēc 30 dienām, sazinoties ar attiecīgo personu, pārbauda, vai persona ir saņ</w:t>
            </w:r>
            <w:r w:rsidR="00E51A04">
              <w:t>ēmusi attiecīgo ieroča atļauju.</w:t>
            </w:r>
          </w:p>
          <w:p w:rsidR="00935B75" w:rsidRPr="00196BB4" w:rsidRDefault="00935B75" w:rsidP="00B2562A">
            <w:pPr>
              <w:pStyle w:val="naisc"/>
              <w:spacing w:before="0" w:after="0"/>
            </w:pPr>
          </w:p>
        </w:tc>
        <w:tc>
          <w:tcPr>
            <w:tcW w:w="4394" w:type="dxa"/>
            <w:tcBorders>
              <w:top w:val="single" w:sz="6" w:space="0" w:color="000000"/>
              <w:left w:val="single" w:sz="6" w:space="0" w:color="000000"/>
              <w:bottom w:val="single" w:sz="6" w:space="0" w:color="000000"/>
              <w:right w:val="single" w:sz="6" w:space="0" w:color="000000"/>
            </w:tcBorders>
          </w:tcPr>
          <w:p w:rsidR="00904E99" w:rsidRPr="005235F1" w:rsidRDefault="00904E99" w:rsidP="00904E99">
            <w:pPr>
              <w:pStyle w:val="naisc"/>
              <w:spacing w:before="0" w:after="0"/>
              <w:rPr>
                <w:b/>
              </w:rPr>
            </w:pPr>
            <w:r w:rsidRPr="005235F1">
              <w:rPr>
                <w:b/>
              </w:rPr>
              <w:lastRenderedPageBreak/>
              <w:t>Tieslietu ministrija</w:t>
            </w:r>
          </w:p>
          <w:p w:rsidR="00904E99" w:rsidRPr="005235F1" w:rsidRDefault="00904E99" w:rsidP="00904E99">
            <w:pPr>
              <w:pStyle w:val="naisc"/>
              <w:spacing w:before="0" w:after="0"/>
              <w:rPr>
                <w:b/>
              </w:rPr>
            </w:pPr>
          </w:p>
          <w:p w:rsidR="00904E99" w:rsidRPr="005235F1" w:rsidRDefault="00904E99" w:rsidP="00904E99">
            <w:pPr>
              <w:ind w:firstLine="720"/>
              <w:jc w:val="both"/>
            </w:pPr>
            <w:r w:rsidRPr="005235F1">
              <w:t xml:space="preserve">Projektā paredzētā grozījuma mērķis ir noteikt pasta pakalpojumu piemērošanu kā vienu no saziņas veidiem starp privātpersonu (fizisku personu) un valsts pārvaldi ieroču atļaujas darbības termiņa pagarināšanai, dublikāta izsniegšanai vai atkārtotai atļaujai. Tieslietu ministrija vērš uzmanību, ka valsts pārvaldes un privātpersonas saziņu administratīvajā procesā nosaka Administratīvā procesa likums un Paziņošanas likums, kā arī Covid-19 infekcijas izplatības pārvaldības likuma 8. pants vispārīgi nosaka atsevišķus administratīvā akta izdošanas nosacījumus, tai skaitā papildu saziņas iespējas. Ministru kabineta noteikumos paredzētais </w:t>
            </w:r>
            <w:r w:rsidRPr="005235F1">
              <w:lastRenderedPageBreak/>
              <w:t xml:space="preserve">regulējums nevar būt pretrunā vai citādi ierobežot likumos noteikto regulējumu. Papildus vēršam uzmanību, ka šobrīd projektā paredzētais dažādo lēmumu uzskaitījums par “ieroču atļauju” ir dažādi interpretējams, jo atļaujas saskaņā ar ieroču aprites normatīvo regulējumu var būt dažādas, bet projekta anotācijā par atļauju veidiem skaidrojums netiek sniegts, tikai norādītas noteikumu nodaļas. Vienlaikus projektā esošā norāde par fotogrāfiju ļauj secināt, ka minētā norma tiks attiecināta uz fiziskām personām, bet juridisko personu pārstāvji turpinās būt pakļauti inficēšanās riskiem un piedāvātais regulējums nesasniedz anotācijā noteikto mērķi. Ievērojot minēto, Tieslietu ministrija neatbalsta grozījumu veikšanu Ministru kabineta 2020. gada 9. jūnija noteikumos Nr.360 “Epidemioloģiskās drošības pasākumi Covid-19 infekcijas izplatības ierobežošanai” (turpmāk – noteikumi), jo viena veida administratīvo aktu informācijas aprites regulējuma iekļaušana noteikumos neatbilst izveidotajai tiesību sistēmai un nesniedz pietiekamu priekšstatu par normas piemērošanas robežām. Ja Valsts policija atbilstoši spēkā esošajam tiesiskajam regulējumam nespēj organizēt lēmumu pieņemšanas un paziņošanas procedūru, Tieslietu ministrija piedāvā uz ārkārtējās situācijas laiku paredzēt pārejas </w:t>
            </w:r>
            <w:r w:rsidRPr="005235F1">
              <w:lastRenderedPageBreak/>
              <w:t xml:space="preserve">regulējumu Ministru kabineta 2019. gada 21. maija noteikumos Nr.211 “Noteikumi par ieroču atļaujām un par ieroču izņemšanu un iznīcināšanu”, precīzi nosakot, kādas šo noteikumu normas par ieroču atļaujas darbības termiņa pagarināšanas, dublikāta izsniegšanas vai atkārtotas atļaujas izsniegšanas nosacījumiem tiek izpildītas atšķirīgi vai aprobežotas. Papildus par projekta anotācijā norādīto par parakstīšanos par atļaujas saņemšanu vēlamies norādīt, ka Ministru kabineta 2020. gada 6. novembra rīkojuma Nr.655 “Par ārkārtējās situācijas izsludināšanu” 5.36. apakšpunkts paredz, ka ārkārtējās situācijas laikā nav piemērojams normatīvajos aktos noteiktais nosacījums par pienākumu adresātam parakstīties informatīvā paziņojuma zonā “datums un paraksts”. </w:t>
            </w:r>
          </w:p>
          <w:p w:rsidR="00935B75" w:rsidRPr="005235F1" w:rsidRDefault="00935B75" w:rsidP="00B2562A">
            <w:pPr>
              <w:pStyle w:val="naisc"/>
              <w:spacing w:before="0" w:after="0"/>
            </w:pPr>
          </w:p>
        </w:tc>
        <w:tc>
          <w:tcPr>
            <w:tcW w:w="2294" w:type="dxa"/>
            <w:tcBorders>
              <w:top w:val="single" w:sz="6" w:space="0" w:color="000000"/>
              <w:left w:val="single" w:sz="6" w:space="0" w:color="000000"/>
              <w:bottom w:val="single" w:sz="6" w:space="0" w:color="000000"/>
              <w:right w:val="single" w:sz="6" w:space="0" w:color="000000"/>
            </w:tcBorders>
          </w:tcPr>
          <w:p w:rsidR="00935B75" w:rsidRPr="00904E99" w:rsidRDefault="00904E99" w:rsidP="00B2562A">
            <w:pPr>
              <w:pStyle w:val="naisc"/>
              <w:spacing w:before="0" w:after="0"/>
              <w:rPr>
                <w:b/>
              </w:rPr>
            </w:pPr>
            <w:r w:rsidRPr="00E51A04">
              <w:rPr>
                <w:b/>
              </w:rPr>
              <w:lastRenderedPageBreak/>
              <w:t>Panākta vienošanās</w:t>
            </w:r>
          </w:p>
        </w:tc>
        <w:tc>
          <w:tcPr>
            <w:tcW w:w="3660" w:type="dxa"/>
            <w:tcBorders>
              <w:top w:val="single" w:sz="4" w:space="0" w:color="auto"/>
              <w:left w:val="single" w:sz="4" w:space="0" w:color="auto"/>
              <w:bottom w:val="single" w:sz="4" w:space="0" w:color="auto"/>
            </w:tcBorders>
          </w:tcPr>
          <w:p w:rsidR="00935B75" w:rsidRPr="00196BB4" w:rsidRDefault="009C62DF" w:rsidP="00564417">
            <w:pPr>
              <w:jc w:val="both"/>
            </w:pPr>
            <w:r>
              <w:t>13.</w:t>
            </w:r>
            <w:r w:rsidRPr="009C62DF">
              <w:rPr>
                <w:vertAlign w:val="superscript"/>
              </w:rPr>
              <w:t>1</w:t>
            </w:r>
            <w:r w:rsidRPr="009C62DF">
              <w:t xml:space="preserve"> Ja persona vēlas pagarināt ieroča atļauju, saņemt dublikātu vai atkārtotu atļauju (turpmāk – ieroča atļauja), tā var Valsts policijas struktūrvienībai iesniegt iesniegumu un vienu fotogrāfiju (3 x 4 cm), ja tāda saskaņā ar normatīvajiem aktiem ieroču aprites jomā ir nepieciešama attiecīgās ieroča atļaujas saņemšanai, izmantojot pasta pakalpojumus. Iesniegums par ieroča atļaujas pagarināšanu iesniedzams vismaz mēnesi pirms ieroča atļaujas derīguma termiņa beigām. Pēc iesnieguma izskatīšanas normatīvajos aktos par ieroču apriti noteiktajā kārtībā Valsts policijas struktūrvienība pieņemto lēmumu </w:t>
            </w:r>
            <w:r w:rsidRPr="009C62DF">
              <w:lastRenderedPageBreak/>
              <w:t>paziņo iesniedzējam, vienlaikus (ja ieroča atļauju nolemts izsniegt) sagatavoto ieroča atļauju personai nosūta pa pastu. Valsts policijas struktūrvienība pēc 30 dienām, sazinoties ar attiecīgo personu, pārbauda, vai persona ir saņ</w:t>
            </w:r>
            <w:r w:rsidR="00E51A04">
              <w:t>ēmusi attiecīgo ieroča atļauju.</w:t>
            </w:r>
          </w:p>
        </w:tc>
      </w:tr>
    </w:tbl>
    <w:p w:rsidR="000D1D83" w:rsidRDefault="000D1D83"/>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4898"/>
        <w:gridCol w:w="9898"/>
      </w:tblGrid>
      <w:tr w:rsidR="004F015C" w:rsidTr="007C2516">
        <w:trPr>
          <w:trHeight w:val="300"/>
          <w:tblCellSpacing w:w="15" w:type="dxa"/>
        </w:trPr>
        <w:tc>
          <w:tcPr>
            <w:tcW w:w="1640" w:type="pct"/>
            <w:noWrap/>
            <w:vAlign w:val="bottom"/>
            <w:hideMark/>
          </w:tcPr>
          <w:p w:rsidR="004F015C" w:rsidRDefault="004F015C">
            <w:r>
              <w:t>Atbildīgā amatpersona</w:t>
            </w:r>
          </w:p>
        </w:tc>
        <w:tc>
          <w:tcPr>
            <w:tcW w:w="3330" w:type="pct"/>
            <w:tcBorders>
              <w:bottom w:val="single" w:sz="6" w:space="0" w:color="auto"/>
            </w:tcBorders>
            <w:hideMark/>
          </w:tcPr>
          <w:p w:rsidR="004F015C" w:rsidRDefault="004F015C">
            <w:r>
              <w:t>  </w:t>
            </w:r>
          </w:p>
        </w:tc>
      </w:tr>
      <w:tr w:rsidR="004F015C" w:rsidTr="007C2516">
        <w:trPr>
          <w:tblCellSpacing w:w="15" w:type="dxa"/>
        </w:trPr>
        <w:tc>
          <w:tcPr>
            <w:tcW w:w="1640" w:type="pct"/>
            <w:hideMark/>
          </w:tcPr>
          <w:p w:rsidR="004F015C" w:rsidRDefault="004F015C">
            <w:r>
              <w:t> </w:t>
            </w:r>
          </w:p>
        </w:tc>
        <w:tc>
          <w:tcPr>
            <w:tcW w:w="3330" w:type="pct"/>
            <w:tcBorders>
              <w:top w:val="single" w:sz="6" w:space="0" w:color="auto"/>
            </w:tcBorders>
            <w:hideMark/>
          </w:tcPr>
          <w:p w:rsidR="004F015C" w:rsidRDefault="004F015C">
            <w:pPr>
              <w:jc w:val="center"/>
            </w:pPr>
            <w:r>
              <w:t>(paraksts)*</w:t>
            </w:r>
          </w:p>
        </w:tc>
      </w:tr>
    </w:tbl>
    <w:p w:rsidR="004F015C" w:rsidRPr="000342BD" w:rsidRDefault="004F015C" w:rsidP="004B5236">
      <w:pPr>
        <w:pStyle w:val="tvhtml"/>
        <w:spacing w:before="0" w:beforeAutospacing="0" w:after="0" w:afterAutospacing="0"/>
      </w:pPr>
      <w:r w:rsidRPr="000342BD">
        <w:t>Dzintra Rancāne</w:t>
      </w:r>
    </w:p>
    <w:p w:rsidR="004F015C" w:rsidRPr="000342BD" w:rsidRDefault="004F015C" w:rsidP="004B5236">
      <w:pPr>
        <w:pStyle w:val="tvhtml"/>
        <w:spacing w:before="0" w:beforeAutospacing="0" w:after="0" w:afterAutospacing="0"/>
      </w:pPr>
      <w:r w:rsidRPr="000342BD">
        <w:t>Iekšlietu ministrijas Juridiskā departamenta</w:t>
      </w:r>
    </w:p>
    <w:p w:rsidR="004F015C" w:rsidRPr="000342BD" w:rsidRDefault="004F015C" w:rsidP="004B5236">
      <w:pPr>
        <w:pStyle w:val="tvhtml"/>
        <w:spacing w:before="0" w:beforeAutospacing="0" w:after="0" w:afterAutospacing="0"/>
      </w:pPr>
      <w:r w:rsidRPr="000342BD">
        <w:t>Normatīvo aktu nodaļas juriste</w:t>
      </w:r>
    </w:p>
    <w:p w:rsidR="004F015C" w:rsidRDefault="003437FD" w:rsidP="007C2516">
      <w:pPr>
        <w:pStyle w:val="tvhtml"/>
        <w:spacing w:before="0" w:beforeAutospacing="0" w:after="0" w:afterAutospacing="0"/>
      </w:pPr>
      <w:r w:rsidRPr="000342BD">
        <w:t xml:space="preserve">67219419, </w:t>
      </w:r>
      <w:r w:rsidR="007C2516" w:rsidRPr="007C2516">
        <w:t>dzintra.rancane@iem.gov.lv</w:t>
      </w:r>
    </w:p>
    <w:sectPr w:rsidR="004F015C" w:rsidSect="007C2516">
      <w:headerReference w:type="even" r:id="rId7"/>
      <w:headerReference w:type="default" r:id="rId8"/>
      <w:footerReference w:type="default" r:id="rId9"/>
      <w:footerReference w:type="first" r:id="rId10"/>
      <w:pgSz w:w="16838" w:h="11906" w:orient="landscape" w:code="9"/>
      <w:pgMar w:top="158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DF9" w:rsidRDefault="00AB4DF9" w:rsidP="00E95005">
      <w:r>
        <w:separator/>
      </w:r>
    </w:p>
  </w:endnote>
  <w:endnote w:type="continuationSeparator" w:id="0">
    <w:p w:rsidR="00AB4DF9" w:rsidRDefault="00AB4DF9" w:rsidP="00E9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DF" w:rsidRPr="00186965" w:rsidRDefault="005235F1" w:rsidP="009A56DF">
    <w:pPr>
      <w:pStyle w:val="naisnod"/>
      <w:spacing w:before="120" w:after="0"/>
      <w:jc w:val="both"/>
      <w:rPr>
        <w:b w:val="0"/>
        <w:sz w:val="20"/>
        <w:szCs w:val="20"/>
      </w:rPr>
    </w:pPr>
    <w:r>
      <w:rPr>
        <w:b w:val="0"/>
        <w:sz w:val="20"/>
        <w:szCs w:val="20"/>
      </w:rPr>
      <w:t>IEMIzz_25</w:t>
    </w:r>
    <w:r w:rsidR="009A56DF">
      <w:rPr>
        <w:b w:val="0"/>
        <w:sz w:val="20"/>
        <w:szCs w:val="20"/>
      </w:rPr>
      <w:t>0121</w:t>
    </w:r>
  </w:p>
  <w:p w:rsidR="004D538B" w:rsidRPr="009A56DF" w:rsidRDefault="00AB4DF9" w:rsidP="009A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BD" w:rsidRPr="00186965" w:rsidRDefault="005235F1" w:rsidP="00186965">
    <w:pPr>
      <w:pStyle w:val="naisnod"/>
      <w:spacing w:before="120" w:after="0"/>
      <w:jc w:val="both"/>
      <w:rPr>
        <w:b w:val="0"/>
        <w:sz w:val="20"/>
        <w:szCs w:val="20"/>
      </w:rPr>
    </w:pPr>
    <w:r>
      <w:rPr>
        <w:b w:val="0"/>
        <w:sz w:val="20"/>
        <w:szCs w:val="20"/>
      </w:rPr>
      <w:t>IEMIzz_25</w:t>
    </w:r>
    <w:r w:rsidR="009A56DF">
      <w:rPr>
        <w:b w:val="0"/>
        <w:sz w:val="20"/>
        <w:szCs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DF9" w:rsidRDefault="00AB4DF9" w:rsidP="00E95005">
      <w:r>
        <w:separator/>
      </w:r>
    </w:p>
  </w:footnote>
  <w:footnote w:type="continuationSeparator" w:id="0">
    <w:p w:rsidR="00AB4DF9" w:rsidRDefault="00AB4DF9" w:rsidP="00E9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BD" w:rsidRDefault="00E9500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1BD" w:rsidRDefault="00AB4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BD" w:rsidRDefault="00E9500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A04">
      <w:rPr>
        <w:rStyle w:val="PageNumber"/>
        <w:noProof/>
      </w:rPr>
      <w:t>2</w:t>
    </w:r>
    <w:r>
      <w:rPr>
        <w:rStyle w:val="PageNumber"/>
      </w:rPr>
      <w:fldChar w:fldCharType="end"/>
    </w:r>
  </w:p>
  <w:p w:rsidR="00E921BD" w:rsidRDefault="00AB4DF9" w:rsidP="00E87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332"/>
    <w:multiLevelType w:val="multilevel"/>
    <w:tmpl w:val="E44011B2"/>
    <w:lvl w:ilvl="0">
      <w:start w:val="4"/>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 w15:restartNumberingAfterBreak="0">
    <w:nsid w:val="3548521E"/>
    <w:multiLevelType w:val="multilevel"/>
    <w:tmpl w:val="A7F4B0D2"/>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 w15:restartNumberingAfterBreak="0">
    <w:nsid w:val="4F896EAD"/>
    <w:multiLevelType w:val="multilevel"/>
    <w:tmpl w:val="E1BCAEDE"/>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 w15:restartNumberingAfterBreak="0">
    <w:nsid w:val="522A6D8B"/>
    <w:multiLevelType w:val="multilevel"/>
    <w:tmpl w:val="A20E61AA"/>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4" w15:restartNumberingAfterBreak="0">
    <w:nsid w:val="5A250F37"/>
    <w:multiLevelType w:val="multilevel"/>
    <w:tmpl w:val="A20E61AA"/>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34"/>
    <w:rsid w:val="000342BD"/>
    <w:rsid w:val="000850CE"/>
    <w:rsid w:val="000B0F68"/>
    <w:rsid w:val="000D1D83"/>
    <w:rsid w:val="001031B8"/>
    <w:rsid w:val="0012433F"/>
    <w:rsid w:val="00167FC9"/>
    <w:rsid w:val="00196BB4"/>
    <w:rsid w:val="00307A53"/>
    <w:rsid w:val="0033272E"/>
    <w:rsid w:val="003437FD"/>
    <w:rsid w:val="00460C16"/>
    <w:rsid w:val="004B5236"/>
    <w:rsid w:val="004B74EE"/>
    <w:rsid w:val="004D08A2"/>
    <w:rsid w:val="004F015C"/>
    <w:rsid w:val="005235F1"/>
    <w:rsid w:val="00564417"/>
    <w:rsid w:val="005826B8"/>
    <w:rsid w:val="00627006"/>
    <w:rsid w:val="006356EA"/>
    <w:rsid w:val="006E65BE"/>
    <w:rsid w:val="00762CF1"/>
    <w:rsid w:val="007C2516"/>
    <w:rsid w:val="00904E99"/>
    <w:rsid w:val="00914C56"/>
    <w:rsid w:val="00935B75"/>
    <w:rsid w:val="00991002"/>
    <w:rsid w:val="009A56DF"/>
    <w:rsid w:val="009C62DF"/>
    <w:rsid w:val="009F40CF"/>
    <w:rsid w:val="00AB4DF9"/>
    <w:rsid w:val="00AC338B"/>
    <w:rsid w:val="00AE6065"/>
    <w:rsid w:val="00B16101"/>
    <w:rsid w:val="00B229CC"/>
    <w:rsid w:val="00BC6FA4"/>
    <w:rsid w:val="00BE620A"/>
    <w:rsid w:val="00C55285"/>
    <w:rsid w:val="00E427B7"/>
    <w:rsid w:val="00E51A04"/>
    <w:rsid w:val="00E95005"/>
    <w:rsid w:val="00F07F34"/>
    <w:rsid w:val="00FC2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2395"/>
  <w15:chartTrackingRefBased/>
  <w15:docId w15:val="{EAD1255D-1F06-44CE-86E0-EA442DC3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07F34"/>
    <w:rPr>
      <w:rFonts w:cs="Times New Roman"/>
      <w:color w:val="0000FF"/>
      <w:u w:val="single"/>
    </w:rPr>
  </w:style>
  <w:style w:type="paragraph" w:styleId="NormalWeb">
    <w:name w:val="Normal (Web)"/>
    <w:basedOn w:val="Normal"/>
    <w:uiPriority w:val="99"/>
    <w:rsid w:val="00F07F34"/>
    <w:pPr>
      <w:spacing w:before="100" w:beforeAutospacing="1" w:after="100" w:afterAutospacing="1"/>
    </w:pPr>
  </w:style>
  <w:style w:type="paragraph" w:customStyle="1" w:styleId="naisf">
    <w:name w:val="naisf"/>
    <w:basedOn w:val="Normal"/>
    <w:rsid w:val="00F07F34"/>
    <w:pPr>
      <w:spacing w:before="75" w:after="75"/>
      <w:ind w:firstLine="375"/>
      <w:jc w:val="both"/>
    </w:pPr>
  </w:style>
  <w:style w:type="paragraph" w:customStyle="1" w:styleId="naisnod">
    <w:name w:val="naisnod"/>
    <w:basedOn w:val="Normal"/>
    <w:uiPriority w:val="99"/>
    <w:rsid w:val="00F07F34"/>
    <w:pPr>
      <w:spacing w:before="150" w:after="150"/>
      <w:jc w:val="center"/>
    </w:pPr>
    <w:rPr>
      <w:b/>
      <w:bCs/>
    </w:rPr>
  </w:style>
  <w:style w:type="paragraph" w:customStyle="1" w:styleId="naiskr">
    <w:name w:val="naiskr"/>
    <w:basedOn w:val="Normal"/>
    <w:rsid w:val="00F07F34"/>
    <w:pPr>
      <w:spacing w:before="75" w:after="75"/>
    </w:pPr>
  </w:style>
  <w:style w:type="paragraph" w:customStyle="1" w:styleId="naisc">
    <w:name w:val="naisc"/>
    <w:basedOn w:val="Normal"/>
    <w:rsid w:val="00F07F34"/>
    <w:pPr>
      <w:spacing w:before="75" w:after="75"/>
      <w:jc w:val="center"/>
    </w:pPr>
  </w:style>
  <w:style w:type="paragraph" w:styleId="Header">
    <w:name w:val="header"/>
    <w:basedOn w:val="Normal"/>
    <w:link w:val="HeaderChar"/>
    <w:uiPriority w:val="99"/>
    <w:rsid w:val="00F07F34"/>
    <w:pPr>
      <w:tabs>
        <w:tab w:val="center" w:pos="4153"/>
        <w:tab w:val="right" w:pos="8306"/>
      </w:tabs>
    </w:pPr>
  </w:style>
  <w:style w:type="character" w:customStyle="1" w:styleId="HeaderChar">
    <w:name w:val="Header Char"/>
    <w:basedOn w:val="DefaultParagraphFont"/>
    <w:link w:val="Header"/>
    <w:uiPriority w:val="99"/>
    <w:rsid w:val="00F07F34"/>
    <w:rPr>
      <w:rFonts w:ascii="Times New Roman" w:eastAsia="Times New Roman" w:hAnsi="Times New Roman" w:cs="Times New Roman"/>
      <w:sz w:val="24"/>
      <w:szCs w:val="24"/>
      <w:lang w:eastAsia="lv-LV"/>
    </w:rPr>
  </w:style>
  <w:style w:type="character" w:styleId="PageNumber">
    <w:name w:val="page number"/>
    <w:uiPriority w:val="99"/>
    <w:rsid w:val="00F07F34"/>
    <w:rPr>
      <w:rFonts w:cs="Times New Roman"/>
    </w:rPr>
  </w:style>
  <w:style w:type="paragraph" w:styleId="Footer">
    <w:name w:val="footer"/>
    <w:basedOn w:val="Normal"/>
    <w:link w:val="FooterChar"/>
    <w:uiPriority w:val="99"/>
    <w:rsid w:val="00F07F34"/>
    <w:pPr>
      <w:tabs>
        <w:tab w:val="center" w:pos="4153"/>
        <w:tab w:val="right" w:pos="8306"/>
      </w:tabs>
    </w:pPr>
  </w:style>
  <w:style w:type="character" w:customStyle="1" w:styleId="FooterChar">
    <w:name w:val="Footer Char"/>
    <w:basedOn w:val="DefaultParagraphFont"/>
    <w:link w:val="Footer"/>
    <w:uiPriority w:val="99"/>
    <w:rsid w:val="00F07F34"/>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F07F34"/>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F07F34"/>
    <w:rPr>
      <w:rFonts w:ascii="Calibri" w:eastAsia="Calibri" w:hAnsi="Calibri" w:cs="Times New Roman"/>
    </w:rPr>
  </w:style>
  <w:style w:type="paragraph" w:styleId="BalloonText">
    <w:name w:val="Balloon Text"/>
    <w:basedOn w:val="Normal"/>
    <w:link w:val="BalloonTextChar"/>
    <w:uiPriority w:val="99"/>
    <w:semiHidden/>
    <w:unhideWhenUsed/>
    <w:rsid w:val="00196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B4"/>
    <w:rPr>
      <w:rFonts w:ascii="Segoe UI" w:eastAsia="Times New Roman" w:hAnsi="Segoe UI" w:cs="Segoe UI"/>
      <w:sz w:val="18"/>
      <w:szCs w:val="18"/>
      <w:lang w:eastAsia="lv-LV"/>
    </w:rPr>
  </w:style>
  <w:style w:type="paragraph" w:customStyle="1" w:styleId="tvhtml">
    <w:name w:val="tv_html"/>
    <w:basedOn w:val="Normal"/>
    <w:rsid w:val="004F01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8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3979</Words>
  <Characters>2269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Dzintra Rancāne</cp:lastModifiedBy>
  <cp:revision>37</cp:revision>
  <cp:lastPrinted>2020-12-28T12:59:00Z</cp:lastPrinted>
  <dcterms:created xsi:type="dcterms:W3CDTF">2021-01-05T09:36:00Z</dcterms:created>
  <dcterms:modified xsi:type="dcterms:W3CDTF">2021-01-25T09:01:00Z</dcterms:modified>
</cp:coreProperties>
</file>