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F134" w14:textId="77777777" w:rsidR="006A2224" w:rsidRPr="00A77A93" w:rsidRDefault="006A2224" w:rsidP="006A2224">
      <w:pPr>
        <w:shd w:val="clear" w:color="auto" w:fill="FFFFFF" w:themeFill="background1"/>
        <w:contextualSpacing/>
        <w:jc w:val="center"/>
        <w:rPr>
          <w:b/>
          <w:bCs/>
          <w:noProof/>
          <w:sz w:val="26"/>
          <w:szCs w:val="26"/>
          <w:lang w:val="lv-LV"/>
        </w:rPr>
      </w:pPr>
      <w:bookmarkStart w:id="0" w:name="OLE_LINK3"/>
      <w:bookmarkStart w:id="1" w:name="OLE_LINK1"/>
      <w:bookmarkStart w:id="2" w:name="OLE_LINK2"/>
      <w:bookmarkStart w:id="3" w:name="_GoBack"/>
      <w:bookmarkEnd w:id="3"/>
      <w:r w:rsidRPr="00A77A93">
        <w:rPr>
          <w:b/>
          <w:bCs/>
          <w:noProof/>
          <w:sz w:val="26"/>
          <w:szCs w:val="26"/>
          <w:lang w:val="lv-LV"/>
        </w:rPr>
        <w:t>Ministru kabineta noteikumu projekta “Grozījumi Ministru kabineta 2020. gada 9. jūnija noteikumos Nr. 380 “</w:t>
      </w:r>
      <w:r w:rsidRPr="00A77A93">
        <w:rPr>
          <w:b/>
          <w:bCs/>
          <w:noProof/>
          <w:sz w:val="26"/>
          <w:szCs w:val="26"/>
          <w:shd w:val="clear" w:color="auto" w:fill="FFFFFF"/>
          <w:lang w:val="lv-LV"/>
        </w:rPr>
        <w:t>Noteikumi par prioritāro institūciju un vajadzību sarakstā iekļautajām institūcijām nepieciešamajiem epidemioloģiskās drošības nodrošināšanas resursiem</w:t>
      </w:r>
      <w:r w:rsidRPr="00A77A93">
        <w:rPr>
          <w:b/>
          <w:bCs/>
          <w:noProof/>
          <w:sz w:val="26"/>
          <w:szCs w:val="26"/>
          <w:lang w:val="lv-LV"/>
        </w:rPr>
        <w:t>”” sākotnējās ietekmes novērtējuma ziņojums (anotācija)</w:t>
      </w:r>
    </w:p>
    <w:p w14:paraId="027E12F0" w14:textId="77777777" w:rsidR="006A2224" w:rsidRPr="00A77A93" w:rsidRDefault="006A2224" w:rsidP="006A2224">
      <w:pPr>
        <w:shd w:val="clear" w:color="auto" w:fill="FFFFFF" w:themeFill="background1"/>
        <w:contextualSpacing/>
        <w:jc w:val="center"/>
        <w:rPr>
          <w:bCs/>
          <w:noProof/>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6A2224" w:rsidRPr="00A77A93" w14:paraId="2C19A6A4" w14:textId="77777777" w:rsidTr="009139C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A939C2" w14:textId="77777777" w:rsidR="006A2224" w:rsidRPr="00A77A93" w:rsidRDefault="006A2224" w:rsidP="009139C7">
            <w:pPr>
              <w:contextualSpacing/>
              <w:rPr>
                <w:rFonts w:eastAsia="Times New Roman"/>
                <w:b/>
                <w:bCs/>
                <w:iCs/>
                <w:noProof/>
                <w:sz w:val="26"/>
                <w:szCs w:val="26"/>
                <w:lang w:val="lv-LV" w:eastAsia="lv-LV"/>
              </w:rPr>
            </w:pPr>
            <w:r w:rsidRPr="00A77A93">
              <w:rPr>
                <w:rFonts w:eastAsia="Times New Roman"/>
                <w:b/>
                <w:bCs/>
                <w:iCs/>
                <w:noProof/>
                <w:sz w:val="26"/>
                <w:szCs w:val="26"/>
                <w:lang w:val="lv-LV" w:eastAsia="lv-LV"/>
              </w:rPr>
              <w:t>Tiesību akta projekta anotācijas kopsavilkums</w:t>
            </w:r>
          </w:p>
        </w:tc>
      </w:tr>
      <w:tr w:rsidR="006A2224" w:rsidRPr="00334FFF" w14:paraId="2312E517" w14:textId="77777777" w:rsidTr="009139C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6F1A9FEA" w14:textId="77777777" w:rsidR="006A2224" w:rsidRPr="00A77A93" w:rsidRDefault="006A2224" w:rsidP="009139C7">
            <w:pPr>
              <w:contextualSpacing/>
              <w:rPr>
                <w:rFonts w:eastAsia="Times New Roman"/>
                <w:bCs/>
                <w:iCs/>
                <w:noProof/>
                <w:sz w:val="26"/>
                <w:szCs w:val="26"/>
                <w:lang w:val="lv-LV" w:eastAsia="lv-LV"/>
              </w:rPr>
            </w:pPr>
            <w:r w:rsidRPr="00A77A93">
              <w:rPr>
                <w:rFonts w:eastAsia="Times New Roman"/>
                <w:bCs/>
                <w:iCs/>
                <w:noProof/>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6B75D901" w14:textId="7759E165" w:rsidR="006A2224" w:rsidRPr="00A77A93" w:rsidRDefault="006A2224" w:rsidP="009139C7">
            <w:pPr>
              <w:contextualSpacing/>
              <w:jc w:val="both"/>
              <w:rPr>
                <w:bCs/>
                <w:noProof/>
                <w:sz w:val="26"/>
                <w:szCs w:val="26"/>
                <w:lang w:val="lv-LV"/>
              </w:rPr>
            </w:pPr>
            <w:r w:rsidRPr="00A77A93">
              <w:rPr>
                <w:iCs/>
                <w:noProof/>
                <w:sz w:val="26"/>
                <w:szCs w:val="26"/>
                <w:lang w:val="lv-LV"/>
              </w:rPr>
              <w:t xml:space="preserve">Ministru kabineta noteikumu projekta “Grozījumi Ministru kabineta 2020. gada 9. jūnija noteikumos Nr. 380 “Noteikumi par prioritāro institūciju un vajadzību sarakstā iekļautajām institūcijām nepieciešamajiem epidemioloģiskās drošības nodrošināšanas resursiem”” (turpmāk </w:t>
            </w:r>
            <w:r>
              <w:rPr>
                <w:iCs/>
                <w:noProof/>
                <w:sz w:val="26"/>
                <w:szCs w:val="26"/>
                <w:lang w:val="lv-LV"/>
              </w:rPr>
              <w:t>–</w:t>
            </w:r>
            <w:r w:rsidRPr="00A77A93">
              <w:rPr>
                <w:iCs/>
                <w:noProof/>
                <w:sz w:val="26"/>
                <w:szCs w:val="26"/>
                <w:lang w:val="lv-LV"/>
              </w:rPr>
              <w:t xml:space="preserve"> </w:t>
            </w:r>
            <w:r>
              <w:rPr>
                <w:iCs/>
                <w:noProof/>
                <w:sz w:val="26"/>
                <w:szCs w:val="26"/>
                <w:lang w:val="lv-LV"/>
              </w:rPr>
              <w:t>n</w:t>
            </w:r>
            <w:r w:rsidRPr="00A77A93">
              <w:rPr>
                <w:iCs/>
                <w:noProof/>
                <w:sz w:val="26"/>
                <w:szCs w:val="26"/>
                <w:lang w:val="lv-LV"/>
              </w:rPr>
              <w:t xml:space="preserve">oteikumu projekts) mērķis ir </w:t>
            </w:r>
            <w:r>
              <w:rPr>
                <w:iCs/>
                <w:noProof/>
                <w:sz w:val="26"/>
                <w:szCs w:val="26"/>
                <w:lang w:val="lv-LV"/>
              </w:rPr>
              <w:t xml:space="preserve">paredzēt regulējumu, lai speciālās izglītības iestāžu nodarbinātajiem tiktu nodrošināti </w:t>
            </w:r>
            <w:r w:rsidRPr="00063DC2">
              <w:rPr>
                <w:iCs/>
                <w:noProof/>
                <w:sz w:val="26"/>
                <w:szCs w:val="26"/>
                <w:lang w:val="lv-LV"/>
              </w:rPr>
              <w:t>SARS-CoV-2 antigēna noteikšanas testi</w:t>
            </w:r>
            <w:r w:rsidR="00121C81">
              <w:rPr>
                <w:iCs/>
                <w:noProof/>
                <w:sz w:val="26"/>
                <w:szCs w:val="26"/>
                <w:lang w:val="lv-LV"/>
              </w:rPr>
              <w:t xml:space="preserve"> (turpmāk – Ag testi)</w:t>
            </w:r>
            <w:r>
              <w:rPr>
                <w:iCs/>
                <w:noProof/>
                <w:sz w:val="26"/>
                <w:szCs w:val="26"/>
                <w:lang w:val="lv-LV"/>
              </w:rPr>
              <w:t>.</w:t>
            </w:r>
          </w:p>
        </w:tc>
      </w:tr>
      <w:bookmarkEnd w:id="0"/>
      <w:bookmarkEnd w:id="1"/>
      <w:bookmarkEnd w:id="2"/>
    </w:tbl>
    <w:p w14:paraId="26EB6239" w14:textId="77777777" w:rsidR="006A2224" w:rsidRPr="00A77A93" w:rsidRDefault="006A2224" w:rsidP="006A2224">
      <w:pPr>
        <w:tabs>
          <w:tab w:val="right" w:pos="9072"/>
        </w:tabs>
        <w:contextualSpacing/>
        <w:rPr>
          <w:bCs/>
          <w:noProof/>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6A2224" w:rsidRPr="00A77A93" w14:paraId="0F70DA7F" w14:textId="77777777" w:rsidTr="009139C7">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2F23E765" w14:textId="77777777" w:rsidR="006A2224" w:rsidRPr="00A77A93" w:rsidRDefault="006A2224" w:rsidP="009139C7">
            <w:pPr>
              <w:tabs>
                <w:tab w:val="left" w:pos="5888"/>
              </w:tabs>
              <w:contextualSpacing/>
              <w:jc w:val="center"/>
              <w:rPr>
                <w:rFonts w:eastAsia="Times New Roman"/>
                <w:b/>
                <w:bCs/>
                <w:noProof/>
                <w:sz w:val="26"/>
                <w:szCs w:val="26"/>
                <w:lang w:val="lv-LV" w:eastAsia="lv-LV"/>
              </w:rPr>
            </w:pPr>
            <w:r w:rsidRPr="00A77A93">
              <w:rPr>
                <w:b/>
                <w:bCs/>
                <w:noProof/>
                <w:sz w:val="26"/>
                <w:szCs w:val="26"/>
                <w:lang w:val="lv-LV"/>
              </w:rPr>
              <w:t>I. Tiesību akta projekta izstrādes nepieciešamība</w:t>
            </w:r>
          </w:p>
        </w:tc>
      </w:tr>
      <w:tr w:rsidR="006A2224" w:rsidRPr="00334FFF" w14:paraId="1C598A66" w14:textId="77777777" w:rsidTr="009139C7">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77AF494"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4305C5AE"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F7D7E0D" w14:textId="44890F88" w:rsidR="006A2224" w:rsidRPr="00A77A93" w:rsidRDefault="006A2224" w:rsidP="009139C7">
            <w:pPr>
              <w:spacing w:after="120"/>
              <w:jc w:val="both"/>
              <w:rPr>
                <w:noProof/>
                <w:sz w:val="26"/>
                <w:szCs w:val="26"/>
                <w:lang w:val="lv-LV"/>
              </w:rPr>
            </w:pPr>
            <w:r>
              <w:rPr>
                <w:bCs/>
                <w:noProof/>
                <w:sz w:val="26"/>
                <w:szCs w:val="26"/>
                <w:lang w:val="lv-LV"/>
              </w:rPr>
              <w:t>Noteikumu projekts izstrādāts pēc Izglītības un zinātnes ministrijas (turpmāk – ministrija) iniciatīvas.</w:t>
            </w:r>
          </w:p>
        </w:tc>
      </w:tr>
      <w:tr w:rsidR="006A2224" w:rsidRPr="00334FFF" w14:paraId="1ED5031A" w14:textId="77777777" w:rsidTr="009139C7">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321F1E15" w14:textId="77777777" w:rsidR="006A2224" w:rsidRPr="00A77A93" w:rsidRDefault="006A2224" w:rsidP="009139C7">
            <w:pPr>
              <w:contextualSpacing/>
              <w:jc w:val="both"/>
              <w:rPr>
                <w:rFonts w:eastAsia="Times New Roman"/>
                <w:bCs/>
                <w:noProof/>
                <w:sz w:val="26"/>
                <w:szCs w:val="26"/>
                <w:lang w:val="lv-LV" w:eastAsia="lv-LV"/>
              </w:rPr>
            </w:pPr>
            <w:bookmarkStart w:id="4" w:name="_Hlk49434295"/>
            <w:r w:rsidRPr="00A77A93">
              <w:rPr>
                <w:bCs/>
                <w:noProof/>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6ED1D9DA" w14:textId="77777777" w:rsidR="006A2224" w:rsidRPr="00A77A93" w:rsidRDefault="006A2224" w:rsidP="009139C7">
            <w:pPr>
              <w:contextualSpacing/>
              <w:jc w:val="both"/>
              <w:rPr>
                <w:bCs/>
                <w:noProof/>
                <w:sz w:val="26"/>
                <w:szCs w:val="26"/>
                <w:lang w:val="lv-LV"/>
              </w:rPr>
            </w:pPr>
            <w:r w:rsidRPr="00A77A93">
              <w:rPr>
                <w:bCs/>
                <w:noProof/>
                <w:sz w:val="26"/>
                <w:szCs w:val="26"/>
                <w:lang w:val="lv-LV"/>
              </w:rPr>
              <w:t>Pašreizējā situācija un problēmas, kuru risināšanai tiesību akta projekts izstrādāts, tiesiskā regulējuma mērķis un būtība</w:t>
            </w:r>
          </w:p>
          <w:p w14:paraId="039F7251" w14:textId="77777777" w:rsidR="006A2224" w:rsidRPr="00A77A93" w:rsidRDefault="006A2224" w:rsidP="009139C7">
            <w:pPr>
              <w:jc w:val="both"/>
              <w:rPr>
                <w:rFonts w:eastAsia="Times New Roman"/>
                <w:bCs/>
                <w:noProof/>
                <w:sz w:val="26"/>
                <w:szCs w:val="26"/>
                <w:lang w:val="lv-LV" w:eastAsia="lv-LV"/>
              </w:rPr>
            </w:pPr>
          </w:p>
          <w:p w14:paraId="16F1331E" w14:textId="77777777" w:rsidR="006A2224" w:rsidRPr="00A77A93" w:rsidRDefault="006A2224" w:rsidP="009139C7">
            <w:pPr>
              <w:jc w:val="both"/>
              <w:rPr>
                <w:rFonts w:eastAsia="Times New Roman"/>
                <w:bCs/>
                <w:noProof/>
                <w:sz w:val="26"/>
                <w:szCs w:val="26"/>
                <w:lang w:val="lv-LV" w:eastAsia="lv-LV"/>
              </w:rPr>
            </w:pPr>
          </w:p>
          <w:p w14:paraId="3E42C763" w14:textId="77777777" w:rsidR="006A2224" w:rsidRPr="00A77A93" w:rsidRDefault="006A2224" w:rsidP="009139C7">
            <w:pPr>
              <w:jc w:val="both"/>
              <w:rPr>
                <w:rFonts w:eastAsia="Times New Roman"/>
                <w:bCs/>
                <w:noProof/>
                <w:sz w:val="26"/>
                <w:szCs w:val="26"/>
                <w:lang w:val="lv-LV" w:eastAsia="lv-LV"/>
              </w:rPr>
            </w:pPr>
          </w:p>
          <w:p w14:paraId="22E7F15D" w14:textId="77777777" w:rsidR="006A2224" w:rsidRPr="00A77A93" w:rsidRDefault="006A2224" w:rsidP="009139C7">
            <w:pPr>
              <w:jc w:val="both"/>
              <w:rPr>
                <w:rFonts w:eastAsia="Times New Roman"/>
                <w:bCs/>
                <w:noProof/>
                <w:sz w:val="26"/>
                <w:szCs w:val="26"/>
                <w:lang w:val="lv-LV" w:eastAsia="lv-LV"/>
              </w:rPr>
            </w:pPr>
          </w:p>
          <w:p w14:paraId="372352CE" w14:textId="77777777" w:rsidR="006A2224" w:rsidRPr="00A77A93" w:rsidRDefault="006A2224" w:rsidP="009139C7">
            <w:pPr>
              <w:jc w:val="both"/>
              <w:rPr>
                <w:rFonts w:eastAsia="Times New Roman"/>
                <w:bCs/>
                <w:noProof/>
                <w:sz w:val="26"/>
                <w:szCs w:val="26"/>
                <w:lang w:val="lv-LV" w:eastAsia="lv-LV"/>
              </w:rPr>
            </w:pPr>
          </w:p>
          <w:p w14:paraId="612C7064" w14:textId="77777777" w:rsidR="006A2224" w:rsidRPr="00A77A93" w:rsidRDefault="006A2224" w:rsidP="009139C7">
            <w:pPr>
              <w:jc w:val="both"/>
              <w:rPr>
                <w:rFonts w:eastAsia="Times New Roman"/>
                <w:bCs/>
                <w:noProof/>
                <w:sz w:val="26"/>
                <w:szCs w:val="26"/>
                <w:lang w:val="lv-LV" w:eastAsia="lv-LV"/>
              </w:rPr>
            </w:pPr>
          </w:p>
          <w:p w14:paraId="00E09814" w14:textId="77777777" w:rsidR="006A2224" w:rsidRPr="00A77A93" w:rsidRDefault="006A2224" w:rsidP="009139C7">
            <w:pPr>
              <w:jc w:val="both"/>
              <w:rPr>
                <w:rFonts w:eastAsia="Times New Roman"/>
                <w:bCs/>
                <w:noProof/>
                <w:sz w:val="26"/>
                <w:szCs w:val="26"/>
                <w:lang w:val="lv-LV" w:eastAsia="lv-LV"/>
              </w:rPr>
            </w:pPr>
          </w:p>
          <w:p w14:paraId="4336F262" w14:textId="77777777" w:rsidR="006A2224" w:rsidRPr="00A77A93" w:rsidRDefault="006A2224" w:rsidP="009139C7">
            <w:pPr>
              <w:jc w:val="both"/>
              <w:rPr>
                <w:rFonts w:eastAsia="Times New Roman"/>
                <w:bCs/>
                <w:noProof/>
                <w:sz w:val="26"/>
                <w:szCs w:val="26"/>
                <w:lang w:val="lv-LV" w:eastAsia="lv-LV"/>
              </w:rPr>
            </w:pPr>
          </w:p>
          <w:p w14:paraId="2DFD7F82" w14:textId="77777777" w:rsidR="006A2224" w:rsidRPr="00A77A93" w:rsidRDefault="006A2224" w:rsidP="009139C7">
            <w:pPr>
              <w:jc w:val="both"/>
              <w:rPr>
                <w:rFonts w:eastAsia="Times New Roman"/>
                <w:bCs/>
                <w:noProof/>
                <w:sz w:val="26"/>
                <w:szCs w:val="26"/>
                <w:lang w:val="lv-LV" w:eastAsia="lv-LV"/>
              </w:rPr>
            </w:pPr>
          </w:p>
          <w:p w14:paraId="71115E5D" w14:textId="77777777" w:rsidR="006A2224" w:rsidRPr="00A77A93" w:rsidRDefault="006A2224" w:rsidP="009139C7">
            <w:pPr>
              <w:rPr>
                <w:rFonts w:eastAsia="Times New Roman"/>
                <w:bCs/>
                <w:noProof/>
                <w:sz w:val="26"/>
                <w:szCs w:val="26"/>
                <w:lang w:val="lv-LV" w:eastAsia="lv-LV"/>
              </w:rPr>
            </w:pPr>
          </w:p>
          <w:p w14:paraId="425E0235" w14:textId="77777777" w:rsidR="006A2224" w:rsidRPr="00A77A93" w:rsidRDefault="006A2224" w:rsidP="009139C7">
            <w:pPr>
              <w:jc w:val="both"/>
              <w:rPr>
                <w:rFonts w:eastAsia="Times New Roman"/>
                <w:bCs/>
                <w:noProof/>
                <w:sz w:val="26"/>
                <w:szCs w:val="26"/>
                <w:lang w:val="lv-LV" w:eastAsia="lv-LV"/>
              </w:rPr>
            </w:pPr>
          </w:p>
          <w:p w14:paraId="2B877ECD" w14:textId="77777777" w:rsidR="006A2224" w:rsidRPr="00A77A93" w:rsidRDefault="006A2224" w:rsidP="009139C7">
            <w:pPr>
              <w:jc w:val="both"/>
              <w:rPr>
                <w:rFonts w:eastAsia="Times New Roman"/>
                <w:bCs/>
                <w:noProof/>
                <w:sz w:val="26"/>
                <w:szCs w:val="26"/>
                <w:lang w:val="lv-LV" w:eastAsia="lv-LV"/>
              </w:rPr>
            </w:pPr>
          </w:p>
          <w:p w14:paraId="08184642" w14:textId="77777777" w:rsidR="006A2224" w:rsidRPr="00A77A93" w:rsidRDefault="006A2224" w:rsidP="009139C7">
            <w:pPr>
              <w:jc w:val="both"/>
              <w:rPr>
                <w:rFonts w:eastAsia="Times New Roman"/>
                <w:bCs/>
                <w:noProof/>
                <w:sz w:val="26"/>
                <w:szCs w:val="26"/>
                <w:lang w:val="lv-LV" w:eastAsia="lv-LV"/>
              </w:rPr>
            </w:pPr>
          </w:p>
          <w:p w14:paraId="264C05E7" w14:textId="77777777" w:rsidR="006A2224" w:rsidRPr="00A77A93" w:rsidRDefault="006A2224" w:rsidP="009139C7">
            <w:pPr>
              <w:jc w:val="both"/>
              <w:rPr>
                <w:rFonts w:eastAsia="Times New Roman"/>
                <w:bCs/>
                <w:noProof/>
                <w:sz w:val="26"/>
                <w:szCs w:val="26"/>
                <w:lang w:val="lv-LV" w:eastAsia="lv-LV"/>
              </w:rPr>
            </w:pPr>
          </w:p>
          <w:p w14:paraId="4D8B4409" w14:textId="77777777" w:rsidR="006A2224" w:rsidRPr="00A77A93" w:rsidRDefault="006A2224" w:rsidP="009139C7">
            <w:pPr>
              <w:jc w:val="both"/>
              <w:rPr>
                <w:rFonts w:eastAsia="Times New Roman"/>
                <w:bCs/>
                <w:noProof/>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72BDF44B" w14:textId="21175DDD" w:rsidR="006A2224" w:rsidRPr="00117BB2" w:rsidRDefault="006A2224" w:rsidP="009139C7">
            <w:pPr>
              <w:pStyle w:val="ListParagraph"/>
              <w:autoSpaceDE w:val="0"/>
              <w:autoSpaceDN w:val="0"/>
              <w:adjustRightInd w:val="0"/>
              <w:ind w:left="0"/>
              <w:contextualSpacing w:val="0"/>
              <w:jc w:val="both"/>
              <w:rPr>
                <w:noProof/>
                <w:sz w:val="26"/>
                <w:szCs w:val="26"/>
                <w:lang w:val="lv-LV"/>
              </w:rPr>
            </w:pPr>
            <w:r w:rsidRPr="00117BB2">
              <w:rPr>
                <w:noProof/>
                <w:sz w:val="26"/>
                <w:szCs w:val="26"/>
                <w:lang w:val="lv-LV"/>
              </w:rPr>
              <w:t xml:space="preserve">Nepieciešams papildināt veicamos pasākumus Covid-19 izplatības mazināšanai </w:t>
            </w:r>
            <w:r>
              <w:rPr>
                <w:noProof/>
                <w:sz w:val="26"/>
                <w:szCs w:val="26"/>
                <w:lang w:val="lv-LV"/>
              </w:rPr>
              <w:t>speciālās izglītības iestāžu</w:t>
            </w:r>
            <w:r w:rsidRPr="00117BB2">
              <w:rPr>
                <w:noProof/>
                <w:sz w:val="26"/>
                <w:szCs w:val="26"/>
                <w:lang w:val="lv-LV"/>
              </w:rPr>
              <w:t xml:space="preserve"> darbinieku vidū, </w:t>
            </w:r>
            <w:r>
              <w:rPr>
                <w:noProof/>
                <w:sz w:val="26"/>
                <w:szCs w:val="26"/>
                <w:lang w:val="lv-LV"/>
              </w:rPr>
              <w:t xml:space="preserve">tiem nodrošinot iespēju veikt </w:t>
            </w:r>
            <w:r w:rsidR="00121C81">
              <w:rPr>
                <w:noProof/>
                <w:sz w:val="26"/>
                <w:szCs w:val="26"/>
                <w:lang w:val="lv-LV"/>
              </w:rPr>
              <w:t>Ag testus</w:t>
            </w:r>
            <w:r w:rsidRPr="00117BB2">
              <w:rPr>
                <w:noProof/>
                <w:sz w:val="26"/>
                <w:szCs w:val="26"/>
                <w:lang w:val="lv-LV"/>
              </w:rPr>
              <w:t>.</w:t>
            </w:r>
          </w:p>
          <w:p w14:paraId="0779BB26" w14:textId="0CF352C3" w:rsidR="007F2704" w:rsidRPr="00516832" w:rsidRDefault="007F2704" w:rsidP="007F2704">
            <w:pPr>
              <w:spacing w:line="252" w:lineRule="auto"/>
              <w:jc w:val="both"/>
              <w:rPr>
                <w:noProof/>
                <w:sz w:val="26"/>
                <w:szCs w:val="26"/>
                <w:lang w:val="lv-LV"/>
              </w:rPr>
            </w:pPr>
            <w:r w:rsidRPr="00516832">
              <w:rPr>
                <w:noProof/>
                <w:sz w:val="26"/>
                <w:szCs w:val="26"/>
                <w:lang w:val="lv-LV"/>
              </w:rPr>
              <w:t xml:space="preserve">Ministru kabineta 2020. gada 9. jūnija noteikumu Nr. 360 “Epidemioloģiskās drošības pasākumi Covid-19 infekcijas izplatības ierobežošanai” 4.2., 4.3., 4.4. apakšpunktos nostiprināti distancēšanās, higiēnas un personas veselības stāvokļa uzraudzības pamatprincipi, kuru ievērošana, pamatojoties uz Ministru kabineta 2020. gada 6. novembra rīkojumā Nr. 655 “Par ārkārtējās situācijas izsludināšanu” izsludināto ārkārtējo situāciju valstī, ir obligāti ievērojami, lai mazinātu infekcijas Covid-19 izplatību. Speciālās izglītības programmu izglītojamie, kuriem ir noteikti viegli, vidēji smagi, smagi un dziļi garīgās attīstības traucējumi, ir raksturojami ar prāta spēju traucējumiem, kuri neatjaunojas un nav ārstējami. Garīgās attīstības traucējumi, atkarībā no to smaguma pakāpes, visbiežāk izpaužas personas pašaprūpes traucējumos, kam nepieciešama palīdzība no malas. Būtiski ir saprast, ka garīgās attīstības traucējumiem var būt citi attīstībai svarīgi traucējumi, piemēram, kustību, redzes un dzirdes traucējumi. Garīgās attīstības traucējumu pamatā ir atmiņas, uztveres, domāšanas, uzmanības, emociju, valodas, saskarsmes iemaņu attīstības īpatnības, kuru smaguma izpausmes ir </w:t>
            </w:r>
            <w:r w:rsidRPr="00516832">
              <w:rPr>
                <w:noProof/>
                <w:sz w:val="26"/>
                <w:szCs w:val="26"/>
                <w:lang w:val="lv-LV"/>
              </w:rPr>
              <w:lastRenderedPageBreak/>
              <w:t xml:space="preserve">atkarīgas no personai noteiktās garīgās attīstības traucējumu pakāpes. Minēto traucējumu kopums (gan atsevišķi, gan kompleksi) būtiski ierobežo bērna un pieaugušu personu spēju uztvert lietu kārtību, izprast darbību un seku cēloņsakarības. Ņemot vērā minēto personu ar garīgās attīstības traucējumiem vispārēju raksturojumu, secināms, ka </w:t>
            </w:r>
            <w:r w:rsidR="00516832" w:rsidRPr="00516832">
              <w:rPr>
                <w:noProof/>
                <w:sz w:val="26"/>
                <w:szCs w:val="26"/>
                <w:lang w:val="lv-LV"/>
              </w:rPr>
              <w:t xml:space="preserve">daļa </w:t>
            </w:r>
            <w:r w:rsidRPr="00516832">
              <w:rPr>
                <w:noProof/>
                <w:sz w:val="26"/>
                <w:szCs w:val="26"/>
                <w:lang w:val="lv-LV"/>
              </w:rPr>
              <w:t>speciālo izglītības iestāžu izglītoja</w:t>
            </w:r>
            <w:r w:rsidR="00516832" w:rsidRPr="00516832">
              <w:rPr>
                <w:noProof/>
                <w:sz w:val="26"/>
                <w:szCs w:val="26"/>
                <w:lang w:val="lv-LV"/>
              </w:rPr>
              <w:t>mo</w:t>
            </w:r>
            <w:r w:rsidRPr="00516832">
              <w:rPr>
                <w:noProof/>
                <w:sz w:val="26"/>
                <w:szCs w:val="26"/>
                <w:lang w:val="lv-LV"/>
              </w:rPr>
              <w:t>, jo īpaši jaunākā vecumposma, nespēj ievērot distancēšanās un higiēnas pamatlietas tādā apjomā, lai izvairītos no tālākas Covid-19 infekcijas izplatīšanas.</w:t>
            </w:r>
          </w:p>
          <w:p w14:paraId="010182A8" w14:textId="3E84B738" w:rsidR="006A2224" w:rsidRPr="00EA1175" w:rsidRDefault="00516832" w:rsidP="007F2704">
            <w:pPr>
              <w:spacing w:line="252" w:lineRule="auto"/>
              <w:jc w:val="both"/>
              <w:rPr>
                <w:noProof/>
                <w:sz w:val="26"/>
                <w:szCs w:val="26"/>
                <w:lang w:val="lv-LV"/>
              </w:rPr>
            </w:pPr>
            <w:r w:rsidRPr="00516832">
              <w:rPr>
                <w:noProof/>
                <w:sz w:val="26"/>
                <w:szCs w:val="26"/>
                <w:lang w:val="lv-LV"/>
              </w:rPr>
              <w:t>Ag testu veikšana speciālās izglītības iestāžu darbiniekiem</w:t>
            </w:r>
            <w:r w:rsidR="007F2704" w:rsidRPr="00516832">
              <w:rPr>
                <w:noProof/>
                <w:sz w:val="26"/>
                <w:szCs w:val="26"/>
                <w:lang w:val="lv-LV"/>
              </w:rPr>
              <w:t xml:space="preserve"> ļautu ātrāk noteikt riska personas, kuras</w:t>
            </w:r>
            <w:r w:rsidRPr="00516832">
              <w:rPr>
                <w:noProof/>
                <w:sz w:val="26"/>
                <w:szCs w:val="26"/>
                <w:lang w:val="lv-LV"/>
              </w:rPr>
              <w:t>,</w:t>
            </w:r>
            <w:r w:rsidR="007F2704" w:rsidRPr="00516832">
              <w:rPr>
                <w:noProof/>
                <w:sz w:val="26"/>
                <w:szCs w:val="26"/>
                <w:lang w:val="lv-LV"/>
              </w:rPr>
              <w:t xml:space="preserve"> iespējams</w:t>
            </w:r>
            <w:r w:rsidRPr="00516832">
              <w:rPr>
                <w:noProof/>
                <w:sz w:val="26"/>
                <w:szCs w:val="26"/>
                <w:lang w:val="lv-LV"/>
              </w:rPr>
              <w:t>,</w:t>
            </w:r>
            <w:r w:rsidR="007F2704" w:rsidRPr="00516832">
              <w:rPr>
                <w:noProof/>
                <w:sz w:val="26"/>
                <w:szCs w:val="26"/>
                <w:lang w:val="lv-LV"/>
              </w:rPr>
              <w:t xml:space="preserve"> ir inficētas ar Covid-19, ņemot vērā, ka minēto izglītības iestāžu darbiniek</w:t>
            </w:r>
            <w:r w:rsidRPr="00516832">
              <w:rPr>
                <w:noProof/>
                <w:sz w:val="26"/>
                <w:szCs w:val="26"/>
                <w:lang w:val="lv-LV"/>
              </w:rPr>
              <w:t>u</w:t>
            </w:r>
            <w:r w:rsidR="007F2704" w:rsidRPr="00516832">
              <w:rPr>
                <w:noProof/>
                <w:sz w:val="26"/>
                <w:szCs w:val="26"/>
                <w:lang w:val="lv-LV"/>
              </w:rPr>
              <w:t xml:space="preserve"> ikdiena aizrit ne tikai nodrošinot izglītības procesa norisi, bet arī palīdzot bērniem ar garīgās attīstības traucējumiem veikt pašaprūpi.</w:t>
            </w:r>
            <w:r w:rsidRPr="00516832">
              <w:rPr>
                <w:noProof/>
                <w:sz w:val="26"/>
                <w:szCs w:val="26"/>
                <w:lang w:val="lv-LV"/>
              </w:rPr>
              <w:t xml:space="preserve"> </w:t>
            </w:r>
            <w:r w:rsidR="006A2224" w:rsidRPr="00EA1175">
              <w:rPr>
                <w:noProof/>
                <w:sz w:val="26"/>
                <w:szCs w:val="26"/>
                <w:lang w:val="lv-LV"/>
              </w:rPr>
              <w:t xml:space="preserve">Lai gan Covid-19 infekcijas diagnostikas </w:t>
            </w:r>
            <w:r w:rsidR="006A2224">
              <w:rPr>
                <w:noProof/>
                <w:sz w:val="26"/>
                <w:szCs w:val="26"/>
                <w:lang w:val="lv-LV"/>
              </w:rPr>
              <w:t>“</w:t>
            </w:r>
            <w:r w:rsidR="006A2224" w:rsidRPr="00EA1175">
              <w:rPr>
                <w:noProof/>
                <w:sz w:val="26"/>
                <w:szCs w:val="26"/>
                <w:lang w:val="lv-LV"/>
              </w:rPr>
              <w:t>zelta standarts</w:t>
            </w:r>
            <w:r w:rsidR="006A2224">
              <w:rPr>
                <w:noProof/>
                <w:sz w:val="26"/>
                <w:szCs w:val="26"/>
                <w:lang w:val="lv-LV"/>
              </w:rPr>
              <w:t>”</w:t>
            </w:r>
            <w:r w:rsidR="006A2224" w:rsidRPr="00EA1175">
              <w:rPr>
                <w:noProof/>
                <w:sz w:val="26"/>
                <w:szCs w:val="26"/>
                <w:lang w:val="lv-LV"/>
              </w:rPr>
              <w:t xml:space="preserve"> joprojām ir SARS-CoV-2 vīrusa ribonukleīnskābes (RNS) noteikšana ar Polimerāzes ķēdes reakciju (</w:t>
            </w:r>
            <w:r>
              <w:rPr>
                <w:noProof/>
                <w:sz w:val="26"/>
                <w:szCs w:val="26"/>
                <w:lang w:val="lv-LV"/>
              </w:rPr>
              <w:t xml:space="preserve">turpmāk – </w:t>
            </w:r>
            <w:r w:rsidR="006A2224" w:rsidRPr="00EA1175">
              <w:rPr>
                <w:noProof/>
                <w:sz w:val="26"/>
                <w:szCs w:val="26"/>
                <w:lang w:val="lv-LV"/>
              </w:rPr>
              <w:t>PĶR), ko gan Pasaules Veselības organizācija</w:t>
            </w:r>
            <w:r>
              <w:rPr>
                <w:noProof/>
                <w:sz w:val="26"/>
                <w:szCs w:val="26"/>
                <w:lang w:val="lv-LV"/>
              </w:rPr>
              <w:t>,</w:t>
            </w:r>
            <w:r w:rsidR="006A2224" w:rsidRPr="00EA1175">
              <w:rPr>
                <w:noProof/>
                <w:sz w:val="26"/>
                <w:szCs w:val="26"/>
                <w:lang w:val="lv-LV"/>
              </w:rPr>
              <w:t xml:space="preserve"> gan </w:t>
            </w:r>
            <w:r w:rsidRPr="00516832">
              <w:rPr>
                <w:noProof/>
                <w:sz w:val="26"/>
                <w:szCs w:val="26"/>
                <w:lang w:val="lv-LV"/>
              </w:rPr>
              <w:t>Eiropas Slimību profilakses un kontroles centrs</w:t>
            </w:r>
            <w:r>
              <w:rPr>
                <w:noProof/>
                <w:sz w:val="26"/>
                <w:szCs w:val="26"/>
                <w:lang w:val="lv-LV"/>
              </w:rPr>
              <w:t xml:space="preserve"> </w:t>
            </w:r>
            <w:r w:rsidR="006A2224" w:rsidRPr="00EA1175">
              <w:rPr>
                <w:noProof/>
                <w:sz w:val="26"/>
                <w:szCs w:val="26"/>
                <w:lang w:val="lv-LV"/>
              </w:rPr>
              <w:t xml:space="preserve">uzskata par visuzticamāko metodi, ar kādu testēt Covid-19 saslimušos un kontaktpersonas, </w:t>
            </w:r>
            <w:r w:rsidR="008C3D30">
              <w:rPr>
                <w:noProof/>
                <w:sz w:val="26"/>
                <w:szCs w:val="26"/>
                <w:lang w:val="lv-LV"/>
              </w:rPr>
              <w:t>speciālās izglītības iestāžu nodarbinātajiem nepieciešams nodrošināt iespēju veikt</w:t>
            </w:r>
            <w:r w:rsidR="006A2224" w:rsidRPr="00EA1175">
              <w:rPr>
                <w:noProof/>
                <w:sz w:val="26"/>
                <w:szCs w:val="26"/>
                <w:lang w:val="lv-LV"/>
              </w:rPr>
              <w:t xml:space="preserve"> Ag testu, kas ir mazāk jutīgs Covid-19 infekcijas diagnostikā, salīdzinot ar Covid-19 infekcijas diagnostikai izmantojamiem PĶR testiem, tomēr šādi – bieži testējot – ir iespējams veiksmīgi identificēt saslimušos starp </w:t>
            </w:r>
            <w:r w:rsidR="008C3D30">
              <w:rPr>
                <w:noProof/>
                <w:sz w:val="26"/>
                <w:szCs w:val="26"/>
                <w:lang w:val="lv-LV"/>
              </w:rPr>
              <w:t xml:space="preserve">speciālās izglītības iestāžu </w:t>
            </w:r>
            <w:r w:rsidR="006A2224" w:rsidRPr="00EA1175">
              <w:rPr>
                <w:noProof/>
                <w:sz w:val="26"/>
                <w:szCs w:val="26"/>
                <w:lang w:val="lv-LV"/>
              </w:rPr>
              <w:t xml:space="preserve">darbiniekiem, novēršot </w:t>
            </w:r>
            <w:r w:rsidR="008C3D30">
              <w:rPr>
                <w:noProof/>
                <w:sz w:val="26"/>
                <w:szCs w:val="26"/>
                <w:lang w:val="lv-LV"/>
              </w:rPr>
              <w:t>to</w:t>
            </w:r>
            <w:r w:rsidR="006A2224" w:rsidRPr="00EA1175">
              <w:rPr>
                <w:noProof/>
                <w:sz w:val="26"/>
                <w:szCs w:val="26"/>
                <w:lang w:val="lv-LV"/>
              </w:rPr>
              <w:t xml:space="preserve"> inficēšanos</w:t>
            </w:r>
            <w:r w:rsidR="008C3D30">
              <w:rPr>
                <w:noProof/>
                <w:sz w:val="26"/>
                <w:szCs w:val="26"/>
                <w:lang w:val="lv-LV"/>
              </w:rPr>
              <w:t>.</w:t>
            </w:r>
          </w:p>
          <w:p w14:paraId="0B67D20B" w14:textId="3920E306" w:rsidR="00825EBA" w:rsidRDefault="00825EBA" w:rsidP="009139C7">
            <w:pPr>
              <w:spacing w:line="252" w:lineRule="auto"/>
              <w:jc w:val="both"/>
              <w:rPr>
                <w:noProof/>
                <w:sz w:val="26"/>
                <w:szCs w:val="26"/>
                <w:lang w:val="lv-LV"/>
              </w:rPr>
            </w:pPr>
            <w:r>
              <w:rPr>
                <w:noProof/>
                <w:sz w:val="26"/>
                <w:szCs w:val="26"/>
                <w:lang w:val="lv-LV"/>
              </w:rPr>
              <w:t xml:space="preserve">Speciālās izglītības iestādēs ir nodarbināti pedagogi (tie </w:t>
            </w:r>
            <w:r w:rsidR="00516832">
              <w:rPr>
                <w:noProof/>
                <w:sz w:val="26"/>
                <w:szCs w:val="26"/>
                <w:lang w:val="lv-LV"/>
              </w:rPr>
              <w:t>ir</w:t>
            </w:r>
            <w:r>
              <w:rPr>
                <w:noProof/>
                <w:sz w:val="26"/>
                <w:szCs w:val="26"/>
                <w:lang w:val="lv-LV"/>
              </w:rPr>
              <w:t xml:space="preserve"> gan vispārējās izglītības (tostarp </w:t>
            </w:r>
            <w:r w:rsidR="00516832">
              <w:rPr>
                <w:noProof/>
                <w:sz w:val="26"/>
                <w:szCs w:val="26"/>
                <w:lang w:val="lv-LV"/>
              </w:rPr>
              <w:t xml:space="preserve">var būt </w:t>
            </w:r>
            <w:r>
              <w:rPr>
                <w:noProof/>
                <w:sz w:val="26"/>
                <w:szCs w:val="26"/>
                <w:lang w:val="lv-LV"/>
              </w:rPr>
              <w:t>pirmsskolas izglītības), gan</w:t>
            </w:r>
            <w:r w:rsidR="00516832">
              <w:rPr>
                <w:noProof/>
                <w:sz w:val="26"/>
                <w:szCs w:val="26"/>
                <w:lang w:val="lv-LV"/>
              </w:rPr>
              <w:t xml:space="preserve"> var būt</w:t>
            </w:r>
            <w:r>
              <w:rPr>
                <w:noProof/>
                <w:sz w:val="26"/>
                <w:szCs w:val="26"/>
                <w:lang w:val="lv-LV"/>
              </w:rPr>
              <w:t xml:space="preserve"> profesionālās izglītības pedago</w:t>
            </w:r>
            <w:r w:rsidR="00516832">
              <w:rPr>
                <w:noProof/>
                <w:sz w:val="26"/>
                <w:szCs w:val="26"/>
                <w:lang w:val="lv-LV"/>
              </w:rPr>
              <w:t>g</w:t>
            </w:r>
            <w:r>
              <w:rPr>
                <w:noProof/>
                <w:sz w:val="26"/>
                <w:szCs w:val="26"/>
                <w:lang w:val="lv-LV"/>
              </w:rPr>
              <w:t xml:space="preserve">i), kā arī </w:t>
            </w:r>
            <w:r w:rsidR="00516832">
              <w:rPr>
                <w:noProof/>
                <w:sz w:val="26"/>
                <w:szCs w:val="26"/>
                <w:lang w:val="lv-LV"/>
              </w:rPr>
              <w:t xml:space="preserve">ir </w:t>
            </w:r>
            <w:r>
              <w:rPr>
                <w:noProof/>
                <w:sz w:val="26"/>
                <w:szCs w:val="26"/>
                <w:lang w:val="lv-LV"/>
              </w:rPr>
              <w:t xml:space="preserve">nodarbināti saimnieciskie, tehniskie un </w:t>
            </w:r>
            <w:r w:rsidR="00516832">
              <w:rPr>
                <w:noProof/>
                <w:sz w:val="26"/>
                <w:szCs w:val="26"/>
                <w:lang w:val="lv-LV"/>
              </w:rPr>
              <w:t xml:space="preserve">var būt nodarbināti </w:t>
            </w:r>
            <w:r>
              <w:rPr>
                <w:noProof/>
                <w:sz w:val="26"/>
                <w:szCs w:val="26"/>
                <w:lang w:val="lv-LV"/>
              </w:rPr>
              <w:t xml:space="preserve">medicīnas darbinieki. Tā kā </w:t>
            </w:r>
            <w:r w:rsidRPr="00825EBA">
              <w:rPr>
                <w:noProof/>
                <w:sz w:val="26"/>
                <w:szCs w:val="26"/>
                <w:lang w:val="lv-LV"/>
              </w:rPr>
              <w:t>Ministru kabineta 2020.</w:t>
            </w:r>
            <w:r>
              <w:rPr>
                <w:noProof/>
                <w:sz w:val="26"/>
                <w:szCs w:val="26"/>
                <w:lang w:val="lv-LV"/>
              </w:rPr>
              <w:t> </w:t>
            </w:r>
            <w:r w:rsidRPr="00825EBA">
              <w:rPr>
                <w:noProof/>
                <w:sz w:val="26"/>
                <w:szCs w:val="26"/>
                <w:lang w:val="lv-LV"/>
              </w:rPr>
              <w:t>gada 9.</w:t>
            </w:r>
            <w:r>
              <w:rPr>
                <w:noProof/>
                <w:sz w:val="26"/>
                <w:szCs w:val="26"/>
                <w:lang w:val="lv-LV"/>
              </w:rPr>
              <w:t> </w:t>
            </w:r>
            <w:r w:rsidRPr="00825EBA">
              <w:rPr>
                <w:noProof/>
                <w:sz w:val="26"/>
                <w:szCs w:val="26"/>
                <w:lang w:val="lv-LV"/>
              </w:rPr>
              <w:t>jūnija noteikum</w:t>
            </w:r>
            <w:r>
              <w:rPr>
                <w:noProof/>
                <w:sz w:val="26"/>
                <w:szCs w:val="26"/>
                <w:lang w:val="lv-LV"/>
              </w:rPr>
              <w:t>u</w:t>
            </w:r>
            <w:r w:rsidRPr="00825EBA">
              <w:rPr>
                <w:noProof/>
                <w:sz w:val="26"/>
                <w:szCs w:val="26"/>
                <w:lang w:val="lv-LV"/>
              </w:rPr>
              <w:t xml:space="preserve"> Nr.</w:t>
            </w:r>
            <w:r>
              <w:rPr>
                <w:noProof/>
                <w:sz w:val="26"/>
                <w:szCs w:val="26"/>
                <w:lang w:val="lv-LV"/>
              </w:rPr>
              <w:t> </w:t>
            </w:r>
            <w:r w:rsidRPr="00825EBA">
              <w:rPr>
                <w:noProof/>
                <w:sz w:val="26"/>
                <w:szCs w:val="26"/>
                <w:lang w:val="lv-LV"/>
              </w:rPr>
              <w:t>380 “Noteikumi par prioritāro institūciju un vajadzību sarakstā iekļautajām institūcijām nepieciešamajiem epidemioloģiskās drošības nodrošināšanas resursiem”</w:t>
            </w:r>
            <w:r>
              <w:rPr>
                <w:noProof/>
                <w:sz w:val="26"/>
                <w:szCs w:val="26"/>
                <w:lang w:val="lv-LV"/>
              </w:rPr>
              <w:t xml:space="preserve"> (turpmāk – noteikumi Nr. 380) 2.5. apakšpunktā jau ir uzskaitīti pirmsskolas, vispārējās izglītības un profesionālās izglītības pedagogi, normu nepieciešams papildināt ar norādi uz </w:t>
            </w:r>
            <w:r w:rsidRPr="00825EBA">
              <w:rPr>
                <w:noProof/>
                <w:sz w:val="26"/>
                <w:szCs w:val="26"/>
                <w:lang w:val="lv-LV"/>
              </w:rPr>
              <w:t>speciālās izglītības iestāžu saimniecisk</w:t>
            </w:r>
            <w:r>
              <w:rPr>
                <w:noProof/>
                <w:sz w:val="26"/>
                <w:szCs w:val="26"/>
                <w:lang w:val="lv-LV"/>
              </w:rPr>
              <w:t>aj</w:t>
            </w:r>
            <w:r w:rsidRPr="00825EBA">
              <w:rPr>
                <w:noProof/>
                <w:sz w:val="26"/>
                <w:szCs w:val="26"/>
                <w:lang w:val="lv-LV"/>
              </w:rPr>
              <w:t>ie</w:t>
            </w:r>
            <w:r>
              <w:rPr>
                <w:noProof/>
                <w:sz w:val="26"/>
                <w:szCs w:val="26"/>
                <w:lang w:val="lv-LV"/>
              </w:rPr>
              <w:t>m</w:t>
            </w:r>
            <w:r w:rsidRPr="00825EBA">
              <w:rPr>
                <w:noProof/>
                <w:sz w:val="26"/>
                <w:szCs w:val="26"/>
                <w:lang w:val="lv-LV"/>
              </w:rPr>
              <w:t>, tehnisk</w:t>
            </w:r>
            <w:r>
              <w:rPr>
                <w:noProof/>
                <w:sz w:val="26"/>
                <w:szCs w:val="26"/>
                <w:lang w:val="lv-LV"/>
              </w:rPr>
              <w:t>aj</w:t>
            </w:r>
            <w:r w:rsidRPr="00825EBA">
              <w:rPr>
                <w:noProof/>
                <w:sz w:val="26"/>
                <w:szCs w:val="26"/>
                <w:lang w:val="lv-LV"/>
              </w:rPr>
              <w:t>ie</w:t>
            </w:r>
            <w:r>
              <w:rPr>
                <w:noProof/>
                <w:sz w:val="26"/>
                <w:szCs w:val="26"/>
                <w:lang w:val="lv-LV"/>
              </w:rPr>
              <w:t>m</w:t>
            </w:r>
            <w:r w:rsidRPr="00825EBA">
              <w:rPr>
                <w:noProof/>
                <w:sz w:val="26"/>
                <w:szCs w:val="26"/>
                <w:lang w:val="lv-LV"/>
              </w:rPr>
              <w:t xml:space="preserve"> un medicīnas darbinieki</w:t>
            </w:r>
            <w:r>
              <w:rPr>
                <w:noProof/>
                <w:sz w:val="26"/>
                <w:szCs w:val="26"/>
                <w:lang w:val="lv-LV"/>
              </w:rPr>
              <w:t>em.</w:t>
            </w:r>
            <w:r w:rsidRPr="00825EBA">
              <w:rPr>
                <w:noProof/>
                <w:sz w:val="26"/>
                <w:szCs w:val="26"/>
                <w:lang w:val="lv-LV"/>
              </w:rPr>
              <w:t xml:space="preserve"> </w:t>
            </w:r>
          </w:p>
          <w:p w14:paraId="31FE053B" w14:textId="70E7D789" w:rsidR="006A2224" w:rsidRPr="00EA1175" w:rsidRDefault="008C3D30" w:rsidP="009139C7">
            <w:pPr>
              <w:spacing w:line="252" w:lineRule="auto"/>
              <w:jc w:val="both"/>
              <w:rPr>
                <w:noProof/>
                <w:sz w:val="26"/>
                <w:szCs w:val="26"/>
                <w:lang w:val="lv-LV"/>
              </w:rPr>
            </w:pPr>
            <w:r w:rsidRPr="00EA1175">
              <w:rPr>
                <w:noProof/>
                <w:sz w:val="26"/>
                <w:szCs w:val="26"/>
                <w:lang w:val="lv-LV"/>
              </w:rPr>
              <w:t xml:space="preserve">Kopējais nodarbināto skaits </w:t>
            </w:r>
            <w:r>
              <w:rPr>
                <w:noProof/>
                <w:sz w:val="26"/>
                <w:szCs w:val="26"/>
                <w:lang w:val="lv-LV"/>
              </w:rPr>
              <w:t xml:space="preserve">atbilstoši Valsts izglītības informācijas sistēmā pieejamai informācijai speciālajās </w:t>
            </w:r>
            <w:r>
              <w:rPr>
                <w:noProof/>
                <w:sz w:val="26"/>
                <w:szCs w:val="26"/>
                <w:lang w:val="lv-LV"/>
              </w:rPr>
              <w:lastRenderedPageBreak/>
              <w:t>izglītības iestādēs uz 2020. gada 1. septembri</w:t>
            </w:r>
            <w:r w:rsidRPr="00EA1175">
              <w:rPr>
                <w:noProof/>
                <w:sz w:val="26"/>
                <w:szCs w:val="26"/>
                <w:lang w:val="lv-LV"/>
              </w:rPr>
              <w:t xml:space="preserve"> ir </w:t>
            </w:r>
            <w:r>
              <w:rPr>
                <w:noProof/>
                <w:sz w:val="26"/>
                <w:szCs w:val="26"/>
                <w:lang w:val="lv-LV"/>
              </w:rPr>
              <w:t>bijis 3947 personas</w:t>
            </w:r>
            <w:r w:rsidR="006A2224" w:rsidRPr="00EA1175">
              <w:rPr>
                <w:noProof/>
                <w:sz w:val="26"/>
                <w:szCs w:val="26"/>
                <w:lang w:val="lv-LV"/>
              </w:rPr>
              <w:t xml:space="preserve">, līdz ar to kopējais nepieciešamo testu skaits mēnesī, pieņemot, ka Ag tests tiek veikts ne biežāk kā </w:t>
            </w:r>
            <w:r w:rsidR="00C60197">
              <w:rPr>
                <w:noProof/>
                <w:sz w:val="26"/>
                <w:szCs w:val="26"/>
                <w:lang w:val="lv-LV"/>
              </w:rPr>
              <w:t>divas reizes</w:t>
            </w:r>
            <w:r w:rsidR="006A2224" w:rsidRPr="00EA1175">
              <w:rPr>
                <w:noProof/>
                <w:sz w:val="26"/>
                <w:szCs w:val="26"/>
                <w:lang w:val="lv-LV"/>
              </w:rPr>
              <w:t xml:space="preserve"> </w:t>
            </w:r>
            <w:r w:rsidR="00510C57">
              <w:rPr>
                <w:noProof/>
                <w:sz w:val="26"/>
                <w:szCs w:val="26"/>
                <w:lang w:val="lv-LV"/>
              </w:rPr>
              <w:t>nedēļā</w:t>
            </w:r>
            <w:r w:rsidR="006A2224" w:rsidRPr="00EA1175">
              <w:rPr>
                <w:noProof/>
                <w:sz w:val="26"/>
                <w:szCs w:val="26"/>
                <w:lang w:val="lv-LV"/>
              </w:rPr>
              <w:t xml:space="preserve">, ir </w:t>
            </w:r>
            <w:r w:rsidR="00825EBA">
              <w:rPr>
                <w:noProof/>
                <w:sz w:val="26"/>
                <w:szCs w:val="26"/>
                <w:lang w:val="lv-LV"/>
              </w:rPr>
              <w:t>aptuveni</w:t>
            </w:r>
            <w:r w:rsidR="006A2224" w:rsidRPr="00EA1175">
              <w:rPr>
                <w:noProof/>
                <w:sz w:val="26"/>
                <w:szCs w:val="26"/>
                <w:lang w:val="lv-LV"/>
              </w:rPr>
              <w:t xml:space="preserve"> </w:t>
            </w:r>
            <w:r w:rsidR="00C60197">
              <w:rPr>
                <w:noProof/>
                <w:sz w:val="26"/>
                <w:szCs w:val="26"/>
                <w:lang w:val="lv-LV"/>
              </w:rPr>
              <w:t>32</w:t>
            </w:r>
            <w:r w:rsidR="00825EBA">
              <w:rPr>
                <w:noProof/>
                <w:sz w:val="26"/>
                <w:szCs w:val="26"/>
                <w:lang w:val="lv-LV"/>
              </w:rPr>
              <w:t> </w:t>
            </w:r>
            <w:r w:rsidR="006A2224" w:rsidRPr="00EA1175">
              <w:rPr>
                <w:noProof/>
                <w:sz w:val="26"/>
                <w:szCs w:val="26"/>
                <w:lang w:val="lv-LV"/>
              </w:rPr>
              <w:t xml:space="preserve">000 testu. Darbinieku testēšanu plānots veikt visu </w:t>
            </w:r>
            <w:r w:rsidR="00825EBA">
              <w:rPr>
                <w:noProof/>
                <w:sz w:val="26"/>
                <w:szCs w:val="26"/>
                <w:lang w:val="lv-LV"/>
              </w:rPr>
              <w:t>februāri (</w:t>
            </w:r>
            <w:r w:rsidR="00C60197">
              <w:rPr>
                <w:noProof/>
                <w:sz w:val="26"/>
                <w:szCs w:val="26"/>
                <w:lang w:val="lv-LV"/>
              </w:rPr>
              <w:t xml:space="preserve">tostarp, </w:t>
            </w:r>
            <w:r w:rsidR="00825EBA">
              <w:rPr>
                <w:noProof/>
                <w:sz w:val="26"/>
                <w:szCs w:val="26"/>
                <w:lang w:val="lv-LV"/>
              </w:rPr>
              <w:t>piemēram, pirmdienās, izglītojamajiem un darbiniekiem atgriežoties izglītības iestādē pēc brīvdienām)</w:t>
            </w:r>
            <w:r w:rsidR="006A2224" w:rsidRPr="00EA1175">
              <w:rPr>
                <w:noProof/>
                <w:sz w:val="26"/>
                <w:szCs w:val="26"/>
                <w:lang w:val="lv-LV"/>
              </w:rPr>
              <w:t xml:space="preserve">. </w:t>
            </w:r>
            <w:r w:rsidR="00825EBA">
              <w:rPr>
                <w:noProof/>
                <w:sz w:val="26"/>
                <w:szCs w:val="26"/>
                <w:lang w:val="lv-LV"/>
              </w:rPr>
              <w:t xml:space="preserve">Līdz ar to, noteikumu Nr. 380 4.10. apakšpunktā nepieciešams precizēt Ag testu vienību skaitu, </w:t>
            </w:r>
            <w:r w:rsidR="00516832">
              <w:rPr>
                <w:noProof/>
                <w:sz w:val="26"/>
                <w:szCs w:val="26"/>
                <w:lang w:val="lv-LV"/>
              </w:rPr>
              <w:t xml:space="preserve">tam pievienojot vēl </w:t>
            </w:r>
            <w:r w:rsidR="00C60197">
              <w:rPr>
                <w:noProof/>
                <w:sz w:val="26"/>
                <w:szCs w:val="26"/>
                <w:lang w:val="lv-LV"/>
              </w:rPr>
              <w:t>32</w:t>
            </w:r>
            <w:r w:rsidR="00516832">
              <w:rPr>
                <w:noProof/>
                <w:sz w:val="26"/>
                <w:szCs w:val="26"/>
                <w:lang w:val="lv-LV"/>
              </w:rPr>
              <w:t> 000 vienības, kopumā</w:t>
            </w:r>
            <w:r w:rsidR="00825EBA">
              <w:rPr>
                <w:noProof/>
                <w:sz w:val="26"/>
                <w:szCs w:val="26"/>
                <w:lang w:val="lv-LV"/>
              </w:rPr>
              <w:t xml:space="preserve"> nosakot </w:t>
            </w:r>
            <w:r w:rsidR="00C60197">
              <w:rPr>
                <w:noProof/>
                <w:sz w:val="26"/>
                <w:szCs w:val="26"/>
                <w:lang w:val="lv-LV"/>
              </w:rPr>
              <w:t>135</w:t>
            </w:r>
            <w:r w:rsidR="00825EBA">
              <w:rPr>
                <w:noProof/>
                <w:sz w:val="26"/>
                <w:szCs w:val="26"/>
                <w:lang w:val="lv-LV"/>
              </w:rPr>
              <w:t> 000.</w:t>
            </w:r>
            <w:r w:rsidR="00516832" w:rsidRPr="00EA1175">
              <w:rPr>
                <w:noProof/>
                <w:sz w:val="26"/>
                <w:szCs w:val="26"/>
                <w:lang w:val="lv-LV"/>
              </w:rPr>
              <w:t xml:space="preserve"> Nepieciešamības gadījumā </w:t>
            </w:r>
            <w:r w:rsidR="00516832">
              <w:rPr>
                <w:noProof/>
                <w:sz w:val="26"/>
                <w:szCs w:val="26"/>
                <w:lang w:val="lv-LV"/>
              </w:rPr>
              <w:t>var rasties vajadzība testus veikt arī turpmāk.</w:t>
            </w:r>
          </w:p>
          <w:p w14:paraId="791B63A0" w14:textId="6CC2F881" w:rsidR="006A2224" w:rsidRPr="00EA1175" w:rsidRDefault="006A2224" w:rsidP="009139C7">
            <w:pPr>
              <w:spacing w:line="252" w:lineRule="auto"/>
              <w:jc w:val="both"/>
              <w:rPr>
                <w:noProof/>
                <w:sz w:val="26"/>
                <w:szCs w:val="26"/>
                <w:lang w:val="lv-LV"/>
              </w:rPr>
            </w:pPr>
            <w:r w:rsidRPr="00EA1175">
              <w:rPr>
                <w:noProof/>
                <w:sz w:val="26"/>
                <w:szCs w:val="26"/>
                <w:lang w:val="lv-LV"/>
              </w:rPr>
              <w:t xml:space="preserve">Ag testu veikšanai </w:t>
            </w:r>
            <w:r w:rsidR="00121C81">
              <w:rPr>
                <w:noProof/>
                <w:sz w:val="26"/>
                <w:szCs w:val="26"/>
                <w:lang w:val="lv-LV"/>
              </w:rPr>
              <w:t>speciālās izglītības iestādēs</w:t>
            </w:r>
            <w:r w:rsidRPr="00EA1175">
              <w:rPr>
                <w:noProof/>
                <w:sz w:val="26"/>
                <w:szCs w:val="26"/>
                <w:lang w:val="lv-LV"/>
              </w:rPr>
              <w:t xml:space="preserve"> ir nepieciešami apmācīti veselības aprūpes vai laboratorijas darbinieki, kas nodrošinās paraugu ņemšanu, testēšanu, rezultātu analīzi un ziņošanu par testa rezultātiem</w:t>
            </w:r>
            <w:r w:rsidR="00825EBA">
              <w:rPr>
                <w:noProof/>
                <w:sz w:val="26"/>
                <w:szCs w:val="26"/>
                <w:lang w:val="lv-LV"/>
              </w:rPr>
              <w:t xml:space="preserve">. Gadījumā, ja speciālās izglītības iestādē nav nodarbināta ārstniecības persona, nepieciešams </w:t>
            </w:r>
            <w:r w:rsidRPr="00EA1175">
              <w:rPr>
                <w:noProof/>
                <w:sz w:val="26"/>
                <w:szCs w:val="26"/>
                <w:lang w:val="lv-LV"/>
              </w:rPr>
              <w:t>piesaistīt citus pašvaldībā esošos laboratorijas speciālistus vai ģimenes ārstu medicīnas māsas.</w:t>
            </w:r>
          </w:p>
          <w:p w14:paraId="2AC9E980" w14:textId="77777777" w:rsidR="006A2224" w:rsidRPr="00EA1175" w:rsidRDefault="006A2224" w:rsidP="009139C7">
            <w:pPr>
              <w:spacing w:line="252" w:lineRule="auto"/>
              <w:jc w:val="both"/>
              <w:rPr>
                <w:noProof/>
                <w:sz w:val="26"/>
                <w:szCs w:val="26"/>
                <w:lang w:val="lv-LV"/>
              </w:rPr>
            </w:pPr>
            <w:r w:rsidRPr="00EA1175">
              <w:rPr>
                <w:noProof/>
                <w:sz w:val="26"/>
                <w:szCs w:val="26"/>
                <w:lang w:val="lv-LV"/>
              </w:rPr>
              <w:t>Pirms testa uzsākšanas jāievieš arī atbilstoši bioloģiskās drošības pasākumi. Veicot testēšanu, precīzi jāievēro ražotāja norādījumi par paraugu savākšanu, drošu apstrādi, atkritumu apsaimniekošanu un potenciāli bīstamo materiālu utilizāciju, telpu virsmu dezinfekciju, kā arī jānodrošina obligāta individuālo aizsardzības līdzekļu pareiza izmantošana un uzskaite.</w:t>
            </w:r>
          </w:p>
          <w:p w14:paraId="1F0F92D1" w14:textId="5A612670" w:rsidR="006A2224" w:rsidRPr="00EA1175" w:rsidRDefault="006A2224" w:rsidP="009139C7">
            <w:pPr>
              <w:spacing w:line="252" w:lineRule="auto"/>
              <w:jc w:val="both"/>
              <w:rPr>
                <w:noProof/>
                <w:sz w:val="26"/>
                <w:szCs w:val="26"/>
                <w:lang w:val="lv-LV"/>
              </w:rPr>
            </w:pPr>
            <w:r w:rsidRPr="00EA1175">
              <w:rPr>
                <w:noProof/>
                <w:sz w:val="26"/>
                <w:szCs w:val="26"/>
                <w:lang w:val="lv-LV"/>
              </w:rPr>
              <w:t>Ag testi ir pietiekami jūtīgi personām ar Covid-19 simptomiem, proti no pirmās simptomu parādīšanās dienas līdz 5</w:t>
            </w:r>
            <w:r w:rsidR="00121C81">
              <w:rPr>
                <w:noProof/>
                <w:sz w:val="26"/>
                <w:szCs w:val="26"/>
                <w:lang w:val="lv-LV"/>
              </w:rPr>
              <w:t>.</w:t>
            </w:r>
            <w:r w:rsidRPr="00EA1175">
              <w:rPr>
                <w:noProof/>
                <w:sz w:val="26"/>
                <w:szCs w:val="26"/>
                <w:lang w:val="lv-LV"/>
              </w:rPr>
              <w:t xml:space="preserve"> dienai. Tādēļ negatīva testa gadījumā personai bez slimības pazīmēm nevar gūt pietiekamu pārliecību, ka persona nav infekcioza. </w:t>
            </w:r>
            <w:r w:rsidR="00CB3984">
              <w:rPr>
                <w:noProof/>
                <w:sz w:val="26"/>
                <w:szCs w:val="26"/>
                <w:lang w:val="lv-LV"/>
              </w:rPr>
              <w:t>Ņemot vērā minēto, ir svarīgi speciālās izglītības iestāžu darbiniekiem nepieciešamības gadījumā veikt PĶR testus, piemēram, ja konstatēti saslimšanas simptomi.</w:t>
            </w:r>
            <w:r w:rsidR="00CB3984" w:rsidRPr="00EA1175">
              <w:rPr>
                <w:noProof/>
                <w:sz w:val="26"/>
                <w:szCs w:val="26"/>
                <w:lang w:val="lv-LV"/>
              </w:rPr>
              <w:t xml:space="preserve"> </w:t>
            </w:r>
          </w:p>
          <w:p w14:paraId="3380220F" w14:textId="77777777" w:rsidR="006A2224" w:rsidRPr="00EA1175" w:rsidRDefault="006A2224" w:rsidP="009139C7">
            <w:pPr>
              <w:spacing w:line="252" w:lineRule="auto"/>
              <w:jc w:val="both"/>
              <w:rPr>
                <w:noProof/>
                <w:sz w:val="26"/>
                <w:szCs w:val="26"/>
                <w:lang w:val="lv-LV"/>
              </w:rPr>
            </w:pPr>
            <w:r w:rsidRPr="00EA1175">
              <w:rPr>
                <w:noProof/>
                <w:sz w:val="26"/>
                <w:szCs w:val="26"/>
                <w:lang w:val="lv-LV"/>
              </w:rPr>
              <w:t xml:space="preserve">Personām, kuras ir pārslimojušas Covid-19 trīs mēnešus pēc saslimšanas praktiski nav iespējas atkārtoti inficēties ar SARS-CoV-2, tādēļ šīm personām nav nepieciešamības veikt Covid-19 diagnostiku šajā laika periodā. </w:t>
            </w:r>
          </w:p>
          <w:p w14:paraId="55A773E3" w14:textId="77777777" w:rsidR="006A2224" w:rsidRDefault="006A2224" w:rsidP="009139C7">
            <w:pPr>
              <w:spacing w:line="252" w:lineRule="auto"/>
              <w:jc w:val="both"/>
              <w:rPr>
                <w:noProof/>
                <w:sz w:val="26"/>
                <w:szCs w:val="26"/>
                <w:lang w:val="lv-LV"/>
              </w:rPr>
            </w:pPr>
            <w:r w:rsidRPr="00EA1175">
              <w:rPr>
                <w:noProof/>
                <w:sz w:val="26"/>
                <w:szCs w:val="26"/>
                <w:lang w:val="lv-LV"/>
              </w:rPr>
              <w:t>Pozitīva SARS-CoV-2 ātrā antigēna testa gadījumā ir jāveic inficētās personas laboratoriskā izmeklēšana, izmantojot PĶR metodi, iespējami inficētajai personai ir jāuzsāk izolācija un jāuzsāk pretpidēmijas pasākumi, nosakot viņas kontaktpersonas.  Šie pasākumi var būt pārtraukti, ja laboratoriskā izmeklēšana ar PĶR metodi neapstiprinās inficēšanos. Tāpēc apstiprinošā testēšana ir jāveic pēc iespējas ātrāk, vislabāk uzreiz pozitīva SARS-</w:t>
            </w:r>
            <w:r w:rsidRPr="00EA1175">
              <w:rPr>
                <w:noProof/>
                <w:sz w:val="26"/>
                <w:szCs w:val="26"/>
                <w:lang w:val="lv-LV"/>
              </w:rPr>
              <w:lastRenderedPageBreak/>
              <w:t>CoV-2 ātrā antigēna testa gadījumā, jo vēlāk apstiprinošā testēšana var aizkavēties dažādu apstākļu dēļ.</w:t>
            </w:r>
          </w:p>
          <w:p w14:paraId="1415AE86" w14:textId="22954CF3" w:rsidR="006A2224" w:rsidRPr="00117BB2" w:rsidRDefault="00516832" w:rsidP="009139C7">
            <w:pPr>
              <w:spacing w:line="252" w:lineRule="auto"/>
              <w:jc w:val="both"/>
              <w:rPr>
                <w:noProof/>
                <w:sz w:val="26"/>
                <w:szCs w:val="26"/>
                <w:lang w:val="lv-LV"/>
              </w:rPr>
            </w:pPr>
            <w:r>
              <w:rPr>
                <w:noProof/>
                <w:sz w:val="26"/>
                <w:szCs w:val="26"/>
                <w:lang w:val="lv-LV"/>
              </w:rPr>
              <w:t xml:space="preserve">Plānots, ka </w:t>
            </w:r>
            <w:r w:rsidR="006A2224" w:rsidRPr="001325B1">
              <w:rPr>
                <w:noProof/>
                <w:sz w:val="26"/>
                <w:szCs w:val="26"/>
                <w:lang w:val="lv-LV"/>
              </w:rPr>
              <w:t xml:space="preserve">Valsts </w:t>
            </w:r>
            <w:r w:rsidR="006A2224" w:rsidRPr="00334FFF">
              <w:rPr>
                <w:noProof/>
                <w:sz w:val="26"/>
                <w:szCs w:val="26"/>
                <w:lang w:val="lv-LV"/>
              </w:rPr>
              <w:t>aizsardzības loģistikas un iepirkuma centrs (turpmāk – VALIC) organizēs A</w:t>
            </w:r>
            <w:r w:rsidR="00121C81">
              <w:rPr>
                <w:noProof/>
                <w:sz w:val="26"/>
                <w:szCs w:val="26"/>
                <w:lang w:val="lv-LV"/>
              </w:rPr>
              <w:t>g</w:t>
            </w:r>
            <w:r w:rsidR="006A2224" w:rsidRPr="00334FFF">
              <w:rPr>
                <w:noProof/>
                <w:sz w:val="26"/>
                <w:szCs w:val="26"/>
                <w:lang w:val="lv-LV"/>
              </w:rPr>
              <w:t xml:space="preserve"> testu iepirkumu un iegādi,</w:t>
            </w:r>
            <w:r w:rsidR="006A2224">
              <w:rPr>
                <w:noProof/>
                <w:sz w:val="26"/>
                <w:szCs w:val="26"/>
                <w:lang w:val="lv-LV"/>
              </w:rPr>
              <w:t xml:space="preserve"> attiecīgi iegādājoties </w:t>
            </w:r>
            <w:r w:rsidR="00CB3984">
              <w:rPr>
                <w:noProof/>
                <w:sz w:val="26"/>
                <w:szCs w:val="26"/>
                <w:lang w:val="lv-LV"/>
              </w:rPr>
              <w:t xml:space="preserve">papildu </w:t>
            </w:r>
            <w:r w:rsidR="00C60197">
              <w:rPr>
                <w:noProof/>
                <w:sz w:val="26"/>
                <w:szCs w:val="26"/>
                <w:lang w:val="lv-LV"/>
              </w:rPr>
              <w:t>32</w:t>
            </w:r>
            <w:r w:rsidR="00CB3984">
              <w:rPr>
                <w:noProof/>
                <w:sz w:val="26"/>
                <w:szCs w:val="26"/>
                <w:lang w:val="lv-LV"/>
              </w:rPr>
              <w:t xml:space="preserve"> 000</w:t>
            </w:r>
            <w:r w:rsidR="006A2224">
              <w:rPr>
                <w:noProof/>
                <w:sz w:val="26"/>
                <w:szCs w:val="26"/>
                <w:lang w:val="lv-LV"/>
              </w:rPr>
              <w:t xml:space="preserve"> A</w:t>
            </w:r>
            <w:r w:rsidR="00121C81">
              <w:rPr>
                <w:noProof/>
                <w:sz w:val="26"/>
                <w:szCs w:val="26"/>
                <w:lang w:val="lv-LV"/>
              </w:rPr>
              <w:t>g</w:t>
            </w:r>
            <w:r w:rsidR="006A2224">
              <w:rPr>
                <w:noProof/>
                <w:sz w:val="26"/>
                <w:szCs w:val="26"/>
                <w:lang w:val="lv-LV"/>
              </w:rPr>
              <w:t xml:space="preserve"> testus, savukārt Valsts ugunsdzēsības un glābšanas dienests (turpmāk</w:t>
            </w:r>
            <w:r w:rsidR="00CB3984">
              <w:rPr>
                <w:noProof/>
                <w:sz w:val="26"/>
                <w:szCs w:val="26"/>
                <w:lang w:val="lv-LV"/>
              </w:rPr>
              <w:t xml:space="preserve"> – </w:t>
            </w:r>
            <w:r w:rsidR="006A2224">
              <w:rPr>
                <w:noProof/>
                <w:sz w:val="26"/>
                <w:szCs w:val="26"/>
                <w:lang w:val="lv-LV"/>
              </w:rPr>
              <w:t>VUGD) nodrošinās A</w:t>
            </w:r>
            <w:r w:rsidR="00121C81">
              <w:rPr>
                <w:noProof/>
                <w:sz w:val="26"/>
                <w:szCs w:val="26"/>
                <w:lang w:val="lv-LV"/>
              </w:rPr>
              <w:t>g</w:t>
            </w:r>
            <w:r w:rsidR="006A2224">
              <w:rPr>
                <w:noProof/>
                <w:sz w:val="26"/>
                <w:szCs w:val="26"/>
                <w:lang w:val="lv-LV"/>
              </w:rPr>
              <w:t xml:space="preserve"> testu nogādāšanu institūcijām. </w:t>
            </w:r>
          </w:p>
        </w:tc>
      </w:tr>
      <w:bookmarkEnd w:id="4"/>
      <w:tr w:rsidR="006A2224" w:rsidRPr="00A77A93" w14:paraId="4CF44B94" w14:textId="77777777" w:rsidTr="009139C7">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6CE4CDAA"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0B2EF11" w14:textId="77777777" w:rsidR="006A2224" w:rsidRPr="003B3464" w:rsidRDefault="006A2224" w:rsidP="009139C7">
            <w:pPr>
              <w:contextualSpacing/>
              <w:rPr>
                <w:rFonts w:eastAsia="Times New Roman"/>
                <w:bCs/>
                <w:noProof/>
                <w:sz w:val="26"/>
                <w:szCs w:val="26"/>
                <w:lang w:val="lv-LV" w:eastAsia="lv-LV"/>
              </w:rPr>
            </w:pPr>
            <w:r w:rsidRPr="003B3464">
              <w:rPr>
                <w:bCs/>
                <w:noProof/>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0B8A1FD8" w14:textId="26EFCA21" w:rsidR="006A2224" w:rsidRPr="003B3464" w:rsidRDefault="00121C81" w:rsidP="009139C7">
            <w:pPr>
              <w:ind w:left="-31"/>
              <w:contextualSpacing/>
              <w:rPr>
                <w:noProof/>
                <w:sz w:val="26"/>
                <w:szCs w:val="26"/>
                <w:lang w:val="lv-LV"/>
              </w:rPr>
            </w:pPr>
            <w:r>
              <w:rPr>
                <w:noProof/>
                <w:sz w:val="26"/>
                <w:szCs w:val="26"/>
                <w:lang w:val="lv-LV"/>
              </w:rPr>
              <w:t>Ministrija.</w:t>
            </w:r>
          </w:p>
        </w:tc>
      </w:tr>
      <w:tr w:rsidR="006A2224" w:rsidRPr="00A77A93" w14:paraId="4CB1DD25" w14:textId="77777777" w:rsidTr="009139C7">
        <w:tc>
          <w:tcPr>
            <w:tcW w:w="411" w:type="dxa"/>
            <w:tcBorders>
              <w:top w:val="outset" w:sz="6" w:space="0" w:color="414142"/>
              <w:left w:val="outset" w:sz="6" w:space="0" w:color="414142"/>
              <w:bottom w:val="outset" w:sz="6" w:space="0" w:color="414142"/>
              <w:right w:val="outset" w:sz="6" w:space="0" w:color="414142"/>
            </w:tcBorders>
            <w:hideMark/>
          </w:tcPr>
          <w:p w14:paraId="530449C0"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668E348C"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7882CAFA"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 xml:space="preserve">Nav </w:t>
            </w:r>
          </w:p>
        </w:tc>
      </w:tr>
    </w:tbl>
    <w:p w14:paraId="5E7DA5E3" w14:textId="77777777" w:rsidR="006A2224" w:rsidRPr="00A77A93" w:rsidRDefault="006A2224" w:rsidP="006A2224">
      <w:pPr>
        <w:contextualSpacing/>
        <w:rPr>
          <w:rFonts w:eastAsia="Times New Roman"/>
          <w:bCs/>
          <w:noProof/>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6A2224" w:rsidRPr="00334FFF" w14:paraId="011737A8" w14:textId="77777777" w:rsidTr="009139C7">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1551E051" w14:textId="77777777" w:rsidR="006A2224" w:rsidRPr="00A77A93" w:rsidRDefault="006A2224" w:rsidP="009139C7">
            <w:pPr>
              <w:contextualSpacing/>
              <w:jc w:val="center"/>
              <w:rPr>
                <w:rFonts w:eastAsia="Times New Roman"/>
                <w:bCs/>
                <w:noProof/>
                <w:sz w:val="26"/>
                <w:szCs w:val="26"/>
                <w:lang w:val="lv-LV" w:eastAsia="lv-LV"/>
              </w:rPr>
            </w:pPr>
            <w:r w:rsidRPr="00A77A93">
              <w:rPr>
                <w:rFonts w:eastAsia="Times New Roman"/>
                <w:b/>
                <w:bCs/>
                <w:noProof/>
                <w:sz w:val="26"/>
                <w:szCs w:val="26"/>
                <w:lang w:val="lv-LV" w:eastAsia="lv-LV"/>
              </w:rPr>
              <w:t>II. Tiesību akta projekta ietekme uz sabiedrību, tautsaimniecības attīstību un administratīvo slogu</w:t>
            </w:r>
          </w:p>
        </w:tc>
      </w:tr>
      <w:tr w:rsidR="006A2224" w:rsidRPr="00A77A93" w14:paraId="17C507EF" w14:textId="77777777" w:rsidTr="009139C7">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72BECC4B"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1CB0562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3E5F3C1" w14:textId="69C24180" w:rsidR="006A2224" w:rsidRPr="00A77A93" w:rsidRDefault="006A2224" w:rsidP="009139C7">
            <w:pPr>
              <w:ind w:right="201"/>
              <w:jc w:val="both"/>
              <w:rPr>
                <w:bCs/>
                <w:noProof/>
                <w:sz w:val="26"/>
                <w:szCs w:val="26"/>
                <w:lang w:val="lv-LV"/>
              </w:rPr>
            </w:pPr>
            <w:r w:rsidRPr="00A77A93">
              <w:rPr>
                <w:bCs/>
                <w:noProof/>
                <w:sz w:val="26"/>
                <w:szCs w:val="26"/>
                <w:lang w:val="lv-LV"/>
              </w:rPr>
              <w:t>Sabiedrība kopumā</w:t>
            </w:r>
            <w:r w:rsidR="00121C81">
              <w:rPr>
                <w:bCs/>
                <w:noProof/>
                <w:sz w:val="26"/>
                <w:szCs w:val="26"/>
                <w:lang w:val="lv-LV"/>
              </w:rPr>
              <w:t>, tostarp speciālās izglītības iestāžu darbinieki</w:t>
            </w:r>
            <w:r w:rsidRPr="00A77A93">
              <w:rPr>
                <w:bCs/>
                <w:noProof/>
                <w:sz w:val="26"/>
                <w:szCs w:val="26"/>
                <w:lang w:val="lv-LV"/>
              </w:rPr>
              <w:t>.</w:t>
            </w:r>
          </w:p>
        </w:tc>
      </w:tr>
      <w:tr w:rsidR="006A2224" w:rsidRPr="00334FFF" w14:paraId="0CD76FEC" w14:textId="77777777" w:rsidTr="009139C7">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CCE26F9"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0BBA25C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7F481EED" w14:textId="2DFDD7C6" w:rsidR="006A2224" w:rsidRPr="00A77A93" w:rsidRDefault="006A2224" w:rsidP="009139C7">
            <w:pPr>
              <w:pStyle w:val="BodyText"/>
              <w:ind w:right="201"/>
              <w:contextualSpacing/>
              <w:rPr>
                <w:rFonts w:eastAsia="Calibri"/>
                <w:bCs/>
                <w:noProof/>
                <w:sz w:val="26"/>
                <w:szCs w:val="26"/>
                <w:lang w:eastAsia="en-US"/>
              </w:rPr>
            </w:pPr>
            <w:r w:rsidRPr="00A77A93">
              <w:rPr>
                <w:noProof/>
                <w:sz w:val="26"/>
                <w:szCs w:val="26"/>
              </w:rPr>
              <w:t xml:space="preserve">Covid – 19 infekcijas izplatību šobrīd nav iespējams prognozēt, tādēļ nav iespējams prognozēt </w:t>
            </w:r>
            <w:r w:rsidR="00121C81">
              <w:rPr>
                <w:noProof/>
                <w:sz w:val="26"/>
                <w:szCs w:val="26"/>
              </w:rPr>
              <w:t>n</w:t>
            </w:r>
            <w:r w:rsidRPr="00A77A93">
              <w:rPr>
                <w:noProof/>
                <w:sz w:val="26"/>
                <w:szCs w:val="26"/>
              </w:rPr>
              <w:t>oteikumu projekta ietekmi uz administratīvo slogu.</w:t>
            </w:r>
          </w:p>
        </w:tc>
      </w:tr>
      <w:tr w:rsidR="006A2224" w:rsidRPr="00A77A93" w14:paraId="67CECBA4" w14:textId="77777777" w:rsidTr="009139C7">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3FED741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138BA1E0"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6ECDCA17" w14:textId="6FA98E86" w:rsidR="006A2224" w:rsidRPr="00A77A93" w:rsidRDefault="00121C81" w:rsidP="009139C7">
            <w:pPr>
              <w:pStyle w:val="BodyText"/>
              <w:ind w:right="201"/>
              <w:contextualSpacing/>
              <w:rPr>
                <w:rFonts w:eastAsia="Calibri"/>
                <w:bCs/>
                <w:noProof/>
                <w:sz w:val="26"/>
                <w:szCs w:val="26"/>
                <w:lang w:eastAsia="en-US"/>
              </w:rPr>
            </w:pPr>
            <w:r>
              <w:rPr>
                <w:rFonts w:eastAsia="Calibri"/>
                <w:bCs/>
                <w:noProof/>
                <w:sz w:val="26"/>
                <w:szCs w:val="26"/>
                <w:lang w:eastAsia="en-US"/>
              </w:rPr>
              <w:t>Noteikumu p</w:t>
            </w:r>
            <w:r w:rsidR="006A2224" w:rsidRPr="00A77A93">
              <w:rPr>
                <w:rFonts w:eastAsia="Calibri"/>
                <w:bCs/>
                <w:noProof/>
                <w:sz w:val="26"/>
                <w:szCs w:val="26"/>
                <w:lang w:eastAsia="en-US"/>
              </w:rPr>
              <w:t>rojekts šo jomu neskar.</w:t>
            </w:r>
          </w:p>
        </w:tc>
      </w:tr>
      <w:tr w:rsidR="006A2224" w:rsidRPr="00A77A93" w14:paraId="44514389" w14:textId="77777777" w:rsidTr="009139C7">
        <w:trPr>
          <w:trHeight w:val="510"/>
        </w:trPr>
        <w:tc>
          <w:tcPr>
            <w:tcW w:w="421" w:type="dxa"/>
            <w:tcBorders>
              <w:top w:val="outset" w:sz="6" w:space="0" w:color="auto"/>
              <w:left w:val="outset" w:sz="6" w:space="0" w:color="auto"/>
              <w:bottom w:val="outset" w:sz="6" w:space="0" w:color="auto"/>
              <w:right w:val="outset" w:sz="6" w:space="0" w:color="auto"/>
            </w:tcBorders>
          </w:tcPr>
          <w:p w14:paraId="03673304"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291CCB2A"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50AAD243" w14:textId="12ACBA78" w:rsidR="006A2224" w:rsidRPr="00A77A93" w:rsidRDefault="00121C81" w:rsidP="009139C7">
            <w:pPr>
              <w:pStyle w:val="BodyText"/>
              <w:ind w:right="201"/>
              <w:contextualSpacing/>
              <w:rPr>
                <w:rFonts w:eastAsia="Calibri"/>
                <w:bCs/>
                <w:noProof/>
                <w:sz w:val="26"/>
                <w:szCs w:val="26"/>
                <w:lang w:eastAsia="en-US"/>
              </w:rPr>
            </w:pPr>
            <w:r>
              <w:rPr>
                <w:rFonts w:eastAsia="Calibri"/>
                <w:bCs/>
                <w:noProof/>
                <w:sz w:val="26"/>
                <w:szCs w:val="26"/>
                <w:lang w:eastAsia="en-US"/>
              </w:rPr>
              <w:t>Noteikumu p</w:t>
            </w:r>
            <w:r w:rsidR="006A2224" w:rsidRPr="00A77A93">
              <w:rPr>
                <w:rFonts w:eastAsia="Calibri"/>
                <w:bCs/>
                <w:noProof/>
                <w:sz w:val="26"/>
                <w:szCs w:val="26"/>
                <w:lang w:eastAsia="en-US"/>
              </w:rPr>
              <w:t>rojekts šo jomu neskar.</w:t>
            </w:r>
          </w:p>
        </w:tc>
      </w:tr>
      <w:tr w:rsidR="006A2224" w:rsidRPr="00A77A93" w14:paraId="1E050829" w14:textId="77777777" w:rsidTr="009139C7">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7C98A786"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075FA7D5"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BB65C6F" w14:textId="77777777" w:rsidR="006A2224" w:rsidRPr="00A77A93" w:rsidRDefault="006A2224" w:rsidP="009139C7">
            <w:pPr>
              <w:ind w:right="201"/>
              <w:contextualSpacing/>
              <w:jc w:val="both"/>
              <w:rPr>
                <w:bCs/>
                <w:noProof/>
                <w:sz w:val="26"/>
                <w:szCs w:val="26"/>
                <w:lang w:val="lv-LV"/>
              </w:rPr>
            </w:pPr>
            <w:r w:rsidRPr="00A77A93">
              <w:rPr>
                <w:bCs/>
                <w:noProof/>
                <w:sz w:val="26"/>
                <w:szCs w:val="26"/>
                <w:lang w:val="lv-LV"/>
              </w:rPr>
              <w:t>Nav</w:t>
            </w:r>
          </w:p>
        </w:tc>
      </w:tr>
    </w:tbl>
    <w:p w14:paraId="08C7E3A0" w14:textId="77777777" w:rsidR="006A2224" w:rsidRDefault="006A2224" w:rsidP="006A2224">
      <w:pPr>
        <w:pStyle w:val="NoSpacing"/>
        <w:rPr>
          <w:rFonts w:ascii="Times New Roman" w:hAnsi="Times New Roman" w:cs="Times New Roman"/>
          <w:iCs/>
          <w:color w:val="FF0000"/>
          <w:sz w:val="24"/>
          <w:szCs w:val="24"/>
          <w:lang w:eastAsia="lv-LV"/>
        </w:rPr>
      </w:pPr>
    </w:p>
    <w:p w14:paraId="777425DF" w14:textId="77777777" w:rsidR="006A2224" w:rsidRPr="00500F2B" w:rsidRDefault="006A2224" w:rsidP="006A2224">
      <w:pPr>
        <w:pStyle w:val="NoSpacing"/>
        <w:rPr>
          <w:rFonts w:ascii="Times New Roman" w:hAnsi="Times New Roman" w:cs="Times New Roman"/>
          <w:iCs/>
          <w:color w:val="FF0000"/>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6A2224" w:rsidRPr="00121C81" w14:paraId="029E0402" w14:textId="77777777" w:rsidTr="009139C7">
        <w:trPr>
          <w:cantSplit/>
        </w:trPr>
        <w:tc>
          <w:tcPr>
            <w:tcW w:w="9244" w:type="dxa"/>
            <w:gridSpan w:val="8"/>
            <w:shd w:val="clear" w:color="auto" w:fill="auto"/>
            <w:vAlign w:val="center"/>
            <w:hideMark/>
          </w:tcPr>
          <w:p w14:paraId="3DDDD76B" w14:textId="77777777" w:rsidR="006A2224" w:rsidRPr="00121C81" w:rsidRDefault="006A2224" w:rsidP="009139C7">
            <w:pPr>
              <w:jc w:val="center"/>
              <w:rPr>
                <w:rFonts w:eastAsiaTheme="minorHAnsi"/>
                <w:b/>
                <w:sz w:val="24"/>
                <w:szCs w:val="24"/>
                <w:lang w:val="lv-LV"/>
              </w:rPr>
            </w:pPr>
            <w:r w:rsidRPr="00121C81">
              <w:rPr>
                <w:rFonts w:eastAsiaTheme="minorHAnsi"/>
                <w:b/>
                <w:sz w:val="24"/>
                <w:szCs w:val="24"/>
                <w:lang w:val="lv-LV"/>
              </w:rPr>
              <w:t>III. Tiesību akta projekta ietekme uz valsts budžetu un pašvaldību budžetiem</w:t>
            </w:r>
          </w:p>
        </w:tc>
      </w:tr>
      <w:tr w:rsidR="006A2224" w:rsidRPr="00121C81" w14:paraId="265D9F97" w14:textId="77777777" w:rsidTr="009139C7">
        <w:trPr>
          <w:cantSplit/>
        </w:trPr>
        <w:tc>
          <w:tcPr>
            <w:tcW w:w="1306" w:type="dxa"/>
            <w:vMerge w:val="restart"/>
            <w:shd w:val="clear" w:color="auto" w:fill="FFFFFF"/>
            <w:vAlign w:val="center"/>
          </w:tcPr>
          <w:p w14:paraId="030C75E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Rādītāji</w:t>
            </w:r>
          </w:p>
        </w:tc>
        <w:tc>
          <w:tcPr>
            <w:tcW w:w="2410" w:type="dxa"/>
            <w:gridSpan w:val="2"/>
            <w:vMerge w:val="restart"/>
            <w:shd w:val="clear" w:color="auto" w:fill="FFFFFF"/>
            <w:vAlign w:val="center"/>
            <w:hideMark/>
          </w:tcPr>
          <w:p w14:paraId="1014DD98"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2021.gads</w:t>
            </w:r>
          </w:p>
        </w:tc>
        <w:tc>
          <w:tcPr>
            <w:tcW w:w="5528" w:type="dxa"/>
            <w:gridSpan w:val="5"/>
            <w:shd w:val="clear" w:color="auto" w:fill="FFFFFF"/>
            <w:vAlign w:val="center"/>
            <w:hideMark/>
          </w:tcPr>
          <w:p w14:paraId="0B85C830"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Turpmākie trīs gadi (</w:t>
            </w:r>
            <w:proofErr w:type="spellStart"/>
            <w:r w:rsidRPr="00121C81">
              <w:rPr>
                <w:rFonts w:eastAsiaTheme="minorHAnsi"/>
                <w:i/>
                <w:sz w:val="24"/>
                <w:szCs w:val="24"/>
                <w:lang w:val="lv-LV"/>
              </w:rPr>
              <w:t>euro</w:t>
            </w:r>
            <w:proofErr w:type="spellEnd"/>
            <w:r w:rsidRPr="00121C81">
              <w:rPr>
                <w:rFonts w:eastAsiaTheme="minorHAnsi"/>
                <w:sz w:val="24"/>
                <w:szCs w:val="24"/>
                <w:lang w:val="lv-LV"/>
              </w:rPr>
              <w:t>)</w:t>
            </w:r>
          </w:p>
        </w:tc>
      </w:tr>
      <w:tr w:rsidR="006A2224" w:rsidRPr="00121C81" w14:paraId="2F51CBC1" w14:textId="77777777" w:rsidTr="009139C7">
        <w:trPr>
          <w:cantSplit/>
        </w:trPr>
        <w:tc>
          <w:tcPr>
            <w:tcW w:w="1306" w:type="dxa"/>
            <w:vMerge/>
            <w:shd w:val="clear" w:color="auto" w:fill="auto"/>
            <w:vAlign w:val="center"/>
            <w:hideMark/>
          </w:tcPr>
          <w:p w14:paraId="70C03671" w14:textId="77777777" w:rsidR="006A2224" w:rsidRPr="00121C81" w:rsidRDefault="006A2224" w:rsidP="009139C7">
            <w:pPr>
              <w:jc w:val="both"/>
              <w:rPr>
                <w:rFonts w:eastAsiaTheme="minorHAnsi"/>
                <w:sz w:val="24"/>
                <w:szCs w:val="24"/>
                <w:lang w:val="lv-LV"/>
              </w:rPr>
            </w:pPr>
          </w:p>
        </w:tc>
        <w:tc>
          <w:tcPr>
            <w:tcW w:w="2410" w:type="dxa"/>
            <w:gridSpan w:val="2"/>
            <w:vMerge/>
            <w:shd w:val="clear" w:color="auto" w:fill="auto"/>
            <w:vAlign w:val="center"/>
            <w:hideMark/>
          </w:tcPr>
          <w:p w14:paraId="18F58BD5" w14:textId="77777777" w:rsidR="006A2224" w:rsidRPr="00121C81" w:rsidRDefault="006A2224" w:rsidP="009139C7">
            <w:pPr>
              <w:jc w:val="both"/>
              <w:rPr>
                <w:rFonts w:eastAsiaTheme="minorHAnsi"/>
                <w:sz w:val="24"/>
                <w:szCs w:val="24"/>
                <w:lang w:val="lv-LV"/>
              </w:rPr>
            </w:pPr>
          </w:p>
        </w:tc>
        <w:tc>
          <w:tcPr>
            <w:tcW w:w="2410" w:type="dxa"/>
            <w:gridSpan w:val="2"/>
            <w:shd w:val="clear" w:color="auto" w:fill="FFFFFF"/>
            <w:vAlign w:val="center"/>
            <w:hideMark/>
          </w:tcPr>
          <w:p w14:paraId="1F022ABF"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2022</w:t>
            </w:r>
          </w:p>
        </w:tc>
        <w:tc>
          <w:tcPr>
            <w:tcW w:w="1984" w:type="dxa"/>
            <w:gridSpan w:val="2"/>
            <w:shd w:val="clear" w:color="auto" w:fill="FFFFFF"/>
            <w:vAlign w:val="center"/>
            <w:hideMark/>
          </w:tcPr>
          <w:p w14:paraId="312E95F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2023</w:t>
            </w:r>
          </w:p>
        </w:tc>
        <w:tc>
          <w:tcPr>
            <w:tcW w:w="1134" w:type="dxa"/>
            <w:shd w:val="clear" w:color="auto" w:fill="FFFFFF"/>
            <w:vAlign w:val="center"/>
            <w:hideMark/>
          </w:tcPr>
          <w:p w14:paraId="633CD204"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2024</w:t>
            </w:r>
          </w:p>
        </w:tc>
      </w:tr>
      <w:tr w:rsidR="006A2224" w:rsidRPr="00121C81" w14:paraId="21104291" w14:textId="77777777" w:rsidTr="009139C7">
        <w:trPr>
          <w:cantSplit/>
        </w:trPr>
        <w:tc>
          <w:tcPr>
            <w:tcW w:w="1306" w:type="dxa"/>
            <w:vMerge/>
            <w:shd w:val="clear" w:color="auto" w:fill="auto"/>
            <w:vAlign w:val="center"/>
            <w:hideMark/>
          </w:tcPr>
          <w:p w14:paraId="70027EF5" w14:textId="77777777" w:rsidR="006A2224" w:rsidRPr="00121C81" w:rsidRDefault="006A2224" w:rsidP="009139C7">
            <w:pPr>
              <w:jc w:val="both"/>
              <w:rPr>
                <w:rFonts w:eastAsiaTheme="minorHAnsi"/>
                <w:sz w:val="24"/>
                <w:szCs w:val="24"/>
                <w:lang w:val="lv-LV"/>
              </w:rPr>
            </w:pPr>
          </w:p>
        </w:tc>
        <w:tc>
          <w:tcPr>
            <w:tcW w:w="1134" w:type="dxa"/>
            <w:shd w:val="clear" w:color="auto" w:fill="FFFFFF"/>
            <w:vAlign w:val="center"/>
            <w:hideMark/>
          </w:tcPr>
          <w:p w14:paraId="2ACD60A9"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saskaņā ar valsts budžetu kārtējam gadam</w:t>
            </w:r>
          </w:p>
        </w:tc>
        <w:tc>
          <w:tcPr>
            <w:tcW w:w="1276" w:type="dxa"/>
            <w:shd w:val="clear" w:color="auto" w:fill="FFFFFF"/>
            <w:vAlign w:val="center"/>
            <w:hideMark/>
          </w:tcPr>
          <w:p w14:paraId="2401FD5A"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izmaiņas kārtējā gadā, salīdzinot ar valsts budžetu kārtējam gadam</w:t>
            </w:r>
          </w:p>
        </w:tc>
        <w:tc>
          <w:tcPr>
            <w:tcW w:w="1134" w:type="dxa"/>
            <w:shd w:val="clear" w:color="auto" w:fill="FFFFFF"/>
            <w:vAlign w:val="center"/>
            <w:hideMark/>
          </w:tcPr>
          <w:p w14:paraId="7B6123E2"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saskaņā ar vidēja termiņa budžeta ietvaru</w:t>
            </w:r>
          </w:p>
        </w:tc>
        <w:tc>
          <w:tcPr>
            <w:tcW w:w="1276" w:type="dxa"/>
            <w:shd w:val="clear" w:color="auto" w:fill="FFFFFF"/>
            <w:vAlign w:val="center"/>
            <w:hideMark/>
          </w:tcPr>
          <w:p w14:paraId="58AA8C29"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izmaiņas, salīdzinot ar vidēja termiņa budžeta ietvaru 2022. gadam</w:t>
            </w:r>
          </w:p>
        </w:tc>
        <w:tc>
          <w:tcPr>
            <w:tcW w:w="992" w:type="dxa"/>
            <w:shd w:val="clear" w:color="auto" w:fill="FFFFFF"/>
            <w:vAlign w:val="center"/>
            <w:hideMark/>
          </w:tcPr>
          <w:p w14:paraId="21CFF2D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saskaņā ar vidēja termiņa budžeta ietvaru</w:t>
            </w:r>
          </w:p>
        </w:tc>
        <w:tc>
          <w:tcPr>
            <w:tcW w:w="992" w:type="dxa"/>
            <w:shd w:val="clear" w:color="auto" w:fill="FFFFFF"/>
            <w:vAlign w:val="center"/>
            <w:hideMark/>
          </w:tcPr>
          <w:p w14:paraId="41A4C653"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izmaiņas, salīdzinot ar vidēja termiņa budžeta ietvaru 2023. gadam</w:t>
            </w:r>
          </w:p>
        </w:tc>
        <w:tc>
          <w:tcPr>
            <w:tcW w:w="1134" w:type="dxa"/>
            <w:shd w:val="clear" w:color="auto" w:fill="FFFFFF"/>
            <w:vAlign w:val="center"/>
            <w:hideMark/>
          </w:tcPr>
          <w:p w14:paraId="69594746"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 xml:space="preserve">izmaiņas, salīdzinot ar vidēja termiņa budžeta ietvaru </w:t>
            </w:r>
            <w:r w:rsidRPr="00121C81">
              <w:rPr>
                <w:rFonts w:eastAsiaTheme="minorHAnsi"/>
                <w:sz w:val="24"/>
                <w:szCs w:val="24"/>
                <w:lang w:val="lv-LV"/>
              </w:rPr>
              <w:br/>
              <w:t>2023. gadam</w:t>
            </w:r>
          </w:p>
        </w:tc>
      </w:tr>
      <w:tr w:rsidR="006A2224" w:rsidRPr="00121C81" w14:paraId="501C4945" w14:textId="77777777" w:rsidTr="009139C7">
        <w:trPr>
          <w:cantSplit/>
        </w:trPr>
        <w:tc>
          <w:tcPr>
            <w:tcW w:w="1306" w:type="dxa"/>
            <w:shd w:val="clear" w:color="auto" w:fill="FFFFFF"/>
            <w:vAlign w:val="center"/>
            <w:hideMark/>
          </w:tcPr>
          <w:p w14:paraId="07D66B01"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1</w:t>
            </w:r>
          </w:p>
        </w:tc>
        <w:tc>
          <w:tcPr>
            <w:tcW w:w="1134" w:type="dxa"/>
            <w:shd w:val="clear" w:color="auto" w:fill="FFFFFF"/>
            <w:vAlign w:val="center"/>
            <w:hideMark/>
          </w:tcPr>
          <w:p w14:paraId="47D3ACE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w:t>
            </w:r>
          </w:p>
        </w:tc>
        <w:tc>
          <w:tcPr>
            <w:tcW w:w="1276" w:type="dxa"/>
            <w:shd w:val="clear" w:color="auto" w:fill="FFFFFF"/>
            <w:vAlign w:val="center"/>
            <w:hideMark/>
          </w:tcPr>
          <w:p w14:paraId="1E9DD658"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3</w:t>
            </w:r>
          </w:p>
        </w:tc>
        <w:tc>
          <w:tcPr>
            <w:tcW w:w="1134" w:type="dxa"/>
            <w:shd w:val="clear" w:color="auto" w:fill="FFFFFF"/>
            <w:vAlign w:val="center"/>
            <w:hideMark/>
          </w:tcPr>
          <w:p w14:paraId="2834A412"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4</w:t>
            </w:r>
          </w:p>
        </w:tc>
        <w:tc>
          <w:tcPr>
            <w:tcW w:w="1276" w:type="dxa"/>
            <w:shd w:val="clear" w:color="auto" w:fill="FFFFFF"/>
            <w:vAlign w:val="center"/>
            <w:hideMark/>
          </w:tcPr>
          <w:p w14:paraId="0686FF90"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5</w:t>
            </w:r>
          </w:p>
        </w:tc>
        <w:tc>
          <w:tcPr>
            <w:tcW w:w="992" w:type="dxa"/>
            <w:shd w:val="clear" w:color="auto" w:fill="FFFFFF"/>
            <w:vAlign w:val="center"/>
            <w:hideMark/>
          </w:tcPr>
          <w:p w14:paraId="0406F38F"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6</w:t>
            </w:r>
          </w:p>
        </w:tc>
        <w:tc>
          <w:tcPr>
            <w:tcW w:w="992" w:type="dxa"/>
            <w:shd w:val="clear" w:color="auto" w:fill="FFFFFF"/>
            <w:vAlign w:val="center"/>
            <w:hideMark/>
          </w:tcPr>
          <w:p w14:paraId="19BA69E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7</w:t>
            </w:r>
          </w:p>
        </w:tc>
        <w:tc>
          <w:tcPr>
            <w:tcW w:w="1134" w:type="dxa"/>
            <w:shd w:val="clear" w:color="auto" w:fill="FFFFFF"/>
            <w:vAlign w:val="center"/>
            <w:hideMark/>
          </w:tcPr>
          <w:p w14:paraId="1F7E6CAF"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8</w:t>
            </w:r>
          </w:p>
        </w:tc>
      </w:tr>
      <w:tr w:rsidR="006A2224" w:rsidRPr="00121C81" w14:paraId="31BE8C73" w14:textId="77777777" w:rsidTr="009139C7">
        <w:trPr>
          <w:cantSplit/>
        </w:trPr>
        <w:tc>
          <w:tcPr>
            <w:tcW w:w="1306" w:type="dxa"/>
            <w:shd w:val="clear" w:color="auto" w:fill="FFFFFF"/>
            <w:hideMark/>
          </w:tcPr>
          <w:p w14:paraId="6833B1C8"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lastRenderedPageBreak/>
              <w:t>1. Budžeta ieņēmumi</w:t>
            </w:r>
          </w:p>
        </w:tc>
        <w:tc>
          <w:tcPr>
            <w:tcW w:w="1134" w:type="dxa"/>
            <w:shd w:val="clear" w:color="auto" w:fill="FFFFFF"/>
            <w:vAlign w:val="center"/>
            <w:hideMark/>
          </w:tcPr>
          <w:p w14:paraId="22383E1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FFFFFF"/>
            <w:vAlign w:val="center"/>
            <w:hideMark/>
          </w:tcPr>
          <w:p w14:paraId="62B1E80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FFFFFF"/>
            <w:vAlign w:val="center"/>
            <w:hideMark/>
          </w:tcPr>
          <w:p w14:paraId="5E1FCDF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FFFFFF"/>
            <w:vAlign w:val="center"/>
            <w:hideMark/>
          </w:tcPr>
          <w:p w14:paraId="052DE3D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FFFFFF"/>
            <w:vAlign w:val="center"/>
            <w:hideMark/>
          </w:tcPr>
          <w:p w14:paraId="4C895CE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FFFFFF"/>
            <w:vAlign w:val="center"/>
            <w:hideMark/>
          </w:tcPr>
          <w:p w14:paraId="4CBF036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FFFFFF"/>
            <w:vAlign w:val="center"/>
            <w:hideMark/>
          </w:tcPr>
          <w:p w14:paraId="56F28AA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E4E95A4" w14:textId="77777777" w:rsidTr="009139C7">
        <w:trPr>
          <w:cantSplit/>
        </w:trPr>
        <w:tc>
          <w:tcPr>
            <w:tcW w:w="1306" w:type="dxa"/>
            <w:shd w:val="clear" w:color="auto" w:fill="auto"/>
            <w:hideMark/>
          </w:tcPr>
          <w:p w14:paraId="761EF8C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1.1. valsts pamatbudžets, tai skaitā ieņēmumi no maksas pakalpojumiem un citi pašu ieņēmumi</w:t>
            </w:r>
          </w:p>
        </w:tc>
        <w:tc>
          <w:tcPr>
            <w:tcW w:w="1134" w:type="dxa"/>
            <w:shd w:val="clear" w:color="auto" w:fill="auto"/>
            <w:vAlign w:val="center"/>
            <w:hideMark/>
          </w:tcPr>
          <w:p w14:paraId="1D3BFFA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1CB9D9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B6936E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E6BB9E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5C763B3"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D48BE3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6AB71FD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56E51117" w14:textId="77777777" w:rsidTr="009139C7">
        <w:trPr>
          <w:cantSplit/>
        </w:trPr>
        <w:tc>
          <w:tcPr>
            <w:tcW w:w="1306" w:type="dxa"/>
            <w:shd w:val="clear" w:color="auto" w:fill="auto"/>
            <w:hideMark/>
          </w:tcPr>
          <w:p w14:paraId="77CF7011"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1.2. valsts speciālais budžets</w:t>
            </w:r>
          </w:p>
        </w:tc>
        <w:tc>
          <w:tcPr>
            <w:tcW w:w="1134" w:type="dxa"/>
            <w:shd w:val="clear" w:color="auto" w:fill="auto"/>
            <w:vAlign w:val="center"/>
            <w:hideMark/>
          </w:tcPr>
          <w:p w14:paraId="6C0B44E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075FD83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02F7998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6FC9325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49E430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67F20B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2616E1E7"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E82151C" w14:textId="77777777" w:rsidTr="009139C7">
        <w:trPr>
          <w:cantSplit/>
        </w:trPr>
        <w:tc>
          <w:tcPr>
            <w:tcW w:w="1306" w:type="dxa"/>
            <w:shd w:val="clear" w:color="auto" w:fill="auto"/>
            <w:hideMark/>
          </w:tcPr>
          <w:p w14:paraId="2CCD85B6"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1.3. pašvaldību budžets</w:t>
            </w:r>
          </w:p>
        </w:tc>
        <w:tc>
          <w:tcPr>
            <w:tcW w:w="1134" w:type="dxa"/>
            <w:shd w:val="clear" w:color="auto" w:fill="auto"/>
            <w:vAlign w:val="center"/>
            <w:hideMark/>
          </w:tcPr>
          <w:p w14:paraId="638F4F3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0BDFB2E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FDDFB7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203DD2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94785A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7DFD7E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016B5AA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38E16E7D" w14:textId="77777777" w:rsidTr="009139C7">
        <w:trPr>
          <w:cantSplit/>
        </w:trPr>
        <w:tc>
          <w:tcPr>
            <w:tcW w:w="1306" w:type="dxa"/>
            <w:shd w:val="clear" w:color="auto" w:fill="auto"/>
            <w:hideMark/>
          </w:tcPr>
          <w:p w14:paraId="2F70957C"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 Budžeta izdevumi</w:t>
            </w:r>
          </w:p>
        </w:tc>
        <w:tc>
          <w:tcPr>
            <w:tcW w:w="1134" w:type="dxa"/>
            <w:shd w:val="clear" w:color="auto" w:fill="auto"/>
            <w:vAlign w:val="center"/>
            <w:hideMark/>
          </w:tcPr>
          <w:p w14:paraId="0D2391E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89FF5B6" w14:textId="2A6D41F1" w:rsidR="006A2224" w:rsidRPr="00121C81" w:rsidRDefault="00C60197" w:rsidP="009139C7">
            <w:pPr>
              <w:jc w:val="right"/>
              <w:rPr>
                <w:bCs/>
                <w:sz w:val="24"/>
                <w:szCs w:val="24"/>
                <w:lang w:val="lv-LV"/>
              </w:rPr>
            </w:pPr>
            <w:r>
              <w:rPr>
                <w:bCs/>
                <w:sz w:val="24"/>
                <w:szCs w:val="24"/>
                <w:lang w:val="lv-LV"/>
              </w:rPr>
              <w:t>162 560</w:t>
            </w:r>
          </w:p>
        </w:tc>
        <w:tc>
          <w:tcPr>
            <w:tcW w:w="1134" w:type="dxa"/>
            <w:shd w:val="clear" w:color="auto" w:fill="auto"/>
            <w:vAlign w:val="center"/>
            <w:hideMark/>
          </w:tcPr>
          <w:p w14:paraId="1BA2133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3C7B06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EC7674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2D2CB2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BC9698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1B20BA13" w14:textId="77777777" w:rsidTr="009139C7">
        <w:trPr>
          <w:cantSplit/>
        </w:trPr>
        <w:tc>
          <w:tcPr>
            <w:tcW w:w="1306" w:type="dxa"/>
            <w:shd w:val="clear" w:color="auto" w:fill="auto"/>
            <w:hideMark/>
          </w:tcPr>
          <w:p w14:paraId="3B5893D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2.1. valsts pamatbudžets</w:t>
            </w:r>
          </w:p>
        </w:tc>
        <w:tc>
          <w:tcPr>
            <w:tcW w:w="1134" w:type="dxa"/>
            <w:shd w:val="clear" w:color="auto" w:fill="auto"/>
            <w:vAlign w:val="center"/>
            <w:hideMark/>
          </w:tcPr>
          <w:p w14:paraId="502D790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B89B38C" w14:textId="4ADDF72F" w:rsidR="006A2224" w:rsidRPr="00121C81" w:rsidRDefault="00C60197" w:rsidP="009139C7">
            <w:pPr>
              <w:jc w:val="right"/>
              <w:rPr>
                <w:bCs/>
                <w:sz w:val="24"/>
                <w:szCs w:val="24"/>
                <w:lang w:val="lv-LV"/>
              </w:rPr>
            </w:pPr>
            <w:r>
              <w:rPr>
                <w:bCs/>
                <w:sz w:val="24"/>
                <w:szCs w:val="24"/>
                <w:lang w:val="lv-LV"/>
              </w:rPr>
              <w:t>162 560</w:t>
            </w:r>
          </w:p>
        </w:tc>
        <w:tc>
          <w:tcPr>
            <w:tcW w:w="1134" w:type="dxa"/>
            <w:shd w:val="clear" w:color="auto" w:fill="auto"/>
            <w:vAlign w:val="center"/>
            <w:hideMark/>
          </w:tcPr>
          <w:p w14:paraId="6CB9FB2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5E57D7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400ACD7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9783D0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4C9C1E9"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49835948" w14:textId="77777777" w:rsidTr="009139C7">
        <w:trPr>
          <w:cantSplit/>
        </w:trPr>
        <w:tc>
          <w:tcPr>
            <w:tcW w:w="1306" w:type="dxa"/>
            <w:shd w:val="clear" w:color="auto" w:fill="auto"/>
            <w:hideMark/>
          </w:tcPr>
          <w:p w14:paraId="518F27B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2.2. valsts speciālais budžets</w:t>
            </w:r>
          </w:p>
        </w:tc>
        <w:tc>
          <w:tcPr>
            <w:tcW w:w="1134" w:type="dxa"/>
            <w:shd w:val="clear" w:color="auto" w:fill="auto"/>
            <w:vAlign w:val="center"/>
            <w:hideMark/>
          </w:tcPr>
          <w:p w14:paraId="7BF490B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061B85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6FEAC4F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1C940BD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696AFD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DE48D3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40972B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1F0F90F8" w14:textId="77777777" w:rsidTr="009139C7">
        <w:trPr>
          <w:cantSplit/>
        </w:trPr>
        <w:tc>
          <w:tcPr>
            <w:tcW w:w="1306" w:type="dxa"/>
            <w:shd w:val="clear" w:color="auto" w:fill="auto"/>
            <w:hideMark/>
          </w:tcPr>
          <w:p w14:paraId="4F0507D5"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2.3. pašvaldību budžets</w:t>
            </w:r>
          </w:p>
        </w:tc>
        <w:tc>
          <w:tcPr>
            <w:tcW w:w="1134" w:type="dxa"/>
            <w:shd w:val="clear" w:color="auto" w:fill="auto"/>
            <w:vAlign w:val="center"/>
            <w:hideMark/>
          </w:tcPr>
          <w:p w14:paraId="0F0A46B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18473671" w14:textId="77777777" w:rsidR="006A2224" w:rsidRPr="00121C81" w:rsidRDefault="006A2224" w:rsidP="009139C7">
            <w:pPr>
              <w:jc w:val="right"/>
              <w:rPr>
                <w:bCs/>
                <w:sz w:val="24"/>
                <w:szCs w:val="24"/>
                <w:lang w:val="lv-LV"/>
              </w:rPr>
            </w:pPr>
            <w:r w:rsidRPr="00121C81">
              <w:rPr>
                <w:bCs/>
                <w:sz w:val="24"/>
                <w:szCs w:val="24"/>
                <w:lang w:val="lv-LV"/>
              </w:rPr>
              <w:t>0</w:t>
            </w:r>
          </w:p>
        </w:tc>
        <w:tc>
          <w:tcPr>
            <w:tcW w:w="1134" w:type="dxa"/>
            <w:shd w:val="clear" w:color="auto" w:fill="auto"/>
            <w:vAlign w:val="center"/>
            <w:hideMark/>
          </w:tcPr>
          <w:p w14:paraId="7F0058B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4B58C2F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73B7CA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3029079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11573F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799A5FE2" w14:textId="77777777" w:rsidTr="009139C7">
        <w:trPr>
          <w:cantSplit/>
        </w:trPr>
        <w:tc>
          <w:tcPr>
            <w:tcW w:w="1306" w:type="dxa"/>
            <w:shd w:val="clear" w:color="auto" w:fill="auto"/>
            <w:hideMark/>
          </w:tcPr>
          <w:p w14:paraId="33394EB0"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 Finansiālā ietekme</w:t>
            </w:r>
          </w:p>
        </w:tc>
        <w:tc>
          <w:tcPr>
            <w:tcW w:w="1134" w:type="dxa"/>
            <w:shd w:val="clear" w:color="auto" w:fill="auto"/>
            <w:vAlign w:val="center"/>
            <w:hideMark/>
          </w:tcPr>
          <w:p w14:paraId="388C928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03DEF22F" w14:textId="3F37D44F" w:rsidR="006A2224" w:rsidRPr="00121C81" w:rsidRDefault="006A2224" w:rsidP="009139C7">
            <w:pPr>
              <w:jc w:val="right"/>
              <w:rPr>
                <w:rFonts w:eastAsiaTheme="minorHAnsi"/>
                <w:sz w:val="24"/>
                <w:szCs w:val="24"/>
                <w:lang w:val="lv-LV"/>
              </w:rPr>
            </w:pPr>
            <w:r w:rsidRPr="00121C81">
              <w:rPr>
                <w:bCs/>
                <w:sz w:val="24"/>
                <w:szCs w:val="24"/>
                <w:lang w:val="lv-LV"/>
              </w:rPr>
              <w:t>-</w:t>
            </w:r>
            <w:r w:rsidR="00C60197">
              <w:rPr>
                <w:bCs/>
                <w:sz w:val="24"/>
                <w:szCs w:val="24"/>
                <w:lang w:val="lv-LV"/>
              </w:rPr>
              <w:t>162 560</w:t>
            </w:r>
          </w:p>
        </w:tc>
        <w:tc>
          <w:tcPr>
            <w:tcW w:w="1134" w:type="dxa"/>
            <w:shd w:val="clear" w:color="auto" w:fill="auto"/>
            <w:vAlign w:val="center"/>
            <w:hideMark/>
          </w:tcPr>
          <w:p w14:paraId="1AFDA91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104C19F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528DE1D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81CDFC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76C1886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74D3D8BB" w14:textId="77777777" w:rsidTr="009139C7">
        <w:trPr>
          <w:cantSplit/>
        </w:trPr>
        <w:tc>
          <w:tcPr>
            <w:tcW w:w="1306" w:type="dxa"/>
            <w:shd w:val="clear" w:color="auto" w:fill="auto"/>
            <w:hideMark/>
          </w:tcPr>
          <w:p w14:paraId="325D4F2C"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3.1. valsts pamatbudžets</w:t>
            </w:r>
          </w:p>
        </w:tc>
        <w:tc>
          <w:tcPr>
            <w:tcW w:w="1134" w:type="dxa"/>
            <w:shd w:val="clear" w:color="auto" w:fill="auto"/>
            <w:vAlign w:val="center"/>
            <w:hideMark/>
          </w:tcPr>
          <w:p w14:paraId="40B31E6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2A14F73" w14:textId="21795BFE" w:rsidR="006A2224" w:rsidRPr="00121C81" w:rsidRDefault="006A2224" w:rsidP="009139C7">
            <w:pPr>
              <w:jc w:val="right"/>
              <w:rPr>
                <w:rFonts w:eastAsiaTheme="minorHAnsi"/>
                <w:sz w:val="24"/>
                <w:szCs w:val="24"/>
                <w:lang w:val="lv-LV"/>
              </w:rPr>
            </w:pPr>
            <w:r w:rsidRPr="00121C81">
              <w:rPr>
                <w:bCs/>
                <w:sz w:val="24"/>
                <w:szCs w:val="24"/>
                <w:lang w:val="lv-LV"/>
              </w:rPr>
              <w:t>-</w:t>
            </w:r>
            <w:r w:rsidR="00C60197">
              <w:rPr>
                <w:bCs/>
                <w:sz w:val="24"/>
                <w:szCs w:val="24"/>
                <w:lang w:val="lv-LV"/>
              </w:rPr>
              <w:t>162 560</w:t>
            </w:r>
          </w:p>
        </w:tc>
        <w:tc>
          <w:tcPr>
            <w:tcW w:w="1134" w:type="dxa"/>
            <w:shd w:val="clear" w:color="auto" w:fill="auto"/>
            <w:vAlign w:val="center"/>
            <w:hideMark/>
          </w:tcPr>
          <w:p w14:paraId="7171AAF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0B7DA49"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83DEA6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A55462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54705759"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16F111F" w14:textId="77777777" w:rsidTr="009139C7">
        <w:trPr>
          <w:cantSplit/>
        </w:trPr>
        <w:tc>
          <w:tcPr>
            <w:tcW w:w="1306" w:type="dxa"/>
            <w:shd w:val="clear" w:color="auto" w:fill="auto"/>
            <w:hideMark/>
          </w:tcPr>
          <w:p w14:paraId="7E2E713F"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3.2. speciālais budžets</w:t>
            </w:r>
          </w:p>
        </w:tc>
        <w:tc>
          <w:tcPr>
            <w:tcW w:w="1134" w:type="dxa"/>
            <w:shd w:val="clear" w:color="auto" w:fill="auto"/>
            <w:vAlign w:val="center"/>
            <w:hideMark/>
          </w:tcPr>
          <w:p w14:paraId="56BB6CB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6F46281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717D712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46B650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571062E3"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AAE7D1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030211B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6A17C33" w14:textId="77777777" w:rsidTr="009139C7">
        <w:trPr>
          <w:cantSplit/>
        </w:trPr>
        <w:tc>
          <w:tcPr>
            <w:tcW w:w="1306" w:type="dxa"/>
            <w:shd w:val="clear" w:color="auto" w:fill="auto"/>
            <w:hideMark/>
          </w:tcPr>
          <w:p w14:paraId="1CF0921B"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3.3. pašvaldību budžets</w:t>
            </w:r>
          </w:p>
        </w:tc>
        <w:tc>
          <w:tcPr>
            <w:tcW w:w="1134" w:type="dxa"/>
            <w:shd w:val="clear" w:color="auto" w:fill="auto"/>
            <w:vAlign w:val="center"/>
            <w:hideMark/>
          </w:tcPr>
          <w:p w14:paraId="5421D6F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1419605" w14:textId="77777777" w:rsidR="006A2224" w:rsidRPr="00121C81" w:rsidRDefault="006A2224" w:rsidP="009139C7">
            <w:pPr>
              <w:jc w:val="right"/>
              <w:rPr>
                <w:rFonts w:eastAsiaTheme="minorHAnsi"/>
                <w:sz w:val="24"/>
                <w:szCs w:val="24"/>
                <w:lang w:val="lv-LV"/>
              </w:rPr>
            </w:pPr>
            <w:r w:rsidRPr="00121C81">
              <w:rPr>
                <w:bCs/>
                <w:sz w:val="24"/>
                <w:szCs w:val="24"/>
                <w:lang w:val="lv-LV"/>
              </w:rPr>
              <w:t>0</w:t>
            </w:r>
          </w:p>
        </w:tc>
        <w:tc>
          <w:tcPr>
            <w:tcW w:w="1134" w:type="dxa"/>
            <w:shd w:val="clear" w:color="auto" w:fill="auto"/>
            <w:vAlign w:val="center"/>
            <w:hideMark/>
          </w:tcPr>
          <w:p w14:paraId="3C250167"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2B3A01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0124E4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950E5A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7F875A5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34FD6D4F" w14:textId="77777777" w:rsidTr="009139C7">
        <w:trPr>
          <w:cantSplit/>
        </w:trPr>
        <w:tc>
          <w:tcPr>
            <w:tcW w:w="1306" w:type="dxa"/>
            <w:shd w:val="clear" w:color="auto" w:fill="auto"/>
            <w:hideMark/>
          </w:tcPr>
          <w:p w14:paraId="7C2653D1"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4. Finanšu līdzekļi papildu izdevumu finansēšanai (kompensējošu izdevumu samazinājumu norāda ar "+" zīmi)</w:t>
            </w:r>
          </w:p>
        </w:tc>
        <w:tc>
          <w:tcPr>
            <w:tcW w:w="1134" w:type="dxa"/>
            <w:shd w:val="clear" w:color="auto" w:fill="auto"/>
            <w:vAlign w:val="center"/>
            <w:hideMark/>
          </w:tcPr>
          <w:p w14:paraId="656A67F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E23766D" w14:textId="4B73FC61" w:rsidR="006A2224" w:rsidRPr="00121C81" w:rsidRDefault="00C60197" w:rsidP="009139C7">
            <w:pPr>
              <w:jc w:val="right"/>
              <w:rPr>
                <w:rFonts w:eastAsiaTheme="minorHAnsi"/>
                <w:sz w:val="24"/>
                <w:szCs w:val="24"/>
                <w:lang w:val="lv-LV"/>
              </w:rPr>
            </w:pPr>
            <w:r>
              <w:rPr>
                <w:bCs/>
                <w:sz w:val="24"/>
                <w:szCs w:val="24"/>
                <w:lang w:val="lv-LV"/>
              </w:rPr>
              <w:t>162 560</w:t>
            </w:r>
          </w:p>
        </w:tc>
        <w:tc>
          <w:tcPr>
            <w:tcW w:w="1134" w:type="dxa"/>
            <w:shd w:val="clear" w:color="auto" w:fill="auto"/>
            <w:vAlign w:val="center"/>
            <w:hideMark/>
          </w:tcPr>
          <w:p w14:paraId="71830B9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4B5F769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855729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11B099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54BB8C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37DA50C8" w14:textId="77777777" w:rsidTr="009139C7">
        <w:trPr>
          <w:cantSplit/>
        </w:trPr>
        <w:tc>
          <w:tcPr>
            <w:tcW w:w="1306" w:type="dxa"/>
            <w:shd w:val="clear" w:color="auto" w:fill="auto"/>
            <w:hideMark/>
          </w:tcPr>
          <w:p w14:paraId="79574B8F"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lastRenderedPageBreak/>
              <w:t>5. Precizēta finansiālā ietekme</w:t>
            </w:r>
          </w:p>
        </w:tc>
        <w:tc>
          <w:tcPr>
            <w:tcW w:w="1134" w:type="dxa"/>
            <w:vMerge w:val="restart"/>
            <w:shd w:val="clear" w:color="auto" w:fill="auto"/>
            <w:vAlign w:val="center"/>
            <w:hideMark/>
          </w:tcPr>
          <w:p w14:paraId="24FAA15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x</w:t>
            </w:r>
          </w:p>
        </w:tc>
        <w:tc>
          <w:tcPr>
            <w:tcW w:w="1276" w:type="dxa"/>
            <w:shd w:val="clear" w:color="auto" w:fill="auto"/>
            <w:vAlign w:val="center"/>
            <w:hideMark/>
          </w:tcPr>
          <w:p w14:paraId="3E0B5759" w14:textId="77777777" w:rsidR="006A2224" w:rsidRPr="00121C81" w:rsidRDefault="006A2224" w:rsidP="009139C7">
            <w:pPr>
              <w:jc w:val="right"/>
              <w:rPr>
                <w:rFonts w:eastAsiaTheme="minorHAnsi"/>
                <w:sz w:val="24"/>
                <w:szCs w:val="24"/>
                <w:lang w:val="lv-LV"/>
              </w:rPr>
            </w:pPr>
            <w:r w:rsidRPr="00121C81">
              <w:rPr>
                <w:bCs/>
                <w:sz w:val="24"/>
                <w:szCs w:val="24"/>
                <w:lang w:val="lv-LV"/>
              </w:rPr>
              <w:t>0</w:t>
            </w:r>
          </w:p>
        </w:tc>
        <w:tc>
          <w:tcPr>
            <w:tcW w:w="1134" w:type="dxa"/>
            <w:vMerge w:val="restart"/>
            <w:shd w:val="clear" w:color="auto" w:fill="auto"/>
            <w:vAlign w:val="center"/>
            <w:hideMark/>
          </w:tcPr>
          <w:p w14:paraId="5422D0A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x</w:t>
            </w:r>
          </w:p>
        </w:tc>
        <w:tc>
          <w:tcPr>
            <w:tcW w:w="1276" w:type="dxa"/>
            <w:shd w:val="clear" w:color="auto" w:fill="auto"/>
            <w:vAlign w:val="center"/>
            <w:hideMark/>
          </w:tcPr>
          <w:p w14:paraId="56AAFF37"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val="restart"/>
            <w:shd w:val="clear" w:color="auto" w:fill="auto"/>
            <w:vAlign w:val="center"/>
            <w:hideMark/>
          </w:tcPr>
          <w:p w14:paraId="790DC07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x</w:t>
            </w:r>
          </w:p>
        </w:tc>
        <w:tc>
          <w:tcPr>
            <w:tcW w:w="992" w:type="dxa"/>
            <w:shd w:val="clear" w:color="auto" w:fill="auto"/>
            <w:vAlign w:val="center"/>
            <w:hideMark/>
          </w:tcPr>
          <w:p w14:paraId="1F9C724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4FD84BA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70F3380" w14:textId="77777777" w:rsidTr="009139C7">
        <w:trPr>
          <w:cantSplit/>
        </w:trPr>
        <w:tc>
          <w:tcPr>
            <w:tcW w:w="1306" w:type="dxa"/>
            <w:shd w:val="clear" w:color="auto" w:fill="auto"/>
            <w:hideMark/>
          </w:tcPr>
          <w:p w14:paraId="4D59D4B5"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5.1. valsts pamatbudžets</w:t>
            </w:r>
          </w:p>
        </w:tc>
        <w:tc>
          <w:tcPr>
            <w:tcW w:w="1134" w:type="dxa"/>
            <w:vMerge/>
            <w:shd w:val="clear" w:color="auto" w:fill="auto"/>
            <w:vAlign w:val="center"/>
            <w:hideMark/>
          </w:tcPr>
          <w:p w14:paraId="0A420B9C"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22C409B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vMerge/>
            <w:shd w:val="clear" w:color="auto" w:fill="auto"/>
            <w:vAlign w:val="center"/>
            <w:hideMark/>
          </w:tcPr>
          <w:p w14:paraId="55B53AC5"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249C857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shd w:val="clear" w:color="auto" w:fill="auto"/>
            <w:vAlign w:val="center"/>
            <w:hideMark/>
          </w:tcPr>
          <w:p w14:paraId="23B9D1CC" w14:textId="77777777" w:rsidR="006A2224" w:rsidRPr="00121C81" w:rsidRDefault="006A2224" w:rsidP="009139C7">
            <w:pPr>
              <w:jc w:val="right"/>
              <w:rPr>
                <w:rFonts w:eastAsiaTheme="minorHAnsi"/>
                <w:sz w:val="24"/>
                <w:szCs w:val="24"/>
                <w:lang w:val="lv-LV"/>
              </w:rPr>
            </w:pPr>
          </w:p>
        </w:tc>
        <w:tc>
          <w:tcPr>
            <w:tcW w:w="992" w:type="dxa"/>
            <w:shd w:val="clear" w:color="auto" w:fill="auto"/>
            <w:vAlign w:val="center"/>
            <w:hideMark/>
          </w:tcPr>
          <w:p w14:paraId="2AB23A3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270A8F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64293857" w14:textId="77777777" w:rsidTr="009139C7">
        <w:trPr>
          <w:cantSplit/>
        </w:trPr>
        <w:tc>
          <w:tcPr>
            <w:tcW w:w="1306" w:type="dxa"/>
            <w:shd w:val="clear" w:color="auto" w:fill="auto"/>
            <w:hideMark/>
          </w:tcPr>
          <w:p w14:paraId="6D375D36"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5.2. speciālais budžets</w:t>
            </w:r>
          </w:p>
        </w:tc>
        <w:tc>
          <w:tcPr>
            <w:tcW w:w="1134" w:type="dxa"/>
            <w:vMerge/>
            <w:shd w:val="clear" w:color="auto" w:fill="auto"/>
            <w:vAlign w:val="center"/>
            <w:hideMark/>
          </w:tcPr>
          <w:p w14:paraId="7FFFC4CB"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122D9A6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vMerge/>
            <w:shd w:val="clear" w:color="auto" w:fill="auto"/>
            <w:vAlign w:val="center"/>
            <w:hideMark/>
          </w:tcPr>
          <w:p w14:paraId="7A894897"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7FB2CDA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shd w:val="clear" w:color="auto" w:fill="auto"/>
            <w:vAlign w:val="center"/>
            <w:hideMark/>
          </w:tcPr>
          <w:p w14:paraId="09876E3C" w14:textId="77777777" w:rsidR="006A2224" w:rsidRPr="00121C81" w:rsidRDefault="006A2224" w:rsidP="009139C7">
            <w:pPr>
              <w:jc w:val="right"/>
              <w:rPr>
                <w:rFonts w:eastAsiaTheme="minorHAnsi"/>
                <w:sz w:val="24"/>
                <w:szCs w:val="24"/>
                <w:lang w:val="lv-LV"/>
              </w:rPr>
            </w:pPr>
          </w:p>
        </w:tc>
        <w:tc>
          <w:tcPr>
            <w:tcW w:w="992" w:type="dxa"/>
            <w:shd w:val="clear" w:color="auto" w:fill="auto"/>
            <w:vAlign w:val="center"/>
            <w:hideMark/>
          </w:tcPr>
          <w:p w14:paraId="2B9CB80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64DDD2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17A5B948" w14:textId="77777777" w:rsidTr="009139C7">
        <w:trPr>
          <w:cantSplit/>
        </w:trPr>
        <w:tc>
          <w:tcPr>
            <w:tcW w:w="1306" w:type="dxa"/>
            <w:shd w:val="clear" w:color="auto" w:fill="auto"/>
            <w:hideMark/>
          </w:tcPr>
          <w:p w14:paraId="1C635D64"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5.3. pašvaldību budžets</w:t>
            </w:r>
          </w:p>
        </w:tc>
        <w:tc>
          <w:tcPr>
            <w:tcW w:w="1134" w:type="dxa"/>
            <w:vMerge/>
            <w:shd w:val="clear" w:color="auto" w:fill="auto"/>
            <w:vAlign w:val="center"/>
            <w:hideMark/>
          </w:tcPr>
          <w:p w14:paraId="2B027B81"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1948C3DB" w14:textId="77777777" w:rsidR="006A2224" w:rsidRPr="00121C81" w:rsidRDefault="006A2224" w:rsidP="009139C7">
            <w:pPr>
              <w:jc w:val="right"/>
              <w:rPr>
                <w:rFonts w:eastAsiaTheme="minorHAnsi"/>
                <w:sz w:val="24"/>
                <w:szCs w:val="24"/>
                <w:lang w:val="lv-LV"/>
              </w:rPr>
            </w:pPr>
            <w:r w:rsidRPr="00121C81">
              <w:rPr>
                <w:bCs/>
                <w:sz w:val="24"/>
                <w:szCs w:val="24"/>
                <w:lang w:val="lv-LV"/>
              </w:rPr>
              <w:t>0</w:t>
            </w:r>
          </w:p>
        </w:tc>
        <w:tc>
          <w:tcPr>
            <w:tcW w:w="1134" w:type="dxa"/>
            <w:vMerge/>
            <w:shd w:val="clear" w:color="auto" w:fill="auto"/>
            <w:vAlign w:val="center"/>
            <w:hideMark/>
          </w:tcPr>
          <w:p w14:paraId="178E60AF"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4C1FCEE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shd w:val="clear" w:color="auto" w:fill="auto"/>
            <w:vAlign w:val="center"/>
            <w:hideMark/>
          </w:tcPr>
          <w:p w14:paraId="7B521A28" w14:textId="77777777" w:rsidR="006A2224" w:rsidRPr="00121C81" w:rsidRDefault="006A2224" w:rsidP="009139C7">
            <w:pPr>
              <w:jc w:val="right"/>
              <w:rPr>
                <w:rFonts w:eastAsiaTheme="minorHAnsi"/>
                <w:sz w:val="24"/>
                <w:szCs w:val="24"/>
                <w:lang w:val="lv-LV"/>
              </w:rPr>
            </w:pPr>
          </w:p>
        </w:tc>
        <w:tc>
          <w:tcPr>
            <w:tcW w:w="992" w:type="dxa"/>
            <w:shd w:val="clear" w:color="auto" w:fill="auto"/>
            <w:vAlign w:val="center"/>
            <w:hideMark/>
          </w:tcPr>
          <w:p w14:paraId="17C27C5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B293A13"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721AE2BD" w14:textId="77777777" w:rsidTr="009139C7">
        <w:trPr>
          <w:cantSplit/>
        </w:trPr>
        <w:tc>
          <w:tcPr>
            <w:tcW w:w="1306" w:type="dxa"/>
            <w:shd w:val="clear" w:color="auto" w:fill="auto"/>
            <w:hideMark/>
          </w:tcPr>
          <w:p w14:paraId="4BC1B27B"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6. Detalizēts ieņēmumu un izdevumu aprēķins (ja nepieciešams, detalizētu ieņēmumu un izdevumu aprēķinu var pievienot anotācijas pielikumā)</w:t>
            </w:r>
          </w:p>
        </w:tc>
        <w:tc>
          <w:tcPr>
            <w:tcW w:w="7938" w:type="dxa"/>
            <w:gridSpan w:val="7"/>
            <w:vMerge w:val="restart"/>
            <w:shd w:val="clear" w:color="auto" w:fill="auto"/>
            <w:vAlign w:val="center"/>
            <w:hideMark/>
          </w:tcPr>
          <w:p w14:paraId="661C9449" w14:textId="12366CD7" w:rsidR="006A2224" w:rsidRPr="00CB3984" w:rsidRDefault="00121C81" w:rsidP="009139C7">
            <w:pPr>
              <w:pStyle w:val="tv213"/>
              <w:spacing w:before="0" w:beforeAutospacing="0" w:after="0" w:afterAutospacing="0"/>
              <w:jc w:val="both"/>
            </w:pPr>
            <w:r>
              <w:rPr>
                <w:noProof/>
              </w:rPr>
              <w:t>Noteikumu p</w:t>
            </w:r>
            <w:r w:rsidR="006A2224" w:rsidRPr="00121C81">
              <w:rPr>
                <w:noProof/>
              </w:rPr>
              <w:t xml:space="preserve">rojekts paredz </w:t>
            </w:r>
            <w:r w:rsidRPr="00121C81">
              <w:rPr>
                <w:noProof/>
              </w:rPr>
              <w:t xml:space="preserve">speciālās izglītības iestāžu nodarbinātajiem nodrošināt </w:t>
            </w:r>
            <w:r>
              <w:rPr>
                <w:noProof/>
              </w:rPr>
              <w:t>Ag testus.</w:t>
            </w:r>
            <w:r w:rsidRPr="00121C81">
              <w:rPr>
                <w:noProof/>
              </w:rPr>
              <w:t xml:space="preserve"> </w:t>
            </w:r>
            <w:r w:rsidR="006A2224" w:rsidRPr="00121C81">
              <w:t xml:space="preserve">Plānots, ka vidēji viena </w:t>
            </w:r>
            <w:proofErr w:type="spellStart"/>
            <w:r w:rsidR="006A2224" w:rsidRPr="00121C81">
              <w:t>A</w:t>
            </w:r>
            <w:r>
              <w:t>g</w:t>
            </w:r>
            <w:proofErr w:type="spellEnd"/>
            <w:r w:rsidR="006A2224" w:rsidRPr="00121C81">
              <w:t xml:space="preserve"> testa izdevumi ir 5</w:t>
            </w:r>
            <w:r>
              <w:t>,</w:t>
            </w:r>
            <w:r w:rsidR="006A2224" w:rsidRPr="00121C81">
              <w:t xml:space="preserve">08 </w:t>
            </w:r>
            <w:proofErr w:type="spellStart"/>
            <w:r w:rsidR="006A2224" w:rsidRPr="00121C81">
              <w:rPr>
                <w:i/>
                <w:iCs/>
              </w:rPr>
              <w:t>euro</w:t>
            </w:r>
            <w:proofErr w:type="spellEnd"/>
            <w:r w:rsidR="006A2224" w:rsidRPr="00121C81">
              <w:t xml:space="preserve"> (tirgū pieejamo </w:t>
            </w:r>
            <w:proofErr w:type="spellStart"/>
            <w:r w:rsidR="006A2224" w:rsidRPr="00121C81">
              <w:t>eksprestestu</w:t>
            </w:r>
            <w:proofErr w:type="spellEnd"/>
            <w:r w:rsidR="006A2224" w:rsidRPr="00121C81">
              <w:t xml:space="preserve"> </w:t>
            </w:r>
            <w:r w:rsidR="006A2224" w:rsidRPr="00CB3984">
              <w:t xml:space="preserve">cena 2021.gada janvāra sākumā), kopā nepieciešami </w:t>
            </w:r>
            <w:r w:rsidR="00C60197">
              <w:t>32</w:t>
            </w:r>
            <w:r w:rsidR="006A2224" w:rsidRPr="00CB3984">
              <w:t xml:space="preserve"> 000 testi. </w:t>
            </w:r>
          </w:p>
          <w:p w14:paraId="7171A85B" w14:textId="3E22D02B" w:rsidR="006A2224" w:rsidRPr="00CB3984" w:rsidRDefault="006A2224" w:rsidP="009139C7">
            <w:pPr>
              <w:pStyle w:val="tv213"/>
              <w:spacing w:before="0" w:beforeAutospacing="0" w:after="0" w:afterAutospacing="0"/>
              <w:ind w:firstLine="418"/>
              <w:jc w:val="both"/>
            </w:pPr>
            <w:r w:rsidRPr="00CB3984">
              <w:t>5</w:t>
            </w:r>
            <w:r w:rsidR="00121C81" w:rsidRPr="00CB3984">
              <w:t>,</w:t>
            </w:r>
            <w:r w:rsidRPr="00CB3984">
              <w:t xml:space="preserve">08 </w:t>
            </w:r>
            <w:proofErr w:type="spellStart"/>
            <w:r w:rsidRPr="00CB3984">
              <w:rPr>
                <w:i/>
                <w:iCs/>
              </w:rPr>
              <w:t>euro</w:t>
            </w:r>
            <w:proofErr w:type="spellEnd"/>
            <w:r w:rsidRPr="00CB3984">
              <w:t xml:space="preserve"> x </w:t>
            </w:r>
            <w:r w:rsidR="00C60197">
              <w:t>32</w:t>
            </w:r>
            <w:r w:rsidRPr="00CB3984">
              <w:t xml:space="preserve"> 000 testi = </w:t>
            </w:r>
            <w:r w:rsidR="00C60197">
              <w:rPr>
                <w:bCs/>
              </w:rPr>
              <w:t xml:space="preserve">162 560 </w:t>
            </w:r>
            <w:proofErr w:type="spellStart"/>
            <w:r w:rsidRPr="00CB3984">
              <w:rPr>
                <w:i/>
                <w:iCs/>
              </w:rPr>
              <w:t>euro</w:t>
            </w:r>
            <w:proofErr w:type="spellEnd"/>
            <w:r w:rsidRPr="00CB3984">
              <w:t xml:space="preserve"> (bez PVN)</w:t>
            </w:r>
          </w:p>
          <w:p w14:paraId="3054A438" w14:textId="2DAA0DEE" w:rsidR="006A2224" w:rsidRPr="00121C81" w:rsidRDefault="006A2224" w:rsidP="00121C81">
            <w:pPr>
              <w:pStyle w:val="tv213"/>
              <w:spacing w:before="0" w:beforeAutospacing="0" w:after="0" w:afterAutospacing="0"/>
              <w:jc w:val="both"/>
            </w:pPr>
            <w:proofErr w:type="spellStart"/>
            <w:r w:rsidRPr="00121C81">
              <w:t>A</w:t>
            </w:r>
            <w:r w:rsidR="00121C81">
              <w:t>g</w:t>
            </w:r>
            <w:proofErr w:type="spellEnd"/>
            <w:r w:rsidRPr="00121C81">
              <w:t xml:space="preserve"> testi attiecināmi </w:t>
            </w:r>
            <w:proofErr w:type="spellStart"/>
            <w:r w:rsidRPr="00121C81">
              <w:rPr>
                <w:i/>
              </w:rPr>
              <w:t>in</w:t>
            </w:r>
            <w:proofErr w:type="spellEnd"/>
            <w:r w:rsidRPr="00121C81">
              <w:rPr>
                <w:i/>
              </w:rPr>
              <w:t xml:space="preserve"> </w:t>
            </w:r>
            <w:proofErr w:type="spellStart"/>
            <w:r w:rsidRPr="00121C81">
              <w:rPr>
                <w:i/>
              </w:rPr>
              <w:t>vitro</w:t>
            </w:r>
            <w:proofErr w:type="spellEnd"/>
            <w:r w:rsidRPr="00121C81">
              <w:t xml:space="preserve"> diagnostikas medicīnisko ierīču grupai, tāpēc tiem piemērojama samazinātā PVN likme 0 procentu apmērā.</w:t>
            </w:r>
          </w:p>
          <w:p w14:paraId="3A2CC73E" w14:textId="77777777" w:rsidR="006A2224" w:rsidRPr="00121C81" w:rsidRDefault="006A2224" w:rsidP="009139C7">
            <w:pPr>
              <w:pStyle w:val="tv213"/>
              <w:spacing w:before="0" w:beforeAutospacing="0" w:after="0" w:afterAutospacing="0"/>
              <w:jc w:val="both"/>
            </w:pPr>
            <w:r w:rsidRPr="00121C81">
              <w:t>Gadījumā, ja veicot iepirkumu tiks piedāvāta augstāka cena, būs nepieciešams papildus finansējums Aizsardzības ministrijas pamatbudžeta programmā 99.00.00 “Līdzekļu neparedzētiem gadījumiem izlietojums”.</w:t>
            </w:r>
          </w:p>
          <w:p w14:paraId="62E479A0" w14:textId="77777777" w:rsidR="006A2224" w:rsidRPr="00121C81" w:rsidRDefault="006A2224" w:rsidP="009139C7">
            <w:pPr>
              <w:pStyle w:val="tv213"/>
              <w:spacing w:before="0" w:beforeAutospacing="0" w:after="0" w:afterAutospacing="0"/>
              <w:ind w:firstLine="418"/>
              <w:jc w:val="both"/>
            </w:pPr>
          </w:p>
        </w:tc>
      </w:tr>
      <w:tr w:rsidR="006A2224" w:rsidRPr="00121C81" w14:paraId="23DAA5EB" w14:textId="77777777" w:rsidTr="009139C7">
        <w:trPr>
          <w:cantSplit/>
        </w:trPr>
        <w:tc>
          <w:tcPr>
            <w:tcW w:w="1306" w:type="dxa"/>
            <w:shd w:val="clear" w:color="auto" w:fill="auto"/>
            <w:hideMark/>
          </w:tcPr>
          <w:p w14:paraId="0C7950EB"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6.1. detalizēts ieņēmumu aprēķins</w:t>
            </w:r>
          </w:p>
        </w:tc>
        <w:tc>
          <w:tcPr>
            <w:tcW w:w="7938" w:type="dxa"/>
            <w:gridSpan w:val="7"/>
            <w:vMerge/>
            <w:shd w:val="clear" w:color="auto" w:fill="auto"/>
            <w:vAlign w:val="center"/>
            <w:hideMark/>
          </w:tcPr>
          <w:p w14:paraId="2521FC59" w14:textId="77777777" w:rsidR="006A2224" w:rsidRPr="00121C81" w:rsidRDefault="006A2224" w:rsidP="009139C7">
            <w:pPr>
              <w:jc w:val="both"/>
              <w:rPr>
                <w:rFonts w:eastAsiaTheme="minorHAnsi"/>
                <w:color w:val="FF0000"/>
                <w:sz w:val="24"/>
                <w:szCs w:val="24"/>
                <w:lang w:val="lv-LV"/>
              </w:rPr>
            </w:pPr>
          </w:p>
        </w:tc>
      </w:tr>
      <w:tr w:rsidR="006A2224" w:rsidRPr="00121C81" w14:paraId="41303C3D" w14:textId="77777777" w:rsidTr="009139C7">
        <w:trPr>
          <w:cantSplit/>
        </w:trPr>
        <w:tc>
          <w:tcPr>
            <w:tcW w:w="1306" w:type="dxa"/>
            <w:shd w:val="clear" w:color="auto" w:fill="auto"/>
            <w:hideMark/>
          </w:tcPr>
          <w:p w14:paraId="161BFC12" w14:textId="77777777" w:rsidR="006A2224" w:rsidRPr="00121C81" w:rsidRDefault="006A2224" w:rsidP="009139C7">
            <w:pPr>
              <w:jc w:val="both"/>
              <w:rPr>
                <w:rFonts w:eastAsiaTheme="minorHAnsi"/>
                <w:color w:val="FF0000"/>
                <w:sz w:val="24"/>
                <w:szCs w:val="24"/>
                <w:lang w:val="lv-LV"/>
              </w:rPr>
            </w:pPr>
            <w:r w:rsidRPr="00121C81">
              <w:rPr>
                <w:rFonts w:eastAsiaTheme="minorHAnsi"/>
                <w:sz w:val="24"/>
                <w:szCs w:val="24"/>
                <w:lang w:val="lv-LV"/>
              </w:rPr>
              <w:t>6.2. detalizēts izdevumu aprēķins</w:t>
            </w:r>
          </w:p>
        </w:tc>
        <w:tc>
          <w:tcPr>
            <w:tcW w:w="7938" w:type="dxa"/>
            <w:gridSpan w:val="7"/>
            <w:vMerge/>
            <w:shd w:val="clear" w:color="auto" w:fill="auto"/>
            <w:vAlign w:val="center"/>
            <w:hideMark/>
          </w:tcPr>
          <w:p w14:paraId="4AA1EDE5" w14:textId="77777777" w:rsidR="006A2224" w:rsidRPr="00121C81" w:rsidRDefault="006A2224" w:rsidP="009139C7">
            <w:pPr>
              <w:jc w:val="both"/>
              <w:rPr>
                <w:rFonts w:eastAsiaTheme="minorHAnsi"/>
                <w:color w:val="FF0000"/>
                <w:sz w:val="24"/>
                <w:szCs w:val="24"/>
                <w:lang w:val="lv-LV"/>
              </w:rPr>
            </w:pPr>
          </w:p>
        </w:tc>
      </w:tr>
      <w:tr w:rsidR="006A2224" w:rsidRPr="00121C81" w14:paraId="6CDC3ABE" w14:textId="77777777" w:rsidTr="009139C7">
        <w:trPr>
          <w:cantSplit/>
        </w:trPr>
        <w:tc>
          <w:tcPr>
            <w:tcW w:w="1306" w:type="dxa"/>
            <w:tcBorders>
              <w:bottom w:val="single" w:sz="4" w:space="0" w:color="auto"/>
            </w:tcBorders>
            <w:shd w:val="clear" w:color="auto" w:fill="auto"/>
            <w:hideMark/>
          </w:tcPr>
          <w:p w14:paraId="7283C606"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7. Amata vietu skaita izmaiņas</w:t>
            </w:r>
          </w:p>
        </w:tc>
        <w:tc>
          <w:tcPr>
            <w:tcW w:w="7938" w:type="dxa"/>
            <w:gridSpan w:val="7"/>
            <w:tcBorders>
              <w:bottom w:val="single" w:sz="4" w:space="0" w:color="auto"/>
            </w:tcBorders>
            <w:shd w:val="clear" w:color="auto" w:fill="auto"/>
            <w:hideMark/>
          </w:tcPr>
          <w:p w14:paraId="4450DA87"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Nav</w:t>
            </w:r>
          </w:p>
        </w:tc>
      </w:tr>
      <w:tr w:rsidR="006A2224" w:rsidRPr="00121C81" w14:paraId="7BD66D2A" w14:textId="77777777" w:rsidTr="009139C7">
        <w:trPr>
          <w:cantSplit/>
        </w:trPr>
        <w:tc>
          <w:tcPr>
            <w:tcW w:w="1306" w:type="dxa"/>
            <w:tcBorders>
              <w:bottom w:val="single" w:sz="4" w:space="0" w:color="auto"/>
            </w:tcBorders>
            <w:shd w:val="clear" w:color="auto" w:fill="auto"/>
            <w:hideMark/>
          </w:tcPr>
          <w:p w14:paraId="57C672B9"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8. Cita informācija</w:t>
            </w:r>
          </w:p>
        </w:tc>
        <w:tc>
          <w:tcPr>
            <w:tcW w:w="7938" w:type="dxa"/>
            <w:gridSpan w:val="7"/>
            <w:tcBorders>
              <w:bottom w:val="single" w:sz="4" w:space="0" w:color="auto"/>
            </w:tcBorders>
            <w:shd w:val="clear" w:color="auto" w:fill="auto"/>
            <w:vAlign w:val="center"/>
          </w:tcPr>
          <w:p w14:paraId="732C0C07" w14:textId="62784BE1" w:rsidR="006A2224" w:rsidRPr="00121C81" w:rsidRDefault="006A2224" w:rsidP="009139C7">
            <w:pPr>
              <w:jc w:val="both"/>
              <w:rPr>
                <w:rFonts w:eastAsiaTheme="minorHAnsi"/>
                <w:sz w:val="24"/>
                <w:szCs w:val="24"/>
                <w:lang w:val="lv-LV"/>
              </w:rPr>
            </w:pPr>
            <w:r w:rsidRPr="00121C81">
              <w:rPr>
                <w:sz w:val="24"/>
                <w:szCs w:val="24"/>
                <w:lang w:val="lv-LV"/>
              </w:rPr>
              <w:t xml:space="preserve">Izdevumi tiks veikti Aizsardzības ministrijas pamatbudžeta programmas 99.00.00 “Līdzekļu neparedzētiem gadījumiem izlietojums” ietvaros, līdzekļus pārdalot no 74.resora </w:t>
            </w:r>
            <w:r w:rsidR="00CB3984">
              <w:rPr>
                <w:sz w:val="24"/>
                <w:szCs w:val="24"/>
                <w:lang w:val="lv-LV"/>
              </w:rPr>
              <w:t>“</w:t>
            </w:r>
            <w:r w:rsidRPr="00121C81">
              <w:rPr>
                <w:sz w:val="24"/>
                <w:szCs w:val="24"/>
                <w:lang w:val="lv-LV"/>
              </w:rPr>
              <w:t xml:space="preserve">Gadskārtējā valsts budžeta izpildes procesā pārdalāmais finansējums” programmas 02.00.00 </w:t>
            </w:r>
            <w:r w:rsidR="00CB3984">
              <w:rPr>
                <w:sz w:val="24"/>
                <w:szCs w:val="24"/>
                <w:lang w:val="lv-LV"/>
              </w:rPr>
              <w:t>“</w:t>
            </w:r>
            <w:r w:rsidRPr="00121C81">
              <w:rPr>
                <w:sz w:val="24"/>
                <w:szCs w:val="24"/>
                <w:lang w:val="lv-LV"/>
              </w:rPr>
              <w:t>Līdzekļi neparedzētiem gadījumiem”</w:t>
            </w:r>
            <w:r w:rsidR="00557CFB">
              <w:rPr>
                <w:sz w:val="24"/>
                <w:szCs w:val="24"/>
                <w:lang w:val="lv-LV"/>
              </w:rPr>
              <w:t>,</w:t>
            </w:r>
            <w:r w:rsidR="00557CFB">
              <w:t xml:space="preserve"> </w:t>
            </w:r>
            <w:r w:rsidR="00557CFB" w:rsidRPr="00557CFB">
              <w:rPr>
                <w:sz w:val="24"/>
                <w:szCs w:val="24"/>
                <w:lang w:val="lv-LV"/>
              </w:rPr>
              <w:t>Aizsardzības ministrijai sagatavojot Ministru kabineta rīkojumu par finanšu resursu pārdali</w:t>
            </w:r>
            <w:r w:rsidRPr="00121C81">
              <w:rPr>
                <w:sz w:val="24"/>
                <w:szCs w:val="24"/>
                <w:lang w:val="lv-LV"/>
              </w:rPr>
              <w:t>.</w:t>
            </w:r>
          </w:p>
        </w:tc>
      </w:tr>
    </w:tbl>
    <w:p w14:paraId="6C26D193" w14:textId="77777777" w:rsidR="006A2224" w:rsidRPr="00FD0735" w:rsidRDefault="006A2224" w:rsidP="006A2224">
      <w:pPr>
        <w:pStyle w:val="NoSpacing"/>
        <w:rPr>
          <w:rFonts w:ascii="Times New Roman" w:hAnsi="Times New Roman" w:cs="Times New Roman"/>
          <w:i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6A2224" w:rsidRPr="00334FFF" w14:paraId="2BC5AF06" w14:textId="77777777" w:rsidTr="009139C7">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42F535" w14:textId="77777777" w:rsidR="006A2224" w:rsidRPr="00A77A93" w:rsidRDefault="006A2224" w:rsidP="009139C7">
            <w:pPr>
              <w:ind w:firstLine="300"/>
              <w:contextualSpacing/>
              <w:rPr>
                <w:rFonts w:eastAsia="Times New Roman"/>
                <w:b/>
                <w:bCs/>
                <w:noProof/>
                <w:sz w:val="26"/>
                <w:szCs w:val="26"/>
                <w:lang w:val="lv-LV" w:eastAsia="lv-LV"/>
              </w:rPr>
            </w:pPr>
            <w:r w:rsidRPr="00A77A93">
              <w:rPr>
                <w:rFonts w:eastAsia="Times New Roman"/>
                <w:b/>
                <w:bCs/>
                <w:noProof/>
                <w:sz w:val="26"/>
                <w:szCs w:val="26"/>
                <w:lang w:val="lv-LV" w:eastAsia="lv-LV"/>
              </w:rPr>
              <w:t>IV. Tiesību akta projekta ietekme uz spēkā esošo tiesību normu sistēmu</w:t>
            </w:r>
          </w:p>
        </w:tc>
      </w:tr>
      <w:tr w:rsidR="00121C81" w:rsidRPr="00A77A93" w14:paraId="35272B1F" w14:textId="77777777" w:rsidTr="00121C81">
        <w:trPr>
          <w:trHeight w:val="335"/>
        </w:trPr>
        <w:tc>
          <w:tcPr>
            <w:tcW w:w="5000" w:type="pct"/>
            <w:tcBorders>
              <w:top w:val="outset" w:sz="6" w:space="0" w:color="414142"/>
              <w:left w:val="outset" w:sz="6" w:space="0" w:color="414142"/>
              <w:right w:val="outset" w:sz="6" w:space="0" w:color="414142"/>
            </w:tcBorders>
            <w:hideMark/>
          </w:tcPr>
          <w:p w14:paraId="1A667039" w14:textId="24C345C2" w:rsidR="00121C81" w:rsidRPr="00A77A93" w:rsidRDefault="00121C81" w:rsidP="00121C81">
            <w:pPr>
              <w:pStyle w:val="ListParagraph"/>
              <w:ind w:left="0"/>
              <w:contextualSpacing w:val="0"/>
              <w:jc w:val="center"/>
              <w:rPr>
                <w:bCs/>
                <w:iCs/>
                <w:noProof/>
                <w:sz w:val="26"/>
                <w:szCs w:val="26"/>
                <w:lang w:val="lv-LV"/>
              </w:rPr>
            </w:pPr>
            <w:r>
              <w:rPr>
                <w:bCs/>
                <w:iCs/>
                <w:noProof/>
                <w:sz w:val="26"/>
                <w:szCs w:val="26"/>
                <w:lang w:val="lv-LV"/>
              </w:rPr>
              <w:t>Noteikumu projekts šo jomu neskar.</w:t>
            </w:r>
          </w:p>
          <w:p w14:paraId="109B6966" w14:textId="77777777" w:rsidR="00121C81" w:rsidRPr="00A77A93" w:rsidRDefault="00121C81" w:rsidP="009139C7">
            <w:pPr>
              <w:ind w:left="577"/>
              <w:contextualSpacing/>
              <w:jc w:val="both"/>
              <w:rPr>
                <w:bCs/>
                <w:iCs/>
                <w:noProof/>
                <w:sz w:val="26"/>
                <w:szCs w:val="26"/>
                <w:lang w:val="lv-LV"/>
              </w:rPr>
            </w:pPr>
          </w:p>
        </w:tc>
      </w:tr>
    </w:tbl>
    <w:p w14:paraId="08F0A468" w14:textId="77777777" w:rsidR="006A2224" w:rsidRPr="00A77A93" w:rsidRDefault="006A2224" w:rsidP="006A2224">
      <w:pPr>
        <w:contextualSpacing/>
        <w:rPr>
          <w:rFonts w:eastAsia="Times New Roman"/>
          <w:noProof/>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6A2224" w:rsidRPr="00A77A93" w14:paraId="33854423" w14:textId="77777777" w:rsidTr="009139C7">
        <w:tc>
          <w:tcPr>
            <w:tcW w:w="0" w:type="auto"/>
            <w:tcBorders>
              <w:top w:val="outset" w:sz="6" w:space="0" w:color="414142"/>
              <w:left w:val="outset" w:sz="6" w:space="0" w:color="414142"/>
              <w:bottom w:val="outset" w:sz="6" w:space="0" w:color="414142"/>
              <w:right w:val="outset" w:sz="6" w:space="0" w:color="414142"/>
            </w:tcBorders>
            <w:hideMark/>
          </w:tcPr>
          <w:p w14:paraId="12DFEC9F" w14:textId="77777777" w:rsidR="006A2224" w:rsidRPr="00A77A93" w:rsidRDefault="006A2224" w:rsidP="009139C7">
            <w:pPr>
              <w:contextualSpacing/>
              <w:jc w:val="center"/>
              <w:rPr>
                <w:rFonts w:eastAsia="Times New Roman"/>
                <w:noProof/>
                <w:sz w:val="26"/>
                <w:szCs w:val="26"/>
                <w:lang w:val="lv-LV" w:eastAsia="lv-LV"/>
              </w:rPr>
            </w:pPr>
            <w:r w:rsidRPr="00A77A93">
              <w:rPr>
                <w:b/>
                <w:noProof/>
                <w:sz w:val="26"/>
                <w:lang w:val="lv-LV"/>
              </w:rPr>
              <w:t>V. Tiesību akta projekta atbilstība Latvijas Republikas starptautiskajām saistībām</w:t>
            </w:r>
          </w:p>
        </w:tc>
      </w:tr>
      <w:tr w:rsidR="006A2224" w:rsidRPr="00A77A93" w14:paraId="32EA5775" w14:textId="77777777" w:rsidTr="009139C7">
        <w:tc>
          <w:tcPr>
            <w:tcW w:w="5000" w:type="pct"/>
            <w:tcBorders>
              <w:top w:val="outset" w:sz="6" w:space="0" w:color="414142"/>
              <w:left w:val="outset" w:sz="6" w:space="0" w:color="414142"/>
              <w:bottom w:val="outset" w:sz="6" w:space="0" w:color="414142"/>
              <w:right w:val="outset" w:sz="6" w:space="0" w:color="414142"/>
            </w:tcBorders>
            <w:hideMark/>
          </w:tcPr>
          <w:p w14:paraId="1A93CB48" w14:textId="1DDD6CE0" w:rsidR="006A2224" w:rsidRPr="00A77A93" w:rsidRDefault="00121C81" w:rsidP="009139C7">
            <w:pPr>
              <w:contextualSpacing/>
              <w:jc w:val="center"/>
              <w:rPr>
                <w:rFonts w:eastAsia="Times New Roman"/>
                <w:noProof/>
                <w:sz w:val="26"/>
                <w:szCs w:val="26"/>
                <w:lang w:val="lv-LV" w:eastAsia="lv-LV"/>
              </w:rPr>
            </w:pPr>
            <w:r>
              <w:rPr>
                <w:rFonts w:eastAsia="Times New Roman"/>
                <w:noProof/>
                <w:sz w:val="26"/>
                <w:szCs w:val="26"/>
                <w:lang w:val="lv-LV" w:eastAsia="lv-LV"/>
              </w:rPr>
              <w:t>Noteikumu p</w:t>
            </w:r>
            <w:r w:rsidR="006A2224" w:rsidRPr="00A77A93">
              <w:rPr>
                <w:rFonts w:eastAsia="Times New Roman"/>
                <w:noProof/>
                <w:sz w:val="26"/>
                <w:szCs w:val="26"/>
                <w:lang w:val="lv-LV" w:eastAsia="lv-LV"/>
              </w:rPr>
              <w:t>rojekts šo jomu neskar.</w:t>
            </w:r>
          </w:p>
        </w:tc>
      </w:tr>
    </w:tbl>
    <w:p w14:paraId="6329F639" w14:textId="77777777" w:rsidR="006A2224" w:rsidRPr="00A77A93" w:rsidRDefault="006A2224" w:rsidP="006A2224">
      <w:pPr>
        <w:contextualSpacing/>
        <w:rPr>
          <w:noProof/>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A2224" w:rsidRPr="00334FFF" w14:paraId="025D235C" w14:textId="77777777" w:rsidTr="009139C7">
        <w:trPr>
          <w:trHeight w:val="421"/>
        </w:trPr>
        <w:tc>
          <w:tcPr>
            <w:tcW w:w="9211" w:type="dxa"/>
            <w:gridSpan w:val="3"/>
            <w:tcBorders>
              <w:top w:val="single" w:sz="2" w:space="0" w:color="auto"/>
            </w:tcBorders>
            <w:vAlign w:val="center"/>
          </w:tcPr>
          <w:p w14:paraId="5BD7D6ED" w14:textId="77777777" w:rsidR="006A2224" w:rsidRPr="00A77A93" w:rsidRDefault="006A2224" w:rsidP="009139C7">
            <w:pPr>
              <w:ind w:left="57" w:right="57"/>
              <w:contextualSpacing/>
              <w:jc w:val="center"/>
              <w:rPr>
                <w:rFonts w:eastAsia="Times New Roman"/>
                <w:noProof/>
                <w:sz w:val="25"/>
                <w:szCs w:val="25"/>
                <w:lang w:val="lv-LV"/>
              </w:rPr>
            </w:pPr>
            <w:r w:rsidRPr="00A77A93">
              <w:rPr>
                <w:rFonts w:eastAsia="Times New Roman"/>
                <w:b/>
                <w:noProof/>
                <w:sz w:val="25"/>
                <w:szCs w:val="25"/>
                <w:lang w:val="lv-LV"/>
              </w:rPr>
              <w:t>VI. Sabiedrības līdzdalība un komunikācijas aktivitātes</w:t>
            </w:r>
          </w:p>
        </w:tc>
      </w:tr>
      <w:tr w:rsidR="006A2224" w:rsidRPr="00A77A93" w14:paraId="0E3B6F77" w14:textId="77777777" w:rsidTr="009139C7">
        <w:trPr>
          <w:trHeight w:val="553"/>
        </w:trPr>
        <w:tc>
          <w:tcPr>
            <w:tcW w:w="426" w:type="dxa"/>
          </w:tcPr>
          <w:p w14:paraId="4A222B0E" w14:textId="77777777" w:rsidR="006A2224" w:rsidRPr="00A77A93" w:rsidRDefault="006A2224" w:rsidP="009139C7">
            <w:pPr>
              <w:ind w:left="57" w:right="57"/>
              <w:contextualSpacing/>
              <w:jc w:val="both"/>
              <w:rPr>
                <w:noProof/>
                <w:sz w:val="25"/>
                <w:lang w:val="lv-LV"/>
              </w:rPr>
            </w:pPr>
            <w:r w:rsidRPr="00A77A93">
              <w:rPr>
                <w:noProof/>
                <w:sz w:val="25"/>
                <w:lang w:val="lv-LV"/>
              </w:rPr>
              <w:t>1.</w:t>
            </w:r>
          </w:p>
        </w:tc>
        <w:tc>
          <w:tcPr>
            <w:tcW w:w="2551" w:type="dxa"/>
          </w:tcPr>
          <w:p w14:paraId="1BDA9F7E" w14:textId="77777777" w:rsidR="006A2224" w:rsidRPr="00A77A93" w:rsidRDefault="006A2224" w:rsidP="009139C7">
            <w:pPr>
              <w:tabs>
                <w:tab w:val="left" w:pos="170"/>
              </w:tabs>
              <w:ind w:left="57" w:right="57"/>
              <w:contextualSpacing/>
              <w:rPr>
                <w:rFonts w:eastAsia="PMingLiU"/>
                <w:noProof/>
                <w:sz w:val="26"/>
                <w:szCs w:val="26"/>
                <w:lang w:val="lv-LV" w:eastAsia="ja-JP"/>
              </w:rPr>
            </w:pPr>
            <w:r w:rsidRPr="00A77A93">
              <w:rPr>
                <w:rFonts w:eastAsia="PMingLiU"/>
                <w:noProof/>
                <w:sz w:val="26"/>
                <w:szCs w:val="26"/>
                <w:lang w:val="lv-LV" w:eastAsia="ja-JP"/>
              </w:rPr>
              <w:t>Plānotās sabiedrības līdzdalības un komunikācijas aktivitātes saistībā ar projektu</w:t>
            </w:r>
          </w:p>
        </w:tc>
        <w:tc>
          <w:tcPr>
            <w:tcW w:w="6234" w:type="dxa"/>
          </w:tcPr>
          <w:p w14:paraId="2D25625E" w14:textId="11D50DC2" w:rsidR="006A2224" w:rsidRPr="00A77A93" w:rsidRDefault="00121C81" w:rsidP="009139C7">
            <w:pPr>
              <w:shd w:val="clear" w:color="auto" w:fill="FFFFFF" w:themeFill="background1"/>
              <w:ind w:right="113"/>
              <w:contextualSpacing/>
              <w:jc w:val="both"/>
              <w:rPr>
                <w:rFonts w:eastAsia="Times New Roman"/>
                <w:noProof/>
                <w:sz w:val="26"/>
                <w:szCs w:val="26"/>
                <w:lang w:val="lv-LV" w:eastAsia="ja-JP"/>
              </w:rPr>
            </w:pPr>
            <w:r>
              <w:rPr>
                <w:rFonts w:eastAsia="Times New Roman"/>
                <w:noProof/>
                <w:sz w:val="26"/>
                <w:szCs w:val="26"/>
                <w:lang w:val="lv-LV" w:eastAsia="lv-LV"/>
              </w:rPr>
              <w:t>Noteikumu p</w:t>
            </w:r>
            <w:r w:rsidRPr="00A77A93">
              <w:rPr>
                <w:rFonts w:eastAsia="Times New Roman"/>
                <w:noProof/>
                <w:sz w:val="26"/>
                <w:szCs w:val="26"/>
                <w:lang w:val="lv-LV" w:eastAsia="lv-LV"/>
              </w:rPr>
              <w:t>rojekts šo jomu neskar.</w:t>
            </w:r>
          </w:p>
        </w:tc>
      </w:tr>
      <w:tr w:rsidR="006A2224" w:rsidRPr="00334FFF" w14:paraId="7F2AF09F" w14:textId="77777777" w:rsidTr="009139C7">
        <w:trPr>
          <w:trHeight w:val="339"/>
        </w:trPr>
        <w:tc>
          <w:tcPr>
            <w:tcW w:w="426" w:type="dxa"/>
          </w:tcPr>
          <w:p w14:paraId="192FEE5E" w14:textId="77777777" w:rsidR="006A2224" w:rsidRPr="00A77A93" w:rsidRDefault="006A2224" w:rsidP="009139C7">
            <w:pPr>
              <w:ind w:left="57" w:right="57"/>
              <w:contextualSpacing/>
              <w:jc w:val="both"/>
              <w:rPr>
                <w:noProof/>
                <w:sz w:val="25"/>
                <w:lang w:val="lv-LV"/>
              </w:rPr>
            </w:pPr>
            <w:r w:rsidRPr="00A77A93">
              <w:rPr>
                <w:noProof/>
                <w:sz w:val="25"/>
                <w:lang w:val="lv-LV"/>
              </w:rPr>
              <w:t>2.</w:t>
            </w:r>
          </w:p>
        </w:tc>
        <w:tc>
          <w:tcPr>
            <w:tcW w:w="2551" w:type="dxa"/>
          </w:tcPr>
          <w:p w14:paraId="5ED84039"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 projekta izstrādē</w:t>
            </w:r>
          </w:p>
        </w:tc>
        <w:tc>
          <w:tcPr>
            <w:tcW w:w="6234" w:type="dxa"/>
          </w:tcPr>
          <w:p w14:paraId="2924ADC4" w14:textId="5A1CCC2F" w:rsidR="006A2224" w:rsidRPr="00A77A93" w:rsidRDefault="006A2224" w:rsidP="009139C7">
            <w:pPr>
              <w:shd w:val="clear" w:color="auto" w:fill="FFFFFF" w:themeFill="background1"/>
              <w:ind w:left="57" w:right="113"/>
              <w:contextualSpacing/>
              <w:jc w:val="both"/>
              <w:rPr>
                <w:rFonts w:eastAsia="Times New Roman"/>
                <w:noProof/>
                <w:sz w:val="26"/>
                <w:szCs w:val="26"/>
                <w:shd w:val="clear" w:color="auto" w:fill="FFFFFF"/>
                <w:lang w:val="lv-LV" w:eastAsia="ja-JP"/>
              </w:rPr>
            </w:pPr>
            <w:r w:rsidRPr="00A77A93">
              <w:rPr>
                <w:rFonts w:eastAsia="Times New Roman"/>
                <w:noProof/>
                <w:sz w:val="26"/>
                <w:szCs w:val="26"/>
                <w:lang w:val="lv-LV" w:eastAsia="ja-JP"/>
              </w:rPr>
              <w:t xml:space="preserve">Ņemot vērā to, ka Noteikumu projekts tiek virzīts steidzamības kārtībā, sabiedrības iesaiste </w:t>
            </w:r>
            <w:r w:rsidR="00121C81">
              <w:rPr>
                <w:rFonts w:eastAsia="Times New Roman"/>
                <w:noProof/>
                <w:sz w:val="26"/>
                <w:szCs w:val="26"/>
                <w:lang w:val="lv-LV" w:eastAsia="ja-JP"/>
              </w:rPr>
              <w:t>n</w:t>
            </w:r>
            <w:r w:rsidRPr="00A77A93">
              <w:rPr>
                <w:rFonts w:eastAsia="Times New Roman"/>
                <w:noProof/>
                <w:sz w:val="26"/>
                <w:szCs w:val="26"/>
                <w:lang w:val="lv-LV" w:eastAsia="ja-JP"/>
              </w:rPr>
              <w:t>oteikumu projekta izstrādē netika organizēta.</w:t>
            </w:r>
          </w:p>
        </w:tc>
      </w:tr>
      <w:tr w:rsidR="006A2224" w:rsidRPr="00A77A93" w14:paraId="0969401C" w14:textId="77777777" w:rsidTr="009139C7">
        <w:trPr>
          <w:trHeight w:val="476"/>
        </w:trPr>
        <w:tc>
          <w:tcPr>
            <w:tcW w:w="426" w:type="dxa"/>
          </w:tcPr>
          <w:p w14:paraId="2D5DFB59" w14:textId="77777777" w:rsidR="006A2224" w:rsidRPr="00A77A93" w:rsidRDefault="006A2224" w:rsidP="009139C7">
            <w:pPr>
              <w:ind w:left="57" w:right="57"/>
              <w:contextualSpacing/>
              <w:jc w:val="both"/>
              <w:rPr>
                <w:noProof/>
                <w:sz w:val="25"/>
                <w:lang w:val="lv-LV"/>
              </w:rPr>
            </w:pPr>
            <w:r w:rsidRPr="00A77A93">
              <w:rPr>
                <w:noProof/>
                <w:sz w:val="25"/>
                <w:lang w:val="lv-LV"/>
              </w:rPr>
              <w:t>3.</w:t>
            </w:r>
          </w:p>
        </w:tc>
        <w:tc>
          <w:tcPr>
            <w:tcW w:w="2551" w:type="dxa"/>
          </w:tcPr>
          <w:p w14:paraId="09805B47"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līdzdalības rezultāti</w:t>
            </w:r>
          </w:p>
        </w:tc>
        <w:tc>
          <w:tcPr>
            <w:tcW w:w="6234" w:type="dxa"/>
          </w:tcPr>
          <w:p w14:paraId="1C3A7362" w14:textId="2D42285F" w:rsidR="006A2224" w:rsidRPr="00A77A93" w:rsidRDefault="00121C81" w:rsidP="009139C7">
            <w:pPr>
              <w:shd w:val="clear" w:color="auto" w:fill="FFFFFF"/>
              <w:ind w:left="57" w:right="113"/>
              <w:contextualSpacing/>
              <w:jc w:val="both"/>
              <w:rPr>
                <w:rFonts w:eastAsia="PMingLiU"/>
                <w:noProof/>
                <w:sz w:val="26"/>
                <w:szCs w:val="26"/>
                <w:shd w:val="clear" w:color="auto" w:fill="FFFFFF"/>
                <w:lang w:val="lv-LV" w:eastAsia="ja-JP"/>
              </w:rPr>
            </w:pPr>
            <w:r>
              <w:rPr>
                <w:rFonts w:eastAsia="Times New Roman"/>
                <w:noProof/>
                <w:sz w:val="26"/>
                <w:szCs w:val="26"/>
                <w:lang w:val="lv-LV" w:eastAsia="lv-LV"/>
              </w:rPr>
              <w:t>Noteikumu p</w:t>
            </w:r>
            <w:r w:rsidRPr="00A77A93">
              <w:rPr>
                <w:rFonts w:eastAsia="Times New Roman"/>
                <w:noProof/>
                <w:sz w:val="26"/>
                <w:szCs w:val="26"/>
                <w:lang w:val="lv-LV" w:eastAsia="lv-LV"/>
              </w:rPr>
              <w:t>rojekts šo jomu neskar.</w:t>
            </w:r>
          </w:p>
        </w:tc>
      </w:tr>
      <w:tr w:rsidR="006A2224" w:rsidRPr="00A77A93" w14:paraId="68550B82" w14:textId="77777777" w:rsidTr="009139C7">
        <w:trPr>
          <w:trHeight w:val="205"/>
        </w:trPr>
        <w:tc>
          <w:tcPr>
            <w:tcW w:w="426" w:type="dxa"/>
          </w:tcPr>
          <w:p w14:paraId="25CD2CEB" w14:textId="77777777" w:rsidR="006A2224" w:rsidRPr="00A77A93" w:rsidRDefault="006A2224" w:rsidP="009139C7">
            <w:pPr>
              <w:ind w:left="57" w:right="57"/>
              <w:contextualSpacing/>
              <w:jc w:val="both"/>
              <w:rPr>
                <w:noProof/>
                <w:sz w:val="25"/>
                <w:lang w:val="lv-LV"/>
              </w:rPr>
            </w:pPr>
            <w:r w:rsidRPr="00A77A93">
              <w:rPr>
                <w:noProof/>
                <w:sz w:val="25"/>
                <w:lang w:val="lv-LV"/>
              </w:rPr>
              <w:t>4.</w:t>
            </w:r>
          </w:p>
        </w:tc>
        <w:tc>
          <w:tcPr>
            <w:tcW w:w="2551" w:type="dxa"/>
          </w:tcPr>
          <w:p w14:paraId="4B40F66E"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Cita informācija</w:t>
            </w:r>
          </w:p>
        </w:tc>
        <w:tc>
          <w:tcPr>
            <w:tcW w:w="6234" w:type="dxa"/>
          </w:tcPr>
          <w:p w14:paraId="163AC99B" w14:textId="77777777" w:rsidR="006A2224" w:rsidRPr="00A77A93" w:rsidRDefault="006A2224" w:rsidP="009139C7">
            <w:pPr>
              <w:ind w:left="57" w:right="113"/>
              <w:contextualSpacing/>
              <w:jc w:val="both"/>
              <w:rPr>
                <w:rFonts w:eastAsia="PMingLiU"/>
                <w:noProof/>
                <w:sz w:val="26"/>
                <w:szCs w:val="26"/>
                <w:lang w:val="lv-LV" w:eastAsia="ja-JP"/>
              </w:rPr>
            </w:pPr>
            <w:r w:rsidRPr="00A77A93">
              <w:rPr>
                <w:rFonts w:eastAsia="PMingLiU"/>
                <w:noProof/>
                <w:sz w:val="26"/>
                <w:szCs w:val="26"/>
                <w:lang w:val="lv-LV" w:eastAsia="ja-JP"/>
              </w:rPr>
              <w:t>Nav</w:t>
            </w:r>
          </w:p>
        </w:tc>
      </w:tr>
    </w:tbl>
    <w:p w14:paraId="21A77004" w14:textId="77777777" w:rsidR="006A2224" w:rsidRPr="00A77A93" w:rsidRDefault="006A2224" w:rsidP="006A2224">
      <w:pPr>
        <w:contextualSpacing/>
        <w:rPr>
          <w:rFonts w:eastAsia="Times New Roman"/>
          <w:noProof/>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6A2224" w:rsidRPr="00334FFF" w14:paraId="058D6471" w14:textId="77777777" w:rsidTr="009139C7">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2F81119C" w14:textId="77777777" w:rsidR="006A2224" w:rsidRPr="00A77A93" w:rsidRDefault="006A2224" w:rsidP="009139C7">
            <w:pPr>
              <w:spacing w:before="100" w:beforeAutospacing="1" w:after="100" w:afterAutospacing="1"/>
              <w:ind w:firstLine="300"/>
              <w:jc w:val="center"/>
              <w:rPr>
                <w:rFonts w:eastAsia="Times New Roman"/>
                <w:noProof/>
                <w:sz w:val="26"/>
                <w:szCs w:val="26"/>
                <w:lang w:val="lv-LV" w:eastAsia="lv-LV"/>
              </w:rPr>
            </w:pPr>
            <w:r w:rsidRPr="00A77A93">
              <w:rPr>
                <w:b/>
                <w:noProof/>
                <w:sz w:val="26"/>
                <w:lang w:val="lv-LV"/>
              </w:rPr>
              <w:t>VII. Tiesību akta projekta izpildes nodrošināšana un tās ietekme uz institūcijām</w:t>
            </w:r>
          </w:p>
        </w:tc>
      </w:tr>
      <w:tr w:rsidR="006A2224" w:rsidRPr="00A77A93" w14:paraId="5EF2461E" w14:textId="77777777" w:rsidTr="009139C7">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C530391"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37BC9437" w14:textId="77777777" w:rsidR="006A2224" w:rsidRPr="003B3464" w:rsidRDefault="006A2224" w:rsidP="009139C7">
            <w:pPr>
              <w:ind w:right="112"/>
              <w:contextualSpacing/>
              <w:jc w:val="both"/>
              <w:rPr>
                <w:noProof/>
                <w:sz w:val="26"/>
                <w:szCs w:val="26"/>
                <w:lang w:val="lv-LV"/>
              </w:rPr>
            </w:pPr>
            <w:r w:rsidRPr="003B3464">
              <w:rPr>
                <w:noProof/>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88EC0D8" w14:textId="1177CD22" w:rsidR="006A2224" w:rsidRPr="003B3464" w:rsidRDefault="006A2224" w:rsidP="009139C7">
            <w:pPr>
              <w:jc w:val="both"/>
              <w:rPr>
                <w:rFonts w:eastAsia="Times New Roman"/>
                <w:iCs/>
                <w:noProof/>
                <w:sz w:val="24"/>
                <w:szCs w:val="24"/>
                <w:lang w:val="lv-LV" w:eastAsia="lv-LV"/>
              </w:rPr>
            </w:pPr>
            <w:r>
              <w:rPr>
                <w:rFonts w:eastAsia="Times New Roman"/>
                <w:noProof/>
                <w:sz w:val="26"/>
                <w:szCs w:val="26"/>
                <w:lang w:val="lv-LV" w:eastAsia="lv-LV"/>
              </w:rPr>
              <w:t>VALIC, VUGD</w:t>
            </w:r>
            <w:r w:rsidR="00CB3984">
              <w:rPr>
                <w:rFonts w:eastAsia="Times New Roman"/>
                <w:noProof/>
                <w:sz w:val="26"/>
                <w:szCs w:val="26"/>
                <w:lang w:val="lv-LV" w:eastAsia="lv-LV"/>
              </w:rPr>
              <w:t>.</w:t>
            </w:r>
          </w:p>
          <w:p w14:paraId="77890784" w14:textId="77777777" w:rsidR="006A2224" w:rsidRPr="003B3464" w:rsidRDefault="006A2224" w:rsidP="009139C7">
            <w:pPr>
              <w:ind w:left="82" w:right="161"/>
              <w:jc w:val="both"/>
              <w:rPr>
                <w:noProof/>
                <w:sz w:val="24"/>
                <w:szCs w:val="24"/>
                <w:lang w:val="lv-LV"/>
              </w:rPr>
            </w:pPr>
          </w:p>
        </w:tc>
      </w:tr>
      <w:tr w:rsidR="006A2224" w:rsidRPr="00A77A93" w14:paraId="5E99385A" w14:textId="77777777" w:rsidTr="009139C7">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0F78CDC9"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287B462D" w14:textId="77777777" w:rsidR="006A2224" w:rsidRPr="003B3464" w:rsidRDefault="006A2224" w:rsidP="009139C7">
            <w:pPr>
              <w:ind w:right="112"/>
              <w:contextualSpacing/>
              <w:jc w:val="both"/>
              <w:rPr>
                <w:noProof/>
                <w:sz w:val="26"/>
                <w:szCs w:val="26"/>
                <w:lang w:val="lv-LV"/>
              </w:rPr>
            </w:pPr>
            <w:r w:rsidRPr="003B3464">
              <w:rPr>
                <w:noProof/>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1C4001FE" w14:textId="0F82FEEC" w:rsidR="006A2224" w:rsidRPr="003B3464" w:rsidRDefault="00121C81" w:rsidP="009139C7">
            <w:pPr>
              <w:ind w:right="161"/>
              <w:jc w:val="both"/>
              <w:rPr>
                <w:noProof/>
                <w:sz w:val="26"/>
                <w:szCs w:val="26"/>
                <w:lang w:val="lv-LV"/>
              </w:rPr>
            </w:pPr>
            <w:r w:rsidRPr="00121C81">
              <w:rPr>
                <w:noProof/>
                <w:sz w:val="26"/>
                <w:szCs w:val="26"/>
                <w:lang w:val="lv-LV"/>
              </w:rPr>
              <w:t>Noteikumu projekta izpilde neietekmēs pārvaldes funkcijas vai institucionālo struktūru un cilvēkresursus.</w:t>
            </w:r>
          </w:p>
        </w:tc>
      </w:tr>
      <w:tr w:rsidR="006A2224" w:rsidRPr="00A77A93" w14:paraId="176E4CAF" w14:textId="77777777" w:rsidTr="009139C7">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3713AEAF"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09214F30" w14:textId="77777777" w:rsidR="006A2224" w:rsidRPr="00A77A93" w:rsidRDefault="006A2224" w:rsidP="009139C7">
            <w:pPr>
              <w:contextualSpacing/>
              <w:jc w:val="both"/>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DE78F38" w14:textId="2F7A6A51" w:rsidR="006A2224" w:rsidRPr="00A77A93" w:rsidRDefault="006A2224" w:rsidP="009139C7">
            <w:pPr>
              <w:jc w:val="both"/>
              <w:rPr>
                <w:rFonts w:eastAsiaTheme="minorHAnsi"/>
                <w:iCs/>
                <w:noProof/>
                <w:sz w:val="24"/>
                <w:szCs w:val="24"/>
                <w:lang w:val="lv-LV"/>
              </w:rPr>
            </w:pPr>
            <w:r w:rsidRPr="00A77A93">
              <w:rPr>
                <w:noProof/>
                <w:sz w:val="26"/>
                <w:szCs w:val="26"/>
                <w:lang w:val="lv-LV"/>
              </w:rPr>
              <w:t>Nav</w:t>
            </w:r>
            <w:r w:rsidR="00121C81">
              <w:rPr>
                <w:noProof/>
                <w:sz w:val="26"/>
                <w:szCs w:val="26"/>
                <w:lang w:val="lv-LV"/>
              </w:rPr>
              <w:t>.</w:t>
            </w:r>
          </w:p>
        </w:tc>
      </w:tr>
    </w:tbl>
    <w:p w14:paraId="33C92CAF" w14:textId="77777777" w:rsidR="00CB3984" w:rsidRDefault="00CB3984" w:rsidP="00121C81">
      <w:pPr>
        <w:tabs>
          <w:tab w:val="left" w:pos="6237"/>
        </w:tabs>
        <w:contextualSpacing/>
        <w:rPr>
          <w:noProof/>
          <w:sz w:val="28"/>
          <w:szCs w:val="24"/>
          <w:lang w:val="lv-LV"/>
        </w:rPr>
      </w:pPr>
    </w:p>
    <w:p w14:paraId="745B6971" w14:textId="77777777" w:rsidR="00377505" w:rsidRDefault="00377505" w:rsidP="00121C81">
      <w:pPr>
        <w:tabs>
          <w:tab w:val="left" w:pos="6237"/>
        </w:tabs>
        <w:contextualSpacing/>
        <w:rPr>
          <w:noProof/>
          <w:sz w:val="28"/>
          <w:szCs w:val="24"/>
          <w:lang w:val="lv-LV"/>
        </w:rPr>
      </w:pPr>
    </w:p>
    <w:p w14:paraId="4ACE865A" w14:textId="0B55C461" w:rsidR="00121C81" w:rsidRPr="00121C81" w:rsidRDefault="00121C81" w:rsidP="00121C81">
      <w:pPr>
        <w:tabs>
          <w:tab w:val="left" w:pos="6237"/>
        </w:tabs>
        <w:contextualSpacing/>
        <w:rPr>
          <w:noProof/>
          <w:sz w:val="28"/>
          <w:szCs w:val="24"/>
          <w:lang w:val="lv-LV"/>
        </w:rPr>
      </w:pPr>
      <w:r w:rsidRPr="00121C81">
        <w:rPr>
          <w:noProof/>
          <w:sz w:val="28"/>
          <w:szCs w:val="24"/>
          <w:lang w:val="lv-LV"/>
        </w:rPr>
        <w:t>Izglītības un zinātnes ministre</w:t>
      </w:r>
      <w:r w:rsidRPr="00121C81">
        <w:rPr>
          <w:noProof/>
          <w:sz w:val="28"/>
          <w:szCs w:val="24"/>
          <w:lang w:val="lv-LV"/>
        </w:rPr>
        <w:tab/>
      </w:r>
      <w:r w:rsidRPr="00121C81">
        <w:rPr>
          <w:noProof/>
          <w:sz w:val="28"/>
          <w:szCs w:val="24"/>
          <w:lang w:val="lv-LV"/>
        </w:rPr>
        <w:tab/>
      </w:r>
      <w:r w:rsidRPr="00121C81">
        <w:rPr>
          <w:noProof/>
          <w:sz w:val="28"/>
          <w:szCs w:val="24"/>
          <w:lang w:val="lv-LV"/>
        </w:rPr>
        <w:tab/>
        <w:t>I.Šuplinska</w:t>
      </w:r>
    </w:p>
    <w:p w14:paraId="70051697" w14:textId="77777777" w:rsidR="00121C81" w:rsidRPr="00121C81" w:rsidRDefault="00121C81" w:rsidP="00121C81">
      <w:pPr>
        <w:tabs>
          <w:tab w:val="left" w:pos="6237"/>
        </w:tabs>
        <w:contextualSpacing/>
        <w:rPr>
          <w:noProof/>
          <w:sz w:val="28"/>
          <w:szCs w:val="24"/>
          <w:lang w:val="lv-LV"/>
        </w:rPr>
      </w:pPr>
    </w:p>
    <w:p w14:paraId="0E408E47" w14:textId="77777777" w:rsidR="00121C81" w:rsidRPr="00121C81" w:rsidRDefault="00121C81" w:rsidP="00121C81">
      <w:pPr>
        <w:tabs>
          <w:tab w:val="left" w:pos="6237"/>
        </w:tabs>
        <w:contextualSpacing/>
        <w:rPr>
          <w:noProof/>
          <w:sz w:val="28"/>
          <w:szCs w:val="24"/>
          <w:lang w:val="lv-LV"/>
        </w:rPr>
      </w:pPr>
      <w:r w:rsidRPr="00121C81">
        <w:rPr>
          <w:noProof/>
          <w:sz w:val="28"/>
          <w:szCs w:val="24"/>
          <w:lang w:val="lv-LV"/>
        </w:rPr>
        <w:t>Vizē:</w:t>
      </w:r>
    </w:p>
    <w:p w14:paraId="72914B5D" w14:textId="66FD9367" w:rsidR="00121C81" w:rsidRPr="00121C81" w:rsidRDefault="00121C81" w:rsidP="00121C81">
      <w:pPr>
        <w:tabs>
          <w:tab w:val="left" w:pos="6237"/>
        </w:tabs>
        <w:contextualSpacing/>
        <w:rPr>
          <w:noProof/>
          <w:sz w:val="28"/>
          <w:szCs w:val="24"/>
          <w:lang w:val="lv-LV"/>
        </w:rPr>
      </w:pPr>
      <w:r w:rsidRPr="00121C81">
        <w:rPr>
          <w:noProof/>
          <w:sz w:val="28"/>
          <w:szCs w:val="24"/>
          <w:lang w:val="lv-LV"/>
        </w:rPr>
        <w:t>Valsts sekretārs</w:t>
      </w:r>
      <w:r w:rsidRPr="00121C81">
        <w:rPr>
          <w:noProof/>
          <w:sz w:val="28"/>
          <w:szCs w:val="24"/>
          <w:lang w:val="lv-LV"/>
        </w:rPr>
        <w:tab/>
      </w:r>
      <w:r w:rsidRPr="00121C81">
        <w:rPr>
          <w:noProof/>
          <w:sz w:val="28"/>
          <w:szCs w:val="24"/>
          <w:lang w:val="lv-LV"/>
        </w:rPr>
        <w:tab/>
      </w:r>
      <w:r w:rsidRPr="00121C81">
        <w:rPr>
          <w:noProof/>
          <w:sz w:val="28"/>
          <w:szCs w:val="24"/>
          <w:lang w:val="lv-LV"/>
        </w:rPr>
        <w:tab/>
        <w:t>J. Volberts</w:t>
      </w:r>
    </w:p>
    <w:p w14:paraId="28DCEEC1" w14:textId="77777777" w:rsidR="00B9191B" w:rsidRDefault="00B9191B" w:rsidP="00121C81">
      <w:pPr>
        <w:tabs>
          <w:tab w:val="left" w:pos="6237"/>
        </w:tabs>
        <w:contextualSpacing/>
        <w:rPr>
          <w:noProof/>
          <w:lang w:val="lv-LV"/>
        </w:rPr>
      </w:pPr>
    </w:p>
    <w:p w14:paraId="24A77CA5" w14:textId="77777777" w:rsidR="00B9191B" w:rsidRDefault="00B9191B" w:rsidP="00121C81">
      <w:pPr>
        <w:tabs>
          <w:tab w:val="left" w:pos="6237"/>
        </w:tabs>
        <w:contextualSpacing/>
        <w:rPr>
          <w:noProof/>
          <w:lang w:val="lv-LV"/>
        </w:rPr>
      </w:pPr>
    </w:p>
    <w:p w14:paraId="16B2083E" w14:textId="77777777" w:rsidR="00377505" w:rsidRDefault="00377505" w:rsidP="00121C81">
      <w:pPr>
        <w:tabs>
          <w:tab w:val="left" w:pos="6237"/>
        </w:tabs>
        <w:contextualSpacing/>
        <w:rPr>
          <w:noProof/>
          <w:lang w:val="lv-LV"/>
        </w:rPr>
      </w:pPr>
    </w:p>
    <w:p w14:paraId="6F0CA411" w14:textId="77777777" w:rsidR="00377505" w:rsidRDefault="00377505" w:rsidP="00121C81">
      <w:pPr>
        <w:tabs>
          <w:tab w:val="left" w:pos="6237"/>
        </w:tabs>
        <w:contextualSpacing/>
        <w:rPr>
          <w:noProof/>
          <w:lang w:val="lv-LV"/>
        </w:rPr>
      </w:pPr>
    </w:p>
    <w:p w14:paraId="4B05107E" w14:textId="46F2E374" w:rsidR="00121C81" w:rsidRPr="00B9191B" w:rsidRDefault="00121C81" w:rsidP="00121C81">
      <w:pPr>
        <w:tabs>
          <w:tab w:val="left" w:pos="6237"/>
        </w:tabs>
        <w:contextualSpacing/>
        <w:rPr>
          <w:noProof/>
          <w:lang w:val="lv-LV"/>
        </w:rPr>
      </w:pPr>
      <w:r w:rsidRPr="00B9191B">
        <w:rPr>
          <w:noProof/>
          <w:lang w:val="lv-LV"/>
        </w:rPr>
        <w:t>Rudzīte 67047807</w:t>
      </w:r>
    </w:p>
    <w:p w14:paraId="61B87B84" w14:textId="4F5C7461" w:rsidR="00262712" w:rsidRPr="00B9191B" w:rsidRDefault="00121C81" w:rsidP="00B9191B">
      <w:pPr>
        <w:tabs>
          <w:tab w:val="left" w:pos="6237"/>
        </w:tabs>
        <w:contextualSpacing/>
        <w:rPr>
          <w:noProof/>
          <w:lang w:val="lv-LV"/>
        </w:rPr>
      </w:pPr>
      <w:r w:rsidRPr="00B9191B">
        <w:rPr>
          <w:noProof/>
          <w:lang w:val="lv-LV"/>
        </w:rPr>
        <w:t>ance.rudzite@izm.gov.lv</w:t>
      </w:r>
    </w:p>
    <w:sectPr w:rsidR="00262712" w:rsidRPr="00B9191B" w:rsidSect="006A2224">
      <w:headerReference w:type="default" r:id="rId6"/>
      <w:footerReference w:type="default" r:id="rId7"/>
      <w:footerReference w:type="first" r:id="rId8"/>
      <w:endnotePr>
        <w:numFmt w:val="decimal"/>
      </w:endnotePr>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FF53" w14:textId="77777777" w:rsidR="00CC6D08" w:rsidRDefault="00CC6D08" w:rsidP="006A2224">
      <w:r>
        <w:separator/>
      </w:r>
    </w:p>
  </w:endnote>
  <w:endnote w:type="continuationSeparator" w:id="0">
    <w:p w14:paraId="4D302EF6" w14:textId="77777777" w:rsidR="00CC6D08" w:rsidRDefault="00CC6D08" w:rsidP="006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A103" w14:textId="5D424326" w:rsidR="003051BA" w:rsidRPr="00510C57" w:rsidRDefault="006A2224" w:rsidP="005F31BE">
    <w:pPr>
      <w:pStyle w:val="Footer"/>
      <w:rPr>
        <w:sz w:val="24"/>
        <w:szCs w:val="24"/>
        <w:lang w:val="lv-LV"/>
      </w:rPr>
    </w:pPr>
    <w:r w:rsidRPr="00510C57">
      <w:rPr>
        <w:sz w:val="24"/>
        <w:szCs w:val="24"/>
        <w:lang w:val="lv-LV"/>
      </w:rPr>
      <w:t>IZMAnot_</w:t>
    </w:r>
    <w:r w:rsidR="00557CFB">
      <w:rPr>
        <w:sz w:val="24"/>
        <w:szCs w:val="24"/>
        <w:lang w:val="lv-LV"/>
      </w:rPr>
      <w:t>0</w:t>
    </w:r>
    <w:r w:rsidR="00C60197">
      <w:rPr>
        <w:sz w:val="24"/>
        <w:szCs w:val="24"/>
        <w:lang w:val="lv-LV"/>
      </w:rPr>
      <w:t>4</w:t>
    </w:r>
    <w:r w:rsidR="00557CFB">
      <w:rPr>
        <w:sz w:val="24"/>
        <w:szCs w:val="24"/>
        <w:lang w:val="lv-LV"/>
      </w:rPr>
      <w:t>02</w:t>
    </w:r>
    <w:r w:rsidRPr="00510C57">
      <w:rPr>
        <w:sz w:val="24"/>
        <w:szCs w:val="24"/>
        <w:lang w:val="lv-LV"/>
      </w:rPr>
      <w:t>21_groz380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0C05" w14:textId="7F69ED1B" w:rsidR="003051BA" w:rsidRPr="00510C57" w:rsidRDefault="006A2224" w:rsidP="005F31BE">
    <w:pPr>
      <w:pStyle w:val="Footer"/>
      <w:rPr>
        <w:sz w:val="24"/>
        <w:szCs w:val="24"/>
        <w:lang w:val="lv-LV"/>
      </w:rPr>
    </w:pPr>
    <w:r w:rsidRPr="00510C57">
      <w:rPr>
        <w:sz w:val="24"/>
        <w:szCs w:val="24"/>
        <w:lang w:val="lv-LV"/>
      </w:rPr>
      <w:t>IZMAnot_</w:t>
    </w:r>
    <w:r w:rsidR="00557CFB">
      <w:rPr>
        <w:sz w:val="24"/>
        <w:szCs w:val="24"/>
        <w:lang w:val="lv-LV"/>
      </w:rPr>
      <w:t>0</w:t>
    </w:r>
    <w:r w:rsidR="00C60197">
      <w:rPr>
        <w:sz w:val="24"/>
        <w:szCs w:val="24"/>
        <w:lang w:val="lv-LV"/>
      </w:rPr>
      <w:t>4</w:t>
    </w:r>
    <w:r w:rsidR="00557CFB">
      <w:rPr>
        <w:sz w:val="24"/>
        <w:szCs w:val="24"/>
        <w:lang w:val="lv-LV"/>
      </w:rPr>
      <w:t>02</w:t>
    </w:r>
    <w:r w:rsidRPr="00510C57">
      <w:rPr>
        <w:sz w:val="24"/>
        <w:szCs w:val="24"/>
        <w:lang w:val="lv-LV"/>
      </w:rPr>
      <w:t>21_groz380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0BFB" w14:textId="77777777" w:rsidR="00CC6D08" w:rsidRDefault="00CC6D08" w:rsidP="006A2224">
      <w:r>
        <w:separator/>
      </w:r>
    </w:p>
  </w:footnote>
  <w:footnote w:type="continuationSeparator" w:id="0">
    <w:p w14:paraId="78BA63F6" w14:textId="77777777" w:rsidR="00CC6D08" w:rsidRDefault="00CC6D08" w:rsidP="006A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7235"/>
      <w:docPartObj>
        <w:docPartGallery w:val="Page Numbers (Top of Page)"/>
        <w:docPartUnique/>
      </w:docPartObj>
    </w:sdtPr>
    <w:sdtEndPr>
      <w:rPr>
        <w:sz w:val="24"/>
        <w:szCs w:val="24"/>
      </w:rPr>
    </w:sdtEndPr>
    <w:sdtContent>
      <w:p w14:paraId="7B8038A8" w14:textId="77777777" w:rsidR="003051BA" w:rsidRPr="005A1518" w:rsidRDefault="006566DE"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966534">
          <w:rPr>
            <w:noProof/>
            <w:sz w:val="24"/>
            <w:szCs w:val="24"/>
          </w:rPr>
          <w:t>7</w:t>
        </w:r>
        <w:r w:rsidRPr="00B014C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24"/>
    <w:rsid w:val="00121C81"/>
    <w:rsid w:val="00262712"/>
    <w:rsid w:val="00377505"/>
    <w:rsid w:val="00510C57"/>
    <w:rsid w:val="00516832"/>
    <w:rsid w:val="00557CFB"/>
    <w:rsid w:val="00575381"/>
    <w:rsid w:val="006566DE"/>
    <w:rsid w:val="006A2224"/>
    <w:rsid w:val="007F2704"/>
    <w:rsid w:val="00825EBA"/>
    <w:rsid w:val="008C3D30"/>
    <w:rsid w:val="00966534"/>
    <w:rsid w:val="00B9191B"/>
    <w:rsid w:val="00C60197"/>
    <w:rsid w:val="00CB3984"/>
    <w:rsid w:val="00CC6D08"/>
    <w:rsid w:val="00D93661"/>
    <w:rsid w:val="00F62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D011"/>
  <w15:chartTrackingRefBased/>
  <w15:docId w15:val="{7FF36DBD-C1CD-4AE1-8242-577332A0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24"/>
    <w:pPr>
      <w:spacing w:after="0" w:line="240" w:lineRule="auto"/>
    </w:pPr>
    <w:rPr>
      <w:rFonts w:ascii="Times New Roman" w:eastAsia="Calibri" w:hAnsi="Times New Roman" w:cs="Times New Roman"/>
      <w:sz w:val="20"/>
      <w:szCs w:val="20"/>
      <w:lang w:val="en-AU"/>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val="lv-LV"/>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Footer">
    <w:name w:val="footer"/>
    <w:basedOn w:val="Normal"/>
    <w:link w:val="FooterChar"/>
    <w:uiPriority w:val="99"/>
    <w:unhideWhenUsed/>
    <w:rsid w:val="006A2224"/>
    <w:pPr>
      <w:tabs>
        <w:tab w:val="center" w:pos="4153"/>
        <w:tab w:val="right" w:pos="8306"/>
      </w:tabs>
    </w:pPr>
  </w:style>
  <w:style w:type="character" w:customStyle="1" w:styleId="FooterChar">
    <w:name w:val="Footer Char"/>
    <w:basedOn w:val="DefaultParagraphFont"/>
    <w:link w:val="Footer"/>
    <w:uiPriority w:val="99"/>
    <w:rsid w:val="006A2224"/>
    <w:rPr>
      <w:rFonts w:ascii="Times New Roman" w:eastAsia="Calibri" w:hAnsi="Times New Roman" w:cs="Times New Roman"/>
      <w:sz w:val="20"/>
      <w:szCs w:val="20"/>
      <w:lang w:val="en-AU"/>
    </w:rPr>
  </w:style>
  <w:style w:type="paragraph" w:styleId="BodyText">
    <w:name w:val="Body Text"/>
    <w:basedOn w:val="Normal"/>
    <w:link w:val="BodyTextChar"/>
    <w:unhideWhenUsed/>
    <w:rsid w:val="006A2224"/>
    <w:pPr>
      <w:jc w:val="both"/>
    </w:pPr>
    <w:rPr>
      <w:rFonts w:eastAsia="Times New Roman"/>
      <w:sz w:val="28"/>
      <w:lang w:val="lv-LV" w:eastAsia="lv-LV"/>
    </w:rPr>
  </w:style>
  <w:style w:type="character" w:customStyle="1" w:styleId="BodyTextChar">
    <w:name w:val="Body Text Char"/>
    <w:basedOn w:val="DefaultParagraphFont"/>
    <w:link w:val="BodyText"/>
    <w:rsid w:val="006A2224"/>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6A2224"/>
    <w:pPr>
      <w:tabs>
        <w:tab w:val="center" w:pos="4153"/>
        <w:tab w:val="right" w:pos="8306"/>
      </w:tabs>
    </w:pPr>
  </w:style>
  <w:style w:type="character" w:customStyle="1" w:styleId="HeaderChar">
    <w:name w:val="Header Char"/>
    <w:basedOn w:val="DefaultParagraphFont"/>
    <w:link w:val="Header"/>
    <w:rsid w:val="006A2224"/>
    <w:rPr>
      <w:rFonts w:ascii="Times New Roman" w:eastAsia="Calibri" w:hAnsi="Times New Roman" w:cs="Times New Roman"/>
      <w:sz w:val="20"/>
      <w:szCs w:val="20"/>
      <w:lang w:val="en-AU"/>
    </w:rPr>
  </w:style>
  <w:style w:type="paragraph" w:styleId="ListParagraph">
    <w:name w:val="List Paragraph"/>
    <w:aliases w:val="2,Strip,H&amp;P List Paragraph,Saraksta rindkopa1"/>
    <w:basedOn w:val="Normal"/>
    <w:link w:val="ListParagraphChar"/>
    <w:uiPriority w:val="34"/>
    <w:qFormat/>
    <w:rsid w:val="006A2224"/>
    <w:pPr>
      <w:ind w:left="720"/>
      <w:contextualSpacing/>
    </w:pPr>
  </w:style>
  <w:style w:type="character" w:styleId="Hyperlink">
    <w:name w:val="Hyperlink"/>
    <w:basedOn w:val="DefaultParagraphFont"/>
    <w:uiPriority w:val="99"/>
    <w:unhideWhenUsed/>
    <w:rsid w:val="006A2224"/>
    <w:rPr>
      <w:color w:val="0563C1" w:themeColor="hyperlink"/>
      <w:u w:val="single"/>
    </w:rPr>
  </w:style>
  <w:style w:type="character" w:customStyle="1" w:styleId="ListParagraphChar">
    <w:name w:val="List Paragraph Char"/>
    <w:aliases w:val="2 Char,Strip Char,H&amp;P List Paragraph Char,Saraksta rindkopa1 Char"/>
    <w:link w:val="ListParagraph"/>
    <w:uiPriority w:val="34"/>
    <w:locked/>
    <w:rsid w:val="006A2224"/>
    <w:rPr>
      <w:rFonts w:ascii="Times New Roman" w:eastAsia="Calibri" w:hAnsi="Times New Roman" w:cs="Times New Roman"/>
      <w:sz w:val="20"/>
      <w:szCs w:val="20"/>
      <w:lang w:val="en-AU"/>
    </w:rPr>
  </w:style>
  <w:style w:type="paragraph" w:customStyle="1" w:styleId="tv213">
    <w:name w:val="tv213"/>
    <w:basedOn w:val="Normal"/>
    <w:rsid w:val="006A2224"/>
    <w:pPr>
      <w:spacing w:before="100" w:beforeAutospacing="1" w:after="100" w:afterAutospacing="1"/>
    </w:pPr>
    <w:rPr>
      <w:rFonts w:eastAsia="Times New Roman"/>
      <w:sz w:val="24"/>
      <w:szCs w:val="24"/>
      <w:lang w:val="lv-LV" w:eastAsia="lv-LV"/>
    </w:rPr>
  </w:style>
  <w:style w:type="paragraph" w:styleId="NoSpacing">
    <w:name w:val="No Spacing"/>
    <w:link w:val="NoSpacingChar"/>
    <w:uiPriority w:val="1"/>
    <w:qFormat/>
    <w:rsid w:val="006A2224"/>
    <w:pPr>
      <w:spacing w:after="0" w:line="240" w:lineRule="auto"/>
    </w:pPr>
  </w:style>
  <w:style w:type="character" w:customStyle="1" w:styleId="NoSpacingChar">
    <w:name w:val="No Spacing Char"/>
    <w:link w:val="NoSpacing"/>
    <w:uiPriority w:val="1"/>
    <w:rsid w:val="006A2224"/>
  </w:style>
  <w:style w:type="character" w:styleId="CommentReference">
    <w:name w:val="annotation reference"/>
    <w:basedOn w:val="DefaultParagraphFont"/>
    <w:uiPriority w:val="99"/>
    <w:semiHidden/>
    <w:unhideWhenUsed/>
    <w:rsid w:val="008C3D30"/>
    <w:rPr>
      <w:sz w:val="16"/>
      <w:szCs w:val="16"/>
    </w:rPr>
  </w:style>
  <w:style w:type="paragraph" w:styleId="CommentText">
    <w:name w:val="annotation text"/>
    <w:basedOn w:val="Normal"/>
    <w:link w:val="CommentTextChar"/>
    <w:uiPriority w:val="99"/>
    <w:semiHidden/>
    <w:unhideWhenUsed/>
    <w:rsid w:val="008C3D30"/>
  </w:style>
  <w:style w:type="character" w:customStyle="1" w:styleId="CommentTextChar">
    <w:name w:val="Comment Text Char"/>
    <w:basedOn w:val="DefaultParagraphFont"/>
    <w:link w:val="CommentText"/>
    <w:uiPriority w:val="99"/>
    <w:semiHidden/>
    <w:rsid w:val="008C3D30"/>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C3D30"/>
    <w:rPr>
      <w:b/>
      <w:bCs/>
    </w:rPr>
  </w:style>
  <w:style w:type="character" w:customStyle="1" w:styleId="CommentSubjectChar">
    <w:name w:val="Comment Subject Char"/>
    <w:basedOn w:val="CommentTextChar"/>
    <w:link w:val="CommentSubject"/>
    <w:uiPriority w:val="99"/>
    <w:semiHidden/>
    <w:rsid w:val="008C3D30"/>
    <w:rPr>
      <w:rFonts w:ascii="Times New Roman" w:eastAsia="Calibri"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8047</Words>
  <Characters>4588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Sandra Obodova</cp:lastModifiedBy>
  <cp:revision>2</cp:revision>
  <dcterms:created xsi:type="dcterms:W3CDTF">2021-02-08T09:32:00Z</dcterms:created>
  <dcterms:modified xsi:type="dcterms:W3CDTF">2021-02-08T09:32:00Z</dcterms:modified>
</cp:coreProperties>
</file>